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14420" w:rsidRPr="00DB58B5" w:rsidTr="00DF5712">
        <w:trPr>
          <w:trHeight w:hRule="exact" w:val="851"/>
        </w:trPr>
        <w:tc>
          <w:tcPr>
            <w:tcW w:w="1276" w:type="dxa"/>
            <w:tcBorders>
              <w:bottom w:val="single" w:sz="4" w:space="0" w:color="auto"/>
            </w:tcBorders>
          </w:tcPr>
          <w:p w:rsidR="00A14420" w:rsidRPr="00DB58B5" w:rsidRDefault="00A14420" w:rsidP="00946643"/>
        </w:tc>
        <w:tc>
          <w:tcPr>
            <w:tcW w:w="2268" w:type="dxa"/>
            <w:tcBorders>
              <w:bottom w:val="single" w:sz="4" w:space="0" w:color="auto"/>
            </w:tcBorders>
            <w:vAlign w:val="bottom"/>
          </w:tcPr>
          <w:p w:rsidR="00A14420" w:rsidRPr="00DB58B5" w:rsidRDefault="00A14420" w:rsidP="00DF5712">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A14420" w:rsidRPr="00DB58B5" w:rsidRDefault="00946643" w:rsidP="00946643">
            <w:pPr>
              <w:jc w:val="right"/>
            </w:pPr>
            <w:r w:rsidRPr="00946643">
              <w:rPr>
                <w:sz w:val="40"/>
              </w:rPr>
              <w:t>ECE</w:t>
            </w:r>
            <w:r>
              <w:t>/MP.PP/2017/27</w:t>
            </w:r>
          </w:p>
        </w:tc>
      </w:tr>
      <w:tr w:rsidR="00A14420" w:rsidRPr="00DB58B5" w:rsidTr="00DF5712">
        <w:trPr>
          <w:trHeight w:hRule="exact" w:val="2835"/>
        </w:trPr>
        <w:tc>
          <w:tcPr>
            <w:tcW w:w="1276" w:type="dxa"/>
            <w:tcBorders>
              <w:top w:val="single" w:sz="4" w:space="0" w:color="auto"/>
              <w:bottom w:val="single" w:sz="12" w:space="0" w:color="auto"/>
            </w:tcBorders>
          </w:tcPr>
          <w:p w:rsidR="00A14420" w:rsidRPr="00DB58B5" w:rsidRDefault="00A14420" w:rsidP="00DF5712">
            <w:pPr>
              <w:spacing w:before="120"/>
              <w:jc w:val="center"/>
            </w:pPr>
            <w:r>
              <w:rPr>
                <w:noProof/>
                <w:lang w:eastAsia="fr-CH"/>
              </w:rPr>
              <w:drawing>
                <wp:inline distT="0" distB="0" distL="0" distR="0" wp14:anchorId="416C91A0" wp14:editId="7D1B6E4E">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14420" w:rsidRPr="00740562" w:rsidRDefault="00A14420" w:rsidP="00DF5712">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A14420" w:rsidRDefault="00946643" w:rsidP="00DF5712">
            <w:pPr>
              <w:spacing w:before="240"/>
            </w:pPr>
            <w:r>
              <w:t>Distr. générale</w:t>
            </w:r>
          </w:p>
          <w:p w:rsidR="00946643" w:rsidRDefault="00946643" w:rsidP="00946643">
            <w:pPr>
              <w:spacing w:line="240" w:lineRule="exact"/>
            </w:pPr>
            <w:r>
              <w:t>10 juillet 2017</w:t>
            </w:r>
          </w:p>
          <w:p w:rsidR="00946643" w:rsidRDefault="00946643" w:rsidP="00946643">
            <w:pPr>
              <w:spacing w:line="240" w:lineRule="exact"/>
            </w:pPr>
            <w:r>
              <w:t>Français</w:t>
            </w:r>
          </w:p>
          <w:p w:rsidR="00946643" w:rsidRPr="00DB58B5" w:rsidRDefault="00946643" w:rsidP="00E92AA7">
            <w:pPr>
              <w:spacing w:line="240" w:lineRule="exact"/>
            </w:pPr>
            <w:r>
              <w:t>Original</w:t>
            </w:r>
            <w:r w:rsidR="00E92AA7">
              <w:t> </w:t>
            </w:r>
            <w:r>
              <w:t>: anglais</w:t>
            </w:r>
          </w:p>
        </w:tc>
      </w:tr>
    </w:tbl>
    <w:p w:rsidR="00C554CE" w:rsidRDefault="00C554CE" w:rsidP="00C554CE">
      <w:pPr>
        <w:spacing w:before="120"/>
        <w:rPr>
          <w:b/>
          <w:sz w:val="28"/>
          <w:szCs w:val="28"/>
        </w:rPr>
      </w:pPr>
      <w:r w:rsidRPr="000312C0">
        <w:rPr>
          <w:b/>
          <w:sz w:val="28"/>
          <w:szCs w:val="28"/>
        </w:rPr>
        <w:t>Commission économique pour l’Europe</w:t>
      </w:r>
    </w:p>
    <w:p w:rsidR="00946643" w:rsidRPr="00C554CE" w:rsidRDefault="00946643" w:rsidP="00C554CE">
      <w:pPr>
        <w:spacing w:before="120"/>
        <w:rPr>
          <w:sz w:val="28"/>
          <w:szCs w:val="28"/>
          <w:lang w:val="fr-FR"/>
        </w:rPr>
      </w:pPr>
      <w:r w:rsidRPr="00C554CE">
        <w:rPr>
          <w:sz w:val="28"/>
          <w:szCs w:val="28"/>
          <w:lang w:val="fr-FR"/>
        </w:rPr>
        <w:t>Réunion des Parties à la Convention sur</w:t>
      </w:r>
      <w:r>
        <w:rPr>
          <w:sz w:val="28"/>
          <w:szCs w:val="28"/>
          <w:lang w:val="fr-FR"/>
        </w:rPr>
        <w:t xml:space="preserve"> l’accès</w:t>
      </w:r>
      <w:r w:rsidRPr="00C554CE">
        <w:rPr>
          <w:sz w:val="28"/>
          <w:szCs w:val="28"/>
          <w:lang w:val="fr-FR"/>
        </w:rPr>
        <w:br/>
      </w:r>
      <w:r>
        <w:rPr>
          <w:sz w:val="28"/>
          <w:szCs w:val="28"/>
          <w:lang w:val="fr-FR"/>
        </w:rPr>
        <w:t>à l’information, la participation du public</w:t>
      </w:r>
      <w:r w:rsidR="008D3C8F">
        <w:rPr>
          <w:sz w:val="28"/>
          <w:szCs w:val="28"/>
          <w:lang w:val="fr-FR"/>
        </w:rPr>
        <w:t xml:space="preserve"> </w:t>
      </w:r>
      <w:r>
        <w:rPr>
          <w:sz w:val="28"/>
          <w:szCs w:val="28"/>
          <w:lang w:val="fr-FR"/>
        </w:rPr>
        <w:t xml:space="preserve">au </w:t>
      </w:r>
      <w:r w:rsidR="008D3C8F" w:rsidRPr="00C554CE">
        <w:rPr>
          <w:sz w:val="28"/>
          <w:szCs w:val="28"/>
          <w:lang w:val="fr-FR"/>
        </w:rPr>
        <w:br/>
      </w:r>
      <w:r>
        <w:rPr>
          <w:sz w:val="28"/>
          <w:szCs w:val="28"/>
          <w:lang w:val="fr-FR"/>
        </w:rPr>
        <w:t>processus décisionnel et l’accès à la justice</w:t>
      </w:r>
      <w:r>
        <w:rPr>
          <w:sz w:val="28"/>
          <w:szCs w:val="28"/>
          <w:lang w:val="fr-FR"/>
        </w:rPr>
        <w:br/>
        <w:t>en matière d’environnement</w:t>
      </w:r>
    </w:p>
    <w:p w:rsidR="00946643" w:rsidRPr="008D3C8F" w:rsidRDefault="00946643" w:rsidP="008D3C8F">
      <w:pPr>
        <w:spacing w:before="120"/>
        <w:rPr>
          <w:b/>
        </w:rPr>
      </w:pPr>
      <w:r w:rsidRPr="008D3C8F">
        <w:rPr>
          <w:b/>
        </w:rPr>
        <w:t>Sixième session</w:t>
      </w:r>
    </w:p>
    <w:p w:rsidR="00946643" w:rsidRPr="0012651A" w:rsidRDefault="00946643" w:rsidP="008D3C8F">
      <w:pPr>
        <w:rPr>
          <w:rFonts w:eastAsia="Times New Roman"/>
          <w:szCs w:val="24"/>
        </w:rPr>
      </w:pPr>
      <w:r w:rsidRPr="0012651A">
        <w:rPr>
          <w:rFonts w:eastAsia="Times New Roman"/>
          <w:szCs w:val="24"/>
          <w:lang w:val="fr-FR"/>
        </w:rPr>
        <w:t>Budva (Monténégro), 11-13 septembre 2017</w:t>
      </w:r>
      <w:bookmarkStart w:id="0" w:name="_GoBack"/>
      <w:bookmarkEnd w:id="0"/>
    </w:p>
    <w:p w:rsidR="00946643" w:rsidRPr="0012651A" w:rsidRDefault="00946643" w:rsidP="008D3C8F">
      <w:pPr>
        <w:rPr>
          <w:rFonts w:eastAsia="Times New Roman"/>
          <w:szCs w:val="24"/>
        </w:rPr>
      </w:pPr>
      <w:r w:rsidRPr="0012651A">
        <w:rPr>
          <w:rFonts w:eastAsia="Times New Roman"/>
          <w:szCs w:val="24"/>
          <w:lang w:val="fr-FR"/>
        </w:rPr>
        <w:t>Point 7 b) de l’ordre du jour provisoire</w:t>
      </w:r>
    </w:p>
    <w:p w:rsidR="00946643" w:rsidRPr="008D3C8F" w:rsidRDefault="00946643" w:rsidP="008D3C8F">
      <w:pPr>
        <w:rPr>
          <w:rFonts w:eastAsia="Times New Roman"/>
          <w:b/>
          <w:szCs w:val="24"/>
        </w:rPr>
      </w:pPr>
      <w:r w:rsidRPr="008D3C8F">
        <w:rPr>
          <w:rFonts w:eastAsia="Times New Roman"/>
          <w:b/>
          <w:szCs w:val="24"/>
          <w:lang w:val="fr-FR"/>
        </w:rPr>
        <w:t xml:space="preserve">Procédures et mécanismes facilitant l’application </w:t>
      </w:r>
      <w:r w:rsidR="008D3C8F" w:rsidRPr="008D3C8F">
        <w:rPr>
          <w:rFonts w:eastAsia="Times New Roman"/>
          <w:b/>
          <w:szCs w:val="24"/>
          <w:lang w:val="fr-FR"/>
        </w:rPr>
        <w:br/>
      </w:r>
      <w:r w:rsidRPr="008D3C8F">
        <w:rPr>
          <w:rFonts w:eastAsia="Times New Roman"/>
          <w:b/>
          <w:szCs w:val="24"/>
          <w:lang w:val="fr-FR"/>
        </w:rPr>
        <w:t xml:space="preserve">de la Convention : mécanisme d’examen </w:t>
      </w:r>
      <w:r w:rsidR="008D3C8F" w:rsidRPr="008D3C8F">
        <w:rPr>
          <w:rFonts w:eastAsia="Times New Roman"/>
          <w:b/>
          <w:szCs w:val="24"/>
          <w:lang w:val="fr-FR"/>
        </w:rPr>
        <w:br/>
      </w:r>
      <w:r w:rsidRPr="008D3C8F">
        <w:rPr>
          <w:rFonts w:eastAsia="Times New Roman"/>
          <w:b/>
          <w:szCs w:val="24"/>
          <w:lang w:val="fr-FR"/>
        </w:rPr>
        <w:t>du respect des dispositions</w:t>
      </w:r>
    </w:p>
    <w:p w:rsidR="00946643" w:rsidRPr="0012651A" w:rsidRDefault="00946643" w:rsidP="008D3C8F">
      <w:pPr>
        <w:pStyle w:val="HChG"/>
      </w:pPr>
      <w:r w:rsidRPr="0012651A">
        <w:rPr>
          <w:lang w:val="fr-FR"/>
        </w:rPr>
        <w:tab/>
      </w:r>
      <w:r w:rsidRPr="0012651A">
        <w:rPr>
          <w:lang w:val="fr-FR"/>
        </w:rPr>
        <w:tab/>
      </w:r>
      <w:r w:rsidRPr="008D3C8F">
        <w:rPr>
          <w:spacing w:val="-2"/>
          <w:lang w:val="fr-FR"/>
        </w:rPr>
        <w:t xml:space="preserve">Projet de décision VI/8h concernant </w:t>
      </w:r>
      <w:r w:rsidR="008D3C8F">
        <w:rPr>
          <w:spacing w:val="-2"/>
          <w:lang w:val="fr-FR"/>
        </w:rPr>
        <w:t>le respect par</w:t>
      </w:r>
      <w:r w:rsidR="008D3C8F" w:rsidRPr="008D3C8F">
        <w:rPr>
          <w:spacing w:val="-2"/>
          <w:lang w:val="fr-FR"/>
        </w:rPr>
        <w:br/>
      </w:r>
      <w:r w:rsidRPr="008D3C8F">
        <w:rPr>
          <w:spacing w:val="2"/>
          <w:lang w:val="fr-FR"/>
        </w:rPr>
        <w:t>la Roumanie</w:t>
      </w:r>
      <w:r w:rsidR="008D3C8F" w:rsidRPr="008D3C8F">
        <w:rPr>
          <w:spacing w:val="2"/>
          <w:lang w:val="fr-FR"/>
        </w:rPr>
        <w:t xml:space="preserve"> </w:t>
      </w:r>
      <w:r w:rsidRPr="008D3C8F">
        <w:rPr>
          <w:spacing w:val="2"/>
          <w:lang w:val="fr-FR"/>
        </w:rPr>
        <w:t xml:space="preserve">des obligations qui lui incombent </w:t>
      </w:r>
      <w:r w:rsidR="008D3C8F" w:rsidRPr="008D3C8F">
        <w:rPr>
          <w:spacing w:val="2"/>
          <w:lang w:val="fr-FR"/>
        </w:rPr>
        <w:br/>
      </w:r>
      <w:r w:rsidRPr="0012651A">
        <w:rPr>
          <w:lang w:val="fr-FR"/>
        </w:rPr>
        <w:t>en vertu de la Convention</w:t>
      </w:r>
    </w:p>
    <w:p w:rsidR="00946643" w:rsidRDefault="00946643" w:rsidP="008D3C8F">
      <w:pPr>
        <w:pStyle w:val="H1G"/>
        <w:rPr>
          <w:lang w:val="fr-FR"/>
        </w:rPr>
      </w:pPr>
      <w:r w:rsidRPr="0012651A">
        <w:rPr>
          <w:lang w:val="fr-FR"/>
        </w:rPr>
        <w:tab/>
      </w:r>
      <w:r w:rsidRPr="0012651A">
        <w:rPr>
          <w:lang w:val="fr-FR"/>
        </w:rPr>
        <w:tab/>
        <w:t>Document établi par le Bureau</w:t>
      </w:r>
    </w:p>
    <w:p w:rsidR="00E96BD6" w:rsidRDefault="00946643" w:rsidP="008D3C8F">
      <w:pPr>
        <w:spacing w:after="120"/>
        <w:ind w:left="1134" w:right="1134" w:firstLine="567"/>
        <w:rPr>
          <w:rFonts w:eastAsia="Times New Roman"/>
          <w:szCs w:val="24"/>
          <w:lang w:val="fr-FR"/>
        </w:rPr>
      </w:pPr>
      <w:r w:rsidRPr="0012651A">
        <w:rPr>
          <w:rFonts w:eastAsia="Times New Roman"/>
          <w:i/>
          <w:iCs/>
          <w:szCs w:val="24"/>
          <w:lang w:val="fr-FR"/>
        </w:rPr>
        <w:t>La Réunion des Parties</w:t>
      </w:r>
      <w:r w:rsidRPr="0012651A">
        <w:rPr>
          <w:rFonts w:eastAsia="Times New Roman"/>
          <w:szCs w:val="24"/>
          <w:lang w:val="fr-FR"/>
        </w:rPr>
        <w:t>,</w:t>
      </w:r>
    </w:p>
    <w:p w:rsidR="00946643" w:rsidRPr="00946643" w:rsidRDefault="00946643" w:rsidP="008D3C8F">
      <w:pPr>
        <w:pStyle w:val="SingleTxtG"/>
        <w:ind w:firstLine="567"/>
      </w:pPr>
      <w:r w:rsidRPr="00946643">
        <w:rPr>
          <w:i/>
          <w:lang w:val="fr-FR"/>
        </w:rPr>
        <w:t>Agissant</w:t>
      </w:r>
      <w:r w:rsidRPr="00946643">
        <w:rPr>
          <w:lang w:val="fr-FR"/>
        </w:rPr>
        <w:t xml:space="preserve"> en vertu du paragraphe 37 de l’annexe à sa décision I/7 sur l’examen du respect des dispositions (ECE/MP.PP/2/Add.8),</w:t>
      </w:r>
    </w:p>
    <w:p w:rsidR="00946643" w:rsidRPr="00946643" w:rsidRDefault="00946643" w:rsidP="008D3C8F">
      <w:pPr>
        <w:pStyle w:val="SingleTxtG"/>
        <w:ind w:firstLine="567"/>
      </w:pPr>
      <w:r w:rsidRPr="00946643">
        <w:rPr>
          <w:i/>
          <w:lang w:val="fr-FR"/>
        </w:rPr>
        <w:t>Ayant à l’esprit</w:t>
      </w:r>
      <w:r w:rsidRPr="00946643">
        <w:rPr>
          <w:lang w:val="fr-FR"/>
        </w:rPr>
        <w:t xml:space="preserve"> les conclusions et recommandations énoncées dans sa décision</w:t>
      </w:r>
      <w:r w:rsidR="00E92AA7">
        <w:rPr>
          <w:lang w:val="fr-FR"/>
        </w:rPr>
        <w:t xml:space="preserve"> </w:t>
      </w:r>
      <w:r w:rsidRPr="00946643">
        <w:rPr>
          <w:lang w:val="fr-FR"/>
        </w:rPr>
        <w:t>V/9j (voir ECE/MP.PP/2014/2/Add.1) concernant le respect par la Roumanie des dispositions de la Convention,</w:t>
      </w:r>
    </w:p>
    <w:p w:rsidR="00946643" w:rsidRPr="00946643" w:rsidRDefault="00946643" w:rsidP="008D3C8F">
      <w:pPr>
        <w:pStyle w:val="SingleTxtG"/>
        <w:ind w:firstLine="567"/>
      </w:pPr>
      <w:r w:rsidRPr="00946643">
        <w:rPr>
          <w:i/>
          <w:lang w:val="fr-FR"/>
        </w:rPr>
        <w:t>Prenant note</w:t>
      </w:r>
      <w:r w:rsidRPr="00946643">
        <w:rPr>
          <w:lang w:val="fr-FR"/>
        </w:rPr>
        <w:t xml:space="preserve"> du rapport sur la mise en œuvre de la décision</w:t>
      </w:r>
      <w:r w:rsidR="00E92AA7">
        <w:rPr>
          <w:lang w:val="fr-FR"/>
        </w:rPr>
        <w:t xml:space="preserve"> </w:t>
      </w:r>
      <w:r w:rsidRPr="00946643">
        <w:rPr>
          <w:lang w:val="fr-FR"/>
        </w:rPr>
        <w:t>V/9j sur le respect par la Roumanie des obligations qui lui incombent en vertu de la Convention (ECE/MP.PP/</w:t>
      </w:r>
      <w:r w:rsidR="00E92AA7">
        <w:rPr>
          <w:lang w:val="fr-FR"/>
        </w:rPr>
        <w:t xml:space="preserve"> </w:t>
      </w:r>
      <w:r w:rsidRPr="00946643">
        <w:rPr>
          <w:lang w:val="fr-FR"/>
        </w:rPr>
        <w:t>2017/42), présenté par le Comité d’examen du respect des dispositions créé en vertu de la Convention sur l’accès à l’information, la participation du public au processus décisionnel et l’accès à la justice en matière d’environnement, ainsi que des conclusions du Comité sur la communication ACCC/C/2012/69 (ECE/MP.PP/C.1/2015/10), relatives à l’accès à l’information et à la participation du public au processus décisionnel concernant le projet minier de Rosia Montana,</w:t>
      </w:r>
    </w:p>
    <w:p w:rsidR="00946643" w:rsidRPr="00946643" w:rsidRDefault="00946643" w:rsidP="008D3C8F">
      <w:pPr>
        <w:pStyle w:val="SingleTxtG"/>
        <w:ind w:firstLine="567"/>
      </w:pPr>
      <w:r w:rsidRPr="00946643">
        <w:rPr>
          <w:i/>
          <w:lang w:val="fr-FR"/>
        </w:rPr>
        <w:t>Encouragée</w:t>
      </w:r>
      <w:r w:rsidRPr="00946643">
        <w:rPr>
          <w:lang w:val="fr-FR"/>
        </w:rPr>
        <w:t xml:space="preserve"> par la volonté de la Roumanie d’examiner de façon constructive avec le Comité les problèmes soulevés par le respect des dispositions en question,</w:t>
      </w:r>
    </w:p>
    <w:p w:rsidR="00946643" w:rsidRPr="00946643" w:rsidDel="00A65485" w:rsidRDefault="00946643" w:rsidP="008D3C8F">
      <w:pPr>
        <w:pStyle w:val="SingleTxtG"/>
        <w:ind w:firstLine="567"/>
      </w:pPr>
      <w:r w:rsidRPr="00946643">
        <w:rPr>
          <w:lang w:val="fr-FR"/>
        </w:rPr>
        <w:t>1.</w:t>
      </w:r>
      <w:r w:rsidRPr="00946643">
        <w:rPr>
          <w:lang w:val="fr-FR"/>
        </w:rPr>
        <w:tab/>
      </w:r>
      <w:r w:rsidRPr="00946643">
        <w:rPr>
          <w:i/>
          <w:iCs/>
          <w:lang w:val="fr-FR"/>
        </w:rPr>
        <w:t>Fait sienne</w:t>
      </w:r>
      <w:r w:rsidRPr="00946643">
        <w:rPr>
          <w:lang w:val="fr-FR"/>
        </w:rPr>
        <w:t xml:space="preserve"> la conclusion du Comité concernant la décision</w:t>
      </w:r>
      <w:r w:rsidR="00E92AA7">
        <w:rPr>
          <w:lang w:val="fr-FR"/>
        </w:rPr>
        <w:t xml:space="preserve"> </w:t>
      </w:r>
      <w:r w:rsidRPr="00946643">
        <w:rPr>
          <w:lang w:val="fr-FR"/>
        </w:rPr>
        <w:t>V/9j, selon laquelle la Partie concernée n’a pas encore satisfait aux prescriptions de la décision en question, tout en se félicitant des premières mesures prises en ce sens par ladite Partie</w:t>
      </w:r>
      <w:r w:rsidR="00E92AA7">
        <w:rPr>
          <w:lang w:val="fr-FR"/>
        </w:rPr>
        <w:t> </w:t>
      </w:r>
      <w:r w:rsidRPr="00946643">
        <w:rPr>
          <w:lang w:val="fr-FR"/>
        </w:rPr>
        <w:t>;</w:t>
      </w:r>
    </w:p>
    <w:p w:rsidR="00946643" w:rsidRPr="00946643" w:rsidRDefault="00946643" w:rsidP="00E92AA7">
      <w:pPr>
        <w:pStyle w:val="SingleTxtG"/>
        <w:keepNext/>
        <w:ind w:firstLine="567"/>
      </w:pPr>
      <w:r w:rsidRPr="00946643">
        <w:rPr>
          <w:lang w:val="fr-FR"/>
        </w:rPr>
        <w:lastRenderedPageBreak/>
        <w:t>2.</w:t>
      </w:r>
      <w:r w:rsidRPr="00946643">
        <w:rPr>
          <w:lang w:val="fr-FR"/>
        </w:rPr>
        <w:tab/>
      </w:r>
      <w:r w:rsidRPr="00946643">
        <w:rPr>
          <w:i/>
          <w:iCs/>
          <w:lang w:val="fr-FR"/>
        </w:rPr>
        <w:t xml:space="preserve">Réaffirme </w:t>
      </w:r>
      <w:r w:rsidRPr="00946643">
        <w:rPr>
          <w:lang w:val="fr-FR"/>
        </w:rPr>
        <w:t>sa décision V/9j et demande à la Partie concernée :</w:t>
      </w:r>
    </w:p>
    <w:p w:rsidR="00946643" w:rsidRPr="00946643" w:rsidRDefault="00946643" w:rsidP="008D3C8F">
      <w:pPr>
        <w:pStyle w:val="SingleTxtG"/>
        <w:ind w:firstLine="567"/>
      </w:pPr>
      <w:r w:rsidRPr="00946643">
        <w:rPr>
          <w:lang w:val="fr-FR"/>
        </w:rPr>
        <w:t>a)</w:t>
      </w:r>
      <w:r w:rsidRPr="00946643">
        <w:rPr>
          <w:lang w:val="fr-FR"/>
        </w:rPr>
        <w:tab/>
        <w:t>De prendre les mesures législatives, réglementaires, administratives ou concrètes nécessaires pour faire en sorte que les fonctionnaires :</w:t>
      </w:r>
    </w:p>
    <w:p w:rsidR="00946643" w:rsidRPr="00946643" w:rsidRDefault="00946643" w:rsidP="008D3C8F">
      <w:pPr>
        <w:pStyle w:val="SingleTxtG"/>
        <w:ind w:left="1701"/>
      </w:pPr>
      <w:r w:rsidRPr="00946643">
        <w:rPr>
          <w:lang w:val="fr-FR"/>
        </w:rPr>
        <w:t>i)</w:t>
      </w:r>
      <w:r w:rsidRPr="00946643">
        <w:rPr>
          <w:lang w:val="fr-FR"/>
        </w:rPr>
        <w:tab/>
        <w:t>Répondent aux demandes d’accès à des informations en matière d’environnement présentées par des particuliers dès que possible, et au plus tard dans un délai d’un mois après que la demande a été présentée, et, en cas de refus, indiquent les motifs du refus</w:t>
      </w:r>
      <w:r w:rsidR="008D3C8F">
        <w:rPr>
          <w:lang w:val="fr-FR"/>
        </w:rPr>
        <w:t> ;</w:t>
      </w:r>
    </w:p>
    <w:p w:rsidR="00946643" w:rsidRPr="00946643" w:rsidRDefault="00946643" w:rsidP="008D3C8F">
      <w:pPr>
        <w:pStyle w:val="SingleTxtG"/>
        <w:ind w:left="1701"/>
      </w:pPr>
      <w:r w:rsidRPr="00946643">
        <w:rPr>
          <w:lang w:val="fr-FR"/>
        </w:rPr>
        <w:t>ii)</w:t>
      </w:r>
      <w:r w:rsidRPr="00946643">
        <w:rPr>
          <w:lang w:val="fr-FR"/>
        </w:rPr>
        <w:tab/>
        <w:t>Interprètent les motifs de refus de l’accès à des informations en matière d’environnement de manière restrictive, compte tenu de l’intérêt que la divulgation des informations demandées présenterait pour le public et, en énonçant les motifs du refus, indiquent comment l’intérêt du public à la divulgation a été pris en compte</w:t>
      </w:r>
      <w:r w:rsidR="008D3C8F">
        <w:rPr>
          <w:lang w:val="fr-FR"/>
        </w:rPr>
        <w:t> </w:t>
      </w:r>
      <w:r w:rsidRPr="00946643">
        <w:rPr>
          <w:lang w:val="fr-FR"/>
        </w:rPr>
        <w:t>;</w:t>
      </w:r>
    </w:p>
    <w:p w:rsidR="00946643" w:rsidRPr="00946643" w:rsidRDefault="00946643" w:rsidP="008D3C8F">
      <w:pPr>
        <w:pStyle w:val="SingleTxtG"/>
        <w:ind w:left="1701"/>
      </w:pPr>
      <w:r w:rsidRPr="00946643">
        <w:rPr>
          <w:lang w:val="fr-FR"/>
        </w:rPr>
        <w:t>iii)</w:t>
      </w:r>
      <w:r w:rsidRPr="00946643">
        <w:rPr>
          <w:lang w:val="fr-FR"/>
        </w:rPr>
        <w:tab/>
        <w:t>Prévoient des délais raisonnables, adaptés à la nature et à la complexité du document, afin que le public puisse prendre connaissance des projets de documents de stratégie assujettis à la Convention et soumettre ses observations</w:t>
      </w:r>
      <w:r w:rsidR="008D3C8F">
        <w:rPr>
          <w:lang w:val="fr-FR"/>
        </w:rPr>
        <w:t> </w:t>
      </w:r>
      <w:r w:rsidRPr="00946643">
        <w:rPr>
          <w:lang w:val="fr-FR"/>
        </w:rPr>
        <w:t>;</w:t>
      </w:r>
    </w:p>
    <w:p w:rsidR="00946643" w:rsidRPr="00946643" w:rsidRDefault="00946643" w:rsidP="008D3C8F">
      <w:pPr>
        <w:pStyle w:val="SingleTxtG"/>
        <w:ind w:firstLine="567"/>
      </w:pPr>
      <w:r w:rsidRPr="00946643">
        <w:rPr>
          <w:lang w:val="fr-FR"/>
        </w:rPr>
        <w:t>b)</w:t>
      </w:r>
      <w:r w:rsidRPr="00946643">
        <w:rPr>
          <w:lang w:val="fr-FR"/>
        </w:rPr>
        <w:tab/>
        <w:t>De fournir des informations et une formation adéquates aux autorités publiques concernant les obligations décrites ci-dessus</w:t>
      </w:r>
      <w:r w:rsidR="008D3C8F">
        <w:rPr>
          <w:lang w:val="fr-FR"/>
        </w:rPr>
        <w:t> </w:t>
      </w:r>
      <w:r w:rsidRPr="00946643">
        <w:rPr>
          <w:lang w:val="fr-FR"/>
        </w:rPr>
        <w:t>;</w:t>
      </w:r>
    </w:p>
    <w:p w:rsidR="00946643" w:rsidRPr="00946643" w:rsidRDefault="00946643" w:rsidP="008D3C8F">
      <w:pPr>
        <w:pStyle w:val="SingleTxtG"/>
        <w:ind w:firstLine="567"/>
      </w:pPr>
      <w:r w:rsidRPr="00946643">
        <w:rPr>
          <w:lang w:val="fr-FR"/>
        </w:rPr>
        <w:t>3.</w:t>
      </w:r>
      <w:r w:rsidRPr="00946643">
        <w:rPr>
          <w:lang w:val="fr-FR"/>
        </w:rPr>
        <w:tab/>
      </w:r>
      <w:r w:rsidRPr="00946643">
        <w:rPr>
          <w:i/>
          <w:iCs/>
          <w:lang w:val="fr-FR"/>
        </w:rPr>
        <w:t xml:space="preserve">Demande </w:t>
      </w:r>
      <w:r w:rsidRPr="00946643">
        <w:rPr>
          <w:lang w:val="fr-FR"/>
        </w:rPr>
        <w:t>à la Partie concernée, au vu de la lenteur des progrès accomplis à ce jour, de prendre d’urgence des mesures pour donner pleinement suite aux recommandations ci-dessus</w:t>
      </w:r>
      <w:r w:rsidR="00E92AA7">
        <w:rPr>
          <w:lang w:val="fr-FR"/>
        </w:rPr>
        <w:t> </w:t>
      </w:r>
      <w:r w:rsidRPr="00946643">
        <w:rPr>
          <w:lang w:val="fr-FR"/>
        </w:rPr>
        <w:t>;</w:t>
      </w:r>
    </w:p>
    <w:p w:rsidR="00946643" w:rsidRPr="00946643" w:rsidRDefault="00946643" w:rsidP="008D3C8F">
      <w:pPr>
        <w:pStyle w:val="SingleTxtG"/>
        <w:ind w:firstLine="567"/>
      </w:pPr>
      <w:r w:rsidRPr="00946643">
        <w:rPr>
          <w:lang w:val="fr-FR"/>
        </w:rPr>
        <w:t>4.</w:t>
      </w:r>
      <w:r w:rsidRPr="00946643">
        <w:rPr>
          <w:lang w:val="fr-FR"/>
        </w:rPr>
        <w:tab/>
      </w:r>
      <w:r w:rsidRPr="00946643">
        <w:rPr>
          <w:i/>
          <w:iCs/>
          <w:lang w:val="fr-FR"/>
        </w:rPr>
        <w:t>Fait siennes</w:t>
      </w:r>
      <w:r w:rsidRPr="00946643">
        <w:rPr>
          <w:lang w:val="fr-FR"/>
        </w:rPr>
        <w:t xml:space="preserve"> les conclusions du Comité ci-après concernant la communication</w:t>
      </w:r>
      <w:r w:rsidR="00E92AA7">
        <w:rPr>
          <w:lang w:val="fr-FR"/>
        </w:rPr>
        <w:t xml:space="preserve"> </w:t>
      </w:r>
      <w:r w:rsidRPr="00946643">
        <w:rPr>
          <w:lang w:val="fr-FR"/>
        </w:rPr>
        <w:t>ACCC/C/2012/69 :</w:t>
      </w:r>
    </w:p>
    <w:p w:rsidR="00946643" w:rsidRPr="00946643" w:rsidRDefault="00946643" w:rsidP="008D3C8F">
      <w:pPr>
        <w:pStyle w:val="SingleTxtG"/>
        <w:ind w:firstLine="567"/>
      </w:pPr>
      <w:r w:rsidRPr="00946643">
        <w:rPr>
          <w:lang w:val="fr-FR"/>
        </w:rPr>
        <w:t>a)</w:t>
      </w:r>
      <w:r w:rsidRPr="00946643">
        <w:rPr>
          <w:lang w:val="fr-FR"/>
        </w:rPr>
        <w:tab/>
        <w:t>La Partie concernée n’a pas respecté les paragraphes</w:t>
      </w:r>
      <w:r w:rsidR="008D3C8F">
        <w:rPr>
          <w:lang w:val="fr-FR"/>
        </w:rPr>
        <w:t xml:space="preserve"> </w:t>
      </w:r>
      <w:r w:rsidRPr="00946643">
        <w:rPr>
          <w:lang w:val="fr-FR"/>
        </w:rPr>
        <w:t>1 et 2 de l’article</w:t>
      </w:r>
      <w:r w:rsidR="008D3C8F">
        <w:rPr>
          <w:lang w:val="fr-FR"/>
        </w:rPr>
        <w:t xml:space="preserve"> </w:t>
      </w:r>
      <w:r w:rsidRPr="00946643">
        <w:rPr>
          <w:lang w:val="fr-FR"/>
        </w:rPr>
        <w:t>4 de la Convention à deux égards, à savoir en omettant de fournir aux auteurs de la communication une copie physique ou électronique de l’étude archéologique demandée et en leur refusant l’accès à celle-ci pour des raisons de droits de propriété intellectuelle</w:t>
      </w:r>
      <w:r w:rsidR="008D3C8F">
        <w:rPr>
          <w:lang w:val="fr-FR"/>
        </w:rPr>
        <w:t> </w:t>
      </w:r>
      <w:r w:rsidRPr="00946643">
        <w:rPr>
          <w:lang w:val="fr-FR"/>
        </w:rPr>
        <w:t>;</w:t>
      </w:r>
    </w:p>
    <w:p w:rsidR="00946643" w:rsidRPr="00946643" w:rsidRDefault="00946643" w:rsidP="008D3C8F">
      <w:pPr>
        <w:pStyle w:val="SingleTxtG"/>
        <w:ind w:firstLine="567"/>
      </w:pPr>
      <w:r w:rsidRPr="00946643">
        <w:rPr>
          <w:lang w:val="fr-FR"/>
        </w:rPr>
        <w:t>b)</w:t>
      </w:r>
      <w:r w:rsidRPr="00946643">
        <w:rPr>
          <w:lang w:val="fr-FR"/>
        </w:rPr>
        <w:tab/>
        <w:t xml:space="preserve">Du fait qu’elle n’a pas fourni les informations demandées sur les activités extractives, ou retiré les parties </w:t>
      </w:r>
      <w:r w:rsidRPr="00E92AA7">
        <w:rPr>
          <w:spacing w:val="-2"/>
          <w:lang w:val="fr-FR"/>
        </w:rPr>
        <w:t>entrant dans le champ des exceptions visées au para</w:t>
      </w:r>
      <w:r w:rsidRPr="00946643">
        <w:rPr>
          <w:lang w:val="fr-FR"/>
        </w:rPr>
        <w:t>graphe 4 de l’article 4 et divulgué le reste des informations, la Partie concernée est en situation de non-respect des paragraphes 1 et 2 de l’article</w:t>
      </w:r>
      <w:r w:rsidR="00E92AA7">
        <w:rPr>
          <w:lang w:val="fr-FR"/>
        </w:rPr>
        <w:t xml:space="preserve"> </w:t>
      </w:r>
      <w:r w:rsidRPr="00946643">
        <w:rPr>
          <w:lang w:val="fr-FR"/>
        </w:rPr>
        <w:t>4 de la Convention</w:t>
      </w:r>
      <w:r w:rsidR="008D3C8F">
        <w:rPr>
          <w:lang w:val="fr-FR"/>
        </w:rPr>
        <w:t> </w:t>
      </w:r>
      <w:r w:rsidRPr="00946643">
        <w:rPr>
          <w:lang w:val="fr-FR"/>
        </w:rPr>
        <w:t>;</w:t>
      </w:r>
    </w:p>
    <w:p w:rsidR="00946643" w:rsidRPr="00946643" w:rsidRDefault="00946643" w:rsidP="008D3C8F">
      <w:pPr>
        <w:pStyle w:val="SingleTxtG"/>
        <w:ind w:firstLine="567"/>
      </w:pPr>
      <w:r w:rsidRPr="00946643">
        <w:rPr>
          <w:lang w:val="fr-FR"/>
        </w:rPr>
        <w:t>c)</w:t>
      </w:r>
      <w:r w:rsidRPr="00946643">
        <w:rPr>
          <w:lang w:val="fr-FR"/>
        </w:rPr>
        <w:tab/>
        <w:t>Faute d’avoir veillé à ce que la partie non confidentielle des informations soit communiquée, la Partie concernée ne s’est pas conformée pas au paragraphe</w:t>
      </w:r>
      <w:r w:rsidR="008D3C8F">
        <w:rPr>
          <w:lang w:val="fr-FR"/>
        </w:rPr>
        <w:t> </w:t>
      </w:r>
      <w:r w:rsidRPr="00946643">
        <w:rPr>
          <w:lang w:val="fr-FR"/>
        </w:rPr>
        <w:t>6 de l’article 4 de la Convention</w:t>
      </w:r>
      <w:r w:rsidR="008D3C8F">
        <w:rPr>
          <w:lang w:val="fr-FR"/>
        </w:rPr>
        <w:t> </w:t>
      </w:r>
      <w:r w:rsidRPr="00946643">
        <w:rPr>
          <w:lang w:val="fr-FR"/>
        </w:rPr>
        <w:t>;</w:t>
      </w:r>
    </w:p>
    <w:p w:rsidR="00946643" w:rsidRPr="00946643" w:rsidRDefault="00946643" w:rsidP="008D3C8F">
      <w:pPr>
        <w:pStyle w:val="SingleTxtG"/>
        <w:ind w:firstLine="567"/>
      </w:pPr>
      <w:r w:rsidRPr="00946643">
        <w:rPr>
          <w:lang w:val="fr-FR"/>
        </w:rPr>
        <w:t>d)</w:t>
      </w:r>
      <w:r w:rsidRPr="00946643">
        <w:rPr>
          <w:lang w:val="fr-FR"/>
        </w:rPr>
        <w:tab/>
        <w:t>En n’exposant pas les motifs de rejet de la demande d’informations concernant l’exploitation minière en 2010, la Partie concernée a manqué à ses obligations au titre du paragraphe 7 de l’article</w:t>
      </w:r>
      <w:r w:rsidR="008D3C8F">
        <w:rPr>
          <w:lang w:val="fr-FR"/>
        </w:rPr>
        <w:t xml:space="preserve"> </w:t>
      </w:r>
      <w:r w:rsidRPr="00946643">
        <w:rPr>
          <w:lang w:val="fr-FR"/>
        </w:rPr>
        <w:t>4 de la Convention</w:t>
      </w:r>
      <w:r w:rsidR="008D3C8F">
        <w:rPr>
          <w:lang w:val="fr-FR"/>
        </w:rPr>
        <w:t> </w:t>
      </w:r>
      <w:r w:rsidRPr="00946643">
        <w:rPr>
          <w:lang w:val="fr-FR"/>
        </w:rPr>
        <w:t>;</w:t>
      </w:r>
    </w:p>
    <w:p w:rsidR="00946643" w:rsidRPr="00946643" w:rsidRDefault="00946643" w:rsidP="008D3C8F">
      <w:pPr>
        <w:pStyle w:val="SingleTxtG"/>
        <w:ind w:firstLine="567"/>
      </w:pPr>
      <w:r w:rsidRPr="00946643">
        <w:rPr>
          <w:lang w:val="fr-FR"/>
        </w:rPr>
        <w:t>e)</w:t>
      </w:r>
      <w:r w:rsidRPr="00946643">
        <w:rPr>
          <w:lang w:val="fr-FR"/>
        </w:rPr>
        <w:tab/>
        <w:t>En ne faisant pas participer le public à la procédure de délivrance de l’attestation de libération du terrain (le « certificat de décharge archéologique »), la Partie concernée ne s’est pas conformée aux paragraphes</w:t>
      </w:r>
      <w:r w:rsidR="008D3C8F">
        <w:rPr>
          <w:lang w:val="fr-FR"/>
        </w:rPr>
        <w:t xml:space="preserve"> </w:t>
      </w:r>
      <w:r w:rsidRPr="00946643">
        <w:rPr>
          <w:lang w:val="fr-FR"/>
        </w:rPr>
        <w:t>3 et 7 de l’article 6 de la Convention</w:t>
      </w:r>
      <w:r w:rsidR="008D3C8F">
        <w:rPr>
          <w:lang w:val="fr-FR"/>
        </w:rPr>
        <w:t> </w:t>
      </w:r>
      <w:r w:rsidRPr="00946643">
        <w:rPr>
          <w:lang w:val="fr-FR"/>
        </w:rPr>
        <w:t>;</w:t>
      </w:r>
    </w:p>
    <w:p w:rsidR="00946643" w:rsidRPr="00946643" w:rsidRDefault="00946643" w:rsidP="008D3C8F">
      <w:pPr>
        <w:pStyle w:val="SingleTxtG"/>
        <w:ind w:firstLine="567"/>
      </w:pPr>
      <w:r w:rsidRPr="00946643">
        <w:rPr>
          <w:lang w:val="fr-FR"/>
        </w:rPr>
        <w:t>f)</w:t>
      </w:r>
      <w:r w:rsidRPr="00946643">
        <w:rPr>
          <w:lang w:val="fr-FR"/>
        </w:rPr>
        <w:tab/>
        <w:t>La Partie concernée n’a pas veillé à ce que les procédures d’examen des demandes d’informations visées au paragraphe 1 de l’article</w:t>
      </w:r>
      <w:r w:rsidR="008D3C8F">
        <w:rPr>
          <w:lang w:val="fr-FR"/>
        </w:rPr>
        <w:t xml:space="preserve"> </w:t>
      </w:r>
      <w:r w:rsidRPr="00946643">
        <w:rPr>
          <w:lang w:val="fr-FR"/>
        </w:rPr>
        <w:t>9 soient rapides et offrent un recours effectif conformément au paragraphe 4 de l’article</w:t>
      </w:r>
      <w:r w:rsidR="008D3C8F">
        <w:rPr>
          <w:lang w:val="fr-FR"/>
        </w:rPr>
        <w:t xml:space="preserve"> </w:t>
      </w:r>
      <w:r w:rsidRPr="00946643">
        <w:rPr>
          <w:lang w:val="fr-FR"/>
        </w:rPr>
        <w:t>9 de la Convention</w:t>
      </w:r>
      <w:r w:rsidR="008D3C8F">
        <w:rPr>
          <w:lang w:val="fr-FR"/>
        </w:rPr>
        <w:t> </w:t>
      </w:r>
      <w:r w:rsidRPr="00946643">
        <w:rPr>
          <w:lang w:val="fr-FR"/>
        </w:rPr>
        <w:t>;</w:t>
      </w:r>
    </w:p>
    <w:p w:rsidR="00946643" w:rsidRPr="00946643" w:rsidRDefault="00946643" w:rsidP="008D3C8F">
      <w:pPr>
        <w:pStyle w:val="SingleTxtG"/>
        <w:ind w:firstLine="567"/>
      </w:pPr>
      <w:r w:rsidRPr="00946643">
        <w:rPr>
          <w:lang w:val="fr-FR"/>
        </w:rPr>
        <w:t>5.</w:t>
      </w:r>
      <w:r w:rsidRPr="00946643">
        <w:rPr>
          <w:lang w:val="fr-FR"/>
        </w:rPr>
        <w:tab/>
      </w:r>
      <w:r w:rsidRPr="00E92AA7">
        <w:rPr>
          <w:i/>
          <w:iCs/>
          <w:spacing w:val="-2"/>
          <w:lang w:val="fr-FR"/>
        </w:rPr>
        <w:t>Accueille avec satisfaction</w:t>
      </w:r>
      <w:r w:rsidRPr="00E92AA7">
        <w:rPr>
          <w:spacing w:val="-2"/>
          <w:lang w:val="fr-FR"/>
        </w:rPr>
        <w:t xml:space="preserve"> la recommandation formulée par le Comité pendant </w:t>
      </w:r>
      <w:r w:rsidRPr="00946643">
        <w:rPr>
          <w:lang w:val="fr-FR"/>
        </w:rPr>
        <w:t>la période intersessions en ce qui concerne les conclusions relatives à la communication ACCC/C/2012/69 en application du paragraphe</w:t>
      </w:r>
      <w:r w:rsidR="00E92AA7">
        <w:rPr>
          <w:lang w:val="fr-FR"/>
        </w:rPr>
        <w:t xml:space="preserve"> </w:t>
      </w:r>
      <w:r w:rsidRPr="00946643">
        <w:rPr>
          <w:lang w:val="fr-FR"/>
        </w:rPr>
        <w:t>36 b) de l’annexe à la décision I/7</w:t>
      </w:r>
      <w:r w:rsidR="008D3C8F">
        <w:rPr>
          <w:lang w:val="fr-FR"/>
        </w:rPr>
        <w:t> </w:t>
      </w:r>
      <w:r w:rsidRPr="00946643">
        <w:rPr>
          <w:lang w:val="fr-FR"/>
        </w:rPr>
        <w:t>;</w:t>
      </w:r>
    </w:p>
    <w:p w:rsidR="00946643" w:rsidRPr="00946643" w:rsidRDefault="00946643" w:rsidP="008D3C8F">
      <w:pPr>
        <w:pStyle w:val="SingleTxtG"/>
        <w:ind w:firstLine="567"/>
      </w:pPr>
      <w:r w:rsidRPr="00946643">
        <w:rPr>
          <w:lang w:val="fr-FR"/>
        </w:rPr>
        <w:t>6.</w:t>
      </w:r>
      <w:r w:rsidRPr="00946643">
        <w:rPr>
          <w:lang w:val="fr-FR"/>
        </w:rPr>
        <w:tab/>
      </w:r>
      <w:r w:rsidRPr="00946643">
        <w:rPr>
          <w:i/>
          <w:iCs/>
          <w:lang w:val="fr-FR"/>
        </w:rPr>
        <w:t>Accueille également</w:t>
      </w:r>
      <w:r w:rsidRPr="00946643">
        <w:rPr>
          <w:lang w:val="fr-FR"/>
        </w:rPr>
        <w:t xml:space="preserve"> avec satisfaction la volonté de la Partie concernée d’accepter les recommandations du Comité, à savoir :</w:t>
      </w:r>
    </w:p>
    <w:p w:rsidR="00946643" w:rsidRPr="00946643" w:rsidRDefault="00946643" w:rsidP="008D3C8F">
      <w:pPr>
        <w:pStyle w:val="SingleTxtG"/>
        <w:ind w:firstLine="567"/>
      </w:pPr>
      <w:r w:rsidRPr="00946643">
        <w:rPr>
          <w:lang w:val="fr-FR"/>
        </w:rPr>
        <w:t>a)</w:t>
      </w:r>
      <w:r w:rsidRPr="00946643">
        <w:rPr>
          <w:lang w:val="fr-FR"/>
        </w:rPr>
        <w:tab/>
        <w:t>Adopter les mesures législatives, réglementaires ou administratives nécessaires et les dispositions pratiques voulues, selon qu’il conviendra, pour assurer la bonne mise en œuvre de la Convention en ce qui concerne :</w:t>
      </w:r>
    </w:p>
    <w:p w:rsidR="00946643" w:rsidRPr="00946643" w:rsidRDefault="00946643" w:rsidP="00E92AA7">
      <w:pPr>
        <w:pStyle w:val="SingleTxtG"/>
        <w:ind w:left="1701"/>
      </w:pPr>
      <w:r w:rsidRPr="00946643">
        <w:rPr>
          <w:lang w:val="fr-FR"/>
        </w:rPr>
        <w:t>i)</w:t>
      </w:r>
      <w:r w:rsidRPr="00946643">
        <w:rPr>
          <w:lang w:val="fr-FR"/>
        </w:rPr>
        <w:tab/>
        <w:t>Article 2, paragraphe 3 : la définition de l’expression « information(s) sur l’environnement »</w:t>
      </w:r>
      <w:r w:rsidR="008D3C8F">
        <w:rPr>
          <w:lang w:val="fr-FR"/>
        </w:rPr>
        <w:t> </w:t>
      </w:r>
      <w:r w:rsidRPr="00946643">
        <w:rPr>
          <w:lang w:val="fr-FR"/>
        </w:rPr>
        <w:t>;</w:t>
      </w:r>
    </w:p>
    <w:p w:rsidR="00946643" w:rsidRPr="00946643" w:rsidRDefault="00946643" w:rsidP="00E92AA7">
      <w:pPr>
        <w:pStyle w:val="SingleTxtG"/>
        <w:ind w:left="1701"/>
      </w:pPr>
      <w:r w:rsidRPr="00946643">
        <w:rPr>
          <w:lang w:val="fr-FR"/>
        </w:rPr>
        <w:lastRenderedPageBreak/>
        <w:t>ii)</w:t>
      </w:r>
      <w:r w:rsidRPr="00946643">
        <w:rPr>
          <w:lang w:val="fr-FR"/>
        </w:rPr>
        <w:tab/>
        <w:t>Article 4, paragraphe 4 : les motifs de rejet et la nécessité de les interpréter de manière restrictive compte tenu de l’intérêt que la divulgation des informations demandées présenterait pour le public</w:t>
      </w:r>
      <w:r w:rsidR="00E92AA7">
        <w:rPr>
          <w:lang w:val="fr-FR"/>
        </w:rPr>
        <w:t> </w:t>
      </w:r>
      <w:r w:rsidRPr="00946643">
        <w:rPr>
          <w:lang w:val="fr-FR"/>
        </w:rPr>
        <w:t>;</w:t>
      </w:r>
    </w:p>
    <w:p w:rsidR="00946643" w:rsidRPr="00946643" w:rsidRDefault="00946643" w:rsidP="00E92AA7">
      <w:pPr>
        <w:pStyle w:val="SingleTxtG"/>
        <w:ind w:left="1701"/>
      </w:pPr>
      <w:r w:rsidRPr="00946643">
        <w:rPr>
          <w:lang w:val="fr-FR"/>
        </w:rPr>
        <w:t>iii)</w:t>
      </w:r>
      <w:r w:rsidRPr="00946643">
        <w:rPr>
          <w:lang w:val="fr-FR"/>
        </w:rPr>
        <w:tab/>
        <w:t>Article 4, paragraphe 6 : l’obligation de séparer chaque fois que possible les informations confidentielles des autres informations demandées et de communiquer ces dernières</w:t>
      </w:r>
      <w:r w:rsidR="00E92AA7">
        <w:rPr>
          <w:lang w:val="fr-FR"/>
        </w:rPr>
        <w:t> </w:t>
      </w:r>
      <w:r w:rsidRPr="00946643">
        <w:rPr>
          <w:lang w:val="fr-FR"/>
        </w:rPr>
        <w:t>;</w:t>
      </w:r>
    </w:p>
    <w:p w:rsidR="00946643" w:rsidRPr="00946643" w:rsidRDefault="00946643" w:rsidP="00E92AA7">
      <w:pPr>
        <w:pStyle w:val="SingleTxtG"/>
        <w:ind w:left="1701"/>
      </w:pPr>
      <w:r w:rsidRPr="00946643">
        <w:rPr>
          <w:lang w:val="fr-FR"/>
        </w:rPr>
        <w:t>iv)</w:t>
      </w:r>
      <w:r w:rsidRPr="00946643">
        <w:rPr>
          <w:lang w:val="fr-FR"/>
        </w:rPr>
        <w:tab/>
        <w:t>Article 4, paragraphe 7 : l’obligation de présenter un exposé des motifs en cas de rejet d’une demande d’accès à l’information</w:t>
      </w:r>
      <w:r w:rsidR="00E92AA7">
        <w:rPr>
          <w:lang w:val="fr-FR"/>
        </w:rPr>
        <w:t> </w:t>
      </w:r>
      <w:r w:rsidRPr="00946643">
        <w:rPr>
          <w:lang w:val="fr-FR"/>
        </w:rPr>
        <w:t>;</w:t>
      </w:r>
    </w:p>
    <w:p w:rsidR="00946643" w:rsidRPr="00946643" w:rsidRDefault="00946643" w:rsidP="008D3C8F">
      <w:pPr>
        <w:pStyle w:val="SingleTxtG"/>
        <w:ind w:firstLine="567"/>
      </w:pPr>
      <w:r w:rsidRPr="00946643">
        <w:rPr>
          <w:lang w:val="fr-FR"/>
        </w:rPr>
        <w:t>b)</w:t>
      </w:r>
      <w:r w:rsidRPr="00946643">
        <w:rPr>
          <w:lang w:val="fr-FR"/>
        </w:rPr>
        <w:tab/>
        <w:t>Revoir son cadre juridique de façon à recenser les cas où des décisions d’autoriser des activités relevant de l’article 6 de la Convention sont rendues sans participation effective du public (art. 6, par. 3 et 7) et prendre les mesures législatives et réglementaires nécessaires pour qu’il soit dûment remédié à de telles situations</w:t>
      </w:r>
      <w:r w:rsidR="00E92AA7">
        <w:rPr>
          <w:lang w:val="fr-FR"/>
        </w:rPr>
        <w:t> </w:t>
      </w:r>
      <w:r w:rsidRPr="00946643">
        <w:rPr>
          <w:lang w:val="fr-FR"/>
        </w:rPr>
        <w:t>;</w:t>
      </w:r>
    </w:p>
    <w:p w:rsidR="00946643" w:rsidRPr="00946643" w:rsidRDefault="00946643" w:rsidP="008D3C8F">
      <w:pPr>
        <w:pStyle w:val="SingleTxtG"/>
        <w:ind w:firstLine="567"/>
      </w:pPr>
      <w:r w:rsidRPr="00946643">
        <w:rPr>
          <w:lang w:val="fr-FR"/>
        </w:rPr>
        <w:t>c)</w:t>
      </w:r>
      <w:r w:rsidRPr="00946643">
        <w:rPr>
          <w:lang w:val="fr-FR"/>
        </w:rPr>
        <w:tab/>
        <w:t>Revoir son cadre juridique et prendre les mesures législatives, réglementaires et administratives nécessaires pour veiller à ce que les procédures judiciaires ayant trait à l’accès à l’information sur l’environnement soient rapides et offrent des recours suffisants et effectifs</w:t>
      </w:r>
      <w:r w:rsidR="00E92AA7">
        <w:rPr>
          <w:lang w:val="fr-FR"/>
        </w:rPr>
        <w:t> </w:t>
      </w:r>
      <w:r w:rsidRPr="00946643">
        <w:rPr>
          <w:lang w:val="fr-FR"/>
        </w:rPr>
        <w:t>;</w:t>
      </w:r>
    </w:p>
    <w:p w:rsidR="00946643" w:rsidRPr="00946643" w:rsidRDefault="00946643" w:rsidP="008D3C8F">
      <w:pPr>
        <w:pStyle w:val="SingleTxtG"/>
        <w:ind w:firstLine="567"/>
      </w:pPr>
      <w:r w:rsidRPr="00946643">
        <w:rPr>
          <w:lang w:val="fr-FR"/>
        </w:rPr>
        <w:t>d)</w:t>
      </w:r>
      <w:r w:rsidRPr="00946643">
        <w:rPr>
          <w:lang w:val="fr-FR"/>
        </w:rPr>
        <w:tab/>
        <w:t>Prévoir des dispositions pratiques ou des mesures adéquates pour veiller à ce que les activités énumérées aux alinéas</w:t>
      </w:r>
      <w:r w:rsidR="00E92AA7">
        <w:rPr>
          <w:lang w:val="fr-FR"/>
        </w:rPr>
        <w:t xml:space="preserve"> </w:t>
      </w:r>
      <w:r w:rsidRPr="00946643">
        <w:rPr>
          <w:lang w:val="fr-FR"/>
        </w:rPr>
        <w:t>a), b) et c) ci</w:t>
      </w:r>
      <w:r w:rsidRPr="00946643">
        <w:rPr>
          <w:lang w:val="fr-FR"/>
        </w:rPr>
        <w:noBreakHyphen/>
        <w:t>dessus soient menées avec une large participation des autorités publiques et du public concerné</w:t>
      </w:r>
      <w:r w:rsidR="00E92AA7">
        <w:rPr>
          <w:lang w:val="fr-FR"/>
        </w:rPr>
        <w:t> </w:t>
      </w:r>
      <w:r w:rsidRPr="00946643">
        <w:rPr>
          <w:lang w:val="fr-FR"/>
        </w:rPr>
        <w:t>;</w:t>
      </w:r>
    </w:p>
    <w:p w:rsidR="00946643" w:rsidRPr="00946643" w:rsidRDefault="00946643" w:rsidP="008D3C8F">
      <w:pPr>
        <w:pStyle w:val="SingleTxtG"/>
        <w:ind w:firstLine="567"/>
      </w:pPr>
      <w:r w:rsidRPr="00946643">
        <w:rPr>
          <w:lang w:val="fr-FR"/>
        </w:rPr>
        <w:t>7.</w:t>
      </w:r>
      <w:r w:rsidRPr="00946643">
        <w:rPr>
          <w:lang w:val="fr-FR"/>
        </w:rPr>
        <w:tab/>
      </w:r>
      <w:r w:rsidRPr="00946643">
        <w:rPr>
          <w:i/>
          <w:iCs/>
          <w:lang w:val="fr-FR"/>
        </w:rPr>
        <w:t xml:space="preserve">Demande </w:t>
      </w:r>
      <w:r w:rsidRPr="00946643">
        <w:rPr>
          <w:lang w:val="fr-FR"/>
        </w:rPr>
        <w:t>à la Partie concernée :</w:t>
      </w:r>
    </w:p>
    <w:p w:rsidR="00946643" w:rsidRPr="00946643" w:rsidRDefault="00946643" w:rsidP="008D3C8F">
      <w:pPr>
        <w:pStyle w:val="SingleTxtG"/>
        <w:ind w:firstLine="567"/>
        <w:rPr>
          <w:lang w:val="fr-FR"/>
        </w:rPr>
      </w:pPr>
      <w:r w:rsidRPr="00946643">
        <w:rPr>
          <w:lang w:val="fr-FR"/>
        </w:rPr>
        <w:t>a)</w:t>
      </w:r>
      <w:r w:rsidRPr="00946643">
        <w:rPr>
          <w:lang w:val="fr-FR"/>
        </w:rPr>
        <w:tab/>
        <w:t>De présenter au Comité, les 1</w:t>
      </w:r>
      <w:r w:rsidRPr="00946643">
        <w:rPr>
          <w:vertAlign w:val="superscript"/>
          <w:lang w:val="fr-FR"/>
        </w:rPr>
        <w:t>er</w:t>
      </w:r>
      <w:r w:rsidR="00E92AA7">
        <w:rPr>
          <w:lang w:val="fr-FR"/>
        </w:rPr>
        <w:t> </w:t>
      </w:r>
      <w:r w:rsidRPr="00946643">
        <w:rPr>
          <w:lang w:val="fr-FR"/>
        </w:rPr>
        <w:t>octobre 2018, 1</w:t>
      </w:r>
      <w:r w:rsidRPr="00946643">
        <w:rPr>
          <w:vertAlign w:val="superscript"/>
          <w:lang w:val="fr-FR"/>
        </w:rPr>
        <w:t>er</w:t>
      </w:r>
      <w:r w:rsidR="00E92AA7">
        <w:rPr>
          <w:lang w:val="fr-FR"/>
        </w:rPr>
        <w:t> </w:t>
      </w:r>
      <w:r w:rsidRPr="00946643">
        <w:rPr>
          <w:lang w:val="fr-FR"/>
        </w:rPr>
        <w:t>octobre 2019 et 1</w:t>
      </w:r>
      <w:r w:rsidRPr="00946643">
        <w:rPr>
          <w:vertAlign w:val="superscript"/>
          <w:lang w:val="fr-FR"/>
        </w:rPr>
        <w:t>er</w:t>
      </w:r>
      <w:r w:rsidR="00E92AA7">
        <w:rPr>
          <w:lang w:val="fr-FR"/>
        </w:rPr>
        <w:t> </w:t>
      </w:r>
      <w:r w:rsidRPr="00946643">
        <w:rPr>
          <w:lang w:val="fr-FR"/>
        </w:rPr>
        <w:t>octobre 2020, des rapports d’activité détaillés sur les mesures prises et les résultats obtenus dans la mise en œuvre des recommandations ci-dessus</w:t>
      </w:r>
      <w:r w:rsidR="00E92AA7">
        <w:rPr>
          <w:lang w:val="fr-FR"/>
        </w:rPr>
        <w:t> </w:t>
      </w:r>
      <w:r w:rsidRPr="00946643">
        <w:rPr>
          <w:lang w:val="fr-FR"/>
        </w:rPr>
        <w:t>;</w:t>
      </w:r>
    </w:p>
    <w:p w:rsidR="00946643" w:rsidRPr="00946643" w:rsidRDefault="00946643" w:rsidP="008D3C8F">
      <w:pPr>
        <w:pStyle w:val="SingleTxtG"/>
        <w:ind w:firstLine="567"/>
      </w:pPr>
      <w:r w:rsidRPr="00946643">
        <w:rPr>
          <w:lang w:val="fr-FR"/>
        </w:rPr>
        <w:t>b)</w:t>
      </w:r>
      <w:r w:rsidRPr="00946643">
        <w:rPr>
          <w:lang w:val="fr-FR"/>
        </w:rPr>
        <w:tab/>
        <w:t>De fournir tout renseignement</w:t>
      </w:r>
      <w:r w:rsidR="00E92AA7">
        <w:rPr>
          <w:lang w:val="fr-FR"/>
        </w:rPr>
        <w:t xml:space="preserve"> </w:t>
      </w:r>
      <w:r w:rsidRPr="00946643">
        <w:rPr>
          <w:lang w:val="fr-FR"/>
        </w:rPr>
        <w:t>complémentaire que pourrait lui demander le Comité pour l’aider à examiner les progrès qu’elle aura accomplis dans la mise en œuvre des recommandations ci-dessus</w:t>
      </w:r>
      <w:r w:rsidR="00E92AA7">
        <w:rPr>
          <w:lang w:val="fr-FR"/>
        </w:rPr>
        <w:t> </w:t>
      </w:r>
      <w:r w:rsidRPr="00946643">
        <w:rPr>
          <w:lang w:val="fr-FR"/>
        </w:rPr>
        <w:t>;</w:t>
      </w:r>
    </w:p>
    <w:p w:rsidR="00946643" w:rsidRPr="00946643" w:rsidRDefault="00946643" w:rsidP="008D3C8F">
      <w:pPr>
        <w:pStyle w:val="SingleTxtG"/>
        <w:ind w:firstLine="567"/>
      </w:pPr>
      <w:r w:rsidRPr="00946643">
        <w:rPr>
          <w:lang w:val="fr-FR"/>
        </w:rPr>
        <w:t>c)</w:t>
      </w:r>
      <w:r w:rsidRPr="00946643">
        <w:rPr>
          <w:lang w:val="fr-FR"/>
        </w:rPr>
        <w:tab/>
        <w:t>De participer (soit en personne, soit par audioconférence) aux réunions du Comité au cours desquelles devront être examinés les progrès qu’elle aura accomplis dans la mise en œuvre des recommandations ci-dessus</w:t>
      </w:r>
      <w:r w:rsidR="00E92AA7">
        <w:rPr>
          <w:lang w:val="fr-FR"/>
        </w:rPr>
        <w:t> </w:t>
      </w:r>
      <w:r w:rsidRPr="00946643">
        <w:rPr>
          <w:lang w:val="fr-FR"/>
        </w:rPr>
        <w:t>;</w:t>
      </w:r>
    </w:p>
    <w:p w:rsidR="00E92AA7" w:rsidRDefault="00946643" w:rsidP="008D3C8F">
      <w:pPr>
        <w:pStyle w:val="SingleTxtG"/>
        <w:ind w:firstLine="567"/>
        <w:rPr>
          <w:lang w:val="fr-FR"/>
        </w:rPr>
      </w:pPr>
      <w:r w:rsidRPr="00946643">
        <w:rPr>
          <w:lang w:val="fr-FR"/>
        </w:rPr>
        <w:t>8.</w:t>
      </w:r>
      <w:r w:rsidRPr="00946643">
        <w:rPr>
          <w:lang w:val="fr-FR"/>
        </w:rPr>
        <w:tab/>
      </w:r>
      <w:r w:rsidRPr="00946643">
        <w:rPr>
          <w:i/>
          <w:iCs/>
          <w:lang w:val="fr-FR"/>
        </w:rPr>
        <w:t>Décide</w:t>
      </w:r>
      <w:r w:rsidRPr="00946643">
        <w:rPr>
          <w:lang w:val="fr-FR"/>
        </w:rPr>
        <w:t xml:space="preserve"> d’examiner la situation à sa septième session</w:t>
      </w:r>
      <w:r w:rsidR="00E92AA7">
        <w:rPr>
          <w:lang w:val="fr-FR"/>
        </w:rPr>
        <w:t>.</w:t>
      </w:r>
    </w:p>
    <w:p w:rsidR="00E92AA7" w:rsidRPr="00E92AA7" w:rsidRDefault="00E92AA7" w:rsidP="00E92AA7">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E92AA7" w:rsidRPr="00E92AA7" w:rsidSect="00946643">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7021" w:rsidRDefault="00A57021" w:rsidP="00F95C08">
      <w:pPr>
        <w:spacing w:line="240" w:lineRule="auto"/>
      </w:pPr>
    </w:p>
  </w:endnote>
  <w:endnote w:type="continuationSeparator" w:id="0">
    <w:p w:rsidR="00A57021" w:rsidRPr="00AC3823" w:rsidRDefault="00A57021" w:rsidP="00AC3823">
      <w:pPr>
        <w:pStyle w:val="Pieddepage"/>
      </w:pPr>
    </w:p>
  </w:endnote>
  <w:endnote w:type="continuationNotice" w:id="1">
    <w:p w:rsidR="00A57021" w:rsidRDefault="00A5702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6643" w:rsidRPr="00946643" w:rsidRDefault="00946643" w:rsidP="00946643">
    <w:pPr>
      <w:pStyle w:val="Pieddepage"/>
      <w:tabs>
        <w:tab w:val="right" w:pos="9638"/>
      </w:tabs>
    </w:pPr>
    <w:r w:rsidRPr="00946643">
      <w:rPr>
        <w:b/>
        <w:sz w:val="18"/>
      </w:rPr>
      <w:fldChar w:fldCharType="begin"/>
    </w:r>
    <w:r w:rsidRPr="00946643">
      <w:rPr>
        <w:b/>
        <w:sz w:val="18"/>
      </w:rPr>
      <w:instrText xml:space="preserve"> PAGE  \* MERGEFORMAT </w:instrText>
    </w:r>
    <w:r w:rsidRPr="00946643">
      <w:rPr>
        <w:b/>
        <w:sz w:val="18"/>
      </w:rPr>
      <w:fldChar w:fldCharType="separate"/>
    </w:r>
    <w:r w:rsidR="00D7529E">
      <w:rPr>
        <w:b/>
        <w:noProof/>
        <w:sz w:val="18"/>
      </w:rPr>
      <w:t>2</w:t>
    </w:r>
    <w:r w:rsidRPr="00946643">
      <w:rPr>
        <w:b/>
        <w:sz w:val="18"/>
      </w:rPr>
      <w:fldChar w:fldCharType="end"/>
    </w:r>
    <w:r>
      <w:rPr>
        <w:b/>
        <w:sz w:val="18"/>
      </w:rPr>
      <w:tab/>
    </w:r>
    <w:r>
      <w:t>GE.17-11525</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6643" w:rsidRPr="00946643" w:rsidRDefault="00946643" w:rsidP="00946643">
    <w:pPr>
      <w:pStyle w:val="Pieddepage"/>
      <w:tabs>
        <w:tab w:val="right" w:pos="9638"/>
      </w:tabs>
      <w:rPr>
        <w:b/>
        <w:sz w:val="18"/>
      </w:rPr>
    </w:pPr>
    <w:r>
      <w:t>GE.17-11525</w:t>
    </w:r>
    <w:r>
      <w:tab/>
    </w:r>
    <w:r w:rsidRPr="00946643">
      <w:rPr>
        <w:b/>
        <w:sz w:val="18"/>
      </w:rPr>
      <w:fldChar w:fldCharType="begin"/>
    </w:r>
    <w:r w:rsidRPr="00946643">
      <w:rPr>
        <w:b/>
        <w:sz w:val="18"/>
      </w:rPr>
      <w:instrText xml:space="preserve"> PAGE  \* MERGEFORMAT </w:instrText>
    </w:r>
    <w:r w:rsidRPr="00946643">
      <w:rPr>
        <w:b/>
        <w:sz w:val="18"/>
      </w:rPr>
      <w:fldChar w:fldCharType="separate"/>
    </w:r>
    <w:r w:rsidR="00D7529E">
      <w:rPr>
        <w:b/>
        <w:noProof/>
        <w:sz w:val="18"/>
      </w:rPr>
      <w:t>3</w:t>
    </w:r>
    <w:r w:rsidRPr="0094664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420" w:rsidRPr="00946643" w:rsidRDefault="00946643" w:rsidP="00946643">
    <w:pPr>
      <w:pStyle w:val="Pieddepage"/>
      <w:spacing w:before="120"/>
      <w:rPr>
        <w:sz w:val="20"/>
      </w:rPr>
    </w:pPr>
    <w:r>
      <w:rPr>
        <w:sz w:val="20"/>
      </w:rPr>
      <w:t>GE.</w:t>
    </w:r>
    <w:r w:rsidR="00A14420">
      <w:rPr>
        <w:noProof/>
        <w:lang w:eastAsia="fr-CH"/>
      </w:rPr>
      <w:drawing>
        <wp:anchor distT="0" distB="0" distL="114300" distR="114300" simplePos="0" relativeHeight="251660288" behindDoc="0" locked="0" layoutInCell="1" allowOverlap="0" wp14:anchorId="1A4095E7" wp14:editId="3AC373E5">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17-11525</w:t>
    </w:r>
    <w:r w:rsidR="00E92AA7">
      <w:rPr>
        <w:sz w:val="20"/>
      </w:rPr>
      <w:t xml:space="preserve"> </w:t>
    </w:r>
    <w:r>
      <w:rPr>
        <w:sz w:val="20"/>
      </w:rPr>
      <w:t>(F)</w:t>
    </w:r>
    <w:r w:rsidR="00657C0E">
      <w:rPr>
        <w:sz w:val="20"/>
      </w:rPr>
      <w:t xml:space="preserve">    140817    180817</w:t>
    </w:r>
    <w:r>
      <w:rPr>
        <w:sz w:val="20"/>
      </w:rPr>
      <w:br/>
    </w:r>
    <w:r w:rsidRPr="00946643">
      <w:rPr>
        <w:rFonts w:ascii="C39T30Lfz" w:hAnsi="C39T30Lfz"/>
        <w:sz w:val="56"/>
      </w:rPr>
      <w:t></w:t>
    </w:r>
    <w:r w:rsidRPr="00946643">
      <w:rPr>
        <w:rFonts w:ascii="C39T30Lfz" w:hAnsi="C39T30Lfz"/>
        <w:sz w:val="56"/>
      </w:rPr>
      <w:t></w:t>
    </w:r>
    <w:r w:rsidRPr="00946643">
      <w:rPr>
        <w:rFonts w:ascii="C39T30Lfz" w:hAnsi="C39T30Lfz"/>
        <w:sz w:val="56"/>
      </w:rPr>
      <w:t></w:t>
    </w:r>
    <w:r w:rsidRPr="00946643">
      <w:rPr>
        <w:rFonts w:ascii="C39T30Lfz" w:hAnsi="C39T30Lfz"/>
        <w:sz w:val="56"/>
      </w:rPr>
      <w:t></w:t>
    </w:r>
    <w:r w:rsidRPr="00946643">
      <w:rPr>
        <w:rFonts w:ascii="C39T30Lfz" w:hAnsi="C39T30Lfz"/>
        <w:sz w:val="56"/>
      </w:rPr>
      <w:t></w:t>
    </w:r>
    <w:r w:rsidRPr="00946643">
      <w:rPr>
        <w:rFonts w:ascii="C39T30Lfz" w:hAnsi="C39T30Lfz"/>
        <w:sz w:val="56"/>
      </w:rPr>
      <w:t></w:t>
    </w:r>
    <w:r w:rsidRPr="00946643">
      <w:rPr>
        <w:rFonts w:ascii="C39T30Lfz" w:hAnsi="C39T30Lfz"/>
        <w:sz w:val="56"/>
      </w:rPr>
      <w:t></w:t>
    </w:r>
    <w:r w:rsidRPr="00946643">
      <w:rPr>
        <w:rFonts w:ascii="C39T30Lfz" w:hAnsi="C39T30Lfz"/>
        <w:sz w:val="56"/>
      </w:rPr>
      <w:t></w:t>
    </w:r>
    <w:r w:rsidRPr="00946643">
      <w:rPr>
        <w:rFonts w:ascii="C39T30Lfz" w:hAnsi="C39T30Lfz"/>
        <w:sz w:val="56"/>
      </w:rPr>
      <w:t></w:t>
    </w:r>
    <w:r>
      <w:rPr>
        <w:noProof/>
        <w:sz w:val="20"/>
        <w:lang w:eastAsia="fr-CH"/>
      </w:rPr>
      <w:drawing>
        <wp:anchor distT="0" distB="0" distL="114300" distR="114300" simplePos="0" relativeHeight="25166131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MP.PP/2017/27&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MP.PP/2017/27&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7021" w:rsidRPr="00AC3823" w:rsidRDefault="00A57021" w:rsidP="00AC3823">
      <w:pPr>
        <w:pStyle w:val="Pieddepage"/>
        <w:tabs>
          <w:tab w:val="right" w:pos="2155"/>
        </w:tabs>
        <w:spacing w:after="80" w:line="240" w:lineRule="atLeast"/>
        <w:ind w:left="680"/>
        <w:rPr>
          <w:u w:val="single"/>
        </w:rPr>
      </w:pPr>
      <w:r>
        <w:rPr>
          <w:u w:val="single"/>
        </w:rPr>
        <w:tab/>
      </w:r>
    </w:p>
  </w:footnote>
  <w:footnote w:type="continuationSeparator" w:id="0">
    <w:p w:rsidR="00A57021" w:rsidRPr="00AC3823" w:rsidRDefault="00A57021" w:rsidP="00AC3823">
      <w:pPr>
        <w:pStyle w:val="Pieddepage"/>
        <w:tabs>
          <w:tab w:val="right" w:pos="2155"/>
        </w:tabs>
        <w:spacing w:after="80" w:line="240" w:lineRule="atLeast"/>
        <w:ind w:left="680"/>
        <w:rPr>
          <w:u w:val="single"/>
        </w:rPr>
      </w:pPr>
      <w:r>
        <w:rPr>
          <w:u w:val="single"/>
        </w:rPr>
        <w:tab/>
      </w:r>
    </w:p>
  </w:footnote>
  <w:footnote w:type="continuationNotice" w:id="1">
    <w:p w:rsidR="00A57021" w:rsidRPr="00AC3823" w:rsidRDefault="00A57021">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6643" w:rsidRPr="00946643" w:rsidRDefault="00946643">
    <w:pPr>
      <w:pStyle w:val="En-tte"/>
    </w:pPr>
    <w:fldSimple w:instr=" TITLE  \* MERGEFORMAT ">
      <w:r w:rsidR="00D7529E">
        <w:t>ECE/MP.PP/2017/27</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6643" w:rsidRPr="00946643" w:rsidRDefault="00946643" w:rsidP="00946643">
    <w:pPr>
      <w:pStyle w:val="En-tte"/>
      <w:jc w:val="right"/>
    </w:pPr>
    <w:fldSimple w:instr=" TITLE  \* MERGEFORMAT ">
      <w:r w:rsidR="00D7529E">
        <w:t>ECE/MP.PP/2017/27</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ABC672CC"/>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B6C4FF4C"/>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BAF4D304"/>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021"/>
    <w:rsid w:val="00017F94"/>
    <w:rsid w:val="00023842"/>
    <w:rsid w:val="00031189"/>
    <w:rsid w:val="000334F9"/>
    <w:rsid w:val="0007796D"/>
    <w:rsid w:val="000B7790"/>
    <w:rsid w:val="00111F2F"/>
    <w:rsid w:val="0014365E"/>
    <w:rsid w:val="00176178"/>
    <w:rsid w:val="001F525A"/>
    <w:rsid w:val="00223272"/>
    <w:rsid w:val="0024779E"/>
    <w:rsid w:val="002832AC"/>
    <w:rsid w:val="002B40F9"/>
    <w:rsid w:val="002D7C93"/>
    <w:rsid w:val="004230CD"/>
    <w:rsid w:val="00441C3B"/>
    <w:rsid w:val="00446FE5"/>
    <w:rsid w:val="00452396"/>
    <w:rsid w:val="004E468C"/>
    <w:rsid w:val="005505B7"/>
    <w:rsid w:val="00573BE5"/>
    <w:rsid w:val="00586ED3"/>
    <w:rsid w:val="00596AA9"/>
    <w:rsid w:val="00657C0E"/>
    <w:rsid w:val="006C0E3B"/>
    <w:rsid w:val="0071601D"/>
    <w:rsid w:val="00763E97"/>
    <w:rsid w:val="007A5FC4"/>
    <w:rsid w:val="007A62E6"/>
    <w:rsid w:val="007F0E5B"/>
    <w:rsid w:val="0080684C"/>
    <w:rsid w:val="00871C75"/>
    <w:rsid w:val="008776DC"/>
    <w:rsid w:val="008D3C8F"/>
    <w:rsid w:val="008D6B3F"/>
    <w:rsid w:val="00946643"/>
    <w:rsid w:val="009705C8"/>
    <w:rsid w:val="009C1CF4"/>
    <w:rsid w:val="00A14420"/>
    <w:rsid w:val="00A30353"/>
    <w:rsid w:val="00A57021"/>
    <w:rsid w:val="00AC3823"/>
    <w:rsid w:val="00AE323C"/>
    <w:rsid w:val="00B00181"/>
    <w:rsid w:val="00B00B0D"/>
    <w:rsid w:val="00B765F7"/>
    <w:rsid w:val="00BA0CA9"/>
    <w:rsid w:val="00C02897"/>
    <w:rsid w:val="00C554CE"/>
    <w:rsid w:val="00D3439C"/>
    <w:rsid w:val="00D503D3"/>
    <w:rsid w:val="00D7529E"/>
    <w:rsid w:val="00DB1831"/>
    <w:rsid w:val="00DD3BFD"/>
    <w:rsid w:val="00DF5712"/>
    <w:rsid w:val="00DF6678"/>
    <w:rsid w:val="00DF6F15"/>
    <w:rsid w:val="00E92AA7"/>
    <w:rsid w:val="00E96BD6"/>
    <w:rsid w:val="00EE22F9"/>
    <w:rsid w:val="00EF2E22"/>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9DE2694"/>
  <w15:docId w15:val="{A6949A7D-AF0D-461A-892A-18F5FFB87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22F9"/>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E22F9"/>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E22F9"/>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E22F9"/>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E22F9"/>
    <w:pPr>
      <w:spacing w:line="240" w:lineRule="auto"/>
    </w:pPr>
    <w:rPr>
      <w:sz w:val="16"/>
    </w:rPr>
  </w:style>
  <w:style w:type="character" w:customStyle="1" w:styleId="PieddepageCar">
    <w:name w:val="Pied de page Car"/>
    <w:aliases w:val="3_G Car"/>
    <w:basedOn w:val="Policepardfaut"/>
    <w:link w:val="Pieddepage"/>
    <w:rsid w:val="00EE22F9"/>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E22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E22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E22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E22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E22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E22F9"/>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EE22F9"/>
    <w:pPr>
      <w:spacing w:after="120"/>
      <w:ind w:left="1134" w:right="1134"/>
      <w:jc w:val="both"/>
    </w:pPr>
  </w:style>
  <w:style w:type="paragraph" w:customStyle="1" w:styleId="SLG">
    <w:name w:val="__S_L_G"/>
    <w:basedOn w:val="Normal"/>
    <w:next w:val="Normal"/>
    <w:rsid w:val="00EE22F9"/>
    <w:pPr>
      <w:keepNext/>
      <w:keepLines/>
      <w:spacing w:before="240" w:after="240" w:line="580" w:lineRule="exact"/>
      <w:ind w:left="1134" w:right="1134"/>
    </w:pPr>
    <w:rPr>
      <w:b/>
      <w:sz w:val="56"/>
    </w:rPr>
  </w:style>
  <w:style w:type="paragraph" w:customStyle="1" w:styleId="SMG">
    <w:name w:val="__S_M_G"/>
    <w:basedOn w:val="Normal"/>
    <w:next w:val="Normal"/>
    <w:rsid w:val="00EE22F9"/>
    <w:pPr>
      <w:keepNext/>
      <w:keepLines/>
      <w:spacing w:before="240" w:after="240" w:line="420" w:lineRule="exact"/>
      <w:ind w:left="1134" w:right="1134"/>
    </w:pPr>
    <w:rPr>
      <w:b/>
      <w:sz w:val="40"/>
    </w:rPr>
  </w:style>
  <w:style w:type="paragraph" w:customStyle="1" w:styleId="SSG">
    <w:name w:val="__S_S_G"/>
    <w:basedOn w:val="Normal"/>
    <w:next w:val="Normal"/>
    <w:rsid w:val="00EE22F9"/>
    <w:pPr>
      <w:keepNext/>
      <w:keepLines/>
      <w:spacing w:before="240" w:after="240" w:line="300" w:lineRule="exact"/>
      <w:ind w:left="1134" w:right="1134"/>
    </w:pPr>
    <w:rPr>
      <w:b/>
      <w:sz w:val="28"/>
    </w:rPr>
  </w:style>
  <w:style w:type="paragraph" w:customStyle="1" w:styleId="XLargeG">
    <w:name w:val="__XLarge_G"/>
    <w:basedOn w:val="Normal"/>
    <w:next w:val="Normal"/>
    <w:rsid w:val="00EE22F9"/>
    <w:pPr>
      <w:keepNext/>
      <w:keepLines/>
      <w:spacing w:before="240" w:after="240" w:line="420" w:lineRule="exact"/>
      <w:ind w:left="1134" w:right="1134"/>
    </w:pPr>
    <w:rPr>
      <w:b/>
      <w:sz w:val="40"/>
    </w:rPr>
  </w:style>
  <w:style w:type="paragraph" w:customStyle="1" w:styleId="Bullet1G">
    <w:name w:val="_Bullet 1_G"/>
    <w:basedOn w:val="Normal"/>
    <w:qFormat/>
    <w:rsid w:val="00EE22F9"/>
    <w:pPr>
      <w:numPr>
        <w:numId w:val="14"/>
      </w:numPr>
      <w:spacing w:after="120"/>
      <w:ind w:right="1134"/>
      <w:jc w:val="both"/>
    </w:pPr>
  </w:style>
  <w:style w:type="paragraph" w:customStyle="1" w:styleId="Bullet2G">
    <w:name w:val="_Bullet 2_G"/>
    <w:basedOn w:val="Normal"/>
    <w:qFormat/>
    <w:rsid w:val="00EE22F9"/>
    <w:pPr>
      <w:numPr>
        <w:numId w:val="15"/>
      </w:numPr>
      <w:spacing w:after="120"/>
      <w:ind w:right="1134"/>
      <w:jc w:val="both"/>
    </w:pPr>
  </w:style>
  <w:style w:type="paragraph" w:customStyle="1" w:styleId="ParNoG">
    <w:name w:val="_ParNo_G"/>
    <w:basedOn w:val="Normal"/>
    <w:qFormat/>
    <w:rsid w:val="00EE22F9"/>
    <w:pPr>
      <w:numPr>
        <w:numId w:val="16"/>
      </w:numPr>
      <w:tabs>
        <w:tab w:val="clear" w:pos="1701"/>
      </w:tabs>
      <w:spacing w:after="120"/>
      <w:ind w:right="1134"/>
      <w:jc w:val="both"/>
    </w:pPr>
  </w:style>
  <w:style w:type="character" w:styleId="Appelnotedebasdep">
    <w:name w:val="footnote reference"/>
    <w:aliases w:val="4_G"/>
    <w:basedOn w:val="Policepardfaut"/>
    <w:qFormat/>
    <w:rsid w:val="00EE22F9"/>
    <w:rPr>
      <w:rFonts w:ascii="Times New Roman" w:hAnsi="Times New Roman"/>
      <w:sz w:val="18"/>
      <w:vertAlign w:val="superscript"/>
      <w:lang w:val="fr-CH"/>
    </w:rPr>
  </w:style>
  <w:style w:type="character" w:styleId="Appeldenotedefin">
    <w:name w:val="endnote reference"/>
    <w:aliases w:val="1_G"/>
    <w:basedOn w:val="Appelnotedebasdep"/>
    <w:qFormat/>
    <w:rsid w:val="00EE22F9"/>
    <w:rPr>
      <w:rFonts w:ascii="Times New Roman" w:hAnsi="Times New Roman"/>
      <w:sz w:val="18"/>
      <w:vertAlign w:val="superscript"/>
      <w:lang w:val="fr-CH"/>
    </w:rPr>
  </w:style>
  <w:style w:type="table" w:styleId="Grilledutableau">
    <w:name w:val="Table Grid"/>
    <w:basedOn w:val="TableauNormal"/>
    <w:rsid w:val="00EE22F9"/>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E22F9"/>
    <w:rPr>
      <w:color w:val="0000FF"/>
      <w:u w:val="none"/>
    </w:rPr>
  </w:style>
  <w:style w:type="character" w:styleId="Lienhypertextesuivivisit">
    <w:name w:val="FollowedHyperlink"/>
    <w:basedOn w:val="Policepardfaut"/>
    <w:unhideWhenUsed/>
    <w:rsid w:val="00EE22F9"/>
    <w:rPr>
      <w:color w:val="0000FF"/>
      <w:u w:val="none"/>
    </w:rPr>
  </w:style>
  <w:style w:type="paragraph" w:styleId="Notedebasdepage">
    <w:name w:val="footnote text"/>
    <w:aliases w:val="5_G"/>
    <w:basedOn w:val="Normal"/>
    <w:link w:val="NotedebasdepageCar"/>
    <w:qFormat/>
    <w:rsid w:val="00EE22F9"/>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E22F9"/>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E22F9"/>
  </w:style>
  <w:style w:type="character" w:customStyle="1" w:styleId="NotedefinCar">
    <w:name w:val="Note de fin Car"/>
    <w:aliases w:val="2_G Car"/>
    <w:basedOn w:val="Policepardfaut"/>
    <w:link w:val="Notedefin"/>
    <w:rsid w:val="00EE22F9"/>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E22F9"/>
    <w:rPr>
      <w:rFonts w:ascii="Times New Roman" w:hAnsi="Times New Roman"/>
      <w:b/>
      <w:sz w:val="18"/>
      <w:lang w:val="fr-CH"/>
    </w:rPr>
  </w:style>
  <w:style w:type="character" w:customStyle="1" w:styleId="Titre1Car">
    <w:name w:val="Titre 1 Car"/>
    <w:aliases w:val="Table_G Car"/>
    <w:basedOn w:val="Policepardfaut"/>
    <w:link w:val="Titre1"/>
    <w:rsid w:val="00EE22F9"/>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A14420"/>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14420"/>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M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ECE_MP.dotm</Template>
  <TotalTime>1</TotalTime>
  <Pages>3</Pages>
  <Words>1005</Words>
  <Characters>6937</Characters>
  <Application>Microsoft Office Word</Application>
  <DocSecurity>0</DocSecurity>
  <Lines>770</Lines>
  <Paragraphs>330</Paragraphs>
  <ScaleCrop>false</ScaleCrop>
  <HeadingPairs>
    <vt:vector size="2" baseType="variant">
      <vt:variant>
        <vt:lpstr>Titre</vt:lpstr>
      </vt:variant>
      <vt:variant>
        <vt:i4>1</vt:i4>
      </vt:variant>
    </vt:vector>
  </HeadingPairs>
  <TitlesOfParts>
    <vt:vector size="1" baseType="lpstr">
      <vt:lpstr>ECE/MP.PP/2017/27</vt:lpstr>
    </vt:vector>
  </TitlesOfParts>
  <Company>DCM</Company>
  <LinksUpToDate>false</LinksUpToDate>
  <CharactersWithSpaces>7612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ECE/MP.PP/2017/27</dc:title>
  <dc:subject/>
  <dc:creator>Fabienne CRELIER</dc:creator>
  <cp:keywords/>
  <cp:lastModifiedBy>Fabienne CRELIER</cp:lastModifiedBy>
  <cp:revision>3</cp:revision>
  <cp:lastPrinted>2017-08-18T06:46:00Z</cp:lastPrinted>
  <dcterms:created xsi:type="dcterms:W3CDTF">2017-08-18T06:46:00Z</dcterms:created>
  <dcterms:modified xsi:type="dcterms:W3CDTF">2017-08-18T06:48:00Z</dcterms:modified>
</cp:coreProperties>
</file>