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903A89E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E4074E" w14:textId="77777777"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F8FC39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F0FC16" w14:textId="1D8B6121" w:rsidR="00B56E9C" w:rsidRPr="00D47EEA" w:rsidRDefault="004334C7" w:rsidP="002C4BDF">
            <w:pPr>
              <w:jc w:val="right"/>
            </w:pPr>
            <w:bookmarkStart w:id="0" w:name="OLE_LINK1"/>
            <w:r w:rsidRPr="004334C7">
              <w:rPr>
                <w:sz w:val="40"/>
              </w:rPr>
              <w:t>ECE</w:t>
            </w:r>
            <w:r>
              <w:t>/MP.PP/2017/</w:t>
            </w:r>
            <w:r w:rsidR="002C4BDF">
              <w:t>29</w:t>
            </w:r>
            <w:bookmarkEnd w:id="0"/>
          </w:p>
        </w:tc>
      </w:tr>
      <w:tr w:rsidR="00B56E9C" w14:paraId="02194936" w14:textId="77777777" w:rsidTr="00BC69F1">
        <w:trPr>
          <w:cantSplit/>
          <w:trHeight w:hRule="exact" w:val="214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6879F5" w14:textId="77777777" w:rsidR="00B56E9C" w:rsidRDefault="00A87DBB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8218D15" wp14:editId="2A2E1F9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1B8D90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1293D2" w14:textId="77777777" w:rsidR="00B56E9C" w:rsidRDefault="004334C7" w:rsidP="004334C7">
            <w:pPr>
              <w:spacing w:before="240" w:line="240" w:lineRule="exact"/>
            </w:pPr>
            <w:r>
              <w:t>Distr.: General</w:t>
            </w:r>
          </w:p>
          <w:p w14:paraId="76BDB634" w14:textId="2AE32C49" w:rsidR="004334C7" w:rsidRDefault="00F7590A" w:rsidP="004334C7">
            <w:pPr>
              <w:spacing w:line="240" w:lineRule="exact"/>
            </w:pPr>
            <w:r>
              <w:t>10</w:t>
            </w:r>
            <w:r w:rsidR="004334C7">
              <w:t xml:space="preserve"> July 2017</w:t>
            </w:r>
          </w:p>
          <w:p w14:paraId="6703DDB4" w14:textId="77777777" w:rsidR="004334C7" w:rsidRDefault="004334C7" w:rsidP="004334C7">
            <w:pPr>
              <w:spacing w:line="240" w:lineRule="exact"/>
            </w:pPr>
          </w:p>
          <w:p w14:paraId="1A5D2320" w14:textId="77777777" w:rsidR="004334C7" w:rsidRDefault="004334C7" w:rsidP="004334C7">
            <w:pPr>
              <w:spacing w:line="240" w:lineRule="exact"/>
            </w:pPr>
            <w:r>
              <w:t>Original: English</w:t>
            </w:r>
          </w:p>
        </w:tc>
      </w:tr>
    </w:tbl>
    <w:p w14:paraId="1F1A5424" w14:textId="77777777" w:rsidR="004334C7" w:rsidRDefault="004334C7" w:rsidP="004334C7">
      <w:pPr>
        <w:spacing w:before="120"/>
      </w:pPr>
      <w:r>
        <w:rPr>
          <w:b/>
          <w:sz w:val="28"/>
          <w:szCs w:val="28"/>
        </w:rPr>
        <w:t>Economic Commission for Europe</w:t>
      </w:r>
    </w:p>
    <w:p w14:paraId="501AB369" w14:textId="77777777" w:rsidR="004334C7" w:rsidRDefault="004334C7" w:rsidP="00881C27">
      <w:pPr>
        <w:spacing w:before="80"/>
      </w:pPr>
      <w:r>
        <w:rPr>
          <w:sz w:val="28"/>
          <w:szCs w:val="28"/>
        </w:rPr>
        <w:t>Meeting of th</w:t>
      </w:r>
      <w:bookmarkStart w:id="1" w:name="_GoBack"/>
      <w:bookmarkEnd w:id="1"/>
      <w:r>
        <w:rPr>
          <w:sz w:val="28"/>
          <w:szCs w:val="28"/>
        </w:rPr>
        <w:t>e Parties to the Convention on</w:t>
      </w:r>
      <w:r>
        <w:rPr>
          <w:sz w:val="28"/>
          <w:szCs w:val="28"/>
        </w:rPr>
        <w:br/>
        <w:t>Access to Information, Public Participation</w:t>
      </w:r>
      <w:r>
        <w:rPr>
          <w:sz w:val="28"/>
          <w:szCs w:val="28"/>
        </w:rPr>
        <w:br/>
        <w:t>in Decision-making and Access to Justice</w:t>
      </w:r>
      <w:r>
        <w:rPr>
          <w:sz w:val="28"/>
          <w:szCs w:val="28"/>
        </w:rPr>
        <w:br/>
        <w:t>in Environmental Matters</w:t>
      </w:r>
    </w:p>
    <w:p w14:paraId="2B6194D1" w14:textId="63BE489A" w:rsidR="004334C7" w:rsidRDefault="004334C7" w:rsidP="00881C27">
      <w:pPr>
        <w:spacing w:before="80"/>
      </w:pPr>
      <w:r>
        <w:rPr>
          <w:b/>
        </w:rPr>
        <w:t>Sixth session</w:t>
      </w:r>
      <w:r>
        <w:br/>
      </w:r>
      <w:proofErr w:type="spellStart"/>
      <w:r>
        <w:t>Budva</w:t>
      </w:r>
      <w:proofErr w:type="spellEnd"/>
      <w:r>
        <w:t>, Montenegro, 11–1</w:t>
      </w:r>
      <w:r w:rsidR="001C5EA9">
        <w:t>3</w:t>
      </w:r>
      <w:r>
        <w:t xml:space="preserve"> September 2017</w:t>
      </w:r>
    </w:p>
    <w:p w14:paraId="5996EF50" w14:textId="77777777" w:rsidR="004334C7" w:rsidRDefault="004334C7" w:rsidP="004334C7">
      <w:r>
        <w:t>Item 7 (b) of the provisional agenda</w:t>
      </w:r>
    </w:p>
    <w:p w14:paraId="0E67C4A7" w14:textId="4FF1B1D2" w:rsidR="004334C7" w:rsidRPr="009F15F2" w:rsidRDefault="004334C7" w:rsidP="004334C7">
      <w:pPr>
        <w:rPr>
          <w:b/>
        </w:rPr>
      </w:pPr>
      <w:r w:rsidRPr="009F15F2">
        <w:rPr>
          <w:b/>
        </w:rPr>
        <w:t xml:space="preserve">Procedures and mechanisms facilitating the implementation </w:t>
      </w:r>
      <w:r w:rsidR="001C5EA9" w:rsidRPr="009F15F2">
        <w:rPr>
          <w:b/>
        </w:rPr>
        <w:br/>
      </w:r>
      <w:r w:rsidRPr="009F15F2">
        <w:rPr>
          <w:b/>
        </w:rPr>
        <w:t>of the Convention:</w:t>
      </w:r>
      <w:r w:rsidR="001C5EA9" w:rsidRPr="009F15F2">
        <w:rPr>
          <w:b/>
        </w:rPr>
        <w:t xml:space="preserve"> c</w:t>
      </w:r>
      <w:r w:rsidRPr="009F15F2">
        <w:rPr>
          <w:b/>
        </w:rPr>
        <w:t>ompliance mechanism</w:t>
      </w:r>
    </w:p>
    <w:p w14:paraId="3DF0066C" w14:textId="7DDE3F39" w:rsidR="004334C7" w:rsidRDefault="004334C7" w:rsidP="00881C27">
      <w:pPr>
        <w:pStyle w:val="HChG"/>
        <w:spacing w:before="200" w:after="120"/>
      </w:pPr>
      <w:r w:rsidRPr="009F15F2">
        <w:tab/>
      </w:r>
      <w:r w:rsidRPr="009F15F2">
        <w:tab/>
      </w:r>
      <w:bookmarkStart w:id="2" w:name="OLE_LINK2"/>
      <w:r w:rsidRPr="009F15F2">
        <w:t>Draft decision VI/</w:t>
      </w:r>
      <w:r w:rsidR="004C1DEA" w:rsidRPr="009F15F2">
        <w:t>8</w:t>
      </w:r>
      <w:r w:rsidR="009F15F2" w:rsidRPr="009F15F2">
        <w:t>j</w:t>
      </w:r>
      <w:r w:rsidRPr="009F15F2">
        <w:t xml:space="preserve"> concerning compliance by </w:t>
      </w:r>
      <w:r w:rsidR="00266720" w:rsidRPr="009F15F2">
        <w:t>Spain</w:t>
      </w:r>
      <w:r w:rsidRPr="009F15F2">
        <w:t xml:space="preserve"> </w:t>
      </w:r>
      <w:bookmarkEnd w:id="2"/>
      <w:r w:rsidRPr="009F15F2">
        <w:t>with its obligations under the</w:t>
      </w:r>
      <w:r w:rsidRPr="004334C7">
        <w:t xml:space="preserve"> Convention</w:t>
      </w:r>
    </w:p>
    <w:p w14:paraId="3C332936" w14:textId="77777777" w:rsidR="00086240" w:rsidRDefault="00A77D15" w:rsidP="007D2806">
      <w:pPr>
        <w:pStyle w:val="H1G"/>
        <w:tabs>
          <w:tab w:val="left" w:pos="1701"/>
        </w:tabs>
        <w:spacing w:before="240" w:after="120"/>
        <w:rPr>
          <w:i/>
          <w:iCs/>
          <w:sz w:val="20"/>
        </w:rPr>
      </w:pPr>
      <w:r>
        <w:tab/>
      </w:r>
      <w:r>
        <w:tab/>
      </w:r>
      <w:r w:rsidR="00086240" w:rsidRPr="00A77D15">
        <w:t>Prepared</w:t>
      </w:r>
      <w:r w:rsidR="00086240">
        <w:t xml:space="preserve"> by the Bureau</w:t>
      </w:r>
      <w:r w:rsidR="00086240" w:rsidDel="006A2255">
        <w:t xml:space="preserve"> </w:t>
      </w:r>
    </w:p>
    <w:p w14:paraId="11C0DD81" w14:textId="747B5AED" w:rsidR="00086240" w:rsidRPr="00D11861" w:rsidRDefault="00086240" w:rsidP="00086240">
      <w:pPr>
        <w:pStyle w:val="SingleTxtG"/>
        <w:rPr>
          <w:i/>
        </w:rPr>
      </w:pPr>
      <w:r>
        <w:tab/>
      </w:r>
      <w:r w:rsidRPr="00D11861">
        <w:rPr>
          <w:i/>
        </w:rPr>
        <w:t>The Meeting of the Parties</w:t>
      </w:r>
      <w:r w:rsidRPr="0098311A">
        <w:t>,</w:t>
      </w:r>
      <w:r w:rsidRPr="00D11861">
        <w:rPr>
          <w:i/>
        </w:rPr>
        <w:t xml:space="preserve"> </w:t>
      </w:r>
    </w:p>
    <w:p w14:paraId="2EFE4C05" w14:textId="3B5C2238" w:rsidR="00086240" w:rsidRDefault="00961DE9" w:rsidP="00961DE9">
      <w:pPr>
        <w:pStyle w:val="SingleTxtG"/>
      </w:pPr>
      <w:r>
        <w:rPr>
          <w:i/>
          <w:iCs/>
        </w:rPr>
        <w:tab/>
      </w:r>
      <w:r w:rsidR="00086240">
        <w:rPr>
          <w:i/>
          <w:iCs/>
        </w:rPr>
        <w:t xml:space="preserve">Acting </w:t>
      </w:r>
      <w:r w:rsidR="00086240">
        <w:t>under paragraph 37 of the annex to its decision I/7 on the review of compliance</w:t>
      </w:r>
      <w:r w:rsidR="004C1DEA">
        <w:t xml:space="preserve"> (</w:t>
      </w:r>
      <w:r w:rsidR="004C1DEA" w:rsidRPr="004C1DEA">
        <w:t>ECE/</w:t>
      </w:r>
      <w:proofErr w:type="gramStart"/>
      <w:r w:rsidR="004C1DEA" w:rsidRPr="004C1DEA">
        <w:t>MP.PP</w:t>
      </w:r>
      <w:proofErr w:type="gramEnd"/>
      <w:r w:rsidR="004C1DEA" w:rsidRPr="004C1DEA">
        <w:t>/2/Add.8</w:t>
      </w:r>
      <w:r w:rsidR="004C1DEA">
        <w:t>)</w:t>
      </w:r>
      <w:r w:rsidR="00086240">
        <w:t xml:space="preserve">, </w:t>
      </w:r>
    </w:p>
    <w:p w14:paraId="6CB73175" w14:textId="58999C61" w:rsidR="00086240" w:rsidRPr="006A1B2F" w:rsidRDefault="00961DE9" w:rsidP="00961DE9">
      <w:pPr>
        <w:pStyle w:val="SingleTxtG"/>
      </w:pPr>
      <w:r>
        <w:tab/>
      </w:r>
      <w:r w:rsidR="00086240" w:rsidRPr="006A1B2F">
        <w:rPr>
          <w:i/>
        </w:rPr>
        <w:t xml:space="preserve">Mindful </w:t>
      </w:r>
      <w:r w:rsidR="00086240" w:rsidRPr="006A1B2F">
        <w:t xml:space="preserve">of the conclusions and recommendations set out in </w:t>
      </w:r>
      <w:r w:rsidR="00694E22">
        <w:t xml:space="preserve">its </w:t>
      </w:r>
      <w:r w:rsidR="00086240" w:rsidRPr="006A1B2F">
        <w:t>decision V/</w:t>
      </w:r>
      <w:r w:rsidR="00266720" w:rsidRPr="006A1B2F">
        <w:t>9</w:t>
      </w:r>
      <w:r w:rsidR="00266720">
        <w:t>k</w:t>
      </w:r>
      <w:r w:rsidR="00266720" w:rsidRPr="006A1B2F">
        <w:t xml:space="preserve"> </w:t>
      </w:r>
      <w:r w:rsidR="00086240" w:rsidRPr="006A1B2F">
        <w:t>(</w:t>
      </w:r>
      <w:r w:rsidR="004C1DEA">
        <w:t xml:space="preserve">see </w:t>
      </w:r>
      <w:r w:rsidR="00086240" w:rsidRPr="006A1B2F">
        <w:t>ECE/</w:t>
      </w:r>
      <w:proofErr w:type="gramStart"/>
      <w:r w:rsidR="00086240" w:rsidRPr="006A1B2F">
        <w:t>MP.PP</w:t>
      </w:r>
      <w:proofErr w:type="gramEnd"/>
      <w:r w:rsidR="00086240" w:rsidRPr="006A1B2F">
        <w:t xml:space="preserve">/2014/Add.1) with </w:t>
      </w:r>
      <w:r w:rsidR="00086240" w:rsidRPr="00961DE9">
        <w:t>regard</w:t>
      </w:r>
      <w:r w:rsidR="00086240" w:rsidRPr="006A1B2F">
        <w:t xml:space="preserve"> to compliance by </w:t>
      </w:r>
      <w:r w:rsidR="00266720">
        <w:t>Spain</w:t>
      </w:r>
      <w:r w:rsidR="00086240" w:rsidRPr="006A1B2F">
        <w:t>,</w:t>
      </w:r>
    </w:p>
    <w:p w14:paraId="4AF146F2" w14:textId="18110D82" w:rsidR="00086240" w:rsidRPr="006A1B2F" w:rsidRDefault="00961DE9" w:rsidP="00961DE9">
      <w:pPr>
        <w:pStyle w:val="SingleTxtG"/>
      </w:pPr>
      <w:r>
        <w:rPr>
          <w:i/>
          <w:iCs/>
        </w:rPr>
        <w:tab/>
      </w:r>
      <w:r w:rsidR="00086240" w:rsidRPr="006A1B2F">
        <w:rPr>
          <w:i/>
          <w:iCs/>
        </w:rPr>
        <w:t xml:space="preserve">Taking note </w:t>
      </w:r>
      <w:r w:rsidR="00086240" w:rsidRPr="006A1B2F">
        <w:t xml:space="preserve">of the report of the Compliance Committee under the Convention on Access to Information, Public Participation in Decision-making and Access to Justice in </w:t>
      </w:r>
      <w:r w:rsidR="00086240" w:rsidRPr="00961DE9">
        <w:t>Environmental</w:t>
      </w:r>
      <w:r w:rsidR="00086240" w:rsidRPr="006A1B2F">
        <w:t xml:space="preserve"> Matters </w:t>
      </w:r>
      <w:r w:rsidR="007D3CDC">
        <w:t xml:space="preserve">on </w:t>
      </w:r>
      <w:r w:rsidR="004C0015">
        <w:t xml:space="preserve">the implementation of decision V/9k concerning </w:t>
      </w:r>
      <w:r w:rsidR="007D3CDC">
        <w:t xml:space="preserve">compliance by Spain with its obligations under the Convention </w:t>
      </w:r>
      <w:r w:rsidR="00086240" w:rsidRPr="006A1B2F">
        <w:t>(</w:t>
      </w:r>
      <w:r w:rsidR="007D3CDC">
        <w:t>ECE/MP.PP/2017/</w:t>
      </w:r>
      <w:r w:rsidR="00AD5C08">
        <w:t>43</w:t>
      </w:r>
      <w:r w:rsidR="00086240" w:rsidRPr="006A1B2F">
        <w:t>)</w:t>
      </w:r>
      <w:r w:rsidR="002152C6">
        <w:t>, and the findings of the Committee on communication ACCC/C/2014/99 (ECE/MP.PP/C.1/2017/17, forthcoming) concerning public participation in decision-making and access to justice regarding an environmental permit for a cement plant</w:t>
      </w:r>
      <w:r w:rsidR="00086240" w:rsidRPr="006A1B2F">
        <w:t>,</w:t>
      </w:r>
    </w:p>
    <w:p w14:paraId="253B8C0E" w14:textId="613FE6A7" w:rsidR="00086240" w:rsidRPr="006A1B2F" w:rsidRDefault="00086240" w:rsidP="00961DE9">
      <w:pPr>
        <w:pStyle w:val="SingleTxtG"/>
      </w:pPr>
      <w:r w:rsidRPr="006A1B2F">
        <w:rPr>
          <w:i/>
          <w:iCs/>
        </w:rPr>
        <w:tab/>
      </w:r>
      <w:r w:rsidRPr="006A1B2F">
        <w:rPr>
          <w:i/>
        </w:rPr>
        <w:t>Encouraged</w:t>
      </w:r>
      <w:r w:rsidRPr="006A1B2F">
        <w:t xml:space="preserve"> by </w:t>
      </w:r>
      <w:r w:rsidR="00456404">
        <w:t xml:space="preserve">the </w:t>
      </w:r>
      <w:r w:rsidR="00672BD8">
        <w:t xml:space="preserve">willingness </w:t>
      </w:r>
      <w:r w:rsidR="00456404">
        <w:t xml:space="preserve">of Spain </w:t>
      </w:r>
      <w:r w:rsidRPr="00961DE9">
        <w:t>to</w:t>
      </w:r>
      <w:r w:rsidRPr="006A1B2F">
        <w:t xml:space="preserve"> discuss in a constructive manner </w:t>
      </w:r>
      <w:r w:rsidR="00672BD8">
        <w:t xml:space="preserve">with the Committee </w:t>
      </w:r>
      <w:r w:rsidRPr="006A1B2F">
        <w:t xml:space="preserve">the compliance issues in question, </w:t>
      </w:r>
    </w:p>
    <w:p w14:paraId="4ADB6BF9" w14:textId="6B8077DF" w:rsidR="00086240" w:rsidDel="00A65485" w:rsidRDefault="00961DE9" w:rsidP="00961DE9">
      <w:pPr>
        <w:pStyle w:val="SingleTxtG"/>
      </w:pPr>
      <w:r>
        <w:tab/>
      </w:r>
      <w:r w:rsidR="00672BD8" w:rsidRPr="008E1BE3">
        <w:t>1.</w:t>
      </w:r>
      <w:r w:rsidR="00672BD8" w:rsidRPr="008E1BE3">
        <w:tab/>
      </w:r>
      <w:r w:rsidR="00086240" w:rsidRPr="0085108E" w:rsidDel="00A65485">
        <w:rPr>
          <w:i/>
        </w:rPr>
        <w:t>Endorses</w:t>
      </w:r>
      <w:r w:rsidR="00086240" w:rsidDel="00A65485">
        <w:t xml:space="preserve"> the finding of the Committee </w:t>
      </w:r>
      <w:r w:rsidR="002050A4" w:rsidRPr="004C1F0C">
        <w:t>that the Party concerned has fulfilled the requirement</w:t>
      </w:r>
      <w:r w:rsidR="002050A4">
        <w:t>s</w:t>
      </w:r>
      <w:r w:rsidR="002050A4" w:rsidRPr="004C1F0C">
        <w:t xml:space="preserve"> of paragraph 5 of decision V/9k </w:t>
      </w:r>
      <w:r w:rsidR="002050A4">
        <w:t xml:space="preserve">to the extent that the Party concerned is no longer </w:t>
      </w:r>
      <w:r w:rsidR="002050A4" w:rsidRPr="00961DE9">
        <w:t>in</w:t>
      </w:r>
      <w:r w:rsidR="002050A4">
        <w:t xml:space="preserve"> a state of non-compliance with article 4, paragraph 8</w:t>
      </w:r>
      <w:r w:rsidR="00456404">
        <w:t>,</w:t>
      </w:r>
      <w:r w:rsidR="002050A4">
        <w:t xml:space="preserve"> of the Convention with respect to the specific points of non-compliance identified in </w:t>
      </w:r>
      <w:r w:rsidR="0025497C">
        <w:t xml:space="preserve">paragraph 79 of </w:t>
      </w:r>
      <w:r w:rsidR="002050A4">
        <w:t>the Committee’s findings on communication ACCC/C/2008/24 (ECE/</w:t>
      </w:r>
      <w:proofErr w:type="gramStart"/>
      <w:r w:rsidR="002050A4">
        <w:t>MP.PP</w:t>
      </w:r>
      <w:proofErr w:type="gramEnd"/>
      <w:r w:rsidR="002050A4">
        <w:t>/C.1/2009/8/Add.1)</w:t>
      </w:r>
      <w:r w:rsidR="00672BD8">
        <w:t>;</w:t>
      </w:r>
    </w:p>
    <w:p w14:paraId="5EC9FF41" w14:textId="3000B6DE" w:rsidR="00086240" w:rsidRPr="00794999" w:rsidRDefault="00961DE9" w:rsidP="00961DE9">
      <w:pPr>
        <w:pStyle w:val="SingleTxtG"/>
      </w:pPr>
      <w:r>
        <w:tab/>
      </w:r>
      <w:r w:rsidR="002050A4">
        <w:t>2</w:t>
      </w:r>
      <w:r w:rsidR="00086240" w:rsidRPr="00D73638">
        <w:t>.</w:t>
      </w:r>
      <w:r w:rsidR="00086240">
        <w:rPr>
          <w:i/>
        </w:rPr>
        <w:tab/>
      </w:r>
      <w:r w:rsidR="002050A4">
        <w:rPr>
          <w:i/>
        </w:rPr>
        <w:t xml:space="preserve">Also endorses </w:t>
      </w:r>
      <w:r w:rsidR="002050A4">
        <w:t xml:space="preserve">the Committee’s finding that the Party concerned has </w:t>
      </w:r>
      <w:r w:rsidR="002050A4" w:rsidRPr="004C1F0C">
        <w:t xml:space="preserve">not yet </w:t>
      </w:r>
      <w:r w:rsidR="002050A4">
        <w:t>met</w:t>
      </w:r>
      <w:r w:rsidR="002050A4" w:rsidRPr="004C1F0C">
        <w:t xml:space="preserve"> the </w:t>
      </w:r>
      <w:r w:rsidR="002050A4" w:rsidRPr="00961DE9">
        <w:t>requirements</w:t>
      </w:r>
      <w:r w:rsidR="002050A4" w:rsidRPr="004C1F0C">
        <w:t xml:space="preserve"> of </w:t>
      </w:r>
      <w:r w:rsidR="002050A4">
        <w:t xml:space="preserve">paragraph 6 of </w:t>
      </w:r>
      <w:r w:rsidR="002050A4" w:rsidRPr="004C1F0C">
        <w:t>decision V/9k</w:t>
      </w:r>
      <w:r w:rsidR="00672BD8">
        <w:t>;</w:t>
      </w:r>
    </w:p>
    <w:p w14:paraId="46220168" w14:textId="24D55FB9" w:rsidR="002050A4" w:rsidRDefault="00961DE9" w:rsidP="00961DE9">
      <w:pPr>
        <w:pStyle w:val="SingleTxtG"/>
      </w:pPr>
      <w:r>
        <w:lastRenderedPageBreak/>
        <w:tab/>
      </w:r>
      <w:r w:rsidR="002050A4">
        <w:t>3</w:t>
      </w:r>
      <w:r w:rsidR="00086240">
        <w:t>.</w:t>
      </w:r>
      <w:r w:rsidR="00086240">
        <w:tab/>
      </w:r>
      <w:r w:rsidR="002050A4" w:rsidRPr="0025497C">
        <w:rPr>
          <w:i/>
        </w:rPr>
        <w:t xml:space="preserve">Requests </w:t>
      </w:r>
      <w:r w:rsidR="002050A4">
        <w:t xml:space="preserve">the Party concerned to take measures, as a matter of urgency, to ensure that </w:t>
      </w:r>
      <w:r w:rsidR="002050A4" w:rsidRPr="00961DE9">
        <w:t>the</w:t>
      </w:r>
      <w:r w:rsidR="002050A4">
        <w:t xml:space="preserve"> remaining obstacles to the full implementation of article 9, paragraphs 4 and</w:t>
      </w:r>
      <w:r w:rsidR="00AC74DF">
        <w:t> </w:t>
      </w:r>
      <w:r w:rsidR="002050A4">
        <w:t xml:space="preserve">5, of the Convention with respect to legal aid for </w:t>
      </w:r>
      <w:r w:rsidR="009F15F2">
        <w:t xml:space="preserve">non-governmental organizations </w:t>
      </w:r>
      <w:r w:rsidR="002050A4">
        <w:t>identified by the Committee in paragraph 66 of its findings on communication ACCC/C/2009/36 are overcome;</w:t>
      </w:r>
    </w:p>
    <w:p w14:paraId="59A4AB92" w14:textId="0F2C01D8" w:rsidR="0025497C" w:rsidRDefault="00961DE9" w:rsidP="00961DE9">
      <w:pPr>
        <w:pStyle w:val="SingleTxtG"/>
      </w:pPr>
      <w:r>
        <w:tab/>
      </w:r>
      <w:r w:rsidR="0025497C">
        <w:t>4.</w:t>
      </w:r>
      <w:r w:rsidR="002050A4" w:rsidRPr="00A67349">
        <w:tab/>
      </w:r>
      <w:r w:rsidR="002050A4" w:rsidRPr="0025497C">
        <w:rPr>
          <w:i/>
        </w:rPr>
        <w:t>Call</w:t>
      </w:r>
      <w:r w:rsidR="0025497C">
        <w:rPr>
          <w:i/>
        </w:rPr>
        <w:t>s</w:t>
      </w:r>
      <w:r w:rsidR="002050A4" w:rsidRPr="0025497C">
        <w:rPr>
          <w:i/>
        </w:rPr>
        <w:t xml:space="preserve"> upon</w:t>
      </w:r>
      <w:r w:rsidR="002050A4" w:rsidRPr="00A67349">
        <w:t xml:space="preserve"> all relevant ministries of the Party concerned, including the Ministry of Justice, to </w:t>
      </w:r>
      <w:r w:rsidR="002050A4" w:rsidRPr="00961DE9">
        <w:t>work</w:t>
      </w:r>
      <w:r w:rsidR="002050A4" w:rsidRPr="00A67349">
        <w:t xml:space="preserve"> together in that regard</w:t>
      </w:r>
      <w:r w:rsidR="0025497C">
        <w:t>.</w:t>
      </w:r>
    </w:p>
    <w:p w14:paraId="63243528" w14:textId="2CADAB19" w:rsidR="009F15F2" w:rsidRDefault="00961DE9" w:rsidP="00961DE9">
      <w:pPr>
        <w:pStyle w:val="SingleTxtG"/>
      </w:pPr>
      <w:r>
        <w:tab/>
      </w:r>
      <w:r w:rsidR="009F15F2">
        <w:t>5.</w:t>
      </w:r>
      <w:r w:rsidR="009F15F2">
        <w:tab/>
      </w:r>
      <w:r w:rsidR="009F15F2" w:rsidRPr="009F15F2">
        <w:rPr>
          <w:i/>
        </w:rPr>
        <w:t>Endorses</w:t>
      </w:r>
      <w:r w:rsidR="009F15F2">
        <w:t xml:space="preserve"> the following finding</w:t>
      </w:r>
      <w:r w:rsidR="002152C6">
        <w:t>s</w:t>
      </w:r>
      <w:r w:rsidR="009F15F2">
        <w:t xml:space="preserve"> of the Committee</w:t>
      </w:r>
      <w:r w:rsidR="002152C6">
        <w:t xml:space="preserve"> with regard to communication ACCC/C/2014/99</w:t>
      </w:r>
      <w:r w:rsidR="009F15F2">
        <w:t>:</w:t>
      </w:r>
    </w:p>
    <w:p w14:paraId="375595E2" w14:textId="2C6CFB36" w:rsidR="009F15F2" w:rsidRPr="00961DE9" w:rsidRDefault="00961DE9" w:rsidP="00961DE9">
      <w:pPr>
        <w:pStyle w:val="SingleTxtG"/>
      </w:pPr>
      <w:r w:rsidRPr="00961DE9">
        <w:tab/>
        <w:t>(a)</w:t>
      </w:r>
      <w:r w:rsidRPr="00961DE9">
        <w:tab/>
      </w:r>
      <w:r w:rsidR="009F15F2" w:rsidRPr="00961DE9">
        <w:rPr>
          <w:rFonts w:eastAsiaTheme="minorHAnsi"/>
          <w:lang w:val="en-US"/>
        </w:rPr>
        <w:t xml:space="preserve">By not properly informing the public concerned </w:t>
      </w:r>
      <w:r w:rsidR="009F15F2" w:rsidRPr="00961DE9">
        <w:t xml:space="preserve">about the project by the company </w:t>
      </w:r>
      <w:proofErr w:type="spellStart"/>
      <w:r w:rsidR="009F15F2" w:rsidRPr="00961DE9">
        <w:t>Uniland</w:t>
      </w:r>
      <w:proofErr w:type="spellEnd"/>
      <w:r w:rsidR="009F15F2" w:rsidRPr="00961DE9">
        <w:t xml:space="preserve"> </w:t>
      </w:r>
      <w:proofErr w:type="spellStart"/>
      <w:r w:rsidR="009F15F2" w:rsidRPr="00961DE9">
        <w:t>Cementer</w:t>
      </w:r>
      <w:r w:rsidR="00B93248">
        <w:t>a</w:t>
      </w:r>
      <w:proofErr w:type="spellEnd"/>
      <w:r w:rsidR="00B93248">
        <w:t>, SA, and in particular about:</w:t>
      </w:r>
    </w:p>
    <w:p w14:paraId="6963E108" w14:textId="3BE3380B" w:rsidR="009F15F2" w:rsidRPr="00961DE9" w:rsidRDefault="00961DE9" w:rsidP="00961DE9">
      <w:pPr>
        <w:pStyle w:val="SingleTxtG"/>
        <w:ind w:left="1701"/>
      </w:pPr>
      <w:r w:rsidRPr="00961DE9">
        <w:t>(</w:t>
      </w:r>
      <w:proofErr w:type="spellStart"/>
      <w:r w:rsidRPr="00961DE9">
        <w:t>i</w:t>
      </w:r>
      <w:proofErr w:type="spellEnd"/>
      <w:r w:rsidRPr="00961DE9">
        <w:t>)</w:t>
      </w:r>
      <w:r w:rsidRPr="00961DE9">
        <w:tab/>
      </w:r>
      <w:r w:rsidR="009F15F2" w:rsidRPr="00961DE9">
        <w:t xml:space="preserve">The proposed change </w:t>
      </w:r>
      <w:r w:rsidR="005A3897">
        <w:t xml:space="preserve">to </w:t>
      </w:r>
      <w:r w:rsidR="009F15F2" w:rsidRPr="00961DE9">
        <w:t xml:space="preserve">or extension </w:t>
      </w:r>
      <w:r w:rsidR="005A3897">
        <w:t xml:space="preserve">of </w:t>
      </w:r>
      <w:r w:rsidR="009F15F2" w:rsidRPr="00961DE9">
        <w:t xml:space="preserve">an activity subject to article 6 </w:t>
      </w:r>
      <w:r w:rsidR="005A3897">
        <w:t xml:space="preserve">of the Convention </w:t>
      </w:r>
      <w:r w:rsidR="009F15F2" w:rsidRPr="00961DE9">
        <w:t xml:space="preserve">or </w:t>
      </w:r>
      <w:r w:rsidR="005A3897">
        <w:t xml:space="preserve">an </w:t>
      </w:r>
      <w:r w:rsidR="009F15F2" w:rsidRPr="00961DE9">
        <w:t xml:space="preserve">update </w:t>
      </w:r>
      <w:r w:rsidR="005A3897">
        <w:t xml:space="preserve">of </w:t>
      </w:r>
      <w:r w:rsidR="009F15F2" w:rsidRPr="00961DE9">
        <w:t>its operating conditions;</w:t>
      </w:r>
    </w:p>
    <w:p w14:paraId="37BCE4B8" w14:textId="20884B0B" w:rsidR="009F15F2" w:rsidRPr="00961DE9" w:rsidRDefault="00961DE9" w:rsidP="00961DE9">
      <w:pPr>
        <w:pStyle w:val="SingleTxtG"/>
        <w:ind w:left="1701"/>
      </w:pPr>
      <w:r w:rsidRPr="00961DE9">
        <w:t>(ii)</w:t>
      </w:r>
      <w:r w:rsidRPr="00961DE9">
        <w:tab/>
      </w:r>
      <w:r w:rsidR="009F15F2" w:rsidRPr="00961DE9">
        <w:t>The public authority responsible for making the decision;</w:t>
      </w:r>
    </w:p>
    <w:p w14:paraId="649F4780" w14:textId="48F64D47" w:rsidR="009F15F2" w:rsidRPr="00961DE9" w:rsidRDefault="00961DE9" w:rsidP="00961DE9">
      <w:pPr>
        <w:pStyle w:val="SingleTxtG"/>
        <w:ind w:left="1701"/>
      </w:pPr>
      <w:r w:rsidRPr="00961DE9">
        <w:t>(iii)</w:t>
      </w:r>
      <w:r w:rsidRPr="00961DE9">
        <w:tab/>
      </w:r>
      <w:r w:rsidR="009F15F2" w:rsidRPr="00961DE9">
        <w:t xml:space="preserve">What environmental information relevant for the proposed activity was available; </w:t>
      </w:r>
    </w:p>
    <w:p w14:paraId="4D86DF7A" w14:textId="0647AF12" w:rsidR="009F15F2" w:rsidRPr="00961DE9" w:rsidRDefault="00961DE9" w:rsidP="00961DE9">
      <w:pPr>
        <w:pStyle w:val="SingleTxtG"/>
        <w:ind w:left="1701"/>
      </w:pPr>
      <w:r w:rsidRPr="00961DE9">
        <w:t>(iv)</w:t>
      </w:r>
      <w:r w:rsidRPr="00961DE9">
        <w:tab/>
      </w:r>
      <w:r w:rsidR="009F15F2" w:rsidRPr="00961DE9">
        <w:t xml:space="preserve">The fact that the activity was subject to an </w:t>
      </w:r>
      <w:r w:rsidR="005A3897">
        <w:t>environmental impact assessment</w:t>
      </w:r>
      <w:r w:rsidR="009F15F2" w:rsidRPr="00961DE9">
        <w:t xml:space="preserve"> procedure;</w:t>
      </w:r>
    </w:p>
    <w:p w14:paraId="4A382D54" w14:textId="646E3E05" w:rsidR="009F15F2" w:rsidRPr="00961DE9" w:rsidRDefault="009F15F2" w:rsidP="00FF638A">
      <w:pPr>
        <w:pStyle w:val="SingleTxtG"/>
      </w:pPr>
      <w:r w:rsidRPr="00961DE9">
        <w:t xml:space="preserve">the </w:t>
      </w:r>
      <w:r w:rsidRPr="00FF638A">
        <w:t>Party</w:t>
      </w:r>
      <w:r w:rsidRPr="00961DE9">
        <w:t xml:space="preserve"> concerned </w:t>
      </w:r>
      <w:r w:rsidRPr="00961DE9">
        <w:rPr>
          <w:rFonts w:eastAsiaTheme="minorHAnsi"/>
          <w:lang w:val="en-US"/>
        </w:rPr>
        <w:t>failed to comply with article 6, paragraph 2</w:t>
      </w:r>
      <w:r w:rsidR="005A3897">
        <w:rPr>
          <w:rFonts w:eastAsiaTheme="minorHAnsi"/>
          <w:lang w:val="en-US"/>
        </w:rPr>
        <w:t xml:space="preserve"> </w:t>
      </w:r>
      <w:r w:rsidRPr="00961DE9">
        <w:rPr>
          <w:rFonts w:eastAsiaTheme="minorHAnsi"/>
          <w:lang w:val="en-US"/>
        </w:rPr>
        <w:t>(a), (c), (d)</w:t>
      </w:r>
      <w:r w:rsidR="005A3897">
        <w:rPr>
          <w:rFonts w:eastAsiaTheme="minorHAnsi"/>
          <w:lang w:val="en-US"/>
        </w:rPr>
        <w:t xml:space="preserve"> </w:t>
      </w:r>
      <w:r w:rsidRPr="00961DE9">
        <w:rPr>
          <w:rFonts w:eastAsiaTheme="minorHAnsi"/>
          <w:lang w:val="en-US"/>
        </w:rPr>
        <w:t>(vi) and (e)</w:t>
      </w:r>
      <w:r w:rsidR="005A3897">
        <w:rPr>
          <w:rFonts w:eastAsiaTheme="minorHAnsi"/>
          <w:lang w:val="en-US"/>
        </w:rPr>
        <w:t>,</w:t>
      </w:r>
      <w:r w:rsidRPr="00961DE9">
        <w:rPr>
          <w:rFonts w:eastAsiaTheme="minorHAnsi"/>
          <w:lang w:val="en-US"/>
        </w:rPr>
        <w:t xml:space="preserve"> of the Convention;</w:t>
      </w:r>
    </w:p>
    <w:p w14:paraId="682FB978" w14:textId="3443B931" w:rsidR="009F15F2" w:rsidRPr="002A457A" w:rsidRDefault="00961DE9" w:rsidP="00B93248">
      <w:pPr>
        <w:pStyle w:val="SingleTxtG"/>
      </w:pPr>
      <w:r w:rsidRPr="00961DE9">
        <w:tab/>
        <w:t>(b)</w:t>
      </w:r>
      <w:r w:rsidRPr="00961DE9">
        <w:tab/>
      </w:r>
      <w:r w:rsidR="009F15F2" w:rsidRPr="00961DE9">
        <w:rPr>
          <w:rFonts w:eastAsiaTheme="minorHAnsi"/>
          <w:lang w:val="en-US"/>
        </w:rPr>
        <w:t>By no</w:t>
      </w:r>
      <w:r w:rsidR="009F15F2" w:rsidRPr="002A457A">
        <w:rPr>
          <w:rFonts w:eastAsiaTheme="minorHAnsi"/>
          <w:lang w:val="en-US"/>
        </w:rPr>
        <w:t xml:space="preserve">t informing the public about the decision to permit the activity subject to article 6 of the Convention by any other means </w:t>
      </w:r>
      <w:r w:rsidR="009F15F2">
        <w:rPr>
          <w:rFonts w:eastAsiaTheme="minorHAnsi"/>
          <w:lang w:val="en-US"/>
        </w:rPr>
        <w:t>than</w:t>
      </w:r>
      <w:r w:rsidR="009F15F2" w:rsidRPr="002A457A">
        <w:rPr>
          <w:rFonts w:eastAsiaTheme="minorHAnsi"/>
          <w:lang w:val="en-US"/>
        </w:rPr>
        <w:t xml:space="preserve"> publishing the decision on the </w:t>
      </w:r>
      <w:r w:rsidR="005A3897">
        <w:rPr>
          <w:rFonts w:eastAsiaTheme="minorHAnsi"/>
          <w:lang w:val="en-US"/>
        </w:rPr>
        <w:t>I</w:t>
      </w:r>
      <w:r w:rsidR="009F15F2" w:rsidRPr="002A457A">
        <w:rPr>
          <w:rFonts w:eastAsiaTheme="minorHAnsi"/>
          <w:lang w:val="en-US"/>
        </w:rPr>
        <w:t xml:space="preserve">nternet, </w:t>
      </w:r>
      <w:r w:rsidR="009F15F2" w:rsidRPr="002A457A">
        <w:t xml:space="preserve">the Party concerned </w:t>
      </w:r>
      <w:r w:rsidR="009F15F2" w:rsidRPr="002A457A">
        <w:rPr>
          <w:rFonts w:eastAsiaTheme="minorHAnsi"/>
          <w:lang w:val="en-US"/>
        </w:rPr>
        <w:t>failed to comply with article 6</w:t>
      </w:r>
      <w:r w:rsidR="009F15F2">
        <w:rPr>
          <w:rFonts w:eastAsiaTheme="minorHAnsi"/>
          <w:lang w:val="en-US"/>
        </w:rPr>
        <w:t>, paragraph 9</w:t>
      </w:r>
      <w:r w:rsidR="00F9296E">
        <w:rPr>
          <w:rFonts w:eastAsiaTheme="minorHAnsi"/>
          <w:lang w:val="en-US"/>
        </w:rPr>
        <w:t>,</w:t>
      </w:r>
      <w:r w:rsidR="009F15F2">
        <w:rPr>
          <w:rFonts w:eastAsiaTheme="minorHAnsi"/>
          <w:lang w:val="en-US"/>
        </w:rPr>
        <w:t xml:space="preserve"> of the Convention;</w:t>
      </w:r>
    </w:p>
    <w:p w14:paraId="7F19610A" w14:textId="79E39004" w:rsidR="002152C6" w:rsidRDefault="00B93248" w:rsidP="00B93248">
      <w:pPr>
        <w:pStyle w:val="SingleTxtG"/>
      </w:pPr>
      <w:r>
        <w:tab/>
      </w:r>
      <w:r w:rsidR="002152C6">
        <w:t>6.</w:t>
      </w:r>
      <w:r w:rsidR="002152C6">
        <w:tab/>
      </w:r>
      <w:r w:rsidR="002152C6" w:rsidRPr="00105B2D">
        <w:rPr>
          <w:i/>
        </w:rPr>
        <w:t xml:space="preserve">Welcomes </w:t>
      </w:r>
      <w:r w:rsidR="002152C6">
        <w:t>the recommendation made by t</w:t>
      </w:r>
      <w:r w:rsidR="009F15F2" w:rsidRPr="002A457A">
        <w:t>he Committee</w:t>
      </w:r>
      <w:r w:rsidR="002152C6">
        <w:t xml:space="preserve"> during the intersessional period with respect to its findings on communication ACCC/C/2014/99 in accordance with </w:t>
      </w:r>
      <w:r w:rsidR="009F15F2" w:rsidRPr="002A457A">
        <w:t>paragraph 36 (b) of the annex to decision I/7</w:t>
      </w:r>
      <w:r w:rsidR="002152C6">
        <w:t>;</w:t>
      </w:r>
    </w:p>
    <w:p w14:paraId="3339D764" w14:textId="58587235" w:rsidR="009F15F2" w:rsidRPr="002A457A" w:rsidRDefault="00B93248" w:rsidP="00B93248">
      <w:pPr>
        <w:pStyle w:val="SingleTxtG"/>
      </w:pPr>
      <w:r>
        <w:tab/>
      </w:r>
      <w:r w:rsidR="002152C6">
        <w:t>7.</w:t>
      </w:r>
      <w:r w:rsidR="002152C6">
        <w:tab/>
      </w:r>
      <w:r w:rsidR="002152C6" w:rsidRPr="00105B2D">
        <w:rPr>
          <w:i/>
        </w:rPr>
        <w:t>Also welcomes</w:t>
      </w:r>
      <w:r w:rsidR="002152C6">
        <w:t xml:space="preserve"> the wil</w:t>
      </w:r>
      <w:r w:rsidR="00105B2D">
        <w:t>ling</w:t>
      </w:r>
      <w:r w:rsidR="002152C6">
        <w:t xml:space="preserve">ness of the </w:t>
      </w:r>
      <w:r w:rsidR="009F15F2" w:rsidRPr="002A457A">
        <w:t xml:space="preserve">Party concerned </w:t>
      </w:r>
      <w:r w:rsidR="00105B2D">
        <w:t xml:space="preserve">to accept the Committee’s recommendation, namely, </w:t>
      </w:r>
      <w:r w:rsidR="009F15F2">
        <w:t>that</w:t>
      </w:r>
      <w:r w:rsidR="009F15F2" w:rsidRPr="002A457A">
        <w:t xml:space="preserve"> the Party concerned take the necessary legislative, </w:t>
      </w:r>
      <w:r w:rsidR="009F15F2" w:rsidRPr="00B93248">
        <w:t>regulatory</w:t>
      </w:r>
      <w:r w:rsidR="009F15F2" w:rsidRPr="002A457A">
        <w:t xml:space="preserve"> or other measures </w:t>
      </w:r>
      <w:r w:rsidR="00F9296E">
        <w:t xml:space="preserve">and </w:t>
      </w:r>
      <w:r w:rsidR="009F15F2" w:rsidRPr="002A457A">
        <w:t xml:space="preserve">practical arrangements to ensure that </w:t>
      </w:r>
      <w:r w:rsidR="009F15F2" w:rsidRPr="002A457A">
        <w:rPr>
          <w:rFonts w:eastAsiaTheme="minorHAnsi"/>
          <w:lang w:val="en-US"/>
        </w:rPr>
        <w:t>the public is promptly informed of decisions taken under article 6, paragraph 9</w:t>
      </w:r>
      <w:r w:rsidR="00F9296E">
        <w:rPr>
          <w:rFonts w:eastAsiaTheme="minorHAnsi"/>
          <w:lang w:val="en-US"/>
        </w:rPr>
        <w:t>,</w:t>
      </w:r>
      <w:r w:rsidR="009F15F2" w:rsidRPr="002A457A">
        <w:rPr>
          <w:rFonts w:eastAsiaTheme="minorHAnsi"/>
          <w:lang w:val="en-US"/>
        </w:rPr>
        <w:t xml:space="preserve"> of the Convention not only through the </w:t>
      </w:r>
      <w:r w:rsidR="00F9296E">
        <w:rPr>
          <w:rFonts w:eastAsiaTheme="minorHAnsi"/>
          <w:lang w:val="en-US"/>
        </w:rPr>
        <w:t>I</w:t>
      </w:r>
      <w:r w:rsidR="009F15F2" w:rsidRPr="002A457A">
        <w:rPr>
          <w:rFonts w:eastAsiaTheme="minorHAnsi"/>
          <w:lang w:val="en-US"/>
        </w:rPr>
        <w:t>nternet, but also through other means, including but not necessarily limited to the methods used to inform the public concerned pursuant to article 6, paragraph 2</w:t>
      </w:r>
      <w:r w:rsidR="00F9296E">
        <w:rPr>
          <w:rFonts w:eastAsiaTheme="minorHAnsi"/>
          <w:lang w:val="en-US"/>
        </w:rPr>
        <w:t>,</w:t>
      </w:r>
      <w:r w:rsidR="009F15F2" w:rsidRPr="002A457A">
        <w:rPr>
          <w:rFonts w:eastAsiaTheme="minorHAnsi"/>
          <w:lang w:val="en-US"/>
        </w:rPr>
        <w:t xml:space="preserve"> of the Convention</w:t>
      </w:r>
      <w:r w:rsidR="00F9296E">
        <w:rPr>
          <w:rFonts w:eastAsiaTheme="minorHAnsi"/>
          <w:lang w:val="en-US"/>
        </w:rPr>
        <w:t>;</w:t>
      </w:r>
    </w:p>
    <w:p w14:paraId="32239E3D" w14:textId="3ACB39B8" w:rsidR="00086240" w:rsidRPr="00BF3A0A" w:rsidRDefault="00086240" w:rsidP="00266720">
      <w:pPr>
        <w:pStyle w:val="SingleTxtG"/>
      </w:pPr>
      <w:r w:rsidRPr="00BF3A0A">
        <w:tab/>
      </w:r>
      <w:r w:rsidR="00105B2D">
        <w:t>8</w:t>
      </w:r>
      <w:r w:rsidRPr="00BF3A0A">
        <w:t>.</w:t>
      </w:r>
      <w:r w:rsidRPr="00BF3A0A">
        <w:tab/>
      </w:r>
      <w:r w:rsidRPr="00BF3A0A">
        <w:rPr>
          <w:i/>
        </w:rPr>
        <w:t>Requests</w:t>
      </w:r>
      <w:r w:rsidRPr="00BF3A0A">
        <w:t xml:space="preserve"> the Party concerned:</w:t>
      </w:r>
    </w:p>
    <w:p w14:paraId="1B7A5026" w14:textId="531E7425" w:rsidR="00086240" w:rsidRPr="00BF3A0A" w:rsidRDefault="00B93248" w:rsidP="00B93248">
      <w:pPr>
        <w:pStyle w:val="SingleTxtG"/>
      </w:pPr>
      <w:r>
        <w:tab/>
      </w:r>
      <w:r w:rsidR="00672BD8" w:rsidRPr="00BF3A0A">
        <w:t>(a)</w:t>
      </w:r>
      <w:r w:rsidR="00672BD8" w:rsidRPr="00BF3A0A">
        <w:tab/>
      </w:r>
      <w:r w:rsidR="00086240" w:rsidRPr="00BF3A0A">
        <w:t xml:space="preserve">To </w:t>
      </w:r>
      <w:r w:rsidR="00086240" w:rsidRPr="00B93248">
        <w:t>submit</w:t>
      </w:r>
      <w:r w:rsidR="00086240" w:rsidRPr="00BF3A0A">
        <w:t xml:space="preserve"> to the Committee detailed progress reports on 1 October 2018, 1</w:t>
      </w:r>
      <w:r w:rsidR="00BF3A0A">
        <w:t> </w:t>
      </w:r>
      <w:r w:rsidR="00086240" w:rsidRPr="00BF3A0A">
        <w:t>October 2019 and 1 October 2020 on the measures taken and the results achieved in the implementation of the above recommendations;</w:t>
      </w:r>
    </w:p>
    <w:p w14:paraId="3E617EF2" w14:textId="0131017D" w:rsidR="00086240" w:rsidRPr="00BF3A0A" w:rsidRDefault="00B93248" w:rsidP="00B93248">
      <w:pPr>
        <w:pStyle w:val="SingleTxtG"/>
      </w:pPr>
      <w:r>
        <w:tab/>
      </w:r>
      <w:r w:rsidR="00672BD8" w:rsidRPr="00BF3A0A">
        <w:t>(b)</w:t>
      </w:r>
      <w:r w:rsidR="00672BD8" w:rsidRPr="00BF3A0A">
        <w:tab/>
      </w:r>
      <w:r w:rsidR="00086240" w:rsidRPr="00B93248">
        <w:t>To</w:t>
      </w:r>
      <w:r w:rsidR="00086240" w:rsidRPr="00BF3A0A">
        <w:t xml:space="preserve"> provide such further information as the Committee may request in order to assist it to review the progress </w:t>
      </w:r>
      <w:r w:rsidR="00BF3A0A">
        <w:t xml:space="preserve">of the Party concerned </w:t>
      </w:r>
      <w:r w:rsidR="00086240" w:rsidRPr="00BF3A0A">
        <w:t xml:space="preserve">in implementing the above recommendations; </w:t>
      </w:r>
    </w:p>
    <w:p w14:paraId="3D4FEC25" w14:textId="5F72AB25" w:rsidR="00086240" w:rsidRPr="00BF3A0A" w:rsidRDefault="00B93248" w:rsidP="00B93248">
      <w:pPr>
        <w:pStyle w:val="SingleTxtG"/>
      </w:pPr>
      <w:r>
        <w:tab/>
      </w:r>
      <w:r w:rsidR="00672BD8" w:rsidRPr="00BF3A0A">
        <w:t>(c)</w:t>
      </w:r>
      <w:r w:rsidR="00672BD8" w:rsidRPr="00BF3A0A">
        <w:tab/>
      </w:r>
      <w:r w:rsidR="00086240" w:rsidRPr="00BF3A0A">
        <w:t xml:space="preserve">To </w:t>
      </w:r>
      <w:r w:rsidR="00086240" w:rsidRPr="00B93248">
        <w:t>participate</w:t>
      </w:r>
      <w:r w:rsidR="00086240" w:rsidRPr="00BF3A0A">
        <w:t xml:space="preserve"> (either in person or by audio conference) in the meetings of the Committee at which the progress of the Party concerned in implementing the above recommendations is to be considered</w:t>
      </w:r>
      <w:r w:rsidR="00BF3A0A">
        <w:t>;</w:t>
      </w:r>
      <w:r w:rsidR="00086240" w:rsidRPr="00BF3A0A">
        <w:t xml:space="preserve"> </w:t>
      </w:r>
    </w:p>
    <w:p w14:paraId="35741DE3" w14:textId="4B3BE997" w:rsidR="00B93248" w:rsidRDefault="0025497C" w:rsidP="00B93248">
      <w:pPr>
        <w:pStyle w:val="SingleTxtG"/>
      </w:pPr>
      <w:r>
        <w:tab/>
      </w:r>
      <w:r w:rsidR="00AD2B09">
        <w:t>9</w:t>
      </w:r>
      <w:r w:rsidR="00086240" w:rsidRPr="00BF3A0A">
        <w:t>.</w:t>
      </w:r>
      <w:r w:rsidR="00086240" w:rsidRPr="00BF3A0A">
        <w:tab/>
      </w:r>
      <w:r w:rsidR="00086240" w:rsidRPr="00BF3A0A">
        <w:rPr>
          <w:i/>
        </w:rPr>
        <w:t>Undertakes</w:t>
      </w:r>
      <w:r w:rsidR="00086240" w:rsidRPr="00BF3A0A">
        <w:t xml:space="preserve"> to review the situation</w:t>
      </w:r>
      <w:r w:rsidR="00086240" w:rsidRPr="00D5588A">
        <w:t xml:space="preserve"> at its</w:t>
      </w:r>
      <w:r w:rsidR="00086240">
        <w:t xml:space="preserve"> seventh</w:t>
      </w:r>
      <w:r w:rsidR="00086240" w:rsidRPr="00D5588A">
        <w:t xml:space="preserve"> session.</w:t>
      </w:r>
    </w:p>
    <w:p w14:paraId="158327C4" w14:textId="01AF168E" w:rsidR="00B70C04" w:rsidRPr="00B70C04" w:rsidRDefault="00B70C04" w:rsidP="00B70C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0C04" w:rsidRPr="00B70C04" w:rsidSect="00B70C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13DA" w14:textId="77777777" w:rsidR="004334C7" w:rsidRDefault="004334C7"/>
  </w:endnote>
  <w:endnote w:type="continuationSeparator" w:id="0">
    <w:p w14:paraId="43710FCF" w14:textId="77777777" w:rsidR="004334C7" w:rsidRDefault="004334C7"/>
  </w:endnote>
  <w:endnote w:type="continuationNotice" w:id="1">
    <w:p w14:paraId="198E5FB4" w14:textId="77777777" w:rsidR="004334C7" w:rsidRDefault="00433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70BB" w14:textId="34355D70" w:rsidR="004334C7" w:rsidRPr="004334C7" w:rsidRDefault="004334C7" w:rsidP="004334C7">
    <w:pPr>
      <w:pStyle w:val="Footer"/>
      <w:tabs>
        <w:tab w:val="right" w:pos="9638"/>
      </w:tabs>
      <w:rPr>
        <w:sz w:val="18"/>
      </w:rPr>
    </w:pPr>
    <w:r w:rsidRPr="004334C7">
      <w:rPr>
        <w:b/>
        <w:sz w:val="18"/>
      </w:rPr>
      <w:fldChar w:fldCharType="begin"/>
    </w:r>
    <w:r w:rsidRPr="004334C7">
      <w:rPr>
        <w:b/>
        <w:sz w:val="18"/>
      </w:rPr>
      <w:instrText xml:space="preserve"> PAGE  \* MERGEFORMAT </w:instrText>
    </w:r>
    <w:r w:rsidRPr="004334C7">
      <w:rPr>
        <w:b/>
        <w:sz w:val="18"/>
      </w:rPr>
      <w:fldChar w:fldCharType="separate"/>
    </w:r>
    <w:r w:rsidR="00BC69F1">
      <w:rPr>
        <w:b/>
        <w:noProof/>
        <w:sz w:val="18"/>
      </w:rPr>
      <w:t>2</w:t>
    </w:r>
    <w:r w:rsidRPr="004334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02C4" w14:textId="2CBD9AAA" w:rsidR="004334C7" w:rsidRPr="004334C7" w:rsidRDefault="004334C7" w:rsidP="004334C7">
    <w:pPr>
      <w:pStyle w:val="Footer"/>
      <w:tabs>
        <w:tab w:val="right" w:pos="9638"/>
      </w:tabs>
      <w:rPr>
        <w:b/>
        <w:sz w:val="18"/>
      </w:rPr>
    </w:pPr>
    <w:r>
      <w:tab/>
    </w:r>
    <w:r w:rsidRPr="004334C7">
      <w:rPr>
        <w:b/>
        <w:sz w:val="18"/>
      </w:rPr>
      <w:fldChar w:fldCharType="begin"/>
    </w:r>
    <w:r w:rsidRPr="004334C7">
      <w:rPr>
        <w:b/>
        <w:sz w:val="18"/>
      </w:rPr>
      <w:instrText xml:space="preserve"> PAGE  \* MERGEFORMAT </w:instrText>
    </w:r>
    <w:r w:rsidRPr="004334C7">
      <w:rPr>
        <w:b/>
        <w:sz w:val="18"/>
      </w:rPr>
      <w:fldChar w:fldCharType="separate"/>
    </w:r>
    <w:r w:rsidR="00BC69F1">
      <w:rPr>
        <w:b/>
        <w:noProof/>
        <w:sz w:val="18"/>
      </w:rPr>
      <w:t>3</w:t>
    </w:r>
    <w:r w:rsidRPr="00433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B641" w14:textId="7CBD2778" w:rsidR="00D453C5" w:rsidRDefault="00D453C5" w:rsidP="00D453C5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D103786" wp14:editId="5593466B">
          <wp:simplePos x="0" y="0"/>
          <wp:positionH relativeFrom="margin">
            <wp:posOffset>5428380</wp:posOffset>
          </wp:positionH>
          <wp:positionV relativeFrom="margin">
            <wp:posOffset>7945150</wp:posOffset>
          </wp:positionV>
          <wp:extent cx="638175" cy="638175"/>
          <wp:effectExtent l="0" t="0" r="9525" b="9525"/>
          <wp:wrapNone/>
          <wp:docPr id="3" name="Picture 1" descr="https://undocs.org/m2/QRCode.ashx?DS=ECE/MP.PP/2017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8643D06" wp14:editId="0E0157FB">
          <wp:simplePos x="0" y="0"/>
          <wp:positionH relativeFrom="margin">
            <wp:posOffset>4269740</wp:posOffset>
          </wp:positionH>
          <wp:positionV relativeFrom="margin">
            <wp:posOffset>8295640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B496C" w14:textId="05988C17" w:rsidR="00D453C5" w:rsidRDefault="00D453C5" w:rsidP="00D453C5">
    <w:pPr>
      <w:pStyle w:val="Footer"/>
      <w:ind w:right="1134"/>
      <w:rPr>
        <w:sz w:val="20"/>
      </w:rPr>
    </w:pPr>
    <w:r>
      <w:rPr>
        <w:sz w:val="20"/>
      </w:rPr>
      <w:t>GE.17-11531(E)</w:t>
    </w:r>
  </w:p>
  <w:p w14:paraId="4842F5C5" w14:textId="77A157D3" w:rsidR="00D453C5" w:rsidRPr="00D453C5" w:rsidRDefault="00D453C5" w:rsidP="00D453C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25FB" w14:textId="77777777" w:rsidR="004334C7" w:rsidRPr="000B175B" w:rsidRDefault="004334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E817A6" w14:textId="77777777" w:rsidR="004334C7" w:rsidRPr="00FC68B7" w:rsidRDefault="004334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2DCE68" w14:textId="77777777" w:rsidR="004334C7" w:rsidRDefault="00433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FEE6" w14:textId="06069FFE" w:rsidR="004334C7" w:rsidRPr="004334C7" w:rsidRDefault="004334C7">
    <w:pPr>
      <w:pStyle w:val="Header"/>
    </w:pPr>
    <w:r>
      <w:t>ECE/</w:t>
    </w:r>
    <w:proofErr w:type="gramStart"/>
    <w:r>
      <w:t>MP.PP</w:t>
    </w:r>
    <w:proofErr w:type="gramEnd"/>
    <w:r>
      <w:t>/2017/</w:t>
    </w:r>
    <w:r w:rsidR="00AD2B09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5D84" w14:textId="2F8AFE18" w:rsidR="004334C7" w:rsidRPr="004334C7" w:rsidRDefault="004334C7" w:rsidP="004334C7">
    <w:pPr>
      <w:pStyle w:val="Header"/>
      <w:jc w:val="right"/>
    </w:pPr>
    <w:r>
      <w:t>ECE/MP.PP/2017/</w:t>
    </w:r>
    <w:r w:rsidR="00AD2B09"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7D5E"/>
    <w:multiLevelType w:val="hybridMultilevel"/>
    <w:tmpl w:val="20AA8CAE"/>
    <w:lvl w:ilvl="0" w:tplc="83DC3476">
      <w:start w:val="1"/>
      <w:numFmt w:val="decimal"/>
      <w:lvlText w:val="%1."/>
      <w:lvlJc w:val="left"/>
      <w:pPr>
        <w:ind w:left="2460" w:hanging="10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8917FE"/>
    <w:multiLevelType w:val="multilevel"/>
    <w:tmpl w:val="00000012"/>
    <w:lvl w:ilvl="0">
      <w:start w:val="3"/>
      <w:numFmt w:val="lowerLetter"/>
      <w:lvlText w:val="(%1)"/>
      <w:lvlJc w:val="left"/>
      <w:pPr>
        <w:tabs>
          <w:tab w:val="num" w:pos="0"/>
        </w:tabs>
        <w:ind w:left="262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334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abstractNum w:abstractNumId="14" w15:restartNumberingAfterBreak="0">
    <w:nsid w:val="52332FAB"/>
    <w:multiLevelType w:val="hybridMultilevel"/>
    <w:tmpl w:val="CA0CD2D8"/>
    <w:lvl w:ilvl="0" w:tplc="BCF827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E732D6A"/>
    <w:multiLevelType w:val="hybridMultilevel"/>
    <w:tmpl w:val="283CF8C4"/>
    <w:lvl w:ilvl="0" w:tplc="24124D36">
      <w:start w:val="1"/>
      <w:numFmt w:val="decimal"/>
      <w:lvlText w:val="%1."/>
      <w:lvlJc w:val="left"/>
      <w:pPr>
        <w:tabs>
          <w:tab w:val="num" w:pos="1711"/>
        </w:tabs>
        <w:ind w:left="1711" w:hanging="576"/>
      </w:pPr>
      <w:rPr>
        <w:rFonts w:ascii="Times New Roman" w:eastAsia="Times New Roman" w:hAnsi="Times New Roman" w:cs="Times New Roman"/>
        <w:i w:val="0"/>
        <w:vertAlign w:val="baseline"/>
      </w:rPr>
    </w:lvl>
    <w:lvl w:ilvl="1" w:tplc="88E4FE6A">
      <w:start w:val="1"/>
      <w:numFmt w:val="lowerLetter"/>
      <w:lvlText w:val="(%2)"/>
      <w:lvlJc w:val="left"/>
      <w:pPr>
        <w:tabs>
          <w:tab w:val="num" w:pos="2489"/>
        </w:tabs>
        <w:ind w:left="2489" w:hanging="720"/>
      </w:pPr>
      <w:rPr>
        <w:rFonts w:hint="default"/>
        <w:sz w:val="20"/>
        <w:szCs w:val="20"/>
      </w:rPr>
    </w:lvl>
    <w:lvl w:ilvl="2" w:tplc="B994EE50">
      <w:start w:val="1"/>
      <w:numFmt w:val="lowerRoman"/>
      <w:lvlText w:val="(%3)"/>
      <w:lvlJc w:val="right"/>
      <w:pPr>
        <w:tabs>
          <w:tab w:val="num" w:pos="2849"/>
        </w:tabs>
        <w:ind w:left="284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C7"/>
    <w:rsid w:val="000149D2"/>
    <w:rsid w:val="000463DC"/>
    <w:rsid w:val="00046B1F"/>
    <w:rsid w:val="00050F6B"/>
    <w:rsid w:val="00057E97"/>
    <w:rsid w:val="00072C8C"/>
    <w:rsid w:val="000733B5"/>
    <w:rsid w:val="00081815"/>
    <w:rsid w:val="00086240"/>
    <w:rsid w:val="000931C0"/>
    <w:rsid w:val="000B0595"/>
    <w:rsid w:val="000B175B"/>
    <w:rsid w:val="000B3A0F"/>
    <w:rsid w:val="000B4EF7"/>
    <w:rsid w:val="000C2C03"/>
    <w:rsid w:val="000C2D2E"/>
    <w:rsid w:val="000E0415"/>
    <w:rsid w:val="00105B2D"/>
    <w:rsid w:val="001103AA"/>
    <w:rsid w:val="0011666B"/>
    <w:rsid w:val="00154FD9"/>
    <w:rsid w:val="00155359"/>
    <w:rsid w:val="00165F3A"/>
    <w:rsid w:val="001969F4"/>
    <w:rsid w:val="001A3336"/>
    <w:rsid w:val="001B4B04"/>
    <w:rsid w:val="001C5EA9"/>
    <w:rsid w:val="001C6663"/>
    <w:rsid w:val="001C7895"/>
    <w:rsid w:val="001D0C8C"/>
    <w:rsid w:val="001D1419"/>
    <w:rsid w:val="001D26DF"/>
    <w:rsid w:val="001D3A03"/>
    <w:rsid w:val="001E7B67"/>
    <w:rsid w:val="00202DA8"/>
    <w:rsid w:val="002050A4"/>
    <w:rsid w:val="00211E0B"/>
    <w:rsid w:val="002152C6"/>
    <w:rsid w:val="00225055"/>
    <w:rsid w:val="00230C33"/>
    <w:rsid w:val="0024772E"/>
    <w:rsid w:val="0025497C"/>
    <w:rsid w:val="00266720"/>
    <w:rsid w:val="00267F5F"/>
    <w:rsid w:val="00286B4D"/>
    <w:rsid w:val="002C4BDF"/>
    <w:rsid w:val="002D4643"/>
    <w:rsid w:val="002F175C"/>
    <w:rsid w:val="002F2B7D"/>
    <w:rsid w:val="00302E18"/>
    <w:rsid w:val="003229D8"/>
    <w:rsid w:val="00352709"/>
    <w:rsid w:val="003619B5"/>
    <w:rsid w:val="00365763"/>
    <w:rsid w:val="00371178"/>
    <w:rsid w:val="00392E47"/>
    <w:rsid w:val="003A6810"/>
    <w:rsid w:val="003B4680"/>
    <w:rsid w:val="003C2CC4"/>
    <w:rsid w:val="003D4B23"/>
    <w:rsid w:val="003E0E9B"/>
    <w:rsid w:val="00410C89"/>
    <w:rsid w:val="00422E03"/>
    <w:rsid w:val="00426B9B"/>
    <w:rsid w:val="004325CB"/>
    <w:rsid w:val="004334C7"/>
    <w:rsid w:val="00436788"/>
    <w:rsid w:val="00442A83"/>
    <w:rsid w:val="0045495B"/>
    <w:rsid w:val="00456404"/>
    <w:rsid w:val="00466275"/>
    <w:rsid w:val="0048397A"/>
    <w:rsid w:val="00485CBB"/>
    <w:rsid w:val="004866B7"/>
    <w:rsid w:val="004A3B97"/>
    <w:rsid w:val="004C0015"/>
    <w:rsid w:val="004C1DEA"/>
    <w:rsid w:val="004C2461"/>
    <w:rsid w:val="004C7462"/>
    <w:rsid w:val="004E72D8"/>
    <w:rsid w:val="004E77B2"/>
    <w:rsid w:val="004F64AD"/>
    <w:rsid w:val="00504B2D"/>
    <w:rsid w:val="0052136D"/>
    <w:rsid w:val="0052775E"/>
    <w:rsid w:val="005420F2"/>
    <w:rsid w:val="005628B6"/>
    <w:rsid w:val="0059724D"/>
    <w:rsid w:val="005A3897"/>
    <w:rsid w:val="005B3DB3"/>
    <w:rsid w:val="005B4E13"/>
    <w:rsid w:val="005C342F"/>
    <w:rsid w:val="005D2609"/>
    <w:rsid w:val="005F7B75"/>
    <w:rsid w:val="006001EE"/>
    <w:rsid w:val="00605042"/>
    <w:rsid w:val="00611FC4"/>
    <w:rsid w:val="006176FB"/>
    <w:rsid w:val="00640B26"/>
    <w:rsid w:val="00652D0A"/>
    <w:rsid w:val="00662BB6"/>
    <w:rsid w:val="006661F3"/>
    <w:rsid w:val="00672BD8"/>
    <w:rsid w:val="00676606"/>
    <w:rsid w:val="00684C21"/>
    <w:rsid w:val="00694617"/>
    <w:rsid w:val="00694E22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D2806"/>
    <w:rsid w:val="007D3CDC"/>
    <w:rsid w:val="007E01E9"/>
    <w:rsid w:val="007E63F3"/>
    <w:rsid w:val="007F6611"/>
    <w:rsid w:val="0080367C"/>
    <w:rsid w:val="00811920"/>
    <w:rsid w:val="00815AD0"/>
    <w:rsid w:val="008242D7"/>
    <w:rsid w:val="008257B1"/>
    <w:rsid w:val="00832334"/>
    <w:rsid w:val="00835DBD"/>
    <w:rsid w:val="00843767"/>
    <w:rsid w:val="008679D9"/>
    <w:rsid w:val="0087321B"/>
    <w:rsid w:val="00881C27"/>
    <w:rsid w:val="008878DE"/>
    <w:rsid w:val="008979B1"/>
    <w:rsid w:val="008A6B25"/>
    <w:rsid w:val="008A6C4F"/>
    <w:rsid w:val="008B2335"/>
    <w:rsid w:val="008B4730"/>
    <w:rsid w:val="008E0678"/>
    <w:rsid w:val="008E6C31"/>
    <w:rsid w:val="009223CA"/>
    <w:rsid w:val="00940F93"/>
    <w:rsid w:val="00961DE9"/>
    <w:rsid w:val="009760F3"/>
    <w:rsid w:val="00976CFB"/>
    <w:rsid w:val="0098311A"/>
    <w:rsid w:val="009A0830"/>
    <w:rsid w:val="009A0E8D"/>
    <w:rsid w:val="009B26E7"/>
    <w:rsid w:val="009B60F3"/>
    <w:rsid w:val="009F15F2"/>
    <w:rsid w:val="00A00697"/>
    <w:rsid w:val="00A00A3F"/>
    <w:rsid w:val="00A01489"/>
    <w:rsid w:val="00A3026E"/>
    <w:rsid w:val="00A338F1"/>
    <w:rsid w:val="00A35BE0"/>
    <w:rsid w:val="00A72F22"/>
    <w:rsid w:val="00A7360F"/>
    <w:rsid w:val="00A748A6"/>
    <w:rsid w:val="00A769F4"/>
    <w:rsid w:val="00A776B4"/>
    <w:rsid w:val="00A77D15"/>
    <w:rsid w:val="00A87DBB"/>
    <w:rsid w:val="00A94361"/>
    <w:rsid w:val="00AA293C"/>
    <w:rsid w:val="00AC74DF"/>
    <w:rsid w:val="00AD2B09"/>
    <w:rsid w:val="00AD5C08"/>
    <w:rsid w:val="00B30179"/>
    <w:rsid w:val="00B421C1"/>
    <w:rsid w:val="00B55C71"/>
    <w:rsid w:val="00B56E4A"/>
    <w:rsid w:val="00B56E9C"/>
    <w:rsid w:val="00B64B1F"/>
    <w:rsid w:val="00B6553F"/>
    <w:rsid w:val="00B70C04"/>
    <w:rsid w:val="00B77D05"/>
    <w:rsid w:val="00B81206"/>
    <w:rsid w:val="00B81E12"/>
    <w:rsid w:val="00B93248"/>
    <w:rsid w:val="00BC3FA0"/>
    <w:rsid w:val="00BC69F1"/>
    <w:rsid w:val="00BC74E9"/>
    <w:rsid w:val="00BF3A0A"/>
    <w:rsid w:val="00BF68A8"/>
    <w:rsid w:val="00C11A03"/>
    <w:rsid w:val="00C12A10"/>
    <w:rsid w:val="00C22C0C"/>
    <w:rsid w:val="00C35F1F"/>
    <w:rsid w:val="00C4527F"/>
    <w:rsid w:val="00C463DD"/>
    <w:rsid w:val="00C4724C"/>
    <w:rsid w:val="00C629A0"/>
    <w:rsid w:val="00C64629"/>
    <w:rsid w:val="00C745C3"/>
    <w:rsid w:val="00C96DF2"/>
    <w:rsid w:val="00CB3E03"/>
    <w:rsid w:val="00CC5A26"/>
    <w:rsid w:val="00CE4A8F"/>
    <w:rsid w:val="00D02901"/>
    <w:rsid w:val="00D02D30"/>
    <w:rsid w:val="00D2031B"/>
    <w:rsid w:val="00D25FE2"/>
    <w:rsid w:val="00D37B45"/>
    <w:rsid w:val="00D43252"/>
    <w:rsid w:val="00D44F86"/>
    <w:rsid w:val="00D453C5"/>
    <w:rsid w:val="00D47EEA"/>
    <w:rsid w:val="00D57DB9"/>
    <w:rsid w:val="00D773DF"/>
    <w:rsid w:val="00D84F5F"/>
    <w:rsid w:val="00D95303"/>
    <w:rsid w:val="00D978C6"/>
    <w:rsid w:val="00DA3C1C"/>
    <w:rsid w:val="00DB5885"/>
    <w:rsid w:val="00DC5061"/>
    <w:rsid w:val="00E046DF"/>
    <w:rsid w:val="00E27346"/>
    <w:rsid w:val="00E71BC8"/>
    <w:rsid w:val="00E7260F"/>
    <w:rsid w:val="00E73F5D"/>
    <w:rsid w:val="00E77E4E"/>
    <w:rsid w:val="00E96630"/>
    <w:rsid w:val="00E96F66"/>
    <w:rsid w:val="00ED7A2A"/>
    <w:rsid w:val="00EF1D7F"/>
    <w:rsid w:val="00EF60A8"/>
    <w:rsid w:val="00F31E5F"/>
    <w:rsid w:val="00F6100A"/>
    <w:rsid w:val="00F7590A"/>
    <w:rsid w:val="00F80A12"/>
    <w:rsid w:val="00F9296E"/>
    <w:rsid w:val="00F93781"/>
    <w:rsid w:val="00FA12F8"/>
    <w:rsid w:val="00FB613B"/>
    <w:rsid w:val="00FC68B7"/>
    <w:rsid w:val="00FD3F98"/>
    <w:rsid w:val="00FE106A"/>
    <w:rsid w:val="00FF145D"/>
    <w:rsid w:val="00FF63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5A7CA08"/>
  <w15:docId w15:val="{58DB146C-B8BF-4B9F-B9A4-0E81FB9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EA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5EA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C5EA9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C5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5EA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C5EA9"/>
    <w:rPr>
      <w:lang w:eastAsia="en-US"/>
    </w:rPr>
  </w:style>
  <w:style w:type="character" w:customStyle="1" w:styleId="WW8Num1z2">
    <w:name w:val="WW8Num1z2"/>
    <w:rsid w:val="002050A4"/>
  </w:style>
  <w:style w:type="character" w:customStyle="1" w:styleId="SingleTxtGChar">
    <w:name w:val="_ Single Txt_G Char"/>
    <w:link w:val="SingleTxtG"/>
    <w:rsid w:val="009F1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amsie\AppData\Roaming\Microsoft\Templates\MP\MP_PP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MP_PP_E.dotm</Template>
  <TotalTime>0</TotalTime>
  <Pages>2</Pages>
  <Words>763</Words>
  <Characters>4261</Characters>
  <Application>Microsoft Office Word</Application>
  <DocSecurity>0</DocSecurity>
  <Lines>90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1711531</vt:lpstr>
      <vt:lpstr>United Nations</vt:lpstr>
    </vt:vector>
  </TitlesOfParts>
  <Company>CSD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1711531</dc:title>
  <dc:subject>ECE/MP.PP/2017/29</dc:subject>
  <dc:creator>Sadaf Shamsie</dc:creator>
  <cp:keywords/>
  <dc:description/>
  <cp:lastModifiedBy>Generic Desk Anglais</cp:lastModifiedBy>
  <cp:revision>2</cp:revision>
  <cp:lastPrinted>2009-10-26T10:54:00Z</cp:lastPrinted>
  <dcterms:created xsi:type="dcterms:W3CDTF">2017-07-11T10:46:00Z</dcterms:created>
  <dcterms:modified xsi:type="dcterms:W3CDTF">2017-07-11T10:46:00Z</dcterms:modified>
</cp:coreProperties>
</file>