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RPr="007A27A5" w14:paraId="1903A89E" w14:textId="77777777" w:rsidTr="00B6553F">
        <w:trPr>
          <w:cantSplit/>
          <w:trHeight w:hRule="exact" w:val="851"/>
        </w:trPr>
        <w:tc>
          <w:tcPr>
            <w:tcW w:w="1276" w:type="dxa"/>
            <w:tcBorders>
              <w:bottom w:val="single" w:sz="4" w:space="0" w:color="auto"/>
            </w:tcBorders>
            <w:vAlign w:val="bottom"/>
          </w:tcPr>
          <w:p w14:paraId="15E4074E" w14:textId="77777777" w:rsidR="00B56E9C" w:rsidRPr="007A27A5" w:rsidRDefault="00B56E9C" w:rsidP="00B6553F">
            <w:pPr>
              <w:spacing w:after="80"/>
            </w:pPr>
            <w:bookmarkStart w:id="0" w:name="_GoBack"/>
            <w:bookmarkEnd w:id="0"/>
          </w:p>
        </w:tc>
        <w:tc>
          <w:tcPr>
            <w:tcW w:w="2268" w:type="dxa"/>
            <w:tcBorders>
              <w:bottom w:val="single" w:sz="4" w:space="0" w:color="auto"/>
            </w:tcBorders>
            <w:vAlign w:val="bottom"/>
          </w:tcPr>
          <w:p w14:paraId="67F8FC39" w14:textId="77777777" w:rsidR="00B56E9C" w:rsidRPr="007A27A5" w:rsidRDefault="00B56E9C" w:rsidP="00B6553F">
            <w:pPr>
              <w:spacing w:after="80" w:line="300" w:lineRule="exact"/>
              <w:rPr>
                <w:b/>
                <w:sz w:val="24"/>
                <w:szCs w:val="24"/>
              </w:rPr>
            </w:pPr>
            <w:r w:rsidRPr="007A27A5">
              <w:rPr>
                <w:sz w:val="28"/>
                <w:szCs w:val="28"/>
              </w:rPr>
              <w:t>United Nations</w:t>
            </w:r>
          </w:p>
        </w:tc>
        <w:tc>
          <w:tcPr>
            <w:tcW w:w="6095" w:type="dxa"/>
            <w:gridSpan w:val="2"/>
            <w:tcBorders>
              <w:bottom w:val="single" w:sz="4" w:space="0" w:color="auto"/>
            </w:tcBorders>
            <w:vAlign w:val="bottom"/>
          </w:tcPr>
          <w:p w14:paraId="55F0FC16" w14:textId="16291600" w:rsidR="00B56E9C" w:rsidRPr="007A27A5" w:rsidRDefault="004334C7" w:rsidP="006E4421">
            <w:pPr>
              <w:jc w:val="right"/>
            </w:pPr>
            <w:bookmarkStart w:id="1" w:name="OLE_LINK1"/>
            <w:r w:rsidRPr="007A27A5">
              <w:rPr>
                <w:sz w:val="40"/>
              </w:rPr>
              <w:t>ECE</w:t>
            </w:r>
            <w:r w:rsidRPr="007A27A5">
              <w:t>/MP.PP/2017/</w:t>
            </w:r>
            <w:r w:rsidR="002C4BDF" w:rsidRPr="007A27A5">
              <w:t>2</w:t>
            </w:r>
            <w:bookmarkEnd w:id="1"/>
            <w:r w:rsidR="006E4421" w:rsidRPr="007A27A5">
              <w:t>6</w:t>
            </w:r>
          </w:p>
        </w:tc>
      </w:tr>
      <w:tr w:rsidR="00B56E9C" w:rsidRPr="007A27A5" w14:paraId="02194936" w14:textId="77777777" w:rsidTr="00B6553F">
        <w:trPr>
          <w:cantSplit/>
          <w:trHeight w:hRule="exact" w:val="2835"/>
        </w:trPr>
        <w:tc>
          <w:tcPr>
            <w:tcW w:w="1276" w:type="dxa"/>
            <w:tcBorders>
              <w:top w:val="single" w:sz="4" w:space="0" w:color="auto"/>
              <w:bottom w:val="single" w:sz="12" w:space="0" w:color="auto"/>
            </w:tcBorders>
          </w:tcPr>
          <w:p w14:paraId="3C6879F5" w14:textId="77777777" w:rsidR="00B56E9C" w:rsidRPr="007A27A5" w:rsidRDefault="00A87DBB" w:rsidP="00B6553F">
            <w:pPr>
              <w:spacing w:before="120"/>
            </w:pPr>
            <w:r w:rsidRPr="007A27A5">
              <w:rPr>
                <w:noProof/>
                <w:lang w:eastAsia="en-GB"/>
              </w:rPr>
              <w:drawing>
                <wp:inline distT="0" distB="0" distL="0" distR="0" wp14:anchorId="28218D15" wp14:editId="2A2E1F9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F1B8D90" w14:textId="77777777" w:rsidR="00B56E9C" w:rsidRPr="007A27A5" w:rsidRDefault="00D773DF" w:rsidP="00D773DF">
            <w:pPr>
              <w:spacing w:before="120" w:line="420" w:lineRule="exact"/>
              <w:rPr>
                <w:sz w:val="40"/>
                <w:szCs w:val="40"/>
              </w:rPr>
            </w:pPr>
            <w:r w:rsidRPr="007A27A5">
              <w:rPr>
                <w:b/>
                <w:sz w:val="40"/>
                <w:szCs w:val="40"/>
              </w:rPr>
              <w:t>Economic and Social Council</w:t>
            </w:r>
          </w:p>
        </w:tc>
        <w:tc>
          <w:tcPr>
            <w:tcW w:w="2835" w:type="dxa"/>
            <w:tcBorders>
              <w:top w:val="single" w:sz="4" w:space="0" w:color="auto"/>
              <w:bottom w:val="single" w:sz="12" w:space="0" w:color="auto"/>
            </w:tcBorders>
          </w:tcPr>
          <w:p w14:paraId="2F1293D2" w14:textId="77777777" w:rsidR="00B56E9C" w:rsidRPr="007A27A5" w:rsidRDefault="004334C7" w:rsidP="004334C7">
            <w:pPr>
              <w:spacing w:before="240" w:line="240" w:lineRule="exact"/>
            </w:pPr>
            <w:r w:rsidRPr="007A27A5">
              <w:t>Distr.: General</w:t>
            </w:r>
          </w:p>
          <w:p w14:paraId="76BDB634" w14:textId="7389D29E" w:rsidR="004334C7" w:rsidRPr="007A27A5" w:rsidRDefault="00BC65AB" w:rsidP="004334C7">
            <w:pPr>
              <w:spacing w:line="240" w:lineRule="exact"/>
            </w:pPr>
            <w:r>
              <w:t>31</w:t>
            </w:r>
            <w:r w:rsidR="004334C7" w:rsidRPr="007A27A5">
              <w:t xml:space="preserve"> July 2017</w:t>
            </w:r>
          </w:p>
          <w:p w14:paraId="6703DDB4" w14:textId="77777777" w:rsidR="004334C7" w:rsidRPr="007A27A5" w:rsidRDefault="004334C7" w:rsidP="004334C7">
            <w:pPr>
              <w:spacing w:line="240" w:lineRule="exact"/>
            </w:pPr>
          </w:p>
          <w:p w14:paraId="1A5D2320" w14:textId="77777777" w:rsidR="004334C7" w:rsidRPr="007A27A5" w:rsidRDefault="004334C7" w:rsidP="004334C7">
            <w:pPr>
              <w:spacing w:line="240" w:lineRule="exact"/>
            </w:pPr>
            <w:r w:rsidRPr="007A27A5">
              <w:t>Original: English</w:t>
            </w:r>
          </w:p>
        </w:tc>
      </w:tr>
    </w:tbl>
    <w:p w14:paraId="1F1A5424" w14:textId="77777777" w:rsidR="004334C7" w:rsidRPr="007A27A5" w:rsidRDefault="004334C7" w:rsidP="004334C7">
      <w:pPr>
        <w:spacing w:before="120"/>
      </w:pPr>
      <w:r w:rsidRPr="007A27A5">
        <w:rPr>
          <w:b/>
          <w:sz w:val="28"/>
          <w:szCs w:val="28"/>
        </w:rPr>
        <w:t>Economic Commission for Europe</w:t>
      </w:r>
    </w:p>
    <w:p w14:paraId="501AB369" w14:textId="77777777" w:rsidR="004334C7" w:rsidRPr="007A27A5" w:rsidRDefault="004334C7" w:rsidP="004334C7">
      <w:pPr>
        <w:spacing w:before="120"/>
      </w:pPr>
      <w:r w:rsidRPr="007A27A5">
        <w:rPr>
          <w:sz w:val="28"/>
          <w:szCs w:val="28"/>
        </w:rPr>
        <w:t>Meeting of the Parties to the Convention on</w:t>
      </w:r>
      <w:r w:rsidRPr="007A27A5">
        <w:rPr>
          <w:sz w:val="28"/>
          <w:szCs w:val="28"/>
        </w:rPr>
        <w:br/>
        <w:t>Access to Information, Public Participation</w:t>
      </w:r>
      <w:r w:rsidRPr="007A27A5">
        <w:rPr>
          <w:sz w:val="28"/>
          <w:szCs w:val="28"/>
        </w:rPr>
        <w:br/>
        <w:t>in Decision-making and Access to Justice</w:t>
      </w:r>
      <w:r w:rsidRPr="007A27A5">
        <w:rPr>
          <w:sz w:val="28"/>
          <w:szCs w:val="28"/>
        </w:rPr>
        <w:br/>
        <w:t>in Environmental Matters</w:t>
      </w:r>
    </w:p>
    <w:p w14:paraId="2B6194D1" w14:textId="63BE489A" w:rsidR="004334C7" w:rsidRPr="007A27A5" w:rsidRDefault="004334C7" w:rsidP="004334C7">
      <w:pPr>
        <w:spacing w:before="120"/>
      </w:pPr>
      <w:r w:rsidRPr="007A27A5">
        <w:rPr>
          <w:b/>
        </w:rPr>
        <w:t>Sixth session</w:t>
      </w:r>
      <w:r w:rsidRPr="007A27A5">
        <w:br/>
      </w:r>
      <w:proofErr w:type="spellStart"/>
      <w:r w:rsidRPr="007A27A5">
        <w:t>Budva</w:t>
      </w:r>
      <w:proofErr w:type="spellEnd"/>
      <w:r w:rsidRPr="007A27A5">
        <w:t>, Montenegro, 11–1</w:t>
      </w:r>
      <w:r w:rsidR="001C5EA9" w:rsidRPr="007A27A5">
        <w:t>3</w:t>
      </w:r>
      <w:r w:rsidRPr="007A27A5">
        <w:t xml:space="preserve"> September 2017</w:t>
      </w:r>
    </w:p>
    <w:p w14:paraId="5996EF50" w14:textId="77777777" w:rsidR="004334C7" w:rsidRPr="007A27A5" w:rsidRDefault="004334C7" w:rsidP="004334C7">
      <w:r w:rsidRPr="007A27A5">
        <w:t>Item 7 (b) of the provisional agenda</w:t>
      </w:r>
    </w:p>
    <w:p w14:paraId="0E67C4A7" w14:textId="4FF1B1D2" w:rsidR="004334C7" w:rsidRPr="007A27A5" w:rsidRDefault="004334C7" w:rsidP="004334C7">
      <w:pPr>
        <w:rPr>
          <w:b/>
        </w:rPr>
      </w:pPr>
      <w:r w:rsidRPr="007A27A5">
        <w:rPr>
          <w:b/>
        </w:rPr>
        <w:t xml:space="preserve">Procedures and mechanisms facilitating the implementation </w:t>
      </w:r>
      <w:r w:rsidR="001C5EA9" w:rsidRPr="007A27A5">
        <w:rPr>
          <w:b/>
        </w:rPr>
        <w:br/>
      </w:r>
      <w:r w:rsidRPr="007A27A5">
        <w:rPr>
          <w:b/>
        </w:rPr>
        <w:t>of the Convention:</w:t>
      </w:r>
      <w:r w:rsidR="001C5EA9" w:rsidRPr="007A27A5">
        <w:rPr>
          <w:b/>
        </w:rPr>
        <w:t xml:space="preserve"> c</w:t>
      </w:r>
      <w:r w:rsidRPr="007A27A5">
        <w:rPr>
          <w:b/>
        </w:rPr>
        <w:t>ompliance mechanism</w:t>
      </w:r>
    </w:p>
    <w:p w14:paraId="3DF0066C" w14:textId="71545457" w:rsidR="004334C7" w:rsidRPr="007A27A5" w:rsidRDefault="004334C7" w:rsidP="004334C7">
      <w:pPr>
        <w:pStyle w:val="HChG"/>
      </w:pPr>
      <w:r w:rsidRPr="007A27A5">
        <w:tab/>
      </w:r>
      <w:r w:rsidRPr="007A27A5">
        <w:tab/>
      </w:r>
      <w:bookmarkStart w:id="2" w:name="OLE_LINK2"/>
      <w:r w:rsidRPr="007A27A5">
        <w:t>Draft decision VI/</w:t>
      </w:r>
      <w:r w:rsidR="004C1DEA" w:rsidRPr="007A27A5">
        <w:t>8</w:t>
      </w:r>
      <w:r w:rsidR="006E4421" w:rsidRPr="007A27A5">
        <w:t>g</w:t>
      </w:r>
      <w:r w:rsidRPr="007A27A5">
        <w:t xml:space="preserve"> concerning compliance by </w:t>
      </w:r>
      <w:r w:rsidR="006E4421" w:rsidRPr="007A27A5">
        <w:t>Kazakhstan</w:t>
      </w:r>
      <w:r w:rsidRPr="007A27A5">
        <w:t xml:space="preserve"> </w:t>
      </w:r>
      <w:bookmarkEnd w:id="2"/>
      <w:r w:rsidRPr="007A27A5">
        <w:t>with its obligations under the Convention</w:t>
      </w:r>
    </w:p>
    <w:p w14:paraId="3C332936" w14:textId="77777777" w:rsidR="00086240" w:rsidRPr="007A27A5" w:rsidRDefault="00A77D15" w:rsidP="00A77D15">
      <w:pPr>
        <w:pStyle w:val="H1G"/>
        <w:tabs>
          <w:tab w:val="left" w:pos="1701"/>
        </w:tabs>
        <w:rPr>
          <w:i/>
          <w:iCs/>
          <w:sz w:val="20"/>
        </w:rPr>
      </w:pPr>
      <w:r w:rsidRPr="007A27A5">
        <w:tab/>
      </w:r>
      <w:r w:rsidRPr="007A27A5">
        <w:tab/>
      </w:r>
      <w:r w:rsidR="00086240" w:rsidRPr="007A27A5">
        <w:t>Prepared by the Bureau</w:t>
      </w:r>
      <w:r w:rsidR="00086240" w:rsidRPr="007A27A5" w:rsidDel="006A2255">
        <w:t xml:space="preserve"> </w:t>
      </w:r>
    </w:p>
    <w:p w14:paraId="11C0DD81" w14:textId="12B9FB54" w:rsidR="00086240" w:rsidRPr="007A27A5" w:rsidRDefault="00961DE9" w:rsidP="00086240">
      <w:pPr>
        <w:pStyle w:val="SingleTxtG"/>
        <w:rPr>
          <w:i/>
        </w:rPr>
      </w:pPr>
      <w:r w:rsidRPr="007A27A5">
        <w:tab/>
      </w:r>
      <w:r w:rsidR="00086240" w:rsidRPr="007A27A5">
        <w:rPr>
          <w:i/>
        </w:rPr>
        <w:t>The Meeting of the Parties</w:t>
      </w:r>
      <w:r w:rsidR="00086240" w:rsidRPr="007A27A5">
        <w:t>,</w:t>
      </w:r>
      <w:r w:rsidR="00086240" w:rsidRPr="007A27A5">
        <w:rPr>
          <w:i/>
        </w:rPr>
        <w:t xml:space="preserve"> </w:t>
      </w:r>
    </w:p>
    <w:p w14:paraId="2EFE4C05" w14:textId="03EB7506" w:rsidR="00086240" w:rsidRPr="007A27A5" w:rsidRDefault="00086240" w:rsidP="00961DE9">
      <w:pPr>
        <w:pStyle w:val="SingleTxtG"/>
      </w:pPr>
      <w:r w:rsidRPr="007A27A5">
        <w:rPr>
          <w:i/>
          <w:iCs/>
        </w:rPr>
        <w:tab/>
        <w:t xml:space="preserve">Acting </w:t>
      </w:r>
      <w:r w:rsidRPr="007A27A5">
        <w:t>under paragraph 37 of the annex to its decision I/7 on the review of compliance</w:t>
      </w:r>
      <w:r w:rsidR="004C1DEA" w:rsidRPr="007A27A5">
        <w:t xml:space="preserve"> (ECE/</w:t>
      </w:r>
      <w:proofErr w:type="gramStart"/>
      <w:r w:rsidR="004C1DEA" w:rsidRPr="007A27A5">
        <w:t>MP.PP</w:t>
      </w:r>
      <w:proofErr w:type="gramEnd"/>
      <w:r w:rsidR="004C1DEA" w:rsidRPr="007A27A5">
        <w:t>/2/Add.8)</w:t>
      </w:r>
      <w:r w:rsidRPr="007A27A5">
        <w:t>,</w:t>
      </w:r>
    </w:p>
    <w:p w14:paraId="6CB73175" w14:textId="7AF520CC" w:rsidR="00086240" w:rsidRPr="007A27A5" w:rsidRDefault="00086240" w:rsidP="00961DE9">
      <w:pPr>
        <w:pStyle w:val="SingleTxtG"/>
      </w:pPr>
      <w:r w:rsidRPr="007A27A5">
        <w:tab/>
      </w:r>
      <w:r w:rsidRPr="007A27A5">
        <w:rPr>
          <w:i/>
        </w:rPr>
        <w:t xml:space="preserve">Mindful </w:t>
      </w:r>
      <w:r w:rsidRPr="007A27A5">
        <w:t xml:space="preserve">of the conclusions and recommendations set out in </w:t>
      </w:r>
      <w:r w:rsidR="00694E22" w:rsidRPr="007A27A5">
        <w:t xml:space="preserve">its </w:t>
      </w:r>
      <w:r w:rsidRPr="007A27A5">
        <w:t>decision V/</w:t>
      </w:r>
      <w:r w:rsidR="00266720" w:rsidRPr="007A27A5">
        <w:t>9</w:t>
      </w:r>
      <w:r w:rsidR="006E4421" w:rsidRPr="007A27A5">
        <w:t>i</w:t>
      </w:r>
      <w:r w:rsidR="00266720" w:rsidRPr="007A27A5">
        <w:t xml:space="preserve"> </w:t>
      </w:r>
      <w:r w:rsidRPr="007A27A5">
        <w:t xml:space="preserve">with regard to compliance by </w:t>
      </w:r>
      <w:r w:rsidR="006E4421" w:rsidRPr="007A27A5">
        <w:t>Kazakhstan</w:t>
      </w:r>
      <w:r w:rsidR="00283F8A">
        <w:t xml:space="preserve"> </w:t>
      </w:r>
      <w:r w:rsidR="00283F8A" w:rsidRPr="007A27A5">
        <w:t>(see ECE/</w:t>
      </w:r>
      <w:proofErr w:type="gramStart"/>
      <w:r w:rsidR="00283F8A" w:rsidRPr="007A27A5">
        <w:t>MP.PP</w:t>
      </w:r>
      <w:proofErr w:type="gramEnd"/>
      <w:r w:rsidR="00283F8A" w:rsidRPr="007A27A5">
        <w:t>/2014/Add.1)</w:t>
      </w:r>
      <w:r w:rsidRPr="007A27A5">
        <w:t>,</w:t>
      </w:r>
    </w:p>
    <w:p w14:paraId="4AF146F2" w14:textId="28F8261A" w:rsidR="00086240" w:rsidRPr="007A27A5" w:rsidRDefault="00086240" w:rsidP="00961DE9">
      <w:pPr>
        <w:pStyle w:val="SingleTxtG"/>
      </w:pPr>
      <w:r w:rsidRPr="007A27A5">
        <w:rPr>
          <w:i/>
          <w:iCs/>
        </w:rPr>
        <w:tab/>
        <w:t xml:space="preserve">Taking note </w:t>
      </w:r>
      <w:r w:rsidRPr="007A27A5">
        <w:t xml:space="preserve">of the report of the Compliance Committee under the Convention on Access to Information, Public Participation in Decision-making and Access to Justice in Environmental Matters </w:t>
      </w:r>
      <w:r w:rsidR="007D3CDC" w:rsidRPr="007A27A5">
        <w:t xml:space="preserve">on </w:t>
      </w:r>
      <w:r w:rsidR="004C0015" w:rsidRPr="007A27A5">
        <w:t>the implementation of decision V/9</w:t>
      </w:r>
      <w:r w:rsidR="006E4421" w:rsidRPr="007A27A5">
        <w:t>i</w:t>
      </w:r>
      <w:r w:rsidR="004C0015" w:rsidRPr="007A27A5">
        <w:t xml:space="preserve"> concerning </w:t>
      </w:r>
      <w:r w:rsidR="007D3CDC" w:rsidRPr="007A27A5">
        <w:t xml:space="preserve">compliance by </w:t>
      </w:r>
      <w:r w:rsidR="006E4421" w:rsidRPr="007A27A5">
        <w:t>Kazakhstan</w:t>
      </w:r>
      <w:r w:rsidR="007D3CDC" w:rsidRPr="007A27A5">
        <w:t xml:space="preserve"> with its obligations under the Convention </w:t>
      </w:r>
      <w:r w:rsidRPr="007A27A5">
        <w:t>(</w:t>
      </w:r>
      <w:r w:rsidR="007D3CDC" w:rsidRPr="007A27A5">
        <w:t>ECE/MP.PP/2017/</w:t>
      </w:r>
      <w:r w:rsidR="006E4421" w:rsidRPr="007A27A5">
        <w:t>41</w:t>
      </w:r>
      <w:r w:rsidRPr="007A27A5">
        <w:t>)</w:t>
      </w:r>
      <w:r w:rsidR="002152C6" w:rsidRPr="007A27A5">
        <w:t>, and the findings of the Committee on communication ACCC/C/201</w:t>
      </w:r>
      <w:r w:rsidR="006E4421" w:rsidRPr="007A27A5">
        <w:t>3</w:t>
      </w:r>
      <w:r w:rsidR="002152C6" w:rsidRPr="007A27A5">
        <w:t>/</w:t>
      </w:r>
      <w:r w:rsidR="006E4421" w:rsidRPr="007A27A5">
        <w:t>88</w:t>
      </w:r>
      <w:r w:rsidR="002152C6" w:rsidRPr="007A27A5">
        <w:t xml:space="preserve"> (ECE/MP.PP/C.1/2017/1</w:t>
      </w:r>
      <w:r w:rsidR="006E4421" w:rsidRPr="007A27A5">
        <w:t>2</w:t>
      </w:r>
      <w:r w:rsidR="002152C6" w:rsidRPr="007A27A5">
        <w:t xml:space="preserve">, forthcoming) concerning public participation in decision-making regarding </w:t>
      </w:r>
      <w:r w:rsidR="006E4421" w:rsidRPr="007A27A5">
        <w:t>the construction of a ski resort</w:t>
      </w:r>
      <w:r w:rsidRPr="007A27A5">
        <w:t>,</w:t>
      </w:r>
    </w:p>
    <w:p w14:paraId="253B8C0E" w14:textId="52DA6DD0" w:rsidR="00086240" w:rsidRPr="007A27A5" w:rsidRDefault="00961DE9" w:rsidP="00961DE9">
      <w:pPr>
        <w:pStyle w:val="SingleTxtG"/>
      </w:pPr>
      <w:r w:rsidRPr="007A27A5">
        <w:rPr>
          <w:i/>
          <w:iCs/>
        </w:rPr>
        <w:tab/>
      </w:r>
      <w:r w:rsidR="00086240" w:rsidRPr="007A27A5">
        <w:rPr>
          <w:i/>
        </w:rPr>
        <w:t>Encouraged</w:t>
      </w:r>
      <w:r w:rsidR="00086240" w:rsidRPr="007A27A5">
        <w:t xml:space="preserve"> by </w:t>
      </w:r>
      <w:r w:rsidR="00456404" w:rsidRPr="007A27A5">
        <w:t xml:space="preserve">the </w:t>
      </w:r>
      <w:r w:rsidR="00672BD8" w:rsidRPr="007A27A5">
        <w:t xml:space="preserve">willingness </w:t>
      </w:r>
      <w:r w:rsidR="00456404" w:rsidRPr="007A27A5">
        <w:t xml:space="preserve">of </w:t>
      </w:r>
      <w:r w:rsidR="006E4421" w:rsidRPr="007A27A5">
        <w:t>Kazakhstan</w:t>
      </w:r>
      <w:r w:rsidR="00456404" w:rsidRPr="007A27A5">
        <w:t xml:space="preserve"> </w:t>
      </w:r>
      <w:r w:rsidR="00086240" w:rsidRPr="007A27A5">
        <w:t xml:space="preserve">to discuss in a constructive manner </w:t>
      </w:r>
      <w:r w:rsidR="00672BD8" w:rsidRPr="007A27A5">
        <w:t xml:space="preserve">with the Committee </w:t>
      </w:r>
      <w:r w:rsidR="00086240" w:rsidRPr="007A27A5">
        <w:t xml:space="preserve">the compliance issues in question, </w:t>
      </w:r>
    </w:p>
    <w:p w14:paraId="1373DC3A" w14:textId="20B3B183" w:rsidR="009966D1" w:rsidRPr="007A27A5" w:rsidRDefault="00304182" w:rsidP="00304182">
      <w:pPr>
        <w:pStyle w:val="SingleTxtG"/>
        <w:rPr>
          <w:rFonts w:eastAsia="Calibri"/>
        </w:rPr>
      </w:pPr>
      <w:r w:rsidRPr="007A27A5">
        <w:tab/>
        <w:t>1.</w:t>
      </w:r>
      <w:r w:rsidRPr="007A27A5">
        <w:tab/>
      </w:r>
      <w:r w:rsidR="009966D1" w:rsidRPr="007A27A5">
        <w:rPr>
          <w:i/>
        </w:rPr>
        <w:t>Endorses</w:t>
      </w:r>
      <w:r w:rsidR="009966D1" w:rsidRPr="007A27A5">
        <w:t xml:space="preserve"> the </w:t>
      </w:r>
      <w:r w:rsidR="009966D1" w:rsidRPr="007A27A5">
        <w:rPr>
          <w:rFonts w:eastAsia="Calibri"/>
        </w:rPr>
        <w:t>findings of the Committee that:</w:t>
      </w:r>
    </w:p>
    <w:p w14:paraId="5ED46513" w14:textId="012D289D" w:rsidR="009966D1" w:rsidRPr="007A27A5" w:rsidRDefault="009966D1" w:rsidP="00304182">
      <w:pPr>
        <w:pStyle w:val="SingleTxtG"/>
        <w:ind w:firstLine="567"/>
        <w:rPr>
          <w:rFonts w:eastAsia="Calibri"/>
        </w:rPr>
      </w:pPr>
      <w:r w:rsidRPr="007A27A5">
        <w:rPr>
          <w:rFonts w:eastAsia="Calibri"/>
        </w:rPr>
        <w:t>(a)</w:t>
      </w:r>
      <w:r w:rsidRPr="007A27A5">
        <w:rPr>
          <w:rFonts w:eastAsia="Calibri"/>
        </w:rPr>
        <w:tab/>
        <w:t xml:space="preserve">The Party concerned has </w:t>
      </w:r>
      <w:r w:rsidRPr="002D3336">
        <w:rPr>
          <w:rFonts w:eastAsia="Calibri"/>
        </w:rPr>
        <w:t>met the requirements of paragraph 7 (a) of decision</w:t>
      </w:r>
      <w:r w:rsidR="00BC65AB">
        <w:rPr>
          <w:rFonts w:eastAsia="Calibri"/>
        </w:rPr>
        <w:t xml:space="preserve"> </w:t>
      </w:r>
      <w:r w:rsidRPr="00283F8A">
        <w:rPr>
          <w:rFonts w:eastAsia="Calibri"/>
        </w:rPr>
        <w:t xml:space="preserve">V/9i with respect to </w:t>
      </w:r>
      <w:r w:rsidR="002D3336">
        <w:rPr>
          <w:rFonts w:eastAsia="Calibri"/>
        </w:rPr>
        <w:t xml:space="preserve">the </w:t>
      </w:r>
      <w:r w:rsidRPr="00283F8A">
        <w:rPr>
          <w:rFonts w:eastAsia="Calibri"/>
        </w:rPr>
        <w:t>introduc</w:t>
      </w:r>
      <w:r w:rsidR="002D3336">
        <w:rPr>
          <w:rFonts w:eastAsia="Calibri"/>
        </w:rPr>
        <w:t>tion of</w:t>
      </w:r>
      <w:r w:rsidRPr="00283F8A">
        <w:rPr>
          <w:rFonts w:eastAsia="Calibri"/>
        </w:rPr>
        <w:t xml:space="preserve"> a mandatory obligation</w:t>
      </w:r>
      <w:r w:rsidRPr="007A27A5">
        <w:rPr>
          <w:rFonts w:eastAsia="Calibri"/>
        </w:rPr>
        <w:t xml:space="preserve"> to inform the public in a </w:t>
      </w:r>
      <w:r w:rsidRPr="007A27A5">
        <w:rPr>
          <w:rFonts w:eastAsia="Calibri"/>
        </w:rPr>
        <w:lastRenderedPageBreak/>
        <w:t>timely manner</w:t>
      </w:r>
      <w:r w:rsidR="00283F8A">
        <w:rPr>
          <w:rFonts w:eastAsia="Calibri"/>
        </w:rPr>
        <w:t xml:space="preserve"> of</w:t>
      </w:r>
      <w:r w:rsidRPr="007A27A5">
        <w:rPr>
          <w:rFonts w:eastAsia="Calibri"/>
        </w:rPr>
        <w:t xml:space="preserve"> </w:t>
      </w:r>
      <w:r w:rsidR="00DA0AC4">
        <w:rPr>
          <w:rFonts w:eastAsia="Calibri"/>
        </w:rPr>
        <w:t xml:space="preserve">decision-making on </w:t>
      </w:r>
      <w:r w:rsidR="00283F8A">
        <w:rPr>
          <w:rFonts w:eastAsia="Calibri"/>
        </w:rPr>
        <w:t xml:space="preserve">activities </w:t>
      </w:r>
      <w:r w:rsidR="00463B60">
        <w:rPr>
          <w:rFonts w:eastAsia="Calibri"/>
        </w:rPr>
        <w:t>subject to</w:t>
      </w:r>
      <w:r w:rsidR="00DA0AC4">
        <w:rPr>
          <w:rFonts w:eastAsia="Calibri"/>
        </w:rPr>
        <w:t xml:space="preserve"> article 6, paragraph 1, of the </w:t>
      </w:r>
      <w:r w:rsidR="00283F8A">
        <w:rPr>
          <w:rFonts w:eastAsia="Calibri"/>
        </w:rPr>
        <w:t xml:space="preserve">Convention </w:t>
      </w:r>
      <w:r w:rsidRPr="007A27A5">
        <w:rPr>
          <w:rFonts w:eastAsia="Calibri"/>
        </w:rPr>
        <w:t xml:space="preserve">and detailing the means of public notice, but not yet with respect to the mandatory content of the public notice or the requirement to ensure that the public authority competent for the decision-making </w:t>
      </w:r>
      <w:r w:rsidR="00283F8A">
        <w:rPr>
          <w:rFonts w:eastAsia="Calibri"/>
        </w:rPr>
        <w:t xml:space="preserve">on such activities </w:t>
      </w:r>
      <w:r w:rsidRPr="007A27A5">
        <w:rPr>
          <w:rFonts w:eastAsia="Calibri"/>
        </w:rPr>
        <w:t>gives the public concerned access to all information relevant to the decision-making;</w:t>
      </w:r>
    </w:p>
    <w:p w14:paraId="15367919" w14:textId="2FFEFB22" w:rsidR="009966D1" w:rsidRPr="007A27A5" w:rsidRDefault="009966D1" w:rsidP="009966D1">
      <w:pPr>
        <w:pStyle w:val="SingleTxtG"/>
        <w:tabs>
          <w:tab w:val="left" w:pos="1170"/>
        </w:tabs>
        <w:ind w:left="1170" w:firstLine="450"/>
        <w:rPr>
          <w:rFonts w:eastAsia="Calibri"/>
        </w:rPr>
      </w:pPr>
      <w:r w:rsidRPr="007A27A5">
        <w:rPr>
          <w:rFonts w:eastAsia="Calibri"/>
        </w:rPr>
        <w:t>(b)</w:t>
      </w:r>
      <w:r w:rsidRPr="007A27A5">
        <w:rPr>
          <w:rFonts w:eastAsia="Calibri"/>
        </w:rPr>
        <w:tab/>
        <w:t xml:space="preserve">The Party concerned has fulfilled </w:t>
      </w:r>
      <w:r w:rsidR="00DA0AC4">
        <w:rPr>
          <w:rFonts w:eastAsia="Calibri"/>
        </w:rPr>
        <w:t xml:space="preserve">some of </w:t>
      </w:r>
      <w:r w:rsidRPr="007A27A5">
        <w:rPr>
          <w:rFonts w:eastAsia="Calibri"/>
        </w:rPr>
        <w:t xml:space="preserve">the requirements of paragraph 7 (b) of decision V/9i </w:t>
      </w:r>
      <w:r w:rsidR="00DA0AC4">
        <w:rPr>
          <w:rFonts w:eastAsia="Calibri"/>
        </w:rPr>
        <w:t xml:space="preserve">by </w:t>
      </w:r>
      <w:r w:rsidRPr="007A27A5">
        <w:rPr>
          <w:rFonts w:eastAsia="Calibri"/>
        </w:rPr>
        <w:t xml:space="preserve">removing the </w:t>
      </w:r>
      <w:r w:rsidR="008369D8">
        <w:rPr>
          <w:rFonts w:eastAsia="Calibri"/>
        </w:rPr>
        <w:t xml:space="preserve">obligation </w:t>
      </w:r>
      <w:r w:rsidRPr="007A27A5">
        <w:rPr>
          <w:rFonts w:eastAsia="Calibri"/>
        </w:rPr>
        <w:t xml:space="preserve">for comments to be reasoned and allowing the public to submit comments on the </w:t>
      </w:r>
      <w:r w:rsidRPr="00283F8A">
        <w:rPr>
          <w:rFonts w:eastAsia="Calibri"/>
        </w:rPr>
        <w:t>OVOS</w:t>
      </w:r>
      <w:r w:rsidRPr="007A27A5">
        <w:rPr>
          <w:rFonts w:eastAsia="Calibri"/>
        </w:rPr>
        <w:t xml:space="preserve"> report and other project-related documentation</w:t>
      </w:r>
      <w:r w:rsidR="00E8098A">
        <w:rPr>
          <w:rFonts w:eastAsia="Calibri"/>
        </w:rPr>
        <w:t>,</w:t>
      </w:r>
      <w:r w:rsidRPr="007A27A5">
        <w:rPr>
          <w:rFonts w:eastAsia="Calibri"/>
        </w:rPr>
        <w:t xml:space="preserve"> </w:t>
      </w:r>
      <w:r w:rsidRPr="00283F8A">
        <w:rPr>
          <w:rFonts w:eastAsia="Calibri"/>
        </w:rPr>
        <w:t xml:space="preserve">but </w:t>
      </w:r>
      <w:r w:rsidR="00DA0AC4">
        <w:rPr>
          <w:rFonts w:eastAsia="Calibri"/>
        </w:rPr>
        <w:t xml:space="preserve">has </w:t>
      </w:r>
      <w:r w:rsidRPr="00283F8A">
        <w:rPr>
          <w:rFonts w:eastAsia="Calibri"/>
        </w:rPr>
        <w:t xml:space="preserve">not yet </w:t>
      </w:r>
      <w:r w:rsidR="00DA0AC4">
        <w:rPr>
          <w:rFonts w:eastAsia="Calibri"/>
        </w:rPr>
        <w:t xml:space="preserve">fulfilled all the requirements of that paragraph by failing to eliminate the stipulation </w:t>
      </w:r>
      <w:r w:rsidRPr="00283F8A">
        <w:rPr>
          <w:rFonts w:eastAsia="Calibri"/>
        </w:rPr>
        <w:t>that comments must be “reasonable”</w:t>
      </w:r>
      <w:r w:rsidRPr="007A27A5">
        <w:rPr>
          <w:rFonts w:eastAsia="Calibri"/>
        </w:rPr>
        <w:t>;</w:t>
      </w:r>
    </w:p>
    <w:p w14:paraId="65D07CD6" w14:textId="0293E29D" w:rsidR="009966D1" w:rsidRPr="007A27A5" w:rsidRDefault="009966D1" w:rsidP="009966D1">
      <w:pPr>
        <w:pStyle w:val="SingleTxtG"/>
        <w:tabs>
          <w:tab w:val="left" w:pos="1170"/>
        </w:tabs>
        <w:ind w:left="1170" w:firstLine="450"/>
        <w:rPr>
          <w:rFonts w:eastAsia="Calibri"/>
        </w:rPr>
      </w:pPr>
      <w:r w:rsidRPr="007A27A5">
        <w:rPr>
          <w:rFonts w:eastAsia="Calibri"/>
        </w:rPr>
        <w:t>(c)</w:t>
      </w:r>
      <w:r w:rsidRPr="007A27A5">
        <w:rPr>
          <w:rFonts w:eastAsia="Calibri"/>
        </w:rPr>
        <w:tab/>
        <w:t>The Party concerned has not yet met the requirement in paragraph 7 (c) (</w:t>
      </w:r>
      <w:proofErr w:type="spellStart"/>
      <w:r w:rsidRPr="007A27A5">
        <w:rPr>
          <w:rFonts w:eastAsia="Calibri"/>
        </w:rPr>
        <w:t>i</w:t>
      </w:r>
      <w:proofErr w:type="spellEnd"/>
      <w:r w:rsidRPr="007A27A5">
        <w:rPr>
          <w:rFonts w:eastAsia="Calibri"/>
        </w:rPr>
        <w:t>) of decision V/9i to take the necessary measures to ensure that the relevant public authorities i</w:t>
      </w:r>
      <w:r w:rsidRPr="007A27A5">
        <w:t>nform the public promptly of the decisions taken and how the text of the decisions can be accessed</w:t>
      </w:r>
      <w:r w:rsidRPr="007A27A5">
        <w:rPr>
          <w:rFonts w:eastAsia="Calibri"/>
        </w:rPr>
        <w:t>, nor the requirement in paragraph 7 (c) (ii) to maintain publicly accessible lists or registers of the decisions taken;</w:t>
      </w:r>
    </w:p>
    <w:p w14:paraId="0A5205E5" w14:textId="6A68149E" w:rsidR="009966D1" w:rsidRPr="007A27A5" w:rsidRDefault="009966D1" w:rsidP="009966D1">
      <w:pPr>
        <w:pStyle w:val="SingleTxtG"/>
        <w:tabs>
          <w:tab w:val="left" w:pos="1701"/>
        </w:tabs>
      </w:pPr>
      <w:r w:rsidRPr="007A27A5">
        <w:rPr>
          <w:i/>
        </w:rPr>
        <w:tab/>
      </w:r>
      <w:r w:rsidRPr="007A27A5">
        <w:t>2.</w:t>
      </w:r>
      <w:r w:rsidRPr="007A27A5">
        <w:tab/>
      </w:r>
      <w:r w:rsidRPr="007A27A5">
        <w:rPr>
          <w:i/>
        </w:rPr>
        <w:t>Reaffirms</w:t>
      </w:r>
      <w:r w:rsidRPr="007A27A5">
        <w:t xml:space="preserve"> decision V/9i and requests the Party concerned to take the necessary legislative, regulatory and administrative measures:</w:t>
      </w:r>
    </w:p>
    <w:p w14:paraId="07B8E81A" w14:textId="70B7283E" w:rsidR="009966D1" w:rsidRPr="007A27A5" w:rsidRDefault="009966D1" w:rsidP="009966D1">
      <w:pPr>
        <w:pStyle w:val="SingleTxtG"/>
        <w:tabs>
          <w:tab w:val="left" w:pos="1170"/>
        </w:tabs>
        <w:ind w:left="1170" w:firstLine="450"/>
        <w:rPr>
          <w:rFonts w:eastAsia="Calibri"/>
        </w:rPr>
      </w:pPr>
      <w:r w:rsidRPr="007A27A5">
        <w:rPr>
          <w:rFonts w:eastAsia="Calibri"/>
        </w:rPr>
        <w:t>(a)</w:t>
      </w:r>
      <w:r w:rsidRPr="007A27A5">
        <w:rPr>
          <w:rFonts w:eastAsia="Calibri"/>
        </w:rPr>
        <w:tab/>
        <w:t>To ensure that the mandatory requirements of the content of the public notice, as prescribed by article 6, paragraph 2</w:t>
      </w:r>
      <w:r w:rsidR="00E8098A">
        <w:rPr>
          <w:rFonts w:eastAsia="Calibri"/>
        </w:rPr>
        <w:t>,</w:t>
      </w:r>
      <w:r w:rsidRPr="007A27A5">
        <w:rPr>
          <w:rFonts w:eastAsia="Calibri"/>
        </w:rPr>
        <w:t xml:space="preserve"> of the Convention, are detailed in law;</w:t>
      </w:r>
    </w:p>
    <w:p w14:paraId="5BACF2FA" w14:textId="21F8BDC4" w:rsidR="009966D1" w:rsidRPr="007A27A5" w:rsidRDefault="009966D1" w:rsidP="009966D1">
      <w:pPr>
        <w:pStyle w:val="SingleTxtG"/>
        <w:tabs>
          <w:tab w:val="left" w:pos="1170"/>
        </w:tabs>
        <w:ind w:left="1170" w:firstLine="450"/>
        <w:rPr>
          <w:rFonts w:eastAsia="Calibri"/>
        </w:rPr>
      </w:pPr>
      <w:r w:rsidRPr="007A27A5">
        <w:rPr>
          <w:rFonts w:eastAsia="Calibri"/>
        </w:rPr>
        <w:t>(b)</w:t>
      </w:r>
      <w:r w:rsidRPr="007A27A5">
        <w:rPr>
          <w:rFonts w:eastAsia="Calibri"/>
        </w:rPr>
        <w:tab/>
        <w:t>To establish a clear and consistent requirement for all information relevant to the decision-making to be made accessible to the public, in accordance with article 6, paragraph 6</w:t>
      </w:r>
      <w:r w:rsidR="00E8098A">
        <w:rPr>
          <w:rFonts w:eastAsia="Calibri"/>
        </w:rPr>
        <w:t>,</w:t>
      </w:r>
      <w:r w:rsidRPr="007A27A5">
        <w:rPr>
          <w:rFonts w:eastAsia="Calibri"/>
        </w:rPr>
        <w:t xml:space="preserve"> of the Convention;</w:t>
      </w:r>
    </w:p>
    <w:p w14:paraId="14F2503E" w14:textId="39B41FD2" w:rsidR="009966D1" w:rsidRPr="007A27A5" w:rsidRDefault="009966D1" w:rsidP="009966D1">
      <w:pPr>
        <w:pStyle w:val="SingleTxtG"/>
        <w:tabs>
          <w:tab w:val="left" w:pos="1170"/>
        </w:tabs>
        <w:ind w:left="1170" w:firstLine="450"/>
        <w:rPr>
          <w:rFonts w:eastAsia="Calibri"/>
        </w:rPr>
      </w:pPr>
      <w:r w:rsidRPr="007A27A5">
        <w:rPr>
          <w:rFonts w:eastAsia="Calibri"/>
        </w:rPr>
        <w:t>(c)</w:t>
      </w:r>
      <w:r w:rsidRPr="007A27A5">
        <w:rPr>
          <w:rFonts w:eastAsia="Calibri"/>
        </w:rPr>
        <w:tab/>
        <w:t xml:space="preserve">To ensure that, in accordance with article 6, paragraph 7, of the Convention, the submission of comments by the public is not limited to only “reasonable” comments; </w:t>
      </w:r>
    </w:p>
    <w:p w14:paraId="2EFD11D2" w14:textId="4C44EE96" w:rsidR="009966D1" w:rsidRPr="007A27A5" w:rsidRDefault="00A7252B" w:rsidP="009966D1">
      <w:pPr>
        <w:pStyle w:val="SingleTxtG"/>
        <w:tabs>
          <w:tab w:val="left" w:pos="1170"/>
        </w:tabs>
        <w:ind w:left="1170" w:firstLine="450"/>
        <w:rPr>
          <w:rFonts w:eastAsia="Calibri"/>
        </w:rPr>
      </w:pPr>
      <w:r w:rsidRPr="007A27A5">
        <w:rPr>
          <w:rFonts w:eastAsia="Calibri"/>
        </w:rPr>
        <w:t>(d)</w:t>
      </w:r>
      <w:r w:rsidR="009966D1" w:rsidRPr="007A27A5">
        <w:rPr>
          <w:rFonts w:eastAsia="Calibri"/>
        </w:rPr>
        <w:tab/>
        <w:t xml:space="preserve">To establish appropriate procedures, </w:t>
      </w:r>
      <w:r w:rsidR="00E8098A">
        <w:rPr>
          <w:rFonts w:eastAsia="Calibri"/>
        </w:rPr>
        <w:t xml:space="preserve">which </w:t>
      </w:r>
      <w:r w:rsidR="009966D1" w:rsidRPr="007A27A5">
        <w:rPr>
          <w:rFonts w:eastAsia="Calibri"/>
        </w:rPr>
        <w:t xml:space="preserve">are not limited to publishing decisions only on websites, to promptly notify the public of the environmental </w:t>
      </w:r>
      <w:proofErr w:type="spellStart"/>
      <w:r w:rsidR="009966D1" w:rsidRPr="00061509">
        <w:rPr>
          <w:rFonts w:eastAsia="Calibri"/>
          <w:i/>
        </w:rPr>
        <w:t>expertiza</w:t>
      </w:r>
      <w:proofErr w:type="spellEnd"/>
      <w:r w:rsidR="009966D1" w:rsidRPr="007A27A5">
        <w:rPr>
          <w:rFonts w:eastAsia="Calibri"/>
        </w:rPr>
        <w:t xml:space="preserve"> conclusions, and to facilitate public access to these decisions, in accordance with article 6, paragraph 9, of the Convention;</w:t>
      </w:r>
    </w:p>
    <w:p w14:paraId="3DA18114" w14:textId="24AD6F3A" w:rsidR="009966D1" w:rsidRPr="007A27A5" w:rsidRDefault="00A7252B" w:rsidP="009966D1">
      <w:pPr>
        <w:pStyle w:val="SingleTxtG"/>
        <w:tabs>
          <w:tab w:val="left" w:pos="1170"/>
        </w:tabs>
        <w:ind w:left="1170" w:firstLine="450"/>
        <w:rPr>
          <w:rFonts w:eastAsia="Calibri"/>
        </w:rPr>
      </w:pPr>
      <w:r w:rsidRPr="007A27A5">
        <w:rPr>
          <w:rFonts w:eastAsia="Calibri"/>
        </w:rPr>
        <w:t>(e)</w:t>
      </w:r>
      <w:r w:rsidR="009966D1" w:rsidRPr="007A27A5">
        <w:rPr>
          <w:rFonts w:eastAsia="Calibri"/>
        </w:rPr>
        <w:tab/>
        <w:t>To maintain and make accessible to the public, through publicly available lists or registers, copies of the decisions taken and other information relevant to the decision-making, including evidence of having fulfilled the obligation to inform the public and provide it with opportunities to submit comments;</w:t>
      </w:r>
    </w:p>
    <w:p w14:paraId="63243528" w14:textId="28ADA61D" w:rsidR="009F15F2" w:rsidRPr="007A27A5" w:rsidRDefault="00961DE9" w:rsidP="009966D1">
      <w:pPr>
        <w:pStyle w:val="SingleTxtG"/>
      </w:pPr>
      <w:r w:rsidRPr="007A27A5">
        <w:tab/>
      </w:r>
      <w:r w:rsidR="009966D1" w:rsidRPr="007A27A5">
        <w:t>3</w:t>
      </w:r>
      <w:r w:rsidR="009F15F2" w:rsidRPr="007A27A5">
        <w:t>.</w:t>
      </w:r>
      <w:r w:rsidR="009F15F2" w:rsidRPr="007A27A5">
        <w:tab/>
      </w:r>
      <w:r w:rsidR="009F15F2" w:rsidRPr="007A27A5">
        <w:rPr>
          <w:i/>
        </w:rPr>
        <w:t>Endorses</w:t>
      </w:r>
      <w:r w:rsidR="009F15F2" w:rsidRPr="007A27A5">
        <w:t xml:space="preserve"> the following finding</w:t>
      </w:r>
      <w:r w:rsidR="002152C6" w:rsidRPr="007A27A5">
        <w:t>s</w:t>
      </w:r>
      <w:r w:rsidR="009F15F2" w:rsidRPr="007A27A5">
        <w:t xml:space="preserve"> of the Committee</w:t>
      </w:r>
      <w:r w:rsidR="002152C6" w:rsidRPr="007A27A5">
        <w:t xml:space="preserve"> with regard to communication ACCC/C/201</w:t>
      </w:r>
      <w:r w:rsidR="00480B6C" w:rsidRPr="007A27A5">
        <w:t>3</w:t>
      </w:r>
      <w:r w:rsidR="002152C6" w:rsidRPr="007A27A5">
        <w:t>/</w:t>
      </w:r>
      <w:r w:rsidR="00480B6C" w:rsidRPr="007A27A5">
        <w:t>88</w:t>
      </w:r>
      <w:r w:rsidR="009F15F2" w:rsidRPr="007A27A5">
        <w:t>:</w:t>
      </w:r>
    </w:p>
    <w:p w14:paraId="79AB3A67" w14:textId="5A4A98E1" w:rsidR="00480B6C" w:rsidRPr="007A27A5" w:rsidRDefault="00480B6C" w:rsidP="00480B6C">
      <w:pPr>
        <w:pStyle w:val="SingleTxtG"/>
        <w:ind w:firstLine="567"/>
      </w:pPr>
      <w:r w:rsidRPr="007A27A5">
        <w:t>(a)</w:t>
      </w:r>
      <w:r w:rsidRPr="007A27A5">
        <w:tab/>
        <w:t xml:space="preserve">By failing to ensure that its legal framework ensures that the public concerned is informed in an adequate, timely and effective manner of all matters </w:t>
      </w:r>
      <w:r w:rsidR="00472E0A">
        <w:t xml:space="preserve">listed </w:t>
      </w:r>
      <w:r w:rsidRPr="007A27A5">
        <w:t>in article</w:t>
      </w:r>
      <w:r w:rsidR="00E8098A">
        <w:t> </w:t>
      </w:r>
      <w:r w:rsidRPr="007A27A5">
        <w:t>6, paragraph 2</w:t>
      </w:r>
      <w:r w:rsidR="00472E0A">
        <w:t xml:space="preserve"> (a)-(e)</w:t>
      </w:r>
      <w:r w:rsidRPr="007A27A5">
        <w:t xml:space="preserve">, </w:t>
      </w:r>
      <w:r w:rsidR="00E8098A">
        <w:t xml:space="preserve">of the Convention, </w:t>
      </w:r>
      <w:r w:rsidRPr="007A27A5">
        <w:t>the Party concerned has failed to comply with article</w:t>
      </w:r>
      <w:r w:rsidR="00472E0A">
        <w:t> </w:t>
      </w:r>
      <w:r w:rsidRPr="007A27A5">
        <w:t>6, paragraph 2</w:t>
      </w:r>
      <w:r w:rsidR="00E8098A">
        <w:t>,</w:t>
      </w:r>
      <w:r w:rsidRPr="007A27A5">
        <w:t xml:space="preserve"> of the Convention both with respect to its current legislation and regarding the public participation procedure on the </w:t>
      </w:r>
      <w:proofErr w:type="spellStart"/>
      <w:r w:rsidRPr="007A27A5">
        <w:t>Kok</w:t>
      </w:r>
      <w:proofErr w:type="spellEnd"/>
      <w:r w:rsidRPr="007A27A5">
        <w:t xml:space="preserve"> </w:t>
      </w:r>
      <w:proofErr w:type="spellStart"/>
      <w:r w:rsidRPr="007A27A5">
        <w:t>Zhailau</w:t>
      </w:r>
      <w:proofErr w:type="spellEnd"/>
      <w:r w:rsidRPr="007A27A5">
        <w:t xml:space="preserve"> </w:t>
      </w:r>
      <w:r w:rsidR="00CE322C" w:rsidRPr="007A27A5">
        <w:t>ski resort</w:t>
      </w:r>
      <w:r w:rsidRPr="007A27A5">
        <w:t xml:space="preserve"> in particular; </w:t>
      </w:r>
    </w:p>
    <w:p w14:paraId="38EC7389" w14:textId="57731CCE" w:rsidR="00480B6C" w:rsidRPr="007A27A5" w:rsidRDefault="00480B6C" w:rsidP="00480B6C">
      <w:pPr>
        <w:pStyle w:val="SingleTxtG"/>
        <w:ind w:firstLine="567"/>
      </w:pPr>
      <w:r w:rsidRPr="007A27A5">
        <w:t>(b)</w:t>
      </w:r>
      <w:r w:rsidRPr="007A27A5">
        <w:tab/>
        <w:t>By failing to ensure a sufficient time</w:t>
      </w:r>
      <w:r w:rsidR="00E8098A">
        <w:t xml:space="preserve"> </w:t>
      </w:r>
      <w:r w:rsidRPr="007A27A5">
        <w:t xml:space="preserve">frame for the public to prepare and participate effectively during the environmental decision-making on the </w:t>
      </w:r>
      <w:proofErr w:type="spellStart"/>
      <w:r w:rsidRPr="007A27A5">
        <w:t>Kok</w:t>
      </w:r>
      <w:proofErr w:type="spellEnd"/>
      <w:r w:rsidRPr="007A27A5">
        <w:t xml:space="preserve"> </w:t>
      </w:r>
      <w:proofErr w:type="spellStart"/>
      <w:r w:rsidRPr="007A27A5">
        <w:t>Zhailau</w:t>
      </w:r>
      <w:proofErr w:type="spellEnd"/>
      <w:r w:rsidRPr="007A27A5">
        <w:t xml:space="preserve"> </w:t>
      </w:r>
      <w:r w:rsidR="00CE322C" w:rsidRPr="007A27A5">
        <w:t>ski resort</w:t>
      </w:r>
      <w:r w:rsidRPr="007A27A5">
        <w:t>, the Party concerned failed to comply with article 6, paragraph 3, of the Convention;</w:t>
      </w:r>
    </w:p>
    <w:p w14:paraId="62191AD2" w14:textId="0492E26A" w:rsidR="00480B6C" w:rsidRPr="007A27A5" w:rsidRDefault="00480B6C" w:rsidP="00480B6C">
      <w:pPr>
        <w:pStyle w:val="SingleTxtG"/>
        <w:ind w:firstLine="567"/>
      </w:pPr>
      <w:r w:rsidRPr="007A27A5">
        <w:t>(c)</w:t>
      </w:r>
      <w:r w:rsidRPr="007A27A5">
        <w:tab/>
        <w:t>By failing to set out clear requirements in its legal framework for due account to be taken of the outcomes of public participation in decision-making within the scope of articles 6 and 7 of the Convention, the Party concerned fails to comply with article 6, paragraph 8</w:t>
      </w:r>
      <w:r w:rsidR="00E8098A">
        <w:t>,</w:t>
      </w:r>
      <w:r w:rsidRPr="007A27A5">
        <w:t xml:space="preserve"> and article 7 in conjunction with article 6, paragraph 8</w:t>
      </w:r>
      <w:r w:rsidR="00E8098A">
        <w:t>,</w:t>
      </w:r>
      <w:r w:rsidRPr="007A27A5">
        <w:t xml:space="preserve"> of the Convention;</w:t>
      </w:r>
    </w:p>
    <w:p w14:paraId="7826D223" w14:textId="1204B12F" w:rsidR="00480B6C" w:rsidRPr="007A27A5" w:rsidRDefault="00480B6C" w:rsidP="00480B6C">
      <w:pPr>
        <w:pStyle w:val="SingleTxtG"/>
        <w:ind w:firstLine="567"/>
      </w:pPr>
      <w:r w:rsidRPr="007A27A5">
        <w:lastRenderedPageBreak/>
        <w:t>(d)</w:t>
      </w:r>
      <w:r w:rsidRPr="007A27A5">
        <w:tab/>
        <w:t>By failing to make appropriate practical and/or other provisions for the public to participate during the preparation of plans, programmes and policies relating to the environment</w:t>
      </w:r>
      <w:r w:rsidR="00E8098A">
        <w:t>,</w:t>
      </w:r>
      <w:r w:rsidRPr="007A27A5">
        <w:t xml:space="preserve"> the Party concerned has failed to comply with article 7 of the Convention in general;</w:t>
      </w:r>
    </w:p>
    <w:p w14:paraId="04587F7B" w14:textId="22857481" w:rsidR="00480B6C" w:rsidRPr="007A27A5" w:rsidRDefault="00480B6C" w:rsidP="00480B6C">
      <w:pPr>
        <w:pStyle w:val="SingleTxtG"/>
        <w:ind w:firstLine="567"/>
      </w:pPr>
      <w:r w:rsidRPr="007A27A5">
        <w:t>(e)</w:t>
      </w:r>
      <w:r w:rsidRPr="007A27A5">
        <w:tab/>
        <w:t xml:space="preserve">By failing to provide for early and effective public participation on the </w:t>
      </w:r>
      <w:r w:rsidR="00E8098A">
        <w:t>“</w:t>
      </w:r>
      <w:r w:rsidRPr="007A27A5">
        <w:t>Plan to Develop World-Class Ski Resorts in Almaty Region and near Almaty</w:t>
      </w:r>
      <w:r w:rsidR="00E8098A">
        <w:t>”</w:t>
      </w:r>
      <w:r w:rsidRPr="007A27A5">
        <w:t>, the Party concerned has failed to comply with article 7 in conjunction with article 6, paragraph</w:t>
      </w:r>
      <w:r w:rsidR="00E8098A">
        <w:t>s</w:t>
      </w:r>
      <w:r w:rsidRPr="007A27A5">
        <w:t xml:space="preserve"> 3, 4 and 8</w:t>
      </w:r>
      <w:r w:rsidR="00E8098A">
        <w:t>,</w:t>
      </w:r>
      <w:r w:rsidRPr="007A27A5">
        <w:t xml:space="preserve"> of the Convention</w:t>
      </w:r>
      <w:r w:rsidR="007B701F" w:rsidRPr="007A27A5">
        <w:t>;</w:t>
      </w:r>
    </w:p>
    <w:p w14:paraId="7F19610A" w14:textId="4A38082D" w:rsidR="002152C6" w:rsidRPr="007A27A5" w:rsidRDefault="00B93248" w:rsidP="00480B6C">
      <w:pPr>
        <w:pStyle w:val="SingleTxtG"/>
      </w:pPr>
      <w:r w:rsidRPr="007A27A5">
        <w:tab/>
      </w:r>
      <w:r w:rsidR="009966D1" w:rsidRPr="007A27A5">
        <w:t>4</w:t>
      </w:r>
      <w:r w:rsidR="002152C6" w:rsidRPr="007A27A5">
        <w:t>.</w:t>
      </w:r>
      <w:r w:rsidR="002152C6" w:rsidRPr="007A27A5">
        <w:tab/>
      </w:r>
      <w:r w:rsidR="002152C6" w:rsidRPr="007A27A5">
        <w:rPr>
          <w:i/>
        </w:rPr>
        <w:t xml:space="preserve">Welcomes </w:t>
      </w:r>
      <w:r w:rsidR="002152C6" w:rsidRPr="007A27A5">
        <w:t>the recommendation made by t</w:t>
      </w:r>
      <w:r w:rsidR="009F15F2" w:rsidRPr="007A27A5">
        <w:t>he Committee</w:t>
      </w:r>
      <w:r w:rsidR="002152C6" w:rsidRPr="007A27A5">
        <w:t xml:space="preserve"> during the intersessional period with respect to its findings on communication ACCC/C/201</w:t>
      </w:r>
      <w:r w:rsidR="00CE322C" w:rsidRPr="007A27A5">
        <w:t>3</w:t>
      </w:r>
      <w:r w:rsidR="002152C6" w:rsidRPr="007A27A5">
        <w:t>/</w:t>
      </w:r>
      <w:r w:rsidR="00CE322C" w:rsidRPr="007A27A5">
        <w:t>88</w:t>
      </w:r>
      <w:r w:rsidR="002152C6" w:rsidRPr="007A27A5">
        <w:t xml:space="preserve"> in accordance with </w:t>
      </w:r>
      <w:r w:rsidR="009F15F2" w:rsidRPr="007A27A5">
        <w:t>paragraph 36 (b) of the annex to decision I/7</w:t>
      </w:r>
      <w:r w:rsidR="002152C6" w:rsidRPr="007A27A5">
        <w:t>;</w:t>
      </w:r>
    </w:p>
    <w:p w14:paraId="6F58C550" w14:textId="175DD6DF" w:rsidR="00CE322C" w:rsidRPr="007A27A5" w:rsidRDefault="00B93248" w:rsidP="00CE322C">
      <w:pPr>
        <w:pStyle w:val="SingleTxtG"/>
      </w:pPr>
      <w:r w:rsidRPr="007A27A5">
        <w:tab/>
      </w:r>
      <w:r w:rsidR="009966D1" w:rsidRPr="007A27A5">
        <w:t>5</w:t>
      </w:r>
      <w:r w:rsidR="002152C6" w:rsidRPr="007A27A5">
        <w:t>.</w:t>
      </w:r>
      <w:r w:rsidR="002152C6" w:rsidRPr="007A27A5">
        <w:tab/>
      </w:r>
      <w:r w:rsidR="002152C6" w:rsidRPr="007A27A5">
        <w:rPr>
          <w:i/>
        </w:rPr>
        <w:t>Also welcomes</w:t>
      </w:r>
      <w:r w:rsidR="002152C6" w:rsidRPr="007A27A5">
        <w:t xml:space="preserve"> the wil</w:t>
      </w:r>
      <w:r w:rsidR="00105B2D" w:rsidRPr="007A27A5">
        <w:t>ling</w:t>
      </w:r>
      <w:r w:rsidR="002152C6" w:rsidRPr="007A27A5">
        <w:t xml:space="preserve">ness of the </w:t>
      </w:r>
      <w:r w:rsidR="009F15F2" w:rsidRPr="007A27A5">
        <w:t xml:space="preserve">Party concerned </w:t>
      </w:r>
      <w:r w:rsidR="00105B2D" w:rsidRPr="007A27A5">
        <w:t xml:space="preserve">to accept the Committee’s recommendation, namely, </w:t>
      </w:r>
      <w:r w:rsidR="009F15F2" w:rsidRPr="007A27A5">
        <w:t xml:space="preserve">that the </w:t>
      </w:r>
      <w:r w:rsidR="00CE322C" w:rsidRPr="007A27A5">
        <w:t>Party concerned take the necessary legislative, regulatory and administrative measures and practical arrangements to ensure that:</w:t>
      </w:r>
    </w:p>
    <w:p w14:paraId="3B96711E" w14:textId="7CD35EB8" w:rsidR="00CE322C" w:rsidRPr="007A27A5" w:rsidRDefault="00CE322C" w:rsidP="00CE322C">
      <w:pPr>
        <w:pStyle w:val="SingleTxtG"/>
        <w:ind w:firstLine="567"/>
      </w:pPr>
      <w:r w:rsidRPr="007A27A5">
        <w:t>(a)</w:t>
      </w:r>
      <w:r w:rsidRPr="007A27A5">
        <w:tab/>
        <w:t>The content of the public notice prescribed by the Rules of Public Hearings meets all the requirements set out in article 6, paragraph 2</w:t>
      </w:r>
      <w:r w:rsidR="00C85C0E">
        <w:t>,</w:t>
      </w:r>
      <w:r w:rsidRPr="007A27A5">
        <w:t xml:space="preserve"> of the Convention;</w:t>
      </w:r>
    </w:p>
    <w:p w14:paraId="157E6AD6" w14:textId="1C9C1FE2" w:rsidR="00CE322C" w:rsidRPr="007A27A5" w:rsidRDefault="00CE322C" w:rsidP="00CE322C">
      <w:pPr>
        <w:pStyle w:val="SingleTxtG"/>
        <w:ind w:firstLine="567"/>
      </w:pPr>
      <w:r w:rsidRPr="007A27A5">
        <w:t>(b)</w:t>
      </w:r>
      <w:r w:rsidRPr="007A27A5">
        <w:tab/>
        <w:t>Time</w:t>
      </w:r>
      <w:r w:rsidR="00C85C0E">
        <w:t xml:space="preserve"> </w:t>
      </w:r>
      <w:r w:rsidRPr="007A27A5">
        <w:t>frames set for decision-making procedures subject to articles 6 or 7 of the Convention are sufficient to enable the public to prepare and to participate effectively and:</w:t>
      </w:r>
    </w:p>
    <w:p w14:paraId="2DD54C8A" w14:textId="5D862693" w:rsidR="00CE322C" w:rsidRPr="007A27A5" w:rsidRDefault="00CE322C" w:rsidP="00CE322C">
      <w:pPr>
        <w:pStyle w:val="SingleTxtG"/>
        <w:ind w:left="1701"/>
      </w:pPr>
      <w:r w:rsidRPr="007A27A5">
        <w:t>(</w:t>
      </w:r>
      <w:proofErr w:type="spellStart"/>
      <w:r w:rsidRPr="007A27A5">
        <w:t>i</w:t>
      </w:r>
      <w:proofErr w:type="spellEnd"/>
      <w:r w:rsidRPr="007A27A5">
        <w:t>)</w:t>
      </w:r>
      <w:r w:rsidRPr="007A27A5">
        <w:tab/>
        <w:t>To the extent possible</w:t>
      </w:r>
      <w:r w:rsidR="00472E0A">
        <w:t xml:space="preserve">, they </w:t>
      </w:r>
      <w:r w:rsidRPr="007A27A5">
        <w:t>do not overlap with holiday peri</w:t>
      </w:r>
      <w:r w:rsidR="00BC65AB">
        <w:t>ods and other non-working days;</w:t>
      </w:r>
    </w:p>
    <w:p w14:paraId="6AE617D5" w14:textId="7330BEE0" w:rsidR="00CE322C" w:rsidRPr="007A27A5" w:rsidRDefault="00CE322C" w:rsidP="00CE322C">
      <w:pPr>
        <w:pStyle w:val="SingleTxtG"/>
        <w:ind w:left="1701"/>
      </w:pPr>
      <w:r w:rsidRPr="007A27A5">
        <w:rPr>
          <w:lang w:eastAsia="en-GB"/>
        </w:rPr>
        <w:t>(ii)</w:t>
      </w:r>
      <w:r w:rsidRPr="007A27A5">
        <w:rPr>
          <w:lang w:eastAsia="en-GB"/>
        </w:rPr>
        <w:tab/>
      </w:r>
      <w:r w:rsidRPr="007A27A5">
        <w:t>The volume and the complexity of the project or plan, programme or policy is considered when setting the relevant time</w:t>
      </w:r>
      <w:r w:rsidR="00C85C0E">
        <w:t xml:space="preserve"> </w:t>
      </w:r>
      <w:r w:rsidRPr="007A27A5">
        <w:t>frames;</w:t>
      </w:r>
    </w:p>
    <w:p w14:paraId="182D2E15" w14:textId="77777777" w:rsidR="00CE322C" w:rsidRPr="007A27A5" w:rsidRDefault="00CE322C" w:rsidP="00CE322C">
      <w:pPr>
        <w:pStyle w:val="SingleTxtG"/>
        <w:ind w:firstLine="567"/>
      </w:pPr>
      <w:r w:rsidRPr="007A27A5">
        <w:t>(c)</w:t>
      </w:r>
      <w:r w:rsidRPr="007A27A5">
        <w:tab/>
        <w:t>Appropriate practical and/or other provisions are made for the public to participate during the preparation of plans within the scope of article 7 of the Convention, including clear requirements to ensure that:</w:t>
      </w:r>
    </w:p>
    <w:p w14:paraId="184D9E18" w14:textId="77777777" w:rsidR="00CE322C" w:rsidRPr="007A27A5" w:rsidRDefault="00CE322C" w:rsidP="00CE322C">
      <w:pPr>
        <w:pStyle w:val="SingleTxtG"/>
        <w:ind w:left="1701"/>
      </w:pPr>
      <w:r w:rsidRPr="007A27A5">
        <w:t>(</w:t>
      </w:r>
      <w:proofErr w:type="spellStart"/>
      <w:r w:rsidRPr="007A27A5">
        <w:t>i</w:t>
      </w:r>
      <w:proofErr w:type="spellEnd"/>
      <w:r w:rsidRPr="007A27A5">
        <w:t>)</w:t>
      </w:r>
      <w:r w:rsidRPr="007A27A5">
        <w:tab/>
        <w:t>The necessary information is provided to the public;</w:t>
      </w:r>
    </w:p>
    <w:p w14:paraId="74B6B69D" w14:textId="301781B3" w:rsidR="00CE322C" w:rsidRPr="007A27A5" w:rsidRDefault="00CE322C" w:rsidP="00CE322C">
      <w:pPr>
        <w:pStyle w:val="SingleTxtG"/>
        <w:ind w:left="1701"/>
      </w:pPr>
      <w:r w:rsidRPr="007A27A5">
        <w:t>(ii)</w:t>
      </w:r>
      <w:r w:rsidRPr="007A27A5">
        <w:tab/>
        <w:t xml:space="preserve">The public </w:t>
      </w:r>
      <w:r w:rsidR="00C85C0E">
        <w:t xml:space="preserve">that </w:t>
      </w:r>
      <w:r w:rsidRPr="007A27A5">
        <w:t>may participate is identified by the relevant public authority;</w:t>
      </w:r>
    </w:p>
    <w:p w14:paraId="3339D764" w14:textId="4550007D" w:rsidR="009F15F2" w:rsidRPr="007A27A5" w:rsidRDefault="00CE322C" w:rsidP="00CE322C">
      <w:pPr>
        <w:pStyle w:val="SingleTxtG"/>
        <w:ind w:left="1701"/>
      </w:pPr>
      <w:r w:rsidRPr="007A27A5">
        <w:t>(iii)</w:t>
      </w:r>
      <w:r w:rsidRPr="007A27A5">
        <w:tab/>
        <w:t>The requirements of article 6, paragraphs 3, 4, and 8, of the Convention are applied</w:t>
      </w:r>
      <w:r w:rsidR="00F9296E" w:rsidRPr="007A27A5">
        <w:rPr>
          <w:rFonts w:eastAsiaTheme="minorHAnsi"/>
        </w:rPr>
        <w:t>;</w:t>
      </w:r>
    </w:p>
    <w:p w14:paraId="32239E3D" w14:textId="224C9E00" w:rsidR="00086240" w:rsidRPr="007A27A5" w:rsidRDefault="0080367C" w:rsidP="00266720">
      <w:pPr>
        <w:pStyle w:val="SingleTxtG"/>
      </w:pPr>
      <w:r w:rsidRPr="007A27A5">
        <w:tab/>
      </w:r>
      <w:r w:rsidR="009966D1" w:rsidRPr="007A27A5">
        <w:t>6</w:t>
      </w:r>
      <w:r w:rsidR="00086240" w:rsidRPr="007A27A5">
        <w:t>.</w:t>
      </w:r>
      <w:r w:rsidR="00086240" w:rsidRPr="007A27A5">
        <w:tab/>
      </w:r>
      <w:r w:rsidR="00086240" w:rsidRPr="007A27A5">
        <w:rPr>
          <w:i/>
        </w:rPr>
        <w:t>Requests</w:t>
      </w:r>
      <w:r w:rsidR="00086240" w:rsidRPr="007A27A5">
        <w:t xml:space="preserve"> the Party concerned:</w:t>
      </w:r>
    </w:p>
    <w:p w14:paraId="1B7A5026" w14:textId="3B2B0F81" w:rsidR="00086240" w:rsidRPr="007A27A5" w:rsidRDefault="00B93248" w:rsidP="00B93248">
      <w:pPr>
        <w:pStyle w:val="SingleTxtG"/>
      </w:pPr>
      <w:r w:rsidRPr="007A27A5">
        <w:tab/>
      </w:r>
      <w:r w:rsidR="00672BD8" w:rsidRPr="007A27A5">
        <w:t>(a)</w:t>
      </w:r>
      <w:r w:rsidR="00672BD8" w:rsidRPr="007A27A5">
        <w:tab/>
      </w:r>
      <w:r w:rsidR="00086240" w:rsidRPr="007A27A5">
        <w:t>To submit to the Committee detailed progress reports on 1 October 2018, 1</w:t>
      </w:r>
      <w:r w:rsidR="00BF3A0A" w:rsidRPr="007A27A5">
        <w:t> </w:t>
      </w:r>
      <w:r w:rsidR="00086240" w:rsidRPr="007A27A5">
        <w:t>October 2019 and 1 October 2020 on the measures taken and the results achieved in the implementation of the above recommendations;</w:t>
      </w:r>
    </w:p>
    <w:p w14:paraId="3E617EF2" w14:textId="67A7A051" w:rsidR="00086240" w:rsidRPr="007A27A5" w:rsidRDefault="00B93248" w:rsidP="00B93248">
      <w:pPr>
        <w:pStyle w:val="SingleTxtG"/>
      </w:pPr>
      <w:r w:rsidRPr="007A27A5">
        <w:tab/>
      </w:r>
      <w:r w:rsidR="00672BD8" w:rsidRPr="007A27A5">
        <w:t>(b)</w:t>
      </w:r>
      <w:r w:rsidR="00672BD8" w:rsidRPr="007A27A5">
        <w:tab/>
      </w:r>
      <w:r w:rsidR="00086240" w:rsidRPr="007A27A5">
        <w:t xml:space="preserve">To provide such further information as the Committee may request in order to assist it to review the progress </w:t>
      </w:r>
      <w:r w:rsidR="00BF3A0A" w:rsidRPr="007A27A5">
        <w:t xml:space="preserve">of the Party concerned </w:t>
      </w:r>
      <w:r w:rsidR="00086240" w:rsidRPr="007A27A5">
        <w:t>in implementing the above recommendations;</w:t>
      </w:r>
    </w:p>
    <w:p w14:paraId="3D4FEC25" w14:textId="5B6EBB88" w:rsidR="00086240" w:rsidRPr="007A27A5" w:rsidRDefault="00B93248" w:rsidP="00B93248">
      <w:pPr>
        <w:pStyle w:val="SingleTxtG"/>
      </w:pPr>
      <w:r w:rsidRPr="007A27A5">
        <w:tab/>
      </w:r>
      <w:r w:rsidR="00672BD8" w:rsidRPr="007A27A5">
        <w:t>(c)</w:t>
      </w:r>
      <w:r w:rsidR="00672BD8" w:rsidRPr="007A27A5">
        <w:tab/>
      </w:r>
      <w:r w:rsidR="00086240" w:rsidRPr="007A27A5">
        <w:t>To participate (either in person or by audio conference) in the meetings of the Committee at which the progress of the Party concerned in implementing the above recommendations is to be considered</w:t>
      </w:r>
      <w:r w:rsidR="00BF3A0A" w:rsidRPr="007A27A5">
        <w:t>;</w:t>
      </w:r>
    </w:p>
    <w:p w14:paraId="35741DE3" w14:textId="12175983" w:rsidR="00B93248" w:rsidRPr="007A27A5" w:rsidRDefault="00086240" w:rsidP="00B93248">
      <w:pPr>
        <w:pStyle w:val="SingleTxtG"/>
      </w:pPr>
      <w:r w:rsidRPr="007A27A5">
        <w:tab/>
      </w:r>
      <w:r w:rsidR="009966D1" w:rsidRPr="007A27A5">
        <w:t>7</w:t>
      </w:r>
      <w:r w:rsidRPr="007A27A5">
        <w:t>.</w:t>
      </w:r>
      <w:r w:rsidRPr="007A27A5">
        <w:tab/>
      </w:r>
      <w:r w:rsidRPr="007A27A5">
        <w:rPr>
          <w:i/>
        </w:rPr>
        <w:t>Undertakes</w:t>
      </w:r>
      <w:r w:rsidRPr="007A27A5">
        <w:t xml:space="preserve"> to review the situation at its seventh session.</w:t>
      </w:r>
    </w:p>
    <w:p w14:paraId="158327C4" w14:textId="694BC247" w:rsidR="00B70C04" w:rsidRPr="007A27A5" w:rsidRDefault="00B70C04" w:rsidP="00B70C04">
      <w:pPr>
        <w:pStyle w:val="SingleTxtG"/>
        <w:spacing w:before="240" w:after="0"/>
        <w:jc w:val="center"/>
        <w:rPr>
          <w:u w:val="single"/>
        </w:rPr>
      </w:pPr>
      <w:r w:rsidRPr="007A27A5">
        <w:rPr>
          <w:u w:val="single"/>
        </w:rPr>
        <w:tab/>
      </w:r>
      <w:r w:rsidRPr="007A27A5">
        <w:rPr>
          <w:u w:val="single"/>
        </w:rPr>
        <w:tab/>
      </w:r>
      <w:r w:rsidRPr="007A27A5">
        <w:rPr>
          <w:u w:val="single"/>
        </w:rPr>
        <w:tab/>
      </w:r>
      <w:r w:rsidRPr="007A27A5">
        <w:rPr>
          <w:u w:val="single"/>
        </w:rPr>
        <w:tab/>
      </w:r>
    </w:p>
    <w:sectPr w:rsidR="00B70C04" w:rsidRPr="007A27A5" w:rsidSect="00BC65A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213DA" w14:textId="77777777" w:rsidR="004334C7" w:rsidRDefault="004334C7"/>
  </w:endnote>
  <w:endnote w:type="continuationSeparator" w:id="0">
    <w:p w14:paraId="43710FCF" w14:textId="77777777" w:rsidR="004334C7" w:rsidRDefault="004334C7"/>
  </w:endnote>
  <w:endnote w:type="continuationNotice" w:id="1">
    <w:p w14:paraId="198E5FB4" w14:textId="77777777" w:rsidR="004334C7" w:rsidRDefault="00433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170BB" w14:textId="57125E0B" w:rsidR="004334C7" w:rsidRPr="004334C7" w:rsidRDefault="004334C7" w:rsidP="004334C7">
    <w:pPr>
      <w:pStyle w:val="Footer"/>
      <w:tabs>
        <w:tab w:val="right" w:pos="9638"/>
      </w:tabs>
      <w:rPr>
        <w:sz w:val="18"/>
      </w:rPr>
    </w:pPr>
    <w:r w:rsidRPr="004334C7">
      <w:rPr>
        <w:b/>
        <w:sz w:val="18"/>
      </w:rPr>
      <w:fldChar w:fldCharType="begin"/>
    </w:r>
    <w:r w:rsidRPr="004334C7">
      <w:rPr>
        <w:b/>
        <w:sz w:val="18"/>
      </w:rPr>
      <w:instrText xml:space="preserve"> PAGE  \* MERGEFORMAT </w:instrText>
    </w:r>
    <w:r w:rsidRPr="004334C7">
      <w:rPr>
        <w:b/>
        <w:sz w:val="18"/>
      </w:rPr>
      <w:fldChar w:fldCharType="separate"/>
    </w:r>
    <w:r w:rsidR="008244D3">
      <w:rPr>
        <w:b/>
        <w:noProof/>
        <w:sz w:val="18"/>
      </w:rPr>
      <w:t>2</w:t>
    </w:r>
    <w:r w:rsidRPr="004334C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202C4" w14:textId="1AE91AAD" w:rsidR="004334C7" w:rsidRPr="004334C7" w:rsidRDefault="004334C7" w:rsidP="004334C7">
    <w:pPr>
      <w:pStyle w:val="Footer"/>
      <w:tabs>
        <w:tab w:val="right" w:pos="9638"/>
      </w:tabs>
      <w:rPr>
        <w:b/>
        <w:sz w:val="18"/>
      </w:rPr>
    </w:pPr>
    <w:r>
      <w:tab/>
    </w:r>
    <w:r w:rsidRPr="004334C7">
      <w:rPr>
        <w:b/>
        <w:sz w:val="18"/>
      </w:rPr>
      <w:fldChar w:fldCharType="begin"/>
    </w:r>
    <w:r w:rsidRPr="004334C7">
      <w:rPr>
        <w:b/>
        <w:sz w:val="18"/>
      </w:rPr>
      <w:instrText xml:space="preserve"> PAGE  \* MERGEFORMAT </w:instrText>
    </w:r>
    <w:r w:rsidRPr="004334C7">
      <w:rPr>
        <w:b/>
        <w:sz w:val="18"/>
      </w:rPr>
      <w:fldChar w:fldCharType="separate"/>
    </w:r>
    <w:r w:rsidR="008244D3">
      <w:rPr>
        <w:b/>
        <w:noProof/>
        <w:sz w:val="18"/>
      </w:rPr>
      <w:t>3</w:t>
    </w:r>
    <w:r w:rsidRPr="004334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A882B" w14:textId="64650C4B" w:rsidR="0017754E" w:rsidRDefault="0017754E" w:rsidP="0017754E">
    <w:pPr>
      <w:pStyle w:val="Footer"/>
    </w:pPr>
    <w:r>
      <w:rPr>
        <w:noProof/>
        <w:lang w:eastAsia="en-GB"/>
      </w:rPr>
      <w:drawing>
        <wp:anchor distT="0" distB="0" distL="114300" distR="114300" simplePos="0" relativeHeight="251659264" behindDoc="1" locked="1" layoutInCell="1" allowOverlap="1" wp14:anchorId="2BEE0463" wp14:editId="3DDE234B">
          <wp:simplePos x="0" y="0"/>
          <wp:positionH relativeFrom="margin">
            <wp:posOffset>4409440</wp:posOffset>
          </wp:positionH>
          <wp:positionV relativeFrom="margin">
            <wp:posOffset>8222615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350679BA" w14:textId="04763BE0" w:rsidR="0017754E" w:rsidRDefault="0017754E" w:rsidP="0017754E">
    <w:pPr>
      <w:pStyle w:val="Footer"/>
      <w:ind w:right="1134"/>
      <w:rPr>
        <w:sz w:val="20"/>
      </w:rPr>
    </w:pPr>
    <w:r>
      <w:rPr>
        <w:rFonts w:ascii="C39T30Lfz" w:hAnsi="C39T30Lfz"/>
        <w:noProof/>
        <w:sz w:val="56"/>
        <w:lang w:eastAsia="en-GB"/>
      </w:rPr>
      <w:drawing>
        <wp:anchor distT="0" distB="0" distL="114300" distR="114300" simplePos="0" relativeHeight="251660288" behindDoc="0" locked="0" layoutInCell="1" allowOverlap="1" wp14:anchorId="228FD23E" wp14:editId="492E9126">
          <wp:simplePos x="0" y="0"/>
          <wp:positionH relativeFrom="margin">
            <wp:posOffset>5470525</wp:posOffset>
          </wp:positionH>
          <wp:positionV relativeFrom="margin">
            <wp:posOffset>8041640</wp:posOffset>
          </wp:positionV>
          <wp:extent cx="638175" cy="638175"/>
          <wp:effectExtent l="0" t="0" r="9525" b="9525"/>
          <wp:wrapNone/>
          <wp:docPr id="2" name="Picture 1" descr="https://undocs.org/m2/QRCode.ashx?DS=ECE/MP.PP/2017/2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P/2017/2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GE.17-13044(E)</w:t>
    </w:r>
  </w:p>
  <w:p w14:paraId="68D625E5" w14:textId="45024DFA" w:rsidR="0017754E" w:rsidRPr="0017754E" w:rsidRDefault="0017754E" w:rsidP="0017754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E25FB" w14:textId="77777777" w:rsidR="004334C7" w:rsidRPr="000B175B" w:rsidRDefault="004334C7" w:rsidP="000B175B">
      <w:pPr>
        <w:tabs>
          <w:tab w:val="right" w:pos="2155"/>
        </w:tabs>
        <w:spacing w:after="80"/>
        <w:ind w:left="680"/>
        <w:rPr>
          <w:u w:val="single"/>
        </w:rPr>
      </w:pPr>
      <w:r>
        <w:rPr>
          <w:u w:val="single"/>
        </w:rPr>
        <w:tab/>
      </w:r>
    </w:p>
  </w:footnote>
  <w:footnote w:type="continuationSeparator" w:id="0">
    <w:p w14:paraId="45E817A6" w14:textId="77777777" w:rsidR="004334C7" w:rsidRPr="00FC68B7" w:rsidRDefault="004334C7" w:rsidP="00FC68B7">
      <w:pPr>
        <w:tabs>
          <w:tab w:val="left" w:pos="2155"/>
        </w:tabs>
        <w:spacing w:after="80"/>
        <w:ind w:left="680"/>
        <w:rPr>
          <w:u w:val="single"/>
        </w:rPr>
      </w:pPr>
      <w:r>
        <w:rPr>
          <w:u w:val="single"/>
        </w:rPr>
        <w:tab/>
      </w:r>
    </w:p>
  </w:footnote>
  <w:footnote w:type="continuationNotice" w:id="1">
    <w:p w14:paraId="752DCE68" w14:textId="77777777" w:rsidR="004334C7" w:rsidRDefault="004334C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9FEE6" w14:textId="787B7CCD" w:rsidR="004334C7" w:rsidRPr="004334C7" w:rsidRDefault="004334C7">
    <w:pPr>
      <w:pStyle w:val="Header"/>
    </w:pPr>
    <w:r>
      <w:t>ECE/MP.PP/2017/</w:t>
    </w:r>
    <w:r w:rsidR="00AD2B09">
      <w:t>2</w:t>
    </w:r>
    <w:r w:rsidR="006E4421">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65D84" w14:textId="6F534EC5" w:rsidR="004334C7" w:rsidRPr="004334C7" w:rsidRDefault="004334C7" w:rsidP="004334C7">
    <w:pPr>
      <w:pStyle w:val="Header"/>
      <w:jc w:val="right"/>
    </w:pPr>
    <w:r>
      <w:t>ECE/</w:t>
    </w:r>
    <w:proofErr w:type="gramStart"/>
    <w:r>
      <w:t>MP.PP</w:t>
    </w:r>
    <w:proofErr w:type="gramEnd"/>
    <w:r>
      <w:t>/2017/</w:t>
    </w:r>
    <w:r w:rsidR="00AD2B09">
      <w:t>2</w:t>
    </w:r>
    <w:r w:rsidR="0017754E">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C7D5E"/>
    <w:multiLevelType w:val="hybridMultilevel"/>
    <w:tmpl w:val="20AA8CAE"/>
    <w:lvl w:ilvl="0" w:tplc="83DC3476">
      <w:start w:val="1"/>
      <w:numFmt w:val="decimal"/>
      <w:lvlText w:val="%1."/>
      <w:lvlJc w:val="left"/>
      <w:pPr>
        <w:ind w:left="2460" w:hanging="10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021E7ACB"/>
    <w:multiLevelType w:val="hybridMultilevel"/>
    <w:tmpl w:val="088AF166"/>
    <w:lvl w:ilvl="0" w:tplc="AA2A9296">
      <w:start w:val="1"/>
      <w:numFmt w:val="decimal"/>
      <w:lvlText w:val="%1."/>
      <w:lvlJc w:val="left"/>
      <w:pPr>
        <w:ind w:left="185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58917FE"/>
    <w:multiLevelType w:val="multilevel"/>
    <w:tmpl w:val="00000012"/>
    <w:lvl w:ilvl="0">
      <w:start w:val="3"/>
      <w:numFmt w:val="lowerLetter"/>
      <w:lvlText w:val="(%1)"/>
      <w:lvlJc w:val="left"/>
      <w:pPr>
        <w:tabs>
          <w:tab w:val="num" w:pos="0"/>
        </w:tabs>
        <w:ind w:left="2628" w:hanging="360"/>
      </w:pPr>
      <w:rPr>
        <w:rFonts w:hint="default"/>
      </w:rPr>
    </w:lvl>
    <w:lvl w:ilvl="1">
      <w:start w:val="1"/>
      <w:numFmt w:val="lowerLetter"/>
      <w:lvlText w:val="(%2)"/>
      <w:lvlJc w:val="left"/>
      <w:pPr>
        <w:tabs>
          <w:tab w:val="num" w:pos="0"/>
        </w:tabs>
        <w:ind w:left="3348" w:hanging="360"/>
      </w:pPr>
      <w:rPr>
        <w:rFonts w:ascii="Times New Roman" w:eastAsia="Times New Roman" w:hAnsi="Times New Roman" w:cs="Times New Roman"/>
      </w:rPr>
    </w:lvl>
    <w:lvl w:ilvl="2">
      <w:start w:val="1"/>
      <w:numFmt w:val="lowerRoman"/>
      <w:lvlText w:val="%3."/>
      <w:lvlJc w:val="right"/>
      <w:pPr>
        <w:tabs>
          <w:tab w:val="num" w:pos="0"/>
        </w:tabs>
        <w:ind w:left="4068" w:hanging="180"/>
      </w:pPr>
    </w:lvl>
    <w:lvl w:ilvl="3">
      <w:start w:val="1"/>
      <w:numFmt w:val="decimal"/>
      <w:lvlText w:val="%4."/>
      <w:lvlJc w:val="left"/>
      <w:pPr>
        <w:tabs>
          <w:tab w:val="num" w:pos="0"/>
        </w:tabs>
        <w:ind w:left="4788" w:hanging="360"/>
      </w:pPr>
    </w:lvl>
    <w:lvl w:ilvl="4">
      <w:start w:val="1"/>
      <w:numFmt w:val="lowerLetter"/>
      <w:lvlText w:val="%5."/>
      <w:lvlJc w:val="left"/>
      <w:pPr>
        <w:tabs>
          <w:tab w:val="num" w:pos="0"/>
        </w:tabs>
        <w:ind w:left="5508" w:hanging="360"/>
      </w:pPr>
    </w:lvl>
    <w:lvl w:ilvl="5">
      <w:start w:val="1"/>
      <w:numFmt w:val="lowerRoman"/>
      <w:lvlText w:val="%6."/>
      <w:lvlJc w:val="right"/>
      <w:pPr>
        <w:tabs>
          <w:tab w:val="num" w:pos="0"/>
        </w:tabs>
        <w:ind w:left="6228" w:hanging="180"/>
      </w:pPr>
    </w:lvl>
    <w:lvl w:ilvl="6">
      <w:start w:val="1"/>
      <w:numFmt w:val="decimal"/>
      <w:lvlText w:val="%7."/>
      <w:lvlJc w:val="left"/>
      <w:pPr>
        <w:tabs>
          <w:tab w:val="num" w:pos="0"/>
        </w:tabs>
        <w:ind w:left="6948" w:hanging="360"/>
      </w:pPr>
    </w:lvl>
    <w:lvl w:ilvl="7">
      <w:start w:val="1"/>
      <w:numFmt w:val="lowerLetter"/>
      <w:lvlText w:val="%8."/>
      <w:lvlJc w:val="left"/>
      <w:pPr>
        <w:tabs>
          <w:tab w:val="num" w:pos="0"/>
        </w:tabs>
        <w:ind w:left="7668" w:hanging="360"/>
      </w:pPr>
    </w:lvl>
    <w:lvl w:ilvl="8">
      <w:start w:val="1"/>
      <w:numFmt w:val="lowerRoman"/>
      <w:lvlText w:val="%9."/>
      <w:lvlJc w:val="right"/>
      <w:pPr>
        <w:tabs>
          <w:tab w:val="num" w:pos="0"/>
        </w:tabs>
        <w:ind w:left="8388" w:hanging="180"/>
      </w:pPr>
    </w:lvl>
  </w:abstractNum>
  <w:abstractNum w:abstractNumId="15" w15:restartNumberingAfterBreak="0">
    <w:nsid w:val="4C2023E1"/>
    <w:multiLevelType w:val="hybridMultilevel"/>
    <w:tmpl w:val="F170EFB8"/>
    <w:lvl w:ilvl="0" w:tplc="CDFA9684">
      <w:start w:val="1"/>
      <w:numFmt w:val="decimal"/>
      <w:lvlText w:val="%1."/>
      <w:lvlJc w:val="left"/>
      <w:pPr>
        <w:ind w:left="2049" w:hanging="360"/>
      </w:pPr>
      <w:rPr>
        <w:rFonts w:eastAsia="Times New Roman"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16" w15:restartNumberingAfterBreak="0">
    <w:nsid w:val="52332FAB"/>
    <w:multiLevelType w:val="hybridMultilevel"/>
    <w:tmpl w:val="CA0CD2D8"/>
    <w:lvl w:ilvl="0" w:tplc="BCF8270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5E732D6A"/>
    <w:multiLevelType w:val="hybridMultilevel"/>
    <w:tmpl w:val="283CF8C4"/>
    <w:lvl w:ilvl="0" w:tplc="24124D36">
      <w:start w:val="1"/>
      <w:numFmt w:val="decimal"/>
      <w:lvlText w:val="%1."/>
      <w:lvlJc w:val="left"/>
      <w:pPr>
        <w:tabs>
          <w:tab w:val="num" w:pos="1711"/>
        </w:tabs>
        <w:ind w:left="1711" w:hanging="576"/>
      </w:pPr>
      <w:rPr>
        <w:rFonts w:ascii="Times New Roman" w:eastAsia="Times New Roman" w:hAnsi="Times New Roman" w:cs="Times New Roman"/>
        <w:i w:val="0"/>
        <w:vertAlign w:val="baseline"/>
      </w:rPr>
    </w:lvl>
    <w:lvl w:ilvl="1" w:tplc="88E4FE6A">
      <w:start w:val="1"/>
      <w:numFmt w:val="lowerLetter"/>
      <w:lvlText w:val="(%2)"/>
      <w:lvlJc w:val="left"/>
      <w:pPr>
        <w:tabs>
          <w:tab w:val="num" w:pos="2489"/>
        </w:tabs>
        <w:ind w:left="2489" w:hanging="720"/>
      </w:pPr>
      <w:rPr>
        <w:rFonts w:hint="default"/>
        <w:sz w:val="20"/>
        <w:szCs w:val="20"/>
      </w:rPr>
    </w:lvl>
    <w:lvl w:ilvl="2" w:tplc="B994EE50">
      <w:start w:val="1"/>
      <w:numFmt w:val="lowerRoman"/>
      <w:lvlText w:val="(%3)"/>
      <w:lvlJc w:val="right"/>
      <w:pPr>
        <w:tabs>
          <w:tab w:val="num" w:pos="2849"/>
        </w:tabs>
        <w:ind w:left="2849" w:hanging="180"/>
      </w:pPr>
      <w:rPr>
        <w:rFonts w:hint="default"/>
      </w:rPr>
    </w:lvl>
    <w:lvl w:ilvl="3" w:tplc="0409000F" w:tentative="1">
      <w:start w:val="1"/>
      <w:numFmt w:val="decimal"/>
      <w:lvlText w:val="%4."/>
      <w:lvlJc w:val="left"/>
      <w:pPr>
        <w:tabs>
          <w:tab w:val="num" w:pos="3569"/>
        </w:tabs>
        <w:ind w:left="3569" w:hanging="360"/>
      </w:pPr>
    </w:lvl>
    <w:lvl w:ilvl="4" w:tplc="04090019" w:tentative="1">
      <w:start w:val="1"/>
      <w:numFmt w:val="lowerLetter"/>
      <w:lvlText w:val="%5."/>
      <w:lvlJc w:val="left"/>
      <w:pPr>
        <w:tabs>
          <w:tab w:val="num" w:pos="4289"/>
        </w:tabs>
        <w:ind w:left="4289" w:hanging="360"/>
      </w:pPr>
    </w:lvl>
    <w:lvl w:ilvl="5" w:tplc="0409001B" w:tentative="1">
      <w:start w:val="1"/>
      <w:numFmt w:val="lowerRoman"/>
      <w:lvlText w:val="%6."/>
      <w:lvlJc w:val="right"/>
      <w:pPr>
        <w:tabs>
          <w:tab w:val="num" w:pos="5009"/>
        </w:tabs>
        <w:ind w:left="5009" w:hanging="180"/>
      </w:pPr>
    </w:lvl>
    <w:lvl w:ilvl="6" w:tplc="0409000F" w:tentative="1">
      <w:start w:val="1"/>
      <w:numFmt w:val="decimal"/>
      <w:lvlText w:val="%7."/>
      <w:lvlJc w:val="left"/>
      <w:pPr>
        <w:tabs>
          <w:tab w:val="num" w:pos="5729"/>
        </w:tabs>
        <w:ind w:left="5729" w:hanging="360"/>
      </w:pPr>
    </w:lvl>
    <w:lvl w:ilvl="7" w:tplc="04090019" w:tentative="1">
      <w:start w:val="1"/>
      <w:numFmt w:val="lowerLetter"/>
      <w:lvlText w:val="%8."/>
      <w:lvlJc w:val="left"/>
      <w:pPr>
        <w:tabs>
          <w:tab w:val="num" w:pos="6449"/>
        </w:tabs>
        <w:ind w:left="6449" w:hanging="360"/>
      </w:pPr>
    </w:lvl>
    <w:lvl w:ilvl="8" w:tplc="0409001B" w:tentative="1">
      <w:start w:val="1"/>
      <w:numFmt w:val="lowerRoman"/>
      <w:lvlText w:val="%9."/>
      <w:lvlJc w:val="right"/>
      <w:pPr>
        <w:tabs>
          <w:tab w:val="num" w:pos="7169"/>
        </w:tabs>
        <w:ind w:left="7169"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2"/>
  </w:num>
  <w:num w:numId="14">
    <w:abstractNumId w:val="19"/>
  </w:num>
  <w:num w:numId="15">
    <w:abstractNumId w:val="20"/>
  </w:num>
  <w:num w:numId="16">
    <w:abstractNumId w:val="16"/>
  </w:num>
  <w:num w:numId="17">
    <w:abstractNumId w:val="10"/>
  </w:num>
  <w:num w:numId="18">
    <w:abstractNumId w:val="14"/>
  </w:num>
  <w:num w:numId="19">
    <w:abstractNumId w:val="17"/>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301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C7"/>
    <w:rsid w:val="000149D2"/>
    <w:rsid w:val="000463DC"/>
    <w:rsid w:val="00046B1F"/>
    <w:rsid w:val="00050F6B"/>
    <w:rsid w:val="00057E97"/>
    <w:rsid w:val="00061509"/>
    <w:rsid w:val="00072C8C"/>
    <w:rsid w:val="000733B5"/>
    <w:rsid w:val="00081815"/>
    <w:rsid w:val="00086240"/>
    <w:rsid w:val="000931C0"/>
    <w:rsid w:val="000B0595"/>
    <w:rsid w:val="000B175B"/>
    <w:rsid w:val="000B3A0F"/>
    <w:rsid w:val="000B4EF7"/>
    <w:rsid w:val="000C2C03"/>
    <w:rsid w:val="000C2D2E"/>
    <w:rsid w:val="000E0415"/>
    <w:rsid w:val="00105B2D"/>
    <w:rsid w:val="001103AA"/>
    <w:rsid w:val="0011666B"/>
    <w:rsid w:val="00154FD9"/>
    <w:rsid w:val="00155359"/>
    <w:rsid w:val="00165F3A"/>
    <w:rsid w:val="0017754E"/>
    <w:rsid w:val="001969F4"/>
    <w:rsid w:val="001A3336"/>
    <w:rsid w:val="001B4B04"/>
    <w:rsid w:val="001C5EA9"/>
    <w:rsid w:val="001C6663"/>
    <w:rsid w:val="001C7895"/>
    <w:rsid w:val="001D0C8C"/>
    <w:rsid w:val="001D1419"/>
    <w:rsid w:val="001D26DF"/>
    <w:rsid w:val="001D3A03"/>
    <w:rsid w:val="001E7B67"/>
    <w:rsid w:val="00202DA8"/>
    <w:rsid w:val="002050A4"/>
    <w:rsid w:val="00211E0B"/>
    <w:rsid w:val="002152C6"/>
    <w:rsid w:val="00225055"/>
    <w:rsid w:val="00230C33"/>
    <w:rsid w:val="0024772E"/>
    <w:rsid w:val="0025497C"/>
    <w:rsid w:val="00266720"/>
    <w:rsid w:val="00267F5F"/>
    <w:rsid w:val="00283F8A"/>
    <w:rsid w:val="00286B4D"/>
    <w:rsid w:val="002C4BDF"/>
    <w:rsid w:val="002D3336"/>
    <w:rsid w:val="002D4643"/>
    <w:rsid w:val="002F175C"/>
    <w:rsid w:val="002F2B7D"/>
    <w:rsid w:val="00302E18"/>
    <w:rsid w:val="00304182"/>
    <w:rsid w:val="003229D8"/>
    <w:rsid w:val="00352709"/>
    <w:rsid w:val="003619B5"/>
    <w:rsid w:val="00365763"/>
    <w:rsid w:val="00371178"/>
    <w:rsid w:val="00392E47"/>
    <w:rsid w:val="003A6810"/>
    <w:rsid w:val="003B4680"/>
    <w:rsid w:val="003C2CC4"/>
    <w:rsid w:val="003D4B23"/>
    <w:rsid w:val="003E0864"/>
    <w:rsid w:val="003E0E9B"/>
    <w:rsid w:val="00410C89"/>
    <w:rsid w:val="00422E03"/>
    <w:rsid w:val="00426B9B"/>
    <w:rsid w:val="004325CB"/>
    <w:rsid w:val="004334C7"/>
    <w:rsid w:val="00436788"/>
    <w:rsid w:val="00442A83"/>
    <w:rsid w:val="0045495B"/>
    <w:rsid w:val="00456404"/>
    <w:rsid w:val="00463B60"/>
    <w:rsid w:val="00466275"/>
    <w:rsid w:val="00472E0A"/>
    <w:rsid w:val="00480B6C"/>
    <w:rsid w:val="0048397A"/>
    <w:rsid w:val="00485CBB"/>
    <w:rsid w:val="004866B7"/>
    <w:rsid w:val="004A3B97"/>
    <w:rsid w:val="004C0015"/>
    <w:rsid w:val="004C1DEA"/>
    <w:rsid w:val="004C2461"/>
    <w:rsid w:val="004C7462"/>
    <w:rsid w:val="004E72D8"/>
    <w:rsid w:val="004E77B2"/>
    <w:rsid w:val="004F64AD"/>
    <w:rsid w:val="00504B2D"/>
    <w:rsid w:val="0052136D"/>
    <w:rsid w:val="0052775E"/>
    <w:rsid w:val="005420F2"/>
    <w:rsid w:val="005628B6"/>
    <w:rsid w:val="005831BF"/>
    <w:rsid w:val="0059724D"/>
    <w:rsid w:val="005A3897"/>
    <w:rsid w:val="005B3DB3"/>
    <w:rsid w:val="005B4E13"/>
    <w:rsid w:val="005C342F"/>
    <w:rsid w:val="005D2609"/>
    <w:rsid w:val="005F7B75"/>
    <w:rsid w:val="006001EE"/>
    <w:rsid w:val="00605042"/>
    <w:rsid w:val="00611FC4"/>
    <w:rsid w:val="006176FB"/>
    <w:rsid w:val="00640B26"/>
    <w:rsid w:val="00652D0A"/>
    <w:rsid w:val="00662BB6"/>
    <w:rsid w:val="006661F3"/>
    <w:rsid w:val="00672BD8"/>
    <w:rsid w:val="00676606"/>
    <w:rsid w:val="00684C21"/>
    <w:rsid w:val="00694617"/>
    <w:rsid w:val="00694E22"/>
    <w:rsid w:val="006A2530"/>
    <w:rsid w:val="006C3589"/>
    <w:rsid w:val="006D37AF"/>
    <w:rsid w:val="006D51D0"/>
    <w:rsid w:val="006D5FB9"/>
    <w:rsid w:val="006E4421"/>
    <w:rsid w:val="006E564B"/>
    <w:rsid w:val="006E7191"/>
    <w:rsid w:val="00703577"/>
    <w:rsid w:val="00705894"/>
    <w:rsid w:val="0071088F"/>
    <w:rsid w:val="0072632A"/>
    <w:rsid w:val="007327D5"/>
    <w:rsid w:val="00733759"/>
    <w:rsid w:val="007629C8"/>
    <w:rsid w:val="0077047D"/>
    <w:rsid w:val="007A27A5"/>
    <w:rsid w:val="007B6BA5"/>
    <w:rsid w:val="007B701F"/>
    <w:rsid w:val="007C3390"/>
    <w:rsid w:val="007C4F4B"/>
    <w:rsid w:val="007D3CDC"/>
    <w:rsid w:val="007E01E9"/>
    <w:rsid w:val="007E63F3"/>
    <w:rsid w:val="007F6611"/>
    <w:rsid w:val="0080367C"/>
    <w:rsid w:val="00811920"/>
    <w:rsid w:val="00815AD0"/>
    <w:rsid w:val="008242D7"/>
    <w:rsid w:val="008244D3"/>
    <w:rsid w:val="008257B1"/>
    <w:rsid w:val="00832334"/>
    <w:rsid w:val="00835DBD"/>
    <w:rsid w:val="008369D8"/>
    <w:rsid w:val="00843767"/>
    <w:rsid w:val="008679D9"/>
    <w:rsid w:val="0087321B"/>
    <w:rsid w:val="008878DE"/>
    <w:rsid w:val="008979B1"/>
    <w:rsid w:val="008A6B25"/>
    <w:rsid w:val="008A6C4F"/>
    <w:rsid w:val="008B2335"/>
    <w:rsid w:val="008B4730"/>
    <w:rsid w:val="008E0678"/>
    <w:rsid w:val="009223CA"/>
    <w:rsid w:val="00940F93"/>
    <w:rsid w:val="0095377C"/>
    <w:rsid w:val="00961DE9"/>
    <w:rsid w:val="009760F3"/>
    <w:rsid w:val="00976CFB"/>
    <w:rsid w:val="00981B25"/>
    <w:rsid w:val="0098311A"/>
    <w:rsid w:val="009966D1"/>
    <w:rsid w:val="009A0830"/>
    <w:rsid w:val="009A0E8D"/>
    <w:rsid w:val="009B26E7"/>
    <w:rsid w:val="009B60F3"/>
    <w:rsid w:val="009F15F2"/>
    <w:rsid w:val="00A00697"/>
    <w:rsid w:val="00A00A3F"/>
    <w:rsid w:val="00A01489"/>
    <w:rsid w:val="00A3026E"/>
    <w:rsid w:val="00A338F1"/>
    <w:rsid w:val="00A35BE0"/>
    <w:rsid w:val="00A61733"/>
    <w:rsid w:val="00A7252B"/>
    <w:rsid w:val="00A72F22"/>
    <w:rsid w:val="00A7360F"/>
    <w:rsid w:val="00A748A6"/>
    <w:rsid w:val="00A769F4"/>
    <w:rsid w:val="00A776B4"/>
    <w:rsid w:val="00A77D15"/>
    <w:rsid w:val="00A87DBB"/>
    <w:rsid w:val="00A94361"/>
    <w:rsid w:val="00AA293C"/>
    <w:rsid w:val="00AC74DF"/>
    <w:rsid w:val="00AD2B09"/>
    <w:rsid w:val="00AD5C08"/>
    <w:rsid w:val="00AD648C"/>
    <w:rsid w:val="00B30179"/>
    <w:rsid w:val="00B421C1"/>
    <w:rsid w:val="00B55C71"/>
    <w:rsid w:val="00B56E4A"/>
    <w:rsid w:val="00B56E9C"/>
    <w:rsid w:val="00B64B1F"/>
    <w:rsid w:val="00B6553F"/>
    <w:rsid w:val="00B70C04"/>
    <w:rsid w:val="00B77D05"/>
    <w:rsid w:val="00B81206"/>
    <w:rsid w:val="00B81E12"/>
    <w:rsid w:val="00B93248"/>
    <w:rsid w:val="00BC3FA0"/>
    <w:rsid w:val="00BC65AB"/>
    <w:rsid w:val="00BC74E9"/>
    <w:rsid w:val="00BF3A0A"/>
    <w:rsid w:val="00BF68A8"/>
    <w:rsid w:val="00C11A03"/>
    <w:rsid w:val="00C12A10"/>
    <w:rsid w:val="00C22C0C"/>
    <w:rsid w:val="00C35F1F"/>
    <w:rsid w:val="00C4527F"/>
    <w:rsid w:val="00C463DD"/>
    <w:rsid w:val="00C4724C"/>
    <w:rsid w:val="00C629A0"/>
    <w:rsid w:val="00C64629"/>
    <w:rsid w:val="00C745C3"/>
    <w:rsid w:val="00C85C0E"/>
    <w:rsid w:val="00C96DF2"/>
    <w:rsid w:val="00CA77C2"/>
    <w:rsid w:val="00CB3E03"/>
    <w:rsid w:val="00CC5A26"/>
    <w:rsid w:val="00CE322C"/>
    <w:rsid w:val="00CE4A8F"/>
    <w:rsid w:val="00D02901"/>
    <w:rsid w:val="00D02D30"/>
    <w:rsid w:val="00D0662C"/>
    <w:rsid w:val="00D2031B"/>
    <w:rsid w:val="00D25FE2"/>
    <w:rsid w:val="00D333F7"/>
    <w:rsid w:val="00D37B45"/>
    <w:rsid w:val="00D43252"/>
    <w:rsid w:val="00D44F86"/>
    <w:rsid w:val="00D47EEA"/>
    <w:rsid w:val="00D57DB9"/>
    <w:rsid w:val="00D773DF"/>
    <w:rsid w:val="00D84F5F"/>
    <w:rsid w:val="00D95303"/>
    <w:rsid w:val="00D978C6"/>
    <w:rsid w:val="00DA0AC4"/>
    <w:rsid w:val="00DA3C1C"/>
    <w:rsid w:val="00DB5885"/>
    <w:rsid w:val="00DC5061"/>
    <w:rsid w:val="00E046DF"/>
    <w:rsid w:val="00E10911"/>
    <w:rsid w:val="00E27346"/>
    <w:rsid w:val="00E71BC8"/>
    <w:rsid w:val="00E7260F"/>
    <w:rsid w:val="00E73F5D"/>
    <w:rsid w:val="00E77E4E"/>
    <w:rsid w:val="00E8098A"/>
    <w:rsid w:val="00E96630"/>
    <w:rsid w:val="00E96F66"/>
    <w:rsid w:val="00ED7A2A"/>
    <w:rsid w:val="00EF1D7F"/>
    <w:rsid w:val="00F31E5F"/>
    <w:rsid w:val="00F6100A"/>
    <w:rsid w:val="00F7590A"/>
    <w:rsid w:val="00F9296E"/>
    <w:rsid w:val="00F93781"/>
    <w:rsid w:val="00FA12F8"/>
    <w:rsid w:val="00FB613B"/>
    <w:rsid w:val="00FC68B7"/>
    <w:rsid w:val="00FD3F98"/>
    <w:rsid w:val="00FE106A"/>
    <w:rsid w:val="00FF145D"/>
    <w:rsid w:val="00FF638A"/>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75A7CA08"/>
  <w15:docId w15:val="{58DB146C-B8BF-4B9F-B9A4-0E81FB9B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text pozn. pod čarou,Footnote symbol"/>
    <w:basedOn w:val="DefaultParagraphFont"/>
    <w:rsid w:val="00DC5061"/>
    <w:rPr>
      <w:rFonts w:ascii="Times New Roman" w:hAnsi="Times New Roman"/>
      <w:sz w:val="18"/>
      <w:vertAlign w:val="superscript"/>
    </w:rPr>
  </w:style>
  <w:style w:type="paragraph" w:styleId="FootnoteText">
    <w:name w:val="footnote text"/>
    <w:aliases w:val="5_G"/>
    <w:basedOn w:val="Normal"/>
    <w:link w:val="FootnoteTextChar"/>
    <w:qFormat/>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CommentSubject">
    <w:name w:val="annotation subject"/>
    <w:basedOn w:val="CommentText"/>
    <w:next w:val="CommentText"/>
    <w:link w:val="CommentSubjectChar"/>
    <w:semiHidden/>
    <w:unhideWhenUsed/>
    <w:rsid w:val="001C5EA9"/>
    <w:pPr>
      <w:spacing w:line="240" w:lineRule="auto"/>
    </w:pPr>
    <w:rPr>
      <w:b/>
      <w:bCs/>
    </w:rPr>
  </w:style>
  <w:style w:type="character" w:customStyle="1" w:styleId="CommentTextChar">
    <w:name w:val="Comment Text Char"/>
    <w:basedOn w:val="DefaultParagraphFont"/>
    <w:link w:val="CommentText"/>
    <w:semiHidden/>
    <w:rsid w:val="001C5EA9"/>
    <w:rPr>
      <w:lang w:eastAsia="en-US"/>
    </w:rPr>
  </w:style>
  <w:style w:type="character" w:customStyle="1" w:styleId="CommentSubjectChar">
    <w:name w:val="Comment Subject Char"/>
    <w:basedOn w:val="CommentTextChar"/>
    <w:link w:val="CommentSubject"/>
    <w:semiHidden/>
    <w:rsid w:val="001C5EA9"/>
    <w:rPr>
      <w:b/>
      <w:bCs/>
      <w:lang w:eastAsia="en-US"/>
    </w:rPr>
  </w:style>
  <w:style w:type="paragraph" w:styleId="BalloonText">
    <w:name w:val="Balloon Text"/>
    <w:basedOn w:val="Normal"/>
    <w:link w:val="BalloonTextChar"/>
    <w:semiHidden/>
    <w:unhideWhenUsed/>
    <w:rsid w:val="001C5E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C5EA9"/>
    <w:rPr>
      <w:rFonts w:ascii="Segoe UI" w:hAnsi="Segoe UI" w:cs="Segoe UI"/>
      <w:sz w:val="18"/>
      <w:szCs w:val="18"/>
      <w:lang w:eastAsia="en-US"/>
    </w:rPr>
  </w:style>
  <w:style w:type="paragraph" w:styleId="Revision">
    <w:name w:val="Revision"/>
    <w:hidden/>
    <w:uiPriority w:val="99"/>
    <w:semiHidden/>
    <w:rsid w:val="001C5EA9"/>
    <w:rPr>
      <w:lang w:eastAsia="en-US"/>
    </w:rPr>
  </w:style>
  <w:style w:type="character" w:customStyle="1" w:styleId="WW8Num1z2">
    <w:name w:val="WW8Num1z2"/>
    <w:rsid w:val="002050A4"/>
  </w:style>
  <w:style w:type="character" w:customStyle="1" w:styleId="SingleTxtGChar">
    <w:name w:val="_ Single Txt_G Char"/>
    <w:link w:val="SingleTxtG"/>
    <w:rsid w:val="009F15F2"/>
    <w:rPr>
      <w:lang w:eastAsia="en-US"/>
    </w:rPr>
  </w:style>
  <w:style w:type="character" w:customStyle="1" w:styleId="FootnoteTextChar">
    <w:name w:val="Footnote Text Char"/>
    <w:aliases w:val="5_G Char"/>
    <w:link w:val="FootnoteText"/>
    <w:rsid w:val="009966D1"/>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MP_PP_E.dotm</Template>
  <TotalTime>0</TotalTime>
  <Pages>3</Pages>
  <Words>1258</Words>
  <Characters>6847</Characters>
  <Application>Microsoft Office Word</Application>
  <DocSecurity>0</DocSecurity>
  <Lines>128</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1713044</vt:lpstr>
      <vt:lpstr>United Nations</vt:lpstr>
    </vt:vector>
  </TitlesOfParts>
  <Company>CSD</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1713044</dc:title>
  <dc:subject>ECE/MP.PP/2017/26</dc:subject>
  <dc:creator>Sadaf Shamsie</dc:creator>
  <cp:keywords/>
  <dc:description/>
  <cp:lastModifiedBy>Generic Desk Anglais</cp:lastModifiedBy>
  <cp:revision>2</cp:revision>
  <cp:lastPrinted>2009-10-26T10:54:00Z</cp:lastPrinted>
  <dcterms:created xsi:type="dcterms:W3CDTF">2017-07-31T11:30:00Z</dcterms:created>
  <dcterms:modified xsi:type="dcterms:W3CDTF">2017-07-31T11:30:00Z</dcterms:modified>
</cp:coreProperties>
</file>