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64063" w:rsidP="00617867">
            <w:pPr>
              <w:jc w:val="right"/>
            </w:pPr>
            <w:r w:rsidRPr="00064063">
              <w:rPr>
                <w:sz w:val="40"/>
              </w:rPr>
              <w:t>ECE</w:t>
            </w:r>
            <w:r>
              <w:t>/MP.PP/2017/2</w:t>
            </w:r>
            <w:r w:rsidR="00617867">
              <w:t>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87DBB"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064063" w:rsidP="00064063">
            <w:pPr>
              <w:spacing w:before="240" w:line="240" w:lineRule="exact"/>
            </w:pPr>
            <w:r>
              <w:t>Distr.: General</w:t>
            </w:r>
          </w:p>
          <w:p w:rsidR="00064063" w:rsidRDefault="000B11F5" w:rsidP="00064063">
            <w:pPr>
              <w:spacing w:line="240" w:lineRule="exact"/>
            </w:pPr>
            <w:r>
              <w:t>26</w:t>
            </w:r>
            <w:r w:rsidR="00064063">
              <w:t xml:space="preserve"> July 2017</w:t>
            </w:r>
          </w:p>
          <w:p w:rsidR="00064063" w:rsidRDefault="00064063" w:rsidP="00064063">
            <w:pPr>
              <w:spacing w:line="240" w:lineRule="exact"/>
            </w:pPr>
          </w:p>
          <w:p w:rsidR="00064063" w:rsidRDefault="00064063" w:rsidP="0006406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C35F1F" w:rsidRDefault="00064063" w:rsidP="00C96DF2">
      <w:pPr>
        <w:spacing w:before="120"/>
        <w:rPr>
          <w:b/>
          <w:sz w:val="24"/>
          <w:szCs w:val="24"/>
        </w:rPr>
      </w:pPr>
      <w:r w:rsidRPr="000A4D54">
        <w:rPr>
          <w:sz w:val="28"/>
          <w:szCs w:val="28"/>
        </w:rPr>
        <w:t xml:space="preserve">Meeting of the Parties to the Convention on </w:t>
      </w:r>
      <w:r w:rsidRPr="000A4D54">
        <w:rPr>
          <w:sz w:val="28"/>
          <w:szCs w:val="28"/>
        </w:rPr>
        <w:br/>
        <w:t xml:space="preserve">Access to Information, Public Participation </w:t>
      </w:r>
      <w:r w:rsidRPr="000A4D54">
        <w:rPr>
          <w:sz w:val="28"/>
          <w:szCs w:val="28"/>
        </w:rPr>
        <w:br/>
        <w:t xml:space="preserve">in Decision-making and Access to Justice </w:t>
      </w:r>
      <w:r w:rsidRPr="000A4D54">
        <w:rPr>
          <w:sz w:val="28"/>
          <w:szCs w:val="28"/>
        </w:rPr>
        <w:br/>
        <w:t>in Environmental Matters</w:t>
      </w:r>
    </w:p>
    <w:p w:rsidR="00064063" w:rsidRPr="000A4D54" w:rsidRDefault="00064063" w:rsidP="00064063">
      <w:pPr>
        <w:spacing w:before="120"/>
        <w:rPr>
          <w:b/>
          <w:bCs/>
        </w:rPr>
      </w:pPr>
      <w:r w:rsidRPr="000A4D54">
        <w:rPr>
          <w:b/>
          <w:bCs/>
        </w:rPr>
        <w:t>Sixth session</w:t>
      </w:r>
    </w:p>
    <w:p w:rsidR="00064063" w:rsidRPr="000A4D54" w:rsidRDefault="00064063" w:rsidP="00064063">
      <w:r w:rsidRPr="000A4D54">
        <w:t>Budva, Montenegro, 11–13 September 2017</w:t>
      </w:r>
    </w:p>
    <w:p w:rsidR="00064063" w:rsidRPr="000A4D54" w:rsidRDefault="00064063" w:rsidP="00064063">
      <w:pPr>
        <w:spacing w:line="240" w:lineRule="auto"/>
      </w:pPr>
      <w:r w:rsidRPr="000A4D54">
        <w:t>Item 7 (b) of the provisional agenda</w:t>
      </w:r>
    </w:p>
    <w:p w:rsidR="00C96DF2" w:rsidRDefault="00064063" w:rsidP="00064063">
      <w:r w:rsidRPr="000A4D54">
        <w:rPr>
          <w:b/>
        </w:rPr>
        <w:t>Procedures and mechanisms facilitating the implementation</w:t>
      </w:r>
      <w:r w:rsidRPr="000A4D54">
        <w:rPr>
          <w:b/>
        </w:rPr>
        <w:br/>
        <w:t>of the Convention: compliance mechanism</w:t>
      </w:r>
    </w:p>
    <w:p w:rsidR="00064063" w:rsidRDefault="00064063" w:rsidP="00064063">
      <w:pPr>
        <w:pStyle w:val="HChG"/>
      </w:pPr>
      <w:bookmarkStart w:id="0" w:name="OLE_LINK2"/>
      <w:r>
        <w:tab/>
      </w:r>
      <w:r>
        <w:tab/>
      </w:r>
      <w:r w:rsidRPr="009F15F2">
        <w:t>Draft decision VI/8</w:t>
      </w:r>
      <w:r w:rsidR="00617867">
        <w:t>a</w:t>
      </w:r>
      <w:r w:rsidRPr="009F15F2">
        <w:t xml:space="preserve"> concerning compliance by </w:t>
      </w:r>
      <w:r>
        <w:t>A</w:t>
      </w:r>
      <w:r w:rsidR="00617867">
        <w:t>rmen</w:t>
      </w:r>
      <w:r>
        <w:t>ia</w:t>
      </w:r>
      <w:r w:rsidRPr="009F15F2">
        <w:t xml:space="preserve"> </w:t>
      </w:r>
      <w:bookmarkEnd w:id="0"/>
      <w:r w:rsidRPr="009F15F2">
        <w:t>with its obligations under the</w:t>
      </w:r>
      <w:r w:rsidRPr="004334C7">
        <w:t xml:space="preserve"> Convention</w:t>
      </w:r>
    </w:p>
    <w:p w:rsidR="00064063" w:rsidRDefault="00064063" w:rsidP="00064063">
      <w:pPr>
        <w:pStyle w:val="H1G"/>
        <w:rPr>
          <w:i/>
          <w:iCs/>
          <w:sz w:val="20"/>
        </w:rPr>
      </w:pPr>
      <w:r>
        <w:tab/>
      </w:r>
      <w:r>
        <w:tab/>
      </w:r>
      <w:r w:rsidRPr="00064063">
        <w:t>Prepared</w:t>
      </w:r>
      <w:r>
        <w:t xml:space="preserve"> by the Bureau</w:t>
      </w:r>
      <w:r w:rsidDel="006A2255">
        <w:t xml:space="preserve"> </w:t>
      </w:r>
    </w:p>
    <w:p w:rsidR="00064063" w:rsidRPr="00064063" w:rsidRDefault="00FB6A57" w:rsidP="00064063">
      <w:pPr>
        <w:pStyle w:val="SingleTxtG"/>
        <w:rPr>
          <w:i/>
        </w:rPr>
      </w:pPr>
      <w:r>
        <w:tab/>
      </w:r>
      <w:r w:rsidR="00064063" w:rsidRPr="00064063">
        <w:rPr>
          <w:i/>
        </w:rPr>
        <w:t xml:space="preserve">The Meeting of the Parties, </w:t>
      </w:r>
    </w:p>
    <w:p w:rsidR="00064063" w:rsidRDefault="00FB6A57" w:rsidP="00064063">
      <w:pPr>
        <w:pStyle w:val="SingleTxtG"/>
      </w:pPr>
      <w:r>
        <w:rPr>
          <w:i/>
          <w:iCs/>
        </w:rPr>
        <w:tab/>
      </w:r>
      <w:r w:rsidR="00064063">
        <w:rPr>
          <w:i/>
          <w:iCs/>
        </w:rPr>
        <w:tab/>
        <w:t xml:space="preserve">Acting </w:t>
      </w:r>
      <w:r w:rsidR="00064063">
        <w:t>under paragraph 37 of the annex to its decision I/7 on the review of ompliance (</w:t>
      </w:r>
      <w:r w:rsidR="00064063" w:rsidRPr="004C1DEA">
        <w:t>ECE/MP.PP/2/Add.8</w:t>
      </w:r>
      <w:r w:rsidR="00064063">
        <w:t xml:space="preserve">), </w:t>
      </w:r>
    </w:p>
    <w:p w:rsidR="00064063" w:rsidRPr="006A1B2F" w:rsidRDefault="00064063" w:rsidP="00064063">
      <w:pPr>
        <w:pStyle w:val="SingleTxtG"/>
      </w:pPr>
      <w:r>
        <w:tab/>
      </w:r>
      <w:r w:rsidRPr="006A1B2F">
        <w:rPr>
          <w:i/>
        </w:rPr>
        <w:t xml:space="preserve">Mindful </w:t>
      </w:r>
      <w:r w:rsidRPr="006A1B2F">
        <w:t xml:space="preserve">of the conclusions and recommendations set out in </w:t>
      </w:r>
      <w:r>
        <w:t xml:space="preserve">its </w:t>
      </w:r>
      <w:r w:rsidRPr="006A1B2F">
        <w:t>decision V/9</w:t>
      </w:r>
      <w:r w:rsidR="00617867">
        <w:t>a</w:t>
      </w:r>
      <w:r w:rsidRPr="006A1B2F">
        <w:t xml:space="preserve"> with </w:t>
      </w:r>
      <w:r w:rsidRPr="00961DE9">
        <w:t>regard</w:t>
      </w:r>
      <w:r w:rsidRPr="006A1B2F">
        <w:t xml:space="preserve"> to compliance by </w:t>
      </w:r>
      <w:r>
        <w:t>A</w:t>
      </w:r>
      <w:r w:rsidR="00617867">
        <w:t>rmen</w:t>
      </w:r>
      <w:r>
        <w:t>ia</w:t>
      </w:r>
      <w:r w:rsidR="003B6FA2">
        <w:t xml:space="preserve"> </w:t>
      </w:r>
      <w:r w:rsidR="003B6FA2" w:rsidRPr="006A1B2F">
        <w:t>(</w:t>
      </w:r>
      <w:r w:rsidR="003B6FA2">
        <w:t xml:space="preserve">see </w:t>
      </w:r>
      <w:r w:rsidR="003B6FA2" w:rsidRPr="006A1B2F">
        <w:t>ECE/MP.PP/2014/Add.1)</w:t>
      </w:r>
      <w:r w:rsidRPr="006A1B2F">
        <w:t>,</w:t>
      </w:r>
    </w:p>
    <w:p w:rsidR="00064063" w:rsidRPr="006A1B2F" w:rsidRDefault="00064063" w:rsidP="00064063">
      <w:pPr>
        <w:pStyle w:val="SingleTxtG"/>
      </w:pPr>
      <w:r>
        <w:rPr>
          <w:i/>
          <w:iCs/>
        </w:rPr>
        <w:tab/>
      </w:r>
      <w:r w:rsidRPr="006A1B2F">
        <w:rPr>
          <w:i/>
          <w:iCs/>
        </w:rPr>
        <w:t xml:space="preserve">Taking note </w:t>
      </w:r>
      <w:r w:rsidRPr="006A1B2F">
        <w:t xml:space="preserve">of the report of the Compliance Committee under the Convention on Access to Information, Public Participation in Decision-making and Access to Justice in </w:t>
      </w:r>
      <w:r w:rsidRPr="00961DE9">
        <w:t>Environmental</w:t>
      </w:r>
      <w:r w:rsidRPr="006A1B2F">
        <w:t xml:space="preserve"> Matters </w:t>
      </w:r>
      <w:r>
        <w:t>on the implementation of decision V/9</w:t>
      </w:r>
      <w:r w:rsidR="00617867">
        <w:t>a</w:t>
      </w:r>
      <w:r>
        <w:t xml:space="preserve"> concerning compliance by A</w:t>
      </w:r>
      <w:r w:rsidR="00617867">
        <w:t>rmen</w:t>
      </w:r>
      <w:r>
        <w:t xml:space="preserve">ia with its obligations under the Convention </w:t>
      </w:r>
      <w:r w:rsidRPr="006A1B2F">
        <w:t>(</w:t>
      </w:r>
      <w:r w:rsidR="00617867">
        <w:t>ECE/MP.PP/2017/33</w:t>
      </w:r>
      <w:r w:rsidRPr="006A1B2F">
        <w:t>)</w:t>
      </w:r>
      <w:r>
        <w:t xml:space="preserve">, </w:t>
      </w:r>
    </w:p>
    <w:p w:rsidR="00064063" w:rsidRPr="006A1B2F" w:rsidRDefault="00064063" w:rsidP="00064063">
      <w:pPr>
        <w:pStyle w:val="SingleTxtG"/>
      </w:pPr>
      <w:bookmarkStart w:id="1" w:name="_GoBack"/>
      <w:bookmarkEnd w:id="1"/>
      <w:r w:rsidRPr="006A1B2F">
        <w:rPr>
          <w:i/>
          <w:iCs/>
        </w:rPr>
        <w:tab/>
      </w:r>
      <w:r w:rsidRPr="006A1B2F">
        <w:rPr>
          <w:i/>
        </w:rPr>
        <w:t>Encouraged</w:t>
      </w:r>
      <w:r w:rsidRPr="006A1B2F">
        <w:t xml:space="preserve"> by </w:t>
      </w:r>
      <w:r>
        <w:t xml:space="preserve">the willingness of </w:t>
      </w:r>
      <w:r w:rsidR="00617867">
        <w:t>Armenia</w:t>
      </w:r>
      <w:r>
        <w:t xml:space="preserve"> </w:t>
      </w:r>
      <w:r w:rsidRPr="00961DE9">
        <w:t>to</w:t>
      </w:r>
      <w:r w:rsidRPr="006A1B2F">
        <w:t xml:space="preserve"> discuss in a constructive manner </w:t>
      </w:r>
      <w:r>
        <w:t xml:space="preserve">with the Committee </w:t>
      </w:r>
      <w:r w:rsidRPr="006A1B2F">
        <w:t xml:space="preserve">the compliance issues in question, </w:t>
      </w:r>
    </w:p>
    <w:p w:rsidR="00617867" w:rsidRPr="00D05DFE" w:rsidRDefault="00064063" w:rsidP="00617867">
      <w:pPr>
        <w:pStyle w:val="SingleTxtG"/>
        <w:ind w:firstLine="567"/>
        <w:rPr>
          <w:rFonts w:eastAsia="Calibri"/>
        </w:rPr>
      </w:pPr>
      <w:r w:rsidRPr="008E1BE3">
        <w:t>1.</w:t>
      </w:r>
      <w:r w:rsidRPr="008E1BE3">
        <w:tab/>
      </w:r>
      <w:r w:rsidR="00DD0BDC" w:rsidRPr="00C12C42">
        <w:rPr>
          <w:rFonts w:eastAsia="Calibri"/>
          <w:i/>
        </w:rPr>
        <w:t xml:space="preserve">Endorses </w:t>
      </w:r>
      <w:r w:rsidR="00DD0BDC">
        <w:rPr>
          <w:rFonts w:eastAsia="Calibri"/>
        </w:rPr>
        <w:t>the finding of the Committee</w:t>
      </w:r>
      <w:r w:rsidR="00617867" w:rsidRPr="00D05DFE">
        <w:rPr>
          <w:rFonts w:eastAsia="Calibri"/>
        </w:rPr>
        <w:t xml:space="preserve"> that the Party concerned has met the requirements of paragraphs 4 (c) (iii) and (iv) of decision V/9a</w:t>
      </w:r>
      <w:r w:rsidR="00DD0BDC">
        <w:rPr>
          <w:rFonts w:eastAsia="Calibri"/>
        </w:rPr>
        <w:t>;</w:t>
      </w:r>
      <w:r w:rsidR="00617867" w:rsidRPr="00D05DFE">
        <w:rPr>
          <w:rFonts w:eastAsia="Calibri"/>
        </w:rPr>
        <w:t xml:space="preserve">  </w:t>
      </w:r>
    </w:p>
    <w:p w:rsidR="00617867" w:rsidRPr="00D05DFE" w:rsidRDefault="00DD0BDC" w:rsidP="00DD0BDC">
      <w:pPr>
        <w:pStyle w:val="SingleTxtG"/>
        <w:ind w:firstLine="567"/>
        <w:rPr>
          <w:rFonts w:eastAsia="Calibri"/>
        </w:rPr>
      </w:pPr>
      <w:r>
        <w:rPr>
          <w:rFonts w:eastAsia="Calibri"/>
        </w:rPr>
        <w:t>2.</w:t>
      </w:r>
      <w:r>
        <w:rPr>
          <w:rFonts w:eastAsia="Calibri"/>
        </w:rPr>
        <w:tab/>
      </w:r>
      <w:r w:rsidRPr="00DD0BDC">
        <w:rPr>
          <w:rFonts w:eastAsia="Calibri"/>
          <w:i/>
        </w:rPr>
        <w:t>Also endorses</w:t>
      </w:r>
      <w:r>
        <w:rPr>
          <w:rFonts w:eastAsia="Calibri"/>
        </w:rPr>
        <w:t xml:space="preserve"> the finding of the Committee</w:t>
      </w:r>
      <w:r w:rsidRPr="00D05DFE">
        <w:rPr>
          <w:rFonts w:eastAsia="Calibri"/>
        </w:rPr>
        <w:t xml:space="preserve"> </w:t>
      </w:r>
      <w:r w:rsidR="00617867" w:rsidRPr="00D05DFE">
        <w:rPr>
          <w:rFonts w:eastAsia="Calibri"/>
        </w:rPr>
        <w:t xml:space="preserve">that the Party concerned has not yet fulfilled the requirements of paragraph 4 (c) (i) and (ii) </w:t>
      </w:r>
      <w:r w:rsidR="00F47364">
        <w:rPr>
          <w:rFonts w:eastAsia="Calibri"/>
        </w:rPr>
        <w:t>and</w:t>
      </w:r>
      <w:r w:rsidR="00617867" w:rsidRPr="00D05DFE">
        <w:rPr>
          <w:rFonts w:eastAsia="Calibri"/>
        </w:rPr>
        <w:t xml:space="preserve"> paragraph 7 (a) and (b) of </w:t>
      </w:r>
      <w:r w:rsidR="00617867" w:rsidRPr="00D05DFE">
        <w:rPr>
          <w:rFonts w:eastAsia="Calibri"/>
        </w:rPr>
        <w:lastRenderedPageBreak/>
        <w:t>decision V/9a, but welcomes the steps taken by the Party concerned to date in that direction</w:t>
      </w:r>
      <w:r>
        <w:rPr>
          <w:rFonts w:eastAsia="Calibri"/>
        </w:rPr>
        <w:t>;</w:t>
      </w:r>
    </w:p>
    <w:p w:rsidR="00617867" w:rsidRPr="00D05DFE" w:rsidRDefault="00DD0BDC" w:rsidP="00DD0BDC">
      <w:pPr>
        <w:pStyle w:val="SingleTxtG"/>
        <w:ind w:firstLine="567"/>
        <w:rPr>
          <w:rFonts w:eastAsia="Calibri"/>
        </w:rPr>
      </w:pPr>
      <w:r>
        <w:rPr>
          <w:rFonts w:eastAsia="Calibri"/>
        </w:rPr>
        <w:t>3.</w:t>
      </w:r>
      <w:r>
        <w:rPr>
          <w:rFonts w:eastAsia="Calibri"/>
        </w:rPr>
        <w:tab/>
      </w:r>
      <w:r w:rsidRPr="00DD0BDC">
        <w:rPr>
          <w:rFonts w:eastAsia="Calibri"/>
          <w:i/>
        </w:rPr>
        <w:t>R</w:t>
      </w:r>
      <w:r w:rsidR="00617867" w:rsidRPr="00DD0BDC">
        <w:rPr>
          <w:rFonts w:eastAsia="Calibri"/>
          <w:i/>
        </w:rPr>
        <w:t>eaffirms</w:t>
      </w:r>
      <w:r w:rsidR="00617867" w:rsidRPr="00D05DFE">
        <w:rPr>
          <w:rFonts w:eastAsia="Calibri"/>
        </w:rPr>
        <w:t xml:space="preserve"> its decision V/9a, and requests the Party concerned to take the necessary legislative, regulatory and administrative measures and practical arrangements to ensure that:</w:t>
      </w:r>
    </w:p>
    <w:p w:rsidR="00617867" w:rsidRPr="00D05DFE" w:rsidRDefault="00242D40" w:rsidP="00242D40">
      <w:pPr>
        <w:pStyle w:val="SingleTxtG"/>
        <w:ind w:firstLine="567"/>
      </w:pPr>
      <w:r w:rsidRPr="00D05DFE">
        <w:t>(a)</w:t>
      </w:r>
      <w:r w:rsidRPr="00D05DFE">
        <w:tab/>
      </w:r>
      <w:r w:rsidR="00617867" w:rsidRPr="00D05DFE">
        <w:t xml:space="preserve">Thresholds for activities subject to an </w:t>
      </w:r>
      <w:r>
        <w:t>environmental impact assessment</w:t>
      </w:r>
      <w:r w:rsidR="00617867" w:rsidRPr="00D05DFE">
        <w:t xml:space="preserve"> procedure, including public participation, are set in a clear manner;</w:t>
      </w:r>
    </w:p>
    <w:p w:rsidR="00617867" w:rsidRPr="00D05DFE" w:rsidRDefault="00242D40" w:rsidP="00242D40">
      <w:pPr>
        <w:pStyle w:val="SingleTxtG"/>
        <w:ind w:firstLine="567"/>
      </w:pPr>
      <w:r w:rsidRPr="00D05DFE">
        <w:t>(b)</w:t>
      </w:r>
      <w:r w:rsidRPr="00D05DFE">
        <w:tab/>
      </w:r>
      <w:r w:rsidR="00617867" w:rsidRPr="00D05DFE">
        <w:t xml:space="preserve">Reasonable time frames that are significantly longer than those currently provided for are set for the public to </w:t>
      </w:r>
      <w:r w:rsidR="00617867" w:rsidRPr="00D05DFE">
        <w:rPr>
          <w:rFonts w:eastAsia="Calibri"/>
        </w:rPr>
        <w:t>consult</w:t>
      </w:r>
      <w:r w:rsidR="00617867" w:rsidRPr="00D05DFE">
        <w:t xml:space="preserve"> and comment on project-related documentation;</w:t>
      </w:r>
    </w:p>
    <w:p w:rsidR="00617867" w:rsidRPr="00D05DFE" w:rsidRDefault="00242D40" w:rsidP="00242D40">
      <w:pPr>
        <w:pStyle w:val="SingleTxtG"/>
        <w:ind w:firstLine="567"/>
      </w:pPr>
      <w:r w:rsidRPr="00D05DFE">
        <w:t>(c)</w:t>
      </w:r>
      <w:r w:rsidRPr="00D05DFE">
        <w:tab/>
      </w:r>
      <w:r w:rsidR="00617867" w:rsidRPr="00D05DFE">
        <w:rPr>
          <w:rFonts w:eastAsia="Calibri"/>
        </w:rPr>
        <w:t xml:space="preserve">Its </w:t>
      </w:r>
      <w:r w:rsidR="00617867" w:rsidRPr="00D05DFE">
        <w:t>legislation</w:t>
      </w:r>
      <w:r w:rsidR="00617867" w:rsidRPr="00D05DFE">
        <w:rPr>
          <w:rFonts w:eastAsia="Calibri"/>
        </w:rPr>
        <w:t xml:space="preserve">, including the law on </w:t>
      </w:r>
      <w:r>
        <w:rPr>
          <w:rFonts w:eastAsia="Calibri"/>
        </w:rPr>
        <w:t>non-governmental organizations</w:t>
      </w:r>
      <w:r w:rsidR="00617867" w:rsidRPr="00D05DFE">
        <w:rPr>
          <w:rFonts w:eastAsia="Calibri"/>
        </w:rPr>
        <w:t xml:space="preserve"> and administrative procedures, complies with article 9, paragraph 2, of the Convention with </w:t>
      </w:r>
      <w:r w:rsidR="00617867" w:rsidRPr="00D05DFE">
        <w:t>regard</w:t>
      </w:r>
      <w:r w:rsidR="00617867" w:rsidRPr="00D05DFE">
        <w:rPr>
          <w:rFonts w:eastAsia="Calibri"/>
        </w:rPr>
        <w:t xml:space="preserve"> to standing;</w:t>
      </w:r>
    </w:p>
    <w:p w:rsidR="00617867" w:rsidRPr="00D05DFE" w:rsidRDefault="00242D40" w:rsidP="00242D40">
      <w:pPr>
        <w:pStyle w:val="SingleTxtG"/>
        <w:ind w:firstLine="567"/>
        <w:rPr>
          <w:rFonts w:eastAsia="Calibri"/>
        </w:rPr>
      </w:pPr>
      <w:r w:rsidRPr="00D05DFE">
        <w:rPr>
          <w:rFonts w:eastAsia="Calibri"/>
        </w:rPr>
        <w:t>(d)</w:t>
      </w:r>
      <w:r w:rsidRPr="00D05DFE">
        <w:rPr>
          <w:rFonts w:eastAsia="Calibri"/>
        </w:rPr>
        <w:tab/>
      </w:r>
      <w:r w:rsidR="00617867" w:rsidRPr="00D05DFE">
        <w:rPr>
          <w:lang w:eastAsia="en-GB"/>
        </w:rPr>
        <w:t xml:space="preserve">It continues its efforts to raise awareness of the judiciary to promote implementation of domestic legislation in accordance with the </w:t>
      </w:r>
      <w:r w:rsidR="00617867" w:rsidRPr="00D05DFE">
        <w:rPr>
          <w:rFonts w:eastAsia="Calibri"/>
        </w:rPr>
        <w:t>Convention</w:t>
      </w:r>
      <w:r w:rsidR="00F47364">
        <w:rPr>
          <w:lang w:eastAsia="en-GB"/>
        </w:rPr>
        <w:t>;</w:t>
      </w:r>
    </w:p>
    <w:p w:rsidR="00617867" w:rsidRPr="00D05DFE" w:rsidRDefault="00DD0BDC" w:rsidP="00DD0BDC">
      <w:pPr>
        <w:pStyle w:val="SingleTxtG"/>
        <w:ind w:firstLine="567"/>
        <w:rPr>
          <w:rFonts w:eastAsia="Calibri"/>
        </w:rPr>
      </w:pPr>
      <w:r>
        <w:rPr>
          <w:rFonts w:eastAsia="Calibri"/>
        </w:rPr>
        <w:t>4.</w:t>
      </w:r>
      <w:r>
        <w:rPr>
          <w:rFonts w:eastAsia="Calibri"/>
        </w:rPr>
        <w:tab/>
      </w:r>
      <w:r w:rsidRPr="00DD0BDC">
        <w:rPr>
          <w:rFonts w:eastAsia="Calibri"/>
          <w:i/>
        </w:rPr>
        <w:t>R</w:t>
      </w:r>
      <w:r w:rsidR="00617867" w:rsidRPr="00DD0BDC">
        <w:rPr>
          <w:rFonts w:eastAsia="Calibri"/>
          <w:i/>
        </w:rPr>
        <w:t>equests</w:t>
      </w:r>
      <w:r w:rsidR="00617867" w:rsidRPr="00D05DFE">
        <w:rPr>
          <w:rFonts w:eastAsia="Calibri"/>
        </w:rPr>
        <w:t xml:space="preserve"> the Party concerned: </w:t>
      </w:r>
    </w:p>
    <w:p w:rsidR="00617867" w:rsidRPr="00DD0BDC" w:rsidRDefault="00242D40" w:rsidP="00242D40">
      <w:pPr>
        <w:pStyle w:val="SingleTxtG"/>
        <w:ind w:firstLine="567"/>
        <w:rPr>
          <w:rFonts w:eastAsia="Calibri"/>
        </w:rPr>
      </w:pPr>
      <w:r w:rsidRPr="00DD0BDC">
        <w:rPr>
          <w:rFonts w:eastAsia="Calibri"/>
        </w:rPr>
        <w:t>(a)</w:t>
      </w:r>
      <w:r w:rsidRPr="00DD0BDC">
        <w:rPr>
          <w:rFonts w:eastAsia="Calibri"/>
        </w:rPr>
        <w:tab/>
      </w:r>
      <w:r w:rsidR="00617867" w:rsidRPr="00DD0BDC">
        <w:rPr>
          <w:rFonts w:eastAsia="Calibri"/>
        </w:rPr>
        <w:t>To provide detailed progress reports to the Committee by 1 October 2018, 1</w:t>
      </w:r>
      <w:r>
        <w:rPr>
          <w:rFonts w:eastAsia="Calibri"/>
        </w:rPr>
        <w:t> </w:t>
      </w:r>
      <w:r w:rsidR="00617867" w:rsidRPr="00DD0BDC">
        <w:rPr>
          <w:rFonts w:eastAsia="Calibri"/>
        </w:rPr>
        <w:t>October 2019 and 1 October 2020 on the measures taken and the results achieved in the implementation of the above recommendations;</w:t>
      </w:r>
    </w:p>
    <w:p w:rsidR="00617867" w:rsidRPr="00DD0BDC" w:rsidRDefault="00242D40" w:rsidP="00242D40">
      <w:pPr>
        <w:pStyle w:val="SingleTxtG"/>
        <w:ind w:firstLine="567"/>
        <w:rPr>
          <w:rFonts w:eastAsia="Calibri"/>
        </w:rPr>
      </w:pPr>
      <w:r w:rsidRPr="00DD0BDC">
        <w:rPr>
          <w:rFonts w:eastAsia="Calibri"/>
        </w:rPr>
        <w:t>(b)</w:t>
      </w:r>
      <w:r w:rsidRPr="00DD0BDC">
        <w:rPr>
          <w:rFonts w:eastAsia="Calibri"/>
        </w:rPr>
        <w:tab/>
      </w:r>
      <w:r w:rsidR="00617867" w:rsidRPr="00DD0BDC">
        <w:rPr>
          <w:rFonts w:eastAsia="Calibri"/>
        </w:rPr>
        <w:t>To promptly provide the text of any legislative measures adopted to implement the above recommendations, together with English translations thereof;</w:t>
      </w:r>
    </w:p>
    <w:p w:rsidR="00DD0BDC" w:rsidRPr="00DD0BDC" w:rsidRDefault="00242D40" w:rsidP="00242D40">
      <w:pPr>
        <w:pStyle w:val="SingleTxtG"/>
        <w:ind w:firstLine="567"/>
        <w:rPr>
          <w:rFonts w:eastAsia="Calibri"/>
        </w:rPr>
      </w:pPr>
      <w:r w:rsidRPr="00DD0BDC">
        <w:rPr>
          <w:rFonts w:eastAsia="Calibri"/>
        </w:rPr>
        <w:t>(c)</w:t>
      </w:r>
      <w:r w:rsidRPr="00DD0BDC">
        <w:rPr>
          <w:rFonts w:eastAsia="Calibri"/>
        </w:rPr>
        <w:tab/>
      </w:r>
      <w:r w:rsidR="00617867" w:rsidRPr="00DD0BDC">
        <w:rPr>
          <w:rFonts w:eastAsia="Calibri"/>
        </w:rPr>
        <w:t>To provide such additional information as the Committee may request in between the above reporting dates in order to assist the Committee to review the progress by the Party concerned in implementing the above recommendations;</w:t>
      </w:r>
    </w:p>
    <w:p w:rsidR="00617867" w:rsidRDefault="00242D40" w:rsidP="00242D40">
      <w:pPr>
        <w:pStyle w:val="SingleTxtG"/>
        <w:ind w:firstLine="567"/>
      </w:pPr>
      <w:r>
        <w:t>(d)</w:t>
      </w:r>
      <w:r>
        <w:tab/>
      </w:r>
      <w:r w:rsidR="00617867" w:rsidRPr="00D05DFE">
        <w:t>To participate (either in person or by audio conference) in the meetings of the Committee at which the progress of the Party concerned in implementing the above recommendations is to be considered</w:t>
      </w:r>
      <w:r w:rsidR="00DD0BDC">
        <w:t>;</w:t>
      </w:r>
    </w:p>
    <w:p w:rsidR="00835DBD" w:rsidRDefault="00617867" w:rsidP="00DD0BDC">
      <w:pPr>
        <w:pStyle w:val="SingleTxtG"/>
        <w:ind w:firstLine="567"/>
      </w:pPr>
      <w:r>
        <w:t>5</w:t>
      </w:r>
      <w:r w:rsidR="00064063" w:rsidRPr="001E6F99">
        <w:t>.</w:t>
      </w:r>
      <w:r w:rsidR="00064063" w:rsidRPr="001E6F99">
        <w:tab/>
      </w:r>
      <w:r w:rsidR="00064063" w:rsidRPr="001E6F99">
        <w:rPr>
          <w:i/>
        </w:rPr>
        <w:t>Undertakes</w:t>
      </w:r>
      <w:r w:rsidR="00064063" w:rsidRPr="001E6F99">
        <w:t xml:space="preserve"> to review the situation at its seventh session.</w:t>
      </w:r>
    </w:p>
    <w:p w:rsidR="00064063" w:rsidRPr="00064063" w:rsidRDefault="00064063" w:rsidP="00064063">
      <w:pPr>
        <w:spacing w:before="240"/>
        <w:ind w:left="1134" w:right="1134"/>
        <w:jc w:val="center"/>
        <w:rPr>
          <w:u w:val="single"/>
        </w:rPr>
      </w:pPr>
      <w:r>
        <w:rPr>
          <w:u w:val="single"/>
        </w:rPr>
        <w:tab/>
      </w:r>
      <w:r>
        <w:rPr>
          <w:u w:val="single"/>
        </w:rPr>
        <w:tab/>
      </w:r>
      <w:r>
        <w:rPr>
          <w:u w:val="single"/>
        </w:rPr>
        <w:tab/>
      </w:r>
      <w:r w:rsidR="00FB6A57">
        <w:rPr>
          <w:u w:val="single"/>
        </w:rPr>
        <w:tab/>
      </w:r>
    </w:p>
    <w:sectPr w:rsidR="00064063" w:rsidRPr="00064063" w:rsidSect="0006406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D3" w:rsidRDefault="006956D3"/>
  </w:endnote>
  <w:endnote w:type="continuationSeparator" w:id="0">
    <w:p w:rsidR="006956D3" w:rsidRDefault="006956D3"/>
  </w:endnote>
  <w:endnote w:type="continuationNotice" w:id="1">
    <w:p w:rsidR="006956D3" w:rsidRDefault="00695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63" w:rsidRPr="00064063" w:rsidRDefault="00064063" w:rsidP="00064063">
    <w:pPr>
      <w:pStyle w:val="Footer"/>
      <w:tabs>
        <w:tab w:val="right" w:pos="9638"/>
      </w:tabs>
      <w:rPr>
        <w:sz w:val="18"/>
      </w:rPr>
    </w:pPr>
    <w:r w:rsidRPr="00064063">
      <w:rPr>
        <w:b/>
        <w:sz w:val="18"/>
      </w:rPr>
      <w:fldChar w:fldCharType="begin"/>
    </w:r>
    <w:r w:rsidRPr="00064063">
      <w:rPr>
        <w:b/>
        <w:sz w:val="18"/>
      </w:rPr>
      <w:instrText xml:space="preserve"> PAGE  \* MERGEFORMAT </w:instrText>
    </w:r>
    <w:r w:rsidRPr="00064063">
      <w:rPr>
        <w:b/>
        <w:sz w:val="18"/>
      </w:rPr>
      <w:fldChar w:fldCharType="separate"/>
    </w:r>
    <w:r w:rsidR="007F4AD3">
      <w:rPr>
        <w:b/>
        <w:noProof/>
        <w:sz w:val="18"/>
      </w:rPr>
      <w:t>2</w:t>
    </w:r>
    <w:r w:rsidRPr="000640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63" w:rsidRPr="00064063" w:rsidRDefault="00064063" w:rsidP="00064063">
    <w:pPr>
      <w:pStyle w:val="Footer"/>
      <w:tabs>
        <w:tab w:val="right" w:pos="9638"/>
      </w:tabs>
      <w:rPr>
        <w:b/>
        <w:sz w:val="18"/>
      </w:rPr>
    </w:pPr>
    <w:r>
      <w:tab/>
    </w:r>
    <w:r w:rsidRPr="00064063">
      <w:rPr>
        <w:b/>
        <w:sz w:val="18"/>
      </w:rPr>
      <w:fldChar w:fldCharType="begin"/>
    </w:r>
    <w:r w:rsidRPr="00064063">
      <w:rPr>
        <w:b/>
        <w:sz w:val="18"/>
      </w:rPr>
      <w:instrText xml:space="preserve"> PAGE  \* MERGEFORMAT </w:instrText>
    </w:r>
    <w:r w:rsidRPr="00064063">
      <w:rPr>
        <w:b/>
        <w:sz w:val="18"/>
      </w:rPr>
      <w:fldChar w:fldCharType="separate"/>
    </w:r>
    <w:r>
      <w:rPr>
        <w:b/>
        <w:noProof/>
        <w:sz w:val="18"/>
      </w:rPr>
      <w:t>3</w:t>
    </w:r>
    <w:r w:rsidRPr="000640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42" w:rsidRDefault="00EE7A42" w:rsidP="00EE7A42">
    <w:pPr>
      <w:pStyle w:val="Footer"/>
    </w:pPr>
    <w:r>
      <w:rPr>
        <w:rFonts w:ascii="C39T30Lfz" w:hAnsi="C39T30Lfz"/>
        <w:noProof/>
        <w:sz w:val="56"/>
        <w:lang w:val="en-US"/>
      </w:rPr>
      <w:drawing>
        <wp:anchor distT="0" distB="0" distL="114300" distR="114300" simplePos="0" relativeHeight="251662336" behindDoc="0" locked="0" layoutInCell="1" allowOverlap="1">
          <wp:simplePos x="0" y="0"/>
          <wp:positionH relativeFrom="margin">
            <wp:posOffset>5478780</wp:posOffset>
          </wp:positionH>
          <wp:positionV relativeFrom="margin">
            <wp:posOffset>7974944</wp:posOffset>
          </wp:positionV>
          <wp:extent cx="638175" cy="638175"/>
          <wp:effectExtent l="0" t="0" r="9525" b="9525"/>
          <wp:wrapNone/>
          <wp:docPr id="2" name="Picture 1" descr="https://undocs.org/m2/QRCode.ashx?DS=ECE/MP.PP/201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1" layoutInCell="1" allowOverlap="1" wp14:anchorId="0AB8EDB2" wp14:editId="73837EC2">
          <wp:simplePos x="0" y="0"/>
          <wp:positionH relativeFrom="margin">
            <wp:posOffset>4320540</wp:posOffset>
          </wp:positionH>
          <wp:positionV relativeFrom="margin">
            <wp:posOffset>8324850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E7A42" w:rsidRDefault="00EE7A42" w:rsidP="00EE7A42">
    <w:pPr>
      <w:pStyle w:val="Footer"/>
      <w:ind w:right="1134"/>
      <w:rPr>
        <w:sz w:val="20"/>
      </w:rPr>
    </w:pPr>
    <w:r>
      <w:rPr>
        <w:sz w:val="20"/>
      </w:rPr>
      <w:t>GE.17-12710(E)</w:t>
    </w:r>
  </w:p>
  <w:p w:rsidR="00EE7A42" w:rsidRPr="00EE7A42" w:rsidRDefault="00EE7A42" w:rsidP="00EE7A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D3" w:rsidRPr="000B175B" w:rsidRDefault="006956D3" w:rsidP="000B175B">
      <w:pPr>
        <w:tabs>
          <w:tab w:val="right" w:pos="2155"/>
        </w:tabs>
        <w:spacing w:after="80"/>
        <w:ind w:left="680"/>
        <w:rPr>
          <w:u w:val="single"/>
        </w:rPr>
      </w:pPr>
      <w:r>
        <w:rPr>
          <w:u w:val="single"/>
        </w:rPr>
        <w:tab/>
      </w:r>
    </w:p>
  </w:footnote>
  <w:footnote w:type="continuationSeparator" w:id="0">
    <w:p w:rsidR="006956D3" w:rsidRPr="00FC68B7" w:rsidRDefault="006956D3" w:rsidP="00FC68B7">
      <w:pPr>
        <w:tabs>
          <w:tab w:val="left" w:pos="2155"/>
        </w:tabs>
        <w:spacing w:after="80"/>
        <w:ind w:left="680"/>
        <w:rPr>
          <w:u w:val="single"/>
        </w:rPr>
      </w:pPr>
      <w:r>
        <w:rPr>
          <w:u w:val="single"/>
        </w:rPr>
        <w:tab/>
      </w:r>
    </w:p>
  </w:footnote>
  <w:footnote w:type="continuationNotice" w:id="1">
    <w:p w:rsidR="006956D3" w:rsidRDefault="006956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63" w:rsidRPr="00064063" w:rsidRDefault="00064063">
    <w:pPr>
      <w:pStyle w:val="Header"/>
    </w:pPr>
    <w:r>
      <w:t>ECE/MP.PP/2017/2</w:t>
    </w:r>
    <w:r w:rsidR="00DD0BDC">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63" w:rsidRPr="00064063" w:rsidRDefault="00064063" w:rsidP="00064063">
    <w:pPr>
      <w:pStyle w:val="Header"/>
      <w:jc w:val="right"/>
    </w:pPr>
    <w:r>
      <w:t>ECE/MP.PP/2017/21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E7ACB"/>
    <w:multiLevelType w:val="hybridMultilevel"/>
    <w:tmpl w:val="5496717A"/>
    <w:lvl w:ilvl="0" w:tplc="D26C28DC">
      <w:start w:val="1"/>
      <w:numFmt w:val="decimal"/>
      <w:lvlText w:val="%1."/>
      <w:lvlJc w:val="left"/>
      <w:pPr>
        <w:ind w:left="2421" w:hanging="360"/>
      </w:pPr>
      <w:rPr>
        <w:rFonts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DE62A9"/>
    <w:multiLevelType w:val="hybridMultilevel"/>
    <w:tmpl w:val="A5068140"/>
    <w:lvl w:ilvl="0" w:tplc="C1EABD7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86D45E1"/>
    <w:multiLevelType w:val="hybridMultilevel"/>
    <w:tmpl w:val="4BBCF8EA"/>
    <w:lvl w:ilvl="0" w:tplc="DBE45E7C">
      <w:start w:val="4"/>
      <w:numFmt w:val="decimal"/>
      <w:lvlText w:val="%1."/>
      <w:lvlJc w:val="left"/>
      <w:pPr>
        <w:ind w:left="2061" w:hanging="360"/>
      </w:pPr>
      <w:rPr>
        <w:rFonts w:hint="default"/>
        <w: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2F5A58B9"/>
    <w:multiLevelType w:val="hybridMultilevel"/>
    <w:tmpl w:val="4A6A54E4"/>
    <w:lvl w:ilvl="0" w:tplc="0809000F">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1B40B2F2">
      <w:start w:val="1"/>
      <w:numFmt w:val="lowerRoman"/>
      <w:lvlText w:val="(%3)"/>
      <w:lvlJc w:val="left"/>
      <w:pPr>
        <w:ind w:left="3834" w:hanging="720"/>
      </w:pPr>
      <w:rPr>
        <w:rFonts w:hint="default"/>
      </w:rPr>
    </w:lvl>
    <w:lvl w:ilvl="3" w:tplc="08090013">
      <w:start w:val="1"/>
      <w:numFmt w:val="upperRoman"/>
      <w:lvlText w:val="%4."/>
      <w:lvlJc w:val="right"/>
      <w:pPr>
        <w:ind w:left="4014" w:hanging="360"/>
      </w:pPr>
    </w:lvl>
    <w:lvl w:ilvl="4" w:tplc="27321A5C">
      <w:start w:val="1"/>
      <w:numFmt w:val="lowerLetter"/>
      <w:lvlText w:val="(%5)"/>
      <w:lvlJc w:val="left"/>
      <w:pPr>
        <w:ind w:left="4734" w:hanging="360"/>
      </w:pPr>
      <w:rPr>
        <w:rFonts w:hint="default"/>
      </w:r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1C7127C"/>
    <w:multiLevelType w:val="hybridMultilevel"/>
    <w:tmpl w:val="A5068140"/>
    <w:lvl w:ilvl="0" w:tplc="C1EABD7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96C63"/>
    <w:multiLevelType w:val="hybridMultilevel"/>
    <w:tmpl w:val="32D6C214"/>
    <w:lvl w:ilvl="0" w:tplc="28EC2950">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4D43BDD"/>
    <w:multiLevelType w:val="hybridMultilevel"/>
    <w:tmpl w:val="72FA5BBE"/>
    <w:lvl w:ilvl="0" w:tplc="84007C64">
      <w:start w:val="4"/>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21"/>
  </w:num>
  <w:num w:numId="16">
    <w:abstractNumId w:val="15"/>
  </w:num>
  <w:num w:numId="17">
    <w:abstractNumId w:val="16"/>
  </w:num>
  <w:num w:numId="18">
    <w:abstractNumId w:val="10"/>
  </w:num>
  <w:num w:numId="19">
    <w:abstractNumId w:val="14"/>
  </w:num>
  <w:num w:numId="20">
    <w:abstractNumId w:val="19"/>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3"/>
    <w:rsid w:val="000463DC"/>
    <w:rsid w:val="00046B1F"/>
    <w:rsid w:val="00050F6B"/>
    <w:rsid w:val="00057E97"/>
    <w:rsid w:val="00064063"/>
    <w:rsid w:val="00072C8C"/>
    <w:rsid w:val="000733B5"/>
    <w:rsid w:val="00081815"/>
    <w:rsid w:val="000931C0"/>
    <w:rsid w:val="000B0595"/>
    <w:rsid w:val="000B11F5"/>
    <w:rsid w:val="000B175B"/>
    <w:rsid w:val="000B3A0F"/>
    <w:rsid w:val="000B4EF7"/>
    <w:rsid w:val="000C2C03"/>
    <w:rsid w:val="000C2D2E"/>
    <w:rsid w:val="000E0415"/>
    <w:rsid w:val="00101C38"/>
    <w:rsid w:val="001103AA"/>
    <w:rsid w:val="0011666B"/>
    <w:rsid w:val="00135F13"/>
    <w:rsid w:val="00154FD9"/>
    <w:rsid w:val="00165F3A"/>
    <w:rsid w:val="00191784"/>
    <w:rsid w:val="001969F4"/>
    <w:rsid w:val="001A3336"/>
    <w:rsid w:val="001A6A8E"/>
    <w:rsid w:val="001B4B04"/>
    <w:rsid w:val="001C6663"/>
    <w:rsid w:val="001C7895"/>
    <w:rsid w:val="001D0C8C"/>
    <w:rsid w:val="001D1419"/>
    <w:rsid w:val="001D26DF"/>
    <w:rsid w:val="001D3A03"/>
    <w:rsid w:val="001E7B67"/>
    <w:rsid w:val="00202DA8"/>
    <w:rsid w:val="00211E0B"/>
    <w:rsid w:val="00230C33"/>
    <w:rsid w:val="00242D40"/>
    <w:rsid w:val="0024772E"/>
    <w:rsid w:val="00267F5F"/>
    <w:rsid w:val="00286B4D"/>
    <w:rsid w:val="002C41F6"/>
    <w:rsid w:val="002D4643"/>
    <w:rsid w:val="002F175C"/>
    <w:rsid w:val="002F2B7D"/>
    <w:rsid w:val="00302499"/>
    <w:rsid w:val="00302E18"/>
    <w:rsid w:val="003229D8"/>
    <w:rsid w:val="00352709"/>
    <w:rsid w:val="003619B5"/>
    <w:rsid w:val="00365763"/>
    <w:rsid w:val="00371178"/>
    <w:rsid w:val="00392E47"/>
    <w:rsid w:val="003A6810"/>
    <w:rsid w:val="003B4680"/>
    <w:rsid w:val="003B6FA2"/>
    <w:rsid w:val="003C2CC4"/>
    <w:rsid w:val="003D4B23"/>
    <w:rsid w:val="003F77E4"/>
    <w:rsid w:val="00410C89"/>
    <w:rsid w:val="00422E03"/>
    <w:rsid w:val="00426B9B"/>
    <w:rsid w:val="004325CB"/>
    <w:rsid w:val="00436788"/>
    <w:rsid w:val="00442A83"/>
    <w:rsid w:val="0045495B"/>
    <w:rsid w:val="004564EE"/>
    <w:rsid w:val="00466275"/>
    <w:rsid w:val="0048397A"/>
    <w:rsid w:val="00485CBB"/>
    <w:rsid w:val="004866B7"/>
    <w:rsid w:val="004C2461"/>
    <w:rsid w:val="004C7462"/>
    <w:rsid w:val="004E77B2"/>
    <w:rsid w:val="00504B2D"/>
    <w:rsid w:val="00507332"/>
    <w:rsid w:val="0052136D"/>
    <w:rsid w:val="0052775E"/>
    <w:rsid w:val="005420F2"/>
    <w:rsid w:val="005628B6"/>
    <w:rsid w:val="0059724D"/>
    <w:rsid w:val="005B3DB3"/>
    <w:rsid w:val="005B4E13"/>
    <w:rsid w:val="005C342F"/>
    <w:rsid w:val="005D2609"/>
    <w:rsid w:val="005E2EDD"/>
    <w:rsid w:val="005F7B75"/>
    <w:rsid w:val="006001EE"/>
    <w:rsid w:val="00605042"/>
    <w:rsid w:val="00611FC4"/>
    <w:rsid w:val="006176FB"/>
    <w:rsid w:val="00617867"/>
    <w:rsid w:val="00626D11"/>
    <w:rsid w:val="00640B26"/>
    <w:rsid w:val="00652D0A"/>
    <w:rsid w:val="00662BB6"/>
    <w:rsid w:val="006661F3"/>
    <w:rsid w:val="00676606"/>
    <w:rsid w:val="00684C21"/>
    <w:rsid w:val="006956D3"/>
    <w:rsid w:val="006A2530"/>
    <w:rsid w:val="006C3589"/>
    <w:rsid w:val="006D37AF"/>
    <w:rsid w:val="006D51D0"/>
    <w:rsid w:val="006D5FB9"/>
    <w:rsid w:val="006E564B"/>
    <w:rsid w:val="006E7191"/>
    <w:rsid w:val="00703577"/>
    <w:rsid w:val="00705894"/>
    <w:rsid w:val="0072632A"/>
    <w:rsid w:val="007327D5"/>
    <w:rsid w:val="007629C8"/>
    <w:rsid w:val="0077047D"/>
    <w:rsid w:val="00795720"/>
    <w:rsid w:val="007B6BA5"/>
    <w:rsid w:val="007C3390"/>
    <w:rsid w:val="007C4F4B"/>
    <w:rsid w:val="007E01E9"/>
    <w:rsid w:val="007E63F3"/>
    <w:rsid w:val="007F4AD3"/>
    <w:rsid w:val="007F6611"/>
    <w:rsid w:val="00811920"/>
    <w:rsid w:val="00815AD0"/>
    <w:rsid w:val="008242D7"/>
    <w:rsid w:val="008257B1"/>
    <w:rsid w:val="00832334"/>
    <w:rsid w:val="00835DBD"/>
    <w:rsid w:val="00843767"/>
    <w:rsid w:val="008679D9"/>
    <w:rsid w:val="0087321B"/>
    <w:rsid w:val="008878DE"/>
    <w:rsid w:val="008979B1"/>
    <w:rsid w:val="008A6B25"/>
    <w:rsid w:val="008A6C4F"/>
    <w:rsid w:val="008B2335"/>
    <w:rsid w:val="008E0678"/>
    <w:rsid w:val="009223CA"/>
    <w:rsid w:val="00940F93"/>
    <w:rsid w:val="009627F3"/>
    <w:rsid w:val="009760F3"/>
    <w:rsid w:val="00976CFB"/>
    <w:rsid w:val="009A0830"/>
    <w:rsid w:val="009A0E8D"/>
    <w:rsid w:val="009B26E7"/>
    <w:rsid w:val="009B60F3"/>
    <w:rsid w:val="00A00697"/>
    <w:rsid w:val="00A00A3F"/>
    <w:rsid w:val="00A01489"/>
    <w:rsid w:val="00A3026E"/>
    <w:rsid w:val="00A338F1"/>
    <w:rsid w:val="00A35BE0"/>
    <w:rsid w:val="00A72F22"/>
    <w:rsid w:val="00A7360F"/>
    <w:rsid w:val="00A748A6"/>
    <w:rsid w:val="00A769F4"/>
    <w:rsid w:val="00A776B4"/>
    <w:rsid w:val="00A87DBB"/>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12C42"/>
    <w:rsid w:val="00C22C0C"/>
    <w:rsid w:val="00C35F1F"/>
    <w:rsid w:val="00C4527F"/>
    <w:rsid w:val="00C463DD"/>
    <w:rsid w:val="00C4724C"/>
    <w:rsid w:val="00C629A0"/>
    <w:rsid w:val="00C64629"/>
    <w:rsid w:val="00C741BC"/>
    <w:rsid w:val="00C745C3"/>
    <w:rsid w:val="00C96DF2"/>
    <w:rsid w:val="00CB3E03"/>
    <w:rsid w:val="00CC5A26"/>
    <w:rsid w:val="00CE4A8F"/>
    <w:rsid w:val="00D02901"/>
    <w:rsid w:val="00D2031B"/>
    <w:rsid w:val="00D25FE2"/>
    <w:rsid w:val="00D43252"/>
    <w:rsid w:val="00D44F86"/>
    <w:rsid w:val="00D47EEA"/>
    <w:rsid w:val="00D5090C"/>
    <w:rsid w:val="00D773DF"/>
    <w:rsid w:val="00D95303"/>
    <w:rsid w:val="00D978C6"/>
    <w:rsid w:val="00DA3C1C"/>
    <w:rsid w:val="00DC5061"/>
    <w:rsid w:val="00DD0BDC"/>
    <w:rsid w:val="00E046DF"/>
    <w:rsid w:val="00E27346"/>
    <w:rsid w:val="00E71BC8"/>
    <w:rsid w:val="00E7260F"/>
    <w:rsid w:val="00E73F5D"/>
    <w:rsid w:val="00E77E4E"/>
    <w:rsid w:val="00E96630"/>
    <w:rsid w:val="00ED7A2A"/>
    <w:rsid w:val="00EE7A42"/>
    <w:rsid w:val="00EF1D7F"/>
    <w:rsid w:val="00F02236"/>
    <w:rsid w:val="00F30EAA"/>
    <w:rsid w:val="00F31E5F"/>
    <w:rsid w:val="00F47364"/>
    <w:rsid w:val="00F6100A"/>
    <w:rsid w:val="00F93781"/>
    <w:rsid w:val="00FB613B"/>
    <w:rsid w:val="00FB6A57"/>
    <w:rsid w:val="00FC5D2D"/>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15BB281-9EC8-4948-B5E7-8B1D603D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64063"/>
    <w:rPr>
      <w:lang w:eastAsia="en-US"/>
    </w:rPr>
  </w:style>
  <w:style w:type="paragraph" w:styleId="BalloonText">
    <w:name w:val="Balloon Text"/>
    <w:basedOn w:val="Normal"/>
    <w:link w:val="BalloonTextChar"/>
    <w:semiHidden/>
    <w:unhideWhenUsed/>
    <w:rsid w:val="001A6A8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A6A8E"/>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795720"/>
    <w:pPr>
      <w:spacing w:line="240" w:lineRule="auto"/>
    </w:pPr>
    <w:rPr>
      <w:b/>
      <w:bCs/>
    </w:rPr>
  </w:style>
  <w:style w:type="character" w:customStyle="1" w:styleId="CommentTextChar">
    <w:name w:val="Comment Text Char"/>
    <w:basedOn w:val="DefaultParagraphFont"/>
    <w:link w:val="CommentText"/>
    <w:semiHidden/>
    <w:rsid w:val="00795720"/>
    <w:rPr>
      <w:lang w:eastAsia="en-US"/>
    </w:rPr>
  </w:style>
  <w:style w:type="character" w:customStyle="1" w:styleId="CommentSubjectChar">
    <w:name w:val="Comment Subject Char"/>
    <w:basedOn w:val="CommentTextChar"/>
    <w:link w:val="CommentSubject"/>
    <w:semiHidden/>
    <w:rsid w:val="00795720"/>
    <w:rPr>
      <w:b/>
      <w:bCs/>
      <w:lang w:eastAsia="en-US"/>
    </w:rPr>
  </w:style>
  <w:style w:type="character" w:customStyle="1" w:styleId="FootnoteTextChar">
    <w:name w:val="Footnote Text Char"/>
    <w:aliases w:val="5_G Char"/>
    <w:link w:val="FootnoteText"/>
    <w:rsid w:val="0061786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0</TotalTime>
  <Pages>2</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1712710</dc:title>
  <dc:subject>ECE/MP.PP/2017/20</dc:subject>
  <dc:creator>ECE/MP.PP/C.1/2015/3</dc:creator>
  <cp:keywords/>
  <dc:description/>
  <cp:lastModifiedBy>ECE/MP.PP/C.1/2015/3</cp:lastModifiedBy>
  <cp:revision>3</cp:revision>
  <cp:lastPrinted>2009-10-26T10:54:00Z</cp:lastPrinted>
  <dcterms:created xsi:type="dcterms:W3CDTF">2017-07-26T12:44:00Z</dcterms:created>
  <dcterms:modified xsi:type="dcterms:W3CDTF">2017-08-18T10:11:00Z</dcterms:modified>
</cp:coreProperties>
</file>