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90" w:rsidRPr="0081728D" w:rsidRDefault="00114290" w:rsidP="00891223">
      <w:pPr>
        <w:pStyle w:val="HChG"/>
        <w:ind w:left="0" w:firstLine="0"/>
        <w:jc w:val="center"/>
        <w:outlineLvl w:val="0"/>
      </w:pPr>
      <w:r w:rsidRPr="0081728D">
        <w:t>Compliance by the Republic of Moldova with its obligations under the Convention</w:t>
      </w:r>
    </w:p>
    <w:p w:rsidR="00103247" w:rsidRPr="0081728D" w:rsidRDefault="00103247" w:rsidP="00891223">
      <w:pPr>
        <w:pStyle w:val="HChG"/>
        <w:jc w:val="center"/>
      </w:pPr>
    </w:p>
    <w:p w:rsidR="00103247" w:rsidRPr="0081728D" w:rsidRDefault="00103247" w:rsidP="00891223">
      <w:pPr>
        <w:pStyle w:val="HChG"/>
        <w:jc w:val="center"/>
      </w:pPr>
      <w:r w:rsidRPr="0081728D">
        <w:t>I.</w:t>
      </w:r>
      <w:r w:rsidRPr="0081728D">
        <w:tab/>
        <w:t>Introduction - decision IV/9d of the Meeting of the Parties</w:t>
      </w:r>
    </w:p>
    <w:p w:rsidR="00103247" w:rsidRPr="0081728D" w:rsidRDefault="00103247" w:rsidP="00103247">
      <w:pPr>
        <w:pStyle w:val="SingleTxtG"/>
        <w:numPr>
          <w:ilvl w:val="0"/>
          <w:numId w:val="1"/>
        </w:numPr>
        <w:ind w:left="0" w:firstLine="0"/>
      </w:pPr>
      <w:r w:rsidRPr="0081728D">
        <w:t>At its fourth session, the Meeting of the Parties to the Convention on Access to Information, Public Participation in Decision-making and Access to Justice in Environmental Matters (Aarhus Convention) adopted decision IV/9d on compliance by the Republic of Moldova with its obligations under the Convention (included in ECE/MP.PP/20011/2/Add.1).</w:t>
      </w:r>
    </w:p>
    <w:p w:rsidR="00103247" w:rsidRPr="0081728D" w:rsidRDefault="00444BED" w:rsidP="003E309B">
      <w:pPr>
        <w:pStyle w:val="SingleTxtG"/>
        <w:numPr>
          <w:ilvl w:val="0"/>
          <w:numId w:val="1"/>
        </w:numPr>
        <w:ind w:left="0" w:firstLine="0"/>
      </w:pPr>
      <w:r w:rsidRPr="0081728D">
        <w:t>Review of the Republic of Moldova’s</w:t>
      </w:r>
      <w:r w:rsidR="00103247" w:rsidRPr="0081728D">
        <w:t xml:space="preserve"> compliance had been triggered by communication ACCC/C/2008/30 in relation to refusing access to information on contracts for rent of land of the State Forestry Fund (</w:t>
      </w:r>
      <w:proofErr w:type="spellStart"/>
      <w:r w:rsidR="00103247" w:rsidRPr="0081728D">
        <w:t>Moldsilva</w:t>
      </w:r>
      <w:proofErr w:type="spellEnd"/>
      <w:r w:rsidR="00103247" w:rsidRPr="0081728D">
        <w:t xml:space="preserve">). </w:t>
      </w:r>
      <w:r w:rsidR="00794CD8" w:rsidRPr="0081728D">
        <w:t>In its findings adopted on 25 September 2009 (ECE/MP.PP/C.1/2009/6/Add.3), t</w:t>
      </w:r>
      <w:r w:rsidR="00103247" w:rsidRPr="0081728D">
        <w:t>he Committe</w:t>
      </w:r>
      <w:bookmarkStart w:id="0" w:name="_GoBack"/>
      <w:r w:rsidR="00103247" w:rsidRPr="0081728D">
        <w:t>e</w:t>
      </w:r>
      <w:bookmarkEnd w:id="0"/>
      <w:r w:rsidR="00103247" w:rsidRPr="0081728D">
        <w:t xml:space="preserve"> had found that the Party concerned had failed to comply with article 3, paragraphs 1 and 2,  article 4, paragraphs 1, 2, 4  and 7 and article 9, paragraph 1 of the Convention</w:t>
      </w:r>
      <w:r w:rsidR="001B2CB3" w:rsidRPr="0081728D">
        <w:t xml:space="preserve"> </w:t>
      </w:r>
      <w:r w:rsidR="00103247" w:rsidRPr="0081728D">
        <w:t>and</w:t>
      </w:r>
      <w:r w:rsidR="001B2CB3" w:rsidRPr="0081728D">
        <w:t xml:space="preserve">, with the agreement of </w:t>
      </w:r>
      <w:r w:rsidR="00103247" w:rsidRPr="0081728D">
        <w:t>the Party concerned</w:t>
      </w:r>
      <w:r w:rsidR="001B2CB3" w:rsidRPr="0081728D">
        <w:t>, recommended th</w:t>
      </w:r>
      <w:r w:rsidR="0022546C" w:rsidRPr="0081728D">
        <w:t xml:space="preserve">e </w:t>
      </w:r>
      <w:r w:rsidR="001754AD" w:rsidRPr="0081728D">
        <w:t xml:space="preserve"> Party</w:t>
      </w:r>
      <w:r w:rsidR="0022546C" w:rsidRPr="0081728D">
        <w:t xml:space="preserve"> concerned to</w:t>
      </w:r>
      <w:r w:rsidR="00103247" w:rsidRPr="0081728D">
        <w:t>:</w:t>
      </w:r>
    </w:p>
    <w:p w:rsidR="00103247" w:rsidRPr="0081728D" w:rsidRDefault="00103247" w:rsidP="00103247">
      <w:pPr>
        <w:pStyle w:val="SingleTxtG"/>
        <w:numPr>
          <w:ilvl w:val="1"/>
          <w:numId w:val="1"/>
        </w:numPr>
        <w:ind w:left="720" w:firstLine="0"/>
      </w:pPr>
      <w:r w:rsidRPr="0081728D">
        <w:t xml:space="preserve">Ensure full execution of the final decision of the Civil Chamber of Chisinau Court of Appeal adopted on 23 June 2008 obliging </w:t>
      </w:r>
      <w:proofErr w:type="spellStart"/>
      <w:r w:rsidRPr="0081728D">
        <w:t>Moldsilva</w:t>
      </w:r>
      <w:proofErr w:type="spellEnd"/>
      <w:r w:rsidRPr="0081728D">
        <w:t xml:space="preserve"> to provide the communicant with the copies of the requested contacts;</w:t>
      </w:r>
    </w:p>
    <w:p w:rsidR="00103247" w:rsidRPr="0081728D" w:rsidRDefault="00103247" w:rsidP="00103247">
      <w:pPr>
        <w:pStyle w:val="SingleTxtG"/>
        <w:numPr>
          <w:ilvl w:val="1"/>
          <w:numId w:val="1"/>
        </w:numPr>
        <w:ind w:left="720" w:firstLine="0"/>
      </w:pPr>
      <w:r w:rsidRPr="0081728D">
        <w:t>Take effective legislative and/or practical measures for better monitoring of the execution by public authorities of final court decisions under article 9, paragraph 1, of the Convention;</w:t>
      </w:r>
    </w:p>
    <w:p w:rsidR="00103247" w:rsidRPr="0081728D" w:rsidRDefault="00103247" w:rsidP="00103247">
      <w:pPr>
        <w:pStyle w:val="SingleTxtG"/>
        <w:numPr>
          <w:ilvl w:val="1"/>
          <w:numId w:val="1"/>
        </w:numPr>
        <w:ind w:left="720" w:firstLine="0"/>
      </w:pPr>
      <w:r w:rsidRPr="0081728D">
        <w:t>Take effective measures (e.g. the development and implementation of adequate and effective regulations; the establishment, strengthening and/or enforcement of administrative penalties on public servants who do not comply with the legislative requirements on transparency of information; the involvement of representatives of the public in monitoring procedures; and the publication of statistics concerning requests for environmental information) for enhanced monitoring of the implementation by public authorities of the Convention and of the Moldovan legislation with regard to transparency of information, and for prevention of any future violation of the rights of the public under the Convention and the relevant Moldovan legislation by public authorities;</w:t>
      </w:r>
    </w:p>
    <w:p w:rsidR="00103247" w:rsidRPr="0081728D" w:rsidRDefault="00103247" w:rsidP="00103247">
      <w:pPr>
        <w:pStyle w:val="SingleTxtG"/>
        <w:numPr>
          <w:ilvl w:val="1"/>
          <w:numId w:val="1"/>
        </w:numPr>
        <w:ind w:left="720" w:firstLine="0"/>
      </w:pPr>
      <w:r w:rsidRPr="0081728D">
        <w:t>Amend article 48 (e) of Regulation No. 187, so as to exclude its interpretation in contradiction with the requirements of article 4 of the Convention;</w:t>
      </w:r>
    </w:p>
    <w:p w:rsidR="00103247" w:rsidRPr="0081728D" w:rsidRDefault="00103247" w:rsidP="00103247">
      <w:pPr>
        <w:pStyle w:val="SingleTxtG"/>
        <w:numPr>
          <w:ilvl w:val="1"/>
          <w:numId w:val="1"/>
        </w:numPr>
        <w:ind w:left="720" w:firstLine="0"/>
      </w:pPr>
      <w:r w:rsidRPr="0081728D">
        <w:t xml:space="preserve">Take effective measures, such as training activities, publications and conferences, with the objective of raising awareness of public servants, including representatives of </w:t>
      </w:r>
      <w:proofErr w:type="spellStart"/>
      <w:r w:rsidRPr="0081728D">
        <w:t>Moldsilva</w:t>
      </w:r>
      <w:proofErr w:type="spellEnd"/>
      <w:r w:rsidRPr="0081728D">
        <w:t xml:space="preserve"> and public servants of other public agencies responsible for the collection, maintenance and/or dissemination of environmental information, as well as the members of the judiciary, about requirements of the Convention;</w:t>
      </w:r>
    </w:p>
    <w:p w:rsidR="00103247" w:rsidRPr="0081728D" w:rsidRDefault="00103247" w:rsidP="00103247">
      <w:pPr>
        <w:pStyle w:val="SingleTxtG"/>
        <w:numPr>
          <w:ilvl w:val="1"/>
          <w:numId w:val="1"/>
        </w:numPr>
        <w:ind w:left="720" w:firstLine="0"/>
      </w:pPr>
      <w:r w:rsidRPr="0081728D">
        <w:t>Examine the Moldovan regulatory framework on access to information in cooperation with representatives of the public and independent experts, in order to identify any provisions that may not be compatible with the provisions of the Convention, and accordingly decide on whether any amendments are necessary;</w:t>
      </w:r>
    </w:p>
    <w:p w:rsidR="00103247" w:rsidRPr="0081728D" w:rsidRDefault="00103247" w:rsidP="00103247">
      <w:pPr>
        <w:pStyle w:val="SingleTxtG"/>
        <w:numPr>
          <w:ilvl w:val="1"/>
          <w:numId w:val="1"/>
        </w:numPr>
        <w:ind w:left="720" w:firstLine="0"/>
      </w:pPr>
      <w:r w:rsidRPr="0081728D">
        <w:t>Avoid inclusion in the contracts on the rent of lands administered by the State Forestry Fund of any clauses on confidentiality contradicting the requirements of article 4, paragraph 4, of the Convention;</w:t>
      </w:r>
    </w:p>
    <w:p w:rsidR="00103247" w:rsidRPr="0081728D" w:rsidRDefault="00103247" w:rsidP="00103247">
      <w:pPr>
        <w:pStyle w:val="SingleTxtG"/>
        <w:numPr>
          <w:ilvl w:val="1"/>
          <w:numId w:val="1"/>
        </w:numPr>
        <w:ind w:left="720" w:firstLine="0"/>
      </w:pPr>
      <w:r w:rsidRPr="0081728D">
        <w:lastRenderedPageBreak/>
        <w:t>Develop and adopt an action plan for the implementation of the Convention, which would involve, inter alia, the measures recommended by the Committee under items (c), (e) and (f) above.</w:t>
      </w:r>
    </w:p>
    <w:p w:rsidR="00103247" w:rsidRPr="0081728D" w:rsidRDefault="00103247" w:rsidP="00103247">
      <w:pPr>
        <w:pStyle w:val="SingleTxtG"/>
        <w:numPr>
          <w:ilvl w:val="0"/>
          <w:numId w:val="1"/>
        </w:numPr>
        <w:ind w:left="0" w:firstLine="0"/>
      </w:pPr>
      <w:r w:rsidRPr="0081728D">
        <w:t xml:space="preserve">At the end of the </w:t>
      </w:r>
      <w:proofErr w:type="spellStart"/>
      <w:r w:rsidRPr="0081728D">
        <w:t>intersessional</w:t>
      </w:r>
      <w:proofErr w:type="spellEnd"/>
      <w:r w:rsidRPr="0081728D">
        <w:t xml:space="preserve"> period 2008-2011, the Committee invited the Party concerned to provide information, no less than four months before the fourth session of the Meeting of the Parties, on the measures taken </w:t>
      </w:r>
      <w:r w:rsidR="008E342C" w:rsidRPr="0081728D">
        <w:t xml:space="preserve">and </w:t>
      </w:r>
      <w:r w:rsidRPr="0081728D">
        <w:t>the results achieved in the implementation of its recommendations</w:t>
      </w:r>
      <w:r w:rsidR="008E342C" w:rsidRPr="0081728D">
        <w:t xml:space="preserve">. Based </w:t>
      </w:r>
      <w:r w:rsidRPr="0081728D">
        <w:t xml:space="preserve">on the information received </w:t>
      </w:r>
      <w:r w:rsidR="008E342C" w:rsidRPr="0081728D">
        <w:t xml:space="preserve">the Committee made its report on the implementation of tis recommendations </w:t>
      </w:r>
      <w:r w:rsidRPr="0081728D">
        <w:t>to the Meeting of the Parties</w:t>
      </w:r>
      <w:r w:rsidR="001B2CB3" w:rsidRPr="0081728D">
        <w:t xml:space="preserve"> (ECE/MP.PP/C.1/2011/2/Add.6)</w:t>
      </w:r>
      <w:r w:rsidRPr="0081728D">
        <w:t>.</w:t>
      </w:r>
    </w:p>
    <w:p w:rsidR="00103247" w:rsidRPr="0081728D" w:rsidRDefault="00103247" w:rsidP="0081728D">
      <w:pPr>
        <w:pStyle w:val="SingleTxtG"/>
        <w:numPr>
          <w:ilvl w:val="0"/>
          <w:numId w:val="1"/>
        </w:numPr>
        <w:ind w:left="0" w:firstLine="0"/>
      </w:pPr>
      <w:r w:rsidRPr="0081728D">
        <w:t xml:space="preserve">Through decision IV/9d, the Meeting of the Parties endorsed the findings of the Committee, welcomed the recommendations made by the Committee to the Party during the </w:t>
      </w:r>
      <w:proofErr w:type="spellStart"/>
      <w:r w:rsidRPr="0081728D">
        <w:t>intersessional</w:t>
      </w:r>
      <w:proofErr w:type="spellEnd"/>
      <w:r w:rsidRPr="0081728D">
        <w:t xml:space="preserve"> period</w:t>
      </w:r>
      <w:r w:rsidR="008E342C" w:rsidRPr="0081728D">
        <w:t>, welcomed the actions taken by the Party concerned to address the Committee’s recommendations thus far,</w:t>
      </w:r>
      <w:r w:rsidRPr="0081728D">
        <w:t xml:space="preserve"> and invited the Party concerned </w:t>
      </w:r>
      <w:r w:rsidR="0081728D" w:rsidRPr="0081728D">
        <w:t>“</w:t>
      </w:r>
      <w:r w:rsidR="0081728D" w:rsidRPr="00D03354">
        <w:t>to submit to the Committee the final version of the national action plan (including the recommendations made by the Committee in paragraph 42 of document ECE/MP.PP/C.1/2009/6/Add.3) upon their adoption, and to submit to the Committee periodically (in November 2011, November 2012 and November</w:t>
      </w:r>
      <w:r w:rsidR="00D03354">
        <w:t xml:space="preserve"> </w:t>
      </w:r>
      <w:r w:rsidR="0081728D" w:rsidRPr="00D03354">
        <w:t xml:space="preserve">2013) detailed information on further progress in implementing the national action plan”. The </w:t>
      </w:r>
      <w:r w:rsidR="001754AD" w:rsidRPr="0081728D">
        <w:t xml:space="preserve">recommendations are repeated in </w:t>
      </w:r>
      <w:r w:rsidR="00DB4F6A" w:rsidRPr="0081728D">
        <w:t xml:space="preserve">paragraph 2(a)-(h) </w:t>
      </w:r>
      <w:r w:rsidR="001754AD" w:rsidRPr="0081728D">
        <w:t xml:space="preserve">of the </w:t>
      </w:r>
      <w:r w:rsidR="00B62782" w:rsidRPr="0081728D">
        <w:t xml:space="preserve">present </w:t>
      </w:r>
      <w:r w:rsidR="001754AD" w:rsidRPr="0081728D">
        <w:t>document</w:t>
      </w:r>
      <w:r w:rsidRPr="0081728D">
        <w:t>.</w:t>
      </w:r>
    </w:p>
    <w:p w:rsidR="00103247" w:rsidRPr="0081728D" w:rsidRDefault="00103247" w:rsidP="00103247">
      <w:pPr>
        <w:pStyle w:val="HChG"/>
      </w:pPr>
      <w:r w:rsidRPr="0081728D">
        <w:tab/>
        <w:t>II.</w:t>
      </w:r>
      <w:r w:rsidRPr="0081728D">
        <w:tab/>
        <w:t>Summary of follow-up action</w:t>
      </w:r>
    </w:p>
    <w:p w:rsidR="00103247" w:rsidRPr="0081728D" w:rsidRDefault="00103247" w:rsidP="00103247">
      <w:pPr>
        <w:pStyle w:val="SingleTxtG"/>
        <w:numPr>
          <w:ilvl w:val="0"/>
          <w:numId w:val="1"/>
        </w:numPr>
        <w:ind w:left="0" w:firstLine="0"/>
      </w:pPr>
      <w:r w:rsidRPr="0081728D">
        <w:t xml:space="preserve">On 1 December 2011, the Party concerned submitted its progress report, as requested </w:t>
      </w:r>
      <w:r w:rsidR="00732CA2" w:rsidRPr="0081728D">
        <w:t xml:space="preserve">through </w:t>
      </w:r>
      <w:r w:rsidRPr="0081728D">
        <w:t xml:space="preserve">decision IV/9d, </w:t>
      </w:r>
      <w:r w:rsidR="00887EDC" w:rsidRPr="0081728D">
        <w:t xml:space="preserve">informing the Committee of the range of actions it had taken to reach compliance with the Convention, including establishing two multi-stakeholder working groups to carry out actions to implement the pillars of the Convention, an analysis of legislation, informational campaigns and trainings and the opening of two Aarhus Centres. It also submitted its </w:t>
      </w:r>
      <w:r w:rsidRPr="0081728D">
        <w:t>national action plan for the implementation of the Convention</w:t>
      </w:r>
      <w:r w:rsidR="00887EDC" w:rsidRPr="0081728D">
        <w:t xml:space="preserve"> which had been adopted by the Government on 28 June 2011</w:t>
      </w:r>
      <w:r w:rsidRPr="0081728D">
        <w:t xml:space="preserve">. </w:t>
      </w:r>
    </w:p>
    <w:p w:rsidR="00103247" w:rsidRPr="0081728D" w:rsidRDefault="00103247" w:rsidP="00103247">
      <w:pPr>
        <w:pStyle w:val="SingleTxtG"/>
        <w:numPr>
          <w:ilvl w:val="0"/>
          <w:numId w:val="1"/>
        </w:numPr>
        <w:suppressAutoHyphens w:val="0"/>
        <w:spacing w:line="240" w:lineRule="auto"/>
        <w:ind w:left="0" w:firstLine="0"/>
      </w:pPr>
      <w:r w:rsidRPr="0081728D">
        <w:t>At its thirty-fifth meeting (13-16 December 2011), the Committee reviewed the progress report, which had been received on time. The Committee agreed to review the materials received in further detail at its thirty-sixth meeting</w:t>
      </w:r>
      <w:r w:rsidR="006C63A4" w:rsidRPr="0081728D">
        <w:t>.</w:t>
      </w:r>
      <w:r w:rsidRPr="0081728D">
        <w:t xml:space="preserve"> </w:t>
      </w:r>
    </w:p>
    <w:p w:rsidR="00103247" w:rsidRPr="0081728D" w:rsidRDefault="00103247" w:rsidP="00103247">
      <w:pPr>
        <w:pStyle w:val="SingleTxtG"/>
        <w:numPr>
          <w:ilvl w:val="0"/>
          <w:numId w:val="1"/>
        </w:numPr>
        <w:suppressAutoHyphens w:val="0"/>
        <w:spacing w:line="240" w:lineRule="auto"/>
        <w:ind w:left="0" w:firstLine="0"/>
      </w:pPr>
      <w:r w:rsidRPr="0081728D">
        <w:t>At its thirty-sixth meeting</w:t>
      </w:r>
      <w:r w:rsidR="006C63A4" w:rsidRPr="0081728D">
        <w:t xml:space="preserve"> (27-30 March 2012)</w:t>
      </w:r>
      <w:r w:rsidRPr="0081728D">
        <w:t xml:space="preserve">, the Committee noted with approval that the report submitted by the Party concerned was quite analytical and included a number of proposed actions. The Committee welcomed the willingness and cooperation of the Party concerned in following up with the recommendations of the decision. It instructed the secretariat to invite the communicant of ACCC/C/2008/30 to comment on the action plan and agreed to review the materials received in further detail at its thirty-seventh meeting. The communicant was invited to comment </w:t>
      </w:r>
      <w:r w:rsidR="00114A39" w:rsidRPr="0081728D">
        <w:t xml:space="preserve">by letter of </w:t>
      </w:r>
      <w:r w:rsidRPr="0081728D">
        <w:t>9 May 2012.</w:t>
      </w:r>
    </w:p>
    <w:p w:rsidR="00103247" w:rsidRPr="0081728D" w:rsidRDefault="00103247" w:rsidP="00103247">
      <w:pPr>
        <w:pStyle w:val="SingleTxtG"/>
        <w:numPr>
          <w:ilvl w:val="0"/>
          <w:numId w:val="1"/>
        </w:numPr>
        <w:suppressAutoHyphens w:val="0"/>
        <w:spacing w:line="240" w:lineRule="auto"/>
        <w:ind w:left="0" w:firstLine="0"/>
      </w:pPr>
      <w:r w:rsidRPr="0081728D">
        <w:t>At the Committee’s thirty-seventh meeting (26-29 June 2012), the secretariat informed the Committee that no comments had been received from the communicant. The Committee agreed that it would review the situation, after it had received the progress report due by the Party concerned in November 2012.</w:t>
      </w:r>
    </w:p>
    <w:p w:rsidR="00103247" w:rsidRPr="0081728D" w:rsidRDefault="00103247" w:rsidP="00103247">
      <w:pPr>
        <w:pStyle w:val="SingleTxtG"/>
        <w:numPr>
          <w:ilvl w:val="0"/>
          <w:numId w:val="1"/>
        </w:numPr>
        <w:suppressAutoHyphens w:val="0"/>
        <w:spacing w:line="240" w:lineRule="auto"/>
        <w:ind w:left="0" w:firstLine="0"/>
      </w:pPr>
      <w:r w:rsidRPr="0081728D">
        <w:t xml:space="preserve">On 3 December 2012, the </w:t>
      </w:r>
      <w:r w:rsidR="00114A39" w:rsidRPr="0081728D">
        <w:t xml:space="preserve">Party </w:t>
      </w:r>
      <w:r w:rsidRPr="0081728D">
        <w:t xml:space="preserve">concerned submitted its progress report, as required through decision IV/9d, </w:t>
      </w:r>
      <w:r w:rsidR="00114A39" w:rsidRPr="0081728D">
        <w:t>reporting upon</w:t>
      </w:r>
      <w:r w:rsidRPr="0081728D">
        <w:t xml:space="preserve"> </w:t>
      </w:r>
      <w:r w:rsidR="00114A39" w:rsidRPr="0081728D">
        <w:t xml:space="preserve">the </w:t>
      </w:r>
      <w:r w:rsidRPr="0081728D">
        <w:t xml:space="preserve">actions </w:t>
      </w:r>
      <w:r w:rsidR="00114A39" w:rsidRPr="0081728D">
        <w:t xml:space="preserve">it had taken </w:t>
      </w:r>
      <w:r w:rsidRPr="0081728D">
        <w:t>to reach compliance with the Convention</w:t>
      </w:r>
      <w:r w:rsidR="00114A39" w:rsidRPr="0081728D">
        <w:t xml:space="preserve"> including, amongst other things, </w:t>
      </w:r>
      <w:r w:rsidR="001754AD" w:rsidRPr="0081728D">
        <w:t xml:space="preserve">preparing </w:t>
      </w:r>
      <w:r w:rsidR="00114A39" w:rsidRPr="0081728D">
        <w:t>a draft law on access to environmental information and a new chapter on access to information and public participation in decision-making in the draft law on environmental protection; cooperat</w:t>
      </w:r>
      <w:r w:rsidR="001754AD" w:rsidRPr="0081728D">
        <w:t xml:space="preserve">ing </w:t>
      </w:r>
      <w:r w:rsidR="00114A39" w:rsidRPr="0081728D">
        <w:t xml:space="preserve">with international organizations such as REC in promoting the Convention and the rights of environmental NGOs; and </w:t>
      </w:r>
      <w:r w:rsidR="001754AD" w:rsidRPr="0081728D">
        <w:t xml:space="preserve">undertaking </w:t>
      </w:r>
      <w:r w:rsidR="00114A39" w:rsidRPr="0081728D">
        <w:t xml:space="preserve">campaigns </w:t>
      </w:r>
      <w:r w:rsidR="001754AD" w:rsidRPr="0081728D">
        <w:t xml:space="preserve">to raise awareness </w:t>
      </w:r>
      <w:r w:rsidR="00114A39" w:rsidRPr="0081728D">
        <w:t>on environmental issues</w:t>
      </w:r>
      <w:r w:rsidRPr="0081728D">
        <w:t>.</w:t>
      </w:r>
    </w:p>
    <w:p w:rsidR="00103247" w:rsidRPr="0081728D" w:rsidRDefault="00103247" w:rsidP="003E309B">
      <w:pPr>
        <w:pStyle w:val="SingleTxtG"/>
        <w:numPr>
          <w:ilvl w:val="0"/>
          <w:numId w:val="1"/>
        </w:numPr>
        <w:suppressAutoHyphens w:val="0"/>
        <w:spacing w:line="240" w:lineRule="auto"/>
        <w:ind w:left="0" w:firstLine="0"/>
      </w:pPr>
      <w:r w:rsidRPr="0081728D">
        <w:t>At its thirty-ninth meeting (11-14 December 2012), the Committee noted the</w:t>
      </w:r>
      <w:r w:rsidR="008D0237" w:rsidRPr="0081728D">
        <w:t xml:space="preserve"> Party concerned had </w:t>
      </w:r>
      <w:r w:rsidRPr="0081728D">
        <w:t xml:space="preserve">submitted </w:t>
      </w:r>
      <w:r w:rsidR="008D0237" w:rsidRPr="0081728D">
        <w:t>its report within the deadline set by the decision</w:t>
      </w:r>
      <w:r w:rsidRPr="0081728D">
        <w:t xml:space="preserve">. </w:t>
      </w:r>
      <w:r w:rsidR="004A1B83" w:rsidRPr="0081728D">
        <w:t xml:space="preserve">The Committee </w:t>
      </w:r>
      <w:r w:rsidR="00532974" w:rsidRPr="0081728D">
        <w:t xml:space="preserve">observed that that the Party’s action plan initially submitted in 2011 had addressed implementation of the Convention in general, and not the specific recommendations of the decision, while the </w:t>
      </w:r>
      <w:r w:rsidR="008D0237" w:rsidRPr="0081728D">
        <w:t>follow-up report on the action plan</w:t>
      </w:r>
      <w:r w:rsidR="00532974" w:rsidRPr="0081728D">
        <w:t xml:space="preserve"> submitted on 3 December 2012</w:t>
      </w:r>
      <w:r w:rsidR="008D0237" w:rsidRPr="0081728D">
        <w:t xml:space="preserve"> included information about legislation and capacity-building activities that only related in part to specific actions targeting </w:t>
      </w:r>
      <w:r w:rsidR="004A1B83" w:rsidRPr="0081728D">
        <w:t>i</w:t>
      </w:r>
      <w:r w:rsidR="008D0237" w:rsidRPr="0081728D">
        <w:t>mplementation of the plan.</w:t>
      </w:r>
      <w:r w:rsidRPr="0081728D">
        <w:t xml:space="preserve"> The Committee asked the secretariat to prompt the communicant to comment on the submissions by the Party concerned.</w:t>
      </w:r>
    </w:p>
    <w:p w:rsidR="00103247" w:rsidRPr="0081728D" w:rsidRDefault="004A1B83" w:rsidP="00103247">
      <w:pPr>
        <w:pStyle w:val="SingleTxtG"/>
        <w:numPr>
          <w:ilvl w:val="0"/>
          <w:numId w:val="1"/>
        </w:numPr>
        <w:suppressAutoHyphens w:val="0"/>
        <w:spacing w:line="240" w:lineRule="auto"/>
        <w:ind w:left="0" w:firstLine="0"/>
      </w:pPr>
      <w:r w:rsidRPr="0081728D">
        <w:t xml:space="preserve">By email of </w:t>
      </w:r>
      <w:r w:rsidR="00103247" w:rsidRPr="0081728D">
        <w:t>8 February 2013, the communicant informed the Committee that he agreed with the views expressed by the Committee about the report.</w:t>
      </w:r>
    </w:p>
    <w:p w:rsidR="00103247" w:rsidRPr="0081728D" w:rsidRDefault="00103247" w:rsidP="00103247">
      <w:pPr>
        <w:pStyle w:val="SingleTxtG"/>
        <w:numPr>
          <w:ilvl w:val="0"/>
          <w:numId w:val="1"/>
        </w:numPr>
        <w:suppressAutoHyphens w:val="0"/>
        <w:spacing w:line="240" w:lineRule="auto"/>
        <w:ind w:left="0" w:firstLine="0"/>
      </w:pPr>
      <w:r w:rsidRPr="0081728D">
        <w:t>At its fortieth meeting (25-28 March 2013), the Committee took note of the email of the communicant. The Committee decided to send additional questions to the Party in order to clarify specific actions in its report and their relation to the recommendations of the Committee. It agreed to review the situation in detail at its forty-second meeting and requested the secretariat to explore the possibility of a videoconference with the Party concerned and interested observers. It would then also start considering its recommendations to the Meeting of the Parties at its fifth session in that regard.</w:t>
      </w:r>
    </w:p>
    <w:p w:rsidR="00103247" w:rsidRPr="0081728D" w:rsidRDefault="00103247" w:rsidP="00103247">
      <w:pPr>
        <w:pStyle w:val="SingleTxtG"/>
        <w:numPr>
          <w:ilvl w:val="0"/>
          <w:numId w:val="1"/>
        </w:numPr>
        <w:suppressAutoHyphens w:val="0"/>
        <w:spacing w:line="240" w:lineRule="auto"/>
        <w:ind w:left="0" w:firstLine="0"/>
      </w:pPr>
      <w:r w:rsidRPr="0081728D">
        <w:t xml:space="preserve">Questions were sent to the Party on 17 May 2013, with a deadline to respond by 1 September 2013. The questions aimed to guide the Party concerned in its response on how it </w:t>
      </w:r>
      <w:r w:rsidR="00C02C8C" w:rsidRPr="0081728D">
        <w:t xml:space="preserve">had </w:t>
      </w:r>
      <w:r w:rsidRPr="0081728D">
        <w:t>addressed the specific recommendations of decision IV/9d</w:t>
      </w:r>
      <w:r w:rsidR="00C02C8C" w:rsidRPr="0081728D">
        <w:t xml:space="preserve">. The Party was also asked </w:t>
      </w:r>
      <w:r w:rsidRPr="0081728D">
        <w:t>to provide</w:t>
      </w:r>
      <w:r w:rsidR="00C02C8C" w:rsidRPr="0081728D">
        <w:t xml:space="preserve"> a</w:t>
      </w:r>
      <w:r w:rsidRPr="0081728D">
        <w:t xml:space="preserve"> translation in English of the relevant legal provisions.</w:t>
      </w:r>
    </w:p>
    <w:p w:rsidR="00103247" w:rsidRPr="0081728D" w:rsidRDefault="00C02C8C" w:rsidP="00732CA2">
      <w:pPr>
        <w:pStyle w:val="SingleTxtG"/>
        <w:numPr>
          <w:ilvl w:val="0"/>
          <w:numId w:val="1"/>
        </w:numPr>
        <w:suppressAutoHyphens w:val="0"/>
        <w:spacing w:after="0" w:line="240" w:lineRule="auto"/>
        <w:ind w:left="0" w:firstLine="0"/>
      </w:pPr>
      <w:r w:rsidRPr="0081728D">
        <w:t>On 27 August 2013, t</w:t>
      </w:r>
      <w:r w:rsidR="00103247" w:rsidRPr="0081728D">
        <w:t>he communicant commented on the progress achieved by the Party concerned and informed the Committee that:</w:t>
      </w:r>
    </w:p>
    <w:p w:rsidR="00103247" w:rsidRPr="0081728D" w:rsidRDefault="00103247" w:rsidP="00732CA2">
      <w:pPr>
        <w:pStyle w:val="SingleTxtG"/>
        <w:numPr>
          <w:ilvl w:val="1"/>
          <w:numId w:val="1"/>
        </w:numPr>
        <w:spacing w:after="0"/>
        <w:ind w:left="720" w:firstLine="0"/>
      </w:pPr>
      <w:r w:rsidRPr="0081728D">
        <w:t>The Water Act, the Act on ratification of the PRTR Protocol and the Amendment to art</w:t>
      </w:r>
      <w:r w:rsidR="00374BB5" w:rsidRPr="0081728D">
        <w:t>icle</w:t>
      </w:r>
      <w:r w:rsidRPr="0081728D">
        <w:t xml:space="preserve"> 48(a) of Regulation 187 </w:t>
      </w:r>
      <w:r w:rsidR="00C02C8C" w:rsidRPr="0081728D">
        <w:t xml:space="preserve">had </w:t>
      </w:r>
      <w:r w:rsidRPr="0081728D">
        <w:t xml:space="preserve">been adopted. </w:t>
      </w:r>
    </w:p>
    <w:p w:rsidR="00103247" w:rsidRPr="0081728D" w:rsidRDefault="00103247" w:rsidP="00732CA2">
      <w:pPr>
        <w:pStyle w:val="SingleTxtG"/>
        <w:numPr>
          <w:ilvl w:val="1"/>
          <w:numId w:val="1"/>
        </w:numPr>
        <w:spacing w:after="0"/>
        <w:ind w:left="720" w:firstLine="0"/>
      </w:pPr>
      <w:r w:rsidRPr="0081728D">
        <w:t xml:space="preserve">Public consultations on the draft of the Act on Access to Environmental Information were carried out in December 2012, with the active involvement of NGOs and independent experts, but the law </w:t>
      </w:r>
      <w:r w:rsidR="00B11197" w:rsidRPr="0081728D">
        <w:t>had</w:t>
      </w:r>
      <w:r w:rsidR="00C02C8C" w:rsidRPr="0081728D">
        <w:t xml:space="preserve"> not yet </w:t>
      </w:r>
      <w:r w:rsidRPr="0081728D">
        <w:t xml:space="preserve">been adopted. The communicant </w:t>
      </w:r>
      <w:r w:rsidR="00B11197" w:rsidRPr="0081728D">
        <w:t>understood</w:t>
      </w:r>
      <w:r w:rsidR="00C02C8C" w:rsidRPr="0081728D">
        <w:t xml:space="preserve"> </w:t>
      </w:r>
      <w:r w:rsidRPr="0081728D">
        <w:t xml:space="preserve">that the Government </w:t>
      </w:r>
      <w:r w:rsidR="00B11197" w:rsidRPr="0081728D">
        <w:t xml:space="preserve">planned </w:t>
      </w:r>
      <w:r w:rsidRPr="0081728D">
        <w:t xml:space="preserve">to revise the legislative framework on general access to information and therein include provisions on access to environmental information. In the view of the communicant, such a general law </w:t>
      </w:r>
      <w:r w:rsidR="00B11197" w:rsidRPr="0081728D">
        <w:t xml:space="preserve">could not </w:t>
      </w:r>
      <w:r w:rsidRPr="0081728D">
        <w:t xml:space="preserve">fully respond to the requirements of the Aarhus </w:t>
      </w:r>
      <w:proofErr w:type="gramStart"/>
      <w:r w:rsidRPr="0081728D">
        <w:t>Convention.;</w:t>
      </w:r>
      <w:proofErr w:type="gramEnd"/>
    </w:p>
    <w:p w:rsidR="00103247" w:rsidRPr="0081728D" w:rsidRDefault="00103247" w:rsidP="00732CA2">
      <w:pPr>
        <w:pStyle w:val="SingleTxtG"/>
        <w:numPr>
          <w:ilvl w:val="1"/>
          <w:numId w:val="1"/>
        </w:numPr>
        <w:spacing w:after="0"/>
        <w:ind w:left="720" w:firstLine="0"/>
      </w:pPr>
      <w:r w:rsidRPr="0081728D">
        <w:t>The draft Act on Environmental Protection include</w:t>
      </w:r>
      <w:r w:rsidR="00B11197" w:rsidRPr="0081728D">
        <w:t xml:space="preserve">d </w:t>
      </w:r>
      <w:r w:rsidRPr="0081728D">
        <w:t xml:space="preserve">a chapter on the Convention and a section on environmental information. In the view of the communicant, it </w:t>
      </w:r>
      <w:r w:rsidR="00B11197" w:rsidRPr="0081728D">
        <w:t xml:space="preserve">was </w:t>
      </w:r>
      <w:r w:rsidRPr="0081728D">
        <w:t xml:space="preserve">not possible to fully reflect the Convention in such a general law. Most probably, the act </w:t>
      </w:r>
      <w:r w:rsidR="00B11197" w:rsidRPr="0081728D">
        <w:t xml:space="preserve">would </w:t>
      </w:r>
      <w:r w:rsidRPr="0081728D">
        <w:t>be adopted as a so</w:t>
      </w:r>
      <w:r w:rsidR="00B11197" w:rsidRPr="0081728D">
        <w:t>-</w:t>
      </w:r>
      <w:r w:rsidRPr="0081728D">
        <w:t xml:space="preserve">called “ordinary law”, </w:t>
      </w:r>
      <w:r w:rsidR="00B11197" w:rsidRPr="0081728D">
        <w:t>meaning that</w:t>
      </w:r>
      <w:r w:rsidRPr="0081728D">
        <w:t xml:space="preserve"> other (specific) environmental laws </w:t>
      </w:r>
      <w:r w:rsidR="00B11197" w:rsidRPr="0081728D">
        <w:t xml:space="preserve">would </w:t>
      </w:r>
      <w:r w:rsidRPr="0081728D">
        <w:t>be applied with preference.</w:t>
      </w:r>
    </w:p>
    <w:p w:rsidR="00103247" w:rsidRPr="0081728D" w:rsidRDefault="00103247" w:rsidP="00732CA2">
      <w:pPr>
        <w:pStyle w:val="SingleTxtG"/>
        <w:numPr>
          <w:ilvl w:val="1"/>
          <w:numId w:val="1"/>
        </w:numPr>
        <w:spacing w:after="0"/>
        <w:ind w:left="720" w:firstLine="0"/>
      </w:pPr>
      <w:r w:rsidRPr="0081728D">
        <w:t>Art</w:t>
      </w:r>
      <w:r w:rsidR="00374BB5" w:rsidRPr="0081728D">
        <w:t>icle</w:t>
      </w:r>
      <w:r w:rsidRPr="0081728D">
        <w:t xml:space="preserve"> 48(a) of Regulation 187 </w:t>
      </w:r>
      <w:r w:rsidR="00B11197" w:rsidRPr="0081728D">
        <w:t xml:space="preserve">had been </w:t>
      </w:r>
      <w:r w:rsidRPr="0081728D">
        <w:t xml:space="preserve">amended </w:t>
      </w:r>
      <w:r w:rsidR="00B11197" w:rsidRPr="0081728D">
        <w:t xml:space="preserve">so that </w:t>
      </w:r>
      <w:r w:rsidRPr="0081728D">
        <w:t xml:space="preserve">contracts of rent of lands </w:t>
      </w:r>
      <w:r w:rsidR="00B11197" w:rsidRPr="0081728D">
        <w:t xml:space="preserve">were to </w:t>
      </w:r>
      <w:r w:rsidRPr="0081728D">
        <w:t xml:space="preserve">be provided upon request, with the exception of personal data </w:t>
      </w:r>
      <w:r w:rsidR="00B11197" w:rsidRPr="0081728D">
        <w:t>contained therein</w:t>
      </w:r>
      <w:r w:rsidRPr="0081728D">
        <w:t>. The communicant welcome</w:t>
      </w:r>
      <w:r w:rsidR="00B11197" w:rsidRPr="0081728D">
        <w:t>d</w:t>
      </w:r>
      <w:r w:rsidRPr="0081728D">
        <w:t xml:space="preserve"> the amendment, but it </w:t>
      </w:r>
      <w:r w:rsidR="00374BB5" w:rsidRPr="0081728D">
        <w:t>had</w:t>
      </w:r>
      <w:r w:rsidR="00B11197" w:rsidRPr="0081728D">
        <w:t xml:space="preserve"> yet </w:t>
      </w:r>
      <w:r w:rsidRPr="0081728D">
        <w:t xml:space="preserve">to be seen how the provision </w:t>
      </w:r>
      <w:r w:rsidR="00B11197" w:rsidRPr="0081728D">
        <w:t xml:space="preserve">would be </w:t>
      </w:r>
      <w:r w:rsidRPr="0081728D">
        <w:t>appl</w:t>
      </w:r>
      <w:r w:rsidR="00B11197" w:rsidRPr="0081728D">
        <w:t>ied</w:t>
      </w:r>
      <w:r w:rsidRPr="0081728D">
        <w:t xml:space="preserve"> in practice. </w:t>
      </w:r>
    </w:p>
    <w:p w:rsidR="00103247" w:rsidRPr="0081728D" w:rsidRDefault="00103247" w:rsidP="00732CA2">
      <w:pPr>
        <w:pStyle w:val="SingleTxtG"/>
        <w:numPr>
          <w:ilvl w:val="1"/>
          <w:numId w:val="1"/>
        </w:numPr>
        <w:spacing w:after="0"/>
        <w:ind w:left="720" w:firstLine="0"/>
      </w:pPr>
      <w:r w:rsidRPr="0081728D">
        <w:t xml:space="preserve">No action </w:t>
      </w:r>
      <w:r w:rsidR="00B11197" w:rsidRPr="0081728D">
        <w:t xml:space="preserve">had been </w:t>
      </w:r>
      <w:r w:rsidRPr="0081728D">
        <w:t xml:space="preserve">undertaken with respect to Government Resolution 72 on public participation, but it </w:t>
      </w:r>
      <w:r w:rsidR="00B11197" w:rsidRPr="0081728D">
        <w:t>wa</w:t>
      </w:r>
      <w:r w:rsidRPr="0081728D">
        <w:t xml:space="preserve">s expected that a recently launched project supported by the German Federal Ministry on Nature Protection, Environment and Nuclear Safety and REC CEE </w:t>
      </w:r>
      <w:r w:rsidR="00B11197" w:rsidRPr="0081728D">
        <w:t xml:space="preserve">would </w:t>
      </w:r>
      <w:r w:rsidRPr="0081728D">
        <w:t>contribute to possible amendments.</w:t>
      </w:r>
    </w:p>
    <w:p w:rsidR="00103247" w:rsidRPr="0081728D" w:rsidRDefault="00103247" w:rsidP="00732CA2">
      <w:pPr>
        <w:pStyle w:val="SingleTxtG"/>
        <w:numPr>
          <w:ilvl w:val="1"/>
          <w:numId w:val="1"/>
        </w:numPr>
        <w:spacing w:after="0"/>
        <w:ind w:left="720" w:firstLine="0"/>
      </w:pPr>
      <w:r w:rsidRPr="0081728D">
        <w:t xml:space="preserve">There </w:t>
      </w:r>
      <w:r w:rsidR="00B11197" w:rsidRPr="0081728D">
        <w:t>we</w:t>
      </w:r>
      <w:r w:rsidRPr="0081728D">
        <w:t xml:space="preserve">re several mechanisms </w:t>
      </w:r>
      <w:r w:rsidR="00B11197" w:rsidRPr="0081728D">
        <w:t xml:space="preserve">in place </w:t>
      </w:r>
      <w:r w:rsidRPr="0081728D">
        <w:t xml:space="preserve">to challenge draft decisions at different government levels, namely according to the Law on Transparency in Decision Making, but these mechanisms </w:t>
      </w:r>
      <w:r w:rsidR="00B11197" w:rsidRPr="0081728D">
        <w:t>we</w:t>
      </w:r>
      <w:r w:rsidRPr="0081728D">
        <w:t>re not always effective.</w:t>
      </w:r>
    </w:p>
    <w:p w:rsidR="00103247" w:rsidRPr="0081728D" w:rsidRDefault="00B11197" w:rsidP="00732CA2">
      <w:pPr>
        <w:pStyle w:val="SingleTxtG"/>
        <w:numPr>
          <w:ilvl w:val="1"/>
          <w:numId w:val="1"/>
        </w:numPr>
        <w:spacing w:after="0"/>
        <w:ind w:left="720" w:firstLine="0"/>
      </w:pPr>
      <w:r w:rsidRPr="0081728D">
        <w:t xml:space="preserve">There was as yet no </w:t>
      </w:r>
      <w:r w:rsidR="00103247" w:rsidRPr="0081728D">
        <w:t xml:space="preserve">statistics </w:t>
      </w:r>
      <w:r w:rsidRPr="0081728D">
        <w:t xml:space="preserve">published </w:t>
      </w:r>
      <w:r w:rsidR="00103247" w:rsidRPr="0081728D">
        <w:t xml:space="preserve">concerning requests for environmental information. </w:t>
      </w:r>
    </w:p>
    <w:p w:rsidR="00103247" w:rsidRPr="0081728D" w:rsidRDefault="00103247" w:rsidP="00A82192">
      <w:pPr>
        <w:pStyle w:val="SingleTxtG"/>
        <w:suppressAutoHyphens w:val="0"/>
        <w:spacing w:after="0" w:line="240" w:lineRule="auto"/>
        <w:ind w:left="0"/>
      </w:pPr>
      <w:r w:rsidRPr="0081728D">
        <w:t xml:space="preserve">In general, the communicant </w:t>
      </w:r>
      <w:r w:rsidR="00C02C8C" w:rsidRPr="0081728D">
        <w:t xml:space="preserve">was </w:t>
      </w:r>
      <w:r w:rsidRPr="0081728D">
        <w:t xml:space="preserve">of the view that the period of monitoring </w:t>
      </w:r>
      <w:r w:rsidR="00C02C8C" w:rsidRPr="0081728D">
        <w:t xml:space="preserve">the </w:t>
      </w:r>
      <w:r w:rsidRPr="0081728D">
        <w:t xml:space="preserve">implementation of the recommendations </w:t>
      </w:r>
      <w:r w:rsidR="00C02C8C" w:rsidRPr="0081728D">
        <w:t>in</w:t>
      </w:r>
      <w:r w:rsidRPr="0081728D">
        <w:t xml:space="preserve"> decision IV/9d should be extended by the decision of Meeting of the Parties at its </w:t>
      </w:r>
      <w:r w:rsidR="00C02C8C" w:rsidRPr="0081728D">
        <w:t xml:space="preserve">fifth </w:t>
      </w:r>
      <w:r w:rsidRPr="0081728D">
        <w:t xml:space="preserve">session for another </w:t>
      </w:r>
      <w:r w:rsidR="00C02C8C" w:rsidRPr="0081728D">
        <w:t xml:space="preserve">three </w:t>
      </w:r>
      <w:r w:rsidRPr="0081728D">
        <w:t xml:space="preserve">years. </w:t>
      </w:r>
    </w:p>
    <w:p w:rsidR="00732CA2" w:rsidRPr="0081728D" w:rsidRDefault="00732CA2" w:rsidP="00732CA2">
      <w:pPr>
        <w:pStyle w:val="SingleTxtG"/>
        <w:suppressAutoHyphens w:val="0"/>
        <w:spacing w:after="0" w:line="240" w:lineRule="auto"/>
        <w:ind w:left="0"/>
      </w:pPr>
    </w:p>
    <w:p w:rsidR="00103247" w:rsidRPr="0081728D" w:rsidRDefault="00103247" w:rsidP="00732CA2">
      <w:pPr>
        <w:pStyle w:val="SingleTxtG"/>
        <w:numPr>
          <w:ilvl w:val="0"/>
          <w:numId w:val="1"/>
        </w:numPr>
        <w:suppressAutoHyphens w:val="0"/>
        <w:spacing w:after="0" w:line="240" w:lineRule="auto"/>
        <w:ind w:left="0" w:firstLine="0"/>
      </w:pPr>
      <w:r w:rsidRPr="0081728D">
        <w:t xml:space="preserve">On 12 September 2013, the Party concerned submitted its answers on the questions sent </w:t>
      </w:r>
      <w:r w:rsidR="00C623AE" w:rsidRPr="0081728D">
        <w:t>on</w:t>
      </w:r>
      <w:r w:rsidRPr="0081728D">
        <w:t xml:space="preserve"> 17 May 2013. The Party also provided </w:t>
      </w:r>
      <w:r w:rsidR="00C623AE" w:rsidRPr="0081728D">
        <w:t xml:space="preserve">English </w:t>
      </w:r>
      <w:r w:rsidRPr="0081728D">
        <w:t>translation</w:t>
      </w:r>
      <w:r w:rsidR="00C623AE" w:rsidRPr="0081728D">
        <w:t>s</w:t>
      </w:r>
      <w:r w:rsidRPr="0081728D">
        <w:t xml:space="preserve"> of the Act on ratifying the PRTR Protocol, relevant provisions of the Water Act</w:t>
      </w:r>
      <w:r w:rsidR="00C623AE" w:rsidRPr="0081728D">
        <w:t xml:space="preserve">, </w:t>
      </w:r>
      <w:r w:rsidRPr="0081728D">
        <w:t>the Amendment to art</w:t>
      </w:r>
      <w:r w:rsidR="00374BB5" w:rsidRPr="0081728D">
        <w:t>icle</w:t>
      </w:r>
      <w:r w:rsidRPr="0081728D">
        <w:t xml:space="preserve"> 48(a) of Regulation 187 and </w:t>
      </w:r>
      <w:r w:rsidR="00C623AE" w:rsidRPr="0081728D">
        <w:t>the draft</w:t>
      </w:r>
      <w:r w:rsidRPr="0081728D">
        <w:t xml:space="preserve"> Act on Access to Environmental Information and </w:t>
      </w:r>
      <w:r w:rsidR="00C623AE" w:rsidRPr="0081728D">
        <w:t>draft</w:t>
      </w:r>
      <w:r w:rsidRPr="0081728D">
        <w:t xml:space="preserve"> Act on Environmental Protection. The Party informed the Committee that:</w:t>
      </w:r>
    </w:p>
    <w:p w:rsidR="00103247" w:rsidRPr="0081728D" w:rsidRDefault="00103247" w:rsidP="00732CA2">
      <w:pPr>
        <w:pStyle w:val="SingleTxtG"/>
        <w:numPr>
          <w:ilvl w:val="1"/>
          <w:numId w:val="1"/>
        </w:numPr>
        <w:spacing w:after="0"/>
        <w:ind w:left="720" w:firstLine="0"/>
      </w:pPr>
      <w:r w:rsidRPr="0081728D">
        <w:t>The Water Act (including provisions on access to information about water management), the Act on ratification of the PRTR Protocol and the Amendment to art</w:t>
      </w:r>
      <w:r w:rsidR="00374BB5" w:rsidRPr="0081728D">
        <w:t>icle</w:t>
      </w:r>
      <w:r w:rsidRPr="0081728D">
        <w:t xml:space="preserve"> 48(a) of Regulation 187 ha</w:t>
      </w:r>
      <w:r w:rsidR="00C623AE" w:rsidRPr="0081728D">
        <w:t>d</w:t>
      </w:r>
      <w:r w:rsidRPr="0081728D">
        <w:t xml:space="preserve"> been adopted. </w:t>
      </w:r>
    </w:p>
    <w:p w:rsidR="00103247" w:rsidRPr="0081728D" w:rsidRDefault="00C623AE" w:rsidP="00732CA2">
      <w:pPr>
        <w:pStyle w:val="SingleTxtG"/>
        <w:numPr>
          <w:ilvl w:val="1"/>
          <w:numId w:val="1"/>
        </w:numPr>
        <w:spacing w:after="0"/>
        <w:ind w:left="720" w:firstLine="0"/>
      </w:pPr>
      <w:r w:rsidRPr="0081728D">
        <w:t xml:space="preserve">The </w:t>
      </w:r>
      <w:r w:rsidR="00103247" w:rsidRPr="0081728D">
        <w:t xml:space="preserve">Act on Access to Environmental Information and Act on Environmental Protection </w:t>
      </w:r>
      <w:r w:rsidRPr="0081728D">
        <w:t xml:space="preserve">were </w:t>
      </w:r>
      <w:r w:rsidR="00103247" w:rsidRPr="0081728D">
        <w:t xml:space="preserve">not been </w:t>
      </w:r>
      <w:r w:rsidRPr="0081728D">
        <w:t xml:space="preserve">yet </w:t>
      </w:r>
      <w:r w:rsidR="00103247" w:rsidRPr="0081728D">
        <w:t xml:space="preserve">approved. </w:t>
      </w:r>
      <w:r w:rsidRPr="0081728D">
        <w:t>Prior to adopting the Act on Environmental Protection</w:t>
      </w:r>
      <w:r w:rsidR="00103247" w:rsidRPr="0081728D">
        <w:t>, the Party concerned intend</w:t>
      </w:r>
      <w:r w:rsidRPr="0081728D">
        <w:t>ed</w:t>
      </w:r>
      <w:r w:rsidR="00103247" w:rsidRPr="0081728D">
        <w:t xml:space="preserve"> to approve </w:t>
      </w:r>
      <w:r w:rsidRPr="0081728D">
        <w:t xml:space="preserve">an </w:t>
      </w:r>
      <w:r w:rsidR="00103247" w:rsidRPr="0081728D">
        <w:t xml:space="preserve">Environmental Strategy, which </w:t>
      </w:r>
      <w:r w:rsidRPr="0081728D">
        <w:t xml:space="preserve">would </w:t>
      </w:r>
      <w:r w:rsidR="00103247" w:rsidRPr="0081728D">
        <w:t xml:space="preserve">provide for reform of the state bodies </w:t>
      </w:r>
      <w:r w:rsidR="00A82192" w:rsidRPr="0081728D">
        <w:t xml:space="preserve">responsible </w:t>
      </w:r>
      <w:proofErr w:type="gramStart"/>
      <w:r w:rsidR="00A82192" w:rsidRPr="0081728D">
        <w:t xml:space="preserve">for  </w:t>
      </w:r>
      <w:r w:rsidR="00103247" w:rsidRPr="0081728D">
        <w:t>environmental</w:t>
      </w:r>
      <w:proofErr w:type="gramEnd"/>
      <w:r w:rsidR="00103247" w:rsidRPr="0081728D">
        <w:t xml:space="preserve"> protection. </w:t>
      </w:r>
    </w:p>
    <w:p w:rsidR="00103247" w:rsidRPr="0081728D" w:rsidRDefault="00103247" w:rsidP="00C623AE">
      <w:pPr>
        <w:pStyle w:val="SingleTxtG"/>
        <w:numPr>
          <w:ilvl w:val="1"/>
          <w:numId w:val="1"/>
        </w:numPr>
        <w:spacing w:after="0"/>
        <w:ind w:left="720" w:firstLine="0"/>
      </w:pPr>
      <w:r w:rsidRPr="0081728D">
        <w:t xml:space="preserve">All draft laws and regulations </w:t>
      </w:r>
      <w:r w:rsidR="00C623AE" w:rsidRPr="0081728D">
        <w:t>we</w:t>
      </w:r>
      <w:r w:rsidRPr="0081728D">
        <w:t xml:space="preserve">re published for public consultation and all the above legislative measures concerning access to environmental information were commented </w:t>
      </w:r>
      <w:r w:rsidR="00C623AE" w:rsidRPr="0081728D">
        <w:t xml:space="preserve">upon </w:t>
      </w:r>
      <w:r w:rsidRPr="0081728D">
        <w:t>by NGOs.</w:t>
      </w:r>
      <w:r w:rsidR="00A82192" w:rsidRPr="0081728D">
        <w:t xml:space="preserve"> </w:t>
      </w:r>
      <w:r w:rsidR="00C623AE" w:rsidRPr="0081728D">
        <w:t>P</w:t>
      </w:r>
      <w:r w:rsidRPr="0081728D">
        <w:t>ublic servants who d</w:t>
      </w:r>
      <w:r w:rsidR="00C623AE" w:rsidRPr="0081728D">
        <w:t>id</w:t>
      </w:r>
      <w:r w:rsidRPr="0081728D">
        <w:t xml:space="preserve"> not comply with the legislative requirements on transparency of information </w:t>
      </w:r>
      <w:r w:rsidR="00C623AE" w:rsidRPr="0081728D">
        <w:t xml:space="preserve">could be subject to administrative penalties under the 2008 </w:t>
      </w:r>
      <w:r w:rsidRPr="0081728D">
        <w:t xml:space="preserve">Act on the Public Offices and Status of Civil </w:t>
      </w:r>
      <w:proofErr w:type="gramStart"/>
      <w:r w:rsidRPr="0081728D">
        <w:t>Servants .</w:t>
      </w:r>
      <w:proofErr w:type="gramEnd"/>
    </w:p>
    <w:p w:rsidR="00103247" w:rsidRPr="0081728D" w:rsidRDefault="00103247" w:rsidP="00732CA2">
      <w:pPr>
        <w:pStyle w:val="SingleTxtG"/>
        <w:numPr>
          <w:ilvl w:val="1"/>
          <w:numId w:val="1"/>
        </w:numPr>
        <w:spacing w:after="0"/>
        <w:ind w:left="720" w:firstLine="0"/>
      </w:pPr>
      <w:r w:rsidRPr="0081728D">
        <w:t>There ha</w:t>
      </w:r>
      <w:r w:rsidR="00C623AE" w:rsidRPr="0081728D">
        <w:t>d</w:t>
      </w:r>
      <w:r w:rsidRPr="0081728D">
        <w:t xml:space="preserve"> been no leases of the forestry fund since March 2012.</w:t>
      </w:r>
    </w:p>
    <w:p w:rsidR="00103247" w:rsidRPr="0081728D" w:rsidRDefault="00A82192" w:rsidP="003E309B">
      <w:pPr>
        <w:pStyle w:val="SingleTxtG"/>
        <w:suppressAutoHyphens w:val="0"/>
        <w:spacing w:after="0" w:line="240" w:lineRule="auto"/>
        <w:ind w:left="0"/>
      </w:pPr>
      <w:r w:rsidRPr="0081728D">
        <w:t>More generally</w:t>
      </w:r>
      <w:r w:rsidR="00103247" w:rsidRPr="0081728D">
        <w:t xml:space="preserve">, </w:t>
      </w:r>
      <w:r w:rsidRPr="0081728D">
        <w:t xml:space="preserve">the </w:t>
      </w:r>
      <w:r w:rsidR="00103247" w:rsidRPr="0081728D">
        <w:t xml:space="preserve">Party concerned </w:t>
      </w:r>
      <w:r w:rsidRPr="0081728D">
        <w:t xml:space="preserve">submitted that it had undertaken a great deal of work, including the development and approval of legislation and other activities, to implement the Convention and positive results had been achieved. It proposed </w:t>
      </w:r>
      <w:r w:rsidR="00103247" w:rsidRPr="0081728D">
        <w:t xml:space="preserve">that the monitoring of its implementation by the Committee should be concluded by Meeting of the Parties at its </w:t>
      </w:r>
      <w:r w:rsidRPr="0081728D">
        <w:t xml:space="preserve">fifth </w:t>
      </w:r>
      <w:r w:rsidR="00103247" w:rsidRPr="0081728D">
        <w:t xml:space="preserve">session.  </w:t>
      </w:r>
    </w:p>
    <w:p w:rsidR="00103247" w:rsidRPr="0081728D" w:rsidRDefault="00103247" w:rsidP="00732CA2">
      <w:pPr>
        <w:pStyle w:val="SingleTxtG"/>
        <w:suppressAutoHyphens w:val="0"/>
        <w:spacing w:after="0" w:line="240" w:lineRule="auto"/>
        <w:ind w:left="0"/>
      </w:pPr>
    </w:p>
    <w:p w:rsidR="00103247" w:rsidRPr="0081728D" w:rsidRDefault="00103247" w:rsidP="00732CA2">
      <w:pPr>
        <w:pStyle w:val="SingleTxtG"/>
        <w:numPr>
          <w:ilvl w:val="0"/>
          <w:numId w:val="1"/>
        </w:numPr>
        <w:suppressAutoHyphens w:val="0"/>
        <w:spacing w:after="0" w:line="240" w:lineRule="auto"/>
        <w:ind w:left="0" w:firstLine="0"/>
      </w:pPr>
      <w:r w:rsidRPr="0081728D">
        <w:t xml:space="preserve">At its forty-second meeting (24-27 September 2013), the Committee held a telephone conference with the Party concerned and the communicant. The Party concerned provided a statement as to how it had addressed each subparagraph of that decision, and the communicant provided its comments. The Committee agreed on questions to be sent to the Party concerned for its written response after the meeting, and commenced preparation of its draft report to the Meeting of the Parties at its fifth session on the implementation of decision IV/9d. </w:t>
      </w:r>
    </w:p>
    <w:p w:rsidR="00103247" w:rsidRPr="0081728D" w:rsidRDefault="00103247" w:rsidP="00732CA2">
      <w:pPr>
        <w:pStyle w:val="ListParagraph"/>
      </w:pPr>
    </w:p>
    <w:p w:rsidR="00103247" w:rsidRPr="0081728D" w:rsidRDefault="00103247" w:rsidP="00732CA2">
      <w:pPr>
        <w:pStyle w:val="SingleTxtG"/>
        <w:numPr>
          <w:ilvl w:val="0"/>
          <w:numId w:val="1"/>
        </w:numPr>
        <w:suppressAutoHyphens w:val="0"/>
        <w:spacing w:after="0" w:line="240" w:lineRule="auto"/>
        <w:ind w:left="0" w:firstLine="0"/>
      </w:pPr>
      <w:r w:rsidRPr="0081728D">
        <w:t>Questions were sent to the Party concerned on 19 November 2013, with a deadline to reply by 10 December 2013. A reminder was sent by email on 16 December 2013.</w:t>
      </w:r>
    </w:p>
    <w:p w:rsidR="00103247" w:rsidRPr="0081728D" w:rsidRDefault="00103247" w:rsidP="00732CA2">
      <w:pPr>
        <w:pStyle w:val="ListParagraph"/>
      </w:pPr>
    </w:p>
    <w:p w:rsidR="00103247" w:rsidRPr="0081728D" w:rsidRDefault="00103247" w:rsidP="00732CA2">
      <w:pPr>
        <w:pStyle w:val="SingleTxtG"/>
        <w:numPr>
          <w:ilvl w:val="0"/>
          <w:numId w:val="1"/>
        </w:numPr>
        <w:suppressAutoHyphens w:val="0"/>
        <w:spacing w:after="0" w:line="240" w:lineRule="auto"/>
        <w:ind w:left="0" w:firstLine="0"/>
      </w:pPr>
      <w:r w:rsidRPr="0081728D">
        <w:t>On 17 December 2013, the Party concerned sent its reply to the questions sent to it on 19 November 2013, informing the Committee that:</w:t>
      </w:r>
    </w:p>
    <w:p w:rsidR="00103247" w:rsidRPr="0081728D" w:rsidRDefault="00BC6C04" w:rsidP="00103247">
      <w:pPr>
        <w:pStyle w:val="SingleTxtG"/>
        <w:numPr>
          <w:ilvl w:val="1"/>
          <w:numId w:val="1"/>
        </w:numPr>
        <w:ind w:left="720" w:firstLine="0"/>
      </w:pPr>
      <w:r w:rsidRPr="0081728D">
        <w:t>No</w:t>
      </w:r>
      <w:r w:rsidR="00103247" w:rsidRPr="0081728D">
        <w:t xml:space="preserve"> specific regulations </w:t>
      </w:r>
      <w:r w:rsidRPr="0081728D">
        <w:t xml:space="preserve">had been </w:t>
      </w:r>
      <w:r w:rsidR="00103247" w:rsidRPr="0081728D">
        <w:t xml:space="preserve">adopted for the enforcement of the court decisions on public access to environmental information. </w:t>
      </w:r>
      <w:r w:rsidRPr="0081728D">
        <w:t>In December 2013, t</w:t>
      </w:r>
      <w:r w:rsidR="00103247" w:rsidRPr="0081728D">
        <w:t xml:space="preserve">he Plenum of the Supreme Court </w:t>
      </w:r>
      <w:r w:rsidRPr="0081728D">
        <w:t xml:space="preserve">had </w:t>
      </w:r>
      <w:r w:rsidR="00103247" w:rsidRPr="0081728D">
        <w:t xml:space="preserve">adopted </w:t>
      </w:r>
      <w:r w:rsidRPr="0081728D">
        <w:t xml:space="preserve">an </w:t>
      </w:r>
      <w:r w:rsidR="00103247" w:rsidRPr="0081728D">
        <w:t>“Explicative Decision on application by the courts of the provisions of environmental legislation in examination of civil cases”. In th</w:t>
      </w:r>
      <w:r w:rsidRPr="0081728D">
        <w:t>at</w:t>
      </w:r>
      <w:r w:rsidR="00103247" w:rsidRPr="0081728D">
        <w:t xml:space="preserve"> decision the Supreme Court, </w:t>
      </w:r>
      <w:r w:rsidRPr="0081728D">
        <w:t xml:space="preserve">stated, amongst other things </w:t>
      </w:r>
      <w:r w:rsidR="00103247" w:rsidRPr="0081728D">
        <w:t xml:space="preserve">that the </w:t>
      </w:r>
      <w:r w:rsidRPr="0081728D">
        <w:t>S</w:t>
      </w:r>
      <w:r w:rsidR="00103247" w:rsidRPr="0081728D">
        <w:t>tate shall guarantee access to environmental information according to the provisions of the Convention,</w:t>
      </w:r>
      <w:r w:rsidR="001E5CBE" w:rsidRPr="0081728D">
        <w:t xml:space="preserve"> that international agreements</w:t>
      </w:r>
      <w:r w:rsidR="00103247" w:rsidRPr="0081728D">
        <w:t xml:space="preserve"> ha</w:t>
      </w:r>
      <w:r w:rsidR="001E5CBE" w:rsidRPr="0081728D">
        <w:t>ve</w:t>
      </w:r>
      <w:r w:rsidR="00103247" w:rsidRPr="0081728D">
        <w:t xml:space="preserve"> precedence over national legislation and remind</w:t>
      </w:r>
      <w:r w:rsidR="001E5CBE" w:rsidRPr="0081728D">
        <w:t>ed</w:t>
      </w:r>
      <w:r w:rsidR="00103247" w:rsidRPr="0081728D">
        <w:t xml:space="preserve"> the courts that they </w:t>
      </w:r>
      <w:r w:rsidR="001E5CBE" w:rsidRPr="0081728D">
        <w:t xml:space="preserve">should </w:t>
      </w:r>
      <w:r w:rsidR="00103247" w:rsidRPr="0081728D">
        <w:t xml:space="preserve">protect members of the public against unjustified refusing of requests for environmental information. </w:t>
      </w:r>
    </w:p>
    <w:p w:rsidR="00103247" w:rsidRPr="0081728D" w:rsidRDefault="00103247" w:rsidP="00103247">
      <w:pPr>
        <w:pStyle w:val="SingleTxtG"/>
        <w:numPr>
          <w:ilvl w:val="1"/>
          <w:numId w:val="1"/>
        </w:numPr>
        <w:ind w:left="720" w:firstLine="0"/>
      </w:pPr>
      <w:r w:rsidRPr="0081728D">
        <w:t xml:space="preserve">The civil servants </w:t>
      </w:r>
      <w:r w:rsidR="00BC6C04" w:rsidRPr="0081728D">
        <w:t xml:space="preserve">could </w:t>
      </w:r>
      <w:r w:rsidRPr="0081728D">
        <w:t xml:space="preserve">be held responsible for disciplinary offences according to the law, </w:t>
      </w:r>
      <w:r w:rsidR="00BC6C04" w:rsidRPr="0081728D">
        <w:t xml:space="preserve">for </w:t>
      </w:r>
      <w:r w:rsidRPr="0081728D">
        <w:t>breaching their obligations or for negligence in execution of their duties. This applie</w:t>
      </w:r>
      <w:r w:rsidR="00BC6C04" w:rsidRPr="0081728D">
        <w:t>d</w:t>
      </w:r>
      <w:r w:rsidRPr="0081728D">
        <w:t xml:space="preserve"> also for duties listed in the Code of behaviour of civil servants of 2008, which explicitly </w:t>
      </w:r>
      <w:r w:rsidR="00BC6C04" w:rsidRPr="0081728D">
        <w:t xml:space="preserve">established </w:t>
      </w:r>
      <w:r w:rsidRPr="0081728D">
        <w:t xml:space="preserve">the duty of civil servants to provide correct and timely information to the public. </w:t>
      </w:r>
    </w:p>
    <w:p w:rsidR="00103247" w:rsidRPr="0081728D" w:rsidRDefault="00103247" w:rsidP="00103247">
      <w:pPr>
        <w:pStyle w:val="SingleTxtG"/>
        <w:numPr>
          <w:ilvl w:val="1"/>
          <w:numId w:val="1"/>
        </w:numPr>
        <w:ind w:left="720" w:firstLine="0"/>
      </w:pPr>
      <w:r w:rsidRPr="0081728D">
        <w:t xml:space="preserve">There </w:t>
      </w:r>
      <w:r w:rsidR="00BC6C04" w:rsidRPr="0081728D">
        <w:t xml:space="preserve">were </w:t>
      </w:r>
      <w:r w:rsidRPr="0081728D">
        <w:t xml:space="preserve">no statistics on requests for access to environmental information. The obligation to establish such statistics </w:t>
      </w:r>
      <w:r w:rsidR="00BC6C04" w:rsidRPr="0081728D">
        <w:t xml:space="preserve">was </w:t>
      </w:r>
      <w:r w:rsidRPr="0081728D">
        <w:t xml:space="preserve">included in the draft law on public access to environmental information, approved by the </w:t>
      </w:r>
      <w:r w:rsidR="00BC6C04" w:rsidRPr="0081728D">
        <w:t xml:space="preserve">Government </w:t>
      </w:r>
      <w:r w:rsidRPr="0081728D">
        <w:t>in November 2013.</w:t>
      </w:r>
    </w:p>
    <w:p w:rsidR="00103247" w:rsidRPr="0081728D" w:rsidRDefault="00103247" w:rsidP="00103247">
      <w:pPr>
        <w:pStyle w:val="SingleTxtG"/>
        <w:numPr>
          <w:ilvl w:val="1"/>
          <w:numId w:val="1"/>
        </w:numPr>
        <w:ind w:left="720" w:firstLine="0"/>
      </w:pPr>
      <w:r w:rsidRPr="0081728D">
        <w:t xml:space="preserve">The decision to elaborate a specific law on public access to environmental information was taken namely because in the current Access to Information Act, there </w:t>
      </w:r>
      <w:r w:rsidR="00BC6C04" w:rsidRPr="0081728D">
        <w:t xml:space="preserve">were </w:t>
      </w:r>
      <w:r w:rsidRPr="0081728D">
        <w:t xml:space="preserve">no specific provisions concerning environmental information, and to accommodate the legislation of the Party concerned to the EU law. </w:t>
      </w:r>
    </w:p>
    <w:p w:rsidR="00103247" w:rsidRPr="0081728D" w:rsidRDefault="00103247" w:rsidP="00103247">
      <w:pPr>
        <w:pStyle w:val="SingleTxtG"/>
        <w:numPr>
          <w:ilvl w:val="1"/>
          <w:numId w:val="1"/>
        </w:numPr>
        <w:ind w:left="720" w:firstLine="0"/>
      </w:pPr>
      <w:r w:rsidRPr="0081728D">
        <w:t xml:space="preserve">The Party </w:t>
      </w:r>
      <w:r w:rsidR="00BC6C04" w:rsidRPr="0081728D">
        <w:t xml:space="preserve">was </w:t>
      </w:r>
      <w:r w:rsidR="001E5CBE" w:rsidRPr="0081728D">
        <w:t xml:space="preserve">considering </w:t>
      </w:r>
      <w:r w:rsidRPr="0081728D">
        <w:t>modification of the legislation concerning the area of forestry</w:t>
      </w:r>
      <w:r w:rsidR="001E5CBE" w:rsidRPr="0081728D">
        <w:t xml:space="preserve">. The </w:t>
      </w:r>
      <w:r w:rsidRPr="0081728D">
        <w:t>Committee</w:t>
      </w:r>
      <w:r w:rsidR="001E5CBE" w:rsidRPr="0081728D">
        <w:t>’s</w:t>
      </w:r>
      <w:r w:rsidRPr="0081728D">
        <w:t xml:space="preserve"> recommendations on providing information about renting the forest land</w:t>
      </w:r>
      <w:r w:rsidR="001E5CBE" w:rsidRPr="0081728D">
        <w:t xml:space="preserve"> would be considered when drafting such amendments</w:t>
      </w:r>
      <w:r w:rsidRPr="0081728D">
        <w:t>.</w:t>
      </w:r>
    </w:p>
    <w:p w:rsidR="00103247" w:rsidRPr="0081728D" w:rsidRDefault="00103247" w:rsidP="00103247">
      <w:pPr>
        <w:pStyle w:val="SingleTxtG"/>
        <w:numPr>
          <w:ilvl w:val="1"/>
          <w:numId w:val="1"/>
        </w:numPr>
        <w:ind w:left="720" w:firstLine="0"/>
      </w:pPr>
      <w:r w:rsidRPr="0081728D">
        <w:t xml:space="preserve">The </w:t>
      </w:r>
      <w:r w:rsidR="00732CA2" w:rsidRPr="0081728D">
        <w:t>n</w:t>
      </w:r>
      <w:r w:rsidRPr="0081728D">
        <w:t xml:space="preserve">ational action plan for the implementation of the Convention will be evaluated in 2014 and revised in 2015. </w:t>
      </w:r>
    </w:p>
    <w:p w:rsidR="001E5CBE" w:rsidRPr="0081728D" w:rsidRDefault="001E5CBE" w:rsidP="003E309B">
      <w:pPr>
        <w:pStyle w:val="SingleTxtG"/>
        <w:numPr>
          <w:ilvl w:val="0"/>
          <w:numId w:val="1"/>
        </w:numPr>
        <w:suppressAutoHyphens w:val="0"/>
        <w:spacing w:line="240" w:lineRule="auto"/>
        <w:ind w:left="0" w:firstLine="0"/>
      </w:pPr>
      <w:r w:rsidRPr="0081728D">
        <w:t>At its forty-third meeting (Geneva, 17-20 December 2013), the Committee took note of the information received and continued preparation of its draft report to the Meeting of the Parties at its fifth session on the implementation of that decision. It agreed to finalize its draft report using its electronic decision-making procedure and to then send the draft report to the parties for their comments.</w:t>
      </w:r>
    </w:p>
    <w:p w:rsidR="00103247" w:rsidRPr="0081728D" w:rsidRDefault="00103247" w:rsidP="003E309B"/>
    <w:p w:rsidR="00114290" w:rsidRPr="0081728D" w:rsidRDefault="00114290" w:rsidP="00D707AD">
      <w:pPr>
        <w:pStyle w:val="HChG"/>
      </w:pPr>
      <w:r w:rsidRPr="0081728D">
        <w:tab/>
        <w:t>III.</w:t>
      </w:r>
      <w:r w:rsidRPr="0081728D">
        <w:tab/>
        <w:t>Considerations and evaluation by the Committee</w:t>
      </w:r>
    </w:p>
    <w:p w:rsidR="00114290" w:rsidRPr="0081728D" w:rsidRDefault="00114290" w:rsidP="005C1006">
      <w:pPr>
        <w:rPr>
          <w:i/>
        </w:rPr>
      </w:pPr>
    </w:p>
    <w:p w:rsidR="00114290" w:rsidRPr="0081728D" w:rsidRDefault="00DB1CEF" w:rsidP="00F144EC">
      <w:pPr>
        <w:pStyle w:val="SingleTxtG"/>
        <w:numPr>
          <w:ilvl w:val="0"/>
          <w:numId w:val="1"/>
        </w:numPr>
        <w:suppressAutoHyphens w:val="0"/>
        <w:spacing w:line="240" w:lineRule="auto"/>
        <w:ind w:left="0" w:firstLine="0"/>
      </w:pPr>
      <w:r w:rsidRPr="0081728D">
        <w:t xml:space="preserve">Recalling the agreement of the Party concerned to the recommendations </w:t>
      </w:r>
      <w:r w:rsidR="004F6BDA" w:rsidRPr="0081728D">
        <w:t xml:space="preserve">made by the Committee in its findings </w:t>
      </w:r>
      <w:r w:rsidRPr="0081728D">
        <w:t xml:space="preserve">on ACCC/C/2008/30, subsequently welcomed by the Meeting of the Parties through paragraph 2 of decision IV/9d,  the Committee </w:t>
      </w:r>
      <w:r w:rsidR="003C1CA4" w:rsidRPr="0081728D">
        <w:t>finds</w:t>
      </w:r>
      <w:r w:rsidRPr="0081728D">
        <w:t xml:space="preserve"> that, based </w:t>
      </w:r>
      <w:r w:rsidR="00114290" w:rsidRPr="0081728D">
        <w:t xml:space="preserve">on the information provided by the Party and the communicant </w:t>
      </w:r>
      <w:r w:rsidR="00AC3D6B" w:rsidRPr="0081728D">
        <w:t xml:space="preserve">in </w:t>
      </w:r>
      <w:r w:rsidR="00114290" w:rsidRPr="0081728D">
        <w:t>ACCC/C/2008/30</w:t>
      </w:r>
      <w:r w:rsidRPr="0081728D">
        <w:t xml:space="preserve"> during the </w:t>
      </w:r>
      <w:r w:rsidR="003C1CA4" w:rsidRPr="0081728D">
        <w:t xml:space="preserve">current </w:t>
      </w:r>
      <w:proofErr w:type="spellStart"/>
      <w:r w:rsidRPr="0081728D">
        <w:t>intersessional</w:t>
      </w:r>
      <w:proofErr w:type="spellEnd"/>
      <w:r w:rsidRPr="0081728D">
        <w:t xml:space="preserve"> period</w:t>
      </w:r>
      <w:r w:rsidR="00114290" w:rsidRPr="0081728D">
        <w:t xml:space="preserve">, </w:t>
      </w:r>
      <w:r w:rsidRPr="0081728D">
        <w:t>the Party concerned has a</w:t>
      </w:r>
      <w:r w:rsidR="003C1CA4" w:rsidRPr="0081728D">
        <w:t>ddressed those recommendations to the following extent</w:t>
      </w:r>
      <w:r w:rsidRPr="0081728D">
        <w:t xml:space="preserve"> </w:t>
      </w:r>
      <w:r w:rsidR="00A2622B" w:rsidRPr="0081728D">
        <w:t xml:space="preserve">(the numbering of the subparagraphs </w:t>
      </w:r>
      <w:r w:rsidRPr="0081728D">
        <w:t xml:space="preserve">below </w:t>
      </w:r>
      <w:r w:rsidR="00A2622B" w:rsidRPr="0081728D">
        <w:t xml:space="preserve">corresponds to the numbering of the </w:t>
      </w:r>
      <w:r w:rsidRPr="0081728D">
        <w:t xml:space="preserve">Committee’s </w:t>
      </w:r>
      <w:r w:rsidR="00A2622B" w:rsidRPr="0081728D">
        <w:t xml:space="preserve">recommendations </w:t>
      </w:r>
      <w:r w:rsidRPr="0081728D">
        <w:t xml:space="preserve">as repeated in </w:t>
      </w:r>
      <w:r w:rsidR="00A2622B" w:rsidRPr="0081728D">
        <w:t xml:space="preserve">paragraph 2(a)-(h) </w:t>
      </w:r>
      <w:r w:rsidR="004F6BDA" w:rsidRPr="0081728D">
        <w:t>of the current document</w:t>
      </w:r>
      <w:r w:rsidR="00A2622B" w:rsidRPr="0081728D">
        <w:t>)</w:t>
      </w:r>
      <w:r w:rsidR="00114290" w:rsidRPr="0081728D">
        <w:t>:</w:t>
      </w:r>
    </w:p>
    <w:p w:rsidR="00114290" w:rsidRPr="0081728D" w:rsidRDefault="00114290" w:rsidP="00C0328C">
      <w:pPr>
        <w:pStyle w:val="SingleTxtG"/>
        <w:numPr>
          <w:ilvl w:val="1"/>
          <w:numId w:val="1"/>
        </w:numPr>
        <w:ind w:left="720" w:firstLine="0"/>
      </w:pPr>
      <w:r w:rsidRPr="0081728D">
        <w:t xml:space="preserve">The communicant has been provided with the copies of the requested contacts by the public authority </w:t>
      </w:r>
      <w:proofErr w:type="spellStart"/>
      <w:r w:rsidRPr="0081728D">
        <w:t>Modsilva</w:t>
      </w:r>
      <w:proofErr w:type="spellEnd"/>
      <w:r w:rsidRPr="0081728D">
        <w:t xml:space="preserve">. </w:t>
      </w:r>
    </w:p>
    <w:p w:rsidR="00114290" w:rsidRPr="0081728D" w:rsidRDefault="00114290" w:rsidP="007819FA">
      <w:pPr>
        <w:pStyle w:val="SingleTxtG"/>
        <w:numPr>
          <w:ilvl w:val="1"/>
          <w:numId w:val="1"/>
        </w:numPr>
        <w:ind w:left="720" w:firstLine="0"/>
      </w:pPr>
      <w:r w:rsidRPr="0081728D">
        <w:t xml:space="preserve">The Party has not adopted any legislative and/or practical measures </w:t>
      </w:r>
      <w:r w:rsidR="00A2622B" w:rsidRPr="0081728D">
        <w:t xml:space="preserve">directly intended to ensure </w:t>
      </w:r>
      <w:r w:rsidRPr="0081728D">
        <w:t>better monitoring of public authorities</w:t>
      </w:r>
      <w:r w:rsidR="00684EE1" w:rsidRPr="0081728D">
        <w:t>’</w:t>
      </w:r>
      <w:r w:rsidR="00A2622B" w:rsidRPr="0081728D">
        <w:t xml:space="preserve"> execution</w:t>
      </w:r>
      <w:r w:rsidRPr="0081728D">
        <w:t xml:space="preserve"> of final court decisions under article 9, paragraph 1, of the Convention. </w:t>
      </w:r>
    </w:p>
    <w:p w:rsidR="00A2622B" w:rsidRPr="0081728D" w:rsidRDefault="00114290" w:rsidP="008C7E82">
      <w:pPr>
        <w:pStyle w:val="SingleTxtG"/>
        <w:numPr>
          <w:ilvl w:val="1"/>
          <w:numId w:val="1"/>
        </w:numPr>
        <w:ind w:left="720" w:firstLine="0"/>
      </w:pPr>
      <w:r w:rsidRPr="0081728D">
        <w:t>The national action plan</w:t>
      </w:r>
      <w:r w:rsidR="00317C10" w:rsidRPr="0081728D">
        <w:t xml:space="preserve"> adopted in 2011</w:t>
      </w:r>
      <w:r w:rsidR="00A2622B" w:rsidRPr="0081728D">
        <w:t xml:space="preserve">proposes </w:t>
      </w:r>
      <w:r w:rsidRPr="0081728D">
        <w:t>a number of measures for enhanced monitoring of the implementation of the Convention and Moldovan legislation with regard to transparency of information, and for prevention of any future violation of the rights of the public under the Convention</w:t>
      </w:r>
      <w:r w:rsidR="00A2622B" w:rsidRPr="0081728D">
        <w:t>. These include:</w:t>
      </w:r>
    </w:p>
    <w:p w:rsidR="00A2622B" w:rsidRPr="0081728D" w:rsidRDefault="00114290" w:rsidP="003E309B">
      <w:pPr>
        <w:pStyle w:val="SingleTxtG"/>
        <w:numPr>
          <w:ilvl w:val="2"/>
          <w:numId w:val="1"/>
        </w:numPr>
      </w:pPr>
      <w:r w:rsidRPr="0081728D">
        <w:t xml:space="preserve"> </w:t>
      </w:r>
      <w:r w:rsidR="00A2622B" w:rsidRPr="0081728D">
        <w:t>R</w:t>
      </w:r>
      <w:r w:rsidRPr="0081728D">
        <w:t>evision of the regulation on forest land renting</w:t>
      </w:r>
      <w:r w:rsidR="00A2622B" w:rsidRPr="0081728D">
        <w:t>;</w:t>
      </w:r>
    </w:p>
    <w:p w:rsidR="00A2622B" w:rsidRPr="0081728D" w:rsidRDefault="00A2622B" w:rsidP="003E309B">
      <w:pPr>
        <w:pStyle w:val="SingleTxtG"/>
        <w:numPr>
          <w:ilvl w:val="2"/>
          <w:numId w:val="1"/>
        </w:numPr>
      </w:pPr>
      <w:r w:rsidRPr="0081728D">
        <w:t>T</w:t>
      </w:r>
      <w:r w:rsidR="00114290" w:rsidRPr="0081728D">
        <w:t xml:space="preserve">raining of </w:t>
      </w:r>
      <w:r w:rsidRPr="0081728D">
        <w:t>public officials</w:t>
      </w:r>
      <w:r w:rsidR="00114290" w:rsidRPr="0081728D">
        <w:t xml:space="preserve"> </w:t>
      </w:r>
      <w:r w:rsidRPr="0081728D">
        <w:t xml:space="preserve">on </w:t>
      </w:r>
      <w:r w:rsidR="00114290" w:rsidRPr="0081728D">
        <w:t>access to information rights</w:t>
      </w:r>
      <w:r w:rsidRPr="0081728D">
        <w:t>;</w:t>
      </w:r>
      <w:r w:rsidR="00114290" w:rsidRPr="0081728D">
        <w:t xml:space="preserve"> </w:t>
      </w:r>
    </w:p>
    <w:p w:rsidR="00A2622B" w:rsidRPr="0081728D" w:rsidRDefault="00A2622B" w:rsidP="003E309B">
      <w:pPr>
        <w:pStyle w:val="SingleTxtG"/>
        <w:numPr>
          <w:ilvl w:val="2"/>
          <w:numId w:val="1"/>
        </w:numPr>
      </w:pPr>
      <w:r w:rsidRPr="0081728D">
        <w:t>T</w:t>
      </w:r>
      <w:r w:rsidR="00114290" w:rsidRPr="0081728D">
        <w:t>raining programmes for judges</w:t>
      </w:r>
      <w:r w:rsidRPr="0081728D">
        <w:t>;</w:t>
      </w:r>
    </w:p>
    <w:p w:rsidR="00A2622B" w:rsidRPr="0081728D" w:rsidRDefault="00A2622B" w:rsidP="003E309B">
      <w:pPr>
        <w:pStyle w:val="SingleTxtG"/>
        <w:numPr>
          <w:ilvl w:val="2"/>
          <w:numId w:val="1"/>
        </w:numPr>
      </w:pPr>
      <w:r w:rsidRPr="0081728D">
        <w:t>A new</w:t>
      </w:r>
      <w:r w:rsidR="00114290" w:rsidRPr="0081728D">
        <w:t xml:space="preserve"> draft</w:t>
      </w:r>
      <w:r w:rsidR="000E2C71" w:rsidRPr="0081728D">
        <w:t xml:space="preserve"> </w:t>
      </w:r>
      <w:r w:rsidR="00114290" w:rsidRPr="0081728D">
        <w:t>Act on Access to Environmental Information</w:t>
      </w:r>
      <w:r w:rsidRPr="0081728D">
        <w:t>;</w:t>
      </w:r>
      <w:r w:rsidR="00114290" w:rsidRPr="0081728D">
        <w:t xml:space="preserve"> </w:t>
      </w:r>
      <w:r w:rsidR="00114290" w:rsidRPr="0081728D">
        <w:rPr>
          <w:lang w:eastAsia="cs-CZ"/>
        </w:rPr>
        <w:t xml:space="preserve"> </w:t>
      </w:r>
    </w:p>
    <w:p w:rsidR="00A2622B" w:rsidRPr="0081728D" w:rsidRDefault="00114290" w:rsidP="003E309B">
      <w:pPr>
        <w:pStyle w:val="SingleTxtG"/>
        <w:numPr>
          <w:ilvl w:val="2"/>
          <w:numId w:val="1"/>
        </w:numPr>
      </w:pPr>
      <w:r w:rsidRPr="0081728D">
        <w:rPr>
          <w:lang w:eastAsia="cs-CZ"/>
        </w:rPr>
        <w:t xml:space="preserve">Administrative penalties </w:t>
      </w:r>
      <w:r w:rsidR="00A2622B" w:rsidRPr="0081728D">
        <w:rPr>
          <w:lang w:eastAsia="cs-CZ"/>
        </w:rPr>
        <w:t xml:space="preserve">for </w:t>
      </w:r>
      <w:r w:rsidRPr="0081728D">
        <w:rPr>
          <w:lang w:eastAsia="cs-CZ"/>
        </w:rPr>
        <w:t>public servants who do not comply with the legislative requirements on transparency of information</w:t>
      </w:r>
      <w:r w:rsidRPr="0081728D">
        <w:t xml:space="preserve">. </w:t>
      </w:r>
    </w:p>
    <w:p w:rsidR="00114290" w:rsidRPr="0081728D" w:rsidRDefault="00114290" w:rsidP="003E309B">
      <w:pPr>
        <w:pStyle w:val="SingleTxtG"/>
        <w:numPr>
          <w:ilvl w:val="2"/>
          <w:numId w:val="1"/>
        </w:numPr>
      </w:pPr>
      <w:r w:rsidRPr="0081728D">
        <w:t xml:space="preserve">The </w:t>
      </w:r>
      <w:r w:rsidR="00A2622B" w:rsidRPr="0081728D">
        <w:t xml:space="preserve">adoption by the Plenum of the Supreme Court of an </w:t>
      </w:r>
      <w:r w:rsidRPr="0081728D">
        <w:t>“Explicative Decision on application by the courts of the provisions of environmental legislation in examination of civil cases</w:t>
      </w:r>
      <w:r w:rsidR="00156567" w:rsidRPr="0081728D">
        <w:t>”</w:t>
      </w:r>
      <w:r w:rsidRPr="0081728D">
        <w:t>.</w:t>
      </w:r>
    </w:p>
    <w:p w:rsidR="00A2622B" w:rsidRPr="0081728D" w:rsidRDefault="00156567" w:rsidP="00A2622B">
      <w:pPr>
        <w:pStyle w:val="SingleTxtG"/>
        <w:numPr>
          <w:ilvl w:val="2"/>
          <w:numId w:val="1"/>
        </w:numPr>
      </w:pPr>
      <w:r w:rsidRPr="0081728D">
        <w:t>Pursuant to the new law on public access to environme</w:t>
      </w:r>
      <w:r w:rsidR="00BB1B44" w:rsidRPr="0081728D">
        <w:t>ntal information</w:t>
      </w:r>
      <w:r w:rsidRPr="0081728D">
        <w:t xml:space="preserve"> </w:t>
      </w:r>
      <w:r w:rsidR="00BB1B44" w:rsidRPr="0081728D">
        <w:t>(</w:t>
      </w:r>
      <w:r w:rsidRPr="0081728D">
        <w:t xml:space="preserve">which draft </w:t>
      </w:r>
      <w:r w:rsidR="00A2622B" w:rsidRPr="0081728D">
        <w:t xml:space="preserve">was approved by the </w:t>
      </w:r>
      <w:r w:rsidR="005D6B29" w:rsidRPr="0081728D">
        <w:t>G</w:t>
      </w:r>
      <w:r w:rsidR="00A2622B" w:rsidRPr="0081728D">
        <w:t>overnment in November 2013</w:t>
      </w:r>
      <w:r w:rsidR="00BB1B44" w:rsidRPr="0081728D">
        <w:t>)</w:t>
      </w:r>
      <w:r w:rsidRPr="0081728D">
        <w:t>, statistics on requests for access to environmental information shall be established and published</w:t>
      </w:r>
      <w:r w:rsidR="00A2622B" w:rsidRPr="0081728D">
        <w:t xml:space="preserve">. </w:t>
      </w:r>
    </w:p>
    <w:p w:rsidR="00114290" w:rsidRPr="0081728D" w:rsidRDefault="00114290" w:rsidP="007819FA">
      <w:pPr>
        <w:pStyle w:val="SingleTxtG"/>
        <w:numPr>
          <w:ilvl w:val="1"/>
          <w:numId w:val="1"/>
        </w:numPr>
        <w:ind w:left="720" w:firstLine="0"/>
      </w:pPr>
      <w:r w:rsidRPr="0081728D">
        <w:t xml:space="preserve"> Article 48 (e) of Regulation No. 187, on forest lease, </w:t>
      </w:r>
      <w:r w:rsidR="003C1CA4" w:rsidRPr="0081728D">
        <w:t>has been</w:t>
      </w:r>
      <w:r w:rsidRPr="0081728D">
        <w:t xml:space="preserve"> amended </w:t>
      </w:r>
      <w:r w:rsidR="00AF55F8" w:rsidRPr="0081728D">
        <w:t xml:space="preserve">so that contracts of rent of lands shall be provided upon request, except for </w:t>
      </w:r>
      <w:r w:rsidR="003C1CA4" w:rsidRPr="0081728D">
        <w:t xml:space="preserve">any </w:t>
      </w:r>
      <w:r w:rsidR="00AF55F8" w:rsidRPr="0081728D">
        <w:t>personal data included in them. Th</w:t>
      </w:r>
      <w:r w:rsidR="003C1CA4" w:rsidRPr="0081728D">
        <w:t>e Party submits that this</w:t>
      </w:r>
      <w:r w:rsidR="00AF55F8" w:rsidRPr="0081728D">
        <w:t xml:space="preserve"> </w:t>
      </w:r>
      <w:r w:rsidRPr="0081728D">
        <w:t xml:space="preserve">should exclude the possibility of </w:t>
      </w:r>
      <w:r w:rsidR="00AF55F8" w:rsidRPr="0081728D">
        <w:t xml:space="preserve">article 48(e) being interpreted </w:t>
      </w:r>
      <w:r w:rsidRPr="0081728D">
        <w:t>in contradiction with the requirements of article 4 of the Convention</w:t>
      </w:r>
      <w:r w:rsidR="00AF55F8" w:rsidRPr="0081728D">
        <w:t>.</w:t>
      </w:r>
    </w:p>
    <w:p w:rsidR="00114290" w:rsidRPr="0081728D" w:rsidRDefault="00114290" w:rsidP="007819FA">
      <w:pPr>
        <w:pStyle w:val="SingleTxtG"/>
        <w:numPr>
          <w:ilvl w:val="1"/>
          <w:numId w:val="1"/>
        </w:numPr>
        <w:ind w:left="720" w:firstLine="0"/>
      </w:pPr>
      <w:r w:rsidRPr="0081728D">
        <w:t>A number of training activities</w:t>
      </w:r>
      <w:r w:rsidR="00AF55F8" w:rsidRPr="0081728D">
        <w:t xml:space="preserve"> were organized</w:t>
      </w:r>
      <w:r w:rsidRPr="0081728D">
        <w:t xml:space="preserve"> with the objective of raising awareness of public servants responsible for the collection, maintenance and/or dissemination of environmental information </w:t>
      </w:r>
      <w:r w:rsidR="003C1CA4" w:rsidRPr="0081728D">
        <w:t xml:space="preserve">regarding </w:t>
      </w:r>
      <w:r w:rsidR="00AF55F8" w:rsidRPr="0081728D">
        <w:t xml:space="preserve">the </w:t>
      </w:r>
      <w:r w:rsidRPr="0081728D">
        <w:t>requirements of the Convention.</w:t>
      </w:r>
    </w:p>
    <w:p w:rsidR="00114290" w:rsidRPr="0081728D" w:rsidRDefault="00114290" w:rsidP="001C7DA9">
      <w:pPr>
        <w:pStyle w:val="SingleTxtG"/>
        <w:numPr>
          <w:ilvl w:val="1"/>
          <w:numId w:val="1"/>
        </w:numPr>
        <w:ind w:left="720" w:firstLine="0"/>
      </w:pPr>
      <w:r w:rsidRPr="0081728D">
        <w:t>The Party concerned examined</w:t>
      </w:r>
      <w:r w:rsidRPr="0081728D" w:rsidDel="00C2366B">
        <w:t xml:space="preserve"> </w:t>
      </w:r>
      <w:r w:rsidRPr="0081728D">
        <w:t xml:space="preserve">its regulatory framework on access to information and </w:t>
      </w:r>
      <w:r w:rsidR="00AF55F8" w:rsidRPr="0081728D">
        <w:t>subsequently</w:t>
      </w:r>
      <w:r w:rsidRPr="0081728D">
        <w:t xml:space="preserve"> develop</w:t>
      </w:r>
      <w:r w:rsidR="00AF55F8" w:rsidRPr="0081728D">
        <w:t>ed</w:t>
      </w:r>
      <w:r w:rsidRPr="0081728D">
        <w:t xml:space="preserve"> a draft of </w:t>
      </w:r>
      <w:r w:rsidR="00AF55F8" w:rsidRPr="0081728D">
        <w:t xml:space="preserve">a </w:t>
      </w:r>
      <w:r w:rsidRPr="0081728D">
        <w:t xml:space="preserve">new Act on Access to Environmental Information (approved by the government in November 2013), and </w:t>
      </w:r>
      <w:r w:rsidR="00AF55F8" w:rsidRPr="0081728D">
        <w:t xml:space="preserve">an </w:t>
      </w:r>
      <w:r w:rsidRPr="0081728D">
        <w:t xml:space="preserve">amendment </w:t>
      </w:r>
      <w:r w:rsidR="00AF55F8" w:rsidRPr="0081728D">
        <w:t xml:space="preserve">to </w:t>
      </w:r>
      <w:r w:rsidRPr="0081728D">
        <w:t>the Water Act</w:t>
      </w:r>
      <w:r w:rsidR="00AF55F8" w:rsidRPr="0081728D">
        <w:t xml:space="preserve"> on</w:t>
      </w:r>
      <w:r w:rsidRPr="0081728D">
        <w:t xml:space="preserve"> access to information about water management (adopted in December 2011). NGOs and independent experts participated </w:t>
      </w:r>
      <w:r w:rsidR="00AF55F8" w:rsidRPr="0081728D">
        <w:t xml:space="preserve">in the preparation </w:t>
      </w:r>
      <w:r w:rsidRPr="0081728D">
        <w:t>of the new legislation. The draft Act on Access to Environmental Information aim</w:t>
      </w:r>
      <w:r w:rsidR="00AD1163" w:rsidRPr="0081728D">
        <w:t>s</w:t>
      </w:r>
      <w:r w:rsidRPr="0081728D">
        <w:t xml:space="preserve"> to transpose EU </w:t>
      </w:r>
      <w:r w:rsidRPr="0081728D">
        <w:rPr>
          <w:bCs/>
          <w:lang w:eastAsia="en-GB"/>
        </w:rPr>
        <w:t>Directive 2003/4/EC on public access to environmental information into Moldovan law.</w:t>
      </w:r>
      <w:r w:rsidRPr="0081728D">
        <w:t xml:space="preserve"> </w:t>
      </w:r>
      <w:r w:rsidR="000E0EEF" w:rsidRPr="0081728D">
        <w:t>As this Act has not yet been adopted by the Parliament, the Committee is not in the position to assess whether it is in full compliance with the Convention</w:t>
      </w:r>
    </w:p>
    <w:p w:rsidR="00114290" w:rsidRPr="0081728D" w:rsidRDefault="00D078BD" w:rsidP="001C7DA9">
      <w:pPr>
        <w:pStyle w:val="SingleTxtG"/>
        <w:numPr>
          <w:ilvl w:val="1"/>
          <w:numId w:val="1"/>
        </w:numPr>
        <w:ind w:left="720" w:firstLine="0"/>
      </w:pPr>
      <w:r w:rsidRPr="0081728D">
        <w:t xml:space="preserve">The </w:t>
      </w:r>
      <w:r w:rsidR="003C1CA4" w:rsidRPr="0081728D">
        <w:t xml:space="preserve">Party concerned submitted that the </w:t>
      </w:r>
      <w:r w:rsidRPr="0081728D">
        <w:t xml:space="preserve">amended Article 48 (e) of Regulation No. 187, on forest lease should prevent </w:t>
      </w:r>
      <w:r w:rsidR="00114290" w:rsidRPr="0081728D">
        <w:t xml:space="preserve">clauses on confidentiality contradicting the requirements of article 4, paragraph 4, of the Convention </w:t>
      </w:r>
      <w:r w:rsidRPr="0081728D">
        <w:t>being included in contracts on rent of lands administ</w:t>
      </w:r>
      <w:r w:rsidR="003C1CA4" w:rsidRPr="0081728D">
        <w:t>ered by the State Forestry Fund</w:t>
      </w:r>
      <w:r w:rsidR="00114290" w:rsidRPr="0081728D">
        <w:t xml:space="preserve">, as such clauses would </w:t>
      </w:r>
      <w:r w:rsidRPr="0081728D">
        <w:t xml:space="preserve">be in breach of </w:t>
      </w:r>
      <w:r w:rsidR="00114290" w:rsidRPr="0081728D">
        <w:t xml:space="preserve">the amended Regulation. </w:t>
      </w:r>
      <w:r w:rsidR="003C1CA4" w:rsidRPr="0081728D">
        <w:t>The Party concerned reported that it was</w:t>
      </w:r>
      <w:r w:rsidRPr="0081728D">
        <w:t xml:space="preserve"> </w:t>
      </w:r>
      <w:r w:rsidR="00114290" w:rsidRPr="0081728D">
        <w:t>consider</w:t>
      </w:r>
      <w:r w:rsidRPr="0081728D">
        <w:t>ing</w:t>
      </w:r>
      <w:r w:rsidR="00114290" w:rsidRPr="0081728D">
        <w:t xml:space="preserve"> further modifications </w:t>
      </w:r>
      <w:r w:rsidRPr="0081728D">
        <w:t xml:space="preserve">to </w:t>
      </w:r>
      <w:r w:rsidR="00114290" w:rsidRPr="0081728D">
        <w:t xml:space="preserve">the legislation concerning the area of forestry, </w:t>
      </w:r>
      <w:r w:rsidR="003C1CA4" w:rsidRPr="0081728D">
        <w:t xml:space="preserve">in </w:t>
      </w:r>
      <w:r w:rsidR="00114290" w:rsidRPr="0081728D">
        <w:t xml:space="preserve">which </w:t>
      </w:r>
      <w:r w:rsidR="003C1CA4" w:rsidRPr="0081728D">
        <w:t xml:space="preserve">it </w:t>
      </w:r>
      <w:r w:rsidR="00114290" w:rsidRPr="0081728D">
        <w:t>would reflect the Committee</w:t>
      </w:r>
      <w:r w:rsidR="003C1CA4" w:rsidRPr="0081728D">
        <w:t>’s</w:t>
      </w:r>
      <w:r w:rsidR="00114290" w:rsidRPr="0081728D">
        <w:t xml:space="preserve"> recommendations on providing information about </w:t>
      </w:r>
      <w:r w:rsidRPr="0081728D">
        <w:t xml:space="preserve">the rental of </w:t>
      </w:r>
      <w:r w:rsidR="00114290" w:rsidRPr="0081728D">
        <w:t>forest</w:t>
      </w:r>
      <w:r w:rsidRPr="0081728D">
        <w:t>ry</w:t>
      </w:r>
      <w:r w:rsidR="00114290" w:rsidRPr="0081728D">
        <w:t xml:space="preserve"> land</w:t>
      </w:r>
      <w:r w:rsidRPr="0081728D">
        <w:t>.</w:t>
      </w:r>
    </w:p>
    <w:p w:rsidR="00114290" w:rsidRPr="0081728D" w:rsidRDefault="00D078BD" w:rsidP="001C7DA9">
      <w:pPr>
        <w:pStyle w:val="SingleTxtG"/>
        <w:numPr>
          <w:ilvl w:val="1"/>
          <w:numId w:val="1"/>
        </w:numPr>
        <w:ind w:left="720" w:firstLine="0"/>
      </w:pPr>
      <w:r w:rsidRPr="0081728D">
        <w:t>An a</w:t>
      </w:r>
      <w:r w:rsidR="00114290" w:rsidRPr="0081728D">
        <w:t>ction plan for the implementation of the Convention</w:t>
      </w:r>
      <w:r w:rsidR="00585F46" w:rsidRPr="0081728D">
        <w:t xml:space="preserve"> for the period 2011-2015</w:t>
      </w:r>
      <w:r w:rsidR="00114290" w:rsidRPr="0081728D">
        <w:t xml:space="preserve">, involving inter alia the measures recommended by the Committee under items (c), (e) and (f) above, </w:t>
      </w:r>
      <w:r w:rsidRPr="0081728D">
        <w:t xml:space="preserve">was </w:t>
      </w:r>
      <w:r w:rsidR="00114290" w:rsidRPr="0081728D">
        <w:t xml:space="preserve">adopted by the Party concerned </w:t>
      </w:r>
      <w:r w:rsidR="003C1CA4" w:rsidRPr="0081728D">
        <w:t xml:space="preserve">on </w:t>
      </w:r>
      <w:r w:rsidR="00114290" w:rsidRPr="0081728D">
        <w:t xml:space="preserve">28 June 2011. </w:t>
      </w:r>
      <w:r w:rsidR="003C1CA4" w:rsidRPr="0081728D">
        <w:t>The Party concerned reported that it</w:t>
      </w:r>
      <w:r w:rsidR="003C1CA4" w:rsidRPr="0081728D" w:rsidDel="003C1CA4">
        <w:t xml:space="preserve"> </w:t>
      </w:r>
      <w:r w:rsidR="003C1CA4" w:rsidRPr="0081728D">
        <w:t xml:space="preserve">would </w:t>
      </w:r>
      <w:r w:rsidR="00114290" w:rsidRPr="0081728D">
        <w:t>be evaluated in 2014 and revised in 2015</w:t>
      </w:r>
      <w:r w:rsidRPr="0081728D">
        <w:t>.</w:t>
      </w:r>
    </w:p>
    <w:p w:rsidR="00114290" w:rsidRPr="0081728D" w:rsidRDefault="004526EB" w:rsidP="004526EB">
      <w:pPr>
        <w:pStyle w:val="SingleTxtG"/>
        <w:numPr>
          <w:ilvl w:val="0"/>
          <w:numId w:val="1"/>
        </w:numPr>
        <w:suppressAutoHyphens w:val="0"/>
        <w:spacing w:line="240" w:lineRule="auto"/>
        <w:ind w:left="0" w:firstLine="0"/>
      </w:pPr>
      <w:r w:rsidRPr="0081728D">
        <w:t>In the light of</w:t>
      </w:r>
      <w:r w:rsidR="00114290" w:rsidRPr="0081728D">
        <w:t xml:space="preserve"> the above,  the Committee finds that </w:t>
      </w:r>
      <w:r w:rsidRPr="0081728D">
        <w:t xml:space="preserve">the Party concerned has complied with the </w:t>
      </w:r>
      <w:r w:rsidR="00114290" w:rsidRPr="0081728D">
        <w:t xml:space="preserve">recommendations </w:t>
      </w:r>
      <w:r w:rsidRPr="0081728D">
        <w:t>set out in paragraph 42</w:t>
      </w:r>
      <w:r w:rsidR="0067672B" w:rsidRPr="0081728D">
        <w:t xml:space="preserve"> </w:t>
      </w:r>
      <w:r w:rsidRPr="0081728D">
        <w:t>(</w:t>
      </w:r>
      <w:r w:rsidR="00114290" w:rsidRPr="0081728D">
        <w:t xml:space="preserve">a), </w:t>
      </w:r>
      <w:r w:rsidRPr="0081728D">
        <w:t>(</w:t>
      </w:r>
      <w:r w:rsidR="00114290" w:rsidRPr="0081728D">
        <w:t xml:space="preserve">c), </w:t>
      </w:r>
      <w:r w:rsidRPr="0081728D">
        <w:t>(</w:t>
      </w:r>
      <w:r w:rsidR="00114290" w:rsidRPr="0081728D">
        <w:t xml:space="preserve">d), </w:t>
      </w:r>
      <w:r w:rsidRPr="0081728D">
        <w:t>(</w:t>
      </w:r>
      <w:r w:rsidR="00114290" w:rsidRPr="0081728D">
        <w:t xml:space="preserve">e), </w:t>
      </w:r>
      <w:r w:rsidRPr="0081728D">
        <w:t>(</w:t>
      </w:r>
      <w:r w:rsidR="00114290" w:rsidRPr="0081728D">
        <w:t xml:space="preserve">f), </w:t>
      </w:r>
      <w:r w:rsidRPr="0081728D">
        <w:t>(</w:t>
      </w:r>
      <w:r w:rsidR="00114290" w:rsidRPr="0081728D">
        <w:t xml:space="preserve">g) and </w:t>
      </w:r>
      <w:r w:rsidRPr="0081728D">
        <w:t>(</w:t>
      </w:r>
      <w:r w:rsidR="00114290" w:rsidRPr="0081728D">
        <w:t xml:space="preserve">h) of the </w:t>
      </w:r>
      <w:r w:rsidRPr="0081728D">
        <w:t>Committee’s findings</w:t>
      </w:r>
      <w:r w:rsidR="00DC75E4" w:rsidRPr="0081728D">
        <w:t xml:space="preserve"> on ACCC/C/2008/30</w:t>
      </w:r>
      <w:r w:rsidR="00114290" w:rsidRPr="0081728D">
        <w:t xml:space="preserve">. The Committee </w:t>
      </w:r>
      <w:r w:rsidRPr="0081728D">
        <w:t xml:space="preserve">welcomes the active engagement of the Party concerned throughout the </w:t>
      </w:r>
      <w:proofErr w:type="spellStart"/>
      <w:r w:rsidRPr="0081728D">
        <w:t>intersessional</w:t>
      </w:r>
      <w:proofErr w:type="spellEnd"/>
      <w:r w:rsidRPr="0081728D">
        <w:t xml:space="preserve"> period, and its constructive efforts </w:t>
      </w:r>
      <w:r w:rsidR="00114290" w:rsidRPr="0081728D">
        <w:t>to meet th</w:t>
      </w:r>
      <w:r w:rsidR="00DC75E4" w:rsidRPr="0081728D">
        <w:t>os</w:t>
      </w:r>
      <w:r w:rsidR="00114290" w:rsidRPr="0081728D">
        <w:t xml:space="preserve">e recommendations.  </w:t>
      </w:r>
    </w:p>
    <w:p w:rsidR="00815A5F" w:rsidRPr="0081728D" w:rsidRDefault="0067672B" w:rsidP="00633CFD">
      <w:pPr>
        <w:pStyle w:val="ListParagraph"/>
        <w:numPr>
          <w:ilvl w:val="0"/>
          <w:numId w:val="1"/>
        </w:numPr>
        <w:suppressAutoHyphens w:val="0"/>
        <w:autoSpaceDE w:val="0"/>
        <w:autoSpaceDN w:val="0"/>
        <w:adjustRightInd w:val="0"/>
        <w:spacing w:line="240" w:lineRule="auto"/>
        <w:ind w:left="0" w:right="1088" w:firstLine="0"/>
        <w:jc w:val="both"/>
      </w:pPr>
      <w:r w:rsidRPr="0081728D">
        <w:t xml:space="preserve">With respect to the recommendation set out in paragraph 42 (b) of the Committee’s findings on ACCC/C/2008/30, the Committee notes that the </w:t>
      </w:r>
      <w:r w:rsidR="00114290" w:rsidRPr="0081728D">
        <w:t xml:space="preserve">Party has not </w:t>
      </w:r>
      <w:r w:rsidR="00633CFD">
        <w:t>provided any information on</w:t>
      </w:r>
      <w:r w:rsidR="00114290" w:rsidRPr="0081728D">
        <w:t xml:space="preserve"> specific legislative and/or practical measures </w:t>
      </w:r>
      <w:r w:rsidR="00684EE1" w:rsidRPr="0081728D">
        <w:t xml:space="preserve">that </w:t>
      </w:r>
      <w:r w:rsidRPr="0081728D">
        <w:t xml:space="preserve">it has taken </w:t>
      </w:r>
      <w:r w:rsidR="00114290" w:rsidRPr="0081728D">
        <w:t>for better monitoring of the execution by public authorities of final court decisions under article 9, paragraph 1, of the Convention</w:t>
      </w:r>
      <w:r w:rsidR="00633CFD">
        <w:t>. R</w:t>
      </w:r>
      <w:r w:rsidR="00BB2813" w:rsidRPr="0081728D">
        <w:t>ather</w:t>
      </w:r>
      <w:r w:rsidR="00633CFD">
        <w:t>, the Party concerned has</w:t>
      </w:r>
      <w:r w:rsidR="00BB2813" w:rsidRPr="0081728D">
        <w:t xml:space="preserve"> reported</w:t>
      </w:r>
      <w:r w:rsidR="00114290" w:rsidRPr="0081728D">
        <w:t xml:space="preserve"> </w:t>
      </w:r>
      <w:r w:rsidR="000E2C71" w:rsidRPr="0081728D">
        <w:t>that</w:t>
      </w:r>
      <w:r w:rsidR="00114290" w:rsidRPr="0081728D">
        <w:t xml:space="preserve"> court decisions in this area are subject to enforcement (execution) under </w:t>
      </w:r>
      <w:r w:rsidR="00684EE1" w:rsidRPr="0081728D">
        <w:t xml:space="preserve">the </w:t>
      </w:r>
      <w:r w:rsidR="00114290" w:rsidRPr="0081728D">
        <w:t xml:space="preserve">provisions of the </w:t>
      </w:r>
      <w:r w:rsidR="00684EE1" w:rsidRPr="0081728D">
        <w:t xml:space="preserve">general </w:t>
      </w:r>
      <w:r w:rsidR="00114290" w:rsidRPr="0081728D">
        <w:t xml:space="preserve">civil law. </w:t>
      </w:r>
      <w:r w:rsidR="00684EE1" w:rsidRPr="0081728D">
        <w:t>The Committee notes</w:t>
      </w:r>
      <w:r w:rsidR="00BB1B44" w:rsidRPr="0081728D">
        <w:t xml:space="preserve"> that</w:t>
      </w:r>
      <w:r w:rsidR="00317C10" w:rsidRPr="0081728D">
        <w:t xml:space="preserve"> the </w:t>
      </w:r>
      <w:r w:rsidR="004F6BDA" w:rsidRPr="0081728D">
        <w:t xml:space="preserve">Party’s </w:t>
      </w:r>
      <w:r w:rsidR="00317C10" w:rsidRPr="0081728D">
        <w:t>action plan 2011-2015 includes several measures that</w:t>
      </w:r>
      <w:r w:rsidR="004F6BDA" w:rsidRPr="0081728D">
        <w:t>, while not specifically addressed to “monitoring of the execution by public authorities of final court decisions”,</w:t>
      </w:r>
      <w:r w:rsidR="00317C10" w:rsidRPr="0081728D">
        <w:t xml:space="preserve"> </w:t>
      </w:r>
      <w:r w:rsidR="00182570" w:rsidRPr="0081728D">
        <w:t>should serve to</w:t>
      </w:r>
      <w:r w:rsidR="00317C10" w:rsidRPr="0081728D">
        <w:t xml:space="preserve"> improve the execution by public authorities of final court decisions in the area of access to information. </w:t>
      </w:r>
      <w:r w:rsidR="00CE09DF" w:rsidRPr="0081728D">
        <w:t>These measures include</w:t>
      </w:r>
      <w:r w:rsidR="004F6BDA" w:rsidRPr="0081728D">
        <w:t xml:space="preserve"> </w:t>
      </w:r>
      <w:r w:rsidR="00BB1B44" w:rsidRPr="0081728D">
        <w:t>the</w:t>
      </w:r>
      <w:r w:rsidR="00A356A8" w:rsidRPr="0081728D">
        <w:t xml:space="preserve"> training of public officials on access to information rights, the</w:t>
      </w:r>
      <w:r w:rsidR="00BB1B44" w:rsidRPr="0081728D">
        <w:t xml:space="preserve"> </w:t>
      </w:r>
      <w:r w:rsidR="005D6B29" w:rsidRPr="0081728D">
        <w:t xml:space="preserve">administrative penalties for public servants who do not comply with the legislative requirements on transparency of information, </w:t>
      </w:r>
      <w:r w:rsidR="00317C10" w:rsidRPr="0081728D">
        <w:t xml:space="preserve">and </w:t>
      </w:r>
      <w:r w:rsidR="005D6B29" w:rsidRPr="0081728D">
        <w:t xml:space="preserve">the centralized recording for statistical purposes </w:t>
      </w:r>
      <w:r w:rsidR="00114290" w:rsidRPr="0081728D">
        <w:rPr>
          <w:lang w:eastAsia="cs-CZ"/>
        </w:rPr>
        <w:t xml:space="preserve">of requests for environmental information </w:t>
      </w:r>
      <w:r w:rsidR="00317C10" w:rsidRPr="0081728D">
        <w:rPr>
          <w:lang w:eastAsia="cs-CZ"/>
        </w:rPr>
        <w:t xml:space="preserve">envisaged </w:t>
      </w:r>
      <w:r w:rsidR="00114290" w:rsidRPr="0081728D">
        <w:rPr>
          <w:lang w:eastAsia="cs-CZ"/>
        </w:rPr>
        <w:t xml:space="preserve">in the draft </w:t>
      </w:r>
      <w:r w:rsidR="00114290" w:rsidRPr="0081728D">
        <w:t>Act on Access to Environmental Information</w:t>
      </w:r>
      <w:r w:rsidR="00A356A8" w:rsidRPr="0081728D">
        <w:t xml:space="preserve">. </w:t>
      </w:r>
      <w:r w:rsidR="00815A5F" w:rsidRPr="0081728D">
        <w:t xml:space="preserve">While </w:t>
      </w:r>
      <w:r w:rsidR="00BB2813" w:rsidRPr="0081728D">
        <w:t>it was recommended through paragraph 42(b) for the</w:t>
      </w:r>
      <w:r w:rsidR="00815A5F" w:rsidRPr="0081728D">
        <w:t xml:space="preserve"> Party to </w:t>
      </w:r>
      <w:r w:rsidR="00152E19" w:rsidRPr="0081728D">
        <w:t xml:space="preserve">take </w:t>
      </w:r>
      <w:r w:rsidR="00815A5F" w:rsidRPr="0081728D">
        <w:t>specific legislative and/or practical measures for better monitoring of the execution of final court decisions,</w:t>
      </w:r>
      <w:r w:rsidR="0081728D" w:rsidRPr="0081728D">
        <w:t xml:space="preserve"> </w:t>
      </w:r>
      <w:r w:rsidR="00815A5F" w:rsidRPr="0081728D">
        <w:t xml:space="preserve">the Committee considers that </w:t>
      </w:r>
      <w:r w:rsidR="00BB2813" w:rsidRPr="0081728D">
        <w:t xml:space="preserve">these other measures should </w:t>
      </w:r>
      <w:r w:rsidR="0081728D" w:rsidRPr="0081728D">
        <w:t xml:space="preserve">also </w:t>
      </w:r>
      <w:r w:rsidR="00152E19" w:rsidRPr="0081728D">
        <w:t xml:space="preserve">indirectly contribute towards </w:t>
      </w:r>
      <w:r w:rsidR="00BB2813" w:rsidRPr="0081728D">
        <w:t>this aim</w:t>
      </w:r>
      <w:r w:rsidR="009978ED" w:rsidRPr="0081728D">
        <w:t>.</w:t>
      </w:r>
      <w:r w:rsidR="00BB2813" w:rsidRPr="0081728D">
        <w:t xml:space="preserve">  </w:t>
      </w:r>
    </w:p>
    <w:p w:rsidR="00815A5F" w:rsidRPr="0081728D" w:rsidRDefault="00815A5F" w:rsidP="00E40413">
      <w:pPr>
        <w:pStyle w:val="ListParagraph"/>
        <w:suppressAutoHyphens w:val="0"/>
        <w:autoSpaceDE w:val="0"/>
        <w:autoSpaceDN w:val="0"/>
        <w:adjustRightInd w:val="0"/>
        <w:spacing w:line="240" w:lineRule="auto"/>
        <w:ind w:left="0" w:right="1088"/>
        <w:jc w:val="both"/>
      </w:pPr>
    </w:p>
    <w:p w:rsidR="00182570" w:rsidRPr="0081728D" w:rsidRDefault="00182570" w:rsidP="003E309B">
      <w:pPr>
        <w:pStyle w:val="ListParagraph"/>
        <w:numPr>
          <w:ilvl w:val="0"/>
          <w:numId w:val="1"/>
        </w:numPr>
        <w:suppressAutoHyphens w:val="0"/>
        <w:autoSpaceDE w:val="0"/>
        <w:autoSpaceDN w:val="0"/>
        <w:adjustRightInd w:val="0"/>
        <w:spacing w:line="240" w:lineRule="auto"/>
        <w:ind w:left="0" w:right="1088" w:firstLine="0"/>
        <w:jc w:val="both"/>
      </w:pPr>
      <w:r w:rsidRPr="0081728D">
        <w:t xml:space="preserve">In the light of the above, the </w:t>
      </w:r>
      <w:r w:rsidR="00317C10" w:rsidRPr="0081728D">
        <w:t xml:space="preserve">Committee </w:t>
      </w:r>
      <w:r w:rsidRPr="0081728D">
        <w:t xml:space="preserve">finds that the Party concerned </w:t>
      </w:r>
      <w:r w:rsidRPr="0081728D">
        <w:rPr>
          <w:rFonts w:eastAsia="Calibri"/>
          <w:lang w:eastAsia="zh-CN"/>
        </w:rPr>
        <w:t xml:space="preserve">is no longer in a state of non-compliance with the provisions of </w:t>
      </w:r>
      <w:r w:rsidRPr="0081728D">
        <w:t>article 3, paragraphs 1 and 2, article 4, paragraphs 1, 2, 4 and 7 and article 9, paragraph 1, of the Convention</w:t>
      </w:r>
      <w:r w:rsidRPr="0081728D">
        <w:rPr>
          <w:rFonts w:eastAsia="Calibri"/>
          <w:lang w:eastAsia="zh-CN"/>
        </w:rPr>
        <w:t xml:space="preserve"> with </w:t>
      </w:r>
      <w:r w:rsidRPr="0081728D">
        <w:rPr>
          <w:lang w:val="en-US"/>
        </w:rPr>
        <w:t>respect to the points of non-compliance identified in those findings</w:t>
      </w:r>
    </w:p>
    <w:p w:rsidR="00114290" w:rsidRPr="0081728D" w:rsidRDefault="00114290" w:rsidP="00D707AD">
      <w:pPr>
        <w:pStyle w:val="HChG"/>
      </w:pPr>
      <w:r w:rsidRPr="0081728D">
        <w:tab/>
        <w:t>IV.</w:t>
      </w:r>
      <w:r w:rsidRPr="0081728D">
        <w:tab/>
        <w:t xml:space="preserve">Conclusions and recommendations </w:t>
      </w:r>
    </w:p>
    <w:p w:rsidR="005D19CD" w:rsidRPr="0081728D" w:rsidRDefault="004F6BDA" w:rsidP="003E309B">
      <w:pPr>
        <w:pStyle w:val="SingleTxtG"/>
        <w:numPr>
          <w:ilvl w:val="0"/>
          <w:numId w:val="1"/>
        </w:numPr>
        <w:suppressAutoHyphens w:val="0"/>
        <w:spacing w:line="240" w:lineRule="auto"/>
        <w:ind w:left="0" w:firstLine="0"/>
      </w:pPr>
      <w:r w:rsidRPr="0081728D">
        <w:rPr>
          <w:lang w:val="en-US"/>
        </w:rPr>
        <w:t xml:space="preserve">The Committee welcomes </w:t>
      </w:r>
      <w:r w:rsidR="005D19CD" w:rsidRPr="0081728D">
        <w:t xml:space="preserve">the </w:t>
      </w:r>
      <w:r w:rsidR="007D33DA" w:rsidRPr="0081728D">
        <w:t xml:space="preserve">constructive </w:t>
      </w:r>
      <w:r w:rsidR="005D19CD" w:rsidRPr="0081728D">
        <w:t xml:space="preserve">engagement of the Party concerned in the compliance review process </w:t>
      </w:r>
      <w:r w:rsidR="007D33DA" w:rsidRPr="0081728D">
        <w:t>and</w:t>
      </w:r>
      <w:r w:rsidR="005D19CD" w:rsidRPr="0081728D">
        <w:t xml:space="preserve"> </w:t>
      </w:r>
      <w:r w:rsidRPr="0081728D">
        <w:rPr>
          <w:lang w:val="en-US"/>
        </w:rPr>
        <w:t xml:space="preserve">appreciates the analytical </w:t>
      </w:r>
      <w:r w:rsidR="005D19CD" w:rsidRPr="0081728D">
        <w:rPr>
          <w:lang w:val="en-US"/>
        </w:rPr>
        <w:t xml:space="preserve">nature of </w:t>
      </w:r>
      <w:r w:rsidR="007D33DA" w:rsidRPr="0081728D">
        <w:rPr>
          <w:lang w:val="en-US"/>
        </w:rPr>
        <w:t>its</w:t>
      </w:r>
      <w:r w:rsidR="005D19CD" w:rsidRPr="0081728D">
        <w:rPr>
          <w:lang w:val="en-US"/>
        </w:rPr>
        <w:t xml:space="preserve"> </w:t>
      </w:r>
      <w:r w:rsidR="007D33DA" w:rsidRPr="0081728D">
        <w:rPr>
          <w:lang w:val="en-US"/>
        </w:rPr>
        <w:t xml:space="preserve">progress </w:t>
      </w:r>
      <w:r w:rsidR="005D19CD" w:rsidRPr="0081728D">
        <w:rPr>
          <w:lang w:val="en-US"/>
        </w:rPr>
        <w:t>reports</w:t>
      </w:r>
      <w:r w:rsidR="00801EEE" w:rsidRPr="0081728D">
        <w:rPr>
          <w:lang w:val="en-US"/>
        </w:rPr>
        <w:t xml:space="preserve"> </w:t>
      </w:r>
      <w:r w:rsidR="007D33DA" w:rsidRPr="0081728D">
        <w:rPr>
          <w:lang w:val="en-US"/>
        </w:rPr>
        <w:t xml:space="preserve">provided during the </w:t>
      </w:r>
      <w:proofErr w:type="spellStart"/>
      <w:r w:rsidR="007D33DA" w:rsidRPr="0081728D">
        <w:rPr>
          <w:lang w:val="en-US"/>
        </w:rPr>
        <w:t>intersessional</w:t>
      </w:r>
      <w:proofErr w:type="spellEnd"/>
      <w:r w:rsidR="007D33DA" w:rsidRPr="0081728D">
        <w:rPr>
          <w:lang w:val="en-US"/>
        </w:rPr>
        <w:t xml:space="preserve"> period</w:t>
      </w:r>
      <w:r w:rsidR="005D19CD" w:rsidRPr="0081728D">
        <w:rPr>
          <w:lang w:val="en-US"/>
        </w:rPr>
        <w:t xml:space="preserve">. </w:t>
      </w:r>
    </w:p>
    <w:p w:rsidR="00663724" w:rsidRPr="0081728D" w:rsidRDefault="00663724" w:rsidP="003E309B">
      <w:pPr>
        <w:pStyle w:val="ListParagraph"/>
        <w:numPr>
          <w:ilvl w:val="0"/>
          <w:numId w:val="1"/>
        </w:numPr>
        <w:suppressAutoHyphens w:val="0"/>
        <w:autoSpaceDE w:val="0"/>
        <w:autoSpaceDN w:val="0"/>
        <w:adjustRightInd w:val="0"/>
        <w:spacing w:line="240" w:lineRule="auto"/>
        <w:ind w:left="0" w:right="1088" w:firstLine="0"/>
        <w:jc w:val="both"/>
      </w:pPr>
      <w:r w:rsidRPr="0081728D">
        <w:rPr>
          <w:lang w:val="en-US"/>
        </w:rPr>
        <w:t>Having review</w:t>
      </w:r>
      <w:r w:rsidR="00E67CBA" w:rsidRPr="0081728D">
        <w:rPr>
          <w:lang w:val="en-US"/>
        </w:rPr>
        <w:t>ed</w:t>
      </w:r>
      <w:r w:rsidRPr="0081728D">
        <w:rPr>
          <w:lang w:val="en-US"/>
        </w:rPr>
        <w:t xml:space="preserve"> the information provided in the </w:t>
      </w:r>
      <w:proofErr w:type="spellStart"/>
      <w:r w:rsidRPr="0081728D">
        <w:rPr>
          <w:lang w:val="en-US"/>
        </w:rPr>
        <w:t>intersessional</w:t>
      </w:r>
      <w:proofErr w:type="spellEnd"/>
      <w:r w:rsidRPr="0081728D">
        <w:rPr>
          <w:lang w:val="en-US"/>
        </w:rPr>
        <w:t xml:space="preserve"> period, </w:t>
      </w:r>
      <w:r w:rsidRPr="0081728D">
        <w:t xml:space="preserve">the Committee finds that the Party concerned has </w:t>
      </w:r>
      <w:r w:rsidR="007D33DA" w:rsidRPr="0081728D">
        <w:t>seriously and actively engaged to follow</w:t>
      </w:r>
      <w:r w:rsidRPr="0081728D">
        <w:t xml:space="preserve"> </w:t>
      </w:r>
      <w:r w:rsidR="00E67CBA" w:rsidRPr="0081728D">
        <w:t>the</w:t>
      </w:r>
      <w:r w:rsidRPr="0081728D">
        <w:t xml:space="preserve"> recommendations set out in paragraph 42 of the Committee’s findings on ACCC/C/2008/30.</w:t>
      </w:r>
      <w:r w:rsidRPr="0081728D">
        <w:rPr>
          <w:lang w:val="en-US"/>
        </w:rPr>
        <w:t xml:space="preserve"> </w:t>
      </w:r>
      <w:r w:rsidR="00C01869" w:rsidRPr="0081728D">
        <w:rPr>
          <w:lang w:val="en-US"/>
        </w:rPr>
        <w:t xml:space="preserve">Based on the information provided the Committee considers </w:t>
      </w:r>
      <w:r w:rsidR="004D1D8D" w:rsidRPr="0081728D">
        <w:rPr>
          <w:rFonts w:eastAsia="Calibri"/>
          <w:lang w:eastAsia="zh-CN"/>
        </w:rPr>
        <w:t xml:space="preserve">that the Party concerned is no longer in a state of non-compliance with the provisions of </w:t>
      </w:r>
      <w:r w:rsidR="009E23C6" w:rsidRPr="0081728D">
        <w:t xml:space="preserve">article 3, paragraphs 1 and 2, </w:t>
      </w:r>
      <w:r w:rsidR="004D1D8D" w:rsidRPr="0081728D">
        <w:t>article 4, paragraphs 1, 2, 4</w:t>
      </w:r>
      <w:r w:rsidR="009E23C6" w:rsidRPr="0081728D">
        <w:t xml:space="preserve"> </w:t>
      </w:r>
      <w:r w:rsidR="004D1D8D" w:rsidRPr="0081728D">
        <w:t>and 7 and article 9, paragraph 1, of the Convention</w:t>
      </w:r>
      <w:r w:rsidR="00E67CBA" w:rsidRPr="0081728D">
        <w:rPr>
          <w:rFonts w:eastAsia="Calibri"/>
          <w:lang w:eastAsia="zh-CN"/>
        </w:rPr>
        <w:t xml:space="preserve"> with </w:t>
      </w:r>
      <w:r w:rsidR="00E67CBA" w:rsidRPr="0081728D">
        <w:rPr>
          <w:lang w:val="en-US"/>
        </w:rPr>
        <w:t>respect to the points of non-compliance identified in those findings.</w:t>
      </w:r>
    </w:p>
    <w:p w:rsidR="009E23C6" w:rsidRPr="0081728D" w:rsidRDefault="009E23C6" w:rsidP="003E309B">
      <w:pPr>
        <w:pStyle w:val="ListParagraph"/>
        <w:suppressAutoHyphens w:val="0"/>
        <w:autoSpaceDE w:val="0"/>
        <w:autoSpaceDN w:val="0"/>
        <w:adjustRightInd w:val="0"/>
        <w:spacing w:line="240" w:lineRule="auto"/>
        <w:ind w:left="0" w:right="1088"/>
        <w:jc w:val="both"/>
      </w:pPr>
    </w:p>
    <w:p w:rsidR="00E67CBA" w:rsidRPr="0081728D" w:rsidRDefault="00384C7C" w:rsidP="003E309B">
      <w:pPr>
        <w:pStyle w:val="ListParagraph"/>
        <w:numPr>
          <w:ilvl w:val="0"/>
          <w:numId w:val="1"/>
        </w:numPr>
        <w:suppressAutoHyphens w:val="0"/>
        <w:autoSpaceDE w:val="0"/>
        <w:autoSpaceDN w:val="0"/>
        <w:adjustRightInd w:val="0"/>
        <w:spacing w:line="240" w:lineRule="auto"/>
        <w:ind w:left="0" w:right="1088" w:firstLine="0"/>
        <w:jc w:val="both"/>
        <w:rPr>
          <w:lang w:val="en-US"/>
        </w:rPr>
      </w:pPr>
      <w:r w:rsidRPr="0081728D">
        <w:t>The Committee recommends that, p</w:t>
      </w:r>
      <w:proofErr w:type="spellStart"/>
      <w:r w:rsidR="00E67CBA" w:rsidRPr="0081728D">
        <w:rPr>
          <w:lang w:val="en-US"/>
        </w:rPr>
        <w:t>ursuant</w:t>
      </w:r>
      <w:proofErr w:type="spellEnd"/>
      <w:r w:rsidR="00E67CBA" w:rsidRPr="0081728D">
        <w:rPr>
          <w:lang w:val="en-US"/>
        </w:rPr>
        <w:t xml:space="preserve"> to paragraph 35 of the annex to decision </w:t>
      </w:r>
      <w:proofErr w:type="gramStart"/>
      <w:r w:rsidR="00E67CBA" w:rsidRPr="0081728D">
        <w:rPr>
          <w:lang w:val="en-US"/>
        </w:rPr>
        <w:t>I/7</w:t>
      </w:r>
      <w:proofErr w:type="gramEnd"/>
      <w:r w:rsidR="00E67CBA" w:rsidRPr="0081728D">
        <w:rPr>
          <w:lang w:val="en-US"/>
        </w:rPr>
        <w:t>, the Meeting of the Parties endorse</w:t>
      </w:r>
      <w:r w:rsidR="000C271A" w:rsidRPr="0081728D">
        <w:rPr>
          <w:lang w:val="en-US"/>
        </w:rPr>
        <w:t>s</w:t>
      </w:r>
      <w:r w:rsidR="00E67CBA" w:rsidRPr="0081728D">
        <w:rPr>
          <w:lang w:val="en-US"/>
        </w:rPr>
        <w:t xml:space="preserve"> the above </w:t>
      </w:r>
      <w:r w:rsidR="00CE09DF" w:rsidRPr="0081728D">
        <w:rPr>
          <w:lang w:val="en-US"/>
        </w:rPr>
        <w:t>report</w:t>
      </w:r>
      <w:r w:rsidR="00E67CBA" w:rsidRPr="0081728D">
        <w:rPr>
          <w:lang w:val="en-US"/>
        </w:rPr>
        <w:t xml:space="preserve"> with regard to compliance by </w:t>
      </w:r>
      <w:r w:rsidRPr="0081728D">
        <w:rPr>
          <w:lang w:val="en-US"/>
        </w:rPr>
        <w:t>the Republic of Moldova</w:t>
      </w:r>
      <w:r w:rsidR="00E67CBA" w:rsidRPr="0081728D">
        <w:rPr>
          <w:lang w:val="en-US"/>
        </w:rPr>
        <w:t>.</w:t>
      </w:r>
    </w:p>
    <w:p w:rsidR="00E67CBA" w:rsidRPr="003E309B" w:rsidRDefault="00E67CBA" w:rsidP="003E309B">
      <w:pPr>
        <w:suppressAutoHyphens w:val="0"/>
        <w:autoSpaceDE w:val="0"/>
        <w:autoSpaceDN w:val="0"/>
        <w:adjustRightInd w:val="0"/>
        <w:spacing w:line="240" w:lineRule="auto"/>
      </w:pPr>
    </w:p>
    <w:p w:rsidR="00384C7C" w:rsidRPr="003E309B" w:rsidRDefault="00384C7C" w:rsidP="003E309B">
      <w:pPr>
        <w:pStyle w:val="SingleTxtG"/>
        <w:suppressAutoHyphens w:val="0"/>
        <w:spacing w:line="240" w:lineRule="auto"/>
        <w:ind w:left="0"/>
      </w:pPr>
    </w:p>
    <w:p w:rsidR="00114290" w:rsidRPr="003E309B" w:rsidRDefault="00114290" w:rsidP="003E309B">
      <w:pPr>
        <w:pStyle w:val="ListParagraph"/>
        <w:ind w:left="1080" w:right="1088"/>
        <w:jc w:val="both"/>
      </w:pPr>
    </w:p>
    <w:p w:rsidR="00114290" w:rsidRDefault="00114290" w:rsidP="003E309B">
      <w:pPr>
        <w:tabs>
          <w:tab w:val="left" w:pos="7797"/>
        </w:tabs>
        <w:suppressAutoHyphens w:val="0"/>
        <w:spacing w:line="240" w:lineRule="auto"/>
        <w:ind w:right="1088"/>
        <w:jc w:val="both"/>
      </w:pPr>
    </w:p>
    <w:p w:rsidR="00114290" w:rsidRPr="00F144EC" w:rsidRDefault="00114290" w:rsidP="003E309B">
      <w:pPr>
        <w:tabs>
          <w:tab w:val="left" w:pos="7797"/>
        </w:tabs>
        <w:suppressAutoHyphens w:val="0"/>
        <w:spacing w:line="240" w:lineRule="auto"/>
        <w:ind w:right="1088"/>
        <w:jc w:val="both"/>
        <w:rPr>
          <w:sz w:val="24"/>
          <w:szCs w:val="24"/>
          <w:lang w:val="cs-CZ" w:eastAsia="cs-CZ"/>
        </w:rPr>
      </w:pPr>
    </w:p>
    <w:p w:rsidR="00114290" w:rsidRDefault="00114290" w:rsidP="00584151">
      <w:pPr>
        <w:spacing w:after="120"/>
        <w:ind w:left="1134" w:right="1134" w:firstLine="14"/>
        <w:jc w:val="both"/>
      </w:pPr>
    </w:p>
    <w:p w:rsidR="00114290" w:rsidRDefault="00114290" w:rsidP="00584151">
      <w:pPr>
        <w:jc w:val="both"/>
      </w:pPr>
    </w:p>
    <w:sectPr w:rsidR="00114290" w:rsidSect="001C0BC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22" w:rsidRDefault="00973422" w:rsidP="00C13BF3">
      <w:pPr>
        <w:spacing w:line="240" w:lineRule="auto"/>
      </w:pPr>
      <w:r>
        <w:separator/>
      </w:r>
    </w:p>
  </w:endnote>
  <w:endnote w:type="continuationSeparator" w:id="0">
    <w:p w:rsidR="00973422" w:rsidRDefault="00973422" w:rsidP="00C13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C" w:rsidRDefault="00787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C" w:rsidRDefault="007879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C" w:rsidRDefault="00787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22" w:rsidRDefault="00973422" w:rsidP="00C13BF3">
      <w:pPr>
        <w:spacing w:line="240" w:lineRule="auto"/>
      </w:pPr>
      <w:r>
        <w:separator/>
      </w:r>
    </w:p>
  </w:footnote>
  <w:footnote w:type="continuationSeparator" w:id="0">
    <w:p w:rsidR="00973422" w:rsidRDefault="00973422" w:rsidP="00C13B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C" w:rsidRDefault="007879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4B" w:rsidRPr="00D90A77" w:rsidRDefault="0078797C" w:rsidP="00DA694B">
    <w:pPr>
      <w:pStyle w:val="Header"/>
      <w:jc w:val="right"/>
      <w:rPr>
        <w:lang w:val="en-US"/>
      </w:rPr>
    </w:pPr>
    <w:sdt>
      <w:sdtPr>
        <w:rPr>
          <w:lang w:val="en-US"/>
        </w:rPr>
        <w:id w:val="-1436738386"/>
        <w:docPartObj>
          <w:docPartGallery w:val="Watermarks"/>
          <w:docPartUnique/>
        </w:docPartObj>
      </w:sdtPr>
      <w:sdtContent>
        <w:r w:rsidRPr="0078797C">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lang w:val="en-US"/>
      </w:rPr>
      <w:t>Draft report</w:t>
    </w:r>
  </w:p>
  <w:p w:rsidR="00663724" w:rsidRDefault="00663724">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7C" w:rsidRDefault="00787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8D3"/>
    <w:multiLevelType w:val="hybridMultilevel"/>
    <w:tmpl w:val="F378F53C"/>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hint="default"/>
      </w:rPr>
    </w:lvl>
    <w:lvl w:ilvl="8" w:tplc="08090005">
      <w:start w:val="1"/>
      <w:numFmt w:val="bullet"/>
      <w:lvlText w:val=""/>
      <w:lvlJc w:val="left"/>
      <w:pPr>
        <w:ind w:left="7614" w:hanging="360"/>
      </w:pPr>
      <w:rPr>
        <w:rFonts w:ascii="Wingdings" w:hAnsi="Wingdings" w:hint="default"/>
      </w:rPr>
    </w:lvl>
  </w:abstractNum>
  <w:abstractNum w:abstractNumId="1">
    <w:nsid w:val="0E0E6419"/>
    <w:multiLevelType w:val="hybridMultilevel"/>
    <w:tmpl w:val="28442E1C"/>
    <w:lvl w:ilvl="0" w:tplc="0809000F">
      <w:start w:val="2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32EFB"/>
    <w:multiLevelType w:val="hybridMultilevel"/>
    <w:tmpl w:val="10AAA18A"/>
    <w:lvl w:ilvl="0" w:tplc="0809000F">
      <w:start w:val="2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6B1052"/>
    <w:multiLevelType w:val="hybridMultilevel"/>
    <w:tmpl w:val="F9DC1996"/>
    <w:lvl w:ilvl="0" w:tplc="EB2A293A">
      <w:start w:val="1"/>
      <w:numFmt w:val="decimal"/>
      <w:lvlText w:val="%1."/>
      <w:lvlJc w:val="left"/>
      <w:pPr>
        <w:ind w:left="1494" w:hanging="360"/>
      </w:pPr>
      <w:rPr>
        <w:rFonts w:cs="Times New Roman"/>
      </w:rPr>
    </w:lvl>
    <w:lvl w:ilvl="1" w:tplc="08090017">
      <w:start w:val="1"/>
      <w:numFmt w:val="lowerLetter"/>
      <w:lvlText w:val="%2)"/>
      <w:lvlJc w:val="left"/>
      <w:pPr>
        <w:ind w:left="2214" w:hanging="360"/>
      </w:pPr>
      <w:rPr>
        <w:rFonts w:cs="Times New Roman" w:hint="default"/>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4">
    <w:nsid w:val="513E0B47"/>
    <w:multiLevelType w:val="hybridMultilevel"/>
    <w:tmpl w:val="FB22F772"/>
    <w:lvl w:ilvl="0" w:tplc="F70C395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A1048B"/>
    <w:multiLevelType w:val="hybridMultilevel"/>
    <w:tmpl w:val="317EF828"/>
    <w:lvl w:ilvl="0" w:tplc="0809000F">
      <w:start w:val="2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7E1F5D"/>
    <w:multiLevelType w:val="hybridMultilevel"/>
    <w:tmpl w:val="034E3A30"/>
    <w:lvl w:ilvl="0" w:tplc="F23A4E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68E7662"/>
    <w:multiLevelType w:val="hybridMultilevel"/>
    <w:tmpl w:val="78DC1790"/>
    <w:lvl w:ilvl="0" w:tplc="02F604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3"/>
  </w:num>
  <w:num w:numId="4">
    <w:abstractNumId w:val="4"/>
  </w:num>
  <w:num w:numId="5">
    <w:abstractNumId w:val="5"/>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AD"/>
    <w:rsid w:val="00015A69"/>
    <w:rsid w:val="000317A4"/>
    <w:rsid w:val="0004029D"/>
    <w:rsid w:val="0006445C"/>
    <w:rsid w:val="000C271A"/>
    <w:rsid w:val="000C483E"/>
    <w:rsid w:val="000C776F"/>
    <w:rsid w:val="000E0EEF"/>
    <w:rsid w:val="000E2C71"/>
    <w:rsid w:val="000E47C3"/>
    <w:rsid w:val="00103247"/>
    <w:rsid w:val="00114290"/>
    <w:rsid w:val="00114A39"/>
    <w:rsid w:val="00116FBA"/>
    <w:rsid w:val="00123C12"/>
    <w:rsid w:val="00142009"/>
    <w:rsid w:val="00150097"/>
    <w:rsid w:val="00152E19"/>
    <w:rsid w:val="00155755"/>
    <w:rsid w:val="00156567"/>
    <w:rsid w:val="00156BD9"/>
    <w:rsid w:val="001754AD"/>
    <w:rsid w:val="0017705B"/>
    <w:rsid w:val="00182570"/>
    <w:rsid w:val="00185EC4"/>
    <w:rsid w:val="001930E5"/>
    <w:rsid w:val="001B2CB3"/>
    <w:rsid w:val="001C0BCA"/>
    <w:rsid w:val="001C64BA"/>
    <w:rsid w:val="001C7DA9"/>
    <w:rsid w:val="001E5CBE"/>
    <w:rsid w:val="001F431E"/>
    <w:rsid w:val="001F61FD"/>
    <w:rsid w:val="0022546C"/>
    <w:rsid w:val="0027095B"/>
    <w:rsid w:val="00275220"/>
    <w:rsid w:val="002C5C14"/>
    <w:rsid w:val="002F1A46"/>
    <w:rsid w:val="00306C1D"/>
    <w:rsid w:val="00312D66"/>
    <w:rsid w:val="00317C10"/>
    <w:rsid w:val="00374BB5"/>
    <w:rsid w:val="00384C7C"/>
    <w:rsid w:val="0038739E"/>
    <w:rsid w:val="00396F13"/>
    <w:rsid w:val="003C1CA4"/>
    <w:rsid w:val="003C51AC"/>
    <w:rsid w:val="003E309B"/>
    <w:rsid w:val="003E6190"/>
    <w:rsid w:val="00444BED"/>
    <w:rsid w:val="004526EB"/>
    <w:rsid w:val="004A1B83"/>
    <w:rsid w:val="004D1D8D"/>
    <w:rsid w:val="004D2092"/>
    <w:rsid w:val="004F6BDA"/>
    <w:rsid w:val="00513552"/>
    <w:rsid w:val="00514C25"/>
    <w:rsid w:val="00527FE3"/>
    <w:rsid w:val="00532974"/>
    <w:rsid w:val="00540BF3"/>
    <w:rsid w:val="00543567"/>
    <w:rsid w:val="00581F42"/>
    <w:rsid w:val="00584151"/>
    <w:rsid w:val="00585F46"/>
    <w:rsid w:val="00586041"/>
    <w:rsid w:val="005C1006"/>
    <w:rsid w:val="005D19CD"/>
    <w:rsid w:val="005D2480"/>
    <w:rsid w:val="005D6B29"/>
    <w:rsid w:val="005F2C33"/>
    <w:rsid w:val="00600905"/>
    <w:rsid w:val="00632328"/>
    <w:rsid w:val="00633CFD"/>
    <w:rsid w:val="0063540E"/>
    <w:rsid w:val="00663724"/>
    <w:rsid w:val="0067672B"/>
    <w:rsid w:val="00680923"/>
    <w:rsid w:val="00684EE1"/>
    <w:rsid w:val="00686CE0"/>
    <w:rsid w:val="006B12DE"/>
    <w:rsid w:val="006C264D"/>
    <w:rsid w:val="006C63A4"/>
    <w:rsid w:val="006F079D"/>
    <w:rsid w:val="007134C5"/>
    <w:rsid w:val="00714A95"/>
    <w:rsid w:val="00721114"/>
    <w:rsid w:val="0073145F"/>
    <w:rsid w:val="00732CA2"/>
    <w:rsid w:val="00745D40"/>
    <w:rsid w:val="007479AA"/>
    <w:rsid w:val="00771860"/>
    <w:rsid w:val="00772836"/>
    <w:rsid w:val="0077363F"/>
    <w:rsid w:val="007819FA"/>
    <w:rsid w:val="0078797C"/>
    <w:rsid w:val="007919F3"/>
    <w:rsid w:val="00794CD8"/>
    <w:rsid w:val="007D33DA"/>
    <w:rsid w:val="007D51CD"/>
    <w:rsid w:val="007F0A49"/>
    <w:rsid w:val="007F22FB"/>
    <w:rsid w:val="00801EEE"/>
    <w:rsid w:val="00815A5F"/>
    <w:rsid w:val="0081728D"/>
    <w:rsid w:val="0082208E"/>
    <w:rsid w:val="00826EAB"/>
    <w:rsid w:val="00863E0D"/>
    <w:rsid w:val="00870CA9"/>
    <w:rsid w:val="00887EDC"/>
    <w:rsid w:val="00891223"/>
    <w:rsid w:val="008B2B0B"/>
    <w:rsid w:val="008C7E82"/>
    <w:rsid w:val="008D0237"/>
    <w:rsid w:val="008E182D"/>
    <w:rsid w:val="008E342C"/>
    <w:rsid w:val="008F4DD8"/>
    <w:rsid w:val="009006CF"/>
    <w:rsid w:val="009174DF"/>
    <w:rsid w:val="00947474"/>
    <w:rsid w:val="00962493"/>
    <w:rsid w:val="00973422"/>
    <w:rsid w:val="009978ED"/>
    <w:rsid w:val="009B19B6"/>
    <w:rsid w:val="009D1CAC"/>
    <w:rsid w:val="009D3320"/>
    <w:rsid w:val="009D6271"/>
    <w:rsid w:val="009E13E1"/>
    <w:rsid w:val="009E23C6"/>
    <w:rsid w:val="009F0660"/>
    <w:rsid w:val="00A2622B"/>
    <w:rsid w:val="00A356A8"/>
    <w:rsid w:val="00A42F83"/>
    <w:rsid w:val="00A446B9"/>
    <w:rsid w:val="00A472B8"/>
    <w:rsid w:val="00A55940"/>
    <w:rsid w:val="00A57E48"/>
    <w:rsid w:val="00A82192"/>
    <w:rsid w:val="00A84555"/>
    <w:rsid w:val="00AA6EB8"/>
    <w:rsid w:val="00AC3D6B"/>
    <w:rsid w:val="00AC6C8F"/>
    <w:rsid w:val="00AD05C1"/>
    <w:rsid w:val="00AD1163"/>
    <w:rsid w:val="00AF4B70"/>
    <w:rsid w:val="00AF55F8"/>
    <w:rsid w:val="00AF613C"/>
    <w:rsid w:val="00B01C94"/>
    <w:rsid w:val="00B02E56"/>
    <w:rsid w:val="00B0396C"/>
    <w:rsid w:val="00B11197"/>
    <w:rsid w:val="00B26753"/>
    <w:rsid w:val="00B30A47"/>
    <w:rsid w:val="00B62782"/>
    <w:rsid w:val="00B77D1C"/>
    <w:rsid w:val="00B96FB3"/>
    <w:rsid w:val="00BA1355"/>
    <w:rsid w:val="00BA565B"/>
    <w:rsid w:val="00BB1B44"/>
    <w:rsid w:val="00BB2813"/>
    <w:rsid w:val="00BB7FC7"/>
    <w:rsid w:val="00BC398E"/>
    <w:rsid w:val="00BC6C04"/>
    <w:rsid w:val="00BF737D"/>
    <w:rsid w:val="00C01869"/>
    <w:rsid w:val="00C02C8C"/>
    <w:rsid w:val="00C0328C"/>
    <w:rsid w:val="00C13BF3"/>
    <w:rsid w:val="00C2366B"/>
    <w:rsid w:val="00C2774F"/>
    <w:rsid w:val="00C623AE"/>
    <w:rsid w:val="00C91C92"/>
    <w:rsid w:val="00C96E1A"/>
    <w:rsid w:val="00CC0974"/>
    <w:rsid w:val="00CC3F64"/>
    <w:rsid w:val="00CE09DF"/>
    <w:rsid w:val="00CF1049"/>
    <w:rsid w:val="00CF3AAF"/>
    <w:rsid w:val="00D02420"/>
    <w:rsid w:val="00D03354"/>
    <w:rsid w:val="00D065FF"/>
    <w:rsid w:val="00D078BD"/>
    <w:rsid w:val="00D11A5A"/>
    <w:rsid w:val="00D276CA"/>
    <w:rsid w:val="00D64321"/>
    <w:rsid w:val="00D707AD"/>
    <w:rsid w:val="00D94159"/>
    <w:rsid w:val="00DA5F5A"/>
    <w:rsid w:val="00DA694B"/>
    <w:rsid w:val="00DB1CEF"/>
    <w:rsid w:val="00DB37FC"/>
    <w:rsid w:val="00DB4F6A"/>
    <w:rsid w:val="00DC75E4"/>
    <w:rsid w:val="00DE3586"/>
    <w:rsid w:val="00DF75DE"/>
    <w:rsid w:val="00E03E1F"/>
    <w:rsid w:val="00E20B30"/>
    <w:rsid w:val="00E31E7C"/>
    <w:rsid w:val="00E40413"/>
    <w:rsid w:val="00E464B5"/>
    <w:rsid w:val="00E632DA"/>
    <w:rsid w:val="00E67CBA"/>
    <w:rsid w:val="00E7364F"/>
    <w:rsid w:val="00E9611E"/>
    <w:rsid w:val="00EA33BD"/>
    <w:rsid w:val="00EB0EA8"/>
    <w:rsid w:val="00EB14E2"/>
    <w:rsid w:val="00EE4ECE"/>
    <w:rsid w:val="00EE6F31"/>
    <w:rsid w:val="00F053FF"/>
    <w:rsid w:val="00F144EC"/>
    <w:rsid w:val="00F36E14"/>
    <w:rsid w:val="00F61193"/>
    <w:rsid w:val="00F93E0E"/>
    <w:rsid w:val="00FB2015"/>
    <w:rsid w:val="00FD1819"/>
    <w:rsid w:val="00FE1976"/>
    <w:rsid w:val="00FF1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AD"/>
    <w:pPr>
      <w:suppressAutoHyphens/>
      <w:spacing w:line="240" w:lineRule="atLeast"/>
    </w:pPr>
    <w:rPr>
      <w:rFonts w:ascii="Times New Roman" w:eastAsia="Times New Roman" w:hAnsi="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basedOn w:val="DefaultParagraphFont"/>
    <w:link w:val="SingleTxtG"/>
    <w:locked/>
    <w:rsid w:val="00D707AD"/>
    <w:rPr>
      <w:rFonts w:ascii="Times New Roman" w:hAnsi="Times New Roman" w:cs="Times New Roman"/>
      <w:sz w:val="20"/>
      <w:szCs w:val="20"/>
    </w:rPr>
  </w:style>
  <w:style w:type="paragraph" w:customStyle="1" w:styleId="SingleTxtG">
    <w:name w:val="_ Single Txt_G"/>
    <w:basedOn w:val="Normal"/>
    <w:link w:val="SingleTxtGChar"/>
    <w:rsid w:val="00D707AD"/>
    <w:pPr>
      <w:spacing w:after="120"/>
      <w:ind w:left="1134" w:right="1134"/>
      <w:jc w:val="both"/>
    </w:pPr>
  </w:style>
  <w:style w:type="paragraph" w:customStyle="1" w:styleId="HChG">
    <w:name w:val="_ H _Ch_G"/>
    <w:basedOn w:val="Normal"/>
    <w:next w:val="Normal"/>
    <w:rsid w:val="00D707AD"/>
    <w:pPr>
      <w:keepNext/>
      <w:keepLines/>
      <w:tabs>
        <w:tab w:val="right" w:pos="851"/>
      </w:tabs>
      <w:spacing w:before="360" w:after="240" w:line="300" w:lineRule="exact"/>
      <w:ind w:left="1134" w:right="1134" w:hanging="1134"/>
    </w:pPr>
    <w:rPr>
      <w:b/>
      <w:sz w:val="28"/>
    </w:rPr>
  </w:style>
  <w:style w:type="paragraph" w:styleId="Header">
    <w:name w:val="header"/>
    <w:basedOn w:val="Normal"/>
    <w:link w:val="HeaderChar"/>
    <w:uiPriority w:val="99"/>
    <w:rsid w:val="00C13BF3"/>
    <w:pPr>
      <w:tabs>
        <w:tab w:val="center" w:pos="4513"/>
        <w:tab w:val="right" w:pos="9026"/>
      </w:tabs>
      <w:spacing w:line="240" w:lineRule="auto"/>
    </w:pPr>
  </w:style>
  <w:style w:type="character" w:customStyle="1" w:styleId="HeaderChar">
    <w:name w:val="Header Char"/>
    <w:basedOn w:val="DefaultParagraphFont"/>
    <w:link w:val="Header"/>
    <w:uiPriority w:val="99"/>
    <w:locked/>
    <w:rsid w:val="00C13BF3"/>
    <w:rPr>
      <w:rFonts w:ascii="Times New Roman" w:hAnsi="Times New Roman" w:cs="Times New Roman"/>
      <w:sz w:val="20"/>
      <w:szCs w:val="20"/>
    </w:rPr>
  </w:style>
  <w:style w:type="paragraph" w:styleId="Footer">
    <w:name w:val="footer"/>
    <w:basedOn w:val="Normal"/>
    <w:link w:val="FooterChar"/>
    <w:uiPriority w:val="99"/>
    <w:rsid w:val="00C13BF3"/>
    <w:pPr>
      <w:tabs>
        <w:tab w:val="center" w:pos="4513"/>
        <w:tab w:val="right" w:pos="9026"/>
      </w:tabs>
      <w:spacing w:line="240" w:lineRule="auto"/>
    </w:pPr>
  </w:style>
  <w:style w:type="character" w:customStyle="1" w:styleId="FooterChar">
    <w:name w:val="Footer Char"/>
    <w:basedOn w:val="DefaultParagraphFont"/>
    <w:link w:val="Footer"/>
    <w:uiPriority w:val="99"/>
    <w:locked/>
    <w:rsid w:val="00C13BF3"/>
    <w:rPr>
      <w:rFonts w:ascii="Times New Roman" w:hAnsi="Times New Roman" w:cs="Times New Roman"/>
      <w:sz w:val="20"/>
      <w:szCs w:val="20"/>
    </w:rPr>
  </w:style>
  <w:style w:type="character" w:styleId="CommentReference">
    <w:name w:val="annotation reference"/>
    <w:basedOn w:val="DefaultParagraphFont"/>
    <w:uiPriority w:val="99"/>
    <w:semiHidden/>
    <w:rsid w:val="002F1A46"/>
    <w:rPr>
      <w:rFonts w:cs="Times New Roman"/>
      <w:sz w:val="16"/>
      <w:szCs w:val="16"/>
    </w:rPr>
  </w:style>
  <w:style w:type="paragraph" w:styleId="CommentText">
    <w:name w:val="annotation text"/>
    <w:basedOn w:val="Normal"/>
    <w:link w:val="CommentTextChar"/>
    <w:uiPriority w:val="99"/>
    <w:semiHidden/>
    <w:rsid w:val="002F1A46"/>
    <w:pPr>
      <w:spacing w:line="240" w:lineRule="auto"/>
    </w:pPr>
  </w:style>
  <w:style w:type="character" w:customStyle="1" w:styleId="CommentTextChar">
    <w:name w:val="Comment Text Char"/>
    <w:basedOn w:val="DefaultParagraphFont"/>
    <w:link w:val="CommentText"/>
    <w:uiPriority w:val="99"/>
    <w:semiHidden/>
    <w:locked/>
    <w:rsid w:val="002F1A4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F1A46"/>
    <w:rPr>
      <w:b/>
      <w:bCs/>
    </w:rPr>
  </w:style>
  <w:style w:type="character" w:customStyle="1" w:styleId="CommentSubjectChar">
    <w:name w:val="Comment Subject Char"/>
    <w:basedOn w:val="CommentTextChar"/>
    <w:link w:val="CommentSubject"/>
    <w:uiPriority w:val="99"/>
    <w:semiHidden/>
    <w:locked/>
    <w:rsid w:val="002F1A46"/>
    <w:rPr>
      <w:rFonts w:ascii="Times New Roman" w:hAnsi="Times New Roman" w:cs="Times New Roman"/>
      <w:b/>
      <w:bCs/>
      <w:sz w:val="20"/>
      <w:szCs w:val="20"/>
    </w:rPr>
  </w:style>
  <w:style w:type="paragraph" w:styleId="BalloonText">
    <w:name w:val="Balloon Text"/>
    <w:basedOn w:val="Normal"/>
    <w:link w:val="BalloonTextChar"/>
    <w:uiPriority w:val="99"/>
    <w:semiHidden/>
    <w:rsid w:val="002F1A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1A46"/>
    <w:rPr>
      <w:rFonts w:ascii="Tahoma" w:hAnsi="Tahoma" w:cs="Tahoma"/>
      <w:sz w:val="16"/>
      <w:szCs w:val="16"/>
    </w:rPr>
  </w:style>
  <w:style w:type="paragraph" w:styleId="ListParagraph">
    <w:name w:val="List Paragraph"/>
    <w:basedOn w:val="Normal"/>
    <w:uiPriority w:val="34"/>
    <w:qFormat/>
    <w:rsid w:val="00A84555"/>
    <w:pPr>
      <w:ind w:left="720"/>
      <w:contextualSpacing/>
    </w:pPr>
  </w:style>
  <w:style w:type="paragraph" w:styleId="Revision">
    <w:name w:val="Revision"/>
    <w:hidden/>
    <w:uiPriority w:val="99"/>
    <w:semiHidden/>
    <w:rsid w:val="0067672B"/>
    <w:rPr>
      <w:rFonts w:ascii="Times New Roman" w:eastAsia="Times New Roman" w:hAnsi="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AD"/>
    <w:pPr>
      <w:suppressAutoHyphens/>
      <w:spacing w:line="240" w:lineRule="atLeast"/>
    </w:pPr>
    <w:rPr>
      <w:rFonts w:ascii="Times New Roman" w:eastAsia="Times New Roman" w:hAnsi="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basedOn w:val="DefaultParagraphFont"/>
    <w:link w:val="SingleTxtG"/>
    <w:locked/>
    <w:rsid w:val="00D707AD"/>
    <w:rPr>
      <w:rFonts w:ascii="Times New Roman" w:hAnsi="Times New Roman" w:cs="Times New Roman"/>
      <w:sz w:val="20"/>
      <w:szCs w:val="20"/>
    </w:rPr>
  </w:style>
  <w:style w:type="paragraph" w:customStyle="1" w:styleId="SingleTxtG">
    <w:name w:val="_ Single Txt_G"/>
    <w:basedOn w:val="Normal"/>
    <w:link w:val="SingleTxtGChar"/>
    <w:rsid w:val="00D707AD"/>
    <w:pPr>
      <w:spacing w:after="120"/>
      <w:ind w:left="1134" w:right="1134"/>
      <w:jc w:val="both"/>
    </w:pPr>
  </w:style>
  <w:style w:type="paragraph" w:customStyle="1" w:styleId="HChG">
    <w:name w:val="_ H _Ch_G"/>
    <w:basedOn w:val="Normal"/>
    <w:next w:val="Normal"/>
    <w:rsid w:val="00D707AD"/>
    <w:pPr>
      <w:keepNext/>
      <w:keepLines/>
      <w:tabs>
        <w:tab w:val="right" w:pos="851"/>
      </w:tabs>
      <w:spacing w:before="360" w:after="240" w:line="300" w:lineRule="exact"/>
      <w:ind w:left="1134" w:right="1134" w:hanging="1134"/>
    </w:pPr>
    <w:rPr>
      <w:b/>
      <w:sz w:val="28"/>
    </w:rPr>
  </w:style>
  <w:style w:type="paragraph" w:styleId="Header">
    <w:name w:val="header"/>
    <w:basedOn w:val="Normal"/>
    <w:link w:val="HeaderChar"/>
    <w:uiPriority w:val="99"/>
    <w:rsid w:val="00C13BF3"/>
    <w:pPr>
      <w:tabs>
        <w:tab w:val="center" w:pos="4513"/>
        <w:tab w:val="right" w:pos="9026"/>
      </w:tabs>
      <w:spacing w:line="240" w:lineRule="auto"/>
    </w:pPr>
  </w:style>
  <w:style w:type="character" w:customStyle="1" w:styleId="HeaderChar">
    <w:name w:val="Header Char"/>
    <w:basedOn w:val="DefaultParagraphFont"/>
    <w:link w:val="Header"/>
    <w:uiPriority w:val="99"/>
    <w:locked/>
    <w:rsid w:val="00C13BF3"/>
    <w:rPr>
      <w:rFonts w:ascii="Times New Roman" w:hAnsi="Times New Roman" w:cs="Times New Roman"/>
      <w:sz w:val="20"/>
      <w:szCs w:val="20"/>
    </w:rPr>
  </w:style>
  <w:style w:type="paragraph" w:styleId="Footer">
    <w:name w:val="footer"/>
    <w:basedOn w:val="Normal"/>
    <w:link w:val="FooterChar"/>
    <w:uiPriority w:val="99"/>
    <w:rsid w:val="00C13BF3"/>
    <w:pPr>
      <w:tabs>
        <w:tab w:val="center" w:pos="4513"/>
        <w:tab w:val="right" w:pos="9026"/>
      </w:tabs>
      <w:spacing w:line="240" w:lineRule="auto"/>
    </w:pPr>
  </w:style>
  <w:style w:type="character" w:customStyle="1" w:styleId="FooterChar">
    <w:name w:val="Footer Char"/>
    <w:basedOn w:val="DefaultParagraphFont"/>
    <w:link w:val="Footer"/>
    <w:uiPriority w:val="99"/>
    <w:locked/>
    <w:rsid w:val="00C13BF3"/>
    <w:rPr>
      <w:rFonts w:ascii="Times New Roman" w:hAnsi="Times New Roman" w:cs="Times New Roman"/>
      <w:sz w:val="20"/>
      <w:szCs w:val="20"/>
    </w:rPr>
  </w:style>
  <w:style w:type="character" w:styleId="CommentReference">
    <w:name w:val="annotation reference"/>
    <w:basedOn w:val="DefaultParagraphFont"/>
    <w:uiPriority w:val="99"/>
    <w:semiHidden/>
    <w:rsid w:val="002F1A46"/>
    <w:rPr>
      <w:rFonts w:cs="Times New Roman"/>
      <w:sz w:val="16"/>
      <w:szCs w:val="16"/>
    </w:rPr>
  </w:style>
  <w:style w:type="paragraph" w:styleId="CommentText">
    <w:name w:val="annotation text"/>
    <w:basedOn w:val="Normal"/>
    <w:link w:val="CommentTextChar"/>
    <w:uiPriority w:val="99"/>
    <w:semiHidden/>
    <w:rsid w:val="002F1A46"/>
    <w:pPr>
      <w:spacing w:line="240" w:lineRule="auto"/>
    </w:pPr>
  </w:style>
  <w:style w:type="character" w:customStyle="1" w:styleId="CommentTextChar">
    <w:name w:val="Comment Text Char"/>
    <w:basedOn w:val="DefaultParagraphFont"/>
    <w:link w:val="CommentText"/>
    <w:uiPriority w:val="99"/>
    <w:semiHidden/>
    <w:locked/>
    <w:rsid w:val="002F1A4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F1A46"/>
    <w:rPr>
      <w:b/>
      <w:bCs/>
    </w:rPr>
  </w:style>
  <w:style w:type="character" w:customStyle="1" w:styleId="CommentSubjectChar">
    <w:name w:val="Comment Subject Char"/>
    <w:basedOn w:val="CommentTextChar"/>
    <w:link w:val="CommentSubject"/>
    <w:uiPriority w:val="99"/>
    <w:semiHidden/>
    <w:locked/>
    <w:rsid w:val="002F1A46"/>
    <w:rPr>
      <w:rFonts w:ascii="Times New Roman" w:hAnsi="Times New Roman" w:cs="Times New Roman"/>
      <w:b/>
      <w:bCs/>
      <w:sz w:val="20"/>
      <w:szCs w:val="20"/>
    </w:rPr>
  </w:style>
  <w:style w:type="paragraph" w:styleId="BalloonText">
    <w:name w:val="Balloon Text"/>
    <w:basedOn w:val="Normal"/>
    <w:link w:val="BalloonTextChar"/>
    <w:uiPriority w:val="99"/>
    <w:semiHidden/>
    <w:rsid w:val="002F1A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1A46"/>
    <w:rPr>
      <w:rFonts w:ascii="Tahoma" w:hAnsi="Tahoma" w:cs="Tahoma"/>
      <w:sz w:val="16"/>
      <w:szCs w:val="16"/>
    </w:rPr>
  </w:style>
  <w:style w:type="paragraph" w:styleId="ListParagraph">
    <w:name w:val="List Paragraph"/>
    <w:basedOn w:val="Normal"/>
    <w:uiPriority w:val="34"/>
    <w:qFormat/>
    <w:rsid w:val="00A84555"/>
    <w:pPr>
      <w:ind w:left="720"/>
      <w:contextualSpacing/>
    </w:pPr>
  </w:style>
  <w:style w:type="paragraph" w:styleId="Revision">
    <w:name w:val="Revision"/>
    <w:hidden/>
    <w:uiPriority w:val="99"/>
    <w:semiHidden/>
    <w:rsid w:val="0067672B"/>
    <w:rPr>
      <w:rFonts w:ascii="Times New Roman" w:eastAsia="Times New Roman" w:hAnsi="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9689">
      <w:marLeft w:val="0"/>
      <w:marRight w:val="0"/>
      <w:marTop w:val="0"/>
      <w:marBottom w:val="0"/>
      <w:divBdr>
        <w:top w:val="none" w:sz="0" w:space="0" w:color="auto"/>
        <w:left w:val="none" w:sz="0" w:space="0" w:color="auto"/>
        <w:bottom w:val="none" w:sz="0" w:space="0" w:color="auto"/>
        <w:right w:val="none" w:sz="0" w:space="0" w:color="auto"/>
      </w:divBdr>
    </w:div>
    <w:div w:id="385229697">
      <w:marLeft w:val="0"/>
      <w:marRight w:val="0"/>
      <w:marTop w:val="0"/>
      <w:marBottom w:val="0"/>
      <w:divBdr>
        <w:top w:val="none" w:sz="0" w:space="0" w:color="auto"/>
        <w:left w:val="none" w:sz="0" w:space="0" w:color="auto"/>
        <w:bottom w:val="none" w:sz="0" w:space="0" w:color="auto"/>
        <w:right w:val="none" w:sz="0" w:space="0" w:color="auto"/>
      </w:divBdr>
      <w:divsChild>
        <w:div w:id="385229690">
          <w:marLeft w:val="0"/>
          <w:marRight w:val="0"/>
          <w:marTop w:val="0"/>
          <w:marBottom w:val="0"/>
          <w:divBdr>
            <w:top w:val="none" w:sz="0" w:space="0" w:color="auto"/>
            <w:left w:val="none" w:sz="0" w:space="0" w:color="auto"/>
            <w:bottom w:val="none" w:sz="0" w:space="0" w:color="auto"/>
            <w:right w:val="none" w:sz="0" w:space="0" w:color="auto"/>
          </w:divBdr>
        </w:div>
        <w:div w:id="385229691">
          <w:marLeft w:val="0"/>
          <w:marRight w:val="0"/>
          <w:marTop w:val="0"/>
          <w:marBottom w:val="0"/>
          <w:divBdr>
            <w:top w:val="none" w:sz="0" w:space="0" w:color="auto"/>
            <w:left w:val="none" w:sz="0" w:space="0" w:color="auto"/>
            <w:bottom w:val="none" w:sz="0" w:space="0" w:color="auto"/>
            <w:right w:val="none" w:sz="0" w:space="0" w:color="auto"/>
          </w:divBdr>
        </w:div>
        <w:div w:id="385229692">
          <w:marLeft w:val="0"/>
          <w:marRight w:val="0"/>
          <w:marTop w:val="0"/>
          <w:marBottom w:val="0"/>
          <w:divBdr>
            <w:top w:val="none" w:sz="0" w:space="0" w:color="auto"/>
            <w:left w:val="none" w:sz="0" w:space="0" w:color="auto"/>
            <w:bottom w:val="none" w:sz="0" w:space="0" w:color="auto"/>
            <w:right w:val="none" w:sz="0" w:space="0" w:color="auto"/>
          </w:divBdr>
        </w:div>
        <w:div w:id="385229693">
          <w:marLeft w:val="0"/>
          <w:marRight w:val="0"/>
          <w:marTop w:val="0"/>
          <w:marBottom w:val="0"/>
          <w:divBdr>
            <w:top w:val="none" w:sz="0" w:space="0" w:color="auto"/>
            <w:left w:val="none" w:sz="0" w:space="0" w:color="auto"/>
            <w:bottom w:val="none" w:sz="0" w:space="0" w:color="auto"/>
            <w:right w:val="none" w:sz="0" w:space="0" w:color="auto"/>
          </w:divBdr>
        </w:div>
        <w:div w:id="385229695">
          <w:marLeft w:val="0"/>
          <w:marRight w:val="0"/>
          <w:marTop w:val="0"/>
          <w:marBottom w:val="0"/>
          <w:divBdr>
            <w:top w:val="none" w:sz="0" w:space="0" w:color="auto"/>
            <w:left w:val="none" w:sz="0" w:space="0" w:color="auto"/>
            <w:bottom w:val="none" w:sz="0" w:space="0" w:color="auto"/>
            <w:right w:val="none" w:sz="0" w:space="0" w:color="auto"/>
          </w:divBdr>
        </w:div>
        <w:div w:id="385229696">
          <w:marLeft w:val="0"/>
          <w:marRight w:val="0"/>
          <w:marTop w:val="0"/>
          <w:marBottom w:val="0"/>
          <w:divBdr>
            <w:top w:val="none" w:sz="0" w:space="0" w:color="auto"/>
            <w:left w:val="none" w:sz="0" w:space="0" w:color="auto"/>
            <w:bottom w:val="none" w:sz="0" w:space="0" w:color="auto"/>
            <w:right w:val="none" w:sz="0" w:space="0" w:color="auto"/>
          </w:divBdr>
        </w:div>
        <w:div w:id="385229698">
          <w:marLeft w:val="0"/>
          <w:marRight w:val="0"/>
          <w:marTop w:val="0"/>
          <w:marBottom w:val="0"/>
          <w:divBdr>
            <w:top w:val="none" w:sz="0" w:space="0" w:color="auto"/>
            <w:left w:val="none" w:sz="0" w:space="0" w:color="auto"/>
            <w:bottom w:val="none" w:sz="0" w:space="0" w:color="auto"/>
            <w:right w:val="none" w:sz="0" w:space="0" w:color="auto"/>
          </w:divBdr>
        </w:div>
        <w:div w:id="385229700">
          <w:marLeft w:val="0"/>
          <w:marRight w:val="0"/>
          <w:marTop w:val="0"/>
          <w:marBottom w:val="0"/>
          <w:divBdr>
            <w:top w:val="none" w:sz="0" w:space="0" w:color="auto"/>
            <w:left w:val="none" w:sz="0" w:space="0" w:color="auto"/>
            <w:bottom w:val="none" w:sz="0" w:space="0" w:color="auto"/>
            <w:right w:val="none" w:sz="0" w:space="0" w:color="auto"/>
          </w:divBdr>
        </w:div>
        <w:div w:id="385229703">
          <w:marLeft w:val="0"/>
          <w:marRight w:val="0"/>
          <w:marTop w:val="0"/>
          <w:marBottom w:val="0"/>
          <w:divBdr>
            <w:top w:val="none" w:sz="0" w:space="0" w:color="auto"/>
            <w:left w:val="none" w:sz="0" w:space="0" w:color="auto"/>
            <w:bottom w:val="none" w:sz="0" w:space="0" w:color="auto"/>
            <w:right w:val="none" w:sz="0" w:space="0" w:color="auto"/>
          </w:divBdr>
        </w:div>
        <w:div w:id="385229711">
          <w:marLeft w:val="0"/>
          <w:marRight w:val="0"/>
          <w:marTop w:val="0"/>
          <w:marBottom w:val="0"/>
          <w:divBdr>
            <w:top w:val="none" w:sz="0" w:space="0" w:color="auto"/>
            <w:left w:val="none" w:sz="0" w:space="0" w:color="auto"/>
            <w:bottom w:val="none" w:sz="0" w:space="0" w:color="auto"/>
            <w:right w:val="none" w:sz="0" w:space="0" w:color="auto"/>
          </w:divBdr>
        </w:div>
        <w:div w:id="385229713">
          <w:marLeft w:val="0"/>
          <w:marRight w:val="0"/>
          <w:marTop w:val="0"/>
          <w:marBottom w:val="0"/>
          <w:divBdr>
            <w:top w:val="none" w:sz="0" w:space="0" w:color="auto"/>
            <w:left w:val="none" w:sz="0" w:space="0" w:color="auto"/>
            <w:bottom w:val="none" w:sz="0" w:space="0" w:color="auto"/>
            <w:right w:val="none" w:sz="0" w:space="0" w:color="auto"/>
          </w:divBdr>
        </w:div>
        <w:div w:id="385229715">
          <w:marLeft w:val="0"/>
          <w:marRight w:val="0"/>
          <w:marTop w:val="0"/>
          <w:marBottom w:val="0"/>
          <w:divBdr>
            <w:top w:val="none" w:sz="0" w:space="0" w:color="auto"/>
            <w:left w:val="none" w:sz="0" w:space="0" w:color="auto"/>
            <w:bottom w:val="none" w:sz="0" w:space="0" w:color="auto"/>
            <w:right w:val="none" w:sz="0" w:space="0" w:color="auto"/>
          </w:divBdr>
        </w:div>
        <w:div w:id="385229719">
          <w:marLeft w:val="0"/>
          <w:marRight w:val="0"/>
          <w:marTop w:val="0"/>
          <w:marBottom w:val="0"/>
          <w:divBdr>
            <w:top w:val="none" w:sz="0" w:space="0" w:color="auto"/>
            <w:left w:val="none" w:sz="0" w:space="0" w:color="auto"/>
            <w:bottom w:val="none" w:sz="0" w:space="0" w:color="auto"/>
            <w:right w:val="none" w:sz="0" w:space="0" w:color="auto"/>
          </w:divBdr>
        </w:div>
      </w:divsChild>
    </w:div>
    <w:div w:id="385229699">
      <w:marLeft w:val="0"/>
      <w:marRight w:val="0"/>
      <w:marTop w:val="0"/>
      <w:marBottom w:val="0"/>
      <w:divBdr>
        <w:top w:val="none" w:sz="0" w:space="0" w:color="auto"/>
        <w:left w:val="none" w:sz="0" w:space="0" w:color="auto"/>
        <w:bottom w:val="none" w:sz="0" w:space="0" w:color="auto"/>
        <w:right w:val="none" w:sz="0" w:space="0" w:color="auto"/>
      </w:divBdr>
      <w:divsChild>
        <w:div w:id="385229704">
          <w:marLeft w:val="0"/>
          <w:marRight w:val="0"/>
          <w:marTop w:val="0"/>
          <w:marBottom w:val="0"/>
          <w:divBdr>
            <w:top w:val="none" w:sz="0" w:space="0" w:color="auto"/>
            <w:left w:val="none" w:sz="0" w:space="0" w:color="auto"/>
            <w:bottom w:val="none" w:sz="0" w:space="0" w:color="auto"/>
            <w:right w:val="none" w:sz="0" w:space="0" w:color="auto"/>
          </w:divBdr>
        </w:div>
        <w:div w:id="385229708">
          <w:marLeft w:val="0"/>
          <w:marRight w:val="0"/>
          <w:marTop w:val="0"/>
          <w:marBottom w:val="0"/>
          <w:divBdr>
            <w:top w:val="none" w:sz="0" w:space="0" w:color="auto"/>
            <w:left w:val="none" w:sz="0" w:space="0" w:color="auto"/>
            <w:bottom w:val="none" w:sz="0" w:space="0" w:color="auto"/>
            <w:right w:val="none" w:sz="0" w:space="0" w:color="auto"/>
          </w:divBdr>
        </w:div>
        <w:div w:id="385229709">
          <w:marLeft w:val="0"/>
          <w:marRight w:val="0"/>
          <w:marTop w:val="0"/>
          <w:marBottom w:val="0"/>
          <w:divBdr>
            <w:top w:val="none" w:sz="0" w:space="0" w:color="auto"/>
            <w:left w:val="none" w:sz="0" w:space="0" w:color="auto"/>
            <w:bottom w:val="none" w:sz="0" w:space="0" w:color="auto"/>
            <w:right w:val="none" w:sz="0" w:space="0" w:color="auto"/>
          </w:divBdr>
        </w:div>
      </w:divsChild>
    </w:div>
    <w:div w:id="385229716">
      <w:marLeft w:val="0"/>
      <w:marRight w:val="0"/>
      <w:marTop w:val="0"/>
      <w:marBottom w:val="0"/>
      <w:divBdr>
        <w:top w:val="none" w:sz="0" w:space="0" w:color="auto"/>
        <w:left w:val="none" w:sz="0" w:space="0" w:color="auto"/>
        <w:bottom w:val="none" w:sz="0" w:space="0" w:color="auto"/>
        <w:right w:val="none" w:sz="0" w:space="0" w:color="auto"/>
      </w:divBdr>
      <w:divsChild>
        <w:div w:id="385229706">
          <w:marLeft w:val="0"/>
          <w:marRight w:val="0"/>
          <w:marTop w:val="0"/>
          <w:marBottom w:val="0"/>
          <w:divBdr>
            <w:top w:val="none" w:sz="0" w:space="0" w:color="auto"/>
            <w:left w:val="none" w:sz="0" w:space="0" w:color="auto"/>
            <w:bottom w:val="none" w:sz="0" w:space="0" w:color="auto"/>
            <w:right w:val="none" w:sz="0" w:space="0" w:color="auto"/>
          </w:divBdr>
        </w:div>
        <w:div w:id="385229707">
          <w:marLeft w:val="0"/>
          <w:marRight w:val="0"/>
          <w:marTop w:val="0"/>
          <w:marBottom w:val="0"/>
          <w:divBdr>
            <w:top w:val="none" w:sz="0" w:space="0" w:color="auto"/>
            <w:left w:val="none" w:sz="0" w:space="0" w:color="auto"/>
            <w:bottom w:val="none" w:sz="0" w:space="0" w:color="auto"/>
            <w:right w:val="none" w:sz="0" w:space="0" w:color="auto"/>
          </w:divBdr>
        </w:div>
        <w:div w:id="385229710">
          <w:marLeft w:val="0"/>
          <w:marRight w:val="0"/>
          <w:marTop w:val="0"/>
          <w:marBottom w:val="0"/>
          <w:divBdr>
            <w:top w:val="none" w:sz="0" w:space="0" w:color="auto"/>
            <w:left w:val="none" w:sz="0" w:space="0" w:color="auto"/>
            <w:bottom w:val="none" w:sz="0" w:space="0" w:color="auto"/>
            <w:right w:val="none" w:sz="0" w:space="0" w:color="auto"/>
          </w:divBdr>
        </w:div>
      </w:divsChild>
    </w:div>
    <w:div w:id="385229717">
      <w:marLeft w:val="0"/>
      <w:marRight w:val="0"/>
      <w:marTop w:val="0"/>
      <w:marBottom w:val="0"/>
      <w:divBdr>
        <w:top w:val="none" w:sz="0" w:space="0" w:color="auto"/>
        <w:left w:val="none" w:sz="0" w:space="0" w:color="auto"/>
        <w:bottom w:val="none" w:sz="0" w:space="0" w:color="auto"/>
        <w:right w:val="none" w:sz="0" w:space="0" w:color="auto"/>
      </w:divBdr>
      <w:divsChild>
        <w:div w:id="385229694">
          <w:marLeft w:val="0"/>
          <w:marRight w:val="0"/>
          <w:marTop w:val="0"/>
          <w:marBottom w:val="0"/>
          <w:divBdr>
            <w:top w:val="none" w:sz="0" w:space="0" w:color="auto"/>
            <w:left w:val="none" w:sz="0" w:space="0" w:color="auto"/>
            <w:bottom w:val="none" w:sz="0" w:space="0" w:color="auto"/>
            <w:right w:val="none" w:sz="0" w:space="0" w:color="auto"/>
          </w:divBdr>
        </w:div>
        <w:div w:id="385229701">
          <w:marLeft w:val="0"/>
          <w:marRight w:val="0"/>
          <w:marTop w:val="0"/>
          <w:marBottom w:val="0"/>
          <w:divBdr>
            <w:top w:val="none" w:sz="0" w:space="0" w:color="auto"/>
            <w:left w:val="none" w:sz="0" w:space="0" w:color="auto"/>
            <w:bottom w:val="none" w:sz="0" w:space="0" w:color="auto"/>
            <w:right w:val="none" w:sz="0" w:space="0" w:color="auto"/>
          </w:divBdr>
        </w:div>
        <w:div w:id="385229702">
          <w:marLeft w:val="0"/>
          <w:marRight w:val="0"/>
          <w:marTop w:val="0"/>
          <w:marBottom w:val="0"/>
          <w:divBdr>
            <w:top w:val="none" w:sz="0" w:space="0" w:color="auto"/>
            <w:left w:val="none" w:sz="0" w:space="0" w:color="auto"/>
            <w:bottom w:val="none" w:sz="0" w:space="0" w:color="auto"/>
            <w:right w:val="none" w:sz="0" w:space="0" w:color="auto"/>
          </w:divBdr>
        </w:div>
        <w:div w:id="385229705">
          <w:marLeft w:val="0"/>
          <w:marRight w:val="0"/>
          <w:marTop w:val="0"/>
          <w:marBottom w:val="0"/>
          <w:divBdr>
            <w:top w:val="none" w:sz="0" w:space="0" w:color="auto"/>
            <w:left w:val="none" w:sz="0" w:space="0" w:color="auto"/>
            <w:bottom w:val="none" w:sz="0" w:space="0" w:color="auto"/>
            <w:right w:val="none" w:sz="0" w:space="0" w:color="auto"/>
          </w:divBdr>
        </w:div>
        <w:div w:id="385229712">
          <w:marLeft w:val="0"/>
          <w:marRight w:val="0"/>
          <w:marTop w:val="0"/>
          <w:marBottom w:val="0"/>
          <w:divBdr>
            <w:top w:val="none" w:sz="0" w:space="0" w:color="auto"/>
            <w:left w:val="none" w:sz="0" w:space="0" w:color="auto"/>
            <w:bottom w:val="none" w:sz="0" w:space="0" w:color="auto"/>
            <w:right w:val="none" w:sz="0" w:space="0" w:color="auto"/>
          </w:divBdr>
        </w:div>
        <w:div w:id="385229714">
          <w:marLeft w:val="0"/>
          <w:marRight w:val="0"/>
          <w:marTop w:val="0"/>
          <w:marBottom w:val="0"/>
          <w:divBdr>
            <w:top w:val="none" w:sz="0" w:space="0" w:color="auto"/>
            <w:left w:val="none" w:sz="0" w:space="0" w:color="auto"/>
            <w:bottom w:val="none" w:sz="0" w:space="0" w:color="auto"/>
            <w:right w:val="none" w:sz="0" w:space="0" w:color="auto"/>
          </w:divBdr>
        </w:div>
      </w:divsChild>
    </w:div>
    <w:div w:id="385229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EC18-432B-43CC-8ED8-2E6CF8F1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3547</Words>
  <Characters>20218</Characters>
  <Application>Microsoft Office Word</Application>
  <DocSecurity>0</DocSecurity>
  <Lines>168</Lines>
  <Paragraphs>47</Paragraphs>
  <ScaleCrop>false</ScaleCrop>
  <HeadingPairs>
    <vt:vector size="6" baseType="variant">
      <vt:variant>
        <vt:lpstr>Title</vt:lpstr>
      </vt:variant>
      <vt:variant>
        <vt:i4>1</vt:i4>
      </vt:variant>
      <vt:variant>
        <vt:lpstr>Rubrik</vt:lpstr>
      </vt:variant>
      <vt:variant>
        <vt:i4>1</vt:i4>
      </vt:variant>
      <vt:variant>
        <vt:lpstr>Název</vt:lpstr>
      </vt:variant>
      <vt:variant>
        <vt:i4>1</vt:i4>
      </vt:variant>
    </vt:vector>
  </HeadingPairs>
  <TitlesOfParts>
    <vt:vector size="3" baseType="lpstr">
      <vt:lpstr/>
      <vt:lpstr/>
      <vt:lpstr/>
    </vt:vector>
  </TitlesOfParts>
  <Company>ECE-ISU</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Aphrodite Smagadi</dc:creator>
  <cp:lastModifiedBy>Fiona Marshall</cp:lastModifiedBy>
  <cp:revision>2</cp:revision>
  <cp:lastPrinted>2014-02-12T10:12:00Z</cp:lastPrinted>
  <dcterms:created xsi:type="dcterms:W3CDTF">2014-02-25T16:08:00Z</dcterms:created>
  <dcterms:modified xsi:type="dcterms:W3CDTF">2014-02-25T16:08:00Z</dcterms:modified>
</cp:coreProperties>
</file>