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9C46" w14:textId="77777777" w:rsidR="0023575C" w:rsidRPr="008B183A" w:rsidRDefault="00BE509C" w:rsidP="00475A52">
      <w:pPr>
        <w:pStyle w:val="HChG"/>
        <w:ind w:right="0" w:firstLine="0"/>
        <w:jc w:val="center"/>
        <w:rPr>
          <w:bCs/>
        </w:rPr>
      </w:pPr>
      <w:r w:rsidRPr="008B183A">
        <w:t>Draft f</w:t>
      </w:r>
      <w:r w:rsidR="0023575C" w:rsidRPr="008B183A">
        <w:rPr>
          <w:bCs/>
          <w:spacing w:val="-2"/>
        </w:rPr>
        <w:t xml:space="preserve">indings and </w:t>
      </w:r>
      <w:r w:rsidR="00C90CFC" w:rsidRPr="008B183A">
        <w:rPr>
          <w:bCs/>
          <w:spacing w:val="-2"/>
        </w:rPr>
        <w:t>r</w:t>
      </w:r>
      <w:r w:rsidR="0023575C" w:rsidRPr="008B183A">
        <w:rPr>
          <w:bCs/>
          <w:spacing w:val="-2"/>
        </w:rPr>
        <w:t xml:space="preserve">ecommendations </w:t>
      </w:r>
      <w:proofErr w:type="gramStart"/>
      <w:r w:rsidR="0023575C" w:rsidRPr="008B183A">
        <w:rPr>
          <w:bCs/>
          <w:spacing w:val="-2"/>
        </w:rPr>
        <w:t>with regard to</w:t>
      </w:r>
      <w:proofErr w:type="gramEnd"/>
      <w:r w:rsidR="0023575C" w:rsidRPr="008B183A">
        <w:rPr>
          <w:bCs/>
          <w:spacing w:val="-2"/>
        </w:rPr>
        <w:t xml:space="preserve"> </w:t>
      </w:r>
      <w:r w:rsidR="00C90CFC" w:rsidRPr="008B183A">
        <w:rPr>
          <w:bCs/>
          <w:spacing w:val="-2"/>
        </w:rPr>
        <w:t>c</w:t>
      </w:r>
      <w:r w:rsidR="0023575C" w:rsidRPr="008B183A">
        <w:rPr>
          <w:bCs/>
          <w:spacing w:val="-2"/>
        </w:rPr>
        <w:t>ommunication</w:t>
      </w:r>
      <w:r w:rsidR="0023575C" w:rsidRPr="008B183A">
        <w:rPr>
          <w:bCs/>
        </w:rPr>
        <w:t xml:space="preserve"> </w:t>
      </w:r>
      <w:r w:rsidR="00C47119" w:rsidRPr="008B183A">
        <w:rPr>
          <w:bCs/>
        </w:rPr>
        <w:t>ACCC/C/2014/121</w:t>
      </w:r>
      <w:r w:rsidR="00D64460" w:rsidRPr="008B183A">
        <w:rPr>
          <w:bCs/>
        </w:rPr>
        <w:t xml:space="preserve"> </w:t>
      </w:r>
      <w:r w:rsidR="0023575C" w:rsidRPr="008B183A">
        <w:rPr>
          <w:bCs/>
        </w:rPr>
        <w:t xml:space="preserve">concerning compliance by </w:t>
      </w:r>
      <w:r w:rsidR="00F56A6B" w:rsidRPr="008B183A">
        <w:rPr>
          <w:bCs/>
        </w:rPr>
        <w:t xml:space="preserve">the </w:t>
      </w:r>
      <w:r w:rsidR="00C47119" w:rsidRPr="008B183A">
        <w:rPr>
          <w:bCs/>
        </w:rPr>
        <w:t>European Union</w:t>
      </w:r>
    </w:p>
    <w:p w14:paraId="6C792249" w14:textId="77777777" w:rsidR="009E5900" w:rsidRPr="008B183A" w:rsidRDefault="009E5900" w:rsidP="006A5D08">
      <w:pPr>
        <w:pStyle w:val="H1G"/>
        <w:ind w:right="0"/>
        <w:jc w:val="center"/>
        <w:outlineLvl w:val="0"/>
      </w:pPr>
      <w:r w:rsidRPr="008B183A">
        <w:t xml:space="preserve">Adopted by the Compliance Committee on </w:t>
      </w:r>
      <w:r w:rsidR="0013259A" w:rsidRPr="008B183A">
        <w:t>…</w:t>
      </w:r>
    </w:p>
    <w:p w14:paraId="7E254A32" w14:textId="77777777" w:rsidR="0023575C" w:rsidRPr="008B183A" w:rsidRDefault="00D971FB" w:rsidP="005472EB">
      <w:pPr>
        <w:pStyle w:val="HChG"/>
        <w:numPr>
          <w:ilvl w:val="0"/>
          <w:numId w:val="6"/>
        </w:numPr>
        <w:ind w:right="0"/>
      </w:pPr>
      <w:r w:rsidRPr="008B183A">
        <w:t>Introduction</w:t>
      </w:r>
    </w:p>
    <w:p w14:paraId="779C4DC8" w14:textId="6569C64A" w:rsidR="00F56A6B" w:rsidRPr="0008442A" w:rsidRDefault="00E9436B" w:rsidP="00E044DD">
      <w:pPr>
        <w:pStyle w:val="SingleTxtG"/>
        <w:numPr>
          <w:ilvl w:val="0"/>
          <w:numId w:val="3"/>
        </w:numPr>
        <w:ind w:left="1100" w:right="0" w:firstLine="0"/>
        <w:rPr>
          <w:sz w:val="20"/>
          <w:lang w:val="en-GB"/>
        </w:rPr>
      </w:pPr>
      <w:r w:rsidRPr="0008442A">
        <w:rPr>
          <w:sz w:val="20"/>
          <w:lang w:val="en-GB"/>
        </w:rPr>
        <w:t xml:space="preserve">On </w:t>
      </w:r>
      <w:r w:rsidR="001C2F38" w:rsidRPr="0008442A">
        <w:rPr>
          <w:sz w:val="20"/>
          <w:lang w:val="en-GB"/>
        </w:rPr>
        <w:t>12 December 2014</w:t>
      </w:r>
      <w:r w:rsidR="00D03AB9" w:rsidRPr="0008442A">
        <w:rPr>
          <w:sz w:val="20"/>
          <w:lang w:val="en-GB"/>
        </w:rPr>
        <w:t xml:space="preserve">, the </w:t>
      </w:r>
      <w:r w:rsidR="003E5A96" w:rsidRPr="0008442A">
        <w:rPr>
          <w:sz w:val="20"/>
          <w:lang w:val="en-GB"/>
        </w:rPr>
        <w:t xml:space="preserve">non-governmental organization </w:t>
      </w:r>
      <w:r w:rsidR="00877167" w:rsidRPr="0008442A">
        <w:rPr>
          <w:sz w:val="20"/>
          <w:lang w:val="en-GB"/>
        </w:rPr>
        <w:t xml:space="preserve">(NGO) </w:t>
      </w:r>
      <w:r w:rsidR="00C25CBF" w:rsidRPr="008B183A">
        <w:rPr>
          <w:sz w:val="20"/>
          <w:szCs w:val="20"/>
          <w:lang w:val="en-GB"/>
        </w:rPr>
        <w:t>International Institute for Law and the Environment</w:t>
      </w:r>
      <w:r w:rsidR="001C2F38" w:rsidRPr="008B183A">
        <w:rPr>
          <w:sz w:val="20"/>
          <w:szCs w:val="20"/>
          <w:lang w:val="en-GB"/>
        </w:rPr>
        <w:t xml:space="preserve"> (</w:t>
      </w:r>
      <w:r w:rsidR="00F56A6B" w:rsidRPr="0008442A">
        <w:rPr>
          <w:sz w:val="20"/>
          <w:lang w:val="en-GB"/>
        </w:rPr>
        <w:t xml:space="preserve">the communicant) submitted a communication to the Compliance Committee under the Convention on Access to Information, Public Participation in Decision-making and Access to Justice in Environmental Matters (Aarhus Convention) alleging </w:t>
      </w:r>
      <w:r w:rsidR="00EE4F3D" w:rsidRPr="0008442A">
        <w:rPr>
          <w:sz w:val="20"/>
          <w:lang w:val="en-GB"/>
        </w:rPr>
        <w:t xml:space="preserve">the failure of the </w:t>
      </w:r>
      <w:r w:rsidR="001C2F38" w:rsidRPr="0008442A">
        <w:rPr>
          <w:sz w:val="20"/>
          <w:lang w:val="en-GB"/>
        </w:rPr>
        <w:t>European Union</w:t>
      </w:r>
      <w:r w:rsidR="003E5A96" w:rsidRPr="0008442A">
        <w:rPr>
          <w:sz w:val="20"/>
          <w:lang w:val="en-GB"/>
        </w:rPr>
        <w:t xml:space="preserve"> </w:t>
      </w:r>
      <w:r w:rsidR="00EE4F3D" w:rsidRPr="0008442A">
        <w:rPr>
          <w:sz w:val="20"/>
          <w:lang w:val="en-GB"/>
        </w:rPr>
        <w:t xml:space="preserve">to comply with </w:t>
      </w:r>
      <w:r w:rsidR="003E5A96" w:rsidRPr="0008442A">
        <w:rPr>
          <w:sz w:val="20"/>
          <w:lang w:val="en-GB"/>
        </w:rPr>
        <w:t xml:space="preserve">the Convention’s provisions on </w:t>
      </w:r>
      <w:r w:rsidR="001C2F38" w:rsidRPr="0008442A">
        <w:rPr>
          <w:sz w:val="20"/>
          <w:lang w:val="en-GB"/>
        </w:rPr>
        <w:t>public participation</w:t>
      </w:r>
      <w:r w:rsidR="000E18B8" w:rsidRPr="0008442A">
        <w:rPr>
          <w:sz w:val="20"/>
          <w:lang w:val="en-GB"/>
        </w:rPr>
        <w:t xml:space="preserve"> in decision-making</w:t>
      </w:r>
      <w:r w:rsidR="00385F41" w:rsidRPr="0008442A">
        <w:rPr>
          <w:sz w:val="20"/>
          <w:lang w:val="en-GB"/>
        </w:rPr>
        <w:t>.</w:t>
      </w:r>
      <w:r w:rsidR="00385F41" w:rsidRPr="0008442A">
        <w:rPr>
          <w:rStyle w:val="FootnoteReference"/>
          <w:sz w:val="20"/>
          <w:lang w:val="en-GB"/>
        </w:rPr>
        <w:footnoteReference w:id="2"/>
      </w:r>
    </w:p>
    <w:p w14:paraId="4260E7F8" w14:textId="2B220659" w:rsidR="00A90189" w:rsidRPr="0008442A" w:rsidRDefault="00EE4F3D" w:rsidP="00973AA4">
      <w:pPr>
        <w:pStyle w:val="SingleTxtG"/>
        <w:numPr>
          <w:ilvl w:val="0"/>
          <w:numId w:val="3"/>
        </w:numPr>
        <w:ind w:left="1100" w:right="0" w:firstLine="0"/>
        <w:rPr>
          <w:sz w:val="20"/>
          <w:lang w:val="en-GB"/>
        </w:rPr>
      </w:pPr>
      <w:r w:rsidRPr="0008442A">
        <w:rPr>
          <w:sz w:val="20"/>
          <w:lang w:val="en-GB"/>
        </w:rPr>
        <w:t>Specific</w:t>
      </w:r>
      <w:r w:rsidR="008806E8" w:rsidRPr="0008442A">
        <w:rPr>
          <w:sz w:val="20"/>
          <w:lang w:val="en-GB"/>
        </w:rPr>
        <w:t xml:space="preserve">ally, </w:t>
      </w:r>
      <w:r w:rsidR="00D80AAE" w:rsidRPr="0008442A">
        <w:rPr>
          <w:sz w:val="20"/>
          <w:lang w:val="en-GB"/>
        </w:rPr>
        <w:t xml:space="preserve">the communicant </w:t>
      </w:r>
      <w:r w:rsidR="00A90189" w:rsidRPr="0008442A">
        <w:rPr>
          <w:sz w:val="20"/>
          <w:lang w:val="en-GB"/>
        </w:rPr>
        <w:t>alleges that</w:t>
      </w:r>
      <w:r w:rsidR="003A7CF3" w:rsidRPr="0008442A">
        <w:rPr>
          <w:sz w:val="20"/>
          <w:lang w:val="en-GB"/>
        </w:rPr>
        <w:t xml:space="preserve"> the </w:t>
      </w:r>
      <w:r w:rsidR="000353AE" w:rsidRPr="0008442A">
        <w:rPr>
          <w:sz w:val="20"/>
          <w:lang w:val="en-GB"/>
        </w:rPr>
        <w:t>Industrial Emissions Directive</w:t>
      </w:r>
      <w:r w:rsidR="0029533F" w:rsidRPr="0008442A">
        <w:rPr>
          <w:sz w:val="20"/>
          <w:lang w:val="en-GB"/>
        </w:rPr>
        <w:t xml:space="preserve"> (IED)</w:t>
      </w:r>
      <w:r w:rsidR="006C1858" w:rsidRPr="0008442A">
        <w:rPr>
          <w:rStyle w:val="FootnoteReference"/>
          <w:sz w:val="20"/>
          <w:lang w:val="en-GB"/>
        </w:rPr>
        <w:footnoteReference w:id="3"/>
      </w:r>
      <w:r w:rsidR="003A2720" w:rsidRPr="0008442A">
        <w:rPr>
          <w:sz w:val="20"/>
          <w:lang w:val="en-GB"/>
        </w:rPr>
        <w:t xml:space="preserve"> </w:t>
      </w:r>
      <w:r w:rsidR="003A7CF3" w:rsidRPr="0008442A">
        <w:rPr>
          <w:sz w:val="20"/>
          <w:lang w:val="en-GB"/>
        </w:rPr>
        <w:t xml:space="preserve">does not </w:t>
      </w:r>
      <w:r w:rsidR="007075BE" w:rsidRPr="0008442A">
        <w:rPr>
          <w:sz w:val="20"/>
          <w:lang w:val="en-GB"/>
        </w:rPr>
        <w:t>fulfil</w:t>
      </w:r>
      <w:r w:rsidR="003A7CF3" w:rsidRPr="0008442A">
        <w:rPr>
          <w:sz w:val="20"/>
          <w:lang w:val="en-GB"/>
        </w:rPr>
        <w:t xml:space="preserve"> the requirements</w:t>
      </w:r>
      <w:r w:rsidR="00BB317A" w:rsidRPr="0008442A">
        <w:rPr>
          <w:sz w:val="20"/>
          <w:lang w:val="en-GB"/>
        </w:rPr>
        <w:t xml:space="preserve"> for public participation</w:t>
      </w:r>
      <w:r w:rsidR="003A7CF3" w:rsidRPr="0008442A">
        <w:rPr>
          <w:sz w:val="20"/>
          <w:lang w:val="en-GB"/>
        </w:rPr>
        <w:t xml:space="preserve"> </w:t>
      </w:r>
      <w:r w:rsidR="006C1858" w:rsidRPr="0008442A">
        <w:rPr>
          <w:sz w:val="20"/>
          <w:lang w:val="en-GB"/>
        </w:rPr>
        <w:t xml:space="preserve">in decision-making </w:t>
      </w:r>
      <w:r w:rsidR="003A7CF3" w:rsidRPr="0008442A">
        <w:rPr>
          <w:sz w:val="20"/>
          <w:lang w:val="en-GB"/>
        </w:rPr>
        <w:t xml:space="preserve">stipulated in </w:t>
      </w:r>
      <w:r w:rsidR="00BB317A" w:rsidRPr="0008442A">
        <w:rPr>
          <w:sz w:val="20"/>
          <w:lang w:val="en-GB"/>
        </w:rPr>
        <w:t>article</w:t>
      </w:r>
      <w:r w:rsidR="003A7CF3" w:rsidRPr="0008442A">
        <w:rPr>
          <w:sz w:val="20"/>
          <w:lang w:val="en-GB"/>
        </w:rPr>
        <w:t xml:space="preserve"> 6</w:t>
      </w:r>
      <w:r w:rsidR="008E6EF9" w:rsidRPr="0008442A">
        <w:rPr>
          <w:sz w:val="20"/>
          <w:lang w:val="en-GB"/>
        </w:rPr>
        <w:t>(</w:t>
      </w:r>
      <w:r w:rsidR="00BB317A" w:rsidRPr="0008442A">
        <w:rPr>
          <w:sz w:val="20"/>
          <w:lang w:val="en-GB"/>
        </w:rPr>
        <w:t>1</w:t>
      </w:r>
      <w:r w:rsidR="008E6EF9" w:rsidRPr="0008442A">
        <w:rPr>
          <w:sz w:val="20"/>
          <w:lang w:val="en-GB"/>
        </w:rPr>
        <w:t>)</w:t>
      </w:r>
      <w:r w:rsidR="00BB317A" w:rsidRPr="0008442A">
        <w:rPr>
          <w:sz w:val="20"/>
          <w:lang w:val="en-GB"/>
        </w:rPr>
        <w:t xml:space="preserve">(a) and </w:t>
      </w:r>
      <w:r w:rsidR="006E573C">
        <w:rPr>
          <w:sz w:val="20"/>
          <w:lang w:val="en-GB"/>
        </w:rPr>
        <w:t>(</w:t>
      </w:r>
      <w:r w:rsidR="00BB317A" w:rsidRPr="0008442A">
        <w:rPr>
          <w:sz w:val="20"/>
          <w:lang w:val="en-GB"/>
        </w:rPr>
        <w:t>10</w:t>
      </w:r>
      <w:r w:rsidR="006E573C">
        <w:rPr>
          <w:sz w:val="20"/>
          <w:lang w:val="en-GB"/>
        </w:rPr>
        <w:t>)</w:t>
      </w:r>
      <w:r w:rsidR="003A7CF3" w:rsidRPr="0008442A">
        <w:rPr>
          <w:sz w:val="20"/>
          <w:lang w:val="en-GB"/>
        </w:rPr>
        <w:t xml:space="preserve"> of the Convention in cases where </w:t>
      </w:r>
      <w:r w:rsidR="000E18B8" w:rsidRPr="0008442A">
        <w:rPr>
          <w:sz w:val="20"/>
          <w:lang w:val="en-GB"/>
        </w:rPr>
        <w:t xml:space="preserve">a </w:t>
      </w:r>
      <w:r w:rsidR="00BB317A" w:rsidRPr="0008442A">
        <w:rPr>
          <w:sz w:val="20"/>
          <w:lang w:val="en-GB"/>
        </w:rPr>
        <w:t>permit</w:t>
      </w:r>
      <w:r w:rsidR="003A7CF3" w:rsidRPr="0008442A">
        <w:rPr>
          <w:sz w:val="20"/>
          <w:lang w:val="en-GB"/>
        </w:rPr>
        <w:t xml:space="preserve"> </w:t>
      </w:r>
      <w:r w:rsidR="000E18B8" w:rsidRPr="0008442A">
        <w:rPr>
          <w:sz w:val="20"/>
          <w:lang w:val="en-GB"/>
        </w:rPr>
        <w:t xml:space="preserve">issued under the Directive </w:t>
      </w:r>
      <w:r w:rsidR="003A7CF3" w:rsidRPr="0008442A">
        <w:rPr>
          <w:sz w:val="20"/>
          <w:lang w:val="en-GB"/>
        </w:rPr>
        <w:t>is reconsidered or updated.</w:t>
      </w:r>
      <w:r w:rsidR="00286D70" w:rsidRPr="0008442A">
        <w:rPr>
          <w:rStyle w:val="FootnoteReference"/>
          <w:sz w:val="20"/>
          <w:lang w:val="en-GB"/>
        </w:rPr>
        <w:footnoteReference w:id="4"/>
      </w:r>
    </w:p>
    <w:p w14:paraId="1AAFE7BE" w14:textId="507DB910" w:rsidR="00841A60" w:rsidRPr="0008442A" w:rsidRDefault="006C1858" w:rsidP="007C0C4C">
      <w:pPr>
        <w:pStyle w:val="SingleTxtG"/>
        <w:numPr>
          <w:ilvl w:val="0"/>
          <w:numId w:val="3"/>
        </w:numPr>
        <w:ind w:left="1100" w:right="0" w:firstLine="0"/>
        <w:rPr>
          <w:sz w:val="20"/>
          <w:lang w:val="en-GB"/>
        </w:rPr>
      </w:pPr>
      <w:r w:rsidRPr="0008442A">
        <w:rPr>
          <w:sz w:val="20"/>
          <w:lang w:val="en-GB"/>
        </w:rPr>
        <w:t xml:space="preserve">After </w:t>
      </w:r>
      <w:proofErr w:type="gramStart"/>
      <w:r w:rsidRPr="0008442A">
        <w:rPr>
          <w:sz w:val="20"/>
          <w:lang w:val="en-GB"/>
        </w:rPr>
        <w:t>taking into account</w:t>
      </w:r>
      <w:proofErr w:type="gramEnd"/>
      <w:r w:rsidRPr="0008442A">
        <w:rPr>
          <w:sz w:val="20"/>
          <w:lang w:val="en-GB"/>
        </w:rPr>
        <w:t xml:space="preserve"> </w:t>
      </w:r>
      <w:r w:rsidR="007C0C4C" w:rsidRPr="0008442A">
        <w:rPr>
          <w:sz w:val="20"/>
          <w:lang w:val="en-GB"/>
        </w:rPr>
        <w:t>the comments received by the</w:t>
      </w:r>
      <w:r w:rsidR="007C0C4C" w:rsidRPr="008B183A">
        <w:rPr>
          <w:sz w:val="20"/>
          <w:szCs w:val="20"/>
          <w:lang w:val="en-GB"/>
        </w:rPr>
        <w:t xml:space="preserve"> </w:t>
      </w:r>
      <w:r w:rsidR="00C25CBF" w:rsidRPr="008B183A">
        <w:rPr>
          <w:sz w:val="20"/>
          <w:szCs w:val="20"/>
          <w:lang w:val="en-GB"/>
        </w:rPr>
        <w:t>Party</w:t>
      </w:r>
      <w:r w:rsidR="00C25CBF" w:rsidRPr="0008442A">
        <w:rPr>
          <w:sz w:val="20"/>
          <w:lang w:val="en-GB"/>
        </w:rPr>
        <w:t xml:space="preserve"> </w:t>
      </w:r>
      <w:r w:rsidR="007C0C4C" w:rsidRPr="0008442A">
        <w:rPr>
          <w:sz w:val="20"/>
          <w:lang w:val="en-GB"/>
        </w:rPr>
        <w:t xml:space="preserve">concerned on 26 March 2015 </w:t>
      </w:r>
      <w:r w:rsidR="00B839C5" w:rsidRPr="0008442A">
        <w:rPr>
          <w:sz w:val="20"/>
          <w:lang w:val="en-GB"/>
        </w:rPr>
        <w:t>contesting</w:t>
      </w:r>
      <w:r w:rsidR="007C0C4C" w:rsidRPr="0008442A">
        <w:rPr>
          <w:sz w:val="20"/>
          <w:lang w:val="en-GB"/>
        </w:rPr>
        <w:t xml:space="preserve"> the preliminary admissibility of the case for failing </w:t>
      </w:r>
      <w:r w:rsidR="008B1991" w:rsidRPr="0008442A">
        <w:rPr>
          <w:sz w:val="20"/>
          <w:lang w:val="en-GB"/>
        </w:rPr>
        <w:t xml:space="preserve">to exhaust </w:t>
      </w:r>
      <w:r w:rsidR="007C0C4C" w:rsidRPr="0008442A">
        <w:rPr>
          <w:sz w:val="20"/>
          <w:lang w:val="en-GB"/>
        </w:rPr>
        <w:t xml:space="preserve">domestic remedies, the Committee </w:t>
      </w:r>
      <w:r w:rsidR="00841A60" w:rsidRPr="0008442A">
        <w:rPr>
          <w:sz w:val="20"/>
          <w:lang w:val="en-GB"/>
        </w:rPr>
        <w:t xml:space="preserve">determined </w:t>
      </w:r>
      <w:r w:rsidR="00AC51EB" w:rsidRPr="0008442A">
        <w:rPr>
          <w:sz w:val="20"/>
          <w:lang w:val="en-GB"/>
        </w:rPr>
        <w:t xml:space="preserve">at its forty-eighth meeting (24-27 March 2015) </w:t>
      </w:r>
      <w:r w:rsidR="00841A60" w:rsidRPr="0008442A">
        <w:rPr>
          <w:sz w:val="20"/>
          <w:lang w:val="en-GB"/>
        </w:rPr>
        <w:t>on a preliminary basis that t</w:t>
      </w:r>
      <w:r w:rsidR="007C0C4C" w:rsidRPr="0008442A">
        <w:rPr>
          <w:sz w:val="20"/>
          <w:lang w:val="en-GB"/>
        </w:rPr>
        <w:t>he communication was admissible.</w:t>
      </w:r>
    </w:p>
    <w:p w14:paraId="695A24E9" w14:textId="67BBF500" w:rsidR="00301DC8" w:rsidRPr="0008442A" w:rsidRDefault="00A9197D" w:rsidP="005472EB">
      <w:pPr>
        <w:pStyle w:val="SingleTxtG"/>
        <w:numPr>
          <w:ilvl w:val="0"/>
          <w:numId w:val="3"/>
        </w:numPr>
        <w:ind w:left="1100" w:right="0" w:firstLine="0"/>
        <w:rPr>
          <w:sz w:val="20"/>
          <w:lang w:val="en-GB"/>
        </w:rPr>
      </w:pPr>
      <w:r w:rsidRPr="0008442A">
        <w:rPr>
          <w:sz w:val="20"/>
          <w:lang w:val="en-GB"/>
        </w:rPr>
        <w:t xml:space="preserve">Pursuant to paragraph 22 of the annex to decision I/7 of the Meeting of the Parties to the Convention, the communication was forwarded to the Party concerned on </w:t>
      </w:r>
      <w:r w:rsidR="00EE7438" w:rsidRPr="0008442A">
        <w:rPr>
          <w:sz w:val="20"/>
          <w:lang w:val="en-GB"/>
        </w:rPr>
        <w:t>28 June</w:t>
      </w:r>
      <w:r w:rsidR="00841A60" w:rsidRPr="0008442A">
        <w:rPr>
          <w:sz w:val="20"/>
          <w:lang w:val="en-GB"/>
        </w:rPr>
        <w:t xml:space="preserve"> </w:t>
      </w:r>
      <w:r w:rsidR="00EE7438" w:rsidRPr="0008442A">
        <w:rPr>
          <w:sz w:val="20"/>
          <w:lang w:val="en-GB"/>
        </w:rPr>
        <w:t>2015</w:t>
      </w:r>
      <w:r w:rsidR="008B1991" w:rsidRPr="0008442A">
        <w:rPr>
          <w:sz w:val="20"/>
          <w:lang w:val="en-GB"/>
        </w:rPr>
        <w:t xml:space="preserve"> for its response</w:t>
      </w:r>
      <w:r w:rsidR="00841A60" w:rsidRPr="0008442A">
        <w:rPr>
          <w:sz w:val="20"/>
          <w:lang w:val="en-GB"/>
        </w:rPr>
        <w:t>.</w:t>
      </w:r>
    </w:p>
    <w:p w14:paraId="4246E406" w14:textId="5BBE1688" w:rsidR="00760761" w:rsidRPr="0008442A" w:rsidRDefault="00D81BC0" w:rsidP="005472EB">
      <w:pPr>
        <w:pStyle w:val="SingleTxtG"/>
        <w:numPr>
          <w:ilvl w:val="0"/>
          <w:numId w:val="3"/>
        </w:numPr>
        <w:ind w:left="1100" w:right="0" w:firstLine="0"/>
        <w:rPr>
          <w:sz w:val="20"/>
          <w:lang w:val="en-GB"/>
        </w:rPr>
      </w:pPr>
      <w:r w:rsidRPr="0008442A">
        <w:rPr>
          <w:sz w:val="20"/>
          <w:lang w:val="en-GB"/>
        </w:rPr>
        <w:t xml:space="preserve">The Party concerned </w:t>
      </w:r>
      <w:r w:rsidR="006C1858" w:rsidRPr="0008442A">
        <w:rPr>
          <w:sz w:val="20"/>
          <w:lang w:val="en-GB"/>
        </w:rPr>
        <w:t xml:space="preserve">provided its response to the communication </w:t>
      </w:r>
      <w:r w:rsidR="00EE7438" w:rsidRPr="0008442A">
        <w:rPr>
          <w:sz w:val="20"/>
          <w:lang w:val="en-GB"/>
        </w:rPr>
        <w:t>on 27 November 2015</w:t>
      </w:r>
      <w:r w:rsidR="008806E8" w:rsidRPr="0008442A">
        <w:rPr>
          <w:sz w:val="20"/>
          <w:lang w:val="en-GB"/>
        </w:rPr>
        <w:t>.</w:t>
      </w:r>
    </w:p>
    <w:p w14:paraId="34A68ACE" w14:textId="2DB2B433" w:rsidR="00E4207A" w:rsidRPr="0008442A" w:rsidRDefault="008238B4" w:rsidP="00973AA4">
      <w:pPr>
        <w:pStyle w:val="SingleTxtG"/>
        <w:numPr>
          <w:ilvl w:val="0"/>
          <w:numId w:val="3"/>
        </w:numPr>
        <w:ind w:left="1100" w:right="0" w:firstLine="0"/>
        <w:rPr>
          <w:sz w:val="20"/>
          <w:lang w:val="en-GB"/>
        </w:rPr>
      </w:pPr>
      <w:r w:rsidRPr="0008442A">
        <w:rPr>
          <w:sz w:val="20"/>
          <w:lang w:val="en-GB"/>
        </w:rPr>
        <w:t xml:space="preserve">On 3 August 2016, </w:t>
      </w:r>
      <w:r w:rsidR="008B1991" w:rsidRPr="0008442A">
        <w:rPr>
          <w:sz w:val="20"/>
          <w:lang w:val="en-GB"/>
        </w:rPr>
        <w:t xml:space="preserve">the secretariat wrote </w:t>
      </w:r>
      <w:r w:rsidRPr="0008442A">
        <w:rPr>
          <w:sz w:val="20"/>
          <w:lang w:val="en-GB"/>
        </w:rPr>
        <w:t>to the Party concerned</w:t>
      </w:r>
      <w:r w:rsidR="008E6EF9" w:rsidRPr="0008442A">
        <w:rPr>
          <w:sz w:val="20"/>
          <w:lang w:val="en-GB"/>
        </w:rPr>
        <w:t xml:space="preserve"> </w:t>
      </w:r>
      <w:r w:rsidR="00B86660" w:rsidRPr="0008442A">
        <w:rPr>
          <w:sz w:val="20"/>
          <w:lang w:val="en-GB"/>
        </w:rPr>
        <w:t>and the communicant</w:t>
      </w:r>
      <w:r w:rsidR="004F5DD8" w:rsidRPr="0008442A">
        <w:rPr>
          <w:sz w:val="20"/>
          <w:lang w:val="en-GB"/>
        </w:rPr>
        <w:t xml:space="preserve"> at the request of the Committee</w:t>
      </w:r>
      <w:r w:rsidR="00B86660" w:rsidRPr="0008442A">
        <w:rPr>
          <w:sz w:val="20"/>
          <w:lang w:val="en-GB"/>
        </w:rPr>
        <w:t xml:space="preserve"> seeking their views on whether </w:t>
      </w:r>
      <w:r w:rsidR="004F5DD8" w:rsidRPr="0008442A">
        <w:rPr>
          <w:sz w:val="20"/>
          <w:lang w:val="en-GB"/>
        </w:rPr>
        <w:t xml:space="preserve">a </w:t>
      </w:r>
      <w:r w:rsidR="00B86660" w:rsidRPr="0008442A">
        <w:rPr>
          <w:sz w:val="20"/>
          <w:lang w:val="en-GB"/>
        </w:rPr>
        <w:t xml:space="preserve">hearing </w:t>
      </w:r>
      <w:r w:rsidR="006C1858" w:rsidRPr="0008442A">
        <w:rPr>
          <w:sz w:val="20"/>
          <w:lang w:val="en-GB"/>
        </w:rPr>
        <w:t>wa</w:t>
      </w:r>
      <w:r w:rsidR="00B86660" w:rsidRPr="0008442A">
        <w:rPr>
          <w:sz w:val="20"/>
          <w:lang w:val="en-GB"/>
        </w:rPr>
        <w:t>s needed.</w:t>
      </w:r>
      <w:r w:rsidR="00DD00CC" w:rsidRPr="0008442A">
        <w:rPr>
          <w:sz w:val="20"/>
          <w:lang w:val="en-GB"/>
        </w:rPr>
        <w:t xml:space="preserve"> </w:t>
      </w:r>
      <w:r w:rsidR="00E4207A" w:rsidRPr="0008442A">
        <w:rPr>
          <w:sz w:val="20"/>
          <w:lang w:val="en-GB"/>
        </w:rPr>
        <w:t>The Party concerned</w:t>
      </w:r>
      <w:r w:rsidR="008E6EF9" w:rsidRPr="0008442A">
        <w:rPr>
          <w:sz w:val="20"/>
          <w:lang w:val="en-GB"/>
        </w:rPr>
        <w:t xml:space="preserve"> </w:t>
      </w:r>
      <w:r w:rsidR="00E4207A" w:rsidRPr="0008442A">
        <w:rPr>
          <w:sz w:val="20"/>
          <w:lang w:val="en-GB"/>
        </w:rPr>
        <w:t xml:space="preserve">and the communicant submitted their </w:t>
      </w:r>
      <w:r w:rsidR="006C1858" w:rsidRPr="0008442A">
        <w:rPr>
          <w:sz w:val="20"/>
          <w:lang w:val="en-GB"/>
        </w:rPr>
        <w:t xml:space="preserve">views </w:t>
      </w:r>
      <w:r w:rsidR="009F4F59" w:rsidRPr="0008442A">
        <w:rPr>
          <w:sz w:val="20"/>
          <w:lang w:val="en-GB"/>
        </w:rPr>
        <w:t xml:space="preserve">on </w:t>
      </w:r>
      <w:r w:rsidR="00B86660" w:rsidRPr="0008442A">
        <w:rPr>
          <w:sz w:val="20"/>
          <w:lang w:val="en-GB"/>
        </w:rPr>
        <w:t xml:space="preserve">31 August 2016 and 21 September 2016 respectively, both agreeing </w:t>
      </w:r>
      <w:r w:rsidR="00DD00CC" w:rsidRPr="0008442A">
        <w:rPr>
          <w:sz w:val="20"/>
          <w:lang w:val="en-GB"/>
        </w:rPr>
        <w:t>that</w:t>
      </w:r>
      <w:r w:rsidR="00B839C5" w:rsidRPr="0008442A">
        <w:rPr>
          <w:sz w:val="20"/>
          <w:lang w:val="en-GB"/>
        </w:rPr>
        <w:t>, given the substance of the communication,</w:t>
      </w:r>
      <w:r w:rsidR="00DD00CC" w:rsidRPr="0008442A">
        <w:rPr>
          <w:sz w:val="20"/>
          <w:lang w:val="en-GB"/>
        </w:rPr>
        <w:t xml:space="preserve"> </w:t>
      </w:r>
      <w:r w:rsidR="005D2CB6" w:rsidRPr="0008442A">
        <w:rPr>
          <w:sz w:val="20"/>
          <w:lang w:val="en-GB"/>
        </w:rPr>
        <w:t xml:space="preserve">the Committee </w:t>
      </w:r>
      <w:r w:rsidR="006C1858" w:rsidRPr="0008442A">
        <w:rPr>
          <w:sz w:val="20"/>
          <w:lang w:val="en-GB"/>
        </w:rPr>
        <w:t xml:space="preserve">might </w:t>
      </w:r>
      <w:r w:rsidR="00B839C5" w:rsidRPr="0008442A">
        <w:rPr>
          <w:sz w:val="20"/>
          <w:lang w:val="en-GB"/>
        </w:rPr>
        <w:t>proceed</w:t>
      </w:r>
      <w:r w:rsidR="005D2CB6" w:rsidRPr="0008442A">
        <w:rPr>
          <w:sz w:val="20"/>
          <w:lang w:val="en-GB"/>
        </w:rPr>
        <w:t xml:space="preserve"> to commence its deliberations without holding a hearing.</w:t>
      </w:r>
    </w:p>
    <w:p w14:paraId="1182BB49" w14:textId="76C5968D" w:rsidR="00057E0E" w:rsidRPr="0008442A" w:rsidRDefault="005D2CB6" w:rsidP="00E42581">
      <w:pPr>
        <w:pStyle w:val="SingleTxtG"/>
        <w:numPr>
          <w:ilvl w:val="0"/>
          <w:numId w:val="3"/>
        </w:numPr>
        <w:ind w:left="1100" w:right="0" w:firstLine="0"/>
        <w:rPr>
          <w:sz w:val="20"/>
          <w:lang w:val="en-GB"/>
        </w:rPr>
      </w:pPr>
      <w:r w:rsidRPr="0008442A">
        <w:rPr>
          <w:sz w:val="20"/>
          <w:lang w:val="en-GB"/>
        </w:rPr>
        <w:t xml:space="preserve">At its fifty-fourth meeting (27-30 September 2016), </w:t>
      </w:r>
      <w:r w:rsidR="00D27EC9" w:rsidRPr="0008442A">
        <w:rPr>
          <w:sz w:val="20"/>
          <w:lang w:val="en-GB"/>
        </w:rPr>
        <w:t xml:space="preserve">the Committee agreed to proceed to commence its deliberations on the substance of the communication. </w:t>
      </w:r>
      <w:r w:rsidR="006C1858" w:rsidRPr="0008442A">
        <w:rPr>
          <w:sz w:val="20"/>
          <w:lang w:val="en-GB"/>
        </w:rPr>
        <w:t>By</w:t>
      </w:r>
      <w:r w:rsidR="00D27EC9" w:rsidRPr="0008442A">
        <w:rPr>
          <w:sz w:val="20"/>
          <w:lang w:val="en-GB"/>
        </w:rPr>
        <w:t xml:space="preserve"> letter </w:t>
      </w:r>
      <w:r w:rsidR="006C1858" w:rsidRPr="0008442A">
        <w:rPr>
          <w:sz w:val="20"/>
          <w:lang w:val="en-GB"/>
        </w:rPr>
        <w:t xml:space="preserve">of </w:t>
      </w:r>
      <w:r w:rsidR="00D27EC9" w:rsidRPr="0008442A">
        <w:rPr>
          <w:sz w:val="20"/>
          <w:lang w:val="en-GB"/>
        </w:rPr>
        <w:t xml:space="preserve">4 November 2016, the </w:t>
      </w:r>
      <w:r w:rsidR="00B839C5" w:rsidRPr="0008442A">
        <w:rPr>
          <w:sz w:val="20"/>
          <w:lang w:val="en-GB"/>
        </w:rPr>
        <w:t xml:space="preserve">Party </w:t>
      </w:r>
      <w:proofErr w:type="gramStart"/>
      <w:r w:rsidR="00B839C5" w:rsidRPr="0008442A">
        <w:rPr>
          <w:sz w:val="20"/>
          <w:lang w:val="en-GB"/>
        </w:rPr>
        <w:t>c</w:t>
      </w:r>
      <w:r w:rsidR="00D27EC9" w:rsidRPr="0008442A">
        <w:rPr>
          <w:sz w:val="20"/>
          <w:lang w:val="en-GB"/>
        </w:rPr>
        <w:t>oncerned</w:t>
      </w:r>
      <w:proofErr w:type="gramEnd"/>
      <w:r w:rsidR="008E6EF9" w:rsidRPr="0008442A">
        <w:rPr>
          <w:sz w:val="20"/>
          <w:lang w:val="en-GB"/>
        </w:rPr>
        <w:t xml:space="preserve"> </w:t>
      </w:r>
      <w:r w:rsidR="00D27EC9" w:rsidRPr="0008442A">
        <w:rPr>
          <w:sz w:val="20"/>
          <w:lang w:val="en-GB"/>
        </w:rPr>
        <w:t xml:space="preserve">and the communicant </w:t>
      </w:r>
      <w:r w:rsidR="005A1EFE" w:rsidRPr="0008442A">
        <w:rPr>
          <w:sz w:val="20"/>
          <w:lang w:val="en-GB"/>
        </w:rPr>
        <w:t xml:space="preserve">were invited to provide any </w:t>
      </w:r>
      <w:r w:rsidR="00454AFD" w:rsidRPr="008B183A">
        <w:rPr>
          <w:sz w:val="20"/>
          <w:szCs w:val="20"/>
          <w:lang w:val="en-GB"/>
        </w:rPr>
        <w:t>final</w:t>
      </w:r>
      <w:r w:rsidR="005A1EFE" w:rsidRPr="0008442A">
        <w:rPr>
          <w:sz w:val="20"/>
          <w:lang w:val="en-GB"/>
        </w:rPr>
        <w:t xml:space="preserve"> written submissions on the substance of the communication by 30 November 2016.</w:t>
      </w:r>
    </w:p>
    <w:p w14:paraId="5F579551" w14:textId="44DCA9C5" w:rsidR="00057E0E" w:rsidRPr="0008442A" w:rsidRDefault="00057E0E" w:rsidP="00314EBA">
      <w:pPr>
        <w:pStyle w:val="SingleTxtG"/>
        <w:numPr>
          <w:ilvl w:val="0"/>
          <w:numId w:val="3"/>
        </w:numPr>
        <w:ind w:left="1100" w:right="0" w:firstLine="0"/>
        <w:rPr>
          <w:sz w:val="20"/>
          <w:lang w:val="en-GB"/>
        </w:rPr>
      </w:pPr>
      <w:r w:rsidRPr="0008442A">
        <w:rPr>
          <w:sz w:val="20"/>
          <w:lang w:val="en-GB"/>
        </w:rPr>
        <w:t xml:space="preserve">By email on 25 November 2016, </w:t>
      </w:r>
      <w:r w:rsidR="00314EBA" w:rsidRPr="0008442A">
        <w:rPr>
          <w:sz w:val="20"/>
          <w:lang w:val="en-GB"/>
        </w:rPr>
        <w:t xml:space="preserve">the Committee invited the communicant to comment in its </w:t>
      </w:r>
      <w:r w:rsidR="00454AFD" w:rsidRPr="0008442A">
        <w:rPr>
          <w:sz w:val="20"/>
          <w:lang w:val="en-GB"/>
        </w:rPr>
        <w:t>final</w:t>
      </w:r>
      <w:r w:rsidR="00314EBA" w:rsidRPr="008B183A">
        <w:rPr>
          <w:sz w:val="20"/>
          <w:szCs w:val="20"/>
          <w:lang w:val="en-GB"/>
        </w:rPr>
        <w:t xml:space="preserve"> </w:t>
      </w:r>
      <w:r w:rsidR="00454AFD" w:rsidRPr="008B183A">
        <w:rPr>
          <w:sz w:val="20"/>
          <w:szCs w:val="20"/>
          <w:lang w:val="en-GB"/>
        </w:rPr>
        <w:t>written</w:t>
      </w:r>
      <w:r w:rsidR="00454AFD" w:rsidRPr="0008442A">
        <w:rPr>
          <w:sz w:val="20"/>
          <w:lang w:val="en-GB"/>
        </w:rPr>
        <w:t xml:space="preserve"> </w:t>
      </w:r>
      <w:r w:rsidR="00314EBA" w:rsidRPr="0008442A">
        <w:rPr>
          <w:sz w:val="20"/>
          <w:lang w:val="en-GB"/>
        </w:rPr>
        <w:t>submissions on the submissions on the admissibility of the communication made by the Party concerned</w:t>
      </w:r>
      <w:r w:rsidR="008E6EF9" w:rsidRPr="0008442A">
        <w:rPr>
          <w:sz w:val="20"/>
          <w:lang w:val="en-GB"/>
        </w:rPr>
        <w:t xml:space="preserve"> </w:t>
      </w:r>
      <w:r w:rsidR="00314EBA" w:rsidRPr="0008442A">
        <w:rPr>
          <w:sz w:val="20"/>
          <w:lang w:val="en-GB"/>
        </w:rPr>
        <w:t>in its response of 27 November 2015</w:t>
      </w:r>
      <w:r w:rsidRPr="0008442A">
        <w:rPr>
          <w:sz w:val="20"/>
          <w:lang w:val="en-GB"/>
        </w:rPr>
        <w:t>.</w:t>
      </w:r>
    </w:p>
    <w:p w14:paraId="34CC9540" w14:textId="5D1A45CA" w:rsidR="005A1EFE" w:rsidRPr="0008442A" w:rsidRDefault="005C30AF" w:rsidP="00973AA4">
      <w:pPr>
        <w:pStyle w:val="SingleTxtG"/>
        <w:numPr>
          <w:ilvl w:val="0"/>
          <w:numId w:val="3"/>
        </w:numPr>
        <w:ind w:left="1100" w:right="0" w:firstLine="0"/>
        <w:rPr>
          <w:sz w:val="20"/>
          <w:lang w:val="en-GB"/>
        </w:rPr>
      </w:pPr>
      <w:r w:rsidRPr="0008442A">
        <w:rPr>
          <w:sz w:val="20"/>
          <w:lang w:val="en-GB"/>
        </w:rPr>
        <w:lastRenderedPageBreak/>
        <w:t xml:space="preserve">The </w:t>
      </w:r>
      <w:r w:rsidR="0008474A" w:rsidRPr="0008442A">
        <w:rPr>
          <w:sz w:val="20"/>
          <w:lang w:val="en-GB"/>
        </w:rPr>
        <w:t>communicant</w:t>
      </w:r>
      <w:r w:rsidRPr="0008442A">
        <w:rPr>
          <w:sz w:val="20"/>
          <w:lang w:val="en-GB"/>
        </w:rPr>
        <w:t xml:space="preserve"> </w:t>
      </w:r>
      <w:r w:rsidR="00491578" w:rsidRPr="0008442A">
        <w:rPr>
          <w:sz w:val="20"/>
          <w:lang w:val="en-GB"/>
        </w:rPr>
        <w:t xml:space="preserve">submitted its </w:t>
      </w:r>
      <w:r w:rsidR="007075BE" w:rsidRPr="0008442A">
        <w:rPr>
          <w:sz w:val="20"/>
          <w:lang w:val="en-GB"/>
        </w:rPr>
        <w:t>final written submissions on 5 December 2016 and the Party concerned</w:t>
      </w:r>
      <w:r w:rsidR="008E6EF9" w:rsidRPr="0008442A">
        <w:rPr>
          <w:sz w:val="20"/>
          <w:lang w:val="en-GB"/>
        </w:rPr>
        <w:t xml:space="preserve"> </w:t>
      </w:r>
      <w:r w:rsidR="007075BE" w:rsidRPr="0008442A">
        <w:rPr>
          <w:sz w:val="20"/>
          <w:lang w:val="en-GB"/>
        </w:rPr>
        <w:t>on 15 February 2017 (</w:t>
      </w:r>
      <w:r w:rsidR="00491578" w:rsidRPr="0008442A">
        <w:rPr>
          <w:sz w:val="20"/>
          <w:lang w:val="en-GB"/>
        </w:rPr>
        <w:t xml:space="preserve">though due to a technical error in transmission, these were </w:t>
      </w:r>
      <w:r w:rsidR="007075BE" w:rsidRPr="0008442A">
        <w:rPr>
          <w:sz w:val="20"/>
          <w:lang w:val="en-GB"/>
        </w:rPr>
        <w:t>received only on 30 March 2017)</w:t>
      </w:r>
      <w:r w:rsidRPr="0008442A">
        <w:rPr>
          <w:sz w:val="20"/>
          <w:lang w:val="en-GB"/>
        </w:rPr>
        <w:t>.</w:t>
      </w:r>
    </w:p>
    <w:p w14:paraId="27867EE9" w14:textId="29C98951" w:rsidR="00E4207A" w:rsidRPr="003220FC" w:rsidRDefault="00E4207A" w:rsidP="005472EB">
      <w:pPr>
        <w:pStyle w:val="SingleTxtG"/>
        <w:numPr>
          <w:ilvl w:val="0"/>
          <w:numId w:val="3"/>
        </w:numPr>
        <w:ind w:left="1100" w:right="0" w:firstLine="0"/>
        <w:rPr>
          <w:iCs/>
          <w:sz w:val="20"/>
          <w:lang w:val="en-GB"/>
        </w:rPr>
      </w:pPr>
      <w:r w:rsidRPr="003220FC">
        <w:rPr>
          <w:iCs/>
          <w:sz w:val="20"/>
          <w:lang w:val="en-GB"/>
        </w:rPr>
        <w:t xml:space="preserve">The Committee </w:t>
      </w:r>
      <w:r w:rsidR="006C1858" w:rsidRPr="003220FC">
        <w:rPr>
          <w:iCs/>
          <w:sz w:val="20"/>
          <w:lang w:val="en-GB"/>
        </w:rPr>
        <w:t xml:space="preserve">completed its </w:t>
      </w:r>
      <w:r w:rsidRPr="003220FC">
        <w:rPr>
          <w:iCs/>
          <w:sz w:val="20"/>
          <w:lang w:val="en-GB"/>
        </w:rPr>
        <w:t xml:space="preserve">draft findings </w:t>
      </w:r>
      <w:r w:rsidR="003220FC" w:rsidRPr="003220FC">
        <w:rPr>
          <w:iCs/>
          <w:sz w:val="20"/>
          <w:lang w:val="en-GB"/>
        </w:rPr>
        <w:t>through its electronic decision-making on 1 December 2019</w:t>
      </w:r>
      <w:r w:rsidRPr="003220FC">
        <w:rPr>
          <w:iCs/>
          <w:sz w:val="20"/>
          <w:lang w:val="en-GB"/>
        </w:rPr>
        <w:t>. In accordance with paragraph 34 of the annex to decision I/7, the draft findings were then forwarded for comments to the Party concerned and the communicant on</w:t>
      </w:r>
      <w:r w:rsidR="005B6E4A" w:rsidRPr="003220FC">
        <w:rPr>
          <w:iCs/>
          <w:sz w:val="20"/>
          <w:lang w:val="en-GB"/>
        </w:rPr>
        <w:t xml:space="preserve"> </w:t>
      </w:r>
      <w:r w:rsidR="003220FC" w:rsidRPr="003220FC">
        <w:rPr>
          <w:iCs/>
          <w:sz w:val="20"/>
          <w:lang w:val="en-GB"/>
        </w:rPr>
        <w:t>2 December 2019</w:t>
      </w:r>
      <w:r w:rsidR="00DB51E2" w:rsidRPr="003220FC">
        <w:rPr>
          <w:iCs/>
          <w:sz w:val="20"/>
          <w:lang w:val="en-GB"/>
        </w:rPr>
        <w:t xml:space="preserve">. </w:t>
      </w:r>
      <w:r w:rsidR="00C94E27" w:rsidRPr="003220FC">
        <w:rPr>
          <w:iCs/>
          <w:sz w:val="20"/>
          <w:lang w:val="en-GB"/>
        </w:rPr>
        <w:t xml:space="preserve">Both were invited to provide comments by </w:t>
      </w:r>
      <w:r w:rsidR="003220FC" w:rsidRPr="003220FC">
        <w:rPr>
          <w:iCs/>
          <w:sz w:val="20"/>
          <w:lang w:val="en-GB"/>
        </w:rPr>
        <w:t>13 January 2019</w:t>
      </w:r>
      <w:r w:rsidR="00DB51E2" w:rsidRPr="003220FC">
        <w:rPr>
          <w:iCs/>
          <w:sz w:val="20"/>
          <w:lang w:val="en-GB"/>
        </w:rPr>
        <w:t>.</w:t>
      </w:r>
    </w:p>
    <w:p w14:paraId="6DBF6F22" w14:textId="77777777" w:rsidR="00C94E27" w:rsidRPr="0008442A" w:rsidRDefault="00C94E27" w:rsidP="005472EB">
      <w:pPr>
        <w:pStyle w:val="SingleTxtG"/>
        <w:numPr>
          <w:ilvl w:val="0"/>
          <w:numId w:val="3"/>
        </w:numPr>
        <w:ind w:left="1100" w:right="0" w:firstLine="0"/>
        <w:rPr>
          <w:i/>
          <w:sz w:val="20"/>
          <w:lang w:val="en-GB"/>
        </w:rPr>
      </w:pPr>
      <w:bookmarkStart w:id="0" w:name="_Ref510701329"/>
      <w:r w:rsidRPr="0008442A">
        <w:rPr>
          <w:i/>
          <w:sz w:val="20"/>
          <w:lang w:val="en-GB"/>
        </w:rPr>
        <w:t xml:space="preserve">The Party concerned and the communicant provided comments on </w:t>
      </w:r>
      <w:r w:rsidR="00D136FC" w:rsidRPr="0008442A">
        <w:rPr>
          <w:i/>
          <w:sz w:val="20"/>
          <w:lang w:val="en-GB"/>
        </w:rPr>
        <w:t xml:space="preserve">[…] </w:t>
      </w:r>
      <w:r w:rsidRPr="0008442A">
        <w:rPr>
          <w:i/>
          <w:sz w:val="20"/>
          <w:lang w:val="en-GB"/>
        </w:rPr>
        <w:t xml:space="preserve">and </w:t>
      </w:r>
      <w:r w:rsidR="00D136FC" w:rsidRPr="0008442A">
        <w:rPr>
          <w:i/>
          <w:sz w:val="20"/>
          <w:lang w:val="en-GB"/>
        </w:rPr>
        <w:t>[…]</w:t>
      </w:r>
      <w:r w:rsidRPr="0008442A">
        <w:rPr>
          <w:i/>
          <w:sz w:val="20"/>
          <w:lang w:val="en-GB"/>
        </w:rPr>
        <w:t xml:space="preserve"> respectively.</w:t>
      </w:r>
      <w:bookmarkEnd w:id="0"/>
    </w:p>
    <w:p w14:paraId="641757EC" w14:textId="77777777" w:rsidR="00C94E27" w:rsidRPr="0008442A" w:rsidRDefault="00C94E27" w:rsidP="005472EB">
      <w:pPr>
        <w:pStyle w:val="SingleTxtG"/>
        <w:numPr>
          <w:ilvl w:val="0"/>
          <w:numId w:val="3"/>
        </w:numPr>
        <w:ind w:left="1100" w:right="0" w:firstLine="0"/>
        <w:rPr>
          <w:i/>
          <w:sz w:val="20"/>
          <w:lang w:val="en-GB"/>
        </w:rPr>
      </w:pPr>
      <w:r w:rsidRPr="0008442A">
        <w:rPr>
          <w:i/>
          <w:sz w:val="20"/>
          <w:lang w:val="en-GB"/>
        </w:rPr>
        <w:t>At its […] meeting, the Committee proceeded to finalize its findings in closed session, taking account of the comments received. The Committee then adopted its findings and agreed that they should be published as a formal pre-session document to its [</w:t>
      </w:r>
      <w:r w:rsidR="007F09E7" w:rsidRPr="0008442A">
        <w:rPr>
          <w:i/>
          <w:sz w:val="20"/>
          <w:lang w:val="en-GB"/>
        </w:rPr>
        <w:t>…</w:t>
      </w:r>
      <w:r w:rsidRPr="0008442A">
        <w:rPr>
          <w:i/>
          <w:sz w:val="20"/>
          <w:lang w:val="en-GB"/>
        </w:rPr>
        <w:t>]</w:t>
      </w:r>
      <w:r w:rsidR="00A8433D" w:rsidRPr="0008442A">
        <w:rPr>
          <w:i/>
          <w:sz w:val="20"/>
          <w:lang w:val="en-GB"/>
        </w:rPr>
        <w:t xml:space="preserve"> meeting. It requested the secretariat to send the findings to the Party concerned and the communicant.</w:t>
      </w:r>
    </w:p>
    <w:p w14:paraId="6E94DA37" w14:textId="77777777" w:rsidR="00C759E1" w:rsidRPr="008B183A" w:rsidRDefault="00D971FB" w:rsidP="00C759E1">
      <w:pPr>
        <w:pStyle w:val="HChG"/>
        <w:numPr>
          <w:ilvl w:val="0"/>
          <w:numId w:val="6"/>
        </w:numPr>
        <w:ind w:right="0"/>
      </w:pPr>
      <w:r w:rsidRPr="008B183A">
        <w:t>Summary of facts, evidence and issues</w:t>
      </w:r>
      <w:r w:rsidR="0023575C" w:rsidRPr="008B183A">
        <w:rPr>
          <w:rStyle w:val="FootnoteReference"/>
        </w:rPr>
        <w:footnoteReference w:id="5"/>
      </w:r>
    </w:p>
    <w:p w14:paraId="5F8455E2" w14:textId="0FA668AA" w:rsidR="0045180A" w:rsidRPr="008B183A" w:rsidRDefault="0045180A" w:rsidP="00F1407F">
      <w:pPr>
        <w:pStyle w:val="H1G"/>
        <w:numPr>
          <w:ilvl w:val="0"/>
          <w:numId w:val="4"/>
        </w:numPr>
        <w:tabs>
          <w:tab w:val="clear" w:pos="1200"/>
          <w:tab w:val="num" w:pos="1134"/>
        </w:tabs>
        <w:ind w:right="0"/>
      </w:pPr>
      <w:r w:rsidRPr="008B183A">
        <w:t>Legal framework</w:t>
      </w:r>
    </w:p>
    <w:p w14:paraId="72DF9A23" w14:textId="3DFE909C" w:rsidR="00680C92" w:rsidRPr="0008442A" w:rsidRDefault="00680C92" w:rsidP="00680C92">
      <w:pPr>
        <w:pStyle w:val="SingleTxtG"/>
        <w:ind w:right="0"/>
        <w:rPr>
          <w:i/>
          <w:sz w:val="20"/>
          <w:lang w:val="en-GB"/>
        </w:rPr>
      </w:pPr>
      <w:r w:rsidRPr="0008442A">
        <w:rPr>
          <w:i/>
          <w:sz w:val="20"/>
          <w:lang w:val="en-GB"/>
        </w:rPr>
        <w:t>Reconsiderations and updating of permit condition</w:t>
      </w:r>
      <w:r w:rsidR="00B934F4" w:rsidRPr="0008442A">
        <w:rPr>
          <w:i/>
          <w:sz w:val="20"/>
          <w:lang w:val="en-GB"/>
        </w:rPr>
        <w:t>s</w:t>
      </w:r>
    </w:p>
    <w:p w14:paraId="2C839D81" w14:textId="44180475" w:rsidR="006A777A" w:rsidRPr="0008442A" w:rsidRDefault="006A777A" w:rsidP="006A5D08">
      <w:pPr>
        <w:pStyle w:val="SingleTxtG"/>
        <w:numPr>
          <w:ilvl w:val="0"/>
          <w:numId w:val="3"/>
        </w:numPr>
        <w:tabs>
          <w:tab w:val="clear" w:pos="1853"/>
          <w:tab w:val="num" w:pos="1134"/>
        </w:tabs>
        <w:ind w:left="1134" w:right="0" w:firstLine="0"/>
        <w:rPr>
          <w:color w:val="000000"/>
          <w:sz w:val="20"/>
          <w:lang w:val="en-GB"/>
        </w:rPr>
      </w:pPr>
      <w:bookmarkStart w:id="1" w:name="_Ref510692659"/>
      <w:bookmarkStart w:id="2" w:name="_Ref510705963"/>
      <w:bookmarkStart w:id="3" w:name="_Ref507422895"/>
      <w:r w:rsidRPr="0008442A">
        <w:rPr>
          <w:sz w:val="20"/>
          <w:lang w:val="en-GB"/>
        </w:rPr>
        <w:t>Article 20</w:t>
      </w:r>
      <w:r w:rsidR="0029533F" w:rsidRPr="0008442A">
        <w:rPr>
          <w:sz w:val="20"/>
          <w:lang w:val="en-GB"/>
        </w:rPr>
        <w:t>(</w:t>
      </w:r>
      <w:r w:rsidRPr="0008442A">
        <w:rPr>
          <w:sz w:val="20"/>
          <w:lang w:val="en-GB"/>
        </w:rPr>
        <w:t>2</w:t>
      </w:r>
      <w:r w:rsidR="0029533F" w:rsidRPr="0008442A">
        <w:rPr>
          <w:sz w:val="20"/>
          <w:lang w:val="en-GB"/>
        </w:rPr>
        <w:t>)</w:t>
      </w:r>
      <w:r w:rsidRPr="0008442A">
        <w:rPr>
          <w:sz w:val="20"/>
          <w:lang w:val="en-GB"/>
        </w:rPr>
        <w:t xml:space="preserve"> of the</w:t>
      </w:r>
      <w:r w:rsidR="00D519E7" w:rsidRPr="0008442A">
        <w:rPr>
          <w:sz w:val="20"/>
          <w:lang w:val="en-GB"/>
        </w:rPr>
        <w:t xml:space="preserve"> IED</w:t>
      </w:r>
      <w:r w:rsidRPr="0008442A">
        <w:rPr>
          <w:sz w:val="20"/>
          <w:lang w:val="en-GB"/>
        </w:rPr>
        <w:t xml:space="preserve"> provides that “</w:t>
      </w:r>
      <w:r w:rsidR="00181D78">
        <w:rPr>
          <w:sz w:val="20"/>
          <w:lang w:val="en-GB"/>
        </w:rPr>
        <w:t>M</w:t>
      </w:r>
      <w:r w:rsidRPr="0008442A">
        <w:rPr>
          <w:sz w:val="20"/>
          <w:lang w:val="en-GB"/>
        </w:rPr>
        <w:t>ember States shall take the necessary measures to ensure that no substantial change planned by the operator is made without a permit granted in accordance with this Directive.</w:t>
      </w:r>
      <w:r w:rsidR="0029533F" w:rsidRPr="0008442A">
        <w:rPr>
          <w:sz w:val="20"/>
          <w:lang w:val="en-GB"/>
        </w:rPr>
        <w:t>”</w:t>
      </w:r>
    </w:p>
    <w:p w14:paraId="07292528" w14:textId="5C4F5D33" w:rsidR="005D050D" w:rsidRPr="0008442A" w:rsidRDefault="00680C92" w:rsidP="00680C92">
      <w:pPr>
        <w:pStyle w:val="SingleTxtG"/>
        <w:numPr>
          <w:ilvl w:val="0"/>
          <w:numId w:val="3"/>
        </w:numPr>
        <w:tabs>
          <w:tab w:val="clear" w:pos="1853"/>
          <w:tab w:val="num" w:pos="1134"/>
        </w:tabs>
        <w:ind w:left="1134" w:right="0" w:firstLine="0"/>
        <w:rPr>
          <w:color w:val="000000"/>
          <w:sz w:val="20"/>
          <w:lang w:val="en-GB"/>
        </w:rPr>
      </w:pPr>
      <w:r w:rsidRPr="0008442A">
        <w:rPr>
          <w:color w:val="000000"/>
          <w:sz w:val="20"/>
          <w:lang w:val="en-GB"/>
        </w:rPr>
        <w:t xml:space="preserve">Article 21 of the </w:t>
      </w:r>
      <w:r w:rsidRPr="0008442A">
        <w:rPr>
          <w:sz w:val="20"/>
          <w:lang w:val="en-GB"/>
        </w:rPr>
        <w:t xml:space="preserve">IED </w:t>
      </w:r>
      <w:r w:rsidR="004F5DD8" w:rsidRPr="0008442A">
        <w:rPr>
          <w:color w:val="000000"/>
          <w:sz w:val="20"/>
          <w:lang w:val="en-GB"/>
        </w:rPr>
        <w:t>specifies</w:t>
      </w:r>
      <w:r w:rsidRPr="0008442A">
        <w:rPr>
          <w:color w:val="000000"/>
          <w:sz w:val="20"/>
          <w:lang w:val="en-GB"/>
        </w:rPr>
        <w:t xml:space="preserve"> </w:t>
      </w:r>
      <w:r w:rsidR="00B873B3" w:rsidRPr="0008442A">
        <w:rPr>
          <w:color w:val="000000"/>
          <w:sz w:val="20"/>
          <w:lang w:val="en-GB"/>
        </w:rPr>
        <w:t>when</w:t>
      </w:r>
      <w:r w:rsidRPr="0008442A">
        <w:rPr>
          <w:color w:val="000000"/>
          <w:sz w:val="20"/>
          <w:lang w:val="en-GB"/>
        </w:rPr>
        <w:t xml:space="preserve"> </w:t>
      </w:r>
      <w:r w:rsidR="004F5DD8" w:rsidRPr="0008442A">
        <w:rPr>
          <w:color w:val="000000"/>
          <w:sz w:val="20"/>
          <w:lang w:val="en-GB"/>
        </w:rPr>
        <w:t xml:space="preserve">the </w:t>
      </w:r>
      <w:r w:rsidRPr="0008442A">
        <w:rPr>
          <w:color w:val="000000"/>
          <w:sz w:val="20"/>
          <w:lang w:val="en-GB"/>
        </w:rPr>
        <w:t xml:space="preserve">reconsideration and update of permit conditions </w:t>
      </w:r>
      <w:r w:rsidR="004F5DD8" w:rsidRPr="0008442A">
        <w:rPr>
          <w:color w:val="000000"/>
          <w:sz w:val="20"/>
          <w:lang w:val="en-GB"/>
        </w:rPr>
        <w:t xml:space="preserve">are </w:t>
      </w:r>
      <w:r w:rsidRPr="0008442A">
        <w:rPr>
          <w:color w:val="000000"/>
          <w:sz w:val="20"/>
          <w:lang w:val="en-GB"/>
        </w:rPr>
        <w:t>required</w:t>
      </w:r>
      <w:r w:rsidR="00C40F2D">
        <w:rPr>
          <w:color w:val="000000"/>
          <w:sz w:val="20"/>
          <w:lang w:val="en-GB"/>
        </w:rPr>
        <w:t>.</w:t>
      </w:r>
      <w:bookmarkEnd w:id="1"/>
      <w:bookmarkEnd w:id="2"/>
    </w:p>
    <w:p w14:paraId="58A16710" w14:textId="722D5D78" w:rsidR="00C40F2D" w:rsidRPr="002D1939" w:rsidRDefault="004F5DD8" w:rsidP="002D1939">
      <w:pPr>
        <w:pStyle w:val="SingleTxtG"/>
        <w:numPr>
          <w:ilvl w:val="0"/>
          <w:numId w:val="3"/>
        </w:numPr>
        <w:tabs>
          <w:tab w:val="clear" w:pos="1853"/>
          <w:tab w:val="num" w:pos="1134"/>
        </w:tabs>
        <w:ind w:left="1134" w:right="0" w:firstLine="0"/>
        <w:rPr>
          <w:color w:val="000000"/>
          <w:sz w:val="20"/>
          <w:lang w:val="en-GB"/>
        </w:rPr>
      </w:pPr>
      <w:bookmarkStart w:id="4" w:name="_Ref510706200"/>
      <w:r w:rsidRPr="0008442A">
        <w:rPr>
          <w:color w:val="000000"/>
          <w:sz w:val="20"/>
          <w:lang w:val="en-GB"/>
        </w:rPr>
        <w:t>Pursuant</w:t>
      </w:r>
      <w:r w:rsidR="00680C92" w:rsidRPr="0008442A">
        <w:rPr>
          <w:color w:val="000000"/>
          <w:sz w:val="20"/>
          <w:lang w:val="en-GB"/>
        </w:rPr>
        <w:t xml:space="preserve"> to </w:t>
      </w:r>
      <w:r w:rsidR="00987202" w:rsidRPr="0008442A">
        <w:rPr>
          <w:color w:val="000000"/>
          <w:sz w:val="20"/>
          <w:lang w:val="en-GB"/>
        </w:rPr>
        <w:t>article 21</w:t>
      </w:r>
      <w:r w:rsidR="0029533F" w:rsidRPr="0008442A">
        <w:rPr>
          <w:color w:val="000000"/>
          <w:sz w:val="20"/>
          <w:lang w:val="en-GB"/>
        </w:rPr>
        <w:t>(</w:t>
      </w:r>
      <w:r w:rsidR="00680C92" w:rsidRPr="0008442A">
        <w:rPr>
          <w:color w:val="000000"/>
          <w:sz w:val="20"/>
          <w:lang w:val="en-GB"/>
        </w:rPr>
        <w:t>3</w:t>
      </w:r>
      <w:r w:rsidR="0029533F" w:rsidRPr="0008442A">
        <w:rPr>
          <w:color w:val="000000"/>
          <w:sz w:val="20"/>
          <w:lang w:val="en-GB"/>
        </w:rPr>
        <w:t>)</w:t>
      </w:r>
      <w:r w:rsidR="00680C92" w:rsidRPr="0008442A">
        <w:rPr>
          <w:color w:val="000000"/>
          <w:sz w:val="20"/>
          <w:lang w:val="en-GB"/>
        </w:rPr>
        <w:t xml:space="preserve">, within 4 years of </w:t>
      </w:r>
      <w:r w:rsidRPr="0008442A">
        <w:rPr>
          <w:color w:val="000000"/>
          <w:sz w:val="20"/>
          <w:lang w:val="en-GB"/>
        </w:rPr>
        <w:t xml:space="preserve">the </w:t>
      </w:r>
      <w:r w:rsidR="00680C92" w:rsidRPr="0008442A">
        <w:rPr>
          <w:color w:val="000000"/>
          <w:sz w:val="20"/>
          <w:lang w:val="en-GB"/>
        </w:rPr>
        <w:t xml:space="preserve">publication of decisions on </w:t>
      </w:r>
      <w:r w:rsidR="00827E53">
        <w:rPr>
          <w:color w:val="000000"/>
          <w:sz w:val="20"/>
          <w:lang w:val="en-GB"/>
        </w:rPr>
        <w:t>best available techniques (</w:t>
      </w:r>
      <w:r w:rsidR="00680C92" w:rsidRPr="0008442A">
        <w:rPr>
          <w:color w:val="000000"/>
          <w:sz w:val="20"/>
          <w:lang w:val="en-GB"/>
        </w:rPr>
        <w:t>BAT</w:t>
      </w:r>
      <w:r w:rsidR="00827E53">
        <w:rPr>
          <w:color w:val="000000"/>
          <w:sz w:val="20"/>
          <w:lang w:val="en-GB"/>
        </w:rPr>
        <w:t>)</w:t>
      </w:r>
      <w:r w:rsidR="00680C92" w:rsidRPr="0008442A">
        <w:rPr>
          <w:color w:val="000000"/>
          <w:sz w:val="20"/>
          <w:lang w:val="en-GB"/>
        </w:rPr>
        <w:t xml:space="preserve"> conclusions adopted under article 13</w:t>
      </w:r>
      <w:r w:rsidR="0051571C" w:rsidRPr="002D1939">
        <w:rPr>
          <w:color w:val="000000"/>
          <w:sz w:val="20"/>
          <w:lang w:val="en-GB"/>
        </w:rPr>
        <w:t>(</w:t>
      </w:r>
      <w:r w:rsidR="00680C92" w:rsidRPr="0008442A">
        <w:rPr>
          <w:color w:val="000000"/>
          <w:sz w:val="20"/>
          <w:lang w:val="en-GB"/>
        </w:rPr>
        <w:t>5</w:t>
      </w:r>
      <w:r w:rsidR="0051571C" w:rsidRPr="002D1939">
        <w:rPr>
          <w:color w:val="000000"/>
          <w:sz w:val="20"/>
          <w:lang w:val="en-GB"/>
        </w:rPr>
        <w:t>)</w:t>
      </w:r>
      <w:r w:rsidR="00680C92" w:rsidRPr="0008442A">
        <w:rPr>
          <w:color w:val="000000"/>
          <w:sz w:val="20"/>
          <w:lang w:val="en-GB"/>
        </w:rPr>
        <w:t xml:space="preserve"> of the Directive, the competent authority shall ensure that</w:t>
      </w:r>
      <w:r w:rsidR="0051571C" w:rsidRPr="002D1939">
        <w:rPr>
          <w:color w:val="000000"/>
          <w:sz w:val="20"/>
          <w:lang w:val="en-GB"/>
        </w:rPr>
        <w:t>:</w:t>
      </w:r>
      <w:r w:rsidR="00680C92" w:rsidRPr="002D1939">
        <w:rPr>
          <w:color w:val="000000"/>
          <w:sz w:val="20"/>
          <w:lang w:val="en-GB"/>
        </w:rPr>
        <w:t xml:space="preserve"> </w:t>
      </w:r>
    </w:p>
    <w:p w14:paraId="7277E70B" w14:textId="1060CCA0" w:rsidR="00C40F2D" w:rsidRDefault="00680C92" w:rsidP="002D1939">
      <w:pPr>
        <w:pStyle w:val="SingleTxtG"/>
        <w:ind w:left="2268" w:right="0" w:hanging="567"/>
        <w:rPr>
          <w:color w:val="000000"/>
          <w:sz w:val="20"/>
          <w:lang w:val="en-GB"/>
        </w:rPr>
      </w:pPr>
      <w:r w:rsidRPr="008B183A">
        <w:rPr>
          <w:color w:val="000000"/>
          <w:sz w:val="20"/>
          <w:szCs w:val="20"/>
          <w:lang w:val="en-GB"/>
        </w:rPr>
        <w:t>(</w:t>
      </w:r>
      <w:r w:rsidR="00C40F2D">
        <w:rPr>
          <w:color w:val="000000"/>
          <w:sz w:val="20"/>
          <w:szCs w:val="20"/>
          <w:lang w:val="en-GB"/>
        </w:rPr>
        <w:t>a</w:t>
      </w:r>
      <w:r w:rsidRPr="0008442A">
        <w:rPr>
          <w:color w:val="000000"/>
          <w:sz w:val="20"/>
          <w:lang w:val="en-GB"/>
        </w:rPr>
        <w:t xml:space="preserve">) </w:t>
      </w:r>
      <w:r w:rsidR="00C40F2D">
        <w:rPr>
          <w:color w:val="000000"/>
          <w:sz w:val="20"/>
          <w:lang w:val="en-GB"/>
        </w:rPr>
        <w:tab/>
        <w:t>A</w:t>
      </w:r>
      <w:r w:rsidRPr="0008442A">
        <w:rPr>
          <w:color w:val="000000"/>
          <w:sz w:val="20"/>
          <w:lang w:val="en-GB"/>
        </w:rPr>
        <w:t xml:space="preserve">ll the permit conditions for the installation concerned are reconsidered and, if necessary, updated to ensure compliance with the IED and </w:t>
      </w:r>
    </w:p>
    <w:p w14:paraId="2D053FAC" w14:textId="6FBE0ABE" w:rsidR="00454AFD" w:rsidRPr="0008442A" w:rsidRDefault="00680C92" w:rsidP="0008442A">
      <w:pPr>
        <w:pStyle w:val="SingleTxtG"/>
        <w:ind w:right="0" w:firstLine="567"/>
        <w:rPr>
          <w:color w:val="000000"/>
          <w:sz w:val="20"/>
          <w:lang w:val="en-GB"/>
        </w:rPr>
      </w:pPr>
      <w:r w:rsidRPr="0008442A">
        <w:rPr>
          <w:color w:val="000000"/>
          <w:sz w:val="20"/>
          <w:lang w:val="en-GB"/>
        </w:rPr>
        <w:t>(</w:t>
      </w:r>
      <w:r w:rsidR="00C40F2D">
        <w:rPr>
          <w:color w:val="000000"/>
          <w:sz w:val="20"/>
          <w:szCs w:val="20"/>
          <w:lang w:val="en-GB"/>
        </w:rPr>
        <w:t>b</w:t>
      </w:r>
      <w:r w:rsidRPr="0008442A">
        <w:rPr>
          <w:color w:val="000000"/>
          <w:sz w:val="20"/>
          <w:lang w:val="en-GB"/>
        </w:rPr>
        <w:t xml:space="preserve">) </w:t>
      </w:r>
      <w:r w:rsidR="00C40F2D">
        <w:rPr>
          <w:color w:val="000000"/>
          <w:sz w:val="20"/>
          <w:lang w:val="en-GB"/>
        </w:rPr>
        <w:tab/>
        <w:t>T</w:t>
      </w:r>
      <w:r w:rsidRPr="0008442A">
        <w:rPr>
          <w:color w:val="000000"/>
          <w:sz w:val="20"/>
          <w:lang w:val="en-GB"/>
        </w:rPr>
        <w:t>he installation complie</w:t>
      </w:r>
      <w:r w:rsidR="005D050D" w:rsidRPr="0008442A">
        <w:rPr>
          <w:color w:val="000000"/>
          <w:sz w:val="20"/>
          <w:lang w:val="en-GB"/>
        </w:rPr>
        <w:t>s with those permit conditions</w:t>
      </w:r>
      <w:r w:rsidR="004F5DD8" w:rsidRPr="0008442A">
        <w:rPr>
          <w:color w:val="000000"/>
          <w:sz w:val="20"/>
          <w:lang w:val="en-GB"/>
        </w:rPr>
        <w:t>;</w:t>
      </w:r>
      <w:r w:rsidR="005D050D" w:rsidRPr="0008442A">
        <w:rPr>
          <w:rStyle w:val="FootnoteReference"/>
          <w:sz w:val="20"/>
          <w:lang w:val="en-GB"/>
        </w:rPr>
        <w:footnoteReference w:id="6"/>
      </w:r>
      <w:bookmarkStart w:id="5" w:name="_Ref510706213"/>
      <w:bookmarkEnd w:id="4"/>
    </w:p>
    <w:p w14:paraId="21D6ABD1" w14:textId="4A744DD1" w:rsidR="00454AFD" w:rsidRPr="0008442A" w:rsidRDefault="00987202" w:rsidP="002D1939">
      <w:pPr>
        <w:pStyle w:val="SingleTxtG"/>
        <w:numPr>
          <w:ilvl w:val="0"/>
          <w:numId w:val="3"/>
        </w:numPr>
        <w:tabs>
          <w:tab w:val="clear" w:pos="1853"/>
          <w:tab w:val="num" w:pos="1134"/>
        </w:tabs>
        <w:ind w:left="1134" w:right="0" w:firstLine="0"/>
        <w:rPr>
          <w:color w:val="000000"/>
          <w:sz w:val="20"/>
          <w:lang w:val="en-GB"/>
        </w:rPr>
      </w:pPr>
      <w:r w:rsidRPr="0008442A">
        <w:rPr>
          <w:color w:val="000000"/>
          <w:sz w:val="20"/>
          <w:lang w:val="en-GB"/>
        </w:rPr>
        <w:t>Article 21</w:t>
      </w:r>
      <w:r w:rsidR="0029533F" w:rsidRPr="0008442A">
        <w:rPr>
          <w:color w:val="000000"/>
          <w:sz w:val="20"/>
          <w:lang w:val="en-GB"/>
        </w:rPr>
        <w:t>(</w:t>
      </w:r>
      <w:r w:rsidR="00680C92" w:rsidRPr="0008442A">
        <w:rPr>
          <w:color w:val="000000"/>
          <w:sz w:val="20"/>
          <w:lang w:val="en-GB"/>
        </w:rPr>
        <w:t>4</w:t>
      </w:r>
      <w:r w:rsidR="0029533F" w:rsidRPr="0008442A">
        <w:rPr>
          <w:color w:val="000000"/>
          <w:sz w:val="20"/>
          <w:lang w:val="en-GB"/>
        </w:rPr>
        <w:t>)</w:t>
      </w:r>
      <w:r w:rsidR="00680C92" w:rsidRPr="0008442A">
        <w:rPr>
          <w:color w:val="000000"/>
          <w:sz w:val="20"/>
          <w:lang w:val="en-GB"/>
        </w:rPr>
        <w:t xml:space="preserve"> stipulates that in cases where an installation is not covered by any of the BAT conclusions, the permit conditions shall be reconsidered and, if necessary, updated where developments in the </w:t>
      </w:r>
      <w:r w:rsidR="00FC15BF" w:rsidRPr="0008442A">
        <w:rPr>
          <w:color w:val="000000"/>
          <w:sz w:val="20"/>
          <w:lang w:val="en-GB"/>
        </w:rPr>
        <w:t>BATs</w:t>
      </w:r>
      <w:r w:rsidR="00680C92" w:rsidRPr="0008442A">
        <w:rPr>
          <w:color w:val="000000"/>
          <w:sz w:val="20"/>
          <w:lang w:val="en-GB"/>
        </w:rPr>
        <w:t xml:space="preserve"> allow for significant reduction of emiss</w:t>
      </w:r>
      <w:r w:rsidR="005D050D" w:rsidRPr="0008442A">
        <w:rPr>
          <w:color w:val="000000"/>
          <w:sz w:val="20"/>
          <w:lang w:val="en-GB"/>
        </w:rPr>
        <w:t>ions</w:t>
      </w:r>
      <w:r w:rsidR="00C40F2D">
        <w:rPr>
          <w:color w:val="000000"/>
          <w:sz w:val="20"/>
          <w:lang w:val="en-GB"/>
        </w:rPr>
        <w:t>.</w:t>
      </w:r>
      <w:r w:rsidR="005D050D" w:rsidRPr="0008442A">
        <w:rPr>
          <w:rStyle w:val="FootnoteReference"/>
          <w:sz w:val="20"/>
          <w:lang w:val="en-GB"/>
        </w:rPr>
        <w:footnoteReference w:id="7"/>
      </w:r>
      <w:bookmarkStart w:id="6" w:name="_Ref510706578"/>
      <w:bookmarkEnd w:id="5"/>
    </w:p>
    <w:p w14:paraId="54D56983" w14:textId="6ADA27C2" w:rsidR="00C40F2D" w:rsidRPr="002D1939" w:rsidRDefault="00987202" w:rsidP="00C40F2D">
      <w:pPr>
        <w:pStyle w:val="SingleTxtG"/>
        <w:numPr>
          <w:ilvl w:val="0"/>
          <w:numId w:val="3"/>
        </w:numPr>
        <w:tabs>
          <w:tab w:val="clear" w:pos="1853"/>
          <w:tab w:val="num" w:pos="1134"/>
        </w:tabs>
        <w:ind w:left="1134" w:right="0" w:firstLine="0"/>
        <w:rPr>
          <w:color w:val="000000"/>
          <w:sz w:val="20"/>
          <w:lang w:val="en-GB"/>
        </w:rPr>
      </w:pPr>
      <w:r w:rsidRPr="0008442A">
        <w:rPr>
          <w:color w:val="000000"/>
          <w:sz w:val="20"/>
          <w:lang w:val="en-GB"/>
        </w:rPr>
        <w:t>Article 21</w:t>
      </w:r>
      <w:r w:rsidR="0029533F" w:rsidRPr="0008442A">
        <w:rPr>
          <w:color w:val="000000"/>
          <w:sz w:val="20"/>
          <w:lang w:val="en-GB"/>
        </w:rPr>
        <w:t>(</w:t>
      </w:r>
      <w:r w:rsidR="00680C92" w:rsidRPr="0008442A">
        <w:rPr>
          <w:color w:val="000000"/>
          <w:sz w:val="20"/>
          <w:lang w:val="en-GB"/>
        </w:rPr>
        <w:t>5</w:t>
      </w:r>
      <w:r w:rsidR="0029533F" w:rsidRPr="0008442A">
        <w:rPr>
          <w:color w:val="000000"/>
          <w:sz w:val="20"/>
          <w:lang w:val="en-GB"/>
        </w:rPr>
        <w:t>)</w:t>
      </w:r>
      <w:r w:rsidR="00680C92" w:rsidRPr="0008442A">
        <w:rPr>
          <w:color w:val="000000"/>
          <w:sz w:val="20"/>
          <w:lang w:val="en-GB"/>
        </w:rPr>
        <w:t xml:space="preserve"> </w:t>
      </w:r>
      <w:r w:rsidR="00923086" w:rsidRPr="0008442A">
        <w:rPr>
          <w:color w:val="000000"/>
          <w:sz w:val="20"/>
          <w:lang w:val="en-GB"/>
        </w:rPr>
        <w:t>stipulates</w:t>
      </w:r>
      <w:r w:rsidR="00680C92" w:rsidRPr="0008442A">
        <w:rPr>
          <w:color w:val="000000"/>
          <w:sz w:val="20"/>
          <w:lang w:val="en-GB"/>
        </w:rPr>
        <w:t xml:space="preserve"> that the permit conditions shall be reconsidered and, where necessary, updated at least when</w:t>
      </w:r>
      <w:r w:rsidR="0051571C" w:rsidRPr="008B183A">
        <w:rPr>
          <w:color w:val="000000"/>
          <w:sz w:val="20"/>
          <w:szCs w:val="20"/>
          <w:lang w:val="en-GB"/>
        </w:rPr>
        <w:t>:</w:t>
      </w:r>
      <w:r w:rsidR="00680C92" w:rsidRPr="008B183A">
        <w:rPr>
          <w:color w:val="000000"/>
          <w:sz w:val="20"/>
          <w:szCs w:val="20"/>
          <w:lang w:val="en-GB"/>
        </w:rPr>
        <w:t xml:space="preserve"> </w:t>
      </w:r>
    </w:p>
    <w:p w14:paraId="3EDE3CBC" w14:textId="457CAA8A" w:rsidR="00C40F2D" w:rsidRDefault="00680C92" w:rsidP="00C40F2D">
      <w:pPr>
        <w:pStyle w:val="SingleTxtG"/>
        <w:ind w:right="0" w:firstLine="567"/>
        <w:rPr>
          <w:color w:val="000000"/>
          <w:sz w:val="20"/>
          <w:lang w:val="en-GB"/>
        </w:rPr>
      </w:pPr>
      <w:r w:rsidRPr="008B183A">
        <w:rPr>
          <w:color w:val="000000"/>
          <w:sz w:val="20"/>
          <w:szCs w:val="20"/>
          <w:lang w:val="en-GB"/>
        </w:rPr>
        <w:t>(</w:t>
      </w:r>
      <w:r w:rsidR="00C40F2D">
        <w:rPr>
          <w:color w:val="000000"/>
          <w:sz w:val="20"/>
          <w:szCs w:val="20"/>
          <w:lang w:val="en-GB"/>
        </w:rPr>
        <w:t>a</w:t>
      </w:r>
      <w:r w:rsidRPr="0008442A">
        <w:rPr>
          <w:color w:val="000000"/>
          <w:sz w:val="20"/>
          <w:lang w:val="en-GB"/>
        </w:rPr>
        <w:t xml:space="preserve">) </w:t>
      </w:r>
      <w:r w:rsidR="00C40F2D">
        <w:rPr>
          <w:color w:val="000000"/>
          <w:sz w:val="20"/>
          <w:lang w:val="en-GB"/>
        </w:rPr>
        <w:tab/>
        <w:t>T</w:t>
      </w:r>
      <w:r w:rsidRPr="0008442A">
        <w:rPr>
          <w:color w:val="000000"/>
          <w:sz w:val="20"/>
          <w:lang w:val="en-GB"/>
        </w:rPr>
        <w:t xml:space="preserve">he pollution caused by the installation is of such significance that the existing emission limit values of the permit need to be revised or new such values need to be included in the permit, </w:t>
      </w:r>
    </w:p>
    <w:p w14:paraId="6EFD5D0D" w14:textId="6165A941" w:rsidR="00C40F2D" w:rsidRDefault="00680C92" w:rsidP="00C40F2D">
      <w:pPr>
        <w:pStyle w:val="SingleTxtG"/>
        <w:ind w:right="0" w:firstLine="567"/>
        <w:rPr>
          <w:color w:val="000000"/>
          <w:sz w:val="20"/>
          <w:lang w:val="en-GB"/>
        </w:rPr>
      </w:pPr>
      <w:r w:rsidRPr="0008442A">
        <w:rPr>
          <w:color w:val="000000"/>
          <w:sz w:val="20"/>
          <w:lang w:val="en-GB"/>
        </w:rPr>
        <w:t>(</w:t>
      </w:r>
      <w:r w:rsidR="00C40F2D">
        <w:rPr>
          <w:color w:val="000000"/>
          <w:sz w:val="20"/>
          <w:szCs w:val="20"/>
          <w:lang w:val="en-GB"/>
        </w:rPr>
        <w:t>b</w:t>
      </w:r>
      <w:r w:rsidRPr="0008442A">
        <w:rPr>
          <w:color w:val="000000"/>
          <w:sz w:val="20"/>
          <w:lang w:val="en-GB"/>
        </w:rPr>
        <w:t xml:space="preserve">) </w:t>
      </w:r>
      <w:r w:rsidR="00C40F2D">
        <w:rPr>
          <w:color w:val="000000"/>
          <w:sz w:val="20"/>
          <w:lang w:val="en-GB"/>
        </w:rPr>
        <w:tab/>
        <w:t>T</w:t>
      </w:r>
      <w:r w:rsidRPr="0008442A">
        <w:rPr>
          <w:color w:val="000000"/>
          <w:sz w:val="20"/>
          <w:lang w:val="en-GB"/>
        </w:rPr>
        <w:t xml:space="preserve">he operational safety requires other techniques to be used, or </w:t>
      </w:r>
    </w:p>
    <w:p w14:paraId="54A36C23" w14:textId="6B53944D" w:rsidR="00680C92" w:rsidRPr="0008442A" w:rsidRDefault="00680C92">
      <w:pPr>
        <w:pStyle w:val="SingleTxtG"/>
        <w:ind w:right="0" w:firstLine="567"/>
        <w:rPr>
          <w:color w:val="000000"/>
          <w:sz w:val="20"/>
          <w:lang w:val="en-GB"/>
        </w:rPr>
      </w:pPr>
      <w:r w:rsidRPr="0008442A">
        <w:rPr>
          <w:color w:val="000000"/>
          <w:sz w:val="20"/>
          <w:lang w:val="en-GB"/>
        </w:rPr>
        <w:lastRenderedPageBreak/>
        <w:t>(</w:t>
      </w:r>
      <w:r w:rsidR="00C40F2D">
        <w:rPr>
          <w:color w:val="000000"/>
          <w:sz w:val="20"/>
          <w:szCs w:val="20"/>
          <w:lang w:val="en-GB"/>
        </w:rPr>
        <w:t>c</w:t>
      </w:r>
      <w:r w:rsidRPr="0008442A">
        <w:rPr>
          <w:color w:val="000000"/>
          <w:sz w:val="20"/>
          <w:lang w:val="en-GB"/>
        </w:rPr>
        <w:t xml:space="preserve">) </w:t>
      </w:r>
      <w:r w:rsidR="00C40F2D">
        <w:rPr>
          <w:color w:val="000000"/>
          <w:sz w:val="20"/>
          <w:lang w:val="en-GB"/>
        </w:rPr>
        <w:tab/>
        <w:t>W</w:t>
      </w:r>
      <w:r w:rsidRPr="0008442A">
        <w:rPr>
          <w:color w:val="000000"/>
          <w:sz w:val="20"/>
          <w:lang w:val="en-GB"/>
        </w:rPr>
        <w:t>here it is necessary to comply with a new or revised environmental quality standard in accordance with article 18</w:t>
      </w:r>
      <w:r w:rsidR="00B873B3" w:rsidRPr="0008442A">
        <w:rPr>
          <w:color w:val="000000"/>
          <w:sz w:val="20"/>
          <w:lang w:val="en-GB"/>
        </w:rPr>
        <w:t xml:space="preserve"> of the IED</w:t>
      </w:r>
      <w:r w:rsidRPr="0008442A">
        <w:rPr>
          <w:color w:val="000000"/>
          <w:sz w:val="20"/>
          <w:lang w:val="en-GB"/>
        </w:rPr>
        <w:t>.</w:t>
      </w:r>
      <w:bookmarkEnd w:id="3"/>
      <w:r w:rsidRPr="0008442A">
        <w:rPr>
          <w:rStyle w:val="FootnoteReference"/>
          <w:sz w:val="20"/>
          <w:lang w:val="en-GB"/>
        </w:rPr>
        <w:t xml:space="preserve"> </w:t>
      </w:r>
      <w:r w:rsidRPr="0008442A">
        <w:rPr>
          <w:rStyle w:val="FootnoteReference"/>
          <w:sz w:val="20"/>
          <w:lang w:val="en-GB"/>
        </w:rPr>
        <w:footnoteReference w:id="8"/>
      </w:r>
      <w:bookmarkEnd w:id="6"/>
    </w:p>
    <w:p w14:paraId="1C785707" w14:textId="77777777" w:rsidR="00FC15BF" w:rsidRPr="0008442A" w:rsidRDefault="00FC15BF" w:rsidP="00680C92">
      <w:pPr>
        <w:pStyle w:val="SingleTxtG"/>
        <w:numPr>
          <w:ilvl w:val="0"/>
          <w:numId w:val="3"/>
        </w:numPr>
        <w:tabs>
          <w:tab w:val="clear" w:pos="1853"/>
          <w:tab w:val="num" w:pos="1134"/>
        </w:tabs>
        <w:ind w:left="1134" w:right="0" w:firstLine="0"/>
        <w:rPr>
          <w:color w:val="000000"/>
          <w:sz w:val="20"/>
          <w:lang w:val="en-GB"/>
        </w:rPr>
      </w:pPr>
      <w:bookmarkStart w:id="7" w:name="_Ref507676220"/>
      <w:r w:rsidRPr="0008442A">
        <w:rPr>
          <w:sz w:val="20"/>
          <w:lang w:val="en-GB"/>
        </w:rPr>
        <w:t>Article 18 of the IED establishes that:</w:t>
      </w:r>
      <w:bookmarkEnd w:id="7"/>
    </w:p>
    <w:p w14:paraId="4FAF78FD" w14:textId="77777777" w:rsidR="00FC15BF" w:rsidRPr="0008442A" w:rsidRDefault="00FC15BF" w:rsidP="00FC15BF">
      <w:pPr>
        <w:pStyle w:val="SingleTxtG"/>
        <w:ind w:left="1701" w:right="0"/>
        <w:rPr>
          <w:color w:val="000000"/>
          <w:sz w:val="20"/>
          <w:lang w:val="en-GB"/>
        </w:rPr>
      </w:pPr>
      <w:r w:rsidRPr="0008442A">
        <w:rPr>
          <w:sz w:val="20"/>
          <w:lang w:val="en-GB"/>
        </w:rPr>
        <w:t>“Where an environmental quality standard requires stricter conditions than those achievable by the use of the best available techniques, additional measures shall be included in the permit, without prejudice to other measures which may be taken to comply with environmental quality standards.”</w:t>
      </w:r>
      <w:r w:rsidRPr="0008442A">
        <w:rPr>
          <w:rStyle w:val="FootnoteReference"/>
          <w:sz w:val="20"/>
          <w:lang w:val="en-GB"/>
        </w:rPr>
        <w:footnoteReference w:id="9"/>
      </w:r>
    </w:p>
    <w:p w14:paraId="4C123BCE" w14:textId="03269A7B" w:rsidR="005D050D" w:rsidRPr="0008442A" w:rsidRDefault="005D050D" w:rsidP="005D050D">
      <w:pPr>
        <w:pStyle w:val="SingleTxtG"/>
        <w:ind w:right="0"/>
        <w:rPr>
          <w:i/>
          <w:color w:val="000000"/>
          <w:sz w:val="20"/>
          <w:lang w:val="en-GB"/>
        </w:rPr>
      </w:pPr>
      <w:r w:rsidRPr="0008442A">
        <w:rPr>
          <w:i/>
          <w:sz w:val="20"/>
          <w:lang w:val="en-GB"/>
        </w:rPr>
        <w:t>Public participation</w:t>
      </w:r>
    </w:p>
    <w:p w14:paraId="728D2460" w14:textId="72B0AABF" w:rsidR="008C2618" w:rsidRPr="0008442A" w:rsidRDefault="00D119D1" w:rsidP="00AA3CF3">
      <w:pPr>
        <w:pStyle w:val="SingleTxtG"/>
        <w:numPr>
          <w:ilvl w:val="0"/>
          <w:numId w:val="3"/>
        </w:numPr>
        <w:tabs>
          <w:tab w:val="clear" w:pos="1853"/>
          <w:tab w:val="num" w:pos="1134"/>
        </w:tabs>
        <w:ind w:left="1134" w:right="0" w:firstLine="0"/>
        <w:rPr>
          <w:color w:val="000000"/>
          <w:sz w:val="20"/>
          <w:lang w:val="en-GB"/>
        </w:rPr>
      </w:pPr>
      <w:bookmarkStart w:id="8" w:name="_Ref507422819"/>
      <w:r w:rsidRPr="0008442A">
        <w:rPr>
          <w:sz w:val="20"/>
          <w:lang w:val="en-GB"/>
        </w:rPr>
        <w:t>Article 24</w:t>
      </w:r>
      <w:r w:rsidR="0029533F" w:rsidRPr="0008442A">
        <w:rPr>
          <w:sz w:val="20"/>
          <w:lang w:val="en-GB"/>
        </w:rPr>
        <w:t>(</w:t>
      </w:r>
      <w:r w:rsidR="005D050D" w:rsidRPr="0008442A">
        <w:rPr>
          <w:sz w:val="20"/>
          <w:lang w:val="en-GB"/>
        </w:rPr>
        <w:t>1</w:t>
      </w:r>
      <w:r w:rsidR="0029533F" w:rsidRPr="0008442A">
        <w:rPr>
          <w:sz w:val="20"/>
          <w:lang w:val="en-GB"/>
        </w:rPr>
        <w:t>)</w:t>
      </w:r>
      <w:r w:rsidRPr="0008442A">
        <w:rPr>
          <w:sz w:val="20"/>
          <w:lang w:val="en-GB"/>
        </w:rPr>
        <w:t xml:space="preserve"> </w:t>
      </w:r>
      <w:r w:rsidR="000E18B8" w:rsidRPr="0008442A">
        <w:rPr>
          <w:sz w:val="20"/>
          <w:lang w:val="en-GB"/>
        </w:rPr>
        <w:t xml:space="preserve">of the </w:t>
      </w:r>
      <w:r w:rsidR="00923086" w:rsidRPr="0008442A">
        <w:rPr>
          <w:sz w:val="20"/>
          <w:lang w:val="en-GB"/>
        </w:rPr>
        <w:t>IED</w:t>
      </w:r>
      <w:r w:rsidRPr="0008442A">
        <w:rPr>
          <w:color w:val="000000"/>
          <w:sz w:val="20"/>
          <w:lang w:val="en-GB"/>
        </w:rPr>
        <w:t xml:space="preserve"> </w:t>
      </w:r>
      <w:r w:rsidR="00EA628D" w:rsidRPr="0008442A">
        <w:rPr>
          <w:color w:val="000000"/>
          <w:sz w:val="20"/>
          <w:lang w:val="en-GB"/>
        </w:rPr>
        <w:t xml:space="preserve">provides for public participation in </w:t>
      </w:r>
      <w:r w:rsidR="005D050D" w:rsidRPr="0008442A">
        <w:rPr>
          <w:color w:val="000000"/>
          <w:sz w:val="20"/>
          <w:lang w:val="en-GB"/>
        </w:rPr>
        <w:t>the following procedures</w:t>
      </w:r>
      <w:r w:rsidR="008C2618" w:rsidRPr="0008442A">
        <w:rPr>
          <w:color w:val="000000"/>
          <w:sz w:val="20"/>
          <w:lang w:val="en-GB"/>
        </w:rPr>
        <w:t>:</w:t>
      </w:r>
      <w:bookmarkEnd w:id="8"/>
    </w:p>
    <w:p w14:paraId="2BB96F36" w14:textId="5C5FB4FC" w:rsidR="008C2618" w:rsidRPr="0008442A" w:rsidRDefault="00C40F2D" w:rsidP="008C2618">
      <w:pPr>
        <w:pStyle w:val="SingleTxtG"/>
        <w:ind w:left="1701" w:right="0"/>
        <w:rPr>
          <w:color w:val="000000"/>
          <w:sz w:val="20"/>
          <w:lang w:val="en-GB"/>
        </w:rPr>
      </w:pPr>
      <w:r>
        <w:rPr>
          <w:color w:val="000000"/>
          <w:sz w:val="20"/>
          <w:lang w:val="en-GB"/>
        </w:rPr>
        <w:t>(</w:t>
      </w:r>
      <w:r w:rsidR="00EA628D" w:rsidRPr="0008442A">
        <w:rPr>
          <w:color w:val="000000"/>
          <w:sz w:val="20"/>
          <w:lang w:val="en-GB"/>
        </w:rPr>
        <w:t xml:space="preserve">a) </w:t>
      </w:r>
      <w:r>
        <w:rPr>
          <w:color w:val="000000"/>
          <w:sz w:val="20"/>
          <w:lang w:val="en-GB"/>
        </w:rPr>
        <w:tab/>
        <w:t>T</w:t>
      </w:r>
      <w:r w:rsidR="00EA628D" w:rsidRPr="0008442A">
        <w:rPr>
          <w:color w:val="000000"/>
          <w:sz w:val="20"/>
          <w:lang w:val="en-GB"/>
        </w:rPr>
        <w:t xml:space="preserve">he granting of </w:t>
      </w:r>
      <w:r w:rsidR="008C2618" w:rsidRPr="0008442A">
        <w:rPr>
          <w:color w:val="000000"/>
          <w:sz w:val="20"/>
          <w:lang w:val="en-GB"/>
        </w:rPr>
        <w:t>a permit for new installations;</w:t>
      </w:r>
    </w:p>
    <w:p w14:paraId="03EC39AC" w14:textId="5EAEFE63" w:rsidR="008C2618" w:rsidRPr="0008442A" w:rsidRDefault="00EA628D" w:rsidP="008C2618">
      <w:pPr>
        <w:pStyle w:val="SingleTxtG"/>
        <w:ind w:left="1701" w:right="0"/>
        <w:rPr>
          <w:color w:val="000000"/>
          <w:sz w:val="20"/>
          <w:lang w:val="en-GB"/>
        </w:rPr>
      </w:pPr>
      <w:r w:rsidRPr="0008442A">
        <w:rPr>
          <w:color w:val="000000"/>
          <w:sz w:val="20"/>
          <w:lang w:val="en-GB"/>
        </w:rPr>
        <w:t xml:space="preserve">(b) </w:t>
      </w:r>
      <w:r w:rsidR="00C40F2D">
        <w:rPr>
          <w:color w:val="000000"/>
          <w:sz w:val="20"/>
          <w:lang w:val="en-GB"/>
        </w:rPr>
        <w:tab/>
        <w:t>T</w:t>
      </w:r>
      <w:r w:rsidRPr="0008442A">
        <w:rPr>
          <w:color w:val="000000"/>
          <w:sz w:val="20"/>
          <w:lang w:val="en-GB"/>
        </w:rPr>
        <w:t>he granting of a per</w:t>
      </w:r>
      <w:r w:rsidR="008C2618" w:rsidRPr="0008442A">
        <w:rPr>
          <w:color w:val="000000"/>
          <w:sz w:val="20"/>
          <w:lang w:val="en-GB"/>
        </w:rPr>
        <w:t>mit for any substantial change,</w:t>
      </w:r>
    </w:p>
    <w:p w14:paraId="186D20CD" w14:textId="7A6209CE" w:rsidR="008C2618" w:rsidRPr="0008442A" w:rsidRDefault="00EA628D" w:rsidP="008C2618">
      <w:pPr>
        <w:pStyle w:val="SingleTxtG"/>
        <w:ind w:left="1701" w:right="0"/>
        <w:rPr>
          <w:color w:val="000000"/>
          <w:sz w:val="20"/>
          <w:lang w:val="en-GB"/>
        </w:rPr>
      </w:pPr>
      <w:r w:rsidRPr="0008442A">
        <w:rPr>
          <w:color w:val="000000"/>
          <w:sz w:val="20"/>
          <w:lang w:val="en-GB"/>
        </w:rPr>
        <w:t xml:space="preserve">(c) </w:t>
      </w:r>
      <w:r w:rsidR="00C40F2D">
        <w:rPr>
          <w:color w:val="000000"/>
          <w:sz w:val="20"/>
          <w:lang w:val="en-GB"/>
        </w:rPr>
        <w:tab/>
        <w:t>T</w:t>
      </w:r>
      <w:r w:rsidRPr="0008442A">
        <w:rPr>
          <w:color w:val="000000"/>
          <w:sz w:val="20"/>
          <w:lang w:val="en-GB"/>
        </w:rPr>
        <w:t>he granting or updating of a permit for an installation where the application of article 15</w:t>
      </w:r>
      <w:r w:rsidR="0051571C" w:rsidRPr="008B183A">
        <w:rPr>
          <w:color w:val="000000"/>
          <w:sz w:val="20"/>
          <w:szCs w:val="20"/>
          <w:lang w:val="en-GB"/>
        </w:rPr>
        <w:t>(</w:t>
      </w:r>
      <w:r w:rsidRPr="0008442A">
        <w:rPr>
          <w:color w:val="000000"/>
          <w:sz w:val="20"/>
          <w:lang w:val="en-GB"/>
        </w:rPr>
        <w:t>4</w:t>
      </w:r>
      <w:r w:rsidR="0051571C" w:rsidRPr="008B183A">
        <w:rPr>
          <w:color w:val="000000"/>
          <w:sz w:val="20"/>
          <w:szCs w:val="20"/>
          <w:lang w:val="en-GB"/>
        </w:rPr>
        <w:t>)</w:t>
      </w:r>
      <w:r w:rsidRPr="0008442A">
        <w:rPr>
          <w:color w:val="000000"/>
          <w:sz w:val="20"/>
          <w:lang w:val="en-GB"/>
        </w:rPr>
        <w:t xml:space="preserve"> is proposed</w:t>
      </w:r>
      <w:r w:rsidR="008C2618" w:rsidRPr="0008442A">
        <w:rPr>
          <w:color w:val="000000"/>
          <w:sz w:val="20"/>
          <w:lang w:val="en-GB"/>
        </w:rPr>
        <w:t>;</w:t>
      </w:r>
      <w:r w:rsidRPr="0008442A">
        <w:rPr>
          <w:color w:val="000000"/>
          <w:sz w:val="20"/>
          <w:lang w:val="en-GB"/>
        </w:rPr>
        <w:t xml:space="preserve"> </w:t>
      </w:r>
    </w:p>
    <w:p w14:paraId="2D901D7C" w14:textId="2D5A1280" w:rsidR="007D1169" w:rsidRPr="0008442A" w:rsidRDefault="00EA628D" w:rsidP="008C2618">
      <w:pPr>
        <w:pStyle w:val="SingleTxtG"/>
        <w:ind w:left="1701" w:right="0"/>
        <w:rPr>
          <w:color w:val="000000"/>
          <w:sz w:val="20"/>
          <w:lang w:val="en-GB"/>
        </w:rPr>
      </w:pPr>
      <w:r w:rsidRPr="0008442A">
        <w:rPr>
          <w:color w:val="000000"/>
          <w:sz w:val="20"/>
          <w:lang w:val="en-GB"/>
        </w:rPr>
        <w:t xml:space="preserve">(d) </w:t>
      </w:r>
      <w:r w:rsidR="00C40F2D">
        <w:rPr>
          <w:color w:val="000000"/>
          <w:sz w:val="20"/>
          <w:lang w:val="en-GB"/>
        </w:rPr>
        <w:tab/>
        <w:t>T</w:t>
      </w:r>
      <w:r w:rsidRPr="0008442A">
        <w:rPr>
          <w:color w:val="000000"/>
          <w:sz w:val="20"/>
          <w:lang w:val="en-GB"/>
        </w:rPr>
        <w:t>he updating of a permit or permit conditions for an installation in accordance with article 21</w:t>
      </w:r>
      <w:r w:rsidR="0051571C" w:rsidRPr="008B183A">
        <w:rPr>
          <w:color w:val="000000"/>
          <w:sz w:val="20"/>
          <w:szCs w:val="20"/>
          <w:lang w:val="en-GB"/>
        </w:rPr>
        <w:t>(</w:t>
      </w:r>
      <w:r w:rsidR="00A04D8C" w:rsidRPr="008B183A">
        <w:rPr>
          <w:color w:val="000000"/>
          <w:sz w:val="20"/>
          <w:szCs w:val="20"/>
          <w:lang w:val="en-GB"/>
        </w:rPr>
        <w:t>5</w:t>
      </w:r>
      <w:r w:rsidR="0051571C" w:rsidRPr="008B183A">
        <w:rPr>
          <w:color w:val="000000"/>
          <w:sz w:val="20"/>
          <w:szCs w:val="20"/>
          <w:lang w:val="en-GB"/>
        </w:rPr>
        <w:t>)</w:t>
      </w:r>
      <w:r w:rsidRPr="008B183A">
        <w:rPr>
          <w:color w:val="000000"/>
          <w:sz w:val="20"/>
          <w:szCs w:val="20"/>
          <w:lang w:val="en-GB"/>
        </w:rPr>
        <w:t>(a)</w:t>
      </w:r>
      <w:r w:rsidR="000A7BDD" w:rsidRPr="008B183A">
        <w:rPr>
          <w:color w:val="000000"/>
          <w:sz w:val="20"/>
          <w:szCs w:val="20"/>
          <w:lang w:val="en-GB"/>
        </w:rPr>
        <w:t>.</w:t>
      </w:r>
      <w:r w:rsidR="008C2618" w:rsidRPr="0008442A">
        <w:rPr>
          <w:rStyle w:val="FootnoteReference"/>
          <w:color w:val="000000"/>
          <w:sz w:val="20"/>
          <w:lang w:val="en-GB"/>
        </w:rPr>
        <w:footnoteReference w:id="10"/>
      </w:r>
    </w:p>
    <w:p w14:paraId="362BB8D3" w14:textId="56F88987" w:rsidR="00C21031" w:rsidRPr="0008442A" w:rsidRDefault="00C21031" w:rsidP="001A294A">
      <w:pPr>
        <w:pStyle w:val="SingleTxtG"/>
        <w:numPr>
          <w:ilvl w:val="0"/>
          <w:numId w:val="3"/>
        </w:numPr>
        <w:tabs>
          <w:tab w:val="clear" w:pos="1853"/>
        </w:tabs>
        <w:ind w:left="1134" w:right="0" w:firstLine="0"/>
        <w:rPr>
          <w:sz w:val="20"/>
          <w:lang w:val="en-US"/>
        </w:rPr>
      </w:pPr>
      <w:bookmarkStart w:id="9" w:name="_Ref507422820"/>
      <w:r w:rsidRPr="0008442A">
        <w:rPr>
          <w:color w:val="000000"/>
          <w:sz w:val="20"/>
          <w:lang w:val="en-GB"/>
        </w:rPr>
        <w:t>“Substantial change” as referred to in article 24</w:t>
      </w:r>
      <w:r w:rsidR="0029533F" w:rsidRPr="0008442A">
        <w:rPr>
          <w:color w:val="000000"/>
          <w:sz w:val="20"/>
          <w:lang w:val="en-GB"/>
        </w:rPr>
        <w:t>(</w:t>
      </w:r>
      <w:r w:rsidRPr="0008442A">
        <w:rPr>
          <w:color w:val="000000"/>
          <w:sz w:val="20"/>
          <w:lang w:val="en-GB"/>
        </w:rPr>
        <w:t>1</w:t>
      </w:r>
      <w:r w:rsidR="0029533F" w:rsidRPr="0008442A">
        <w:rPr>
          <w:color w:val="000000"/>
          <w:sz w:val="20"/>
          <w:lang w:val="en-GB"/>
        </w:rPr>
        <w:t>)</w:t>
      </w:r>
      <w:r w:rsidRPr="0008442A">
        <w:rPr>
          <w:color w:val="000000"/>
          <w:sz w:val="20"/>
          <w:lang w:val="en-GB"/>
        </w:rPr>
        <w:t>(b) above is defined in article 3</w:t>
      </w:r>
      <w:r w:rsidR="0029533F" w:rsidRPr="0008442A">
        <w:rPr>
          <w:color w:val="000000"/>
          <w:sz w:val="20"/>
          <w:lang w:val="en-GB"/>
        </w:rPr>
        <w:t>(</w:t>
      </w:r>
      <w:r w:rsidRPr="0008442A">
        <w:rPr>
          <w:color w:val="000000"/>
          <w:sz w:val="20"/>
          <w:lang w:val="en-GB"/>
        </w:rPr>
        <w:t>9</w:t>
      </w:r>
      <w:r w:rsidR="0029533F" w:rsidRPr="0008442A">
        <w:rPr>
          <w:color w:val="000000"/>
          <w:sz w:val="20"/>
          <w:lang w:val="en-GB"/>
        </w:rPr>
        <w:t>)</w:t>
      </w:r>
      <w:r w:rsidRPr="0008442A">
        <w:rPr>
          <w:color w:val="000000"/>
          <w:sz w:val="20"/>
          <w:lang w:val="en-GB"/>
        </w:rPr>
        <w:t xml:space="preserve"> of the IED as “</w:t>
      </w:r>
      <w:r w:rsidRPr="0008442A">
        <w:rPr>
          <w:sz w:val="20"/>
        </w:rPr>
        <w:t>a change in the nature or functioning, or an extension, of an installation or combustion plant, waste incineration plant or waste co-incineration plant which may have significant negative effects on human health or the environment.”</w:t>
      </w:r>
    </w:p>
    <w:p w14:paraId="0CC7DCB1" w14:textId="17C0DE4E" w:rsidR="00EA234C" w:rsidRPr="0008442A" w:rsidRDefault="00C21031" w:rsidP="00EA234C">
      <w:pPr>
        <w:pStyle w:val="SingleTxtG"/>
        <w:numPr>
          <w:ilvl w:val="0"/>
          <w:numId w:val="3"/>
        </w:numPr>
        <w:tabs>
          <w:tab w:val="clear" w:pos="1853"/>
        </w:tabs>
        <w:ind w:left="1134" w:right="0" w:firstLine="0"/>
        <w:rPr>
          <w:color w:val="000000"/>
          <w:sz w:val="20"/>
          <w:lang w:val="en-GB"/>
        </w:rPr>
      </w:pPr>
      <w:r w:rsidRPr="0008442A">
        <w:rPr>
          <w:color w:val="000000"/>
          <w:sz w:val="20"/>
          <w:lang w:val="en-GB"/>
        </w:rPr>
        <w:t>A</w:t>
      </w:r>
      <w:r w:rsidR="00EA234C" w:rsidRPr="0008442A">
        <w:rPr>
          <w:color w:val="000000"/>
          <w:sz w:val="20"/>
          <w:lang w:val="en-GB"/>
        </w:rPr>
        <w:t>rticle 15</w:t>
      </w:r>
      <w:r w:rsidR="0029533F" w:rsidRPr="0008442A">
        <w:rPr>
          <w:color w:val="000000"/>
          <w:sz w:val="20"/>
          <w:lang w:val="en-GB"/>
        </w:rPr>
        <w:t>(</w:t>
      </w:r>
      <w:r w:rsidR="00EA234C" w:rsidRPr="0008442A">
        <w:rPr>
          <w:color w:val="000000"/>
          <w:sz w:val="20"/>
          <w:lang w:val="en-GB"/>
        </w:rPr>
        <w:t>4</w:t>
      </w:r>
      <w:r w:rsidR="0029533F" w:rsidRPr="0008442A">
        <w:rPr>
          <w:color w:val="000000"/>
          <w:sz w:val="20"/>
          <w:lang w:val="en-GB"/>
        </w:rPr>
        <w:t>)</w:t>
      </w:r>
      <w:r w:rsidR="00EA234C" w:rsidRPr="0008442A">
        <w:rPr>
          <w:color w:val="000000"/>
          <w:sz w:val="20"/>
          <w:lang w:val="en-GB"/>
        </w:rPr>
        <w:t xml:space="preserve"> </w:t>
      </w:r>
      <w:r w:rsidRPr="0008442A">
        <w:rPr>
          <w:color w:val="000000"/>
          <w:sz w:val="20"/>
          <w:lang w:val="en-GB"/>
        </w:rPr>
        <w:t>of the IED, referred to in article 24</w:t>
      </w:r>
      <w:r w:rsidR="0029533F" w:rsidRPr="0008442A">
        <w:rPr>
          <w:color w:val="000000"/>
          <w:sz w:val="20"/>
          <w:lang w:val="en-GB"/>
        </w:rPr>
        <w:t>(</w:t>
      </w:r>
      <w:r w:rsidRPr="0008442A">
        <w:rPr>
          <w:color w:val="000000"/>
          <w:sz w:val="20"/>
          <w:lang w:val="en-GB"/>
        </w:rPr>
        <w:t>1</w:t>
      </w:r>
      <w:r w:rsidR="0029533F" w:rsidRPr="0008442A">
        <w:rPr>
          <w:color w:val="000000"/>
          <w:sz w:val="20"/>
          <w:lang w:val="en-GB"/>
        </w:rPr>
        <w:t>)</w:t>
      </w:r>
      <w:r w:rsidRPr="0008442A">
        <w:rPr>
          <w:color w:val="000000"/>
          <w:sz w:val="20"/>
          <w:lang w:val="en-GB"/>
        </w:rPr>
        <w:t>(c) above</w:t>
      </w:r>
      <w:r w:rsidR="00EA234C" w:rsidRPr="0008442A">
        <w:rPr>
          <w:color w:val="000000"/>
          <w:sz w:val="20"/>
          <w:lang w:val="en-GB"/>
        </w:rPr>
        <w:t xml:space="preserve">, </w:t>
      </w:r>
      <w:r w:rsidRPr="0008442A">
        <w:rPr>
          <w:color w:val="000000"/>
          <w:sz w:val="20"/>
          <w:lang w:val="en-GB"/>
        </w:rPr>
        <w:t xml:space="preserve">provides that </w:t>
      </w:r>
      <w:r w:rsidR="00EA234C" w:rsidRPr="0008442A">
        <w:rPr>
          <w:color w:val="000000"/>
          <w:sz w:val="20"/>
          <w:lang w:val="en-GB"/>
        </w:rPr>
        <w:t>the competent authority may,</w:t>
      </w:r>
      <w:r w:rsidR="00B873B3" w:rsidRPr="0008442A">
        <w:rPr>
          <w:color w:val="000000"/>
          <w:sz w:val="20"/>
          <w:lang w:val="en-GB"/>
        </w:rPr>
        <w:t xml:space="preserve"> </w:t>
      </w:r>
      <w:r w:rsidR="00EA234C" w:rsidRPr="0008442A">
        <w:rPr>
          <w:color w:val="000000"/>
          <w:sz w:val="20"/>
          <w:lang w:val="en-GB"/>
        </w:rPr>
        <w:t>in specific cases, set less strict emission limit values.</w:t>
      </w:r>
      <w:r w:rsidR="00EA234C" w:rsidRPr="008B183A">
        <w:rPr>
          <w:rStyle w:val="FootnoteReference"/>
          <w:color w:val="000000"/>
          <w:sz w:val="20"/>
          <w:lang w:val="en-GB"/>
        </w:rPr>
        <w:footnoteReference w:id="11"/>
      </w:r>
      <w:bookmarkEnd w:id="9"/>
    </w:p>
    <w:p w14:paraId="65ACD500" w14:textId="5F6BEE87" w:rsidR="00454AFD" w:rsidRPr="008B183A" w:rsidRDefault="00454AFD" w:rsidP="00454AFD">
      <w:pPr>
        <w:pStyle w:val="SingleTxtG"/>
        <w:numPr>
          <w:ilvl w:val="0"/>
          <w:numId w:val="3"/>
        </w:numPr>
        <w:tabs>
          <w:tab w:val="clear" w:pos="1853"/>
        </w:tabs>
        <w:ind w:left="1134" w:right="0" w:firstLine="0"/>
        <w:rPr>
          <w:color w:val="000000"/>
          <w:sz w:val="20"/>
          <w:szCs w:val="20"/>
          <w:lang w:val="en-GB"/>
        </w:rPr>
      </w:pPr>
      <w:bookmarkStart w:id="10" w:name="_Ref507847744"/>
      <w:r w:rsidRPr="008B183A">
        <w:rPr>
          <w:color w:val="000000"/>
          <w:sz w:val="20"/>
          <w:szCs w:val="20"/>
          <w:lang w:val="en-GB"/>
        </w:rPr>
        <w:t xml:space="preserve">Article 24(2) of the IED establishes that when a decision on granting, reconsideration or updating of a permit has been taken, the competent authority shall make </w:t>
      </w:r>
      <w:r w:rsidR="0051571C" w:rsidRPr="008B183A">
        <w:rPr>
          <w:color w:val="000000"/>
          <w:sz w:val="20"/>
          <w:szCs w:val="20"/>
          <w:lang w:val="en-GB"/>
        </w:rPr>
        <w:t>the content of the decision, the reasons on which the decision is based and other specified information</w:t>
      </w:r>
      <w:r w:rsidRPr="008B183A">
        <w:rPr>
          <w:color w:val="000000"/>
          <w:sz w:val="20"/>
          <w:szCs w:val="20"/>
          <w:lang w:val="en-GB"/>
        </w:rPr>
        <w:t xml:space="preserve"> available to the public.</w:t>
      </w:r>
      <w:r w:rsidRPr="008B183A">
        <w:rPr>
          <w:rStyle w:val="FootnoteReference"/>
          <w:color w:val="000000"/>
          <w:sz w:val="20"/>
          <w:szCs w:val="20"/>
          <w:lang w:val="en-GB"/>
        </w:rPr>
        <w:footnoteReference w:id="12"/>
      </w:r>
      <w:bookmarkEnd w:id="10"/>
    </w:p>
    <w:p w14:paraId="6A6A2014" w14:textId="15A14250" w:rsidR="00680C92" w:rsidRPr="0008442A" w:rsidRDefault="00680C92" w:rsidP="00680C92">
      <w:pPr>
        <w:pStyle w:val="SingleTxtG"/>
        <w:ind w:right="0"/>
        <w:rPr>
          <w:i/>
          <w:color w:val="000000"/>
          <w:sz w:val="20"/>
          <w:lang w:val="en-GB"/>
        </w:rPr>
      </w:pPr>
      <w:r w:rsidRPr="0008442A">
        <w:rPr>
          <w:i/>
          <w:color w:val="000000"/>
          <w:sz w:val="20"/>
          <w:lang w:val="en-GB"/>
        </w:rPr>
        <w:t>Access to justice</w:t>
      </w:r>
    </w:p>
    <w:p w14:paraId="16A1B16F" w14:textId="46849625" w:rsidR="005D050D" w:rsidRPr="0008442A" w:rsidRDefault="00B873B3" w:rsidP="001A294A">
      <w:pPr>
        <w:pStyle w:val="SingleTxtG"/>
        <w:numPr>
          <w:ilvl w:val="0"/>
          <w:numId w:val="3"/>
        </w:numPr>
        <w:tabs>
          <w:tab w:val="clear" w:pos="1853"/>
          <w:tab w:val="num" w:pos="1134"/>
        </w:tabs>
        <w:ind w:left="1134" w:right="0" w:firstLine="0"/>
        <w:rPr>
          <w:color w:val="000000"/>
          <w:sz w:val="20"/>
          <w:lang w:val="en-GB"/>
        </w:rPr>
      </w:pPr>
      <w:r w:rsidRPr="0008442A">
        <w:rPr>
          <w:color w:val="000000"/>
          <w:sz w:val="20"/>
          <w:lang w:val="en-GB"/>
        </w:rPr>
        <w:t>Pursuant to</w:t>
      </w:r>
      <w:r w:rsidR="009F1966" w:rsidRPr="0008442A">
        <w:rPr>
          <w:color w:val="000000"/>
          <w:sz w:val="20"/>
          <w:lang w:val="en-GB"/>
        </w:rPr>
        <w:t xml:space="preserve"> article 25</w:t>
      </w:r>
      <w:r w:rsidR="0029533F" w:rsidRPr="0008442A">
        <w:rPr>
          <w:color w:val="000000"/>
          <w:sz w:val="20"/>
          <w:lang w:val="en-GB"/>
        </w:rPr>
        <w:t>(</w:t>
      </w:r>
      <w:r w:rsidR="00680C92" w:rsidRPr="0008442A">
        <w:rPr>
          <w:color w:val="000000"/>
          <w:sz w:val="20"/>
          <w:lang w:val="en-GB"/>
        </w:rPr>
        <w:t>1</w:t>
      </w:r>
      <w:r w:rsidR="0029533F" w:rsidRPr="0008442A">
        <w:rPr>
          <w:color w:val="000000"/>
          <w:sz w:val="20"/>
          <w:lang w:val="en-GB"/>
        </w:rPr>
        <w:t>)</w:t>
      </w:r>
      <w:r w:rsidR="00680C92" w:rsidRPr="0008442A">
        <w:rPr>
          <w:color w:val="000000"/>
          <w:sz w:val="20"/>
          <w:lang w:val="en-GB"/>
        </w:rPr>
        <w:t xml:space="preserve"> of the IED</w:t>
      </w:r>
      <w:r w:rsidR="00923086" w:rsidRPr="0008442A">
        <w:rPr>
          <w:color w:val="000000"/>
          <w:sz w:val="20"/>
          <w:lang w:val="en-GB"/>
        </w:rPr>
        <w:t xml:space="preserve">, </w:t>
      </w:r>
      <w:r w:rsidR="005D050D" w:rsidRPr="0008442A">
        <w:rPr>
          <w:color w:val="000000"/>
          <w:sz w:val="20"/>
          <w:lang w:val="en-GB"/>
        </w:rPr>
        <w:t>M</w:t>
      </w:r>
      <w:r w:rsidR="009F1966" w:rsidRPr="0008442A">
        <w:rPr>
          <w:color w:val="000000"/>
          <w:sz w:val="20"/>
          <w:lang w:val="en-GB"/>
        </w:rPr>
        <w:t xml:space="preserve">ember States shall ensure that, in accordance with the relevant national legal system, members of the public concerned have access to a review procedure before a court of law or another independent and impartial body established by law to challenge the substantive or procedural legality of decisions, acts </w:t>
      </w:r>
      <w:r w:rsidR="005D050D" w:rsidRPr="0008442A">
        <w:rPr>
          <w:color w:val="000000"/>
          <w:sz w:val="20"/>
          <w:lang w:val="en-GB"/>
        </w:rPr>
        <w:t xml:space="preserve">or omissions subject to </w:t>
      </w:r>
      <w:r w:rsidRPr="0008442A">
        <w:rPr>
          <w:color w:val="000000"/>
          <w:sz w:val="20"/>
          <w:lang w:val="en-GB"/>
        </w:rPr>
        <w:t xml:space="preserve">article </w:t>
      </w:r>
      <w:r w:rsidR="009F1966" w:rsidRPr="0008442A">
        <w:rPr>
          <w:color w:val="000000"/>
          <w:sz w:val="20"/>
          <w:lang w:val="en-GB"/>
        </w:rPr>
        <w:t>24</w:t>
      </w:r>
      <w:r w:rsidR="00923086" w:rsidRPr="0008442A">
        <w:rPr>
          <w:color w:val="000000"/>
          <w:sz w:val="20"/>
          <w:lang w:val="en-GB"/>
        </w:rPr>
        <w:t>.</w:t>
      </w:r>
      <w:r w:rsidR="00923086" w:rsidRPr="0008442A">
        <w:rPr>
          <w:rStyle w:val="FootnoteReference"/>
          <w:color w:val="000000"/>
          <w:sz w:val="20"/>
          <w:lang w:val="en-GB"/>
        </w:rPr>
        <w:footnoteReference w:id="13"/>
      </w:r>
    </w:p>
    <w:p w14:paraId="5420A113" w14:textId="77777777" w:rsidR="002F4835" w:rsidRPr="008B183A" w:rsidRDefault="002F4835" w:rsidP="00F1407F">
      <w:pPr>
        <w:pStyle w:val="H1G"/>
        <w:numPr>
          <w:ilvl w:val="0"/>
          <w:numId w:val="4"/>
        </w:numPr>
        <w:tabs>
          <w:tab w:val="clear" w:pos="1200"/>
          <w:tab w:val="num" w:pos="1134"/>
        </w:tabs>
        <w:ind w:right="0"/>
      </w:pPr>
      <w:r w:rsidRPr="008B183A">
        <w:lastRenderedPageBreak/>
        <w:t>Facts</w:t>
      </w:r>
    </w:p>
    <w:p w14:paraId="02D04720" w14:textId="221270F5" w:rsidR="0093654E" w:rsidRPr="0008442A" w:rsidRDefault="0093654E" w:rsidP="00DB1340">
      <w:pPr>
        <w:pStyle w:val="SingleTxtG"/>
        <w:numPr>
          <w:ilvl w:val="0"/>
          <w:numId w:val="3"/>
        </w:numPr>
        <w:tabs>
          <w:tab w:val="clear" w:pos="1853"/>
          <w:tab w:val="num" w:pos="1134"/>
        </w:tabs>
        <w:ind w:left="1134" w:right="0" w:firstLine="0"/>
        <w:rPr>
          <w:sz w:val="20"/>
          <w:lang w:val="en-GB"/>
        </w:rPr>
      </w:pPr>
      <w:r w:rsidRPr="0008442A">
        <w:rPr>
          <w:sz w:val="20"/>
          <w:lang w:val="en-GB"/>
        </w:rPr>
        <w:t xml:space="preserve">On 24 November 2010, the European Parliament and the Council of the European Union adopted </w:t>
      </w:r>
      <w:r w:rsidR="00D119D1" w:rsidRPr="0008442A">
        <w:rPr>
          <w:sz w:val="20"/>
          <w:lang w:val="en-GB"/>
        </w:rPr>
        <w:t>the IED</w:t>
      </w:r>
      <w:r w:rsidRPr="0008442A">
        <w:rPr>
          <w:sz w:val="20"/>
          <w:lang w:val="en-GB"/>
        </w:rPr>
        <w:t xml:space="preserve">. The IED </w:t>
      </w:r>
      <w:r w:rsidR="008710B0" w:rsidRPr="0008442A">
        <w:rPr>
          <w:sz w:val="20"/>
          <w:lang w:val="en-GB"/>
        </w:rPr>
        <w:t>repealed and replaced</w:t>
      </w:r>
      <w:r w:rsidRPr="0008442A">
        <w:rPr>
          <w:sz w:val="20"/>
          <w:lang w:val="en-GB"/>
        </w:rPr>
        <w:t xml:space="preserve"> seven previous directives,</w:t>
      </w:r>
      <w:r w:rsidR="00F903CD" w:rsidRPr="008B183A">
        <w:rPr>
          <w:rStyle w:val="FootnoteReference"/>
          <w:szCs w:val="20"/>
          <w:lang w:val="en-GB"/>
        </w:rPr>
        <w:footnoteReference w:id="14"/>
      </w:r>
      <w:r w:rsidRPr="0008442A">
        <w:rPr>
          <w:sz w:val="20"/>
          <w:lang w:val="en-GB"/>
        </w:rPr>
        <w:t xml:space="preserve"> including Directive 2008/1/EC on integrated pollution prevention and control.</w:t>
      </w:r>
      <w:r w:rsidR="00F903CD" w:rsidRPr="008B183A">
        <w:rPr>
          <w:rStyle w:val="FootnoteReference"/>
          <w:szCs w:val="20"/>
          <w:lang w:val="en-GB"/>
        </w:rPr>
        <w:footnoteReference w:id="15"/>
      </w:r>
    </w:p>
    <w:p w14:paraId="38F8E88C" w14:textId="77777777" w:rsidR="00BE5AAE" w:rsidRPr="008B183A" w:rsidRDefault="00BE5AAE" w:rsidP="00BE5AAE">
      <w:pPr>
        <w:pStyle w:val="H1G"/>
        <w:numPr>
          <w:ilvl w:val="0"/>
          <w:numId w:val="4"/>
        </w:numPr>
        <w:tabs>
          <w:tab w:val="clear" w:pos="1200"/>
          <w:tab w:val="num" w:pos="1134"/>
        </w:tabs>
        <w:ind w:right="0"/>
      </w:pPr>
      <w:r w:rsidRPr="008B183A">
        <w:t>Domestic remedies and admissibility</w:t>
      </w:r>
    </w:p>
    <w:p w14:paraId="3FFE174E" w14:textId="60E568B9" w:rsidR="00BE5AAE" w:rsidRDefault="00BE5AAE" w:rsidP="006A5D08">
      <w:pPr>
        <w:pStyle w:val="SingleTxtG"/>
        <w:numPr>
          <w:ilvl w:val="0"/>
          <w:numId w:val="3"/>
        </w:numPr>
        <w:tabs>
          <w:tab w:val="clear" w:pos="1853"/>
          <w:tab w:val="num" w:pos="1277"/>
        </w:tabs>
        <w:autoSpaceDE w:val="0"/>
        <w:autoSpaceDN w:val="0"/>
        <w:adjustRightInd w:val="0"/>
        <w:ind w:left="1123" w:right="0" w:firstLine="0"/>
        <w:rPr>
          <w:sz w:val="20"/>
          <w:lang w:val="en-GB"/>
        </w:rPr>
      </w:pPr>
      <w:bookmarkStart w:id="11" w:name="_Ref510773876"/>
      <w:r w:rsidRPr="0008442A">
        <w:rPr>
          <w:sz w:val="20"/>
          <w:lang w:val="en-GB"/>
        </w:rPr>
        <w:t>The Party concerned</w:t>
      </w:r>
      <w:r w:rsidR="0035093C" w:rsidRPr="0008442A">
        <w:rPr>
          <w:sz w:val="20"/>
          <w:lang w:val="en-GB"/>
        </w:rPr>
        <w:t xml:space="preserve"> </w:t>
      </w:r>
      <w:r w:rsidRPr="0008442A">
        <w:rPr>
          <w:sz w:val="20"/>
          <w:lang w:val="en-GB"/>
        </w:rPr>
        <w:t xml:space="preserve">disputes the admissibility of the communication </w:t>
      </w:r>
      <w:r w:rsidR="00923086" w:rsidRPr="0008442A">
        <w:rPr>
          <w:sz w:val="20"/>
          <w:lang w:val="en-GB"/>
        </w:rPr>
        <w:t>on the basis that</w:t>
      </w:r>
      <w:r w:rsidRPr="0008442A">
        <w:rPr>
          <w:sz w:val="20"/>
          <w:lang w:val="en-GB"/>
        </w:rPr>
        <w:t xml:space="preserve"> the communicant </w:t>
      </w:r>
      <w:r w:rsidR="00CE545E" w:rsidRPr="0008442A">
        <w:rPr>
          <w:sz w:val="20"/>
          <w:lang w:val="en-GB"/>
        </w:rPr>
        <w:t xml:space="preserve">has </w:t>
      </w:r>
      <w:r w:rsidRPr="0008442A">
        <w:rPr>
          <w:sz w:val="20"/>
          <w:lang w:val="en-GB"/>
        </w:rPr>
        <w:t>failed to exhaust domestic remedies.</w:t>
      </w:r>
      <w:r w:rsidRPr="0008442A">
        <w:rPr>
          <w:rStyle w:val="FootnoteReference"/>
          <w:sz w:val="20"/>
          <w:lang w:val="en-GB"/>
        </w:rPr>
        <w:footnoteReference w:id="16"/>
      </w:r>
      <w:bookmarkEnd w:id="11"/>
    </w:p>
    <w:p w14:paraId="5BEF5E57" w14:textId="396D5619" w:rsidR="00B274EF" w:rsidRDefault="00B274EF" w:rsidP="0021715D">
      <w:pPr>
        <w:pStyle w:val="SingleTxtG"/>
        <w:numPr>
          <w:ilvl w:val="0"/>
          <w:numId w:val="3"/>
        </w:numPr>
        <w:tabs>
          <w:tab w:val="clear" w:pos="1853"/>
          <w:tab w:val="num" w:pos="1277"/>
        </w:tabs>
        <w:autoSpaceDE w:val="0"/>
        <w:autoSpaceDN w:val="0"/>
        <w:adjustRightInd w:val="0"/>
        <w:ind w:left="1123" w:right="0" w:firstLine="0"/>
        <w:rPr>
          <w:sz w:val="20"/>
          <w:lang w:val="en-GB"/>
        </w:rPr>
      </w:pPr>
      <w:r w:rsidRPr="0008442A">
        <w:rPr>
          <w:sz w:val="20"/>
          <w:lang w:val="en-GB"/>
        </w:rPr>
        <w:t xml:space="preserve">With respect to the statement in </w:t>
      </w:r>
      <w:r w:rsidR="0021715D">
        <w:rPr>
          <w:sz w:val="20"/>
          <w:lang w:val="en-GB"/>
        </w:rPr>
        <w:t xml:space="preserve">paragraph 5 of </w:t>
      </w:r>
      <w:r w:rsidRPr="0008442A">
        <w:rPr>
          <w:sz w:val="20"/>
          <w:lang w:val="en-GB"/>
        </w:rPr>
        <w:t xml:space="preserve">the Committee’s preliminary determination of admissibility </w:t>
      </w:r>
      <w:r w:rsidR="0021715D">
        <w:rPr>
          <w:sz w:val="20"/>
          <w:lang w:val="en-GB"/>
        </w:rPr>
        <w:t>dated 27 March 2015</w:t>
      </w:r>
      <w:r w:rsidR="003340BC">
        <w:rPr>
          <w:sz w:val="20"/>
          <w:lang w:val="en-GB"/>
        </w:rPr>
        <w:t>,</w:t>
      </w:r>
      <w:r w:rsidR="0021715D">
        <w:rPr>
          <w:sz w:val="20"/>
          <w:lang w:val="en-GB"/>
        </w:rPr>
        <w:t xml:space="preserve"> </w:t>
      </w:r>
      <w:r w:rsidRPr="0008442A">
        <w:rPr>
          <w:sz w:val="20"/>
          <w:lang w:val="en-GB"/>
        </w:rPr>
        <w:t>that the terms of paragraph 21 of the annex to decision I/7 on review of compliance do not imply any strict requirement that all domestic remedies be exhausted, the Party concerned submits that</w:t>
      </w:r>
      <w:r w:rsidR="0021715D">
        <w:rPr>
          <w:sz w:val="20"/>
          <w:lang w:val="en-GB"/>
        </w:rPr>
        <w:t xml:space="preserve"> </w:t>
      </w:r>
      <w:r w:rsidRPr="0008442A">
        <w:rPr>
          <w:sz w:val="20"/>
          <w:lang w:val="en-GB"/>
        </w:rPr>
        <w:t xml:space="preserve"> paragraph 21 </w:t>
      </w:r>
      <w:r w:rsidR="0021715D" w:rsidRPr="0021715D">
        <w:rPr>
          <w:sz w:val="20"/>
          <w:lang w:val="en-GB"/>
        </w:rPr>
        <w:t>leaves no doubt that domestic remedies are to be taken into account, unless they are unsatisfactory</w:t>
      </w:r>
      <w:r w:rsidRPr="0008442A">
        <w:rPr>
          <w:sz w:val="20"/>
          <w:lang w:val="en-GB"/>
        </w:rPr>
        <w:t>.</w:t>
      </w:r>
      <w:r w:rsidRPr="0008442A">
        <w:rPr>
          <w:rStyle w:val="FootnoteReference"/>
          <w:sz w:val="20"/>
          <w:lang w:val="en-GB"/>
        </w:rPr>
        <w:footnoteReference w:id="17"/>
      </w:r>
    </w:p>
    <w:p w14:paraId="11D0DA04" w14:textId="2203C5B5" w:rsidR="00DC0B18" w:rsidRPr="0008442A" w:rsidRDefault="00923086" w:rsidP="00425AF9">
      <w:pPr>
        <w:pStyle w:val="SingleTxtG"/>
        <w:numPr>
          <w:ilvl w:val="0"/>
          <w:numId w:val="3"/>
        </w:numPr>
        <w:tabs>
          <w:tab w:val="clear" w:pos="1853"/>
        </w:tabs>
        <w:ind w:left="1134" w:right="0" w:firstLine="0"/>
        <w:rPr>
          <w:color w:val="000000"/>
          <w:sz w:val="20"/>
          <w:lang w:val="en-GB"/>
        </w:rPr>
      </w:pPr>
      <w:bookmarkStart w:id="12" w:name="_Ref510774018"/>
      <w:r w:rsidRPr="0008442A">
        <w:rPr>
          <w:sz w:val="20"/>
          <w:lang w:val="en-GB"/>
        </w:rPr>
        <w:t>T</w:t>
      </w:r>
      <w:r w:rsidR="00BE5AAE" w:rsidRPr="0008442A">
        <w:rPr>
          <w:sz w:val="20"/>
          <w:lang w:val="en-GB"/>
        </w:rPr>
        <w:t>he Party concerned</w:t>
      </w:r>
      <w:r w:rsidR="0035093C" w:rsidRPr="0008442A">
        <w:rPr>
          <w:sz w:val="20"/>
          <w:lang w:val="en-GB"/>
        </w:rPr>
        <w:t xml:space="preserve"> </w:t>
      </w:r>
      <w:r w:rsidRPr="0008442A">
        <w:rPr>
          <w:sz w:val="20"/>
          <w:lang w:val="en-GB"/>
        </w:rPr>
        <w:t>submits</w:t>
      </w:r>
      <w:r w:rsidR="00DC0B18" w:rsidRPr="0008442A">
        <w:rPr>
          <w:sz w:val="20"/>
          <w:lang w:val="en-GB"/>
        </w:rPr>
        <w:t xml:space="preserve"> that the Committee </w:t>
      </w:r>
      <w:r w:rsidR="00CE545E" w:rsidRPr="0008442A">
        <w:rPr>
          <w:sz w:val="20"/>
          <w:lang w:val="en-GB"/>
        </w:rPr>
        <w:t>has considered</w:t>
      </w:r>
      <w:r w:rsidR="00BE5AAE" w:rsidRPr="0008442A">
        <w:rPr>
          <w:sz w:val="20"/>
          <w:lang w:val="en-GB"/>
        </w:rPr>
        <w:t xml:space="preserve"> </w:t>
      </w:r>
      <w:r w:rsidR="00DC0B18" w:rsidRPr="0008442A">
        <w:rPr>
          <w:sz w:val="20"/>
          <w:lang w:val="en-GB"/>
        </w:rPr>
        <w:t xml:space="preserve">the general lack of </w:t>
      </w:r>
      <w:r w:rsidR="00DC0B18" w:rsidRPr="0008442A">
        <w:rPr>
          <w:i/>
          <w:sz w:val="20"/>
          <w:lang w:val="en-GB"/>
        </w:rPr>
        <w:t>locus standi</w:t>
      </w:r>
      <w:r w:rsidR="00DC0B18" w:rsidRPr="0008442A">
        <w:rPr>
          <w:sz w:val="20"/>
          <w:lang w:val="en-GB"/>
        </w:rPr>
        <w:t xml:space="preserve"> for NGOs</w:t>
      </w:r>
      <w:r w:rsidR="00BE5AAE" w:rsidRPr="0008442A">
        <w:rPr>
          <w:sz w:val="20"/>
          <w:lang w:val="en-GB"/>
        </w:rPr>
        <w:t xml:space="preserve"> in </w:t>
      </w:r>
      <w:r w:rsidR="00CE545E" w:rsidRPr="0008442A">
        <w:rPr>
          <w:sz w:val="20"/>
          <w:lang w:val="en-GB"/>
        </w:rPr>
        <w:t xml:space="preserve">its deliberations on </w:t>
      </w:r>
      <w:r w:rsidR="00BE5AAE" w:rsidRPr="0008442A">
        <w:rPr>
          <w:sz w:val="20"/>
          <w:lang w:val="en-GB"/>
        </w:rPr>
        <w:t>communication ACCC/C/2008/32.</w:t>
      </w:r>
      <w:r w:rsidR="00DC0B18" w:rsidRPr="0008442A">
        <w:rPr>
          <w:rStyle w:val="FootnoteReference"/>
          <w:sz w:val="20"/>
          <w:lang w:val="en-GB"/>
        </w:rPr>
        <w:footnoteReference w:id="18"/>
      </w:r>
      <w:r w:rsidR="00BE5AAE" w:rsidRPr="0008442A">
        <w:rPr>
          <w:sz w:val="20"/>
          <w:lang w:val="en-GB"/>
        </w:rPr>
        <w:t xml:space="preserve"> It </w:t>
      </w:r>
      <w:r w:rsidR="00DC0B18" w:rsidRPr="0008442A">
        <w:rPr>
          <w:sz w:val="20"/>
          <w:lang w:val="en-GB"/>
        </w:rPr>
        <w:t>submits that legislative acts such as the IED can, however, be challenged by individuals under article 263</w:t>
      </w:r>
      <w:r w:rsidR="00F93166" w:rsidRPr="0008442A">
        <w:rPr>
          <w:sz w:val="20"/>
          <w:lang w:val="en-GB"/>
        </w:rPr>
        <w:t>(</w:t>
      </w:r>
      <w:r w:rsidR="00DC0B18" w:rsidRPr="0008442A">
        <w:rPr>
          <w:sz w:val="20"/>
          <w:lang w:val="en-GB"/>
        </w:rPr>
        <w:t>4</w:t>
      </w:r>
      <w:r w:rsidR="00F93166" w:rsidRPr="0008442A">
        <w:rPr>
          <w:sz w:val="20"/>
          <w:lang w:val="en-GB"/>
        </w:rPr>
        <w:t>)</w:t>
      </w:r>
      <w:r w:rsidR="00DC0B18" w:rsidRPr="0008442A">
        <w:rPr>
          <w:sz w:val="20"/>
          <w:lang w:val="en-GB"/>
        </w:rPr>
        <w:t xml:space="preserve"> of the Treaty on the Function of the European Union (TFEU) if they are of direct or individual concern to them.</w:t>
      </w:r>
      <w:r w:rsidR="00BE5AAE" w:rsidRPr="0008442A">
        <w:rPr>
          <w:rStyle w:val="FootnoteReference"/>
          <w:sz w:val="20"/>
          <w:lang w:val="en-GB"/>
        </w:rPr>
        <w:footnoteReference w:id="19"/>
      </w:r>
      <w:bookmarkEnd w:id="12"/>
      <w:r w:rsidR="00DC0B18" w:rsidRPr="0008442A">
        <w:rPr>
          <w:sz w:val="20"/>
          <w:lang w:val="en-GB"/>
        </w:rPr>
        <w:t xml:space="preserve"> </w:t>
      </w:r>
    </w:p>
    <w:p w14:paraId="3AA2147F" w14:textId="6EF78EC4" w:rsidR="00DC0B18" w:rsidRPr="0008442A" w:rsidRDefault="00DC0B18" w:rsidP="001254C0">
      <w:pPr>
        <w:pStyle w:val="SingleTxtG"/>
        <w:numPr>
          <w:ilvl w:val="0"/>
          <w:numId w:val="3"/>
        </w:numPr>
        <w:tabs>
          <w:tab w:val="clear" w:pos="1853"/>
        </w:tabs>
        <w:ind w:left="1134" w:right="0" w:firstLine="0"/>
        <w:rPr>
          <w:color w:val="000000"/>
          <w:sz w:val="20"/>
          <w:lang w:val="en-GB"/>
        </w:rPr>
      </w:pPr>
      <w:r w:rsidRPr="0008442A">
        <w:rPr>
          <w:sz w:val="20"/>
          <w:lang w:val="en-GB"/>
        </w:rPr>
        <w:t>The Party concerned</w:t>
      </w:r>
      <w:r w:rsidR="0043113E" w:rsidRPr="0008442A">
        <w:rPr>
          <w:sz w:val="20"/>
          <w:lang w:val="en-GB"/>
        </w:rPr>
        <w:t xml:space="preserve"> </w:t>
      </w:r>
      <w:r w:rsidRPr="0008442A">
        <w:rPr>
          <w:sz w:val="20"/>
          <w:lang w:val="en-GB"/>
        </w:rPr>
        <w:t xml:space="preserve">further </w:t>
      </w:r>
      <w:r w:rsidR="00BE5AAE" w:rsidRPr="0008442A">
        <w:rPr>
          <w:sz w:val="20"/>
          <w:lang w:val="en-GB"/>
        </w:rPr>
        <w:t>submits that</w:t>
      </w:r>
      <w:r w:rsidRPr="0008442A">
        <w:rPr>
          <w:sz w:val="20"/>
          <w:lang w:val="en-GB"/>
        </w:rPr>
        <w:t>, where direct action under article 263</w:t>
      </w:r>
      <w:r w:rsidR="0043113E" w:rsidRPr="0008442A">
        <w:rPr>
          <w:sz w:val="20"/>
          <w:lang w:val="en-GB"/>
        </w:rPr>
        <w:t>(</w:t>
      </w:r>
      <w:r w:rsidRPr="0008442A">
        <w:rPr>
          <w:sz w:val="20"/>
          <w:lang w:val="en-GB"/>
        </w:rPr>
        <w:t>4</w:t>
      </w:r>
      <w:r w:rsidR="0043113E" w:rsidRPr="0008442A">
        <w:rPr>
          <w:sz w:val="20"/>
          <w:lang w:val="en-GB"/>
        </w:rPr>
        <w:t>)</w:t>
      </w:r>
      <w:r w:rsidRPr="0008442A">
        <w:rPr>
          <w:sz w:val="20"/>
          <w:lang w:val="en-GB"/>
        </w:rPr>
        <w:t xml:space="preserve"> is not available and the responsibility for implementation of these acts lies with the EU institutions, persons are entitled to bring direct action to challenge these implementing measures before the EU courts under the conditions of article 263</w:t>
      </w:r>
      <w:r w:rsidR="00B567E3" w:rsidRPr="0008442A">
        <w:rPr>
          <w:sz w:val="20"/>
          <w:lang w:val="en-GB"/>
        </w:rPr>
        <w:t>(4</w:t>
      </w:r>
      <w:r w:rsidR="0094236B" w:rsidRPr="0008442A">
        <w:rPr>
          <w:sz w:val="20"/>
          <w:lang w:val="en-GB"/>
        </w:rPr>
        <w:t>)</w:t>
      </w:r>
      <w:r w:rsidRPr="0008442A">
        <w:rPr>
          <w:sz w:val="20"/>
          <w:lang w:val="en-GB"/>
        </w:rPr>
        <w:t xml:space="preserve"> of the TFEU, and can plead, in support of such action, the illegality of the general act at issue under article 277 TFEU.</w:t>
      </w:r>
      <w:r w:rsidR="00FB5F61" w:rsidRPr="0008442A">
        <w:rPr>
          <w:rStyle w:val="FootnoteReference"/>
          <w:sz w:val="20"/>
          <w:lang w:val="en-GB"/>
        </w:rPr>
        <w:footnoteReference w:id="20"/>
      </w:r>
      <w:r w:rsidRPr="0008442A">
        <w:rPr>
          <w:sz w:val="20"/>
          <w:lang w:val="en-GB"/>
        </w:rPr>
        <w:t xml:space="preserve"> </w:t>
      </w:r>
      <w:r w:rsidR="001254C0" w:rsidRPr="0008442A">
        <w:rPr>
          <w:sz w:val="20"/>
          <w:lang w:val="en-GB"/>
        </w:rPr>
        <w:t>W</w:t>
      </w:r>
      <w:r w:rsidR="00FB5F61" w:rsidRPr="0008442A">
        <w:rPr>
          <w:sz w:val="20"/>
          <w:lang w:val="en-GB"/>
        </w:rPr>
        <w:t xml:space="preserve">here the </w:t>
      </w:r>
      <w:r w:rsidR="00181D78">
        <w:rPr>
          <w:sz w:val="20"/>
          <w:lang w:val="en-GB"/>
        </w:rPr>
        <w:t>M</w:t>
      </w:r>
      <w:r w:rsidR="00793CDD" w:rsidRPr="0008442A">
        <w:rPr>
          <w:sz w:val="20"/>
          <w:lang w:val="en-GB"/>
        </w:rPr>
        <w:t xml:space="preserve">ember States bear </w:t>
      </w:r>
      <w:r w:rsidR="00FB5F61" w:rsidRPr="0008442A">
        <w:rPr>
          <w:sz w:val="20"/>
          <w:lang w:val="en-GB"/>
        </w:rPr>
        <w:t>responsibility for</w:t>
      </w:r>
      <w:r w:rsidRPr="0008442A">
        <w:rPr>
          <w:sz w:val="20"/>
          <w:lang w:val="en-GB"/>
        </w:rPr>
        <w:t xml:space="preserve"> implementation,</w:t>
      </w:r>
      <w:r w:rsidR="00FB5F61" w:rsidRPr="0008442A">
        <w:rPr>
          <w:sz w:val="20"/>
          <w:lang w:val="en-GB"/>
        </w:rPr>
        <w:t xml:space="preserve"> </w:t>
      </w:r>
      <w:r w:rsidR="001254C0" w:rsidRPr="0008442A">
        <w:rPr>
          <w:sz w:val="20"/>
          <w:lang w:val="en-GB"/>
        </w:rPr>
        <w:t xml:space="preserve">the </w:t>
      </w:r>
      <w:r w:rsidR="00801EFE" w:rsidRPr="0008442A">
        <w:rPr>
          <w:sz w:val="20"/>
          <w:lang w:val="en-GB"/>
        </w:rPr>
        <w:t>Party concerned</w:t>
      </w:r>
      <w:r w:rsidR="001254C0" w:rsidRPr="0008442A">
        <w:rPr>
          <w:sz w:val="20"/>
          <w:lang w:val="en-GB"/>
        </w:rPr>
        <w:t xml:space="preserve"> claims that </w:t>
      </w:r>
      <w:r w:rsidR="00FB5F61" w:rsidRPr="0008442A">
        <w:rPr>
          <w:sz w:val="20"/>
          <w:lang w:val="en-GB"/>
        </w:rPr>
        <w:t>persons may plead the invalidity of the EU act before the national courts and tribunals and cause the latter to request a preliminary ruling under article 267 TFEU.</w:t>
      </w:r>
      <w:r w:rsidR="00FB5F61" w:rsidRPr="0008442A">
        <w:rPr>
          <w:rStyle w:val="FootnoteReference"/>
          <w:sz w:val="20"/>
          <w:lang w:val="en-GB"/>
        </w:rPr>
        <w:footnoteReference w:id="21"/>
      </w:r>
    </w:p>
    <w:p w14:paraId="76F92F44" w14:textId="3CFAE74A" w:rsidR="003E534D" w:rsidRPr="0008442A" w:rsidRDefault="003E534D" w:rsidP="00BE5AAE">
      <w:pPr>
        <w:pStyle w:val="SingleTxtG"/>
        <w:numPr>
          <w:ilvl w:val="0"/>
          <w:numId w:val="3"/>
        </w:numPr>
        <w:tabs>
          <w:tab w:val="clear" w:pos="1853"/>
          <w:tab w:val="num" w:pos="1134"/>
        </w:tabs>
        <w:ind w:left="1134" w:right="0" w:firstLine="0"/>
        <w:rPr>
          <w:color w:val="000000"/>
          <w:sz w:val="20"/>
          <w:lang w:val="en-GB"/>
        </w:rPr>
      </w:pPr>
      <w:bookmarkStart w:id="14" w:name="_Ref510773884"/>
      <w:r w:rsidRPr="0008442A">
        <w:rPr>
          <w:color w:val="000000"/>
          <w:sz w:val="20"/>
          <w:lang w:val="en-GB"/>
        </w:rPr>
        <w:t>The Party concerned</w:t>
      </w:r>
      <w:r w:rsidR="001254C0" w:rsidRPr="0008442A">
        <w:rPr>
          <w:color w:val="000000"/>
          <w:sz w:val="20"/>
          <w:lang w:val="en-GB"/>
        </w:rPr>
        <w:t xml:space="preserve"> </w:t>
      </w:r>
      <w:r w:rsidRPr="0008442A">
        <w:rPr>
          <w:color w:val="000000"/>
          <w:sz w:val="20"/>
          <w:lang w:val="en-GB"/>
        </w:rPr>
        <w:t xml:space="preserve">submits that it has thereby established a complete system of legal remedies and procedures to ensure judicial review of the legality of EU acts and the communicant </w:t>
      </w:r>
      <w:r w:rsidR="00B274EF">
        <w:rPr>
          <w:color w:val="000000"/>
          <w:sz w:val="20"/>
          <w:lang w:val="en-GB"/>
        </w:rPr>
        <w:t>has</w:t>
      </w:r>
      <w:r w:rsidR="00B274EF" w:rsidRPr="0008442A">
        <w:rPr>
          <w:color w:val="000000"/>
          <w:sz w:val="20"/>
          <w:lang w:val="en-GB"/>
        </w:rPr>
        <w:t xml:space="preserve"> </w:t>
      </w:r>
      <w:r w:rsidRPr="0008442A">
        <w:rPr>
          <w:color w:val="000000"/>
          <w:sz w:val="20"/>
          <w:lang w:val="en-GB"/>
        </w:rPr>
        <w:t>not provide</w:t>
      </w:r>
      <w:r w:rsidR="00B274EF">
        <w:rPr>
          <w:color w:val="000000"/>
          <w:sz w:val="20"/>
          <w:lang w:val="en-GB"/>
        </w:rPr>
        <w:t>d</w:t>
      </w:r>
      <w:r w:rsidRPr="0008442A">
        <w:rPr>
          <w:color w:val="000000"/>
          <w:sz w:val="20"/>
          <w:lang w:val="en-GB"/>
        </w:rPr>
        <w:t xml:space="preserve"> any evidence to demonstrate that it ha</w:t>
      </w:r>
      <w:r w:rsidR="00B274EF">
        <w:rPr>
          <w:color w:val="000000"/>
          <w:sz w:val="20"/>
          <w:lang w:val="en-GB"/>
        </w:rPr>
        <w:t>s</w:t>
      </w:r>
      <w:r w:rsidRPr="0008442A">
        <w:rPr>
          <w:color w:val="000000"/>
          <w:sz w:val="20"/>
          <w:lang w:val="en-GB"/>
        </w:rPr>
        <w:t xml:space="preserve"> </w:t>
      </w:r>
      <w:r w:rsidR="00C90CA6" w:rsidRPr="0008442A">
        <w:rPr>
          <w:color w:val="000000"/>
          <w:sz w:val="20"/>
          <w:lang w:val="en-GB"/>
        </w:rPr>
        <w:t>availed itself of</w:t>
      </w:r>
      <w:r w:rsidRPr="0008442A">
        <w:rPr>
          <w:color w:val="000000"/>
          <w:sz w:val="20"/>
          <w:lang w:val="en-GB"/>
        </w:rPr>
        <w:t xml:space="preserve"> such remedies.</w:t>
      </w:r>
      <w:r w:rsidR="00B0333E" w:rsidRPr="0008442A">
        <w:rPr>
          <w:rStyle w:val="FootnoteReference"/>
          <w:color w:val="000000"/>
          <w:sz w:val="20"/>
          <w:lang w:val="en-GB"/>
        </w:rPr>
        <w:t xml:space="preserve"> </w:t>
      </w:r>
      <w:r w:rsidR="00B0333E" w:rsidRPr="0008442A">
        <w:rPr>
          <w:rStyle w:val="FootnoteReference"/>
          <w:color w:val="000000"/>
          <w:sz w:val="20"/>
          <w:lang w:val="en-GB"/>
        </w:rPr>
        <w:footnoteReference w:id="22"/>
      </w:r>
      <w:bookmarkEnd w:id="14"/>
    </w:p>
    <w:p w14:paraId="521E3AC1" w14:textId="4BFC6FE5" w:rsidR="005A25C6" w:rsidRPr="0008442A" w:rsidRDefault="005A25C6" w:rsidP="006A5D08">
      <w:pPr>
        <w:pStyle w:val="SingleTxtG"/>
        <w:numPr>
          <w:ilvl w:val="0"/>
          <w:numId w:val="3"/>
        </w:numPr>
        <w:tabs>
          <w:tab w:val="clear" w:pos="1853"/>
          <w:tab w:val="num" w:pos="1277"/>
        </w:tabs>
        <w:autoSpaceDE w:val="0"/>
        <w:autoSpaceDN w:val="0"/>
        <w:adjustRightInd w:val="0"/>
        <w:ind w:left="1123" w:right="0" w:firstLine="0"/>
        <w:rPr>
          <w:sz w:val="20"/>
          <w:lang w:val="en-GB"/>
        </w:rPr>
      </w:pPr>
      <w:r w:rsidRPr="0008442A">
        <w:rPr>
          <w:sz w:val="20"/>
          <w:lang w:val="en-GB"/>
        </w:rPr>
        <w:t xml:space="preserve">The communicant </w:t>
      </w:r>
      <w:r w:rsidR="002C4F81">
        <w:rPr>
          <w:sz w:val="20"/>
          <w:lang w:val="en-GB"/>
        </w:rPr>
        <w:t>acknowledges</w:t>
      </w:r>
      <w:r w:rsidR="002C4F81" w:rsidRPr="0008442A">
        <w:rPr>
          <w:sz w:val="20"/>
          <w:lang w:val="en-GB"/>
        </w:rPr>
        <w:t xml:space="preserve"> </w:t>
      </w:r>
      <w:r w:rsidRPr="0008442A">
        <w:rPr>
          <w:sz w:val="20"/>
          <w:lang w:val="en-GB"/>
        </w:rPr>
        <w:t>that no domestic remedies have been invoked. It submits that the TFEU does not grant general standing to NGOs to file a case before the CJEU.</w:t>
      </w:r>
      <w:r w:rsidRPr="0008442A">
        <w:rPr>
          <w:rStyle w:val="FootnoteReference"/>
          <w:sz w:val="20"/>
          <w:lang w:val="en-GB"/>
        </w:rPr>
        <w:footnoteReference w:id="23"/>
      </w:r>
    </w:p>
    <w:p w14:paraId="6CC0E25D" w14:textId="2E5D733E" w:rsidR="005A25C6" w:rsidRPr="0008442A" w:rsidRDefault="005A25C6" w:rsidP="00BE5AAE">
      <w:pPr>
        <w:pStyle w:val="SingleTxtG"/>
        <w:numPr>
          <w:ilvl w:val="0"/>
          <w:numId w:val="3"/>
        </w:numPr>
        <w:tabs>
          <w:tab w:val="clear" w:pos="1853"/>
          <w:tab w:val="num" w:pos="1134"/>
        </w:tabs>
        <w:ind w:left="1134" w:right="0" w:firstLine="0"/>
        <w:rPr>
          <w:color w:val="000000"/>
          <w:sz w:val="20"/>
          <w:lang w:val="en-GB"/>
        </w:rPr>
      </w:pPr>
      <w:r w:rsidRPr="0008442A">
        <w:rPr>
          <w:color w:val="000000"/>
          <w:sz w:val="20"/>
          <w:lang w:val="en-GB"/>
        </w:rPr>
        <w:lastRenderedPageBreak/>
        <w:t>Firstly, the communicant submits that an annulment action under article 263 TFEU is not an available domestic remedy because the communicant would be required to demonstrate “direct or individual concern” in accordance with the so-called “</w:t>
      </w:r>
      <w:proofErr w:type="spellStart"/>
      <w:r w:rsidRPr="0008442A">
        <w:rPr>
          <w:color w:val="000000"/>
          <w:sz w:val="20"/>
          <w:lang w:val="en-GB"/>
        </w:rPr>
        <w:t>Plaumann</w:t>
      </w:r>
      <w:proofErr w:type="spellEnd"/>
      <w:r w:rsidRPr="0008442A">
        <w:rPr>
          <w:color w:val="000000"/>
          <w:sz w:val="20"/>
          <w:lang w:val="en-GB"/>
        </w:rPr>
        <w:t xml:space="preserve"> test</w:t>
      </w:r>
      <w:r w:rsidRPr="008B183A">
        <w:rPr>
          <w:color w:val="000000"/>
          <w:sz w:val="20"/>
          <w:szCs w:val="20"/>
          <w:lang w:val="en-GB"/>
        </w:rPr>
        <w:t>”</w:t>
      </w:r>
      <w:r w:rsidR="00E811DE" w:rsidRPr="008B183A">
        <w:rPr>
          <w:color w:val="000000"/>
          <w:sz w:val="20"/>
          <w:szCs w:val="20"/>
          <w:lang w:val="en-GB"/>
        </w:rPr>
        <w:t>.</w:t>
      </w:r>
      <w:r w:rsidRPr="0008442A">
        <w:rPr>
          <w:rStyle w:val="FootnoteReference"/>
          <w:color w:val="000000"/>
          <w:sz w:val="20"/>
          <w:lang w:val="en-GB"/>
        </w:rPr>
        <w:footnoteReference w:id="24"/>
      </w:r>
      <w:r w:rsidRPr="0008442A">
        <w:rPr>
          <w:color w:val="000000"/>
          <w:sz w:val="20"/>
          <w:lang w:val="en-GB"/>
        </w:rPr>
        <w:t xml:space="preserve"> It submits that in accordance with the </w:t>
      </w:r>
      <w:r w:rsidRPr="008B183A">
        <w:rPr>
          <w:color w:val="000000"/>
          <w:sz w:val="20"/>
          <w:szCs w:val="20"/>
          <w:lang w:val="en-GB"/>
        </w:rPr>
        <w:t>judgment</w:t>
      </w:r>
      <w:r w:rsidR="00E811DE" w:rsidRPr="008B183A">
        <w:rPr>
          <w:color w:val="000000"/>
          <w:sz w:val="20"/>
          <w:szCs w:val="20"/>
          <w:lang w:val="en-GB"/>
        </w:rPr>
        <w:t xml:space="preserve"> in the </w:t>
      </w:r>
      <w:r w:rsidR="00E811DE" w:rsidRPr="0008442A">
        <w:rPr>
          <w:i/>
          <w:color w:val="000000"/>
          <w:sz w:val="20"/>
          <w:lang w:val="en-GB"/>
        </w:rPr>
        <w:t>Inuit</w:t>
      </w:r>
      <w:r w:rsidR="00E811DE" w:rsidRPr="008B183A">
        <w:rPr>
          <w:color w:val="000000"/>
          <w:sz w:val="20"/>
          <w:szCs w:val="20"/>
          <w:lang w:val="en-GB"/>
        </w:rPr>
        <w:t xml:space="preserve"> case,</w:t>
      </w:r>
      <w:r w:rsidRPr="0008442A">
        <w:rPr>
          <w:rStyle w:val="FootnoteReference"/>
          <w:color w:val="000000"/>
          <w:sz w:val="20"/>
          <w:lang w:val="en-GB"/>
        </w:rPr>
        <w:footnoteReference w:id="25"/>
      </w:r>
      <w:r w:rsidRPr="0008442A">
        <w:rPr>
          <w:color w:val="000000"/>
          <w:sz w:val="20"/>
          <w:lang w:val="en-GB"/>
        </w:rPr>
        <w:t xml:space="preserve"> neither the communicant nor any other NGO would fulfil this requirement </w:t>
      </w:r>
      <w:r w:rsidR="00121948" w:rsidRPr="0008442A">
        <w:rPr>
          <w:color w:val="000000"/>
          <w:sz w:val="20"/>
          <w:lang w:val="en-GB"/>
        </w:rPr>
        <w:t xml:space="preserve">in </w:t>
      </w:r>
      <w:r w:rsidR="00121948" w:rsidRPr="008B183A">
        <w:rPr>
          <w:color w:val="000000"/>
          <w:sz w:val="20"/>
          <w:szCs w:val="20"/>
          <w:lang w:val="en-GB"/>
        </w:rPr>
        <w:t>respect</w:t>
      </w:r>
      <w:r w:rsidR="00121948" w:rsidRPr="0008442A">
        <w:rPr>
          <w:color w:val="000000"/>
          <w:sz w:val="20"/>
          <w:lang w:val="en-GB"/>
        </w:rPr>
        <w:t xml:space="preserve"> of</w:t>
      </w:r>
      <w:r w:rsidRPr="0008442A">
        <w:rPr>
          <w:color w:val="000000"/>
          <w:sz w:val="20"/>
          <w:lang w:val="en-GB"/>
        </w:rPr>
        <w:t xml:space="preserve"> </w:t>
      </w:r>
      <w:r w:rsidR="002C4F81">
        <w:rPr>
          <w:color w:val="000000"/>
          <w:sz w:val="20"/>
          <w:lang w:val="en-GB"/>
        </w:rPr>
        <w:t>a</w:t>
      </w:r>
      <w:r w:rsidR="002C4F81" w:rsidRPr="0008442A">
        <w:rPr>
          <w:color w:val="000000"/>
          <w:sz w:val="20"/>
          <w:lang w:val="en-GB"/>
        </w:rPr>
        <w:t xml:space="preserve"> </w:t>
      </w:r>
      <w:r w:rsidRPr="0008442A">
        <w:rPr>
          <w:color w:val="000000"/>
          <w:sz w:val="20"/>
          <w:lang w:val="en-GB"/>
        </w:rPr>
        <w:t>claim that the IED fails to comply with the requirements of the Convention.</w:t>
      </w:r>
      <w:r w:rsidRPr="0008442A">
        <w:rPr>
          <w:rStyle w:val="FootnoteReference"/>
          <w:color w:val="000000"/>
          <w:sz w:val="20"/>
          <w:lang w:val="en-GB"/>
        </w:rPr>
        <w:footnoteReference w:id="26"/>
      </w:r>
    </w:p>
    <w:p w14:paraId="3EB90B56" w14:textId="31953B53" w:rsidR="005A25C6" w:rsidRPr="0008442A" w:rsidRDefault="005A25C6" w:rsidP="00BE5AAE">
      <w:pPr>
        <w:pStyle w:val="SingleTxtG"/>
        <w:numPr>
          <w:ilvl w:val="0"/>
          <w:numId w:val="3"/>
        </w:numPr>
        <w:tabs>
          <w:tab w:val="clear" w:pos="1853"/>
          <w:tab w:val="num" w:pos="1134"/>
        </w:tabs>
        <w:ind w:left="1134" w:right="0" w:firstLine="0"/>
        <w:rPr>
          <w:color w:val="000000"/>
          <w:sz w:val="20"/>
          <w:lang w:val="en-GB"/>
        </w:rPr>
      </w:pPr>
      <w:r w:rsidRPr="0008442A">
        <w:rPr>
          <w:color w:val="000000"/>
          <w:sz w:val="20"/>
          <w:lang w:val="en-GB"/>
        </w:rPr>
        <w:t>Secondly, the communicant allege</w:t>
      </w:r>
      <w:r w:rsidR="002C4F81">
        <w:rPr>
          <w:color w:val="000000"/>
          <w:sz w:val="20"/>
          <w:lang w:val="en-GB"/>
        </w:rPr>
        <w:t>s</w:t>
      </w:r>
      <w:r w:rsidRPr="0008442A">
        <w:rPr>
          <w:color w:val="000000"/>
          <w:sz w:val="20"/>
          <w:lang w:val="en-GB"/>
        </w:rPr>
        <w:t xml:space="preserve"> that article 277 TFEU does not provide an effective and sufficient means of redress because it provides only for a very limited action to indirectly challenge the legality of an EU act in the course of other ongoing legal proceedings and not a cause of action in its own right.</w:t>
      </w:r>
      <w:r w:rsidRPr="0008442A">
        <w:rPr>
          <w:rStyle w:val="FootnoteReference"/>
          <w:color w:val="000000"/>
          <w:sz w:val="20"/>
          <w:lang w:val="en-GB"/>
        </w:rPr>
        <w:footnoteReference w:id="27"/>
      </w:r>
      <w:r w:rsidR="00706D9A" w:rsidRPr="0008442A">
        <w:rPr>
          <w:color w:val="000000"/>
          <w:sz w:val="20"/>
          <w:lang w:val="en-GB"/>
        </w:rPr>
        <w:t xml:space="preserve"> The communicant submits that this action can only be invoked as an ancillary plea to challenge a measure implementing an EU act, such as a decision which implement</w:t>
      </w:r>
      <w:r w:rsidR="00BB5817" w:rsidRPr="0008442A">
        <w:rPr>
          <w:color w:val="000000"/>
          <w:sz w:val="20"/>
          <w:lang w:val="en-GB"/>
        </w:rPr>
        <w:t>s</w:t>
      </w:r>
      <w:r w:rsidR="00706D9A" w:rsidRPr="0008442A">
        <w:rPr>
          <w:color w:val="000000"/>
          <w:sz w:val="20"/>
          <w:lang w:val="en-GB"/>
        </w:rPr>
        <w:t xml:space="preserve"> a regulation, and not an act itself such as the IED.</w:t>
      </w:r>
      <w:r w:rsidR="00706D9A" w:rsidRPr="0008442A">
        <w:rPr>
          <w:rStyle w:val="FootnoteReference"/>
          <w:color w:val="000000"/>
          <w:sz w:val="20"/>
          <w:lang w:val="en-GB"/>
        </w:rPr>
        <w:footnoteReference w:id="28"/>
      </w:r>
    </w:p>
    <w:p w14:paraId="5BF4BE54" w14:textId="47D6C0C9" w:rsidR="00706D9A" w:rsidRPr="0008442A" w:rsidRDefault="00706D9A" w:rsidP="00BE5AAE">
      <w:pPr>
        <w:pStyle w:val="SingleTxtG"/>
        <w:numPr>
          <w:ilvl w:val="0"/>
          <w:numId w:val="3"/>
        </w:numPr>
        <w:tabs>
          <w:tab w:val="clear" w:pos="1853"/>
          <w:tab w:val="num" w:pos="1134"/>
        </w:tabs>
        <w:ind w:left="1134" w:right="0" w:firstLine="0"/>
        <w:rPr>
          <w:color w:val="000000"/>
          <w:sz w:val="20"/>
          <w:lang w:val="en-GB"/>
        </w:rPr>
      </w:pPr>
      <w:bookmarkStart w:id="15" w:name="_Ref510801428"/>
      <w:r w:rsidRPr="0008442A">
        <w:rPr>
          <w:color w:val="000000"/>
          <w:sz w:val="20"/>
          <w:lang w:val="en-GB"/>
        </w:rPr>
        <w:t xml:space="preserve">Thirdly, </w:t>
      </w:r>
      <w:r w:rsidR="0095294B" w:rsidRPr="0008442A">
        <w:rPr>
          <w:color w:val="000000"/>
          <w:sz w:val="20"/>
          <w:lang w:val="en-GB"/>
        </w:rPr>
        <w:t xml:space="preserve">the communicant submits that the possibility to plead the invalidity of the IED in front of the national courts based on </w:t>
      </w:r>
      <w:r w:rsidR="00CB7FA5" w:rsidRPr="0008442A">
        <w:rPr>
          <w:color w:val="000000"/>
          <w:sz w:val="20"/>
          <w:lang w:val="en-GB"/>
        </w:rPr>
        <w:t xml:space="preserve">article 267 TFEU </w:t>
      </w:r>
      <w:r w:rsidR="0095294B" w:rsidRPr="0008442A">
        <w:rPr>
          <w:color w:val="000000"/>
          <w:sz w:val="20"/>
          <w:lang w:val="en-GB"/>
        </w:rPr>
        <w:t xml:space="preserve">and </w:t>
      </w:r>
      <w:r w:rsidR="00BB5817" w:rsidRPr="0008442A">
        <w:rPr>
          <w:color w:val="000000"/>
          <w:sz w:val="20"/>
          <w:lang w:val="en-GB"/>
        </w:rPr>
        <w:t xml:space="preserve">to </w:t>
      </w:r>
      <w:r w:rsidR="0095294B" w:rsidRPr="0008442A">
        <w:rPr>
          <w:color w:val="000000"/>
          <w:sz w:val="20"/>
          <w:lang w:val="en-GB"/>
        </w:rPr>
        <w:t>potentially obtain a preliminary ruling from the CJEU is not practicable.</w:t>
      </w:r>
      <w:r w:rsidR="0095294B" w:rsidRPr="0008442A">
        <w:rPr>
          <w:rStyle w:val="FootnoteReference"/>
          <w:color w:val="000000"/>
          <w:sz w:val="20"/>
          <w:lang w:val="en-GB"/>
        </w:rPr>
        <w:footnoteReference w:id="29"/>
      </w:r>
      <w:r w:rsidR="0095294B" w:rsidRPr="0008442A">
        <w:rPr>
          <w:color w:val="000000"/>
          <w:sz w:val="20"/>
          <w:lang w:val="en-GB"/>
        </w:rPr>
        <w:t xml:space="preserve"> The communicant submits that first instance courts are not required to refer a question for </w:t>
      </w:r>
      <w:r w:rsidR="00BB5817" w:rsidRPr="0008442A">
        <w:rPr>
          <w:color w:val="000000"/>
          <w:sz w:val="20"/>
          <w:lang w:val="en-GB"/>
        </w:rPr>
        <w:t xml:space="preserve">a </w:t>
      </w:r>
      <w:r w:rsidR="0095294B" w:rsidRPr="0008442A">
        <w:rPr>
          <w:color w:val="000000"/>
          <w:sz w:val="20"/>
          <w:lang w:val="en-GB"/>
        </w:rPr>
        <w:t>preliminary ruling, a final court may decide not to refer a question because it considers that there is no need to interpret a matter of EU law, a national court may be reluctant to make a preliminary reference due to fear of further delays, a national court may err in its decision on whether it should make a preliminary reference and the applicant cannot formulate the questions that are referred by the national court.</w:t>
      </w:r>
      <w:r w:rsidR="0095294B" w:rsidRPr="0008442A">
        <w:rPr>
          <w:rStyle w:val="FootnoteReference"/>
          <w:color w:val="000000"/>
          <w:sz w:val="20"/>
          <w:lang w:val="en-GB"/>
        </w:rPr>
        <w:footnoteReference w:id="30"/>
      </w:r>
      <w:r w:rsidR="0095294B" w:rsidRPr="0008442A">
        <w:rPr>
          <w:color w:val="000000"/>
          <w:sz w:val="20"/>
          <w:lang w:val="en-GB"/>
        </w:rPr>
        <w:t xml:space="preserve"> The communicant further alleges that it would require at least 8 years to adjudicate the case </w:t>
      </w:r>
      <w:r w:rsidR="00BB5817" w:rsidRPr="0008442A">
        <w:rPr>
          <w:color w:val="000000"/>
          <w:sz w:val="20"/>
          <w:lang w:val="en-GB"/>
        </w:rPr>
        <w:t xml:space="preserve">at the </w:t>
      </w:r>
      <w:r w:rsidR="0095294B" w:rsidRPr="0008442A">
        <w:rPr>
          <w:color w:val="000000"/>
          <w:sz w:val="20"/>
          <w:lang w:val="en-GB"/>
        </w:rPr>
        <w:t>first instance</w:t>
      </w:r>
      <w:r w:rsidR="00BB5817" w:rsidRPr="0008442A">
        <w:rPr>
          <w:color w:val="000000"/>
          <w:sz w:val="20"/>
          <w:lang w:val="en-GB"/>
        </w:rPr>
        <w:t>,</w:t>
      </w:r>
      <w:r w:rsidR="0095294B" w:rsidRPr="0008442A">
        <w:rPr>
          <w:color w:val="000000"/>
          <w:sz w:val="20"/>
          <w:lang w:val="en-GB"/>
        </w:rPr>
        <w:t xml:space="preserve"> second or final instance court and the CJEU. It submits that this would amount to a situation of “justice delayed is justice denied”, in particular because the permit considerations of major IED activities are scheduled to be completed </w:t>
      </w:r>
      <w:r w:rsidR="002C4F81">
        <w:rPr>
          <w:color w:val="000000"/>
          <w:sz w:val="20"/>
          <w:lang w:val="en-GB"/>
        </w:rPr>
        <w:t xml:space="preserve">by </w:t>
      </w:r>
      <w:r w:rsidR="0095294B" w:rsidRPr="0008442A">
        <w:rPr>
          <w:color w:val="000000"/>
          <w:sz w:val="20"/>
          <w:lang w:val="en-GB"/>
        </w:rPr>
        <w:t>2018.</w:t>
      </w:r>
      <w:r w:rsidR="0095294B" w:rsidRPr="0008442A">
        <w:rPr>
          <w:rStyle w:val="FootnoteReference"/>
          <w:color w:val="000000"/>
          <w:sz w:val="20"/>
          <w:lang w:val="en-GB"/>
        </w:rPr>
        <w:footnoteReference w:id="31"/>
      </w:r>
      <w:r w:rsidR="00D6608B" w:rsidRPr="0008442A">
        <w:rPr>
          <w:color w:val="000000"/>
          <w:sz w:val="20"/>
          <w:lang w:val="en-GB"/>
        </w:rPr>
        <w:t xml:space="preserve"> The communicant further submits that such a case would be limited to challenging the reconsideration or updating of a specific permit</w:t>
      </w:r>
      <w:r w:rsidR="001D22EA" w:rsidRPr="008B183A">
        <w:rPr>
          <w:color w:val="000000"/>
          <w:sz w:val="20"/>
          <w:szCs w:val="20"/>
          <w:lang w:val="en-GB"/>
        </w:rPr>
        <w:t xml:space="preserve"> and</w:t>
      </w:r>
      <w:r w:rsidR="00D6608B" w:rsidRPr="0008442A">
        <w:rPr>
          <w:color w:val="000000"/>
          <w:sz w:val="20"/>
          <w:lang w:val="en-GB"/>
        </w:rPr>
        <w:t xml:space="preserve"> the questions referred for preliminary ruling would likely </w:t>
      </w:r>
      <w:r w:rsidR="00BB5817" w:rsidRPr="0008442A">
        <w:rPr>
          <w:color w:val="000000"/>
          <w:sz w:val="20"/>
          <w:lang w:val="en-GB"/>
        </w:rPr>
        <w:t xml:space="preserve">also </w:t>
      </w:r>
      <w:r w:rsidR="00D6608B" w:rsidRPr="0008442A">
        <w:rPr>
          <w:color w:val="000000"/>
          <w:sz w:val="20"/>
          <w:lang w:val="en-GB"/>
        </w:rPr>
        <w:t xml:space="preserve">focus on </w:t>
      </w:r>
      <w:r w:rsidR="002C4F81" w:rsidRPr="0008442A">
        <w:rPr>
          <w:color w:val="000000"/>
          <w:sz w:val="20"/>
          <w:lang w:val="en-GB"/>
        </w:rPr>
        <w:t>th</w:t>
      </w:r>
      <w:r w:rsidR="002C4F81">
        <w:rPr>
          <w:color w:val="000000"/>
          <w:sz w:val="20"/>
          <w:lang w:val="en-GB"/>
        </w:rPr>
        <w:t>e</w:t>
      </w:r>
      <w:r w:rsidR="002C4F81" w:rsidRPr="0008442A">
        <w:rPr>
          <w:color w:val="000000"/>
          <w:sz w:val="20"/>
          <w:lang w:val="en-GB"/>
        </w:rPr>
        <w:t xml:space="preserve"> </w:t>
      </w:r>
      <w:r w:rsidR="00D6608B" w:rsidRPr="0008442A">
        <w:rPr>
          <w:color w:val="000000"/>
          <w:sz w:val="20"/>
          <w:lang w:val="en-GB"/>
        </w:rPr>
        <w:t>specific case</w:t>
      </w:r>
      <w:r w:rsidR="002C4F81">
        <w:rPr>
          <w:color w:val="000000"/>
          <w:sz w:val="20"/>
          <w:lang w:val="en-GB"/>
        </w:rPr>
        <w:t xml:space="preserve">. This would mean that </w:t>
      </w:r>
      <w:r w:rsidR="00D6608B" w:rsidRPr="0008442A">
        <w:rPr>
          <w:color w:val="000000"/>
          <w:sz w:val="20"/>
          <w:lang w:val="en-GB"/>
        </w:rPr>
        <w:t xml:space="preserve">only one of the </w:t>
      </w:r>
      <w:r w:rsidR="002C4F81">
        <w:rPr>
          <w:color w:val="000000"/>
          <w:sz w:val="20"/>
          <w:lang w:val="en-GB"/>
        </w:rPr>
        <w:t>categories of cases</w:t>
      </w:r>
      <w:r w:rsidR="00D6608B" w:rsidRPr="0008442A">
        <w:rPr>
          <w:color w:val="000000"/>
          <w:sz w:val="20"/>
          <w:lang w:val="en-GB"/>
        </w:rPr>
        <w:t xml:space="preserve"> in which no public participation is required under the IED would be </w:t>
      </w:r>
      <w:proofErr w:type="spellStart"/>
      <w:r w:rsidR="002C4F81">
        <w:rPr>
          <w:color w:val="000000"/>
          <w:sz w:val="20"/>
          <w:lang w:val="en-GB"/>
        </w:rPr>
        <w:t>analyzed</w:t>
      </w:r>
      <w:proofErr w:type="spellEnd"/>
      <w:r w:rsidR="00D6608B" w:rsidRPr="0008442A">
        <w:rPr>
          <w:color w:val="000000"/>
          <w:sz w:val="20"/>
          <w:lang w:val="en-GB"/>
        </w:rPr>
        <w:t>.</w:t>
      </w:r>
      <w:r w:rsidR="00D6608B" w:rsidRPr="0008442A">
        <w:rPr>
          <w:rStyle w:val="FootnoteReference"/>
          <w:color w:val="000000"/>
          <w:sz w:val="20"/>
          <w:lang w:val="en-GB"/>
        </w:rPr>
        <w:footnoteReference w:id="32"/>
      </w:r>
      <w:bookmarkEnd w:id="15"/>
    </w:p>
    <w:p w14:paraId="57367F6B" w14:textId="77777777" w:rsidR="0023575C" w:rsidRPr="008B183A" w:rsidRDefault="0023575C" w:rsidP="00F1407F">
      <w:pPr>
        <w:pStyle w:val="H1G"/>
        <w:numPr>
          <w:ilvl w:val="0"/>
          <w:numId w:val="4"/>
        </w:numPr>
        <w:tabs>
          <w:tab w:val="clear" w:pos="1200"/>
          <w:tab w:val="num" w:pos="1134"/>
        </w:tabs>
        <w:ind w:right="0"/>
      </w:pPr>
      <w:r w:rsidRPr="008B183A">
        <w:t>Substantive issues</w:t>
      </w:r>
    </w:p>
    <w:p w14:paraId="60C32315" w14:textId="0E2B8EA1" w:rsidR="00090B39" w:rsidRPr="0008442A" w:rsidRDefault="003E534D" w:rsidP="006A5D08">
      <w:pPr>
        <w:pStyle w:val="SingleTxtG"/>
        <w:autoSpaceDE w:val="0"/>
        <w:autoSpaceDN w:val="0"/>
        <w:adjustRightInd w:val="0"/>
        <w:ind w:right="0"/>
        <w:rPr>
          <w:b/>
          <w:sz w:val="20"/>
          <w:lang w:val="en-GB"/>
        </w:rPr>
      </w:pPr>
      <w:r w:rsidRPr="0008442A">
        <w:rPr>
          <w:b/>
          <w:sz w:val="20"/>
          <w:lang w:val="en-GB"/>
        </w:rPr>
        <w:t>Applicability of a</w:t>
      </w:r>
      <w:r w:rsidR="00090B39" w:rsidRPr="0008442A">
        <w:rPr>
          <w:b/>
          <w:sz w:val="20"/>
          <w:lang w:val="en-GB"/>
        </w:rPr>
        <w:t>rticle 6</w:t>
      </w:r>
      <w:r w:rsidR="007B5109" w:rsidRPr="0008442A">
        <w:rPr>
          <w:b/>
          <w:sz w:val="20"/>
          <w:lang w:val="en-GB"/>
        </w:rPr>
        <w:t>(</w:t>
      </w:r>
      <w:r w:rsidR="00090B39" w:rsidRPr="0008442A">
        <w:rPr>
          <w:b/>
          <w:sz w:val="20"/>
          <w:lang w:val="en-GB"/>
        </w:rPr>
        <w:t>1</w:t>
      </w:r>
      <w:r w:rsidR="007B5109" w:rsidRPr="0008442A">
        <w:rPr>
          <w:b/>
          <w:sz w:val="20"/>
          <w:lang w:val="en-GB"/>
        </w:rPr>
        <w:t>)</w:t>
      </w:r>
      <w:r w:rsidR="00090B39" w:rsidRPr="0008442A">
        <w:rPr>
          <w:b/>
          <w:sz w:val="20"/>
          <w:lang w:val="en-GB"/>
        </w:rPr>
        <w:t>(a</w:t>
      </w:r>
      <w:r w:rsidR="00090B39" w:rsidRPr="008B183A">
        <w:rPr>
          <w:b/>
          <w:sz w:val="20"/>
          <w:szCs w:val="20"/>
          <w:lang w:val="en-GB"/>
        </w:rPr>
        <w:t>)</w:t>
      </w:r>
      <w:r w:rsidR="001D22EA" w:rsidRPr="008B183A">
        <w:rPr>
          <w:b/>
          <w:sz w:val="20"/>
          <w:szCs w:val="20"/>
          <w:lang w:val="en-GB"/>
        </w:rPr>
        <w:t xml:space="preserve"> – p</w:t>
      </w:r>
      <w:r w:rsidR="00090B39" w:rsidRPr="008B183A">
        <w:rPr>
          <w:b/>
          <w:sz w:val="20"/>
          <w:szCs w:val="20"/>
          <w:lang w:val="en-GB"/>
        </w:rPr>
        <w:t>ermit</w:t>
      </w:r>
      <w:r w:rsidR="00090B39" w:rsidRPr="0008442A">
        <w:rPr>
          <w:b/>
          <w:sz w:val="20"/>
          <w:lang w:val="en-GB"/>
        </w:rPr>
        <w:t xml:space="preserve"> of proposed activities listed in annex I</w:t>
      </w:r>
    </w:p>
    <w:p w14:paraId="3925B618" w14:textId="1FD22A4A" w:rsidR="00F92949" w:rsidRPr="0008442A" w:rsidRDefault="00F92949"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16" w:name="_Ref510774252"/>
      <w:r w:rsidRPr="0008442A">
        <w:rPr>
          <w:sz w:val="20"/>
          <w:lang w:val="en-GB"/>
        </w:rPr>
        <w:t xml:space="preserve">The communicant submits that most of the industrial activities listed in annex I of the </w:t>
      </w:r>
      <w:r w:rsidR="000E18B8" w:rsidRPr="0008442A">
        <w:rPr>
          <w:sz w:val="20"/>
          <w:lang w:val="en-GB"/>
        </w:rPr>
        <w:t xml:space="preserve">Directive </w:t>
      </w:r>
      <w:r w:rsidRPr="0008442A">
        <w:rPr>
          <w:sz w:val="20"/>
          <w:lang w:val="en-GB"/>
        </w:rPr>
        <w:t xml:space="preserve">are identical </w:t>
      </w:r>
      <w:r w:rsidR="00BB5817" w:rsidRPr="0008442A">
        <w:rPr>
          <w:sz w:val="20"/>
          <w:lang w:val="en-GB"/>
        </w:rPr>
        <w:t xml:space="preserve">to </w:t>
      </w:r>
      <w:r w:rsidRPr="0008442A">
        <w:rPr>
          <w:sz w:val="20"/>
          <w:lang w:val="en-GB"/>
        </w:rPr>
        <w:t>those listed in annex I of the Convention and thus subject to article 6</w:t>
      </w:r>
      <w:r w:rsidR="007B5109" w:rsidRPr="0008442A">
        <w:rPr>
          <w:sz w:val="20"/>
          <w:lang w:val="en-GB"/>
        </w:rPr>
        <w:t>(</w:t>
      </w:r>
      <w:r w:rsidRPr="0008442A">
        <w:rPr>
          <w:sz w:val="20"/>
          <w:lang w:val="en-GB"/>
        </w:rPr>
        <w:t>1</w:t>
      </w:r>
      <w:r w:rsidR="007B5109" w:rsidRPr="0008442A">
        <w:rPr>
          <w:sz w:val="20"/>
          <w:lang w:val="en-GB"/>
        </w:rPr>
        <w:t>)</w:t>
      </w:r>
      <w:r w:rsidRPr="0008442A">
        <w:rPr>
          <w:sz w:val="20"/>
          <w:lang w:val="en-GB"/>
        </w:rPr>
        <w:t>(a) of the Convention.</w:t>
      </w:r>
      <w:r w:rsidR="00286D70" w:rsidRPr="0008442A">
        <w:rPr>
          <w:rStyle w:val="FootnoteReference"/>
          <w:sz w:val="20"/>
          <w:lang w:val="en-GB"/>
        </w:rPr>
        <w:footnoteReference w:id="33"/>
      </w:r>
      <w:bookmarkEnd w:id="16"/>
    </w:p>
    <w:p w14:paraId="76C78BE9" w14:textId="1A59B012" w:rsidR="00406091" w:rsidRDefault="0091668F"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w:t>
      </w:r>
      <w:r w:rsidR="00CC4229" w:rsidRPr="0008442A">
        <w:rPr>
          <w:sz w:val="20"/>
          <w:lang w:val="en-GB"/>
        </w:rPr>
        <w:t>he Party concerned</w:t>
      </w:r>
      <w:r w:rsidR="007B5109" w:rsidRPr="0008442A">
        <w:rPr>
          <w:sz w:val="20"/>
          <w:lang w:val="en-GB"/>
        </w:rPr>
        <w:t xml:space="preserve"> </w:t>
      </w:r>
      <w:r w:rsidRPr="0008442A">
        <w:rPr>
          <w:sz w:val="20"/>
          <w:lang w:val="en-GB"/>
        </w:rPr>
        <w:t>has not disputed this point.</w:t>
      </w:r>
    </w:p>
    <w:p w14:paraId="5735AB81" w14:textId="70625AD1" w:rsidR="00713D7C" w:rsidRPr="001954C0" w:rsidRDefault="00713D7C" w:rsidP="006A5D08">
      <w:pPr>
        <w:pStyle w:val="SingleTxtG"/>
        <w:autoSpaceDE w:val="0"/>
        <w:autoSpaceDN w:val="0"/>
        <w:adjustRightInd w:val="0"/>
        <w:ind w:right="0"/>
        <w:rPr>
          <w:b/>
          <w:sz w:val="20"/>
          <w:lang w:val="en-GB"/>
        </w:rPr>
      </w:pPr>
    </w:p>
    <w:p w14:paraId="0842FFF0" w14:textId="77777777" w:rsidR="00AA04EE" w:rsidRPr="001954C0" w:rsidRDefault="00AA04EE" w:rsidP="006A5D08">
      <w:pPr>
        <w:pStyle w:val="SingleTxtG"/>
        <w:autoSpaceDE w:val="0"/>
        <w:autoSpaceDN w:val="0"/>
        <w:adjustRightInd w:val="0"/>
        <w:ind w:right="0"/>
        <w:rPr>
          <w:b/>
          <w:sz w:val="20"/>
          <w:lang w:val="en-GB"/>
        </w:rPr>
      </w:pPr>
    </w:p>
    <w:p w14:paraId="604F57A3" w14:textId="07475933" w:rsidR="00720115" w:rsidRPr="0008442A" w:rsidRDefault="00C759E1" w:rsidP="006A5D08">
      <w:pPr>
        <w:pStyle w:val="SingleTxtG"/>
        <w:autoSpaceDE w:val="0"/>
        <w:autoSpaceDN w:val="0"/>
        <w:adjustRightInd w:val="0"/>
        <w:ind w:right="0"/>
        <w:rPr>
          <w:b/>
          <w:sz w:val="20"/>
          <w:lang w:val="en-GB"/>
        </w:rPr>
      </w:pPr>
      <w:r w:rsidRPr="0008442A">
        <w:rPr>
          <w:b/>
          <w:sz w:val="20"/>
          <w:lang w:val="en-GB"/>
        </w:rPr>
        <w:lastRenderedPageBreak/>
        <w:t>Article 6</w:t>
      </w:r>
      <w:r w:rsidR="007B5109" w:rsidRPr="0008442A">
        <w:rPr>
          <w:b/>
          <w:sz w:val="20"/>
          <w:lang w:val="en-GB"/>
        </w:rPr>
        <w:t>(</w:t>
      </w:r>
      <w:r w:rsidRPr="0008442A">
        <w:rPr>
          <w:b/>
          <w:sz w:val="20"/>
          <w:lang w:val="en-GB"/>
        </w:rPr>
        <w:t>10</w:t>
      </w:r>
      <w:r w:rsidR="007B5109" w:rsidRPr="008B183A">
        <w:rPr>
          <w:b/>
          <w:sz w:val="20"/>
          <w:szCs w:val="20"/>
          <w:lang w:val="en-GB"/>
        </w:rPr>
        <w:t>)</w:t>
      </w:r>
      <w:r w:rsidR="001D22EA" w:rsidRPr="008B183A">
        <w:rPr>
          <w:b/>
          <w:sz w:val="20"/>
          <w:szCs w:val="20"/>
          <w:lang w:val="en-GB"/>
        </w:rPr>
        <w:t xml:space="preserve"> –</w:t>
      </w:r>
      <w:r w:rsidRPr="008B183A">
        <w:rPr>
          <w:b/>
          <w:sz w:val="20"/>
          <w:szCs w:val="20"/>
          <w:lang w:val="en-GB"/>
        </w:rPr>
        <w:t xml:space="preserve"> </w:t>
      </w:r>
      <w:r w:rsidR="001D22EA" w:rsidRPr="008B183A">
        <w:rPr>
          <w:b/>
          <w:sz w:val="20"/>
          <w:szCs w:val="20"/>
          <w:lang w:val="en-GB"/>
        </w:rPr>
        <w:t>r</w:t>
      </w:r>
      <w:r w:rsidRPr="008B183A">
        <w:rPr>
          <w:b/>
          <w:sz w:val="20"/>
          <w:szCs w:val="20"/>
          <w:lang w:val="en-GB"/>
        </w:rPr>
        <w:t>econsideration</w:t>
      </w:r>
      <w:r w:rsidRPr="0008442A">
        <w:rPr>
          <w:b/>
          <w:sz w:val="20"/>
          <w:lang w:val="en-GB"/>
        </w:rPr>
        <w:t xml:space="preserve"> or update of operating conditions</w:t>
      </w:r>
    </w:p>
    <w:p w14:paraId="5EE1FAEE" w14:textId="61D040EA" w:rsidR="00EA234C" w:rsidRPr="0008442A" w:rsidRDefault="00720115"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17" w:name="_Ref507498988"/>
      <w:r w:rsidRPr="0008442A">
        <w:rPr>
          <w:sz w:val="20"/>
          <w:lang w:val="en-GB"/>
        </w:rPr>
        <w:t>The communicant</w:t>
      </w:r>
      <w:r w:rsidR="00016301" w:rsidRPr="0008442A">
        <w:rPr>
          <w:sz w:val="20"/>
          <w:lang w:val="en-GB"/>
        </w:rPr>
        <w:t xml:space="preserve"> alleges that the Party concerned</w:t>
      </w:r>
      <w:r w:rsidR="007B5109" w:rsidRPr="0008442A">
        <w:rPr>
          <w:sz w:val="20"/>
          <w:lang w:val="en-GB"/>
        </w:rPr>
        <w:t xml:space="preserve"> </w:t>
      </w:r>
      <w:r w:rsidR="00016301" w:rsidRPr="0008442A">
        <w:rPr>
          <w:sz w:val="20"/>
          <w:lang w:val="en-GB"/>
        </w:rPr>
        <w:t>fails to comply with article 6</w:t>
      </w:r>
      <w:r w:rsidR="007B5109" w:rsidRPr="0008442A">
        <w:rPr>
          <w:sz w:val="20"/>
          <w:lang w:val="en-GB"/>
        </w:rPr>
        <w:t>(</w:t>
      </w:r>
      <w:r w:rsidR="00016301" w:rsidRPr="0008442A">
        <w:rPr>
          <w:sz w:val="20"/>
          <w:lang w:val="en-GB"/>
        </w:rPr>
        <w:t>10</w:t>
      </w:r>
      <w:r w:rsidR="007B5109" w:rsidRPr="0008442A">
        <w:rPr>
          <w:sz w:val="20"/>
          <w:lang w:val="en-GB"/>
        </w:rPr>
        <w:t>)</w:t>
      </w:r>
      <w:r w:rsidR="00016301" w:rsidRPr="0008442A">
        <w:rPr>
          <w:sz w:val="20"/>
          <w:lang w:val="en-GB"/>
        </w:rPr>
        <w:t xml:space="preserve"> of the Convention</w:t>
      </w:r>
      <w:r w:rsidR="00177192" w:rsidRPr="0008442A">
        <w:rPr>
          <w:sz w:val="20"/>
          <w:lang w:val="en-GB"/>
        </w:rPr>
        <w:t xml:space="preserve"> because the </w:t>
      </w:r>
      <w:r w:rsidR="00053B12" w:rsidRPr="0008442A">
        <w:rPr>
          <w:sz w:val="20"/>
          <w:lang w:val="en-GB"/>
        </w:rPr>
        <w:t>IED</w:t>
      </w:r>
      <w:r w:rsidR="00EA234C" w:rsidRPr="0008442A">
        <w:rPr>
          <w:sz w:val="20"/>
          <w:lang w:val="en-GB"/>
        </w:rPr>
        <w:t xml:space="preserve"> fails to </w:t>
      </w:r>
      <w:r w:rsidR="00177192" w:rsidRPr="0008442A">
        <w:rPr>
          <w:sz w:val="20"/>
          <w:lang w:val="en-GB"/>
        </w:rPr>
        <w:t xml:space="preserve">provide for public participation where a permit is reconsidered or updated </w:t>
      </w:r>
      <w:r w:rsidR="006F26FB" w:rsidRPr="0008442A">
        <w:rPr>
          <w:sz w:val="20"/>
          <w:lang w:val="en-GB"/>
        </w:rPr>
        <w:t>if</w:t>
      </w:r>
      <w:r w:rsidR="00EA234C" w:rsidRPr="0008442A">
        <w:rPr>
          <w:sz w:val="20"/>
          <w:lang w:val="en-GB"/>
        </w:rPr>
        <w:t>:</w:t>
      </w:r>
      <w:bookmarkEnd w:id="17"/>
    </w:p>
    <w:p w14:paraId="15E73378" w14:textId="44647D55" w:rsidR="004A4118" w:rsidRPr="0008442A" w:rsidRDefault="001D22EA" w:rsidP="0008442A">
      <w:pPr>
        <w:pStyle w:val="SingleTxtG"/>
        <w:tabs>
          <w:tab w:val="left" w:pos="1710"/>
        </w:tabs>
        <w:autoSpaceDE w:val="0"/>
        <w:autoSpaceDN w:val="0"/>
        <w:adjustRightInd w:val="0"/>
        <w:ind w:right="0" w:firstLine="567"/>
        <w:rPr>
          <w:sz w:val="20"/>
          <w:lang w:val="en-GB"/>
        </w:rPr>
      </w:pPr>
      <w:bookmarkStart w:id="18" w:name="_Ref507499068"/>
      <w:r w:rsidRPr="008B183A">
        <w:rPr>
          <w:sz w:val="20"/>
          <w:szCs w:val="20"/>
          <w:lang w:val="en-GB"/>
        </w:rPr>
        <w:t>(a)</w:t>
      </w:r>
      <w:r w:rsidRPr="008B183A">
        <w:rPr>
          <w:sz w:val="20"/>
          <w:szCs w:val="20"/>
          <w:lang w:val="en-GB"/>
        </w:rPr>
        <w:tab/>
      </w:r>
      <w:r w:rsidR="006F26FB" w:rsidRPr="0008442A">
        <w:rPr>
          <w:sz w:val="20"/>
          <w:lang w:val="en-GB"/>
        </w:rPr>
        <w:t xml:space="preserve">A reconsideration or update </w:t>
      </w:r>
      <w:r w:rsidR="00177192" w:rsidRPr="0008442A">
        <w:rPr>
          <w:sz w:val="20"/>
          <w:lang w:val="en-GB"/>
        </w:rPr>
        <w:t>is due to the publication of new BAT conclusions in the Official Journal of the E</w:t>
      </w:r>
      <w:r w:rsidR="00EE5A98" w:rsidRPr="0008442A">
        <w:rPr>
          <w:sz w:val="20"/>
          <w:lang w:val="en-GB"/>
        </w:rPr>
        <w:t xml:space="preserve">uropean </w:t>
      </w:r>
      <w:r w:rsidR="00177192" w:rsidRPr="0008442A">
        <w:rPr>
          <w:sz w:val="20"/>
          <w:lang w:val="en-GB"/>
        </w:rPr>
        <w:t>U</w:t>
      </w:r>
      <w:r w:rsidR="00EE5A98" w:rsidRPr="0008442A">
        <w:rPr>
          <w:sz w:val="20"/>
          <w:lang w:val="en-GB"/>
        </w:rPr>
        <w:t>nion</w:t>
      </w:r>
      <w:r w:rsidR="00177192" w:rsidRPr="0008442A">
        <w:rPr>
          <w:sz w:val="20"/>
          <w:lang w:val="en-GB"/>
        </w:rPr>
        <w:t xml:space="preserve"> and to developments in the </w:t>
      </w:r>
      <w:r w:rsidR="00FC15BF" w:rsidRPr="0008442A">
        <w:rPr>
          <w:sz w:val="20"/>
          <w:lang w:val="en-GB"/>
        </w:rPr>
        <w:t>BATs</w:t>
      </w:r>
      <w:r w:rsidR="00177192" w:rsidRPr="0008442A">
        <w:rPr>
          <w:sz w:val="20"/>
          <w:lang w:val="en-GB"/>
        </w:rPr>
        <w:t xml:space="preserve"> allowing for the significant reduction of emissions if pollution caused by an installation is not significant</w:t>
      </w:r>
      <w:r w:rsidR="00D27914" w:rsidRPr="0008442A">
        <w:rPr>
          <w:sz w:val="20"/>
          <w:lang w:val="en-GB"/>
        </w:rPr>
        <w:t xml:space="preserve"> (article 21</w:t>
      </w:r>
      <w:r w:rsidR="00A01979" w:rsidRPr="0008442A">
        <w:rPr>
          <w:sz w:val="20"/>
          <w:lang w:val="en-GB"/>
        </w:rPr>
        <w:t>(</w:t>
      </w:r>
      <w:r w:rsidR="00D27914" w:rsidRPr="0008442A">
        <w:rPr>
          <w:sz w:val="20"/>
          <w:lang w:val="en-GB"/>
        </w:rPr>
        <w:t>3</w:t>
      </w:r>
      <w:r w:rsidR="00A01979" w:rsidRPr="0008442A">
        <w:rPr>
          <w:sz w:val="20"/>
          <w:lang w:val="en-GB"/>
        </w:rPr>
        <w:t>)</w:t>
      </w:r>
      <w:r w:rsidR="00D27914" w:rsidRPr="0008442A">
        <w:rPr>
          <w:sz w:val="20"/>
          <w:lang w:val="en-GB"/>
        </w:rPr>
        <w:t xml:space="preserve"> and </w:t>
      </w:r>
      <w:r w:rsidR="00A01979" w:rsidRPr="0008442A">
        <w:rPr>
          <w:sz w:val="20"/>
          <w:lang w:val="en-GB"/>
        </w:rPr>
        <w:t>(</w:t>
      </w:r>
      <w:r w:rsidR="00D27914" w:rsidRPr="0008442A">
        <w:rPr>
          <w:sz w:val="20"/>
          <w:lang w:val="en-GB"/>
        </w:rPr>
        <w:t>4</w:t>
      </w:r>
      <w:r w:rsidR="00A01979" w:rsidRPr="0008442A">
        <w:rPr>
          <w:sz w:val="20"/>
          <w:lang w:val="en-GB"/>
        </w:rPr>
        <w:t>)</w:t>
      </w:r>
      <w:r w:rsidR="00D27914" w:rsidRPr="0008442A">
        <w:rPr>
          <w:sz w:val="20"/>
          <w:lang w:val="en-GB"/>
        </w:rPr>
        <w:t xml:space="preserve"> and article 24</w:t>
      </w:r>
      <w:r w:rsidR="00A01979" w:rsidRPr="0008442A">
        <w:rPr>
          <w:sz w:val="20"/>
          <w:lang w:val="en-GB"/>
        </w:rPr>
        <w:t>(</w:t>
      </w:r>
      <w:r w:rsidR="00D27914" w:rsidRPr="0008442A">
        <w:rPr>
          <w:sz w:val="20"/>
          <w:lang w:val="en-GB"/>
        </w:rPr>
        <w:t>1</w:t>
      </w:r>
      <w:r w:rsidR="00A01979" w:rsidRPr="0008442A">
        <w:rPr>
          <w:sz w:val="20"/>
          <w:lang w:val="en-GB"/>
        </w:rPr>
        <w:t>)</w:t>
      </w:r>
      <w:r w:rsidR="00D27914" w:rsidRPr="0008442A">
        <w:rPr>
          <w:sz w:val="20"/>
          <w:lang w:val="en-GB"/>
        </w:rPr>
        <w:t>(d) IED</w:t>
      </w:r>
      <w:r w:rsidR="00D27914" w:rsidRPr="008B183A">
        <w:rPr>
          <w:sz w:val="20"/>
          <w:szCs w:val="20"/>
          <w:lang w:val="en-GB"/>
        </w:rPr>
        <w:t>)</w:t>
      </w:r>
      <w:r w:rsidR="004A4118" w:rsidRPr="008B183A">
        <w:rPr>
          <w:sz w:val="20"/>
          <w:szCs w:val="20"/>
          <w:lang w:val="en-GB"/>
        </w:rPr>
        <w:t>;</w:t>
      </w:r>
      <w:bookmarkStart w:id="19" w:name="_Ref507499100"/>
      <w:bookmarkStart w:id="20" w:name="_Ref510703634"/>
      <w:bookmarkEnd w:id="18"/>
    </w:p>
    <w:p w14:paraId="0AD6B392" w14:textId="2F5C2D72" w:rsidR="00EA234C" w:rsidRPr="0008442A" w:rsidRDefault="004A4118" w:rsidP="0008442A">
      <w:pPr>
        <w:pStyle w:val="SingleTxtG"/>
        <w:tabs>
          <w:tab w:val="left" w:pos="1710"/>
        </w:tabs>
        <w:autoSpaceDE w:val="0"/>
        <w:autoSpaceDN w:val="0"/>
        <w:adjustRightInd w:val="0"/>
        <w:ind w:right="0" w:firstLine="567"/>
        <w:rPr>
          <w:sz w:val="20"/>
          <w:lang w:val="en-GB"/>
        </w:rPr>
      </w:pPr>
      <w:r w:rsidRPr="008B183A">
        <w:rPr>
          <w:sz w:val="20"/>
          <w:szCs w:val="20"/>
          <w:lang w:val="en-GB"/>
        </w:rPr>
        <w:t>(b)</w:t>
      </w:r>
      <w:r w:rsidRPr="008B183A">
        <w:rPr>
          <w:sz w:val="20"/>
          <w:szCs w:val="20"/>
          <w:lang w:val="en-GB"/>
        </w:rPr>
        <w:tab/>
      </w:r>
      <w:r w:rsidR="006F26FB" w:rsidRPr="0008442A">
        <w:rPr>
          <w:sz w:val="20"/>
          <w:lang w:val="en-GB"/>
        </w:rPr>
        <w:t>A reconsideration or update</w:t>
      </w:r>
      <w:r w:rsidR="00177192" w:rsidRPr="0008442A">
        <w:rPr>
          <w:sz w:val="20"/>
          <w:lang w:val="en-GB"/>
        </w:rPr>
        <w:t xml:space="preserve"> is due to operational safety requirements</w:t>
      </w:r>
      <w:r w:rsidR="00D27914" w:rsidRPr="0008442A">
        <w:rPr>
          <w:sz w:val="20"/>
          <w:lang w:val="en-GB"/>
        </w:rPr>
        <w:t xml:space="preserve"> (article 21</w:t>
      </w:r>
      <w:r w:rsidR="00A01979" w:rsidRPr="0008442A">
        <w:rPr>
          <w:sz w:val="20"/>
          <w:lang w:val="en-GB"/>
        </w:rPr>
        <w:t>(</w:t>
      </w:r>
      <w:r w:rsidR="00D27914" w:rsidRPr="0008442A">
        <w:rPr>
          <w:sz w:val="20"/>
          <w:lang w:val="en-GB"/>
        </w:rPr>
        <w:t>5</w:t>
      </w:r>
      <w:r w:rsidR="00A01979" w:rsidRPr="0008442A">
        <w:rPr>
          <w:sz w:val="20"/>
          <w:lang w:val="en-GB"/>
        </w:rPr>
        <w:t>)</w:t>
      </w:r>
      <w:r w:rsidR="00D27914" w:rsidRPr="0008442A">
        <w:rPr>
          <w:sz w:val="20"/>
          <w:lang w:val="en-GB"/>
        </w:rPr>
        <w:t>(b) IED</w:t>
      </w:r>
      <w:r w:rsidR="00D27914" w:rsidRPr="008B183A">
        <w:rPr>
          <w:sz w:val="20"/>
          <w:szCs w:val="20"/>
          <w:lang w:val="en-GB"/>
        </w:rPr>
        <w:t>)</w:t>
      </w:r>
      <w:bookmarkEnd w:id="19"/>
      <w:bookmarkEnd w:id="20"/>
      <w:r w:rsidRPr="008B183A">
        <w:rPr>
          <w:sz w:val="20"/>
          <w:szCs w:val="20"/>
          <w:lang w:val="en-GB"/>
        </w:rPr>
        <w:t>;</w:t>
      </w:r>
    </w:p>
    <w:p w14:paraId="69B39931" w14:textId="473C4F50" w:rsidR="006F26FB" w:rsidRPr="0008442A" w:rsidRDefault="004A4118" w:rsidP="0008442A">
      <w:pPr>
        <w:pStyle w:val="SingleTxtG"/>
        <w:tabs>
          <w:tab w:val="left" w:pos="1710"/>
        </w:tabs>
        <w:autoSpaceDE w:val="0"/>
        <w:autoSpaceDN w:val="0"/>
        <w:adjustRightInd w:val="0"/>
        <w:ind w:right="0" w:firstLine="567"/>
        <w:rPr>
          <w:sz w:val="20"/>
          <w:lang w:val="en-GB"/>
        </w:rPr>
      </w:pPr>
      <w:bookmarkStart w:id="21" w:name="_Ref507499211"/>
      <w:r w:rsidRPr="008B183A">
        <w:rPr>
          <w:sz w:val="20"/>
          <w:szCs w:val="20"/>
          <w:lang w:val="en-GB"/>
        </w:rPr>
        <w:t>(c)</w:t>
      </w:r>
      <w:r w:rsidRPr="008B183A">
        <w:rPr>
          <w:sz w:val="20"/>
          <w:szCs w:val="20"/>
          <w:lang w:val="en-GB"/>
        </w:rPr>
        <w:tab/>
      </w:r>
      <w:r w:rsidR="006F26FB" w:rsidRPr="0008442A">
        <w:rPr>
          <w:sz w:val="20"/>
          <w:lang w:val="en-GB"/>
        </w:rPr>
        <w:t xml:space="preserve">A reconsideration or update </w:t>
      </w:r>
      <w:r w:rsidR="00177192" w:rsidRPr="0008442A">
        <w:rPr>
          <w:sz w:val="20"/>
          <w:lang w:val="en-GB"/>
        </w:rPr>
        <w:t>is due to compliance with a new or revised environmental quality standard</w:t>
      </w:r>
      <w:r w:rsidR="00D27914" w:rsidRPr="0008442A">
        <w:rPr>
          <w:sz w:val="20"/>
          <w:lang w:val="en-GB"/>
        </w:rPr>
        <w:t xml:space="preserve"> (article 21</w:t>
      </w:r>
      <w:r w:rsidR="00A01979" w:rsidRPr="0008442A">
        <w:rPr>
          <w:sz w:val="20"/>
          <w:lang w:val="en-GB"/>
        </w:rPr>
        <w:t>(</w:t>
      </w:r>
      <w:r w:rsidR="00D27914" w:rsidRPr="0008442A">
        <w:rPr>
          <w:sz w:val="20"/>
          <w:lang w:val="en-GB"/>
        </w:rPr>
        <w:t>5</w:t>
      </w:r>
      <w:r w:rsidR="00A01979" w:rsidRPr="0008442A">
        <w:rPr>
          <w:sz w:val="20"/>
          <w:lang w:val="en-GB"/>
        </w:rPr>
        <w:t>)</w:t>
      </w:r>
      <w:r w:rsidR="00D27914" w:rsidRPr="0008442A">
        <w:rPr>
          <w:sz w:val="20"/>
          <w:lang w:val="en-GB"/>
        </w:rPr>
        <w:t>(c) IED</w:t>
      </w:r>
      <w:r w:rsidR="00D27914" w:rsidRPr="008B183A">
        <w:rPr>
          <w:sz w:val="20"/>
          <w:szCs w:val="20"/>
          <w:lang w:val="en-GB"/>
        </w:rPr>
        <w:t>)</w:t>
      </w:r>
      <w:r w:rsidRPr="008B183A">
        <w:rPr>
          <w:sz w:val="20"/>
          <w:szCs w:val="20"/>
          <w:lang w:val="en-GB"/>
        </w:rPr>
        <w:t>;</w:t>
      </w:r>
      <w:bookmarkEnd w:id="21"/>
      <w:r w:rsidR="00177192" w:rsidRPr="0008442A">
        <w:rPr>
          <w:sz w:val="20"/>
          <w:lang w:val="en-GB"/>
        </w:rPr>
        <w:t xml:space="preserve"> </w:t>
      </w:r>
    </w:p>
    <w:p w14:paraId="2A08CCA3" w14:textId="045708C7" w:rsidR="006F26FB" w:rsidRPr="0008442A" w:rsidRDefault="004A4118" w:rsidP="0008442A">
      <w:pPr>
        <w:pStyle w:val="SingleTxtG"/>
        <w:tabs>
          <w:tab w:val="left" w:pos="1710"/>
        </w:tabs>
        <w:autoSpaceDE w:val="0"/>
        <w:autoSpaceDN w:val="0"/>
        <w:adjustRightInd w:val="0"/>
        <w:ind w:right="0" w:firstLine="567"/>
        <w:rPr>
          <w:sz w:val="20"/>
          <w:lang w:val="en-GB"/>
        </w:rPr>
      </w:pPr>
      <w:bookmarkStart w:id="22" w:name="_Ref510707259"/>
      <w:r w:rsidRPr="008B183A">
        <w:rPr>
          <w:sz w:val="20"/>
          <w:szCs w:val="20"/>
          <w:lang w:val="en-GB"/>
        </w:rPr>
        <w:t>(d)</w:t>
      </w:r>
      <w:r w:rsidRPr="008B183A">
        <w:rPr>
          <w:sz w:val="20"/>
          <w:szCs w:val="20"/>
          <w:lang w:val="en-GB"/>
        </w:rPr>
        <w:tab/>
      </w:r>
      <w:r w:rsidR="006F26FB" w:rsidRPr="0008442A">
        <w:rPr>
          <w:sz w:val="20"/>
          <w:lang w:val="en-GB"/>
        </w:rPr>
        <w:t>A</w:t>
      </w:r>
      <w:r w:rsidR="00177192" w:rsidRPr="0008442A">
        <w:rPr>
          <w:sz w:val="20"/>
          <w:lang w:val="en-GB"/>
        </w:rPr>
        <w:t xml:space="preserve"> permit is granted for a non-substantial change</w:t>
      </w:r>
      <w:r w:rsidR="00D27914" w:rsidRPr="0008442A">
        <w:rPr>
          <w:sz w:val="20"/>
          <w:lang w:val="en-GB"/>
        </w:rPr>
        <w:t xml:space="preserve"> (see article 24</w:t>
      </w:r>
      <w:r w:rsidR="00263A57" w:rsidRPr="008B183A">
        <w:rPr>
          <w:sz w:val="20"/>
          <w:szCs w:val="20"/>
          <w:lang w:val="en-GB"/>
        </w:rPr>
        <w:t>(</w:t>
      </w:r>
      <w:r w:rsidR="00D27914" w:rsidRPr="0008442A">
        <w:rPr>
          <w:sz w:val="20"/>
          <w:lang w:val="en-GB"/>
        </w:rPr>
        <w:t>1</w:t>
      </w:r>
      <w:r w:rsidR="00263A57" w:rsidRPr="008B183A">
        <w:rPr>
          <w:sz w:val="20"/>
          <w:szCs w:val="20"/>
          <w:lang w:val="en-GB"/>
        </w:rPr>
        <w:t>)</w:t>
      </w:r>
      <w:r w:rsidR="00D27914" w:rsidRPr="008B183A">
        <w:rPr>
          <w:sz w:val="20"/>
          <w:szCs w:val="20"/>
          <w:lang w:val="en-GB"/>
        </w:rPr>
        <w:t>(</w:t>
      </w:r>
      <w:r w:rsidR="00D27914" w:rsidRPr="0008442A">
        <w:rPr>
          <w:sz w:val="20"/>
          <w:lang w:val="en-GB"/>
        </w:rPr>
        <w:t>b) IED</w:t>
      </w:r>
      <w:r w:rsidR="00D27914" w:rsidRPr="008B183A">
        <w:rPr>
          <w:sz w:val="20"/>
          <w:szCs w:val="20"/>
          <w:lang w:val="en-GB"/>
        </w:rPr>
        <w:t>)</w:t>
      </w:r>
      <w:r w:rsidRPr="008B183A">
        <w:rPr>
          <w:sz w:val="20"/>
          <w:szCs w:val="20"/>
          <w:lang w:val="en-GB"/>
        </w:rPr>
        <w:t>;</w:t>
      </w:r>
      <w:r w:rsidR="00177192" w:rsidRPr="0008442A">
        <w:rPr>
          <w:sz w:val="20"/>
          <w:lang w:val="en-GB"/>
        </w:rPr>
        <w:t xml:space="preserve"> or</w:t>
      </w:r>
      <w:bookmarkEnd w:id="22"/>
      <w:r w:rsidR="00177192" w:rsidRPr="0008442A">
        <w:rPr>
          <w:sz w:val="20"/>
          <w:lang w:val="en-GB"/>
        </w:rPr>
        <w:t xml:space="preserve"> </w:t>
      </w:r>
    </w:p>
    <w:p w14:paraId="2E9F48E8" w14:textId="7BCF3073" w:rsidR="000A72FD" w:rsidRPr="0008442A" w:rsidRDefault="004A4118" w:rsidP="0008442A">
      <w:pPr>
        <w:pStyle w:val="SingleTxtG"/>
        <w:tabs>
          <w:tab w:val="left" w:pos="1710"/>
        </w:tabs>
        <w:autoSpaceDE w:val="0"/>
        <w:autoSpaceDN w:val="0"/>
        <w:adjustRightInd w:val="0"/>
        <w:ind w:right="0" w:firstLine="567"/>
        <w:rPr>
          <w:sz w:val="20"/>
          <w:lang w:val="en-GB"/>
        </w:rPr>
      </w:pPr>
      <w:bookmarkStart w:id="23" w:name="_Ref507506757"/>
      <w:r w:rsidRPr="008B183A">
        <w:rPr>
          <w:sz w:val="20"/>
          <w:szCs w:val="20"/>
          <w:lang w:val="en-GB"/>
        </w:rPr>
        <w:t>(e)</w:t>
      </w:r>
      <w:r w:rsidRPr="008B183A">
        <w:rPr>
          <w:sz w:val="20"/>
          <w:szCs w:val="20"/>
          <w:lang w:val="en-GB"/>
        </w:rPr>
        <w:tab/>
      </w:r>
      <w:r w:rsidR="006F26FB" w:rsidRPr="0008442A">
        <w:rPr>
          <w:sz w:val="20"/>
          <w:lang w:val="en-GB"/>
        </w:rPr>
        <w:t xml:space="preserve">Other </w:t>
      </w:r>
      <w:r w:rsidR="00A97626" w:rsidRPr="008B183A">
        <w:rPr>
          <w:sz w:val="20"/>
          <w:szCs w:val="20"/>
          <w:lang w:val="en-GB"/>
        </w:rPr>
        <w:t>cases</w:t>
      </w:r>
      <w:r w:rsidR="006F26FB" w:rsidRPr="008B183A">
        <w:rPr>
          <w:sz w:val="20"/>
          <w:szCs w:val="20"/>
          <w:lang w:val="en-GB"/>
        </w:rPr>
        <w:t xml:space="preserve"> </w:t>
      </w:r>
      <w:r w:rsidR="006F26FB" w:rsidRPr="0008442A">
        <w:rPr>
          <w:sz w:val="20"/>
          <w:lang w:val="en-GB"/>
        </w:rPr>
        <w:t>that do not fall within points (</w:t>
      </w:r>
      <w:r w:rsidR="003E534D" w:rsidRPr="0008442A">
        <w:rPr>
          <w:sz w:val="20"/>
          <w:lang w:val="en-GB"/>
        </w:rPr>
        <w:t>a</w:t>
      </w:r>
      <w:r w:rsidR="006F26FB" w:rsidRPr="0008442A">
        <w:rPr>
          <w:sz w:val="20"/>
          <w:lang w:val="en-GB"/>
        </w:rPr>
        <w:t>) to</w:t>
      </w:r>
      <w:r w:rsidR="003E534D" w:rsidRPr="0008442A">
        <w:rPr>
          <w:sz w:val="20"/>
          <w:lang w:val="en-GB"/>
        </w:rPr>
        <w:t xml:space="preserve"> (d</w:t>
      </w:r>
      <w:r w:rsidR="006F26FB" w:rsidRPr="0008442A">
        <w:rPr>
          <w:sz w:val="20"/>
          <w:lang w:val="en-GB"/>
        </w:rPr>
        <w:t>), such as</w:t>
      </w:r>
      <w:r w:rsidR="00177192" w:rsidRPr="0008442A">
        <w:rPr>
          <w:sz w:val="20"/>
          <w:lang w:val="en-GB"/>
        </w:rPr>
        <w:t xml:space="preserve"> time extension of operation, extension of capacities or other modifications </w:t>
      </w:r>
      <w:r w:rsidR="000A72FD" w:rsidRPr="0008442A">
        <w:rPr>
          <w:sz w:val="20"/>
          <w:lang w:val="en-GB"/>
        </w:rPr>
        <w:t>of permit conditions</w:t>
      </w:r>
      <w:r w:rsidR="00177192" w:rsidRPr="0008442A">
        <w:rPr>
          <w:sz w:val="20"/>
          <w:lang w:val="en-GB"/>
        </w:rPr>
        <w:t>.</w:t>
      </w:r>
      <w:r w:rsidR="00286D70" w:rsidRPr="002D1939">
        <w:rPr>
          <w:rStyle w:val="FootnoteReference"/>
          <w:sz w:val="20"/>
          <w:lang w:val="en-GB"/>
        </w:rPr>
        <w:footnoteReference w:id="34"/>
      </w:r>
      <w:bookmarkEnd w:id="23"/>
    </w:p>
    <w:p w14:paraId="2FBCAEE5" w14:textId="4B1DD0DC" w:rsidR="000A72FD" w:rsidRPr="0008442A" w:rsidRDefault="000A72FD"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In support of its allegations, the communicant refers to a decision by the Court of Justi</w:t>
      </w:r>
      <w:r w:rsidR="001A182C" w:rsidRPr="0008442A">
        <w:rPr>
          <w:sz w:val="20"/>
          <w:lang w:val="en-GB"/>
        </w:rPr>
        <w:t>ce of the European Union (CJEU</w:t>
      </w:r>
      <w:r w:rsidR="001A182C" w:rsidRPr="008B183A">
        <w:rPr>
          <w:sz w:val="20"/>
          <w:szCs w:val="20"/>
          <w:lang w:val="en-GB"/>
        </w:rPr>
        <w:t>)</w:t>
      </w:r>
      <w:r w:rsidR="00263A57" w:rsidRPr="008B183A">
        <w:rPr>
          <w:sz w:val="20"/>
          <w:szCs w:val="20"/>
          <w:lang w:val="en-GB"/>
        </w:rPr>
        <w:t>,</w:t>
      </w:r>
      <w:r w:rsidR="001A182C" w:rsidRPr="0008442A">
        <w:rPr>
          <w:rStyle w:val="FootnoteReference"/>
          <w:sz w:val="20"/>
          <w:lang w:val="en-GB"/>
        </w:rPr>
        <w:footnoteReference w:id="35"/>
      </w:r>
      <w:r w:rsidRPr="0008442A">
        <w:rPr>
          <w:sz w:val="20"/>
          <w:lang w:val="en-GB"/>
        </w:rPr>
        <w:t xml:space="preserve"> </w:t>
      </w:r>
      <w:r w:rsidR="00263A57" w:rsidRPr="0008442A">
        <w:rPr>
          <w:sz w:val="20"/>
          <w:lang w:val="en-GB"/>
        </w:rPr>
        <w:t xml:space="preserve">which </w:t>
      </w:r>
      <w:r w:rsidR="00263A57" w:rsidRPr="008B183A">
        <w:rPr>
          <w:sz w:val="20"/>
          <w:szCs w:val="20"/>
          <w:lang w:val="en-GB"/>
        </w:rPr>
        <w:t>held</w:t>
      </w:r>
      <w:r w:rsidR="00263A57" w:rsidRPr="0008442A">
        <w:rPr>
          <w:sz w:val="20"/>
          <w:lang w:val="en-GB"/>
        </w:rPr>
        <w:t xml:space="preserve"> </w:t>
      </w:r>
      <w:r w:rsidRPr="0008442A">
        <w:rPr>
          <w:sz w:val="20"/>
          <w:lang w:val="en-GB"/>
        </w:rPr>
        <w:t xml:space="preserve">that EU </w:t>
      </w:r>
      <w:r w:rsidR="0093654E" w:rsidRPr="0008442A">
        <w:rPr>
          <w:sz w:val="20"/>
          <w:lang w:val="en-GB"/>
        </w:rPr>
        <w:t>l</w:t>
      </w:r>
      <w:r w:rsidRPr="0008442A">
        <w:rPr>
          <w:sz w:val="20"/>
          <w:lang w:val="en-GB"/>
        </w:rPr>
        <w:t xml:space="preserve">aw must be aligned </w:t>
      </w:r>
      <w:r w:rsidR="0093654E" w:rsidRPr="0008442A">
        <w:rPr>
          <w:sz w:val="20"/>
          <w:lang w:val="en-GB"/>
        </w:rPr>
        <w:t xml:space="preserve">with the </w:t>
      </w:r>
      <w:r w:rsidRPr="0008442A">
        <w:rPr>
          <w:sz w:val="20"/>
          <w:lang w:val="en-GB"/>
        </w:rPr>
        <w:t>rules on public participation of the Convention.</w:t>
      </w:r>
      <w:r w:rsidR="00286D70" w:rsidRPr="0008442A">
        <w:rPr>
          <w:rStyle w:val="FootnoteReference"/>
          <w:sz w:val="20"/>
          <w:lang w:val="en-GB"/>
        </w:rPr>
        <w:footnoteReference w:id="36"/>
      </w:r>
    </w:p>
    <w:p w14:paraId="748E4D06" w14:textId="51E256D2" w:rsidR="00001F50" w:rsidRPr="0008442A" w:rsidRDefault="00001F50"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The Party concerned</w:t>
      </w:r>
      <w:r w:rsidR="00A01979" w:rsidRPr="0008442A">
        <w:rPr>
          <w:sz w:val="20"/>
          <w:lang w:val="en-GB"/>
        </w:rPr>
        <w:t xml:space="preserve"> </w:t>
      </w:r>
      <w:r w:rsidRPr="0008442A">
        <w:rPr>
          <w:sz w:val="20"/>
          <w:lang w:val="en-GB"/>
        </w:rPr>
        <w:t>agrees with the communicant that EU law should be properly aligned with the provisions of the Convention.</w:t>
      </w:r>
      <w:r w:rsidRPr="0008442A">
        <w:rPr>
          <w:rStyle w:val="FootnoteReference"/>
          <w:sz w:val="20"/>
          <w:lang w:val="en-GB"/>
        </w:rPr>
        <w:footnoteReference w:id="37"/>
      </w:r>
      <w:r w:rsidRPr="0008442A">
        <w:rPr>
          <w:sz w:val="20"/>
          <w:lang w:val="en-GB"/>
        </w:rPr>
        <w:t xml:space="preserve"> However, the Party concerned</w:t>
      </w:r>
      <w:r w:rsidR="00A01979" w:rsidRPr="0008442A">
        <w:rPr>
          <w:sz w:val="20"/>
          <w:lang w:val="en-GB"/>
        </w:rPr>
        <w:t xml:space="preserve"> </w:t>
      </w:r>
      <w:r w:rsidR="005A285E" w:rsidRPr="0008442A">
        <w:rPr>
          <w:sz w:val="20"/>
          <w:lang w:val="en-GB"/>
        </w:rPr>
        <w:t xml:space="preserve">disputes </w:t>
      </w:r>
      <w:r w:rsidRPr="0008442A">
        <w:rPr>
          <w:sz w:val="20"/>
          <w:lang w:val="en-GB"/>
        </w:rPr>
        <w:t>that the provisions of the IED fail to comply with article 6</w:t>
      </w:r>
      <w:r w:rsidR="00A01979" w:rsidRPr="0008442A">
        <w:rPr>
          <w:sz w:val="20"/>
          <w:lang w:val="en-GB"/>
        </w:rPr>
        <w:t>(</w:t>
      </w:r>
      <w:r w:rsidRPr="0008442A">
        <w:rPr>
          <w:sz w:val="20"/>
          <w:lang w:val="en-GB"/>
        </w:rPr>
        <w:t>10</w:t>
      </w:r>
      <w:r w:rsidR="00A01979" w:rsidRPr="0008442A">
        <w:rPr>
          <w:sz w:val="20"/>
          <w:lang w:val="en-GB"/>
        </w:rPr>
        <w:t>)</w:t>
      </w:r>
      <w:r w:rsidRPr="0008442A">
        <w:rPr>
          <w:sz w:val="20"/>
          <w:lang w:val="en-GB"/>
        </w:rPr>
        <w:t xml:space="preserve"> of the Convention.</w:t>
      </w:r>
      <w:r w:rsidRPr="0008442A">
        <w:rPr>
          <w:rStyle w:val="FootnoteReference"/>
          <w:sz w:val="20"/>
          <w:lang w:val="en-GB"/>
        </w:rPr>
        <w:footnoteReference w:id="38"/>
      </w:r>
    </w:p>
    <w:p w14:paraId="122DC41C" w14:textId="77777777" w:rsidR="00001F50" w:rsidRPr="0008442A" w:rsidRDefault="00DB3979" w:rsidP="006A5D08">
      <w:pPr>
        <w:pStyle w:val="SingleTxtG"/>
        <w:autoSpaceDE w:val="0"/>
        <w:autoSpaceDN w:val="0"/>
        <w:adjustRightInd w:val="0"/>
        <w:ind w:right="0"/>
        <w:rPr>
          <w:i/>
          <w:sz w:val="20"/>
          <w:lang w:val="en-GB"/>
        </w:rPr>
      </w:pPr>
      <w:r w:rsidRPr="0008442A">
        <w:rPr>
          <w:i/>
          <w:sz w:val="20"/>
          <w:lang w:val="en-GB"/>
        </w:rPr>
        <w:t>Margin of discretion</w:t>
      </w:r>
    </w:p>
    <w:p w14:paraId="00C9336D" w14:textId="614E9A1F" w:rsidR="00AC36F5" w:rsidRPr="0008442A" w:rsidRDefault="000A72FD"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24" w:name="_Ref507584935"/>
      <w:r w:rsidRPr="0008442A">
        <w:rPr>
          <w:sz w:val="20"/>
          <w:lang w:val="en-GB"/>
        </w:rPr>
        <w:t>T</w:t>
      </w:r>
      <w:r w:rsidR="00016301" w:rsidRPr="0008442A">
        <w:rPr>
          <w:sz w:val="20"/>
          <w:lang w:val="en-GB"/>
        </w:rPr>
        <w:t>he communicant</w:t>
      </w:r>
      <w:r w:rsidR="0037420B" w:rsidRPr="0008442A">
        <w:rPr>
          <w:sz w:val="20"/>
          <w:lang w:val="en-GB"/>
        </w:rPr>
        <w:t xml:space="preserve"> submits that Parties have a certain margin of discretion in applying article 6</w:t>
      </w:r>
      <w:r w:rsidR="00A01979" w:rsidRPr="0008442A">
        <w:rPr>
          <w:sz w:val="20"/>
          <w:lang w:val="en-GB"/>
        </w:rPr>
        <w:t>(</w:t>
      </w:r>
      <w:r w:rsidR="0037420B" w:rsidRPr="0008442A">
        <w:rPr>
          <w:sz w:val="20"/>
          <w:lang w:val="en-GB"/>
        </w:rPr>
        <w:t>10</w:t>
      </w:r>
      <w:r w:rsidR="00A01979" w:rsidRPr="0008442A">
        <w:rPr>
          <w:sz w:val="20"/>
          <w:lang w:val="en-GB"/>
        </w:rPr>
        <w:t>)</w:t>
      </w:r>
      <w:r w:rsidR="0037420B" w:rsidRPr="0008442A">
        <w:rPr>
          <w:sz w:val="20"/>
          <w:lang w:val="en-GB"/>
        </w:rPr>
        <w:t xml:space="preserve"> of the Convention but </w:t>
      </w:r>
      <w:r w:rsidR="003E534D" w:rsidRPr="0008442A">
        <w:rPr>
          <w:sz w:val="20"/>
          <w:lang w:val="en-GB"/>
        </w:rPr>
        <w:t>that this</w:t>
      </w:r>
      <w:r w:rsidR="0037420B" w:rsidRPr="0008442A">
        <w:rPr>
          <w:sz w:val="20"/>
          <w:lang w:val="en-GB"/>
        </w:rPr>
        <w:t xml:space="preserve"> does not imply a complete discretion </w:t>
      </w:r>
      <w:r w:rsidR="00960CBD">
        <w:rPr>
          <w:sz w:val="20"/>
          <w:lang w:val="en-GB"/>
        </w:rPr>
        <w:t>in</w:t>
      </w:r>
      <w:r w:rsidR="00960CBD" w:rsidRPr="0008442A">
        <w:rPr>
          <w:sz w:val="20"/>
          <w:lang w:val="en-GB"/>
        </w:rPr>
        <w:t xml:space="preserve"> </w:t>
      </w:r>
      <w:r w:rsidR="0037420B" w:rsidRPr="0008442A">
        <w:rPr>
          <w:sz w:val="20"/>
          <w:lang w:val="en-GB"/>
        </w:rPr>
        <w:t>all cases.</w:t>
      </w:r>
      <w:r w:rsidR="0037420B" w:rsidRPr="0008442A">
        <w:rPr>
          <w:rStyle w:val="FootnoteReference"/>
          <w:sz w:val="20"/>
          <w:lang w:val="en-GB"/>
        </w:rPr>
        <w:footnoteReference w:id="39"/>
      </w:r>
      <w:r w:rsidR="00720115" w:rsidRPr="0008442A">
        <w:rPr>
          <w:sz w:val="20"/>
          <w:lang w:val="en-GB"/>
        </w:rPr>
        <w:t xml:space="preserve"> </w:t>
      </w:r>
      <w:r w:rsidR="0037420B" w:rsidRPr="0008442A">
        <w:rPr>
          <w:sz w:val="20"/>
          <w:lang w:val="en-GB"/>
        </w:rPr>
        <w:t xml:space="preserve">The communicant submits that </w:t>
      </w:r>
      <w:r w:rsidR="00AC36F5" w:rsidRPr="0008442A">
        <w:rPr>
          <w:sz w:val="20"/>
          <w:lang w:val="en-GB"/>
        </w:rPr>
        <w:t xml:space="preserve">although the clause “where appropriate” is an objective criterion, </w:t>
      </w:r>
      <w:r w:rsidR="0037420B" w:rsidRPr="0008442A">
        <w:rPr>
          <w:sz w:val="20"/>
          <w:lang w:val="en-GB"/>
        </w:rPr>
        <w:t>this provision must be interpreted in light of the objective to guarantee effective public participation with the aim to further the accountability of and transparency in decision-making and strengthen</w:t>
      </w:r>
      <w:r w:rsidR="005A285E" w:rsidRPr="0008442A">
        <w:rPr>
          <w:sz w:val="20"/>
          <w:lang w:val="en-GB"/>
        </w:rPr>
        <w:t>ing</w:t>
      </w:r>
      <w:r w:rsidR="0037420B" w:rsidRPr="0008442A">
        <w:rPr>
          <w:sz w:val="20"/>
          <w:lang w:val="en-GB"/>
        </w:rPr>
        <w:t xml:space="preserve"> public support for decisions on the environment</w:t>
      </w:r>
      <w:r w:rsidR="00146A40">
        <w:rPr>
          <w:sz w:val="20"/>
          <w:lang w:val="en-GB"/>
        </w:rPr>
        <w:t xml:space="preserve"> in </w:t>
      </w:r>
      <w:r w:rsidR="00D4094D">
        <w:rPr>
          <w:sz w:val="20"/>
          <w:lang w:val="en-GB"/>
        </w:rPr>
        <w:t>line</w:t>
      </w:r>
      <w:r w:rsidR="00146A40">
        <w:rPr>
          <w:sz w:val="20"/>
          <w:lang w:val="en-GB"/>
        </w:rPr>
        <w:t xml:space="preserve"> with p</w:t>
      </w:r>
      <w:r w:rsidR="00D4094D">
        <w:rPr>
          <w:sz w:val="20"/>
          <w:lang w:val="en-GB"/>
        </w:rPr>
        <w:t>aragraph</w:t>
      </w:r>
      <w:r w:rsidR="00146A40">
        <w:rPr>
          <w:sz w:val="20"/>
          <w:lang w:val="en-GB"/>
        </w:rPr>
        <w:t xml:space="preserve"> 10 of the Convention’s preamble</w:t>
      </w:r>
      <w:r w:rsidR="0037420B" w:rsidRPr="0008442A">
        <w:rPr>
          <w:sz w:val="20"/>
          <w:lang w:val="en-GB"/>
        </w:rPr>
        <w:t>.</w:t>
      </w:r>
      <w:r w:rsidR="0037420B" w:rsidRPr="0008442A">
        <w:rPr>
          <w:rStyle w:val="FootnoteReference"/>
          <w:sz w:val="20"/>
          <w:lang w:val="en-GB"/>
        </w:rPr>
        <w:footnoteReference w:id="40"/>
      </w:r>
      <w:r w:rsidR="0037420B" w:rsidRPr="0008442A">
        <w:rPr>
          <w:sz w:val="20"/>
          <w:lang w:val="en-GB"/>
        </w:rPr>
        <w:t xml:space="preserve"> The communicant refers in this regard to the Committee’s findings on communication</w:t>
      </w:r>
      <w:r w:rsidR="003E534D" w:rsidRPr="0008442A">
        <w:rPr>
          <w:sz w:val="20"/>
          <w:lang w:val="en-GB"/>
        </w:rPr>
        <w:t>s</w:t>
      </w:r>
      <w:r w:rsidR="0037420B" w:rsidRPr="0008442A">
        <w:rPr>
          <w:sz w:val="20"/>
          <w:lang w:val="en-GB"/>
        </w:rPr>
        <w:t xml:space="preserve"> </w:t>
      </w:r>
      <w:r w:rsidR="007F6217" w:rsidRPr="0008442A">
        <w:rPr>
          <w:sz w:val="20"/>
          <w:lang w:val="en-GB"/>
        </w:rPr>
        <w:t>ACCC/C/2009/41</w:t>
      </w:r>
      <w:r w:rsidR="00AF610F">
        <w:rPr>
          <w:sz w:val="20"/>
          <w:lang w:val="en-GB"/>
        </w:rPr>
        <w:t xml:space="preserve"> (Slovakia)</w:t>
      </w:r>
      <w:r w:rsidR="003E534D" w:rsidRPr="0008442A">
        <w:rPr>
          <w:rStyle w:val="FootnoteReference"/>
          <w:sz w:val="20"/>
          <w:lang w:val="en-GB"/>
        </w:rPr>
        <w:footnoteReference w:id="41"/>
      </w:r>
      <w:r w:rsidR="000F656B" w:rsidRPr="0008442A">
        <w:rPr>
          <w:sz w:val="20"/>
          <w:lang w:val="en-GB"/>
        </w:rPr>
        <w:t xml:space="preserve"> and ACCC/C/2009/43</w:t>
      </w:r>
      <w:r w:rsidR="00AF610F">
        <w:rPr>
          <w:sz w:val="20"/>
          <w:lang w:val="en-GB"/>
        </w:rPr>
        <w:t xml:space="preserve"> (Armenia)</w:t>
      </w:r>
      <w:r w:rsidR="00EE4DD8" w:rsidRPr="0008442A">
        <w:rPr>
          <w:sz w:val="20"/>
          <w:lang w:val="en-GB"/>
        </w:rPr>
        <w:t>.</w:t>
      </w:r>
      <w:r w:rsidR="003E534D" w:rsidRPr="0008442A">
        <w:rPr>
          <w:rStyle w:val="FootnoteReference"/>
          <w:sz w:val="20"/>
          <w:lang w:val="en-GB"/>
        </w:rPr>
        <w:footnoteReference w:id="42"/>
      </w:r>
      <w:r w:rsidR="000F656B" w:rsidRPr="0008442A">
        <w:rPr>
          <w:sz w:val="20"/>
          <w:lang w:val="en-GB"/>
        </w:rPr>
        <w:t xml:space="preserve"> It </w:t>
      </w:r>
      <w:r w:rsidR="005A285E" w:rsidRPr="0008442A">
        <w:rPr>
          <w:sz w:val="20"/>
          <w:lang w:val="en-GB"/>
        </w:rPr>
        <w:t xml:space="preserve">notes </w:t>
      </w:r>
      <w:r w:rsidR="000F656B" w:rsidRPr="0008442A">
        <w:rPr>
          <w:sz w:val="20"/>
          <w:lang w:val="en-GB"/>
        </w:rPr>
        <w:t>that</w:t>
      </w:r>
      <w:r w:rsidR="00146A40">
        <w:rPr>
          <w:sz w:val="20"/>
          <w:lang w:val="en-GB"/>
        </w:rPr>
        <w:t>,</w:t>
      </w:r>
      <w:r w:rsidR="000F656B" w:rsidRPr="0008442A">
        <w:rPr>
          <w:sz w:val="20"/>
          <w:lang w:val="en-GB"/>
        </w:rPr>
        <w:t xml:space="preserve"> </w:t>
      </w:r>
      <w:r w:rsidR="00256DDE">
        <w:rPr>
          <w:sz w:val="20"/>
          <w:lang w:val="en-GB"/>
        </w:rPr>
        <w:t xml:space="preserve">in </w:t>
      </w:r>
      <w:r w:rsidR="000F656B" w:rsidRPr="0008442A">
        <w:rPr>
          <w:sz w:val="20"/>
          <w:lang w:val="en-GB"/>
        </w:rPr>
        <w:t>the first of these two findings</w:t>
      </w:r>
      <w:r w:rsidR="00146A40">
        <w:rPr>
          <w:sz w:val="20"/>
          <w:lang w:val="en-GB"/>
        </w:rPr>
        <w:t>, the Committee</w:t>
      </w:r>
      <w:r w:rsidR="0037420B" w:rsidRPr="0008442A">
        <w:rPr>
          <w:sz w:val="20"/>
          <w:lang w:val="en-GB"/>
        </w:rPr>
        <w:t xml:space="preserve"> </w:t>
      </w:r>
      <w:r w:rsidR="005A285E" w:rsidRPr="0008442A">
        <w:rPr>
          <w:sz w:val="20"/>
          <w:lang w:val="en-GB"/>
        </w:rPr>
        <w:t xml:space="preserve">found </w:t>
      </w:r>
      <w:r w:rsidR="0037420B" w:rsidRPr="0008442A">
        <w:rPr>
          <w:sz w:val="20"/>
          <w:lang w:val="en-GB"/>
        </w:rPr>
        <w:t xml:space="preserve">that </w:t>
      </w:r>
      <w:r w:rsidR="00B0333E" w:rsidRPr="0008442A">
        <w:rPr>
          <w:sz w:val="20"/>
          <w:lang w:val="en-GB"/>
        </w:rPr>
        <w:t>the terms “</w:t>
      </w:r>
      <w:r w:rsidR="0037420B" w:rsidRPr="0008442A">
        <w:rPr>
          <w:i/>
          <w:sz w:val="20"/>
          <w:lang w:val="en-GB"/>
        </w:rPr>
        <w:t>mutatis mutandis</w:t>
      </w:r>
      <w:r w:rsidR="00B0333E" w:rsidRPr="0008442A">
        <w:rPr>
          <w:sz w:val="20"/>
          <w:lang w:val="en-GB"/>
        </w:rPr>
        <w:t>”</w:t>
      </w:r>
      <w:r w:rsidR="0037420B" w:rsidRPr="0008442A">
        <w:rPr>
          <w:sz w:val="20"/>
          <w:lang w:val="en-GB"/>
        </w:rPr>
        <w:t xml:space="preserve"> and </w:t>
      </w:r>
      <w:r w:rsidR="00B0333E" w:rsidRPr="0008442A">
        <w:rPr>
          <w:sz w:val="20"/>
          <w:lang w:val="en-GB"/>
        </w:rPr>
        <w:t>“</w:t>
      </w:r>
      <w:r w:rsidR="0037420B" w:rsidRPr="0008442A">
        <w:rPr>
          <w:sz w:val="20"/>
          <w:lang w:val="en-GB"/>
        </w:rPr>
        <w:t>where appropriate</w:t>
      </w:r>
      <w:r w:rsidR="00B0333E" w:rsidRPr="0008442A">
        <w:rPr>
          <w:sz w:val="20"/>
          <w:lang w:val="en-GB"/>
        </w:rPr>
        <w:t>”</w:t>
      </w:r>
      <w:r w:rsidR="0037420B" w:rsidRPr="0008442A">
        <w:rPr>
          <w:sz w:val="20"/>
          <w:lang w:val="en-GB"/>
        </w:rPr>
        <w:t xml:space="preserve"> “does not imply complete discretion for the Party concerned</w:t>
      </w:r>
      <w:r w:rsidR="00A01979" w:rsidRPr="0008442A">
        <w:rPr>
          <w:sz w:val="20"/>
          <w:lang w:val="en-GB"/>
        </w:rPr>
        <w:t xml:space="preserve"> </w:t>
      </w:r>
      <w:r w:rsidR="0037420B" w:rsidRPr="0008442A">
        <w:rPr>
          <w:sz w:val="20"/>
          <w:lang w:val="en-GB"/>
        </w:rPr>
        <w:t>to determine whether or not it was appropriate to provide for public participation.”</w:t>
      </w:r>
      <w:r w:rsidR="0037420B" w:rsidRPr="0008442A">
        <w:rPr>
          <w:rStyle w:val="FootnoteReference"/>
          <w:sz w:val="20"/>
          <w:lang w:val="en-GB"/>
        </w:rPr>
        <w:footnoteReference w:id="43"/>
      </w:r>
      <w:bookmarkEnd w:id="24"/>
      <w:r w:rsidR="0037420B" w:rsidRPr="0008442A">
        <w:rPr>
          <w:sz w:val="20"/>
          <w:lang w:val="en-GB"/>
        </w:rPr>
        <w:t xml:space="preserve"> </w:t>
      </w:r>
    </w:p>
    <w:p w14:paraId="41C69A7D" w14:textId="6BD7B90C" w:rsidR="00AC36F5" w:rsidRPr="0008442A" w:rsidRDefault="00AC36F5"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25" w:name="_Ref507585530"/>
      <w:r w:rsidRPr="0008442A">
        <w:rPr>
          <w:sz w:val="20"/>
          <w:lang w:val="en-GB"/>
        </w:rPr>
        <w:lastRenderedPageBreak/>
        <w:t xml:space="preserve">The communicant submits that </w:t>
      </w:r>
      <w:r w:rsidR="006E261A" w:rsidRPr="0008442A">
        <w:rPr>
          <w:i/>
          <w:sz w:val="20"/>
          <w:lang w:val="en-GB"/>
        </w:rPr>
        <w:t>The Aarhus Convention: An Implementation Guide</w:t>
      </w:r>
      <w:r w:rsidR="006E261A" w:rsidRPr="0008442A">
        <w:rPr>
          <w:rStyle w:val="FootnoteReference"/>
          <w:sz w:val="20"/>
          <w:lang w:val="en-GB"/>
        </w:rPr>
        <w:footnoteReference w:id="44"/>
      </w:r>
      <w:r w:rsidR="006E261A" w:rsidRPr="0008442A">
        <w:rPr>
          <w:sz w:val="20"/>
          <w:lang w:val="en-GB"/>
        </w:rPr>
        <w:t xml:space="preserve"> (Implementation Guide)</w:t>
      </w:r>
      <w:r w:rsidRPr="0008442A">
        <w:rPr>
          <w:sz w:val="20"/>
          <w:lang w:val="en-GB"/>
        </w:rPr>
        <w:t xml:space="preserve"> indicates clearly that the requirements of article 6 of the Convention apply to all decisions to permit activities within the scope of article 6 and that public participation is to be guaranteed in all cases when the public authority reconsiders or updates operating decisions for article 6 activities.</w:t>
      </w:r>
      <w:r w:rsidRPr="0008442A">
        <w:rPr>
          <w:rStyle w:val="FootnoteReference"/>
          <w:sz w:val="20"/>
          <w:lang w:val="en-GB"/>
        </w:rPr>
        <w:footnoteReference w:id="45"/>
      </w:r>
      <w:r w:rsidRPr="0008442A">
        <w:rPr>
          <w:sz w:val="20"/>
          <w:lang w:val="en-GB"/>
        </w:rPr>
        <w:t xml:space="preserve"> It further submits that it is stated in the Implementation Guide that “in the case of any doubt, the provisions should be applied” and that article 6</w:t>
      </w:r>
      <w:r w:rsidR="00A01979" w:rsidRPr="0008442A">
        <w:rPr>
          <w:sz w:val="20"/>
          <w:lang w:val="en-GB"/>
        </w:rPr>
        <w:t>(</w:t>
      </w:r>
      <w:r w:rsidRPr="0008442A">
        <w:rPr>
          <w:sz w:val="20"/>
          <w:lang w:val="en-GB"/>
        </w:rPr>
        <w:t>10</w:t>
      </w:r>
      <w:r w:rsidR="00A01979" w:rsidRPr="0008442A">
        <w:rPr>
          <w:sz w:val="20"/>
          <w:lang w:val="en-GB"/>
        </w:rPr>
        <w:t>)</w:t>
      </w:r>
      <w:r w:rsidRPr="0008442A">
        <w:rPr>
          <w:sz w:val="20"/>
          <w:lang w:val="en-GB"/>
        </w:rPr>
        <w:t xml:space="preserve"> should be applied for all administrative procedures relating to the reconsideration of operation conditions for IED activities.</w:t>
      </w:r>
      <w:r w:rsidRPr="0008442A">
        <w:rPr>
          <w:rStyle w:val="FootnoteReference"/>
          <w:sz w:val="20"/>
          <w:lang w:val="en-GB"/>
        </w:rPr>
        <w:footnoteReference w:id="46"/>
      </w:r>
      <w:bookmarkEnd w:id="25"/>
      <w:r w:rsidR="002F1B55" w:rsidRPr="0008442A">
        <w:rPr>
          <w:sz w:val="20"/>
          <w:lang w:val="en-GB"/>
        </w:rPr>
        <w:t xml:space="preserve"> The communicant submits in this regard that, while the Implementation Guide is not binding, it constitutes a relevant tool to clarify the scope of article 6 of the Convention and should be taken into consideration.</w:t>
      </w:r>
      <w:r w:rsidR="002F1B55" w:rsidRPr="0008442A">
        <w:rPr>
          <w:rStyle w:val="FootnoteReference"/>
          <w:sz w:val="20"/>
          <w:lang w:val="en-GB"/>
        </w:rPr>
        <w:footnoteReference w:id="47"/>
      </w:r>
    </w:p>
    <w:p w14:paraId="7B218899" w14:textId="6C2669DD" w:rsidR="00AD699C" w:rsidRPr="0052631E" w:rsidRDefault="00AC36F5"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The communicant submits that</w:t>
      </w:r>
      <w:r w:rsidR="00960CBD">
        <w:rPr>
          <w:sz w:val="20"/>
          <w:lang w:val="en-GB"/>
        </w:rPr>
        <w:t>,</w:t>
      </w:r>
      <w:r w:rsidRPr="0008442A">
        <w:rPr>
          <w:sz w:val="20"/>
          <w:lang w:val="en-GB"/>
        </w:rPr>
        <w:t xml:space="preserve"> contrary to the foregoing, the IED provides complete discretion </w:t>
      </w:r>
      <w:r w:rsidR="00960CBD">
        <w:rPr>
          <w:sz w:val="20"/>
          <w:lang w:val="en-GB"/>
        </w:rPr>
        <w:t xml:space="preserve">to </w:t>
      </w:r>
      <w:r w:rsidR="00181D78">
        <w:rPr>
          <w:sz w:val="20"/>
          <w:lang w:val="en-GB"/>
        </w:rPr>
        <w:t xml:space="preserve">Member </w:t>
      </w:r>
      <w:r w:rsidR="00960CBD">
        <w:rPr>
          <w:sz w:val="20"/>
          <w:lang w:val="en-GB"/>
        </w:rPr>
        <w:t>States</w:t>
      </w:r>
      <w:r w:rsidR="00146A40">
        <w:rPr>
          <w:sz w:val="20"/>
          <w:lang w:val="en-GB"/>
        </w:rPr>
        <w:t xml:space="preserve"> </w:t>
      </w:r>
      <w:r w:rsidR="00D4094D">
        <w:rPr>
          <w:sz w:val="20"/>
          <w:lang w:val="en-GB"/>
        </w:rPr>
        <w:t>by denying</w:t>
      </w:r>
      <w:r w:rsidR="00146A40">
        <w:rPr>
          <w:sz w:val="20"/>
          <w:lang w:val="en-GB"/>
        </w:rPr>
        <w:t xml:space="preserve"> </w:t>
      </w:r>
      <w:r w:rsidRPr="0008442A">
        <w:rPr>
          <w:sz w:val="20"/>
          <w:lang w:val="en-GB"/>
        </w:rPr>
        <w:t xml:space="preserve">the possibility </w:t>
      </w:r>
      <w:r w:rsidRPr="0052631E">
        <w:rPr>
          <w:sz w:val="20"/>
          <w:lang w:val="en-GB"/>
        </w:rPr>
        <w:t xml:space="preserve">for public participation in </w:t>
      </w:r>
      <w:r w:rsidR="00960CBD" w:rsidRPr="0052631E">
        <w:rPr>
          <w:sz w:val="20"/>
          <w:lang w:val="en-GB"/>
        </w:rPr>
        <w:t>t</w:t>
      </w:r>
      <w:r w:rsidRPr="0052631E">
        <w:rPr>
          <w:sz w:val="20"/>
          <w:lang w:val="en-GB"/>
        </w:rPr>
        <w:t xml:space="preserve">he procedures listed in paragraph </w:t>
      </w:r>
      <w:r w:rsidRPr="00990D58">
        <w:rPr>
          <w:sz w:val="20"/>
          <w:lang w:val="en-GB"/>
        </w:rPr>
        <w:fldChar w:fldCharType="begin"/>
      </w:r>
      <w:r w:rsidRPr="0052631E">
        <w:rPr>
          <w:sz w:val="20"/>
          <w:lang w:val="en-GB"/>
        </w:rPr>
        <w:instrText xml:space="preserve"> REF _Ref507498988 \r \h </w:instrText>
      </w:r>
      <w:r w:rsidR="00664F55" w:rsidRPr="0052631E">
        <w:rPr>
          <w:sz w:val="20"/>
          <w:lang w:val="en-GB"/>
        </w:rPr>
        <w:instrText xml:space="preserve"> \* MERGEFORMAT </w:instrText>
      </w:r>
      <w:r w:rsidRPr="00990D58">
        <w:rPr>
          <w:sz w:val="20"/>
          <w:lang w:val="en-GB"/>
        </w:rPr>
      </w:r>
      <w:r w:rsidRPr="00990D58">
        <w:rPr>
          <w:sz w:val="20"/>
          <w:lang w:val="en-GB"/>
        </w:rPr>
        <w:fldChar w:fldCharType="separate"/>
      </w:r>
      <w:r w:rsidR="00C775D0" w:rsidRPr="00C775D0">
        <w:rPr>
          <w:sz w:val="20"/>
          <w:szCs w:val="20"/>
          <w:lang w:val="en-GB"/>
        </w:rPr>
        <w:t>36</w:t>
      </w:r>
      <w:r w:rsidRPr="00990D58">
        <w:rPr>
          <w:sz w:val="20"/>
          <w:lang w:val="en-GB"/>
        </w:rPr>
        <w:fldChar w:fldCharType="end"/>
      </w:r>
      <w:r w:rsidR="00AD699C" w:rsidRPr="0052631E">
        <w:rPr>
          <w:sz w:val="20"/>
          <w:lang w:val="en-GB"/>
        </w:rPr>
        <w:t xml:space="preserve"> above.</w:t>
      </w:r>
      <w:r w:rsidR="00AD699C" w:rsidRPr="0052631E">
        <w:rPr>
          <w:rStyle w:val="FootnoteReference"/>
          <w:sz w:val="20"/>
          <w:lang w:val="en-GB"/>
        </w:rPr>
        <w:footnoteReference w:id="48"/>
      </w:r>
    </w:p>
    <w:p w14:paraId="50823D0F" w14:textId="18B8431E" w:rsidR="00214AE9" w:rsidRDefault="003F12C2"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27" w:name="_Ref507585407"/>
      <w:proofErr w:type="gramStart"/>
      <w:r w:rsidRPr="0052631E">
        <w:rPr>
          <w:sz w:val="20"/>
          <w:lang w:val="en-GB"/>
        </w:rPr>
        <w:t>With regard to</w:t>
      </w:r>
      <w:proofErr w:type="gramEnd"/>
      <w:r w:rsidRPr="0052631E">
        <w:rPr>
          <w:sz w:val="20"/>
          <w:lang w:val="en-GB"/>
        </w:rPr>
        <w:t xml:space="preserve"> the </w:t>
      </w:r>
      <w:r w:rsidR="0052631E" w:rsidRPr="0052631E">
        <w:rPr>
          <w:sz w:val="20"/>
          <w:lang w:val="en-GB"/>
        </w:rPr>
        <w:t>claim</w:t>
      </w:r>
      <w:r w:rsidRPr="0052631E">
        <w:rPr>
          <w:sz w:val="20"/>
          <w:lang w:val="en-GB"/>
        </w:rPr>
        <w:t xml:space="preserve"> </w:t>
      </w:r>
      <w:r w:rsidR="00AF610F" w:rsidRPr="0052631E">
        <w:rPr>
          <w:sz w:val="20"/>
          <w:lang w:val="en-GB"/>
        </w:rPr>
        <w:t xml:space="preserve">by the Party concerned </w:t>
      </w:r>
      <w:r w:rsidRPr="0052631E">
        <w:rPr>
          <w:sz w:val="20"/>
          <w:lang w:val="en-GB"/>
        </w:rPr>
        <w:t>that it has exercised its discretion to limit public participation to certain “substantial and significant events”</w:t>
      </w:r>
      <w:r w:rsidR="00216404" w:rsidRPr="0052631E">
        <w:rPr>
          <w:sz w:val="20"/>
          <w:lang w:val="en-GB"/>
        </w:rPr>
        <w:t xml:space="preserve"> (see para. </w:t>
      </w:r>
      <w:r w:rsidR="00216404" w:rsidRPr="00990D58">
        <w:rPr>
          <w:sz w:val="20"/>
          <w:lang w:val="en-GB"/>
        </w:rPr>
        <w:fldChar w:fldCharType="begin"/>
      </w:r>
      <w:r w:rsidR="00216404" w:rsidRPr="0052631E">
        <w:rPr>
          <w:sz w:val="20"/>
          <w:lang w:val="en-GB"/>
        </w:rPr>
        <w:instrText xml:space="preserve"> REF _Ref507606331 \r \h </w:instrText>
      </w:r>
      <w:r w:rsidR="0052631E">
        <w:rPr>
          <w:sz w:val="20"/>
          <w:lang w:val="en-GB"/>
        </w:rPr>
        <w:instrText xml:space="preserve"> \* MERGEFORMAT </w:instrText>
      </w:r>
      <w:r w:rsidR="00216404" w:rsidRPr="00990D58">
        <w:rPr>
          <w:sz w:val="20"/>
          <w:lang w:val="en-GB"/>
        </w:rPr>
      </w:r>
      <w:r w:rsidR="00216404" w:rsidRPr="00990D58">
        <w:rPr>
          <w:sz w:val="20"/>
          <w:lang w:val="en-GB"/>
        </w:rPr>
        <w:fldChar w:fldCharType="separate"/>
      </w:r>
      <w:r w:rsidR="00C775D0">
        <w:rPr>
          <w:sz w:val="20"/>
          <w:lang w:val="en-GB"/>
        </w:rPr>
        <w:t>49</w:t>
      </w:r>
      <w:r w:rsidR="00216404" w:rsidRPr="00990D58">
        <w:rPr>
          <w:sz w:val="20"/>
          <w:lang w:val="en-GB"/>
        </w:rPr>
        <w:fldChar w:fldCharType="end"/>
      </w:r>
      <w:r w:rsidR="00216404" w:rsidRPr="0052631E">
        <w:rPr>
          <w:sz w:val="20"/>
          <w:lang w:val="en-GB"/>
        </w:rPr>
        <w:t xml:space="preserve"> below)</w:t>
      </w:r>
      <w:r w:rsidRPr="0052631E">
        <w:rPr>
          <w:sz w:val="20"/>
          <w:lang w:val="en-GB"/>
        </w:rPr>
        <w:t xml:space="preserve">, the communicant submits that </w:t>
      </w:r>
      <w:r w:rsidR="0052631E" w:rsidRPr="0052631E">
        <w:rPr>
          <w:sz w:val="20"/>
          <w:lang w:val="en-GB"/>
        </w:rPr>
        <w:t>this is</w:t>
      </w:r>
      <w:r w:rsidR="0091668F" w:rsidRPr="0052631E">
        <w:rPr>
          <w:sz w:val="20"/>
          <w:lang w:val="en-GB"/>
        </w:rPr>
        <w:t xml:space="preserve"> not</w:t>
      </w:r>
      <w:r w:rsidRPr="0052631E">
        <w:rPr>
          <w:sz w:val="20"/>
          <w:lang w:val="en-GB"/>
        </w:rPr>
        <w:t xml:space="preserve"> </w:t>
      </w:r>
      <w:r w:rsidR="0052631E" w:rsidRPr="0052631E">
        <w:rPr>
          <w:sz w:val="20"/>
          <w:lang w:val="en-GB"/>
        </w:rPr>
        <w:t xml:space="preserve">an </w:t>
      </w:r>
      <w:r w:rsidRPr="0052631E">
        <w:rPr>
          <w:sz w:val="20"/>
          <w:lang w:val="en-GB"/>
        </w:rPr>
        <w:t>objective criterion and necessarily raises the question of what is to be understood as “substantial and significant events”.</w:t>
      </w:r>
      <w:r w:rsidR="00AD699C" w:rsidRPr="0052631E">
        <w:rPr>
          <w:rStyle w:val="FootnoteReference"/>
          <w:sz w:val="20"/>
          <w:lang w:val="en-GB"/>
        </w:rPr>
        <w:footnoteReference w:id="49"/>
      </w:r>
    </w:p>
    <w:p w14:paraId="0B65F359" w14:textId="7C91B9DF" w:rsidR="00DB0A07" w:rsidRPr="0008442A" w:rsidRDefault="00DB0A07" w:rsidP="00DB0A07">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 xml:space="preserve">The communicant submits that, even though public participation should be guaranteed in all cases when a public authority reconsiders or updates operating conditions of an activity listed in annex I to the Convention, many of the permit review triggers where public participation is denied under the IED are </w:t>
      </w:r>
      <w:r>
        <w:rPr>
          <w:sz w:val="20"/>
          <w:lang w:val="en-GB"/>
        </w:rPr>
        <w:t xml:space="preserve">in any event </w:t>
      </w:r>
      <w:r w:rsidRPr="0008442A">
        <w:rPr>
          <w:sz w:val="20"/>
          <w:lang w:val="en-GB"/>
        </w:rPr>
        <w:t>“substantial and significant events” and public participation should be provided also if that criteria were to be adopted.</w:t>
      </w:r>
      <w:r w:rsidRPr="0008442A">
        <w:rPr>
          <w:rStyle w:val="FootnoteReference"/>
          <w:sz w:val="20"/>
          <w:lang w:val="en-GB"/>
        </w:rPr>
        <w:footnoteReference w:id="50"/>
      </w:r>
    </w:p>
    <w:p w14:paraId="2F6D3C72" w14:textId="6FF384E0" w:rsidR="00AC36F5" w:rsidRPr="0052631E" w:rsidRDefault="00AD699C"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52631E">
        <w:rPr>
          <w:sz w:val="20"/>
          <w:lang w:val="en-GB"/>
        </w:rPr>
        <w:t>The communicant submits that contrary to what is suggested by the Party concerned</w:t>
      </w:r>
      <w:r w:rsidR="0052631E" w:rsidRPr="002D1939">
        <w:rPr>
          <w:sz w:val="20"/>
          <w:lang w:val="en-GB"/>
        </w:rPr>
        <w:t xml:space="preserve"> (see para. </w:t>
      </w:r>
      <w:r w:rsidR="0052631E" w:rsidRPr="002D1939">
        <w:rPr>
          <w:sz w:val="20"/>
          <w:lang w:val="en-GB"/>
        </w:rPr>
        <w:fldChar w:fldCharType="begin"/>
      </w:r>
      <w:r w:rsidR="0052631E" w:rsidRPr="002D1939">
        <w:rPr>
          <w:sz w:val="20"/>
          <w:lang w:val="en-GB"/>
        </w:rPr>
        <w:instrText xml:space="preserve"> REF _Ref507606403 \r \h </w:instrText>
      </w:r>
      <w:r w:rsidR="0052631E">
        <w:rPr>
          <w:sz w:val="20"/>
          <w:lang w:val="en-GB"/>
        </w:rPr>
        <w:instrText xml:space="preserve"> \* MERGEFORMAT </w:instrText>
      </w:r>
      <w:r w:rsidR="0052631E" w:rsidRPr="002D1939">
        <w:rPr>
          <w:sz w:val="20"/>
          <w:lang w:val="en-GB"/>
        </w:rPr>
      </w:r>
      <w:r w:rsidR="0052631E" w:rsidRPr="002D1939">
        <w:rPr>
          <w:sz w:val="20"/>
          <w:lang w:val="en-GB"/>
        </w:rPr>
        <w:fldChar w:fldCharType="separate"/>
      </w:r>
      <w:r w:rsidR="00C775D0">
        <w:rPr>
          <w:sz w:val="20"/>
          <w:lang w:val="en-GB"/>
        </w:rPr>
        <w:t>52</w:t>
      </w:r>
      <w:r w:rsidR="0052631E" w:rsidRPr="002D1939">
        <w:rPr>
          <w:sz w:val="20"/>
          <w:lang w:val="en-GB"/>
        </w:rPr>
        <w:fldChar w:fldCharType="end"/>
      </w:r>
      <w:r w:rsidR="0052631E" w:rsidRPr="002D1939">
        <w:rPr>
          <w:sz w:val="20"/>
          <w:lang w:val="en-GB"/>
        </w:rPr>
        <w:t xml:space="preserve"> below)</w:t>
      </w:r>
      <w:r w:rsidR="00C5173E" w:rsidRPr="0052631E">
        <w:rPr>
          <w:sz w:val="20"/>
          <w:lang w:val="en-GB"/>
        </w:rPr>
        <w:t xml:space="preserve">, </w:t>
      </w:r>
      <w:r w:rsidRPr="0052631E">
        <w:rPr>
          <w:sz w:val="20"/>
          <w:lang w:val="en-GB"/>
        </w:rPr>
        <w:t>article 6</w:t>
      </w:r>
      <w:r w:rsidR="00A01979" w:rsidRPr="0052631E">
        <w:rPr>
          <w:sz w:val="20"/>
          <w:lang w:val="en-GB"/>
        </w:rPr>
        <w:t>(</w:t>
      </w:r>
      <w:r w:rsidRPr="0052631E">
        <w:rPr>
          <w:sz w:val="20"/>
          <w:lang w:val="en-GB"/>
        </w:rPr>
        <w:t>10</w:t>
      </w:r>
      <w:r w:rsidR="00A01979" w:rsidRPr="0052631E">
        <w:rPr>
          <w:sz w:val="20"/>
          <w:lang w:val="en-GB"/>
        </w:rPr>
        <w:t>)</w:t>
      </w:r>
      <w:r w:rsidRPr="0052631E">
        <w:rPr>
          <w:sz w:val="20"/>
          <w:lang w:val="en-GB"/>
        </w:rPr>
        <w:t xml:space="preserve"> is independent from paragraph 22 of </w:t>
      </w:r>
      <w:r w:rsidR="00A01979" w:rsidRPr="0052631E">
        <w:rPr>
          <w:sz w:val="20"/>
          <w:lang w:val="en-GB"/>
        </w:rPr>
        <w:t>a</w:t>
      </w:r>
      <w:r w:rsidRPr="0052631E">
        <w:rPr>
          <w:sz w:val="20"/>
          <w:lang w:val="en-GB"/>
        </w:rPr>
        <w:t>nnex I to the Convention. It refers in this regard to the Implementation Guide which states that paragraph 22 of annex I deals with physical changes or</w:t>
      </w:r>
      <w:r w:rsidRPr="0008442A">
        <w:rPr>
          <w:sz w:val="20"/>
          <w:lang w:val="en-GB"/>
        </w:rPr>
        <w:t xml:space="preserve"> extensions of activities, while article 6</w:t>
      </w:r>
      <w:r w:rsidR="00A01979" w:rsidRPr="0008442A">
        <w:rPr>
          <w:sz w:val="20"/>
          <w:lang w:val="en-GB"/>
        </w:rPr>
        <w:t>(</w:t>
      </w:r>
      <w:r w:rsidRPr="0008442A">
        <w:rPr>
          <w:sz w:val="20"/>
          <w:lang w:val="en-GB"/>
        </w:rPr>
        <w:t>10</w:t>
      </w:r>
      <w:r w:rsidR="00A01979" w:rsidRPr="0008442A">
        <w:rPr>
          <w:sz w:val="20"/>
          <w:lang w:val="en-GB"/>
        </w:rPr>
        <w:t>)</w:t>
      </w:r>
      <w:r w:rsidRPr="0008442A">
        <w:rPr>
          <w:sz w:val="20"/>
          <w:lang w:val="en-GB"/>
        </w:rPr>
        <w:t xml:space="preserve"> relates to changes to the operating conditions of activities covered by article 6</w:t>
      </w:r>
      <w:r w:rsidR="00A01979" w:rsidRPr="0008442A">
        <w:rPr>
          <w:sz w:val="20"/>
          <w:lang w:val="en-GB"/>
        </w:rPr>
        <w:t>(</w:t>
      </w:r>
      <w:r w:rsidRPr="0008442A">
        <w:rPr>
          <w:sz w:val="20"/>
          <w:lang w:val="en-GB"/>
        </w:rPr>
        <w:t>1</w:t>
      </w:r>
      <w:r w:rsidR="00A01979" w:rsidRPr="0008442A">
        <w:rPr>
          <w:sz w:val="20"/>
          <w:lang w:val="en-GB"/>
        </w:rPr>
        <w:t>)</w:t>
      </w:r>
      <w:r w:rsidRPr="0008442A">
        <w:rPr>
          <w:sz w:val="20"/>
          <w:lang w:val="en-GB"/>
        </w:rPr>
        <w:t xml:space="preserve"> of the Convention</w:t>
      </w:r>
      <w:r w:rsidRPr="0052631E">
        <w:rPr>
          <w:sz w:val="20"/>
          <w:lang w:val="en-GB"/>
        </w:rPr>
        <w:t>.</w:t>
      </w:r>
      <w:r w:rsidRPr="0052631E">
        <w:rPr>
          <w:rStyle w:val="FootnoteReference"/>
          <w:sz w:val="20"/>
          <w:lang w:val="en-GB"/>
        </w:rPr>
        <w:footnoteReference w:id="51"/>
      </w:r>
      <w:bookmarkEnd w:id="27"/>
    </w:p>
    <w:p w14:paraId="0CB4ACA5" w14:textId="441F0504" w:rsidR="00AD699C" w:rsidRPr="00747E18" w:rsidRDefault="00AD699C" w:rsidP="006A5D08">
      <w:pPr>
        <w:pStyle w:val="SingleTxtG"/>
        <w:numPr>
          <w:ilvl w:val="0"/>
          <w:numId w:val="3"/>
        </w:numPr>
        <w:tabs>
          <w:tab w:val="clear" w:pos="1853"/>
          <w:tab w:val="num" w:pos="1134"/>
        </w:tabs>
        <w:autoSpaceDE w:val="0"/>
        <w:autoSpaceDN w:val="0"/>
        <w:adjustRightInd w:val="0"/>
        <w:ind w:left="1134" w:right="0" w:firstLine="0"/>
        <w:rPr>
          <w:sz w:val="20"/>
          <w:lang w:val="en-GB"/>
        </w:rPr>
      </w:pPr>
      <w:proofErr w:type="gramStart"/>
      <w:r w:rsidRPr="0052631E">
        <w:rPr>
          <w:sz w:val="20"/>
          <w:lang w:val="en-GB"/>
        </w:rPr>
        <w:t>With regard to</w:t>
      </w:r>
      <w:proofErr w:type="gramEnd"/>
      <w:r w:rsidRPr="0052631E">
        <w:rPr>
          <w:sz w:val="20"/>
          <w:lang w:val="en-GB"/>
        </w:rPr>
        <w:t xml:space="preserve"> </w:t>
      </w:r>
      <w:r w:rsidR="00AF610F" w:rsidRPr="0052631E">
        <w:rPr>
          <w:sz w:val="20"/>
          <w:lang w:val="en-GB"/>
        </w:rPr>
        <w:t xml:space="preserve">the </w:t>
      </w:r>
      <w:r w:rsidR="002E5E1D" w:rsidRPr="0052631E">
        <w:rPr>
          <w:sz w:val="20"/>
          <w:lang w:val="en-GB"/>
        </w:rPr>
        <w:t xml:space="preserve">submissions of the Party concerned </w:t>
      </w:r>
      <w:r w:rsidR="0052631E" w:rsidRPr="0052631E">
        <w:rPr>
          <w:sz w:val="20"/>
          <w:lang w:val="en-GB"/>
        </w:rPr>
        <w:t xml:space="preserve">(see para. </w:t>
      </w:r>
      <w:r w:rsidR="0052631E" w:rsidRPr="00990D58">
        <w:rPr>
          <w:sz w:val="20"/>
          <w:lang w:val="en-GB"/>
        </w:rPr>
        <w:fldChar w:fldCharType="begin"/>
      </w:r>
      <w:r w:rsidR="0052631E" w:rsidRPr="0052631E">
        <w:rPr>
          <w:sz w:val="20"/>
          <w:lang w:val="en-GB"/>
        </w:rPr>
        <w:instrText xml:space="preserve"> REF _Ref507584030 \r \h </w:instrText>
      </w:r>
      <w:r w:rsidR="0052631E">
        <w:rPr>
          <w:sz w:val="20"/>
          <w:lang w:val="en-GB"/>
        </w:rPr>
        <w:instrText xml:space="preserve"> \* MERGEFORMAT </w:instrText>
      </w:r>
      <w:r w:rsidR="0052631E" w:rsidRPr="00990D58">
        <w:rPr>
          <w:sz w:val="20"/>
          <w:lang w:val="en-GB"/>
        </w:rPr>
      </w:r>
      <w:r w:rsidR="0052631E" w:rsidRPr="00990D58">
        <w:rPr>
          <w:sz w:val="20"/>
          <w:lang w:val="en-GB"/>
        </w:rPr>
        <w:fldChar w:fldCharType="separate"/>
      </w:r>
      <w:r w:rsidR="00C775D0">
        <w:rPr>
          <w:sz w:val="20"/>
          <w:lang w:val="en-GB"/>
        </w:rPr>
        <w:t>51</w:t>
      </w:r>
      <w:r w:rsidR="0052631E" w:rsidRPr="00990D58">
        <w:rPr>
          <w:sz w:val="20"/>
          <w:lang w:val="en-GB"/>
        </w:rPr>
        <w:fldChar w:fldCharType="end"/>
      </w:r>
      <w:r w:rsidR="0052631E" w:rsidRPr="0052631E">
        <w:rPr>
          <w:sz w:val="20"/>
          <w:lang w:val="en-GB"/>
        </w:rPr>
        <w:t xml:space="preserve"> below) </w:t>
      </w:r>
      <w:r w:rsidR="002E5E1D" w:rsidRPr="0052631E">
        <w:rPr>
          <w:sz w:val="20"/>
          <w:lang w:val="en-GB"/>
        </w:rPr>
        <w:t>regarding the Committee’s findings on ACCC/C/2009/41</w:t>
      </w:r>
      <w:r w:rsidR="00AF610F" w:rsidRPr="0052631E">
        <w:rPr>
          <w:sz w:val="20"/>
          <w:lang w:val="en-GB"/>
        </w:rPr>
        <w:t xml:space="preserve"> (Slovakia)</w:t>
      </w:r>
      <w:r w:rsidR="002E5E1D" w:rsidRPr="0052631E">
        <w:rPr>
          <w:sz w:val="20"/>
          <w:lang w:val="en-GB"/>
        </w:rPr>
        <w:t xml:space="preserve">, </w:t>
      </w:r>
      <w:r w:rsidR="002E5E1D" w:rsidRPr="00747E18">
        <w:rPr>
          <w:sz w:val="20"/>
          <w:lang w:val="en-GB"/>
        </w:rPr>
        <w:t>the communicant disagrees that these findings suggest that full-fledged public participation must be limited to significant cases such as the nuclear power plant concerned in that communication. The communicant submits that the findings rather make clear that reconsiderations and updates of operating conditions of activities listed in annex I are subject to the requirements of article 6 regardless of whether they involve any significant change or extension of the activity.</w:t>
      </w:r>
      <w:r w:rsidR="002E5E1D" w:rsidRPr="00747E18">
        <w:rPr>
          <w:rStyle w:val="FootnoteReference"/>
          <w:sz w:val="20"/>
          <w:lang w:val="en-GB"/>
        </w:rPr>
        <w:footnoteReference w:id="52"/>
      </w:r>
    </w:p>
    <w:p w14:paraId="0A4FF782" w14:textId="0EA54590" w:rsidR="000F656B" w:rsidRPr="0008442A" w:rsidRDefault="002E5E1D" w:rsidP="006A5D08">
      <w:pPr>
        <w:pStyle w:val="SingleTxtG"/>
        <w:numPr>
          <w:ilvl w:val="0"/>
          <w:numId w:val="3"/>
        </w:numPr>
        <w:tabs>
          <w:tab w:val="clear" w:pos="1853"/>
          <w:tab w:val="num" w:pos="1134"/>
        </w:tabs>
        <w:autoSpaceDE w:val="0"/>
        <w:autoSpaceDN w:val="0"/>
        <w:adjustRightInd w:val="0"/>
        <w:ind w:left="1134" w:right="0" w:firstLine="0"/>
        <w:rPr>
          <w:sz w:val="20"/>
          <w:lang w:val="en-GB"/>
        </w:rPr>
      </w:pPr>
      <w:proofErr w:type="gramStart"/>
      <w:r w:rsidRPr="00747E18">
        <w:rPr>
          <w:sz w:val="20"/>
          <w:lang w:val="en-GB"/>
        </w:rPr>
        <w:t>With regard to</w:t>
      </w:r>
      <w:proofErr w:type="gramEnd"/>
      <w:r w:rsidRPr="00747E18">
        <w:rPr>
          <w:sz w:val="20"/>
          <w:lang w:val="en-GB"/>
        </w:rPr>
        <w:t xml:space="preserve"> the submissions of the Party concerned</w:t>
      </w:r>
      <w:r w:rsidR="00AF011E" w:rsidRPr="00747E18">
        <w:rPr>
          <w:sz w:val="20"/>
          <w:lang w:val="en-GB"/>
        </w:rPr>
        <w:t xml:space="preserve"> </w:t>
      </w:r>
      <w:r w:rsidR="0052631E" w:rsidRPr="002D1939">
        <w:rPr>
          <w:sz w:val="20"/>
          <w:lang w:val="en-GB"/>
        </w:rPr>
        <w:t>(see p</w:t>
      </w:r>
      <w:r w:rsidR="0052631E" w:rsidRPr="002D1939">
        <w:rPr>
          <w:sz w:val="20"/>
          <w:szCs w:val="20"/>
          <w:lang w:val="en-GB"/>
        </w:rPr>
        <w:t xml:space="preserve">aras. </w:t>
      </w:r>
      <w:r w:rsidR="0052631E" w:rsidRPr="002D1939">
        <w:rPr>
          <w:sz w:val="20"/>
          <w:szCs w:val="20"/>
          <w:lang w:val="en-GB"/>
        </w:rPr>
        <w:fldChar w:fldCharType="begin"/>
      </w:r>
      <w:r w:rsidR="0052631E" w:rsidRPr="002D1939">
        <w:rPr>
          <w:sz w:val="20"/>
          <w:szCs w:val="20"/>
          <w:lang w:val="en-GB"/>
        </w:rPr>
        <w:instrText xml:space="preserve"> REF _Ref507584296 \r \h  \* MERGEFORMAT </w:instrText>
      </w:r>
      <w:r w:rsidR="0052631E" w:rsidRPr="002D1939">
        <w:rPr>
          <w:sz w:val="20"/>
          <w:szCs w:val="20"/>
          <w:lang w:val="en-GB"/>
        </w:rPr>
      </w:r>
      <w:r w:rsidR="0052631E" w:rsidRPr="002D1939">
        <w:rPr>
          <w:sz w:val="20"/>
          <w:szCs w:val="20"/>
          <w:lang w:val="en-GB"/>
        </w:rPr>
        <w:fldChar w:fldCharType="separate"/>
      </w:r>
      <w:r w:rsidR="00C775D0">
        <w:rPr>
          <w:sz w:val="20"/>
          <w:szCs w:val="20"/>
          <w:lang w:val="en-GB"/>
        </w:rPr>
        <w:t>50</w:t>
      </w:r>
      <w:r w:rsidR="0052631E" w:rsidRPr="002D1939">
        <w:rPr>
          <w:sz w:val="20"/>
          <w:szCs w:val="20"/>
          <w:lang w:val="en-GB"/>
        </w:rPr>
        <w:fldChar w:fldCharType="end"/>
      </w:r>
      <w:r w:rsidR="0052631E" w:rsidRPr="002D1939">
        <w:rPr>
          <w:sz w:val="20"/>
          <w:szCs w:val="20"/>
          <w:lang w:val="en-GB"/>
        </w:rPr>
        <w:fldChar w:fldCharType="begin"/>
      </w:r>
      <w:r w:rsidR="0052631E" w:rsidRPr="002D1939">
        <w:rPr>
          <w:sz w:val="20"/>
          <w:szCs w:val="20"/>
          <w:lang w:val="en-GB"/>
        </w:rPr>
        <w:instrText xml:space="preserve"> REF _Ref19111313 \r \h  \* MERGEFORMAT </w:instrText>
      </w:r>
      <w:r w:rsidR="0052631E" w:rsidRPr="002D1939">
        <w:rPr>
          <w:sz w:val="20"/>
          <w:szCs w:val="20"/>
          <w:lang w:val="en-GB"/>
        </w:rPr>
      </w:r>
      <w:r w:rsidR="0052631E" w:rsidRPr="002D1939">
        <w:rPr>
          <w:sz w:val="20"/>
          <w:szCs w:val="20"/>
          <w:lang w:val="en-GB"/>
        </w:rPr>
        <w:fldChar w:fldCharType="separate"/>
      </w:r>
      <w:r w:rsidR="00C775D0">
        <w:rPr>
          <w:sz w:val="20"/>
          <w:szCs w:val="20"/>
          <w:lang w:val="en-GB"/>
        </w:rPr>
        <w:t>53</w:t>
      </w:r>
      <w:r w:rsidR="0052631E" w:rsidRPr="002D1939">
        <w:rPr>
          <w:sz w:val="20"/>
          <w:szCs w:val="20"/>
          <w:lang w:val="en-GB"/>
        </w:rPr>
        <w:fldChar w:fldCharType="end"/>
      </w:r>
      <w:r w:rsidR="0052631E" w:rsidRPr="002D1939">
        <w:rPr>
          <w:sz w:val="20"/>
          <w:szCs w:val="20"/>
          <w:lang w:val="en-GB"/>
        </w:rPr>
        <w:t xml:space="preserve"> below) </w:t>
      </w:r>
      <w:r w:rsidRPr="002D1939">
        <w:rPr>
          <w:sz w:val="20"/>
          <w:szCs w:val="20"/>
          <w:lang w:val="en-GB"/>
        </w:rPr>
        <w:t xml:space="preserve">regarding the </w:t>
      </w:r>
      <w:r w:rsidR="000F656B" w:rsidRPr="002D1939">
        <w:rPr>
          <w:sz w:val="20"/>
          <w:szCs w:val="20"/>
          <w:lang w:val="en-GB"/>
        </w:rPr>
        <w:t>findings on communications</w:t>
      </w:r>
      <w:r w:rsidRPr="002D1939">
        <w:rPr>
          <w:sz w:val="20"/>
          <w:szCs w:val="20"/>
          <w:lang w:val="en-GB"/>
        </w:rPr>
        <w:t xml:space="preserve"> ACCC/C/2006/17 </w:t>
      </w:r>
      <w:r w:rsidR="00D4094D" w:rsidRPr="002D1939">
        <w:rPr>
          <w:sz w:val="20"/>
          <w:szCs w:val="20"/>
          <w:lang w:val="en-GB"/>
        </w:rPr>
        <w:t>(European Community)</w:t>
      </w:r>
      <w:r w:rsidR="00D4094D" w:rsidRPr="00747E18">
        <w:rPr>
          <w:sz w:val="20"/>
          <w:lang w:val="en-GB"/>
        </w:rPr>
        <w:t xml:space="preserve"> </w:t>
      </w:r>
      <w:r w:rsidR="000F656B" w:rsidRPr="00747E18">
        <w:rPr>
          <w:sz w:val="20"/>
          <w:lang w:val="en-GB"/>
        </w:rPr>
        <w:t>and ACCC/C/2009/43</w:t>
      </w:r>
      <w:r w:rsidR="00D4094D" w:rsidRPr="00747E18">
        <w:rPr>
          <w:sz w:val="20"/>
          <w:lang w:val="en-GB"/>
        </w:rPr>
        <w:t xml:space="preserve"> (Armenia)</w:t>
      </w:r>
      <w:r w:rsidR="000F656B" w:rsidRPr="00747E18">
        <w:rPr>
          <w:rStyle w:val="FootnoteReference"/>
          <w:sz w:val="20"/>
          <w:lang w:val="en-GB"/>
        </w:rPr>
        <w:footnoteReference w:id="53"/>
      </w:r>
      <w:r w:rsidR="000F656B" w:rsidRPr="00747E18">
        <w:rPr>
          <w:sz w:val="20"/>
          <w:lang w:val="en-GB"/>
        </w:rPr>
        <w:t xml:space="preserve"> </w:t>
      </w:r>
      <w:r w:rsidRPr="00747E18">
        <w:rPr>
          <w:sz w:val="20"/>
          <w:lang w:val="en-GB"/>
        </w:rPr>
        <w:t xml:space="preserve">the communicant submits that </w:t>
      </w:r>
      <w:r w:rsidR="000F656B" w:rsidRPr="00747E18">
        <w:rPr>
          <w:sz w:val="20"/>
          <w:lang w:val="en-GB"/>
        </w:rPr>
        <w:t>these</w:t>
      </w:r>
      <w:r w:rsidRPr="00747E18">
        <w:rPr>
          <w:sz w:val="20"/>
          <w:lang w:val="en-GB"/>
        </w:rPr>
        <w:t xml:space="preserve"> </w:t>
      </w:r>
      <w:r w:rsidR="000F656B" w:rsidRPr="00747E18">
        <w:rPr>
          <w:sz w:val="20"/>
          <w:lang w:val="en-GB"/>
        </w:rPr>
        <w:t>cases are not relevant as</w:t>
      </w:r>
      <w:r w:rsidR="000F656B" w:rsidRPr="0052631E">
        <w:rPr>
          <w:sz w:val="20"/>
          <w:lang w:val="en-GB"/>
        </w:rPr>
        <w:t xml:space="preserve"> the first concerned multiple permitting decisions and the second </w:t>
      </w:r>
      <w:r w:rsidR="006E07F1" w:rsidRPr="0052631E">
        <w:rPr>
          <w:sz w:val="20"/>
          <w:lang w:val="en-GB"/>
        </w:rPr>
        <w:t>concern</w:t>
      </w:r>
      <w:r w:rsidR="006E07F1">
        <w:rPr>
          <w:sz w:val="20"/>
          <w:lang w:val="en-GB"/>
        </w:rPr>
        <w:t>ed the</w:t>
      </w:r>
      <w:r w:rsidR="006E07F1" w:rsidRPr="0052631E">
        <w:rPr>
          <w:sz w:val="20"/>
          <w:lang w:val="en-GB"/>
        </w:rPr>
        <w:t xml:space="preserve"> </w:t>
      </w:r>
      <w:r w:rsidR="000F656B" w:rsidRPr="0052631E">
        <w:rPr>
          <w:sz w:val="20"/>
          <w:lang w:val="en-GB"/>
        </w:rPr>
        <w:t xml:space="preserve">granting of a </w:t>
      </w:r>
      <w:r w:rsidR="000F656B" w:rsidRPr="0052631E">
        <w:rPr>
          <w:sz w:val="20"/>
          <w:lang w:val="en-GB"/>
        </w:rPr>
        <w:lastRenderedPageBreak/>
        <w:t>permit for an activity subject to environmental impact</w:t>
      </w:r>
      <w:r w:rsidR="000F656B" w:rsidRPr="0008442A">
        <w:rPr>
          <w:sz w:val="20"/>
          <w:lang w:val="en-GB"/>
        </w:rPr>
        <w:t xml:space="preserve"> assessment, rather than a reconsideration or updating of permitting conditions.</w:t>
      </w:r>
      <w:r w:rsidR="000F656B" w:rsidRPr="0008442A">
        <w:rPr>
          <w:rStyle w:val="FootnoteReference"/>
          <w:sz w:val="20"/>
          <w:lang w:val="en-GB"/>
        </w:rPr>
        <w:footnoteReference w:id="54"/>
      </w:r>
    </w:p>
    <w:p w14:paraId="38D6E73B" w14:textId="11052B8F" w:rsidR="000F656B" w:rsidRPr="0008442A" w:rsidRDefault="000F656B"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28" w:name="_Ref507584816"/>
      <w:r w:rsidRPr="0008442A">
        <w:rPr>
          <w:sz w:val="20"/>
          <w:lang w:val="en-GB"/>
        </w:rPr>
        <w:t>The communicant submits that the foregoing makes clear that public participation may not be restricted to substantial and significant events as submitted by the Party concerned</w:t>
      </w:r>
      <w:r w:rsidR="00651A70" w:rsidRPr="0008442A">
        <w:rPr>
          <w:sz w:val="20"/>
          <w:lang w:val="en-GB"/>
        </w:rPr>
        <w:t xml:space="preserve"> </w:t>
      </w:r>
      <w:r w:rsidRPr="0008442A">
        <w:rPr>
          <w:sz w:val="20"/>
          <w:lang w:val="en-GB"/>
        </w:rPr>
        <w:t>and should rather be guaranteed in all cases where the public authority reconsiders or updates operating conditions of activities listed in annex I to the Convention.</w:t>
      </w:r>
      <w:r w:rsidRPr="0008442A">
        <w:rPr>
          <w:rStyle w:val="FootnoteReference"/>
          <w:sz w:val="20"/>
          <w:lang w:val="en-GB"/>
        </w:rPr>
        <w:footnoteReference w:id="55"/>
      </w:r>
      <w:bookmarkEnd w:id="28"/>
    </w:p>
    <w:p w14:paraId="27719455" w14:textId="0AB3014A" w:rsidR="00021F9C" w:rsidRPr="0008442A" w:rsidRDefault="0041432F"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29" w:name="_Ref510795508"/>
      <w:r w:rsidRPr="0008442A">
        <w:rPr>
          <w:sz w:val="20"/>
          <w:lang w:val="en-GB"/>
        </w:rPr>
        <w:t>The Party concerned</w:t>
      </w:r>
      <w:r w:rsidR="0003187A" w:rsidRPr="0008442A">
        <w:rPr>
          <w:sz w:val="20"/>
          <w:lang w:val="en-GB"/>
        </w:rPr>
        <w:t xml:space="preserve"> </w:t>
      </w:r>
      <w:r w:rsidR="00AC2004" w:rsidRPr="0008442A">
        <w:rPr>
          <w:sz w:val="20"/>
          <w:lang w:val="en-GB"/>
        </w:rPr>
        <w:t>contends</w:t>
      </w:r>
      <w:r w:rsidR="00016301" w:rsidRPr="0008442A">
        <w:rPr>
          <w:sz w:val="20"/>
          <w:lang w:val="en-GB"/>
        </w:rPr>
        <w:t xml:space="preserve"> that the </w:t>
      </w:r>
      <w:r w:rsidR="00D4094D">
        <w:rPr>
          <w:sz w:val="20"/>
          <w:lang w:val="en-GB"/>
        </w:rPr>
        <w:t>wording</w:t>
      </w:r>
      <w:r w:rsidR="00D4094D" w:rsidRPr="0008442A">
        <w:rPr>
          <w:sz w:val="20"/>
          <w:lang w:val="en-GB"/>
        </w:rPr>
        <w:t xml:space="preserve"> </w:t>
      </w:r>
      <w:r w:rsidR="00016301" w:rsidRPr="0008442A">
        <w:rPr>
          <w:sz w:val="20"/>
          <w:lang w:val="en-GB"/>
        </w:rPr>
        <w:t>of article 6</w:t>
      </w:r>
      <w:r w:rsidR="00D4094D">
        <w:rPr>
          <w:sz w:val="20"/>
          <w:lang w:val="en-GB"/>
        </w:rPr>
        <w:t>(</w:t>
      </w:r>
      <w:r w:rsidR="00016301" w:rsidRPr="0008442A">
        <w:rPr>
          <w:sz w:val="20"/>
          <w:lang w:val="en-GB"/>
        </w:rPr>
        <w:t>10</w:t>
      </w:r>
      <w:r w:rsidR="00D4094D">
        <w:rPr>
          <w:sz w:val="20"/>
          <w:lang w:val="en-GB"/>
        </w:rPr>
        <w:t>)</w:t>
      </w:r>
      <w:r w:rsidR="00016301" w:rsidRPr="0008442A">
        <w:rPr>
          <w:sz w:val="20"/>
          <w:lang w:val="en-GB"/>
        </w:rPr>
        <w:t xml:space="preserve"> of the Convention provide</w:t>
      </w:r>
      <w:r w:rsidR="00D4094D">
        <w:rPr>
          <w:sz w:val="20"/>
          <w:lang w:val="en-GB"/>
        </w:rPr>
        <w:t>s</w:t>
      </w:r>
      <w:r w:rsidR="00016301" w:rsidRPr="0008442A">
        <w:rPr>
          <w:sz w:val="20"/>
          <w:lang w:val="en-GB"/>
        </w:rPr>
        <w:t xml:space="preserve"> a margin of discretion to Parties </w:t>
      </w:r>
      <w:r w:rsidR="00D4094D">
        <w:rPr>
          <w:sz w:val="20"/>
          <w:lang w:val="en-GB"/>
        </w:rPr>
        <w:t xml:space="preserve">as to </w:t>
      </w:r>
      <w:r w:rsidR="00016301" w:rsidRPr="0008442A">
        <w:rPr>
          <w:sz w:val="20"/>
          <w:lang w:val="en-GB"/>
        </w:rPr>
        <w:t xml:space="preserve">if and how they intend to apply the </w:t>
      </w:r>
      <w:r w:rsidR="00D4094D">
        <w:rPr>
          <w:sz w:val="20"/>
          <w:lang w:val="en-GB"/>
        </w:rPr>
        <w:t xml:space="preserve">Convention’s </w:t>
      </w:r>
      <w:r w:rsidR="00016301" w:rsidRPr="0008442A">
        <w:rPr>
          <w:sz w:val="20"/>
          <w:lang w:val="en-GB"/>
        </w:rPr>
        <w:t>public participation requirements when a permit is updated or reconsidered.</w:t>
      </w:r>
      <w:r w:rsidR="00021F9C" w:rsidRPr="0008442A">
        <w:rPr>
          <w:sz w:val="20"/>
          <w:lang w:val="en-GB"/>
        </w:rPr>
        <w:t xml:space="preserve"> It </w:t>
      </w:r>
      <w:r w:rsidR="00216404">
        <w:rPr>
          <w:sz w:val="20"/>
          <w:lang w:val="en-GB"/>
        </w:rPr>
        <w:t>contends</w:t>
      </w:r>
      <w:r w:rsidR="00216404" w:rsidRPr="0008442A">
        <w:rPr>
          <w:sz w:val="20"/>
          <w:lang w:val="en-GB"/>
        </w:rPr>
        <w:t xml:space="preserve"> </w:t>
      </w:r>
      <w:r w:rsidR="00021F9C" w:rsidRPr="0008442A">
        <w:rPr>
          <w:sz w:val="20"/>
          <w:lang w:val="en-GB"/>
        </w:rPr>
        <w:t xml:space="preserve">that stating otherwise would make the terms “applied </w:t>
      </w:r>
      <w:r w:rsidR="00021F9C" w:rsidRPr="0008442A">
        <w:rPr>
          <w:i/>
          <w:sz w:val="20"/>
          <w:lang w:val="en-GB"/>
        </w:rPr>
        <w:t xml:space="preserve">mutatis mutandis, </w:t>
      </w:r>
      <w:r w:rsidR="00021F9C" w:rsidRPr="0008442A">
        <w:rPr>
          <w:sz w:val="20"/>
          <w:lang w:val="en-GB"/>
        </w:rPr>
        <w:t>and where appropriate” devoid of any meaning.</w:t>
      </w:r>
      <w:r w:rsidR="00021F9C" w:rsidRPr="0008442A">
        <w:rPr>
          <w:rStyle w:val="FootnoteReference"/>
          <w:sz w:val="20"/>
          <w:lang w:val="en-GB"/>
        </w:rPr>
        <w:footnoteReference w:id="56"/>
      </w:r>
      <w:r w:rsidR="00016301" w:rsidRPr="0008442A">
        <w:rPr>
          <w:sz w:val="20"/>
          <w:lang w:val="en-GB"/>
        </w:rPr>
        <w:t xml:space="preserve"> </w:t>
      </w:r>
      <w:r w:rsidR="00216404">
        <w:rPr>
          <w:sz w:val="20"/>
          <w:lang w:val="en-GB"/>
        </w:rPr>
        <w:t xml:space="preserve">It </w:t>
      </w:r>
      <w:r w:rsidR="00021F9C" w:rsidRPr="0008442A">
        <w:rPr>
          <w:sz w:val="20"/>
          <w:lang w:val="en-GB"/>
        </w:rPr>
        <w:t>submits that the communicant appears to accept that such a discretion exists and that therefore the communicant’s argument that public participation should be granted in all cases where the public authority reconsiders or updates operating conditions of activities listed in annex I is not legally viable.</w:t>
      </w:r>
      <w:r w:rsidR="00021F9C" w:rsidRPr="0008442A">
        <w:rPr>
          <w:rStyle w:val="FootnoteReference"/>
          <w:sz w:val="20"/>
          <w:lang w:val="en-GB"/>
        </w:rPr>
        <w:footnoteReference w:id="57"/>
      </w:r>
      <w:bookmarkEnd w:id="29"/>
    </w:p>
    <w:p w14:paraId="4B5448CF" w14:textId="233FF712" w:rsidR="00DB3979" w:rsidRPr="0008442A" w:rsidRDefault="00DB3979"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30" w:name="_Ref507606331"/>
      <w:r w:rsidRPr="0008442A">
        <w:rPr>
          <w:sz w:val="20"/>
          <w:lang w:val="en-GB"/>
        </w:rPr>
        <w:t xml:space="preserve">According to the Party concerned, the central questions is therefore whether it remained </w:t>
      </w:r>
      <w:r w:rsidR="003E534D" w:rsidRPr="0008442A">
        <w:rPr>
          <w:sz w:val="20"/>
          <w:lang w:val="en-GB"/>
        </w:rPr>
        <w:t>within its margin of discretion</w:t>
      </w:r>
      <w:r w:rsidRPr="0008442A">
        <w:rPr>
          <w:sz w:val="20"/>
          <w:lang w:val="en-GB"/>
        </w:rPr>
        <w:t xml:space="preserve"> when</w:t>
      </w:r>
      <w:r w:rsidR="003E534D" w:rsidRPr="0008442A">
        <w:rPr>
          <w:sz w:val="20"/>
          <w:lang w:val="en-GB"/>
        </w:rPr>
        <w:t xml:space="preserve"> in article 24 of the IED</w:t>
      </w:r>
      <w:r w:rsidRPr="0008442A">
        <w:rPr>
          <w:sz w:val="20"/>
          <w:lang w:val="en-GB"/>
        </w:rPr>
        <w:t xml:space="preserve"> it limited the conditions for triggering public participation to certain substantial and significant events.</w:t>
      </w:r>
      <w:r w:rsidRPr="0008442A">
        <w:rPr>
          <w:rStyle w:val="FootnoteReference"/>
          <w:sz w:val="20"/>
          <w:lang w:val="en-GB"/>
        </w:rPr>
        <w:footnoteReference w:id="58"/>
      </w:r>
      <w:bookmarkEnd w:id="30"/>
    </w:p>
    <w:p w14:paraId="7B7A156C" w14:textId="4AF7E3CB" w:rsidR="00AC2004" w:rsidRPr="00DB13B2" w:rsidRDefault="00AC2004"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31" w:name="_Ref507584296"/>
      <w:proofErr w:type="gramStart"/>
      <w:r w:rsidRPr="00DB13B2">
        <w:rPr>
          <w:sz w:val="20"/>
          <w:lang w:val="en-GB"/>
        </w:rPr>
        <w:t>With regard to</w:t>
      </w:r>
      <w:proofErr w:type="gramEnd"/>
      <w:r w:rsidRPr="00DB13B2">
        <w:rPr>
          <w:sz w:val="20"/>
          <w:lang w:val="en-GB"/>
        </w:rPr>
        <w:t xml:space="preserve"> the </w:t>
      </w:r>
      <w:r w:rsidR="00216404" w:rsidRPr="00DB13B2">
        <w:rPr>
          <w:sz w:val="20"/>
          <w:lang w:val="en-GB"/>
        </w:rPr>
        <w:t>Committee’s</w:t>
      </w:r>
      <w:r w:rsidR="002E5E1D" w:rsidRPr="00DB13B2">
        <w:rPr>
          <w:sz w:val="20"/>
          <w:lang w:val="en-GB"/>
        </w:rPr>
        <w:t xml:space="preserve"> findings on </w:t>
      </w:r>
      <w:r w:rsidRPr="00DB13B2">
        <w:rPr>
          <w:sz w:val="20"/>
          <w:lang w:val="en-GB"/>
        </w:rPr>
        <w:t>communication ACCC/C/2009/43</w:t>
      </w:r>
      <w:r w:rsidR="00216404" w:rsidRPr="00DB13B2">
        <w:rPr>
          <w:sz w:val="20"/>
          <w:lang w:val="en-GB"/>
        </w:rPr>
        <w:t xml:space="preserve"> (Armenia)</w:t>
      </w:r>
      <w:r w:rsidRPr="00DB13B2">
        <w:rPr>
          <w:sz w:val="20"/>
          <w:lang w:val="en-GB"/>
        </w:rPr>
        <w:t>, the Party concerned</w:t>
      </w:r>
      <w:r w:rsidR="0003187A" w:rsidRPr="00DB13B2">
        <w:rPr>
          <w:sz w:val="20"/>
          <w:lang w:val="en-GB"/>
        </w:rPr>
        <w:t xml:space="preserve"> </w:t>
      </w:r>
      <w:r w:rsidRPr="00DB13B2">
        <w:rPr>
          <w:sz w:val="20"/>
          <w:lang w:val="en-GB"/>
        </w:rPr>
        <w:t xml:space="preserve">argues that there was a risk </w:t>
      </w:r>
      <w:r w:rsidR="00216404" w:rsidRPr="00DB13B2">
        <w:rPr>
          <w:sz w:val="20"/>
          <w:lang w:val="en-GB"/>
        </w:rPr>
        <w:t xml:space="preserve">in that case </w:t>
      </w:r>
      <w:r w:rsidRPr="00DB13B2">
        <w:rPr>
          <w:sz w:val="20"/>
          <w:lang w:val="en-GB"/>
        </w:rPr>
        <w:t xml:space="preserve">that the setting of thresholds </w:t>
      </w:r>
      <w:r w:rsidR="00216404" w:rsidRPr="00DB13B2">
        <w:rPr>
          <w:sz w:val="20"/>
          <w:lang w:val="en-GB"/>
        </w:rPr>
        <w:t xml:space="preserve">might </w:t>
      </w:r>
      <w:r w:rsidRPr="00DB13B2">
        <w:rPr>
          <w:sz w:val="20"/>
          <w:lang w:val="en-GB"/>
        </w:rPr>
        <w:t xml:space="preserve">be arbitrary and decided on a case-by-case basis. </w:t>
      </w:r>
      <w:r w:rsidR="00216404" w:rsidRPr="00DB13B2">
        <w:rPr>
          <w:sz w:val="20"/>
          <w:lang w:val="en-GB"/>
        </w:rPr>
        <w:t>T</w:t>
      </w:r>
      <w:r w:rsidRPr="00DB13B2">
        <w:rPr>
          <w:sz w:val="20"/>
          <w:lang w:val="en-GB"/>
        </w:rPr>
        <w:t>he Party concerned</w:t>
      </w:r>
      <w:r w:rsidR="0003187A" w:rsidRPr="00DB13B2">
        <w:rPr>
          <w:sz w:val="20"/>
          <w:lang w:val="en-GB"/>
        </w:rPr>
        <w:t xml:space="preserve"> </w:t>
      </w:r>
      <w:r w:rsidR="00216404" w:rsidRPr="00DB13B2">
        <w:rPr>
          <w:sz w:val="20"/>
          <w:lang w:val="en-GB"/>
        </w:rPr>
        <w:t xml:space="preserve">submits </w:t>
      </w:r>
      <w:r w:rsidRPr="00DB13B2">
        <w:rPr>
          <w:sz w:val="20"/>
          <w:lang w:val="en-GB"/>
        </w:rPr>
        <w:t>that</w:t>
      </w:r>
      <w:r w:rsidR="00216404" w:rsidRPr="00DB13B2">
        <w:rPr>
          <w:sz w:val="20"/>
          <w:lang w:val="en-GB"/>
        </w:rPr>
        <w:t>, in contrast,</w:t>
      </w:r>
      <w:r w:rsidRPr="00DB13B2">
        <w:rPr>
          <w:sz w:val="20"/>
          <w:lang w:val="en-GB"/>
        </w:rPr>
        <w:t xml:space="preserve"> the wording of article 24 </w:t>
      </w:r>
      <w:r w:rsidR="007044B5" w:rsidRPr="00DB13B2">
        <w:rPr>
          <w:sz w:val="20"/>
          <w:lang w:val="en-GB"/>
        </w:rPr>
        <w:t xml:space="preserve">of the </w:t>
      </w:r>
      <w:r w:rsidRPr="00DB13B2">
        <w:rPr>
          <w:sz w:val="20"/>
          <w:lang w:val="en-GB"/>
        </w:rPr>
        <w:t>IED does not lack clarity or present a risk of arbitrary decisions by the public authority.</w:t>
      </w:r>
      <w:r w:rsidR="009A67CB" w:rsidRPr="00DB13B2">
        <w:rPr>
          <w:rStyle w:val="FootnoteReference"/>
          <w:sz w:val="20"/>
          <w:lang w:val="en-GB"/>
        </w:rPr>
        <w:footnoteReference w:id="59"/>
      </w:r>
      <w:bookmarkEnd w:id="31"/>
    </w:p>
    <w:p w14:paraId="1594C37A" w14:textId="756A7003" w:rsidR="00AC2004" w:rsidRPr="00DB13B2" w:rsidRDefault="00AC2004"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32" w:name="_Ref507584030"/>
      <w:r w:rsidRPr="00DB13B2">
        <w:rPr>
          <w:sz w:val="20"/>
          <w:lang w:val="en-GB"/>
        </w:rPr>
        <w:t xml:space="preserve">With regard to the </w:t>
      </w:r>
      <w:r w:rsidR="00DB13B2" w:rsidRPr="002D1939">
        <w:rPr>
          <w:sz w:val="20"/>
          <w:lang w:val="en-GB"/>
        </w:rPr>
        <w:t>Committee’s findings on</w:t>
      </w:r>
      <w:r w:rsidRPr="00DB13B2">
        <w:rPr>
          <w:sz w:val="20"/>
          <w:lang w:val="en-GB"/>
        </w:rPr>
        <w:t xml:space="preserve"> communication ACCC/C/2009/41</w:t>
      </w:r>
      <w:r w:rsidR="00DB13B2" w:rsidRPr="002D1939">
        <w:rPr>
          <w:sz w:val="20"/>
          <w:lang w:val="en-GB"/>
        </w:rPr>
        <w:t xml:space="preserve"> (Slovakia)</w:t>
      </w:r>
      <w:r w:rsidRPr="00DB13B2">
        <w:rPr>
          <w:sz w:val="20"/>
          <w:lang w:val="en-GB"/>
        </w:rPr>
        <w:t>, the Party concerned</w:t>
      </w:r>
      <w:r w:rsidR="0003187A" w:rsidRPr="00DB13B2">
        <w:rPr>
          <w:sz w:val="20"/>
          <w:lang w:val="en-GB"/>
        </w:rPr>
        <w:t xml:space="preserve"> </w:t>
      </w:r>
      <w:r w:rsidRPr="00DB13B2">
        <w:rPr>
          <w:sz w:val="20"/>
          <w:lang w:val="en-GB"/>
        </w:rPr>
        <w:t xml:space="preserve">draws attention to the fact that the case concerned compliance with the Convention in relation to a </w:t>
      </w:r>
      <w:r w:rsidR="007044B5" w:rsidRPr="00DB13B2">
        <w:rPr>
          <w:sz w:val="20"/>
          <w:lang w:val="en-GB"/>
        </w:rPr>
        <w:t>nuclear power plant</w:t>
      </w:r>
      <w:r w:rsidRPr="00DB13B2">
        <w:rPr>
          <w:sz w:val="20"/>
          <w:lang w:val="en-GB"/>
        </w:rPr>
        <w:t xml:space="preserve">, which constitutes an activity “of such a nature and magnitude” and “increased potential impact on the environment” that public participation </w:t>
      </w:r>
      <w:r w:rsidR="002257C1" w:rsidRPr="00DB13B2">
        <w:rPr>
          <w:sz w:val="20"/>
          <w:lang w:val="en-GB"/>
        </w:rPr>
        <w:t xml:space="preserve">was </w:t>
      </w:r>
      <w:r w:rsidRPr="00DB13B2">
        <w:rPr>
          <w:sz w:val="20"/>
          <w:lang w:val="en-GB"/>
        </w:rPr>
        <w:t>mandatory.</w:t>
      </w:r>
      <w:r w:rsidR="00D27914" w:rsidRPr="00DB13B2">
        <w:rPr>
          <w:rStyle w:val="FootnoteReference"/>
          <w:sz w:val="20"/>
          <w:lang w:val="en-GB"/>
        </w:rPr>
        <w:footnoteReference w:id="60"/>
      </w:r>
      <w:r w:rsidRPr="00DB13B2">
        <w:rPr>
          <w:sz w:val="20"/>
          <w:lang w:val="en-GB"/>
        </w:rPr>
        <w:t xml:space="preserve"> </w:t>
      </w:r>
      <w:r w:rsidR="00216404" w:rsidRPr="00DB13B2">
        <w:rPr>
          <w:sz w:val="20"/>
          <w:lang w:val="en-GB"/>
        </w:rPr>
        <w:t>I</w:t>
      </w:r>
      <w:r w:rsidR="00DB13B2" w:rsidRPr="002D1939">
        <w:rPr>
          <w:sz w:val="20"/>
          <w:lang w:val="en-GB"/>
        </w:rPr>
        <w:t>t submits that, i</w:t>
      </w:r>
      <w:r w:rsidR="00045358" w:rsidRPr="00DB13B2">
        <w:rPr>
          <w:sz w:val="20"/>
          <w:lang w:val="en-GB"/>
        </w:rPr>
        <w:t xml:space="preserve">n line with this </w:t>
      </w:r>
      <w:r w:rsidR="00DB13B2" w:rsidRPr="002D1939">
        <w:rPr>
          <w:sz w:val="20"/>
          <w:lang w:val="en-GB"/>
        </w:rPr>
        <w:t>approach,</w:t>
      </w:r>
      <w:r w:rsidR="00DB13B2" w:rsidRPr="00DB13B2">
        <w:rPr>
          <w:sz w:val="20"/>
          <w:lang w:val="en-GB"/>
        </w:rPr>
        <w:t xml:space="preserve"> </w:t>
      </w:r>
      <w:r w:rsidRPr="00DB13B2">
        <w:rPr>
          <w:sz w:val="20"/>
          <w:lang w:val="en-GB"/>
        </w:rPr>
        <w:t xml:space="preserve">article 24 of the IED specifically foresees full-fledged public participation in </w:t>
      </w:r>
      <w:r w:rsidR="00045358" w:rsidRPr="00DB13B2">
        <w:rPr>
          <w:sz w:val="20"/>
          <w:lang w:val="en-GB"/>
        </w:rPr>
        <w:t>very clearly described and objectively defined cases (see para.</w:t>
      </w:r>
      <w:r w:rsidR="00FA79F6" w:rsidRPr="00DB13B2">
        <w:rPr>
          <w:sz w:val="20"/>
          <w:lang w:val="en-GB"/>
        </w:rPr>
        <w:t xml:space="preserve"> </w:t>
      </w:r>
      <w:r w:rsidR="00FA79F6" w:rsidRPr="00990D58">
        <w:rPr>
          <w:sz w:val="20"/>
          <w:lang w:val="en-GB"/>
        </w:rPr>
        <w:fldChar w:fldCharType="begin"/>
      </w:r>
      <w:r w:rsidR="00FA79F6" w:rsidRPr="00DB13B2">
        <w:rPr>
          <w:sz w:val="20"/>
          <w:lang w:val="en-GB"/>
        </w:rPr>
        <w:instrText xml:space="preserve"> REF _Ref507422819 \r \h </w:instrText>
      </w:r>
      <w:r w:rsidR="00FF5624" w:rsidRPr="002D1939">
        <w:rPr>
          <w:sz w:val="20"/>
          <w:lang w:val="en-GB"/>
        </w:rPr>
        <w:instrText xml:space="preserve"> \* MERGEFORMAT </w:instrText>
      </w:r>
      <w:r w:rsidR="00FA79F6" w:rsidRPr="00990D58">
        <w:rPr>
          <w:sz w:val="20"/>
          <w:lang w:val="en-GB"/>
        </w:rPr>
      </w:r>
      <w:r w:rsidR="00FA79F6" w:rsidRPr="00990D58">
        <w:rPr>
          <w:sz w:val="20"/>
          <w:lang w:val="en-GB"/>
        </w:rPr>
        <w:fldChar w:fldCharType="separate"/>
      </w:r>
      <w:r w:rsidR="00C775D0">
        <w:rPr>
          <w:sz w:val="20"/>
          <w:lang w:val="en-GB"/>
        </w:rPr>
        <w:t>19</w:t>
      </w:r>
      <w:r w:rsidR="00FA79F6" w:rsidRPr="00990D58">
        <w:rPr>
          <w:sz w:val="20"/>
          <w:lang w:val="en-GB"/>
        </w:rPr>
        <w:fldChar w:fldCharType="end"/>
      </w:r>
      <w:r w:rsidR="00045358" w:rsidRPr="00DB13B2">
        <w:rPr>
          <w:sz w:val="20"/>
          <w:lang w:val="en-GB"/>
        </w:rPr>
        <w:t xml:space="preserve"> above)</w:t>
      </w:r>
      <w:r w:rsidRPr="00DB13B2">
        <w:rPr>
          <w:sz w:val="20"/>
          <w:lang w:val="en-GB"/>
        </w:rPr>
        <w:t>.</w:t>
      </w:r>
      <w:r w:rsidR="009A67CB" w:rsidRPr="00DB13B2">
        <w:rPr>
          <w:rStyle w:val="FootnoteReference"/>
          <w:sz w:val="20"/>
          <w:lang w:val="en-GB"/>
        </w:rPr>
        <w:footnoteReference w:id="61"/>
      </w:r>
      <w:bookmarkEnd w:id="32"/>
    </w:p>
    <w:p w14:paraId="071BE0E3" w14:textId="6C13E8A9" w:rsidR="005562A7" w:rsidRPr="0008442A" w:rsidRDefault="00F14900"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33" w:name="_Ref507584282"/>
      <w:bookmarkStart w:id="34" w:name="_Ref507606403"/>
      <w:r w:rsidRPr="0008442A">
        <w:rPr>
          <w:sz w:val="20"/>
          <w:lang w:val="en-GB"/>
        </w:rPr>
        <w:t>In addition, the Party concerned</w:t>
      </w:r>
      <w:r w:rsidR="0003187A" w:rsidRPr="0008442A">
        <w:rPr>
          <w:sz w:val="20"/>
          <w:lang w:val="en-GB"/>
        </w:rPr>
        <w:t xml:space="preserve"> </w:t>
      </w:r>
      <w:r w:rsidRPr="0008442A">
        <w:rPr>
          <w:sz w:val="20"/>
          <w:lang w:val="en-GB"/>
        </w:rPr>
        <w:t xml:space="preserve">submits that article 24 of the IED </w:t>
      </w:r>
      <w:r w:rsidR="00967F44" w:rsidRPr="0008442A">
        <w:rPr>
          <w:sz w:val="20"/>
          <w:lang w:val="en-GB"/>
        </w:rPr>
        <w:t>complies with the underlying rationale of article 6</w:t>
      </w:r>
      <w:r w:rsidR="0003187A" w:rsidRPr="0008442A">
        <w:rPr>
          <w:sz w:val="20"/>
          <w:lang w:val="en-GB"/>
        </w:rPr>
        <w:t>(</w:t>
      </w:r>
      <w:r w:rsidR="00967F44" w:rsidRPr="0008442A">
        <w:rPr>
          <w:sz w:val="20"/>
          <w:lang w:val="en-GB"/>
        </w:rPr>
        <w:t>1</w:t>
      </w:r>
      <w:r w:rsidR="0003187A" w:rsidRPr="0008442A">
        <w:rPr>
          <w:sz w:val="20"/>
          <w:lang w:val="en-GB"/>
        </w:rPr>
        <w:t>)</w:t>
      </w:r>
      <w:r w:rsidR="00967F44" w:rsidRPr="0008442A">
        <w:rPr>
          <w:sz w:val="20"/>
          <w:lang w:val="en-GB"/>
        </w:rPr>
        <w:t xml:space="preserve">(a) and (b) of the Convention, </w:t>
      </w:r>
      <w:r w:rsidRPr="0008442A">
        <w:rPr>
          <w:sz w:val="20"/>
          <w:lang w:val="en-GB"/>
        </w:rPr>
        <w:t xml:space="preserve">read in </w:t>
      </w:r>
      <w:r w:rsidR="003A158F" w:rsidRPr="0008442A">
        <w:rPr>
          <w:sz w:val="20"/>
          <w:lang w:val="en-GB"/>
        </w:rPr>
        <w:t xml:space="preserve">the </w:t>
      </w:r>
      <w:r w:rsidRPr="0008442A">
        <w:rPr>
          <w:sz w:val="20"/>
          <w:lang w:val="en-GB"/>
        </w:rPr>
        <w:t>light</w:t>
      </w:r>
      <w:r w:rsidR="005C44D9" w:rsidRPr="0008442A">
        <w:rPr>
          <w:sz w:val="20"/>
          <w:lang w:val="en-GB"/>
        </w:rPr>
        <w:t xml:space="preserve"> of paragraph 22 of a</w:t>
      </w:r>
      <w:r w:rsidRPr="0008442A">
        <w:rPr>
          <w:sz w:val="20"/>
          <w:lang w:val="en-GB"/>
        </w:rPr>
        <w:t>nnex I</w:t>
      </w:r>
      <w:r w:rsidR="00967F44" w:rsidRPr="0008442A">
        <w:rPr>
          <w:sz w:val="20"/>
          <w:lang w:val="en-GB"/>
        </w:rPr>
        <w:t xml:space="preserve">. Only </w:t>
      </w:r>
      <w:r w:rsidRPr="0008442A">
        <w:rPr>
          <w:sz w:val="20"/>
          <w:lang w:val="en-GB"/>
        </w:rPr>
        <w:t>the updating of those permits for activities whos</w:t>
      </w:r>
      <w:r w:rsidR="005C44D9" w:rsidRPr="0008442A">
        <w:rPr>
          <w:sz w:val="20"/>
          <w:lang w:val="en-GB"/>
        </w:rPr>
        <w:t>e threshold is provided by a</w:t>
      </w:r>
      <w:r w:rsidRPr="0008442A">
        <w:rPr>
          <w:sz w:val="20"/>
          <w:lang w:val="en-GB"/>
        </w:rPr>
        <w:t xml:space="preserve">nnex </w:t>
      </w:r>
      <w:r w:rsidR="00967F44" w:rsidRPr="0008442A">
        <w:rPr>
          <w:sz w:val="20"/>
          <w:lang w:val="en-GB"/>
        </w:rPr>
        <w:t>I (meaning that they are significantly affecting the environment)</w:t>
      </w:r>
      <w:r w:rsidRPr="0008442A">
        <w:rPr>
          <w:sz w:val="20"/>
          <w:lang w:val="en-GB"/>
        </w:rPr>
        <w:t xml:space="preserve">, or where the Parties so provide in their legislation for the updating of permits concerning other activities also significantly affecting the environment, are subject to </w:t>
      </w:r>
      <w:r w:rsidR="00967F44" w:rsidRPr="0008442A">
        <w:rPr>
          <w:sz w:val="20"/>
          <w:lang w:val="en-GB"/>
        </w:rPr>
        <w:t xml:space="preserve">the </w:t>
      </w:r>
      <w:r w:rsidR="00FF5624">
        <w:rPr>
          <w:sz w:val="20"/>
          <w:lang w:val="en-GB"/>
        </w:rPr>
        <w:t xml:space="preserve">Convention’s </w:t>
      </w:r>
      <w:r w:rsidRPr="0008442A">
        <w:rPr>
          <w:sz w:val="20"/>
          <w:lang w:val="en-GB"/>
        </w:rPr>
        <w:t>public participation requirements.</w:t>
      </w:r>
      <w:r w:rsidR="009A67CB" w:rsidRPr="0008442A">
        <w:rPr>
          <w:rStyle w:val="FootnoteReference"/>
          <w:sz w:val="20"/>
          <w:lang w:val="en-GB"/>
        </w:rPr>
        <w:footnoteReference w:id="62"/>
      </w:r>
      <w:bookmarkEnd w:id="33"/>
      <w:r w:rsidR="008C2618" w:rsidRPr="0008442A">
        <w:rPr>
          <w:sz w:val="20"/>
          <w:lang w:val="en-GB"/>
        </w:rPr>
        <w:t xml:space="preserve"> </w:t>
      </w:r>
      <w:r w:rsidR="00FF5624">
        <w:rPr>
          <w:sz w:val="20"/>
          <w:lang w:val="en-GB"/>
        </w:rPr>
        <w:t>T</w:t>
      </w:r>
      <w:r w:rsidR="00045358" w:rsidRPr="0008442A">
        <w:rPr>
          <w:sz w:val="20"/>
          <w:lang w:val="en-GB"/>
        </w:rPr>
        <w:t>he Party concerned</w:t>
      </w:r>
      <w:r w:rsidR="00AB318D" w:rsidRPr="0008442A">
        <w:rPr>
          <w:sz w:val="20"/>
          <w:lang w:val="en-GB"/>
        </w:rPr>
        <w:t xml:space="preserve"> </w:t>
      </w:r>
      <w:r w:rsidR="00045358" w:rsidRPr="0008442A">
        <w:rPr>
          <w:sz w:val="20"/>
          <w:lang w:val="en-GB"/>
        </w:rPr>
        <w:t xml:space="preserve">concurs </w:t>
      </w:r>
      <w:r w:rsidR="00FF5624">
        <w:rPr>
          <w:sz w:val="20"/>
          <w:lang w:val="en-GB"/>
        </w:rPr>
        <w:t xml:space="preserve">with the communicant’s submission </w:t>
      </w:r>
      <w:r w:rsidR="00045358" w:rsidRPr="0008442A">
        <w:rPr>
          <w:sz w:val="20"/>
          <w:lang w:val="en-GB"/>
        </w:rPr>
        <w:t xml:space="preserve">that paragraph 22 of </w:t>
      </w:r>
      <w:r w:rsidR="00AB318D" w:rsidRPr="0008442A">
        <w:rPr>
          <w:sz w:val="20"/>
          <w:lang w:val="en-GB"/>
        </w:rPr>
        <w:t>a</w:t>
      </w:r>
      <w:r w:rsidR="00045358" w:rsidRPr="0008442A">
        <w:rPr>
          <w:sz w:val="20"/>
          <w:lang w:val="en-GB"/>
        </w:rPr>
        <w:t>nnex I is independent from article 6</w:t>
      </w:r>
      <w:r w:rsidR="00AB318D" w:rsidRPr="0008442A">
        <w:rPr>
          <w:sz w:val="20"/>
          <w:lang w:val="en-GB"/>
        </w:rPr>
        <w:t>(</w:t>
      </w:r>
      <w:r w:rsidR="00045358" w:rsidRPr="0008442A">
        <w:rPr>
          <w:sz w:val="20"/>
          <w:lang w:val="en-GB"/>
        </w:rPr>
        <w:t>10</w:t>
      </w:r>
      <w:r w:rsidR="00AB318D" w:rsidRPr="0008442A">
        <w:rPr>
          <w:sz w:val="20"/>
          <w:lang w:val="en-GB"/>
        </w:rPr>
        <w:t>)</w:t>
      </w:r>
      <w:r w:rsidR="00045358" w:rsidRPr="0008442A">
        <w:rPr>
          <w:sz w:val="20"/>
          <w:lang w:val="en-GB"/>
        </w:rPr>
        <w:t xml:space="preserve"> of the Convention and submits that paragraph 22 of </w:t>
      </w:r>
      <w:r w:rsidR="00A32E78" w:rsidRPr="0008442A">
        <w:rPr>
          <w:sz w:val="20"/>
          <w:lang w:val="en-GB"/>
        </w:rPr>
        <w:t>a</w:t>
      </w:r>
      <w:r w:rsidR="00045358" w:rsidRPr="0008442A">
        <w:rPr>
          <w:sz w:val="20"/>
          <w:lang w:val="en-GB"/>
        </w:rPr>
        <w:t xml:space="preserve">nnex I merely provides for a situation in which article </w:t>
      </w:r>
      <w:r w:rsidR="00045358" w:rsidRPr="0008442A">
        <w:rPr>
          <w:sz w:val="20"/>
          <w:lang w:val="en-GB"/>
        </w:rPr>
        <w:lastRenderedPageBreak/>
        <w:t>6</w:t>
      </w:r>
      <w:r w:rsidR="00A32E78" w:rsidRPr="0008442A">
        <w:rPr>
          <w:sz w:val="20"/>
          <w:lang w:val="en-GB"/>
        </w:rPr>
        <w:t>(</w:t>
      </w:r>
      <w:r w:rsidR="00045358" w:rsidRPr="0008442A">
        <w:rPr>
          <w:sz w:val="20"/>
          <w:lang w:val="en-GB"/>
        </w:rPr>
        <w:t>1</w:t>
      </w:r>
      <w:r w:rsidR="00A32E78" w:rsidRPr="0008442A">
        <w:rPr>
          <w:sz w:val="20"/>
          <w:lang w:val="en-GB"/>
        </w:rPr>
        <w:t>)</w:t>
      </w:r>
      <w:r w:rsidR="00045358" w:rsidRPr="0008442A">
        <w:rPr>
          <w:sz w:val="20"/>
          <w:lang w:val="en-GB"/>
        </w:rPr>
        <w:t xml:space="preserve">(a) of the Convention clearly applies, while article </w:t>
      </w:r>
      <w:r w:rsidR="00A32E78" w:rsidRPr="0008442A">
        <w:rPr>
          <w:sz w:val="20"/>
          <w:lang w:val="en-GB"/>
        </w:rPr>
        <w:t>6(</w:t>
      </w:r>
      <w:r w:rsidR="00045358" w:rsidRPr="0008442A">
        <w:rPr>
          <w:sz w:val="20"/>
          <w:lang w:val="en-GB"/>
        </w:rPr>
        <w:t>10</w:t>
      </w:r>
      <w:r w:rsidR="00A32E78" w:rsidRPr="0008442A">
        <w:rPr>
          <w:sz w:val="20"/>
          <w:lang w:val="en-GB"/>
        </w:rPr>
        <w:t>)</w:t>
      </w:r>
      <w:r w:rsidR="00045358" w:rsidRPr="0008442A">
        <w:rPr>
          <w:sz w:val="20"/>
          <w:lang w:val="en-GB"/>
        </w:rPr>
        <w:t xml:space="preserve"> of the Convention leaves discretion to the Parties to determine whether public participation is “appropriate”.</w:t>
      </w:r>
      <w:r w:rsidR="00045358" w:rsidRPr="0008442A">
        <w:rPr>
          <w:rStyle w:val="FootnoteReference"/>
          <w:sz w:val="20"/>
          <w:lang w:val="en-GB"/>
        </w:rPr>
        <w:footnoteReference w:id="63"/>
      </w:r>
      <w:bookmarkEnd w:id="34"/>
    </w:p>
    <w:p w14:paraId="538F1578" w14:textId="4578DCA0" w:rsidR="00F14900" w:rsidRPr="0008442A" w:rsidRDefault="005562A7"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35" w:name="_Ref19111313"/>
      <w:r w:rsidRPr="0008442A">
        <w:rPr>
          <w:sz w:val="20"/>
          <w:lang w:val="en-GB"/>
        </w:rPr>
        <w:t>T</w:t>
      </w:r>
      <w:r w:rsidR="00F14900" w:rsidRPr="0008442A">
        <w:rPr>
          <w:sz w:val="20"/>
          <w:lang w:val="en-GB"/>
        </w:rPr>
        <w:t xml:space="preserve">he </w:t>
      </w:r>
      <w:r w:rsidR="00CD141C" w:rsidRPr="0008442A">
        <w:rPr>
          <w:sz w:val="20"/>
          <w:lang w:val="en-GB"/>
        </w:rPr>
        <w:t>Party concerned</w:t>
      </w:r>
      <w:r w:rsidR="00A32E78" w:rsidRPr="0008442A">
        <w:rPr>
          <w:sz w:val="20"/>
          <w:lang w:val="en-GB"/>
        </w:rPr>
        <w:t xml:space="preserve"> </w:t>
      </w:r>
      <w:r w:rsidRPr="0008442A">
        <w:rPr>
          <w:sz w:val="20"/>
          <w:lang w:val="en-GB"/>
        </w:rPr>
        <w:t>submits that the</w:t>
      </w:r>
      <w:r w:rsidR="00F14900" w:rsidRPr="0008442A">
        <w:rPr>
          <w:sz w:val="20"/>
          <w:lang w:val="en-GB"/>
        </w:rPr>
        <w:t xml:space="preserve"> findings of the Committee on communication ACCC/C2006/17</w:t>
      </w:r>
      <w:r w:rsidRPr="0008442A">
        <w:rPr>
          <w:sz w:val="20"/>
          <w:lang w:val="en-GB"/>
        </w:rPr>
        <w:t xml:space="preserve"> </w:t>
      </w:r>
      <w:r w:rsidR="00FF5624">
        <w:rPr>
          <w:sz w:val="20"/>
          <w:lang w:val="en-GB"/>
        </w:rPr>
        <w:t xml:space="preserve">(European Community) </w:t>
      </w:r>
      <w:r w:rsidRPr="0008442A">
        <w:rPr>
          <w:sz w:val="20"/>
          <w:lang w:val="en-GB"/>
        </w:rPr>
        <w:t>are more relevant to the situation at hand</w:t>
      </w:r>
      <w:r w:rsidR="00F14900" w:rsidRPr="0008442A">
        <w:rPr>
          <w:sz w:val="20"/>
          <w:lang w:val="en-GB"/>
        </w:rPr>
        <w:t xml:space="preserve">, stating that minor cases with limited environmental relevance do not merit a full-scale public participation procedure, whereas permitting </w:t>
      </w:r>
      <w:r w:rsidR="005C44D9" w:rsidRPr="0008442A">
        <w:rPr>
          <w:sz w:val="20"/>
          <w:lang w:val="en-GB"/>
        </w:rPr>
        <w:t>decisions which are capable of “</w:t>
      </w:r>
      <w:r w:rsidR="00F14900" w:rsidRPr="0008442A">
        <w:rPr>
          <w:sz w:val="20"/>
          <w:lang w:val="en-GB"/>
        </w:rPr>
        <w:t>significantly changing” the basic parameters of the activity in question or “which address significant environmental aspects of the activity not already covered by the permitting decision(s)” need to allow for full-fledged public participation.</w:t>
      </w:r>
      <w:r w:rsidR="009A67CB" w:rsidRPr="0008442A">
        <w:rPr>
          <w:rStyle w:val="FootnoteReference"/>
          <w:sz w:val="20"/>
          <w:lang w:val="en-GB"/>
        </w:rPr>
        <w:footnoteReference w:id="64"/>
      </w:r>
      <w:bookmarkEnd w:id="35"/>
    </w:p>
    <w:p w14:paraId="33376E7E" w14:textId="5BA06749" w:rsidR="00090B39" w:rsidRPr="0008442A" w:rsidRDefault="00534DD4" w:rsidP="006A5D08">
      <w:pPr>
        <w:pStyle w:val="SingleTxtG"/>
        <w:numPr>
          <w:ilvl w:val="0"/>
          <w:numId w:val="3"/>
        </w:numPr>
        <w:tabs>
          <w:tab w:val="clear" w:pos="1853"/>
          <w:tab w:val="num" w:pos="1134"/>
        </w:tabs>
        <w:autoSpaceDE w:val="0"/>
        <w:autoSpaceDN w:val="0"/>
        <w:adjustRightInd w:val="0"/>
        <w:ind w:left="1134" w:right="0" w:firstLine="0"/>
        <w:rPr>
          <w:sz w:val="20"/>
          <w:lang w:val="en-GB"/>
        </w:rPr>
      </w:pPr>
      <w:proofErr w:type="gramStart"/>
      <w:r w:rsidRPr="0008442A">
        <w:rPr>
          <w:sz w:val="20"/>
          <w:lang w:val="en-GB"/>
        </w:rPr>
        <w:t>With regard to</w:t>
      </w:r>
      <w:proofErr w:type="gramEnd"/>
      <w:r w:rsidRPr="0008442A">
        <w:rPr>
          <w:sz w:val="20"/>
          <w:lang w:val="en-GB"/>
        </w:rPr>
        <w:t xml:space="preserve"> the communicant’s </w:t>
      </w:r>
      <w:r w:rsidR="00FF5624">
        <w:rPr>
          <w:sz w:val="20"/>
          <w:lang w:val="en-GB"/>
        </w:rPr>
        <w:t>submissions concerning</w:t>
      </w:r>
      <w:r w:rsidRPr="0008442A">
        <w:rPr>
          <w:sz w:val="20"/>
          <w:lang w:val="en-GB"/>
        </w:rPr>
        <w:t xml:space="preserve"> the Implementation Guide, the Party concerned</w:t>
      </w:r>
      <w:r w:rsidR="00A32E78" w:rsidRPr="0008442A">
        <w:rPr>
          <w:sz w:val="20"/>
          <w:lang w:val="en-GB"/>
        </w:rPr>
        <w:t xml:space="preserve"> </w:t>
      </w:r>
      <w:r w:rsidR="00FF5624">
        <w:rPr>
          <w:sz w:val="20"/>
          <w:lang w:val="en-GB"/>
        </w:rPr>
        <w:t>points out</w:t>
      </w:r>
      <w:r w:rsidRPr="0008442A">
        <w:rPr>
          <w:sz w:val="20"/>
          <w:lang w:val="en-GB"/>
        </w:rPr>
        <w:t xml:space="preserve"> that the </w:t>
      </w:r>
      <w:r w:rsidR="00FF5624">
        <w:rPr>
          <w:sz w:val="20"/>
          <w:lang w:val="en-GB"/>
        </w:rPr>
        <w:t xml:space="preserve">Implementation </w:t>
      </w:r>
      <w:r w:rsidRPr="0008442A">
        <w:rPr>
          <w:sz w:val="20"/>
          <w:lang w:val="en-GB"/>
        </w:rPr>
        <w:t xml:space="preserve">Guide is not legally binding </w:t>
      </w:r>
      <w:r w:rsidR="009F1966" w:rsidRPr="0008442A">
        <w:rPr>
          <w:sz w:val="20"/>
          <w:lang w:val="en-GB"/>
        </w:rPr>
        <w:t xml:space="preserve">but agrees that it can provide relevant guidance </w:t>
      </w:r>
      <w:r w:rsidR="003A158F" w:rsidRPr="0008442A">
        <w:rPr>
          <w:sz w:val="20"/>
          <w:lang w:val="en-GB"/>
        </w:rPr>
        <w:t xml:space="preserve">to </w:t>
      </w:r>
      <w:r w:rsidR="009F1966" w:rsidRPr="0008442A">
        <w:rPr>
          <w:sz w:val="20"/>
          <w:lang w:val="en-GB"/>
        </w:rPr>
        <w:t>the case at hand</w:t>
      </w:r>
      <w:r w:rsidRPr="0008442A">
        <w:rPr>
          <w:sz w:val="20"/>
          <w:lang w:val="en-GB"/>
        </w:rPr>
        <w:t>.</w:t>
      </w:r>
      <w:r w:rsidR="009D45A7" w:rsidRPr="0008442A">
        <w:rPr>
          <w:rStyle w:val="FootnoteReference"/>
          <w:sz w:val="20"/>
          <w:lang w:val="en-GB"/>
        </w:rPr>
        <w:footnoteReference w:id="65"/>
      </w:r>
      <w:r w:rsidR="00045358" w:rsidRPr="0008442A">
        <w:rPr>
          <w:sz w:val="20"/>
          <w:lang w:val="en-GB"/>
        </w:rPr>
        <w:t xml:space="preserve"> It </w:t>
      </w:r>
      <w:r w:rsidR="00BE1E52" w:rsidRPr="0008442A">
        <w:rPr>
          <w:sz w:val="20"/>
          <w:lang w:val="en-GB"/>
        </w:rPr>
        <w:t xml:space="preserve">contends that </w:t>
      </w:r>
      <w:r w:rsidR="003A158F" w:rsidRPr="0008442A">
        <w:rPr>
          <w:sz w:val="20"/>
          <w:lang w:val="en-GB"/>
        </w:rPr>
        <w:t xml:space="preserve">the excerpts cited by the communicant </w:t>
      </w:r>
      <w:r w:rsidR="00BE1E52" w:rsidRPr="0008442A">
        <w:rPr>
          <w:sz w:val="20"/>
          <w:lang w:val="en-GB"/>
        </w:rPr>
        <w:t>have to be read in their context. The Party concerned</w:t>
      </w:r>
      <w:r w:rsidR="00A32E78" w:rsidRPr="0008442A">
        <w:rPr>
          <w:sz w:val="20"/>
          <w:lang w:val="en-GB"/>
        </w:rPr>
        <w:t xml:space="preserve"> </w:t>
      </w:r>
      <w:r w:rsidR="00FF5624">
        <w:rPr>
          <w:sz w:val="20"/>
          <w:lang w:val="en-GB"/>
        </w:rPr>
        <w:t>submit</w:t>
      </w:r>
      <w:r w:rsidR="00FF5624" w:rsidRPr="0008442A">
        <w:rPr>
          <w:sz w:val="20"/>
          <w:lang w:val="en-GB"/>
        </w:rPr>
        <w:t xml:space="preserve">s </w:t>
      </w:r>
      <w:r w:rsidR="00BE1E52" w:rsidRPr="0008442A">
        <w:rPr>
          <w:sz w:val="20"/>
          <w:lang w:val="en-GB"/>
        </w:rPr>
        <w:t>that instead of making clear that article 6 of the Convention applies to all kinds of permitting decisions, the Implementation Guide confirm</w:t>
      </w:r>
      <w:r w:rsidR="00DB13B2">
        <w:rPr>
          <w:sz w:val="20"/>
          <w:lang w:val="en-GB"/>
        </w:rPr>
        <w:t>s</w:t>
      </w:r>
      <w:r w:rsidR="00BE1E52" w:rsidRPr="0008442A">
        <w:rPr>
          <w:sz w:val="20"/>
          <w:lang w:val="en-GB"/>
        </w:rPr>
        <w:t xml:space="preserve"> the </w:t>
      </w:r>
      <w:r w:rsidR="00DB13B2">
        <w:rPr>
          <w:sz w:val="20"/>
          <w:lang w:val="en-GB"/>
        </w:rPr>
        <w:t>IED</w:t>
      </w:r>
      <w:r w:rsidR="00DB13B2" w:rsidRPr="0008442A">
        <w:rPr>
          <w:sz w:val="20"/>
          <w:lang w:val="en-GB"/>
        </w:rPr>
        <w:t xml:space="preserve">’s </w:t>
      </w:r>
      <w:r w:rsidR="00BE1E52" w:rsidRPr="0008442A">
        <w:rPr>
          <w:sz w:val="20"/>
          <w:lang w:val="en-GB"/>
        </w:rPr>
        <w:t>approach to delimit the</w:t>
      </w:r>
      <w:r w:rsidR="00DB13B2">
        <w:rPr>
          <w:sz w:val="20"/>
          <w:lang w:val="en-GB"/>
        </w:rPr>
        <w:t xml:space="preserve"> Convention’s</w:t>
      </w:r>
      <w:r w:rsidR="00BE1E52" w:rsidRPr="0008442A">
        <w:rPr>
          <w:sz w:val="20"/>
          <w:lang w:val="en-GB"/>
        </w:rPr>
        <w:t xml:space="preserve"> public participation requirements to certain objectively </w:t>
      </w:r>
      <w:r w:rsidR="00BE1E52" w:rsidRPr="002D1939">
        <w:rPr>
          <w:sz w:val="20"/>
          <w:szCs w:val="20"/>
          <w:lang w:val="en-GB"/>
        </w:rPr>
        <w:t>determined cases</w:t>
      </w:r>
      <w:r w:rsidR="00DB13B2" w:rsidRPr="002D1939">
        <w:rPr>
          <w:sz w:val="20"/>
          <w:szCs w:val="20"/>
          <w:lang w:val="en-GB"/>
        </w:rPr>
        <w:t xml:space="preserve"> </w:t>
      </w:r>
      <w:r w:rsidR="00DB13B2">
        <w:rPr>
          <w:sz w:val="20"/>
          <w:szCs w:val="20"/>
          <w:lang w:val="en-GB"/>
        </w:rPr>
        <w:t>in which the</w:t>
      </w:r>
      <w:r w:rsidR="00DB13B2" w:rsidRPr="002D1939">
        <w:rPr>
          <w:sz w:val="20"/>
          <w:szCs w:val="20"/>
        </w:rPr>
        <w:t xml:space="preserve"> permit modification</w:t>
      </w:r>
      <w:r w:rsidR="00DB13B2" w:rsidRPr="002D1939">
        <w:rPr>
          <w:sz w:val="20"/>
          <w:szCs w:val="20"/>
          <w:lang w:val="en-GB"/>
        </w:rPr>
        <w:t>s</w:t>
      </w:r>
      <w:r w:rsidR="00DB13B2" w:rsidRPr="002D1939">
        <w:rPr>
          <w:sz w:val="20"/>
          <w:szCs w:val="20"/>
        </w:rPr>
        <w:t xml:space="preserve"> </w:t>
      </w:r>
      <w:r w:rsidR="00DB13B2" w:rsidRPr="002D1939">
        <w:rPr>
          <w:sz w:val="20"/>
          <w:szCs w:val="20"/>
          <w:lang w:val="en-GB"/>
        </w:rPr>
        <w:t>en</w:t>
      </w:r>
      <w:r w:rsidR="00DB13B2">
        <w:rPr>
          <w:sz w:val="20"/>
          <w:szCs w:val="20"/>
          <w:lang w:val="en-GB"/>
        </w:rPr>
        <w:t>tail</w:t>
      </w:r>
      <w:r w:rsidR="00DB13B2" w:rsidRPr="002D1939">
        <w:rPr>
          <w:sz w:val="20"/>
          <w:szCs w:val="20"/>
          <w:lang w:val="en-GB"/>
        </w:rPr>
        <w:t xml:space="preserve"> </w:t>
      </w:r>
      <w:r w:rsidR="00DB13B2" w:rsidRPr="002D1939">
        <w:rPr>
          <w:sz w:val="20"/>
          <w:szCs w:val="20"/>
        </w:rPr>
        <w:t>changes which could significantly affect the environment</w:t>
      </w:r>
      <w:r w:rsidR="00BE1E52" w:rsidRPr="002D1939">
        <w:rPr>
          <w:sz w:val="20"/>
          <w:szCs w:val="20"/>
          <w:lang w:val="en-GB"/>
        </w:rPr>
        <w:t>.</w:t>
      </w:r>
      <w:r w:rsidR="009D45A7" w:rsidRPr="002D1939">
        <w:rPr>
          <w:rStyle w:val="FootnoteReference"/>
          <w:sz w:val="20"/>
          <w:szCs w:val="20"/>
          <w:lang w:val="en-GB"/>
        </w:rPr>
        <w:footnoteReference w:id="66"/>
      </w:r>
      <w:r w:rsidR="009F1966" w:rsidRPr="0008442A">
        <w:rPr>
          <w:sz w:val="20"/>
          <w:lang w:val="en-GB"/>
        </w:rPr>
        <w:t xml:space="preserve"> T</w:t>
      </w:r>
      <w:r w:rsidR="00090B39" w:rsidRPr="0008442A">
        <w:rPr>
          <w:sz w:val="20"/>
          <w:lang w:val="en-GB"/>
        </w:rPr>
        <w:t>he Party concerned</w:t>
      </w:r>
      <w:r w:rsidR="00A32E78" w:rsidRPr="0008442A">
        <w:rPr>
          <w:sz w:val="20"/>
          <w:lang w:val="en-GB"/>
        </w:rPr>
        <w:t xml:space="preserve"> </w:t>
      </w:r>
      <w:r w:rsidR="009F1966" w:rsidRPr="0008442A">
        <w:rPr>
          <w:sz w:val="20"/>
          <w:lang w:val="en-GB"/>
        </w:rPr>
        <w:t xml:space="preserve">further </w:t>
      </w:r>
      <w:r w:rsidR="00090B39" w:rsidRPr="0008442A">
        <w:rPr>
          <w:sz w:val="20"/>
          <w:lang w:val="en-GB"/>
        </w:rPr>
        <w:t xml:space="preserve">submits that the Implementation Guide </w:t>
      </w:r>
      <w:r w:rsidR="00DB13B2">
        <w:rPr>
          <w:sz w:val="20"/>
          <w:lang w:val="en-GB"/>
        </w:rPr>
        <w:t xml:space="preserve">appears to cite </w:t>
      </w:r>
      <w:r w:rsidR="00090B39" w:rsidRPr="0008442A">
        <w:rPr>
          <w:sz w:val="20"/>
          <w:lang w:val="en-GB"/>
        </w:rPr>
        <w:t xml:space="preserve">the </w:t>
      </w:r>
      <w:r w:rsidR="00DB13B2">
        <w:rPr>
          <w:sz w:val="20"/>
          <w:lang w:val="en-GB"/>
        </w:rPr>
        <w:t xml:space="preserve">IED </w:t>
      </w:r>
      <w:r w:rsidR="00090B39" w:rsidRPr="0008442A">
        <w:rPr>
          <w:sz w:val="20"/>
          <w:lang w:val="en-GB"/>
        </w:rPr>
        <w:t>as a valid example of application of article 6</w:t>
      </w:r>
      <w:r w:rsidR="00A32E78" w:rsidRPr="0008442A">
        <w:rPr>
          <w:sz w:val="20"/>
          <w:lang w:val="en-GB"/>
        </w:rPr>
        <w:t>(</w:t>
      </w:r>
      <w:r w:rsidR="00090B39" w:rsidRPr="0008442A">
        <w:rPr>
          <w:sz w:val="20"/>
          <w:lang w:val="en-GB"/>
        </w:rPr>
        <w:t>10</w:t>
      </w:r>
      <w:r w:rsidR="00A32E78" w:rsidRPr="0008442A">
        <w:rPr>
          <w:sz w:val="20"/>
          <w:lang w:val="en-GB"/>
        </w:rPr>
        <w:t>)</w:t>
      </w:r>
      <w:r w:rsidR="00090B39" w:rsidRPr="0008442A">
        <w:rPr>
          <w:sz w:val="20"/>
          <w:lang w:val="en-GB"/>
        </w:rPr>
        <w:t xml:space="preserve"> of the Convention.</w:t>
      </w:r>
      <w:r w:rsidR="00090B39" w:rsidRPr="0008442A">
        <w:rPr>
          <w:rStyle w:val="FootnoteReference"/>
          <w:sz w:val="20"/>
          <w:lang w:val="en-GB"/>
        </w:rPr>
        <w:footnoteReference w:id="67"/>
      </w:r>
    </w:p>
    <w:p w14:paraId="70969FB4" w14:textId="7A1B59BD" w:rsidR="009F1966" w:rsidRPr="0008442A" w:rsidRDefault="009F1966"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36" w:name="_Ref511037281"/>
      <w:r w:rsidRPr="0008442A">
        <w:rPr>
          <w:sz w:val="20"/>
          <w:lang w:val="en-GB"/>
        </w:rPr>
        <w:t>The Party concerned</w:t>
      </w:r>
      <w:r w:rsidR="00C273EA" w:rsidRPr="0008442A">
        <w:rPr>
          <w:sz w:val="20"/>
          <w:lang w:val="en-GB"/>
        </w:rPr>
        <w:t xml:space="preserve"> </w:t>
      </w:r>
      <w:r w:rsidRPr="0008442A">
        <w:rPr>
          <w:sz w:val="20"/>
          <w:lang w:val="en-GB"/>
        </w:rPr>
        <w:t>submits tha</w:t>
      </w:r>
      <w:r w:rsidR="008E3C55" w:rsidRPr="0008442A">
        <w:rPr>
          <w:sz w:val="20"/>
          <w:lang w:val="en-GB"/>
        </w:rPr>
        <w:t>t,</w:t>
      </w:r>
      <w:r w:rsidRPr="0008442A">
        <w:rPr>
          <w:sz w:val="20"/>
          <w:lang w:val="en-GB"/>
        </w:rPr>
        <w:t xml:space="preserve"> </w:t>
      </w:r>
      <w:proofErr w:type="gramStart"/>
      <w:r w:rsidRPr="0008442A">
        <w:rPr>
          <w:sz w:val="20"/>
          <w:lang w:val="en-GB"/>
        </w:rPr>
        <w:t>in light of</w:t>
      </w:r>
      <w:proofErr w:type="gramEnd"/>
      <w:r w:rsidRPr="0008442A">
        <w:rPr>
          <w:sz w:val="20"/>
          <w:lang w:val="en-GB"/>
        </w:rPr>
        <w:t xml:space="preserve"> the foregoing</w:t>
      </w:r>
      <w:r w:rsidR="008E3C55" w:rsidRPr="0008442A">
        <w:rPr>
          <w:sz w:val="20"/>
          <w:lang w:val="en-GB"/>
        </w:rPr>
        <w:t>,</w:t>
      </w:r>
      <w:r w:rsidRPr="0008442A">
        <w:rPr>
          <w:sz w:val="20"/>
          <w:lang w:val="en-GB"/>
        </w:rPr>
        <w:t xml:space="preserve"> the communicant’s arguments are unfounded and that it fulfils its obligations under article 6 of the Convention.</w:t>
      </w:r>
      <w:r w:rsidRPr="0008442A">
        <w:rPr>
          <w:rStyle w:val="FootnoteReference"/>
          <w:sz w:val="20"/>
          <w:lang w:val="en-GB"/>
        </w:rPr>
        <w:footnoteReference w:id="68"/>
      </w:r>
      <w:bookmarkEnd w:id="36"/>
    </w:p>
    <w:p w14:paraId="700C5B13" w14:textId="47AC19D2" w:rsidR="00053B12" w:rsidRPr="0008442A" w:rsidRDefault="00053B12" w:rsidP="006A5D08">
      <w:pPr>
        <w:pStyle w:val="SingleTxtG"/>
        <w:autoSpaceDE w:val="0"/>
        <w:autoSpaceDN w:val="0"/>
        <w:adjustRightInd w:val="0"/>
        <w:ind w:right="0"/>
        <w:outlineLvl w:val="0"/>
        <w:rPr>
          <w:i/>
          <w:sz w:val="20"/>
          <w:lang w:val="en-GB"/>
        </w:rPr>
      </w:pPr>
      <w:r w:rsidRPr="0008442A">
        <w:rPr>
          <w:i/>
          <w:sz w:val="20"/>
          <w:lang w:val="en-GB"/>
        </w:rPr>
        <w:t>Publication of new BAT conclusions and developments in the BATs</w:t>
      </w:r>
    </w:p>
    <w:p w14:paraId="250ED394" w14:textId="5D756BB4" w:rsidR="00053B12" w:rsidRPr="0008442A" w:rsidRDefault="00F8063F"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The communicant submits that the environmental significance of the application of BATs is evidenced in the definition included in article 3</w:t>
      </w:r>
      <w:r w:rsidR="009474C3" w:rsidRPr="0008442A">
        <w:rPr>
          <w:sz w:val="20"/>
          <w:lang w:val="en-GB"/>
        </w:rPr>
        <w:t>(</w:t>
      </w:r>
      <w:r w:rsidRPr="0008442A">
        <w:rPr>
          <w:sz w:val="20"/>
          <w:lang w:val="en-GB"/>
        </w:rPr>
        <w:t>10</w:t>
      </w:r>
      <w:r w:rsidR="009474C3" w:rsidRPr="0008442A">
        <w:rPr>
          <w:sz w:val="20"/>
          <w:lang w:val="en-GB"/>
        </w:rPr>
        <w:t>)</w:t>
      </w:r>
      <w:r w:rsidRPr="0008442A">
        <w:rPr>
          <w:sz w:val="20"/>
          <w:lang w:val="en-GB"/>
        </w:rPr>
        <w:t xml:space="preserve"> of the IED which states that they are “designed to prevent and, where that is not practicable, to reduce emissions and the impact on the environment as a whole.”</w:t>
      </w:r>
      <w:r w:rsidRPr="0008442A">
        <w:rPr>
          <w:rStyle w:val="FootnoteReference"/>
          <w:sz w:val="20"/>
          <w:lang w:val="en-GB"/>
        </w:rPr>
        <w:footnoteReference w:id="69"/>
      </w:r>
      <w:r w:rsidRPr="0008442A">
        <w:rPr>
          <w:sz w:val="20"/>
          <w:lang w:val="en-GB"/>
        </w:rPr>
        <w:t xml:space="preserve"> It submits that therefore BATs are not only used to establish emission limit values in environmental permits</w:t>
      </w:r>
      <w:r w:rsidR="00D011BB" w:rsidRPr="0008442A">
        <w:rPr>
          <w:sz w:val="20"/>
          <w:lang w:val="en-GB"/>
        </w:rPr>
        <w:t>,</w:t>
      </w:r>
      <w:r w:rsidRPr="0008442A">
        <w:rPr>
          <w:sz w:val="20"/>
          <w:lang w:val="en-GB"/>
        </w:rPr>
        <w:t xml:space="preserve"> but also set the framework for the operating conditions of installations which have a high impact on health and the environment.</w:t>
      </w:r>
      <w:r w:rsidRPr="0008442A">
        <w:rPr>
          <w:rStyle w:val="FootnoteReference"/>
          <w:sz w:val="20"/>
          <w:lang w:val="en-GB"/>
        </w:rPr>
        <w:footnoteReference w:id="70"/>
      </w:r>
    </w:p>
    <w:p w14:paraId="44D788FE" w14:textId="6DA5A1DD" w:rsidR="00F8063F" w:rsidRPr="0008442A" w:rsidRDefault="00F8063F"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37" w:name="_Ref510799224"/>
      <w:r w:rsidRPr="0008442A">
        <w:rPr>
          <w:sz w:val="20"/>
          <w:lang w:val="en-GB"/>
        </w:rPr>
        <w:t>The Party concerned</w:t>
      </w:r>
      <w:r w:rsidR="009474C3" w:rsidRPr="0008442A">
        <w:rPr>
          <w:sz w:val="20"/>
          <w:lang w:val="en-GB"/>
        </w:rPr>
        <w:t xml:space="preserve"> </w:t>
      </w:r>
      <w:r w:rsidRPr="0008442A">
        <w:rPr>
          <w:sz w:val="20"/>
          <w:lang w:val="en-GB"/>
        </w:rPr>
        <w:t>submits that to provide for public participation on the publication of all new BAT conclusions would only be necessary if the permitting authority would consider a possible derogation from the applicable Associated Emission Levels as this could have a negative impact on the environment. It alleges that in all other cases, the di</w:t>
      </w:r>
      <w:r w:rsidR="00FC15BF" w:rsidRPr="0008442A">
        <w:rPr>
          <w:sz w:val="20"/>
          <w:lang w:val="en-GB"/>
        </w:rPr>
        <w:t>s</w:t>
      </w:r>
      <w:r w:rsidRPr="0008442A">
        <w:rPr>
          <w:sz w:val="20"/>
          <w:lang w:val="en-GB"/>
        </w:rPr>
        <w:t>c</w:t>
      </w:r>
      <w:r w:rsidR="00FC15BF" w:rsidRPr="0008442A">
        <w:rPr>
          <w:sz w:val="20"/>
          <w:lang w:val="en-GB"/>
        </w:rPr>
        <w:t>re</w:t>
      </w:r>
      <w:r w:rsidRPr="0008442A">
        <w:rPr>
          <w:sz w:val="20"/>
          <w:lang w:val="en-GB"/>
        </w:rPr>
        <w:t>tion left to public authorities for setting emission limit values is rather limited as emission limit values must be based on these Associated Emission Levels. It submits that the Associated Emission Levels have been set following a lengthy procedure of</w:t>
      </w:r>
      <w:r w:rsidR="00170CE9" w:rsidRPr="0008442A">
        <w:rPr>
          <w:sz w:val="20"/>
          <w:lang w:val="en-GB"/>
        </w:rPr>
        <w:t xml:space="preserve"> information</w:t>
      </w:r>
      <w:r w:rsidRPr="0008442A">
        <w:rPr>
          <w:sz w:val="20"/>
          <w:lang w:val="en-GB"/>
        </w:rPr>
        <w:t xml:space="preserve"> exchange with all relevant stakeholders in the framework of the IED, including civil society representatives, and that therefore public participation at the time of updating permits that take these Associated Emission Levels into account would be </w:t>
      </w:r>
      <w:r w:rsidR="00C134CC" w:rsidRPr="0008442A">
        <w:rPr>
          <w:sz w:val="20"/>
          <w:lang w:val="en-GB"/>
        </w:rPr>
        <w:t xml:space="preserve">neither </w:t>
      </w:r>
      <w:r w:rsidRPr="0008442A">
        <w:rPr>
          <w:sz w:val="20"/>
          <w:lang w:val="en-GB"/>
        </w:rPr>
        <w:t xml:space="preserve">appropriate </w:t>
      </w:r>
      <w:r w:rsidR="00C134CC" w:rsidRPr="0008442A">
        <w:rPr>
          <w:sz w:val="20"/>
          <w:lang w:val="en-GB"/>
        </w:rPr>
        <w:t>n</w:t>
      </w:r>
      <w:r w:rsidRPr="0008442A">
        <w:rPr>
          <w:sz w:val="20"/>
          <w:lang w:val="en-GB"/>
        </w:rPr>
        <w:t>or necessary.</w:t>
      </w:r>
      <w:r w:rsidRPr="0008442A">
        <w:rPr>
          <w:rStyle w:val="FootnoteReference"/>
          <w:sz w:val="20"/>
          <w:lang w:val="en-GB"/>
        </w:rPr>
        <w:footnoteReference w:id="71"/>
      </w:r>
      <w:bookmarkEnd w:id="37"/>
    </w:p>
    <w:p w14:paraId="1BAF42E8" w14:textId="09E0AF2E" w:rsidR="00053B12" w:rsidRPr="0008442A" w:rsidRDefault="00053B12" w:rsidP="006A5D08">
      <w:pPr>
        <w:pStyle w:val="SingleTxtG"/>
        <w:autoSpaceDE w:val="0"/>
        <w:autoSpaceDN w:val="0"/>
        <w:adjustRightInd w:val="0"/>
        <w:ind w:right="0"/>
        <w:outlineLvl w:val="0"/>
        <w:rPr>
          <w:i/>
          <w:sz w:val="20"/>
          <w:lang w:val="en-GB"/>
        </w:rPr>
      </w:pPr>
      <w:r w:rsidRPr="0008442A">
        <w:rPr>
          <w:i/>
          <w:sz w:val="20"/>
          <w:lang w:val="en-GB"/>
        </w:rPr>
        <w:lastRenderedPageBreak/>
        <w:t>Operational safety requirements</w:t>
      </w:r>
    </w:p>
    <w:p w14:paraId="2DA66E76" w14:textId="77777777" w:rsidR="00053B12" w:rsidRPr="0008442A" w:rsidRDefault="00F8063F"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The communicant submits that operational safety requirements may relate to avoiding risks in the vicinity of the facility.</w:t>
      </w:r>
      <w:r w:rsidRPr="0008442A">
        <w:rPr>
          <w:rStyle w:val="FootnoteReference"/>
          <w:sz w:val="20"/>
          <w:lang w:val="en-GB"/>
        </w:rPr>
        <w:footnoteReference w:id="72"/>
      </w:r>
    </w:p>
    <w:p w14:paraId="64E876D6" w14:textId="19B589C5" w:rsidR="00766F10" w:rsidRPr="0008442A" w:rsidRDefault="00766F10"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38" w:name="_Ref510799851"/>
      <w:r w:rsidRPr="0008442A">
        <w:rPr>
          <w:sz w:val="20"/>
          <w:lang w:val="en-GB"/>
        </w:rPr>
        <w:t>The Party concerned</w:t>
      </w:r>
      <w:r w:rsidR="009474C3" w:rsidRPr="0008442A">
        <w:rPr>
          <w:sz w:val="20"/>
          <w:lang w:val="en-GB"/>
        </w:rPr>
        <w:t xml:space="preserve"> </w:t>
      </w:r>
      <w:r w:rsidRPr="0008442A">
        <w:rPr>
          <w:sz w:val="20"/>
          <w:lang w:val="en-GB"/>
        </w:rPr>
        <w:t>firstly</w:t>
      </w:r>
      <w:r w:rsidR="0025042B" w:rsidRPr="0008442A">
        <w:rPr>
          <w:sz w:val="20"/>
          <w:lang w:val="en-GB"/>
        </w:rPr>
        <w:t xml:space="preserve"> submits that safety issues are often of a very technical nature and therefore not suitable for wide public consultation. It submits secondly that</w:t>
      </w:r>
      <w:r w:rsidR="00FC15BF" w:rsidRPr="0008442A">
        <w:rPr>
          <w:sz w:val="20"/>
          <w:lang w:val="en-GB"/>
        </w:rPr>
        <w:t>,</w:t>
      </w:r>
      <w:r w:rsidR="0025042B" w:rsidRPr="0008442A">
        <w:rPr>
          <w:sz w:val="20"/>
          <w:lang w:val="en-GB"/>
        </w:rPr>
        <w:t xml:space="preserve"> where operational safety requirements relate to the presence of dangerous substances</w:t>
      </w:r>
      <w:r w:rsidR="00FC15BF" w:rsidRPr="0008442A">
        <w:rPr>
          <w:sz w:val="20"/>
          <w:lang w:val="en-GB"/>
        </w:rPr>
        <w:t>,</w:t>
      </w:r>
      <w:r w:rsidR="0025042B" w:rsidRPr="0008442A">
        <w:rPr>
          <w:sz w:val="20"/>
          <w:lang w:val="en-GB"/>
        </w:rPr>
        <w:t xml:space="preserve"> they would be covered by the Seveso III Directive</w:t>
      </w:r>
      <w:r w:rsidR="00FC15BF" w:rsidRPr="0008442A">
        <w:rPr>
          <w:rStyle w:val="FootnoteReference"/>
          <w:sz w:val="20"/>
          <w:lang w:val="en-GB"/>
        </w:rPr>
        <w:footnoteReference w:id="73"/>
      </w:r>
      <w:r w:rsidR="0025042B" w:rsidRPr="0008442A">
        <w:rPr>
          <w:sz w:val="20"/>
          <w:lang w:val="en-GB"/>
        </w:rPr>
        <w:t xml:space="preserve"> which requires </w:t>
      </w:r>
      <w:r w:rsidR="00181D78">
        <w:rPr>
          <w:sz w:val="20"/>
          <w:lang w:val="en-GB"/>
        </w:rPr>
        <w:t>M</w:t>
      </w:r>
      <w:r w:rsidR="00181D78" w:rsidRPr="0008442A">
        <w:rPr>
          <w:sz w:val="20"/>
          <w:lang w:val="en-GB"/>
        </w:rPr>
        <w:t xml:space="preserve">ember </w:t>
      </w:r>
      <w:r w:rsidR="0025042B" w:rsidRPr="0008442A">
        <w:rPr>
          <w:sz w:val="20"/>
          <w:lang w:val="en-GB"/>
        </w:rPr>
        <w:t>States to involve the public in decisions relating to the siting of new establishments where dangerous substances are present, as well as decisions related to substantial changes to existing establishments and for new developments in the neighbourhood of Seveso establishments. The Party concerned</w:t>
      </w:r>
      <w:r w:rsidR="00DA24A7" w:rsidRPr="0008442A">
        <w:rPr>
          <w:sz w:val="20"/>
          <w:lang w:val="en-GB"/>
        </w:rPr>
        <w:t xml:space="preserve"> </w:t>
      </w:r>
      <w:r w:rsidR="0025042B" w:rsidRPr="0008442A">
        <w:rPr>
          <w:sz w:val="20"/>
          <w:lang w:val="en-GB"/>
        </w:rPr>
        <w:t>alleges that therefore the rights of the public concerned are sufficiently protected by the Seveso III Directive where this is important from a safety perspective.</w:t>
      </w:r>
      <w:r w:rsidR="0025042B" w:rsidRPr="0008442A">
        <w:rPr>
          <w:rStyle w:val="FootnoteReference"/>
          <w:sz w:val="20"/>
          <w:lang w:val="en-GB"/>
        </w:rPr>
        <w:footnoteReference w:id="74"/>
      </w:r>
      <w:bookmarkEnd w:id="38"/>
    </w:p>
    <w:p w14:paraId="4523E501" w14:textId="0BAD3B3A" w:rsidR="00053B12" w:rsidRPr="0008442A" w:rsidRDefault="00053B12" w:rsidP="006A5D08">
      <w:pPr>
        <w:pStyle w:val="SingleTxtG"/>
        <w:autoSpaceDE w:val="0"/>
        <w:autoSpaceDN w:val="0"/>
        <w:adjustRightInd w:val="0"/>
        <w:ind w:right="0"/>
        <w:outlineLvl w:val="0"/>
        <w:rPr>
          <w:i/>
          <w:sz w:val="20"/>
          <w:lang w:val="en-GB"/>
        </w:rPr>
      </w:pPr>
      <w:r w:rsidRPr="0008442A">
        <w:rPr>
          <w:i/>
          <w:sz w:val="20"/>
          <w:lang w:val="en-GB"/>
        </w:rPr>
        <w:t xml:space="preserve">Compliance with new or revised </w:t>
      </w:r>
      <w:r w:rsidR="00F8063F" w:rsidRPr="0008442A">
        <w:rPr>
          <w:i/>
          <w:sz w:val="20"/>
          <w:lang w:val="en-GB"/>
        </w:rPr>
        <w:t>environmental quality standards</w:t>
      </w:r>
    </w:p>
    <w:p w14:paraId="0D153B79" w14:textId="20FA5039" w:rsidR="00F31D0F" w:rsidRPr="0008442A" w:rsidRDefault="009674C3"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The communicant submits that environmental quality standards are defined in article 3</w:t>
      </w:r>
      <w:r w:rsidR="00DA24A7" w:rsidRPr="0008442A">
        <w:rPr>
          <w:sz w:val="20"/>
          <w:lang w:val="en-GB"/>
        </w:rPr>
        <w:t>(</w:t>
      </w:r>
      <w:r w:rsidRPr="0008442A">
        <w:rPr>
          <w:sz w:val="20"/>
          <w:lang w:val="en-GB"/>
        </w:rPr>
        <w:t>6</w:t>
      </w:r>
      <w:r w:rsidR="00DA24A7" w:rsidRPr="0008442A">
        <w:rPr>
          <w:sz w:val="20"/>
          <w:lang w:val="en-GB"/>
        </w:rPr>
        <w:t>)</w:t>
      </w:r>
      <w:r w:rsidRPr="0008442A">
        <w:rPr>
          <w:sz w:val="20"/>
          <w:lang w:val="en-GB"/>
        </w:rPr>
        <w:t xml:space="preserve"> of the IED as the set of “requirements which must be fulfilled at a given time by a given environment or particular thereof, as set out in Union law”. It submits that the relevance of the environmental quality standards is also revealed in article 18 of the IED</w:t>
      </w:r>
      <w:r w:rsidR="008E3C55" w:rsidRPr="0008442A">
        <w:rPr>
          <w:sz w:val="20"/>
          <w:lang w:val="en-GB"/>
        </w:rPr>
        <w:t>,</w:t>
      </w:r>
      <w:r w:rsidR="006E261A" w:rsidRPr="0008442A">
        <w:rPr>
          <w:sz w:val="20"/>
          <w:lang w:val="en-GB"/>
        </w:rPr>
        <w:t xml:space="preserve"> </w:t>
      </w:r>
      <w:r w:rsidR="00DD48AC" w:rsidRPr="0008442A">
        <w:rPr>
          <w:sz w:val="20"/>
          <w:lang w:val="en-GB"/>
        </w:rPr>
        <w:t xml:space="preserve">which provides that additional measures shall be included in a permit if the environmental quality standard requires </w:t>
      </w:r>
      <w:r w:rsidR="00170CE9" w:rsidRPr="0008442A">
        <w:rPr>
          <w:sz w:val="20"/>
          <w:lang w:val="en-GB"/>
        </w:rPr>
        <w:t xml:space="preserve">stricter </w:t>
      </w:r>
      <w:r w:rsidR="00DD48AC" w:rsidRPr="0008442A">
        <w:rPr>
          <w:sz w:val="20"/>
          <w:lang w:val="en-GB"/>
        </w:rPr>
        <w:t xml:space="preserve">conditions than those achievable </w:t>
      </w:r>
      <w:proofErr w:type="gramStart"/>
      <w:r w:rsidR="00DD48AC" w:rsidRPr="0008442A">
        <w:rPr>
          <w:sz w:val="20"/>
          <w:lang w:val="en-GB"/>
        </w:rPr>
        <w:t>by the use of</w:t>
      </w:r>
      <w:proofErr w:type="gramEnd"/>
      <w:r w:rsidR="00DD48AC" w:rsidRPr="0008442A">
        <w:rPr>
          <w:sz w:val="20"/>
          <w:lang w:val="en-GB"/>
        </w:rPr>
        <w:t xml:space="preserve"> </w:t>
      </w:r>
      <w:r w:rsidR="00FC15BF" w:rsidRPr="0008442A">
        <w:rPr>
          <w:sz w:val="20"/>
          <w:lang w:val="en-GB"/>
        </w:rPr>
        <w:t>BATs</w:t>
      </w:r>
      <w:r w:rsidR="00DD48AC" w:rsidRPr="0008442A">
        <w:rPr>
          <w:sz w:val="20"/>
          <w:lang w:val="en-GB"/>
        </w:rPr>
        <w:t>. It also states that environmental quality standards are contained in EU Directives such as the</w:t>
      </w:r>
      <w:r w:rsidR="006E261A" w:rsidRPr="0008442A">
        <w:rPr>
          <w:sz w:val="20"/>
          <w:lang w:val="en-GB"/>
        </w:rPr>
        <w:t xml:space="preserve"> EU</w:t>
      </w:r>
      <w:r w:rsidR="00DD48AC" w:rsidRPr="0008442A">
        <w:rPr>
          <w:sz w:val="20"/>
          <w:lang w:val="en-GB"/>
        </w:rPr>
        <w:t xml:space="preserve"> Habitats Directive and the </w:t>
      </w:r>
      <w:r w:rsidR="006E261A" w:rsidRPr="0008442A">
        <w:rPr>
          <w:sz w:val="20"/>
          <w:lang w:val="en-GB"/>
        </w:rPr>
        <w:t xml:space="preserve">EU </w:t>
      </w:r>
      <w:r w:rsidR="00DD48AC" w:rsidRPr="0008442A">
        <w:rPr>
          <w:sz w:val="20"/>
          <w:lang w:val="en-GB"/>
        </w:rPr>
        <w:t>Water Framework Directive</w:t>
      </w:r>
      <w:r w:rsidR="002A0BCC" w:rsidRPr="0008442A">
        <w:rPr>
          <w:sz w:val="20"/>
          <w:lang w:val="en-GB"/>
        </w:rPr>
        <w:t>.</w:t>
      </w:r>
      <w:r w:rsidR="002A0BCC" w:rsidRPr="0008442A">
        <w:rPr>
          <w:rStyle w:val="FootnoteReference"/>
          <w:sz w:val="20"/>
          <w:lang w:val="en-GB"/>
        </w:rPr>
        <w:footnoteReference w:id="75"/>
      </w:r>
      <w:r w:rsidR="00DD48AC" w:rsidRPr="0008442A">
        <w:rPr>
          <w:sz w:val="20"/>
          <w:lang w:val="en-GB"/>
        </w:rPr>
        <w:t xml:space="preserve"> The communicant submits that</w:t>
      </w:r>
      <w:r w:rsidR="00307A9B" w:rsidRPr="0008442A">
        <w:rPr>
          <w:sz w:val="20"/>
          <w:lang w:val="en-GB"/>
        </w:rPr>
        <w:t>,</w:t>
      </w:r>
      <w:r w:rsidR="00DD48AC" w:rsidRPr="0008442A">
        <w:rPr>
          <w:sz w:val="20"/>
          <w:lang w:val="en-GB"/>
        </w:rPr>
        <w:t xml:space="preserve"> given that they relate </w:t>
      </w:r>
      <w:r w:rsidR="00F31D0F" w:rsidRPr="0008442A">
        <w:rPr>
          <w:sz w:val="20"/>
          <w:lang w:val="en-GB"/>
        </w:rPr>
        <w:t xml:space="preserve">to environmental conditions, the public concerned should be able to participate in the reconsideration or update of the operating conditions of a permit </w:t>
      </w:r>
      <w:r w:rsidR="00C311B8" w:rsidRPr="0008442A">
        <w:rPr>
          <w:sz w:val="20"/>
          <w:lang w:val="en-GB"/>
        </w:rPr>
        <w:t>that is required in order</w:t>
      </w:r>
      <w:r w:rsidR="00170CE9" w:rsidRPr="0008442A">
        <w:rPr>
          <w:sz w:val="20"/>
          <w:lang w:val="en-GB"/>
        </w:rPr>
        <w:t xml:space="preserve"> </w:t>
      </w:r>
      <w:r w:rsidR="00F31D0F" w:rsidRPr="0008442A">
        <w:rPr>
          <w:sz w:val="20"/>
          <w:lang w:val="en-GB"/>
        </w:rPr>
        <w:t xml:space="preserve">to comply with the environmental quality standards. </w:t>
      </w:r>
    </w:p>
    <w:p w14:paraId="029737D9" w14:textId="415614C1" w:rsidR="00053B12" w:rsidRPr="0008442A" w:rsidRDefault="00F31D0F"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The communicant cites in this regard article 6</w:t>
      </w:r>
      <w:r w:rsidR="00307A9B" w:rsidRPr="0008442A">
        <w:rPr>
          <w:sz w:val="20"/>
          <w:lang w:val="en-GB"/>
        </w:rPr>
        <w:t>(</w:t>
      </w:r>
      <w:r w:rsidRPr="0008442A">
        <w:rPr>
          <w:sz w:val="20"/>
          <w:lang w:val="en-GB"/>
        </w:rPr>
        <w:t>6</w:t>
      </w:r>
      <w:r w:rsidR="00307A9B" w:rsidRPr="0008442A">
        <w:rPr>
          <w:sz w:val="20"/>
          <w:lang w:val="en-GB"/>
        </w:rPr>
        <w:t>)</w:t>
      </w:r>
      <w:r w:rsidRPr="0008442A">
        <w:rPr>
          <w:sz w:val="20"/>
          <w:lang w:val="en-GB"/>
        </w:rPr>
        <w:t xml:space="preserve">(c) of the Convention stating that this provision requires access to examination at the time of the public participation procedure </w:t>
      </w:r>
      <w:r w:rsidR="005671B2" w:rsidRPr="0008442A">
        <w:rPr>
          <w:sz w:val="20"/>
          <w:lang w:val="en-GB"/>
        </w:rPr>
        <w:t xml:space="preserve">to </w:t>
      </w:r>
      <w:r w:rsidRPr="0008442A">
        <w:rPr>
          <w:sz w:val="20"/>
          <w:lang w:val="en-GB"/>
        </w:rPr>
        <w:t>a description of the measures envisaged to prevent and/or reduce the effects, including emissions</w:t>
      </w:r>
      <w:r w:rsidR="005671B2" w:rsidRPr="0008442A">
        <w:rPr>
          <w:sz w:val="20"/>
          <w:lang w:val="en-GB"/>
        </w:rPr>
        <w:t>. It submits</w:t>
      </w:r>
      <w:r w:rsidRPr="0008442A">
        <w:rPr>
          <w:sz w:val="20"/>
          <w:lang w:val="en-GB"/>
        </w:rPr>
        <w:t xml:space="preserve"> that this would </w:t>
      </w:r>
      <w:proofErr w:type="gramStart"/>
      <w:r w:rsidR="005671B2" w:rsidRPr="0008442A">
        <w:rPr>
          <w:sz w:val="20"/>
          <w:lang w:val="en-GB"/>
        </w:rPr>
        <w:t xml:space="preserve">in </w:t>
      </w:r>
      <w:r w:rsidRPr="0008442A">
        <w:rPr>
          <w:sz w:val="20"/>
          <w:lang w:val="en-GB"/>
        </w:rPr>
        <w:t>particular and</w:t>
      </w:r>
      <w:proofErr w:type="gramEnd"/>
      <w:r w:rsidRPr="0008442A">
        <w:rPr>
          <w:sz w:val="20"/>
          <w:lang w:val="en-GB"/>
        </w:rPr>
        <w:t xml:space="preserve"> </w:t>
      </w:r>
      <w:r w:rsidRPr="0008442A">
        <w:rPr>
          <w:i/>
          <w:sz w:val="20"/>
          <w:lang w:val="en-GB"/>
        </w:rPr>
        <w:t xml:space="preserve">a fortiori </w:t>
      </w:r>
      <w:r w:rsidR="005671B2" w:rsidRPr="0008442A">
        <w:rPr>
          <w:sz w:val="20"/>
          <w:lang w:val="en-GB"/>
        </w:rPr>
        <w:t xml:space="preserve">concern </w:t>
      </w:r>
      <w:r w:rsidR="00682196" w:rsidRPr="0008442A">
        <w:rPr>
          <w:sz w:val="20"/>
          <w:lang w:val="en-GB"/>
        </w:rPr>
        <w:t>the mandatory considerations regarding compliance with relevant environmental quality standards.</w:t>
      </w:r>
      <w:r w:rsidR="00682196" w:rsidRPr="0008442A">
        <w:rPr>
          <w:rStyle w:val="FootnoteReference"/>
          <w:sz w:val="20"/>
          <w:lang w:val="en-GB"/>
        </w:rPr>
        <w:footnoteReference w:id="76"/>
      </w:r>
    </w:p>
    <w:p w14:paraId="7E463DB8" w14:textId="19D9943D" w:rsidR="00682196" w:rsidRPr="0008442A" w:rsidRDefault="00682196"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The Party concerned</w:t>
      </w:r>
      <w:r w:rsidR="0084402D" w:rsidRPr="0008442A">
        <w:rPr>
          <w:sz w:val="20"/>
          <w:lang w:val="en-GB"/>
        </w:rPr>
        <w:t xml:space="preserve"> </w:t>
      </w:r>
      <w:r w:rsidRPr="0008442A">
        <w:rPr>
          <w:sz w:val="20"/>
          <w:lang w:val="en-GB"/>
        </w:rPr>
        <w:t xml:space="preserve">submits that </w:t>
      </w:r>
      <w:r w:rsidR="00EF3575" w:rsidRPr="0008442A">
        <w:rPr>
          <w:sz w:val="20"/>
          <w:lang w:val="en-GB"/>
        </w:rPr>
        <w:t xml:space="preserve">setting </w:t>
      </w:r>
      <w:r w:rsidRPr="0008442A">
        <w:rPr>
          <w:sz w:val="20"/>
          <w:lang w:val="en-GB"/>
        </w:rPr>
        <w:t xml:space="preserve">stricter or additional emission limit values are not an </w:t>
      </w:r>
      <w:r w:rsidR="00FC15BF" w:rsidRPr="0008442A">
        <w:rPr>
          <w:sz w:val="20"/>
          <w:lang w:val="en-GB"/>
        </w:rPr>
        <w:t>absolute</w:t>
      </w:r>
      <w:r w:rsidRPr="0008442A">
        <w:rPr>
          <w:sz w:val="20"/>
          <w:lang w:val="en-GB"/>
        </w:rPr>
        <w:t xml:space="preserve"> requiremen</w:t>
      </w:r>
      <w:r w:rsidR="00FC15BF" w:rsidRPr="0008442A">
        <w:rPr>
          <w:sz w:val="20"/>
          <w:lang w:val="en-GB"/>
        </w:rPr>
        <w:t>t for a permit under article 18</w:t>
      </w:r>
      <w:r w:rsidRPr="0008442A">
        <w:rPr>
          <w:sz w:val="20"/>
          <w:lang w:val="en-GB"/>
        </w:rPr>
        <w:t xml:space="preserve"> of the IED</w:t>
      </w:r>
      <w:r w:rsidR="006E261A" w:rsidRPr="0008442A">
        <w:rPr>
          <w:sz w:val="20"/>
          <w:lang w:val="en-GB"/>
        </w:rPr>
        <w:t xml:space="preserve"> (see para. </w:t>
      </w:r>
      <w:r w:rsidR="006E261A" w:rsidRPr="0008442A">
        <w:rPr>
          <w:sz w:val="20"/>
          <w:lang w:val="en-GB"/>
        </w:rPr>
        <w:fldChar w:fldCharType="begin"/>
      </w:r>
      <w:r w:rsidR="006E261A" w:rsidRPr="0008442A">
        <w:rPr>
          <w:sz w:val="20"/>
          <w:lang w:val="en-GB"/>
        </w:rPr>
        <w:instrText xml:space="preserve"> REF _Ref507676220 \r \h </w:instrText>
      </w:r>
      <w:r w:rsidR="00664F55" w:rsidRPr="0008442A">
        <w:rPr>
          <w:sz w:val="20"/>
          <w:lang w:val="en-GB"/>
        </w:rPr>
        <w:instrText xml:space="preserve"> \* MERGEFORMAT </w:instrText>
      </w:r>
      <w:r w:rsidR="006E261A" w:rsidRPr="0008442A">
        <w:rPr>
          <w:sz w:val="20"/>
          <w:lang w:val="en-GB"/>
        </w:rPr>
      </w:r>
      <w:r w:rsidR="006E261A" w:rsidRPr="0008442A">
        <w:rPr>
          <w:sz w:val="20"/>
          <w:lang w:val="en-GB"/>
        </w:rPr>
        <w:fldChar w:fldCharType="separate"/>
      </w:r>
      <w:r w:rsidR="00C775D0" w:rsidRPr="00C775D0">
        <w:rPr>
          <w:sz w:val="20"/>
          <w:szCs w:val="20"/>
          <w:lang w:val="en-GB"/>
        </w:rPr>
        <w:t>18</w:t>
      </w:r>
      <w:r w:rsidR="006E261A" w:rsidRPr="0008442A">
        <w:rPr>
          <w:sz w:val="20"/>
          <w:lang w:val="en-GB"/>
        </w:rPr>
        <w:fldChar w:fldCharType="end"/>
      </w:r>
      <w:r w:rsidR="006E261A" w:rsidRPr="0008442A">
        <w:rPr>
          <w:sz w:val="20"/>
          <w:lang w:val="en-GB"/>
        </w:rPr>
        <w:t xml:space="preserve"> above)</w:t>
      </w:r>
      <w:r w:rsidRPr="0008442A">
        <w:rPr>
          <w:sz w:val="20"/>
          <w:lang w:val="en-GB"/>
        </w:rPr>
        <w:t xml:space="preserve">, as </w:t>
      </w:r>
      <w:r w:rsidR="00241C62" w:rsidRPr="0008442A">
        <w:rPr>
          <w:sz w:val="20"/>
          <w:lang w:val="en-GB"/>
        </w:rPr>
        <w:t xml:space="preserve">this </w:t>
      </w:r>
      <w:r w:rsidRPr="0008442A">
        <w:rPr>
          <w:sz w:val="20"/>
          <w:lang w:val="en-GB"/>
        </w:rPr>
        <w:t>is “without prejudice to other measures which may be taken to comply with environmental quality standards.” It alleges that, considering the margin of discretion left to public authorities and the likely positive environmental impact of the updated permit, public participation is not necessary in these cases as such participation primarily aims at avoiding decisions that are detrimental to the environment.</w:t>
      </w:r>
      <w:r w:rsidRPr="0008442A">
        <w:rPr>
          <w:rStyle w:val="FootnoteReference"/>
          <w:sz w:val="20"/>
          <w:lang w:val="en-GB"/>
        </w:rPr>
        <w:footnoteReference w:id="77"/>
      </w:r>
    </w:p>
    <w:p w14:paraId="47A7AF7C" w14:textId="77777777" w:rsidR="00895887" w:rsidRDefault="00895887" w:rsidP="006A5D08">
      <w:pPr>
        <w:pStyle w:val="SingleTxtG"/>
        <w:autoSpaceDE w:val="0"/>
        <w:autoSpaceDN w:val="0"/>
        <w:adjustRightInd w:val="0"/>
        <w:ind w:right="0"/>
        <w:outlineLvl w:val="0"/>
        <w:rPr>
          <w:i/>
          <w:sz w:val="20"/>
          <w:lang w:val="en-GB"/>
        </w:rPr>
      </w:pPr>
    </w:p>
    <w:p w14:paraId="67BABD65" w14:textId="4B4C42B3" w:rsidR="00682196" w:rsidRPr="0008442A" w:rsidRDefault="00682196" w:rsidP="006A5D08">
      <w:pPr>
        <w:pStyle w:val="SingleTxtG"/>
        <w:autoSpaceDE w:val="0"/>
        <w:autoSpaceDN w:val="0"/>
        <w:adjustRightInd w:val="0"/>
        <w:ind w:right="0"/>
        <w:outlineLvl w:val="0"/>
        <w:rPr>
          <w:i/>
          <w:sz w:val="20"/>
          <w:lang w:val="en-GB"/>
        </w:rPr>
      </w:pPr>
      <w:r w:rsidRPr="0008442A">
        <w:rPr>
          <w:i/>
          <w:sz w:val="20"/>
          <w:lang w:val="en-GB"/>
        </w:rPr>
        <w:lastRenderedPageBreak/>
        <w:t>Other cases</w:t>
      </w:r>
    </w:p>
    <w:p w14:paraId="0200BEB6" w14:textId="3DD33CDE" w:rsidR="00682196" w:rsidRPr="0008442A" w:rsidRDefault="00682196"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The communicant submits that</w:t>
      </w:r>
      <w:r w:rsidR="00C311B8" w:rsidRPr="0008442A">
        <w:rPr>
          <w:sz w:val="20"/>
          <w:lang w:val="en-GB"/>
        </w:rPr>
        <w:t>,</w:t>
      </w:r>
      <w:r w:rsidR="00E56BC5" w:rsidRPr="0008442A">
        <w:rPr>
          <w:sz w:val="20"/>
          <w:lang w:val="en-GB"/>
        </w:rPr>
        <w:t xml:space="preserve"> </w:t>
      </w:r>
      <w:r w:rsidRPr="0008442A">
        <w:rPr>
          <w:sz w:val="20"/>
          <w:lang w:val="en-GB"/>
        </w:rPr>
        <w:t>there are also other cases of reconsiderations and updates with a significant environmental impact where the IED does not provide for public participation</w:t>
      </w:r>
      <w:r w:rsidR="00D011BB" w:rsidRPr="0008442A">
        <w:rPr>
          <w:sz w:val="20"/>
          <w:lang w:val="en-GB"/>
        </w:rPr>
        <w:t>, as set out below</w:t>
      </w:r>
      <w:r w:rsidR="00C311B8" w:rsidRPr="0008442A">
        <w:rPr>
          <w:sz w:val="20"/>
          <w:lang w:val="en-GB"/>
        </w:rPr>
        <w:t>.</w:t>
      </w:r>
    </w:p>
    <w:p w14:paraId="71A0F89F" w14:textId="7E118924" w:rsidR="00682196" w:rsidRPr="0008442A" w:rsidRDefault="00C311B8"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39" w:name="_Ref507507623"/>
      <w:r w:rsidRPr="0008442A">
        <w:rPr>
          <w:sz w:val="20"/>
          <w:lang w:val="en-GB"/>
        </w:rPr>
        <w:t>F</w:t>
      </w:r>
      <w:r w:rsidR="00682196" w:rsidRPr="0008442A">
        <w:rPr>
          <w:sz w:val="20"/>
          <w:lang w:val="en-GB"/>
        </w:rPr>
        <w:t>irstly</w:t>
      </w:r>
      <w:r w:rsidRPr="0008442A">
        <w:rPr>
          <w:sz w:val="20"/>
          <w:lang w:val="en-GB"/>
        </w:rPr>
        <w:t>,</w:t>
      </w:r>
      <w:r w:rsidR="00682196" w:rsidRPr="0008442A">
        <w:rPr>
          <w:sz w:val="20"/>
          <w:lang w:val="en-GB"/>
        </w:rPr>
        <w:t xml:space="preserve"> decisions on whether to grant any optional derogations from the </w:t>
      </w:r>
      <w:r w:rsidR="00E60D7B" w:rsidRPr="0008442A">
        <w:rPr>
          <w:sz w:val="20"/>
          <w:lang w:val="en-GB"/>
        </w:rPr>
        <w:t>e</w:t>
      </w:r>
      <w:r w:rsidR="00682196" w:rsidRPr="0008442A">
        <w:rPr>
          <w:sz w:val="20"/>
          <w:lang w:val="en-GB"/>
        </w:rPr>
        <w:t xml:space="preserve">mission </w:t>
      </w:r>
      <w:r w:rsidR="00E60D7B" w:rsidRPr="0008442A">
        <w:rPr>
          <w:sz w:val="20"/>
          <w:lang w:val="en-GB"/>
        </w:rPr>
        <w:t>l</w:t>
      </w:r>
      <w:r w:rsidR="00682196" w:rsidRPr="0008442A">
        <w:rPr>
          <w:sz w:val="20"/>
          <w:lang w:val="en-GB"/>
        </w:rPr>
        <w:t xml:space="preserve">imit </w:t>
      </w:r>
      <w:r w:rsidR="00E60D7B" w:rsidRPr="0008442A">
        <w:rPr>
          <w:sz w:val="20"/>
          <w:lang w:val="en-GB"/>
        </w:rPr>
        <w:t>v</w:t>
      </w:r>
      <w:r w:rsidR="00682196" w:rsidRPr="0008442A">
        <w:rPr>
          <w:sz w:val="20"/>
          <w:lang w:val="en-GB"/>
        </w:rPr>
        <w:t>alues set in annex V, part 1 of the IED for Large Combustion Plan</w:t>
      </w:r>
      <w:r w:rsidR="00237963" w:rsidRPr="0008442A">
        <w:rPr>
          <w:sz w:val="20"/>
          <w:lang w:val="en-GB"/>
        </w:rPr>
        <w:t>t</w:t>
      </w:r>
      <w:r w:rsidR="00682196" w:rsidRPr="0008442A">
        <w:rPr>
          <w:sz w:val="20"/>
          <w:lang w:val="en-GB"/>
        </w:rPr>
        <w:t xml:space="preserve">s under articles 31, 32, 33 and 36 (among others) have significant and substantial effects regarding air pollution but </w:t>
      </w:r>
      <w:r w:rsidR="00270E3A" w:rsidRPr="0008442A">
        <w:rPr>
          <w:sz w:val="20"/>
          <w:lang w:val="en-GB"/>
        </w:rPr>
        <w:t>would not be covered by article 21</w:t>
      </w:r>
      <w:r w:rsidR="0084402D" w:rsidRPr="0008442A">
        <w:rPr>
          <w:sz w:val="20"/>
          <w:lang w:val="en-GB"/>
        </w:rPr>
        <w:t>(</w:t>
      </w:r>
      <w:r w:rsidR="00270E3A" w:rsidRPr="0008442A">
        <w:rPr>
          <w:sz w:val="20"/>
          <w:lang w:val="en-GB"/>
        </w:rPr>
        <w:t>5</w:t>
      </w:r>
      <w:r w:rsidR="0084402D" w:rsidRPr="0008442A">
        <w:rPr>
          <w:sz w:val="20"/>
          <w:lang w:val="en-GB"/>
        </w:rPr>
        <w:t>)</w:t>
      </w:r>
      <w:r w:rsidR="00270E3A" w:rsidRPr="0008442A">
        <w:rPr>
          <w:sz w:val="20"/>
          <w:lang w:val="en-GB"/>
        </w:rPr>
        <w:t xml:space="preserve">(a) of the IED as the permit conditions are considered unchanged. </w:t>
      </w:r>
      <w:r w:rsidR="00237963" w:rsidRPr="0008442A">
        <w:rPr>
          <w:sz w:val="20"/>
          <w:lang w:val="en-GB"/>
        </w:rPr>
        <w:t>The communicant submits</w:t>
      </w:r>
      <w:r w:rsidR="00270E3A" w:rsidRPr="0008442A">
        <w:rPr>
          <w:sz w:val="20"/>
          <w:lang w:val="en-GB"/>
        </w:rPr>
        <w:t xml:space="preserve"> that nonetheless the public authority would be required under the IED to objectively reconsider whether the emission limit values should </w:t>
      </w:r>
      <w:proofErr w:type="gramStart"/>
      <w:r w:rsidR="00270E3A" w:rsidRPr="0008442A">
        <w:rPr>
          <w:sz w:val="20"/>
          <w:lang w:val="en-GB"/>
        </w:rPr>
        <w:t>strengthened</w:t>
      </w:r>
      <w:proofErr w:type="gramEnd"/>
      <w:r w:rsidR="00270E3A" w:rsidRPr="0008442A">
        <w:rPr>
          <w:sz w:val="20"/>
          <w:lang w:val="en-GB"/>
        </w:rPr>
        <w:t xml:space="preserve"> or maintained under that derogation period.</w:t>
      </w:r>
      <w:r w:rsidR="00270E3A" w:rsidRPr="0008442A">
        <w:rPr>
          <w:rStyle w:val="FootnoteReference"/>
          <w:sz w:val="20"/>
          <w:lang w:val="en-GB"/>
        </w:rPr>
        <w:footnoteReference w:id="78"/>
      </w:r>
      <w:bookmarkEnd w:id="39"/>
    </w:p>
    <w:p w14:paraId="476EE7EC" w14:textId="6ADD6C77" w:rsidR="00270E3A" w:rsidRPr="0008442A" w:rsidRDefault="00C311B8"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40" w:name="_Ref507507665"/>
      <w:r w:rsidRPr="0008442A">
        <w:rPr>
          <w:sz w:val="20"/>
          <w:lang w:val="en-GB"/>
        </w:rPr>
        <w:t>S</w:t>
      </w:r>
      <w:r w:rsidR="00270E3A" w:rsidRPr="0008442A">
        <w:rPr>
          <w:sz w:val="20"/>
          <w:lang w:val="en-GB"/>
        </w:rPr>
        <w:t>econdly</w:t>
      </w:r>
      <w:r w:rsidRPr="0008442A">
        <w:rPr>
          <w:sz w:val="20"/>
          <w:lang w:val="en-GB"/>
        </w:rPr>
        <w:t>,</w:t>
      </w:r>
      <w:r w:rsidR="00270E3A" w:rsidRPr="0008442A">
        <w:rPr>
          <w:sz w:val="20"/>
          <w:lang w:val="en-GB"/>
        </w:rPr>
        <w:t xml:space="preserve"> </w:t>
      </w:r>
      <w:r w:rsidR="00EC67B2" w:rsidRPr="0008442A">
        <w:rPr>
          <w:sz w:val="20"/>
          <w:lang w:val="en-GB"/>
        </w:rPr>
        <w:t>establishing an</w:t>
      </w:r>
      <w:r w:rsidR="00270E3A" w:rsidRPr="0008442A">
        <w:rPr>
          <w:sz w:val="20"/>
          <w:lang w:val="en-GB"/>
        </w:rPr>
        <w:t xml:space="preserve"> environmental inspection system under article 23 of the IED should be subject to public participation because this system is intended to address “the examination of the full range of relevant environmental effects from the installations concerned”, as stated in that provision.</w:t>
      </w:r>
      <w:r w:rsidR="00270E3A" w:rsidRPr="0008442A">
        <w:rPr>
          <w:rStyle w:val="FootnoteReference"/>
          <w:sz w:val="20"/>
          <w:lang w:val="en-GB"/>
        </w:rPr>
        <w:footnoteReference w:id="79"/>
      </w:r>
      <w:bookmarkEnd w:id="40"/>
    </w:p>
    <w:p w14:paraId="04C41265" w14:textId="17D55CD6" w:rsidR="00270E3A" w:rsidRPr="0008442A" w:rsidRDefault="00C311B8"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41" w:name="_Ref510787683"/>
      <w:r w:rsidRPr="0008442A">
        <w:rPr>
          <w:sz w:val="20"/>
          <w:lang w:val="en-GB"/>
        </w:rPr>
        <w:t>Thirdly,</w:t>
      </w:r>
      <w:r w:rsidR="00270E3A" w:rsidRPr="0008442A">
        <w:rPr>
          <w:sz w:val="20"/>
          <w:lang w:val="en-GB"/>
        </w:rPr>
        <w:t xml:space="preserve"> the time extension of operation or other modifications of permit conditions significantly affecting the environmental impacts are not covered by the requirement for public participation under the IED.</w:t>
      </w:r>
      <w:r w:rsidR="00270E3A" w:rsidRPr="0008442A">
        <w:rPr>
          <w:rStyle w:val="FootnoteReference"/>
          <w:sz w:val="20"/>
          <w:lang w:val="en-GB"/>
        </w:rPr>
        <w:footnoteReference w:id="80"/>
      </w:r>
      <w:bookmarkEnd w:id="41"/>
    </w:p>
    <w:p w14:paraId="71024F02" w14:textId="3E63A5CD" w:rsidR="00270E3A" w:rsidRPr="0008442A" w:rsidRDefault="007E7557" w:rsidP="006A5D08">
      <w:pPr>
        <w:pStyle w:val="SingleTxtG"/>
        <w:numPr>
          <w:ilvl w:val="0"/>
          <w:numId w:val="3"/>
        </w:numPr>
        <w:tabs>
          <w:tab w:val="clear" w:pos="1853"/>
          <w:tab w:val="num" w:pos="1134"/>
        </w:tabs>
        <w:autoSpaceDE w:val="0"/>
        <w:autoSpaceDN w:val="0"/>
        <w:adjustRightInd w:val="0"/>
        <w:ind w:left="1134" w:right="0" w:firstLine="0"/>
        <w:rPr>
          <w:sz w:val="20"/>
          <w:lang w:val="en-GB"/>
        </w:rPr>
      </w:pPr>
      <w:r w:rsidRPr="0008442A">
        <w:rPr>
          <w:sz w:val="20"/>
          <w:lang w:val="en-GB"/>
        </w:rPr>
        <w:t>The Party concerned</w:t>
      </w:r>
      <w:r w:rsidR="00FD2BA9" w:rsidRPr="0008442A">
        <w:rPr>
          <w:sz w:val="20"/>
          <w:lang w:val="en-GB"/>
        </w:rPr>
        <w:t xml:space="preserve"> </w:t>
      </w:r>
      <w:r w:rsidRPr="0008442A">
        <w:rPr>
          <w:sz w:val="20"/>
          <w:lang w:val="en-GB"/>
        </w:rPr>
        <w:t>submits that derogations under chapter III of the IED would not normally imply any reconsideration or update of the existing permits.</w:t>
      </w:r>
      <w:r w:rsidR="00001F50" w:rsidRPr="0008442A">
        <w:rPr>
          <w:rStyle w:val="FootnoteReference"/>
          <w:sz w:val="20"/>
          <w:lang w:val="en-GB"/>
        </w:rPr>
        <w:footnoteReference w:id="81"/>
      </w:r>
    </w:p>
    <w:p w14:paraId="009DE0EA" w14:textId="297FCDFC" w:rsidR="00001F50" w:rsidRPr="0008442A" w:rsidRDefault="00001F50"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42" w:name="_Ref510712982"/>
      <w:r w:rsidRPr="0008442A">
        <w:rPr>
          <w:sz w:val="20"/>
          <w:lang w:val="en-GB"/>
        </w:rPr>
        <w:t xml:space="preserve"> </w:t>
      </w:r>
      <w:r w:rsidR="007E7557" w:rsidRPr="0008442A">
        <w:rPr>
          <w:sz w:val="20"/>
          <w:lang w:val="en-GB"/>
        </w:rPr>
        <w:t>The Party concerned</w:t>
      </w:r>
      <w:r w:rsidR="00FD2BA9" w:rsidRPr="0008442A">
        <w:rPr>
          <w:sz w:val="20"/>
          <w:lang w:val="en-GB"/>
        </w:rPr>
        <w:t xml:space="preserve"> </w:t>
      </w:r>
      <w:r w:rsidR="007E7557" w:rsidRPr="0008442A">
        <w:rPr>
          <w:sz w:val="20"/>
          <w:lang w:val="en-GB"/>
        </w:rPr>
        <w:t>submits that inspection plans would fall under article 7 of the Convention and are as such not relevant to the present case.</w:t>
      </w:r>
      <w:r w:rsidR="007E7557" w:rsidRPr="0008442A">
        <w:rPr>
          <w:rStyle w:val="FootnoteReference"/>
          <w:sz w:val="20"/>
          <w:lang w:val="en-GB"/>
        </w:rPr>
        <w:footnoteReference w:id="82"/>
      </w:r>
      <w:r w:rsidR="007E7557" w:rsidRPr="0008442A">
        <w:rPr>
          <w:sz w:val="20"/>
          <w:lang w:val="en-GB"/>
        </w:rPr>
        <w:t xml:space="preserve"> </w:t>
      </w:r>
      <w:bookmarkEnd w:id="42"/>
    </w:p>
    <w:p w14:paraId="43CA14C0" w14:textId="12E9EFC0" w:rsidR="00001F50" w:rsidRPr="0008442A" w:rsidRDefault="00001F50"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43" w:name="_Ref511053202"/>
      <w:r w:rsidRPr="0008442A">
        <w:rPr>
          <w:sz w:val="20"/>
          <w:lang w:val="en-GB"/>
        </w:rPr>
        <w:t>The Party concerned</w:t>
      </w:r>
      <w:r w:rsidR="00FD2BA9" w:rsidRPr="0008442A">
        <w:rPr>
          <w:sz w:val="20"/>
          <w:lang w:val="en-GB"/>
        </w:rPr>
        <w:t xml:space="preserve"> </w:t>
      </w:r>
      <w:r w:rsidRPr="0008442A">
        <w:rPr>
          <w:sz w:val="20"/>
          <w:lang w:val="en-GB"/>
        </w:rPr>
        <w:t>further submits that any</w:t>
      </w:r>
      <w:r w:rsidR="0062378D" w:rsidRPr="0008442A">
        <w:rPr>
          <w:sz w:val="20"/>
          <w:lang w:val="en-GB"/>
        </w:rPr>
        <w:t xml:space="preserve"> </w:t>
      </w:r>
      <w:r w:rsidRPr="0008442A">
        <w:rPr>
          <w:sz w:val="20"/>
          <w:lang w:val="en-GB"/>
        </w:rPr>
        <w:t xml:space="preserve">updates implying significant environmental impacts are likely to be considered substantial changes in the </w:t>
      </w:r>
      <w:r w:rsidR="00840355" w:rsidRPr="0008442A">
        <w:rPr>
          <w:sz w:val="20"/>
          <w:lang w:val="en-GB"/>
        </w:rPr>
        <w:t xml:space="preserve">meaning </w:t>
      </w:r>
      <w:r w:rsidRPr="0008442A">
        <w:rPr>
          <w:sz w:val="20"/>
          <w:lang w:val="en-GB"/>
        </w:rPr>
        <w:t>of article 20</w:t>
      </w:r>
      <w:r w:rsidR="00FD2BA9" w:rsidRPr="0008442A">
        <w:rPr>
          <w:sz w:val="20"/>
          <w:lang w:val="en-GB"/>
        </w:rPr>
        <w:t>(</w:t>
      </w:r>
      <w:r w:rsidRPr="0008442A">
        <w:rPr>
          <w:sz w:val="20"/>
          <w:lang w:val="en-GB"/>
        </w:rPr>
        <w:t>2</w:t>
      </w:r>
      <w:r w:rsidR="00FD2BA9" w:rsidRPr="0008442A">
        <w:rPr>
          <w:sz w:val="20"/>
          <w:lang w:val="en-GB"/>
        </w:rPr>
        <w:t>)</w:t>
      </w:r>
      <w:r w:rsidRPr="0008442A">
        <w:rPr>
          <w:sz w:val="20"/>
          <w:lang w:val="en-GB"/>
        </w:rPr>
        <w:t xml:space="preserve"> of the IED and thus require a permit and prior public participation.</w:t>
      </w:r>
      <w:r w:rsidRPr="0008442A">
        <w:rPr>
          <w:rStyle w:val="FootnoteReference"/>
          <w:sz w:val="20"/>
          <w:lang w:val="en-GB"/>
        </w:rPr>
        <w:footnoteReference w:id="83"/>
      </w:r>
      <w:bookmarkEnd w:id="43"/>
    </w:p>
    <w:p w14:paraId="7B3BECA8" w14:textId="161EC0DC" w:rsidR="00001F50" w:rsidRPr="0008442A" w:rsidRDefault="006E07F1" w:rsidP="006A5D08">
      <w:pPr>
        <w:pStyle w:val="SingleTxtG"/>
        <w:autoSpaceDE w:val="0"/>
        <w:autoSpaceDN w:val="0"/>
        <w:adjustRightInd w:val="0"/>
        <w:ind w:right="0"/>
        <w:outlineLvl w:val="0"/>
        <w:rPr>
          <w:i/>
          <w:sz w:val="20"/>
          <w:lang w:val="en-GB"/>
        </w:rPr>
      </w:pPr>
      <w:r>
        <w:rPr>
          <w:i/>
          <w:sz w:val="20"/>
          <w:lang w:val="en-GB"/>
        </w:rPr>
        <w:t>Review under</w:t>
      </w:r>
      <w:r w:rsidRPr="0008442A">
        <w:rPr>
          <w:i/>
          <w:sz w:val="20"/>
          <w:lang w:val="en-GB"/>
        </w:rPr>
        <w:t xml:space="preserve"> </w:t>
      </w:r>
      <w:r w:rsidR="00001F50" w:rsidRPr="0008442A">
        <w:rPr>
          <w:i/>
          <w:sz w:val="20"/>
          <w:lang w:val="en-GB"/>
        </w:rPr>
        <w:t>article 25 IED</w:t>
      </w:r>
    </w:p>
    <w:p w14:paraId="44F2D3A7" w14:textId="15492EE0" w:rsidR="00001F50" w:rsidRPr="0008442A" w:rsidRDefault="004F0277"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44" w:name="_Ref507586871"/>
      <w:bookmarkStart w:id="45" w:name="_Ref510774149"/>
      <w:r w:rsidRPr="0008442A">
        <w:rPr>
          <w:sz w:val="20"/>
          <w:lang w:val="en-GB"/>
        </w:rPr>
        <w:t>In reply to</w:t>
      </w:r>
      <w:r w:rsidR="00C311B8" w:rsidRPr="0008442A">
        <w:rPr>
          <w:sz w:val="20"/>
          <w:lang w:val="en-GB"/>
        </w:rPr>
        <w:t xml:space="preserve"> the</w:t>
      </w:r>
      <w:r w:rsidRPr="0008442A">
        <w:rPr>
          <w:sz w:val="20"/>
          <w:lang w:val="en-GB"/>
        </w:rPr>
        <w:t xml:space="preserve"> submissions</w:t>
      </w:r>
      <w:r w:rsidR="00001F50" w:rsidRPr="0008442A">
        <w:rPr>
          <w:sz w:val="20"/>
          <w:lang w:val="en-GB"/>
        </w:rPr>
        <w:t xml:space="preserve"> by the Party concerned</w:t>
      </w:r>
      <w:r w:rsidR="006E07F1">
        <w:rPr>
          <w:sz w:val="20"/>
          <w:lang w:val="en-GB"/>
        </w:rPr>
        <w:t xml:space="preserve"> (see paras. </w:t>
      </w:r>
      <w:r w:rsidR="006E07F1">
        <w:rPr>
          <w:sz w:val="20"/>
          <w:lang w:val="en-GB"/>
        </w:rPr>
        <w:fldChar w:fldCharType="begin"/>
      </w:r>
      <w:r w:rsidR="006E07F1">
        <w:rPr>
          <w:sz w:val="20"/>
          <w:lang w:val="en-GB"/>
        </w:rPr>
        <w:instrText xml:space="preserve"> REF _Ref507847844 \r \h </w:instrText>
      </w:r>
      <w:r w:rsidR="006E07F1">
        <w:rPr>
          <w:sz w:val="20"/>
          <w:lang w:val="en-GB"/>
        </w:rPr>
      </w:r>
      <w:r w:rsidR="006E07F1">
        <w:rPr>
          <w:sz w:val="20"/>
          <w:lang w:val="en-GB"/>
        </w:rPr>
        <w:fldChar w:fldCharType="separate"/>
      </w:r>
      <w:r w:rsidR="00C775D0">
        <w:rPr>
          <w:sz w:val="20"/>
          <w:lang w:val="en-GB"/>
        </w:rPr>
        <w:t>72</w:t>
      </w:r>
      <w:r w:rsidR="006E07F1">
        <w:rPr>
          <w:sz w:val="20"/>
          <w:lang w:val="en-GB"/>
        </w:rPr>
        <w:fldChar w:fldCharType="end"/>
      </w:r>
      <w:r w:rsidR="006E07F1">
        <w:rPr>
          <w:sz w:val="20"/>
          <w:lang w:val="en-GB"/>
        </w:rPr>
        <w:t xml:space="preserve"> and </w:t>
      </w:r>
      <w:r w:rsidR="006E07F1">
        <w:rPr>
          <w:sz w:val="20"/>
          <w:lang w:val="en-GB"/>
        </w:rPr>
        <w:fldChar w:fldCharType="begin"/>
      </w:r>
      <w:r w:rsidR="006E07F1">
        <w:rPr>
          <w:sz w:val="20"/>
          <w:lang w:val="en-GB"/>
        </w:rPr>
        <w:instrText xml:space="preserve"> REF _Ref510774156 \r \h </w:instrText>
      </w:r>
      <w:r w:rsidR="006E07F1">
        <w:rPr>
          <w:sz w:val="20"/>
          <w:lang w:val="en-GB"/>
        </w:rPr>
      </w:r>
      <w:r w:rsidR="006E07F1">
        <w:rPr>
          <w:sz w:val="20"/>
          <w:lang w:val="en-GB"/>
        </w:rPr>
        <w:fldChar w:fldCharType="separate"/>
      </w:r>
      <w:r w:rsidR="00C775D0">
        <w:rPr>
          <w:sz w:val="20"/>
          <w:lang w:val="en-GB"/>
        </w:rPr>
        <w:t>73</w:t>
      </w:r>
      <w:r w:rsidR="006E07F1">
        <w:rPr>
          <w:sz w:val="20"/>
          <w:lang w:val="en-GB"/>
        </w:rPr>
        <w:fldChar w:fldCharType="end"/>
      </w:r>
      <w:r w:rsidR="006E07F1">
        <w:rPr>
          <w:sz w:val="20"/>
          <w:lang w:val="en-GB"/>
        </w:rPr>
        <w:t xml:space="preserve"> below)</w:t>
      </w:r>
      <w:r w:rsidR="00857BDC" w:rsidRPr="0008442A">
        <w:rPr>
          <w:sz w:val="20"/>
          <w:lang w:val="en-GB"/>
        </w:rPr>
        <w:t xml:space="preserve">, </w:t>
      </w:r>
      <w:r w:rsidR="00001F50" w:rsidRPr="0008442A">
        <w:rPr>
          <w:sz w:val="20"/>
          <w:lang w:val="en-GB"/>
        </w:rPr>
        <w:t>the communicant submits that</w:t>
      </w:r>
      <w:bookmarkEnd w:id="44"/>
      <w:r w:rsidR="00001F50" w:rsidRPr="0008442A">
        <w:rPr>
          <w:sz w:val="20"/>
          <w:lang w:val="en-GB"/>
        </w:rPr>
        <w:t xml:space="preserve"> </w:t>
      </w:r>
      <w:r w:rsidRPr="0008442A">
        <w:rPr>
          <w:sz w:val="20"/>
          <w:lang w:val="en-GB"/>
        </w:rPr>
        <w:t xml:space="preserve">the review procedure in article 25 of the IED does not </w:t>
      </w:r>
      <w:r w:rsidR="006E261A" w:rsidRPr="0008442A">
        <w:rPr>
          <w:sz w:val="20"/>
          <w:lang w:val="en-GB"/>
        </w:rPr>
        <w:t>affect its allegations</w:t>
      </w:r>
      <w:r w:rsidR="00A8442C" w:rsidRPr="0008442A">
        <w:rPr>
          <w:sz w:val="20"/>
          <w:lang w:val="en-GB"/>
        </w:rPr>
        <w:t xml:space="preserve">. </w:t>
      </w:r>
      <w:r w:rsidR="001A7E8E" w:rsidRPr="0008442A">
        <w:rPr>
          <w:sz w:val="20"/>
          <w:lang w:val="en-GB"/>
        </w:rPr>
        <w:t>It</w:t>
      </w:r>
      <w:r w:rsidR="00AF0C5B" w:rsidRPr="0008442A">
        <w:rPr>
          <w:sz w:val="20"/>
          <w:lang w:val="en-GB"/>
        </w:rPr>
        <w:t xml:space="preserve"> submits that article 25 is limited to decisions, acts or omissions that have already been subject to public participation</w:t>
      </w:r>
      <w:r w:rsidRPr="0008442A">
        <w:rPr>
          <w:sz w:val="20"/>
          <w:lang w:val="en-GB"/>
        </w:rPr>
        <w:t xml:space="preserve"> </w:t>
      </w:r>
      <w:r w:rsidR="00AF0C5B" w:rsidRPr="0008442A">
        <w:rPr>
          <w:sz w:val="20"/>
          <w:lang w:val="en-GB"/>
        </w:rPr>
        <w:t>under article 24</w:t>
      </w:r>
      <w:r w:rsidR="001B05E6" w:rsidRPr="0008442A">
        <w:rPr>
          <w:sz w:val="20"/>
          <w:lang w:val="en-GB"/>
        </w:rPr>
        <w:t>(</w:t>
      </w:r>
      <w:r w:rsidR="00AF0C5B" w:rsidRPr="0008442A">
        <w:rPr>
          <w:sz w:val="20"/>
          <w:lang w:val="en-GB"/>
        </w:rPr>
        <w:t>1</w:t>
      </w:r>
      <w:r w:rsidR="001B05E6" w:rsidRPr="0008442A">
        <w:rPr>
          <w:sz w:val="20"/>
          <w:lang w:val="en-GB"/>
        </w:rPr>
        <w:t>)</w:t>
      </w:r>
      <w:r w:rsidR="00AF0C5B" w:rsidRPr="0008442A">
        <w:rPr>
          <w:sz w:val="20"/>
          <w:lang w:val="en-GB"/>
        </w:rPr>
        <w:t xml:space="preserve"> of the IED</w:t>
      </w:r>
      <w:r w:rsidR="006E261A" w:rsidRPr="0008442A">
        <w:rPr>
          <w:sz w:val="20"/>
          <w:lang w:val="en-GB"/>
        </w:rPr>
        <w:t xml:space="preserve"> (see para. </w:t>
      </w:r>
      <w:r w:rsidR="006E261A" w:rsidRPr="0008442A">
        <w:rPr>
          <w:sz w:val="20"/>
          <w:lang w:val="en-GB"/>
        </w:rPr>
        <w:fldChar w:fldCharType="begin"/>
      </w:r>
      <w:r w:rsidR="006E261A" w:rsidRPr="008B183A">
        <w:rPr>
          <w:sz w:val="20"/>
          <w:szCs w:val="20"/>
          <w:lang w:val="en-GB"/>
        </w:rPr>
        <w:instrText xml:space="preserve"> REF _Ref507422819 \r \h </w:instrText>
      </w:r>
      <w:r w:rsidR="00B62030" w:rsidRPr="008B183A">
        <w:rPr>
          <w:sz w:val="20"/>
          <w:szCs w:val="20"/>
          <w:lang w:val="en-GB"/>
        </w:rPr>
        <w:instrText xml:space="preserve"> \* MERGEFORMAT </w:instrText>
      </w:r>
      <w:r w:rsidR="006E261A" w:rsidRPr="0008442A">
        <w:rPr>
          <w:sz w:val="20"/>
          <w:lang w:val="en-GB"/>
        </w:rPr>
      </w:r>
      <w:r w:rsidR="006E261A" w:rsidRPr="0008442A">
        <w:rPr>
          <w:sz w:val="20"/>
          <w:lang w:val="en-GB"/>
        </w:rPr>
        <w:fldChar w:fldCharType="separate"/>
      </w:r>
      <w:r w:rsidR="00C775D0">
        <w:rPr>
          <w:sz w:val="20"/>
          <w:szCs w:val="20"/>
          <w:lang w:val="en-GB"/>
        </w:rPr>
        <w:t>19</w:t>
      </w:r>
      <w:r w:rsidR="006E261A" w:rsidRPr="0008442A">
        <w:rPr>
          <w:sz w:val="20"/>
          <w:lang w:val="en-GB"/>
        </w:rPr>
        <w:fldChar w:fldCharType="end"/>
      </w:r>
      <w:r w:rsidR="006E261A" w:rsidRPr="0008442A">
        <w:rPr>
          <w:sz w:val="20"/>
          <w:lang w:val="en-GB"/>
        </w:rPr>
        <w:t xml:space="preserve"> above)</w:t>
      </w:r>
      <w:r w:rsidR="00AF0C5B" w:rsidRPr="0008442A">
        <w:rPr>
          <w:sz w:val="20"/>
          <w:lang w:val="en-GB"/>
        </w:rPr>
        <w:t xml:space="preserve"> and those subject to the information obligation under article 24</w:t>
      </w:r>
      <w:r w:rsidR="000916BE" w:rsidRPr="0008442A">
        <w:rPr>
          <w:sz w:val="20"/>
          <w:lang w:val="en-GB"/>
        </w:rPr>
        <w:t>(</w:t>
      </w:r>
      <w:r w:rsidR="00AF0C5B" w:rsidRPr="0008442A">
        <w:rPr>
          <w:sz w:val="20"/>
          <w:lang w:val="en-GB"/>
        </w:rPr>
        <w:t>2</w:t>
      </w:r>
      <w:r w:rsidR="000916BE" w:rsidRPr="0008442A">
        <w:rPr>
          <w:sz w:val="20"/>
          <w:lang w:val="en-GB"/>
        </w:rPr>
        <w:t>)</w:t>
      </w:r>
      <w:r w:rsidR="00AF0C5B" w:rsidRPr="0008442A">
        <w:rPr>
          <w:sz w:val="20"/>
          <w:lang w:val="en-GB"/>
        </w:rPr>
        <w:t xml:space="preserve"> of the IED</w:t>
      </w:r>
      <w:r w:rsidR="006E261A" w:rsidRPr="0008442A">
        <w:rPr>
          <w:sz w:val="20"/>
          <w:lang w:val="en-GB"/>
        </w:rPr>
        <w:t xml:space="preserve"> (see para. </w:t>
      </w:r>
      <w:r w:rsidR="00C311B8" w:rsidRPr="0008442A">
        <w:rPr>
          <w:sz w:val="20"/>
          <w:lang w:val="en-GB"/>
        </w:rPr>
        <w:fldChar w:fldCharType="begin"/>
      </w:r>
      <w:r w:rsidR="00C311B8" w:rsidRPr="008B183A">
        <w:rPr>
          <w:sz w:val="20"/>
          <w:szCs w:val="20"/>
          <w:lang w:val="en-GB"/>
        </w:rPr>
        <w:instrText xml:space="preserve"> REF _Ref507847744 \r \h </w:instrText>
      </w:r>
      <w:r w:rsidR="00B62030" w:rsidRPr="008B183A">
        <w:rPr>
          <w:sz w:val="20"/>
          <w:szCs w:val="20"/>
          <w:lang w:val="en-GB"/>
        </w:rPr>
        <w:instrText xml:space="preserve"> \* MERGEFORMAT </w:instrText>
      </w:r>
      <w:r w:rsidR="00C311B8" w:rsidRPr="0008442A">
        <w:rPr>
          <w:sz w:val="20"/>
          <w:lang w:val="en-GB"/>
        </w:rPr>
      </w:r>
      <w:r w:rsidR="00C311B8" w:rsidRPr="0008442A">
        <w:rPr>
          <w:sz w:val="20"/>
          <w:lang w:val="en-GB"/>
        </w:rPr>
        <w:fldChar w:fldCharType="separate"/>
      </w:r>
      <w:r w:rsidR="00C775D0">
        <w:rPr>
          <w:sz w:val="20"/>
          <w:szCs w:val="20"/>
          <w:lang w:val="en-GB"/>
        </w:rPr>
        <w:t>22</w:t>
      </w:r>
      <w:r w:rsidR="00C311B8" w:rsidRPr="0008442A">
        <w:rPr>
          <w:sz w:val="20"/>
          <w:lang w:val="en-GB"/>
        </w:rPr>
        <w:fldChar w:fldCharType="end"/>
      </w:r>
      <w:r w:rsidR="00C311B8" w:rsidRPr="0008442A">
        <w:rPr>
          <w:sz w:val="20"/>
          <w:lang w:val="en-GB"/>
        </w:rPr>
        <w:t xml:space="preserve"> </w:t>
      </w:r>
      <w:r w:rsidR="006E261A" w:rsidRPr="0008442A">
        <w:rPr>
          <w:sz w:val="20"/>
          <w:lang w:val="en-GB"/>
        </w:rPr>
        <w:t>above)</w:t>
      </w:r>
      <w:r w:rsidR="00701DE7" w:rsidRPr="0008442A">
        <w:rPr>
          <w:sz w:val="20"/>
          <w:lang w:val="en-GB"/>
        </w:rPr>
        <w:t xml:space="preserve">. </w:t>
      </w:r>
      <w:r w:rsidR="001A7E8E" w:rsidRPr="0008442A">
        <w:rPr>
          <w:sz w:val="20"/>
          <w:lang w:val="en-GB"/>
        </w:rPr>
        <w:t>Regarding</w:t>
      </w:r>
      <w:r w:rsidR="00C248E6" w:rsidRPr="0008442A">
        <w:rPr>
          <w:sz w:val="20"/>
          <w:lang w:val="en-GB"/>
        </w:rPr>
        <w:t xml:space="preserve"> decisions under article 24</w:t>
      </w:r>
      <w:r w:rsidR="000916BE" w:rsidRPr="0008442A">
        <w:rPr>
          <w:sz w:val="20"/>
          <w:lang w:val="en-GB"/>
        </w:rPr>
        <w:t>(</w:t>
      </w:r>
      <w:r w:rsidR="00C248E6" w:rsidRPr="0008442A">
        <w:rPr>
          <w:sz w:val="20"/>
          <w:lang w:val="en-GB"/>
        </w:rPr>
        <w:t>1</w:t>
      </w:r>
      <w:r w:rsidR="000916BE" w:rsidRPr="0008442A">
        <w:rPr>
          <w:sz w:val="20"/>
          <w:lang w:val="en-GB"/>
        </w:rPr>
        <w:t>)</w:t>
      </w:r>
      <w:r w:rsidR="00C248E6" w:rsidRPr="0008442A">
        <w:rPr>
          <w:sz w:val="20"/>
          <w:lang w:val="en-GB"/>
        </w:rPr>
        <w:t xml:space="preserve"> of the IED, the communicant reiterates that its communication concerns cases in which the IED fails to provide for public participation and submits that this remedy is therefore inapplicable. </w:t>
      </w:r>
      <w:proofErr w:type="gramStart"/>
      <w:r w:rsidR="00C248E6" w:rsidRPr="0008442A">
        <w:rPr>
          <w:sz w:val="20"/>
          <w:lang w:val="en-GB"/>
        </w:rPr>
        <w:t>With regard to</w:t>
      </w:r>
      <w:proofErr w:type="gramEnd"/>
      <w:r w:rsidR="00C248E6" w:rsidRPr="0008442A">
        <w:rPr>
          <w:sz w:val="20"/>
          <w:lang w:val="en-GB"/>
        </w:rPr>
        <w:t xml:space="preserve"> </w:t>
      </w:r>
      <w:r w:rsidR="00701DE7" w:rsidRPr="0008442A">
        <w:rPr>
          <w:sz w:val="20"/>
          <w:lang w:val="en-GB"/>
        </w:rPr>
        <w:t xml:space="preserve">decisions under </w:t>
      </w:r>
      <w:r w:rsidR="00C248E6" w:rsidRPr="0008442A">
        <w:rPr>
          <w:sz w:val="20"/>
          <w:lang w:val="en-GB"/>
        </w:rPr>
        <w:t>article 24</w:t>
      </w:r>
      <w:r w:rsidR="00681CE6" w:rsidRPr="0008442A">
        <w:rPr>
          <w:sz w:val="20"/>
          <w:lang w:val="en-GB"/>
        </w:rPr>
        <w:t>(</w:t>
      </w:r>
      <w:r w:rsidR="00C248E6" w:rsidRPr="0008442A">
        <w:rPr>
          <w:sz w:val="20"/>
          <w:lang w:val="en-GB"/>
        </w:rPr>
        <w:t>2</w:t>
      </w:r>
      <w:r w:rsidR="00681CE6" w:rsidRPr="0008442A">
        <w:rPr>
          <w:sz w:val="20"/>
          <w:lang w:val="en-GB"/>
        </w:rPr>
        <w:t>)</w:t>
      </w:r>
      <w:r w:rsidR="00C248E6" w:rsidRPr="0008442A">
        <w:rPr>
          <w:sz w:val="20"/>
          <w:lang w:val="en-GB"/>
        </w:rPr>
        <w:t xml:space="preserve"> of the IED, the </w:t>
      </w:r>
      <w:r w:rsidR="00701DE7" w:rsidRPr="0008442A">
        <w:rPr>
          <w:sz w:val="20"/>
          <w:lang w:val="en-GB"/>
        </w:rPr>
        <w:t>communicant submits that these decisions could be challenged despite not having been preceded by public participation but that an applicant could not challenge the absence of public participation.</w:t>
      </w:r>
      <w:r w:rsidR="00701DE7" w:rsidRPr="0008442A">
        <w:rPr>
          <w:rStyle w:val="FootnoteReference"/>
          <w:sz w:val="20"/>
          <w:lang w:val="en-GB"/>
        </w:rPr>
        <w:footnoteReference w:id="84"/>
      </w:r>
      <w:bookmarkEnd w:id="45"/>
    </w:p>
    <w:p w14:paraId="32AE99CA" w14:textId="38316C9F" w:rsidR="00701DE7" w:rsidRPr="0008442A" w:rsidRDefault="00701DE7"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46" w:name="_Ref507603305"/>
      <w:r w:rsidRPr="0008442A">
        <w:rPr>
          <w:sz w:val="20"/>
          <w:lang w:val="en-GB"/>
        </w:rPr>
        <w:t>The communicant further submits that</w:t>
      </w:r>
      <w:bookmarkEnd w:id="46"/>
      <w:r w:rsidRPr="0008442A">
        <w:rPr>
          <w:sz w:val="20"/>
          <w:lang w:val="en-GB"/>
        </w:rPr>
        <w:t xml:space="preserve"> article 25 only provides for a review procedure once a permit has already been granted, reconsidered or updated and that this does not ensure that the public concerned can participate “when all options are open” as required by article </w:t>
      </w:r>
      <w:r w:rsidRPr="0008442A">
        <w:rPr>
          <w:sz w:val="20"/>
          <w:lang w:val="en-GB"/>
        </w:rPr>
        <w:lastRenderedPageBreak/>
        <w:t>6</w:t>
      </w:r>
      <w:r w:rsidR="00021B8B" w:rsidRPr="0008442A">
        <w:rPr>
          <w:sz w:val="20"/>
          <w:lang w:val="en-GB"/>
        </w:rPr>
        <w:t>(</w:t>
      </w:r>
      <w:r w:rsidRPr="0008442A">
        <w:rPr>
          <w:sz w:val="20"/>
          <w:lang w:val="en-GB"/>
        </w:rPr>
        <w:t>4</w:t>
      </w:r>
      <w:r w:rsidR="00021B8B" w:rsidRPr="0008442A">
        <w:rPr>
          <w:sz w:val="20"/>
          <w:lang w:val="en-GB"/>
        </w:rPr>
        <w:t>)</w:t>
      </w:r>
      <w:r w:rsidRPr="0008442A">
        <w:rPr>
          <w:sz w:val="20"/>
          <w:lang w:val="en-GB"/>
        </w:rPr>
        <w:t xml:space="preserve"> of the Convention and is given “early and effective” and meaningful opportunities to participate in the sense of article 6</w:t>
      </w:r>
      <w:r w:rsidR="00213089" w:rsidRPr="0008442A">
        <w:rPr>
          <w:sz w:val="20"/>
          <w:lang w:val="en-GB"/>
        </w:rPr>
        <w:t>(</w:t>
      </w:r>
      <w:r w:rsidRPr="0008442A">
        <w:rPr>
          <w:sz w:val="20"/>
          <w:lang w:val="en-GB"/>
        </w:rPr>
        <w:t>2</w:t>
      </w:r>
      <w:r w:rsidR="00213089" w:rsidRPr="0008442A">
        <w:rPr>
          <w:sz w:val="20"/>
          <w:lang w:val="en-GB"/>
        </w:rPr>
        <w:t>)</w:t>
      </w:r>
      <w:r w:rsidRPr="0008442A">
        <w:rPr>
          <w:sz w:val="20"/>
          <w:lang w:val="en-GB"/>
        </w:rPr>
        <w:t>-</w:t>
      </w:r>
      <w:r w:rsidR="00213089" w:rsidRPr="0008442A">
        <w:rPr>
          <w:sz w:val="20"/>
          <w:lang w:val="en-GB"/>
        </w:rPr>
        <w:t>(</w:t>
      </w:r>
      <w:r w:rsidRPr="0008442A">
        <w:rPr>
          <w:sz w:val="20"/>
          <w:lang w:val="en-GB"/>
        </w:rPr>
        <w:t>9</w:t>
      </w:r>
      <w:r w:rsidR="00213089" w:rsidRPr="0008442A">
        <w:rPr>
          <w:sz w:val="20"/>
          <w:lang w:val="en-GB"/>
        </w:rPr>
        <w:t>)</w:t>
      </w:r>
      <w:r w:rsidRPr="0008442A">
        <w:rPr>
          <w:sz w:val="20"/>
          <w:lang w:val="en-GB"/>
        </w:rPr>
        <w:t xml:space="preserve"> of the Convention.</w:t>
      </w:r>
      <w:r w:rsidRPr="0008442A">
        <w:rPr>
          <w:rStyle w:val="FootnoteReference"/>
          <w:sz w:val="20"/>
          <w:lang w:val="en-GB"/>
        </w:rPr>
        <w:footnoteReference w:id="85"/>
      </w:r>
    </w:p>
    <w:p w14:paraId="6F4EB857" w14:textId="5C85DBFB" w:rsidR="00001F50" w:rsidRPr="0008442A" w:rsidRDefault="00001F50"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47" w:name="_Ref507847844"/>
      <w:r w:rsidRPr="0008442A">
        <w:rPr>
          <w:sz w:val="20"/>
          <w:lang w:val="en-GB"/>
        </w:rPr>
        <w:t>The Party concerned</w:t>
      </w:r>
      <w:r w:rsidR="00213089" w:rsidRPr="0008442A">
        <w:rPr>
          <w:sz w:val="20"/>
          <w:lang w:val="en-GB"/>
        </w:rPr>
        <w:t xml:space="preserve"> </w:t>
      </w:r>
      <w:r w:rsidR="00DB3979" w:rsidRPr="0008442A">
        <w:rPr>
          <w:sz w:val="20"/>
          <w:lang w:val="en-GB"/>
        </w:rPr>
        <w:t>submits that</w:t>
      </w:r>
      <w:r w:rsidR="001A7E8E" w:rsidRPr="0008442A">
        <w:rPr>
          <w:sz w:val="20"/>
          <w:lang w:val="en-GB"/>
        </w:rPr>
        <w:t>,</w:t>
      </w:r>
      <w:r w:rsidR="00DB3979" w:rsidRPr="0008442A">
        <w:rPr>
          <w:sz w:val="20"/>
          <w:lang w:val="en-GB"/>
        </w:rPr>
        <w:t xml:space="preserve"> even in cases in which the EU legislator did not consider </w:t>
      </w:r>
      <w:r w:rsidR="00656E17" w:rsidRPr="0008442A">
        <w:rPr>
          <w:sz w:val="20"/>
          <w:lang w:val="en-GB"/>
        </w:rPr>
        <w:t xml:space="preserve">it </w:t>
      </w:r>
      <w:r w:rsidR="00DB3979" w:rsidRPr="0008442A">
        <w:rPr>
          <w:sz w:val="20"/>
          <w:lang w:val="en-GB"/>
        </w:rPr>
        <w:t xml:space="preserve">necessary to provide for public participation, there are other means for the public to remedy an unlawful act or omission. </w:t>
      </w:r>
      <w:r w:rsidR="001A7E8E" w:rsidRPr="0008442A">
        <w:rPr>
          <w:sz w:val="20"/>
          <w:lang w:val="en-GB"/>
        </w:rPr>
        <w:t>It</w:t>
      </w:r>
      <w:r w:rsidR="00AF0C5B" w:rsidRPr="0008442A">
        <w:rPr>
          <w:sz w:val="20"/>
          <w:lang w:val="en-GB"/>
        </w:rPr>
        <w:t xml:space="preserve"> submits that </w:t>
      </w:r>
      <w:r w:rsidR="00C248E6" w:rsidRPr="0008442A">
        <w:rPr>
          <w:sz w:val="20"/>
          <w:lang w:val="en-GB"/>
        </w:rPr>
        <w:t xml:space="preserve">by covering decisions under </w:t>
      </w:r>
      <w:r w:rsidR="00AF0C5B" w:rsidRPr="0008442A">
        <w:rPr>
          <w:sz w:val="20"/>
          <w:lang w:val="en-GB"/>
        </w:rPr>
        <w:t>article 24</w:t>
      </w:r>
      <w:r w:rsidR="0011289A" w:rsidRPr="0008442A">
        <w:rPr>
          <w:sz w:val="20"/>
          <w:lang w:val="en-GB"/>
        </w:rPr>
        <w:t>(</w:t>
      </w:r>
      <w:r w:rsidR="00AF0C5B" w:rsidRPr="0008442A">
        <w:rPr>
          <w:sz w:val="20"/>
          <w:lang w:val="en-GB"/>
        </w:rPr>
        <w:t>2</w:t>
      </w:r>
      <w:r w:rsidR="0011289A" w:rsidRPr="0008442A">
        <w:rPr>
          <w:sz w:val="20"/>
          <w:lang w:val="en-GB"/>
        </w:rPr>
        <w:t>)</w:t>
      </w:r>
      <w:r w:rsidR="00701DE7" w:rsidRPr="0008442A">
        <w:rPr>
          <w:sz w:val="20"/>
          <w:lang w:val="en-GB"/>
        </w:rPr>
        <w:t xml:space="preserve"> of the IED</w:t>
      </w:r>
      <w:r w:rsidR="00C248E6" w:rsidRPr="0008442A">
        <w:rPr>
          <w:sz w:val="20"/>
          <w:lang w:val="en-GB"/>
        </w:rPr>
        <w:t>, article 25 also</w:t>
      </w:r>
      <w:r w:rsidR="00DB3979" w:rsidRPr="0008442A">
        <w:rPr>
          <w:sz w:val="20"/>
          <w:lang w:val="en-GB"/>
        </w:rPr>
        <w:t xml:space="preserve"> applies to acts, omissions and decisions which have not been preceded by public participation.</w:t>
      </w:r>
      <w:r w:rsidRPr="0008442A">
        <w:rPr>
          <w:rStyle w:val="FootnoteReference"/>
          <w:sz w:val="20"/>
          <w:lang w:val="en-GB"/>
        </w:rPr>
        <w:footnoteReference w:id="86"/>
      </w:r>
      <w:bookmarkEnd w:id="47"/>
    </w:p>
    <w:p w14:paraId="3A02D944" w14:textId="665F2CB7" w:rsidR="00001F50" w:rsidRPr="0008442A" w:rsidRDefault="00701DE7" w:rsidP="006A5D08">
      <w:pPr>
        <w:pStyle w:val="SingleTxtG"/>
        <w:numPr>
          <w:ilvl w:val="0"/>
          <w:numId w:val="3"/>
        </w:numPr>
        <w:tabs>
          <w:tab w:val="clear" w:pos="1853"/>
          <w:tab w:val="num" w:pos="1134"/>
        </w:tabs>
        <w:autoSpaceDE w:val="0"/>
        <w:autoSpaceDN w:val="0"/>
        <w:adjustRightInd w:val="0"/>
        <w:ind w:left="1134" w:right="0" w:firstLine="0"/>
        <w:rPr>
          <w:sz w:val="20"/>
          <w:lang w:val="en-GB"/>
        </w:rPr>
      </w:pPr>
      <w:bookmarkStart w:id="48" w:name="_Ref510774156"/>
      <w:r w:rsidRPr="0008442A">
        <w:rPr>
          <w:sz w:val="20"/>
          <w:lang w:val="en-GB"/>
        </w:rPr>
        <w:t>T</w:t>
      </w:r>
      <w:r w:rsidR="000F0D5B" w:rsidRPr="0008442A">
        <w:rPr>
          <w:sz w:val="20"/>
          <w:lang w:val="en-GB"/>
        </w:rPr>
        <w:t>he Party concerned</w:t>
      </w:r>
      <w:r w:rsidR="00A25E73" w:rsidRPr="0008442A">
        <w:rPr>
          <w:sz w:val="20"/>
          <w:lang w:val="en-GB"/>
        </w:rPr>
        <w:t xml:space="preserve"> </w:t>
      </w:r>
      <w:r w:rsidR="000F0D5B" w:rsidRPr="0008442A">
        <w:rPr>
          <w:sz w:val="20"/>
          <w:lang w:val="en-GB"/>
        </w:rPr>
        <w:t>agrees</w:t>
      </w:r>
      <w:r w:rsidRPr="0008442A">
        <w:rPr>
          <w:sz w:val="20"/>
          <w:lang w:val="en-GB"/>
        </w:rPr>
        <w:t xml:space="preserve"> with the communicant</w:t>
      </w:r>
      <w:r w:rsidR="000F0D5B" w:rsidRPr="0008442A">
        <w:rPr>
          <w:sz w:val="20"/>
          <w:lang w:val="en-GB"/>
        </w:rPr>
        <w:t xml:space="preserve"> that </w:t>
      </w:r>
      <w:r w:rsidR="004F0277" w:rsidRPr="0008442A">
        <w:rPr>
          <w:sz w:val="20"/>
          <w:lang w:val="en-GB"/>
        </w:rPr>
        <w:t>in cases where there is no right to public participation, the review procedure could not be used to challenge the lack of public participation</w:t>
      </w:r>
      <w:r w:rsidRPr="0008442A">
        <w:rPr>
          <w:sz w:val="20"/>
          <w:lang w:val="en-GB"/>
        </w:rPr>
        <w:t xml:space="preserve"> </w:t>
      </w:r>
      <w:r w:rsidR="004F0277" w:rsidRPr="0008442A">
        <w:rPr>
          <w:sz w:val="20"/>
          <w:lang w:val="en-GB"/>
        </w:rPr>
        <w:t xml:space="preserve">but </w:t>
      </w:r>
      <w:r w:rsidRPr="0008442A">
        <w:rPr>
          <w:sz w:val="20"/>
          <w:lang w:val="en-GB"/>
        </w:rPr>
        <w:t xml:space="preserve">submits that </w:t>
      </w:r>
      <w:r w:rsidR="004F0277" w:rsidRPr="0008442A">
        <w:rPr>
          <w:sz w:val="20"/>
          <w:lang w:val="en-GB"/>
        </w:rPr>
        <w:t xml:space="preserve">the decision to update or reconsider the permit conditions could be challenged on all points of substance, for instance the operating conditions, emission limit values and monitoring provisions. It further submits that, while it is indeed less early and effective than prior public participation, this review procedure is both necessary and </w:t>
      </w:r>
      <w:proofErr w:type="gramStart"/>
      <w:r w:rsidR="004F0277" w:rsidRPr="0008442A">
        <w:rPr>
          <w:sz w:val="20"/>
          <w:lang w:val="en-GB"/>
        </w:rPr>
        <w:t>sufficient</w:t>
      </w:r>
      <w:proofErr w:type="gramEnd"/>
      <w:r w:rsidR="004F0277" w:rsidRPr="0008442A">
        <w:rPr>
          <w:sz w:val="20"/>
          <w:lang w:val="en-GB"/>
        </w:rPr>
        <w:t xml:space="preserve"> to protect the rights of the public concerned in cases of updates and reconsiderations of lesser significance or for those that leave a large margin of discretion to the competent authority.</w:t>
      </w:r>
      <w:r w:rsidR="004F0277" w:rsidRPr="0008442A">
        <w:rPr>
          <w:rStyle w:val="FootnoteReference"/>
          <w:sz w:val="20"/>
          <w:lang w:val="en-GB"/>
        </w:rPr>
        <w:footnoteReference w:id="87"/>
      </w:r>
      <w:bookmarkEnd w:id="48"/>
    </w:p>
    <w:p w14:paraId="1A55E2B1" w14:textId="77777777" w:rsidR="00ED3C5F" w:rsidRPr="008B183A" w:rsidRDefault="00C07248" w:rsidP="00DC7991">
      <w:pPr>
        <w:pStyle w:val="HChG"/>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36"/>
        </w:tabs>
        <w:ind w:left="0" w:right="0" w:firstLine="0"/>
      </w:pPr>
      <w:r w:rsidRPr="008B183A">
        <w:tab/>
      </w:r>
      <w:r w:rsidR="0023575C" w:rsidRPr="008B183A">
        <w:t>III.</w:t>
      </w:r>
      <w:r w:rsidR="0023575C" w:rsidRPr="008B183A">
        <w:tab/>
      </w:r>
      <w:r w:rsidR="00D971FB" w:rsidRPr="008B183A">
        <w:t>Consideration a</w:t>
      </w:r>
      <w:r w:rsidR="00090D28" w:rsidRPr="008B183A">
        <w:t>nd evaluation by the C</w:t>
      </w:r>
      <w:r w:rsidR="00D971FB" w:rsidRPr="008B183A">
        <w:t>ommittee</w:t>
      </w:r>
      <w:r w:rsidR="00DC7991" w:rsidRPr="008B183A">
        <w:tab/>
      </w:r>
    </w:p>
    <w:p w14:paraId="6BE663BC" w14:textId="77777777" w:rsidR="00F93FBC" w:rsidRPr="0008442A" w:rsidRDefault="00F93FBC" w:rsidP="006A5D08">
      <w:pPr>
        <w:pStyle w:val="SingleTxtG"/>
        <w:numPr>
          <w:ilvl w:val="0"/>
          <w:numId w:val="3"/>
        </w:numPr>
        <w:tabs>
          <w:tab w:val="clear" w:pos="1853"/>
          <w:tab w:val="num" w:pos="1701"/>
        </w:tabs>
        <w:autoSpaceDE w:val="0"/>
        <w:autoSpaceDN w:val="0"/>
        <w:adjustRightInd w:val="0"/>
        <w:ind w:left="1134" w:right="0" w:firstLine="0"/>
        <w:rPr>
          <w:sz w:val="20"/>
          <w:szCs w:val="20"/>
          <w:lang w:val="en-GB"/>
        </w:rPr>
      </w:pPr>
      <w:r w:rsidRPr="0008442A">
        <w:rPr>
          <w:sz w:val="20"/>
          <w:lang w:val="en-GB"/>
        </w:rPr>
        <w:t xml:space="preserve">The European Union signed the Convention on 25 June 1998 and approved it through Council Decision 2005/370/EC of 17 February </w:t>
      </w:r>
      <w:r w:rsidRPr="0008442A">
        <w:rPr>
          <w:sz w:val="20"/>
          <w:szCs w:val="20"/>
          <w:lang w:val="en-GB"/>
        </w:rPr>
        <w:t>2005.</w:t>
      </w:r>
      <w:r w:rsidRPr="0008442A">
        <w:rPr>
          <w:rStyle w:val="FootnoteReference"/>
          <w:sz w:val="20"/>
          <w:szCs w:val="20"/>
          <w:lang w:val="en-GB"/>
        </w:rPr>
        <w:footnoteReference w:id="88"/>
      </w:r>
      <w:r w:rsidRPr="0008442A">
        <w:rPr>
          <w:sz w:val="20"/>
          <w:szCs w:val="20"/>
          <w:lang w:val="en-GB"/>
        </w:rPr>
        <w:t xml:space="preserve"> The European Union has been a Party to the Convention since 17 May 2005.</w:t>
      </w:r>
    </w:p>
    <w:p w14:paraId="008D0F6C" w14:textId="77777777" w:rsidR="00F93FBC" w:rsidRPr="0008442A" w:rsidRDefault="00F93FBC" w:rsidP="006A5D08">
      <w:pPr>
        <w:pStyle w:val="SingleTxtG"/>
        <w:autoSpaceDE w:val="0"/>
        <w:autoSpaceDN w:val="0"/>
        <w:adjustRightInd w:val="0"/>
        <w:ind w:right="0"/>
        <w:outlineLvl w:val="0"/>
        <w:rPr>
          <w:b/>
          <w:sz w:val="20"/>
          <w:szCs w:val="20"/>
          <w:lang w:val="en-GB"/>
        </w:rPr>
      </w:pPr>
      <w:r w:rsidRPr="0008442A">
        <w:rPr>
          <w:b/>
          <w:sz w:val="20"/>
          <w:szCs w:val="20"/>
          <w:lang w:val="en-GB"/>
        </w:rPr>
        <w:t>Admissibility</w:t>
      </w:r>
    </w:p>
    <w:p w14:paraId="1D616940" w14:textId="75FE4032" w:rsidR="0092444E" w:rsidRPr="0008442A" w:rsidRDefault="00810730" w:rsidP="00D0245D">
      <w:pPr>
        <w:pStyle w:val="SingleTxtG"/>
        <w:numPr>
          <w:ilvl w:val="0"/>
          <w:numId w:val="3"/>
        </w:numPr>
        <w:tabs>
          <w:tab w:val="clear" w:pos="1853"/>
          <w:tab w:val="num" w:pos="1134"/>
        </w:tabs>
        <w:autoSpaceDE w:val="0"/>
        <w:autoSpaceDN w:val="0"/>
        <w:adjustRightInd w:val="0"/>
        <w:ind w:left="1134" w:right="0" w:firstLine="0"/>
        <w:rPr>
          <w:sz w:val="20"/>
          <w:szCs w:val="20"/>
          <w:lang w:val="en-GB"/>
        </w:rPr>
      </w:pPr>
      <w:r w:rsidRPr="0008442A">
        <w:rPr>
          <w:sz w:val="20"/>
          <w:szCs w:val="20"/>
          <w:lang w:val="en-GB"/>
        </w:rPr>
        <w:t>The Party concerned</w:t>
      </w:r>
      <w:r w:rsidR="00DE44A7" w:rsidRPr="0008442A">
        <w:rPr>
          <w:sz w:val="20"/>
          <w:szCs w:val="20"/>
          <w:lang w:val="en-GB"/>
        </w:rPr>
        <w:t xml:space="preserve"> </w:t>
      </w:r>
      <w:r w:rsidR="00C775D0">
        <w:rPr>
          <w:sz w:val="20"/>
          <w:szCs w:val="20"/>
          <w:lang w:val="en-GB"/>
        </w:rPr>
        <w:t>disputes the admissibility</w:t>
      </w:r>
      <w:r w:rsidR="00577993">
        <w:rPr>
          <w:sz w:val="20"/>
          <w:szCs w:val="20"/>
          <w:lang w:val="en-GB"/>
        </w:rPr>
        <w:t xml:space="preserve"> of the communication. It </w:t>
      </w:r>
      <w:r w:rsidR="0085172F" w:rsidRPr="0008442A">
        <w:rPr>
          <w:sz w:val="20"/>
          <w:szCs w:val="20"/>
          <w:lang w:val="en-GB"/>
        </w:rPr>
        <w:t xml:space="preserve">submits </w:t>
      </w:r>
      <w:r w:rsidRPr="0008442A">
        <w:rPr>
          <w:sz w:val="20"/>
          <w:szCs w:val="20"/>
          <w:lang w:val="en-GB"/>
        </w:rPr>
        <w:t xml:space="preserve">that </w:t>
      </w:r>
      <w:r w:rsidR="00D40308" w:rsidRPr="0008442A">
        <w:rPr>
          <w:sz w:val="20"/>
          <w:szCs w:val="20"/>
          <w:lang w:val="en-GB"/>
        </w:rPr>
        <w:t>it has established a complete system of remedies, specifically referring to article 263</w:t>
      </w:r>
      <w:r w:rsidR="00A97626" w:rsidRPr="008B183A">
        <w:rPr>
          <w:sz w:val="20"/>
          <w:szCs w:val="20"/>
          <w:lang w:val="en-GB"/>
        </w:rPr>
        <w:t>(</w:t>
      </w:r>
      <w:r w:rsidR="00D40308" w:rsidRPr="0008442A">
        <w:rPr>
          <w:sz w:val="20"/>
          <w:szCs w:val="20"/>
          <w:lang w:val="en-GB"/>
        </w:rPr>
        <w:t>4</w:t>
      </w:r>
      <w:r w:rsidR="00A97626" w:rsidRPr="008B183A">
        <w:rPr>
          <w:sz w:val="20"/>
          <w:szCs w:val="20"/>
          <w:lang w:val="en-GB"/>
        </w:rPr>
        <w:t>)</w:t>
      </w:r>
      <w:r w:rsidR="00D40308" w:rsidRPr="008B183A">
        <w:rPr>
          <w:sz w:val="20"/>
          <w:szCs w:val="20"/>
          <w:lang w:val="en-GB"/>
        </w:rPr>
        <w:t>,</w:t>
      </w:r>
      <w:r w:rsidR="00D40308" w:rsidRPr="0008442A">
        <w:rPr>
          <w:sz w:val="20"/>
          <w:szCs w:val="20"/>
          <w:lang w:val="en-GB"/>
        </w:rPr>
        <w:t xml:space="preserve"> article 267 and article 277 TFEU, which the communicant did not rely on (see paras. </w:t>
      </w:r>
      <w:r w:rsidR="00D40308" w:rsidRPr="0008442A">
        <w:rPr>
          <w:sz w:val="20"/>
          <w:szCs w:val="20"/>
          <w:lang w:val="en-GB"/>
        </w:rPr>
        <w:fldChar w:fldCharType="begin"/>
      </w:r>
      <w:r w:rsidR="00D40308" w:rsidRPr="008B183A">
        <w:rPr>
          <w:sz w:val="20"/>
          <w:szCs w:val="20"/>
          <w:lang w:val="en-GB"/>
        </w:rPr>
        <w:instrText xml:space="preserve"> REF _Ref510774018 \r \h </w:instrText>
      </w:r>
      <w:r w:rsidR="00226B07" w:rsidRPr="008B183A">
        <w:rPr>
          <w:sz w:val="20"/>
          <w:szCs w:val="20"/>
          <w:lang w:val="en-GB"/>
        </w:rPr>
        <w:instrText xml:space="preserve"> \* MERGEFORMAT </w:instrText>
      </w:r>
      <w:r w:rsidR="00D40308" w:rsidRPr="0008442A">
        <w:rPr>
          <w:sz w:val="20"/>
          <w:szCs w:val="20"/>
          <w:lang w:val="en-GB"/>
        </w:rPr>
      </w:r>
      <w:r w:rsidR="00D40308" w:rsidRPr="0008442A">
        <w:rPr>
          <w:sz w:val="20"/>
          <w:szCs w:val="20"/>
          <w:lang w:val="en-GB"/>
        </w:rPr>
        <w:fldChar w:fldCharType="separate"/>
      </w:r>
      <w:r w:rsidR="00C775D0">
        <w:rPr>
          <w:sz w:val="20"/>
          <w:szCs w:val="20"/>
          <w:lang w:val="en-GB"/>
        </w:rPr>
        <w:t>27</w:t>
      </w:r>
      <w:r w:rsidR="00D40308" w:rsidRPr="0008442A">
        <w:rPr>
          <w:sz w:val="20"/>
          <w:szCs w:val="20"/>
          <w:lang w:val="en-GB"/>
        </w:rPr>
        <w:fldChar w:fldCharType="end"/>
      </w:r>
      <w:r w:rsidR="00D40308" w:rsidRPr="0008442A">
        <w:rPr>
          <w:sz w:val="20"/>
          <w:szCs w:val="20"/>
          <w:lang w:val="en-GB"/>
        </w:rPr>
        <w:t>-</w:t>
      </w:r>
      <w:r w:rsidR="00D40308" w:rsidRPr="0008442A">
        <w:rPr>
          <w:sz w:val="20"/>
          <w:szCs w:val="20"/>
          <w:lang w:val="en-GB"/>
        </w:rPr>
        <w:fldChar w:fldCharType="begin"/>
      </w:r>
      <w:r w:rsidR="00D40308" w:rsidRPr="008B183A">
        <w:rPr>
          <w:sz w:val="20"/>
          <w:szCs w:val="20"/>
          <w:lang w:val="en-GB"/>
        </w:rPr>
        <w:instrText xml:space="preserve"> REF _Ref510773884 \r \h </w:instrText>
      </w:r>
      <w:r w:rsidR="00226B07" w:rsidRPr="008B183A">
        <w:rPr>
          <w:sz w:val="20"/>
          <w:szCs w:val="20"/>
          <w:lang w:val="en-GB"/>
        </w:rPr>
        <w:instrText xml:space="preserve"> \* MERGEFORMAT </w:instrText>
      </w:r>
      <w:r w:rsidR="00D40308" w:rsidRPr="0008442A">
        <w:rPr>
          <w:sz w:val="20"/>
          <w:szCs w:val="20"/>
          <w:lang w:val="en-GB"/>
        </w:rPr>
      </w:r>
      <w:r w:rsidR="00D40308" w:rsidRPr="0008442A">
        <w:rPr>
          <w:sz w:val="20"/>
          <w:szCs w:val="20"/>
          <w:lang w:val="en-GB"/>
        </w:rPr>
        <w:fldChar w:fldCharType="separate"/>
      </w:r>
      <w:r w:rsidR="00C775D0">
        <w:rPr>
          <w:sz w:val="20"/>
          <w:szCs w:val="20"/>
          <w:lang w:val="en-GB"/>
        </w:rPr>
        <w:t>29</w:t>
      </w:r>
      <w:r w:rsidR="00D40308" w:rsidRPr="0008442A">
        <w:rPr>
          <w:sz w:val="20"/>
          <w:szCs w:val="20"/>
          <w:lang w:val="en-GB"/>
        </w:rPr>
        <w:fldChar w:fldCharType="end"/>
      </w:r>
      <w:r w:rsidR="00D40308" w:rsidRPr="0008442A">
        <w:rPr>
          <w:sz w:val="20"/>
          <w:szCs w:val="20"/>
          <w:lang w:val="en-GB"/>
        </w:rPr>
        <w:t xml:space="preserve"> above).  </w:t>
      </w:r>
      <w:r w:rsidR="00A97626" w:rsidRPr="008B183A">
        <w:rPr>
          <w:sz w:val="20"/>
          <w:szCs w:val="20"/>
          <w:lang w:val="en-GB"/>
        </w:rPr>
        <w:t>It</w:t>
      </w:r>
      <w:r w:rsidR="00A97626" w:rsidRPr="0008442A">
        <w:rPr>
          <w:sz w:val="20"/>
          <w:szCs w:val="20"/>
          <w:lang w:val="en-GB"/>
        </w:rPr>
        <w:t xml:space="preserve"> also </w:t>
      </w:r>
      <w:r w:rsidR="00A97626" w:rsidRPr="008B183A">
        <w:rPr>
          <w:sz w:val="20"/>
          <w:szCs w:val="20"/>
          <w:lang w:val="en-GB"/>
        </w:rPr>
        <w:t>submits</w:t>
      </w:r>
      <w:r w:rsidR="00A97626" w:rsidRPr="0008442A">
        <w:rPr>
          <w:sz w:val="20"/>
          <w:szCs w:val="20"/>
          <w:lang w:val="en-GB"/>
        </w:rPr>
        <w:t xml:space="preserve"> that </w:t>
      </w:r>
      <w:r w:rsidR="00D40308" w:rsidRPr="0008442A">
        <w:rPr>
          <w:sz w:val="20"/>
          <w:szCs w:val="20"/>
          <w:lang w:val="en-GB"/>
        </w:rPr>
        <w:t xml:space="preserve">paragraph 21 of the </w:t>
      </w:r>
      <w:r w:rsidR="00A97626" w:rsidRPr="008B183A">
        <w:rPr>
          <w:sz w:val="20"/>
          <w:szCs w:val="20"/>
          <w:lang w:val="en-GB"/>
        </w:rPr>
        <w:t>a</w:t>
      </w:r>
      <w:r w:rsidR="00D40308" w:rsidRPr="008B183A">
        <w:rPr>
          <w:sz w:val="20"/>
          <w:szCs w:val="20"/>
          <w:lang w:val="en-GB"/>
        </w:rPr>
        <w:t>nnex</w:t>
      </w:r>
      <w:r w:rsidR="00D40308" w:rsidRPr="0008442A">
        <w:rPr>
          <w:sz w:val="20"/>
          <w:szCs w:val="20"/>
          <w:lang w:val="en-GB"/>
        </w:rPr>
        <w:t xml:space="preserve"> to </w:t>
      </w:r>
      <w:r w:rsidR="00A97626" w:rsidRPr="008B183A">
        <w:rPr>
          <w:sz w:val="20"/>
          <w:szCs w:val="20"/>
          <w:lang w:val="en-GB"/>
        </w:rPr>
        <w:t>d</w:t>
      </w:r>
      <w:r w:rsidR="00D40308" w:rsidRPr="008B183A">
        <w:rPr>
          <w:sz w:val="20"/>
          <w:szCs w:val="20"/>
          <w:lang w:val="en-GB"/>
        </w:rPr>
        <w:t>ecision</w:t>
      </w:r>
      <w:r w:rsidR="00D40308" w:rsidRPr="0008442A">
        <w:rPr>
          <w:sz w:val="20"/>
          <w:szCs w:val="20"/>
          <w:lang w:val="en-GB"/>
        </w:rPr>
        <w:t xml:space="preserve"> I/7 </w:t>
      </w:r>
      <w:r w:rsidR="00D40308" w:rsidRPr="008B183A">
        <w:rPr>
          <w:sz w:val="20"/>
          <w:szCs w:val="20"/>
          <w:lang w:val="en-GB"/>
        </w:rPr>
        <w:t>leave</w:t>
      </w:r>
      <w:r w:rsidR="00A97626" w:rsidRPr="008B183A">
        <w:rPr>
          <w:sz w:val="20"/>
          <w:szCs w:val="20"/>
          <w:lang w:val="en-GB"/>
        </w:rPr>
        <w:t>s</w:t>
      </w:r>
      <w:r w:rsidR="00D40308" w:rsidRPr="0008442A">
        <w:rPr>
          <w:sz w:val="20"/>
          <w:szCs w:val="20"/>
          <w:lang w:val="en-GB"/>
        </w:rPr>
        <w:t xml:space="preserve"> no doubt that domestic remedies are to be </w:t>
      </w:r>
      <w:proofErr w:type="gramStart"/>
      <w:r w:rsidR="00D40308" w:rsidRPr="0008442A">
        <w:rPr>
          <w:sz w:val="20"/>
          <w:szCs w:val="20"/>
          <w:lang w:val="en-GB"/>
        </w:rPr>
        <w:t>taken into account</w:t>
      </w:r>
      <w:proofErr w:type="gramEnd"/>
      <w:r w:rsidR="00D40308" w:rsidRPr="0008442A">
        <w:rPr>
          <w:sz w:val="20"/>
          <w:szCs w:val="20"/>
          <w:lang w:val="en-GB"/>
        </w:rPr>
        <w:t xml:space="preserve"> unless they are unsatisfactory</w:t>
      </w:r>
      <w:r w:rsidR="00E811DE" w:rsidRPr="008B183A">
        <w:rPr>
          <w:sz w:val="20"/>
          <w:szCs w:val="20"/>
          <w:lang w:val="en-GB"/>
        </w:rPr>
        <w:t>.</w:t>
      </w:r>
      <w:r w:rsidRPr="0008442A">
        <w:rPr>
          <w:rStyle w:val="FootnoteReference"/>
          <w:sz w:val="20"/>
          <w:szCs w:val="20"/>
          <w:lang w:val="en-GB"/>
        </w:rPr>
        <w:footnoteReference w:id="89"/>
      </w:r>
      <w:r w:rsidRPr="0008442A">
        <w:rPr>
          <w:sz w:val="20"/>
          <w:szCs w:val="20"/>
          <w:lang w:val="en-GB"/>
        </w:rPr>
        <w:t xml:space="preserve"> </w:t>
      </w:r>
    </w:p>
    <w:p w14:paraId="3647DF9D" w14:textId="20E57AB5" w:rsidR="00D40308" w:rsidRPr="0008442A" w:rsidRDefault="00D40308" w:rsidP="00604476">
      <w:pPr>
        <w:pStyle w:val="ListParagraph"/>
        <w:numPr>
          <w:ilvl w:val="0"/>
          <w:numId w:val="3"/>
        </w:numPr>
        <w:tabs>
          <w:tab w:val="clear" w:pos="1853"/>
          <w:tab w:val="num" w:pos="1134"/>
          <w:tab w:val="num" w:pos="1277"/>
        </w:tabs>
        <w:ind w:left="1134" w:firstLine="0"/>
        <w:jc w:val="both"/>
        <w:rPr>
          <w:sz w:val="20"/>
          <w:szCs w:val="20"/>
          <w:lang w:val="en-GB"/>
        </w:rPr>
      </w:pPr>
      <w:r w:rsidRPr="0008442A">
        <w:rPr>
          <w:sz w:val="20"/>
          <w:szCs w:val="20"/>
          <w:lang w:val="en-GB"/>
        </w:rPr>
        <w:t xml:space="preserve">In this context the Committee recalls its findings on communication ACCC/C/2008/32 </w:t>
      </w:r>
      <w:r w:rsidR="00C775D0">
        <w:rPr>
          <w:sz w:val="20"/>
          <w:szCs w:val="20"/>
          <w:lang w:val="en-GB"/>
        </w:rPr>
        <w:t>(</w:t>
      </w:r>
      <w:r w:rsidRPr="0008442A">
        <w:rPr>
          <w:sz w:val="20"/>
          <w:szCs w:val="20"/>
          <w:lang w:val="en-GB"/>
        </w:rPr>
        <w:t>E</w:t>
      </w:r>
      <w:r w:rsidR="00C775D0">
        <w:rPr>
          <w:sz w:val="20"/>
          <w:szCs w:val="20"/>
          <w:lang w:val="en-GB"/>
        </w:rPr>
        <w:t xml:space="preserve">uropean </w:t>
      </w:r>
      <w:r w:rsidRPr="0008442A">
        <w:rPr>
          <w:sz w:val="20"/>
          <w:szCs w:val="20"/>
          <w:lang w:val="en-GB"/>
        </w:rPr>
        <w:t>U</w:t>
      </w:r>
      <w:r w:rsidR="00C775D0">
        <w:rPr>
          <w:sz w:val="20"/>
          <w:szCs w:val="20"/>
          <w:lang w:val="en-GB"/>
        </w:rPr>
        <w:t>nion)</w:t>
      </w:r>
      <w:r w:rsidR="00A97626" w:rsidRPr="008B183A">
        <w:rPr>
          <w:sz w:val="20"/>
          <w:szCs w:val="20"/>
          <w:lang w:val="en-GB"/>
        </w:rPr>
        <w:t>,</w:t>
      </w:r>
      <w:r w:rsidRPr="0008442A">
        <w:rPr>
          <w:sz w:val="20"/>
          <w:szCs w:val="20"/>
          <w:lang w:val="en-GB"/>
        </w:rPr>
        <w:t xml:space="preserve"> part II</w:t>
      </w:r>
      <w:r w:rsidR="00A97626" w:rsidRPr="008B183A">
        <w:rPr>
          <w:sz w:val="20"/>
          <w:szCs w:val="20"/>
          <w:lang w:val="en-GB"/>
        </w:rPr>
        <w:t>,</w:t>
      </w:r>
      <w:r w:rsidRPr="008B183A">
        <w:rPr>
          <w:sz w:val="20"/>
          <w:szCs w:val="20"/>
          <w:lang w:val="en-GB"/>
        </w:rPr>
        <w:t xml:space="preserve"> </w:t>
      </w:r>
      <w:r w:rsidR="00A97626" w:rsidRPr="008B183A">
        <w:rPr>
          <w:sz w:val="20"/>
          <w:szCs w:val="20"/>
          <w:lang w:val="en-GB"/>
        </w:rPr>
        <w:t>in which</w:t>
      </w:r>
      <w:r w:rsidRPr="0008442A">
        <w:rPr>
          <w:sz w:val="20"/>
          <w:szCs w:val="20"/>
          <w:lang w:val="en-GB"/>
        </w:rPr>
        <w:t xml:space="preserve"> the Committee, after examining article 263</w:t>
      </w:r>
      <w:r w:rsidR="00604476" w:rsidRPr="0008442A">
        <w:rPr>
          <w:sz w:val="20"/>
          <w:szCs w:val="20"/>
          <w:lang w:val="en-GB"/>
        </w:rPr>
        <w:t>(</w:t>
      </w:r>
      <w:r w:rsidRPr="0008442A">
        <w:rPr>
          <w:sz w:val="20"/>
          <w:szCs w:val="20"/>
          <w:lang w:val="en-GB"/>
        </w:rPr>
        <w:t>4</w:t>
      </w:r>
      <w:r w:rsidR="00604476" w:rsidRPr="0008442A">
        <w:rPr>
          <w:sz w:val="20"/>
          <w:szCs w:val="20"/>
          <w:lang w:val="en-GB"/>
        </w:rPr>
        <w:t xml:space="preserve">) and </w:t>
      </w:r>
      <w:r w:rsidRPr="0008442A">
        <w:rPr>
          <w:sz w:val="20"/>
          <w:szCs w:val="20"/>
          <w:lang w:val="en-GB"/>
        </w:rPr>
        <w:t>article 267 TF</w:t>
      </w:r>
      <w:r w:rsidR="00604476" w:rsidRPr="0008442A">
        <w:rPr>
          <w:sz w:val="20"/>
          <w:szCs w:val="20"/>
          <w:lang w:val="en-GB"/>
        </w:rPr>
        <w:t>EU</w:t>
      </w:r>
      <w:r w:rsidRPr="0008442A">
        <w:rPr>
          <w:sz w:val="20"/>
          <w:szCs w:val="20"/>
          <w:lang w:val="en-GB"/>
        </w:rPr>
        <w:t>, found that the Party concerned fails to comply with article 9</w:t>
      </w:r>
      <w:r w:rsidR="00DC1C43" w:rsidRPr="008B183A">
        <w:rPr>
          <w:sz w:val="20"/>
          <w:szCs w:val="20"/>
          <w:lang w:val="en-GB"/>
        </w:rPr>
        <w:t>(</w:t>
      </w:r>
      <w:r w:rsidRPr="0008442A">
        <w:rPr>
          <w:sz w:val="20"/>
          <w:szCs w:val="20"/>
          <w:lang w:val="en-GB"/>
        </w:rPr>
        <w:t>3</w:t>
      </w:r>
      <w:r w:rsidR="00DC1C43" w:rsidRPr="008B183A">
        <w:rPr>
          <w:sz w:val="20"/>
          <w:szCs w:val="20"/>
          <w:lang w:val="en-GB"/>
        </w:rPr>
        <w:t>)</w:t>
      </w:r>
      <w:r w:rsidRPr="0008442A">
        <w:rPr>
          <w:sz w:val="20"/>
          <w:szCs w:val="20"/>
          <w:lang w:val="en-GB"/>
        </w:rPr>
        <w:t xml:space="preserve"> and </w:t>
      </w:r>
      <w:r w:rsidR="00DC1C43" w:rsidRPr="008B183A">
        <w:rPr>
          <w:sz w:val="20"/>
          <w:szCs w:val="20"/>
          <w:lang w:val="en-GB"/>
        </w:rPr>
        <w:t>(</w:t>
      </w:r>
      <w:r w:rsidRPr="0008442A">
        <w:rPr>
          <w:sz w:val="20"/>
          <w:szCs w:val="20"/>
          <w:lang w:val="en-GB"/>
        </w:rPr>
        <w:t>4</w:t>
      </w:r>
      <w:r w:rsidR="00DC1C43" w:rsidRPr="008B183A">
        <w:rPr>
          <w:sz w:val="20"/>
          <w:szCs w:val="20"/>
          <w:lang w:val="en-GB"/>
        </w:rPr>
        <w:t>)</w:t>
      </w:r>
      <w:r w:rsidRPr="0008442A">
        <w:rPr>
          <w:sz w:val="20"/>
          <w:szCs w:val="20"/>
          <w:lang w:val="en-GB"/>
        </w:rPr>
        <w:t xml:space="preserve"> of the Convention with regard to access to justice by members of the public</w:t>
      </w:r>
      <w:r w:rsidRPr="008B183A">
        <w:rPr>
          <w:sz w:val="20"/>
          <w:szCs w:val="20"/>
          <w:lang w:val="en-GB"/>
        </w:rPr>
        <w:t>.</w:t>
      </w:r>
      <w:r w:rsidR="00A97626" w:rsidRPr="008B183A">
        <w:rPr>
          <w:rStyle w:val="FootnoteReference"/>
          <w:sz w:val="20"/>
          <w:szCs w:val="20"/>
          <w:lang w:val="en-GB"/>
        </w:rPr>
        <w:footnoteReference w:id="90"/>
      </w:r>
      <w:r w:rsidRPr="0008442A">
        <w:rPr>
          <w:sz w:val="20"/>
          <w:szCs w:val="20"/>
          <w:lang w:val="en-GB"/>
        </w:rPr>
        <w:t xml:space="preserve"> The Committee also </w:t>
      </w:r>
      <w:r w:rsidRPr="008B183A">
        <w:rPr>
          <w:sz w:val="20"/>
          <w:szCs w:val="20"/>
          <w:lang w:val="en-GB"/>
        </w:rPr>
        <w:t>note</w:t>
      </w:r>
      <w:r w:rsidR="00DC1C43" w:rsidRPr="008B183A">
        <w:rPr>
          <w:sz w:val="20"/>
          <w:szCs w:val="20"/>
          <w:lang w:val="en-GB"/>
        </w:rPr>
        <w:t>d</w:t>
      </w:r>
      <w:r w:rsidRPr="0008442A">
        <w:rPr>
          <w:sz w:val="20"/>
          <w:szCs w:val="20"/>
          <w:lang w:val="en-GB"/>
        </w:rPr>
        <w:t xml:space="preserve"> that </w:t>
      </w:r>
      <w:r w:rsidR="00604476" w:rsidRPr="0008442A">
        <w:rPr>
          <w:sz w:val="20"/>
          <w:szCs w:val="20"/>
          <w:lang w:val="en-GB"/>
        </w:rPr>
        <w:t>a</w:t>
      </w:r>
      <w:r w:rsidRPr="0008442A">
        <w:rPr>
          <w:sz w:val="20"/>
          <w:szCs w:val="20"/>
          <w:lang w:val="en-GB"/>
        </w:rPr>
        <w:t>rticle 277 TFEU does not provide a separate basis for legal standing and can only be used as an ancillary plea once an applicant has sufficiently accessed the European Union courts.</w:t>
      </w:r>
      <w:r w:rsidR="00DC1C43" w:rsidRPr="008B183A">
        <w:rPr>
          <w:rStyle w:val="FootnoteReference"/>
          <w:sz w:val="20"/>
          <w:szCs w:val="20"/>
          <w:lang w:val="en-GB"/>
        </w:rPr>
        <w:footnoteReference w:id="91"/>
      </w:r>
      <w:r w:rsidRPr="0008442A">
        <w:rPr>
          <w:sz w:val="20"/>
          <w:szCs w:val="20"/>
          <w:lang w:val="en-GB"/>
        </w:rPr>
        <w:t xml:space="preserve"> </w:t>
      </w:r>
    </w:p>
    <w:p w14:paraId="3DD9AA8C" w14:textId="77777777" w:rsidR="00604476" w:rsidRPr="0008442A" w:rsidRDefault="00604476" w:rsidP="00604476">
      <w:pPr>
        <w:pStyle w:val="ListParagraph"/>
        <w:ind w:left="1853"/>
        <w:jc w:val="both"/>
        <w:rPr>
          <w:sz w:val="20"/>
          <w:szCs w:val="20"/>
          <w:lang w:val="en-GB"/>
        </w:rPr>
      </w:pPr>
    </w:p>
    <w:p w14:paraId="151239FD" w14:textId="1EA12FB9" w:rsidR="00D40308" w:rsidRPr="0008442A" w:rsidRDefault="00D40308" w:rsidP="00DC1C43">
      <w:pPr>
        <w:pStyle w:val="ListParagraph"/>
        <w:numPr>
          <w:ilvl w:val="0"/>
          <w:numId w:val="3"/>
        </w:numPr>
        <w:tabs>
          <w:tab w:val="clear" w:pos="1853"/>
          <w:tab w:val="num" w:pos="1134"/>
          <w:tab w:val="num" w:pos="1277"/>
        </w:tabs>
        <w:ind w:left="1134" w:firstLine="0"/>
        <w:jc w:val="both"/>
        <w:rPr>
          <w:sz w:val="20"/>
          <w:szCs w:val="20"/>
          <w:lang w:val="en-GB"/>
        </w:rPr>
      </w:pPr>
      <w:proofErr w:type="gramStart"/>
      <w:r w:rsidRPr="0008442A">
        <w:rPr>
          <w:sz w:val="20"/>
          <w:szCs w:val="20"/>
          <w:lang w:val="en-GB"/>
        </w:rPr>
        <w:t>In light of</w:t>
      </w:r>
      <w:proofErr w:type="gramEnd"/>
      <w:r w:rsidRPr="0008442A">
        <w:rPr>
          <w:sz w:val="20"/>
          <w:szCs w:val="20"/>
          <w:lang w:val="en-GB"/>
        </w:rPr>
        <w:t xml:space="preserve"> </w:t>
      </w:r>
      <w:r w:rsidR="00DC1C43" w:rsidRPr="0008442A">
        <w:rPr>
          <w:sz w:val="20"/>
          <w:szCs w:val="20"/>
          <w:lang w:val="en-GB"/>
        </w:rPr>
        <w:t xml:space="preserve">the </w:t>
      </w:r>
      <w:r w:rsidR="00DC1C43" w:rsidRPr="008B183A">
        <w:rPr>
          <w:sz w:val="20"/>
          <w:szCs w:val="20"/>
          <w:lang w:val="en-GB"/>
        </w:rPr>
        <w:t xml:space="preserve">above </w:t>
      </w:r>
      <w:r w:rsidRPr="0008442A">
        <w:rPr>
          <w:sz w:val="20"/>
          <w:szCs w:val="20"/>
          <w:lang w:val="en-GB"/>
        </w:rPr>
        <w:t xml:space="preserve">findings, the </w:t>
      </w:r>
      <w:r w:rsidR="00DC1C43" w:rsidRPr="008B183A">
        <w:rPr>
          <w:sz w:val="20"/>
          <w:szCs w:val="20"/>
          <w:lang w:val="en-GB"/>
        </w:rPr>
        <w:t xml:space="preserve">Committee considers that, </w:t>
      </w:r>
      <w:r w:rsidR="00A14FEF" w:rsidRPr="008B183A">
        <w:rPr>
          <w:sz w:val="20"/>
          <w:szCs w:val="20"/>
          <w:lang w:val="en-GB"/>
        </w:rPr>
        <w:t>with respect</w:t>
      </w:r>
      <w:r w:rsidR="00DC1C43" w:rsidRPr="008B183A">
        <w:rPr>
          <w:sz w:val="20"/>
          <w:szCs w:val="20"/>
          <w:lang w:val="en-GB"/>
        </w:rPr>
        <w:t xml:space="preserve"> to the specific allegations </w:t>
      </w:r>
      <w:r w:rsidR="00A14FEF" w:rsidRPr="008B183A">
        <w:rPr>
          <w:sz w:val="20"/>
          <w:szCs w:val="20"/>
          <w:lang w:val="en-GB"/>
        </w:rPr>
        <w:t>made in this case,</w:t>
      </w:r>
      <w:r w:rsidR="00DC1C43" w:rsidRPr="008B183A">
        <w:rPr>
          <w:sz w:val="20"/>
          <w:szCs w:val="20"/>
          <w:lang w:val="en-GB"/>
        </w:rPr>
        <w:t xml:space="preserve"> the </w:t>
      </w:r>
      <w:r w:rsidRPr="0008442A">
        <w:rPr>
          <w:sz w:val="20"/>
          <w:szCs w:val="20"/>
          <w:lang w:val="en-GB"/>
        </w:rPr>
        <w:t xml:space="preserve">communicant </w:t>
      </w:r>
      <w:r w:rsidR="00C775D0">
        <w:rPr>
          <w:sz w:val="20"/>
          <w:szCs w:val="20"/>
          <w:lang w:val="en-GB"/>
        </w:rPr>
        <w:t>can</w:t>
      </w:r>
      <w:r w:rsidR="00DC1C43" w:rsidRPr="008B183A">
        <w:rPr>
          <w:sz w:val="20"/>
          <w:szCs w:val="20"/>
          <w:lang w:val="en-GB"/>
        </w:rPr>
        <w:t>not</w:t>
      </w:r>
      <w:r w:rsidR="00DC1C43" w:rsidRPr="0008442A">
        <w:rPr>
          <w:sz w:val="20"/>
          <w:szCs w:val="20"/>
          <w:lang w:val="en-GB"/>
        </w:rPr>
        <w:t xml:space="preserve"> </w:t>
      </w:r>
      <w:r w:rsidR="00762626" w:rsidRPr="0008442A">
        <w:rPr>
          <w:sz w:val="20"/>
          <w:szCs w:val="20"/>
          <w:lang w:val="en-GB"/>
        </w:rPr>
        <w:t xml:space="preserve">be </w:t>
      </w:r>
      <w:r w:rsidR="00DC1C43" w:rsidRPr="008B183A">
        <w:rPr>
          <w:sz w:val="20"/>
          <w:szCs w:val="20"/>
          <w:lang w:val="en-GB"/>
        </w:rPr>
        <w:t>required</w:t>
      </w:r>
      <w:r w:rsidR="00DC1C43" w:rsidRPr="0008442A">
        <w:rPr>
          <w:sz w:val="20"/>
          <w:szCs w:val="20"/>
          <w:lang w:val="en-GB"/>
        </w:rPr>
        <w:t xml:space="preserve"> </w:t>
      </w:r>
      <w:r w:rsidRPr="0008442A">
        <w:rPr>
          <w:sz w:val="20"/>
          <w:szCs w:val="20"/>
          <w:lang w:val="en-GB"/>
        </w:rPr>
        <w:t xml:space="preserve">to </w:t>
      </w:r>
      <w:r w:rsidR="00A14FEF" w:rsidRPr="008B183A">
        <w:rPr>
          <w:sz w:val="20"/>
          <w:szCs w:val="20"/>
          <w:lang w:val="en-GB"/>
        </w:rPr>
        <w:t>exhaust</w:t>
      </w:r>
      <w:r w:rsidR="00DC1C43" w:rsidRPr="008B183A">
        <w:rPr>
          <w:sz w:val="20"/>
          <w:szCs w:val="20"/>
          <w:lang w:val="en-GB"/>
        </w:rPr>
        <w:t xml:space="preserve"> procedures</w:t>
      </w:r>
      <w:r w:rsidR="00DC1C43" w:rsidRPr="0008442A">
        <w:rPr>
          <w:sz w:val="20"/>
          <w:szCs w:val="20"/>
          <w:lang w:val="en-GB"/>
        </w:rPr>
        <w:t xml:space="preserve"> which </w:t>
      </w:r>
      <w:r w:rsidR="00DC1C43" w:rsidRPr="008B183A">
        <w:rPr>
          <w:sz w:val="20"/>
          <w:szCs w:val="20"/>
          <w:lang w:val="en-GB"/>
        </w:rPr>
        <w:t xml:space="preserve">the Committee </w:t>
      </w:r>
      <w:r w:rsidR="00DC1C43" w:rsidRPr="0008442A">
        <w:rPr>
          <w:sz w:val="20"/>
          <w:szCs w:val="20"/>
          <w:lang w:val="en-GB"/>
        </w:rPr>
        <w:t xml:space="preserve">has </w:t>
      </w:r>
      <w:r w:rsidR="00DC1C43" w:rsidRPr="008B183A">
        <w:rPr>
          <w:sz w:val="20"/>
          <w:szCs w:val="20"/>
          <w:lang w:val="en-GB"/>
        </w:rPr>
        <w:t>already</w:t>
      </w:r>
      <w:r w:rsidR="00DC1C43" w:rsidRPr="0008442A">
        <w:rPr>
          <w:sz w:val="20"/>
          <w:szCs w:val="20"/>
          <w:lang w:val="en-GB"/>
        </w:rPr>
        <w:t xml:space="preserve"> found </w:t>
      </w:r>
      <w:r w:rsidR="00DC1C43" w:rsidRPr="008B183A">
        <w:rPr>
          <w:sz w:val="20"/>
          <w:szCs w:val="20"/>
          <w:lang w:val="en-GB"/>
        </w:rPr>
        <w:t>do not meet</w:t>
      </w:r>
      <w:r w:rsidR="00DC1C43" w:rsidRPr="0008442A">
        <w:rPr>
          <w:sz w:val="20"/>
          <w:szCs w:val="20"/>
          <w:lang w:val="en-GB"/>
        </w:rPr>
        <w:t xml:space="preserve"> the </w:t>
      </w:r>
      <w:r w:rsidR="00DC1C43" w:rsidRPr="008B183A">
        <w:rPr>
          <w:sz w:val="20"/>
          <w:szCs w:val="20"/>
          <w:lang w:val="en-GB"/>
        </w:rPr>
        <w:t>requirements of the Convention</w:t>
      </w:r>
      <w:r w:rsidRPr="008B183A">
        <w:rPr>
          <w:sz w:val="20"/>
          <w:szCs w:val="20"/>
          <w:lang w:val="en-GB"/>
        </w:rPr>
        <w:t xml:space="preserve">.  </w:t>
      </w:r>
      <w:r w:rsidR="00DC1C43" w:rsidRPr="008B183A">
        <w:rPr>
          <w:sz w:val="20"/>
          <w:szCs w:val="20"/>
          <w:lang w:val="en-GB"/>
        </w:rPr>
        <w:t>T</w:t>
      </w:r>
      <w:r w:rsidRPr="008B183A">
        <w:rPr>
          <w:sz w:val="20"/>
          <w:szCs w:val="20"/>
          <w:lang w:val="en-GB"/>
        </w:rPr>
        <w:t xml:space="preserve">he </w:t>
      </w:r>
      <w:r w:rsidRPr="0008442A">
        <w:rPr>
          <w:sz w:val="20"/>
          <w:szCs w:val="20"/>
          <w:lang w:val="en-GB"/>
        </w:rPr>
        <w:t xml:space="preserve">Committee </w:t>
      </w:r>
      <w:r w:rsidR="00DC1C43" w:rsidRPr="008B183A">
        <w:rPr>
          <w:sz w:val="20"/>
          <w:szCs w:val="20"/>
          <w:lang w:val="en-GB"/>
        </w:rPr>
        <w:t>accordingly finds</w:t>
      </w:r>
      <w:r w:rsidRPr="0008442A">
        <w:rPr>
          <w:sz w:val="20"/>
          <w:szCs w:val="20"/>
          <w:lang w:val="en-GB"/>
        </w:rPr>
        <w:t xml:space="preserve"> the communication to be admissible.</w:t>
      </w:r>
    </w:p>
    <w:p w14:paraId="54C766D6" w14:textId="4101539F" w:rsidR="00E35A60" w:rsidRDefault="00E35A60" w:rsidP="00E35A60">
      <w:pPr>
        <w:pStyle w:val="ListParagraph"/>
        <w:ind w:left="1853"/>
        <w:rPr>
          <w:sz w:val="20"/>
          <w:lang w:val="en-GB"/>
        </w:rPr>
      </w:pPr>
    </w:p>
    <w:p w14:paraId="6AF1D9D8" w14:textId="5B3F2090" w:rsidR="00713D7C" w:rsidRDefault="00713D7C" w:rsidP="00E35A60">
      <w:pPr>
        <w:pStyle w:val="ListParagraph"/>
        <w:ind w:left="1853"/>
        <w:rPr>
          <w:sz w:val="20"/>
          <w:lang w:val="en-GB"/>
        </w:rPr>
      </w:pPr>
    </w:p>
    <w:p w14:paraId="1FD12023" w14:textId="77777777" w:rsidR="00713D7C" w:rsidRPr="0008442A" w:rsidRDefault="00713D7C" w:rsidP="00E35A60">
      <w:pPr>
        <w:pStyle w:val="ListParagraph"/>
        <w:ind w:left="1853"/>
        <w:rPr>
          <w:sz w:val="20"/>
          <w:lang w:val="en-GB"/>
        </w:rPr>
      </w:pPr>
    </w:p>
    <w:p w14:paraId="37B35DF7" w14:textId="0B23D41A" w:rsidR="00D97914" w:rsidRPr="0008442A" w:rsidRDefault="00D97914" w:rsidP="00E35A60">
      <w:pPr>
        <w:pStyle w:val="SingleTxtG"/>
        <w:autoSpaceDE w:val="0"/>
        <w:autoSpaceDN w:val="0"/>
        <w:adjustRightInd w:val="0"/>
        <w:ind w:left="567" w:right="0" w:firstLine="567"/>
        <w:outlineLvl w:val="0"/>
        <w:rPr>
          <w:b/>
          <w:sz w:val="20"/>
          <w:lang w:val="en-GB"/>
        </w:rPr>
      </w:pPr>
      <w:r w:rsidRPr="0008442A">
        <w:rPr>
          <w:b/>
          <w:sz w:val="20"/>
          <w:lang w:val="en-GB"/>
        </w:rPr>
        <w:lastRenderedPageBreak/>
        <w:t xml:space="preserve">Scope of </w:t>
      </w:r>
      <w:r w:rsidRPr="008B183A">
        <w:rPr>
          <w:b/>
          <w:sz w:val="20"/>
          <w:szCs w:val="20"/>
          <w:lang w:val="en-GB"/>
        </w:rPr>
        <w:t>consideration</w:t>
      </w:r>
    </w:p>
    <w:p w14:paraId="77289E79" w14:textId="1C50047A" w:rsidR="005C75FD" w:rsidRPr="0008442A" w:rsidRDefault="00F41510" w:rsidP="00A14FEF">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T</w:t>
      </w:r>
      <w:r w:rsidR="00DC35A8" w:rsidRPr="0008442A">
        <w:rPr>
          <w:sz w:val="20"/>
          <w:lang w:val="en-GB"/>
        </w:rPr>
        <w:t>he communicant</w:t>
      </w:r>
      <w:r w:rsidR="00451D98" w:rsidRPr="0008442A">
        <w:rPr>
          <w:sz w:val="20"/>
          <w:lang w:val="en-GB"/>
        </w:rPr>
        <w:t xml:space="preserve"> and the Party concerned</w:t>
      </w:r>
      <w:r w:rsidR="00DC35A8" w:rsidRPr="0008442A">
        <w:rPr>
          <w:sz w:val="20"/>
          <w:lang w:val="en-GB"/>
        </w:rPr>
        <w:t xml:space="preserve"> </w:t>
      </w:r>
      <w:r w:rsidRPr="0008442A">
        <w:rPr>
          <w:sz w:val="20"/>
          <w:lang w:val="en-GB"/>
        </w:rPr>
        <w:t>have exchanged arguments regarding</w:t>
      </w:r>
      <w:r w:rsidR="00DC35A8" w:rsidRPr="0008442A">
        <w:rPr>
          <w:sz w:val="20"/>
          <w:lang w:val="en-GB"/>
        </w:rPr>
        <w:t xml:space="preserve"> article 25 of the IED</w:t>
      </w:r>
      <w:r w:rsidR="00673156" w:rsidRPr="0008442A">
        <w:rPr>
          <w:sz w:val="20"/>
          <w:lang w:val="en-GB"/>
        </w:rPr>
        <w:t>,</w:t>
      </w:r>
      <w:r w:rsidR="00DC35A8" w:rsidRPr="0008442A">
        <w:rPr>
          <w:sz w:val="20"/>
          <w:lang w:val="en-GB"/>
        </w:rPr>
        <w:t xml:space="preserve"> which concerns access to justice</w:t>
      </w:r>
      <w:r w:rsidR="00D97914" w:rsidRPr="0008442A">
        <w:rPr>
          <w:sz w:val="20"/>
          <w:lang w:val="en-GB"/>
        </w:rPr>
        <w:t>.</w:t>
      </w:r>
      <w:r w:rsidR="00DC35A8" w:rsidRPr="0008442A">
        <w:rPr>
          <w:sz w:val="20"/>
          <w:lang w:val="en-GB"/>
        </w:rPr>
        <w:t xml:space="preserve"> However, since the communicant has not alleged that </w:t>
      </w:r>
      <w:r w:rsidR="00A14FEF" w:rsidRPr="008B183A">
        <w:rPr>
          <w:sz w:val="20"/>
          <w:szCs w:val="20"/>
          <w:lang w:val="en-GB"/>
        </w:rPr>
        <w:t>article 25 of the IED fails to comply</w:t>
      </w:r>
      <w:r w:rsidR="00A14FEF" w:rsidRPr="0008442A">
        <w:rPr>
          <w:sz w:val="20"/>
          <w:lang w:val="en-GB"/>
        </w:rPr>
        <w:t xml:space="preserve"> with </w:t>
      </w:r>
      <w:r w:rsidR="00A14FEF" w:rsidRPr="008B183A">
        <w:rPr>
          <w:sz w:val="20"/>
          <w:szCs w:val="20"/>
          <w:lang w:val="en-GB"/>
        </w:rPr>
        <w:t xml:space="preserve">article 9 of </w:t>
      </w:r>
      <w:r w:rsidR="00A14FEF" w:rsidRPr="0008442A">
        <w:rPr>
          <w:sz w:val="20"/>
          <w:lang w:val="en-GB"/>
        </w:rPr>
        <w:t>the Convention</w:t>
      </w:r>
      <w:r w:rsidR="00DC35A8" w:rsidRPr="008B183A">
        <w:rPr>
          <w:sz w:val="20"/>
          <w:szCs w:val="20"/>
          <w:lang w:val="en-GB"/>
        </w:rPr>
        <w:t xml:space="preserve">, </w:t>
      </w:r>
      <w:r w:rsidR="0074353C">
        <w:rPr>
          <w:sz w:val="20"/>
          <w:szCs w:val="20"/>
          <w:lang w:val="en-GB"/>
        </w:rPr>
        <w:t>the Committee will not examine the compliance of article 25 in the context of</w:t>
      </w:r>
      <w:r w:rsidR="00A14FEF" w:rsidRPr="008B183A">
        <w:rPr>
          <w:sz w:val="20"/>
          <w:szCs w:val="20"/>
          <w:lang w:val="en-GB"/>
        </w:rPr>
        <w:t xml:space="preserve"> this case</w:t>
      </w:r>
      <w:r w:rsidR="00DC35A8" w:rsidRPr="0008442A">
        <w:rPr>
          <w:sz w:val="20"/>
          <w:lang w:val="en-GB"/>
        </w:rPr>
        <w:t xml:space="preserve">. </w:t>
      </w:r>
    </w:p>
    <w:p w14:paraId="6C548EAD" w14:textId="175E3FE5" w:rsidR="00D97914" w:rsidRPr="0008442A" w:rsidRDefault="0098150F" w:rsidP="002D1939">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 xml:space="preserve">The Committee notes with interest the submission of the Party concerned </w:t>
      </w:r>
      <w:r w:rsidR="006B0C94" w:rsidRPr="008B183A">
        <w:rPr>
          <w:sz w:val="20"/>
          <w:szCs w:val="20"/>
          <w:lang w:val="en-GB"/>
        </w:rPr>
        <w:t xml:space="preserve">(see </w:t>
      </w:r>
      <w:r w:rsidRPr="008B183A">
        <w:rPr>
          <w:sz w:val="20"/>
          <w:szCs w:val="20"/>
          <w:lang w:val="en-GB"/>
        </w:rPr>
        <w:t>para</w:t>
      </w:r>
      <w:r w:rsidR="001A3B10">
        <w:rPr>
          <w:sz w:val="20"/>
          <w:szCs w:val="20"/>
          <w:lang w:val="en-GB"/>
        </w:rPr>
        <w:t>s</w:t>
      </w:r>
      <w:r w:rsidR="006B0C94" w:rsidRPr="008B183A">
        <w:rPr>
          <w:sz w:val="20"/>
          <w:szCs w:val="20"/>
          <w:lang w:val="en-GB"/>
        </w:rPr>
        <w:t>.</w:t>
      </w:r>
      <w:r w:rsidR="006B0C94" w:rsidRPr="0008442A">
        <w:rPr>
          <w:sz w:val="20"/>
          <w:lang w:val="en-GB"/>
        </w:rPr>
        <w:t xml:space="preserve"> </w:t>
      </w:r>
      <w:r w:rsidR="001A3B10">
        <w:rPr>
          <w:sz w:val="20"/>
          <w:lang w:val="en-GB"/>
        </w:rPr>
        <w:fldChar w:fldCharType="begin"/>
      </w:r>
      <w:r w:rsidR="001A3B10">
        <w:rPr>
          <w:sz w:val="20"/>
          <w:lang w:val="en-GB"/>
        </w:rPr>
        <w:instrText xml:space="preserve"> REF _Ref507847844 \r \h </w:instrText>
      </w:r>
      <w:r w:rsidR="001A3B10">
        <w:rPr>
          <w:sz w:val="20"/>
          <w:lang w:val="en-GB"/>
        </w:rPr>
      </w:r>
      <w:r w:rsidR="001A3B10">
        <w:rPr>
          <w:sz w:val="20"/>
          <w:lang w:val="en-GB"/>
        </w:rPr>
        <w:fldChar w:fldCharType="separate"/>
      </w:r>
      <w:r w:rsidR="00C775D0">
        <w:rPr>
          <w:sz w:val="20"/>
          <w:lang w:val="en-GB"/>
        </w:rPr>
        <w:t>72</w:t>
      </w:r>
      <w:r w:rsidR="001A3B10">
        <w:rPr>
          <w:sz w:val="20"/>
          <w:lang w:val="en-GB"/>
        </w:rPr>
        <w:fldChar w:fldCharType="end"/>
      </w:r>
      <w:r w:rsidR="001A3B10">
        <w:rPr>
          <w:sz w:val="20"/>
          <w:lang w:val="en-GB"/>
        </w:rPr>
        <w:t>-</w:t>
      </w:r>
      <w:r w:rsidR="00181D78">
        <w:rPr>
          <w:sz w:val="20"/>
          <w:lang w:val="en-GB"/>
        </w:rPr>
        <w:fldChar w:fldCharType="begin"/>
      </w:r>
      <w:r w:rsidR="00181D78">
        <w:rPr>
          <w:sz w:val="20"/>
          <w:lang w:val="en-GB"/>
        </w:rPr>
        <w:instrText xml:space="preserve"> REF _Ref510774156 \r \h </w:instrText>
      </w:r>
      <w:r w:rsidR="00181D78">
        <w:rPr>
          <w:sz w:val="20"/>
          <w:lang w:val="en-GB"/>
        </w:rPr>
      </w:r>
      <w:r w:rsidR="00181D78">
        <w:rPr>
          <w:sz w:val="20"/>
          <w:lang w:val="en-GB"/>
        </w:rPr>
        <w:fldChar w:fldCharType="separate"/>
      </w:r>
      <w:r w:rsidR="00C775D0">
        <w:rPr>
          <w:sz w:val="20"/>
          <w:lang w:val="en-GB"/>
        </w:rPr>
        <w:t>73</w:t>
      </w:r>
      <w:r w:rsidR="00181D78">
        <w:rPr>
          <w:sz w:val="20"/>
          <w:lang w:val="en-GB"/>
        </w:rPr>
        <w:fldChar w:fldCharType="end"/>
      </w:r>
      <w:r w:rsidRPr="0008442A">
        <w:rPr>
          <w:sz w:val="20"/>
          <w:lang w:val="en-GB"/>
        </w:rPr>
        <w:t xml:space="preserve"> above</w:t>
      </w:r>
      <w:r w:rsidR="006B0C94" w:rsidRPr="008B183A">
        <w:rPr>
          <w:sz w:val="20"/>
          <w:szCs w:val="20"/>
          <w:lang w:val="en-GB"/>
        </w:rPr>
        <w:t>)</w:t>
      </w:r>
      <w:r w:rsidRPr="0008442A">
        <w:rPr>
          <w:sz w:val="20"/>
          <w:lang w:val="en-GB"/>
        </w:rPr>
        <w:t xml:space="preserve"> that the requirements regarding access to justice based on article 9(2) of the Convention apply to all procedures of granting, reconsideration or updating of a permit, and not only to those listed in article 24</w:t>
      </w:r>
      <w:r w:rsidR="006B0C94" w:rsidRPr="008B183A">
        <w:rPr>
          <w:sz w:val="20"/>
          <w:szCs w:val="20"/>
          <w:lang w:val="en-GB"/>
        </w:rPr>
        <w:t>(</w:t>
      </w:r>
      <w:r w:rsidRPr="0008442A">
        <w:rPr>
          <w:sz w:val="20"/>
          <w:lang w:val="en-GB"/>
        </w:rPr>
        <w:t>1</w:t>
      </w:r>
      <w:r w:rsidR="006B0C94" w:rsidRPr="008B183A">
        <w:rPr>
          <w:sz w:val="20"/>
          <w:szCs w:val="20"/>
          <w:lang w:val="en-GB"/>
        </w:rPr>
        <w:t>) of the IED</w:t>
      </w:r>
      <w:r w:rsidRPr="0008442A">
        <w:rPr>
          <w:sz w:val="20"/>
          <w:lang w:val="en-GB"/>
        </w:rPr>
        <w:t xml:space="preserve">. </w:t>
      </w:r>
      <w:r w:rsidR="0074353C">
        <w:rPr>
          <w:sz w:val="20"/>
          <w:lang w:val="en-GB"/>
        </w:rPr>
        <w:t>The Committee</w:t>
      </w:r>
      <w:r w:rsidR="00181D78">
        <w:rPr>
          <w:sz w:val="20"/>
          <w:lang w:val="en-GB"/>
        </w:rPr>
        <w:t xml:space="preserve">, without </w:t>
      </w:r>
      <w:proofErr w:type="gramStart"/>
      <w:r w:rsidR="00181D78">
        <w:rPr>
          <w:sz w:val="20"/>
          <w:lang w:val="en-GB"/>
        </w:rPr>
        <w:t>entering into</w:t>
      </w:r>
      <w:proofErr w:type="gramEnd"/>
      <w:r w:rsidR="00181D78">
        <w:rPr>
          <w:sz w:val="20"/>
          <w:lang w:val="en-GB"/>
        </w:rPr>
        <w:t xml:space="preserve"> the merits of the issue,</w:t>
      </w:r>
      <w:r w:rsidR="0074353C">
        <w:rPr>
          <w:sz w:val="20"/>
          <w:lang w:val="en-GB"/>
        </w:rPr>
        <w:t xml:space="preserve"> </w:t>
      </w:r>
      <w:r w:rsidRPr="0008442A">
        <w:rPr>
          <w:sz w:val="20"/>
          <w:lang w:val="en-GB"/>
        </w:rPr>
        <w:t xml:space="preserve">emphasizes </w:t>
      </w:r>
      <w:r w:rsidR="00546526">
        <w:rPr>
          <w:sz w:val="20"/>
          <w:lang w:val="en-GB"/>
        </w:rPr>
        <w:t xml:space="preserve">however </w:t>
      </w:r>
      <w:r w:rsidRPr="0008442A">
        <w:rPr>
          <w:sz w:val="20"/>
          <w:lang w:val="en-GB"/>
        </w:rPr>
        <w:t>that, contrary to what the Party concerned appears to suggest</w:t>
      </w:r>
      <w:r w:rsidRPr="008B183A">
        <w:rPr>
          <w:sz w:val="20"/>
          <w:szCs w:val="20"/>
          <w:lang w:val="en-GB"/>
        </w:rPr>
        <w:t>,</w:t>
      </w:r>
      <w:r w:rsidRPr="0008442A">
        <w:rPr>
          <w:sz w:val="20"/>
          <w:lang w:val="en-GB"/>
        </w:rPr>
        <w:t xml:space="preserve"> </w:t>
      </w:r>
      <w:r w:rsidR="00546526">
        <w:rPr>
          <w:sz w:val="20"/>
          <w:lang w:val="en-GB"/>
        </w:rPr>
        <w:t>p</w:t>
      </w:r>
      <w:r w:rsidRPr="0008442A">
        <w:rPr>
          <w:sz w:val="20"/>
          <w:lang w:val="en-GB"/>
        </w:rPr>
        <w:t>roviding the public with access to justice cannot compensate for failing to comply with the requirements of articles 6, 7 or 8, of the Convention.</w:t>
      </w:r>
    </w:p>
    <w:p w14:paraId="02F27378" w14:textId="64FE6977" w:rsidR="00F22630" w:rsidRPr="0008442A" w:rsidRDefault="00611395" w:rsidP="006A5D08">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The allegations regarding</w:t>
      </w:r>
      <w:r w:rsidR="00DE6EB3" w:rsidRPr="0008442A">
        <w:rPr>
          <w:sz w:val="20"/>
          <w:lang w:val="en-GB"/>
        </w:rPr>
        <w:t xml:space="preserve"> procedures </w:t>
      </w:r>
      <w:r w:rsidRPr="0008442A">
        <w:rPr>
          <w:sz w:val="20"/>
          <w:lang w:val="en-GB"/>
        </w:rPr>
        <w:t>for</w:t>
      </w:r>
      <w:r w:rsidR="00DE6EB3" w:rsidRPr="0008442A">
        <w:rPr>
          <w:sz w:val="20"/>
          <w:lang w:val="en-GB"/>
        </w:rPr>
        <w:t xml:space="preserve"> optional derogations in chapter III of the IED</w:t>
      </w:r>
      <w:r w:rsidRPr="0008442A">
        <w:rPr>
          <w:sz w:val="20"/>
          <w:lang w:val="en-GB"/>
        </w:rPr>
        <w:t>,</w:t>
      </w:r>
      <w:r w:rsidR="00DE6EB3" w:rsidRPr="0008442A">
        <w:rPr>
          <w:sz w:val="20"/>
          <w:lang w:val="en-GB"/>
        </w:rPr>
        <w:t xml:space="preserve"> </w:t>
      </w:r>
      <w:r w:rsidR="00414201" w:rsidRPr="0008442A">
        <w:rPr>
          <w:sz w:val="20"/>
          <w:lang w:val="en-GB"/>
        </w:rPr>
        <w:t xml:space="preserve">and environmental inspection plans under article 23 of </w:t>
      </w:r>
      <w:r w:rsidRPr="0008442A">
        <w:rPr>
          <w:sz w:val="20"/>
          <w:lang w:val="en-GB"/>
        </w:rPr>
        <w:t xml:space="preserve">the </w:t>
      </w:r>
      <w:r w:rsidR="00414201" w:rsidRPr="0008442A">
        <w:rPr>
          <w:sz w:val="20"/>
          <w:lang w:val="en-GB"/>
        </w:rPr>
        <w:t>IED</w:t>
      </w:r>
      <w:r w:rsidR="00DE6EB3" w:rsidRPr="0008442A">
        <w:rPr>
          <w:sz w:val="20"/>
          <w:lang w:val="en-GB"/>
        </w:rPr>
        <w:t xml:space="preserve">, </w:t>
      </w:r>
      <w:r w:rsidR="0038101B" w:rsidRPr="0008442A">
        <w:rPr>
          <w:sz w:val="20"/>
          <w:lang w:val="en-GB"/>
        </w:rPr>
        <w:t xml:space="preserve">were raised </w:t>
      </w:r>
      <w:r w:rsidR="00931B92" w:rsidRPr="0008442A">
        <w:rPr>
          <w:sz w:val="20"/>
          <w:lang w:val="en-GB"/>
        </w:rPr>
        <w:t xml:space="preserve">by the communicant </w:t>
      </w:r>
      <w:r w:rsidRPr="0008442A">
        <w:rPr>
          <w:sz w:val="20"/>
          <w:lang w:val="en-GB"/>
        </w:rPr>
        <w:t>in</w:t>
      </w:r>
      <w:r w:rsidR="0038101B" w:rsidRPr="0008442A">
        <w:rPr>
          <w:sz w:val="20"/>
          <w:lang w:val="en-GB"/>
        </w:rPr>
        <w:t xml:space="preserve"> </w:t>
      </w:r>
      <w:r w:rsidR="00931B92" w:rsidRPr="0008442A">
        <w:rPr>
          <w:sz w:val="20"/>
          <w:lang w:val="en-GB"/>
        </w:rPr>
        <w:t xml:space="preserve">its </w:t>
      </w:r>
      <w:r w:rsidR="005F63DE" w:rsidRPr="0008442A">
        <w:rPr>
          <w:sz w:val="20"/>
          <w:lang w:val="en-GB"/>
        </w:rPr>
        <w:t>final written submissions</w:t>
      </w:r>
      <w:r w:rsidR="00931B92" w:rsidRPr="0008442A">
        <w:rPr>
          <w:sz w:val="20"/>
          <w:lang w:val="en-GB"/>
        </w:rPr>
        <w:t xml:space="preserve">. </w:t>
      </w:r>
      <w:r w:rsidRPr="0008442A">
        <w:rPr>
          <w:sz w:val="20"/>
          <w:lang w:val="en-GB"/>
        </w:rPr>
        <w:t>Accordingly,</w:t>
      </w:r>
      <w:r w:rsidR="0038101B" w:rsidRPr="0008442A">
        <w:rPr>
          <w:sz w:val="20"/>
          <w:lang w:val="en-GB"/>
        </w:rPr>
        <w:t xml:space="preserve"> the </w:t>
      </w:r>
      <w:r w:rsidR="00931B92" w:rsidRPr="0008442A">
        <w:rPr>
          <w:sz w:val="20"/>
          <w:lang w:val="en-GB"/>
        </w:rPr>
        <w:t xml:space="preserve">Party concerned has not had a proper opportunity to respond to them and the </w:t>
      </w:r>
      <w:r w:rsidR="0038101B" w:rsidRPr="0008442A">
        <w:rPr>
          <w:sz w:val="20"/>
          <w:lang w:val="en-GB"/>
        </w:rPr>
        <w:t xml:space="preserve">Committee </w:t>
      </w:r>
      <w:r w:rsidR="00931B92" w:rsidRPr="0008442A">
        <w:rPr>
          <w:sz w:val="20"/>
          <w:lang w:val="en-GB"/>
        </w:rPr>
        <w:t xml:space="preserve">thus </w:t>
      </w:r>
      <w:r w:rsidR="008873EB" w:rsidRPr="0008442A">
        <w:rPr>
          <w:sz w:val="20"/>
          <w:lang w:val="en-GB"/>
        </w:rPr>
        <w:t>will not examine them in this case</w:t>
      </w:r>
      <w:r w:rsidR="0038101B" w:rsidRPr="0008442A">
        <w:rPr>
          <w:sz w:val="20"/>
          <w:lang w:val="en-GB"/>
        </w:rPr>
        <w:t>.</w:t>
      </w:r>
    </w:p>
    <w:p w14:paraId="2A44765F" w14:textId="228555E7" w:rsidR="00250D86" w:rsidRPr="0008442A" w:rsidRDefault="003340BC" w:rsidP="006A5D08">
      <w:pPr>
        <w:pStyle w:val="SingleTxtG"/>
        <w:numPr>
          <w:ilvl w:val="0"/>
          <w:numId w:val="3"/>
        </w:numPr>
        <w:tabs>
          <w:tab w:val="clear" w:pos="1853"/>
          <w:tab w:val="num" w:pos="1701"/>
        </w:tabs>
        <w:autoSpaceDE w:val="0"/>
        <w:autoSpaceDN w:val="0"/>
        <w:adjustRightInd w:val="0"/>
        <w:ind w:left="1134" w:right="0" w:firstLine="0"/>
        <w:rPr>
          <w:sz w:val="20"/>
          <w:lang w:val="en-GB"/>
        </w:rPr>
      </w:pPr>
      <w:r>
        <w:rPr>
          <w:sz w:val="20"/>
          <w:lang w:val="en-GB"/>
        </w:rPr>
        <w:t>T</w:t>
      </w:r>
      <w:r w:rsidR="006E573C">
        <w:rPr>
          <w:sz w:val="20"/>
          <w:lang w:val="en-GB"/>
        </w:rPr>
        <w:t xml:space="preserve">he Committee notes that the communicant has not challenged the </w:t>
      </w:r>
      <w:r w:rsidR="00F87856" w:rsidRPr="0008442A">
        <w:rPr>
          <w:sz w:val="20"/>
          <w:lang w:val="en-GB"/>
        </w:rPr>
        <w:t xml:space="preserve">procedural requirements regarding public participation envisaged in </w:t>
      </w:r>
      <w:r w:rsidR="00912407">
        <w:rPr>
          <w:sz w:val="20"/>
          <w:lang w:val="en-GB"/>
        </w:rPr>
        <w:t xml:space="preserve">the </w:t>
      </w:r>
      <w:r w:rsidR="00F87856" w:rsidRPr="0008442A">
        <w:rPr>
          <w:sz w:val="20"/>
          <w:lang w:val="en-GB"/>
        </w:rPr>
        <w:t xml:space="preserve">IED and </w:t>
      </w:r>
      <w:proofErr w:type="gramStart"/>
      <w:r w:rsidR="00F87856" w:rsidRPr="0008442A">
        <w:rPr>
          <w:sz w:val="20"/>
          <w:lang w:val="en-GB"/>
        </w:rPr>
        <w:t>in particular its</w:t>
      </w:r>
      <w:proofErr w:type="gramEnd"/>
      <w:r w:rsidR="00F87856" w:rsidRPr="0008442A">
        <w:rPr>
          <w:sz w:val="20"/>
          <w:lang w:val="en-GB"/>
        </w:rPr>
        <w:t xml:space="preserve"> </w:t>
      </w:r>
      <w:r w:rsidR="00CD28C3" w:rsidRPr="0008442A">
        <w:rPr>
          <w:sz w:val="20"/>
          <w:lang w:val="en-GB"/>
        </w:rPr>
        <w:t>a</w:t>
      </w:r>
      <w:r w:rsidR="00F87856" w:rsidRPr="0008442A">
        <w:rPr>
          <w:sz w:val="20"/>
          <w:lang w:val="en-GB"/>
        </w:rPr>
        <w:t>nnex IV</w:t>
      </w:r>
      <w:r w:rsidR="006E573C">
        <w:rPr>
          <w:sz w:val="20"/>
          <w:lang w:val="en-GB"/>
        </w:rPr>
        <w:t xml:space="preserve"> and thus the</w:t>
      </w:r>
      <w:r w:rsidR="00AF6AFE">
        <w:rPr>
          <w:sz w:val="20"/>
          <w:lang w:val="en-GB"/>
        </w:rPr>
        <w:t xml:space="preserve"> Committee</w:t>
      </w:r>
      <w:r w:rsidR="006E573C">
        <w:rPr>
          <w:sz w:val="20"/>
          <w:lang w:val="en-GB"/>
        </w:rPr>
        <w:t xml:space="preserve"> will not examine</w:t>
      </w:r>
      <w:r w:rsidR="00AF6AFE">
        <w:rPr>
          <w:sz w:val="20"/>
          <w:lang w:val="en-GB"/>
        </w:rPr>
        <w:t xml:space="preserve"> them </w:t>
      </w:r>
      <w:r w:rsidR="00912407">
        <w:rPr>
          <w:sz w:val="20"/>
          <w:lang w:val="en-GB"/>
        </w:rPr>
        <w:t>in this case</w:t>
      </w:r>
      <w:r w:rsidR="00F87856" w:rsidRPr="0008442A">
        <w:rPr>
          <w:sz w:val="20"/>
          <w:lang w:val="en-GB"/>
        </w:rPr>
        <w:t xml:space="preserve">. </w:t>
      </w:r>
    </w:p>
    <w:p w14:paraId="1F7DE1B3" w14:textId="51D33EAA" w:rsidR="00B514B1" w:rsidRPr="0008442A" w:rsidRDefault="00B514B1" w:rsidP="006A5D08">
      <w:pPr>
        <w:pStyle w:val="SingleTxtG"/>
        <w:autoSpaceDE w:val="0"/>
        <w:autoSpaceDN w:val="0"/>
        <w:adjustRightInd w:val="0"/>
        <w:ind w:right="0"/>
        <w:rPr>
          <w:b/>
          <w:sz w:val="20"/>
          <w:lang w:val="en-GB"/>
        </w:rPr>
      </w:pPr>
      <w:r w:rsidRPr="0008442A">
        <w:rPr>
          <w:b/>
          <w:sz w:val="20"/>
          <w:lang w:val="en-GB"/>
        </w:rPr>
        <w:t>Extent of obligations on the Party concerned</w:t>
      </w:r>
      <w:r w:rsidR="002E22B9" w:rsidRPr="0008442A">
        <w:rPr>
          <w:b/>
          <w:sz w:val="20"/>
          <w:lang w:val="en-GB"/>
        </w:rPr>
        <w:t xml:space="preserve"> </w:t>
      </w:r>
      <w:r w:rsidRPr="0008442A">
        <w:rPr>
          <w:b/>
          <w:sz w:val="20"/>
          <w:lang w:val="en-GB"/>
        </w:rPr>
        <w:t>in relation to article 6</w:t>
      </w:r>
    </w:p>
    <w:p w14:paraId="7F41FDAB" w14:textId="15080FAC" w:rsidR="00E1119E" w:rsidRPr="0008442A" w:rsidRDefault="00D979EF" w:rsidP="00D979EF">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On its approval of the Convention, the Party concerned made a declaration that met the requirements of article 19</w:t>
      </w:r>
      <w:r w:rsidR="00332F49" w:rsidRPr="0008442A">
        <w:rPr>
          <w:sz w:val="20"/>
          <w:lang w:val="en-GB"/>
        </w:rPr>
        <w:t>(</w:t>
      </w:r>
      <w:r w:rsidRPr="0008442A">
        <w:rPr>
          <w:sz w:val="20"/>
          <w:lang w:val="en-GB"/>
        </w:rPr>
        <w:t>5</w:t>
      </w:r>
      <w:r w:rsidR="00332F49" w:rsidRPr="0008442A">
        <w:rPr>
          <w:sz w:val="20"/>
          <w:lang w:val="en-GB"/>
        </w:rPr>
        <w:t>)</w:t>
      </w:r>
      <w:r w:rsidRPr="0008442A">
        <w:rPr>
          <w:sz w:val="20"/>
          <w:lang w:val="en-GB"/>
        </w:rPr>
        <w:t>.</w:t>
      </w:r>
      <w:r w:rsidRPr="0008442A">
        <w:rPr>
          <w:rStyle w:val="FootnoteReference"/>
          <w:sz w:val="20"/>
          <w:lang w:val="en-GB"/>
        </w:rPr>
        <w:footnoteReference w:id="92"/>
      </w:r>
      <w:r w:rsidRPr="0008442A">
        <w:rPr>
          <w:sz w:val="20"/>
          <w:lang w:val="en-GB"/>
        </w:rPr>
        <w:t xml:space="preserve"> </w:t>
      </w:r>
    </w:p>
    <w:p w14:paraId="3B484993" w14:textId="784D185E" w:rsidR="005C75FD" w:rsidRPr="0008442A" w:rsidRDefault="00D979EF" w:rsidP="0098150F">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Th</w:t>
      </w:r>
      <w:r w:rsidR="00443503" w:rsidRPr="0008442A">
        <w:rPr>
          <w:sz w:val="20"/>
          <w:lang w:val="en-GB"/>
        </w:rPr>
        <w:t xml:space="preserve">e Committee has considered the effect of </w:t>
      </w:r>
      <w:r w:rsidR="00017907" w:rsidRPr="0008442A">
        <w:rPr>
          <w:sz w:val="20"/>
          <w:lang w:val="en-GB"/>
        </w:rPr>
        <w:t>th</w:t>
      </w:r>
      <w:r w:rsidR="00017907">
        <w:rPr>
          <w:sz w:val="20"/>
          <w:lang w:val="en-GB"/>
        </w:rPr>
        <w:t>e declaration</w:t>
      </w:r>
      <w:r w:rsidR="00017907" w:rsidRPr="0008442A">
        <w:rPr>
          <w:sz w:val="20"/>
          <w:lang w:val="en-GB"/>
        </w:rPr>
        <w:t xml:space="preserve"> </w:t>
      </w:r>
      <w:r w:rsidRPr="0008442A">
        <w:rPr>
          <w:sz w:val="20"/>
          <w:lang w:val="en-GB"/>
        </w:rPr>
        <w:t>in previous cases concerning the Party concerned</w:t>
      </w:r>
      <w:r w:rsidR="00D04910" w:rsidRPr="0008442A">
        <w:rPr>
          <w:sz w:val="20"/>
          <w:lang w:val="en-GB"/>
        </w:rPr>
        <w:t>.</w:t>
      </w:r>
      <w:r w:rsidR="00D04910" w:rsidRPr="0008442A">
        <w:rPr>
          <w:rStyle w:val="FootnoteReference"/>
          <w:sz w:val="20"/>
          <w:lang w:val="en-GB"/>
        </w:rPr>
        <w:footnoteReference w:id="93"/>
      </w:r>
      <w:r w:rsidR="005B1F2A" w:rsidRPr="0008442A">
        <w:rPr>
          <w:sz w:val="20"/>
          <w:lang w:val="en-GB"/>
        </w:rPr>
        <w:t xml:space="preserve"> </w:t>
      </w:r>
      <w:r w:rsidRPr="0008442A">
        <w:rPr>
          <w:sz w:val="20"/>
          <w:lang w:val="en-GB"/>
        </w:rPr>
        <w:t xml:space="preserve">In </w:t>
      </w:r>
      <w:r w:rsidR="00017907" w:rsidRPr="0008442A">
        <w:rPr>
          <w:sz w:val="20"/>
          <w:lang w:val="en-GB"/>
        </w:rPr>
        <w:t>th</w:t>
      </w:r>
      <w:r w:rsidR="00017907">
        <w:rPr>
          <w:sz w:val="20"/>
          <w:lang w:val="en-GB"/>
        </w:rPr>
        <w:t>o</w:t>
      </w:r>
      <w:r w:rsidR="00017907" w:rsidRPr="0008442A">
        <w:rPr>
          <w:sz w:val="20"/>
          <w:lang w:val="en-GB"/>
        </w:rPr>
        <w:t xml:space="preserve">se </w:t>
      </w:r>
      <w:r w:rsidRPr="0008442A">
        <w:rPr>
          <w:sz w:val="20"/>
          <w:lang w:val="en-GB"/>
        </w:rPr>
        <w:t>findings</w:t>
      </w:r>
      <w:r w:rsidR="005C75FD" w:rsidRPr="0008442A">
        <w:rPr>
          <w:sz w:val="20"/>
          <w:lang w:val="en-GB"/>
        </w:rPr>
        <w:t xml:space="preserve">, the Committee </w:t>
      </w:r>
      <w:r w:rsidRPr="0008442A">
        <w:rPr>
          <w:sz w:val="20"/>
          <w:lang w:val="en-GB"/>
        </w:rPr>
        <w:t xml:space="preserve">held </w:t>
      </w:r>
      <w:r w:rsidR="005C75FD" w:rsidRPr="0008442A">
        <w:rPr>
          <w:sz w:val="20"/>
          <w:lang w:val="en-GB"/>
        </w:rPr>
        <w:t>that</w:t>
      </w:r>
      <w:r w:rsidR="00B514B1" w:rsidRPr="0008442A">
        <w:rPr>
          <w:sz w:val="20"/>
          <w:lang w:val="en-GB"/>
        </w:rPr>
        <w:t xml:space="preserve"> the effect of the declaration by the Party concerned</w:t>
      </w:r>
      <w:r w:rsidR="007C2B07" w:rsidRPr="0008442A">
        <w:rPr>
          <w:sz w:val="20"/>
          <w:lang w:val="en-GB"/>
        </w:rPr>
        <w:t xml:space="preserve"> </w:t>
      </w:r>
      <w:r w:rsidR="00B514B1" w:rsidRPr="0008442A">
        <w:rPr>
          <w:sz w:val="20"/>
          <w:lang w:val="en-GB"/>
        </w:rPr>
        <w:t xml:space="preserve">is that it assumes obligations </w:t>
      </w:r>
      <w:r w:rsidR="00577993">
        <w:rPr>
          <w:sz w:val="20"/>
          <w:lang w:val="en-GB"/>
        </w:rPr>
        <w:t xml:space="preserve">under the Convention </w:t>
      </w:r>
      <w:r w:rsidR="00B514B1" w:rsidRPr="0008442A">
        <w:rPr>
          <w:sz w:val="20"/>
          <w:lang w:val="en-GB"/>
        </w:rPr>
        <w:t xml:space="preserve">to the extent that it has European Union law in force; </w:t>
      </w:r>
      <w:r w:rsidR="00181D78">
        <w:rPr>
          <w:sz w:val="20"/>
          <w:lang w:val="en-GB"/>
        </w:rPr>
        <w:t>M</w:t>
      </w:r>
      <w:r w:rsidR="00181D78" w:rsidRPr="0008442A">
        <w:rPr>
          <w:sz w:val="20"/>
          <w:lang w:val="en-GB"/>
        </w:rPr>
        <w:t xml:space="preserve">ember </w:t>
      </w:r>
      <w:r w:rsidR="00B514B1" w:rsidRPr="0008442A">
        <w:rPr>
          <w:sz w:val="20"/>
          <w:lang w:val="en-GB"/>
        </w:rPr>
        <w:t>States remain responsible for the implementation of obligations that are not covered by European Union law in force.</w:t>
      </w:r>
      <w:r w:rsidR="00B514B1" w:rsidRPr="0008442A">
        <w:rPr>
          <w:rStyle w:val="FootnoteReference"/>
          <w:sz w:val="20"/>
          <w:lang w:val="en-GB"/>
        </w:rPr>
        <w:footnoteReference w:id="94"/>
      </w:r>
      <w:r w:rsidR="00B514B1" w:rsidRPr="0008442A">
        <w:rPr>
          <w:sz w:val="20"/>
          <w:lang w:val="en-GB"/>
        </w:rPr>
        <w:t xml:space="preserve"> </w:t>
      </w:r>
      <w:r w:rsidRPr="0008442A">
        <w:rPr>
          <w:sz w:val="20"/>
          <w:lang w:val="en-GB"/>
        </w:rPr>
        <w:t>As set out in the Committee’s findings on communication ACCC/C/2010/54</w:t>
      </w:r>
      <w:r w:rsidR="006E573C">
        <w:rPr>
          <w:sz w:val="20"/>
          <w:lang w:val="en-GB"/>
        </w:rPr>
        <w:t xml:space="preserve"> (European Union)</w:t>
      </w:r>
      <w:r w:rsidRPr="0008442A">
        <w:rPr>
          <w:sz w:val="20"/>
          <w:lang w:val="en-GB"/>
        </w:rPr>
        <w:t>, w</w:t>
      </w:r>
      <w:r w:rsidR="005C75FD" w:rsidRPr="0008442A">
        <w:rPr>
          <w:sz w:val="20"/>
          <w:lang w:val="en-GB"/>
        </w:rPr>
        <w:t>ith respect to those matters in which the Party concerned has assumed obligations, t</w:t>
      </w:r>
      <w:r w:rsidR="005C75FD" w:rsidRPr="0008442A">
        <w:rPr>
          <w:color w:val="000000"/>
          <w:sz w:val="20"/>
          <w:lang w:val="en-GB"/>
        </w:rPr>
        <w:t>he Party concerned</w:t>
      </w:r>
      <w:r w:rsidR="007C2B07" w:rsidRPr="0008442A">
        <w:rPr>
          <w:color w:val="000000"/>
          <w:sz w:val="20"/>
          <w:lang w:val="en-GB"/>
        </w:rPr>
        <w:t xml:space="preserve"> </w:t>
      </w:r>
      <w:r w:rsidR="005C75FD" w:rsidRPr="0008442A">
        <w:rPr>
          <w:sz w:val="20"/>
          <w:lang w:val="en-GB"/>
        </w:rPr>
        <w:t xml:space="preserve">should have in place a regulatory framework </w:t>
      </w:r>
      <w:r w:rsidR="000B11CE" w:rsidRPr="0008442A">
        <w:rPr>
          <w:sz w:val="20"/>
          <w:lang w:val="en-GB"/>
        </w:rPr>
        <w:t xml:space="preserve">which reflects all the relevant provisions of the Convention and ensures its effective </w:t>
      </w:r>
      <w:r w:rsidR="005C75FD" w:rsidRPr="0008442A">
        <w:rPr>
          <w:sz w:val="20"/>
          <w:lang w:val="en-GB"/>
        </w:rPr>
        <w:t>implementation.</w:t>
      </w:r>
      <w:r w:rsidR="005C75FD" w:rsidRPr="0008442A">
        <w:rPr>
          <w:rStyle w:val="FootnoteReference"/>
          <w:sz w:val="20"/>
          <w:lang w:val="en-GB"/>
        </w:rPr>
        <w:footnoteReference w:id="95"/>
      </w:r>
      <w:r w:rsidR="005C75FD" w:rsidRPr="0008442A">
        <w:rPr>
          <w:sz w:val="20"/>
          <w:lang w:val="en-GB"/>
        </w:rPr>
        <w:t xml:space="preserve"> </w:t>
      </w:r>
    </w:p>
    <w:p w14:paraId="0A9D7381" w14:textId="13DC42F7" w:rsidR="009B47B7" w:rsidRPr="0008442A" w:rsidRDefault="005C75FD" w:rsidP="006A5D08">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With respect to the present communication, the Committee considers that in the case of publication of new BAT conclusions and developments in the BATs, operational safety requirements and compliance with new or revised environmental quality standards the obligation to conduct an update and</w:t>
      </w:r>
      <w:r w:rsidR="0023546D">
        <w:rPr>
          <w:sz w:val="20"/>
          <w:lang w:val="en-GB"/>
        </w:rPr>
        <w:t>,</w:t>
      </w:r>
      <w:r w:rsidRPr="0008442A">
        <w:rPr>
          <w:sz w:val="20"/>
          <w:lang w:val="en-GB"/>
        </w:rPr>
        <w:t xml:space="preserve"> where necessary, </w:t>
      </w:r>
      <w:r w:rsidR="0023546D" w:rsidRPr="0008442A">
        <w:rPr>
          <w:sz w:val="20"/>
          <w:lang w:val="en-GB"/>
        </w:rPr>
        <w:t xml:space="preserve">reconsideration </w:t>
      </w:r>
      <w:r w:rsidRPr="0008442A">
        <w:rPr>
          <w:sz w:val="20"/>
          <w:lang w:val="en-GB"/>
        </w:rPr>
        <w:t>of the permitting conditions of certain facilities derives directly from article 21</w:t>
      </w:r>
      <w:r w:rsidR="00E35A60" w:rsidRPr="0008442A">
        <w:rPr>
          <w:sz w:val="20"/>
          <w:lang w:val="en-GB"/>
        </w:rPr>
        <w:t xml:space="preserve"> (3), (4), (5)(b) and (c) of the IED</w:t>
      </w:r>
      <w:r w:rsidRPr="0008442A">
        <w:rPr>
          <w:sz w:val="20"/>
          <w:lang w:val="en-GB"/>
        </w:rPr>
        <w:t xml:space="preserve">. </w:t>
      </w:r>
    </w:p>
    <w:p w14:paraId="01EE4B4F" w14:textId="15C5EA25" w:rsidR="005C75FD" w:rsidRPr="0008442A" w:rsidRDefault="005C75FD" w:rsidP="006A5D08">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The Committee considers that a different situation arises in the context of a non-substantial change of an installation. In accordance with article 20</w:t>
      </w:r>
      <w:r w:rsidR="001267FF" w:rsidRPr="0008442A">
        <w:rPr>
          <w:sz w:val="20"/>
          <w:lang w:val="en-GB"/>
        </w:rPr>
        <w:t>(</w:t>
      </w:r>
      <w:r w:rsidRPr="0008442A">
        <w:rPr>
          <w:sz w:val="20"/>
          <w:lang w:val="en-GB"/>
        </w:rPr>
        <w:t>2</w:t>
      </w:r>
      <w:r w:rsidR="001267FF" w:rsidRPr="0008442A">
        <w:rPr>
          <w:sz w:val="20"/>
          <w:lang w:val="en-GB"/>
        </w:rPr>
        <w:t>)</w:t>
      </w:r>
      <w:r w:rsidRPr="0008442A">
        <w:rPr>
          <w:sz w:val="20"/>
          <w:lang w:val="en-GB"/>
        </w:rPr>
        <w:t xml:space="preserve"> of the IED, “</w:t>
      </w:r>
      <w:r w:rsidR="00181D78">
        <w:rPr>
          <w:sz w:val="20"/>
          <w:lang w:val="en-GB"/>
        </w:rPr>
        <w:t>M</w:t>
      </w:r>
      <w:r w:rsidR="00181D78" w:rsidRPr="0008442A">
        <w:rPr>
          <w:sz w:val="20"/>
          <w:lang w:val="en-GB"/>
        </w:rPr>
        <w:t xml:space="preserve">ember </w:t>
      </w:r>
      <w:r w:rsidRPr="0008442A">
        <w:rPr>
          <w:sz w:val="20"/>
          <w:lang w:val="en-GB"/>
        </w:rPr>
        <w:t>States shall take the necessary measures to ensure that no substantial change planned by the operator is made without a permit granted in accordance with this Directive.” The IED does</w:t>
      </w:r>
      <w:r w:rsidRPr="008B183A">
        <w:rPr>
          <w:sz w:val="20"/>
          <w:szCs w:val="20"/>
          <w:lang w:val="en-GB"/>
        </w:rPr>
        <w:t xml:space="preserve"> </w:t>
      </w:r>
      <w:r w:rsidR="0055443A" w:rsidRPr="008B183A">
        <w:rPr>
          <w:sz w:val="20"/>
          <w:szCs w:val="20"/>
          <w:lang w:val="en-GB"/>
        </w:rPr>
        <w:t>not</w:t>
      </w:r>
      <w:r w:rsidR="0055443A" w:rsidRPr="0008442A">
        <w:rPr>
          <w:sz w:val="20"/>
          <w:lang w:val="en-GB"/>
        </w:rPr>
        <w:t xml:space="preserve"> </w:t>
      </w:r>
      <w:r w:rsidRPr="0008442A">
        <w:rPr>
          <w:sz w:val="20"/>
          <w:lang w:val="en-GB"/>
        </w:rPr>
        <w:t xml:space="preserve">contain </w:t>
      </w:r>
      <w:r w:rsidR="00940059" w:rsidRPr="0008442A">
        <w:rPr>
          <w:sz w:val="20"/>
          <w:lang w:val="en-GB"/>
        </w:rPr>
        <w:t>a comparable</w:t>
      </w:r>
      <w:r w:rsidRPr="0008442A">
        <w:rPr>
          <w:sz w:val="20"/>
          <w:lang w:val="en-GB"/>
        </w:rPr>
        <w:t xml:space="preserve"> requirement in case of a non-substantial change of an activity</w:t>
      </w:r>
      <w:r w:rsidR="00940059" w:rsidRPr="0008442A">
        <w:rPr>
          <w:sz w:val="20"/>
          <w:lang w:val="en-GB"/>
        </w:rPr>
        <w:t>. A</w:t>
      </w:r>
      <w:r w:rsidRPr="0008442A">
        <w:rPr>
          <w:sz w:val="20"/>
          <w:lang w:val="en-GB"/>
        </w:rPr>
        <w:t>ccordingly</w:t>
      </w:r>
      <w:r w:rsidR="00346959" w:rsidRPr="0008442A">
        <w:rPr>
          <w:sz w:val="20"/>
          <w:lang w:val="en-GB"/>
        </w:rPr>
        <w:t>,</w:t>
      </w:r>
      <w:r w:rsidRPr="0008442A">
        <w:rPr>
          <w:sz w:val="20"/>
          <w:lang w:val="en-GB"/>
        </w:rPr>
        <w:t xml:space="preserve"> there is no requirement to obtain a permit for </w:t>
      </w:r>
      <w:r w:rsidR="00940059" w:rsidRPr="0008442A">
        <w:rPr>
          <w:sz w:val="20"/>
          <w:lang w:val="en-GB"/>
        </w:rPr>
        <w:t>non-substantial change</w:t>
      </w:r>
      <w:r w:rsidRPr="0008442A">
        <w:rPr>
          <w:sz w:val="20"/>
          <w:lang w:val="en-GB"/>
        </w:rPr>
        <w:t xml:space="preserve"> as a matter </w:t>
      </w:r>
      <w:r w:rsidRPr="0008442A">
        <w:rPr>
          <w:sz w:val="20"/>
          <w:lang w:val="en-GB"/>
        </w:rPr>
        <w:lastRenderedPageBreak/>
        <w:t>of E</w:t>
      </w:r>
      <w:r w:rsidR="00C775D0">
        <w:rPr>
          <w:sz w:val="20"/>
          <w:lang w:val="en-GB"/>
        </w:rPr>
        <w:t xml:space="preserve">uropean </w:t>
      </w:r>
      <w:r w:rsidRPr="0008442A">
        <w:rPr>
          <w:sz w:val="20"/>
          <w:lang w:val="en-GB"/>
        </w:rPr>
        <w:t>U</w:t>
      </w:r>
      <w:r w:rsidR="00C775D0">
        <w:rPr>
          <w:sz w:val="20"/>
          <w:lang w:val="en-GB"/>
        </w:rPr>
        <w:t>nion</w:t>
      </w:r>
      <w:r w:rsidRPr="0008442A">
        <w:rPr>
          <w:sz w:val="20"/>
          <w:lang w:val="en-GB"/>
        </w:rPr>
        <w:t xml:space="preserve"> law</w:t>
      </w:r>
      <w:r w:rsidR="00BC6857" w:rsidRPr="0008442A">
        <w:rPr>
          <w:sz w:val="20"/>
          <w:lang w:val="en-GB"/>
        </w:rPr>
        <w:t xml:space="preserve"> and the Party concerned</w:t>
      </w:r>
      <w:r w:rsidR="009147FE" w:rsidRPr="0008442A">
        <w:rPr>
          <w:sz w:val="20"/>
          <w:lang w:val="en-GB"/>
        </w:rPr>
        <w:t xml:space="preserve"> </w:t>
      </w:r>
      <w:r w:rsidR="00BC6857" w:rsidRPr="0008442A">
        <w:rPr>
          <w:sz w:val="20"/>
          <w:lang w:val="en-GB"/>
        </w:rPr>
        <w:t>has not assumed any obligations to implement the Convention</w:t>
      </w:r>
      <w:r w:rsidR="00120387" w:rsidRPr="0008442A">
        <w:rPr>
          <w:sz w:val="20"/>
          <w:lang w:val="en-GB"/>
        </w:rPr>
        <w:t xml:space="preserve"> with respect to such changes</w:t>
      </w:r>
      <w:r w:rsidRPr="0008442A">
        <w:rPr>
          <w:sz w:val="20"/>
          <w:lang w:val="en-GB"/>
        </w:rPr>
        <w:t xml:space="preserve">. </w:t>
      </w:r>
    </w:p>
    <w:p w14:paraId="2DCBB58C" w14:textId="32242645" w:rsidR="005C75FD" w:rsidRPr="0008442A" w:rsidRDefault="00BC6857" w:rsidP="006A5D08">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With regard to</w:t>
      </w:r>
      <w:r w:rsidR="005C75FD" w:rsidRPr="0008442A">
        <w:rPr>
          <w:sz w:val="20"/>
          <w:lang w:val="en-GB"/>
        </w:rPr>
        <w:t xml:space="preserve"> the communicant’s submission that the Party concerned</w:t>
      </w:r>
      <w:r w:rsidR="001B755C" w:rsidRPr="0008442A">
        <w:rPr>
          <w:sz w:val="20"/>
          <w:lang w:val="en-GB"/>
        </w:rPr>
        <w:t xml:space="preserve"> </w:t>
      </w:r>
      <w:r w:rsidR="005C75FD" w:rsidRPr="0008442A">
        <w:rPr>
          <w:sz w:val="20"/>
          <w:lang w:val="en-GB"/>
        </w:rPr>
        <w:t>failed to comply with the Convention by not providing a requirement for other decisions</w:t>
      </w:r>
      <w:r w:rsidRPr="0008442A">
        <w:rPr>
          <w:sz w:val="20"/>
          <w:lang w:val="en-GB"/>
        </w:rPr>
        <w:t>,</w:t>
      </w:r>
      <w:r w:rsidR="005C75FD" w:rsidRPr="0008442A">
        <w:rPr>
          <w:sz w:val="20"/>
          <w:lang w:val="en-GB"/>
        </w:rPr>
        <w:t xml:space="preserve"> such as time extension of operation, extension of capacities or other modifications of permit conditions</w:t>
      </w:r>
      <w:r w:rsidR="007B3C55" w:rsidRPr="0008442A">
        <w:rPr>
          <w:sz w:val="20"/>
          <w:lang w:val="en-GB"/>
        </w:rPr>
        <w:t>,</w:t>
      </w:r>
      <w:r w:rsidR="005C75FD" w:rsidRPr="0008442A">
        <w:rPr>
          <w:sz w:val="20"/>
          <w:lang w:val="en-GB"/>
        </w:rPr>
        <w:t xml:space="preserve"> </w:t>
      </w:r>
      <w:r w:rsidRPr="0008442A">
        <w:rPr>
          <w:sz w:val="20"/>
          <w:lang w:val="en-GB"/>
        </w:rPr>
        <w:t>the Committee considers that these will either be cases where the IED requires public participation or where the Party concerned</w:t>
      </w:r>
      <w:r w:rsidR="00DE3670" w:rsidRPr="0008442A">
        <w:rPr>
          <w:sz w:val="20"/>
          <w:lang w:val="en-GB"/>
        </w:rPr>
        <w:t xml:space="preserve"> </w:t>
      </w:r>
      <w:r w:rsidRPr="0008442A">
        <w:rPr>
          <w:sz w:val="20"/>
          <w:lang w:val="en-GB"/>
        </w:rPr>
        <w:t>did not assume obligations</w:t>
      </w:r>
      <w:r w:rsidR="00940059" w:rsidRPr="0008442A">
        <w:rPr>
          <w:sz w:val="20"/>
          <w:lang w:val="en-GB"/>
        </w:rPr>
        <w:t xml:space="preserve">. Specifically, </w:t>
      </w:r>
      <w:r w:rsidR="00B076CA" w:rsidRPr="0008442A">
        <w:rPr>
          <w:sz w:val="20"/>
          <w:lang w:val="en-GB"/>
        </w:rPr>
        <w:t>article 24</w:t>
      </w:r>
      <w:r w:rsidR="00DE3670" w:rsidRPr="0008442A">
        <w:rPr>
          <w:sz w:val="20"/>
          <w:lang w:val="en-GB"/>
        </w:rPr>
        <w:t>(</w:t>
      </w:r>
      <w:r w:rsidR="00B076CA" w:rsidRPr="0008442A">
        <w:rPr>
          <w:sz w:val="20"/>
          <w:lang w:val="en-GB"/>
        </w:rPr>
        <w:t>1</w:t>
      </w:r>
      <w:r w:rsidR="00DE3670" w:rsidRPr="0008442A">
        <w:rPr>
          <w:sz w:val="20"/>
          <w:lang w:val="en-GB"/>
        </w:rPr>
        <w:t>)</w:t>
      </w:r>
      <w:r w:rsidR="00B076CA" w:rsidRPr="0008442A">
        <w:rPr>
          <w:sz w:val="20"/>
          <w:lang w:val="en-GB"/>
        </w:rPr>
        <w:t xml:space="preserve">(b) of the IED will require public participation </w:t>
      </w:r>
      <w:r w:rsidR="00940059" w:rsidRPr="0008442A">
        <w:rPr>
          <w:sz w:val="20"/>
          <w:lang w:val="en-GB"/>
        </w:rPr>
        <w:t>w</w:t>
      </w:r>
      <w:r w:rsidR="005C75FD" w:rsidRPr="0008442A">
        <w:rPr>
          <w:sz w:val="20"/>
          <w:lang w:val="en-GB"/>
        </w:rPr>
        <w:t xml:space="preserve">herever these changes </w:t>
      </w:r>
      <w:proofErr w:type="gramStart"/>
      <w:r w:rsidR="005C75FD" w:rsidRPr="0008442A">
        <w:rPr>
          <w:sz w:val="20"/>
          <w:lang w:val="en-GB"/>
        </w:rPr>
        <w:t xml:space="preserve">are considered </w:t>
      </w:r>
      <w:r w:rsidR="00BB7DF2" w:rsidRPr="0008442A">
        <w:rPr>
          <w:sz w:val="20"/>
          <w:lang w:val="en-GB"/>
        </w:rPr>
        <w:t>to be</w:t>
      </w:r>
      <w:proofErr w:type="gramEnd"/>
      <w:r w:rsidR="00BB7DF2" w:rsidRPr="0008442A">
        <w:rPr>
          <w:sz w:val="20"/>
          <w:lang w:val="en-GB"/>
        </w:rPr>
        <w:t xml:space="preserve"> </w:t>
      </w:r>
      <w:r w:rsidR="005C75FD" w:rsidRPr="0008442A">
        <w:rPr>
          <w:sz w:val="20"/>
          <w:lang w:val="en-GB"/>
        </w:rPr>
        <w:t>“substantial changes” under article 3</w:t>
      </w:r>
      <w:r w:rsidR="00DE3670" w:rsidRPr="0008442A">
        <w:rPr>
          <w:sz w:val="20"/>
          <w:lang w:val="en-GB"/>
        </w:rPr>
        <w:t>(</w:t>
      </w:r>
      <w:r w:rsidR="005C75FD" w:rsidRPr="0008442A">
        <w:rPr>
          <w:sz w:val="20"/>
          <w:lang w:val="en-GB"/>
        </w:rPr>
        <w:t>9</w:t>
      </w:r>
      <w:r w:rsidR="00DE3670" w:rsidRPr="0008442A">
        <w:rPr>
          <w:sz w:val="20"/>
          <w:lang w:val="en-GB"/>
        </w:rPr>
        <w:t>)</w:t>
      </w:r>
      <w:r w:rsidR="005C75FD" w:rsidRPr="0008442A">
        <w:rPr>
          <w:sz w:val="20"/>
          <w:lang w:val="en-GB"/>
        </w:rPr>
        <w:t xml:space="preserve"> of the IED. Where the</w:t>
      </w:r>
      <w:r w:rsidRPr="0008442A">
        <w:rPr>
          <w:sz w:val="20"/>
          <w:lang w:val="en-GB"/>
        </w:rPr>
        <w:t>se</w:t>
      </w:r>
      <w:r w:rsidR="005C75FD" w:rsidRPr="0008442A">
        <w:rPr>
          <w:sz w:val="20"/>
          <w:lang w:val="en-GB"/>
        </w:rPr>
        <w:t xml:space="preserve"> changes are not considered to be substantial in the meaning of the IED, </w:t>
      </w:r>
      <w:r w:rsidR="00940059" w:rsidRPr="0008442A">
        <w:rPr>
          <w:sz w:val="20"/>
          <w:lang w:val="en-GB"/>
        </w:rPr>
        <w:t>there</w:t>
      </w:r>
      <w:r w:rsidR="005C75FD" w:rsidRPr="0008442A">
        <w:rPr>
          <w:sz w:val="20"/>
          <w:lang w:val="en-GB"/>
        </w:rPr>
        <w:t xml:space="preserve"> will not be any obligations under the </w:t>
      </w:r>
      <w:proofErr w:type="gramStart"/>
      <w:r w:rsidR="005C75FD" w:rsidRPr="0008442A">
        <w:rPr>
          <w:sz w:val="20"/>
          <w:lang w:val="en-GB"/>
        </w:rPr>
        <w:t>IED</w:t>
      </w:r>
      <w:proofErr w:type="gramEnd"/>
      <w:r w:rsidR="005C75FD" w:rsidRPr="0008442A">
        <w:rPr>
          <w:sz w:val="20"/>
          <w:lang w:val="en-GB"/>
        </w:rPr>
        <w:t xml:space="preserve"> and the Party concerned</w:t>
      </w:r>
      <w:r w:rsidR="00FC2DFE" w:rsidRPr="0008442A">
        <w:rPr>
          <w:sz w:val="20"/>
          <w:lang w:val="en-GB"/>
        </w:rPr>
        <w:t xml:space="preserve"> </w:t>
      </w:r>
      <w:r w:rsidR="005C75FD" w:rsidRPr="0008442A">
        <w:rPr>
          <w:sz w:val="20"/>
          <w:lang w:val="en-GB"/>
        </w:rPr>
        <w:t>will accordingly not have assumed any obligations</w:t>
      </w:r>
      <w:r w:rsidR="00122C30" w:rsidRPr="0008442A">
        <w:rPr>
          <w:sz w:val="20"/>
          <w:lang w:val="en-GB"/>
        </w:rPr>
        <w:t xml:space="preserve"> under the Convention</w:t>
      </w:r>
      <w:r w:rsidR="005C75FD" w:rsidRPr="0008442A">
        <w:rPr>
          <w:sz w:val="20"/>
          <w:lang w:val="en-GB"/>
        </w:rPr>
        <w:t xml:space="preserve">. </w:t>
      </w:r>
    </w:p>
    <w:p w14:paraId="7B0076E7" w14:textId="45D923EE" w:rsidR="005C75FD" w:rsidRPr="0008442A" w:rsidRDefault="005C75FD" w:rsidP="0098150F">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 xml:space="preserve"> The foregoing does not </w:t>
      </w:r>
      <w:r w:rsidR="0006303C" w:rsidRPr="0008442A">
        <w:rPr>
          <w:sz w:val="20"/>
          <w:lang w:val="en-GB"/>
        </w:rPr>
        <w:t xml:space="preserve">mean </w:t>
      </w:r>
      <w:r w:rsidRPr="0008442A">
        <w:rPr>
          <w:sz w:val="20"/>
          <w:lang w:val="en-GB"/>
        </w:rPr>
        <w:t xml:space="preserve">that a reconsideration and update of a permit for changes that are considered “non-substantial” </w:t>
      </w:r>
      <w:r w:rsidR="000D5DF2" w:rsidRPr="0008442A">
        <w:rPr>
          <w:sz w:val="20"/>
          <w:lang w:val="en-GB"/>
        </w:rPr>
        <w:t xml:space="preserve">under </w:t>
      </w:r>
      <w:r w:rsidRPr="0008442A">
        <w:rPr>
          <w:sz w:val="20"/>
          <w:lang w:val="en-GB"/>
        </w:rPr>
        <w:t>the IED may not entail a requirement for a</w:t>
      </w:r>
      <w:r w:rsidR="000D5DF2" w:rsidRPr="0008442A">
        <w:rPr>
          <w:sz w:val="20"/>
          <w:lang w:val="en-GB"/>
        </w:rPr>
        <w:t xml:space="preserve"> Party to the Convention</w:t>
      </w:r>
      <w:r w:rsidRPr="0008442A">
        <w:rPr>
          <w:sz w:val="20"/>
          <w:lang w:val="en-GB"/>
        </w:rPr>
        <w:t xml:space="preserve"> to conduct public participation under article 6</w:t>
      </w:r>
      <w:r w:rsidR="00646E3E" w:rsidRPr="0008442A">
        <w:rPr>
          <w:sz w:val="20"/>
          <w:lang w:val="en-GB"/>
        </w:rPr>
        <w:t>(</w:t>
      </w:r>
      <w:r w:rsidRPr="0008442A">
        <w:rPr>
          <w:sz w:val="20"/>
          <w:lang w:val="en-GB"/>
        </w:rPr>
        <w:t>10</w:t>
      </w:r>
      <w:r w:rsidR="00646E3E" w:rsidRPr="0008442A">
        <w:rPr>
          <w:sz w:val="20"/>
          <w:lang w:val="en-GB"/>
        </w:rPr>
        <w:t>)</w:t>
      </w:r>
      <w:r w:rsidRPr="0008442A">
        <w:rPr>
          <w:sz w:val="20"/>
          <w:lang w:val="en-GB"/>
        </w:rPr>
        <w:t xml:space="preserve"> of the Convention. However, this questio</w:t>
      </w:r>
      <w:r w:rsidR="00BC6857" w:rsidRPr="0008442A">
        <w:rPr>
          <w:sz w:val="20"/>
          <w:lang w:val="en-GB"/>
        </w:rPr>
        <w:t>n falls outside the scope of the</w:t>
      </w:r>
      <w:r w:rsidRPr="0008442A">
        <w:rPr>
          <w:sz w:val="20"/>
          <w:lang w:val="en-GB"/>
        </w:rPr>
        <w:t>s</w:t>
      </w:r>
      <w:r w:rsidR="00BC6857" w:rsidRPr="0008442A">
        <w:rPr>
          <w:sz w:val="20"/>
          <w:lang w:val="en-GB"/>
        </w:rPr>
        <w:t>e</w:t>
      </w:r>
      <w:r w:rsidRPr="0008442A">
        <w:rPr>
          <w:sz w:val="20"/>
          <w:lang w:val="en-GB"/>
        </w:rPr>
        <w:t xml:space="preserve"> findings which only address the compliance</w:t>
      </w:r>
      <w:r w:rsidR="000D5DF2" w:rsidRPr="0008442A">
        <w:rPr>
          <w:sz w:val="20"/>
          <w:lang w:val="en-GB"/>
        </w:rPr>
        <w:t xml:space="preserve"> with the Convention</w:t>
      </w:r>
      <w:r w:rsidRPr="0008442A">
        <w:rPr>
          <w:sz w:val="20"/>
          <w:lang w:val="en-GB"/>
        </w:rPr>
        <w:t xml:space="preserve"> of the Party concerned</w:t>
      </w:r>
      <w:r w:rsidR="000D5DF2" w:rsidRPr="0008442A">
        <w:rPr>
          <w:sz w:val="20"/>
          <w:lang w:val="en-GB"/>
        </w:rPr>
        <w:t xml:space="preserve"> </w:t>
      </w:r>
      <w:r w:rsidR="0006303C" w:rsidRPr="0008442A">
        <w:rPr>
          <w:sz w:val="20"/>
          <w:lang w:val="en-GB"/>
        </w:rPr>
        <w:t xml:space="preserve">as a regional economic integration organization within the meaning of article 17 of the Convention </w:t>
      </w:r>
      <w:r w:rsidR="000D5DF2" w:rsidRPr="0008442A">
        <w:rPr>
          <w:sz w:val="20"/>
          <w:lang w:val="en-GB"/>
        </w:rPr>
        <w:t xml:space="preserve">and not of individual </w:t>
      </w:r>
      <w:r w:rsidR="00D938A6" w:rsidRPr="0008442A">
        <w:rPr>
          <w:sz w:val="20"/>
          <w:lang w:val="en-GB"/>
        </w:rPr>
        <w:t>E</w:t>
      </w:r>
      <w:r w:rsidR="00D938A6">
        <w:rPr>
          <w:sz w:val="20"/>
          <w:lang w:val="en-GB"/>
        </w:rPr>
        <w:t>uropean Union</w:t>
      </w:r>
      <w:r w:rsidR="00D938A6" w:rsidRPr="0008442A">
        <w:rPr>
          <w:sz w:val="20"/>
          <w:lang w:val="en-GB"/>
        </w:rPr>
        <w:t xml:space="preserve"> </w:t>
      </w:r>
      <w:r w:rsidR="00181D78">
        <w:rPr>
          <w:sz w:val="20"/>
          <w:lang w:val="en-GB"/>
        </w:rPr>
        <w:t>M</w:t>
      </w:r>
      <w:r w:rsidR="00181D78" w:rsidRPr="0008442A">
        <w:rPr>
          <w:sz w:val="20"/>
          <w:lang w:val="en-GB"/>
        </w:rPr>
        <w:t xml:space="preserve">ember </w:t>
      </w:r>
      <w:r w:rsidR="000D5DF2" w:rsidRPr="0008442A">
        <w:rPr>
          <w:sz w:val="20"/>
          <w:lang w:val="en-GB"/>
        </w:rPr>
        <w:t>States</w:t>
      </w:r>
      <w:r w:rsidR="0055443A" w:rsidRPr="008B183A">
        <w:rPr>
          <w:sz w:val="20"/>
          <w:szCs w:val="20"/>
          <w:lang w:val="en-GB"/>
        </w:rPr>
        <w:t>.</w:t>
      </w:r>
    </w:p>
    <w:p w14:paraId="5BDE71DB" w14:textId="70E95786" w:rsidR="005C75FD" w:rsidRPr="0008442A" w:rsidRDefault="005C75FD" w:rsidP="006A5D08">
      <w:pPr>
        <w:pStyle w:val="SingleTxtG"/>
        <w:numPr>
          <w:ilvl w:val="0"/>
          <w:numId w:val="3"/>
        </w:numPr>
        <w:tabs>
          <w:tab w:val="clear" w:pos="1853"/>
          <w:tab w:val="num" w:pos="1701"/>
        </w:tabs>
        <w:autoSpaceDE w:val="0"/>
        <w:autoSpaceDN w:val="0"/>
        <w:adjustRightInd w:val="0"/>
        <w:ind w:left="1134" w:right="0" w:firstLine="0"/>
        <w:rPr>
          <w:sz w:val="20"/>
          <w:lang w:val="en-GB"/>
        </w:rPr>
      </w:pPr>
      <w:proofErr w:type="gramStart"/>
      <w:r w:rsidRPr="0008442A">
        <w:rPr>
          <w:sz w:val="20"/>
          <w:lang w:val="en-GB"/>
        </w:rPr>
        <w:t>In light of</w:t>
      </w:r>
      <w:proofErr w:type="gramEnd"/>
      <w:r w:rsidRPr="0008442A">
        <w:rPr>
          <w:sz w:val="20"/>
          <w:lang w:val="en-GB"/>
        </w:rPr>
        <w:t xml:space="preserve"> the foregoing, the Committee </w:t>
      </w:r>
      <w:r w:rsidR="00122C30" w:rsidRPr="0008442A">
        <w:rPr>
          <w:sz w:val="20"/>
          <w:lang w:val="en-GB"/>
        </w:rPr>
        <w:t xml:space="preserve">concludes </w:t>
      </w:r>
      <w:r w:rsidRPr="0008442A">
        <w:rPr>
          <w:sz w:val="20"/>
          <w:lang w:val="en-GB"/>
        </w:rPr>
        <w:t>that the Party concerned</w:t>
      </w:r>
      <w:r w:rsidR="0030186A" w:rsidRPr="0008442A">
        <w:rPr>
          <w:sz w:val="20"/>
          <w:lang w:val="en-GB"/>
        </w:rPr>
        <w:t xml:space="preserve"> </w:t>
      </w:r>
      <w:r w:rsidRPr="0008442A">
        <w:rPr>
          <w:sz w:val="20"/>
          <w:lang w:val="en-GB"/>
        </w:rPr>
        <w:t xml:space="preserve">has not assumed obligations </w:t>
      </w:r>
      <w:r w:rsidR="00C775D0">
        <w:rPr>
          <w:sz w:val="20"/>
          <w:lang w:val="en-GB"/>
        </w:rPr>
        <w:t xml:space="preserve">under the Convention </w:t>
      </w:r>
      <w:r w:rsidRPr="0008442A">
        <w:rPr>
          <w:sz w:val="20"/>
          <w:lang w:val="en-GB"/>
        </w:rPr>
        <w:t>with regard to non-substantial changes of installations and other decisions such as time extension of operation, extension of capacities or other modifications of permit conditions</w:t>
      </w:r>
      <w:r w:rsidR="00BC6857" w:rsidRPr="0008442A">
        <w:rPr>
          <w:sz w:val="20"/>
          <w:lang w:val="en-GB"/>
        </w:rPr>
        <w:t>, which do not meet the requirements of article 24</w:t>
      </w:r>
      <w:r w:rsidR="00263A50" w:rsidRPr="0008442A">
        <w:rPr>
          <w:sz w:val="20"/>
          <w:lang w:val="en-GB"/>
        </w:rPr>
        <w:t>(</w:t>
      </w:r>
      <w:r w:rsidR="00BC6857" w:rsidRPr="0008442A">
        <w:rPr>
          <w:sz w:val="20"/>
          <w:lang w:val="en-GB"/>
        </w:rPr>
        <w:t>1</w:t>
      </w:r>
      <w:r w:rsidR="00263A50" w:rsidRPr="0008442A">
        <w:rPr>
          <w:sz w:val="20"/>
          <w:lang w:val="en-GB"/>
        </w:rPr>
        <w:t>)</w:t>
      </w:r>
      <w:r w:rsidR="00BC6857" w:rsidRPr="0008442A">
        <w:rPr>
          <w:sz w:val="20"/>
          <w:lang w:val="en-GB"/>
        </w:rPr>
        <w:t>(b) of the IED</w:t>
      </w:r>
      <w:r w:rsidRPr="0008442A">
        <w:rPr>
          <w:sz w:val="20"/>
          <w:lang w:val="en-GB"/>
        </w:rPr>
        <w:t>. The Committee will accordingly limit its considerations to the publication of new BAT conclusions and developments in the BATs, operational safety requirements and compliance with new or revised environmental quality standards</w:t>
      </w:r>
      <w:r w:rsidR="00DB4E4C" w:rsidRPr="0008442A">
        <w:rPr>
          <w:sz w:val="20"/>
          <w:lang w:val="en-GB"/>
        </w:rPr>
        <w:t>.</w:t>
      </w:r>
      <w:r w:rsidR="00D938A6">
        <w:rPr>
          <w:sz w:val="20"/>
          <w:lang w:val="en-GB"/>
        </w:rPr>
        <w:t xml:space="preserve"> These are examined in paragraphs </w:t>
      </w:r>
      <w:r w:rsidR="00D938A6">
        <w:rPr>
          <w:sz w:val="20"/>
          <w:lang w:val="en-GB"/>
        </w:rPr>
        <w:fldChar w:fldCharType="begin"/>
      </w:r>
      <w:r w:rsidR="00D938A6">
        <w:rPr>
          <w:sz w:val="20"/>
          <w:lang w:val="en-GB"/>
        </w:rPr>
        <w:instrText xml:space="preserve"> REF _Ref19266837 \r \h </w:instrText>
      </w:r>
      <w:r w:rsidR="00D938A6">
        <w:rPr>
          <w:sz w:val="20"/>
          <w:lang w:val="en-GB"/>
        </w:rPr>
      </w:r>
      <w:r w:rsidR="00D938A6">
        <w:rPr>
          <w:sz w:val="20"/>
          <w:lang w:val="en-GB"/>
        </w:rPr>
        <w:fldChar w:fldCharType="separate"/>
      </w:r>
      <w:r w:rsidR="00C775D0">
        <w:rPr>
          <w:sz w:val="20"/>
          <w:lang w:val="en-GB"/>
        </w:rPr>
        <w:t>103</w:t>
      </w:r>
      <w:r w:rsidR="00D938A6">
        <w:rPr>
          <w:sz w:val="20"/>
          <w:lang w:val="en-GB"/>
        </w:rPr>
        <w:fldChar w:fldCharType="end"/>
      </w:r>
      <w:r w:rsidR="00D938A6">
        <w:rPr>
          <w:sz w:val="20"/>
          <w:lang w:val="en-GB"/>
        </w:rPr>
        <w:t>-</w:t>
      </w:r>
      <w:r w:rsidR="00D938A6">
        <w:rPr>
          <w:sz w:val="20"/>
          <w:lang w:val="en-GB"/>
        </w:rPr>
        <w:fldChar w:fldCharType="begin"/>
      </w:r>
      <w:r w:rsidR="00D938A6">
        <w:rPr>
          <w:sz w:val="20"/>
          <w:lang w:val="en-GB"/>
        </w:rPr>
        <w:instrText xml:space="preserve"> REF _Ref19266847 \r \h </w:instrText>
      </w:r>
      <w:r w:rsidR="00D938A6">
        <w:rPr>
          <w:sz w:val="20"/>
          <w:lang w:val="en-GB"/>
        </w:rPr>
      </w:r>
      <w:r w:rsidR="00D938A6">
        <w:rPr>
          <w:sz w:val="20"/>
          <w:lang w:val="en-GB"/>
        </w:rPr>
        <w:fldChar w:fldCharType="separate"/>
      </w:r>
      <w:r w:rsidR="00C775D0">
        <w:rPr>
          <w:sz w:val="20"/>
          <w:lang w:val="en-GB"/>
        </w:rPr>
        <w:t>115</w:t>
      </w:r>
      <w:r w:rsidR="00D938A6">
        <w:rPr>
          <w:sz w:val="20"/>
          <w:lang w:val="en-GB"/>
        </w:rPr>
        <w:fldChar w:fldCharType="end"/>
      </w:r>
      <w:r w:rsidR="00D938A6">
        <w:rPr>
          <w:sz w:val="20"/>
          <w:lang w:val="en-GB"/>
        </w:rPr>
        <w:t xml:space="preserve"> below.</w:t>
      </w:r>
    </w:p>
    <w:p w14:paraId="7FC2B4CC" w14:textId="2B89735E" w:rsidR="00C26A1A" w:rsidRPr="0008442A" w:rsidRDefault="00D938A6" w:rsidP="006A5D08">
      <w:pPr>
        <w:pStyle w:val="SingleTxtG"/>
        <w:autoSpaceDE w:val="0"/>
        <w:autoSpaceDN w:val="0"/>
        <w:adjustRightInd w:val="0"/>
        <w:ind w:right="0"/>
        <w:outlineLvl w:val="0"/>
        <w:rPr>
          <w:b/>
          <w:sz w:val="20"/>
          <w:lang w:val="en-GB"/>
        </w:rPr>
      </w:pPr>
      <w:r>
        <w:rPr>
          <w:b/>
          <w:sz w:val="20"/>
          <w:lang w:val="en-GB"/>
        </w:rPr>
        <w:t>Applicability of a</w:t>
      </w:r>
      <w:r w:rsidR="00C26A1A" w:rsidRPr="0008442A">
        <w:rPr>
          <w:b/>
          <w:sz w:val="20"/>
          <w:lang w:val="en-GB"/>
        </w:rPr>
        <w:t xml:space="preserve">rticle </w:t>
      </w:r>
      <w:r w:rsidR="003D66B8" w:rsidRPr="0008442A">
        <w:rPr>
          <w:b/>
          <w:sz w:val="20"/>
          <w:lang w:val="en-GB"/>
        </w:rPr>
        <w:t>6(10)</w:t>
      </w:r>
      <w:r w:rsidR="00C26A1A" w:rsidRPr="0008442A">
        <w:rPr>
          <w:b/>
          <w:sz w:val="20"/>
          <w:lang w:val="en-GB"/>
        </w:rPr>
        <w:t xml:space="preserve"> </w:t>
      </w:r>
    </w:p>
    <w:p w14:paraId="6B9EF8EF" w14:textId="1BE0BAE4" w:rsidR="005C75FD" w:rsidRPr="0008442A" w:rsidRDefault="005C75FD" w:rsidP="006A5D08">
      <w:pPr>
        <w:pStyle w:val="SingleTxtG"/>
        <w:autoSpaceDE w:val="0"/>
        <w:autoSpaceDN w:val="0"/>
        <w:adjustRightInd w:val="0"/>
        <w:ind w:right="0"/>
        <w:outlineLvl w:val="0"/>
        <w:rPr>
          <w:i/>
          <w:sz w:val="20"/>
          <w:lang w:val="en-GB"/>
        </w:rPr>
      </w:pPr>
      <w:r w:rsidRPr="0008442A">
        <w:rPr>
          <w:i/>
          <w:sz w:val="20"/>
          <w:lang w:val="en-GB"/>
        </w:rPr>
        <w:t>Activities referred to in article 6</w:t>
      </w:r>
      <w:r w:rsidR="003D66B8" w:rsidRPr="0008442A">
        <w:rPr>
          <w:i/>
          <w:sz w:val="20"/>
          <w:lang w:val="en-GB"/>
        </w:rPr>
        <w:t>(</w:t>
      </w:r>
      <w:r w:rsidRPr="0008442A">
        <w:rPr>
          <w:i/>
          <w:sz w:val="20"/>
          <w:lang w:val="en-GB"/>
        </w:rPr>
        <w:t>1</w:t>
      </w:r>
      <w:r w:rsidR="003D66B8" w:rsidRPr="0008442A">
        <w:rPr>
          <w:i/>
          <w:sz w:val="20"/>
          <w:lang w:val="en-GB"/>
        </w:rPr>
        <w:t>)</w:t>
      </w:r>
    </w:p>
    <w:p w14:paraId="1732B89E" w14:textId="531BB1F7" w:rsidR="00BC4141" w:rsidRPr="0008442A" w:rsidRDefault="00413474" w:rsidP="006A5D08">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A</w:t>
      </w:r>
      <w:r w:rsidR="005C75FD" w:rsidRPr="0008442A">
        <w:rPr>
          <w:sz w:val="20"/>
          <w:lang w:val="en-GB"/>
        </w:rPr>
        <w:t>rticle 6</w:t>
      </w:r>
      <w:r w:rsidR="003D66B8" w:rsidRPr="0008442A">
        <w:rPr>
          <w:sz w:val="20"/>
          <w:lang w:val="en-GB"/>
        </w:rPr>
        <w:t>(</w:t>
      </w:r>
      <w:r w:rsidR="005C75FD" w:rsidRPr="0008442A">
        <w:rPr>
          <w:sz w:val="20"/>
          <w:lang w:val="en-GB"/>
        </w:rPr>
        <w:t>10</w:t>
      </w:r>
      <w:r w:rsidR="003D66B8" w:rsidRPr="0008442A">
        <w:rPr>
          <w:sz w:val="20"/>
          <w:lang w:val="en-GB"/>
        </w:rPr>
        <w:t>)</w:t>
      </w:r>
      <w:r w:rsidR="005C75FD" w:rsidRPr="0008442A">
        <w:rPr>
          <w:sz w:val="20"/>
          <w:lang w:val="en-GB"/>
        </w:rPr>
        <w:t xml:space="preserve"> of the Convention only applies to activities that fall under article 6</w:t>
      </w:r>
      <w:r w:rsidR="009B64D5" w:rsidRPr="0008442A">
        <w:rPr>
          <w:sz w:val="20"/>
          <w:lang w:val="en-GB"/>
        </w:rPr>
        <w:t>(</w:t>
      </w:r>
      <w:r w:rsidR="005C75FD" w:rsidRPr="0008442A">
        <w:rPr>
          <w:sz w:val="20"/>
          <w:lang w:val="en-GB"/>
        </w:rPr>
        <w:t>1</w:t>
      </w:r>
      <w:r w:rsidR="009B64D5" w:rsidRPr="0008442A">
        <w:rPr>
          <w:sz w:val="20"/>
          <w:lang w:val="en-GB"/>
        </w:rPr>
        <w:t>)</w:t>
      </w:r>
      <w:r w:rsidR="005C75FD" w:rsidRPr="0008442A">
        <w:rPr>
          <w:sz w:val="20"/>
          <w:lang w:val="en-GB"/>
        </w:rPr>
        <w:t xml:space="preserve">. </w:t>
      </w:r>
      <w:r w:rsidR="00D9015B" w:rsidRPr="008B183A">
        <w:rPr>
          <w:sz w:val="20"/>
          <w:szCs w:val="20"/>
          <w:lang w:val="en-GB"/>
        </w:rPr>
        <w:t>As the communicant submits</w:t>
      </w:r>
      <w:r w:rsidR="005C75FD" w:rsidRPr="0008442A">
        <w:rPr>
          <w:sz w:val="20"/>
          <w:lang w:val="en-GB"/>
        </w:rPr>
        <w:t xml:space="preserve">, the activities listed in annex I of the </w:t>
      </w:r>
      <w:r w:rsidR="00940059" w:rsidRPr="0008442A">
        <w:rPr>
          <w:sz w:val="20"/>
          <w:lang w:val="en-GB"/>
        </w:rPr>
        <w:t>IED</w:t>
      </w:r>
      <w:r w:rsidR="005C75FD" w:rsidRPr="0008442A">
        <w:rPr>
          <w:sz w:val="20"/>
          <w:lang w:val="en-GB"/>
        </w:rPr>
        <w:t xml:space="preserve"> are to a large </w:t>
      </w:r>
      <w:r w:rsidRPr="0008442A">
        <w:rPr>
          <w:sz w:val="20"/>
          <w:lang w:val="en-GB"/>
        </w:rPr>
        <w:t xml:space="preserve">extent </w:t>
      </w:r>
      <w:r w:rsidR="005C75FD" w:rsidRPr="0008442A">
        <w:rPr>
          <w:sz w:val="20"/>
          <w:lang w:val="en-GB"/>
        </w:rPr>
        <w:t>the same or almost the same as those listed in annex I to the Convention</w:t>
      </w:r>
      <w:r w:rsidR="005C75FD" w:rsidRPr="008B183A">
        <w:rPr>
          <w:sz w:val="20"/>
          <w:szCs w:val="20"/>
          <w:lang w:val="en-GB"/>
        </w:rPr>
        <w:t>.</w:t>
      </w:r>
      <w:r w:rsidR="005C75FD" w:rsidRPr="0008442A">
        <w:rPr>
          <w:sz w:val="20"/>
          <w:lang w:val="en-GB"/>
        </w:rPr>
        <w:t xml:space="preserve"> </w:t>
      </w:r>
      <w:r w:rsidR="00A40A39" w:rsidRPr="0008442A">
        <w:rPr>
          <w:sz w:val="20"/>
          <w:lang w:val="en-GB"/>
        </w:rPr>
        <w:t>The Committee considers that the communicant’s allegation</w:t>
      </w:r>
      <w:r w:rsidR="00C81E6C" w:rsidRPr="0008442A">
        <w:rPr>
          <w:sz w:val="20"/>
          <w:lang w:val="en-GB"/>
        </w:rPr>
        <w:t>s</w:t>
      </w:r>
      <w:r w:rsidR="00A40A39" w:rsidRPr="0008442A">
        <w:rPr>
          <w:sz w:val="20"/>
          <w:lang w:val="en-GB"/>
        </w:rPr>
        <w:t xml:space="preserve"> relate to provisions of the IED that regulate th</w:t>
      </w:r>
      <w:r w:rsidR="00840243" w:rsidRPr="0008442A">
        <w:rPr>
          <w:sz w:val="20"/>
          <w:lang w:val="en-GB"/>
        </w:rPr>
        <w:t xml:space="preserve">e decision-making </w:t>
      </w:r>
      <w:r w:rsidR="00D22A7B">
        <w:rPr>
          <w:sz w:val="20"/>
          <w:lang w:val="en-GB"/>
        </w:rPr>
        <w:t xml:space="preserve">to permit </w:t>
      </w:r>
      <w:r w:rsidR="00840243" w:rsidRPr="0008442A">
        <w:rPr>
          <w:sz w:val="20"/>
          <w:lang w:val="en-GB"/>
        </w:rPr>
        <w:t>these activities.</w:t>
      </w:r>
      <w:r w:rsidR="00A40A39" w:rsidRPr="0008442A">
        <w:rPr>
          <w:sz w:val="20"/>
          <w:lang w:val="en-GB"/>
        </w:rPr>
        <w:t xml:space="preserve"> </w:t>
      </w:r>
      <w:r w:rsidR="005C75FD" w:rsidRPr="0008442A">
        <w:rPr>
          <w:sz w:val="20"/>
          <w:lang w:val="en-GB"/>
        </w:rPr>
        <w:t xml:space="preserve">This does not appear to be disputed by the Party concerned. The Committee accordingly </w:t>
      </w:r>
      <w:r w:rsidR="00762626" w:rsidRPr="0008442A">
        <w:rPr>
          <w:sz w:val="20"/>
          <w:lang w:val="en-GB"/>
        </w:rPr>
        <w:t>examines the compliance of the Party concerned with respect to</w:t>
      </w:r>
      <w:r w:rsidRPr="0008442A">
        <w:rPr>
          <w:sz w:val="20"/>
          <w:lang w:val="en-GB"/>
        </w:rPr>
        <w:t xml:space="preserve"> </w:t>
      </w:r>
      <w:r w:rsidR="005C75FD" w:rsidRPr="0008442A">
        <w:rPr>
          <w:sz w:val="20"/>
          <w:lang w:val="en-GB"/>
        </w:rPr>
        <w:t>activities that fall under the scope of article 6</w:t>
      </w:r>
      <w:r w:rsidR="00641F7A" w:rsidRPr="0008442A">
        <w:rPr>
          <w:sz w:val="20"/>
          <w:lang w:val="en-GB"/>
        </w:rPr>
        <w:t>(</w:t>
      </w:r>
      <w:r w:rsidR="005C75FD" w:rsidRPr="0008442A">
        <w:rPr>
          <w:sz w:val="20"/>
          <w:lang w:val="en-GB"/>
        </w:rPr>
        <w:t>1</w:t>
      </w:r>
      <w:r w:rsidR="00641F7A" w:rsidRPr="0008442A">
        <w:rPr>
          <w:sz w:val="20"/>
          <w:lang w:val="en-GB"/>
        </w:rPr>
        <w:t>)</w:t>
      </w:r>
      <w:r w:rsidR="005C75FD" w:rsidRPr="0008442A">
        <w:rPr>
          <w:sz w:val="20"/>
          <w:lang w:val="en-GB"/>
        </w:rPr>
        <w:t xml:space="preserve"> of the Convention.</w:t>
      </w:r>
    </w:p>
    <w:p w14:paraId="1832B27A" w14:textId="6CFAF1C3" w:rsidR="00BC4141" w:rsidRPr="0008442A" w:rsidRDefault="00BC4141" w:rsidP="006A5D08">
      <w:pPr>
        <w:pStyle w:val="SingleTxtG"/>
        <w:autoSpaceDE w:val="0"/>
        <w:autoSpaceDN w:val="0"/>
        <w:adjustRightInd w:val="0"/>
        <w:ind w:right="0"/>
        <w:rPr>
          <w:i/>
          <w:sz w:val="20"/>
          <w:lang w:val="en-GB"/>
        </w:rPr>
      </w:pPr>
      <w:r w:rsidRPr="0008442A">
        <w:rPr>
          <w:i/>
          <w:sz w:val="20"/>
          <w:lang w:val="en-GB"/>
        </w:rPr>
        <w:t>Reconsideration or update of operating conditions</w:t>
      </w:r>
    </w:p>
    <w:p w14:paraId="41121239" w14:textId="28054BD9" w:rsidR="003224AA" w:rsidRPr="0008442A" w:rsidRDefault="00BC4141" w:rsidP="006A5D08">
      <w:pPr>
        <w:pStyle w:val="SingleTxtG"/>
        <w:numPr>
          <w:ilvl w:val="0"/>
          <w:numId w:val="3"/>
        </w:numPr>
        <w:tabs>
          <w:tab w:val="clear" w:pos="1853"/>
          <w:tab w:val="num" w:pos="1701"/>
        </w:tabs>
        <w:autoSpaceDE w:val="0"/>
        <w:autoSpaceDN w:val="0"/>
        <w:adjustRightInd w:val="0"/>
        <w:ind w:left="1134" w:right="0" w:firstLine="0"/>
        <w:rPr>
          <w:sz w:val="20"/>
        </w:rPr>
      </w:pPr>
      <w:r w:rsidRPr="0008442A">
        <w:rPr>
          <w:sz w:val="20"/>
          <w:lang w:val="en-GB"/>
        </w:rPr>
        <w:t>The Com</w:t>
      </w:r>
      <w:r w:rsidR="00006CDD" w:rsidRPr="0008442A">
        <w:rPr>
          <w:sz w:val="20"/>
          <w:lang w:val="en-GB"/>
        </w:rPr>
        <w:t xml:space="preserve">mittee </w:t>
      </w:r>
      <w:r w:rsidR="00D938A6">
        <w:rPr>
          <w:sz w:val="20"/>
          <w:lang w:val="en-GB"/>
        </w:rPr>
        <w:t>next considers</w:t>
      </w:r>
      <w:r w:rsidR="005C75FD" w:rsidRPr="0008442A">
        <w:rPr>
          <w:sz w:val="20"/>
          <w:lang w:val="en-GB"/>
        </w:rPr>
        <w:t xml:space="preserve"> whether the submission</w:t>
      </w:r>
      <w:r w:rsidR="00413474" w:rsidRPr="0008442A">
        <w:rPr>
          <w:sz w:val="20"/>
          <w:lang w:val="en-GB"/>
        </w:rPr>
        <w:t>s</w:t>
      </w:r>
      <w:r w:rsidR="005C75FD" w:rsidRPr="0008442A">
        <w:rPr>
          <w:sz w:val="20"/>
          <w:lang w:val="en-GB"/>
        </w:rPr>
        <w:t xml:space="preserve"> of the communicant relate to </w:t>
      </w:r>
      <w:r w:rsidR="007A5C5E" w:rsidRPr="0008442A">
        <w:rPr>
          <w:sz w:val="20"/>
          <w:lang w:val="en-GB"/>
        </w:rPr>
        <w:t>“</w:t>
      </w:r>
      <w:r w:rsidR="005C75FD" w:rsidRPr="0008442A">
        <w:rPr>
          <w:sz w:val="20"/>
          <w:lang w:val="en-GB"/>
        </w:rPr>
        <w:t>reconsiderations or updates of the operating conditions</w:t>
      </w:r>
      <w:r w:rsidR="007A5C5E" w:rsidRPr="0008442A">
        <w:rPr>
          <w:sz w:val="20"/>
          <w:lang w:val="en-GB"/>
        </w:rPr>
        <w:t>”</w:t>
      </w:r>
      <w:r w:rsidR="005C75FD" w:rsidRPr="0008442A">
        <w:rPr>
          <w:sz w:val="20"/>
          <w:lang w:val="en-GB"/>
        </w:rPr>
        <w:t xml:space="preserve"> of such activities</w:t>
      </w:r>
      <w:r w:rsidR="007A5C5E" w:rsidRPr="0008442A">
        <w:rPr>
          <w:sz w:val="20"/>
          <w:lang w:val="en-GB"/>
        </w:rPr>
        <w:t xml:space="preserve"> in the sense of article 6</w:t>
      </w:r>
      <w:r w:rsidR="00B43DF0" w:rsidRPr="0008442A">
        <w:rPr>
          <w:sz w:val="20"/>
          <w:lang w:val="en-GB"/>
        </w:rPr>
        <w:t>(</w:t>
      </w:r>
      <w:r w:rsidR="007A5C5E" w:rsidRPr="0008442A">
        <w:rPr>
          <w:sz w:val="20"/>
          <w:lang w:val="en-GB"/>
        </w:rPr>
        <w:t>10</w:t>
      </w:r>
      <w:r w:rsidR="00B43DF0" w:rsidRPr="0008442A">
        <w:rPr>
          <w:sz w:val="20"/>
          <w:lang w:val="en-GB"/>
        </w:rPr>
        <w:t>)</w:t>
      </w:r>
      <w:r w:rsidR="007A5C5E" w:rsidRPr="0008442A">
        <w:rPr>
          <w:sz w:val="20"/>
          <w:lang w:val="en-GB"/>
        </w:rPr>
        <w:t xml:space="preserve"> of the Convention</w:t>
      </w:r>
      <w:r w:rsidR="005C75FD" w:rsidRPr="0008442A">
        <w:rPr>
          <w:sz w:val="20"/>
          <w:lang w:val="en-GB"/>
        </w:rPr>
        <w:t>.</w:t>
      </w:r>
      <w:r w:rsidR="003224AA" w:rsidRPr="0008442A">
        <w:rPr>
          <w:sz w:val="20"/>
          <w:u w:val="single"/>
        </w:rPr>
        <w:t xml:space="preserve"> </w:t>
      </w:r>
    </w:p>
    <w:p w14:paraId="6D51E1BB" w14:textId="63704B4E" w:rsidR="005E26A0" w:rsidRPr="0008442A" w:rsidRDefault="00945D79" w:rsidP="006A5D08">
      <w:pPr>
        <w:numPr>
          <w:ilvl w:val="0"/>
          <w:numId w:val="3"/>
        </w:numPr>
        <w:tabs>
          <w:tab w:val="clear" w:pos="1853"/>
          <w:tab w:val="num" w:pos="1701"/>
        </w:tabs>
        <w:autoSpaceDE w:val="0"/>
        <w:autoSpaceDN w:val="0"/>
        <w:adjustRightInd w:val="0"/>
        <w:spacing w:after="160"/>
        <w:ind w:left="1134" w:firstLine="0"/>
        <w:jc w:val="both"/>
        <w:rPr>
          <w:sz w:val="20"/>
          <w:lang w:val="en-GB"/>
        </w:rPr>
      </w:pPr>
      <w:r w:rsidRPr="0008442A">
        <w:rPr>
          <w:sz w:val="20"/>
          <w:lang w:val="en-GB"/>
        </w:rPr>
        <w:t>T</w:t>
      </w:r>
      <w:r w:rsidR="005E26A0" w:rsidRPr="0008442A">
        <w:rPr>
          <w:sz w:val="20"/>
          <w:lang w:val="en-GB"/>
        </w:rPr>
        <w:t>he Committee notes that the relevant provision</w:t>
      </w:r>
      <w:r w:rsidR="000554B0" w:rsidRPr="0008442A">
        <w:rPr>
          <w:sz w:val="20"/>
          <w:lang w:val="en-GB"/>
        </w:rPr>
        <w:t>s</w:t>
      </w:r>
      <w:r w:rsidR="005E26A0" w:rsidRPr="0008442A">
        <w:rPr>
          <w:sz w:val="20"/>
          <w:lang w:val="en-GB"/>
        </w:rPr>
        <w:t xml:space="preserve"> of the IED </w:t>
      </w:r>
      <w:r w:rsidR="000554B0" w:rsidRPr="0008442A">
        <w:rPr>
          <w:sz w:val="20"/>
          <w:lang w:val="en-GB"/>
        </w:rPr>
        <w:t xml:space="preserve">in the case of </w:t>
      </w:r>
      <w:r w:rsidR="008E6ACD" w:rsidRPr="0008442A">
        <w:rPr>
          <w:sz w:val="20"/>
          <w:lang w:val="en-GB"/>
        </w:rPr>
        <w:t xml:space="preserve">the publication of new BAT conclusions and developments in the BATs, operational safety requirements and compliance with new or revised environmental quality standards </w:t>
      </w:r>
      <w:r w:rsidR="005E26A0" w:rsidRPr="0008442A">
        <w:rPr>
          <w:sz w:val="20"/>
          <w:lang w:val="en-GB"/>
        </w:rPr>
        <w:t>(article 21</w:t>
      </w:r>
      <w:r w:rsidR="008929CD" w:rsidRPr="0008442A">
        <w:rPr>
          <w:sz w:val="20"/>
          <w:lang w:val="en-GB"/>
        </w:rPr>
        <w:t>(</w:t>
      </w:r>
      <w:r w:rsidR="005E26A0" w:rsidRPr="0008442A">
        <w:rPr>
          <w:sz w:val="20"/>
          <w:lang w:val="en-GB"/>
        </w:rPr>
        <w:t>3</w:t>
      </w:r>
      <w:r w:rsidR="008929CD" w:rsidRPr="0008442A">
        <w:rPr>
          <w:sz w:val="20"/>
          <w:lang w:val="en-GB"/>
        </w:rPr>
        <w:t>)</w:t>
      </w:r>
      <w:r w:rsidR="005E26A0" w:rsidRPr="0008442A">
        <w:rPr>
          <w:sz w:val="20"/>
          <w:lang w:val="en-GB"/>
        </w:rPr>
        <w:t xml:space="preserve">, </w:t>
      </w:r>
      <w:r w:rsidR="008929CD" w:rsidRPr="0008442A">
        <w:rPr>
          <w:sz w:val="20"/>
          <w:lang w:val="en-GB"/>
        </w:rPr>
        <w:t>(</w:t>
      </w:r>
      <w:r w:rsidR="005E26A0" w:rsidRPr="0008442A">
        <w:rPr>
          <w:sz w:val="20"/>
          <w:lang w:val="en-GB"/>
        </w:rPr>
        <w:t>4</w:t>
      </w:r>
      <w:r w:rsidR="008929CD" w:rsidRPr="0008442A">
        <w:rPr>
          <w:sz w:val="20"/>
          <w:lang w:val="en-GB"/>
        </w:rPr>
        <w:t>)</w:t>
      </w:r>
      <w:r w:rsidR="005E26A0" w:rsidRPr="0008442A">
        <w:rPr>
          <w:sz w:val="20"/>
          <w:lang w:val="en-GB"/>
        </w:rPr>
        <w:t xml:space="preserve">, </w:t>
      </w:r>
      <w:r w:rsidR="008929CD" w:rsidRPr="0008442A">
        <w:rPr>
          <w:sz w:val="20"/>
          <w:lang w:val="en-GB"/>
        </w:rPr>
        <w:t>(</w:t>
      </w:r>
      <w:r w:rsidR="005E26A0" w:rsidRPr="0008442A">
        <w:rPr>
          <w:sz w:val="20"/>
          <w:lang w:val="en-GB"/>
        </w:rPr>
        <w:t>5</w:t>
      </w:r>
      <w:r w:rsidR="008929CD" w:rsidRPr="0008442A">
        <w:rPr>
          <w:sz w:val="20"/>
          <w:lang w:val="en-GB"/>
        </w:rPr>
        <w:t>)</w:t>
      </w:r>
      <w:r w:rsidR="005E26A0" w:rsidRPr="0008442A">
        <w:rPr>
          <w:sz w:val="20"/>
          <w:lang w:val="en-GB"/>
        </w:rPr>
        <w:t xml:space="preserve"> (b)</w:t>
      </w:r>
      <w:r w:rsidR="008929CD" w:rsidRPr="0008442A">
        <w:rPr>
          <w:sz w:val="20"/>
          <w:lang w:val="en-GB"/>
        </w:rPr>
        <w:t xml:space="preserve"> and </w:t>
      </w:r>
      <w:r w:rsidR="005E26A0" w:rsidRPr="0008442A">
        <w:rPr>
          <w:sz w:val="20"/>
          <w:lang w:val="en-GB"/>
        </w:rPr>
        <w:t xml:space="preserve">(c)) </w:t>
      </w:r>
      <w:r w:rsidR="003E44D7">
        <w:rPr>
          <w:sz w:val="20"/>
          <w:lang w:val="en-GB"/>
        </w:rPr>
        <w:t xml:space="preserve">expressly </w:t>
      </w:r>
      <w:r w:rsidR="005E26A0" w:rsidRPr="0008442A">
        <w:rPr>
          <w:sz w:val="20"/>
          <w:lang w:val="en-GB"/>
        </w:rPr>
        <w:t xml:space="preserve">refer to </w:t>
      </w:r>
      <w:r w:rsidR="00D938A6">
        <w:rPr>
          <w:sz w:val="20"/>
          <w:lang w:val="en-GB"/>
        </w:rPr>
        <w:t xml:space="preserve">the </w:t>
      </w:r>
      <w:r w:rsidR="005E26A0" w:rsidRPr="0008442A">
        <w:rPr>
          <w:sz w:val="20"/>
          <w:lang w:val="en-GB"/>
        </w:rPr>
        <w:t xml:space="preserve">reconsideration and, </w:t>
      </w:r>
      <w:r w:rsidR="001179A9">
        <w:rPr>
          <w:sz w:val="20"/>
          <w:lang w:val="en-GB"/>
        </w:rPr>
        <w:t>where</w:t>
      </w:r>
      <w:r w:rsidR="001179A9" w:rsidRPr="0008442A">
        <w:rPr>
          <w:sz w:val="20"/>
          <w:lang w:val="en-GB"/>
        </w:rPr>
        <w:t xml:space="preserve"> </w:t>
      </w:r>
      <w:r w:rsidR="005E26A0" w:rsidRPr="0008442A">
        <w:rPr>
          <w:sz w:val="20"/>
          <w:lang w:val="en-GB"/>
        </w:rPr>
        <w:t xml:space="preserve">necessary, updating of the permit conditions. </w:t>
      </w:r>
      <w:r w:rsidR="008E6ACD" w:rsidRPr="0008442A">
        <w:rPr>
          <w:sz w:val="20"/>
          <w:lang w:val="en-GB"/>
        </w:rPr>
        <w:t>In addition to the</w:t>
      </w:r>
      <w:r w:rsidR="0084338A" w:rsidRPr="0008442A">
        <w:rPr>
          <w:sz w:val="20"/>
          <w:lang w:val="en-GB"/>
        </w:rPr>
        <w:t xml:space="preserve"> wording of the</w:t>
      </w:r>
      <w:r w:rsidR="008E6ACD" w:rsidRPr="0008442A">
        <w:rPr>
          <w:sz w:val="20"/>
          <w:lang w:val="en-GB"/>
        </w:rPr>
        <w:t>se</w:t>
      </w:r>
      <w:r w:rsidR="0084338A" w:rsidRPr="0008442A">
        <w:rPr>
          <w:sz w:val="20"/>
          <w:lang w:val="en-GB"/>
        </w:rPr>
        <w:t xml:space="preserve"> provision</w:t>
      </w:r>
      <w:r w:rsidR="008E6ACD" w:rsidRPr="0008442A">
        <w:rPr>
          <w:sz w:val="20"/>
          <w:lang w:val="en-GB"/>
        </w:rPr>
        <w:t>s</w:t>
      </w:r>
      <w:r w:rsidR="005E26A0" w:rsidRPr="0008442A">
        <w:rPr>
          <w:sz w:val="20"/>
          <w:lang w:val="en-GB"/>
        </w:rPr>
        <w:t xml:space="preserve">, the Committee considers that substantively the reconsideration of permit conditions related to </w:t>
      </w:r>
      <w:r w:rsidR="008E6ACD" w:rsidRPr="0008442A">
        <w:rPr>
          <w:sz w:val="20"/>
          <w:lang w:val="en-GB"/>
        </w:rPr>
        <w:t>these three cases</w:t>
      </w:r>
      <w:r w:rsidR="005E26A0" w:rsidRPr="0008442A">
        <w:rPr>
          <w:sz w:val="20"/>
          <w:lang w:val="en-GB"/>
        </w:rPr>
        <w:t xml:space="preserve"> are clear examples of a reconsideration or update of operating conditions in the sense of the Convention. This </w:t>
      </w:r>
      <w:r w:rsidR="0023546D">
        <w:rPr>
          <w:sz w:val="20"/>
          <w:lang w:val="en-GB"/>
        </w:rPr>
        <w:t xml:space="preserve">does not seem </w:t>
      </w:r>
      <w:r w:rsidR="005E26A0" w:rsidRPr="0008442A">
        <w:rPr>
          <w:sz w:val="20"/>
          <w:lang w:val="en-GB"/>
        </w:rPr>
        <w:t xml:space="preserve">disputed by the Party concerned. </w:t>
      </w:r>
    </w:p>
    <w:p w14:paraId="794DB8A5" w14:textId="59F47791" w:rsidR="00E137E4" w:rsidRDefault="00E137E4" w:rsidP="00990D58">
      <w:pPr>
        <w:pStyle w:val="SingleTxtG"/>
        <w:numPr>
          <w:ilvl w:val="0"/>
          <w:numId w:val="3"/>
        </w:numPr>
        <w:tabs>
          <w:tab w:val="clear" w:pos="1853"/>
          <w:tab w:val="num" w:pos="1701"/>
        </w:tabs>
        <w:autoSpaceDE w:val="0"/>
        <w:autoSpaceDN w:val="0"/>
        <w:adjustRightInd w:val="0"/>
        <w:ind w:left="1134" w:right="0" w:firstLine="0"/>
        <w:rPr>
          <w:sz w:val="20"/>
          <w:lang w:val="en-GB"/>
        </w:rPr>
      </w:pPr>
      <w:bookmarkStart w:id="49" w:name="_Ref510793558"/>
      <w:r w:rsidRPr="0008442A">
        <w:rPr>
          <w:sz w:val="20"/>
          <w:lang w:val="en-GB"/>
        </w:rPr>
        <w:t>The Committee accordingly considers that</w:t>
      </w:r>
      <w:r w:rsidR="00082336">
        <w:rPr>
          <w:sz w:val="20"/>
          <w:lang w:val="en-GB"/>
        </w:rPr>
        <w:t xml:space="preserve">, </w:t>
      </w:r>
      <w:r w:rsidR="00082336" w:rsidRPr="0008442A">
        <w:rPr>
          <w:sz w:val="20"/>
          <w:lang w:val="en-GB"/>
        </w:rPr>
        <w:t xml:space="preserve">by requiring the </w:t>
      </w:r>
      <w:r w:rsidR="0041395E">
        <w:rPr>
          <w:sz w:val="20"/>
          <w:lang w:val="en-GB"/>
        </w:rPr>
        <w:t xml:space="preserve">competent </w:t>
      </w:r>
      <w:r w:rsidR="00082336" w:rsidRPr="0008442A">
        <w:rPr>
          <w:sz w:val="20"/>
          <w:lang w:val="en-GB"/>
        </w:rPr>
        <w:t xml:space="preserve">public authorities to reconsider and, if necessary, update the “permit conditions” of existing </w:t>
      </w:r>
      <w:r w:rsidR="00082336" w:rsidRPr="0008442A">
        <w:rPr>
          <w:sz w:val="20"/>
          <w:lang w:val="en-GB"/>
        </w:rPr>
        <w:lastRenderedPageBreak/>
        <w:t>industrial facilities for changes in BATs, operational safety requirements or environmental quality standards</w:t>
      </w:r>
      <w:r w:rsidR="0041395E">
        <w:rPr>
          <w:sz w:val="20"/>
          <w:lang w:val="en-GB"/>
        </w:rPr>
        <w:t>,</w:t>
      </w:r>
      <w:r w:rsidRPr="0008442A">
        <w:rPr>
          <w:sz w:val="20"/>
          <w:lang w:val="en-GB"/>
        </w:rPr>
        <w:t xml:space="preserve"> article 21</w:t>
      </w:r>
      <w:r w:rsidR="00774E93" w:rsidRPr="0008442A">
        <w:rPr>
          <w:sz w:val="20"/>
          <w:lang w:val="en-GB"/>
        </w:rPr>
        <w:t>(</w:t>
      </w:r>
      <w:r w:rsidRPr="0008442A">
        <w:rPr>
          <w:sz w:val="20"/>
          <w:lang w:val="en-GB"/>
        </w:rPr>
        <w:t>3</w:t>
      </w:r>
      <w:r w:rsidR="00774E93" w:rsidRPr="0008442A">
        <w:rPr>
          <w:sz w:val="20"/>
          <w:lang w:val="en-GB"/>
        </w:rPr>
        <w:t>)</w:t>
      </w:r>
      <w:r w:rsidRPr="0008442A">
        <w:rPr>
          <w:sz w:val="20"/>
          <w:lang w:val="en-GB"/>
        </w:rPr>
        <w:t xml:space="preserve"> and </w:t>
      </w:r>
      <w:r w:rsidR="00774E93" w:rsidRPr="0008442A">
        <w:rPr>
          <w:sz w:val="20"/>
          <w:lang w:val="en-GB"/>
        </w:rPr>
        <w:t>(</w:t>
      </w:r>
      <w:r w:rsidRPr="0008442A">
        <w:rPr>
          <w:sz w:val="20"/>
          <w:lang w:val="en-GB"/>
        </w:rPr>
        <w:t>4</w:t>
      </w:r>
      <w:r w:rsidR="00774E93" w:rsidRPr="0008442A">
        <w:rPr>
          <w:sz w:val="20"/>
          <w:lang w:val="en-GB"/>
        </w:rPr>
        <w:t>)</w:t>
      </w:r>
      <w:r w:rsidRPr="0008442A">
        <w:rPr>
          <w:sz w:val="20"/>
          <w:lang w:val="en-GB"/>
        </w:rPr>
        <w:t xml:space="preserve">, </w:t>
      </w:r>
      <w:r w:rsidR="00774E93" w:rsidRPr="0008442A">
        <w:rPr>
          <w:sz w:val="20"/>
          <w:lang w:val="en-GB"/>
        </w:rPr>
        <w:t>(</w:t>
      </w:r>
      <w:r w:rsidRPr="0008442A">
        <w:rPr>
          <w:sz w:val="20"/>
          <w:lang w:val="en-GB"/>
        </w:rPr>
        <w:t>5</w:t>
      </w:r>
      <w:r w:rsidR="00774E93" w:rsidRPr="0008442A">
        <w:rPr>
          <w:sz w:val="20"/>
          <w:lang w:val="en-GB"/>
        </w:rPr>
        <w:t>)</w:t>
      </w:r>
      <w:r w:rsidRPr="0008442A">
        <w:rPr>
          <w:sz w:val="20"/>
          <w:lang w:val="en-GB"/>
        </w:rPr>
        <w:t>(b) and</w:t>
      </w:r>
      <w:r w:rsidR="00C6513F" w:rsidRPr="0008442A">
        <w:rPr>
          <w:sz w:val="20"/>
          <w:lang w:val="en-GB"/>
        </w:rPr>
        <w:t xml:space="preserve"> (</w:t>
      </w:r>
      <w:r w:rsidRPr="0008442A">
        <w:rPr>
          <w:sz w:val="20"/>
          <w:lang w:val="en-GB"/>
        </w:rPr>
        <w:t>c) are to be characterized as reconsiderations and updates of operating conditions in the meaning of</w:t>
      </w:r>
      <w:r w:rsidR="005C75FD" w:rsidRPr="0008442A">
        <w:rPr>
          <w:sz w:val="20"/>
          <w:lang w:val="en-GB"/>
        </w:rPr>
        <w:t xml:space="preserve"> article 6</w:t>
      </w:r>
      <w:r w:rsidR="00817A30" w:rsidRPr="0008442A">
        <w:rPr>
          <w:sz w:val="20"/>
          <w:lang w:val="en-GB"/>
        </w:rPr>
        <w:t>(</w:t>
      </w:r>
      <w:r w:rsidR="005C75FD" w:rsidRPr="0008442A">
        <w:rPr>
          <w:sz w:val="20"/>
          <w:lang w:val="en-GB"/>
        </w:rPr>
        <w:t>10</w:t>
      </w:r>
      <w:r w:rsidR="00817A30" w:rsidRPr="0008442A">
        <w:rPr>
          <w:sz w:val="20"/>
          <w:lang w:val="en-GB"/>
        </w:rPr>
        <w:t>)</w:t>
      </w:r>
      <w:r w:rsidR="005C75FD" w:rsidRPr="0008442A">
        <w:rPr>
          <w:sz w:val="20"/>
          <w:lang w:val="en-GB"/>
        </w:rPr>
        <w:t xml:space="preserve"> of</w:t>
      </w:r>
      <w:r w:rsidRPr="0008442A">
        <w:rPr>
          <w:sz w:val="20"/>
          <w:lang w:val="en-GB"/>
        </w:rPr>
        <w:t xml:space="preserve"> the Convention.</w:t>
      </w:r>
      <w:bookmarkEnd w:id="49"/>
      <w:r w:rsidRPr="0008442A">
        <w:rPr>
          <w:sz w:val="20"/>
          <w:lang w:val="en-GB"/>
        </w:rPr>
        <w:t xml:space="preserve"> </w:t>
      </w:r>
    </w:p>
    <w:p w14:paraId="2F7BE41F" w14:textId="720E765E" w:rsidR="00320BE0" w:rsidRPr="002D1939" w:rsidRDefault="00320BE0" w:rsidP="002D1939">
      <w:pPr>
        <w:pStyle w:val="SingleTxtG"/>
        <w:autoSpaceDE w:val="0"/>
        <w:autoSpaceDN w:val="0"/>
        <w:adjustRightInd w:val="0"/>
        <w:ind w:right="0"/>
        <w:rPr>
          <w:i/>
          <w:iCs/>
          <w:sz w:val="20"/>
          <w:lang w:val="en-GB"/>
        </w:rPr>
      </w:pPr>
      <w:r w:rsidRPr="002D1939">
        <w:rPr>
          <w:i/>
          <w:iCs/>
          <w:sz w:val="20"/>
          <w:lang w:val="en-GB"/>
        </w:rPr>
        <w:t xml:space="preserve">Mutatis mutandis and where appropriate </w:t>
      </w:r>
    </w:p>
    <w:p w14:paraId="54615F19" w14:textId="3FFB5F1F" w:rsidR="00A7615E" w:rsidRPr="0008442A" w:rsidRDefault="00006CDD" w:rsidP="006A5D08">
      <w:pPr>
        <w:pStyle w:val="SingleTxtG"/>
        <w:numPr>
          <w:ilvl w:val="0"/>
          <w:numId w:val="3"/>
        </w:numPr>
        <w:tabs>
          <w:tab w:val="clear" w:pos="1853"/>
          <w:tab w:val="num" w:pos="1701"/>
        </w:tabs>
        <w:autoSpaceDE w:val="0"/>
        <w:autoSpaceDN w:val="0"/>
        <w:adjustRightInd w:val="0"/>
        <w:ind w:left="1134" w:right="0" w:firstLine="0"/>
        <w:rPr>
          <w:sz w:val="20"/>
          <w:lang w:val="en-GB"/>
        </w:rPr>
      </w:pPr>
      <w:r w:rsidRPr="0008442A">
        <w:rPr>
          <w:sz w:val="20"/>
          <w:lang w:val="en-GB"/>
        </w:rPr>
        <w:t xml:space="preserve">The </w:t>
      </w:r>
      <w:r w:rsidR="004C419B" w:rsidRPr="0008442A">
        <w:rPr>
          <w:sz w:val="20"/>
          <w:lang w:val="en-GB"/>
        </w:rPr>
        <w:t>parties disagree</w:t>
      </w:r>
      <w:r w:rsidRPr="0008442A">
        <w:rPr>
          <w:sz w:val="20"/>
          <w:lang w:val="en-GB"/>
        </w:rPr>
        <w:t xml:space="preserve"> as to the </w:t>
      </w:r>
      <w:r w:rsidR="0041395E">
        <w:rPr>
          <w:sz w:val="20"/>
          <w:lang w:val="en-GB"/>
        </w:rPr>
        <w:t>meaning</w:t>
      </w:r>
      <w:r w:rsidR="0041395E" w:rsidRPr="0008442A">
        <w:rPr>
          <w:sz w:val="20"/>
          <w:lang w:val="en-GB"/>
        </w:rPr>
        <w:t xml:space="preserve"> </w:t>
      </w:r>
      <w:r w:rsidRPr="0008442A">
        <w:rPr>
          <w:sz w:val="20"/>
          <w:lang w:val="en-GB"/>
        </w:rPr>
        <w:t>of the terms</w:t>
      </w:r>
      <w:r w:rsidR="00644474" w:rsidRPr="0008442A">
        <w:rPr>
          <w:sz w:val="20"/>
          <w:lang w:val="en-GB"/>
        </w:rPr>
        <w:t xml:space="preserve"> “</w:t>
      </w:r>
      <w:r w:rsidR="00644474" w:rsidRPr="0008442A">
        <w:rPr>
          <w:i/>
          <w:sz w:val="20"/>
          <w:lang w:val="en-GB"/>
        </w:rPr>
        <w:t>mutatis mutandis</w:t>
      </w:r>
      <w:r w:rsidR="00644474" w:rsidRPr="0008442A">
        <w:rPr>
          <w:sz w:val="20"/>
          <w:lang w:val="en-GB"/>
        </w:rPr>
        <w:t xml:space="preserve"> and </w:t>
      </w:r>
      <w:r w:rsidR="008E6ACD" w:rsidRPr="0008442A">
        <w:rPr>
          <w:sz w:val="20"/>
          <w:lang w:val="en-GB"/>
        </w:rPr>
        <w:t>“</w:t>
      </w:r>
      <w:r w:rsidR="00644474" w:rsidRPr="0008442A">
        <w:rPr>
          <w:sz w:val="20"/>
          <w:lang w:val="en-GB"/>
        </w:rPr>
        <w:t>as appropriate” in article 6</w:t>
      </w:r>
      <w:r w:rsidR="001250EA" w:rsidRPr="0008442A">
        <w:rPr>
          <w:sz w:val="20"/>
          <w:lang w:val="en-GB"/>
        </w:rPr>
        <w:t>(</w:t>
      </w:r>
      <w:r w:rsidR="00644474" w:rsidRPr="0008442A">
        <w:rPr>
          <w:sz w:val="20"/>
          <w:lang w:val="en-GB"/>
        </w:rPr>
        <w:t>10</w:t>
      </w:r>
      <w:r w:rsidR="001250EA" w:rsidRPr="0008442A">
        <w:rPr>
          <w:sz w:val="20"/>
          <w:lang w:val="en-GB"/>
        </w:rPr>
        <w:t>)</w:t>
      </w:r>
      <w:r w:rsidR="00644474" w:rsidRPr="0008442A">
        <w:rPr>
          <w:sz w:val="20"/>
          <w:lang w:val="en-GB"/>
        </w:rPr>
        <w:t xml:space="preserve"> of the Convention</w:t>
      </w:r>
      <w:r w:rsidR="005C75FD" w:rsidRPr="0008442A">
        <w:rPr>
          <w:sz w:val="20"/>
          <w:lang w:val="en-GB"/>
        </w:rPr>
        <w:t xml:space="preserve">, </w:t>
      </w:r>
      <w:proofErr w:type="gramStart"/>
      <w:r w:rsidR="005C75FD" w:rsidRPr="0008442A">
        <w:rPr>
          <w:sz w:val="20"/>
          <w:lang w:val="en-GB"/>
        </w:rPr>
        <w:t xml:space="preserve">in particular </w:t>
      </w:r>
      <w:r w:rsidR="00D9015B" w:rsidRPr="008B183A">
        <w:rPr>
          <w:sz w:val="20"/>
          <w:szCs w:val="20"/>
          <w:lang w:val="en-GB"/>
        </w:rPr>
        <w:t>with</w:t>
      </w:r>
      <w:proofErr w:type="gramEnd"/>
      <w:r w:rsidR="00D9015B" w:rsidRPr="008B183A">
        <w:rPr>
          <w:sz w:val="20"/>
          <w:szCs w:val="20"/>
          <w:lang w:val="en-GB"/>
        </w:rPr>
        <w:t xml:space="preserve"> respect to</w:t>
      </w:r>
      <w:r w:rsidR="005C75FD" w:rsidRPr="0008442A">
        <w:rPr>
          <w:sz w:val="20"/>
          <w:lang w:val="en-GB"/>
        </w:rPr>
        <w:t xml:space="preserve"> the margin of discretion awarded to the Parties in implementing this provision</w:t>
      </w:r>
      <w:r w:rsidR="00644474" w:rsidRPr="0008442A">
        <w:rPr>
          <w:sz w:val="20"/>
          <w:lang w:val="en-GB"/>
        </w:rPr>
        <w:t xml:space="preserve">. </w:t>
      </w:r>
      <w:r w:rsidR="00FA3D99" w:rsidRPr="0008442A">
        <w:rPr>
          <w:sz w:val="20"/>
          <w:lang w:val="en-GB"/>
        </w:rPr>
        <w:t>This disagreement goes to the heart of this case.</w:t>
      </w:r>
    </w:p>
    <w:p w14:paraId="368A2583" w14:textId="44F035B2" w:rsidR="005C75FD" w:rsidRPr="0008442A" w:rsidRDefault="005C75FD" w:rsidP="002D1939">
      <w:pPr>
        <w:pStyle w:val="SingleTxtG"/>
        <w:numPr>
          <w:ilvl w:val="0"/>
          <w:numId w:val="29"/>
        </w:numPr>
        <w:autoSpaceDE w:val="0"/>
        <w:autoSpaceDN w:val="0"/>
        <w:adjustRightInd w:val="0"/>
        <w:ind w:right="0"/>
        <w:rPr>
          <w:i/>
          <w:sz w:val="20"/>
          <w:lang w:val="en-GB"/>
        </w:rPr>
      </w:pPr>
      <w:r w:rsidRPr="0008442A">
        <w:rPr>
          <w:i/>
          <w:sz w:val="20"/>
          <w:lang w:val="en-GB"/>
        </w:rPr>
        <w:t>Mutatis mutandis</w:t>
      </w:r>
    </w:p>
    <w:p w14:paraId="6CCDEDDA" w14:textId="548E065C" w:rsidR="00A7615E" w:rsidRPr="0008442A" w:rsidRDefault="00D9015B" w:rsidP="003D2152">
      <w:pPr>
        <w:pStyle w:val="SingleTxtG"/>
        <w:numPr>
          <w:ilvl w:val="0"/>
          <w:numId w:val="3"/>
        </w:numPr>
        <w:tabs>
          <w:tab w:val="clear" w:pos="1853"/>
          <w:tab w:val="num" w:pos="1701"/>
        </w:tabs>
        <w:autoSpaceDE w:val="0"/>
        <w:autoSpaceDN w:val="0"/>
        <w:adjustRightInd w:val="0"/>
        <w:ind w:left="1134" w:right="0" w:firstLine="0"/>
        <w:rPr>
          <w:sz w:val="20"/>
          <w:szCs w:val="20"/>
          <w:lang w:val="en-GB"/>
        </w:rPr>
      </w:pPr>
      <w:r w:rsidRPr="008B183A">
        <w:rPr>
          <w:sz w:val="20"/>
          <w:szCs w:val="20"/>
          <w:lang w:val="en-GB"/>
        </w:rPr>
        <w:t>As the Committee has previously made clear, t</w:t>
      </w:r>
      <w:r w:rsidR="008A6DC7" w:rsidRPr="008B183A">
        <w:rPr>
          <w:sz w:val="20"/>
          <w:szCs w:val="20"/>
          <w:lang w:val="en-GB"/>
        </w:rPr>
        <w:t>he</w:t>
      </w:r>
      <w:r w:rsidR="008A6DC7" w:rsidRPr="0008442A">
        <w:rPr>
          <w:sz w:val="20"/>
          <w:szCs w:val="20"/>
          <w:lang w:val="en-GB"/>
        </w:rPr>
        <w:t xml:space="preserve"> reference in paragraph 10 to “</w:t>
      </w:r>
      <w:r w:rsidR="008A6DC7" w:rsidRPr="0008442A">
        <w:rPr>
          <w:i/>
          <w:sz w:val="20"/>
          <w:szCs w:val="20"/>
          <w:lang w:val="en-GB"/>
        </w:rPr>
        <w:t>mutatis mutandis</w:t>
      </w:r>
      <w:r w:rsidR="008A6DC7" w:rsidRPr="0008442A">
        <w:rPr>
          <w:sz w:val="20"/>
          <w:szCs w:val="20"/>
          <w:lang w:val="en-GB"/>
        </w:rPr>
        <w:t>” simply means “with the necessary changes”, i.e. when applying the provisions of paragraphs 2 to 9 of article 6 to a reconsideration or an update of the operating conditions for an article 6 activity, the public authority applies those paragraphs with the necessary changes</w:t>
      </w:r>
      <w:r w:rsidR="00CA3C86" w:rsidRPr="0008442A">
        <w:rPr>
          <w:sz w:val="20"/>
          <w:szCs w:val="20"/>
          <w:lang w:val="en-GB"/>
        </w:rPr>
        <w:t>.</w:t>
      </w:r>
      <w:r w:rsidR="00CA3C86" w:rsidRPr="0008442A">
        <w:rPr>
          <w:sz w:val="20"/>
          <w:szCs w:val="20"/>
          <w:vertAlign w:val="superscript"/>
          <w:lang w:val="en-GB"/>
        </w:rPr>
        <w:footnoteReference w:id="96"/>
      </w:r>
      <w:r w:rsidR="005C75FD" w:rsidRPr="0008442A">
        <w:rPr>
          <w:sz w:val="20"/>
          <w:szCs w:val="20"/>
          <w:lang w:val="en-GB"/>
        </w:rPr>
        <w:t xml:space="preserve"> </w:t>
      </w:r>
      <w:r w:rsidR="00222806" w:rsidRPr="0008442A">
        <w:rPr>
          <w:sz w:val="20"/>
          <w:szCs w:val="20"/>
          <w:lang w:val="en-GB"/>
        </w:rPr>
        <w:t xml:space="preserve">Rather than conveying some discretion for the Parties whether or not to apply these provisions, it refers to the changes </w:t>
      </w:r>
      <w:r w:rsidRPr="008B183A">
        <w:rPr>
          <w:sz w:val="20"/>
          <w:szCs w:val="20"/>
          <w:lang w:val="en-GB"/>
        </w:rPr>
        <w:t>necessary due to</w:t>
      </w:r>
      <w:r w:rsidR="00222806" w:rsidRPr="0008442A">
        <w:rPr>
          <w:sz w:val="20"/>
          <w:szCs w:val="20"/>
          <w:lang w:val="en-GB"/>
        </w:rPr>
        <w:t xml:space="preserve"> </w:t>
      </w:r>
      <w:r w:rsidR="0075047C" w:rsidRPr="0008442A">
        <w:rPr>
          <w:sz w:val="20"/>
          <w:szCs w:val="20"/>
          <w:lang w:val="en-GB"/>
        </w:rPr>
        <w:t>the nature of the given decision-making procedure</w:t>
      </w:r>
      <w:r w:rsidR="00CA3C86" w:rsidRPr="0008442A">
        <w:rPr>
          <w:sz w:val="20"/>
          <w:szCs w:val="20"/>
          <w:lang w:val="en-GB"/>
        </w:rPr>
        <w:t>.</w:t>
      </w:r>
      <w:r w:rsidR="004636DB" w:rsidRPr="0008442A">
        <w:rPr>
          <w:sz w:val="20"/>
          <w:szCs w:val="20"/>
          <w:lang w:val="en-GB"/>
        </w:rPr>
        <w:t xml:space="preserve"> </w:t>
      </w:r>
    </w:p>
    <w:p w14:paraId="332AA72D" w14:textId="3577332B" w:rsidR="005C75FD" w:rsidRPr="0008442A" w:rsidRDefault="005C75FD" w:rsidP="002D1939">
      <w:pPr>
        <w:pStyle w:val="SingleTxtG"/>
        <w:numPr>
          <w:ilvl w:val="0"/>
          <w:numId w:val="29"/>
        </w:numPr>
        <w:autoSpaceDE w:val="0"/>
        <w:autoSpaceDN w:val="0"/>
        <w:adjustRightInd w:val="0"/>
        <w:ind w:right="0"/>
        <w:rPr>
          <w:i/>
          <w:sz w:val="20"/>
          <w:szCs w:val="20"/>
          <w:lang w:val="en-GB"/>
        </w:rPr>
      </w:pPr>
      <w:r w:rsidRPr="0008442A">
        <w:rPr>
          <w:i/>
          <w:sz w:val="20"/>
          <w:szCs w:val="20"/>
          <w:lang w:val="en-GB"/>
        </w:rPr>
        <w:t>Where appropriate</w:t>
      </w:r>
    </w:p>
    <w:p w14:paraId="3698F093" w14:textId="13B837FF" w:rsidR="00DC04C5" w:rsidRPr="00CA5E16" w:rsidRDefault="00407103" w:rsidP="00C53FA0">
      <w:pPr>
        <w:pStyle w:val="SingleTxtG"/>
        <w:numPr>
          <w:ilvl w:val="0"/>
          <w:numId w:val="3"/>
        </w:numPr>
        <w:tabs>
          <w:tab w:val="clear" w:pos="1853"/>
          <w:tab w:val="num" w:pos="1701"/>
        </w:tabs>
        <w:autoSpaceDE w:val="0"/>
        <w:autoSpaceDN w:val="0"/>
        <w:adjustRightInd w:val="0"/>
        <w:ind w:left="1134" w:right="0" w:firstLine="0"/>
        <w:rPr>
          <w:sz w:val="20"/>
          <w:lang w:val="en-GB"/>
        </w:rPr>
      </w:pPr>
      <w:bookmarkStart w:id="50" w:name="_Ref511049314"/>
      <w:r w:rsidRPr="00CA5E16">
        <w:rPr>
          <w:sz w:val="20"/>
          <w:lang w:val="en-GB"/>
        </w:rPr>
        <w:t>T</w:t>
      </w:r>
      <w:r w:rsidR="008D4296" w:rsidRPr="00CA5E16">
        <w:rPr>
          <w:sz w:val="20"/>
          <w:lang w:val="en-GB"/>
        </w:rPr>
        <w:t>he Committee has previously found</w:t>
      </w:r>
      <w:r w:rsidRPr="00CA5E16">
        <w:rPr>
          <w:sz w:val="20"/>
          <w:lang w:val="en-GB"/>
        </w:rPr>
        <w:t xml:space="preserve"> that the phrase </w:t>
      </w:r>
      <w:r w:rsidR="005C75FD" w:rsidRPr="00CA5E16">
        <w:rPr>
          <w:sz w:val="20"/>
          <w:lang w:val="en-GB"/>
        </w:rPr>
        <w:t>“where appropriate”</w:t>
      </w:r>
      <w:r w:rsidR="00644474" w:rsidRPr="00CA5E16">
        <w:rPr>
          <w:sz w:val="20"/>
          <w:lang w:val="en-GB"/>
        </w:rPr>
        <w:t xml:space="preserve"> does not imply complete discretion for </w:t>
      </w:r>
      <w:r w:rsidR="00DC04C5" w:rsidRPr="00CA5E16">
        <w:rPr>
          <w:sz w:val="20"/>
          <w:lang w:val="en-GB"/>
        </w:rPr>
        <w:t>a Party to</w:t>
      </w:r>
      <w:r w:rsidR="00644474" w:rsidRPr="00CA5E16">
        <w:rPr>
          <w:sz w:val="20"/>
          <w:lang w:val="en-GB"/>
        </w:rPr>
        <w:t xml:space="preserve"> determine whether or not it was appropriate to provide for public participation.</w:t>
      </w:r>
      <w:r w:rsidR="00644474" w:rsidRPr="0008442A">
        <w:rPr>
          <w:rStyle w:val="FootnoteReference"/>
          <w:sz w:val="20"/>
          <w:lang w:val="en-GB"/>
        </w:rPr>
        <w:footnoteReference w:id="97"/>
      </w:r>
      <w:r w:rsidR="00F94C44" w:rsidRPr="00CA5E16">
        <w:rPr>
          <w:sz w:val="20"/>
          <w:lang w:val="en-GB"/>
        </w:rPr>
        <w:t xml:space="preserve"> </w:t>
      </w:r>
      <w:r w:rsidR="004C30A8" w:rsidRPr="00CA5E16">
        <w:rPr>
          <w:sz w:val="20"/>
          <w:lang w:val="en-GB"/>
        </w:rPr>
        <w:t xml:space="preserve">Rather, </w:t>
      </w:r>
      <w:r w:rsidR="00151C71" w:rsidRPr="00CA5E16">
        <w:rPr>
          <w:sz w:val="20"/>
          <w:lang w:val="en-GB"/>
        </w:rPr>
        <w:t xml:space="preserve"> the clause “where appropriate” </w:t>
      </w:r>
      <w:r w:rsidR="00AB3CE2">
        <w:rPr>
          <w:sz w:val="20"/>
          <w:lang w:val="en-GB"/>
        </w:rPr>
        <w:t>introduces an objective criterion</w:t>
      </w:r>
      <w:r w:rsidR="00B736FB">
        <w:rPr>
          <w:sz w:val="20"/>
          <w:lang w:val="en-GB"/>
        </w:rPr>
        <w:t xml:space="preserve"> </w:t>
      </w:r>
      <w:r w:rsidR="00604E84">
        <w:rPr>
          <w:sz w:val="20"/>
          <w:lang w:val="en-GB"/>
        </w:rPr>
        <w:t xml:space="preserve">to be </w:t>
      </w:r>
      <w:r w:rsidR="00C53FA0">
        <w:rPr>
          <w:sz w:val="20"/>
          <w:lang w:val="en-GB"/>
        </w:rPr>
        <w:t>applied</w:t>
      </w:r>
      <w:r w:rsidR="00AB66A7">
        <w:rPr>
          <w:sz w:val="20"/>
          <w:lang w:val="en-GB"/>
        </w:rPr>
        <w:t xml:space="preserve"> </w:t>
      </w:r>
      <w:r w:rsidR="00151C71" w:rsidRPr="00CA5E16">
        <w:rPr>
          <w:sz w:val="20"/>
          <w:lang w:val="en-GB"/>
        </w:rPr>
        <w:t xml:space="preserve">in </w:t>
      </w:r>
      <w:r w:rsidR="00AB66A7">
        <w:rPr>
          <w:sz w:val="20"/>
          <w:lang w:val="en-GB"/>
        </w:rPr>
        <w:t>line with</w:t>
      </w:r>
      <w:r w:rsidR="00151C71" w:rsidRPr="00CA5E16">
        <w:rPr>
          <w:sz w:val="20"/>
          <w:lang w:val="en-GB"/>
        </w:rPr>
        <w:t xml:space="preserve"> the goals of the Convention,  recognizing </w:t>
      </w:r>
      <w:r w:rsidR="009B3EC8">
        <w:rPr>
          <w:sz w:val="20"/>
          <w:lang w:val="en-GB"/>
        </w:rPr>
        <w:t xml:space="preserve"> </w:t>
      </w:r>
      <w:r w:rsidR="00151C71" w:rsidRPr="00CA5E16">
        <w:rPr>
          <w:sz w:val="20"/>
          <w:lang w:val="en-GB"/>
        </w:rPr>
        <w:t xml:space="preserve">that </w:t>
      </w:r>
      <w:r w:rsidR="009B3EC8">
        <w:rPr>
          <w:sz w:val="20"/>
          <w:lang w:val="en-GB"/>
        </w:rPr>
        <w:t>“</w:t>
      </w:r>
      <w:r w:rsidR="00151C71" w:rsidRPr="00CA5E16">
        <w:rPr>
          <w:sz w:val="20"/>
          <w:lang w:val="en-GB"/>
        </w:rPr>
        <w:t>access to information and public participation in decision-making enhance the quality and the implementation of decisions, contribute to public awareness of environmental issues, give the public the opportunity to express its concerns and enable public authorities to take due account of such concerns</w:t>
      </w:r>
      <w:r w:rsidR="009B3EC8">
        <w:rPr>
          <w:sz w:val="20"/>
          <w:lang w:val="en-GB"/>
        </w:rPr>
        <w:t>”</w:t>
      </w:r>
      <w:r w:rsidR="00AB66A7">
        <w:rPr>
          <w:sz w:val="20"/>
          <w:lang w:val="en-GB"/>
        </w:rPr>
        <w:t>,</w:t>
      </w:r>
      <w:r w:rsidR="009B3EC8">
        <w:rPr>
          <w:rStyle w:val="FootnoteReference"/>
          <w:lang w:val="en-GB"/>
        </w:rPr>
        <w:footnoteReference w:id="98"/>
      </w:r>
      <w:r w:rsidR="00AF3E1E">
        <w:rPr>
          <w:sz w:val="20"/>
          <w:lang w:val="en-GB"/>
        </w:rPr>
        <w:t xml:space="preserve"> and </w:t>
      </w:r>
      <w:r w:rsidR="00AB66A7">
        <w:rPr>
          <w:sz w:val="20"/>
          <w:lang w:val="en-GB"/>
        </w:rPr>
        <w:t>“</w:t>
      </w:r>
      <w:r w:rsidR="009B3EC8">
        <w:rPr>
          <w:sz w:val="20"/>
          <w:lang w:val="en-GB"/>
        </w:rPr>
        <w:t xml:space="preserve">aiming </w:t>
      </w:r>
      <w:r w:rsidR="00AB66A7">
        <w:rPr>
          <w:sz w:val="20"/>
          <w:lang w:val="en-GB"/>
        </w:rPr>
        <w:t xml:space="preserve">thereby </w:t>
      </w:r>
      <w:r w:rsidR="009B3EC8">
        <w:rPr>
          <w:sz w:val="20"/>
          <w:lang w:val="en-GB"/>
        </w:rPr>
        <w:t xml:space="preserve">to </w:t>
      </w:r>
      <w:r w:rsidR="00151C71" w:rsidRPr="00CA5E16">
        <w:rPr>
          <w:sz w:val="20"/>
          <w:lang w:val="en-GB"/>
        </w:rPr>
        <w:t>further the accountability of and transparency in decision-making and strengthen public support for decisions on the environment</w:t>
      </w:r>
      <w:r w:rsidR="009B3EC8">
        <w:rPr>
          <w:sz w:val="20"/>
          <w:lang w:val="en-GB"/>
        </w:rPr>
        <w:t>”</w:t>
      </w:r>
      <w:r w:rsidR="00151C71" w:rsidRPr="00CA5E16">
        <w:rPr>
          <w:sz w:val="20"/>
          <w:lang w:val="en-GB"/>
        </w:rPr>
        <w:t>.</w:t>
      </w:r>
      <w:r w:rsidR="009B3EC8" w:rsidRPr="00A11D99">
        <w:rPr>
          <w:rStyle w:val="FootnoteReference"/>
          <w:szCs w:val="18"/>
          <w:lang w:val="en-GB"/>
        </w:rPr>
        <w:footnoteReference w:id="99"/>
      </w:r>
      <w:r w:rsidR="009B3EC8" w:rsidRPr="00A11D99">
        <w:rPr>
          <w:sz w:val="18"/>
          <w:szCs w:val="18"/>
          <w:vertAlign w:val="superscript"/>
          <w:lang w:val="en-GB"/>
        </w:rPr>
        <w:t>,</w:t>
      </w:r>
      <w:r w:rsidR="00151C71" w:rsidRPr="00A11D99">
        <w:rPr>
          <w:rStyle w:val="FootnoteReference"/>
          <w:szCs w:val="18"/>
          <w:lang w:val="en-GB"/>
        </w:rPr>
        <w:footnoteReference w:id="100"/>
      </w:r>
      <w:bookmarkEnd w:id="50"/>
      <w:r w:rsidR="00FD750A" w:rsidRPr="00CA5E16">
        <w:rPr>
          <w:sz w:val="20"/>
          <w:lang w:val="en-GB"/>
        </w:rPr>
        <w:t xml:space="preserve"> </w:t>
      </w:r>
      <w:r w:rsidR="00AB66A7">
        <w:rPr>
          <w:sz w:val="20"/>
          <w:lang w:val="en-GB"/>
        </w:rPr>
        <w:t>Most importantly, the clause “where appropriate”</w:t>
      </w:r>
      <w:r w:rsidR="00B736FB">
        <w:rPr>
          <w:sz w:val="20"/>
          <w:lang w:val="en-GB"/>
        </w:rPr>
        <w:t xml:space="preserve"> does not preclude a review</w:t>
      </w:r>
      <w:r w:rsidR="00C53FA0">
        <w:rPr>
          <w:sz w:val="20"/>
          <w:lang w:val="en-GB"/>
        </w:rPr>
        <w:t xml:space="preserve"> </w:t>
      </w:r>
      <w:r w:rsidR="00B736FB">
        <w:rPr>
          <w:sz w:val="20"/>
          <w:lang w:val="en-GB"/>
        </w:rPr>
        <w:t>by the Committee on whether the Party concerned should have</w:t>
      </w:r>
      <w:r w:rsidR="00AF3E1E">
        <w:rPr>
          <w:sz w:val="20"/>
          <w:lang w:val="en-GB"/>
        </w:rPr>
        <w:t xml:space="preserve"> </w:t>
      </w:r>
      <w:r w:rsidR="00B736FB">
        <w:rPr>
          <w:sz w:val="20"/>
          <w:lang w:val="en-GB"/>
        </w:rPr>
        <w:t>provided for public participation in the particular case.</w:t>
      </w:r>
      <w:r w:rsidR="00C53FA0" w:rsidRPr="0008442A">
        <w:rPr>
          <w:rStyle w:val="FootnoteReference"/>
          <w:sz w:val="20"/>
          <w:lang w:val="en-GB"/>
        </w:rPr>
        <w:footnoteReference w:id="101"/>
      </w:r>
      <w:r w:rsidR="00C53FA0" w:rsidRPr="00CA5E16">
        <w:rPr>
          <w:sz w:val="20"/>
          <w:lang w:val="en-GB"/>
        </w:rPr>
        <w:t xml:space="preserve"> </w:t>
      </w:r>
    </w:p>
    <w:p w14:paraId="1535BBF8" w14:textId="0F4589D3" w:rsidR="00D149CF" w:rsidRDefault="00097A24" w:rsidP="00FC4A05">
      <w:pPr>
        <w:pStyle w:val="SingleTxtG"/>
        <w:numPr>
          <w:ilvl w:val="0"/>
          <w:numId w:val="3"/>
        </w:numPr>
        <w:tabs>
          <w:tab w:val="clear" w:pos="1853"/>
          <w:tab w:val="num" w:pos="1701"/>
        </w:tabs>
        <w:autoSpaceDE w:val="0"/>
        <w:autoSpaceDN w:val="0"/>
        <w:adjustRightInd w:val="0"/>
        <w:ind w:left="1134" w:right="0" w:firstLine="0"/>
        <w:rPr>
          <w:sz w:val="20"/>
          <w:lang w:val="en-GB"/>
        </w:rPr>
      </w:pPr>
      <w:r w:rsidRPr="00CA5E16">
        <w:rPr>
          <w:sz w:val="20"/>
          <w:lang w:val="en-GB"/>
        </w:rPr>
        <w:t xml:space="preserve">This does not mean that </w:t>
      </w:r>
      <w:r w:rsidR="00151C71" w:rsidRPr="00CA5E16">
        <w:rPr>
          <w:sz w:val="20"/>
          <w:lang w:val="en-GB"/>
        </w:rPr>
        <w:t xml:space="preserve">the Committee </w:t>
      </w:r>
      <w:r w:rsidR="00010D9D" w:rsidRPr="00CA5E16">
        <w:rPr>
          <w:sz w:val="20"/>
          <w:lang w:val="en-GB"/>
        </w:rPr>
        <w:t>share</w:t>
      </w:r>
      <w:r w:rsidRPr="00CA5E16">
        <w:rPr>
          <w:sz w:val="20"/>
          <w:lang w:val="en-GB"/>
        </w:rPr>
        <w:t>s</w:t>
      </w:r>
      <w:r w:rsidR="00010D9D" w:rsidRPr="00CA5E16">
        <w:rPr>
          <w:sz w:val="20"/>
          <w:lang w:val="en-GB"/>
        </w:rPr>
        <w:t xml:space="preserve"> the </w:t>
      </w:r>
      <w:r w:rsidR="00D149CF">
        <w:rPr>
          <w:sz w:val="20"/>
          <w:lang w:val="en-GB"/>
        </w:rPr>
        <w:t xml:space="preserve">communicant’s </w:t>
      </w:r>
      <w:r w:rsidR="00010D9D" w:rsidRPr="00CA5E16">
        <w:rPr>
          <w:sz w:val="20"/>
          <w:lang w:val="en-GB"/>
        </w:rPr>
        <w:t xml:space="preserve">view </w:t>
      </w:r>
      <w:r w:rsidR="00151C71" w:rsidRPr="00CA5E16">
        <w:rPr>
          <w:sz w:val="20"/>
          <w:lang w:val="en-GB"/>
        </w:rPr>
        <w:t xml:space="preserve">(see para. </w:t>
      </w:r>
      <w:r w:rsidR="00151C71" w:rsidRPr="00CA5E16">
        <w:rPr>
          <w:sz w:val="20"/>
          <w:lang w:val="en-GB"/>
        </w:rPr>
        <w:fldChar w:fldCharType="begin"/>
      </w:r>
      <w:r w:rsidR="00151C71" w:rsidRPr="00CA5E16">
        <w:rPr>
          <w:sz w:val="20"/>
          <w:szCs w:val="20"/>
          <w:lang w:val="en-GB"/>
        </w:rPr>
        <w:instrText xml:space="preserve"> REF _Ref507584816 \r \h </w:instrText>
      </w:r>
      <w:r w:rsidR="00B62030" w:rsidRPr="00CA5E16">
        <w:rPr>
          <w:sz w:val="20"/>
          <w:szCs w:val="20"/>
          <w:lang w:val="en-GB"/>
        </w:rPr>
        <w:instrText xml:space="preserve"> \* MERGEFORMAT </w:instrText>
      </w:r>
      <w:r w:rsidR="00151C71" w:rsidRPr="00CA5E16">
        <w:rPr>
          <w:sz w:val="20"/>
          <w:lang w:val="en-GB"/>
        </w:rPr>
      </w:r>
      <w:r w:rsidR="00151C71" w:rsidRPr="00CA5E16">
        <w:rPr>
          <w:sz w:val="20"/>
          <w:lang w:val="en-GB"/>
        </w:rPr>
        <w:fldChar w:fldCharType="separate"/>
      </w:r>
      <w:r w:rsidR="00C775D0">
        <w:rPr>
          <w:sz w:val="20"/>
          <w:szCs w:val="20"/>
          <w:lang w:val="en-GB"/>
        </w:rPr>
        <w:t>47</w:t>
      </w:r>
      <w:r w:rsidR="00151C71" w:rsidRPr="00CA5E16">
        <w:rPr>
          <w:sz w:val="20"/>
          <w:lang w:val="en-GB"/>
        </w:rPr>
        <w:fldChar w:fldCharType="end"/>
      </w:r>
      <w:r w:rsidR="00151C71" w:rsidRPr="00CA5E16">
        <w:rPr>
          <w:sz w:val="20"/>
          <w:lang w:val="en-GB"/>
        </w:rPr>
        <w:t xml:space="preserve"> above) that public participation should be guaranteed in all cases where the public authority reconsiders or updates </w:t>
      </w:r>
      <w:r w:rsidR="00D149CF">
        <w:rPr>
          <w:sz w:val="20"/>
          <w:lang w:val="en-GB"/>
        </w:rPr>
        <w:t xml:space="preserve">the </w:t>
      </w:r>
      <w:r w:rsidR="00151C71" w:rsidRPr="00CA5E16">
        <w:rPr>
          <w:sz w:val="20"/>
          <w:lang w:val="en-GB"/>
        </w:rPr>
        <w:t xml:space="preserve">operating conditions </w:t>
      </w:r>
      <w:r w:rsidR="00D149CF">
        <w:rPr>
          <w:sz w:val="20"/>
          <w:lang w:val="en-GB"/>
        </w:rPr>
        <w:t>for</w:t>
      </w:r>
      <w:r w:rsidR="00D149CF" w:rsidRPr="00CA5E16">
        <w:rPr>
          <w:sz w:val="20"/>
          <w:lang w:val="en-GB"/>
        </w:rPr>
        <w:t xml:space="preserve"> </w:t>
      </w:r>
      <w:r w:rsidR="00151C71" w:rsidRPr="00CA5E16">
        <w:rPr>
          <w:sz w:val="20"/>
          <w:lang w:val="en-GB"/>
        </w:rPr>
        <w:t>activities listed in annex I to the Convention. As correctly stated by the Party concerned</w:t>
      </w:r>
      <w:r w:rsidR="00DC04C5" w:rsidRPr="00CA5E16">
        <w:rPr>
          <w:sz w:val="20"/>
          <w:lang w:val="en-GB"/>
        </w:rPr>
        <w:t xml:space="preserve"> </w:t>
      </w:r>
      <w:r w:rsidR="00151C71" w:rsidRPr="00CA5E16">
        <w:rPr>
          <w:sz w:val="20"/>
          <w:lang w:val="en-GB"/>
        </w:rPr>
        <w:t xml:space="preserve">(see para. </w:t>
      </w:r>
      <w:r w:rsidR="00151C71" w:rsidRPr="00CA5E16">
        <w:rPr>
          <w:sz w:val="20"/>
          <w:lang w:val="en-GB"/>
        </w:rPr>
        <w:fldChar w:fldCharType="begin"/>
      </w:r>
      <w:r w:rsidR="00151C71" w:rsidRPr="00CA5E16">
        <w:rPr>
          <w:sz w:val="20"/>
          <w:szCs w:val="20"/>
          <w:lang w:val="en-GB"/>
        </w:rPr>
        <w:instrText xml:space="preserve"> REF _Ref507606331 \r \h </w:instrText>
      </w:r>
      <w:r w:rsidR="00B62030" w:rsidRPr="00CA5E16">
        <w:rPr>
          <w:sz w:val="20"/>
          <w:szCs w:val="20"/>
          <w:lang w:val="en-GB"/>
        </w:rPr>
        <w:instrText xml:space="preserve"> \* MERGEFORMAT </w:instrText>
      </w:r>
      <w:r w:rsidR="00151C71" w:rsidRPr="00CA5E16">
        <w:rPr>
          <w:sz w:val="20"/>
          <w:lang w:val="en-GB"/>
        </w:rPr>
      </w:r>
      <w:r w:rsidR="00151C71" w:rsidRPr="00CA5E16">
        <w:rPr>
          <w:sz w:val="20"/>
          <w:lang w:val="en-GB"/>
        </w:rPr>
        <w:fldChar w:fldCharType="separate"/>
      </w:r>
      <w:r w:rsidR="00C775D0">
        <w:rPr>
          <w:sz w:val="20"/>
          <w:szCs w:val="20"/>
          <w:lang w:val="en-GB"/>
        </w:rPr>
        <w:t>49</w:t>
      </w:r>
      <w:r w:rsidR="00151C71" w:rsidRPr="00CA5E16">
        <w:rPr>
          <w:sz w:val="20"/>
          <w:lang w:val="en-GB"/>
        </w:rPr>
        <w:fldChar w:fldCharType="end"/>
      </w:r>
      <w:r w:rsidR="00151C71" w:rsidRPr="00CA5E16">
        <w:rPr>
          <w:sz w:val="20"/>
          <w:lang w:val="en-GB"/>
        </w:rPr>
        <w:t xml:space="preserve"> above), the question is rather whether the Party concerned</w:t>
      </w:r>
      <w:r w:rsidR="00DC04C5" w:rsidRPr="00CA5E16">
        <w:rPr>
          <w:sz w:val="20"/>
          <w:lang w:val="en-GB"/>
        </w:rPr>
        <w:t xml:space="preserve"> </w:t>
      </w:r>
      <w:r w:rsidR="001960C9">
        <w:rPr>
          <w:sz w:val="20"/>
          <w:lang w:val="en-GB"/>
        </w:rPr>
        <w:t>was</w:t>
      </w:r>
      <w:r w:rsidR="00151C71" w:rsidRPr="00CA5E16">
        <w:rPr>
          <w:sz w:val="20"/>
          <w:lang w:val="en-GB"/>
        </w:rPr>
        <w:t xml:space="preserve"> within its margin of discretion </w:t>
      </w:r>
      <w:r w:rsidR="006B781E" w:rsidRPr="00CA5E16">
        <w:rPr>
          <w:sz w:val="20"/>
          <w:szCs w:val="20"/>
          <w:lang w:val="en-GB"/>
        </w:rPr>
        <w:t xml:space="preserve">as to what was </w:t>
      </w:r>
      <w:r w:rsidR="001960C9">
        <w:rPr>
          <w:sz w:val="20"/>
          <w:szCs w:val="20"/>
          <w:lang w:val="en-GB"/>
        </w:rPr>
        <w:t>“</w:t>
      </w:r>
      <w:r w:rsidR="006B781E" w:rsidRPr="00CA5E16">
        <w:rPr>
          <w:sz w:val="20"/>
          <w:szCs w:val="20"/>
          <w:lang w:val="en-GB"/>
        </w:rPr>
        <w:t>appropriate</w:t>
      </w:r>
      <w:r w:rsidR="001960C9">
        <w:rPr>
          <w:sz w:val="20"/>
          <w:szCs w:val="20"/>
          <w:lang w:val="en-GB"/>
        </w:rPr>
        <w:t>”</w:t>
      </w:r>
      <w:r w:rsidR="006B781E" w:rsidRPr="00CA5E16">
        <w:rPr>
          <w:sz w:val="20"/>
          <w:szCs w:val="20"/>
          <w:lang w:val="en-GB"/>
        </w:rPr>
        <w:t xml:space="preserve"> </w:t>
      </w:r>
      <w:r w:rsidR="00151C71" w:rsidRPr="00CA5E16">
        <w:rPr>
          <w:sz w:val="20"/>
          <w:lang w:val="en-GB"/>
        </w:rPr>
        <w:t>when it decided</w:t>
      </w:r>
      <w:r w:rsidR="0074353C" w:rsidRPr="002D1939">
        <w:rPr>
          <w:sz w:val="20"/>
          <w:szCs w:val="20"/>
          <w:lang w:val="en-GB"/>
        </w:rPr>
        <w:t xml:space="preserve"> </w:t>
      </w:r>
      <w:r w:rsidR="00151C71" w:rsidRPr="00CA5E16">
        <w:rPr>
          <w:sz w:val="20"/>
          <w:lang w:val="en-GB"/>
        </w:rPr>
        <w:t xml:space="preserve">not </w:t>
      </w:r>
      <w:r w:rsidR="001960C9">
        <w:rPr>
          <w:sz w:val="20"/>
          <w:lang w:val="en-GB"/>
        </w:rPr>
        <w:t xml:space="preserve">to </w:t>
      </w:r>
      <w:r w:rsidR="00151C71" w:rsidRPr="00CA5E16">
        <w:rPr>
          <w:sz w:val="20"/>
          <w:lang w:val="en-GB"/>
        </w:rPr>
        <w:t xml:space="preserve">provide for public participation with respect to </w:t>
      </w:r>
      <w:r w:rsidR="0074353C" w:rsidRPr="00CA5E16">
        <w:rPr>
          <w:sz w:val="20"/>
          <w:lang w:val="en-GB"/>
        </w:rPr>
        <w:t xml:space="preserve">the reconsideration and possible update of </w:t>
      </w:r>
      <w:r w:rsidR="0023546D">
        <w:rPr>
          <w:sz w:val="20"/>
          <w:lang w:val="en-GB"/>
        </w:rPr>
        <w:t xml:space="preserve">the </w:t>
      </w:r>
      <w:r w:rsidR="0074353C" w:rsidRPr="00CA5E16">
        <w:rPr>
          <w:sz w:val="20"/>
          <w:lang w:val="en-GB"/>
        </w:rPr>
        <w:t>permit</w:t>
      </w:r>
      <w:r w:rsidR="0023546D">
        <w:rPr>
          <w:sz w:val="20"/>
          <w:lang w:val="en-GB"/>
        </w:rPr>
        <w:t>s</w:t>
      </w:r>
      <w:r w:rsidR="001960C9">
        <w:rPr>
          <w:sz w:val="20"/>
          <w:lang w:val="en-GB"/>
        </w:rPr>
        <w:t>’</w:t>
      </w:r>
      <w:r w:rsidR="0074353C" w:rsidRPr="00CA5E16">
        <w:rPr>
          <w:sz w:val="20"/>
          <w:lang w:val="en-GB"/>
        </w:rPr>
        <w:t xml:space="preserve"> conditions</w:t>
      </w:r>
      <w:r w:rsidR="00151C71" w:rsidRPr="00CA5E16">
        <w:rPr>
          <w:sz w:val="20"/>
          <w:lang w:val="en-GB"/>
        </w:rPr>
        <w:t>.</w:t>
      </w:r>
      <w:r w:rsidR="00FC4A05">
        <w:rPr>
          <w:sz w:val="20"/>
          <w:lang w:val="en-GB"/>
        </w:rPr>
        <w:t xml:space="preserve"> </w:t>
      </w:r>
    </w:p>
    <w:p w14:paraId="1EBE47DA" w14:textId="24CD1F46" w:rsidR="00E72358" w:rsidRDefault="00AF76EE" w:rsidP="00CE563C">
      <w:pPr>
        <w:pStyle w:val="SingleTxtG"/>
        <w:numPr>
          <w:ilvl w:val="0"/>
          <w:numId w:val="3"/>
        </w:numPr>
        <w:tabs>
          <w:tab w:val="clear" w:pos="1853"/>
          <w:tab w:val="num" w:pos="1701"/>
        </w:tabs>
        <w:autoSpaceDE w:val="0"/>
        <w:autoSpaceDN w:val="0"/>
        <w:adjustRightInd w:val="0"/>
        <w:ind w:left="1134" w:right="0" w:firstLine="0"/>
        <w:rPr>
          <w:sz w:val="20"/>
          <w:lang w:val="en-GB"/>
        </w:rPr>
      </w:pPr>
      <w:r>
        <w:rPr>
          <w:sz w:val="20"/>
          <w:lang w:val="en-GB"/>
        </w:rPr>
        <w:t xml:space="preserve">The Party concerned submits that </w:t>
      </w:r>
      <w:r w:rsidR="007F1AA9">
        <w:rPr>
          <w:sz w:val="20"/>
          <w:lang w:val="en-GB"/>
        </w:rPr>
        <w:t xml:space="preserve">the Committee’s findings on communication ACCC/C/2006/17 (European Community) are instructive </w:t>
      </w:r>
      <w:r w:rsidR="00AE0CC8">
        <w:rPr>
          <w:sz w:val="20"/>
          <w:lang w:val="en-GB"/>
        </w:rPr>
        <w:t xml:space="preserve">to the present case. </w:t>
      </w:r>
      <w:r w:rsidR="00FE5757">
        <w:rPr>
          <w:sz w:val="20"/>
          <w:lang w:val="en-GB"/>
        </w:rPr>
        <w:t xml:space="preserve">While communication ACCC/C/2006/17 </w:t>
      </w:r>
      <w:r w:rsidR="00C775D0">
        <w:rPr>
          <w:sz w:val="20"/>
          <w:lang w:val="en-GB"/>
        </w:rPr>
        <w:t xml:space="preserve">(European Community) </w:t>
      </w:r>
      <w:r w:rsidR="00FE5757">
        <w:rPr>
          <w:sz w:val="20"/>
          <w:lang w:val="en-GB"/>
        </w:rPr>
        <w:t xml:space="preserve">concerned the issue of </w:t>
      </w:r>
      <w:r w:rsidR="00AE0CC8">
        <w:rPr>
          <w:sz w:val="20"/>
          <w:lang w:val="en-GB"/>
        </w:rPr>
        <w:t xml:space="preserve">multiple </w:t>
      </w:r>
      <w:r w:rsidR="00FE5757">
        <w:rPr>
          <w:sz w:val="20"/>
          <w:lang w:val="en-GB"/>
        </w:rPr>
        <w:t>permits</w:t>
      </w:r>
      <w:r w:rsidR="001B3D67">
        <w:rPr>
          <w:sz w:val="20"/>
          <w:lang w:val="en-GB"/>
        </w:rPr>
        <w:t>,</w:t>
      </w:r>
      <w:r w:rsidR="00FE5757">
        <w:rPr>
          <w:sz w:val="20"/>
          <w:lang w:val="en-GB"/>
        </w:rPr>
        <w:t xml:space="preserve"> the Committee </w:t>
      </w:r>
      <w:r w:rsidR="00A55407">
        <w:rPr>
          <w:sz w:val="20"/>
          <w:lang w:val="en-GB"/>
        </w:rPr>
        <w:t xml:space="preserve">agrees that </w:t>
      </w:r>
      <w:r w:rsidR="00FE5757">
        <w:rPr>
          <w:sz w:val="20"/>
          <w:lang w:val="en-GB"/>
        </w:rPr>
        <w:t xml:space="preserve">those findings provide useful guidance. </w:t>
      </w:r>
      <w:r w:rsidR="00155B7E">
        <w:rPr>
          <w:sz w:val="20"/>
          <w:lang w:val="en-GB"/>
        </w:rPr>
        <w:t>As</w:t>
      </w:r>
      <w:r w:rsidR="000453C2">
        <w:rPr>
          <w:sz w:val="20"/>
          <w:lang w:val="en-GB"/>
        </w:rPr>
        <w:t xml:space="preserve"> in the case of multiple permits, </w:t>
      </w:r>
      <w:r w:rsidR="00437171" w:rsidRPr="009441D7">
        <w:rPr>
          <w:sz w:val="20"/>
          <w:lang w:val="en-GB"/>
        </w:rPr>
        <w:t>the Committee considers that</w:t>
      </w:r>
      <w:r w:rsidR="001960C9">
        <w:rPr>
          <w:sz w:val="20"/>
          <w:lang w:val="en-GB"/>
        </w:rPr>
        <w:t>,</w:t>
      </w:r>
      <w:r w:rsidR="00A55407">
        <w:rPr>
          <w:sz w:val="20"/>
          <w:lang w:val="en-GB"/>
        </w:rPr>
        <w:t xml:space="preserve"> </w:t>
      </w:r>
      <w:r w:rsidR="000453C2">
        <w:rPr>
          <w:sz w:val="20"/>
          <w:lang w:val="en-GB"/>
        </w:rPr>
        <w:t>when determining whe</w:t>
      </w:r>
      <w:r w:rsidR="00444164">
        <w:rPr>
          <w:sz w:val="20"/>
          <w:lang w:val="en-GB"/>
        </w:rPr>
        <w:t>ther</w:t>
      </w:r>
      <w:r w:rsidR="00A55407">
        <w:rPr>
          <w:sz w:val="20"/>
          <w:lang w:val="en-GB"/>
        </w:rPr>
        <w:t xml:space="preserve"> </w:t>
      </w:r>
      <w:r w:rsidR="000453C2">
        <w:rPr>
          <w:sz w:val="20"/>
          <w:lang w:val="en-GB"/>
        </w:rPr>
        <w:t xml:space="preserve">it will be </w:t>
      </w:r>
      <w:r w:rsidR="001960C9">
        <w:rPr>
          <w:sz w:val="20"/>
          <w:lang w:val="en-GB"/>
        </w:rPr>
        <w:lastRenderedPageBreak/>
        <w:t>“</w:t>
      </w:r>
      <w:r w:rsidR="000453C2">
        <w:rPr>
          <w:sz w:val="20"/>
          <w:lang w:val="en-GB"/>
        </w:rPr>
        <w:t>appropriate</w:t>
      </w:r>
      <w:r w:rsidR="001960C9">
        <w:rPr>
          <w:sz w:val="20"/>
          <w:lang w:val="en-GB"/>
        </w:rPr>
        <w:t>”</w:t>
      </w:r>
      <w:r w:rsidR="000453C2">
        <w:rPr>
          <w:sz w:val="20"/>
          <w:lang w:val="en-GB"/>
        </w:rPr>
        <w:t>, and thus required, to provide for public participation meeting the requirements of article 6(2)-(9)</w:t>
      </w:r>
      <w:r w:rsidR="001960C9">
        <w:rPr>
          <w:sz w:val="20"/>
          <w:lang w:val="en-GB"/>
        </w:rPr>
        <w:t xml:space="preserve"> when a public authority reconsiders or updates the operating conditions of an activity subject to article 6</w:t>
      </w:r>
      <w:r w:rsidR="000453C2">
        <w:rPr>
          <w:sz w:val="20"/>
          <w:lang w:val="en-GB"/>
        </w:rPr>
        <w:t>,</w:t>
      </w:r>
      <w:r w:rsidR="00437171" w:rsidRPr="009441D7">
        <w:rPr>
          <w:sz w:val="20"/>
          <w:lang w:val="en-GB"/>
        </w:rPr>
        <w:t xml:space="preserve"> some kind of significance test</w:t>
      </w:r>
      <w:r w:rsidR="001E2B6D">
        <w:rPr>
          <w:sz w:val="20"/>
          <w:lang w:val="en-GB"/>
        </w:rPr>
        <w:t>,</w:t>
      </w:r>
      <w:r w:rsidR="00437171" w:rsidRPr="009441D7">
        <w:rPr>
          <w:sz w:val="20"/>
          <w:lang w:val="en-GB"/>
        </w:rPr>
        <w:t xml:space="preserve"> to be applied at the national level </w:t>
      </w:r>
      <w:r w:rsidR="00604E84">
        <w:rPr>
          <w:sz w:val="20"/>
          <w:lang w:val="en-GB"/>
        </w:rPr>
        <w:t xml:space="preserve"> to each such  decision-making procedure in question</w:t>
      </w:r>
      <w:r w:rsidR="001E2B6D">
        <w:rPr>
          <w:sz w:val="20"/>
          <w:lang w:val="en-GB"/>
        </w:rPr>
        <w:t>,</w:t>
      </w:r>
      <w:r w:rsidR="00437171" w:rsidRPr="009441D7">
        <w:rPr>
          <w:sz w:val="20"/>
          <w:lang w:val="en-GB"/>
        </w:rPr>
        <w:t xml:space="preserve"> is the most appropriate way to understand the requirements of the Convention.</w:t>
      </w:r>
      <w:r w:rsidR="00437171" w:rsidRPr="009441D7">
        <w:rPr>
          <w:sz w:val="20"/>
          <w:vertAlign w:val="superscript"/>
          <w:lang w:val="en-GB"/>
        </w:rPr>
        <w:footnoteReference w:id="102"/>
      </w:r>
      <w:r w:rsidR="000453C2">
        <w:rPr>
          <w:sz w:val="20"/>
          <w:lang w:val="en-GB"/>
        </w:rPr>
        <w:t xml:space="preserve"> </w:t>
      </w:r>
    </w:p>
    <w:p w14:paraId="183C79A4" w14:textId="39FEA6A3" w:rsidR="00923529" w:rsidRDefault="001960C9" w:rsidP="00155B7E">
      <w:pPr>
        <w:pStyle w:val="SingleTxtG"/>
        <w:numPr>
          <w:ilvl w:val="0"/>
          <w:numId w:val="3"/>
        </w:numPr>
        <w:tabs>
          <w:tab w:val="clear" w:pos="1853"/>
          <w:tab w:val="num" w:pos="1701"/>
        </w:tabs>
        <w:autoSpaceDE w:val="0"/>
        <w:autoSpaceDN w:val="0"/>
        <w:adjustRightInd w:val="0"/>
        <w:ind w:left="1134" w:right="0" w:firstLine="0"/>
        <w:rPr>
          <w:sz w:val="20"/>
          <w:lang w:val="en-GB"/>
        </w:rPr>
      </w:pPr>
      <w:bookmarkStart w:id="51" w:name="_Ref23148895"/>
      <w:r>
        <w:rPr>
          <w:sz w:val="20"/>
          <w:lang w:val="en-GB"/>
        </w:rPr>
        <w:t>The Committee recalls that i</w:t>
      </w:r>
      <w:r w:rsidR="00923529">
        <w:rPr>
          <w:sz w:val="20"/>
          <w:lang w:val="en-GB"/>
        </w:rPr>
        <w:t>n its findings on communication ACCC/C/2006/17</w:t>
      </w:r>
      <w:r w:rsidR="00A55407">
        <w:rPr>
          <w:sz w:val="20"/>
          <w:lang w:val="en-GB"/>
        </w:rPr>
        <w:t xml:space="preserve"> (European Community)</w:t>
      </w:r>
      <w:r w:rsidR="00923529">
        <w:rPr>
          <w:sz w:val="20"/>
          <w:lang w:val="en-GB"/>
        </w:rPr>
        <w:t xml:space="preserve">, </w:t>
      </w:r>
      <w:r>
        <w:rPr>
          <w:sz w:val="20"/>
          <w:lang w:val="en-GB"/>
        </w:rPr>
        <w:t xml:space="preserve">it </w:t>
      </w:r>
      <w:r w:rsidR="00923529">
        <w:rPr>
          <w:sz w:val="20"/>
          <w:lang w:val="en-GB"/>
        </w:rPr>
        <w:t>found</w:t>
      </w:r>
      <w:r>
        <w:rPr>
          <w:sz w:val="20"/>
          <w:lang w:val="en-GB"/>
        </w:rPr>
        <w:t xml:space="preserve"> that</w:t>
      </w:r>
      <w:r w:rsidR="00923529">
        <w:rPr>
          <w:sz w:val="20"/>
          <w:lang w:val="en-GB"/>
        </w:rPr>
        <w:t xml:space="preserve">: </w:t>
      </w:r>
    </w:p>
    <w:p w14:paraId="64C39DF2" w14:textId="794B9055" w:rsidR="00923529" w:rsidRPr="009441D7" w:rsidRDefault="00923529" w:rsidP="009441D7">
      <w:pPr>
        <w:pStyle w:val="SingleTxtG"/>
        <w:autoSpaceDE w:val="0"/>
        <w:autoSpaceDN w:val="0"/>
        <w:adjustRightInd w:val="0"/>
        <w:ind w:left="1701" w:right="0"/>
        <w:rPr>
          <w:sz w:val="20"/>
          <w:szCs w:val="20"/>
          <w:lang w:val="en-GB"/>
        </w:rPr>
      </w:pPr>
      <w:r w:rsidRPr="009441D7">
        <w:rPr>
          <w:sz w:val="20"/>
          <w:szCs w:val="20"/>
          <w:lang w:val="en-GB"/>
        </w:rPr>
        <w:t>“If…</w:t>
      </w:r>
      <w:r w:rsidRPr="009441D7">
        <w:rPr>
          <w:sz w:val="20"/>
          <w:szCs w:val="20"/>
        </w:rPr>
        <w:t>there are other environment-related permitting decisions with regard to the activity in question for which no full-fledged public participation process is foreseen but which are capable of significantly changing the</w:t>
      </w:r>
      <w:r w:rsidR="009F1687">
        <w:rPr>
          <w:sz w:val="20"/>
          <w:szCs w:val="20"/>
          <w:lang w:val="en-US"/>
        </w:rPr>
        <w:t xml:space="preserve"> [activity’s] </w:t>
      </w:r>
      <w:r w:rsidRPr="009441D7">
        <w:rPr>
          <w:sz w:val="20"/>
          <w:szCs w:val="20"/>
        </w:rPr>
        <w:t>basic parameters or which address significant environmental aspects of the activity not already covered by the permitting decision(s) involving such a public participation process,</w:t>
      </w:r>
      <w:r w:rsidRPr="001954C0">
        <w:rPr>
          <w:sz w:val="20"/>
        </w:rPr>
        <w:t xml:space="preserve"> this </w:t>
      </w:r>
      <w:r w:rsidRPr="009441D7">
        <w:rPr>
          <w:sz w:val="20"/>
          <w:szCs w:val="20"/>
        </w:rPr>
        <w:t>could not be said to meet</w:t>
      </w:r>
      <w:r w:rsidRPr="001954C0">
        <w:rPr>
          <w:sz w:val="20"/>
        </w:rPr>
        <w:t xml:space="preserve"> the </w:t>
      </w:r>
      <w:r w:rsidRPr="009441D7">
        <w:rPr>
          <w:sz w:val="20"/>
          <w:szCs w:val="20"/>
        </w:rPr>
        <w:t>requirements of the Convention</w:t>
      </w:r>
      <w:r>
        <w:rPr>
          <w:sz w:val="20"/>
          <w:szCs w:val="20"/>
          <w:lang w:val="en-US"/>
        </w:rPr>
        <w:t>.</w:t>
      </w:r>
      <w:r w:rsidRPr="009441D7">
        <w:rPr>
          <w:sz w:val="20"/>
          <w:szCs w:val="20"/>
          <w:lang w:val="en-US"/>
        </w:rPr>
        <w:t>”</w:t>
      </w:r>
      <w:r>
        <w:rPr>
          <w:rStyle w:val="FootnoteReference"/>
          <w:szCs w:val="20"/>
          <w:lang w:val="en-US"/>
        </w:rPr>
        <w:footnoteReference w:id="103"/>
      </w:r>
      <w:r w:rsidRPr="009441D7">
        <w:rPr>
          <w:sz w:val="20"/>
          <w:szCs w:val="20"/>
          <w:lang w:val="en-GB"/>
        </w:rPr>
        <w:t xml:space="preserve"> </w:t>
      </w:r>
    </w:p>
    <w:p w14:paraId="3DD92C43" w14:textId="5A26F5C0" w:rsidR="00407103" w:rsidRDefault="00923529" w:rsidP="00535BFA">
      <w:pPr>
        <w:pStyle w:val="SingleTxtG"/>
        <w:numPr>
          <w:ilvl w:val="0"/>
          <w:numId w:val="3"/>
        </w:numPr>
        <w:tabs>
          <w:tab w:val="clear" w:pos="1853"/>
          <w:tab w:val="num" w:pos="1701"/>
        </w:tabs>
        <w:autoSpaceDE w:val="0"/>
        <w:autoSpaceDN w:val="0"/>
        <w:adjustRightInd w:val="0"/>
        <w:ind w:left="1134" w:right="0" w:firstLine="0"/>
        <w:rPr>
          <w:sz w:val="20"/>
          <w:lang w:val="en-GB"/>
        </w:rPr>
      </w:pPr>
      <w:r>
        <w:rPr>
          <w:sz w:val="20"/>
          <w:lang w:val="en-GB"/>
        </w:rPr>
        <w:t>The</w:t>
      </w:r>
      <w:r w:rsidR="00155B7E">
        <w:rPr>
          <w:sz w:val="20"/>
          <w:lang w:val="en-GB"/>
        </w:rPr>
        <w:t xml:space="preserve"> Committee considers </w:t>
      </w:r>
      <w:r>
        <w:rPr>
          <w:sz w:val="20"/>
          <w:lang w:val="en-GB"/>
        </w:rPr>
        <w:t xml:space="preserve">the above </w:t>
      </w:r>
      <w:r w:rsidR="009F1687">
        <w:rPr>
          <w:sz w:val="20"/>
          <w:lang w:val="en-GB"/>
        </w:rPr>
        <w:t>finding</w:t>
      </w:r>
      <w:r>
        <w:rPr>
          <w:sz w:val="20"/>
          <w:lang w:val="en-GB"/>
        </w:rPr>
        <w:t xml:space="preserve"> pertinent </w:t>
      </w:r>
      <w:r w:rsidR="00A55407">
        <w:rPr>
          <w:sz w:val="20"/>
          <w:lang w:val="en-GB"/>
        </w:rPr>
        <w:t xml:space="preserve">to </w:t>
      </w:r>
      <w:r w:rsidR="00776959">
        <w:rPr>
          <w:sz w:val="20"/>
          <w:lang w:val="en-GB"/>
        </w:rPr>
        <w:t xml:space="preserve">the case of </w:t>
      </w:r>
      <w:r>
        <w:rPr>
          <w:sz w:val="20"/>
          <w:lang w:val="en-GB"/>
        </w:rPr>
        <w:t xml:space="preserve">a </w:t>
      </w:r>
      <w:r w:rsidR="000453C2">
        <w:rPr>
          <w:sz w:val="20"/>
          <w:lang w:val="en-GB"/>
        </w:rPr>
        <w:t xml:space="preserve">reconsideration or update </w:t>
      </w:r>
      <w:r w:rsidR="00866522">
        <w:rPr>
          <w:sz w:val="20"/>
          <w:lang w:val="en-GB"/>
        </w:rPr>
        <w:t xml:space="preserve">of </w:t>
      </w:r>
      <w:r w:rsidR="001960C9">
        <w:rPr>
          <w:sz w:val="20"/>
          <w:lang w:val="en-GB"/>
        </w:rPr>
        <w:t>an activity’s</w:t>
      </w:r>
      <w:r w:rsidR="00866522">
        <w:rPr>
          <w:sz w:val="20"/>
          <w:lang w:val="en-GB"/>
        </w:rPr>
        <w:t xml:space="preserve"> operating condition</w:t>
      </w:r>
      <w:r w:rsidR="00A978E5">
        <w:rPr>
          <w:sz w:val="20"/>
          <w:lang w:val="en-GB"/>
        </w:rPr>
        <w:t>s</w:t>
      </w:r>
      <w:r>
        <w:rPr>
          <w:sz w:val="20"/>
          <w:lang w:val="en-GB"/>
        </w:rPr>
        <w:t xml:space="preserve"> </w:t>
      </w:r>
      <w:r w:rsidR="00A55407">
        <w:rPr>
          <w:sz w:val="20"/>
          <w:lang w:val="en-GB"/>
        </w:rPr>
        <w:t>also</w:t>
      </w:r>
      <w:r>
        <w:rPr>
          <w:sz w:val="20"/>
          <w:lang w:val="en-GB"/>
        </w:rPr>
        <w:t>.</w:t>
      </w:r>
      <w:r w:rsidR="009F1687">
        <w:rPr>
          <w:sz w:val="20"/>
          <w:lang w:val="en-GB"/>
        </w:rPr>
        <w:t xml:space="preserve"> </w:t>
      </w:r>
      <w:r w:rsidR="001960C9">
        <w:rPr>
          <w:sz w:val="20"/>
          <w:lang w:val="en-GB"/>
        </w:rPr>
        <w:t>Specifically</w:t>
      </w:r>
      <w:r>
        <w:rPr>
          <w:sz w:val="20"/>
          <w:lang w:val="en-GB"/>
        </w:rPr>
        <w:t xml:space="preserve">, </w:t>
      </w:r>
      <w:r w:rsidR="009F1687">
        <w:rPr>
          <w:sz w:val="20"/>
          <w:lang w:val="en-GB"/>
        </w:rPr>
        <w:t xml:space="preserve">if the reconsideration or update of </w:t>
      </w:r>
      <w:r w:rsidR="00535BFA">
        <w:rPr>
          <w:sz w:val="20"/>
          <w:lang w:val="en-GB"/>
        </w:rPr>
        <w:t>an activity’s</w:t>
      </w:r>
      <w:r w:rsidR="009F1687">
        <w:rPr>
          <w:sz w:val="20"/>
          <w:lang w:val="en-GB"/>
        </w:rPr>
        <w:t xml:space="preserve"> operating conditions </w:t>
      </w:r>
      <w:r w:rsidR="00CA356D">
        <w:rPr>
          <w:sz w:val="20"/>
          <w:lang w:val="en-GB"/>
        </w:rPr>
        <w:t xml:space="preserve">is </w:t>
      </w:r>
      <w:r w:rsidR="00866522" w:rsidRPr="009441D7">
        <w:rPr>
          <w:sz w:val="20"/>
          <w:lang w:val="en-GB"/>
        </w:rPr>
        <w:t>capable of significantly changing th</w:t>
      </w:r>
      <w:r w:rsidR="009F1687">
        <w:rPr>
          <w:sz w:val="20"/>
          <w:lang w:val="en-GB"/>
        </w:rPr>
        <w:t xml:space="preserve">e </w:t>
      </w:r>
      <w:r w:rsidR="00866522" w:rsidRPr="009441D7">
        <w:rPr>
          <w:sz w:val="20"/>
          <w:lang w:val="en-GB"/>
        </w:rPr>
        <w:t xml:space="preserve">basic parameters </w:t>
      </w:r>
      <w:r w:rsidR="009F1687">
        <w:rPr>
          <w:sz w:val="20"/>
          <w:lang w:val="en-GB"/>
        </w:rPr>
        <w:t xml:space="preserve">of the activity </w:t>
      </w:r>
      <w:r w:rsidR="00866522" w:rsidRPr="009441D7">
        <w:rPr>
          <w:sz w:val="20"/>
          <w:lang w:val="en-GB"/>
        </w:rPr>
        <w:t xml:space="preserve">or </w:t>
      </w:r>
      <w:r w:rsidR="009F1687">
        <w:rPr>
          <w:sz w:val="20"/>
          <w:lang w:val="en-GB"/>
        </w:rPr>
        <w:t xml:space="preserve">will </w:t>
      </w:r>
      <w:r w:rsidR="00866522" w:rsidRPr="009441D7">
        <w:rPr>
          <w:sz w:val="20"/>
          <w:lang w:val="en-GB"/>
        </w:rPr>
        <w:t xml:space="preserve">address significant environmental aspects of the activity not already covered by the permitting decision, </w:t>
      </w:r>
      <w:r w:rsidR="009F1687">
        <w:rPr>
          <w:sz w:val="20"/>
          <w:lang w:val="en-GB"/>
        </w:rPr>
        <w:t xml:space="preserve">and no public participation process meeting the requirements of the Convention is foreseen, </w:t>
      </w:r>
      <w:r w:rsidR="00866522" w:rsidRPr="009441D7">
        <w:rPr>
          <w:sz w:val="20"/>
          <w:lang w:val="en-GB"/>
        </w:rPr>
        <w:t xml:space="preserve">this </w:t>
      </w:r>
      <w:r w:rsidR="00CA356D">
        <w:rPr>
          <w:sz w:val="20"/>
          <w:lang w:val="en-GB"/>
        </w:rPr>
        <w:t>w</w:t>
      </w:r>
      <w:r w:rsidR="00866522" w:rsidRPr="009441D7">
        <w:rPr>
          <w:sz w:val="20"/>
          <w:lang w:val="en-GB"/>
        </w:rPr>
        <w:t>ould not meet the requirements of the Convention</w:t>
      </w:r>
      <w:r w:rsidR="00437171" w:rsidRPr="009441D7">
        <w:rPr>
          <w:sz w:val="20"/>
          <w:lang w:val="en-GB"/>
        </w:rPr>
        <w:t xml:space="preserve">. </w:t>
      </w:r>
    </w:p>
    <w:p w14:paraId="455D0E20" w14:textId="23AEB44C" w:rsidR="00264E55" w:rsidRDefault="00E72358" w:rsidP="004A5ABE">
      <w:pPr>
        <w:pStyle w:val="SingleTxtG"/>
        <w:numPr>
          <w:ilvl w:val="0"/>
          <w:numId w:val="3"/>
        </w:numPr>
        <w:tabs>
          <w:tab w:val="clear" w:pos="1853"/>
          <w:tab w:val="num" w:pos="1701"/>
        </w:tabs>
        <w:autoSpaceDE w:val="0"/>
        <w:autoSpaceDN w:val="0"/>
        <w:adjustRightInd w:val="0"/>
        <w:ind w:left="1134" w:right="0" w:firstLine="0"/>
        <w:rPr>
          <w:sz w:val="20"/>
          <w:lang w:val="en-GB"/>
        </w:rPr>
      </w:pPr>
      <w:r w:rsidRPr="009441D7">
        <w:rPr>
          <w:sz w:val="20"/>
          <w:lang w:val="en-GB"/>
        </w:rPr>
        <w:t>The Committee</w:t>
      </w:r>
      <w:r w:rsidR="00C775D0">
        <w:rPr>
          <w:sz w:val="20"/>
          <w:lang w:val="en-GB"/>
        </w:rPr>
        <w:t>’s</w:t>
      </w:r>
      <w:r w:rsidRPr="009441D7">
        <w:rPr>
          <w:sz w:val="20"/>
          <w:lang w:val="en-GB"/>
        </w:rPr>
        <w:t xml:space="preserve"> findings on communication ACCC/C/2014/104 (Netherlands) provide further guidance</w:t>
      </w:r>
      <w:r w:rsidR="00FC1577" w:rsidRPr="009441D7">
        <w:rPr>
          <w:sz w:val="20"/>
          <w:lang w:val="en-GB"/>
        </w:rPr>
        <w:t xml:space="preserve"> as to how </w:t>
      </w:r>
      <w:r w:rsidR="00743094" w:rsidRPr="009441D7">
        <w:rPr>
          <w:sz w:val="20"/>
          <w:lang w:val="en-GB"/>
        </w:rPr>
        <w:t xml:space="preserve">the words “as appropriate” in article 6(10) </w:t>
      </w:r>
      <w:r w:rsidR="00422051" w:rsidRPr="009441D7">
        <w:rPr>
          <w:rStyle w:val="st"/>
          <w:sz w:val="20"/>
          <w:lang w:val="en-GB"/>
        </w:rPr>
        <w:t xml:space="preserve">should be </w:t>
      </w:r>
      <w:r w:rsidR="00FC1577" w:rsidRPr="009441D7">
        <w:rPr>
          <w:rStyle w:val="st"/>
          <w:sz w:val="20"/>
          <w:lang w:val="en-GB"/>
        </w:rPr>
        <w:t>applied</w:t>
      </w:r>
      <w:r w:rsidR="00FC6460" w:rsidRPr="009441D7">
        <w:rPr>
          <w:rStyle w:val="st"/>
          <w:sz w:val="20"/>
          <w:lang w:val="en-GB"/>
        </w:rPr>
        <w:t xml:space="preserve"> in practice</w:t>
      </w:r>
      <w:r w:rsidR="00422051" w:rsidRPr="009441D7">
        <w:rPr>
          <w:rStyle w:val="st"/>
          <w:sz w:val="20"/>
          <w:lang w:val="en-GB"/>
        </w:rPr>
        <w:t xml:space="preserve">. </w:t>
      </w:r>
      <w:r w:rsidRPr="009441D7">
        <w:rPr>
          <w:sz w:val="20"/>
          <w:lang w:val="en-GB"/>
        </w:rPr>
        <w:t xml:space="preserve">In </w:t>
      </w:r>
      <w:r w:rsidR="00E1173A" w:rsidRPr="009441D7">
        <w:rPr>
          <w:sz w:val="20"/>
          <w:lang w:val="en-GB"/>
        </w:rPr>
        <w:t>those findings</w:t>
      </w:r>
      <w:r w:rsidRPr="009441D7">
        <w:rPr>
          <w:sz w:val="20"/>
          <w:lang w:val="en-GB"/>
        </w:rPr>
        <w:t xml:space="preserve">, which concerned a reconsideration and update of the duration of a nuclear </w:t>
      </w:r>
      <w:r w:rsidRPr="009441D7">
        <w:rPr>
          <w:sz w:val="20"/>
          <w:szCs w:val="20"/>
          <w:lang w:val="en-GB"/>
        </w:rPr>
        <w:t>power plant, the Committee found that “</w:t>
      </w:r>
      <w:r w:rsidRPr="009441D7">
        <w:rPr>
          <w:sz w:val="20"/>
          <w:szCs w:val="20"/>
        </w:rPr>
        <w:t>except in cases where a change to the permitted duration is for a minimal time and obviously would have insignificant or no effects on the environment, it is appropriate for extensions of duration to be subject to the provisions of article 6.</w:t>
      </w:r>
      <w:r w:rsidRPr="009441D7">
        <w:rPr>
          <w:sz w:val="20"/>
          <w:szCs w:val="20"/>
          <w:lang w:val="en-US"/>
        </w:rPr>
        <w:t>”</w:t>
      </w:r>
      <w:r w:rsidRPr="009441D7">
        <w:rPr>
          <w:rStyle w:val="FootnoteReference"/>
          <w:sz w:val="20"/>
          <w:szCs w:val="20"/>
          <w:lang w:val="en-US"/>
        </w:rPr>
        <w:footnoteReference w:id="104"/>
      </w:r>
      <w:r w:rsidRPr="009441D7">
        <w:rPr>
          <w:sz w:val="20"/>
          <w:lang w:val="en-GB"/>
        </w:rPr>
        <w:t xml:space="preserve"> </w:t>
      </w:r>
      <w:r w:rsidR="00FC6460" w:rsidRPr="009441D7">
        <w:rPr>
          <w:sz w:val="20"/>
          <w:lang w:val="en-GB"/>
        </w:rPr>
        <w:t xml:space="preserve">The Committee considers that a similar test </w:t>
      </w:r>
      <w:r w:rsidR="008A7F32">
        <w:rPr>
          <w:sz w:val="20"/>
          <w:lang w:val="en-GB"/>
        </w:rPr>
        <w:t>should</w:t>
      </w:r>
      <w:r w:rsidR="009F1DE5" w:rsidRPr="009441D7">
        <w:rPr>
          <w:sz w:val="20"/>
          <w:lang w:val="en-GB"/>
        </w:rPr>
        <w:t xml:space="preserve"> </w:t>
      </w:r>
      <w:r w:rsidR="00FC6460" w:rsidRPr="009441D7">
        <w:rPr>
          <w:sz w:val="20"/>
          <w:lang w:val="en-GB"/>
        </w:rPr>
        <w:t xml:space="preserve">be applied whenever a public authority reconsiders or updates an activity’s operating conditions. </w:t>
      </w:r>
    </w:p>
    <w:p w14:paraId="2EFB286E" w14:textId="49E7BBE1" w:rsidR="00444164" w:rsidRDefault="009F1DE5" w:rsidP="00301062">
      <w:pPr>
        <w:pStyle w:val="SingleTxtG"/>
        <w:numPr>
          <w:ilvl w:val="0"/>
          <w:numId w:val="3"/>
        </w:numPr>
        <w:tabs>
          <w:tab w:val="clear" w:pos="1853"/>
          <w:tab w:val="num" w:pos="1701"/>
        </w:tabs>
        <w:autoSpaceDE w:val="0"/>
        <w:autoSpaceDN w:val="0"/>
        <w:adjustRightInd w:val="0"/>
        <w:ind w:left="1134" w:right="0" w:firstLine="0"/>
        <w:rPr>
          <w:sz w:val="20"/>
          <w:lang w:val="en-GB"/>
        </w:rPr>
      </w:pPr>
      <w:bookmarkStart w:id="52" w:name="_Hlk25836164"/>
      <w:r w:rsidRPr="009441D7">
        <w:rPr>
          <w:sz w:val="20"/>
          <w:lang w:val="en-GB"/>
        </w:rPr>
        <w:t>Accordingly,</w:t>
      </w:r>
      <w:r w:rsidR="00FC1577" w:rsidRPr="009441D7">
        <w:rPr>
          <w:sz w:val="20"/>
          <w:lang w:val="en-GB"/>
        </w:rPr>
        <w:t xml:space="preserve"> </w:t>
      </w:r>
      <w:r w:rsidR="00CE39F0">
        <w:rPr>
          <w:sz w:val="20"/>
          <w:lang w:val="en-GB"/>
        </w:rPr>
        <w:t xml:space="preserve">when a public authority reconsiders or updates the operating conditions for an activity subject to article 6 of the Convention, </w:t>
      </w:r>
      <w:r w:rsidR="00264E55">
        <w:rPr>
          <w:sz w:val="20"/>
          <w:lang w:val="en-GB"/>
        </w:rPr>
        <w:t xml:space="preserve">except in cases where the reconsideration or update is not </w:t>
      </w:r>
      <w:r w:rsidR="00264E55" w:rsidRPr="00ED167A">
        <w:rPr>
          <w:sz w:val="20"/>
          <w:lang w:val="en-GB"/>
        </w:rPr>
        <w:t>capable of significantly changing th</w:t>
      </w:r>
      <w:r w:rsidR="00264E55">
        <w:rPr>
          <w:sz w:val="20"/>
          <w:lang w:val="en-GB"/>
        </w:rPr>
        <w:t xml:space="preserve">e </w:t>
      </w:r>
      <w:r w:rsidR="00264E55" w:rsidRPr="00ED167A">
        <w:rPr>
          <w:sz w:val="20"/>
          <w:lang w:val="en-GB"/>
        </w:rPr>
        <w:t xml:space="preserve">basic parameters </w:t>
      </w:r>
      <w:r w:rsidR="00264E55">
        <w:rPr>
          <w:sz w:val="20"/>
          <w:lang w:val="en-GB"/>
        </w:rPr>
        <w:t xml:space="preserve">of the activity and will not </w:t>
      </w:r>
      <w:r w:rsidR="00264E55" w:rsidRPr="00ED167A">
        <w:rPr>
          <w:sz w:val="20"/>
          <w:lang w:val="en-GB"/>
        </w:rPr>
        <w:t>address significant environmental aspects of the activity</w:t>
      </w:r>
      <w:r w:rsidR="00BA7E6A">
        <w:rPr>
          <w:sz w:val="20"/>
          <w:lang w:val="en-GB"/>
        </w:rPr>
        <w:t>,</w:t>
      </w:r>
      <w:r w:rsidR="00AB4441">
        <w:rPr>
          <w:sz w:val="20"/>
          <w:lang w:val="en-GB"/>
        </w:rPr>
        <w:t xml:space="preserve"> </w:t>
      </w:r>
      <w:r w:rsidR="00FC1577" w:rsidRPr="009441D7">
        <w:rPr>
          <w:sz w:val="20"/>
          <w:lang w:val="en-GB"/>
        </w:rPr>
        <w:t>public participation meeting the requirements of article 6</w:t>
      </w:r>
      <w:r w:rsidR="00CA356D">
        <w:rPr>
          <w:sz w:val="20"/>
          <w:lang w:val="en-GB"/>
        </w:rPr>
        <w:t>(2)-(9)</w:t>
      </w:r>
      <w:r w:rsidR="00FC1577" w:rsidRPr="009441D7">
        <w:rPr>
          <w:sz w:val="20"/>
          <w:lang w:val="en-GB"/>
        </w:rPr>
        <w:t xml:space="preserve"> is </w:t>
      </w:r>
      <w:r w:rsidR="008A7F32">
        <w:rPr>
          <w:sz w:val="20"/>
          <w:lang w:val="en-GB"/>
        </w:rPr>
        <w:t>“</w:t>
      </w:r>
      <w:r w:rsidR="00FC1577" w:rsidRPr="009441D7">
        <w:rPr>
          <w:sz w:val="20"/>
          <w:lang w:val="en-GB"/>
        </w:rPr>
        <w:t>appropriate</w:t>
      </w:r>
      <w:r w:rsidR="008A7F32">
        <w:rPr>
          <w:sz w:val="20"/>
          <w:lang w:val="en-GB"/>
        </w:rPr>
        <w:t>”</w:t>
      </w:r>
      <w:r w:rsidR="00FC1577" w:rsidRPr="009441D7">
        <w:rPr>
          <w:sz w:val="20"/>
          <w:lang w:val="en-GB"/>
        </w:rPr>
        <w:t xml:space="preserve"> and thus required</w:t>
      </w:r>
      <w:r w:rsidR="009720F1">
        <w:rPr>
          <w:sz w:val="20"/>
          <w:lang w:val="en-GB"/>
        </w:rPr>
        <w:t>.</w:t>
      </w:r>
      <w:bookmarkEnd w:id="52"/>
      <w:r w:rsidR="00CE39F0" w:rsidRPr="009441D7">
        <w:rPr>
          <w:sz w:val="20"/>
          <w:lang w:val="en-GB"/>
        </w:rPr>
        <w:t xml:space="preserve"> </w:t>
      </w:r>
      <w:r w:rsidR="00301062">
        <w:rPr>
          <w:sz w:val="20"/>
          <w:lang w:val="en-GB"/>
        </w:rPr>
        <w:t>I</w:t>
      </w:r>
      <w:r w:rsidR="00D30C82">
        <w:rPr>
          <w:sz w:val="20"/>
          <w:lang w:val="en-GB"/>
        </w:rPr>
        <w:t xml:space="preserve">t </w:t>
      </w:r>
      <w:r w:rsidR="00164FEF" w:rsidRPr="009441D7">
        <w:rPr>
          <w:sz w:val="20"/>
          <w:lang w:val="en-GB"/>
        </w:rPr>
        <w:t>would</w:t>
      </w:r>
      <w:r w:rsidRPr="009441D7">
        <w:rPr>
          <w:sz w:val="20"/>
          <w:lang w:val="en-GB"/>
        </w:rPr>
        <w:t xml:space="preserve"> be </w:t>
      </w:r>
      <w:r w:rsidR="00E1173A" w:rsidRPr="009441D7">
        <w:rPr>
          <w:sz w:val="20"/>
          <w:lang w:val="en-GB"/>
        </w:rPr>
        <w:t xml:space="preserve">for </w:t>
      </w:r>
      <w:r w:rsidR="00D30C82">
        <w:rPr>
          <w:sz w:val="20"/>
          <w:lang w:val="en-GB"/>
        </w:rPr>
        <w:t>a</w:t>
      </w:r>
      <w:r w:rsidR="00E1173A" w:rsidRPr="009441D7">
        <w:rPr>
          <w:sz w:val="20"/>
          <w:lang w:val="en-GB"/>
        </w:rPr>
        <w:t xml:space="preserve"> Party to demonstrate </w:t>
      </w:r>
      <w:r w:rsidR="00301062">
        <w:rPr>
          <w:sz w:val="20"/>
          <w:lang w:val="en-GB"/>
        </w:rPr>
        <w:t xml:space="preserve">to the Committee </w:t>
      </w:r>
      <w:r w:rsidR="00E1173A" w:rsidRPr="009441D7">
        <w:rPr>
          <w:sz w:val="20"/>
          <w:lang w:val="en-GB"/>
        </w:rPr>
        <w:t xml:space="preserve">that </w:t>
      </w:r>
      <w:r w:rsidR="00FC1577" w:rsidRPr="009441D7">
        <w:rPr>
          <w:sz w:val="20"/>
          <w:lang w:val="en-GB"/>
        </w:rPr>
        <w:t>any</w:t>
      </w:r>
      <w:r w:rsidR="00E1173A" w:rsidRPr="009441D7">
        <w:rPr>
          <w:sz w:val="20"/>
          <w:lang w:val="en-GB"/>
        </w:rPr>
        <w:t xml:space="preserve"> </w:t>
      </w:r>
      <w:r w:rsidR="00743094" w:rsidRPr="009441D7">
        <w:rPr>
          <w:sz w:val="20"/>
          <w:lang w:val="en-GB"/>
        </w:rPr>
        <w:t xml:space="preserve">possible </w:t>
      </w:r>
      <w:r w:rsidR="00E1173A" w:rsidRPr="009441D7">
        <w:rPr>
          <w:sz w:val="20"/>
          <w:lang w:val="en-GB"/>
        </w:rPr>
        <w:t xml:space="preserve">change </w:t>
      </w:r>
      <w:r w:rsidR="00FC1577" w:rsidRPr="009441D7">
        <w:rPr>
          <w:sz w:val="20"/>
          <w:lang w:val="en-GB"/>
        </w:rPr>
        <w:t xml:space="preserve">in the activity’s parameters </w:t>
      </w:r>
      <w:r w:rsidR="00743094" w:rsidRPr="009441D7">
        <w:rPr>
          <w:sz w:val="20"/>
          <w:lang w:val="en-GB"/>
        </w:rPr>
        <w:t xml:space="preserve">would </w:t>
      </w:r>
      <w:r w:rsidR="008A7F32">
        <w:rPr>
          <w:sz w:val="20"/>
          <w:lang w:val="en-GB"/>
        </w:rPr>
        <w:t xml:space="preserve">not be </w:t>
      </w:r>
      <w:r w:rsidR="008A7F32" w:rsidRPr="00ED167A">
        <w:rPr>
          <w:sz w:val="20"/>
          <w:lang w:val="en-GB"/>
        </w:rPr>
        <w:t>capable of significantly changing th</w:t>
      </w:r>
      <w:r w:rsidR="008A7F32">
        <w:rPr>
          <w:sz w:val="20"/>
          <w:lang w:val="en-GB"/>
        </w:rPr>
        <w:t xml:space="preserve">e </w:t>
      </w:r>
      <w:r w:rsidR="008A7F32" w:rsidRPr="00ED167A">
        <w:rPr>
          <w:sz w:val="20"/>
          <w:lang w:val="en-GB"/>
        </w:rPr>
        <w:t xml:space="preserve">basic parameters </w:t>
      </w:r>
      <w:r w:rsidR="008A7F32">
        <w:rPr>
          <w:sz w:val="20"/>
          <w:lang w:val="en-GB"/>
        </w:rPr>
        <w:t xml:space="preserve">of the activity and would not </w:t>
      </w:r>
      <w:r w:rsidR="008A7F32" w:rsidRPr="00ED167A">
        <w:rPr>
          <w:sz w:val="20"/>
          <w:lang w:val="en-GB"/>
        </w:rPr>
        <w:t>address significant environmental aspects of the activity</w:t>
      </w:r>
      <w:r w:rsidR="00E1173A" w:rsidRPr="009441D7">
        <w:rPr>
          <w:sz w:val="20"/>
          <w:lang w:val="en-GB"/>
        </w:rPr>
        <w:t>.</w:t>
      </w:r>
    </w:p>
    <w:p w14:paraId="7FADB2EA" w14:textId="55275106" w:rsidR="00DC3BA6" w:rsidRPr="00D0245D" w:rsidRDefault="00DC3BA6" w:rsidP="00A11D99">
      <w:pPr>
        <w:pStyle w:val="SingleTxtG"/>
        <w:numPr>
          <w:ilvl w:val="0"/>
          <w:numId w:val="3"/>
        </w:numPr>
        <w:tabs>
          <w:tab w:val="clear" w:pos="1853"/>
          <w:tab w:val="num" w:pos="1701"/>
        </w:tabs>
        <w:autoSpaceDE w:val="0"/>
        <w:autoSpaceDN w:val="0"/>
        <w:adjustRightInd w:val="0"/>
        <w:ind w:left="1134" w:right="0" w:firstLine="0"/>
        <w:rPr>
          <w:rStyle w:val="st"/>
          <w:sz w:val="20"/>
          <w:lang w:val="en-GB"/>
        </w:rPr>
      </w:pPr>
      <w:bookmarkStart w:id="53" w:name="_Ref23422659"/>
      <w:bookmarkStart w:id="54" w:name="_Ref25587691"/>
      <w:bookmarkEnd w:id="51"/>
      <w:r w:rsidRPr="00A11D99">
        <w:rPr>
          <w:rStyle w:val="st"/>
          <w:sz w:val="20"/>
          <w:lang w:val="en-GB"/>
        </w:rPr>
        <w:t xml:space="preserve">The Committee </w:t>
      </w:r>
      <w:r w:rsidR="00AA508B">
        <w:rPr>
          <w:rStyle w:val="st"/>
          <w:sz w:val="20"/>
          <w:lang w:val="en-GB"/>
        </w:rPr>
        <w:t>emphasises that</w:t>
      </w:r>
      <w:r w:rsidR="001531E9">
        <w:rPr>
          <w:rStyle w:val="st"/>
          <w:sz w:val="20"/>
          <w:lang w:val="en-GB"/>
        </w:rPr>
        <w:t xml:space="preserve"> </w:t>
      </w:r>
      <w:r w:rsidRPr="00A11D99">
        <w:rPr>
          <w:rStyle w:val="st"/>
          <w:sz w:val="20"/>
          <w:lang w:val="en-GB"/>
        </w:rPr>
        <w:t xml:space="preserve">it is not the actual outcome of the reconsideration or the update that is determinative of whether </w:t>
      </w:r>
      <w:r w:rsidR="00397027">
        <w:rPr>
          <w:rStyle w:val="st"/>
          <w:sz w:val="20"/>
          <w:lang w:val="en-GB"/>
        </w:rPr>
        <w:t xml:space="preserve">public participation </w:t>
      </w:r>
      <w:r w:rsidRPr="00A11D99">
        <w:rPr>
          <w:rStyle w:val="st"/>
          <w:sz w:val="20"/>
          <w:lang w:val="en-GB"/>
        </w:rPr>
        <w:t xml:space="preserve">should be carried out. </w:t>
      </w:r>
      <w:r w:rsidR="001E2B6D">
        <w:rPr>
          <w:rStyle w:val="st"/>
          <w:sz w:val="20"/>
          <w:lang w:val="en-GB"/>
        </w:rPr>
        <w:t>Rather, in line with</w:t>
      </w:r>
      <w:r w:rsidR="001E2B6D" w:rsidRPr="00D0245D">
        <w:rPr>
          <w:rStyle w:val="st"/>
          <w:sz w:val="20"/>
          <w:lang w:val="en-GB"/>
        </w:rPr>
        <w:t xml:space="preserve"> the </w:t>
      </w:r>
      <w:r w:rsidR="001E2B6D">
        <w:rPr>
          <w:rStyle w:val="st"/>
          <w:sz w:val="20"/>
          <w:lang w:val="en-GB"/>
        </w:rPr>
        <w:t>Committee’s</w:t>
      </w:r>
      <w:r w:rsidR="001E2B6D" w:rsidRPr="00D0245D">
        <w:rPr>
          <w:rStyle w:val="st"/>
          <w:sz w:val="20"/>
          <w:lang w:val="en-GB"/>
        </w:rPr>
        <w:t xml:space="preserve"> findings on communication ACCC/C/</w:t>
      </w:r>
      <w:r w:rsidR="001E2B6D">
        <w:rPr>
          <w:rStyle w:val="st"/>
          <w:sz w:val="20"/>
          <w:lang w:val="en-GB"/>
        </w:rPr>
        <w:t>2006/17 (European Community)</w:t>
      </w:r>
      <w:r w:rsidRPr="00A11D99">
        <w:rPr>
          <w:rStyle w:val="st"/>
          <w:sz w:val="20"/>
          <w:lang w:val="en-GB"/>
        </w:rPr>
        <w:t xml:space="preserve">, the key criterion is whether the reconsideration or update is “capable of” changing the activity’s basic parameters or will “address” significant environmental aspects of the activity. In this </w:t>
      </w:r>
      <w:r w:rsidR="00502608">
        <w:rPr>
          <w:rStyle w:val="st"/>
          <w:sz w:val="20"/>
          <w:lang w:val="en-GB"/>
        </w:rPr>
        <w:t>regard</w:t>
      </w:r>
      <w:r w:rsidRPr="00A11D99">
        <w:rPr>
          <w:rStyle w:val="st"/>
          <w:sz w:val="20"/>
          <w:lang w:val="en-GB"/>
        </w:rPr>
        <w:t xml:space="preserve">, the scope of what is </w:t>
      </w:r>
      <w:r w:rsidR="00502608">
        <w:rPr>
          <w:rStyle w:val="st"/>
          <w:sz w:val="20"/>
          <w:lang w:val="en-GB"/>
        </w:rPr>
        <w:t xml:space="preserve">to be </w:t>
      </w:r>
      <w:r w:rsidRPr="00A11D99">
        <w:rPr>
          <w:rStyle w:val="st"/>
          <w:sz w:val="20"/>
          <w:lang w:val="en-GB"/>
        </w:rPr>
        <w:t>considered “appropriate” must be even more limited if the update of the operating conditions may itself have a significant effect on the environment.</w:t>
      </w:r>
      <w:r w:rsidR="001531E9" w:rsidRPr="0008442A">
        <w:rPr>
          <w:rStyle w:val="st"/>
          <w:sz w:val="20"/>
          <w:vertAlign w:val="superscript"/>
          <w:lang w:val="en-GB"/>
        </w:rPr>
        <w:footnoteReference w:id="105"/>
      </w:r>
      <w:r w:rsidR="00502608">
        <w:rPr>
          <w:rStyle w:val="st"/>
          <w:sz w:val="20"/>
          <w:lang w:val="en-GB"/>
        </w:rPr>
        <w:t xml:space="preserve"> </w:t>
      </w:r>
      <w:r w:rsidR="001531E9">
        <w:rPr>
          <w:rStyle w:val="st"/>
          <w:sz w:val="20"/>
          <w:lang w:val="en-GB"/>
        </w:rPr>
        <w:t>However</w:t>
      </w:r>
      <w:r w:rsidRPr="00D0245D">
        <w:rPr>
          <w:rStyle w:val="st"/>
          <w:sz w:val="20"/>
          <w:lang w:val="en-GB"/>
        </w:rPr>
        <w:t>,</w:t>
      </w:r>
      <w:r w:rsidR="001531E9" w:rsidRPr="00D0245D">
        <w:rPr>
          <w:rStyle w:val="st"/>
          <w:sz w:val="20"/>
          <w:lang w:val="en-GB"/>
        </w:rPr>
        <w:t xml:space="preserve"> </w:t>
      </w:r>
      <w:r w:rsidRPr="00D0245D">
        <w:rPr>
          <w:rStyle w:val="st"/>
          <w:sz w:val="20"/>
          <w:lang w:val="en-GB"/>
        </w:rPr>
        <w:t>it is not decisive whether the operating conditions of the activity will indeed ultimately be updated</w:t>
      </w:r>
      <w:r w:rsidR="00AA508B" w:rsidRPr="00D0245D">
        <w:rPr>
          <w:rStyle w:val="st"/>
          <w:sz w:val="20"/>
          <w:lang w:val="en-GB"/>
        </w:rPr>
        <w:t xml:space="preserve"> or will </w:t>
      </w:r>
      <w:r w:rsidR="00502608">
        <w:rPr>
          <w:rStyle w:val="st"/>
          <w:sz w:val="20"/>
          <w:lang w:val="en-GB"/>
        </w:rPr>
        <w:t>in fact</w:t>
      </w:r>
      <w:r w:rsidR="00AA508B" w:rsidRPr="00D0245D">
        <w:rPr>
          <w:rStyle w:val="st"/>
          <w:sz w:val="20"/>
          <w:lang w:val="en-GB"/>
        </w:rPr>
        <w:t xml:space="preserve"> have significant environmental effects</w:t>
      </w:r>
      <w:r w:rsidRPr="00D0245D">
        <w:rPr>
          <w:rStyle w:val="st"/>
          <w:sz w:val="20"/>
          <w:lang w:val="en-GB"/>
        </w:rPr>
        <w:t xml:space="preserve">. </w:t>
      </w:r>
      <w:bookmarkStart w:id="55" w:name="_Ref19280005"/>
      <w:r w:rsidRPr="00D0245D">
        <w:rPr>
          <w:rStyle w:val="st"/>
          <w:sz w:val="20"/>
          <w:lang w:val="en-GB"/>
        </w:rPr>
        <w:t xml:space="preserve">Likewise, it is immaterial that, if the </w:t>
      </w:r>
      <w:r w:rsidR="00502608" w:rsidRPr="00D0245D">
        <w:rPr>
          <w:rStyle w:val="st"/>
          <w:sz w:val="20"/>
          <w:lang w:val="en-GB"/>
        </w:rPr>
        <w:t xml:space="preserve">operating </w:t>
      </w:r>
      <w:r w:rsidRPr="00D0245D">
        <w:rPr>
          <w:rStyle w:val="st"/>
          <w:sz w:val="20"/>
          <w:lang w:val="en-GB"/>
        </w:rPr>
        <w:t>conditions are updated the</w:t>
      </w:r>
      <w:r w:rsidR="00541878" w:rsidRPr="00D0245D">
        <w:rPr>
          <w:rStyle w:val="st"/>
          <w:sz w:val="20"/>
          <w:lang w:val="en-GB"/>
        </w:rPr>
        <w:t xml:space="preserve"> updated</w:t>
      </w:r>
      <w:r w:rsidRPr="00D0245D">
        <w:rPr>
          <w:rStyle w:val="st"/>
          <w:sz w:val="20"/>
          <w:lang w:val="en-GB"/>
        </w:rPr>
        <w:t xml:space="preserve"> conditions </w:t>
      </w:r>
      <w:r w:rsidRPr="00C56098">
        <w:rPr>
          <w:rStyle w:val="st"/>
          <w:sz w:val="20"/>
          <w:lang w:val="en-GB"/>
        </w:rPr>
        <w:t>could</w:t>
      </w:r>
      <w:r w:rsidRPr="003A4D72">
        <w:rPr>
          <w:rStyle w:val="st"/>
          <w:sz w:val="20"/>
          <w:lang w:val="en-GB"/>
        </w:rPr>
        <w:t xml:space="preserve"> </w:t>
      </w:r>
      <w:r w:rsidR="00541878">
        <w:rPr>
          <w:rStyle w:val="st"/>
          <w:sz w:val="20"/>
          <w:lang w:val="en-GB"/>
        </w:rPr>
        <w:t>in some respects</w:t>
      </w:r>
      <w:r w:rsidR="00541878" w:rsidRPr="00D0245D">
        <w:rPr>
          <w:rStyle w:val="st"/>
          <w:sz w:val="20"/>
          <w:lang w:val="en-GB"/>
        </w:rPr>
        <w:t xml:space="preserve"> </w:t>
      </w:r>
      <w:r w:rsidRPr="00D0245D">
        <w:rPr>
          <w:rStyle w:val="st"/>
          <w:sz w:val="20"/>
          <w:lang w:val="en-GB"/>
        </w:rPr>
        <w:t>have a beneficial effect on the environment</w:t>
      </w:r>
      <w:r w:rsidR="00C56098">
        <w:rPr>
          <w:rStyle w:val="st"/>
          <w:sz w:val="20"/>
          <w:lang w:val="en-GB"/>
        </w:rPr>
        <w:t>, human health</w:t>
      </w:r>
      <w:r w:rsidR="00C775D0">
        <w:rPr>
          <w:rStyle w:val="st"/>
          <w:sz w:val="20"/>
          <w:lang w:val="en-GB"/>
        </w:rPr>
        <w:t xml:space="preserve"> </w:t>
      </w:r>
      <w:r w:rsidR="00C775D0">
        <w:rPr>
          <w:rStyle w:val="st"/>
          <w:sz w:val="20"/>
          <w:lang w:val="en-GB"/>
        </w:rPr>
        <w:lastRenderedPageBreak/>
        <w:t>and safety</w:t>
      </w:r>
      <w:r w:rsidRPr="00C56098">
        <w:rPr>
          <w:rStyle w:val="st"/>
          <w:sz w:val="20"/>
          <w:lang w:val="en-GB"/>
        </w:rPr>
        <w:t>.</w:t>
      </w:r>
      <w:bookmarkEnd w:id="53"/>
      <w:r w:rsidR="001531E9" w:rsidRPr="00C56098">
        <w:rPr>
          <w:rStyle w:val="st"/>
          <w:sz w:val="20"/>
          <w:lang w:val="en-GB"/>
        </w:rPr>
        <w:t xml:space="preserve"> </w:t>
      </w:r>
      <w:bookmarkEnd w:id="55"/>
      <w:r w:rsidR="001531E9">
        <w:rPr>
          <w:rStyle w:val="st"/>
          <w:sz w:val="20"/>
          <w:lang w:val="en-GB"/>
        </w:rPr>
        <w:t xml:space="preserve">The </w:t>
      </w:r>
      <w:r w:rsidR="00502608">
        <w:rPr>
          <w:rStyle w:val="st"/>
          <w:sz w:val="20"/>
          <w:lang w:val="en-GB"/>
        </w:rPr>
        <w:t>crucial</w:t>
      </w:r>
      <w:r w:rsidR="001531E9">
        <w:rPr>
          <w:rStyle w:val="st"/>
          <w:sz w:val="20"/>
          <w:lang w:val="en-GB"/>
        </w:rPr>
        <w:t xml:space="preserve"> point is whether the reconsideration or update is “capable of” changing the activity’s basic parameters or will “address” significant environmental aspects of the activity.</w:t>
      </w:r>
      <w:bookmarkEnd w:id="54"/>
    </w:p>
    <w:p w14:paraId="7D579B46" w14:textId="156BB845" w:rsidR="00D938A6" w:rsidRPr="002D1939" w:rsidRDefault="00D938A6" w:rsidP="006A5D08">
      <w:pPr>
        <w:pStyle w:val="SingleTxtG"/>
        <w:ind w:right="0"/>
        <w:rPr>
          <w:b/>
          <w:bCs/>
          <w:iCs/>
          <w:sz w:val="20"/>
          <w:lang w:val="en-GB"/>
        </w:rPr>
      </w:pPr>
      <w:r w:rsidRPr="002D1939">
        <w:rPr>
          <w:b/>
          <w:bCs/>
          <w:iCs/>
          <w:sz w:val="20"/>
          <w:lang w:val="en-GB"/>
        </w:rPr>
        <w:t>Compliance with article 6(10)</w:t>
      </w:r>
    </w:p>
    <w:p w14:paraId="4F88FC67" w14:textId="0671CF4C" w:rsidR="00F94C44" w:rsidRPr="00CA5E16" w:rsidRDefault="00407103" w:rsidP="006A5D08">
      <w:pPr>
        <w:pStyle w:val="SingleTxtG"/>
        <w:ind w:right="0"/>
        <w:rPr>
          <w:i/>
          <w:sz w:val="20"/>
        </w:rPr>
      </w:pPr>
      <w:r w:rsidRPr="00CA5E16">
        <w:rPr>
          <w:i/>
          <w:sz w:val="20"/>
          <w:lang w:val="en-GB"/>
        </w:rPr>
        <w:t>(</w:t>
      </w:r>
      <w:proofErr w:type="spellStart"/>
      <w:r w:rsidR="00D938A6" w:rsidRPr="00CA5E16">
        <w:rPr>
          <w:i/>
          <w:sz w:val="20"/>
          <w:lang w:val="en-GB"/>
        </w:rPr>
        <w:t>i</w:t>
      </w:r>
      <w:proofErr w:type="spellEnd"/>
      <w:r w:rsidRPr="00CA5E16">
        <w:rPr>
          <w:i/>
          <w:sz w:val="20"/>
          <w:lang w:val="en-GB"/>
        </w:rPr>
        <w:t xml:space="preserve">) </w:t>
      </w:r>
      <w:r w:rsidR="00F94C44" w:rsidRPr="00CA5E16">
        <w:rPr>
          <w:i/>
          <w:sz w:val="20"/>
        </w:rPr>
        <w:t>Publication of new BAT conclusions and developments in the BATs</w:t>
      </w:r>
    </w:p>
    <w:p w14:paraId="5547E644" w14:textId="32634DFE" w:rsidR="004E4DA4" w:rsidRPr="00CA5E16" w:rsidRDefault="00FA3D99" w:rsidP="00177892">
      <w:pPr>
        <w:pStyle w:val="SingleTxtG"/>
        <w:numPr>
          <w:ilvl w:val="0"/>
          <w:numId w:val="3"/>
        </w:numPr>
        <w:tabs>
          <w:tab w:val="clear" w:pos="1853"/>
          <w:tab w:val="num" w:pos="1701"/>
        </w:tabs>
        <w:autoSpaceDE w:val="0"/>
        <w:autoSpaceDN w:val="0"/>
        <w:adjustRightInd w:val="0"/>
        <w:ind w:left="1134" w:right="0" w:firstLine="0"/>
        <w:rPr>
          <w:sz w:val="20"/>
          <w:lang w:val="en-GB"/>
        </w:rPr>
      </w:pPr>
      <w:bookmarkStart w:id="56" w:name="_Ref19266837"/>
      <w:r w:rsidRPr="00CA5E16">
        <w:rPr>
          <w:sz w:val="20"/>
          <w:lang w:val="en-GB"/>
        </w:rPr>
        <w:t>A</w:t>
      </w:r>
      <w:r w:rsidR="004E4DA4" w:rsidRPr="00CA5E16">
        <w:rPr>
          <w:sz w:val="20"/>
          <w:lang w:val="en-GB"/>
        </w:rPr>
        <w:t>rticle 21</w:t>
      </w:r>
      <w:r w:rsidR="00DC04C5" w:rsidRPr="00CA5E16">
        <w:rPr>
          <w:sz w:val="20"/>
          <w:lang w:val="en-GB"/>
        </w:rPr>
        <w:t>(</w:t>
      </w:r>
      <w:r w:rsidR="004E4DA4" w:rsidRPr="00CA5E16">
        <w:rPr>
          <w:sz w:val="20"/>
          <w:lang w:val="en-GB"/>
        </w:rPr>
        <w:t>3</w:t>
      </w:r>
      <w:r w:rsidR="00DC04C5" w:rsidRPr="00CA5E16">
        <w:rPr>
          <w:sz w:val="20"/>
          <w:lang w:val="en-GB"/>
        </w:rPr>
        <w:t>)</w:t>
      </w:r>
      <w:r w:rsidR="004E4DA4" w:rsidRPr="00CA5E16">
        <w:rPr>
          <w:sz w:val="20"/>
          <w:lang w:val="en-GB"/>
        </w:rPr>
        <w:t xml:space="preserve"> and </w:t>
      </w:r>
      <w:r w:rsidR="00DC04C5" w:rsidRPr="00CA5E16">
        <w:rPr>
          <w:sz w:val="20"/>
          <w:lang w:val="en-GB"/>
        </w:rPr>
        <w:t>(</w:t>
      </w:r>
      <w:r w:rsidR="004E4DA4" w:rsidRPr="00CA5E16">
        <w:rPr>
          <w:sz w:val="20"/>
          <w:lang w:val="en-GB"/>
        </w:rPr>
        <w:t>4</w:t>
      </w:r>
      <w:r w:rsidR="00DC04C5" w:rsidRPr="00CA5E16">
        <w:rPr>
          <w:sz w:val="20"/>
          <w:lang w:val="en-GB"/>
        </w:rPr>
        <w:t>)</w:t>
      </w:r>
      <w:r w:rsidR="004E4DA4" w:rsidRPr="00CA5E16">
        <w:rPr>
          <w:sz w:val="20"/>
          <w:lang w:val="en-GB"/>
        </w:rPr>
        <w:t xml:space="preserve"> of the IED require that the permit conditions of the installations concerned shall be reconsidered and, </w:t>
      </w:r>
      <w:r w:rsidR="00AD19E1" w:rsidRPr="00CA5E16">
        <w:rPr>
          <w:sz w:val="20"/>
          <w:lang w:val="en-GB"/>
        </w:rPr>
        <w:t xml:space="preserve">if </w:t>
      </w:r>
      <w:r w:rsidR="004E4DA4" w:rsidRPr="00CA5E16">
        <w:rPr>
          <w:sz w:val="20"/>
          <w:lang w:val="en-GB"/>
        </w:rPr>
        <w:t xml:space="preserve">necessary, updated if new BAT conclusions are published or if developments in </w:t>
      </w:r>
      <w:r w:rsidRPr="00CA5E16">
        <w:rPr>
          <w:sz w:val="20"/>
          <w:lang w:val="en-GB"/>
        </w:rPr>
        <w:t>BATs</w:t>
      </w:r>
      <w:r w:rsidR="004E4DA4" w:rsidRPr="00CA5E16">
        <w:rPr>
          <w:sz w:val="20"/>
          <w:lang w:val="en-GB"/>
        </w:rPr>
        <w:t xml:space="preserve"> allow for “significant reduction of emissions”.</w:t>
      </w:r>
      <w:r w:rsidR="00AF191F" w:rsidRPr="00CA5E16">
        <w:rPr>
          <w:sz w:val="20"/>
          <w:lang w:val="en-GB"/>
        </w:rPr>
        <w:t xml:space="preserve"> </w:t>
      </w:r>
      <w:r w:rsidRPr="00CA5E16">
        <w:rPr>
          <w:sz w:val="20"/>
          <w:lang w:val="en-GB"/>
        </w:rPr>
        <w:t>“B</w:t>
      </w:r>
      <w:r w:rsidR="00AF191F" w:rsidRPr="00CA5E16">
        <w:rPr>
          <w:sz w:val="20"/>
          <w:lang w:val="en-GB"/>
        </w:rPr>
        <w:t>est available techniques”, as defined in article 3</w:t>
      </w:r>
      <w:r w:rsidR="00A25133" w:rsidRPr="00CA5E16">
        <w:rPr>
          <w:sz w:val="20"/>
          <w:lang w:val="en-GB"/>
        </w:rPr>
        <w:t>(</w:t>
      </w:r>
      <w:r w:rsidR="00AF191F" w:rsidRPr="00CA5E16">
        <w:rPr>
          <w:sz w:val="20"/>
          <w:lang w:val="en-GB"/>
        </w:rPr>
        <w:t>10</w:t>
      </w:r>
      <w:r w:rsidR="00A25133" w:rsidRPr="00CA5E16">
        <w:rPr>
          <w:sz w:val="20"/>
          <w:lang w:val="en-GB"/>
        </w:rPr>
        <w:t>)</w:t>
      </w:r>
      <w:r w:rsidR="00AF191F" w:rsidRPr="00CA5E16">
        <w:rPr>
          <w:sz w:val="20"/>
          <w:lang w:val="en-GB"/>
        </w:rPr>
        <w:t xml:space="preserve"> of the IED, provide “the basis for emission limit values and other permit conditions designed to prevent and, where that is not practicable, to reduce emissions and the impact on the environment as a whole”. </w:t>
      </w:r>
      <w:bookmarkEnd w:id="56"/>
    </w:p>
    <w:p w14:paraId="17E8E532" w14:textId="2BA28D5D" w:rsidR="005C7344" w:rsidRDefault="00151C71" w:rsidP="005C7344">
      <w:pPr>
        <w:pStyle w:val="SingleTxtG"/>
        <w:numPr>
          <w:ilvl w:val="0"/>
          <w:numId w:val="3"/>
        </w:numPr>
        <w:tabs>
          <w:tab w:val="clear" w:pos="1853"/>
          <w:tab w:val="num" w:pos="1701"/>
        </w:tabs>
        <w:autoSpaceDE w:val="0"/>
        <w:autoSpaceDN w:val="0"/>
        <w:adjustRightInd w:val="0"/>
        <w:ind w:left="1134" w:right="0" w:firstLine="0"/>
        <w:rPr>
          <w:sz w:val="20"/>
          <w:lang w:val="en-GB"/>
        </w:rPr>
      </w:pPr>
      <w:r w:rsidRPr="00CA5E16">
        <w:rPr>
          <w:sz w:val="20"/>
          <w:lang w:val="en-GB"/>
        </w:rPr>
        <w:t xml:space="preserve">The Committee </w:t>
      </w:r>
      <w:r w:rsidR="00AF191F" w:rsidRPr="00CA5E16">
        <w:rPr>
          <w:sz w:val="20"/>
          <w:lang w:val="en-GB"/>
        </w:rPr>
        <w:t>takes note of</w:t>
      </w:r>
      <w:r w:rsidRPr="00CA5E16">
        <w:rPr>
          <w:sz w:val="20"/>
          <w:lang w:val="en-GB"/>
        </w:rPr>
        <w:t xml:space="preserve"> the submission </w:t>
      </w:r>
      <w:r w:rsidR="008A7F32">
        <w:rPr>
          <w:sz w:val="20"/>
          <w:lang w:val="en-GB"/>
        </w:rPr>
        <w:t xml:space="preserve">by the Party concerned </w:t>
      </w:r>
      <w:r w:rsidRPr="00CA5E16">
        <w:rPr>
          <w:sz w:val="20"/>
          <w:lang w:val="en-GB"/>
        </w:rPr>
        <w:t xml:space="preserve">that the discretion of public authorities would be limited </w:t>
      </w:r>
      <w:r w:rsidR="00B16C25" w:rsidRPr="00CA5E16">
        <w:rPr>
          <w:sz w:val="20"/>
          <w:lang w:val="en-GB"/>
        </w:rPr>
        <w:t xml:space="preserve">in this kind of reconsideration </w:t>
      </w:r>
      <w:r w:rsidRPr="00CA5E16">
        <w:rPr>
          <w:sz w:val="20"/>
          <w:lang w:val="en-GB"/>
        </w:rPr>
        <w:t xml:space="preserve">as they would be required to base applicable emission limit values on the Associated Emission Levels and that only </w:t>
      </w:r>
      <w:r w:rsidRPr="00CA5E16">
        <w:rPr>
          <w:sz w:val="20"/>
          <w:szCs w:val="20"/>
          <w:lang w:val="en-GB"/>
        </w:rPr>
        <w:t xml:space="preserve">in case of a derogation </w:t>
      </w:r>
      <w:r w:rsidR="002D6EAC" w:rsidRPr="00CA5E16">
        <w:rPr>
          <w:sz w:val="20"/>
          <w:szCs w:val="20"/>
          <w:lang w:val="en-GB"/>
        </w:rPr>
        <w:t xml:space="preserve">from </w:t>
      </w:r>
      <w:r w:rsidRPr="00CA5E16">
        <w:rPr>
          <w:sz w:val="20"/>
          <w:szCs w:val="20"/>
          <w:lang w:val="en-GB"/>
        </w:rPr>
        <w:t xml:space="preserve">these levels </w:t>
      </w:r>
      <w:r w:rsidR="00713007" w:rsidRPr="00CA5E16">
        <w:rPr>
          <w:sz w:val="20"/>
          <w:szCs w:val="20"/>
          <w:lang w:val="en-GB"/>
        </w:rPr>
        <w:t xml:space="preserve">is </w:t>
      </w:r>
      <w:r w:rsidRPr="00CA5E16">
        <w:rPr>
          <w:sz w:val="20"/>
          <w:szCs w:val="20"/>
          <w:lang w:val="en-GB"/>
        </w:rPr>
        <w:t xml:space="preserve">a negative impact on the environment to be expected (see para. </w:t>
      </w:r>
      <w:r w:rsidRPr="00CA5E16">
        <w:rPr>
          <w:sz w:val="20"/>
          <w:szCs w:val="20"/>
          <w:lang w:val="en-GB"/>
        </w:rPr>
        <w:fldChar w:fldCharType="begin"/>
      </w:r>
      <w:r w:rsidRPr="00CA5E16">
        <w:rPr>
          <w:sz w:val="20"/>
          <w:szCs w:val="20"/>
          <w:lang w:val="en-GB"/>
        </w:rPr>
        <w:instrText xml:space="preserve"> REF _Ref510799224 \r \h </w:instrText>
      </w:r>
      <w:r w:rsidR="00B62030" w:rsidRPr="00CA5E16">
        <w:rPr>
          <w:sz w:val="20"/>
          <w:szCs w:val="20"/>
          <w:lang w:val="en-GB"/>
        </w:rPr>
        <w:instrText xml:space="preserve"> \* MERGEFORMAT </w:instrText>
      </w:r>
      <w:r w:rsidRPr="00CA5E16">
        <w:rPr>
          <w:sz w:val="20"/>
          <w:szCs w:val="20"/>
          <w:lang w:val="en-GB"/>
        </w:rPr>
      </w:r>
      <w:r w:rsidRPr="00CA5E16">
        <w:rPr>
          <w:sz w:val="20"/>
          <w:szCs w:val="20"/>
          <w:lang w:val="en-GB"/>
        </w:rPr>
        <w:fldChar w:fldCharType="separate"/>
      </w:r>
      <w:r w:rsidR="00C775D0">
        <w:rPr>
          <w:sz w:val="20"/>
          <w:szCs w:val="20"/>
          <w:lang w:val="en-GB"/>
        </w:rPr>
        <w:t>57</w:t>
      </w:r>
      <w:r w:rsidRPr="00CA5E16">
        <w:rPr>
          <w:sz w:val="20"/>
          <w:szCs w:val="20"/>
          <w:lang w:val="en-GB"/>
        </w:rPr>
        <w:fldChar w:fldCharType="end"/>
      </w:r>
      <w:r w:rsidRPr="00CA5E16">
        <w:rPr>
          <w:sz w:val="20"/>
          <w:szCs w:val="20"/>
          <w:lang w:val="en-GB"/>
        </w:rPr>
        <w:t xml:space="preserve"> above)</w:t>
      </w:r>
      <w:r w:rsidR="00AF191F" w:rsidRPr="00CA5E16">
        <w:rPr>
          <w:sz w:val="20"/>
          <w:szCs w:val="20"/>
          <w:lang w:val="en-GB"/>
        </w:rPr>
        <w:t xml:space="preserve">. The Committee considers, </w:t>
      </w:r>
      <w:r w:rsidRPr="00CA5E16">
        <w:rPr>
          <w:sz w:val="20"/>
          <w:szCs w:val="20"/>
          <w:lang w:val="en-GB"/>
        </w:rPr>
        <w:t>however</w:t>
      </w:r>
      <w:r w:rsidR="00AF191F" w:rsidRPr="00CA5E16">
        <w:rPr>
          <w:sz w:val="20"/>
          <w:szCs w:val="20"/>
          <w:lang w:val="en-GB"/>
        </w:rPr>
        <w:t>,</w:t>
      </w:r>
      <w:r w:rsidRPr="00CA5E16">
        <w:rPr>
          <w:sz w:val="20"/>
          <w:szCs w:val="20"/>
          <w:lang w:val="en-GB"/>
        </w:rPr>
        <w:t xml:space="preserve"> that in order to ascertain whether a specific</w:t>
      </w:r>
      <w:r w:rsidRPr="00CA5E16">
        <w:rPr>
          <w:sz w:val="20"/>
          <w:lang w:val="en-GB"/>
        </w:rPr>
        <w:t xml:space="preserve"> facility meets the requirements of the Associated Emission Levels and the best available techniques more generally, the public authorities must </w:t>
      </w:r>
      <w:r w:rsidR="00EA6443" w:rsidRPr="00CA5E16">
        <w:rPr>
          <w:sz w:val="20"/>
          <w:lang w:val="en-GB"/>
        </w:rPr>
        <w:t xml:space="preserve">evaluate </w:t>
      </w:r>
      <w:r w:rsidR="002D6EAC" w:rsidRPr="00CA5E16">
        <w:rPr>
          <w:sz w:val="20"/>
          <w:lang w:val="en-GB"/>
        </w:rPr>
        <w:t xml:space="preserve">the facility’s </w:t>
      </w:r>
      <w:r w:rsidR="00EA6443" w:rsidRPr="00CA5E16">
        <w:rPr>
          <w:sz w:val="20"/>
          <w:lang w:val="en-GB"/>
        </w:rPr>
        <w:t xml:space="preserve">compliance with </w:t>
      </w:r>
      <w:r w:rsidR="002D6EAC" w:rsidRPr="00CA5E16">
        <w:rPr>
          <w:sz w:val="20"/>
          <w:lang w:val="en-GB"/>
        </w:rPr>
        <w:t xml:space="preserve">its </w:t>
      </w:r>
      <w:r w:rsidR="00EA6443" w:rsidRPr="00CA5E16">
        <w:rPr>
          <w:sz w:val="20"/>
          <w:lang w:val="en-GB"/>
        </w:rPr>
        <w:t>permit conditions.</w:t>
      </w:r>
      <w:r w:rsidRPr="00CA5E16">
        <w:rPr>
          <w:sz w:val="20"/>
          <w:lang w:val="en-GB"/>
        </w:rPr>
        <w:t xml:space="preserve"> </w:t>
      </w:r>
      <w:r w:rsidR="00EA6443" w:rsidRPr="00CA5E16">
        <w:rPr>
          <w:sz w:val="20"/>
          <w:lang w:val="en-GB"/>
        </w:rPr>
        <w:t xml:space="preserve">This requires </w:t>
      </w:r>
      <w:r w:rsidR="008A7F32">
        <w:rPr>
          <w:sz w:val="20"/>
          <w:lang w:val="en-GB"/>
        </w:rPr>
        <w:t xml:space="preserve">an </w:t>
      </w:r>
      <w:r w:rsidR="00EA6443" w:rsidRPr="00CA5E16">
        <w:rPr>
          <w:sz w:val="20"/>
          <w:lang w:val="en-GB"/>
        </w:rPr>
        <w:t>examination</w:t>
      </w:r>
      <w:r w:rsidRPr="00CA5E16">
        <w:rPr>
          <w:sz w:val="20"/>
          <w:lang w:val="en-GB"/>
        </w:rPr>
        <w:t xml:space="preserve"> of the operating conditions of the </w:t>
      </w:r>
      <w:r w:rsidRPr="00CD6C87">
        <w:rPr>
          <w:sz w:val="20"/>
          <w:lang w:val="en-GB"/>
        </w:rPr>
        <w:t xml:space="preserve">permit </w:t>
      </w:r>
      <w:r w:rsidR="00D46432">
        <w:rPr>
          <w:sz w:val="20"/>
          <w:lang w:val="en-GB"/>
        </w:rPr>
        <w:t>and</w:t>
      </w:r>
      <w:r w:rsidRPr="00CD6C87">
        <w:rPr>
          <w:sz w:val="20"/>
          <w:lang w:val="en-GB"/>
        </w:rPr>
        <w:t xml:space="preserve"> will </w:t>
      </w:r>
      <w:r w:rsidR="005C7344">
        <w:rPr>
          <w:sz w:val="20"/>
          <w:lang w:val="en-GB"/>
        </w:rPr>
        <w:t>ultimately</w:t>
      </w:r>
      <w:r w:rsidR="005C7344" w:rsidRPr="00CD6C87">
        <w:rPr>
          <w:sz w:val="20"/>
          <w:lang w:val="en-GB"/>
        </w:rPr>
        <w:t xml:space="preserve"> </w:t>
      </w:r>
      <w:r w:rsidR="00713007" w:rsidRPr="00CD6C87">
        <w:rPr>
          <w:sz w:val="20"/>
          <w:lang w:val="en-GB"/>
        </w:rPr>
        <w:t>determine</w:t>
      </w:r>
      <w:r w:rsidRPr="00CD6C87">
        <w:rPr>
          <w:sz w:val="20"/>
          <w:lang w:val="en-GB"/>
        </w:rPr>
        <w:t xml:space="preserve"> whether further measures will be taken to reduce the environmental impact of the facility or </w:t>
      </w:r>
      <w:r w:rsidR="00B16C25" w:rsidRPr="00CD6C87">
        <w:rPr>
          <w:sz w:val="20"/>
          <w:lang w:val="en-GB"/>
        </w:rPr>
        <w:t xml:space="preserve">whether no measures </w:t>
      </w:r>
      <w:r w:rsidR="00713007" w:rsidRPr="00CD6C87">
        <w:rPr>
          <w:sz w:val="20"/>
          <w:lang w:val="en-GB"/>
        </w:rPr>
        <w:t>will be</w:t>
      </w:r>
      <w:r w:rsidR="00B16C25" w:rsidRPr="00CD6C87">
        <w:rPr>
          <w:sz w:val="20"/>
          <w:lang w:val="en-GB"/>
        </w:rPr>
        <w:t xml:space="preserve"> taken at all</w:t>
      </w:r>
      <w:r w:rsidRPr="00CD6C87">
        <w:rPr>
          <w:sz w:val="20"/>
          <w:lang w:val="en-GB"/>
        </w:rPr>
        <w:t xml:space="preserve">. </w:t>
      </w:r>
    </w:p>
    <w:p w14:paraId="6896019B" w14:textId="484743D2" w:rsidR="00B75135" w:rsidRPr="00CD6C87" w:rsidRDefault="005C0F43" w:rsidP="005C7344">
      <w:pPr>
        <w:pStyle w:val="SingleTxtG"/>
        <w:numPr>
          <w:ilvl w:val="0"/>
          <w:numId w:val="3"/>
        </w:numPr>
        <w:tabs>
          <w:tab w:val="clear" w:pos="1853"/>
          <w:tab w:val="num" w:pos="1701"/>
        </w:tabs>
        <w:autoSpaceDE w:val="0"/>
        <w:autoSpaceDN w:val="0"/>
        <w:adjustRightInd w:val="0"/>
        <w:ind w:left="1134" w:right="0" w:firstLine="0"/>
        <w:rPr>
          <w:sz w:val="20"/>
          <w:lang w:val="en-GB"/>
        </w:rPr>
      </w:pPr>
      <w:r>
        <w:rPr>
          <w:sz w:val="20"/>
          <w:lang w:val="en-GB"/>
        </w:rPr>
        <w:t>Given</w:t>
      </w:r>
      <w:r w:rsidR="005C7344">
        <w:rPr>
          <w:sz w:val="20"/>
          <w:lang w:val="en-GB"/>
        </w:rPr>
        <w:t xml:space="preserve"> the above, </w:t>
      </w:r>
      <w:r w:rsidR="00D46432">
        <w:rPr>
          <w:sz w:val="20"/>
          <w:lang w:val="en-GB"/>
        </w:rPr>
        <w:t>the Committee considers that</w:t>
      </w:r>
      <w:r w:rsidR="005C7344">
        <w:rPr>
          <w:sz w:val="20"/>
          <w:lang w:val="en-GB"/>
        </w:rPr>
        <w:t>, where a public authority reconsiders and</w:t>
      </w:r>
      <w:r w:rsidR="008A7F32">
        <w:rPr>
          <w:sz w:val="20"/>
          <w:lang w:val="en-GB"/>
        </w:rPr>
        <w:t>,</w:t>
      </w:r>
      <w:r w:rsidR="005C7344">
        <w:rPr>
          <w:sz w:val="20"/>
          <w:lang w:val="en-GB"/>
        </w:rPr>
        <w:t xml:space="preserve"> </w:t>
      </w:r>
      <w:r>
        <w:rPr>
          <w:sz w:val="20"/>
          <w:lang w:val="en-GB"/>
        </w:rPr>
        <w:t>if</w:t>
      </w:r>
      <w:r w:rsidR="005C7344">
        <w:rPr>
          <w:sz w:val="20"/>
          <w:lang w:val="en-GB"/>
        </w:rPr>
        <w:t xml:space="preserve"> necessary, updates </w:t>
      </w:r>
      <w:r w:rsidR="009720F1">
        <w:rPr>
          <w:sz w:val="20"/>
          <w:lang w:val="en-GB"/>
        </w:rPr>
        <w:t>the</w:t>
      </w:r>
      <w:r>
        <w:rPr>
          <w:sz w:val="20"/>
          <w:lang w:val="en-GB"/>
        </w:rPr>
        <w:t xml:space="preserve"> operating conditions </w:t>
      </w:r>
      <w:r w:rsidR="009720F1">
        <w:rPr>
          <w:sz w:val="20"/>
          <w:lang w:val="en-GB"/>
        </w:rPr>
        <w:t xml:space="preserve">of an activity subject to article 6 of the Convention </w:t>
      </w:r>
      <w:r>
        <w:rPr>
          <w:sz w:val="20"/>
          <w:lang w:val="en-GB"/>
        </w:rPr>
        <w:t xml:space="preserve">due to the publication of </w:t>
      </w:r>
      <w:r w:rsidRPr="00CA5E16">
        <w:rPr>
          <w:sz w:val="20"/>
          <w:lang w:val="en-GB"/>
        </w:rPr>
        <w:t xml:space="preserve">new BAT conclusions </w:t>
      </w:r>
      <w:r>
        <w:rPr>
          <w:sz w:val="20"/>
          <w:lang w:val="en-GB"/>
        </w:rPr>
        <w:t xml:space="preserve">or </w:t>
      </w:r>
      <w:r w:rsidRPr="00CA5E16">
        <w:rPr>
          <w:sz w:val="20"/>
          <w:lang w:val="en-GB"/>
        </w:rPr>
        <w:t>developments in BA</w:t>
      </w:r>
      <w:r>
        <w:rPr>
          <w:sz w:val="20"/>
          <w:lang w:val="en-GB"/>
        </w:rPr>
        <w:t xml:space="preserve">Ts, </w:t>
      </w:r>
      <w:r w:rsidR="005C7344">
        <w:rPr>
          <w:sz w:val="20"/>
          <w:lang w:val="en-GB"/>
        </w:rPr>
        <w:t xml:space="preserve">except in cases where </w:t>
      </w:r>
      <w:r w:rsidR="00BA7E6A">
        <w:rPr>
          <w:sz w:val="20"/>
          <w:lang w:val="en-GB"/>
        </w:rPr>
        <w:t>t</w:t>
      </w:r>
      <w:r w:rsidR="005C7344">
        <w:rPr>
          <w:sz w:val="20"/>
          <w:lang w:val="en-GB"/>
        </w:rPr>
        <w:t xml:space="preserve">he reconsideration </w:t>
      </w:r>
      <w:r>
        <w:rPr>
          <w:sz w:val="20"/>
          <w:lang w:val="en-GB"/>
        </w:rPr>
        <w:t>or update</w:t>
      </w:r>
      <w:r w:rsidR="005C7344">
        <w:rPr>
          <w:sz w:val="20"/>
          <w:lang w:val="en-GB"/>
        </w:rPr>
        <w:t xml:space="preserve"> is not </w:t>
      </w:r>
      <w:r w:rsidR="005C7344" w:rsidRPr="00ED167A">
        <w:rPr>
          <w:sz w:val="20"/>
          <w:lang w:val="en-GB"/>
        </w:rPr>
        <w:t>capable of significantly changing th</w:t>
      </w:r>
      <w:r w:rsidR="005C7344">
        <w:rPr>
          <w:sz w:val="20"/>
          <w:lang w:val="en-GB"/>
        </w:rPr>
        <w:t xml:space="preserve">e </w:t>
      </w:r>
      <w:r w:rsidR="005C7344" w:rsidRPr="00ED167A">
        <w:rPr>
          <w:sz w:val="20"/>
          <w:lang w:val="en-GB"/>
        </w:rPr>
        <w:t xml:space="preserve">basic parameters </w:t>
      </w:r>
      <w:r w:rsidR="005C7344">
        <w:rPr>
          <w:sz w:val="20"/>
          <w:lang w:val="en-GB"/>
        </w:rPr>
        <w:t xml:space="preserve">of the activity and will not </w:t>
      </w:r>
      <w:r w:rsidR="005C7344" w:rsidRPr="00ED167A">
        <w:rPr>
          <w:sz w:val="20"/>
          <w:lang w:val="en-GB"/>
        </w:rPr>
        <w:t>address significant environmental aspects of the activity</w:t>
      </w:r>
      <w:r w:rsidR="00BA7E6A">
        <w:rPr>
          <w:sz w:val="20"/>
          <w:lang w:val="en-GB"/>
        </w:rPr>
        <w:t xml:space="preserve">, </w:t>
      </w:r>
      <w:r w:rsidR="00B75135" w:rsidRPr="00CD6C87">
        <w:rPr>
          <w:sz w:val="20"/>
          <w:lang w:val="en-GB"/>
        </w:rPr>
        <w:t>public participation meeting the requirements of article 6 (2)-(9) is “appropriate”, and thus required.</w:t>
      </w:r>
    </w:p>
    <w:p w14:paraId="025A9CE1" w14:textId="358EB604" w:rsidR="00151C71" w:rsidRPr="00876435" w:rsidRDefault="00B75135" w:rsidP="00DA3592">
      <w:pPr>
        <w:pStyle w:val="SingleTxtG"/>
        <w:numPr>
          <w:ilvl w:val="0"/>
          <w:numId w:val="3"/>
        </w:numPr>
        <w:tabs>
          <w:tab w:val="clear" w:pos="1853"/>
          <w:tab w:val="num" w:pos="1701"/>
        </w:tabs>
        <w:autoSpaceDE w:val="0"/>
        <w:autoSpaceDN w:val="0"/>
        <w:adjustRightInd w:val="0"/>
        <w:ind w:left="1134" w:right="0" w:firstLine="0"/>
        <w:rPr>
          <w:sz w:val="20"/>
          <w:lang w:val="en-GB"/>
        </w:rPr>
      </w:pPr>
      <w:r w:rsidRPr="00876435">
        <w:rPr>
          <w:sz w:val="20"/>
          <w:lang w:val="en-GB"/>
        </w:rPr>
        <w:t>While there may be situations in which a Party may not be required to apply article 6(2)-(9) of the Convention to permit reconsiderations based on the publication of new BAT conclusions or to ensure compliance with developments in the BATs, in many situations such reconsiderations</w:t>
      </w:r>
      <w:r w:rsidR="00BA7E6A">
        <w:rPr>
          <w:sz w:val="20"/>
          <w:lang w:val="en-GB"/>
        </w:rPr>
        <w:t xml:space="preserve"> </w:t>
      </w:r>
      <w:r w:rsidR="004C590F">
        <w:rPr>
          <w:sz w:val="20"/>
          <w:lang w:val="en-GB"/>
        </w:rPr>
        <w:t>could</w:t>
      </w:r>
      <w:r w:rsidR="00BA7E6A">
        <w:rPr>
          <w:sz w:val="20"/>
          <w:lang w:val="en-GB"/>
        </w:rPr>
        <w:t>,</w:t>
      </w:r>
      <w:r w:rsidR="004C590F">
        <w:rPr>
          <w:sz w:val="20"/>
          <w:lang w:val="en-GB"/>
        </w:rPr>
        <w:t xml:space="preserve"> and in reality often would</w:t>
      </w:r>
      <w:r w:rsidR="00BA7E6A">
        <w:rPr>
          <w:sz w:val="20"/>
          <w:lang w:val="en-GB"/>
        </w:rPr>
        <w:t>,</w:t>
      </w:r>
      <w:r w:rsidRPr="00876435">
        <w:rPr>
          <w:sz w:val="20"/>
          <w:lang w:val="en-GB"/>
        </w:rPr>
        <w:t xml:space="preserve"> modify the future environmental impact of a given facility. Accordingly, </w:t>
      </w:r>
      <w:r w:rsidR="008D6EFD" w:rsidRPr="00876435">
        <w:rPr>
          <w:sz w:val="20"/>
          <w:lang w:val="en-GB"/>
        </w:rPr>
        <w:t xml:space="preserve">a legal framework which does not address </w:t>
      </w:r>
      <w:r w:rsidR="001B0960" w:rsidRPr="00876435">
        <w:rPr>
          <w:sz w:val="20"/>
          <w:szCs w:val="20"/>
          <w:lang w:val="en-GB"/>
        </w:rPr>
        <w:t xml:space="preserve">the possibility of </w:t>
      </w:r>
      <w:r w:rsidR="008D6EFD" w:rsidRPr="00876435">
        <w:rPr>
          <w:sz w:val="20"/>
          <w:lang w:val="en-GB"/>
        </w:rPr>
        <w:t xml:space="preserve">such situations cannot be compatible with </w:t>
      </w:r>
      <w:r w:rsidR="006008E0" w:rsidRPr="00876435">
        <w:rPr>
          <w:sz w:val="20"/>
          <w:lang w:val="en-GB"/>
        </w:rPr>
        <w:t xml:space="preserve">the </w:t>
      </w:r>
      <w:r w:rsidR="002926ED" w:rsidRPr="00876435">
        <w:rPr>
          <w:sz w:val="20"/>
          <w:lang w:val="en-GB"/>
        </w:rPr>
        <w:t xml:space="preserve">requirement to apply the provisions of article 6 of the </w:t>
      </w:r>
      <w:r w:rsidR="00A06E87" w:rsidRPr="00876435">
        <w:rPr>
          <w:sz w:val="20"/>
          <w:lang w:val="en-GB"/>
        </w:rPr>
        <w:t>C</w:t>
      </w:r>
      <w:r w:rsidR="002926ED" w:rsidRPr="00876435">
        <w:rPr>
          <w:sz w:val="20"/>
          <w:lang w:val="en-GB"/>
        </w:rPr>
        <w:t xml:space="preserve">onvention “where appropriate”. </w:t>
      </w:r>
      <w:r w:rsidR="00DB144A" w:rsidRPr="00876435">
        <w:rPr>
          <w:sz w:val="20"/>
          <w:lang w:val="en-GB"/>
        </w:rPr>
        <w:t>In the light of the above</w:t>
      </w:r>
      <w:r w:rsidR="002926ED" w:rsidRPr="00876435">
        <w:rPr>
          <w:sz w:val="20"/>
          <w:lang w:val="en-GB"/>
        </w:rPr>
        <w:t xml:space="preserve">, </w:t>
      </w:r>
      <w:r w:rsidR="00151C71" w:rsidRPr="00876435">
        <w:rPr>
          <w:sz w:val="20"/>
          <w:lang w:val="en-GB"/>
        </w:rPr>
        <w:t>the Committee finds that</w:t>
      </w:r>
      <w:r w:rsidR="00827D08" w:rsidRPr="00876435">
        <w:rPr>
          <w:sz w:val="20"/>
          <w:lang w:val="en-GB"/>
        </w:rPr>
        <w:t>,</w:t>
      </w:r>
      <w:r w:rsidR="00151C71" w:rsidRPr="00876435">
        <w:rPr>
          <w:sz w:val="20"/>
          <w:lang w:val="en-GB"/>
        </w:rPr>
        <w:t xml:space="preserve"> </w:t>
      </w:r>
      <w:r w:rsidR="00895F30" w:rsidRPr="00876435">
        <w:rPr>
          <w:sz w:val="20"/>
          <w:lang w:val="en-GB"/>
        </w:rPr>
        <w:t xml:space="preserve">by putting in place a legal framework that </w:t>
      </w:r>
      <w:r w:rsidR="004C590F">
        <w:rPr>
          <w:sz w:val="20"/>
          <w:lang w:val="en-GB"/>
        </w:rPr>
        <w:t>does not envisage</w:t>
      </w:r>
      <w:r w:rsidR="00BA7E6A">
        <w:rPr>
          <w:sz w:val="20"/>
          <w:lang w:val="en-GB"/>
        </w:rPr>
        <w:t xml:space="preserve"> </w:t>
      </w:r>
      <w:r w:rsidR="00895F30" w:rsidRPr="00876435">
        <w:rPr>
          <w:sz w:val="20"/>
          <w:lang w:val="en-GB"/>
        </w:rPr>
        <w:t xml:space="preserve">any possibility for public participation in relation to reconsiderations and updates under </w:t>
      </w:r>
      <w:r w:rsidR="00151C71" w:rsidRPr="00876435">
        <w:rPr>
          <w:sz w:val="20"/>
          <w:lang w:val="en-GB"/>
        </w:rPr>
        <w:t>article 21</w:t>
      </w:r>
      <w:r w:rsidR="008F4EA7" w:rsidRPr="00876435">
        <w:rPr>
          <w:sz w:val="20"/>
          <w:lang w:val="en-GB"/>
        </w:rPr>
        <w:t>(</w:t>
      </w:r>
      <w:r w:rsidR="00151C71" w:rsidRPr="00876435">
        <w:rPr>
          <w:sz w:val="20"/>
          <w:lang w:val="en-GB"/>
        </w:rPr>
        <w:t>3</w:t>
      </w:r>
      <w:r w:rsidR="008F4EA7" w:rsidRPr="00876435">
        <w:rPr>
          <w:sz w:val="20"/>
          <w:lang w:val="en-GB"/>
        </w:rPr>
        <w:t>)</w:t>
      </w:r>
      <w:r w:rsidR="00151C71" w:rsidRPr="00876435">
        <w:rPr>
          <w:sz w:val="20"/>
          <w:lang w:val="en-GB"/>
        </w:rPr>
        <w:t xml:space="preserve"> and </w:t>
      </w:r>
      <w:r w:rsidR="008F4EA7" w:rsidRPr="00876435">
        <w:rPr>
          <w:sz w:val="20"/>
          <w:lang w:val="en-GB"/>
        </w:rPr>
        <w:t>(</w:t>
      </w:r>
      <w:r w:rsidR="00151C71" w:rsidRPr="00876435">
        <w:rPr>
          <w:sz w:val="20"/>
          <w:lang w:val="en-GB"/>
        </w:rPr>
        <w:t>4</w:t>
      </w:r>
      <w:r w:rsidR="008F4EA7" w:rsidRPr="00876435">
        <w:rPr>
          <w:sz w:val="20"/>
          <w:lang w:val="en-GB"/>
        </w:rPr>
        <w:t>)</w:t>
      </w:r>
      <w:r w:rsidR="00151C71" w:rsidRPr="00876435">
        <w:rPr>
          <w:sz w:val="20"/>
          <w:lang w:val="en-GB"/>
        </w:rPr>
        <w:t xml:space="preserve"> of the IED, the Party concerned</w:t>
      </w:r>
      <w:r w:rsidR="008F4EA7" w:rsidRPr="00876435">
        <w:rPr>
          <w:sz w:val="20"/>
          <w:lang w:val="en-GB"/>
        </w:rPr>
        <w:t xml:space="preserve"> </w:t>
      </w:r>
      <w:r w:rsidR="00151C71" w:rsidRPr="00876435">
        <w:rPr>
          <w:sz w:val="20"/>
          <w:lang w:val="en-GB"/>
        </w:rPr>
        <w:t>fail</w:t>
      </w:r>
      <w:r w:rsidR="006008E0" w:rsidRPr="00876435">
        <w:rPr>
          <w:sz w:val="20"/>
          <w:lang w:val="en-GB"/>
        </w:rPr>
        <w:t>s</w:t>
      </w:r>
      <w:r w:rsidR="00151C71" w:rsidRPr="00876435">
        <w:rPr>
          <w:sz w:val="20"/>
          <w:lang w:val="en-GB"/>
        </w:rPr>
        <w:t xml:space="preserve"> to comply with article 6</w:t>
      </w:r>
      <w:r w:rsidR="008F4EA7" w:rsidRPr="00876435">
        <w:rPr>
          <w:sz w:val="20"/>
          <w:lang w:val="en-GB"/>
        </w:rPr>
        <w:t>(</w:t>
      </w:r>
      <w:r w:rsidR="00151C71" w:rsidRPr="00876435">
        <w:rPr>
          <w:sz w:val="20"/>
          <w:lang w:val="en-GB"/>
        </w:rPr>
        <w:t>10</w:t>
      </w:r>
      <w:r w:rsidR="008F4EA7" w:rsidRPr="00876435">
        <w:rPr>
          <w:sz w:val="20"/>
          <w:lang w:val="en-GB"/>
        </w:rPr>
        <w:t>)</w:t>
      </w:r>
      <w:r w:rsidR="00151C71" w:rsidRPr="00876435">
        <w:rPr>
          <w:sz w:val="20"/>
          <w:lang w:val="en-GB"/>
        </w:rPr>
        <w:t xml:space="preserve"> of the Convention.</w:t>
      </w:r>
    </w:p>
    <w:p w14:paraId="2A8623AB" w14:textId="77777777" w:rsidR="0089184A" w:rsidRDefault="0089184A" w:rsidP="006A5D08">
      <w:pPr>
        <w:pStyle w:val="SingleTxtG"/>
        <w:autoSpaceDE w:val="0"/>
        <w:autoSpaceDN w:val="0"/>
        <w:adjustRightInd w:val="0"/>
        <w:ind w:right="0"/>
        <w:rPr>
          <w:i/>
          <w:sz w:val="20"/>
          <w:lang w:val="en-GB"/>
        </w:rPr>
      </w:pPr>
    </w:p>
    <w:p w14:paraId="694113EA" w14:textId="3F3B7A82" w:rsidR="00F94C44" w:rsidRPr="00CA5E16" w:rsidRDefault="00FA3D99" w:rsidP="006A5D08">
      <w:pPr>
        <w:pStyle w:val="SingleTxtG"/>
        <w:autoSpaceDE w:val="0"/>
        <w:autoSpaceDN w:val="0"/>
        <w:adjustRightInd w:val="0"/>
        <w:ind w:right="0"/>
        <w:rPr>
          <w:i/>
          <w:sz w:val="20"/>
          <w:lang w:val="en-GB"/>
        </w:rPr>
      </w:pPr>
      <w:r w:rsidRPr="00CA5E16">
        <w:rPr>
          <w:i/>
          <w:sz w:val="20"/>
          <w:lang w:val="en-GB"/>
        </w:rPr>
        <w:t>(</w:t>
      </w:r>
      <w:r w:rsidR="00D938A6" w:rsidRPr="00CA5E16">
        <w:rPr>
          <w:i/>
          <w:sz w:val="20"/>
          <w:lang w:val="en-GB"/>
        </w:rPr>
        <w:t>ii</w:t>
      </w:r>
      <w:r w:rsidRPr="00CA5E16">
        <w:rPr>
          <w:i/>
          <w:sz w:val="20"/>
          <w:lang w:val="en-GB"/>
        </w:rPr>
        <w:t xml:space="preserve">) </w:t>
      </w:r>
      <w:r w:rsidR="00F94C44" w:rsidRPr="00CA5E16">
        <w:rPr>
          <w:i/>
          <w:sz w:val="20"/>
          <w:lang w:val="en-GB"/>
        </w:rPr>
        <w:t xml:space="preserve">Operational safety </w:t>
      </w:r>
      <w:r w:rsidR="00CA3682" w:rsidRPr="00CA5E16">
        <w:rPr>
          <w:i/>
          <w:sz w:val="20"/>
          <w:lang w:val="en-GB"/>
        </w:rPr>
        <w:t>requirements</w:t>
      </w:r>
    </w:p>
    <w:p w14:paraId="60B3A1FA" w14:textId="127AADC3" w:rsidR="005C0F43" w:rsidRDefault="00224F96" w:rsidP="00CE563C">
      <w:pPr>
        <w:pStyle w:val="SingleTxtG"/>
        <w:numPr>
          <w:ilvl w:val="0"/>
          <w:numId w:val="3"/>
        </w:numPr>
        <w:tabs>
          <w:tab w:val="clear" w:pos="1853"/>
          <w:tab w:val="num" w:pos="1701"/>
        </w:tabs>
        <w:autoSpaceDE w:val="0"/>
        <w:autoSpaceDN w:val="0"/>
        <w:adjustRightInd w:val="0"/>
        <w:ind w:left="1134" w:right="0" w:firstLine="0"/>
        <w:rPr>
          <w:sz w:val="20"/>
          <w:lang w:val="en-GB"/>
        </w:rPr>
      </w:pPr>
      <w:r w:rsidRPr="00CA5E16">
        <w:rPr>
          <w:sz w:val="20"/>
          <w:lang w:val="en-GB"/>
        </w:rPr>
        <w:t>A</w:t>
      </w:r>
      <w:r w:rsidR="00376D60" w:rsidRPr="00CA5E16">
        <w:rPr>
          <w:sz w:val="20"/>
          <w:lang w:val="en-GB"/>
        </w:rPr>
        <w:t>rticle 21</w:t>
      </w:r>
      <w:r w:rsidR="008F4EA7" w:rsidRPr="00CA5E16">
        <w:rPr>
          <w:sz w:val="20"/>
          <w:lang w:val="en-GB"/>
        </w:rPr>
        <w:t>(</w:t>
      </w:r>
      <w:r w:rsidR="00376D60" w:rsidRPr="00CA5E16">
        <w:rPr>
          <w:sz w:val="20"/>
          <w:lang w:val="en-GB"/>
        </w:rPr>
        <w:t>5</w:t>
      </w:r>
      <w:r w:rsidR="008F4EA7" w:rsidRPr="00CA5E16">
        <w:rPr>
          <w:sz w:val="20"/>
          <w:lang w:val="en-GB"/>
        </w:rPr>
        <w:t>)</w:t>
      </w:r>
      <w:r w:rsidR="00376D60" w:rsidRPr="00CA5E16">
        <w:rPr>
          <w:sz w:val="20"/>
          <w:lang w:val="en-GB"/>
        </w:rPr>
        <w:t xml:space="preserve">(b) </w:t>
      </w:r>
      <w:r w:rsidR="006008E0" w:rsidRPr="00CA5E16">
        <w:rPr>
          <w:sz w:val="20"/>
          <w:lang w:val="en-GB"/>
        </w:rPr>
        <w:t xml:space="preserve">IED </w:t>
      </w:r>
      <w:r w:rsidR="00376D60" w:rsidRPr="00CA5E16">
        <w:rPr>
          <w:sz w:val="20"/>
          <w:lang w:val="en-GB"/>
        </w:rPr>
        <w:t xml:space="preserve">requires that permit conditions shall be reconsidered and, where necessary, updated if operational safety requires other techniques to be used. </w:t>
      </w:r>
      <w:r w:rsidRPr="00CA5E16">
        <w:rPr>
          <w:sz w:val="20"/>
          <w:lang w:val="en-GB"/>
        </w:rPr>
        <w:t>T</w:t>
      </w:r>
      <w:r w:rsidR="00376D60" w:rsidRPr="00CA5E16">
        <w:rPr>
          <w:sz w:val="20"/>
          <w:lang w:val="en-GB"/>
        </w:rPr>
        <w:t xml:space="preserve">he </w:t>
      </w:r>
      <w:r w:rsidR="004E4DA4" w:rsidRPr="00CA5E16">
        <w:rPr>
          <w:sz w:val="20"/>
          <w:lang w:val="en-GB"/>
        </w:rPr>
        <w:t xml:space="preserve">IED does not define </w:t>
      </w:r>
      <w:r w:rsidR="001B0960" w:rsidRPr="00CA5E16">
        <w:rPr>
          <w:sz w:val="20"/>
          <w:lang w:val="en-GB"/>
        </w:rPr>
        <w:t>“</w:t>
      </w:r>
      <w:r w:rsidR="004E4DA4" w:rsidRPr="00CA5E16">
        <w:rPr>
          <w:sz w:val="20"/>
          <w:lang w:val="en-GB"/>
        </w:rPr>
        <w:t>operational safety</w:t>
      </w:r>
      <w:r w:rsidR="00CF4F78" w:rsidRPr="00CA5E16">
        <w:rPr>
          <w:sz w:val="20"/>
          <w:lang w:val="en-GB"/>
        </w:rPr>
        <w:t>”</w:t>
      </w:r>
      <w:r w:rsidR="003C5D94" w:rsidRPr="00CA5E16">
        <w:rPr>
          <w:sz w:val="20"/>
          <w:lang w:val="en-GB"/>
        </w:rPr>
        <w:t xml:space="preserve"> requirements</w:t>
      </w:r>
      <w:r w:rsidR="004E4DA4" w:rsidRPr="00CA5E16">
        <w:rPr>
          <w:sz w:val="20"/>
          <w:lang w:val="en-GB"/>
        </w:rPr>
        <w:t xml:space="preserve">. </w:t>
      </w:r>
      <w:r w:rsidR="00DB144A" w:rsidRPr="00CA5E16">
        <w:rPr>
          <w:sz w:val="20"/>
          <w:lang w:val="en-GB"/>
        </w:rPr>
        <w:t>G</w:t>
      </w:r>
      <w:r w:rsidR="00376D60" w:rsidRPr="00CA5E16">
        <w:rPr>
          <w:sz w:val="20"/>
          <w:lang w:val="en-GB"/>
        </w:rPr>
        <w:t>enerally</w:t>
      </w:r>
      <w:r w:rsidR="004D260D" w:rsidRPr="00CA5E16">
        <w:rPr>
          <w:sz w:val="20"/>
          <w:lang w:val="en-GB"/>
        </w:rPr>
        <w:t>,</w:t>
      </w:r>
      <w:r w:rsidR="00376D60" w:rsidRPr="00CA5E16">
        <w:rPr>
          <w:sz w:val="20"/>
          <w:lang w:val="en-GB"/>
        </w:rPr>
        <w:t xml:space="preserve"> operational safety requirements </w:t>
      </w:r>
      <w:r w:rsidRPr="00CA5E16">
        <w:rPr>
          <w:sz w:val="20"/>
          <w:lang w:val="en-GB"/>
        </w:rPr>
        <w:t>are</w:t>
      </w:r>
      <w:r w:rsidR="00376D60" w:rsidRPr="00CA5E16">
        <w:rPr>
          <w:sz w:val="20"/>
          <w:lang w:val="en-GB"/>
        </w:rPr>
        <w:t xml:space="preserve"> </w:t>
      </w:r>
      <w:r w:rsidR="001B0960" w:rsidRPr="00CA5E16">
        <w:rPr>
          <w:sz w:val="20"/>
          <w:szCs w:val="20"/>
          <w:lang w:val="en-GB"/>
        </w:rPr>
        <w:t xml:space="preserve">understood as </w:t>
      </w:r>
      <w:r w:rsidR="00376D60" w:rsidRPr="00CA5E16">
        <w:rPr>
          <w:sz w:val="20"/>
          <w:lang w:val="en-GB"/>
        </w:rPr>
        <w:t>intended to</w:t>
      </w:r>
      <w:r w:rsidR="00467FD2" w:rsidRPr="00CA5E16">
        <w:rPr>
          <w:sz w:val="20"/>
          <w:lang w:val="en-GB"/>
        </w:rPr>
        <w:t xml:space="preserve"> ensure the safe operation</w:t>
      </w:r>
      <w:r w:rsidR="004E4DA4" w:rsidRPr="00CA5E16">
        <w:rPr>
          <w:sz w:val="20"/>
          <w:lang w:val="en-GB"/>
        </w:rPr>
        <w:t xml:space="preserve"> of an installation and serve to prevent impacts on humans and the surrounding environment. </w:t>
      </w:r>
      <w:r w:rsidR="00B71F49" w:rsidRPr="00CA5E16">
        <w:rPr>
          <w:sz w:val="20"/>
          <w:lang w:val="en-GB"/>
        </w:rPr>
        <w:t>Accordingly</w:t>
      </w:r>
      <w:r w:rsidR="00AF7037" w:rsidRPr="00CA5E16">
        <w:rPr>
          <w:sz w:val="20"/>
          <w:lang w:val="en-GB"/>
        </w:rPr>
        <w:t>,</w:t>
      </w:r>
      <w:r w:rsidR="003C5D94" w:rsidRPr="00CA5E16">
        <w:rPr>
          <w:sz w:val="20"/>
          <w:lang w:val="en-GB"/>
        </w:rPr>
        <w:t xml:space="preserve"> </w:t>
      </w:r>
      <w:r w:rsidR="00376D60" w:rsidRPr="00CA5E16">
        <w:rPr>
          <w:sz w:val="20"/>
          <w:lang w:val="en-GB"/>
        </w:rPr>
        <w:t xml:space="preserve">at least </w:t>
      </w:r>
      <w:r w:rsidR="00ED228E" w:rsidRPr="00CA5E16">
        <w:rPr>
          <w:sz w:val="20"/>
          <w:lang w:val="en-GB"/>
        </w:rPr>
        <w:t>some</w:t>
      </w:r>
      <w:r w:rsidR="00376D60" w:rsidRPr="00CA5E16">
        <w:rPr>
          <w:sz w:val="20"/>
          <w:lang w:val="en-GB"/>
        </w:rPr>
        <w:t xml:space="preserve"> </w:t>
      </w:r>
      <w:r w:rsidR="003C5D94" w:rsidRPr="00CA5E16">
        <w:rPr>
          <w:sz w:val="20"/>
          <w:lang w:val="en-GB"/>
        </w:rPr>
        <w:t xml:space="preserve">of a facility’s </w:t>
      </w:r>
      <w:r w:rsidR="002D6EAC" w:rsidRPr="00CA5E16">
        <w:rPr>
          <w:sz w:val="20"/>
          <w:lang w:val="en-GB"/>
        </w:rPr>
        <w:t xml:space="preserve">operational </w:t>
      </w:r>
      <w:r w:rsidR="00376D60" w:rsidRPr="00CA5E16">
        <w:rPr>
          <w:sz w:val="20"/>
          <w:lang w:val="en-GB"/>
        </w:rPr>
        <w:t xml:space="preserve">safety </w:t>
      </w:r>
      <w:r w:rsidR="00376D60" w:rsidRPr="00054AAC">
        <w:rPr>
          <w:sz w:val="20"/>
          <w:lang w:val="en-GB"/>
        </w:rPr>
        <w:t xml:space="preserve">requirements will concern </w:t>
      </w:r>
      <w:r w:rsidR="003C5D94" w:rsidRPr="00054AAC">
        <w:rPr>
          <w:sz w:val="20"/>
          <w:lang w:val="en-GB"/>
        </w:rPr>
        <w:t xml:space="preserve">the </w:t>
      </w:r>
      <w:r w:rsidRPr="00054AAC">
        <w:rPr>
          <w:sz w:val="20"/>
          <w:lang w:val="en-GB"/>
        </w:rPr>
        <w:t>facility</w:t>
      </w:r>
      <w:r w:rsidR="0094236B" w:rsidRPr="00054AAC">
        <w:rPr>
          <w:sz w:val="20"/>
          <w:lang w:val="en-GB"/>
        </w:rPr>
        <w:t>’</w:t>
      </w:r>
      <w:r w:rsidRPr="00054AAC">
        <w:rPr>
          <w:sz w:val="20"/>
          <w:lang w:val="en-GB"/>
        </w:rPr>
        <w:t xml:space="preserve">s </w:t>
      </w:r>
      <w:r w:rsidR="00254117" w:rsidRPr="00054AAC">
        <w:rPr>
          <w:sz w:val="20"/>
          <w:lang w:val="en-GB"/>
        </w:rPr>
        <w:t xml:space="preserve">potential for </w:t>
      </w:r>
      <w:r w:rsidR="00AB356D">
        <w:rPr>
          <w:sz w:val="20"/>
          <w:lang w:val="en-GB"/>
        </w:rPr>
        <w:t xml:space="preserve">having </w:t>
      </w:r>
      <w:r w:rsidR="007A730D" w:rsidRPr="00054AAC">
        <w:rPr>
          <w:sz w:val="20"/>
          <w:lang w:val="en-GB"/>
        </w:rPr>
        <w:t xml:space="preserve">impacts </w:t>
      </w:r>
      <w:r w:rsidR="00AB356D">
        <w:rPr>
          <w:sz w:val="20"/>
          <w:lang w:val="en-GB"/>
        </w:rPr>
        <w:t>on</w:t>
      </w:r>
      <w:r w:rsidR="007A730D" w:rsidRPr="00054AAC">
        <w:rPr>
          <w:sz w:val="20"/>
          <w:lang w:val="en-GB"/>
        </w:rPr>
        <w:t xml:space="preserve"> </w:t>
      </w:r>
      <w:r w:rsidR="005A2F55">
        <w:rPr>
          <w:sz w:val="20"/>
          <w:lang w:val="en-GB"/>
        </w:rPr>
        <w:t>the environment, human health and safety.</w:t>
      </w:r>
      <w:r w:rsidR="003C5D94" w:rsidRPr="00054AAC">
        <w:rPr>
          <w:sz w:val="20"/>
          <w:lang w:val="en-GB"/>
        </w:rPr>
        <w:t xml:space="preserve"> </w:t>
      </w:r>
    </w:p>
    <w:p w14:paraId="00A5F059" w14:textId="60A6F758" w:rsidR="004E4DA4" w:rsidRPr="00CA5E16" w:rsidRDefault="005C0F43" w:rsidP="009441D7">
      <w:pPr>
        <w:pStyle w:val="SingleTxtG"/>
        <w:numPr>
          <w:ilvl w:val="0"/>
          <w:numId w:val="3"/>
        </w:numPr>
        <w:tabs>
          <w:tab w:val="clear" w:pos="1853"/>
          <w:tab w:val="num" w:pos="1701"/>
        </w:tabs>
        <w:autoSpaceDE w:val="0"/>
        <w:autoSpaceDN w:val="0"/>
        <w:adjustRightInd w:val="0"/>
        <w:ind w:left="1134" w:right="0" w:firstLine="0"/>
        <w:rPr>
          <w:sz w:val="20"/>
          <w:lang w:val="en-GB"/>
        </w:rPr>
      </w:pPr>
      <w:r>
        <w:rPr>
          <w:sz w:val="20"/>
          <w:lang w:val="en-GB"/>
        </w:rPr>
        <w:t>Based on the above, the Committee considers that where a public authority reconsiders and</w:t>
      </w:r>
      <w:r w:rsidR="008A7F32">
        <w:rPr>
          <w:sz w:val="20"/>
          <w:lang w:val="en-GB"/>
        </w:rPr>
        <w:t>,</w:t>
      </w:r>
      <w:r>
        <w:rPr>
          <w:sz w:val="20"/>
          <w:lang w:val="en-GB"/>
        </w:rPr>
        <w:t xml:space="preserve"> where necessary, updates </w:t>
      </w:r>
      <w:r w:rsidR="009720F1">
        <w:rPr>
          <w:sz w:val="20"/>
          <w:lang w:val="en-GB"/>
        </w:rPr>
        <w:t>the</w:t>
      </w:r>
      <w:r>
        <w:rPr>
          <w:sz w:val="20"/>
          <w:lang w:val="en-GB"/>
        </w:rPr>
        <w:t xml:space="preserve"> operating conditions </w:t>
      </w:r>
      <w:r w:rsidR="009720F1">
        <w:rPr>
          <w:sz w:val="20"/>
          <w:lang w:val="en-GB"/>
        </w:rPr>
        <w:t xml:space="preserve">of an activity </w:t>
      </w:r>
      <w:r w:rsidR="00AB4441">
        <w:rPr>
          <w:sz w:val="20"/>
          <w:lang w:val="en-GB"/>
        </w:rPr>
        <w:t xml:space="preserve">subject to </w:t>
      </w:r>
      <w:r w:rsidR="00AB4441">
        <w:rPr>
          <w:sz w:val="20"/>
          <w:lang w:val="en-GB"/>
        </w:rPr>
        <w:lastRenderedPageBreak/>
        <w:t xml:space="preserve">article 6 of the Convention in order </w:t>
      </w:r>
      <w:r>
        <w:rPr>
          <w:sz w:val="20"/>
          <w:lang w:val="en-GB"/>
        </w:rPr>
        <w:t>to meet operational safety requirements</w:t>
      </w:r>
      <w:r w:rsidR="00AB4441">
        <w:rPr>
          <w:sz w:val="20"/>
          <w:lang w:val="en-GB"/>
        </w:rPr>
        <w:t xml:space="preserve">, </w:t>
      </w:r>
      <w:r>
        <w:rPr>
          <w:sz w:val="20"/>
          <w:lang w:val="en-GB"/>
        </w:rPr>
        <w:t xml:space="preserve">except in cases where the reconsideration or update is not </w:t>
      </w:r>
      <w:r w:rsidRPr="00ED167A">
        <w:rPr>
          <w:sz w:val="20"/>
          <w:lang w:val="en-GB"/>
        </w:rPr>
        <w:t>capable of significantly changing th</w:t>
      </w:r>
      <w:r>
        <w:rPr>
          <w:sz w:val="20"/>
          <w:lang w:val="en-GB"/>
        </w:rPr>
        <w:t xml:space="preserve">e </w:t>
      </w:r>
      <w:r w:rsidRPr="00ED167A">
        <w:rPr>
          <w:sz w:val="20"/>
          <w:lang w:val="en-GB"/>
        </w:rPr>
        <w:t xml:space="preserve">basic parameters </w:t>
      </w:r>
      <w:r>
        <w:rPr>
          <w:sz w:val="20"/>
          <w:lang w:val="en-GB"/>
        </w:rPr>
        <w:t xml:space="preserve">of the activity and will not </w:t>
      </w:r>
      <w:r w:rsidRPr="00ED167A">
        <w:rPr>
          <w:sz w:val="20"/>
          <w:lang w:val="en-GB"/>
        </w:rPr>
        <w:t>address significant environmental aspects of the activity,</w:t>
      </w:r>
      <w:r w:rsidRPr="00CD6C87">
        <w:rPr>
          <w:sz w:val="20"/>
          <w:lang w:val="en-GB"/>
        </w:rPr>
        <w:t xml:space="preserve"> </w:t>
      </w:r>
      <w:r w:rsidR="00191ECF" w:rsidRPr="00C920A4">
        <w:rPr>
          <w:sz w:val="20"/>
          <w:lang w:val="en-GB"/>
        </w:rPr>
        <w:t>public participation meeting the requirements of article 6 (2)-(9) is “appropriate”, and thus required</w:t>
      </w:r>
      <w:r w:rsidR="00054AAC">
        <w:rPr>
          <w:sz w:val="20"/>
          <w:lang w:val="en-GB"/>
        </w:rPr>
        <w:t>.</w:t>
      </w:r>
    </w:p>
    <w:p w14:paraId="790245DE" w14:textId="7C146D38" w:rsidR="00151C71" w:rsidRPr="00CA5E16" w:rsidRDefault="00054FF9" w:rsidP="00DA3592">
      <w:pPr>
        <w:pStyle w:val="SingleTxtG"/>
        <w:numPr>
          <w:ilvl w:val="0"/>
          <w:numId w:val="3"/>
        </w:numPr>
        <w:tabs>
          <w:tab w:val="clear" w:pos="1853"/>
          <w:tab w:val="num" w:pos="1701"/>
        </w:tabs>
        <w:autoSpaceDE w:val="0"/>
        <w:autoSpaceDN w:val="0"/>
        <w:adjustRightInd w:val="0"/>
        <w:ind w:left="1134" w:right="0" w:firstLine="0"/>
        <w:rPr>
          <w:sz w:val="20"/>
          <w:lang w:val="en-GB"/>
        </w:rPr>
      </w:pPr>
      <w:r w:rsidRPr="00CA5E16">
        <w:rPr>
          <w:sz w:val="20"/>
          <w:lang w:val="en-GB"/>
        </w:rPr>
        <w:t xml:space="preserve">It is clear to the Committee that the </w:t>
      </w:r>
      <w:r w:rsidR="00151C71" w:rsidRPr="00CA5E16">
        <w:rPr>
          <w:sz w:val="20"/>
          <w:lang w:val="en-GB"/>
        </w:rPr>
        <w:t>argument of the Party conce</w:t>
      </w:r>
      <w:r w:rsidR="00376D60" w:rsidRPr="00CA5E16">
        <w:rPr>
          <w:sz w:val="20"/>
          <w:lang w:val="en-GB"/>
        </w:rPr>
        <w:t>rned</w:t>
      </w:r>
      <w:r w:rsidR="002D6EAC" w:rsidRPr="00CA5E16">
        <w:rPr>
          <w:sz w:val="20"/>
          <w:lang w:val="en-GB"/>
        </w:rPr>
        <w:t xml:space="preserve"> that</w:t>
      </w:r>
      <w:r w:rsidRPr="00CA5E16">
        <w:rPr>
          <w:sz w:val="20"/>
          <w:lang w:val="en-GB"/>
        </w:rPr>
        <w:t>,</w:t>
      </w:r>
      <w:r w:rsidR="008F4EA7" w:rsidRPr="00CA5E16">
        <w:rPr>
          <w:sz w:val="20"/>
          <w:lang w:val="en-GB"/>
        </w:rPr>
        <w:t xml:space="preserve"> </w:t>
      </w:r>
      <w:r w:rsidRPr="00CA5E16">
        <w:rPr>
          <w:sz w:val="20"/>
          <w:lang w:val="en-GB"/>
        </w:rPr>
        <w:t>due to their “very technical nature”</w:t>
      </w:r>
      <w:r w:rsidR="002D6EAC" w:rsidRPr="00CA5E16">
        <w:rPr>
          <w:sz w:val="20"/>
          <w:lang w:val="en-GB"/>
        </w:rPr>
        <w:t>,</w:t>
      </w:r>
      <w:r w:rsidR="00E66076" w:rsidRPr="00CA5E16">
        <w:rPr>
          <w:rStyle w:val="FootnoteReference"/>
          <w:lang w:val="en-GB"/>
        </w:rPr>
        <w:footnoteReference w:id="106"/>
      </w:r>
      <w:r w:rsidRPr="00CA5E16">
        <w:rPr>
          <w:sz w:val="20"/>
          <w:lang w:val="en-GB"/>
        </w:rPr>
        <w:t xml:space="preserve"> </w:t>
      </w:r>
      <w:r w:rsidR="00376D60" w:rsidRPr="00CA5E16">
        <w:rPr>
          <w:sz w:val="20"/>
          <w:lang w:val="en-GB"/>
        </w:rPr>
        <w:t>operational safety requirements</w:t>
      </w:r>
      <w:r w:rsidR="00151C71" w:rsidRPr="00CA5E16">
        <w:rPr>
          <w:sz w:val="20"/>
          <w:lang w:val="en-GB"/>
        </w:rPr>
        <w:t xml:space="preserve"> would not </w:t>
      </w:r>
      <w:r w:rsidR="002D6EAC" w:rsidRPr="00CA5E16">
        <w:rPr>
          <w:sz w:val="20"/>
          <w:lang w:val="en-GB"/>
        </w:rPr>
        <w:t xml:space="preserve">be </w:t>
      </w:r>
      <w:r w:rsidR="00151C71" w:rsidRPr="00CA5E16">
        <w:rPr>
          <w:sz w:val="20"/>
          <w:lang w:val="en-GB"/>
        </w:rPr>
        <w:t xml:space="preserve">suitable for </w:t>
      </w:r>
      <w:r w:rsidR="0032695D">
        <w:rPr>
          <w:sz w:val="20"/>
          <w:lang w:val="en-GB"/>
        </w:rPr>
        <w:t xml:space="preserve">“wide </w:t>
      </w:r>
      <w:r w:rsidR="00151C71" w:rsidRPr="00CA5E16">
        <w:rPr>
          <w:sz w:val="20"/>
          <w:lang w:val="en-GB"/>
        </w:rPr>
        <w:t>public participation</w:t>
      </w:r>
      <w:r w:rsidR="0032695D">
        <w:rPr>
          <w:sz w:val="20"/>
          <w:lang w:val="en-GB"/>
        </w:rPr>
        <w:t>”</w:t>
      </w:r>
      <w:r w:rsidRPr="00CA5E16">
        <w:rPr>
          <w:sz w:val="20"/>
          <w:lang w:val="en-GB"/>
        </w:rPr>
        <w:t>,</w:t>
      </w:r>
      <w:r w:rsidR="00151C71" w:rsidRPr="00CA5E16">
        <w:rPr>
          <w:sz w:val="20"/>
          <w:lang w:val="en-GB"/>
        </w:rPr>
        <w:t xml:space="preserve"> </w:t>
      </w:r>
      <w:r w:rsidRPr="00CA5E16">
        <w:rPr>
          <w:sz w:val="20"/>
          <w:lang w:val="en-GB"/>
        </w:rPr>
        <w:t>is incorrect</w:t>
      </w:r>
      <w:r w:rsidR="00151C71" w:rsidRPr="00CA5E16">
        <w:rPr>
          <w:sz w:val="20"/>
          <w:lang w:val="en-GB"/>
        </w:rPr>
        <w:t xml:space="preserve">. </w:t>
      </w:r>
      <w:r w:rsidR="00817926" w:rsidRPr="00CA5E16">
        <w:rPr>
          <w:sz w:val="20"/>
          <w:lang w:val="en-GB"/>
        </w:rPr>
        <w:t>T</w:t>
      </w:r>
      <w:r w:rsidR="00151C71" w:rsidRPr="00CA5E16">
        <w:rPr>
          <w:sz w:val="20"/>
          <w:lang w:val="en-GB"/>
        </w:rPr>
        <w:t>he public includes persons with different expertise, knowledge, opinions or experience.</w:t>
      </w:r>
      <w:r w:rsidR="00151C71" w:rsidRPr="00CA5E16">
        <w:rPr>
          <w:rStyle w:val="FootnoteReference"/>
          <w:sz w:val="20"/>
          <w:lang w:val="en-GB"/>
        </w:rPr>
        <w:footnoteReference w:id="107"/>
      </w:r>
      <w:r w:rsidR="00151C71" w:rsidRPr="00CA5E16">
        <w:rPr>
          <w:sz w:val="20"/>
          <w:lang w:val="en-GB"/>
        </w:rPr>
        <w:t xml:space="preserve"> To exclude</w:t>
      </w:r>
      <w:r w:rsidR="00281351">
        <w:rPr>
          <w:sz w:val="20"/>
          <w:lang w:val="en-GB"/>
        </w:rPr>
        <w:t xml:space="preserve"> the possibility for</w:t>
      </w:r>
      <w:r w:rsidR="00151C71" w:rsidRPr="00CA5E16">
        <w:rPr>
          <w:sz w:val="20"/>
          <w:lang w:val="en-GB"/>
        </w:rPr>
        <w:t xml:space="preserve"> public participation on the basis that issues are too technical </w:t>
      </w:r>
      <w:r w:rsidR="002D6EAC" w:rsidRPr="00CA5E16">
        <w:rPr>
          <w:sz w:val="20"/>
          <w:lang w:val="en-GB"/>
        </w:rPr>
        <w:t xml:space="preserve">would </w:t>
      </w:r>
      <w:r w:rsidR="00151C71" w:rsidRPr="00CA5E16">
        <w:rPr>
          <w:sz w:val="20"/>
          <w:lang w:val="en-GB"/>
        </w:rPr>
        <w:t xml:space="preserve">thus </w:t>
      </w:r>
      <w:r w:rsidR="002D6EAC" w:rsidRPr="00CA5E16">
        <w:rPr>
          <w:sz w:val="20"/>
          <w:lang w:val="en-GB"/>
        </w:rPr>
        <w:t xml:space="preserve">be </w:t>
      </w:r>
      <w:r w:rsidR="004A4036" w:rsidRPr="00CA5E16">
        <w:rPr>
          <w:sz w:val="20"/>
          <w:lang w:val="en-GB"/>
        </w:rPr>
        <w:t xml:space="preserve">unfounded and, moreover, </w:t>
      </w:r>
      <w:r w:rsidR="00151C71" w:rsidRPr="00CA5E16">
        <w:rPr>
          <w:sz w:val="20"/>
          <w:lang w:val="en-GB"/>
        </w:rPr>
        <w:t>contrary to the objectives of the Convention.</w:t>
      </w:r>
    </w:p>
    <w:p w14:paraId="673F570C" w14:textId="006BC4BD" w:rsidR="00151C71" w:rsidRPr="00054AAC" w:rsidRDefault="00151C71" w:rsidP="006A5D08">
      <w:pPr>
        <w:pStyle w:val="SingleTxtG"/>
        <w:numPr>
          <w:ilvl w:val="0"/>
          <w:numId w:val="3"/>
        </w:numPr>
        <w:tabs>
          <w:tab w:val="clear" w:pos="1853"/>
          <w:tab w:val="num" w:pos="1701"/>
        </w:tabs>
        <w:autoSpaceDE w:val="0"/>
        <w:autoSpaceDN w:val="0"/>
        <w:adjustRightInd w:val="0"/>
        <w:ind w:left="1134" w:right="0" w:firstLine="0"/>
        <w:rPr>
          <w:sz w:val="20"/>
          <w:lang w:val="en-GB"/>
        </w:rPr>
      </w:pPr>
      <w:r w:rsidRPr="00CA5E16">
        <w:rPr>
          <w:sz w:val="20"/>
          <w:lang w:val="en-GB"/>
        </w:rPr>
        <w:t xml:space="preserve">The Committee </w:t>
      </w:r>
      <w:r w:rsidR="00A555B2" w:rsidRPr="00CA5E16">
        <w:rPr>
          <w:sz w:val="20"/>
          <w:lang w:val="en-GB"/>
        </w:rPr>
        <w:t xml:space="preserve">also </w:t>
      </w:r>
      <w:r w:rsidR="00E66076" w:rsidRPr="00CA5E16">
        <w:rPr>
          <w:sz w:val="20"/>
          <w:lang w:val="en-GB"/>
        </w:rPr>
        <w:t>notes</w:t>
      </w:r>
      <w:r w:rsidRPr="00CA5E16">
        <w:rPr>
          <w:sz w:val="20"/>
          <w:lang w:val="en-GB"/>
        </w:rPr>
        <w:t xml:space="preserve"> the submission of the Party concerned</w:t>
      </w:r>
      <w:r w:rsidR="008F4EA7" w:rsidRPr="00CA5E16">
        <w:rPr>
          <w:sz w:val="20"/>
          <w:lang w:val="en-GB"/>
        </w:rPr>
        <w:t xml:space="preserve"> </w:t>
      </w:r>
      <w:r w:rsidRPr="00CA5E16">
        <w:rPr>
          <w:sz w:val="20"/>
          <w:lang w:val="en-GB"/>
        </w:rPr>
        <w:t>that</w:t>
      </w:r>
      <w:r w:rsidR="005D4FCD" w:rsidRPr="00CA5E16">
        <w:rPr>
          <w:sz w:val="20"/>
          <w:lang w:val="en-GB"/>
        </w:rPr>
        <w:t xml:space="preserve"> </w:t>
      </w:r>
      <w:r w:rsidRPr="00CA5E16">
        <w:rPr>
          <w:sz w:val="20"/>
          <w:lang w:val="en-GB"/>
        </w:rPr>
        <w:t xml:space="preserve">operational safety requirements </w:t>
      </w:r>
      <w:r w:rsidR="005D4FCD" w:rsidRPr="00CA5E16">
        <w:rPr>
          <w:sz w:val="20"/>
          <w:lang w:val="en-GB"/>
        </w:rPr>
        <w:t xml:space="preserve">concerning </w:t>
      </w:r>
      <w:r w:rsidRPr="00CA5E16">
        <w:rPr>
          <w:sz w:val="20"/>
          <w:lang w:val="en-GB"/>
        </w:rPr>
        <w:t>the presence of dangerous substances</w:t>
      </w:r>
      <w:r w:rsidR="005D4FCD" w:rsidRPr="00CA5E16">
        <w:rPr>
          <w:sz w:val="20"/>
          <w:lang w:val="en-GB"/>
        </w:rPr>
        <w:t xml:space="preserve"> </w:t>
      </w:r>
      <w:r w:rsidRPr="00CA5E16">
        <w:rPr>
          <w:sz w:val="20"/>
          <w:lang w:val="en-GB"/>
        </w:rPr>
        <w:t>would be covered by the Seveso III Directive</w:t>
      </w:r>
      <w:r w:rsidR="00E66076" w:rsidRPr="00CA5E16">
        <w:rPr>
          <w:sz w:val="20"/>
          <w:lang w:val="en-GB"/>
        </w:rPr>
        <w:t>.</w:t>
      </w:r>
      <w:r w:rsidR="00A555B2" w:rsidRPr="00CA5E16">
        <w:rPr>
          <w:rStyle w:val="FootnoteReference"/>
          <w:sz w:val="20"/>
          <w:lang w:val="en-GB"/>
        </w:rPr>
        <w:footnoteReference w:id="108"/>
      </w:r>
      <w:r w:rsidRPr="00CA5E16">
        <w:rPr>
          <w:sz w:val="20"/>
          <w:lang w:val="en-GB"/>
        </w:rPr>
        <w:t xml:space="preserve"> Without entering into a detailed assessment of the requirements of </w:t>
      </w:r>
      <w:r w:rsidR="004A4036" w:rsidRPr="00CA5E16">
        <w:rPr>
          <w:sz w:val="20"/>
          <w:lang w:val="en-GB"/>
        </w:rPr>
        <w:t>that Directive</w:t>
      </w:r>
      <w:r w:rsidRPr="00CA5E16">
        <w:rPr>
          <w:sz w:val="20"/>
          <w:lang w:val="en-GB"/>
        </w:rPr>
        <w:t xml:space="preserve">, the Committee considers that it is sufficient to state that not all changes to </w:t>
      </w:r>
      <w:r w:rsidR="0056449A" w:rsidRPr="00CA5E16">
        <w:rPr>
          <w:sz w:val="20"/>
          <w:lang w:val="en-GB"/>
        </w:rPr>
        <w:t xml:space="preserve">operational </w:t>
      </w:r>
      <w:r w:rsidRPr="00CA5E16">
        <w:rPr>
          <w:sz w:val="20"/>
          <w:lang w:val="en-GB"/>
        </w:rPr>
        <w:t xml:space="preserve">safety requirements </w:t>
      </w:r>
      <w:r w:rsidR="0091685C" w:rsidRPr="00CA5E16">
        <w:rPr>
          <w:sz w:val="20"/>
          <w:lang w:val="en-GB"/>
        </w:rPr>
        <w:t>to prevent or reduce</w:t>
      </w:r>
      <w:r w:rsidRPr="00CA5E16">
        <w:rPr>
          <w:sz w:val="20"/>
          <w:lang w:val="en-GB"/>
        </w:rPr>
        <w:t xml:space="preserve"> environmental impacts will </w:t>
      </w:r>
      <w:r w:rsidR="0091685C" w:rsidRPr="00CA5E16">
        <w:rPr>
          <w:sz w:val="20"/>
          <w:lang w:val="en-GB"/>
        </w:rPr>
        <w:t>concern</w:t>
      </w:r>
      <w:r w:rsidRPr="00CA5E16">
        <w:rPr>
          <w:sz w:val="20"/>
          <w:lang w:val="en-GB"/>
        </w:rPr>
        <w:t xml:space="preserve"> the presence of dangerous substances. Accordingly, the requirements of the Seveso III Directive </w:t>
      </w:r>
      <w:r w:rsidR="00054FF9" w:rsidRPr="00CA5E16">
        <w:rPr>
          <w:sz w:val="20"/>
          <w:lang w:val="en-GB"/>
        </w:rPr>
        <w:t xml:space="preserve">do not </w:t>
      </w:r>
      <w:r w:rsidRPr="00CA5E16">
        <w:rPr>
          <w:sz w:val="20"/>
          <w:lang w:val="en-GB"/>
        </w:rPr>
        <w:t xml:space="preserve">compensate for the failure to provide for public participation for </w:t>
      </w:r>
      <w:r w:rsidRPr="00054AAC">
        <w:rPr>
          <w:sz w:val="20"/>
          <w:lang w:val="en-GB"/>
        </w:rPr>
        <w:t xml:space="preserve">reconsiderations </w:t>
      </w:r>
      <w:r w:rsidR="00A555B2" w:rsidRPr="00054AAC">
        <w:rPr>
          <w:sz w:val="20"/>
          <w:lang w:val="en-GB"/>
        </w:rPr>
        <w:t xml:space="preserve">and updates </w:t>
      </w:r>
      <w:r w:rsidR="00EA38BF" w:rsidRPr="00054AAC">
        <w:rPr>
          <w:sz w:val="20"/>
          <w:lang w:val="en-GB"/>
        </w:rPr>
        <w:t xml:space="preserve">of operational safety requirements that do not relate to </w:t>
      </w:r>
      <w:r w:rsidR="00895F30" w:rsidRPr="00054AAC">
        <w:rPr>
          <w:sz w:val="20"/>
          <w:lang w:val="en-GB"/>
        </w:rPr>
        <w:t xml:space="preserve">the </w:t>
      </w:r>
      <w:r w:rsidR="00EA38BF" w:rsidRPr="00054AAC">
        <w:rPr>
          <w:sz w:val="20"/>
          <w:lang w:val="en-GB"/>
        </w:rPr>
        <w:t>presence of dangerous substances</w:t>
      </w:r>
      <w:r w:rsidRPr="00054AAC">
        <w:rPr>
          <w:sz w:val="20"/>
          <w:lang w:val="en-GB"/>
        </w:rPr>
        <w:t>.</w:t>
      </w:r>
    </w:p>
    <w:p w14:paraId="03FB676A" w14:textId="714D6C0F" w:rsidR="00F94C44" w:rsidRPr="00876435" w:rsidRDefault="00BF375F" w:rsidP="006A5D08">
      <w:pPr>
        <w:pStyle w:val="SingleTxtG"/>
        <w:numPr>
          <w:ilvl w:val="0"/>
          <w:numId w:val="3"/>
        </w:numPr>
        <w:tabs>
          <w:tab w:val="clear" w:pos="1853"/>
          <w:tab w:val="num" w:pos="1701"/>
        </w:tabs>
        <w:autoSpaceDE w:val="0"/>
        <w:autoSpaceDN w:val="0"/>
        <w:adjustRightInd w:val="0"/>
        <w:ind w:left="1134" w:right="0" w:firstLine="0"/>
        <w:rPr>
          <w:sz w:val="20"/>
          <w:lang w:val="en-GB"/>
        </w:rPr>
      </w:pPr>
      <w:r w:rsidRPr="00876435">
        <w:rPr>
          <w:sz w:val="20"/>
          <w:lang w:val="en-GB"/>
        </w:rPr>
        <w:t xml:space="preserve">The Committee does not exclude that there may be situations in which </w:t>
      </w:r>
      <w:r w:rsidR="00827D08" w:rsidRPr="00876435">
        <w:rPr>
          <w:sz w:val="20"/>
          <w:lang w:val="en-GB"/>
        </w:rPr>
        <w:t>a Party may not be required to apply</w:t>
      </w:r>
      <w:r w:rsidR="00827D08" w:rsidRPr="00876435" w:rsidDel="00827D08">
        <w:rPr>
          <w:sz w:val="20"/>
          <w:lang w:val="en-GB"/>
        </w:rPr>
        <w:t xml:space="preserve"> </w:t>
      </w:r>
      <w:r w:rsidRPr="00876435">
        <w:rPr>
          <w:sz w:val="20"/>
          <w:lang w:val="en-GB"/>
        </w:rPr>
        <w:t>article 6</w:t>
      </w:r>
      <w:r w:rsidR="008F4EA7" w:rsidRPr="00876435">
        <w:rPr>
          <w:sz w:val="20"/>
          <w:lang w:val="en-GB"/>
        </w:rPr>
        <w:t>(</w:t>
      </w:r>
      <w:r w:rsidRPr="00876435">
        <w:rPr>
          <w:sz w:val="20"/>
          <w:lang w:val="en-GB"/>
        </w:rPr>
        <w:t>2</w:t>
      </w:r>
      <w:r w:rsidR="008F4EA7" w:rsidRPr="00876435">
        <w:rPr>
          <w:sz w:val="20"/>
          <w:lang w:val="en-GB"/>
        </w:rPr>
        <w:t>)</w:t>
      </w:r>
      <w:r w:rsidRPr="00876435">
        <w:rPr>
          <w:sz w:val="20"/>
          <w:lang w:val="en-GB"/>
        </w:rPr>
        <w:t>-</w:t>
      </w:r>
      <w:r w:rsidR="008F4EA7" w:rsidRPr="00876435">
        <w:rPr>
          <w:sz w:val="20"/>
          <w:lang w:val="en-GB"/>
        </w:rPr>
        <w:t>(</w:t>
      </w:r>
      <w:r w:rsidRPr="00876435">
        <w:rPr>
          <w:sz w:val="20"/>
          <w:lang w:val="en-GB"/>
        </w:rPr>
        <w:t>9</w:t>
      </w:r>
      <w:r w:rsidR="008F4EA7" w:rsidRPr="00876435">
        <w:rPr>
          <w:sz w:val="20"/>
          <w:lang w:val="en-GB"/>
        </w:rPr>
        <w:t>)</w:t>
      </w:r>
      <w:r w:rsidRPr="00876435">
        <w:rPr>
          <w:sz w:val="20"/>
          <w:lang w:val="en-GB"/>
        </w:rPr>
        <w:t xml:space="preserve"> of the Convention </w:t>
      </w:r>
      <w:r w:rsidR="00CE10C6" w:rsidRPr="00876435">
        <w:rPr>
          <w:sz w:val="20"/>
          <w:lang w:val="en-GB"/>
        </w:rPr>
        <w:t xml:space="preserve">to </w:t>
      </w:r>
      <w:r w:rsidRPr="00876435">
        <w:rPr>
          <w:sz w:val="20"/>
          <w:lang w:val="en-GB"/>
        </w:rPr>
        <w:t xml:space="preserve">permit reconsiderations </w:t>
      </w:r>
      <w:r w:rsidR="00467FD2" w:rsidRPr="00876435">
        <w:rPr>
          <w:sz w:val="20"/>
          <w:lang w:val="en-GB"/>
        </w:rPr>
        <w:t>based on</w:t>
      </w:r>
      <w:r w:rsidRPr="00876435">
        <w:rPr>
          <w:sz w:val="20"/>
          <w:lang w:val="en-GB"/>
        </w:rPr>
        <w:t xml:space="preserve"> operational safety requirements. However</w:t>
      </w:r>
      <w:r w:rsidR="00151C71" w:rsidRPr="00876435">
        <w:rPr>
          <w:sz w:val="20"/>
          <w:lang w:val="en-GB"/>
        </w:rPr>
        <w:t>, the Committee finds that</w:t>
      </w:r>
      <w:r w:rsidR="00827D08" w:rsidRPr="00876435">
        <w:rPr>
          <w:sz w:val="20"/>
          <w:lang w:val="en-GB"/>
        </w:rPr>
        <w:t xml:space="preserve">, </w:t>
      </w:r>
      <w:r w:rsidR="00151C71" w:rsidRPr="00876435">
        <w:rPr>
          <w:sz w:val="20"/>
          <w:lang w:val="en-GB"/>
        </w:rPr>
        <w:t>by</w:t>
      </w:r>
      <w:r w:rsidR="002926ED" w:rsidRPr="00876435">
        <w:rPr>
          <w:sz w:val="20"/>
          <w:lang w:val="en-GB"/>
        </w:rPr>
        <w:t xml:space="preserve"> </w:t>
      </w:r>
      <w:r w:rsidR="00827D08" w:rsidRPr="00876435">
        <w:rPr>
          <w:sz w:val="20"/>
          <w:lang w:val="en-GB"/>
        </w:rPr>
        <w:t xml:space="preserve">putting in place a legal framework that </w:t>
      </w:r>
      <w:r w:rsidR="00B6277F">
        <w:rPr>
          <w:sz w:val="20"/>
          <w:lang w:val="en-GB"/>
        </w:rPr>
        <w:t>does not envisage</w:t>
      </w:r>
      <w:r w:rsidR="00AB356D">
        <w:rPr>
          <w:sz w:val="20"/>
          <w:lang w:val="en-GB"/>
        </w:rPr>
        <w:t xml:space="preserve"> </w:t>
      </w:r>
      <w:r w:rsidR="00B01E1C" w:rsidRPr="00876435">
        <w:rPr>
          <w:sz w:val="20"/>
          <w:lang w:val="en-GB"/>
        </w:rPr>
        <w:t xml:space="preserve">any possibility </w:t>
      </w:r>
      <w:r w:rsidR="00151C71" w:rsidRPr="00876435">
        <w:rPr>
          <w:sz w:val="20"/>
          <w:lang w:val="en-GB"/>
        </w:rPr>
        <w:t xml:space="preserve">for public participation </w:t>
      </w:r>
      <w:r w:rsidR="00B01E1C" w:rsidRPr="00876435">
        <w:rPr>
          <w:sz w:val="20"/>
          <w:lang w:val="en-GB"/>
        </w:rPr>
        <w:t xml:space="preserve">in relation to </w:t>
      </w:r>
      <w:r w:rsidR="00151C71" w:rsidRPr="00876435">
        <w:rPr>
          <w:sz w:val="20"/>
          <w:lang w:val="en-GB"/>
        </w:rPr>
        <w:t>reconsiderations and updates under article 21</w:t>
      </w:r>
      <w:r w:rsidR="00A700E5" w:rsidRPr="00876435">
        <w:rPr>
          <w:sz w:val="20"/>
          <w:lang w:val="en-GB"/>
        </w:rPr>
        <w:t>(</w:t>
      </w:r>
      <w:r w:rsidR="00151C71" w:rsidRPr="00876435">
        <w:rPr>
          <w:sz w:val="20"/>
          <w:lang w:val="en-GB"/>
        </w:rPr>
        <w:t>5</w:t>
      </w:r>
      <w:r w:rsidR="00A700E5" w:rsidRPr="00876435">
        <w:rPr>
          <w:sz w:val="20"/>
          <w:lang w:val="en-GB"/>
        </w:rPr>
        <w:t>)</w:t>
      </w:r>
      <w:r w:rsidR="00151C71" w:rsidRPr="00876435">
        <w:rPr>
          <w:sz w:val="20"/>
          <w:lang w:val="en-GB"/>
        </w:rPr>
        <w:t xml:space="preserve">(b) of the IED, </w:t>
      </w:r>
      <w:r w:rsidR="00827D08" w:rsidRPr="00876435">
        <w:rPr>
          <w:sz w:val="20"/>
          <w:lang w:val="en-GB"/>
        </w:rPr>
        <w:t>the Party concerned</w:t>
      </w:r>
      <w:r w:rsidR="00827D08" w:rsidRPr="00876435" w:rsidDel="00827D08">
        <w:rPr>
          <w:sz w:val="20"/>
          <w:lang w:val="en-GB"/>
        </w:rPr>
        <w:t xml:space="preserve"> </w:t>
      </w:r>
      <w:r w:rsidR="00151C71" w:rsidRPr="00876435">
        <w:rPr>
          <w:sz w:val="20"/>
          <w:szCs w:val="20"/>
          <w:lang w:val="en-GB"/>
        </w:rPr>
        <w:t>fail</w:t>
      </w:r>
      <w:r w:rsidR="00A04AD7" w:rsidRPr="00876435">
        <w:rPr>
          <w:sz w:val="20"/>
          <w:szCs w:val="20"/>
          <w:lang w:val="en-GB"/>
        </w:rPr>
        <w:t>s</w:t>
      </w:r>
      <w:r w:rsidR="00151C71" w:rsidRPr="00876435">
        <w:rPr>
          <w:sz w:val="20"/>
          <w:lang w:val="en-GB"/>
        </w:rPr>
        <w:t xml:space="preserve"> to comply with article 6</w:t>
      </w:r>
      <w:r w:rsidR="001D6764" w:rsidRPr="00876435">
        <w:rPr>
          <w:sz w:val="20"/>
          <w:lang w:val="en-GB"/>
        </w:rPr>
        <w:t>(1</w:t>
      </w:r>
      <w:r w:rsidR="00151C71" w:rsidRPr="00876435">
        <w:rPr>
          <w:sz w:val="20"/>
          <w:lang w:val="en-GB"/>
        </w:rPr>
        <w:t>0</w:t>
      </w:r>
      <w:r w:rsidR="001D6764" w:rsidRPr="00876435">
        <w:rPr>
          <w:sz w:val="20"/>
          <w:lang w:val="en-GB"/>
        </w:rPr>
        <w:t>)</w:t>
      </w:r>
      <w:r w:rsidR="00151C71" w:rsidRPr="00876435">
        <w:rPr>
          <w:sz w:val="20"/>
          <w:lang w:val="en-GB"/>
        </w:rPr>
        <w:t xml:space="preserve"> of the Convention.</w:t>
      </w:r>
    </w:p>
    <w:p w14:paraId="5EBB113E" w14:textId="0AA13980" w:rsidR="00F94C44" w:rsidRPr="00CA5E16" w:rsidRDefault="004E2760" w:rsidP="006A5D08">
      <w:pPr>
        <w:pStyle w:val="SingleTxtG"/>
        <w:autoSpaceDE w:val="0"/>
        <w:autoSpaceDN w:val="0"/>
        <w:adjustRightInd w:val="0"/>
        <w:ind w:right="0"/>
        <w:rPr>
          <w:i/>
          <w:sz w:val="20"/>
        </w:rPr>
      </w:pPr>
      <w:r w:rsidRPr="00CA5E16">
        <w:rPr>
          <w:i/>
          <w:sz w:val="20"/>
          <w:lang w:val="en-GB"/>
        </w:rPr>
        <w:t>(</w:t>
      </w:r>
      <w:r w:rsidR="00D938A6" w:rsidRPr="00CA5E16">
        <w:rPr>
          <w:i/>
          <w:sz w:val="20"/>
          <w:lang w:val="en-GB"/>
        </w:rPr>
        <w:t>iii</w:t>
      </w:r>
      <w:r w:rsidR="00FA3D99" w:rsidRPr="00CA5E16">
        <w:rPr>
          <w:i/>
          <w:sz w:val="20"/>
          <w:lang w:val="en-GB"/>
        </w:rPr>
        <w:t xml:space="preserve">) </w:t>
      </w:r>
      <w:r w:rsidR="00F94C44" w:rsidRPr="00CA5E16">
        <w:rPr>
          <w:i/>
          <w:sz w:val="20"/>
        </w:rPr>
        <w:t>Compliance with new or revised environmental quality standards</w:t>
      </w:r>
    </w:p>
    <w:p w14:paraId="5B1DB4EB" w14:textId="4CE499C6" w:rsidR="005C0F43" w:rsidRDefault="00594CDF" w:rsidP="002D1939">
      <w:pPr>
        <w:pStyle w:val="SingleTxtG"/>
        <w:numPr>
          <w:ilvl w:val="0"/>
          <w:numId w:val="3"/>
        </w:numPr>
        <w:tabs>
          <w:tab w:val="clear" w:pos="1853"/>
          <w:tab w:val="num" w:pos="1701"/>
        </w:tabs>
        <w:autoSpaceDE w:val="0"/>
        <w:autoSpaceDN w:val="0"/>
        <w:adjustRightInd w:val="0"/>
        <w:ind w:left="1134" w:right="0" w:firstLine="0"/>
        <w:rPr>
          <w:sz w:val="20"/>
          <w:lang w:val="en-GB"/>
        </w:rPr>
      </w:pPr>
      <w:r w:rsidRPr="00CA5E16">
        <w:rPr>
          <w:sz w:val="20"/>
          <w:lang w:val="en-GB"/>
        </w:rPr>
        <w:t>A</w:t>
      </w:r>
      <w:r w:rsidR="00F13642" w:rsidRPr="00CA5E16">
        <w:rPr>
          <w:sz w:val="20"/>
          <w:lang w:val="en-GB"/>
        </w:rPr>
        <w:t>rticle 21</w:t>
      </w:r>
      <w:r w:rsidR="00261EF9" w:rsidRPr="00CA5E16">
        <w:rPr>
          <w:sz w:val="20"/>
          <w:lang w:val="en-GB"/>
        </w:rPr>
        <w:t>(</w:t>
      </w:r>
      <w:r w:rsidR="00F13642" w:rsidRPr="00CA5E16">
        <w:rPr>
          <w:sz w:val="20"/>
          <w:lang w:val="en-GB"/>
        </w:rPr>
        <w:t>5</w:t>
      </w:r>
      <w:r w:rsidR="00261EF9" w:rsidRPr="00CA5E16">
        <w:rPr>
          <w:sz w:val="20"/>
          <w:lang w:val="en-GB"/>
        </w:rPr>
        <w:t>)</w:t>
      </w:r>
      <w:r w:rsidR="00F13642" w:rsidRPr="00CA5E16">
        <w:rPr>
          <w:sz w:val="20"/>
          <w:lang w:val="en-GB"/>
        </w:rPr>
        <w:t xml:space="preserve">(c) </w:t>
      </w:r>
      <w:r w:rsidR="004D260D" w:rsidRPr="00CA5E16">
        <w:rPr>
          <w:sz w:val="20"/>
          <w:lang w:val="en-GB"/>
        </w:rPr>
        <w:t>I</w:t>
      </w:r>
      <w:r w:rsidR="00690DAF" w:rsidRPr="00CA5E16">
        <w:rPr>
          <w:sz w:val="20"/>
          <w:lang w:val="en-GB"/>
        </w:rPr>
        <w:t>E</w:t>
      </w:r>
      <w:r w:rsidR="004D260D" w:rsidRPr="00CA5E16">
        <w:rPr>
          <w:sz w:val="20"/>
          <w:lang w:val="en-GB"/>
        </w:rPr>
        <w:t xml:space="preserve">D </w:t>
      </w:r>
      <w:r w:rsidR="00F13642" w:rsidRPr="00CA5E16">
        <w:rPr>
          <w:sz w:val="20"/>
          <w:lang w:val="en-GB"/>
        </w:rPr>
        <w:t xml:space="preserve">requires that permit conditions shall be reconsidered and, where necessary, updated where it is necessary to comply with a new or revised environmental quality standard in accordance with </w:t>
      </w:r>
      <w:r w:rsidR="00076570" w:rsidRPr="00CA5E16">
        <w:rPr>
          <w:sz w:val="20"/>
          <w:lang w:val="en-GB"/>
        </w:rPr>
        <w:t>a</w:t>
      </w:r>
      <w:r w:rsidR="00F13642" w:rsidRPr="00CA5E16">
        <w:rPr>
          <w:sz w:val="20"/>
          <w:lang w:val="en-GB"/>
        </w:rPr>
        <w:t>rticle 18</w:t>
      </w:r>
      <w:r w:rsidR="00690DAF" w:rsidRPr="00CA5E16">
        <w:rPr>
          <w:sz w:val="20"/>
          <w:lang w:val="en-GB"/>
        </w:rPr>
        <w:t xml:space="preserve"> </w:t>
      </w:r>
      <w:r w:rsidR="00895F30" w:rsidRPr="00CA5E16">
        <w:rPr>
          <w:sz w:val="20"/>
          <w:lang w:val="en-GB"/>
        </w:rPr>
        <w:t xml:space="preserve">of the </w:t>
      </w:r>
      <w:r w:rsidR="00690DAF" w:rsidRPr="00CA5E16">
        <w:rPr>
          <w:sz w:val="20"/>
          <w:lang w:val="en-GB"/>
        </w:rPr>
        <w:t>IED</w:t>
      </w:r>
      <w:r w:rsidR="00F13642" w:rsidRPr="00CA5E16">
        <w:rPr>
          <w:sz w:val="20"/>
          <w:lang w:val="en-GB"/>
        </w:rPr>
        <w:t xml:space="preserve">. </w:t>
      </w:r>
      <w:r w:rsidRPr="00CA5E16">
        <w:rPr>
          <w:sz w:val="20"/>
          <w:lang w:val="en-GB"/>
        </w:rPr>
        <w:t>A</w:t>
      </w:r>
      <w:r w:rsidR="004E4DA4" w:rsidRPr="00CA5E16">
        <w:rPr>
          <w:sz w:val="20"/>
          <w:lang w:val="en-GB"/>
        </w:rPr>
        <w:t>rticle 3</w:t>
      </w:r>
      <w:r w:rsidR="00076570" w:rsidRPr="00CA5E16">
        <w:rPr>
          <w:sz w:val="20"/>
          <w:lang w:val="en-GB"/>
        </w:rPr>
        <w:t>(</w:t>
      </w:r>
      <w:r w:rsidR="004E4DA4" w:rsidRPr="00CA5E16">
        <w:rPr>
          <w:sz w:val="20"/>
          <w:lang w:val="en-GB"/>
        </w:rPr>
        <w:t>6</w:t>
      </w:r>
      <w:r w:rsidR="00076570" w:rsidRPr="00CA5E16">
        <w:rPr>
          <w:sz w:val="20"/>
          <w:lang w:val="en-GB"/>
        </w:rPr>
        <w:t>)</w:t>
      </w:r>
      <w:r w:rsidR="00895F30" w:rsidRPr="00CA5E16">
        <w:rPr>
          <w:sz w:val="20"/>
          <w:lang w:val="en-GB"/>
        </w:rPr>
        <w:t xml:space="preserve"> of the </w:t>
      </w:r>
      <w:r w:rsidR="004E4DA4" w:rsidRPr="00CA5E16">
        <w:rPr>
          <w:sz w:val="20"/>
          <w:lang w:val="en-GB"/>
        </w:rPr>
        <w:t xml:space="preserve">IED </w:t>
      </w:r>
      <w:r w:rsidR="004E4DA4" w:rsidRPr="003E25B2">
        <w:rPr>
          <w:sz w:val="20"/>
          <w:lang w:val="en-GB"/>
        </w:rPr>
        <w:t>defines environmental quality standard as “</w:t>
      </w:r>
      <w:r w:rsidR="00C775D0">
        <w:rPr>
          <w:sz w:val="20"/>
          <w:lang w:val="en-GB"/>
        </w:rPr>
        <w:t xml:space="preserve">the set of </w:t>
      </w:r>
      <w:r w:rsidR="004E4DA4" w:rsidRPr="003E25B2">
        <w:rPr>
          <w:sz w:val="20"/>
          <w:lang w:val="en-GB"/>
        </w:rPr>
        <w:t xml:space="preserve">requirements which must be fulfilled at a given time by a given environment or particular </w:t>
      </w:r>
      <w:r w:rsidR="00B57A82" w:rsidRPr="003E25B2">
        <w:rPr>
          <w:sz w:val="20"/>
          <w:lang w:val="en-GB"/>
        </w:rPr>
        <w:t xml:space="preserve">part </w:t>
      </w:r>
      <w:r w:rsidR="004E4DA4" w:rsidRPr="003E25B2">
        <w:rPr>
          <w:sz w:val="20"/>
          <w:lang w:val="en-GB"/>
        </w:rPr>
        <w:t xml:space="preserve">thereof”. </w:t>
      </w:r>
      <w:r w:rsidR="00C775D0">
        <w:rPr>
          <w:sz w:val="20"/>
          <w:lang w:val="en-GB"/>
        </w:rPr>
        <w:t>It is obvious to the</w:t>
      </w:r>
      <w:r w:rsidR="002D6573">
        <w:rPr>
          <w:sz w:val="20"/>
          <w:lang w:val="en-GB"/>
        </w:rPr>
        <w:t xml:space="preserve"> Committee that </w:t>
      </w:r>
      <w:r w:rsidR="00C15F9B" w:rsidRPr="00876435">
        <w:rPr>
          <w:sz w:val="20"/>
          <w:lang w:val="en-GB"/>
        </w:rPr>
        <w:t xml:space="preserve">measures taken to comply with environmental quality standards will regulate the environmental impact of a facility. </w:t>
      </w:r>
    </w:p>
    <w:p w14:paraId="49915928" w14:textId="00A6923A" w:rsidR="004E4DA4" w:rsidRPr="003E25B2" w:rsidRDefault="005C0F43" w:rsidP="002D1939">
      <w:pPr>
        <w:pStyle w:val="SingleTxtG"/>
        <w:numPr>
          <w:ilvl w:val="0"/>
          <w:numId w:val="3"/>
        </w:numPr>
        <w:tabs>
          <w:tab w:val="clear" w:pos="1853"/>
          <w:tab w:val="num" w:pos="1701"/>
        </w:tabs>
        <w:autoSpaceDE w:val="0"/>
        <w:autoSpaceDN w:val="0"/>
        <w:adjustRightInd w:val="0"/>
        <w:ind w:left="1134" w:right="0" w:firstLine="0"/>
        <w:rPr>
          <w:sz w:val="20"/>
          <w:lang w:val="en-GB"/>
        </w:rPr>
      </w:pPr>
      <w:r>
        <w:rPr>
          <w:sz w:val="20"/>
          <w:lang w:val="en-GB"/>
        </w:rPr>
        <w:t>Taking into account the above</w:t>
      </w:r>
      <w:r w:rsidR="00054FF9" w:rsidRPr="00876435">
        <w:rPr>
          <w:sz w:val="20"/>
          <w:lang w:val="en-GB"/>
        </w:rPr>
        <w:t xml:space="preserve">, </w:t>
      </w:r>
      <w:r>
        <w:rPr>
          <w:sz w:val="20"/>
          <w:lang w:val="en-GB"/>
        </w:rPr>
        <w:t>the Committee considers that where a public authority reconsiders and</w:t>
      </w:r>
      <w:r w:rsidR="008A7F32">
        <w:rPr>
          <w:sz w:val="20"/>
          <w:lang w:val="en-GB"/>
        </w:rPr>
        <w:t>,</w:t>
      </w:r>
      <w:r>
        <w:rPr>
          <w:sz w:val="20"/>
          <w:lang w:val="en-GB"/>
        </w:rPr>
        <w:t xml:space="preserve"> where necessary, updates </w:t>
      </w:r>
      <w:r w:rsidR="00AB4441">
        <w:rPr>
          <w:sz w:val="20"/>
          <w:lang w:val="en-GB"/>
        </w:rPr>
        <w:t xml:space="preserve">the </w:t>
      </w:r>
      <w:r>
        <w:rPr>
          <w:sz w:val="20"/>
          <w:lang w:val="en-GB"/>
        </w:rPr>
        <w:t xml:space="preserve">operating conditions </w:t>
      </w:r>
      <w:r w:rsidR="00AB4441">
        <w:rPr>
          <w:sz w:val="20"/>
          <w:lang w:val="en-GB"/>
        </w:rPr>
        <w:t xml:space="preserve">of an activity subject to article 6 of the Convention in order </w:t>
      </w:r>
      <w:r w:rsidR="007B5CB4" w:rsidRPr="00CA5E16">
        <w:rPr>
          <w:sz w:val="20"/>
          <w:lang w:val="en-GB"/>
        </w:rPr>
        <w:t>to comply with a new or revised environmental quality standard</w:t>
      </w:r>
      <w:r>
        <w:rPr>
          <w:sz w:val="20"/>
          <w:lang w:val="en-GB"/>
        </w:rPr>
        <w:t xml:space="preserve">, except in cases where the reconsideration or update is not </w:t>
      </w:r>
      <w:r w:rsidRPr="00ED167A">
        <w:rPr>
          <w:sz w:val="20"/>
          <w:lang w:val="en-GB"/>
        </w:rPr>
        <w:t>capable of significantly changing th</w:t>
      </w:r>
      <w:r>
        <w:rPr>
          <w:sz w:val="20"/>
          <w:lang w:val="en-GB"/>
        </w:rPr>
        <w:t xml:space="preserve">e </w:t>
      </w:r>
      <w:r w:rsidRPr="00ED167A">
        <w:rPr>
          <w:sz w:val="20"/>
          <w:lang w:val="en-GB"/>
        </w:rPr>
        <w:t xml:space="preserve">basic parameters </w:t>
      </w:r>
      <w:r>
        <w:rPr>
          <w:sz w:val="20"/>
          <w:lang w:val="en-GB"/>
        </w:rPr>
        <w:t xml:space="preserve">of the activity and will not </w:t>
      </w:r>
      <w:r w:rsidRPr="00ED167A">
        <w:rPr>
          <w:sz w:val="20"/>
          <w:lang w:val="en-GB"/>
        </w:rPr>
        <w:t>address significant environmental aspects of the activity</w:t>
      </w:r>
      <w:r w:rsidR="00BA7E6A">
        <w:rPr>
          <w:sz w:val="20"/>
          <w:lang w:val="en-GB"/>
        </w:rPr>
        <w:t>,</w:t>
      </w:r>
      <w:r w:rsidRPr="00ED167A">
        <w:rPr>
          <w:sz w:val="20"/>
          <w:lang w:val="en-GB"/>
        </w:rPr>
        <w:t xml:space="preserve"> </w:t>
      </w:r>
      <w:r w:rsidR="003D5E37" w:rsidRPr="003E25B2">
        <w:rPr>
          <w:sz w:val="20"/>
          <w:lang w:val="en-GB"/>
        </w:rPr>
        <w:t>public participation meeting the requirements of article 6 (2)-(9) is “appropriate”, and thus required.</w:t>
      </w:r>
    </w:p>
    <w:p w14:paraId="33FD1C86" w14:textId="67C552F2" w:rsidR="00F57F74" w:rsidRPr="00191ECF" w:rsidRDefault="00EF3575" w:rsidP="00876435">
      <w:pPr>
        <w:pStyle w:val="SingleTxtG"/>
        <w:numPr>
          <w:ilvl w:val="0"/>
          <w:numId w:val="3"/>
        </w:numPr>
        <w:tabs>
          <w:tab w:val="clear" w:pos="1853"/>
          <w:tab w:val="num" w:pos="1701"/>
        </w:tabs>
        <w:autoSpaceDE w:val="0"/>
        <w:autoSpaceDN w:val="0"/>
        <w:adjustRightInd w:val="0"/>
        <w:ind w:left="1134" w:right="0" w:firstLine="0"/>
        <w:rPr>
          <w:sz w:val="20"/>
          <w:lang w:val="en-GB"/>
        </w:rPr>
      </w:pPr>
      <w:r w:rsidRPr="00191ECF">
        <w:rPr>
          <w:sz w:val="20"/>
          <w:lang w:val="en-GB"/>
        </w:rPr>
        <w:t>The Committee takes note of the submission of the Party concerned</w:t>
      </w:r>
      <w:r w:rsidR="00076570" w:rsidRPr="00191ECF">
        <w:rPr>
          <w:sz w:val="20"/>
          <w:lang w:val="en-GB"/>
        </w:rPr>
        <w:t xml:space="preserve"> </w:t>
      </w:r>
      <w:r w:rsidRPr="00191ECF">
        <w:rPr>
          <w:sz w:val="20"/>
          <w:lang w:val="en-GB"/>
        </w:rPr>
        <w:t xml:space="preserve">that article 18 </w:t>
      </w:r>
      <w:r w:rsidR="00895F30" w:rsidRPr="00191ECF">
        <w:rPr>
          <w:sz w:val="20"/>
          <w:lang w:val="en-GB"/>
        </w:rPr>
        <w:t xml:space="preserve">of the </w:t>
      </w:r>
      <w:r w:rsidRPr="00191ECF">
        <w:rPr>
          <w:sz w:val="20"/>
          <w:lang w:val="en-GB"/>
        </w:rPr>
        <w:t>IED may not necessarily lead to additional measures being included in the permit but that article 18 may also be addressed by the adoption of “other measures”</w:t>
      </w:r>
      <w:r w:rsidR="00F57F74" w:rsidRPr="00191ECF">
        <w:rPr>
          <w:sz w:val="20"/>
          <w:lang w:val="en-GB"/>
        </w:rPr>
        <w:t xml:space="preserve"> (see para. </w:t>
      </w:r>
      <w:r w:rsidR="00F57F74" w:rsidRPr="00876435">
        <w:rPr>
          <w:sz w:val="20"/>
          <w:lang w:val="en-GB"/>
        </w:rPr>
        <w:fldChar w:fldCharType="begin"/>
      </w:r>
      <w:r w:rsidR="00F57F74" w:rsidRPr="00191ECF">
        <w:rPr>
          <w:sz w:val="20"/>
          <w:szCs w:val="20"/>
          <w:lang w:val="en-GB"/>
        </w:rPr>
        <w:instrText xml:space="preserve"> REF _Ref511053202 \r \h </w:instrText>
      </w:r>
      <w:r w:rsidR="00B75BFE" w:rsidRPr="00191ECF">
        <w:rPr>
          <w:sz w:val="20"/>
          <w:szCs w:val="20"/>
          <w:lang w:val="en-GB"/>
        </w:rPr>
        <w:instrText xml:space="preserve"> \* MERGEFORMAT </w:instrText>
      </w:r>
      <w:r w:rsidR="00F57F74" w:rsidRPr="00876435">
        <w:rPr>
          <w:sz w:val="20"/>
          <w:lang w:val="en-GB"/>
        </w:rPr>
      </w:r>
      <w:r w:rsidR="00F57F74" w:rsidRPr="00876435">
        <w:rPr>
          <w:sz w:val="20"/>
          <w:lang w:val="en-GB"/>
        </w:rPr>
        <w:fldChar w:fldCharType="separate"/>
      </w:r>
      <w:r w:rsidR="00C775D0">
        <w:rPr>
          <w:sz w:val="20"/>
          <w:szCs w:val="20"/>
          <w:lang w:val="en-GB"/>
        </w:rPr>
        <w:t>69</w:t>
      </w:r>
      <w:r w:rsidR="00F57F74" w:rsidRPr="00876435">
        <w:rPr>
          <w:sz w:val="20"/>
          <w:lang w:val="en-GB"/>
        </w:rPr>
        <w:fldChar w:fldCharType="end"/>
      </w:r>
      <w:r w:rsidR="00F57F74" w:rsidRPr="00191ECF">
        <w:rPr>
          <w:sz w:val="20"/>
          <w:lang w:val="en-GB"/>
        </w:rPr>
        <w:t xml:space="preserve"> above)</w:t>
      </w:r>
      <w:r w:rsidRPr="00191ECF">
        <w:rPr>
          <w:sz w:val="20"/>
          <w:lang w:val="en-GB"/>
        </w:rPr>
        <w:t xml:space="preserve">. </w:t>
      </w:r>
      <w:r w:rsidR="0008268A" w:rsidRPr="00191ECF">
        <w:rPr>
          <w:sz w:val="20"/>
          <w:lang w:val="en-GB"/>
        </w:rPr>
        <w:t xml:space="preserve">On this point, the </w:t>
      </w:r>
      <w:r w:rsidRPr="00191ECF">
        <w:rPr>
          <w:sz w:val="20"/>
          <w:lang w:val="en-GB"/>
        </w:rPr>
        <w:t xml:space="preserve">Committee </w:t>
      </w:r>
      <w:r w:rsidR="0008268A" w:rsidRPr="00191ECF">
        <w:rPr>
          <w:sz w:val="20"/>
          <w:lang w:val="en-GB"/>
        </w:rPr>
        <w:t>reiterates (see para.</w:t>
      </w:r>
      <w:r w:rsidR="00737890">
        <w:rPr>
          <w:sz w:val="20"/>
          <w:lang w:val="en-GB"/>
        </w:rPr>
        <w:t xml:space="preserve"> </w:t>
      </w:r>
      <w:r w:rsidR="00737890">
        <w:rPr>
          <w:sz w:val="20"/>
          <w:lang w:val="en-GB"/>
        </w:rPr>
        <w:fldChar w:fldCharType="begin"/>
      </w:r>
      <w:r w:rsidR="00737890">
        <w:rPr>
          <w:sz w:val="20"/>
          <w:lang w:val="en-GB"/>
        </w:rPr>
        <w:instrText xml:space="preserve"> REF _Ref25587691 \r \h </w:instrText>
      </w:r>
      <w:r w:rsidR="00737890">
        <w:rPr>
          <w:sz w:val="20"/>
          <w:lang w:val="en-GB"/>
        </w:rPr>
      </w:r>
      <w:r w:rsidR="00737890">
        <w:rPr>
          <w:sz w:val="20"/>
          <w:lang w:val="en-GB"/>
        </w:rPr>
        <w:fldChar w:fldCharType="separate"/>
      </w:r>
      <w:r w:rsidR="00C775D0">
        <w:rPr>
          <w:sz w:val="20"/>
          <w:lang w:val="en-GB"/>
        </w:rPr>
        <w:t>102</w:t>
      </w:r>
      <w:r w:rsidR="00737890">
        <w:rPr>
          <w:sz w:val="20"/>
          <w:lang w:val="en-GB"/>
        </w:rPr>
        <w:fldChar w:fldCharType="end"/>
      </w:r>
      <w:r w:rsidR="00737890">
        <w:rPr>
          <w:sz w:val="20"/>
          <w:lang w:val="en-GB"/>
        </w:rPr>
        <w:t xml:space="preserve"> </w:t>
      </w:r>
      <w:r w:rsidR="00191ECF">
        <w:rPr>
          <w:sz w:val="20"/>
          <w:lang w:val="en-GB"/>
        </w:rPr>
        <w:t xml:space="preserve"> </w:t>
      </w:r>
      <w:r w:rsidR="0008268A" w:rsidRPr="00191ECF">
        <w:rPr>
          <w:sz w:val="20"/>
          <w:lang w:val="en-GB"/>
        </w:rPr>
        <w:t>above)</w:t>
      </w:r>
      <w:r w:rsidRPr="00191ECF">
        <w:rPr>
          <w:sz w:val="20"/>
          <w:lang w:val="en-GB"/>
        </w:rPr>
        <w:t xml:space="preserve"> </w:t>
      </w:r>
      <w:r w:rsidR="00690DAF" w:rsidRPr="00191ECF">
        <w:rPr>
          <w:sz w:val="20"/>
          <w:lang w:val="en-GB"/>
        </w:rPr>
        <w:t>that</w:t>
      </w:r>
      <w:r w:rsidR="0008268A" w:rsidRPr="00191ECF">
        <w:rPr>
          <w:sz w:val="20"/>
          <w:lang w:val="en-GB"/>
        </w:rPr>
        <w:t>,</w:t>
      </w:r>
      <w:r w:rsidR="00690DAF" w:rsidRPr="00191ECF">
        <w:rPr>
          <w:sz w:val="20"/>
          <w:lang w:val="en-GB"/>
        </w:rPr>
        <w:t xml:space="preserve"> when assessing</w:t>
      </w:r>
      <w:r w:rsidRPr="00191ECF">
        <w:rPr>
          <w:sz w:val="20"/>
          <w:lang w:val="en-GB"/>
        </w:rPr>
        <w:t xml:space="preserve"> whether public participation is “appropriate” in the context of a reconsideration of a permit</w:t>
      </w:r>
      <w:r w:rsidR="00AF51E5" w:rsidRPr="00191ECF">
        <w:rPr>
          <w:sz w:val="20"/>
          <w:lang w:val="en-GB"/>
        </w:rPr>
        <w:t>,</w:t>
      </w:r>
      <w:r w:rsidRPr="00191ECF">
        <w:rPr>
          <w:sz w:val="20"/>
          <w:lang w:val="en-GB"/>
        </w:rPr>
        <w:t xml:space="preserve"> </w:t>
      </w:r>
      <w:r w:rsidR="00690DAF" w:rsidRPr="00191ECF">
        <w:rPr>
          <w:sz w:val="20"/>
          <w:lang w:val="en-GB"/>
        </w:rPr>
        <w:t xml:space="preserve">it is not decisive </w:t>
      </w:r>
      <w:r w:rsidRPr="00191ECF">
        <w:rPr>
          <w:sz w:val="20"/>
          <w:lang w:val="en-GB"/>
        </w:rPr>
        <w:t xml:space="preserve">whether the permit is indeed finally updated, for instance by </w:t>
      </w:r>
      <w:r w:rsidR="00F57F74" w:rsidRPr="00191ECF">
        <w:rPr>
          <w:sz w:val="20"/>
          <w:lang w:val="en-GB"/>
        </w:rPr>
        <w:t xml:space="preserve">including additional </w:t>
      </w:r>
      <w:r w:rsidR="00F57F74" w:rsidRPr="00191ECF">
        <w:rPr>
          <w:sz w:val="20"/>
          <w:lang w:val="en-GB"/>
        </w:rPr>
        <w:lastRenderedPageBreak/>
        <w:t>measures in the permit</w:t>
      </w:r>
      <w:r w:rsidR="00191ECF">
        <w:rPr>
          <w:sz w:val="20"/>
          <w:lang w:val="en-GB"/>
        </w:rPr>
        <w:t xml:space="preserve">. Likewise, it is immaterial that should </w:t>
      </w:r>
      <w:r w:rsidR="00191ECF" w:rsidRPr="00C920A4">
        <w:rPr>
          <w:sz w:val="20"/>
          <w:lang w:val="en-GB"/>
        </w:rPr>
        <w:t xml:space="preserve">measures indeed be adopted, they may </w:t>
      </w:r>
      <w:r w:rsidR="00541878">
        <w:rPr>
          <w:sz w:val="20"/>
          <w:lang w:val="en-GB"/>
        </w:rPr>
        <w:t xml:space="preserve">in some respects </w:t>
      </w:r>
      <w:r w:rsidR="00191ECF" w:rsidRPr="00C920A4">
        <w:rPr>
          <w:sz w:val="20"/>
          <w:lang w:val="en-GB"/>
        </w:rPr>
        <w:t>have a beneficial effect on the environment</w:t>
      </w:r>
      <w:r w:rsidR="00F57F74" w:rsidRPr="00191ECF">
        <w:rPr>
          <w:sz w:val="20"/>
          <w:lang w:val="en-GB"/>
        </w:rPr>
        <w:t>.</w:t>
      </w:r>
      <w:r w:rsidR="00191ECF">
        <w:rPr>
          <w:sz w:val="20"/>
          <w:lang w:val="en-GB"/>
        </w:rPr>
        <w:t xml:space="preserve"> </w:t>
      </w:r>
      <w:r w:rsidR="00F57F74" w:rsidRPr="00191ECF">
        <w:rPr>
          <w:sz w:val="20"/>
          <w:lang w:val="en-GB"/>
        </w:rPr>
        <w:t xml:space="preserve">Rather, the public concerned </w:t>
      </w:r>
      <w:r w:rsidR="00401C81" w:rsidRPr="00191ECF">
        <w:rPr>
          <w:sz w:val="20"/>
          <w:lang w:val="en-GB"/>
        </w:rPr>
        <w:t xml:space="preserve">should </w:t>
      </w:r>
      <w:r w:rsidR="00F57F74" w:rsidRPr="00191ECF">
        <w:rPr>
          <w:sz w:val="20"/>
          <w:lang w:val="en-GB"/>
        </w:rPr>
        <w:t xml:space="preserve">be given an opportunity to participate at a stage where the public authorities consider whether </w:t>
      </w:r>
      <w:r w:rsidR="00E84877" w:rsidRPr="00191ECF">
        <w:rPr>
          <w:sz w:val="20"/>
          <w:szCs w:val="20"/>
          <w:lang w:val="en-GB"/>
        </w:rPr>
        <w:t>the</w:t>
      </w:r>
      <w:r w:rsidR="00F57F74" w:rsidRPr="00191ECF">
        <w:rPr>
          <w:sz w:val="20"/>
          <w:lang w:val="en-GB"/>
        </w:rPr>
        <w:t xml:space="preserve"> permit should be updated or not.</w:t>
      </w:r>
    </w:p>
    <w:p w14:paraId="26CC2F94" w14:textId="7B16759C" w:rsidR="00827D08" w:rsidRPr="00876435" w:rsidRDefault="00827D08" w:rsidP="00827D08">
      <w:pPr>
        <w:pStyle w:val="SingleTxtG"/>
        <w:numPr>
          <w:ilvl w:val="0"/>
          <w:numId w:val="3"/>
        </w:numPr>
        <w:tabs>
          <w:tab w:val="clear" w:pos="1853"/>
          <w:tab w:val="num" w:pos="1701"/>
        </w:tabs>
        <w:autoSpaceDE w:val="0"/>
        <w:autoSpaceDN w:val="0"/>
        <w:adjustRightInd w:val="0"/>
        <w:ind w:left="1134" w:right="0" w:firstLine="0"/>
        <w:rPr>
          <w:sz w:val="20"/>
          <w:lang w:val="en-GB"/>
        </w:rPr>
      </w:pPr>
      <w:bookmarkStart w:id="57" w:name="_Ref19266847"/>
      <w:r w:rsidRPr="00876435">
        <w:rPr>
          <w:sz w:val="20"/>
          <w:lang w:val="en-GB"/>
        </w:rPr>
        <w:t>The Committee does not exclude that there may be situations in which a Party may not be required to apply</w:t>
      </w:r>
      <w:r w:rsidRPr="00876435" w:rsidDel="00827D08">
        <w:rPr>
          <w:sz w:val="20"/>
          <w:lang w:val="en-GB"/>
        </w:rPr>
        <w:t xml:space="preserve"> </w:t>
      </w:r>
      <w:r w:rsidRPr="00876435">
        <w:rPr>
          <w:sz w:val="20"/>
          <w:lang w:val="en-GB"/>
        </w:rPr>
        <w:t xml:space="preserve">article 6(2)-(9) of the Convention in permit reconsiderations based on </w:t>
      </w:r>
      <w:r w:rsidR="00340C96" w:rsidRPr="00876435">
        <w:rPr>
          <w:sz w:val="20"/>
          <w:lang w:val="en-GB"/>
        </w:rPr>
        <w:t xml:space="preserve">new or revised </w:t>
      </w:r>
      <w:r w:rsidRPr="00876435">
        <w:rPr>
          <w:sz w:val="20"/>
          <w:lang w:val="en-GB"/>
        </w:rPr>
        <w:t xml:space="preserve">environmental quality standards. However, the Committee finds that, by putting in place a legal framework that </w:t>
      </w:r>
      <w:r w:rsidR="00B6277F">
        <w:rPr>
          <w:sz w:val="20"/>
          <w:lang w:val="en-GB"/>
        </w:rPr>
        <w:t xml:space="preserve">does not envisage </w:t>
      </w:r>
      <w:r w:rsidRPr="00876435">
        <w:rPr>
          <w:sz w:val="20"/>
          <w:lang w:val="en-GB"/>
        </w:rPr>
        <w:t>any possibility for public participation in relation to reconsiderations and updates under article 21(5)(c) of the IED, the Party concerned</w:t>
      </w:r>
      <w:r w:rsidRPr="00876435" w:rsidDel="00827D08">
        <w:rPr>
          <w:sz w:val="20"/>
          <w:lang w:val="en-GB"/>
        </w:rPr>
        <w:t xml:space="preserve"> </w:t>
      </w:r>
      <w:r w:rsidRPr="00876435">
        <w:rPr>
          <w:sz w:val="20"/>
          <w:szCs w:val="20"/>
          <w:lang w:val="en-GB"/>
        </w:rPr>
        <w:t>fails</w:t>
      </w:r>
      <w:r w:rsidRPr="00876435">
        <w:rPr>
          <w:sz w:val="20"/>
          <w:lang w:val="en-GB"/>
        </w:rPr>
        <w:t xml:space="preserve"> to comply with article 6(10) of the Convention.</w:t>
      </w:r>
      <w:bookmarkEnd w:id="57"/>
    </w:p>
    <w:p w14:paraId="165E02C1" w14:textId="4B8685C0" w:rsidR="005A430D" w:rsidRPr="008B183A" w:rsidRDefault="005A430D" w:rsidP="00801EFE">
      <w:pPr>
        <w:pStyle w:val="HChG"/>
        <w:ind w:right="0"/>
        <w:rPr>
          <w:lang w:val="en-GB"/>
        </w:rPr>
      </w:pPr>
      <w:r w:rsidRPr="008B183A">
        <w:tab/>
        <w:t>IV.</w:t>
      </w:r>
      <w:r w:rsidRPr="008B183A">
        <w:tab/>
        <w:t>Conclusions and recommendations</w:t>
      </w:r>
    </w:p>
    <w:p w14:paraId="41B496FD" w14:textId="3B78551B" w:rsidR="005A430D" w:rsidRPr="0008442A" w:rsidRDefault="005A430D" w:rsidP="00801EFE">
      <w:pPr>
        <w:numPr>
          <w:ilvl w:val="0"/>
          <w:numId w:val="3"/>
        </w:numPr>
        <w:tabs>
          <w:tab w:val="clear" w:pos="1853"/>
        </w:tabs>
        <w:suppressAutoHyphens/>
        <w:spacing w:after="120" w:line="240" w:lineRule="atLeast"/>
        <w:ind w:left="1134" w:firstLine="0"/>
        <w:jc w:val="both"/>
        <w:rPr>
          <w:sz w:val="20"/>
        </w:rPr>
      </w:pPr>
      <w:r w:rsidRPr="0008442A">
        <w:rPr>
          <w:sz w:val="20"/>
        </w:rPr>
        <w:t>Having considered the above, the Committee adopts the findings and recommendations set out in the following paragraphs:</w:t>
      </w:r>
    </w:p>
    <w:p w14:paraId="5B3F6C56" w14:textId="6BCAD3D9" w:rsidR="005A430D" w:rsidRPr="008B183A" w:rsidRDefault="005A430D" w:rsidP="00801EFE">
      <w:pPr>
        <w:pStyle w:val="H1G"/>
        <w:numPr>
          <w:ilvl w:val="0"/>
          <w:numId w:val="5"/>
        </w:numPr>
        <w:ind w:right="0"/>
      </w:pPr>
      <w:r w:rsidRPr="008B183A">
        <w:t xml:space="preserve">Main findings </w:t>
      </w:r>
      <w:proofErr w:type="gramStart"/>
      <w:r w:rsidRPr="008B183A">
        <w:t>with regard to</w:t>
      </w:r>
      <w:proofErr w:type="gramEnd"/>
      <w:r w:rsidRPr="008B183A">
        <w:t xml:space="preserve"> non-compliance</w:t>
      </w:r>
    </w:p>
    <w:p w14:paraId="3B043703" w14:textId="0E4D9FD9" w:rsidR="005A430D" w:rsidRPr="0008442A" w:rsidRDefault="005A430D" w:rsidP="002D1939">
      <w:pPr>
        <w:numPr>
          <w:ilvl w:val="0"/>
          <w:numId w:val="3"/>
        </w:numPr>
        <w:tabs>
          <w:tab w:val="clear" w:pos="1853"/>
        </w:tabs>
        <w:suppressAutoHyphens/>
        <w:spacing w:after="120" w:line="240" w:lineRule="atLeast"/>
        <w:ind w:left="1134" w:firstLine="0"/>
        <w:jc w:val="both"/>
        <w:rPr>
          <w:sz w:val="20"/>
        </w:rPr>
      </w:pPr>
      <w:r w:rsidRPr="0008442A">
        <w:rPr>
          <w:sz w:val="20"/>
        </w:rPr>
        <w:t>T</w:t>
      </w:r>
      <w:r w:rsidRPr="0008442A">
        <w:rPr>
          <w:sz w:val="20"/>
          <w:lang w:val="en-GB"/>
        </w:rPr>
        <w:t>he Committee finds that</w:t>
      </w:r>
      <w:r w:rsidR="00827D08">
        <w:rPr>
          <w:sz w:val="20"/>
          <w:lang w:val="en-GB"/>
        </w:rPr>
        <w:t>,</w:t>
      </w:r>
      <w:r w:rsidR="00827D08">
        <w:rPr>
          <w:sz w:val="20"/>
        </w:rPr>
        <w:t xml:space="preserve"> </w:t>
      </w:r>
      <w:r w:rsidR="00895F30" w:rsidRPr="0008442A">
        <w:rPr>
          <w:sz w:val="20"/>
          <w:lang w:val="en-GB"/>
        </w:rPr>
        <w:t xml:space="preserve">by </w:t>
      </w:r>
      <w:r w:rsidR="00895F30">
        <w:rPr>
          <w:sz w:val="20"/>
          <w:lang w:val="en-GB"/>
        </w:rPr>
        <w:t xml:space="preserve">putting in place a legal framework that </w:t>
      </w:r>
      <w:r w:rsidR="00B6277F">
        <w:rPr>
          <w:sz w:val="20"/>
          <w:lang w:val="en-GB"/>
        </w:rPr>
        <w:t xml:space="preserve">does not envisage </w:t>
      </w:r>
      <w:r w:rsidR="00895F30" w:rsidRPr="0008442A">
        <w:rPr>
          <w:sz w:val="20"/>
          <w:lang w:val="en-GB"/>
        </w:rPr>
        <w:t xml:space="preserve">any </w:t>
      </w:r>
      <w:r w:rsidRPr="0008442A">
        <w:rPr>
          <w:sz w:val="20"/>
          <w:lang w:val="en-GB"/>
        </w:rPr>
        <w:t>possibility for public participation in relation to reconsiderations and</w:t>
      </w:r>
      <w:r w:rsidR="00827D08">
        <w:rPr>
          <w:sz w:val="20"/>
          <w:lang w:val="en-GB"/>
        </w:rPr>
        <w:t xml:space="preserve"> </w:t>
      </w:r>
      <w:r w:rsidRPr="0008442A">
        <w:rPr>
          <w:sz w:val="20"/>
          <w:lang w:val="en-GB"/>
        </w:rPr>
        <w:t xml:space="preserve">updates under </w:t>
      </w:r>
      <w:r w:rsidR="009D3C93">
        <w:rPr>
          <w:sz w:val="20"/>
          <w:lang w:val="en-GB"/>
        </w:rPr>
        <w:t xml:space="preserve">article 21 </w:t>
      </w:r>
      <w:r w:rsidR="009D3C93" w:rsidRPr="0008442A">
        <w:rPr>
          <w:sz w:val="20"/>
          <w:lang w:val="en-GB"/>
        </w:rPr>
        <w:t>(3)</w:t>
      </w:r>
      <w:r w:rsidR="009D3C93">
        <w:rPr>
          <w:sz w:val="20"/>
          <w:lang w:val="en-GB"/>
        </w:rPr>
        <w:t>,</w:t>
      </w:r>
      <w:r w:rsidR="009D3C93" w:rsidRPr="0008442A">
        <w:rPr>
          <w:sz w:val="20"/>
          <w:lang w:val="en-GB"/>
        </w:rPr>
        <w:t xml:space="preserve"> (4)</w:t>
      </w:r>
      <w:r w:rsidR="009D3C93">
        <w:rPr>
          <w:sz w:val="20"/>
          <w:lang w:val="en-GB"/>
        </w:rPr>
        <w:t>, (5)(b) and (5)(c)</w:t>
      </w:r>
      <w:r w:rsidR="009D3C93" w:rsidRPr="0008442A">
        <w:rPr>
          <w:sz w:val="20"/>
          <w:lang w:val="en-GB"/>
        </w:rPr>
        <w:t xml:space="preserve"> </w:t>
      </w:r>
      <w:r w:rsidR="00A638C1">
        <w:rPr>
          <w:sz w:val="20"/>
          <w:lang w:val="en-GB"/>
        </w:rPr>
        <w:t xml:space="preserve">of the </w:t>
      </w:r>
      <w:r w:rsidR="009D3C93" w:rsidRPr="0008442A">
        <w:rPr>
          <w:sz w:val="20"/>
          <w:lang w:val="en-GB"/>
        </w:rPr>
        <w:t>IED</w:t>
      </w:r>
      <w:r w:rsidRPr="0008442A">
        <w:rPr>
          <w:sz w:val="20"/>
          <w:lang w:val="en-GB"/>
        </w:rPr>
        <w:t>, the Party concerned</w:t>
      </w:r>
      <w:r w:rsidR="00987C7B" w:rsidRPr="0008442A">
        <w:rPr>
          <w:sz w:val="20"/>
          <w:lang w:val="en-GB"/>
        </w:rPr>
        <w:t xml:space="preserve"> </w:t>
      </w:r>
      <w:r w:rsidRPr="0008442A">
        <w:rPr>
          <w:sz w:val="20"/>
          <w:lang w:val="en-GB"/>
        </w:rPr>
        <w:t>fail</w:t>
      </w:r>
      <w:r w:rsidR="00915101" w:rsidRPr="0008442A">
        <w:rPr>
          <w:sz w:val="20"/>
          <w:lang w:val="en-GB"/>
        </w:rPr>
        <w:t>s</w:t>
      </w:r>
      <w:r w:rsidRPr="0008442A">
        <w:rPr>
          <w:sz w:val="20"/>
          <w:lang w:val="en-GB"/>
        </w:rPr>
        <w:t xml:space="preserve"> to comply with article 6</w:t>
      </w:r>
      <w:r w:rsidR="00987C7B" w:rsidRPr="0008442A">
        <w:rPr>
          <w:sz w:val="20"/>
          <w:lang w:val="en-GB"/>
        </w:rPr>
        <w:t>(</w:t>
      </w:r>
      <w:r w:rsidRPr="0008442A">
        <w:rPr>
          <w:sz w:val="20"/>
          <w:lang w:val="en-GB"/>
        </w:rPr>
        <w:t>10</w:t>
      </w:r>
      <w:r w:rsidR="00987C7B" w:rsidRPr="0008442A">
        <w:rPr>
          <w:sz w:val="20"/>
          <w:lang w:val="en-GB"/>
        </w:rPr>
        <w:t>)</w:t>
      </w:r>
      <w:r w:rsidRPr="0008442A">
        <w:rPr>
          <w:sz w:val="20"/>
          <w:lang w:val="en-GB"/>
        </w:rPr>
        <w:t xml:space="preserve"> of the Convention.</w:t>
      </w:r>
    </w:p>
    <w:p w14:paraId="26CAAB5D" w14:textId="1EB97DD6" w:rsidR="00630A7F" w:rsidRPr="008B183A" w:rsidRDefault="005A430D" w:rsidP="00801EFE">
      <w:pPr>
        <w:pStyle w:val="H1G"/>
        <w:ind w:right="0"/>
      </w:pPr>
      <w:r w:rsidRPr="008B183A">
        <w:tab/>
        <w:t>B.</w:t>
      </w:r>
      <w:r w:rsidRPr="008B183A">
        <w:tab/>
        <w:t>Recommendations</w:t>
      </w:r>
    </w:p>
    <w:p w14:paraId="5F2E16AE" w14:textId="7220E53B" w:rsidR="005A430D" w:rsidRPr="0008442A" w:rsidRDefault="00630A7F" w:rsidP="00181D78">
      <w:pPr>
        <w:numPr>
          <w:ilvl w:val="0"/>
          <w:numId w:val="3"/>
        </w:numPr>
        <w:tabs>
          <w:tab w:val="clear" w:pos="1853"/>
        </w:tabs>
        <w:suppressAutoHyphens/>
        <w:spacing w:after="120" w:line="240" w:lineRule="atLeast"/>
        <w:ind w:left="1134" w:firstLine="0"/>
        <w:jc w:val="both"/>
        <w:rPr>
          <w:sz w:val="20"/>
        </w:rPr>
      </w:pPr>
      <w:r w:rsidRPr="00181D78">
        <w:rPr>
          <w:sz w:val="20"/>
        </w:rPr>
        <w:t xml:space="preserve">The Committee pursuant to paragraph 36 (b) of the annex to decision I/7 of the Meeting of the Parties, and </w:t>
      </w:r>
      <w:r w:rsidR="00217776" w:rsidRPr="00181D78">
        <w:rPr>
          <w:sz w:val="20"/>
        </w:rPr>
        <w:t>[</w:t>
      </w:r>
      <w:r w:rsidRPr="00181D78">
        <w:rPr>
          <w:sz w:val="20"/>
        </w:rPr>
        <w:t>noting the agreement of the Party concerned that the Committee take the measures requested in paragraph 37 (b) of the annex to decision I/7,</w:t>
      </w:r>
      <w:r w:rsidR="00217776" w:rsidRPr="00181D78">
        <w:rPr>
          <w:sz w:val="20"/>
        </w:rPr>
        <w:t>]</w:t>
      </w:r>
      <w:r w:rsidRPr="00181D78">
        <w:rPr>
          <w:sz w:val="20"/>
        </w:rPr>
        <w:t xml:space="preserve"> recommends that the Party concerned </w:t>
      </w:r>
      <w:r w:rsidR="009C55C4">
        <w:rPr>
          <w:sz w:val="20"/>
        </w:rPr>
        <w:t>put in a place a legal</w:t>
      </w:r>
      <w:r w:rsidR="00541878">
        <w:rPr>
          <w:sz w:val="20"/>
        </w:rPr>
        <w:t>ly binding</w:t>
      </w:r>
      <w:r w:rsidR="009C55C4">
        <w:rPr>
          <w:sz w:val="20"/>
        </w:rPr>
        <w:t xml:space="preserve"> framework</w:t>
      </w:r>
      <w:r w:rsidR="00A337CF" w:rsidRPr="00181D78">
        <w:rPr>
          <w:sz w:val="20"/>
        </w:rPr>
        <w:t xml:space="preserve"> </w:t>
      </w:r>
      <w:r w:rsidRPr="00181D78">
        <w:rPr>
          <w:sz w:val="20"/>
        </w:rPr>
        <w:t xml:space="preserve">to ensure that, when a public authority </w:t>
      </w:r>
      <w:r w:rsidR="00A337CF" w:rsidRPr="00181D78">
        <w:rPr>
          <w:sz w:val="20"/>
        </w:rPr>
        <w:t xml:space="preserve">in a </w:t>
      </w:r>
      <w:r w:rsidR="00181D78">
        <w:rPr>
          <w:sz w:val="20"/>
        </w:rPr>
        <w:t>M</w:t>
      </w:r>
      <w:r w:rsidR="00181D78" w:rsidRPr="00181D78">
        <w:rPr>
          <w:sz w:val="20"/>
        </w:rPr>
        <w:t xml:space="preserve">ember </w:t>
      </w:r>
      <w:r w:rsidR="00181D78">
        <w:rPr>
          <w:sz w:val="20"/>
        </w:rPr>
        <w:t>S</w:t>
      </w:r>
      <w:r w:rsidR="00A337CF" w:rsidRPr="00181D78">
        <w:rPr>
          <w:sz w:val="20"/>
        </w:rPr>
        <w:t xml:space="preserve">tate of the Party concerned </w:t>
      </w:r>
      <w:r w:rsidRPr="00181D78">
        <w:rPr>
          <w:sz w:val="20"/>
        </w:rPr>
        <w:t xml:space="preserve">reconsiders or updates </w:t>
      </w:r>
      <w:r w:rsidR="007B5CB4">
        <w:rPr>
          <w:sz w:val="20"/>
        </w:rPr>
        <w:t>permit</w:t>
      </w:r>
      <w:r w:rsidR="00254B00">
        <w:rPr>
          <w:sz w:val="20"/>
        </w:rPr>
        <w:t xml:space="preserve"> conditions</w:t>
      </w:r>
      <w:r w:rsidR="007B5CB4" w:rsidRPr="00181D78">
        <w:rPr>
          <w:sz w:val="20"/>
        </w:rPr>
        <w:t xml:space="preserve"> </w:t>
      </w:r>
      <w:r w:rsidR="00A337CF" w:rsidRPr="00181D78">
        <w:rPr>
          <w:sz w:val="20"/>
        </w:rPr>
        <w:t>pursuant to national laws implementing article 21</w:t>
      </w:r>
      <w:r w:rsidR="00340E9A" w:rsidRPr="00181D78">
        <w:rPr>
          <w:sz w:val="20"/>
        </w:rPr>
        <w:t>(</w:t>
      </w:r>
      <w:r w:rsidR="00A337CF" w:rsidRPr="00181D78">
        <w:rPr>
          <w:sz w:val="20"/>
        </w:rPr>
        <w:t>3</w:t>
      </w:r>
      <w:r w:rsidR="00340E9A" w:rsidRPr="00181D78">
        <w:rPr>
          <w:sz w:val="20"/>
        </w:rPr>
        <w:t>)</w:t>
      </w:r>
      <w:r w:rsidR="00A337CF" w:rsidRPr="00181D78">
        <w:rPr>
          <w:sz w:val="20"/>
        </w:rPr>
        <w:t xml:space="preserve">, </w:t>
      </w:r>
      <w:r w:rsidR="00340E9A" w:rsidRPr="00181D78">
        <w:rPr>
          <w:sz w:val="20"/>
        </w:rPr>
        <w:t>(</w:t>
      </w:r>
      <w:r w:rsidR="00A337CF" w:rsidRPr="00181D78">
        <w:rPr>
          <w:sz w:val="20"/>
        </w:rPr>
        <w:t>4</w:t>
      </w:r>
      <w:r w:rsidR="00340E9A" w:rsidRPr="00181D78">
        <w:rPr>
          <w:sz w:val="20"/>
        </w:rPr>
        <w:t>)</w:t>
      </w:r>
      <w:r w:rsidR="00A337CF" w:rsidRPr="00181D78">
        <w:rPr>
          <w:sz w:val="20"/>
        </w:rPr>
        <w:t xml:space="preserve">, </w:t>
      </w:r>
      <w:r w:rsidR="002F166B" w:rsidRPr="00181D78">
        <w:rPr>
          <w:sz w:val="20"/>
        </w:rPr>
        <w:t xml:space="preserve">and </w:t>
      </w:r>
      <w:r w:rsidR="00340E9A" w:rsidRPr="00181D78">
        <w:rPr>
          <w:sz w:val="20"/>
        </w:rPr>
        <w:t>(</w:t>
      </w:r>
      <w:r w:rsidR="00A337CF" w:rsidRPr="00181D78">
        <w:rPr>
          <w:sz w:val="20"/>
        </w:rPr>
        <w:t>5</w:t>
      </w:r>
      <w:r w:rsidR="00340E9A" w:rsidRPr="00181D78">
        <w:rPr>
          <w:sz w:val="20"/>
        </w:rPr>
        <w:t>)</w:t>
      </w:r>
      <w:r w:rsidR="002F166B" w:rsidRPr="00181D78">
        <w:rPr>
          <w:sz w:val="20"/>
        </w:rPr>
        <w:t xml:space="preserve">(b) and </w:t>
      </w:r>
      <w:r w:rsidR="00A337CF" w:rsidRPr="00181D78">
        <w:rPr>
          <w:sz w:val="20"/>
        </w:rPr>
        <w:t>(c)</w:t>
      </w:r>
      <w:r w:rsidR="007653C8">
        <w:rPr>
          <w:sz w:val="20"/>
        </w:rPr>
        <w:t xml:space="preserve"> </w:t>
      </w:r>
      <w:r w:rsidR="003270EB">
        <w:rPr>
          <w:sz w:val="20"/>
        </w:rPr>
        <w:t xml:space="preserve">of </w:t>
      </w:r>
      <w:r w:rsidR="007653C8">
        <w:rPr>
          <w:sz w:val="20"/>
        </w:rPr>
        <w:t>the</w:t>
      </w:r>
      <w:r w:rsidR="00737890">
        <w:rPr>
          <w:sz w:val="20"/>
        </w:rPr>
        <w:t xml:space="preserve"> IED</w:t>
      </w:r>
      <w:r w:rsidRPr="00181D78">
        <w:rPr>
          <w:sz w:val="20"/>
        </w:rPr>
        <w:t xml:space="preserve">, </w:t>
      </w:r>
      <w:r w:rsidR="008F17EA">
        <w:rPr>
          <w:sz w:val="20"/>
        </w:rPr>
        <w:t xml:space="preserve">or </w:t>
      </w:r>
      <w:r w:rsidR="009A7EE2">
        <w:rPr>
          <w:sz w:val="20"/>
        </w:rPr>
        <w:t xml:space="preserve">the corresponding provisions of any </w:t>
      </w:r>
      <w:r w:rsidR="008F17EA">
        <w:rPr>
          <w:sz w:val="20"/>
        </w:rPr>
        <w:t xml:space="preserve">legislation </w:t>
      </w:r>
      <w:r w:rsidR="00895887">
        <w:rPr>
          <w:sz w:val="20"/>
        </w:rPr>
        <w:t>that supersedes</w:t>
      </w:r>
      <w:r w:rsidR="009A7EE2">
        <w:rPr>
          <w:sz w:val="20"/>
        </w:rPr>
        <w:t xml:space="preserve"> </w:t>
      </w:r>
      <w:r w:rsidR="008F17EA">
        <w:rPr>
          <w:sz w:val="20"/>
        </w:rPr>
        <w:t>the IED</w:t>
      </w:r>
      <w:r w:rsidR="00541878">
        <w:rPr>
          <w:sz w:val="20"/>
        </w:rPr>
        <w:t xml:space="preserve">, </w:t>
      </w:r>
      <w:r w:rsidRPr="00181D78">
        <w:rPr>
          <w:sz w:val="20"/>
        </w:rPr>
        <w:t>the provisions of article 6</w:t>
      </w:r>
      <w:r w:rsidR="00915101" w:rsidRPr="00181D78">
        <w:rPr>
          <w:sz w:val="20"/>
        </w:rPr>
        <w:t>(2)-(9)</w:t>
      </w:r>
      <w:r w:rsidR="00217776" w:rsidRPr="00181D78">
        <w:rPr>
          <w:sz w:val="20"/>
        </w:rPr>
        <w:t xml:space="preserve"> </w:t>
      </w:r>
      <w:r w:rsidR="00E56BC5" w:rsidRPr="00181D78">
        <w:rPr>
          <w:sz w:val="20"/>
        </w:rPr>
        <w:t xml:space="preserve">will be applied, </w:t>
      </w:r>
      <w:r w:rsidR="00E56BC5" w:rsidRPr="00181D78">
        <w:rPr>
          <w:i/>
          <w:iCs/>
          <w:sz w:val="20"/>
        </w:rPr>
        <w:t>mutatis mutandis</w:t>
      </w:r>
      <w:r w:rsidR="00E56BC5" w:rsidRPr="00181D78">
        <w:rPr>
          <w:sz w:val="20"/>
        </w:rPr>
        <w:t xml:space="preserve"> and where appropriate</w:t>
      </w:r>
      <w:r w:rsidR="00181D78" w:rsidRPr="00181D78">
        <w:rPr>
          <w:sz w:val="20"/>
        </w:rPr>
        <w:t>, bearing in mind the objectives of the Convention</w:t>
      </w:r>
      <w:r w:rsidR="003057CB" w:rsidRPr="00181D78">
        <w:rPr>
          <w:sz w:val="20"/>
        </w:rPr>
        <w:t>.</w:t>
      </w:r>
      <w:r w:rsidR="00BD0EFC" w:rsidRPr="0008442A">
        <w:rPr>
          <w:sz w:val="20"/>
        </w:rPr>
        <w:t xml:space="preserve"> </w:t>
      </w:r>
    </w:p>
    <w:p w14:paraId="4EA0560A" w14:textId="77777777" w:rsidR="001C6663" w:rsidRPr="00041E5D" w:rsidRDefault="00CF0F86" w:rsidP="00475A52">
      <w:pPr>
        <w:pStyle w:val="SingleTxtG"/>
        <w:spacing w:before="240" w:after="0"/>
        <w:ind w:right="0"/>
        <w:jc w:val="center"/>
        <w:rPr>
          <w:u w:val="single"/>
          <w:lang w:val="en-GB"/>
        </w:rPr>
      </w:pPr>
      <w:r w:rsidRPr="00041E5D">
        <w:rPr>
          <w:u w:val="single"/>
          <w:lang w:val="en-GB"/>
        </w:rPr>
        <w:tab/>
      </w:r>
      <w:r w:rsidRPr="00041E5D">
        <w:rPr>
          <w:u w:val="single"/>
          <w:lang w:val="en-GB"/>
        </w:rPr>
        <w:tab/>
      </w:r>
      <w:r w:rsidRPr="00041E5D">
        <w:rPr>
          <w:u w:val="single"/>
          <w:lang w:val="en-GB"/>
        </w:rPr>
        <w:tab/>
      </w:r>
    </w:p>
    <w:sectPr w:rsidR="001C6663" w:rsidRPr="00041E5D" w:rsidSect="00C4711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2268"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229E4" w14:textId="77777777" w:rsidR="00D0245D" w:rsidRDefault="00D0245D"/>
  </w:endnote>
  <w:endnote w:type="continuationSeparator" w:id="0">
    <w:p w14:paraId="314EF8BC" w14:textId="77777777" w:rsidR="00D0245D" w:rsidRDefault="00D0245D"/>
  </w:endnote>
  <w:endnote w:type="continuationNotice" w:id="1">
    <w:p w14:paraId="19A8B0E7" w14:textId="77777777" w:rsidR="00D0245D" w:rsidRDefault="00D02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122B" w14:textId="77777777" w:rsidR="00577993" w:rsidRPr="0023575C" w:rsidRDefault="00577993"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2</w:t>
    </w:r>
    <w:r w:rsidRPr="002357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2D11" w14:textId="4F13572C" w:rsidR="00577993" w:rsidRPr="0023575C" w:rsidRDefault="00577993"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20</w:t>
    </w:r>
    <w:r w:rsidRPr="002357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99F7" w14:textId="5E0B3BF0" w:rsidR="00577993" w:rsidRPr="0023575C" w:rsidRDefault="00577993">
    <w:pPr>
      <w:pStyle w:val="Footer"/>
      <w:rPr>
        <w:sz w:val="20"/>
      </w:rPr>
    </w:pPr>
    <w:r w:rsidRPr="00D0245D">
      <w:rPr>
        <w:noProof/>
        <w:lang w:val="sv-SE"/>
      </w:rPr>
      <w:drawing>
        <wp:anchor distT="0" distB="0" distL="114300" distR="114300" simplePos="0" relativeHeight="251657728" behindDoc="0" locked="1" layoutInCell="1" allowOverlap="1" wp14:anchorId="65E5A9E7" wp14:editId="2EF7D3DC">
          <wp:simplePos x="0" y="0"/>
          <wp:positionH relativeFrom="column">
            <wp:posOffset>5148580</wp:posOffset>
          </wp:positionH>
          <wp:positionV relativeFrom="paragraph">
            <wp:posOffset>-114935</wp:posOffset>
          </wp:positionV>
          <wp:extent cx="930275" cy="230505"/>
          <wp:effectExtent l="0" t="0" r="952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7DDF" w14:textId="77777777" w:rsidR="00D0245D" w:rsidRPr="000B175B" w:rsidRDefault="00D0245D" w:rsidP="000B175B">
      <w:pPr>
        <w:tabs>
          <w:tab w:val="right" w:pos="2155"/>
        </w:tabs>
        <w:spacing w:after="80"/>
        <w:ind w:left="680"/>
        <w:rPr>
          <w:u w:val="single"/>
        </w:rPr>
      </w:pPr>
      <w:r>
        <w:rPr>
          <w:u w:val="single"/>
        </w:rPr>
        <w:tab/>
      </w:r>
    </w:p>
  </w:footnote>
  <w:footnote w:type="continuationSeparator" w:id="0">
    <w:p w14:paraId="75909E66" w14:textId="77777777" w:rsidR="00D0245D" w:rsidRPr="00FC68B7" w:rsidRDefault="00D0245D" w:rsidP="00FC68B7">
      <w:pPr>
        <w:tabs>
          <w:tab w:val="left" w:pos="2155"/>
        </w:tabs>
        <w:spacing w:after="80"/>
        <w:ind w:left="680"/>
        <w:rPr>
          <w:u w:val="single"/>
        </w:rPr>
      </w:pPr>
      <w:r>
        <w:rPr>
          <w:u w:val="single"/>
        </w:rPr>
        <w:tab/>
      </w:r>
    </w:p>
  </w:footnote>
  <w:footnote w:type="continuationNotice" w:id="1">
    <w:p w14:paraId="1CD8438E" w14:textId="77777777" w:rsidR="00D0245D" w:rsidRDefault="00D0245D"/>
  </w:footnote>
  <w:footnote w:id="2">
    <w:p w14:paraId="36B40106" w14:textId="4199901B" w:rsidR="00577993" w:rsidRPr="008B183A" w:rsidRDefault="00577993" w:rsidP="00467FD2">
      <w:pPr>
        <w:pStyle w:val="FootnoteText"/>
        <w:tabs>
          <w:tab w:val="clear" w:pos="1021"/>
        </w:tabs>
        <w:spacing w:line="240" w:lineRule="auto"/>
        <w:ind w:right="0" w:firstLine="0"/>
        <w:rPr>
          <w:szCs w:val="18"/>
          <w:lang w:val="en-GB"/>
        </w:rPr>
      </w:pPr>
      <w:r w:rsidRPr="008B183A">
        <w:rPr>
          <w:rStyle w:val="FootnoteReference"/>
          <w:szCs w:val="18"/>
          <w:lang w:val="en-GB"/>
        </w:rPr>
        <w:footnoteRef/>
      </w:r>
      <w:r w:rsidRPr="008B183A">
        <w:rPr>
          <w:szCs w:val="18"/>
          <w:lang w:val="en-GB"/>
        </w:rPr>
        <w:t xml:space="preserve"> The communication and related documentation from the communicant, the Party concerned and the secretariat, is available from </w:t>
      </w:r>
      <w:hyperlink r:id="rId1" w:history="1">
        <w:r w:rsidRPr="008B183A">
          <w:rPr>
            <w:rStyle w:val="Hyperlink"/>
            <w:szCs w:val="18"/>
            <w:lang w:val="en-GB"/>
          </w:rPr>
          <w:t>http://www.unece.org/environmental-policy/conventions/public-participation/aarhus-convention/tfwg/envppcc/envppcccom/acccc2014121-european-union.html</w:t>
        </w:r>
      </w:hyperlink>
      <w:r w:rsidRPr="008B183A">
        <w:rPr>
          <w:szCs w:val="18"/>
          <w:lang w:val="en-GB"/>
        </w:rPr>
        <w:t>.</w:t>
      </w:r>
    </w:p>
  </w:footnote>
  <w:footnote w:id="3">
    <w:p w14:paraId="3298118E" w14:textId="77777777" w:rsidR="00577993" w:rsidRPr="008B183A" w:rsidRDefault="00577993" w:rsidP="00467FD2">
      <w:pPr>
        <w:pStyle w:val="FootnoteText"/>
        <w:tabs>
          <w:tab w:val="clear" w:pos="1021"/>
        </w:tabs>
        <w:spacing w:line="240" w:lineRule="auto"/>
        <w:ind w:right="0" w:firstLine="0"/>
        <w:rPr>
          <w:szCs w:val="18"/>
          <w:lang w:val="en-GB"/>
        </w:rPr>
      </w:pPr>
      <w:r w:rsidRPr="008B183A">
        <w:rPr>
          <w:rStyle w:val="FootnoteReference"/>
          <w:szCs w:val="18"/>
          <w:lang w:val="en-GB"/>
        </w:rPr>
        <w:footnoteRef/>
      </w:r>
      <w:r w:rsidRPr="008B183A">
        <w:rPr>
          <w:szCs w:val="18"/>
          <w:lang w:val="en-GB"/>
        </w:rPr>
        <w:t xml:space="preserve"> Directive 2010/75/EU of the European Parliament and of the Council of 24 November 2010 on industrial emissions (integrated pollution prevention and control) OJ L 334/17, 17.12.2010. </w:t>
      </w:r>
    </w:p>
  </w:footnote>
  <w:footnote w:id="4">
    <w:p w14:paraId="0EE64E47" w14:textId="77777777" w:rsidR="00577993" w:rsidRPr="008B183A" w:rsidRDefault="00577993" w:rsidP="00467FD2">
      <w:pPr>
        <w:pStyle w:val="FootnoteText"/>
        <w:tabs>
          <w:tab w:val="clear" w:pos="1021"/>
          <w:tab w:val="right" w:pos="7088"/>
        </w:tabs>
        <w:ind w:right="0" w:firstLine="0"/>
        <w:rPr>
          <w:szCs w:val="18"/>
          <w:lang w:val="en-GB"/>
        </w:rPr>
      </w:pPr>
      <w:r w:rsidRPr="008B183A">
        <w:rPr>
          <w:rStyle w:val="FootnoteReference"/>
          <w:szCs w:val="18"/>
          <w:lang w:val="en-GB"/>
        </w:rPr>
        <w:footnoteRef/>
      </w:r>
      <w:r w:rsidRPr="008B183A">
        <w:rPr>
          <w:szCs w:val="18"/>
          <w:lang w:val="en-GB"/>
        </w:rPr>
        <w:t xml:space="preserve"> Communication, p. 6.</w:t>
      </w:r>
    </w:p>
  </w:footnote>
  <w:footnote w:id="5">
    <w:p w14:paraId="3455BD87" w14:textId="77777777" w:rsidR="00577993" w:rsidRPr="008B183A" w:rsidRDefault="00577993" w:rsidP="00467FD2">
      <w:pPr>
        <w:pStyle w:val="FootnoteText"/>
        <w:tabs>
          <w:tab w:val="clear" w:pos="1021"/>
          <w:tab w:val="right" w:pos="709"/>
        </w:tabs>
        <w:ind w:right="0" w:firstLine="0"/>
        <w:jc w:val="both"/>
        <w:rPr>
          <w:szCs w:val="18"/>
          <w:lang w:val="en-GB"/>
        </w:rPr>
      </w:pPr>
      <w:r w:rsidRPr="008B183A">
        <w:rPr>
          <w:rStyle w:val="FootnoteReference"/>
          <w:szCs w:val="18"/>
          <w:lang w:val="en-GB"/>
        </w:rPr>
        <w:footnoteRef/>
      </w:r>
      <w:r w:rsidRPr="008B183A">
        <w:rPr>
          <w:szCs w:val="18"/>
          <w:lang w:val="en-GB"/>
        </w:rPr>
        <w:t xml:space="preserve"> This section summarizes only the main facts, evidence and issues considered to be relevant to the question of compliance, as presented to and considered by the Committee.</w:t>
      </w:r>
    </w:p>
  </w:footnote>
  <w:footnote w:id="6">
    <w:p w14:paraId="5854C5AC" w14:textId="70073D7A"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p. 4 and annex 1, p. 31.</w:t>
      </w:r>
    </w:p>
  </w:footnote>
  <w:footnote w:id="7">
    <w:p w14:paraId="47304B53" w14:textId="60CE629C"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p. 4 and annex 1, p. 31.</w:t>
      </w:r>
    </w:p>
  </w:footnote>
  <w:footnote w:id="8">
    <w:p w14:paraId="22C681F3" w14:textId="68A9ED16"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p. 4 and annex 1, p. 31.</w:t>
      </w:r>
    </w:p>
  </w:footnote>
  <w:footnote w:id="9">
    <w:p w14:paraId="3474161A" w14:textId="44DB9BD8"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annex 1, p. 30.</w:t>
      </w:r>
    </w:p>
  </w:footnote>
  <w:footnote w:id="10">
    <w:p w14:paraId="3A68E580" w14:textId="54DBAF79"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pp. 2-3 and annex 1, p. 33.</w:t>
      </w:r>
    </w:p>
  </w:footnote>
  <w:footnote w:id="11">
    <w:p w14:paraId="65394361" w14:textId="62F22A02"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p. 2 fn. 1 and annex 1, pp. 29-30.</w:t>
      </w:r>
    </w:p>
  </w:footnote>
  <w:footnote w:id="12">
    <w:p w14:paraId="32744867" w14:textId="333983F7" w:rsidR="00577993" w:rsidRPr="008B183A" w:rsidRDefault="00577993" w:rsidP="00454AFD">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annex 1, p. 33.</w:t>
      </w:r>
    </w:p>
  </w:footnote>
  <w:footnote w:id="13">
    <w:p w14:paraId="60DABEF2" w14:textId="06A37F88"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annex 1, p. 33.</w:t>
      </w:r>
    </w:p>
  </w:footnote>
  <w:footnote w:id="14">
    <w:p w14:paraId="0F87DFE5" w14:textId="36A350B2" w:rsidR="00577993" w:rsidRPr="008B183A" w:rsidRDefault="00577993">
      <w:pPr>
        <w:pStyle w:val="FootnoteText"/>
        <w:rPr>
          <w:lang w:val="en-GB"/>
        </w:rPr>
      </w:pPr>
      <w:r w:rsidRPr="008B183A">
        <w:tab/>
      </w:r>
      <w:r w:rsidRPr="008B183A">
        <w:tab/>
      </w:r>
      <w:r w:rsidRPr="008B183A">
        <w:rPr>
          <w:rStyle w:val="FootnoteReference"/>
        </w:rPr>
        <w:footnoteRef/>
      </w:r>
      <w:r w:rsidRPr="008B183A">
        <w:t xml:space="preserve"> </w:t>
      </w:r>
      <w:r w:rsidRPr="008B183A">
        <w:rPr>
          <w:lang w:val="en-GB"/>
        </w:rPr>
        <w:t>IED, recital 1.</w:t>
      </w:r>
    </w:p>
  </w:footnote>
  <w:footnote w:id="15">
    <w:p w14:paraId="70CB5B97" w14:textId="78C49B71" w:rsidR="00577993" w:rsidRPr="008B183A" w:rsidRDefault="00577993">
      <w:pPr>
        <w:pStyle w:val="FootnoteText"/>
        <w:rPr>
          <w:lang w:val="en-GB"/>
        </w:rPr>
      </w:pPr>
      <w:r w:rsidRPr="008B183A">
        <w:tab/>
      </w:r>
      <w:r w:rsidRPr="008B183A">
        <w:tab/>
      </w:r>
      <w:r w:rsidRPr="008B183A">
        <w:rPr>
          <w:rStyle w:val="FootnoteReference"/>
        </w:rPr>
        <w:footnoteRef/>
      </w:r>
      <w:r w:rsidRPr="008B183A">
        <w:t xml:space="preserve"> Directive 2008/1/EC of the European Parliament and of the Council of 15  January 2008 concerning integrated pollution prevention and control</w:t>
      </w:r>
      <w:r w:rsidRPr="008B183A">
        <w:rPr>
          <w:lang w:val="en-GB"/>
        </w:rPr>
        <w:t>.</w:t>
      </w:r>
    </w:p>
  </w:footnote>
  <w:footnote w:id="16">
    <w:p w14:paraId="40AEDB2C" w14:textId="65F7CC92" w:rsidR="00577993" w:rsidRPr="008B183A" w:rsidRDefault="00577993" w:rsidP="00467FD2">
      <w:pPr>
        <w:pStyle w:val="FootnoteText"/>
        <w:tabs>
          <w:tab w:val="clear" w:pos="1021"/>
          <w:tab w:val="right" w:pos="2127"/>
        </w:tabs>
        <w:ind w:right="0" w:firstLine="0"/>
        <w:rPr>
          <w:szCs w:val="18"/>
          <w:lang w:val="en-GB"/>
        </w:rPr>
      </w:pPr>
      <w:r w:rsidRPr="008B183A">
        <w:rPr>
          <w:rStyle w:val="FootnoteReference"/>
          <w:szCs w:val="18"/>
          <w:lang w:val="en-GB"/>
        </w:rPr>
        <w:footnoteRef/>
      </w:r>
      <w:r w:rsidRPr="0008442A">
        <w:rPr>
          <w:lang w:val="en-GB"/>
        </w:rPr>
        <w:t xml:space="preserve"> Party’s response</w:t>
      </w:r>
      <w:r w:rsidRPr="008B183A">
        <w:rPr>
          <w:szCs w:val="18"/>
          <w:lang w:val="en-GB"/>
        </w:rPr>
        <w:t xml:space="preserve"> to the communication</w:t>
      </w:r>
      <w:r w:rsidRPr="0008442A">
        <w:rPr>
          <w:lang w:val="en-GB"/>
        </w:rPr>
        <w:t>, para</w:t>
      </w:r>
      <w:r>
        <w:rPr>
          <w:lang w:val="en-GB"/>
        </w:rPr>
        <w:t>s</w:t>
      </w:r>
      <w:r w:rsidRPr="0008442A">
        <w:rPr>
          <w:lang w:val="en-GB"/>
        </w:rPr>
        <w:t xml:space="preserve">. </w:t>
      </w:r>
      <w:r w:rsidRPr="008B183A">
        <w:rPr>
          <w:szCs w:val="18"/>
          <w:lang w:val="en-GB"/>
        </w:rPr>
        <w:t>15 and 32.</w:t>
      </w:r>
    </w:p>
  </w:footnote>
  <w:footnote w:id="17">
    <w:p w14:paraId="2E10A220" w14:textId="77777777" w:rsidR="00577993" w:rsidRPr="008B183A" w:rsidRDefault="00577993" w:rsidP="00B274EF">
      <w:pPr>
        <w:pStyle w:val="FootnoteText"/>
        <w:tabs>
          <w:tab w:val="clear" w:pos="1021"/>
          <w:tab w:val="right" w:pos="2268"/>
        </w:tabs>
        <w:ind w:right="0" w:firstLine="0"/>
        <w:rPr>
          <w:szCs w:val="18"/>
          <w:lang w:val="en-GB"/>
        </w:rPr>
      </w:pPr>
      <w:r w:rsidRPr="008B183A">
        <w:rPr>
          <w:rStyle w:val="FootnoteReference"/>
          <w:szCs w:val="18"/>
          <w:lang w:val="en-GB"/>
        </w:rPr>
        <w:footnoteRef/>
      </w:r>
      <w:r w:rsidRPr="00181D78">
        <w:rPr>
          <w:lang w:val="en-GB"/>
        </w:rPr>
        <w:t xml:space="preserve"> </w:t>
      </w:r>
      <w:r w:rsidRPr="00181D78">
        <w:rPr>
          <w:szCs w:val="18"/>
          <w:lang w:val="en-GB"/>
        </w:rPr>
        <w:t>Ibid.,</w:t>
      </w:r>
      <w:r w:rsidRPr="00181D78">
        <w:rPr>
          <w:lang w:val="en-GB"/>
        </w:rPr>
        <w:t xml:space="preserve"> paras. </w:t>
      </w:r>
      <w:r w:rsidRPr="008B183A">
        <w:rPr>
          <w:szCs w:val="18"/>
          <w:lang w:val="en-GB"/>
        </w:rPr>
        <w:t>27 and 28.</w:t>
      </w:r>
    </w:p>
  </w:footnote>
  <w:footnote w:id="18">
    <w:p w14:paraId="0F1AF404" w14:textId="0BCB2516"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lang w:val="en-GB"/>
        </w:rPr>
        <w:t xml:space="preserve"> Ibid., para. </w:t>
      </w:r>
      <w:r w:rsidRPr="008B183A">
        <w:rPr>
          <w:szCs w:val="18"/>
          <w:lang w:val="en-GB"/>
        </w:rPr>
        <w:t>16. The Committee has in the meantime issued its findings on communication ACCC/C/2008/32 (European Union), part II, ECE/</w:t>
      </w:r>
      <w:bookmarkStart w:id="13" w:name="_GoBack"/>
      <w:bookmarkEnd w:id="13"/>
      <w:proofErr w:type="gramStart"/>
      <w:r w:rsidRPr="008B183A">
        <w:rPr>
          <w:szCs w:val="18"/>
          <w:lang w:val="en-GB"/>
        </w:rPr>
        <w:t>MP.PP</w:t>
      </w:r>
      <w:proofErr w:type="gramEnd"/>
      <w:r w:rsidRPr="008B183A">
        <w:rPr>
          <w:szCs w:val="18"/>
          <w:lang w:val="en-GB"/>
        </w:rPr>
        <w:t>/C.1/2017/7.</w:t>
      </w:r>
    </w:p>
  </w:footnote>
  <w:footnote w:id="19">
    <w:p w14:paraId="180FE671" w14:textId="7F42E070" w:rsidR="00577993" w:rsidRPr="008B183A" w:rsidRDefault="00577993" w:rsidP="00467FD2">
      <w:pPr>
        <w:pStyle w:val="FootnoteText"/>
        <w:tabs>
          <w:tab w:val="clear" w:pos="1021"/>
          <w:tab w:val="right" w:pos="2127"/>
        </w:tabs>
        <w:ind w:right="0" w:firstLine="0"/>
        <w:rPr>
          <w:szCs w:val="18"/>
          <w:lang w:val="es-ES"/>
        </w:rPr>
      </w:pPr>
      <w:r w:rsidRPr="008B183A">
        <w:rPr>
          <w:rStyle w:val="FootnoteReference"/>
          <w:szCs w:val="18"/>
          <w:lang w:val="en-GB"/>
        </w:rPr>
        <w:footnoteRef/>
      </w:r>
      <w:r w:rsidRPr="008B183A">
        <w:rPr>
          <w:szCs w:val="18"/>
          <w:lang w:val="es-ES"/>
        </w:rPr>
        <w:t xml:space="preserve"> Ibid., para. 17.</w:t>
      </w:r>
    </w:p>
  </w:footnote>
  <w:footnote w:id="20">
    <w:p w14:paraId="35083E3D" w14:textId="43A9291D" w:rsidR="00577993" w:rsidRPr="008B183A" w:rsidRDefault="00577993" w:rsidP="00467FD2">
      <w:pPr>
        <w:pStyle w:val="FootnoteText"/>
        <w:ind w:right="0" w:firstLine="0"/>
        <w:rPr>
          <w:szCs w:val="18"/>
          <w:lang w:val="es-ES"/>
        </w:rPr>
      </w:pPr>
      <w:r w:rsidRPr="008B183A">
        <w:rPr>
          <w:rStyle w:val="FootnoteReference"/>
          <w:szCs w:val="18"/>
          <w:lang w:val="en-GB"/>
        </w:rPr>
        <w:footnoteRef/>
      </w:r>
      <w:r w:rsidRPr="008B183A">
        <w:rPr>
          <w:szCs w:val="18"/>
          <w:lang w:val="es-ES"/>
        </w:rPr>
        <w:t xml:space="preserve"> Ibid., paras. 18 and 21.</w:t>
      </w:r>
    </w:p>
  </w:footnote>
  <w:footnote w:id="21">
    <w:p w14:paraId="1848850D" w14:textId="0662888B" w:rsidR="00577993" w:rsidRPr="00181D78" w:rsidRDefault="00577993" w:rsidP="00467FD2">
      <w:pPr>
        <w:pStyle w:val="FootnoteText"/>
        <w:ind w:right="0" w:firstLine="0"/>
        <w:rPr>
          <w:szCs w:val="18"/>
          <w:lang w:val="en-GB"/>
        </w:rPr>
      </w:pPr>
      <w:r w:rsidRPr="008B183A">
        <w:rPr>
          <w:rStyle w:val="FootnoteReference"/>
          <w:szCs w:val="18"/>
          <w:lang w:val="en-GB"/>
        </w:rPr>
        <w:footnoteRef/>
      </w:r>
      <w:r w:rsidRPr="00181D78">
        <w:rPr>
          <w:szCs w:val="18"/>
          <w:lang w:val="en-GB"/>
        </w:rPr>
        <w:t xml:space="preserve"> Ibid., paras. 22-24.</w:t>
      </w:r>
    </w:p>
  </w:footnote>
  <w:footnote w:id="22">
    <w:p w14:paraId="248CBA52" w14:textId="0FF9AFD5" w:rsidR="00577993" w:rsidRPr="00181D78" w:rsidRDefault="00577993" w:rsidP="00B0333E">
      <w:pPr>
        <w:pStyle w:val="FootnoteText"/>
        <w:ind w:right="0" w:firstLine="0"/>
        <w:rPr>
          <w:lang w:val="en-GB"/>
        </w:rPr>
      </w:pPr>
      <w:r w:rsidRPr="008B183A">
        <w:rPr>
          <w:rStyle w:val="FootnoteReference"/>
          <w:szCs w:val="18"/>
          <w:lang w:val="en-GB"/>
        </w:rPr>
        <w:footnoteRef/>
      </w:r>
      <w:r w:rsidRPr="00181D78">
        <w:rPr>
          <w:szCs w:val="18"/>
          <w:lang w:val="en-GB"/>
        </w:rPr>
        <w:t xml:space="preserve"> Ibid., paras. 20 and 25.</w:t>
      </w:r>
    </w:p>
  </w:footnote>
  <w:footnote w:id="23">
    <w:p w14:paraId="7D6FDA03" w14:textId="0EC93111" w:rsidR="00577993" w:rsidRPr="008B183A" w:rsidRDefault="00577993" w:rsidP="00467FD2">
      <w:pPr>
        <w:pStyle w:val="FootnoteText"/>
        <w:tabs>
          <w:tab w:val="clear" w:pos="1021"/>
          <w:tab w:val="right" w:pos="2127"/>
        </w:tabs>
        <w:ind w:right="0" w:firstLine="0"/>
        <w:rPr>
          <w:szCs w:val="18"/>
          <w:lang w:val="en-GB"/>
        </w:rPr>
      </w:pPr>
      <w:r w:rsidRPr="008B183A">
        <w:rPr>
          <w:rStyle w:val="FootnoteReference"/>
          <w:szCs w:val="18"/>
          <w:lang w:val="en-GB"/>
        </w:rPr>
        <w:footnoteRef/>
      </w:r>
      <w:r w:rsidRPr="008B183A">
        <w:rPr>
          <w:szCs w:val="18"/>
          <w:lang w:val="en-GB"/>
        </w:rPr>
        <w:t xml:space="preserve"> Communication, p. 8, and communicant’s final written submissions, 5 December 2016, p. 3.</w:t>
      </w:r>
    </w:p>
  </w:footnote>
  <w:footnote w:id="24">
    <w:p w14:paraId="470B9183" w14:textId="62513D67" w:rsidR="00577993" w:rsidRPr="008B183A" w:rsidRDefault="00577993" w:rsidP="00467FD2">
      <w:pPr>
        <w:pStyle w:val="FootnoteText"/>
        <w:tabs>
          <w:tab w:val="clear" w:pos="1021"/>
          <w:tab w:val="right" w:pos="2127"/>
        </w:tabs>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5 December 2016, pp. 3-4.</w:t>
      </w:r>
    </w:p>
  </w:footnote>
  <w:footnote w:id="25">
    <w:p w14:paraId="21DA2223"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Case C-583/11 P </w:t>
      </w:r>
      <w:r w:rsidRPr="008B183A">
        <w:rPr>
          <w:i/>
          <w:szCs w:val="18"/>
          <w:lang w:val="en-GB"/>
        </w:rPr>
        <w:t xml:space="preserve">Inuit </w:t>
      </w:r>
      <w:proofErr w:type="spellStart"/>
      <w:r w:rsidRPr="008B183A">
        <w:rPr>
          <w:i/>
          <w:szCs w:val="18"/>
          <w:lang w:val="en-GB"/>
        </w:rPr>
        <w:t>Tapiriit</w:t>
      </w:r>
      <w:proofErr w:type="spellEnd"/>
      <w:r w:rsidRPr="008B183A">
        <w:rPr>
          <w:i/>
          <w:szCs w:val="18"/>
          <w:lang w:val="en-GB"/>
        </w:rPr>
        <w:t xml:space="preserve"> </w:t>
      </w:r>
      <w:proofErr w:type="spellStart"/>
      <w:r w:rsidRPr="008B183A">
        <w:rPr>
          <w:i/>
          <w:szCs w:val="18"/>
          <w:lang w:val="en-GB"/>
        </w:rPr>
        <w:t>Kanatami</w:t>
      </w:r>
      <w:proofErr w:type="spellEnd"/>
      <w:r w:rsidRPr="008B183A">
        <w:rPr>
          <w:i/>
          <w:szCs w:val="18"/>
          <w:lang w:val="en-GB"/>
        </w:rPr>
        <w:t xml:space="preserve"> and Others v Parliament and Council,</w:t>
      </w:r>
      <w:r w:rsidRPr="008B183A">
        <w:rPr>
          <w:szCs w:val="18"/>
          <w:lang w:val="en-GB"/>
        </w:rPr>
        <w:t xml:space="preserve"> ECLI:EU:C:2013:625, para. 45.</w:t>
      </w:r>
    </w:p>
  </w:footnote>
  <w:footnote w:id="26">
    <w:p w14:paraId="485C607F" w14:textId="61AD9339"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5 December 2016, pp. 3-4.</w:t>
      </w:r>
    </w:p>
  </w:footnote>
  <w:footnote w:id="27">
    <w:p w14:paraId="1AEEC26E" w14:textId="5AF5E6BE"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Ibid., p. 4.</w:t>
      </w:r>
    </w:p>
  </w:footnote>
  <w:footnote w:id="28">
    <w:p w14:paraId="54A5A4B7" w14:textId="26A1FC96"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Ibid., p. 4.</w:t>
      </w:r>
    </w:p>
  </w:footnote>
  <w:footnote w:id="29">
    <w:p w14:paraId="71ACE781" w14:textId="2F63E01C"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Ibid., pp. 4 and 6.</w:t>
      </w:r>
    </w:p>
  </w:footnote>
  <w:footnote w:id="30">
    <w:p w14:paraId="113A36B4" w14:textId="25994EF1"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Ibid., p. 5.</w:t>
      </w:r>
    </w:p>
  </w:footnote>
  <w:footnote w:id="31">
    <w:p w14:paraId="01514E2B" w14:textId="228D14A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Ibid., p. 5.</w:t>
      </w:r>
    </w:p>
  </w:footnote>
  <w:footnote w:id="32">
    <w:p w14:paraId="273072A2" w14:textId="195E20FD"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Ibid., pp. 5-6.</w:t>
      </w:r>
    </w:p>
  </w:footnote>
  <w:footnote w:id="33">
    <w:p w14:paraId="08AA6E5F" w14:textId="77777777" w:rsidR="00577993" w:rsidRPr="008B183A" w:rsidRDefault="00577993" w:rsidP="00467FD2">
      <w:pPr>
        <w:pStyle w:val="FootnoteText"/>
        <w:tabs>
          <w:tab w:val="clear" w:pos="1021"/>
          <w:tab w:val="right" w:pos="4962"/>
        </w:tabs>
        <w:ind w:right="0" w:firstLine="0"/>
        <w:rPr>
          <w:szCs w:val="18"/>
          <w:lang w:val="en-GB"/>
        </w:rPr>
      </w:pPr>
      <w:r w:rsidRPr="008B183A">
        <w:rPr>
          <w:rStyle w:val="FootnoteReference"/>
          <w:szCs w:val="18"/>
          <w:lang w:val="en-GB"/>
        </w:rPr>
        <w:footnoteRef/>
      </w:r>
      <w:r w:rsidRPr="008B183A">
        <w:rPr>
          <w:szCs w:val="18"/>
          <w:lang w:val="en-GB"/>
        </w:rPr>
        <w:t xml:space="preserve"> Communication, p. 2.</w:t>
      </w:r>
    </w:p>
  </w:footnote>
  <w:footnote w:id="34">
    <w:p w14:paraId="0D58F65D" w14:textId="59789B9C" w:rsidR="00577993" w:rsidRPr="008B183A" w:rsidRDefault="00577993" w:rsidP="00467FD2">
      <w:pPr>
        <w:pStyle w:val="FootnoteText"/>
        <w:tabs>
          <w:tab w:val="clear" w:pos="1021"/>
          <w:tab w:val="right" w:pos="1843"/>
        </w:tabs>
        <w:ind w:right="0" w:firstLine="0"/>
        <w:rPr>
          <w:szCs w:val="18"/>
          <w:lang w:val="en-GB"/>
        </w:rPr>
      </w:pPr>
      <w:r w:rsidRPr="008B183A">
        <w:rPr>
          <w:rStyle w:val="FootnoteReference"/>
          <w:szCs w:val="18"/>
          <w:lang w:val="en-GB"/>
        </w:rPr>
        <w:footnoteRef/>
      </w:r>
      <w:r w:rsidRPr="008B183A">
        <w:rPr>
          <w:szCs w:val="18"/>
          <w:lang w:val="en-GB"/>
        </w:rPr>
        <w:t xml:space="preserve"> Communication, p. 7, and communicant’s final written submissions, pp. 1-2.</w:t>
      </w:r>
    </w:p>
  </w:footnote>
  <w:footnote w:id="35">
    <w:p w14:paraId="28F00053" w14:textId="675D5A48" w:rsidR="00577993" w:rsidRPr="008B183A" w:rsidRDefault="00577993" w:rsidP="00467FD2">
      <w:pPr>
        <w:pStyle w:val="FootnoteText"/>
        <w:tabs>
          <w:tab w:val="clear" w:pos="1021"/>
          <w:tab w:val="right" w:pos="1701"/>
        </w:tabs>
        <w:ind w:right="0" w:firstLine="0"/>
        <w:rPr>
          <w:szCs w:val="18"/>
          <w:lang w:val="en-GB"/>
        </w:rPr>
      </w:pPr>
      <w:r w:rsidRPr="008B183A">
        <w:rPr>
          <w:rStyle w:val="FootnoteReference"/>
          <w:szCs w:val="18"/>
          <w:lang w:val="en-GB"/>
        </w:rPr>
        <w:footnoteRef/>
      </w:r>
      <w:r w:rsidRPr="008B183A">
        <w:rPr>
          <w:szCs w:val="18"/>
          <w:lang w:val="en-GB"/>
        </w:rPr>
        <w:t xml:space="preserve"> Case C-416/10 </w:t>
      </w:r>
      <w:proofErr w:type="spellStart"/>
      <w:r w:rsidRPr="008B183A">
        <w:rPr>
          <w:i/>
          <w:szCs w:val="18"/>
          <w:lang w:val="en-GB"/>
        </w:rPr>
        <w:t>Jozef</w:t>
      </w:r>
      <w:proofErr w:type="spellEnd"/>
      <w:r w:rsidRPr="008B183A">
        <w:rPr>
          <w:i/>
          <w:szCs w:val="18"/>
          <w:lang w:val="en-GB"/>
        </w:rPr>
        <w:t xml:space="preserve"> </w:t>
      </w:r>
      <w:proofErr w:type="spellStart"/>
      <w:r w:rsidRPr="008B183A">
        <w:rPr>
          <w:i/>
          <w:szCs w:val="18"/>
          <w:lang w:val="en-GB"/>
        </w:rPr>
        <w:t>Križan</w:t>
      </w:r>
      <w:proofErr w:type="spellEnd"/>
      <w:r w:rsidRPr="008B183A">
        <w:rPr>
          <w:i/>
          <w:szCs w:val="18"/>
          <w:lang w:val="en-GB"/>
        </w:rPr>
        <w:t xml:space="preserve"> and Others v</w:t>
      </w:r>
      <w:r>
        <w:rPr>
          <w:i/>
          <w:szCs w:val="18"/>
          <w:lang w:val="en-GB"/>
        </w:rPr>
        <w:t>.</w:t>
      </w:r>
      <w:r w:rsidRPr="008B183A">
        <w:rPr>
          <w:i/>
          <w:szCs w:val="18"/>
          <w:lang w:val="en-GB"/>
        </w:rPr>
        <w:t xml:space="preserve"> </w:t>
      </w:r>
      <w:proofErr w:type="spellStart"/>
      <w:r w:rsidRPr="008B183A">
        <w:rPr>
          <w:i/>
          <w:szCs w:val="18"/>
          <w:lang w:val="en-GB"/>
        </w:rPr>
        <w:t>Slovenská</w:t>
      </w:r>
      <w:proofErr w:type="spellEnd"/>
      <w:r w:rsidRPr="008B183A">
        <w:rPr>
          <w:i/>
          <w:szCs w:val="18"/>
          <w:lang w:val="en-GB"/>
        </w:rPr>
        <w:t xml:space="preserve"> </w:t>
      </w:r>
      <w:proofErr w:type="spellStart"/>
      <w:r w:rsidRPr="008B183A">
        <w:rPr>
          <w:i/>
          <w:szCs w:val="18"/>
          <w:lang w:val="en-GB"/>
        </w:rPr>
        <w:t>inšpekcia</w:t>
      </w:r>
      <w:proofErr w:type="spellEnd"/>
      <w:r w:rsidRPr="008B183A">
        <w:rPr>
          <w:i/>
          <w:szCs w:val="18"/>
          <w:lang w:val="en-GB"/>
        </w:rPr>
        <w:t xml:space="preserve"> </w:t>
      </w:r>
      <w:proofErr w:type="spellStart"/>
      <w:r w:rsidRPr="008B183A">
        <w:rPr>
          <w:i/>
          <w:szCs w:val="18"/>
          <w:lang w:val="en-GB"/>
        </w:rPr>
        <w:t>životného</w:t>
      </w:r>
      <w:proofErr w:type="spellEnd"/>
      <w:r w:rsidRPr="008B183A">
        <w:rPr>
          <w:i/>
          <w:szCs w:val="18"/>
          <w:lang w:val="en-GB"/>
        </w:rPr>
        <w:t xml:space="preserve"> </w:t>
      </w:r>
      <w:proofErr w:type="spellStart"/>
      <w:r w:rsidRPr="008B183A">
        <w:rPr>
          <w:i/>
          <w:szCs w:val="18"/>
          <w:lang w:val="en-GB"/>
        </w:rPr>
        <w:t>prostredia</w:t>
      </w:r>
      <w:proofErr w:type="spellEnd"/>
      <w:r w:rsidRPr="008B183A">
        <w:rPr>
          <w:szCs w:val="18"/>
          <w:lang w:val="en-GB"/>
        </w:rPr>
        <w:t>, ECLI:EU:C:2013:8.</w:t>
      </w:r>
    </w:p>
  </w:footnote>
  <w:footnote w:id="36">
    <w:p w14:paraId="1A494AA2" w14:textId="77777777" w:rsidR="00577993" w:rsidRPr="002D1939" w:rsidRDefault="00577993" w:rsidP="00467FD2">
      <w:pPr>
        <w:pStyle w:val="FootnoteText"/>
        <w:tabs>
          <w:tab w:val="clear" w:pos="1021"/>
          <w:tab w:val="right" w:pos="1560"/>
        </w:tabs>
        <w:ind w:right="0" w:firstLine="0"/>
        <w:rPr>
          <w:szCs w:val="18"/>
          <w:lang w:val="en-GB"/>
        </w:rPr>
      </w:pPr>
      <w:r w:rsidRPr="008B183A">
        <w:rPr>
          <w:rStyle w:val="FootnoteReference"/>
          <w:szCs w:val="18"/>
          <w:lang w:val="en-GB"/>
        </w:rPr>
        <w:footnoteRef/>
      </w:r>
      <w:r w:rsidRPr="002D1939">
        <w:rPr>
          <w:szCs w:val="18"/>
          <w:lang w:val="en-GB"/>
        </w:rPr>
        <w:t xml:space="preserve"> Communication, pp. 5-6.</w:t>
      </w:r>
    </w:p>
  </w:footnote>
  <w:footnote w:id="37">
    <w:p w14:paraId="08C0D5DA" w14:textId="548A0589" w:rsidR="00577993" w:rsidRPr="008B183A" w:rsidRDefault="00577993" w:rsidP="00467FD2">
      <w:pPr>
        <w:pStyle w:val="FootnoteText"/>
        <w:tabs>
          <w:tab w:val="clear" w:pos="1021"/>
          <w:tab w:val="right" w:pos="1701"/>
        </w:tabs>
        <w:ind w:right="0" w:firstLine="0"/>
        <w:rPr>
          <w:szCs w:val="18"/>
          <w:lang w:val="en-GB"/>
        </w:rPr>
      </w:pPr>
      <w:r w:rsidRPr="008B183A">
        <w:rPr>
          <w:rStyle w:val="FootnoteReference"/>
          <w:szCs w:val="18"/>
          <w:lang w:val="en-GB"/>
        </w:rPr>
        <w:footnoteRef/>
      </w:r>
      <w:r w:rsidRPr="002D1939">
        <w:rPr>
          <w:szCs w:val="18"/>
          <w:lang w:val="en-GB"/>
        </w:rPr>
        <w:t xml:space="preserve"> Party’s response to the communication, para. </w:t>
      </w:r>
      <w:r w:rsidRPr="008B183A">
        <w:rPr>
          <w:szCs w:val="18"/>
          <w:lang w:val="en-GB"/>
        </w:rPr>
        <w:t>33.</w:t>
      </w:r>
    </w:p>
  </w:footnote>
  <w:footnote w:id="38">
    <w:p w14:paraId="68D8AF5F" w14:textId="6E51AF16" w:rsidR="00577993" w:rsidRPr="008B183A" w:rsidRDefault="00577993" w:rsidP="00467FD2">
      <w:pPr>
        <w:pStyle w:val="FootnoteText"/>
        <w:tabs>
          <w:tab w:val="clear" w:pos="1021"/>
          <w:tab w:val="right" w:pos="2268"/>
        </w:tabs>
        <w:ind w:right="0" w:firstLine="0"/>
        <w:rPr>
          <w:szCs w:val="18"/>
          <w:lang w:val="en-GB"/>
        </w:rPr>
      </w:pPr>
      <w:r w:rsidRPr="008B183A">
        <w:rPr>
          <w:rStyle w:val="FootnoteReference"/>
          <w:szCs w:val="18"/>
          <w:lang w:val="en-GB"/>
        </w:rPr>
        <w:footnoteRef/>
      </w:r>
      <w:r w:rsidRPr="008B183A">
        <w:rPr>
          <w:szCs w:val="18"/>
          <w:lang w:val="en-GB"/>
        </w:rPr>
        <w:t xml:space="preserve"> Party’s response</w:t>
      </w:r>
      <w:r>
        <w:rPr>
          <w:szCs w:val="18"/>
          <w:lang w:val="en-GB"/>
        </w:rPr>
        <w:t xml:space="preserve"> to the communication</w:t>
      </w:r>
      <w:r w:rsidRPr="008B183A">
        <w:rPr>
          <w:szCs w:val="18"/>
          <w:lang w:val="en-GB"/>
        </w:rPr>
        <w:t>, paras. 34 and 65.</w:t>
      </w:r>
    </w:p>
  </w:footnote>
  <w:footnote w:id="39">
    <w:p w14:paraId="5BCCC749" w14:textId="77777777" w:rsidR="00577993" w:rsidRPr="008B183A" w:rsidRDefault="00577993" w:rsidP="00467FD2">
      <w:pPr>
        <w:pStyle w:val="FootnoteText"/>
        <w:tabs>
          <w:tab w:val="clear" w:pos="1021"/>
          <w:tab w:val="right" w:pos="1843"/>
        </w:tabs>
        <w:ind w:right="0" w:firstLine="0"/>
        <w:rPr>
          <w:szCs w:val="18"/>
          <w:lang w:val="en-GB"/>
        </w:rPr>
      </w:pPr>
      <w:r w:rsidRPr="008B183A">
        <w:rPr>
          <w:rStyle w:val="FootnoteReference"/>
          <w:szCs w:val="18"/>
          <w:lang w:val="en-GB"/>
        </w:rPr>
        <w:footnoteRef/>
      </w:r>
      <w:r w:rsidRPr="008B183A">
        <w:rPr>
          <w:szCs w:val="18"/>
          <w:lang w:val="en-GB"/>
        </w:rPr>
        <w:t xml:space="preserve"> Communication, p. 8 and communicant’s final written submissions, p. 7.</w:t>
      </w:r>
    </w:p>
  </w:footnote>
  <w:footnote w:id="40">
    <w:p w14:paraId="5A060FBD" w14:textId="114EB399"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p. 8 and communicant’s final written submissions, p. 7.</w:t>
      </w:r>
    </w:p>
  </w:footnote>
  <w:footnote w:id="41">
    <w:p w14:paraId="3596A5CB"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ECE/</w:t>
      </w:r>
      <w:proofErr w:type="gramStart"/>
      <w:r w:rsidRPr="008B183A">
        <w:rPr>
          <w:szCs w:val="18"/>
          <w:lang w:val="en-GB"/>
        </w:rPr>
        <w:t>MP.PP</w:t>
      </w:r>
      <w:proofErr w:type="gramEnd"/>
      <w:r w:rsidRPr="008B183A">
        <w:rPr>
          <w:szCs w:val="18"/>
          <w:lang w:val="en-GB"/>
        </w:rPr>
        <w:t>/2011/11/Add.3.</w:t>
      </w:r>
    </w:p>
  </w:footnote>
  <w:footnote w:id="42">
    <w:p w14:paraId="6F63384E"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ECE/</w:t>
      </w:r>
      <w:proofErr w:type="gramStart"/>
      <w:r w:rsidRPr="008B183A">
        <w:rPr>
          <w:szCs w:val="18"/>
          <w:lang w:val="en-GB"/>
        </w:rPr>
        <w:t>MP.PP</w:t>
      </w:r>
      <w:proofErr w:type="gramEnd"/>
      <w:r w:rsidRPr="008B183A">
        <w:rPr>
          <w:szCs w:val="18"/>
          <w:lang w:val="en-GB"/>
        </w:rPr>
        <w:t>/2011/11/Add.1.</w:t>
      </w:r>
    </w:p>
  </w:footnote>
  <w:footnote w:id="43">
    <w:p w14:paraId="4C740730"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p. 7 and communicant’s final written submissions, p. 7 referring to Committee’s findings on communication ACCC/C/2009/41, ECE/</w:t>
      </w:r>
      <w:proofErr w:type="gramStart"/>
      <w:r w:rsidRPr="008B183A">
        <w:rPr>
          <w:szCs w:val="18"/>
          <w:lang w:val="en-GB"/>
        </w:rPr>
        <w:t>MP.PP</w:t>
      </w:r>
      <w:proofErr w:type="gramEnd"/>
      <w:r w:rsidRPr="008B183A">
        <w:rPr>
          <w:szCs w:val="18"/>
          <w:lang w:val="en-GB"/>
        </w:rPr>
        <w:t>/2011/Add.3, paras. 55-56.</w:t>
      </w:r>
    </w:p>
  </w:footnote>
  <w:footnote w:id="44">
    <w:p w14:paraId="1A44AA36"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w:t>
      </w:r>
      <w:bookmarkStart w:id="26" w:name="_Hlk526855205"/>
      <w:r w:rsidRPr="008B183A">
        <w:rPr>
          <w:szCs w:val="18"/>
          <w:lang w:val="en-GB"/>
        </w:rPr>
        <w:t xml:space="preserve">United Nations publication, Sales No. </w:t>
      </w:r>
      <w:proofErr w:type="gramStart"/>
      <w:r w:rsidRPr="008B183A">
        <w:rPr>
          <w:szCs w:val="18"/>
          <w:lang w:val="en-GB"/>
        </w:rPr>
        <w:t>E.13.II.E.</w:t>
      </w:r>
      <w:proofErr w:type="gramEnd"/>
      <w:r w:rsidRPr="008B183A">
        <w:rPr>
          <w:szCs w:val="18"/>
          <w:lang w:val="en-GB"/>
        </w:rPr>
        <w:t>3</w:t>
      </w:r>
      <w:bookmarkEnd w:id="26"/>
      <w:r w:rsidRPr="008B183A">
        <w:rPr>
          <w:szCs w:val="18"/>
          <w:lang w:val="en-GB"/>
        </w:rPr>
        <w:t>.</w:t>
      </w:r>
    </w:p>
  </w:footnote>
  <w:footnote w:id="45">
    <w:p w14:paraId="57429110" w14:textId="701F1714" w:rsidR="00577993" w:rsidRPr="008B183A" w:rsidRDefault="00577993" w:rsidP="00467FD2">
      <w:pPr>
        <w:pStyle w:val="FootnoteText"/>
        <w:tabs>
          <w:tab w:val="clear" w:pos="1021"/>
          <w:tab w:val="right" w:pos="1701"/>
        </w:tabs>
        <w:ind w:right="0" w:firstLine="0"/>
        <w:rPr>
          <w:szCs w:val="18"/>
          <w:lang w:val="en-GB"/>
        </w:rPr>
      </w:pPr>
      <w:r w:rsidRPr="008B183A">
        <w:rPr>
          <w:rStyle w:val="FootnoteReference"/>
          <w:szCs w:val="18"/>
          <w:lang w:val="en-GB"/>
        </w:rPr>
        <w:footnoteRef/>
      </w:r>
      <w:r w:rsidRPr="008B183A">
        <w:rPr>
          <w:szCs w:val="18"/>
          <w:lang w:val="en-GB"/>
        </w:rPr>
        <w:t xml:space="preserve"> Communication, p</w:t>
      </w:r>
      <w:r>
        <w:rPr>
          <w:szCs w:val="18"/>
          <w:lang w:val="en-GB"/>
        </w:rPr>
        <w:t>.</w:t>
      </w:r>
      <w:r w:rsidRPr="008B183A">
        <w:rPr>
          <w:szCs w:val="18"/>
          <w:lang w:val="en-GB"/>
        </w:rPr>
        <w:t xml:space="preserve"> 8</w:t>
      </w:r>
      <w:r>
        <w:rPr>
          <w:szCs w:val="18"/>
          <w:lang w:val="en-GB"/>
        </w:rPr>
        <w:t>.</w:t>
      </w:r>
    </w:p>
  </w:footnote>
  <w:footnote w:id="46">
    <w:p w14:paraId="2FC3FC8A" w14:textId="73C55D2A"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pp. 7-8.</w:t>
      </w:r>
    </w:p>
  </w:footnote>
  <w:footnote w:id="47">
    <w:p w14:paraId="0CBBF8ED"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11.</w:t>
      </w:r>
    </w:p>
  </w:footnote>
  <w:footnote w:id="48">
    <w:p w14:paraId="224957D1" w14:textId="75940639"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Communication, </w:t>
      </w:r>
      <w:r>
        <w:rPr>
          <w:szCs w:val="18"/>
          <w:lang w:val="en-GB"/>
        </w:rPr>
        <w:t>p.</w:t>
      </w:r>
      <w:r w:rsidRPr="008B183A">
        <w:rPr>
          <w:szCs w:val="18"/>
          <w:lang w:val="en-GB"/>
        </w:rPr>
        <w:t xml:space="preserve"> 8, and communicant’s final written submissions, p. 8.</w:t>
      </w:r>
    </w:p>
  </w:footnote>
  <w:footnote w:id="49">
    <w:p w14:paraId="72BABDD8"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8.</w:t>
      </w:r>
    </w:p>
  </w:footnote>
  <w:footnote w:id="50">
    <w:p w14:paraId="613561E4" w14:textId="77777777" w:rsidR="00577993" w:rsidRPr="008B183A" w:rsidRDefault="00577993" w:rsidP="00DB0A07">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 p. 9.</w:t>
      </w:r>
    </w:p>
  </w:footnote>
  <w:footnote w:id="51">
    <w:p w14:paraId="01120E45"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8.</w:t>
      </w:r>
    </w:p>
  </w:footnote>
  <w:footnote w:id="52">
    <w:p w14:paraId="2CBA17DA" w14:textId="4ABF9D30"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9.</w:t>
      </w:r>
    </w:p>
  </w:footnote>
  <w:footnote w:id="53">
    <w:p w14:paraId="64CBC931" w14:textId="1FBA58CB"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ECE/</w:t>
      </w:r>
      <w:proofErr w:type="gramStart"/>
      <w:r w:rsidRPr="008B183A">
        <w:rPr>
          <w:szCs w:val="18"/>
          <w:lang w:val="en-GB"/>
        </w:rPr>
        <w:t>MP.PP</w:t>
      </w:r>
      <w:proofErr w:type="gramEnd"/>
      <w:r w:rsidRPr="008B183A">
        <w:rPr>
          <w:szCs w:val="18"/>
          <w:lang w:val="en-GB"/>
        </w:rPr>
        <w:t>/2008/5/Add. 10, and ECE/</w:t>
      </w:r>
      <w:proofErr w:type="gramStart"/>
      <w:r w:rsidRPr="008B183A">
        <w:rPr>
          <w:szCs w:val="18"/>
          <w:lang w:val="en-GB"/>
        </w:rPr>
        <w:t>MP.PP</w:t>
      </w:r>
      <w:proofErr w:type="gramEnd"/>
      <w:r w:rsidRPr="008B183A">
        <w:rPr>
          <w:szCs w:val="18"/>
          <w:lang w:val="en-GB"/>
        </w:rPr>
        <w:t>/2011/11/Add.1.</w:t>
      </w:r>
    </w:p>
  </w:footnote>
  <w:footnote w:id="54">
    <w:p w14:paraId="78F25B0D"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9.</w:t>
      </w:r>
    </w:p>
  </w:footnote>
  <w:footnote w:id="55">
    <w:p w14:paraId="049C0467"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9.</w:t>
      </w:r>
    </w:p>
  </w:footnote>
  <w:footnote w:id="56">
    <w:p w14:paraId="70618E80"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response, para. 37 and Party’s final written submissions, p. 3.</w:t>
      </w:r>
    </w:p>
  </w:footnote>
  <w:footnote w:id="57">
    <w:p w14:paraId="69A4AF58"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final written submissions, p. 3.</w:t>
      </w:r>
    </w:p>
  </w:footnote>
  <w:footnote w:id="58">
    <w:p w14:paraId="6DE7C411" w14:textId="77777777" w:rsidR="00577993" w:rsidRPr="008B183A" w:rsidRDefault="00577993" w:rsidP="00467FD2">
      <w:pPr>
        <w:pStyle w:val="FootnoteText"/>
        <w:tabs>
          <w:tab w:val="clear" w:pos="1021"/>
          <w:tab w:val="right" w:pos="2268"/>
        </w:tabs>
        <w:ind w:right="0" w:firstLine="0"/>
        <w:rPr>
          <w:szCs w:val="18"/>
          <w:lang w:val="en-GB"/>
        </w:rPr>
      </w:pPr>
      <w:r w:rsidRPr="008B183A">
        <w:rPr>
          <w:rStyle w:val="FootnoteReference"/>
          <w:szCs w:val="18"/>
          <w:lang w:val="en-GB"/>
        </w:rPr>
        <w:footnoteRef/>
      </w:r>
      <w:r w:rsidRPr="008B183A">
        <w:rPr>
          <w:szCs w:val="18"/>
          <w:lang w:val="en-GB"/>
        </w:rPr>
        <w:t xml:space="preserve"> Party’s response, para. 48 and Party’s final written submissions, pp. 3-4.</w:t>
      </w:r>
    </w:p>
  </w:footnote>
  <w:footnote w:id="59">
    <w:p w14:paraId="6F59BF1A" w14:textId="77777777" w:rsidR="00577993" w:rsidRPr="008B183A" w:rsidRDefault="00577993" w:rsidP="00467FD2">
      <w:pPr>
        <w:pStyle w:val="FootnoteText"/>
        <w:tabs>
          <w:tab w:val="clear" w:pos="1021"/>
          <w:tab w:val="right" w:pos="2268"/>
        </w:tabs>
        <w:ind w:right="0" w:firstLine="0"/>
        <w:rPr>
          <w:szCs w:val="18"/>
          <w:lang w:val="es-ES"/>
        </w:rPr>
      </w:pPr>
      <w:r w:rsidRPr="008B183A">
        <w:rPr>
          <w:rStyle w:val="FootnoteReference"/>
          <w:szCs w:val="18"/>
          <w:lang w:val="en-GB"/>
        </w:rPr>
        <w:footnoteRef/>
      </w:r>
      <w:r w:rsidRPr="008B183A">
        <w:rPr>
          <w:szCs w:val="18"/>
          <w:lang w:val="es-ES"/>
        </w:rPr>
        <w:t xml:space="preserve"> </w:t>
      </w:r>
      <w:proofErr w:type="spellStart"/>
      <w:r w:rsidRPr="008B183A">
        <w:rPr>
          <w:szCs w:val="18"/>
          <w:lang w:val="es-ES"/>
        </w:rPr>
        <w:t>Party’s</w:t>
      </w:r>
      <w:proofErr w:type="spellEnd"/>
      <w:r w:rsidRPr="008B183A">
        <w:rPr>
          <w:szCs w:val="18"/>
          <w:lang w:val="es-ES"/>
        </w:rPr>
        <w:t xml:space="preserve"> response, paras. 41-42.</w:t>
      </w:r>
    </w:p>
  </w:footnote>
  <w:footnote w:id="60">
    <w:p w14:paraId="61053D42" w14:textId="15447CAB" w:rsidR="00577993" w:rsidRPr="008B183A" w:rsidRDefault="00577993" w:rsidP="00467FD2">
      <w:pPr>
        <w:pStyle w:val="FootnoteText"/>
        <w:tabs>
          <w:tab w:val="clear" w:pos="1021"/>
          <w:tab w:val="right" w:pos="2268"/>
        </w:tabs>
        <w:ind w:right="0" w:firstLine="0"/>
        <w:rPr>
          <w:szCs w:val="18"/>
          <w:lang w:val="en-GB"/>
        </w:rPr>
      </w:pPr>
      <w:r w:rsidRPr="008B183A">
        <w:rPr>
          <w:rStyle w:val="FootnoteReference"/>
          <w:szCs w:val="18"/>
          <w:lang w:val="en-GB"/>
        </w:rPr>
        <w:footnoteRef/>
      </w:r>
      <w:r w:rsidRPr="008B183A">
        <w:rPr>
          <w:szCs w:val="18"/>
          <w:lang w:val="es-ES"/>
        </w:rPr>
        <w:t xml:space="preserve"> ACCC/C/2009/41 (</w:t>
      </w:r>
      <w:proofErr w:type="spellStart"/>
      <w:r w:rsidRPr="008B183A">
        <w:rPr>
          <w:szCs w:val="18"/>
          <w:lang w:val="es-ES"/>
        </w:rPr>
        <w:t>Slovakia</w:t>
      </w:r>
      <w:proofErr w:type="spellEnd"/>
      <w:r w:rsidRPr="008B183A">
        <w:rPr>
          <w:szCs w:val="18"/>
          <w:lang w:val="es-ES"/>
        </w:rPr>
        <w:t>) (ECE/</w:t>
      </w:r>
      <w:proofErr w:type="gramStart"/>
      <w:r w:rsidRPr="008B183A">
        <w:rPr>
          <w:szCs w:val="18"/>
          <w:lang w:val="es-ES"/>
        </w:rPr>
        <w:t>MP.PP</w:t>
      </w:r>
      <w:proofErr w:type="gramEnd"/>
      <w:r w:rsidRPr="008B183A">
        <w:rPr>
          <w:szCs w:val="18"/>
          <w:lang w:val="es-ES"/>
        </w:rPr>
        <w:t xml:space="preserve">/2011/11/Add.3), para. </w:t>
      </w:r>
      <w:r w:rsidRPr="008B183A">
        <w:rPr>
          <w:szCs w:val="18"/>
          <w:lang w:val="en-GB"/>
        </w:rPr>
        <w:t xml:space="preserve">57. </w:t>
      </w:r>
    </w:p>
  </w:footnote>
  <w:footnote w:id="61">
    <w:p w14:paraId="210BEDB6" w14:textId="77777777" w:rsidR="00577993" w:rsidRPr="008B183A" w:rsidRDefault="00577993" w:rsidP="00467FD2">
      <w:pPr>
        <w:pStyle w:val="FootnoteText"/>
        <w:tabs>
          <w:tab w:val="clear" w:pos="1021"/>
          <w:tab w:val="right" w:pos="2268"/>
        </w:tabs>
        <w:ind w:right="0" w:firstLine="0"/>
        <w:rPr>
          <w:szCs w:val="18"/>
          <w:lang w:val="en-GB"/>
        </w:rPr>
      </w:pPr>
      <w:r w:rsidRPr="008B183A">
        <w:rPr>
          <w:rStyle w:val="FootnoteReference"/>
          <w:szCs w:val="18"/>
          <w:lang w:val="en-GB"/>
        </w:rPr>
        <w:footnoteRef/>
      </w:r>
      <w:r w:rsidRPr="008B183A">
        <w:rPr>
          <w:szCs w:val="18"/>
          <w:lang w:val="en-GB"/>
        </w:rPr>
        <w:t xml:space="preserve"> Party’s response, paras. 43 and 44 and Party’s final written submissions, p. 4.</w:t>
      </w:r>
    </w:p>
  </w:footnote>
  <w:footnote w:id="62">
    <w:p w14:paraId="61AB25B3" w14:textId="77777777" w:rsidR="00577993" w:rsidRPr="008B183A" w:rsidRDefault="00577993" w:rsidP="00467FD2">
      <w:pPr>
        <w:pStyle w:val="FootnoteText"/>
        <w:tabs>
          <w:tab w:val="clear" w:pos="1021"/>
          <w:tab w:val="right" w:pos="2268"/>
        </w:tabs>
        <w:ind w:right="0" w:firstLine="0"/>
        <w:rPr>
          <w:szCs w:val="18"/>
          <w:lang w:val="en-GB"/>
        </w:rPr>
      </w:pPr>
      <w:r w:rsidRPr="008B183A">
        <w:rPr>
          <w:rStyle w:val="FootnoteReference"/>
          <w:szCs w:val="18"/>
          <w:lang w:val="en-GB"/>
        </w:rPr>
        <w:footnoteRef/>
      </w:r>
      <w:r w:rsidRPr="008B183A">
        <w:rPr>
          <w:szCs w:val="18"/>
          <w:lang w:val="en-GB"/>
        </w:rPr>
        <w:t xml:space="preserve"> Party’s response, para. 45.</w:t>
      </w:r>
    </w:p>
  </w:footnote>
  <w:footnote w:id="63">
    <w:p w14:paraId="7DD221E9"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final written submissions, p. 4.</w:t>
      </w:r>
    </w:p>
  </w:footnote>
  <w:footnote w:id="64">
    <w:p w14:paraId="21573C47" w14:textId="59378DEA" w:rsidR="00577993" w:rsidRPr="008B183A" w:rsidRDefault="00577993" w:rsidP="00467FD2">
      <w:pPr>
        <w:pStyle w:val="FootnoteText"/>
        <w:tabs>
          <w:tab w:val="clear" w:pos="1021"/>
          <w:tab w:val="right" w:pos="2268"/>
        </w:tabs>
        <w:ind w:right="0" w:firstLine="0"/>
        <w:rPr>
          <w:szCs w:val="18"/>
          <w:lang w:val="en-GB"/>
        </w:rPr>
      </w:pPr>
      <w:r w:rsidRPr="008B183A">
        <w:rPr>
          <w:rStyle w:val="FootnoteReference"/>
          <w:szCs w:val="18"/>
          <w:lang w:val="en-GB"/>
        </w:rPr>
        <w:footnoteRef/>
      </w:r>
      <w:r w:rsidRPr="008B183A">
        <w:rPr>
          <w:szCs w:val="18"/>
          <w:lang w:val="en-GB"/>
        </w:rPr>
        <w:t xml:space="preserve"> Party’s response, paras. 50 and 51, citing Committee’s findings on communication ACCC/C/2006/17 (European Community), ECE/</w:t>
      </w:r>
      <w:proofErr w:type="gramStart"/>
      <w:r w:rsidRPr="008B183A">
        <w:rPr>
          <w:szCs w:val="18"/>
          <w:lang w:val="en-GB"/>
        </w:rPr>
        <w:t>MP.PP</w:t>
      </w:r>
      <w:proofErr w:type="gramEnd"/>
      <w:r w:rsidRPr="008B183A">
        <w:rPr>
          <w:szCs w:val="18"/>
          <w:lang w:val="en-GB"/>
        </w:rPr>
        <w:t>/2008/5/Add.10, para. 43.</w:t>
      </w:r>
    </w:p>
  </w:footnote>
  <w:footnote w:id="65">
    <w:p w14:paraId="2AB02BE3" w14:textId="77777777" w:rsidR="00577993" w:rsidRPr="008B183A" w:rsidRDefault="00577993" w:rsidP="00467FD2">
      <w:pPr>
        <w:pStyle w:val="FootnoteText"/>
        <w:tabs>
          <w:tab w:val="clear" w:pos="1021"/>
          <w:tab w:val="right" w:pos="2127"/>
        </w:tabs>
        <w:ind w:right="0" w:firstLine="0"/>
        <w:rPr>
          <w:szCs w:val="18"/>
          <w:lang w:val="en-GB"/>
        </w:rPr>
      </w:pPr>
      <w:r w:rsidRPr="008B183A">
        <w:rPr>
          <w:rStyle w:val="FootnoteReference"/>
          <w:szCs w:val="18"/>
          <w:lang w:val="en-GB"/>
        </w:rPr>
        <w:footnoteRef/>
      </w:r>
      <w:r w:rsidRPr="008B183A">
        <w:rPr>
          <w:szCs w:val="18"/>
          <w:lang w:val="en-GB"/>
        </w:rPr>
        <w:t xml:space="preserve"> Party’s response, paras. 54-56.</w:t>
      </w:r>
    </w:p>
  </w:footnote>
  <w:footnote w:id="66">
    <w:p w14:paraId="43907C5E" w14:textId="77777777" w:rsidR="00577993" w:rsidRPr="008B183A" w:rsidRDefault="00577993" w:rsidP="00467FD2">
      <w:pPr>
        <w:pStyle w:val="FootnoteText"/>
        <w:tabs>
          <w:tab w:val="clear" w:pos="1021"/>
          <w:tab w:val="right" w:pos="2127"/>
        </w:tabs>
        <w:ind w:right="0" w:firstLine="0"/>
        <w:rPr>
          <w:szCs w:val="18"/>
          <w:lang w:val="en-GB"/>
        </w:rPr>
      </w:pPr>
      <w:r w:rsidRPr="008B183A">
        <w:rPr>
          <w:rStyle w:val="FootnoteReference"/>
          <w:szCs w:val="18"/>
          <w:lang w:val="en-GB"/>
        </w:rPr>
        <w:footnoteRef/>
      </w:r>
      <w:r w:rsidRPr="008B183A">
        <w:rPr>
          <w:szCs w:val="18"/>
          <w:lang w:val="en-GB"/>
        </w:rPr>
        <w:t xml:space="preserve"> Party’s response, paras. 58 and 62.</w:t>
      </w:r>
    </w:p>
  </w:footnote>
  <w:footnote w:id="67">
    <w:p w14:paraId="18FFFCA1" w14:textId="77777777" w:rsidR="00577993" w:rsidRPr="008B183A" w:rsidRDefault="00577993" w:rsidP="00467FD2">
      <w:pPr>
        <w:pStyle w:val="FootnoteText"/>
        <w:tabs>
          <w:tab w:val="clear" w:pos="1021"/>
          <w:tab w:val="right" w:pos="2127"/>
          <w:tab w:val="left" w:pos="8505"/>
        </w:tabs>
        <w:ind w:right="0" w:firstLine="0"/>
        <w:rPr>
          <w:szCs w:val="18"/>
          <w:lang w:val="en-GB"/>
        </w:rPr>
      </w:pPr>
      <w:r w:rsidRPr="008B183A">
        <w:rPr>
          <w:rStyle w:val="FootnoteReference"/>
          <w:szCs w:val="18"/>
          <w:lang w:val="en-GB"/>
        </w:rPr>
        <w:footnoteRef/>
      </w:r>
      <w:r w:rsidRPr="008B183A">
        <w:rPr>
          <w:szCs w:val="18"/>
          <w:lang w:val="en-GB"/>
        </w:rPr>
        <w:t xml:space="preserve"> Party’s response, para. 63.</w:t>
      </w:r>
    </w:p>
  </w:footnote>
  <w:footnote w:id="68">
    <w:p w14:paraId="2F8B5972"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response, para. 65.</w:t>
      </w:r>
    </w:p>
  </w:footnote>
  <w:footnote w:id="69">
    <w:p w14:paraId="02774453"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9.</w:t>
      </w:r>
    </w:p>
  </w:footnote>
  <w:footnote w:id="70">
    <w:p w14:paraId="3484D1C9"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10.</w:t>
      </w:r>
    </w:p>
  </w:footnote>
  <w:footnote w:id="71">
    <w:p w14:paraId="6670D73F"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final written submissions, pp. 4-5.</w:t>
      </w:r>
    </w:p>
  </w:footnote>
  <w:footnote w:id="72">
    <w:p w14:paraId="11FE8AD2"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10.</w:t>
      </w:r>
    </w:p>
  </w:footnote>
  <w:footnote w:id="73">
    <w:p w14:paraId="6D204239"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Directive 2012/18/EU of the European Parliament and of the Council of 4 July 2012 on the control of major-accident hazards involving dangerous substances, amending and subsequently repealing Council Directive 96/82/EC, OJ L 197, 24.7.2012, p. 1.</w:t>
      </w:r>
    </w:p>
  </w:footnote>
  <w:footnote w:id="74">
    <w:p w14:paraId="09997DCB"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final written submissions, p. 5.</w:t>
      </w:r>
    </w:p>
  </w:footnote>
  <w:footnote w:id="75">
    <w:p w14:paraId="4C0EF847" w14:textId="3A9C2DF4" w:rsidR="00577993" w:rsidRPr="008B183A" w:rsidRDefault="00577993" w:rsidP="002A0BCC">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Council Directive 92/43/EEC of 21 May 1992 on the conservation of natural habitats and of wild fauna and flora, OJ L 206, 22.7.1992, p. 7, and Directive 2000/60/EC of the European Parliament and of the Council of 23 October 2000 establishing a framework for Community action in the field of water policy, J L 327, 22.12.2000, p. 1.</w:t>
      </w:r>
    </w:p>
  </w:footnote>
  <w:footnote w:id="76">
    <w:p w14:paraId="34BC18E4"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10.</w:t>
      </w:r>
    </w:p>
  </w:footnote>
  <w:footnote w:id="77">
    <w:p w14:paraId="2F13A3DE"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final written submissions, p. 5.</w:t>
      </w:r>
    </w:p>
  </w:footnote>
  <w:footnote w:id="78">
    <w:p w14:paraId="1F82541B"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pp. 10-11.</w:t>
      </w:r>
    </w:p>
  </w:footnote>
  <w:footnote w:id="79">
    <w:p w14:paraId="65E14079"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11</w:t>
      </w:r>
    </w:p>
  </w:footnote>
  <w:footnote w:id="80">
    <w:p w14:paraId="0D734E0B"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 11.</w:t>
      </w:r>
    </w:p>
  </w:footnote>
  <w:footnote w:id="81">
    <w:p w14:paraId="1B85C355"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final written submissions, p. 5.</w:t>
      </w:r>
    </w:p>
  </w:footnote>
  <w:footnote w:id="82">
    <w:p w14:paraId="07DFF565" w14:textId="77777777" w:rsidR="00577993" w:rsidRPr="008B183A" w:rsidRDefault="00577993" w:rsidP="007E7557">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final written submissions, p. 5.</w:t>
      </w:r>
    </w:p>
  </w:footnote>
  <w:footnote w:id="83">
    <w:p w14:paraId="138244E8"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final written submissions, p. 5.</w:t>
      </w:r>
    </w:p>
  </w:footnote>
  <w:footnote w:id="84">
    <w:p w14:paraId="079A36DA"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pp. 6-7.</w:t>
      </w:r>
    </w:p>
  </w:footnote>
  <w:footnote w:id="85">
    <w:p w14:paraId="4236F002" w14:textId="31C6FCC5"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Communicant’s final written submissions, 5 December 2016, p. 7.</w:t>
      </w:r>
    </w:p>
  </w:footnote>
  <w:footnote w:id="86">
    <w:p w14:paraId="50A25A03" w14:textId="77777777" w:rsidR="00577993" w:rsidRPr="008B183A" w:rsidRDefault="00577993" w:rsidP="00467FD2">
      <w:pPr>
        <w:pStyle w:val="FootnoteText"/>
        <w:tabs>
          <w:tab w:val="clear" w:pos="1021"/>
          <w:tab w:val="right" w:pos="2127"/>
        </w:tabs>
        <w:ind w:right="0" w:firstLine="0"/>
        <w:rPr>
          <w:szCs w:val="18"/>
          <w:lang w:val="en-GB"/>
        </w:rPr>
      </w:pPr>
      <w:r w:rsidRPr="008B183A">
        <w:rPr>
          <w:rStyle w:val="FootnoteReference"/>
          <w:szCs w:val="18"/>
          <w:lang w:val="en-GB"/>
        </w:rPr>
        <w:footnoteRef/>
      </w:r>
      <w:r w:rsidRPr="008B183A">
        <w:rPr>
          <w:szCs w:val="18"/>
          <w:lang w:val="en-GB"/>
        </w:rPr>
        <w:t xml:space="preserve"> Party’s response, paras. 35-36 and 42 and Party’s final written submissions, p. 6.</w:t>
      </w:r>
    </w:p>
  </w:footnote>
  <w:footnote w:id="87">
    <w:p w14:paraId="7F640465" w14:textId="77777777" w:rsidR="00577993" w:rsidRPr="008B183A" w:rsidRDefault="00577993" w:rsidP="00467FD2">
      <w:pPr>
        <w:pStyle w:val="FootnoteText"/>
        <w:ind w:right="0" w:firstLine="0"/>
        <w:rPr>
          <w:szCs w:val="18"/>
          <w:lang w:val="en-GB"/>
        </w:rPr>
      </w:pPr>
      <w:r w:rsidRPr="008B183A">
        <w:rPr>
          <w:rStyle w:val="FootnoteReference"/>
          <w:szCs w:val="18"/>
          <w:lang w:val="en-GB"/>
        </w:rPr>
        <w:footnoteRef/>
      </w:r>
      <w:r w:rsidRPr="008B183A">
        <w:rPr>
          <w:szCs w:val="18"/>
          <w:lang w:val="en-GB"/>
        </w:rPr>
        <w:t xml:space="preserve"> Party’s final written submissions, p. 6.</w:t>
      </w:r>
    </w:p>
  </w:footnote>
  <w:footnote w:id="88">
    <w:p w14:paraId="3B0998B1" w14:textId="77777777" w:rsidR="00577993" w:rsidRPr="0008442A" w:rsidRDefault="00577993" w:rsidP="00467FD2">
      <w:pPr>
        <w:pStyle w:val="FootnoteText"/>
        <w:ind w:right="0" w:firstLine="0"/>
        <w:rPr>
          <w:lang w:val="en-GB"/>
        </w:rPr>
      </w:pPr>
      <w:r w:rsidRPr="008B183A">
        <w:rPr>
          <w:rStyle w:val="FootnoteReference"/>
          <w:lang w:val="en-GB"/>
        </w:rPr>
        <w:footnoteRef/>
      </w:r>
      <w:r w:rsidRPr="0008442A">
        <w:rPr>
          <w:lang w:val="en-GB"/>
        </w:rPr>
        <w:t xml:space="preserve"> OJ L 124, 17 May 2005, pp. 1–3.</w:t>
      </w:r>
    </w:p>
  </w:footnote>
  <w:footnote w:id="89">
    <w:p w14:paraId="7A339DD5" w14:textId="57624790" w:rsidR="00577993" w:rsidRPr="0008442A" w:rsidRDefault="00577993" w:rsidP="00CC6E9E">
      <w:pPr>
        <w:pStyle w:val="FootnoteText"/>
        <w:ind w:hanging="54"/>
        <w:rPr>
          <w:lang w:val="en-GB"/>
        </w:rPr>
      </w:pPr>
      <w:r w:rsidRPr="0008442A">
        <w:rPr>
          <w:lang w:val="en-GB"/>
        </w:rPr>
        <w:tab/>
      </w:r>
      <w:r w:rsidRPr="008B183A">
        <w:rPr>
          <w:rStyle w:val="FootnoteReference"/>
          <w:lang w:val="en-GB"/>
        </w:rPr>
        <w:footnoteRef/>
      </w:r>
      <w:r w:rsidRPr="0008442A">
        <w:rPr>
          <w:lang w:val="en-GB"/>
        </w:rPr>
        <w:t xml:space="preserve"> Party’s response</w:t>
      </w:r>
      <w:r w:rsidRPr="008B183A">
        <w:rPr>
          <w:lang w:val="en-GB"/>
        </w:rPr>
        <w:t xml:space="preserve"> to the communication</w:t>
      </w:r>
      <w:r w:rsidRPr="0008442A">
        <w:rPr>
          <w:lang w:val="en-GB"/>
        </w:rPr>
        <w:t>, para 28.</w:t>
      </w:r>
    </w:p>
  </w:footnote>
  <w:footnote w:id="90">
    <w:p w14:paraId="4B341FA5" w14:textId="1D405B91" w:rsidR="00577993" w:rsidRPr="008B183A" w:rsidRDefault="00577993">
      <w:pPr>
        <w:pStyle w:val="FootnoteText"/>
        <w:rPr>
          <w:lang w:val="es-ES_tradnl"/>
        </w:rPr>
      </w:pPr>
      <w:r w:rsidRPr="008B183A">
        <w:tab/>
      </w:r>
      <w:r w:rsidRPr="008B183A">
        <w:tab/>
      </w:r>
      <w:r w:rsidRPr="008B183A">
        <w:rPr>
          <w:rStyle w:val="FootnoteReference"/>
        </w:rPr>
        <w:footnoteRef/>
      </w:r>
      <w:r w:rsidRPr="008B183A">
        <w:t xml:space="preserve"> ECE/MP.PP/C.1/2017/7</w:t>
      </w:r>
      <w:r w:rsidRPr="008B183A">
        <w:rPr>
          <w:lang w:val="es-ES_tradnl"/>
        </w:rPr>
        <w:t>, para. 122.</w:t>
      </w:r>
    </w:p>
  </w:footnote>
  <w:footnote w:id="91">
    <w:p w14:paraId="677F5BB9" w14:textId="111BD1AE" w:rsidR="00577993" w:rsidRPr="008B183A" w:rsidRDefault="00577993">
      <w:pPr>
        <w:pStyle w:val="FootnoteText"/>
        <w:rPr>
          <w:lang w:val="es-ES_tradnl"/>
        </w:rPr>
      </w:pPr>
      <w:r w:rsidRPr="008B183A">
        <w:tab/>
      </w:r>
      <w:r w:rsidRPr="008B183A">
        <w:tab/>
      </w:r>
      <w:r w:rsidRPr="008B183A">
        <w:rPr>
          <w:rStyle w:val="FootnoteReference"/>
        </w:rPr>
        <w:footnoteRef/>
      </w:r>
      <w:r w:rsidRPr="008B183A">
        <w:t xml:space="preserve"> </w:t>
      </w:r>
      <w:r w:rsidRPr="008B183A">
        <w:rPr>
          <w:lang w:val="es-ES_tradnl"/>
        </w:rPr>
        <w:t>Ibid., para. 14.</w:t>
      </w:r>
    </w:p>
  </w:footnote>
  <w:footnote w:id="92">
    <w:p w14:paraId="293AE4EC" w14:textId="7CDF2066" w:rsidR="00577993" w:rsidRPr="00181D78" w:rsidRDefault="00577993">
      <w:pPr>
        <w:pStyle w:val="FootnoteText"/>
        <w:ind w:right="0" w:firstLine="0"/>
        <w:rPr>
          <w:lang w:val="es-ES"/>
        </w:rPr>
      </w:pPr>
      <w:r w:rsidRPr="008B183A">
        <w:rPr>
          <w:rStyle w:val="FootnoteReference"/>
          <w:lang w:val="en-GB"/>
        </w:rPr>
        <w:footnoteRef/>
      </w:r>
      <w:r w:rsidRPr="008B183A">
        <w:rPr>
          <w:lang w:val="es-ES"/>
        </w:rPr>
        <w:t xml:space="preserve"> ECE/</w:t>
      </w:r>
      <w:proofErr w:type="gramStart"/>
      <w:r w:rsidRPr="008B183A">
        <w:rPr>
          <w:lang w:val="es-ES"/>
        </w:rPr>
        <w:t>MP.PP</w:t>
      </w:r>
      <w:proofErr w:type="gramEnd"/>
      <w:r w:rsidRPr="008B183A">
        <w:rPr>
          <w:lang w:val="es-ES"/>
        </w:rPr>
        <w:t xml:space="preserve">/C.1/2017/18, paras. </w:t>
      </w:r>
      <w:r w:rsidRPr="008B183A">
        <w:rPr>
          <w:lang w:val="en-GB"/>
        </w:rPr>
        <w:t>48-49, and ECE/</w:t>
      </w:r>
      <w:proofErr w:type="gramStart"/>
      <w:r w:rsidRPr="008B183A">
        <w:rPr>
          <w:lang w:val="en-GB"/>
        </w:rPr>
        <w:t>MP.PP</w:t>
      </w:r>
      <w:proofErr w:type="gramEnd"/>
      <w:r w:rsidRPr="008B183A">
        <w:rPr>
          <w:lang w:val="en-GB"/>
        </w:rPr>
        <w:t xml:space="preserve">/C.1/2017/21, paras. </w:t>
      </w:r>
      <w:r w:rsidRPr="00181D78">
        <w:rPr>
          <w:lang w:val="es-ES"/>
        </w:rPr>
        <w:t xml:space="preserve">83-86. </w:t>
      </w:r>
    </w:p>
  </w:footnote>
  <w:footnote w:id="93">
    <w:p w14:paraId="521D5109" w14:textId="22B50D99" w:rsidR="00577993" w:rsidRPr="00134B3D" w:rsidRDefault="00577993" w:rsidP="00D04910">
      <w:pPr>
        <w:pStyle w:val="FootnoteText"/>
        <w:ind w:right="0" w:firstLine="0"/>
        <w:rPr>
          <w:lang w:val="en-GB"/>
        </w:rPr>
      </w:pPr>
      <w:r w:rsidRPr="008B183A">
        <w:rPr>
          <w:rStyle w:val="FootnoteReference"/>
          <w:lang w:val="en-GB"/>
        </w:rPr>
        <w:footnoteRef/>
      </w:r>
      <w:r w:rsidRPr="002D1939">
        <w:rPr>
          <w:lang w:val="es-ES"/>
        </w:rPr>
        <w:t xml:space="preserve"> </w:t>
      </w:r>
      <w:r>
        <w:t>ECE/MP.PP/C.1/2011/4/Add.1</w:t>
      </w:r>
      <w:r w:rsidRPr="002D1939">
        <w:rPr>
          <w:lang w:val="es-ES"/>
        </w:rPr>
        <w:t>, pa</w:t>
      </w:r>
      <w:r>
        <w:rPr>
          <w:lang w:val="es-ES"/>
        </w:rPr>
        <w:t xml:space="preserve">ra. 58, </w:t>
      </w:r>
      <w:r>
        <w:t>ECE/</w:t>
      </w:r>
      <w:proofErr w:type="gramStart"/>
      <w:r>
        <w:t>MP.PP</w:t>
      </w:r>
      <w:proofErr w:type="gramEnd"/>
      <w:r>
        <w:t>/C.1/2017/18</w:t>
      </w:r>
      <w:r w:rsidRPr="002D1939">
        <w:rPr>
          <w:lang w:val="es-ES"/>
        </w:rPr>
        <w:t xml:space="preserve">, paras. </w:t>
      </w:r>
      <w:r w:rsidRPr="00134B3D">
        <w:rPr>
          <w:lang w:val="en-GB"/>
        </w:rPr>
        <w:t xml:space="preserve">49-51, and </w:t>
      </w:r>
      <w:r>
        <w:t>ECE/</w:t>
      </w:r>
      <w:proofErr w:type="gramStart"/>
      <w:r>
        <w:t>MP.PP</w:t>
      </w:r>
      <w:proofErr w:type="gramEnd"/>
      <w:r>
        <w:t>/C.1/2017/21, para</w:t>
      </w:r>
      <w:r w:rsidRPr="00134B3D">
        <w:rPr>
          <w:lang w:val="en-GB"/>
        </w:rPr>
        <w:t>s</w:t>
      </w:r>
      <w:r>
        <w:t xml:space="preserve">. </w:t>
      </w:r>
      <w:r w:rsidRPr="00134B3D">
        <w:rPr>
          <w:lang w:val="en-GB"/>
        </w:rPr>
        <w:t>86-89.</w:t>
      </w:r>
    </w:p>
  </w:footnote>
  <w:footnote w:id="94">
    <w:p w14:paraId="1864E375" w14:textId="5971C6A9" w:rsidR="00577993" w:rsidRPr="008B183A" w:rsidRDefault="00577993" w:rsidP="00467FD2">
      <w:pPr>
        <w:pStyle w:val="FootnoteText"/>
        <w:ind w:right="0" w:firstLine="0"/>
        <w:rPr>
          <w:lang w:val="en-GB"/>
        </w:rPr>
      </w:pPr>
      <w:r w:rsidRPr="008B183A">
        <w:rPr>
          <w:rStyle w:val="FootnoteReference"/>
          <w:lang w:val="en-GB"/>
        </w:rPr>
        <w:footnoteRef/>
      </w:r>
      <w:r w:rsidRPr="00CE39F0">
        <w:rPr>
          <w:lang w:val="es-ES"/>
        </w:rPr>
        <w:t xml:space="preserve"> ECE/</w:t>
      </w:r>
      <w:proofErr w:type="gramStart"/>
      <w:r w:rsidRPr="00CE39F0">
        <w:rPr>
          <w:lang w:val="es-ES"/>
        </w:rPr>
        <w:t>MP.PP</w:t>
      </w:r>
      <w:proofErr w:type="gramEnd"/>
      <w:r w:rsidRPr="00CE39F0">
        <w:rPr>
          <w:lang w:val="es-ES"/>
        </w:rPr>
        <w:t xml:space="preserve">/C.1/2017/18, para. </w:t>
      </w:r>
      <w:r w:rsidRPr="008B183A">
        <w:rPr>
          <w:lang w:val="en-GB"/>
        </w:rPr>
        <w:t>51, and ECE/</w:t>
      </w:r>
      <w:proofErr w:type="gramStart"/>
      <w:r w:rsidRPr="008B183A">
        <w:rPr>
          <w:lang w:val="en-GB"/>
        </w:rPr>
        <w:t>MP.PP</w:t>
      </w:r>
      <w:proofErr w:type="gramEnd"/>
      <w:r w:rsidRPr="008B183A">
        <w:rPr>
          <w:lang w:val="en-GB"/>
        </w:rPr>
        <w:t>/C.1/2017/21, para. 89.</w:t>
      </w:r>
    </w:p>
  </w:footnote>
  <w:footnote w:id="95">
    <w:p w14:paraId="7176C3E9" w14:textId="4B2446FA" w:rsidR="00577993" w:rsidRPr="002D1939" w:rsidRDefault="00577993" w:rsidP="00467FD2">
      <w:pPr>
        <w:pStyle w:val="FootnoteText"/>
        <w:ind w:right="0" w:firstLine="0"/>
        <w:rPr>
          <w:lang w:val="es-ES"/>
        </w:rPr>
      </w:pPr>
      <w:r w:rsidRPr="008B183A">
        <w:rPr>
          <w:rStyle w:val="FootnoteReference"/>
          <w:lang w:val="en-GB"/>
        </w:rPr>
        <w:footnoteRef/>
      </w:r>
      <w:r w:rsidRPr="008B183A">
        <w:rPr>
          <w:lang w:val="en-GB"/>
        </w:rPr>
        <w:t xml:space="preserve"> See, for example, ECE/</w:t>
      </w:r>
      <w:proofErr w:type="gramStart"/>
      <w:r w:rsidRPr="008B183A">
        <w:rPr>
          <w:lang w:val="en-GB"/>
        </w:rPr>
        <w:t>MP.PP</w:t>
      </w:r>
      <w:proofErr w:type="gramEnd"/>
      <w:r w:rsidRPr="008B183A">
        <w:rPr>
          <w:lang w:val="en-GB"/>
        </w:rPr>
        <w:t xml:space="preserve">/C.1/2012/12, para. </w:t>
      </w:r>
      <w:r w:rsidRPr="002D1939">
        <w:rPr>
          <w:lang w:val="es-ES"/>
        </w:rPr>
        <w:t>77.</w:t>
      </w:r>
    </w:p>
  </w:footnote>
  <w:footnote w:id="96">
    <w:p w14:paraId="4D7BB838" w14:textId="75ACC89B" w:rsidR="00577993" w:rsidRPr="008B183A" w:rsidRDefault="00577993" w:rsidP="00CA3C86">
      <w:pPr>
        <w:pStyle w:val="FootnoteText"/>
        <w:ind w:right="0" w:firstLine="0"/>
        <w:rPr>
          <w:lang w:val="en-GB"/>
        </w:rPr>
      </w:pPr>
      <w:r w:rsidRPr="008B183A">
        <w:rPr>
          <w:rStyle w:val="FootnoteReference"/>
          <w:lang w:val="en-GB"/>
        </w:rPr>
        <w:footnoteRef/>
      </w:r>
      <w:r w:rsidRPr="002D6EAC">
        <w:rPr>
          <w:lang w:val="es-ES"/>
        </w:rPr>
        <w:t xml:space="preserve"> ECE/</w:t>
      </w:r>
      <w:proofErr w:type="gramStart"/>
      <w:r w:rsidRPr="002D6EAC">
        <w:rPr>
          <w:lang w:val="es-ES"/>
        </w:rPr>
        <w:t>MP.PP</w:t>
      </w:r>
      <w:proofErr w:type="gramEnd"/>
      <w:r w:rsidRPr="002D6EAC">
        <w:rPr>
          <w:lang w:val="es-ES"/>
        </w:rPr>
        <w:t xml:space="preserve">/C.1/2019/3, para. </w:t>
      </w:r>
      <w:r w:rsidRPr="008B183A">
        <w:rPr>
          <w:lang w:val="en-GB"/>
        </w:rPr>
        <w:t>70, see also The Aarhus Convention: An Implementation Guide, second edition, p. 159.</w:t>
      </w:r>
    </w:p>
  </w:footnote>
  <w:footnote w:id="97">
    <w:p w14:paraId="7B92A066" w14:textId="16D764B3" w:rsidR="00577993" w:rsidRPr="00D0245D" w:rsidRDefault="00577993">
      <w:pPr>
        <w:pStyle w:val="FootnoteText"/>
        <w:ind w:right="0" w:firstLine="0"/>
        <w:rPr>
          <w:lang w:val="en-GB"/>
        </w:rPr>
      </w:pPr>
      <w:r w:rsidRPr="008B183A">
        <w:rPr>
          <w:rStyle w:val="FootnoteReference"/>
          <w:szCs w:val="18"/>
          <w:lang w:val="en-GB"/>
        </w:rPr>
        <w:footnoteRef/>
      </w:r>
      <w:r w:rsidRPr="0008442A">
        <w:rPr>
          <w:lang w:val="es-ES_tradnl"/>
        </w:rPr>
        <w:t xml:space="preserve"> ECE/</w:t>
      </w:r>
      <w:proofErr w:type="gramStart"/>
      <w:r w:rsidRPr="0008442A">
        <w:rPr>
          <w:lang w:val="es-ES_tradnl"/>
        </w:rPr>
        <w:t>MP.PP</w:t>
      </w:r>
      <w:proofErr w:type="gramEnd"/>
      <w:r w:rsidRPr="0008442A">
        <w:rPr>
          <w:lang w:val="es-ES_tradnl"/>
        </w:rPr>
        <w:t>/2011/Add.3</w:t>
      </w:r>
      <w:r w:rsidRPr="008B183A">
        <w:rPr>
          <w:szCs w:val="18"/>
          <w:lang w:val="es-ES_tradnl"/>
        </w:rPr>
        <w:t>,</w:t>
      </w:r>
      <w:r w:rsidRPr="0008442A">
        <w:rPr>
          <w:lang w:val="es-ES_tradnl"/>
        </w:rPr>
        <w:t xml:space="preserve"> para. </w:t>
      </w:r>
      <w:r w:rsidRPr="00134B3D">
        <w:rPr>
          <w:lang w:val="en-GB"/>
        </w:rPr>
        <w:t xml:space="preserve">55, and </w:t>
      </w:r>
      <w:r>
        <w:t>ECE/</w:t>
      </w:r>
      <w:proofErr w:type="gramStart"/>
      <w:r>
        <w:t>MP.PP</w:t>
      </w:r>
      <w:proofErr w:type="gramEnd"/>
      <w:r>
        <w:t>/C.1/2019/3</w:t>
      </w:r>
      <w:r w:rsidRPr="00134B3D">
        <w:rPr>
          <w:lang w:val="en-GB"/>
        </w:rPr>
        <w:t xml:space="preserve">, para. </w:t>
      </w:r>
      <w:r w:rsidRPr="00D0245D">
        <w:rPr>
          <w:lang w:val="en-GB"/>
        </w:rPr>
        <w:t>71.</w:t>
      </w:r>
    </w:p>
  </w:footnote>
  <w:footnote w:id="98">
    <w:p w14:paraId="213E0089" w14:textId="06431286" w:rsidR="00577993" w:rsidRPr="003A4D72" w:rsidRDefault="00577993" w:rsidP="00895887">
      <w:pPr>
        <w:pStyle w:val="FootnoteText"/>
        <w:rPr>
          <w:lang w:val="en-GB"/>
        </w:rPr>
      </w:pPr>
      <w:r>
        <w:tab/>
      </w:r>
      <w:r>
        <w:tab/>
      </w:r>
      <w:r>
        <w:rPr>
          <w:rStyle w:val="FootnoteReference"/>
        </w:rPr>
        <w:footnoteRef/>
      </w:r>
      <w:r>
        <w:t xml:space="preserve"> </w:t>
      </w:r>
      <w:r w:rsidR="00895887">
        <w:rPr>
          <w:lang w:val="fr-CH"/>
        </w:rPr>
        <w:t xml:space="preserve">Convention, </w:t>
      </w:r>
      <w:proofErr w:type="spellStart"/>
      <w:r w:rsidR="00895887">
        <w:rPr>
          <w:lang w:val="fr-CH"/>
        </w:rPr>
        <w:t>preambular</w:t>
      </w:r>
      <w:proofErr w:type="spellEnd"/>
      <w:r w:rsidRPr="003A4D72">
        <w:rPr>
          <w:lang w:val="en-GB"/>
        </w:rPr>
        <w:t xml:space="preserve"> paragraph 9.</w:t>
      </w:r>
    </w:p>
  </w:footnote>
  <w:footnote w:id="99">
    <w:p w14:paraId="758F5256" w14:textId="52C5A130" w:rsidR="00577993" w:rsidRPr="003A4D72" w:rsidRDefault="00577993">
      <w:pPr>
        <w:pStyle w:val="FootnoteText"/>
        <w:rPr>
          <w:lang w:val="en-GB"/>
        </w:rPr>
      </w:pPr>
      <w:r>
        <w:tab/>
      </w:r>
      <w:r>
        <w:tab/>
      </w:r>
      <w:r>
        <w:rPr>
          <w:rStyle w:val="FootnoteReference"/>
        </w:rPr>
        <w:footnoteRef/>
      </w:r>
      <w:r>
        <w:t xml:space="preserve"> </w:t>
      </w:r>
      <w:r w:rsidR="00895887">
        <w:rPr>
          <w:lang w:val="fr-CH"/>
        </w:rPr>
        <w:t>Convention, p</w:t>
      </w:r>
      <w:proofErr w:type="spellStart"/>
      <w:r w:rsidRPr="003A4D72">
        <w:rPr>
          <w:lang w:val="en-GB"/>
        </w:rPr>
        <w:t>reambular</w:t>
      </w:r>
      <w:proofErr w:type="spellEnd"/>
      <w:r w:rsidRPr="003A4D72">
        <w:rPr>
          <w:lang w:val="en-GB"/>
        </w:rPr>
        <w:t xml:space="preserve"> paragraph 10.</w:t>
      </w:r>
    </w:p>
  </w:footnote>
  <w:footnote w:id="100">
    <w:p w14:paraId="43206BE1" w14:textId="48EA47D8" w:rsidR="00577993" w:rsidRPr="00895887" w:rsidRDefault="00577993" w:rsidP="00467FD2">
      <w:pPr>
        <w:pStyle w:val="FootnoteText"/>
        <w:ind w:right="0" w:firstLine="0"/>
        <w:rPr>
          <w:lang w:val="en-GB"/>
        </w:rPr>
      </w:pPr>
      <w:r w:rsidRPr="008B183A">
        <w:rPr>
          <w:rStyle w:val="FootnoteReference"/>
          <w:lang w:val="en-GB"/>
        </w:rPr>
        <w:footnoteRef/>
      </w:r>
      <w:r w:rsidRPr="00CE39F0">
        <w:rPr>
          <w:lang w:val="es-ES"/>
        </w:rPr>
        <w:t xml:space="preserve"> ECE/</w:t>
      </w:r>
      <w:proofErr w:type="gramStart"/>
      <w:r w:rsidRPr="00CE39F0">
        <w:rPr>
          <w:lang w:val="es-ES"/>
        </w:rPr>
        <w:t>MP.PP</w:t>
      </w:r>
      <w:proofErr w:type="gramEnd"/>
      <w:r w:rsidRPr="00CE39F0">
        <w:rPr>
          <w:lang w:val="es-ES"/>
        </w:rPr>
        <w:t xml:space="preserve">/2011/Add.3, para. </w:t>
      </w:r>
      <w:r w:rsidRPr="00895887">
        <w:rPr>
          <w:lang w:val="en-GB"/>
        </w:rPr>
        <w:t>56.</w:t>
      </w:r>
    </w:p>
  </w:footnote>
  <w:footnote w:id="101">
    <w:p w14:paraId="14C7E6A6" w14:textId="77777777" w:rsidR="00577993" w:rsidRPr="00CE39F0" w:rsidRDefault="00577993" w:rsidP="00C53FA0">
      <w:pPr>
        <w:pStyle w:val="FootnoteText"/>
        <w:ind w:right="0" w:firstLine="0"/>
        <w:rPr>
          <w:lang w:val="es-ES"/>
        </w:rPr>
      </w:pPr>
      <w:r w:rsidRPr="008B183A">
        <w:rPr>
          <w:rStyle w:val="FootnoteReference"/>
          <w:lang w:val="en-GB"/>
        </w:rPr>
        <w:footnoteRef/>
      </w:r>
      <w:r w:rsidRPr="00D0245D">
        <w:rPr>
          <w:lang w:val="es-ES"/>
        </w:rPr>
        <w:t xml:space="preserve"> ECE/</w:t>
      </w:r>
      <w:proofErr w:type="gramStart"/>
      <w:r w:rsidRPr="00D0245D">
        <w:rPr>
          <w:lang w:val="es-ES"/>
        </w:rPr>
        <w:t>MP.PP</w:t>
      </w:r>
      <w:proofErr w:type="gramEnd"/>
      <w:r w:rsidRPr="00D0245D">
        <w:rPr>
          <w:lang w:val="es-ES"/>
        </w:rPr>
        <w:t xml:space="preserve">/2011/Add.3, para. </w:t>
      </w:r>
      <w:r w:rsidRPr="00CE39F0">
        <w:rPr>
          <w:lang w:val="es-ES"/>
        </w:rPr>
        <w:t>56.</w:t>
      </w:r>
    </w:p>
  </w:footnote>
  <w:footnote w:id="102">
    <w:p w14:paraId="093D2740" w14:textId="6AE72319" w:rsidR="00577993" w:rsidRPr="00A006A1" w:rsidRDefault="00577993" w:rsidP="009441D7">
      <w:pPr>
        <w:pStyle w:val="FootnoteText"/>
        <w:ind w:firstLine="0"/>
        <w:rPr>
          <w:lang w:val="es-ES"/>
        </w:rPr>
      </w:pPr>
      <w:r>
        <w:rPr>
          <w:rStyle w:val="FootnoteReference"/>
        </w:rPr>
        <w:footnoteRef/>
      </w:r>
      <w:r>
        <w:t xml:space="preserve"> ECE/MP.PP/2008/5/Add.10</w:t>
      </w:r>
      <w:r w:rsidRPr="00CE39F0">
        <w:rPr>
          <w:lang w:val="es-ES"/>
        </w:rPr>
        <w:t xml:space="preserve">, para. </w:t>
      </w:r>
      <w:r w:rsidRPr="00A006A1">
        <w:rPr>
          <w:lang w:val="es-ES"/>
        </w:rPr>
        <w:t>43.</w:t>
      </w:r>
    </w:p>
  </w:footnote>
  <w:footnote w:id="103">
    <w:p w14:paraId="27FAE76D" w14:textId="15750D67" w:rsidR="00577993" w:rsidRPr="009441D7" w:rsidRDefault="00577993">
      <w:pPr>
        <w:pStyle w:val="FootnoteText"/>
        <w:rPr>
          <w:lang w:val="es-ES"/>
        </w:rPr>
      </w:pPr>
      <w:r>
        <w:tab/>
      </w:r>
      <w:r>
        <w:tab/>
      </w:r>
      <w:r>
        <w:rPr>
          <w:rStyle w:val="FootnoteReference"/>
        </w:rPr>
        <w:footnoteRef/>
      </w:r>
      <w:r>
        <w:t xml:space="preserve"> ECE/MP.PP/2008/5/Add.10</w:t>
      </w:r>
      <w:r w:rsidRPr="009441D7">
        <w:rPr>
          <w:lang w:val="es-ES"/>
        </w:rPr>
        <w:t>, para</w:t>
      </w:r>
      <w:r>
        <w:rPr>
          <w:lang w:val="es-ES"/>
        </w:rPr>
        <w:t>. 43.</w:t>
      </w:r>
    </w:p>
  </w:footnote>
  <w:footnote w:id="104">
    <w:p w14:paraId="1735FA9B" w14:textId="67BB70F3" w:rsidR="00577993" w:rsidRPr="009441D7" w:rsidRDefault="00577993" w:rsidP="009441D7">
      <w:pPr>
        <w:pStyle w:val="FootnoteText"/>
        <w:ind w:firstLine="0"/>
        <w:rPr>
          <w:lang w:val="es-ES"/>
        </w:rPr>
      </w:pPr>
      <w:r>
        <w:rPr>
          <w:rStyle w:val="FootnoteReference"/>
        </w:rPr>
        <w:footnoteRef/>
      </w:r>
      <w:r>
        <w:t xml:space="preserve"> ECE/MP.PP/C.1/2019/3</w:t>
      </w:r>
      <w:r w:rsidRPr="009441D7">
        <w:rPr>
          <w:lang w:val="es-ES"/>
        </w:rPr>
        <w:t xml:space="preserve">, para. </w:t>
      </w:r>
      <w:r>
        <w:rPr>
          <w:lang w:val="es-ES"/>
        </w:rPr>
        <w:t>71.</w:t>
      </w:r>
    </w:p>
  </w:footnote>
  <w:footnote w:id="105">
    <w:p w14:paraId="0245F971" w14:textId="77777777" w:rsidR="00577993" w:rsidRPr="008B183A" w:rsidRDefault="00577993" w:rsidP="001531E9">
      <w:pPr>
        <w:pStyle w:val="FootnoteText"/>
      </w:pPr>
      <w:r w:rsidRPr="008B183A">
        <w:rPr>
          <w:szCs w:val="18"/>
        </w:rPr>
        <w:tab/>
      </w:r>
      <w:r w:rsidRPr="008B183A">
        <w:rPr>
          <w:szCs w:val="18"/>
        </w:rPr>
        <w:tab/>
      </w:r>
      <w:r w:rsidRPr="008B183A">
        <w:rPr>
          <w:rStyle w:val="FootnoteReference"/>
          <w:szCs w:val="18"/>
        </w:rPr>
        <w:footnoteRef/>
      </w:r>
      <w:r w:rsidRPr="008B183A">
        <w:rPr>
          <w:szCs w:val="18"/>
        </w:rPr>
        <w:t xml:space="preserve"> </w:t>
      </w:r>
      <w:r w:rsidRPr="008B183A">
        <w:rPr>
          <w:szCs w:val="18"/>
        </w:rPr>
        <w:t>ECE/MP.PP/C.1/2017/17, para. 85</w:t>
      </w:r>
      <w:r w:rsidRPr="00876435">
        <w:rPr>
          <w:szCs w:val="18"/>
          <w:lang w:val="en-GB"/>
        </w:rPr>
        <w:t xml:space="preserve">, </w:t>
      </w:r>
      <w:r w:rsidRPr="00876435">
        <w:rPr>
          <w:lang w:val="en-GB"/>
        </w:rPr>
        <w:t xml:space="preserve">and </w:t>
      </w:r>
      <w:r>
        <w:t>ECE/MP.PP/C.1/2019/3</w:t>
      </w:r>
      <w:r w:rsidRPr="00876435">
        <w:rPr>
          <w:lang w:val="en-GB"/>
        </w:rPr>
        <w:t xml:space="preserve">, para. </w:t>
      </w:r>
      <w:r w:rsidRPr="002D1939">
        <w:rPr>
          <w:lang w:val="es-ES"/>
        </w:rPr>
        <w:t>71</w:t>
      </w:r>
      <w:r w:rsidRPr="008B183A">
        <w:rPr>
          <w:szCs w:val="18"/>
        </w:rPr>
        <w:t>.</w:t>
      </w:r>
    </w:p>
  </w:footnote>
  <w:footnote w:id="106">
    <w:p w14:paraId="5010045B" w14:textId="7306ED96" w:rsidR="00577993" w:rsidRPr="002D1939" w:rsidRDefault="00577993">
      <w:pPr>
        <w:pStyle w:val="FootnoteText"/>
        <w:rPr>
          <w:szCs w:val="18"/>
          <w:lang w:val="es-ES"/>
        </w:rPr>
      </w:pPr>
      <w:r w:rsidRPr="002D1939">
        <w:rPr>
          <w:sz w:val="20"/>
          <w:szCs w:val="20"/>
        </w:rPr>
        <w:tab/>
      </w:r>
      <w:r w:rsidRPr="002D1939">
        <w:rPr>
          <w:szCs w:val="18"/>
        </w:rPr>
        <w:tab/>
      </w:r>
      <w:r w:rsidRPr="002D1939">
        <w:rPr>
          <w:rStyle w:val="FootnoteReference"/>
          <w:szCs w:val="18"/>
        </w:rPr>
        <w:footnoteRef/>
      </w:r>
      <w:r w:rsidRPr="002D1939">
        <w:rPr>
          <w:szCs w:val="18"/>
        </w:rPr>
        <w:t xml:space="preserve"> </w:t>
      </w:r>
      <w:proofErr w:type="spellStart"/>
      <w:r w:rsidRPr="002D1939">
        <w:rPr>
          <w:szCs w:val="18"/>
          <w:lang w:val="es-ES"/>
        </w:rPr>
        <w:t>See</w:t>
      </w:r>
      <w:proofErr w:type="spellEnd"/>
      <w:r w:rsidRPr="002D1939">
        <w:rPr>
          <w:szCs w:val="18"/>
          <w:lang w:val="es-ES"/>
        </w:rPr>
        <w:t xml:space="preserve"> para. </w:t>
      </w:r>
      <w:r w:rsidRPr="002D1939">
        <w:rPr>
          <w:szCs w:val="18"/>
          <w:lang w:val="en-GB"/>
        </w:rPr>
        <w:fldChar w:fldCharType="begin"/>
      </w:r>
      <w:r w:rsidRPr="002D1939">
        <w:rPr>
          <w:szCs w:val="18"/>
          <w:lang w:val="es-ES"/>
        </w:rPr>
        <w:instrText xml:space="preserve"> REF _Ref510799851 \r \h  \* MERGEFORMAT </w:instrText>
      </w:r>
      <w:r w:rsidRPr="002D1939">
        <w:rPr>
          <w:szCs w:val="18"/>
          <w:lang w:val="en-GB"/>
        </w:rPr>
      </w:r>
      <w:r w:rsidRPr="002D1939">
        <w:rPr>
          <w:szCs w:val="18"/>
          <w:lang w:val="en-GB"/>
        </w:rPr>
        <w:fldChar w:fldCharType="separate"/>
      </w:r>
      <w:r>
        <w:rPr>
          <w:szCs w:val="18"/>
          <w:lang w:val="es-ES"/>
        </w:rPr>
        <w:t>59</w:t>
      </w:r>
      <w:r w:rsidRPr="002D1939">
        <w:rPr>
          <w:szCs w:val="18"/>
          <w:lang w:val="en-GB"/>
        </w:rPr>
        <w:fldChar w:fldCharType="end"/>
      </w:r>
      <w:r w:rsidRPr="002D1939">
        <w:rPr>
          <w:szCs w:val="18"/>
          <w:lang w:val="es-ES"/>
        </w:rPr>
        <w:t xml:space="preserve"> </w:t>
      </w:r>
      <w:proofErr w:type="spellStart"/>
      <w:r w:rsidRPr="002D1939">
        <w:rPr>
          <w:szCs w:val="18"/>
          <w:lang w:val="es-ES"/>
        </w:rPr>
        <w:t>above</w:t>
      </w:r>
      <w:proofErr w:type="spellEnd"/>
      <w:r w:rsidRPr="002D1939">
        <w:rPr>
          <w:szCs w:val="18"/>
          <w:lang w:val="es-ES"/>
        </w:rPr>
        <w:t>.</w:t>
      </w:r>
    </w:p>
  </w:footnote>
  <w:footnote w:id="107">
    <w:p w14:paraId="4DD77645" w14:textId="7B63AB86" w:rsidR="00577993" w:rsidRPr="002D1939" w:rsidRDefault="00577993" w:rsidP="00467FD2">
      <w:pPr>
        <w:pStyle w:val="FootnoteText"/>
        <w:ind w:right="0" w:firstLine="0"/>
        <w:rPr>
          <w:szCs w:val="18"/>
          <w:lang w:val="es-ES"/>
        </w:rPr>
      </w:pPr>
      <w:r w:rsidRPr="002D1939">
        <w:rPr>
          <w:rStyle w:val="FootnoteReference"/>
          <w:szCs w:val="18"/>
          <w:lang w:val="en-GB"/>
        </w:rPr>
        <w:footnoteRef/>
      </w:r>
      <w:r w:rsidRPr="002D1939">
        <w:rPr>
          <w:szCs w:val="18"/>
          <w:lang w:val="es-ES"/>
        </w:rPr>
        <w:t xml:space="preserve"> ECE/</w:t>
      </w:r>
      <w:proofErr w:type="gramStart"/>
      <w:r w:rsidRPr="002D1939">
        <w:rPr>
          <w:szCs w:val="18"/>
          <w:lang w:val="es-ES"/>
        </w:rPr>
        <w:t>MP.PP</w:t>
      </w:r>
      <w:proofErr w:type="gramEnd"/>
      <w:r w:rsidRPr="002D1939">
        <w:rPr>
          <w:szCs w:val="18"/>
          <w:lang w:val="es-ES"/>
        </w:rPr>
        <w:t>/C.1/2015/10, para. 82.</w:t>
      </w:r>
    </w:p>
  </w:footnote>
  <w:footnote w:id="108">
    <w:p w14:paraId="5DE1259B" w14:textId="6BD575B9" w:rsidR="00577993" w:rsidRPr="002D1939" w:rsidRDefault="00577993" w:rsidP="00467FD2">
      <w:pPr>
        <w:pStyle w:val="FootnoteText"/>
        <w:ind w:right="0" w:firstLine="0"/>
        <w:rPr>
          <w:lang w:val="es-ES"/>
        </w:rPr>
      </w:pPr>
      <w:r w:rsidRPr="002D1939">
        <w:rPr>
          <w:rStyle w:val="FootnoteReference"/>
          <w:szCs w:val="18"/>
          <w:lang w:val="en-GB"/>
        </w:rPr>
        <w:footnoteRef/>
      </w:r>
      <w:r w:rsidRPr="002D1939">
        <w:rPr>
          <w:szCs w:val="18"/>
          <w:lang w:val="es-ES"/>
        </w:rPr>
        <w:t xml:space="preserve"> </w:t>
      </w:r>
      <w:proofErr w:type="spellStart"/>
      <w:r w:rsidRPr="002D1939">
        <w:rPr>
          <w:szCs w:val="18"/>
          <w:lang w:val="es-ES"/>
        </w:rPr>
        <w:t>See</w:t>
      </w:r>
      <w:proofErr w:type="spellEnd"/>
      <w:r w:rsidRPr="002D1939">
        <w:rPr>
          <w:szCs w:val="18"/>
          <w:lang w:val="es-ES"/>
        </w:rPr>
        <w:t xml:space="preserve"> para. </w:t>
      </w:r>
      <w:r w:rsidRPr="002D1939">
        <w:rPr>
          <w:szCs w:val="18"/>
          <w:lang w:val="en-GB"/>
        </w:rPr>
        <w:fldChar w:fldCharType="begin"/>
      </w:r>
      <w:r w:rsidRPr="002D1939">
        <w:rPr>
          <w:szCs w:val="18"/>
          <w:lang w:val="es-ES"/>
        </w:rPr>
        <w:instrText xml:space="preserve"> REF _Ref510799851 \r \h  \* MERGEFORMAT </w:instrText>
      </w:r>
      <w:r w:rsidRPr="002D1939">
        <w:rPr>
          <w:szCs w:val="18"/>
          <w:lang w:val="en-GB"/>
        </w:rPr>
      </w:r>
      <w:r w:rsidRPr="002D1939">
        <w:rPr>
          <w:szCs w:val="18"/>
          <w:lang w:val="en-GB"/>
        </w:rPr>
        <w:fldChar w:fldCharType="separate"/>
      </w:r>
      <w:r w:rsidRPr="00D0245D">
        <w:rPr>
          <w:lang w:val="en-GB"/>
        </w:rPr>
        <w:t>59</w:t>
      </w:r>
      <w:r w:rsidRPr="002D1939">
        <w:rPr>
          <w:szCs w:val="18"/>
          <w:lang w:val="en-GB"/>
        </w:rPr>
        <w:fldChar w:fldCharType="end"/>
      </w:r>
      <w:r w:rsidRPr="002D1939">
        <w:rPr>
          <w:szCs w:val="18"/>
          <w:lang w:val="es-ES"/>
        </w:rPr>
        <w:t xml:space="preserve"> </w:t>
      </w:r>
      <w:proofErr w:type="spellStart"/>
      <w:r w:rsidRPr="002D1939">
        <w:rPr>
          <w:szCs w:val="18"/>
          <w:lang w:val="es-ES"/>
        </w:rPr>
        <w:t>above</w:t>
      </w:r>
      <w:proofErr w:type="spellEnd"/>
      <w:r w:rsidRPr="002D1939">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6580" w14:textId="77777777" w:rsidR="00577993" w:rsidRPr="00F56A6B" w:rsidRDefault="00577993" w:rsidP="003E5A96">
    <w:pPr>
      <w:pStyle w:val="Header"/>
      <w:jc w:val="right"/>
    </w:pPr>
    <w:r>
      <w:rPr>
        <w:b w:val="0"/>
      </w:rPr>
      <w:t>ACCC/C/2012/77 (United Kingdom)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06F6" w14:textId="77777777" w:rsidR="00577993" w:rsidRPr="00F56A6B" w:rsidRDefault="00577993" w:rsidP="006970FF">
    <w:pPr>
      <w:pStyle w:val="Header"/>
      <w:jc w:val="right"/>
    </w:pPr>
    <w:r>
      <w:rPr>
        <w:b w:val="0"/>
      </w:rPr>
      <w:t>ACCC/C/2014/121 (European Union)</w:t>
    </w:r>
  </w:p>
  <w:p w14:paraId="20131550" w14:textId="616F1D25" w:rsidR="00577993" w:rsidRPr="00A22184" w:rsidRDefault="00577993" w:rsidP="003E5A96">
    <w:pPr>
      <w:pStyle w:val="Header"/>
      <w:jc w:val="right"/>
      <w:rPr>
        <w:b w:val="0"/>
      </w:rPr>
    </w:pPr>
    <w:r>
      <w:rPr>
        <w:b w:val="0"/>
      </w:rPr>
      <w:t xml:space="preserve">Draft findings for </w:t>
    </w:r>
    <w:r w:rsidR="003220FC">
      <w:rPr>
        <w:b w:val="0"/>
      </w:rPr>
      <w:t>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A07D" w14:textId="77777777" w:rsidR="00577993" w:rsidRPr="00E32978" w:rsidRDefault="00577993" w:rsidP="00E32978">
    <w:pPr>
      <w:pStyle w:val="Header"/>
      <w:jc w:val="right"/>
      <w:rPr>
        <w:b w:val="0"/>
      </w:rPr>
    </w:pPr>
    <w:r w:rsidRPr="00C47119">
      <w:rPr>
        <w:b w:val="0"/>
      </w:rPr>
      <w:t xml:space="preserve">ACCC/C/2014/121 </w:t>
    </w:r>
    <w:r>
      <w:rPr>
        <w:b w:val="0"/>
      </w:rPr>
      <w:t>(European Union)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98AA35AC"/>
    <w:lvl w:ilvl="0">
      <w:start w:val="1"/>
      <w:numFmt w:val="decimal"/>
      <w:lvlText w:val="%1."/>
      <w:lvlJc w:val="left"/>
      <w:pPr>
        <w:ind w:left="720" w:hanging="360"/>
      </w:pPr>
      <w:rPr>
        <w:rFonts w:ascii="Times New Roman" w:eastAsia="Times New Roman" w:hAnsi="Times New Roman" w:cs="Times New Roman"/>
        <w:b/>
        <w:i w:val="0"/>
        <w:color w:val="auto"/>
        <w:sz w:val="20"/>
        <w:szCs w:val="20"/>
        <w:lang w:val="en-GB"/>
      </w:rPr>
    </w:lvl>
  </w:abstractNum>
  <w:abstractNum w:abstractNumId="1" w15:restartNumberingAfterBreak="0">
    <w:nsid w:val="08D8018E"/>
    <w:multiLevelType w:val="hybridMultilevel"/>
    <w:tmpl w:val="876CC042"/>
    <w:lvl w:ilvl="0" w:tplc="0A98DFF4">
      <w:start w:val="2"/>
      <w:numFmt w:val="lowerRoman"/>
      <w:lvlText w:val="%1."/>
      <w:lvlJc w:val="righ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E62CB"/>
    <w:multiLevelType w:val="hybridMultilevel"/>
    <w:tmpl w:val="BB3A356A"/>
    <w:lvl w:ilvl="0" w:tplc="E974B6BC">
      <w:start w:val="1"/>
      <w:numFmt w:val="decimal"/>
      <w:lvlText w:val="%1."/>
      <w:lvlJc w:val="left"/>
      <w:pPr>
        <w:tabs>
          <w:tab w:val="num" w:pos="1853"/>
        </w:tabs>
        <w:ind w:left="1853" w:hanging="576"/>
      </w:pPr>
      <w:rPr>
        <w:rFonts w:ascii="Times New Roman" w:hAnsi="Times New Roman" w:cs="Times New Roman" w:hint="default"/>
        <w:sz w:val="20"/>
        <w:szCs w:val="20"/>
      </w:rPr>
    </w:lvl>
    <w:lvl w:ilvl="1" w:tplc="0809001B">
      <w:start w:val="1"/>
      <w:numFmt w:val="lowerRoman"/>
      <w:lvlText w:val="%2."/>
      <w:lvlJc w:val="righ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139447FC"/>
    <w:multiLevelType w:val="hybridMultilevel"/>
    <w:tmpl w:val="A4B093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D1574"/>
    <w:multiLevelType w:val="hybridMultilevel"/>
    <w:tmpl w:val="7F067D6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1904595A"/>
    <w:multiLevelType w:val="hybridMultilevel"/>
    <w:tmpl w:val="6D9A094C"/>
    <w:lvl w:ilvl="0" w:tplc="E974B6BC">
      <w:start w:val="1"/>
      <w:numFmt w:val="decimal"/>
      <w:lvlText w:val="%1."/>
      <w:lvlJc w:val="left"/>
      <w:pPr>
        <w:tabs>
          <w:tab w:val="num" w:pos="1853"/>
        </w:tabs>
        <w:ind w:left="1853" w:hanging="576"/>
      </w:pPr>
      <w:rPr>
        <w:rFonts w:ascii="Times New Roman" w:hAnsi="Times New Roman" w:cs="Times New Roman" w:hint="default"/>
        <w:sz w:val="20"/>
        <w:szCs w:val="20"/>
      </w:rPr>
    </w:lvl>
    <w:lvl w:ilvl="1" w:tplc="F17239DE">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1C53478F"/>
    <w:multiLevelType w:val="hybridMultilevel"/>
    <w:tmpl w:val="BB3A356A"/>
    <w:lvl w:ilvl="0" w:tplc="E974B6BC">
      <w:start w:val="1"/>
      <w:numFmt w:val="decimal"/>
      <w:lvlText w:val="%1."/>
      <w:lvlJc w:val="left"/>
      <w:pPr>
        <w:tabs>
          <w:tab w:val="num" w:pos="1853"/>
        </w:tabs>
        <w:ind w:left="1853" w:hanging="576"/>
      </w:pPr>
      <w:rPr>
        <w:rFonts w:ascii="Times New Roman" w:hAnsi="Times New Roman" w:cs="Times New Roman" w:hint="default"/>
        <w:sz w:val="20"/>
        <w:szCs w:val="20"/>
      </w:rPr>
    </w:lvl>
    <w:lvl w:ilvl="1" w:tplc="0809001B">
      <w:start w:val="1"/>
      <w:numFmt w:val="lowerRoman"/>
      <w:lvlText w:val="%2."/>
      <w:lvlJc w:val="righ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2D60791D"/>
    <w:multiLevelType w:val="hybridMultilevel"/>
    <w:tmpl w:val="44724AFA"/>
    <w:lvl w:ilvl="0" w:tplc="82240F0A">
      <w:start w:val="3"/>
      <w:numFmt w:val="lowerRoman"/>
      <w:lvlText w:val="%1."/>
      <w:lvlJc w:val="righ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323C2"/>
    <w:multiLevelType w:val="hybridMultilevel"/>
    <w:tmpl w:val="16FC475E"/>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15:restartNumberingAfterBreak="0">
    <w:nsid w:val="2EB75777"/>
    <w:multiLevelType w:val="hybridMultilevel"/>
    <w:tmpl w:val="2330579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3085214F"/>
    <w:multiLevelType w:val="hybridMultilevel"/>
    <w:tmpl w:val="D2A6C9E8"/>
    <w:lvl w:ilvl="0" w:tplc="F17239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386E1414"/>
    <w:multiLevelType w:val="hybridMultilevel"/>
    <w:tmpl w:val="FCA044E4"/>
    <w:lvl w:ilvl="0" w:tplc="5F6E7FEC">
      <w:start w:val="1"/>
      <w:numFmt w:val="upperLetter"/>
      <w:lvlText w:val="%1."/>
      <w:lvlJc w:val="left"/>
      <w:pPr>
        <w:ind w:left="1128" w:hanging="504"/>
      </w:pPr>
      <w:rPr>
        <w:rFonts w:hint="default"/>
        <w:b/>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2" w15:restartNumberingAfterBreak="0">
    <w:nsid w:val="3FE73A46"/>
    <w:multiLevelType w:val="hybridMultilevel"/>
    <w:tmpl w:val="AA2AA432"/>
    <w:lvl w:ilvl="0" w:tplc="0809001B">
      <w:start w:val="1"/>
      <w:numFmt w:val="lowerRoman"/>
      <w:lvlText w:val="%1."/>
      <w:lvlJc w:val="righ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F0C03"/>
    <w:multiLevelType w:val="hybridMultilevel"/>
    <w:tmpl w:val="02FA7048"/>
    <w:lvl w:ilvl="0" w:tplc="E974B6BC">
      <w:start w:val="1"/>
      <w:numFmt w:val="decimal"/>
      <w:lvlText w:val="%1."/>
      <w:lvlJc w:val="left"/>
      <w:pPr>
        <w:tabs>
          <w:tab w:val="num" w:pos="1853"/>
        </w:tabs>
        <w:ind w:left="1853" w:hanging="576"/>
      </w:pPr>
      <w:rPr>
        <w:rFonts w:ascii="Times New Roman" w:hAnsi="Times New Roman" w:cs="Times New Roman" w:hint="default"/>
        <w:sz w:val="20"/>
        <w:szCs w:val="20"/>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15:restartNumberingAfterBreak="0">
    <w:nsid w:val="49DB27BC"/>
    <w:multiLevelType w:val="hybridMultilevel"/>
    <w:tmpl w:val="063A2F70"/>
    <w:lvl w:ilvl="0" w:tplc="88663CAA">
      <w:start w:val="1"/>
      <w:numFmt w:val="bullet"/>
      <w:lvlText w:val=""/>
      <w:lvlJc w:val="left"/>
      <w:pPr>
        <w:tabs>
          <w:tab w:val="num" w:pos="1853"/>
        </w:tabs>
        <w:ind w:left="1853" w:hanging="576"/>
      </w:pPr>
      <w:rPr>
        <w:rFonts w:ascii="Symbol" w:hAnsi="Symbol"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4AB300F1"/>
    <w:multiLevelType w:val="hybridMultilevel"/>
    <w:tmpl w:val="9872ED58"/>
    <w:lvl w:ilvl="0" w:tplc="F17239DE">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485650"/>
    <w:multiLevelType w:val="hybridMultilevel"/>
    <w:tmpl w:val="DC1EFA5E"/>
    <w:lvl w:ilvl="0" w:tplc="4EDEEDF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7FB70CA"/>
    <w:multiLevelType w:val="hybridMultilevel"/>
    <w:tmpl w:val="9C2260D0"/>
    <w:lvl w:ilvl="0" w:tplc="E974B6BC">
      <w:start w:val="1"/>
      <w:numFmt w:val="decimal"/>
      <w:lvlText w:val="%1."/>
      <w:lvlJc w:val="left"/>
      <w:pPr>
        <w:tabs>
          <w:tab w:val="num" w:pos="1853"/>
        </w:tabs>
        <w:ind w:left="1853" w:hanging="576"/>
      </w:pPr>
      <w:rPr>
        <w:rFonts w:ascii="Times New Roman" w:hAnsi="Times New Roman" w:cs="Times New Roman" w:hint="default"/>
        <w:sz w:val="20"/>
        <w:szCs w:val="20"/>
      </w:rPr>
    </w:lvl>
    <w:lvl w:ilvl="1" w:tplc="0409001B">
      <w:start w:val="1"/>
      <w:numFmt w:val="lowerRoman"/>
      <w:lvlText w:val="%2."/>
      <w:lvlJc w:val="righ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15:restartNumberingAfterBreak="0">
    <w:nsid w:val="5A595C9A"/>
    <w:multiLevelType w:val="hybridMultilevel"/>
    <w:tmpl w:val="5A54AA68"/>
    <w:lvl w:ilvl="0" w:tplc="34F89090">
      <w:start w:val="1"/>
      <w:numFmt w:val="upperLetter"/>
      <w:lvlText w:val="%1."/>
      <w:lvlJc w:val="left"/>
      <w:pPr>
        <w:tabs>
          <w:tab w:val="num" w:pos="1200"/>
        </w:tabs>
        <w:ind w:left="1200" w:hanging="525"/>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15:restartNumberingAfterBreak="0">
    <w:nsid w:val="5D803988"/>
    <w:multiLevelType w:val="hybridMultilevel"/>
    <w:tmpl w:val="02FA7048"/>
    <w:lvl w:ilvl="0" w:tplc="E974B6BC">
      <w:start w:val="1"/>
      <w:numFmt w:val="decimal"/>
      <w:lvlText w:val="%1."/>
      <w:lvlJc w:val="left"/>
      <w:pPr>
        <w:tabs>
          <w:tab w:val="num" w:pos="1853"/>
        </w:tabs>
        <w:ind w:left="1853" w:hanging="576"/>
      </w:pPr>
      <w:rPr>
        <w:rFonts w:ascii="Times New Roman" w:hAnsi="Times New Roman" w:cs="Times New Roman" w:hint="default"/>
        <w:sz w:val="20"/>
        <w:szCs w:val="20"/>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5DFD00A1"/>
    <w:multiLevelType w:val="hybridMultilevel"/>
    <w:tmpl w:val="62F24158"/>
    <w:lvl w:ilvl="0" w:tplc="0809001B">
      <w:start w:val="1"/>
      <w:numFmt w:val="lowerRoman"/>
      <w:lvlText w:val="%1."/>
      <w:lvlJc w:val="righ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32D6A"/>
    <w:multiLevelType w:val="hybridMultilevel"/>
    <w:tmpl w:val="1F881EF0"/>
    <w:lvl w:ilvl="0" w:tplc="4176AE8C">
      <w:start w:val="1"/>
      <w:numFmt w:val="decimal"/>
      <w:lvlText w:val="%1."/>
      <w:lvlJc w:val="left"/>
      <w:pPr>
        <w:tabs>
          <w:tab w:val="num" w:pos="1853"/>
        </w:tabs>
        <w:ind w:left="1853" w:hanging="576"/>
      </w:pPr>
      <w:rPr>
        <w:rFonts w:ascii="Times New Roman" w:hAnsi="Times New Roman" w:cs="Times New Roman" w:hint="default"/>
        <w:sz w:val="20"/>
        <w:szCs w:val="20"/>
        <w:lang w:val="en-GB"/>
      </w:rPr>
    </w:lvl>
    <w:lvl w:ilvl="1" w:tplc="0809001B">
      <w:start w:val="1"/>
      <w:numFmt w:val="lowerRoman"/>
      <w:lvlText w:val="%2."/>
      <w:lvlJc w:val="righ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E5BCD"/>
    <w:multiLevelType w:val="hybridMultilevel"/>
    <w:tmpl w:val="4580D3DC"/>
    <w:lvl w:ilvl="0" w:tplc="E974B6BC">
      <w:start w:val="1"/>
      <w:numFmt w:val="decimal"/>
      <w:lvlText w:val="%1."/>
      <w:lvlJc w:val="left"/>
      <w:pPr>
        <w:tabs>
          <w:tab w:val="num" w:pos="1853"/>
        </w:tabs>
        <w:ind w:left="1853" w:hanging="576"/>
      </w:pPr>
      <w:rPr>
        <w:rFonts w:ascii="Times New Roman" w:hAnsi="Times New Roman" w:cs="Times New Roman" w:hint="default"/>
        <w:sz w:val="20"/>
        <w:szCs w:val="20"/>
      </w:rPr>
    </w:lvl>
    <w:lvl w:ilvl="1" w:tplc="E974B6BC">
      <w:start w:val="1"/>
      <w:numFmt w:val="decimal"/>
      <w:lvlText w:val="%2."/>
      <w:lvlJc w:val="left"/>
      <w:pPr>
        <w:tabs>
          <w:tab w:val="num" w:pos="2574"/>
        </w:tabs>
        <w:ind w:left="2574" w:hanging="720"/>
      </w:pPr>
      <w:rPr>
        <w:rFonts w:ascii="Times New Roman" w:hAnsi="Times New Roman" w:cs="Times New Roman"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15:restartNumberingAfterBreak="0">
    <w:nsid w:val="7023446B"/>
    <w:multiLevelType w:val="hybridMultilevel"/>
    <w:tmpl w:val="521A2D42"/>
    <w:lvl w:ilvl="0" w:tplc="0809001B">
      <w:start w:val="1"/>
      <w:numFmt w:val="lowerRoman"/>
      <w:lvlText w:val="%1."/>
      <w:lvlJc w:val="righ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14BFC"/>
    <w:multiLevelType w:val="hybridMultilevel"/>
    <w:tmpl w:val="8150623A"/>
    <w:lvl w:ilvl="0" w:tplc="27E83E86">
      <w:start w:val="2"/>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41EC1"/>
    <w:multiLevelType w:val="hybridMultilevel"/>
    <w:tmpl w:val="251C2802"/>
    <w:lvl w:ilvl="0" w:tplc="A3E4E5DE">
      <w:start w:val="2"/>
      <w:numFmt w:val="lowerRoman"/>
      <w:lvlText w:val="%1."/>
      <w:lvlJc w:val="righ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7"/>
  </w:num>
  <w:num w:numId="3">
    <w:abstractNumId w:val="21"/>
  </w:num>
  <w:num w:numId="4">
    <w:abstractNumId w:val="18"/>
  </w:num>
  <w:num w:numId="5">
    <w:abstractNumId w:val="11"/>
  </w:num>
  <w:num w:numId="6">
    <w:abstractNumId w:val="22"/>
  </w:num>
  <w:num w:numId="7">
    <w:abstractNumId w:val="14"/>
  </w:num>
  <w:num w:numId="8">
    <w:abstractNumId w:val="9"/>
  </w:num>
  <w:num w:numId="9">
    <w:abstractNumId w:val="4"/>
  </w:num>
  <w:num w:numId="10">
    <w:abstractNumId w:val="19"/>
  </w:num>
  <w:num w:numId="11">
    <w:abstractNumId w:val="13"/>
  </w:num>
  <w:num w:numId="12">
    <w:abstractNumId w:val="10"/>
  </w:num>
  <w:num w:numId="13">
    <w:abstractNumId w:val="26"/>
  </w:num>
  <w:num w:numId="14">
    <w:abstractNumId w:val="8"/>
  </w:num>
  <w:num w:numId="15">
    <w:abstractNumId w:val="5"/>
  </w:num>
  <w:num w:numId="16">
    <w:abstractNumId w:val="17"/>
  </w:num>
  <w:num w:numId="17">
    <w:abstractNumId w:val="15"/>
  </w:num>
  <w:num w:numId="18">
    <w:abstractNumId w:val="24"/>
  </w:num>
  <w:num w:numId="19">
    <w:abstractNumId w:val="0"/>
  </w:num>
  <w:num w:numId="20">
    <w:abstractNumId w:val="20"/>
  </w:num>
  <w:num w:numId="21">
    <w:abstractNumId w:val="12"/>
  </w:num>
  <w:num w:numId="22">
    <w:abstractNumId w:val="25"/>
  </w:num>
  <w:num w:numId="23">
    <w:abstractNumId w:val="28"/>
  </w:num>
  <w:num w:numId="24">
    <w:abstractNumId w:val="1"/>
  </w:num>
  <w:num w:numId="25">
    <w:abstractNumId w:val="7"/>
  </w:num>
  <w:num w:numId="26">
    <w:abstractNumId w:val="3"/>
  </w:num>
  <w:num w:numId="27">
    <w:abstractNumId w:val="6"/>
  </w:num>
  <w:num w:numId="28">
    <w:abstractNumId w:val="2"/>
  </w:num>
  <w:num w:numId="2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ar-SA" w:vendorID="64" w:dllVersion="0" w:nlCheck="1" w:checkStyle="0"/>
  <w:activeWritingStyle w:appName="MSWord" w:lang="ar-SA"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_tradnl"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5C"/>
    <w:rsid w:val="00001F50"/>
    <w:rsid w:val="000022C2"/>
    <w:rsid w:val="00002A7D"/>
    <w:rsid w:val="000038A8"/>
    <w:rsid w:val="00003B5C"/>
    <w:rsid w:val="00003B9C"/>
    <w:rsid w:val="00004967"/>
    <w:rsid w:val="00004C18"/>
    <w:rsid w:val="00006790"/>
    <w:rsid w:val="00006CDD"/>
    <w:rsid w:val="00010802"/>
    <w:rsid w:val="00010D9D"/>
    <w:rsid w:val="00010EE6"/>
    <w:rsid w:val="00012205"/>
    <w:rsid w:val="00012E3A"/>
    <w:rsid w:val="000139D8"/>
    <w:rsid w:val="00016049"/>
    <w:rsid w:val="00016301"/>
    <w:rsid w:val="000163E1"/>
    <w:rsid w:val="00016DC3"/>
    <w:rsid w:val="00017907"/>
    <w:rsid w:val="00017DB8"/>
    <w:rsid w:val="00020583"/>
    <w:rsid w:val="00021B8B"/>
    <w:rsid w:val="00021F9C"/>
    <w:rsid w:val="00022A7F"/>
    <w:rsid w:val="000246CE"/>
    <w:rsid w:val="00027624"/>
    <w:rsid w:val="00027ED1"/>
    <w:rsid w:val="000312A8"/>
    <w:rsid w:val="0003187A"/>
    <w:rsid w:val="00032020"/>
    <w:rsid w:val="00032585"/>
    <w:rsid w:val="00032664"/>
    <w:rsid w:val="00033A52"/>
    <w:rsid w:val="00034A66"/>
    <w:rsid w:val="00035055"/>
    <w:rsid w:val="000353AE"/>
    <w:rsid w:val="000356DF"/>
    <w:rsid w:val="00035899"/>
    <w:rsid w:val="00036FF4"/>
    <w:rsid w:val="0003764F"/>
    <w:rsid w:val="00037B7D"/>
    <w:rsid w:val="000400CE"/>
    <w:rsid w:val="0004065D"/>
    <w:rsid w:val="00041A98"/>
    <w:rsid w:val="00041E5D"/>
    <w:rsid w:val="00042ECF"/>
    <w:rsid w:val="0004421E"/>
    <w:rsid w:val="00044DDA"/>
    <w:rsid w:val="00044E55"/>
    <w:rsid w:val="00045358"/>
    <w:rsid w:val="000453C2"/>
    <w:rsid w:val="00045B8F"/>
    <w:rsid w:val="00045F75"/>
    <w:rsid w:val="000506B0"/>
    <w:rsid w:val="00050F6B"/>
    <w:rsid w:val="00053308"/>
    <w:rsid w:val="00053653"/>
    <w:rsid w:val="00053B12"/>
    <w:rsid w:val="00054696"/>
    <w:rsid w:val="00054A26"/>
    <w:rsid w:val="00054AAC"/>
    <w:rsid w:val="00054FF9"/>
    <w:rsid w:val="00055094"/>
    <w:rsid w:val="00055309"/>
    <w:rsid w:val="000554B0"/>
    <w:rsid w:val="00055AA7"/>
    <w:rsid w:val="000579D7"/>
    <w:rsid w:val="00057E0E"/>
    <w:rsid w:val="000600BE"/>
    <w:rsid w:val="000602AF"/>
    <w:rsid w:val="00060D95"/>
    <w:rsid w:val="00061EAD"/>
    <w:rsid w:val="0006303C"/>
    <w:rsid w:val="00066E03"/>
    <w:rsid w:val="000678CD"/>
    <w:rsid w:val="0007027F"/>
    <w:rsid w:val="000702E9"/>
    <w:rsid w:val="00070D34"/>
    <w:rsid w:val="000710CD"/>
    <w:rsid w:val="00072085"/>
    <w:rsid w:val="000723D2"/>
    <w:rsid w:val="00072C8C"/>
    <w:rsid w:val="00074DDC"/>
    <w:rsid w:val="00075812"/>
    <w:rsid w:val="00075F4A"/>
    <w:rsid w:val="00076570"/>
    <w:rsid w:val="000770BA"/>
    <w:rsid w:val="000801B2"/>
    <w:rsid w:val="00081CE0"/>
    <w:rsid w:val="00082336"/>
    <w:rsid w:val="0008268A"/>
    <w:rsid w:val="0008357A"/>
    <w:rsid w:val="0008442A"/>
    <w:rsid w:val="000845D0"/>
    <w:rsid w:val="0008474A"/>
    <w:rsid w:val="000847F2"/>
    <w:rsid w:val="00084D30"/>
    <w:rsid w:val="00087123"/>
    <w:rsid w:val="00087379"/>
    <w:rsid w:val="000878D1"/>
    <w:rsid w:val="00087FF7"/>
    <w:rsid w:val="00090320"/>
    <w:rsid w:val="00090745"/>
    <w:rsid w:val="00090B39"/>
    <w:rsid w:val="00090D28"/>
    <w:rsid w:val="000916BE"/>
    <w:rsid w:val="00091B80"/>
    <w:rsid w:val="00091F85"/>
    <w:rsid w:val="00092E18"/>
    <w:rsid w:val="00092F94"/>
    <w:rsid w:val="000931C0"/>
    <w:rsid w:val="000931E4"/>
    <w:rsid w:val="00093DB7"/>
    <w:rsid w:val="0009405C"/>
    <w:rsid w:val="0009623C"/>
    <w:rsid w:val="00096E5C"/>
    <w:rsid w:val="0009719F"/>
    <w:rsid w:val="00097280"/>
    <w:rsid w:val="00097A24"/>
    <w:rsid w:val="000A0087"/>
    <w:rsid w:val="000A01BB"/>
    <w:rsid w:val="000A0552"/>
    <w:rsid w:val="000A2E09"/>
    <w:rsid w:val="000A4024"/>
    <w:rsid w:val="000A46FD"/>
    <w:rsid w:val="000A49F4"/>
    <w:rsid w:val="000A6911"/>
    <w:rsid w:val="000A6F91"/>
    <w:rsid w:val="000A72FD"/>
    <w:rsid w:val="000A7BDD"/>
    <w:rsid w:val="000B024F"/>
    <w:rsid w:val="000B06E0"/>
    <w:rsid w:val="000B11CE"/>
    <w:rsid w:val="000B175B"/>
    <w:rsid w:val="000B1CA6"/>
    <w:rsid w:val="000B3441"/>
    <w:rsid w:val="000B3A0F"/>
    <w:rsid w:val="000B5012"/>
    <w:rsid w:val="000B53D9"/>
    <w:rsid w:val="000B76CF"/>
    <w:rsid w:val="000C0934"/>
    <w:rsid w:val="000C2B8B"/>
    <w:rsid w:val="000C53BC"/>
    <w:rsid w:val="000C59EC"/>
    <w:rsid w:val="000C6193"/>
    <w:rsid w:val="000C6764"/>
    <w:rsid w:val="000C6933"/>
    <w:rsid w:val="000C6C2B"/>
    <w:rsid w:val="000D0B6C"/>
    <w:rsid w:val="000D16F7"/>
    <w:rsid w:val="000D4149"/>
    <w:rsid w:val="000D5100"/>
    <w:rsid w:val="000D5DF2"/>
    <w:rsid w:val="000D6ADD"/>
    <w:rsid w:val="000D759F"/>
    <w:rsid w:val="000E0415"/>
    <w:rsid w:val="000E0880"/>
    <w:rsid w:val="000E18B8"/>
    <w:rsid w:val="000E2A0D"/>
    <w:rsid w:val="000E3640"/>
    <w:rsid w:val="000E60B6"/>
    <w:rsid w:val="000E6E46"/>
    <w:rsid w:val="000E7270"/>
    <w:rsid w:val="000F0B84"/>
    <w:rsid w:val="000F0D5B"/>
    <w:rsid w:val="000F1B8C"/>
    <w:rsid w:val="000F258D"/>
    <w:rsid w:val="000F36D2"/>
    <w:rsid w:val="000F4582"/>
    <w:rsid w:val="000F46FC"/>
    <w:rsid w:val="000F52C2"/>
    <w:rsid w:val="000F587B"/>
    <w:rsid w:val="000F638F"/>
    <w:rsid w:val="000F656B"/>
    <w:rsid w:val="000F68C7"/>
    <w:rsid w:val="000F7715"/>
    <w:rsid w:val="0010049B"/>
    <w:rsid w:val="001004F5"/>
    <w:rsid w:val="00100968"/>
    <w:rsid w:val="00100A67"/>
    <w:rsid w:val="00100F41"/>
    <w:rsid w:val="001021DF"/>
    <w:rsid w:val="001029A7"/>
    <w:rsid w:val="00105428"/>
    <w:rsid w:val="001064F2"/>
    <w:rsid w:val="001067DE"/>
    <w:rsid w:val="00107F74"/>
    <w:rsid w:val="00107FEC"/>
    <w:rsid w:val="00111239"/>
    <w:rsid w:val="0011227A"/>
    <w:rsid w:val="0011289A"/>
    <w:rsid w:val="00112E41"/>
    <w:rsid w:val="001146DD"/>
    <w:rsid w:val="001175D6"/>
    <w:rsid w:val="001178E6"/>
    <w:rsid w:val="001179A9"/>
    <w:rsid w:val="00120387"/>
    <w:rsid w:val="00120A51"/>
    <w:rsid w:val="00120BB9"/>
    <w:rsid w:val="0012184B"/>
    <w:rsid w:val="00121948"/>
    <w:rsid w:val="00122C30"/>
    <w:rsid w:val="00123597"/>
    <w:rsid w:val="001237BA"/>
    <w:rsid w:val="001250EA"/>
    <w:rsid w:val="001254C0"/>
    <w:rsid w:val="001267FF"/>
    <w:rsid w:val="001277F7"/>
    <w:rsid w:val="00130080"/>
    <w:rsid w:val="00132402"/>
    <w:rsid w:val="0013259A"/>
    <w:rsid w:val="001325E8"/>
    <w:rsid w:val="00133DCA"/>
    <w:rsid w:val="00134AB3"/>
    <w:rsid w:val="00134B3D"/>
    <w:rsid w:val="00134E0E"/>
    <w:rsid w:val="00135200"/>
    <w:rsid w:val="00135446"/>
    <w:rsid w:val="00135C2F"/>
    <w:rsid w:val="00137E80"/>
    <w:rsid w:val="00140F8C"/>
    <w:rsid w:val="00142444"/>
    <w:rsid w:val="00143A32"/>
    <w:rsid w:val="00143B06"/>
    <w:rsid w:val="00143FFD"/>
    <w:rsid w:val="001449E7"/>
    <w:rsid w:val="00144EF4"/>
    <w:rsid w:val="0014535F"/>
    <w:rsid w:val="00145DB9"/>
    <w:rsid w:val="00146A40"/>
    <w:rsid w:val="001478DF"/>
    <w:rsid w:val="00151C71"/>
    <w:rsid w:val="00151E21"/>
    <w:rsid w:val="00152016"/>
    <w:rsid w:val="001531E9"/>
    <w:rsid w:val="0015334E"/>
    <w:rsid w:val="00153ADF"/>
    <w:rsid w:val="0015401A"/>
    <w:rsid w:val="00154EBD"/>
    <w:rsid w:val="00155B7E"/>
    <w:rsid w:val="00155F22"/>
    <w:rsid w:val="00156B99"/>
    <w:rsid w:val="00157BC2"/>
    <w:rsid w:val="0016021D"/>
    <w:rsid w:val="00161955"/>
    <w:rsid w:val="00162EA8"/>
    <w:rsid w:val="00163B55"/>
    <w:rsid w:val="00164515"/>
    <w:rsid w:val="00164FEF"/>
    <w:rsid w:val="00166124"/>
    <w:rsid w:val="001664BA"/>
    <w:rsid w:val="00167236"/>
    <w:rsid w:val="00167825"/>
    <w:rsid w:val="0017014E"/>
    <w:rsid w:val="00170CE9"/>
    <w:rsid w:val="00170D61"/>
    <w:rsid w:val="00171894"/>
    <w:rsid w:val="00172920"/>
    <w:rsid w:val="001751A2"/>
    <w:rsid w:val="00175AD0"/>
    <w:rsid w:val="001769B7"/>
    <w:rsid w:val="00177192"/>
    <w:rsid w:val="00177892"/>
    <w:rsid w:val="00180299"/>
    <w:rsid w:val="001804FD"/>
    <w:rsid w:val="00180616"/>
    <w:rsid w:val="0018098C"/>
    <w:rsid w:val="00180A4E"/>
    <w:rsid w:val="0018126D"/>
    <w:rsid w:val="00181D78"/>
    <w:rsid w:val="00184DDA"/>
    <w:rsid w:val="00185938"/>
    <w:rsid w:val="001859D9"/>
    <w:rsid w:val="001876CB"/>
    <w:rsid w:val="001900CD"/>
    <w:rsid w:val="00190CC9"/>
    <w:rsid w:val="0019156A"/>
    <w:rsid w:val="00191ECF"/>
    <w:rsid w:val="00192663"/>
    <w:rsid w:val="001926F7"/>
    <w:rsid w:val="001954C0"/>
    <w:rsid w:val="001960C9"/>
    <w:rsid w:val="001964EB"/>
    <w:rsid w:val="00196C26"/>
    <w:rsid w:val="00196E5E"/>
    <w:rsid w:val="001A0452"/>
    <w:rsid w:val="001A0CB5"/>
    <w:rsid w:val="001A0F73"/>
    <w:rsid w:val="001A104B"/>
    <w:rsid w:val="001A182C"/>
    <w:rsid w:val="001A1EF2"/>
    <w:rsid w:val="001A294A"/>
    <w:rsid w:val="001A3B10"/>
    <w:rsid w:val="001A417A"/>
    <w:rsid w:val="001A42BB"/>
    <w:rsid w:val="001A4B8E"/>
    <w:rsid w:val="001A5B45"/>
    <w:rsid w:val="001A64A5"/>
    <w:rsid w:val="001A65A7"/>
    <w:rsid w:val="001A672C"/>
    <w:rsid w:val="001A7334"/>
    <w:rsid w:val="001A7E8E"/>
    <w:rsid w:val="001B05E6"/>
    <w:rsid w:val="001B0663"/>
    <w:rsid w:val="001B0960"/>
    <w:rsid w:val="001B3D67"/>
    <w:rsid w:val="001B4B04"/>
    <w:rsid w:val="001B5875"/>
    <w:rsid w:val="001B5BC1"/>
    <w:rsid w:val="001B661B"/>
    <w:rsid w:val="001B693D"/>
    <w:rsid w:val="001B6C91"/>
    <w:rsid w:val="001B755C"/>
    <w:rsid w:val="001C0752"/>
    <w:rsid w:val="001C148C"/>
    <w:rsid w:val="001C1C37"/>
    <w:rsid w:val="001C1FA9"/>
    <w:rsid w:val="001C2842"/>
    <w:rsid w:val="001C2A1C"/>
    <w:rsid w:val="001C2D82"/>
    <w:rsid w:val="001C2F38"/>
    <w:rsid w:val="001C3378"/>
    <w:rsid w:val="001C3436"/>
    <w:rsid w:val="001C3763"/>
    <w:rsid w:val="001C4B9C"/>
    <w:rsid w:val="001C51AF"/>
    <w:rsid w:val="001C5458"/>
    <w:rsid w:val="001C5546"/>
    <w:rsid w:val="001C5783"/>
    <w:rsid w:val="001C5D99"/>
    <w:rsid w:val="001C5F88"/>
    <w:rsid w:val="001C6663"/>
    <w:rsid w:val="001C7895"/>
    <w:rsid w:val="001D00F7"/>
    <w:rsid w:val="001D0FF6"/>
    <w:rsid w:val="001D1422"/>
    <w:rsid w:val="001D1A44"/>
    <w:rsid w:val="001D22EA"/>
    <w:rsid w:val="001D26DF"/>
    <w:rsid w:val="001D29BE"/>
    <w:rsid w:val="001D34F9"/>
    <w:rsid w:val="001D37A7"/>
    <w:rsid w:val="001D4B92"/>
    <w:rsid w:val="001D6764"/>
    <w:rsid w:val="001E0834"/>
    <w:rsid w:val="001E0928"/>
    <w:rsid w:val="001E1B96"/>
    <w:rsid w:val="001E1C17"/>
    <w:rsid w:val="001E201E"/>
    <w:rsid w:val="001E2B6D"/>
    <w:rsid w:val="001E30DD"/>
    <w:rsid w:val="001E31B1"/>
    <w:rsid w:val="001E38BC"/>
    <w:rsid w:val="001E4B4D"/>
    <w:rsid w:val="001E5F28"/>
    <w:rsid w:val="001E60B5"/>
    <w:rsid w:val="001E6889"/>
    <w:rsid w:val="001F057D"/>
    <w:rsid w:val="001F1599"/>
    <w:rsid w:val="001F19C4"/>
    <w:rsid w:val="001F1D9A"/>
    <w:rsid w:val="001F21D9"/>
    <w:rsid w:val="001F245A"/>
    <w:rsid w:val="001F250A"/>
    <w:rsid w:val="001F2C82"/>
    <w:rsid w:val="001F3C59"/>
    <w:rsid w:val="001F58B9"/>
    <w:rsid w:val="001F6117"/>
    <w:rsid w:val="001F7BAC"/>
    <w:rsid w:val="002003A9"/>
    <w:rsid w:val="002007E9"/>
    <w:rsid w:val="002010CF"/>
    <w:rsid w:val="00201105"/>
    <w:rsid w:val="00201624"/>
    <w:rsid w:val="00203D1D"/>
    <w:rsid w:val="002043F0"/>
    <w:rsid w:val="002059F6"/>
    <w:rsid w:val="00205C4A"/>
    <w:rsid w:val="00205DF4"/>
    <w:rsid w:val="00206867"/>
    <w:rsid w:val="002069F4"/>
    <w:rsid w:val="00207586"/>
    <w:rsid w:val="00207E3E"/>
    <w:rsid w:val="0021080A"/>
    <w:rsid w:val="00210C6F"/>
    <w:rsid w:val="00210E3D"/>
    <w:rsid w:val="00211D37"/>
    <w:rsid w:val="00211E0B"/>
    <w:rsid w:val="00211F36"/>
    <w:rsid w:val="00212C1E"/>
    <w:rsid w:val="00213089"/>
    <w:rsid w:val="00213A14"/>
    <w:rsid w:val="00213C56"/>
    <w:rsid w:val="00213ED5"/>
    <w:rsid w:val="002140E7"/>
    <w:rsid w:val="00214494"/>
    <w:rsid w:val="00214AE9"/>
    <w:rsid w:val="00215864"/>
    <w:rsid w:val="00215A0A"/>
    <w:rsid w:val="00216404"/>
    <w:rsid w:val="0021652F"/>
    <w:rsid w:val="00216CFC"/>
    <w:rsid w:val="0021715D"/>
    <w:rsid w:val="002175B5"/>
    <w:rsid w:val="00217776"/>
    <w:rsid w:val="00217BAF"/>
    <w:rsid w:val="002205AF"/>
    <w:rsid w:val="002208DD"/>
    <w:rsid w:val="00222283"/>
    <w:rsid w:val="00222806"/>
    <w:rsid w:val="00222F34"/>
    <w:rsid w:val="002247BB"/>
    <w:rsid w:val="00224838"/>
    <w:rsid w:val="00224F96"/>
    <w:rsid w:val="0022535B"/>
    <w:rsid w:val="002257C1"/>
    <w:rsid w:val="00226B07"/>
    <w:rsid w:val="002274F3"/>
    <w:rsid w:val="00227ABC"/>
    <w:rsid w:val="00230279"/>
    <w:rsid w:val="00230A91"/>
    <w:rsid w:val="00230FDD"/>
    <w:rsid w:val="00231EEB"/>
    <w:rsid w:val="00231EFB"/>
    <w:rsid w:val="00232575"/>
    <w:rsid w:val="00232AED"/>
    <w:rsid w:val="00232D9C"/>
    <w:rsid w:val="0023308E"/>
    <w:rsid w:val="00233D64"/>
    <w:rsid w:val="0023546D"/>
    <w:rsid w:val="0023575C"/>
    <w:rsid w:val="00235766"/>
    <w:rsid w:val="002359BA"/>
    <w:rsid w:val="002365D9"/>
    <w:rsid w:val="00237963"/>
    <w:rsid w:val="002409E1"/>
    <w:rsid w:val="00240E76"/>
    <w:rsid w:val="00241C62"/>
    <w:rsid w:val="00241F6B"/>
    <w:rsid w:val="00243B3F"/>
    <w:rsid w:val="00243D15"/>
    <w:rsid w:val="00243EB0"/>
    <w:rsid w:val="00246C69"/>
    <w:rsid w:val="00247258"/>
    <w:rsid w:val="00247A7C"/>
    <w:rsid w:val="00247EC2"/>
    <w:rsid w:val="0025042B"/>
    <w:rsid w:val="00250D86"/>
    <w:rsid w:val="002516FB"/>
    <w:rsid w:val="00251AD5"/>
    <w:rsid w:val="0025336F"/>
    <w:rsid w:val="002534A5"/>
    <w:rsid w:val="00254117"/>
    <w:rsid w:val="002546C6"/>
    <w:rsid w:val="00254825"/>
    <w:rsid w:val="00254B00"/>
    <w:rsid w:val="00254B3C"/>
    <w:rsid w:val="00254BB2"/>
    <w:rsid w:val="00255126"/>
    <w:rsid w:val="00256085"/>
    <w:rsid w:val="00256423"/>
    <w:rsid w:val="0025668A"/>
    <w:rsid w:val="00256DDE"/>
    <w:rsid w:val="00257CAC"/>
    <w:rsid w:val="00261341"/>
    <w:rsid w:val="00261668"/>
    <w:rsid w:val="00261EF9"/>
    <w:rsid w:val="002635EA"/>
    <w:rsid w:val="00263A50"/>
    <w:rsid w:val="00263A57"/>
    <w:rsid w:val="00264E55"/>
    <w:rsid w:val="002651FC"/>
    <w:rsid w:val="0026529C"/>
    <w:rsid w:val="002660E3"/>
    <w:rsid w:val="00270E3A"/>
    <w:rsid w:val="002721ED"/>
    <w:rsid w:val="0027237A"/>
    <w:rsid w:val="0027248C"/>
    <w:rsid w:val="0027336C"/>
    <w:rsid w:val="00274074"/>
    <w:rsid w:val="00276AA2"/>
    <w:rsid w:val="00277807"/>
    <w:rsid w:val="002800A0"/>
    <w:rsid w:val="00281351"/>
    <w:rsid w:val="00281BEA"/>
    <w:rsid w:val="002824A9"/>
    <w:rsid w:val="002826AE"/>
    <w:rsid w:val="00283712"/>
    <w:rsid w:val="002837CF"/>
    <w:rsid w:val="00283C2C"/>
    <w:rsid w:val="00284728"/>
    <w:rsid w:val="002853F7"/>
    <w:rsid w:val="00286D70"/>
    <w:rsid w:val="0029192F"/>
    <w:rsid w:val="002926ED"/>
    <w:rsid w:val="00293149"/>
    <w:rsid w:val="00293365"/>
    <w:rsid w:val="0029366E"/>
    <w:rsid w:val="00293ADB"/>
    <w:rsid w:val="00293CAB"/>
    <w:rsid w:val="00294FBB"/>
    <w:rsid w:val="0029533F"/>
    <w:rsid w:val="0029535D"/>
    <w:rsid w:val="002958C8"/>
    <w:rsid w:val="00296D78"/>
    <w:rsid w:val="00296EFE"/>
    <w:rsid w:val="002974E9"/>
    <w:rsid w:val="002A0BCC"/>
    <w:rsid w:val="002A57B6"/>
    <w:rsid w:val="002A5850"/>
    <w:rsid w:val="002A67B1"/>
    <w:rsid w:val="002A7F94"/>
    <w:rsid w:val="002B0396"/>
    <w:rsid w:val="002B05C5"/>
    <w:rsid w:val="002B109A"/>
    <w:rsid w:val="002B2A03"/>
    <w:rsid w:val="002B2B4D"/>
    <w:rsid w:val="002B2E08"/>
    <w:rsid w:val="002B341D"/>
    <w:rsid w:val="002B3EB7"/>
    <w:rsid w:val="002B4A1A"/>
    <w:rsid w:val="002B4A29"/>
    <w:rsid w:val="002B7ED9"/>
    <w:rsid w:val="002C12DE"/>
    <w:rsid w:val="002C3127"/>
    <w:rsid w:val="002C46A7"/>
    <w:rsid w:val="002C4F81"/>
    <w:rsid w:val="002C6D45"/>
    <w:rsid w:val="002C6E6E"/>
    <w:rsid w:val="002D1939"/>
    <w:rsid w:val="002D209E"/>
    <w:rsid w:val="002D2378"/>
    <w:rsid w:val="002D24BD"/>
    <w:rsid w:val="002D3580"/>
    <w:rsid w:val="002D45EE"/>
    <w:rsid w:val="002D6221"/>
    <w:rsid w:val="002D6573"/>
    <w:rsid w:val="002D6E46"/>
    <w:rsid w:val="002D6E53"/>
    <w:rsid w:val="002D6EAC"/>
    <w:rsid w:val="002D6ECB"/>
    <w:rsid w:val="002D7782"/>
    <w:rsid w:val="002E07BD"/>
    <w:rsid w:val="002E22B9"/>
    <w:rsid w:val="002E26B2"/>
    <w:rsid w:val="002E3DC2"/>
    <w:rsid w:val="002E457B"/>
    <w:rsid w:val="002E5250"/>
    <w:rsid w:val="002E5404"/>
    <w:rsid w:val="002E5E1D"/>
    <w:rsid w:val="002E62EF"/>
    <w:rsid w:val="002E64E8"/>
    <w:rsid w:val="002E669F"/>
    <w:rsid w:val="002E7566"/>
    <w:rsid w:val="002E76F9"/>
    <w:rsid w:val="002F046D"/>
    <w:rsid w:val="002F0782"/>
    <w:rsid w:val="002F166B"/>
    <w:rsid w:val="002F1B55"/>
    <w:rsid w:val="002F1CC6"/>
    <w:rsid w:val="002F3B0F"/>
    <w:rsid w:val="002F3BD5"/>
    <w:rsid w:val="002F41F6"/>
    <w:rsid w:val="002F42B0"/>
    <w:rsid w:val="002F4835"/>
    <w:rsid w:val="002F50EF"/>
    <w:rsid w:val="002F78E9"/>
    <w:rsid w:val="00301062"/>
    <w:rsid w:val="00301764"/>
    <w:rsid w:val="0030186A"/>
    <w:rsid w:val="00301DC8"/>
    <w:rsid w:val="00302438"/>
    <w:rsid w:val="0030310B"/>
    <w:rsid w:val="0030343F"/>
    <w:rsid w:val="003057CB"/>
    <w:rsid w:val="0030626B"/>
    <w:rsid w:val="003065C2"/>
    <w:rsid w:val="003077B7"/>
    <w:rsid w:val="0030799C"/>
    <w:rsid w:val="00307A9B"/>
    <w:rsid w:val="003103CD"/>
    <w:rsid w:val="0031195A"/>
    <w:rsid w:val="00312A1F"/>
    <w:rsid w:val="00313E62"/>
    <w:rsid w:val="003141B9"/>
    <w:rsid w:val="00314BCF"/>
    <w:rsid w:val="00314D0C"/>
    <w:rsid w:val="00314EBA"/>
    <w:rsid w:val="0031512A"/>
    <w:rsid w:val="0031582E"/>
    <w:rsid w:val="00315974"/>
    <w:rsid w:val="00316BD5"/>
    <w:rsid w:val="00316C19"/>
    <w:rsid w:val="00320197"/>
    <w:rsid w:val="00320BE0"/>
    <w:rsid w:val="00321AAF"/>
    <w:rsid w:val="003220FC"/>
    <w:rsid w:val="003224AA"/>
    <w:rsid w:val="003229D8"/>
    <w:rsid w:val="003229E8"/>
    <w:rsid w:val="00322AEA"/>
    <w:rsid w:val="00323236"/>
    <w:rsid w:val="00323352"/>
    <w:rsid w:val="00323ACD"/>
    <w:rsid w:val="00324004"/>
    <w:rsid w:val="0032695D"/>
    <w:rsid w:val="00326F0E"/>
    <w:rsid w:val="003270EB"/>
    <w:rsid w:val="0032739B"/>
    <w:rsid w:val="00330A8B"/>
    <w:rsid w:val="00331D29"/>
    <w:rsid w:val="003329BE"/>
    <w:rsid w:val="00332E7C"/>
    <w:rsid w:val="00332F49"/>
    <w:rsid w:val="00333C0C"/>
    <w:rsid w:val="003340BC"/>
    <w:rsid w:val="003342FF"/>
    <w:rsid w:val="00335129"/>
    <w:rsid w:val="00336C97"/>
    <w:rsid w:val="00336EDD"/>
    <w:rsid w:val="00336FB4"/>
    <w:rsid w:val="00337F88"/>
    <w:rsid w:val="00340C96"/>
    <w:rsid w:val="00340E9A"/>
    <w:rsid w:val="00342432"/>
    <w:rsid w:val="00342E5A"/>
    <w:rsid w:val="00344265"/>
    <w:rsid w:val="00344FD8"/>
    <w:rsid w:val="00345594"/>
    <w:rsid w:val="00346959"/>
    <w:rsid w:val="003470AA"/>
    <w:rsid w:val="003470D4"/>
    <w:rsid w:val="00347DD4"/>
    <w:rsid w:val="00347F53"/>
    <w:rsid w:val="00350531"/>
    <w:rsid w:val="003505BD"/>
    <w:rsid w:val="0035093C"/>
    <w:rsid w:val="00352125"/>
    <w:rsid w:val="0035223F"/>
    <w:rsid w:val="00352795"/>
    <w:rsid w:val="00352AED"/>
    <w:rsid w:val="00352D4B"/>
    <w:rsid w:val="0035363D"/>
    <w:rsid w:val="003539FD"/>
    <w:rsid w:val="00353A0E"/>
    <w:rsid w:val="00354614"/>
    <w:rsid w:val="00355E80"/>
    <w:rsid w:val="0035622B"/>
    <w:rsid w:val="0035638C"/>
    <w:rsid w:val="00357611"/>
    <w:rsid w:val="0035773A"/>
    <w:rsid w:val="003578B9"/>
    <w:rsid w:val="0036052C"/>
    <w:rsid w:val="00364147"/>
    <w:rsid w:val="003649F6"/>
    <w:rsid w:val="00365B88"/>
    <w:rsid w:val="00366575"/>
    <w:rsid w:val="0037058A"/>
    <w:rsid w:val="003706F2"/>
    <w:rsid w:val="0037190C"/>
    <w:rsid w:val="003723A5"/>
    <w:rsid w:val="00372E29"/>
    <w:rsid w:val="00373399"/>
    <w:rsid w:val="00373726"/>
    <w:rsid w:val="00373760"/>
    <w:rsid w:val="0037420B"/>
    <w:rsid w:val="0037580A"/>
    <w:rsid w:val="00376D60"/>
    <w:rsid w:val="00376E68"/>
    <w:rsid w:val="0038101B"/>
    <w:rsid w:val="00381F6A"/>
    <w:rsid w:val="0038255E"/>
    <w:rsid w:val="00382F50"/>
    <w:rsid w:val="003835E8"/>
    <w:rsid w:val="00384368"/>
    <w:rsid w:val="00385DB5"/>
    <w:rsid w:val="00385F41"/>
    <w:rsid w:val="0038601E"/>
    <w:rsid w:val="00386DF8"/>
    <w:rsid w:val="00387467"/>
    <w:rsid w:val="003918E6"/>
    <w:rsid w:val="00393117"/>
    <w:rsid w:val="0039695D"/>
    <w:rsid w:val="00397027"/>
    <w:rsid w:val="00397F21"/>
    <w:rsid w:val="003A158F"/>
    <w:rsid w:val="003A1DEE"/>
    <w:rsid w:val="003A2415"/>
    <w:rsid w:val="003A2720"/>
    <w:rsid w:val="003A27E9"/>
    <w:rsid w:val="003A28FE"/>
    <w:rsid w:val="003A383F"/>
    <w:rsid w:val="003A4229"/>
    <w:rsid w:val="003A46BB"/>
    <w:rsid w:val="003A4D72"/>
    <w:rsid w:val="003A4EC7"/>
    <w:rsid w:val="003A4F16"/>
    <w:rsid w:val="003A51FF"/>
    <w:rsid w:val="003A58FA"/>
    <w:rsid w:val="003A6563"/>
    <w:rsid w:val="003A7295"/>
    <w:rsid w:val="003A7CF3"/>
    <w:rsid w:val="003A7E4C"/>
    <w:rsid w:val="003A7F75"/>
    <w:rsid w:val="003B0322"/>
    <w:rsid w:val="003B0968"/>
    <w:rsid w:val="003B17C8"/>
    <w:rsid w:val="003B1F1C"/>
    <w:rsid w:val="003B1F60"/>
    <w:rsid w:val="003B2B81"/>
    <w:rsid w:val="003B3299"/>
    <w:rsid w:val="003B4D03"/>
    <w:rsid w:val="003B5440"/>
    <w:rsid w:val="003B5E44"/>
    <w:rsid w:val="003B6DAD"/>
    <w:rsid w:val="003B7B9C"/>
    <w:rsid w:val="003C0553"/>
    <w:rsid w:val="003C097D"/>
    <w:rsid w:val="003C0B02"/>
    <w:rsid w:val="003C0D69"/>
    <w:rsid w:val="003C1281"/>
    <w:rsid w:val="003C140A"/>
    <w:rsid w:val="003C1BA9"/>
    <w:rsid w:val="003C2C05"/>
    <w:rsid w:val="003C2CC4"/>
    <w:rsid w:val="003C3820"/>
    <w:rsid w:val="003C5D94"/>
    <w:rsid w:val="003D0B8D"/>
    <w:rsid w:val="003D0BF1"/>
    <w:rsid w:val="003D2152"/>
    <w:rsid w:val="003D356E"/>
    <w:rsid w:val="003D3C57"/>
    <w:rsid w:val="003D4B23"/>
    <w:rsid w:val="003D4BF5"/>
    <w:rsid w:val="003D51B4"/>
    <w:rsid w:val="003D51B5"/>
    <w:rsid w:val="003D5E37"/>
    <w:rsid w:val="003D66B8"/>
    <w:rsid w:val="003D6D1C"/>
    <w:rsid w:val="003D7A0D"/>
    <w:rsid w:val="003D7E11"/>
    <w:rsid w:val="003E05DE"/>
    <w:rsid w:val="003E0A3E"/>
    <w:rsid w:val="003E1286"/>
    <w:rsid w:val="003E13D2"/>
    <w:rsid w:val="003E1946"/>
    <w:rsid w:val="003E2472"/>
    <w:rsid w:val="003E25B2"/>
    <w:rsid w:val="003E278A"/>
    <w:rsid w:val="003E3387"/>
    <w:rsid w:val="003E39BA"/>
    <w:rsid w:val="003E4349"/>
    <w:rsid w:val="003E44D7"/>
    <w:rsid w:val="003E4E09"/>
    <w:rsid w:val="003E534D"/>
    <w:rsid w:val="003E5A96"/>
    <w:rsid w:val="003E5B12"/>
    <w:rsid w:val="003E5D7D"/>
    <w:rsid w:val="003E692A"/>
    <w:rsid w:val="003F0F2F"/>
    <w:rsid w:val="003F0FDB"/>
    <w:rsid w:val="003F12C2"/>
    <w:rsid w:val="003F1F22"/>
    <w:rsid w:val="003F27B7"/>
    <w:rsid w:val="003F2EE5"/>
    <w:rsid w:val="003F3205"/>
    <w:rsid w:val="003F3377"/>
    <w:rsid w:val="003F56A0"/>
    <w:rsid w:val="003F5BC4"/>
    <w:rsid w:val="003F6209"/>
    <w:rsid w:val="003F6527"/>
    <w:rsid w:val="003F6C09"/>
    <w:rsid w:val="003F7208"/>
    <w:rsid w:val="00401C81"/>
    <w:rsid w:val="004025BD"/>
    <w:rsid w:val="00403976"/>
    <w:rsid w:val="00404846"/>
    <w:rsid w:val="00405D04"/>
    <w:rsid w:val="00406091"/>
    <w:rsid w:val="0040637E"/>
    <w:rsid w:val="00406BC0"/>
    <w:rsid w:val="00407103"/>
    <w:rsid w:val="00410F0F"/>
    <w:rsid w:val="004124B5"/>
    <w:rsid w:val="00412F48"/>
    <w:rsid w:val="004131B7"/>
    <w:rsid w:val="00413474"/>
    <w:rsid w:val="00413520"/>
    <w:rsid w:val="004135F7"/>
    <w:rsid w:val="0041395E"/>
    <w:rsid w:val="00414201"/>
    <w:rsid w:val="0041432F"/>
    <w:rsid w:val="0041514C"/>
    <w:rsid w:val="004153CE"/>
    <w:rsid w:val="004153F1"/>
    <w:rsid w:val="00417FA1"/>
    <w:rsid w:val="00420E57"/>
    <w:rsid w:val="00421588"/>
    <w:rsid w:val="00421962"/>
    <w:rsid w:val="00421E21"/>
    <w:rsid w:val="00422051"/>
    <w:rsid w:val="00422974"/>
    <w:rsid w:val="004230C4"/>
    <w:rsid w:val="00424995"/>
    <w:rsid w:val="00425AF9"/>
    <w:rsid w:val="00425BAA"/>
    <w:rsid w:val="00426489"/>
    <w:rsid w:val="00426694"/>
    <w:rsid w:val="00426A82"/>
    <w:rsid w:val="00426DC9"/>
    <w:rsid w:val="00427E4E"/>
    <w:rsid w:val="00430B15"/>
    <w:rsid w:val="0043102F"/>
    <w:rsid w:val="0043113E"/>
    <w:rsid w:val="004325CB"/>
    <w:rsid w:val="00432D79"/>
    <w:rsid w:val="00433627"/>
    <w:rsid w:val="00437171"/>
    <w:rsid w:val="00437F2F"/>
    <w:rsid w:val="004402D3"/>
    <w:rsid w:val="00440976"/>
    <w:rsid w:val="00440A07"/>
    <w:rsid w:val="00442421"/>
    <w:rsid w:val="0044280C"/>
    <w:rsid w:val="00443503"/>
    <w:rsid w:val="00444164"/>
    <w:rsid w:val="00444B81"/>
    <w:rsid w:val="004469A2"/>
    <w:rsid w:val="00446DB9"/>
    <w:rsid w:val="0044710A"/>
    <w:rsid w:val="0045180A"/>
    <w:rsid w:val="00451D98"/>
    <w:rsid w:val="004524BA"/>
    <w:rsid w:val="004527AD"/>
    <w:rsid w:val="004528C2"/>
    <w:rsid w:val="00454AFD"/>
    <w:rsid w:val="00460E96"/>
    <w:rsid w:val="00461965"/>
    <w:rsid w:val="00461F4E"/>
    <w:rsid w:val="00462880"/>
    <w:rsid w:val="004630FB"/>
    <w:rsid w:val="004635DB"/>
    <w:rsid w:val="004636DB"/>
    <w:rsid w:val="00464BFE"/>
    <w:rsid w:val="004657EB"/>
    <w:rsid w:val="00465B0B"/>
    <w:rsid w:val="00466119"/>
    <w:rsid w:val="0046676F"/>
    <w:rsid w:val="004679F3"/>
    <w:rsid w:val="00467FD2"/>
    <w:rsid w:val="004703BF"/>
    <w:rsid w:val="004705E7"/>
    <w:rsid w:val="00471092"/>
    <w:rsid w:val="0047147C"/>
    <w:rsid w:val="004744B4"/>
    <w:rsid w:val="00474828"/>
    <w:rsid w:val="004759D9"/>
    <w:rsid w:val="00475A52"/>
    <w:rsid w:val="004761A3"/>
    <w:rsid w:val="00476674"/>
    <w:rsid w:val="00476D3B"/>
    <w:rsid w:val="00476E85"/>
    <w:rsid w:val="00476F24"/>
    <w:rsid w:val="00477630"/>
    <w:rsid w:val="004777F3"/>
    <w:rsid w:val="0048021F"/>
    <w:rsid w:val="004803AC"/>
    <w:rsid w:val="004807B7"/>
    <w:rsid w:val="0048082D"/>
    <w:rsid w:val="0048092E"/>
    <w:rsid w:val="00481FAB"/>
    <w:rsid w:val="00482AFF"/>
    <w:rsid w:val="00484A79"/>
    <w:rsid w:val="00486632"/>
    <w:rsid w:val="00486D71"/>
    <w:rsid w:val="00487E5A"/>
    <w:rsid w:val="00490830"/>
    <w:rsid w:val="00491578"/>
    <w:rsid w:val="004917A0"/>
    <w:rsid w:val="00492C5B"/>
    <w:rsid w:val="0049326A"/>
    <w:rsid w:val="0049339C"/>
    <w:rsid w:val="004934FC"/>
    <w:rsid w:val="004939C6"/>
    <w:rsid w:val="00495194"/>
    <w:rsid w:val="00495202"/>
    <w:rsid w:val="0049582A"/>
    <w:rsid w:val="00495E1A"/>
    <w:rsid w:val="00496294"/>
    <w:rsid w:val="004972BC"/>
    <w:rsid w:val="00497BB2"/>
    <w:rsid w:val="004A09F1"/>
    <w:rsid w:val="004A0DC2"/>
    <w:rsid w:val="004A1667"/>
    <w:rsid w:val="004A2FC2"/>
    <w:rsid w:val="004A38AC"/>
    <w:rsid w:val="004A3FF1"/>
    <w:rsid w:val="004A4036"/>
    <w:rsid w:val="004A4118"/>
    <w:rsid w:val="004A53B0"/>
    <w:rsid w:val="004A5ABE"/>
    <w:rsid w:val="004A65E6"/>
    <w:rsid w:val="004A66C2"/>
    <w:rsid w:val="004A6D3B"/>
    <w:rsid w:val="004B1E10"/>
    <w:rsid w:val="004B25D0"/>
    <w:rsid w:val="004B2844"/>
    <w:rsid w:val="004B3786"/>
    <w:rsid w:val="004B38AB"/>
    <w:rsid w:val="004B3F76"/>
    <w:rsid w:val="004B4FD4"/>
    <w:rsid w:val="004B6D99"/>
    <w:rsid w:val="004B7E0B"/>
    <w:rsid w:val="004C010F"/>
    <w:rsid w:val="004C1C9F"/>
    <w:rsid w:val="004C22A1"/>
    <w:rsid w:val="004C30A8"/>
    <w:rsid w:val="004C419B"/>
    <w:rsid w:val="004C4BDA"/>
    <w:rsid w:val="004C55B0"/>
    <w:rsid w:val="004C590F"/>
    <w:rsid w:val="004C71DF"/>
    <w:rsid w:val="004C7F2F"/>
    <w:rsid w:val="004D1198"/>
    <w:rsid w:val="004D13C5"/>
    <w:rsid w:val="004D24F1"/>
    <w:rsid w:val="004D260D"/>
    <w:rsid w:val="004D28B0"/>
    <w:rsid w:val="004D2E2E"/>
    <w:rsid w:val="004D5D5C"/>
    <w:rsid w:val="004D6064"/>
    <w:rsid w:val="004D690B"/>
    <w:rsid w:val="004D74CB"/>
    <w:rsid w:val="004D7552"/>
    <w:rsid w:val="004D7FA4"/>
    <w:rsid w:val="004E05E2"/>
    <w:rsid w:val="004E097F"/>
    <w:rsid w:val="004E1C11"/>
    <w:rsid w:val="004E1D34"/>
    <w:rsid w:val="004E2760"/>
    <w:rsid w:val="004E3DB2"/>
    <w:rsid w:val="004E4692"/>
    <w:rsid w:val="004E4DA4"/>
    <w:rsid w:val="004E699D"/>
    <w:rsid w:val="004E69B2"/>
    <w:rsid w:val="004E6D06"/>
    <w:rsid w:val="004E6D18"/>
    <w:rsid w:val="004F0277"/>
    <w:rsid w:val="004F0890"/>
    <w:rsid w:val="004F0A6F"/>
    <w:rsid w:val="004F3B0A"/>
    <w:rsid w:val="004F3DB7"/>
    <w:rsid w:val="004F4F12"/>
    <w:rsid w:val="004F5577"/>
    <w:rsid w:val="004F5DD8"/>
    <w:rsid w:val="004F6BA0"/>
    <w:rsid w:val="004F7FA5"/>
    <w:rsid w:val="0050067E"/>
    <w:rsid w:val="00502608"/>
    <w:rsid w:val="00502D7B"/>
    <w:rsid w:val="00503BEA"/>
    <w:rsid w:val="00504802"/>
    <w:rsid w:val="0050603C"/>
    <w:rsid w:val="0050627E"/>
    <w:rsid w:val="0050654C"/>
    <w:rsid w:val="00506870"/>
    <w:rsid w:val="005074D1"/>
    <w:rsid w:val="00507D24"/>
    <w:rsid w:val="00511975"/>
    <w:rsid w:val="00512243"/>
    <w:rsid w:val="0051285B"/>
    <w:rsid w:val="00512898"/>
    <w:rsid w:val="00512985"/>
    <w:rsid w:val="00513724"/>
    <w:rsid w:val="00513BDB"/>
    <w:rsid w:val="005150BA"/>
    <w:rsid w:val="0051571C"/>
    <w:rsid w:val="0051716A"/>
    <w:rsid w:val="00517998"/>
    <w:rsid w:val="00517CCE"/>
    <w:rsid w:val="00517D56"/>
    <w:rsid w:val="00520024"/>
    <w:rsid w:val="0052180E"/>
    <w:rsid w:val="0052195E"/>
    <w:rsid w:val="00523482"/>
    <w:rsid w:val="0052493E"/>
    <w:rsid w:val="00525890"/>
    <w:rsid w:val="00525E51"/>
    <w:rsid w:val="0052631E"/>
    <w:rsid w:val="005263A9"/>
    <w:rsid w:val="00526FE3"/>
    <w:rsid w:val="00527EA4"/>
    <w:rsid w:val="00530FD7"/>
    <w:rsid w:val="0053101B"/>
    <w:rsid w:val="00531D2C"/>
    <w:rsid w:val="00531F0C"/>
    <w:rsid w:val="00531FA3"/>
    <w:rsid w:val="0053288A"/>
    <w:rsid w:val="00532F7F"/>
    <w:rsid w:val="005331E8"/>
    <w:rsid w:val="00533616"/>
    <w:rsid w:val="005341F1"/>
    <w:rsid w:val="00534DD4"/>
    <w:rsid w:val="00535807"/>
    <w:rsid w:val="00535ABA"/>
    <w:rsid w:val="00535BFA"/>
    <w:rsid w:val="005360A3"/>
    <w:rsid w:val="00536A39"/>
    <w:rsid w:val="0053768B"/>
    <w:rsid w:val="00537952"/>
    <w:rsid w:val="0054018E"/>
    <w:rsid w:val="00540A8F"/>
    <w:rsid w:val="00541878"/>
    <w:rsid w:val="00541BB7"/>
    <w:rsid w:val="005420F2"/>
    <w:rsid w:val="0054214A"/>
    <w:rsid w:val="0054285C"/>
    <w:rsid w:val="005439ED"/>
    <w:rsid w:val="005441D4"/>
    <w:rsid w:val="005450D9"/>
    <w:rsid w:val="00545BCF"/>
    <w:rsid w:val="00545D31"/>
    <w:rsid w:val="00546526"/>
    <w:rsid w:val="00546751"/>
    <w:rsid w:val="00546C33"/>
    <w:rsid w:val="00546CA5"/>
    <w:rsid w:val="00546EEE"/>
    <w:rsid w:val="005472EB"/>
    <w:rsid w:val="00547ADD"/>
    <w:rsid w:val="00547EC6"/>
    <w:rsid w:val="00550FFF"/>
    <w:rsid w:val="00551DAF"/>
    <w:rsid w:val="00552878"/>
    <w:rsid w:val="00552AED"/>
    <w:rsid w:val="00552C73"/>
    <w:rsid w:val="00552F98"/>
    <w:rsid w:val="00553474"/>
    <w:rsid w:val="00553502"/>
    <w:rsid w:val="0055443A"/>
    <w:rsid w:val="00555597"/>
    <w:rsid w:val="00555D44"/>
    <w:rsid w:val="00556097"/>
    <w:rsid w:val="00556146"/>
    <w:rsid w:val="005562A7"/>
    <w:rsid w:val="00561956"/>
    <w:rsid w:val="00562958"/>
    <w:rsid w:val="0056449A"/>
    <w:rsid w:val="0056494E"/>
    <w:rsid w:val="00564BC6"/>
    <w:rsid w:val="00565E16"/>
    <w:rsid w:val="005666A6"/>
    <w:rsid w:val="00566FC6"/>
    <w:rsid w:val="005671B2"/>
    <w:rsid w:val="005708E4"/>
    <w:rsid w:val="00572DDF"/>
    <w:rsid w:val="00573A7D"/>
    <w:rsid w:val="00574DAB"/>
    <w:rsid w:val="00575F21"/>
    <w:rsid w:val="00576CC0"/>
    <w:rsid w:val="005770E8"/>
    <w:rsid w:val="00577993"/>
    <w:rsid w:val="00577B1E"/>
    <w:rsid w:val="00577C01"/>
    <w:rsid w:val="00580550"/>
    <w:rsid w:val="00582F9D"/>
    <w:rsid w:val="00582FDE"/>
    <w:rsid w:val="00583035"/>
    <w:rsid w:val="00584173"/>
    <w:rsid w:val="005846CB"/>
    <w:rsid w:val="00586B29"/>
    <w:rsid w:val="00586CE1"/>
    <w:rsid w:val="005874CE"/>
    <w:rsid w:val="00587C31"/>
    <w:rsid w:val="00587C4B"/>
    <w:rsid w:val="005907B8"/>
    <w:rsid w:val="0059318E"/>
    <w:rsid w:val="00593522"/>
    <w:rsid w:val="005936FF"/>
    <w:rsid w:val="00593DB8"/>
    <w:rsid w:val="005942A8"/>
    <w:rsid w:val="0059494E"/>
    <w:rsid w:val="00594CDF"/>
    <w:rsid w:val="00595343"/>
    <w:rsid w:val="00595520"/>
    <w:rsid w:val="00595A88"/>
    <w:rsid w:val="00596113"/>
    <w:rsid w:val="005A0673"/>
    <w:rsid w:val="005A1EFE"/>
    <w:rsid w:val="005A2255"/>
    <w:rsid w:val="005A25C6"/>
    <w:rsid w:val="005A25E3"/>
    <w:rsid w:val="005A269D"/>
    <w:rsid w:val="005A285E"/>
    <w:rsid w:val="005A2F55"/>
    <w:rsid w:val="005A430D"/>
    <w:rsid w:val="005A44B9"/>
    <w:rsid w:val="005A467C"/>
    <w:rsid w:val="005A47CA"/>
    <w:rsid w:val="005A7327"/>
    <w:rsid w:val="005A7F5B"/>
    <w:rsid w:val="005B1A85"/>
    <w:rsid w:val="005B1BA0"/>
    <w:rsid w:val="005B1F2A"/>
    <w:rsid w:val="005B2897"/>
    <w:rsid w:val="005B38A6"/>
    <w:rsid w:val="005B3C6A"/>
    <w:rsid w:val="005B3DB3"/>
    <w:rsid w:val="005B4980"/>
    <w:rsid w:val="005B6605"/>
    <w:rsid w:val="005B6E4A"/>
    <w:rsid w:val="005C07B6"/>
    <w:rsid w:val="005C0F43"/>
    <w:rsid w:val="005C2A86"/>
    <w:rsid w:val="005C30AF"/>
    <w:rsid w:val="005C3EB0"/>
    <w:rsid w:val="005C44D9"/>
    <w:rsid w:val="005C5A1D"/>
    <w:rsid w:val="005C5CBB"/>
    <w:rsid w:val="005C655A"/>
    <w:rsid w:val="005C6884"/>
    <w:rsid w:val="005C7287"/>
    <w:rsid w:val="005C7344"/>
    <w:rsid w:val="005C75FD"/>
    <w:rsid w:val="005C7CE7"/>
    <w:rsid w:val="005D000F"/>
    <w:rsid w:val="005D050D"/>
    <w:rsid w:val="005D07FD"/>
    <w:rsid w:val="005D15CA"/>
    <w:rsid w:val="005D2CB6"/>
    <w:rsid w:val="005D2FB3"/>
    <w:rsid w:val="005D3E4D"/>
    <w:rsid w:val="005D4FCD"/>
    <w:rsid w:val="005D5440"/>
    <w:rsid w:val="005E26A0"/>
    <w:rsid w:val="005E3B52"/>
    <w:rsid w:val="005E6C76"/>
    <w:rsid w:val="005F0F7C"/>
    <w:rsid w:val="005F22F8"/>
    <w:rsid w:val="005F23A4"/>
    <w:rsid w:val="005F3066"/>
    <w:rsid w:val="005F3E61"/>
    <w:rsid w:val="005F4FE7"/>
    <w:rsid w:val="005F53CC"/>
    <w:rsid w:val="005F5F36"/>
    <w:rsid w:val="005F63DE"/>
    <w:rsid w:val="00600384"/>
    <w:rsid w:val="006008E0"/>
    <w:rsid w:val="0060207C"/>
    <w:rsid w:val="00603A2F"/>
    <w:rsid w:val="00604476"/>
    <w:rsid w:val="006047AA"/>
    <w:rsid w:val="00604DDD"/>
    <w:rsid w:val="00604E19"/>
    <w:rsid w:val="00604E84"/>
    <w:rsid w:val="00606380"/>
    <w:rsid w:val="006066EE"/>
    <w:rsid w:val="00610E99"/>
    <w:rsid w:val="00611306"/>
    <w:rsid w:val="00611395"/>
    <w:rsid w:val="006115CC"/>
    <w:rsid w:val="00611FC4"/>
    <w:rsid w:val="00612522"/>
    <w:rsid w:val="0061349E"/>
    <w:rsid w:val="00614380"/>
    <w:rsid w:val="006144A8"/>
    <w:rsid w:val="00615AC5"/>
    <w:rsid w:val="00615B65"/>
    <w:rsid w:val="006167C7"/>
    <w:rsid w:val="00616E4A"/>
    <w:rsid w:val="00616F19"/>
    <w:rsid w:val="006176FB"/>
    <w:rsid w:val="006236D0"/>
    <w:rsid w:val="0062378D"/>
    <w:rsid w:val="006239B2"/>
    <w:rsid w:val="0062578E"/>
    <w:rsid w:val="00625B83"/>
    <w:rsid w:val="00625BBA"/>
    <w:rsid w:val="00626B06"/>
    <w:rsid w:val="00627070"/>
    <w:rsid w:val="00627420"/>
    <w:rsid w:val="00630A7F"/>
    <w:rsid w:val="00630FCB"/>
    <w:rsid w:val="0063102D"/>
    <w:rsid w:val="006318F1"/>
    <w:rsid w:val="00631C64"/>
    <w:rsid w:val="0063229B"/>
    <w:rsid w:val="006335CB"/>
    <w:rsid w:val="006367C2"/>
    <w:rsid w:val="00636A8C"/>
    <w:rsid w:val="00636FD6"/>
    <w:rsid w:val="0063729E"/>
    <w:rsid w:val="00637924"/>
    <w:rsid w:val="00637BD8"/>
    <w:rsid w:val="0064002E"/>
    <w:rsid w:val="006402F1"/>
    <w:rsid w:val="006403F0"/>
    <w:rsid w:val="00640587"/>
    <w:rsid w:val="00640B26"/>
    <w:rsid w:val="00641047"/>
    <w:rsid w:val="006411A3"/>
    <w:rsid w:val="00641F7A"/>
    <w:rsid w:val="00643C2C"/>
    <w:rsid w:val="00644474"/>
    <w:rsid w:val="006459DE"/>
    <w:rsid w:val="0064635A"/>
    <w:rsid w:val="00646E3E"/>
    <w:rsid w:val="00647C83"/>
    <w:rsid w:val="0065191F"/>
    <w:rsid w:val="00651A69"/>
    <w:rsid w:val="00651A70"/>
    <w:rsid w:val="00652BF2"/>
    <w:rsid w:val="00652ED1"/>
    <w:rsid w:val="00653605"/>
    <w:rsid w:val="00653723"/>
    <w:rsid w:val="006540FE"/>
    <w:rsid w:val="00654B99"/>
    <w:rsid w:val="00655FDE"/>
    <w:rsid w:val="00656E17"/>
    <w:rsid w:val="00660C5D"/>
    <w:rsid w:val="00661A4B"/>
    <w:rsid w:val="006621AD"/>
    <w:rsid w:val="00663F89"/>
    <w:rsid w:val="00664F55"/>
    <w:rsid w:val="00666846"/>
    <w:rsid w:val="00667E95"/>
    <w:rsid w:val="00667FA2"/>
    <w:rsid w:val="00671402"/>
    <w:rsid w:val="00673156"/>
    <w:rsid w:val="00674AF8"/>
    <w:rsid w:val="00675DBD"/>
    <w:rsid w:val="00676E81"/>
    <w:rsid w:val="00676ECE"/>
    <w:rsid w:val="006770B2"/>
    <w:rsid w:val="00677D70"/>
    <w:rsid w:val="00677DF4"/>
    <w:rsid w:val="00680C92"/>
    <w:rsid w:val="00681CE6"/>
    <w:rsid w:val="00682196"/>
    <w:rsid w:val="00682C19"/>
    <w:rsid w:val="00683167"/>
    <w:rsid w:val="00683C0A"/>
    <w:rsid w:val="006843E3"/>
    <w:rsid w:val="00684468"/>
    <w:rsid w:val="00684ADC"/>
    <w:rsid w:val="00684BFA"/>
    <w:rsid w:val="0068707F"/>
    <w:rsid w:val="0068782B"/>
    <w:rsid w:val="00690DAF"/>
    <w:rsid w:val="006913E1"/>
    <w:rsid w:val="00691D51"/>
    <w:rsid w:val="006929EE"/>
    <w:rsid w:val="0069319A"/>
    <w:rsid w:val="0069361B"/>
    <w:rsid w:val="006940E1"/>
    <w:rsid w:val="00694C82"/>
    <w:rsid w:val="006952E3"/>
    <w:rsid w:val="00696C9A"/>
    <w:rsid w:val="006970FF"/>
    <w:rsid w:val="006A15D7"/>
    <w:rsid w:val="006A26FC"/>
    <w:rsid w:val="006A28A3"/>
    <w:rsid w:val="006A3446"/>
    <w:rsid w:val="006A3C72"/>
    <w:rsid w:val="006A48F6"/>
    <w:rsid w:val="006A509F"/>
    <w:rsid w:val="006A53F8"/>
    <w:rsid w:val="006A5423"/>
    <w:rsid w:val="006A5D08"/>
    <w:rsid w:val="006A60D7"/>
    <w:rsid w:val="006A67F3"/>
    <w:rsid w:val="006A6F49"/>
    <w:rsid w:val="006A6F81"/>
    <w:rsid w:val="006A7045"/>
    <w:rsid w:val="006A7392"/>
    <w:rsid w:val="006A777A"/>
    <w:rsid w:val="006A7975"/>
    <w:rsid w:val="006B03A1"/>
    <w:rsid w:val="006B0C94"/>
    <w:rsid w:val="006B2C24"/>
    <w:rsid w:val="006B3019"/>
    <w:rsid w:val="006B30FC"/>
    <w:rsid w:val="006B381B"/>
    <w:rsid w:val="006B3DDD"/>
    <w:rsid w:val="006B3ED4"/>
    <w:rsid w:val="006B3EFA"/>
    <w:rsid w:val="006B445B"/>
    <w:rsid w:val="006B4892"/>
    <w:rsid w:val="006B4D0C"/>
    <w:rsid w:val="006B5592"/>
    <w:rsid w:val="006B6731"/>
    <w:rsid w:val="006B67D9"/>
    <w:rsid w:val="006B781E"/>
    <w:rsid w:val="006C12A8"/>
    <w:rsid w:val="006C1858"/>
    <w:rsid w:val="006C2066"/>
    <w:rsid w:val="006C2AA6"/>
    <w:rsid w:val="006C2E89"/>
    <w:rsid w:val="006C347B"/>
    <w:rsid w:val="006C5535"/>
    <w:rsid w:val="006C6708"/>
    <w:rsid w:val="006C7A45"/>
    <w:rsid w:val="006C7E3A"/>
    <w:rsid w:val="006D0399"/>
    <w:rsid w:val="006D0589"/>
    <w:rsid w:val="006D15BB"/>
    <w:rsid w:val="006D293C"/>
    <w:rsid w:val="006D3751"/>
    <w:rsid w:val="006D40FA"/>
    <w:rsid w:val="006D4C43"/>
    <w:rsid w:val="006D5619"/>
    <w:rsid w:val="006D5624"/>
    <w:rsid w:val="006D6A2E"/>
    <w:rsid w:val="006E072C"/>
    <w:rsid w:val="006E07F1"/>
    <w:rsid w:val="006E0DA0"/>
    <w:rsid w:val="006E1689"/>
    <w:rsid w:val="006E1D45"/>
    <w:rsid w:val="006E261A"/>
    <w:rsid w:val="006E3A52"/>
    <w:rsid w:val="006E470A"/>
    <w:rsid w:val="006E564B"/>
    <w:rsid w:val="006E573C"/>
    <w:rsid w:val="006E6E23"/>
    <w:rsid w:val="006E7154"/>
    <w:rsid w:val="006E7A2A"/>
    <w:rsid w:val="006F13B0"/>
    <w:rsid w:val="006F2077"/>
    <w:rsid w:val="006F26FB"/>
    <w:rsid w:val="006F2B16"/>
    <w:rsid w:val="006F7379"/>
    <w:rsid w:val="006F7735"/>
    <w:rsid w:val="006F79FF"/>
    <w:rsid w:val="006F7A38"/>
    <w:rsid w:val="006F7E76"/>
    <w:rsid w:val="006F7E91"/>
    <w:rsid w:val="007003CD"/>
    <w:rsid w:val="007007D3"/>
    <w:rsid w:val="007010F4"/>
    <w:rsid w:val="00701DE7"/>
    <w:rsid w:val="00703065"/>
    <w:rsid w:val="007037FA"/>
    <w:rsid w:val="00703DAE"/>
    <w:rsid w:val="007044B5"/>
    <w:rsid w:val="00704D4E"/>
    <w:rsid w:val="0070604A"/>
    <w:rsid w:val="007062A9"/>
    <w:rsid w:val="00706D9A"/>
    <w:rsid w:val="0070701E"/>
    <w:rsid w:val="007075BE"/>
    <w:rsid w:val="00707615"/>
    <w:rsid w:val="007078EA"/>
    <w:rsid w:val="0071002B"/>
    <w:rsid w:val="00710054"/>
    <w:rsid w:val="007108B4"/>
    <w:rsid w:val="00710E35"/>
    <w:rsid w:val="007115A4"/>
    <w:rsid w:val="00711956"/>
    <w:rsid w:val="00711B30"/>
    <w:rsid w:val="00712B42"/>
    <w:rsid w:val="00712C76"/>
    <w:rsid w:val="00713007"/>
    <w:rsid w:val="00713686"/>
    <w:rsid w:val="00713D7C"/>
    <w:rsid w:val="007140EF"/>
    <w:rsid w:val="00714347"/>
    <w:rsid w:val="00716CF5"/>
    <w:rsid w:val="007175C9"/>
    <w:rsid w:val="007200B5"/>
    <w:rsid w:val="00720115"/>
    <w:rsid w:val="00721281"/>
    <w:rsid w:val="0072271A"/>
    <w:rsid w:val="00722885"/>
    <w:rsid w:val="00724CF9"/>
    <w:rsid w:val="00725C72"/>
    <w:rsid w:val="00726202"/>
    <w:rsid w:val="0072632A"/>
    <w:rsid w:val="007265E1"/>
    <w:rsid w:val="00726669"/>
    <w:rsid w:val="00726BB1"/>
    <w:rsid w:val="007337AC"/>
    <w:rsid w:val="007358E8"/>
    <w:rsid w:val="00735F0D"/>
    <w:rsid w:val="00736ECE"/>
    <w:rsid w:val="00737890"/>
    <w:rsid w:val="00737981"/>
    <w:rsid w:val="00737B3D"/>
    <w:rsid w:val="00740F86"/>
    <w:rsid w:val="007423CC"/>
    <w:rsid w:val="00742E8B"/>
    <w:rsid w:val="00743094"/>
    <w:rsid w:val="0074353C"/>
    <w:rsid w:val="00743572"/>
    <w:rsid w:val="00743EA4"/>
    <w:rsid w:val="00744391"/>
    <w:rsid w:val="00744D6A"/>
    <w:rsid w:val="00744F50"/>
    <w:rsid w:val="0074533B"/>
    <w:rsid w:val="00746268"/>
    <w:rsid w:val="007464BC"/>
    <w:rsid w:val="007464D3"/>
    <w:rsid w:val="00746974"/>
    <w:rsid w:val="007474C1"/>
    <w:rsid w:val="00747E18"/>
    <w:rsid w:val="0075047C"/>
    <w:rsid w:val="00750718"/>
    <w:rsid w:val="00750827"/>
    <w:rsid w:val="007519A9"/>
    <w:rsid w:val="007528CB"/>
    <w:rsid w:val="00753FEC"/>
    <w:rsid w:val="00755751"/>
    <w:rsid w:val="00755E4A"/>
    <w:rsid w:val="00756759"/>
    <w:rsid w:val="00760761"/>
    <w:rsid w:val="007609F3"/>
    <w:rsid w:val="00761BF6"/>
    <w:rsid w:val="00762626"/>
    <w:rsid w:val="00762A26"/>
    <w:rsid w:val="00763954"/>
    <w:rsid w:val="00763A25"/>
    <w:rsid w:val="007643BC"/>
    <w:rsid w:val="0076481D"/>
    <w:rsid w:val="007653C8"/>
    <w:rsid w:val="0076547E"/>
    <w:rsid w:val="00765F1E"/>
    <w:rsid w:val="00766F10"/>
    <w:rsid w:val="007714C0"/>
    <w:rsid w:val="007735B9"/>
    <w:rsid w:val="00774E93"/>
    <w:rsid w:val="00776959"/>
    <w:rsid w:val="00776BBE"/>
    <w:rsid w:val="00783E00"/>
    <w:rsid w:val="0078467F"/>
    <w:rsid w:val="007864DA"/>
    <w:rsid w:val="00786676"/>
    <w:rsid w:val="007914CD"/>
    <w:rsid w:val="00791CAB"/>
    <w:rsid w:val="00793CDD"/>
    <w:rsid w:val="00795746"/>
    <w:rsid w:val="007959FE"/>
    <w:rsid w:val="007A00A1"/>
    <w:rsid w:val="007A0CF1"/>
    <w:rsid w:val="007A1337"/>
    <w:rsid w:val="007A14B3"/>
    <w:rsid w:val="007A1E16"/>
    <w:rsid w:val="007A371B"/>
    <w:rsid w:val="007A37C9"/>
    <w:rsid w:val="007A38D4"/>
    <w:rsid w:val="007A3A48"/>
    <w:rsid w:val="007A5083"/>
    <w:rsid w:val="007A5C5E"/>
    <w:rsid w:val="007A5F11"/>
    <w:rsid w:val="007A730D"/>
    <w:rsid w:val="007A7F2C"/>
    <w:rsid w:val="007A7F31"/>
    <w:rsid w:val="007B0B9B"/>
    <w:rsid w:val="007B1031"/>
    <w:rsid w:val="007B186F"/>
    <w:rsid w:val="007B228B"/>
    <w:rsid w:val="007B25B2"/>
    <w:rsid w:val="007B3538"/>
    <w:rsid w:val="007B3A2F"/>
    <w:rsid w:val="007B3C55"/>
    <w:rsid w:val="007B41FB"/>
    <w:rsid w:val="007B5109"/>
    <w:rsid w:val="007B518F"/>
    <w:rsid w:val="007B53A2"/>
    <w:rsid w:val="007B5A23"/>
    <w:rsid w:val="007B5CB4"/>
    <w:rsid w:val="007B5E74"/>
    <w:rsid w:val="007B6A03"/>
    <w:rsid w:val="007B6BA5"/>
    <w:rsid w:val="007B72A5"/>
    <w:rsid w:val="007B73D0"/>
    <w:rsid w:val="007B7D86"/>
    <w:rsid w:val="007C004B"/>
    <w:rsid w:val="007C0C4C"/>
    <w:rsid w:val="007C15E4"/>
    <w:rsid w:val="007C16B4"/>
    <w:rsid w:val="007C1948"/>
    <w:rsid w:val="007C2B07"/>
    <w:rsid w:val="007C2DEE"/>
    <w:rsid w:val="007C3390"/>
    <w:rsid w:val="007C35D4"/>
    <w:rsid w:val="007C3938"/>
    <w:rsid w:val="007C42D8"/>
    <w:rsid w:val="007C4C82"/>
    <w:rsid w:val="007C4F4B"/>
    <w:rsid w:val="007C5AD8"/>
    <w:rsid w:val="007C6059"/>
    <w:rsid w:val="007C7022"/>
    <w:rsid w:val="007C7070"/>
    <w:rsid w:val="007C7A69"/>
    <w:rsid w:val="007D0121"/>
    <w:rsid w:val="007D0659"/>
    <w:rsid w:val="007D1169"/>
    <w:rsid w:val="007D11CE"/>
    <w:rsid w:val="007D13B0"/>
    <w:rsid w:val="007D13F9"/>
    <w:rsid w:val="007D1459"/>
    <w:rsid w:val="007D1AC6"/>
    <w:rsid w:val="007D4E5A"/>
    <w:rsid w:val="007D542B"/>
    <w:rsid w:val="007D59EE"/>
    <w:rsid w:val="007D66C3"/>
    <w:rsid w:val="007D66EB"/>
    <w:rsid w:val="007D6B7E"/>
    <w:rsid w:val="007D7362"/>
    <w:rsid w:val="007D7B8A"/>
    <w:rsid w:val="007E0837"/>
    <w:rsid w:val="007E0ADF"/>
    <w:rsid w:val="007E0C26"/>
    <w:rsid w:val="007E127C"/>
    <w:rsid w:val="007E395A"/>
    <w:rsid w:val="007E41D2"/>
    <w:rsid w:val="007E45FC"/>
    <w:rsid w:val="007E4882"/>
    <w:rsid w:val="007E4E07"/>
    <w:rsid w:val="007E74CD"/>
    <w:rsid w:val="007E7557"/>
    <w:rsid w:val="007E7D0F"/>
    <w:rsid w:val="007F09E7"/>
    <w:rsid w:val="007F0ADA"/>
    <w:rsid w:val="007F0BE6"/>
    <w:rsid w:val="007F17D2"/>
    <w:rsid w:val="007F1AA9"/>
    <w:rsid w:val="007F3304"/>
    <w:rsid w:val="007F36AB"/>
    <w:rsid w:val="007F3849"/>
    <w:rsid w:val="007F4298"/>
    <w:rsid w:val="007F4968"/>
    <w:rsid w:val="007F537E"/>
    <w:rsid w:val="007F5CE2"/>
    <w:rsid w:val="007F5D02"/>
    <w:rsid w:val="007F6217"/>
    <w:rsid w:val="007F6237"/>
    <w:rsid w:val="007F6611"/>
    <w:rsid w:val="007F6C5B"/>
    <w:rsid w:val="00800135"/>
    <w:rsid w:val="00800756"/>
    <w:rsid w:val="008009EC"/>
    <w:rsid w:val="00800BB7"/>
    <w:rsid w:val="00801EFE"/>
    <w:rsid w:val="00802DCD"/>
    <w:rsid w:val="00803446"/>
    <w:rsid w:val="00803856"/>
    <w:rsid w:val="00803EB8"/>
    <w:rsid w:val="00804B8A"/>
    <w:rsid w:val="00804F68"/>
    <w:rsid w:val="00806EED"/>
    <w:rsid w:val="00810730"/>
    <w:rsid w:val="00810BAC"/>
    <w:rsid w:val="00811150"/>
    <w:rsid w:val="0081268F"/>
    <w:rsid w:val="00812A96"/>
    <w:rsid w:val="0081464B"/>
    <w:rsid w:val="00815A52"/>
    <w:rsid w:val="00816087"/>
    <w:rsid w:val="00817465"/>
    <w:rsid w:val="008175E9"/>
    <w:rsid w:val="00817926"/>
    <w:rsid w:val="00817A30"/>
    <w:rsid w:val="00817D64"/>
    <w:rsid w:val="00820453"/>
    <w:rsid w:val="00820586"/>
    <w:rsid w:val="00820626"/>
    <w:rsid w:val="00820A5B"/>
    <w:rsid w:val="0082184A"/>
    <w:rsid w:val="008227B6"/>
    <w:rsid w:val="008232F1"/>
    <w:rsid w:val="0082376F"/>
    <w:rsid w:val="008238B4"/>
    <w:rsid w:val="00823A2C"/>
    <w:rsid w:val="00824165"/>
    <w:rsid w:val="008242D7"/>
    <w:rsid w:val="00825265"/>
    <w:rsid w:val="0082577B"/>
    <w:rsid w:val="00827D08"/>
    <w:rsid w:val="00827E53"/>
    <w:rsid w:val="008302CB"/>
    <w:rsid w:val="00831F6D"/>
    <w:rsid w:val="00832A42"/>
    <w:rsid w:val="0083301F"/>
    <w:rsid w:val="00834234"/>
    <w:rsid w:val="00834430"/>
    <w:rsid w:val="008344C8"/>
    <w:rsid w:val="00836AF6"/>
    <w:rsid w:val="00837407"/>
    <w:rsid w:val="00837781"/>
    <w:rsid w:val="00840243"/>
    <w:rsid w:val="00840355"/>
    <w:rsid w:val="008406A6"/>
    <w:rsid w:val="008408DF"/>
    <w:rsid w:val="00841A60"/>
    <w:rsid w:val="00841ABA"/>
    <w:rsid w:val="008422B3"/>
    <w:rsid w:val="00842764"/>
    <w:rsid w:val="0084338A"/>
    <w:rsid w:val="0084402D"/>
    <w:rsid w:val="00844D58"/>
    <w:rsid w:val="008451FE"/>
    <w:rsid w:val="00845445"/>
    <w:rsid w:val="00846D33"/>
    <w:rsid w:val="0085036B"/>
    <w:rsid w:val="008507FB"/>
    <w:rsid w:val="00850F72"/>
    <w:rsid w:val="0085172F"/>
    <w:rsid w:val="00853AB8"/>
    <w:rsid w:val="00853F72"/>
    <w:rsid w:val="00854CF4"/>
    <w:rsid w:val="00855F1D"/>
    <w:rsid w:val="0085603B"/>
    <w:rsid w:val="0085639E"/>
    <w:rsid w:val="0085746B"/>
    <w:rsid w:val="00857792"/>
    <w:rsid w:val="00857BDC"/>
    <w:rsid w:val="00862A98"/>
    <w:rsid w:val="00862BC3"/>
    <w:rsid w:val="008635CD"/>
    <w:rsid w:val="008637AD"/>
    <w:rsid w:val="00864490"/>
    <w:rsid w:val="00864B3E"/>
    <w:rsid w:val="00864CDF"/>
    <w:rsid w:val="00865929"/>
    <w:rsid w:val="00866522"/>
    <w:rsid w:val="00866893"/>
    <w:rsid w:val="00866F02"/>
    <w:rsid w:val="008672C5"/>
    <w:rsid w:val="00867BE1"/>
    <w:rsid w:val="00867D18"/>
    <w:rsid w:val="00870C04"/>
    <w:rsid w:val="008710B0"/>
    <w:rsid w:val="0087192C"/>
    <w:rsid w:val="00871F9A"/>
    <w:rsid w:val="00871FD5"/>
    <w:rsid w:val="00872E00"/>
    <w:rsid w:val="00872E9C"/>
    <w:rsid w:val="008739DF"/>
    <w:rsid w:val="0087418F"/>
    <w:rsid w:val="00874449"/>
    <w:rsid w:val="00874BB2"/>
    <w:rsid w:val="00875B84"/>
    <w:rsid w:val="00876435"/>
    <w:rsid w:val="00877167"/>
    <w:rsid w:val="00877D39"/>
    <w:rsid w:val="008806E8"/>
    <w:rsid w:val="0088172E"/>
    <w:rsid w:val="00881C7F"/>
    <w:rsid w:val="00881EAA"/>
    <w:rsid w:val="00881EFA"/>
    <w:rsid w:val="00881F5E"/>
    <w:rsid w:val="00882597"/>
    <w:rsid w:val="008831CB"/>
    <w:rsid w:val="008836A8"/>
    <w:rsid w:val="00885368"/>
    <w:rsid w:val="00885937"/>
    <w:rsid w:val="00885C77"/>
    <w:rsid w:val="00885F19"/>
    <w:rsid w:val="008873EB"/>
    <w:rsid w:val="008879CB"/>
    <w:rsid w:val="008904E9"/>
    <w:rsid w:val="00890F81"/>
    <w:rsid w:val="0089184A"/>
    <w:rsid w:val="008920C5"/>
    <w:rsid w:val="008929CD"/>
    <w:rsid w:val="00892DE2"/>
    <w:rsid w:val="00893207"/>
    <w:rsid w:val="00893219"/>
    <w:rsid w:val="00893AF8"/>
    <w:rsid w:val="00893B8A"/>
    <w:rsid w:val="00894A36"/>
    <w:rsid w:val="00895887"/>
    <w:rsid w:val="00895F30"/>
    <w:rsid w:val="008979B1"/>
    <w:rsid w:val="008A26DC"/>
    <w:rsid w:val="008A3DF0"/>
    <w:rsid w:val="008A4814"/>
    <w:rsid w:val="008A5AF7"/>
    <w:rsid w:val="008A6263"/>
    <w:rsid w:val="008A645D"/>
    <w:rsid w:val="008A6B25"/>
    <w:rsid w:val="008A6C4F"/>
    <w:rsid w:val="008A6DC7"/>
    <w:rsid w:val="008A7AE2"/>
    <w:rsid w:val="008A7F32"/>
    <w:rsid w:val="008B0174"/>
    <w:rsid w:val="008B0B7D"/>
    <w:rsid w:val="008B183A"/>
    <w:rsid w:val="008B1991"/>
    <w:rsid w:val="008B1AEA"/>
    <w:rsid w:val="008B25D6"/>
    <w:rsid w:val="008B389E"/>
    <w:rsid w:val="008B3F05"/>
    <w:rsid w:val="008B41F1"/>
    <w:rsid w:val="008B4947"/>
    <w:rsid w:val="008B4E57"/>
    <w:rsid w:val="008B5157"/>
    <w:rsid w:val="008B64E9"/>
    <w:rsid w:val="008B6944"/>
    <w:rsid w:val="008C1ADD"/>
    <w:rsid w:val="008C25E9"/>
    <w:rsid w:val="008C2618"/>
    <w:rsid w:val="008C353E"/>
    <w:rsid w:val="008C50CF"/>
    <w:rsid w:val="008C5499"/>
    <w:rsid w:val="008C5BA0"/>
    <w:rsid w:val="008C6322"/>
    <w:rsid w:val="008C6B37"/>
    <w:rsid w:val="008C6C31"/>
    <w:rsid w:val="008D045E"/>
    <w:rsid w:val="008D0F21"/>
    <w:rsid w:val="008D12BF"/>
    <w:rsid w:val="008D1D09"/>
    <w:rsid w:val="008D2E47"/>
    <w:rsid w:val="008D36DC"/>
    <w:rsid w:val="008D3F25"/>
    <w:rsid w:val="008D4296"/>
    <w:rsid w:val="008D4D82"/>
    <w:rsid w:val="008D4E2B"/>
    <w:rsid w:val="008D6EFD"/>
    <w:rsid w:val="008D76BD"/>
    <w:rsid w:val="008E0B0A"/>
    <w:rsid w:val="008E0E46"/>
    <w:rsid w:val="008E2185"/>
    <w:rsid w:val="008E34B9"/>
    <w:rsid w:val="008E3C55"/>
    <w:rsid w:val="008E42CC"/>
    <w:rsid w:val="008E4581"/>
    <w:rsid w:val="008E504D"/>
    <w:rsid w:val="008E56A6"/>
    <w:rsid w:val="008E58AB"/>
    <w:rsid w:val="008E5C48"/>
    <w:rsid w:val="008E6ACD"/>
    <w:rsid w:val="008E6EF9"/>
    <w:rsid w:val="008E7116"/>
    <w:rsid w:val="008E78C8"/>
    <w:rsid w:val="008E7E29"/>
    <w:rsid w:val="008F0B41"/>
    <w:rsid w:val="008F143B"/>
    <w:rsid w:val="008F17EA"/>
    <w:rsid w:val="008F1A96"/>
    <w:rsid w:val="008F1DE6"/>
    <w:rsid w:val="008F1F09"/>
    <w:rsid w:val="008F2685"/>
    <w:rsid w:val="008F2DEF"/>
    <w:rsid w:val="008F2E9A"/>
    <w:rsid w:val="008F3882"/>
    <w:rsid w:val="008F4A90"/>
    <w:rsid w:val="008F4B7C"/>
    <w:rsid w:val="008F4EA7"/>
    <w:rsid w:val="008F547A"/>
    <w:rsid w:val="008F6DB8"/>
    <w:rsid w:val="008F7BDF"/>
    <w:rsid w:val="00900A0C"/>
    <w:rsid w:val="00900C29"/>
    <w:rsid w:val="009013EC"/>
    <w:rsid w:val="00901D30"/>
    <w:rsid w:val="00902338"/>
    <w:rsid w:val="00902A20"/>
    <w:rsid w:val="00902AA9"/>
    <w:rsid w:val="00907F85"/>
    <w:rsid w:val="00910695"/>
    <w:rsid w:val="009117C4"/>
    <w:rsid w:val="009119DD"/>
    <w:rsid w:val="00912407"/>
    <w:rsid w:val="0091279A"/>
    <w:rsid w:val="009130BD"/>
    <w:rsid w:val="00913982"/>
    <w:rsid w:val="00913C16"/>
    <w:rsid w:val="009147FE"/>
    <w:rsid w:val="00914B98"/>
    <w:rsid w:val="00915101"/>
    <w:rsid w:val="009153C5"/>
    <w:rsid w:val="009154AF"/>
    <w:rsid w:val="00915B42"/>
    <w:rsid w:val="0091668F"/>
    <w:rsid w:val="0091685C"/>
    <w:rsid w:val="009173DA"/>
    <w:rsid w:val="00922C23"/>
    <w:rsid w:val="00923086"/>
    <w:rsid w:val="00923529"/>
    <w:rsid w:val="00923909"/>
    <w:rsid w:val="0092444E"/>
    <w:rsid w:val="00925A4C"/>
    <w:rsid w:val="009268C7"/>
    <w:rsid w:val="00926E47"/>
    <w:rsid w:val="00926E8B"/>
    <w:rsid w:val="00931813"/>
    <w:rsid w:val="00931B92"/>
    <w:rsid w:val="00934683"/>
    <w:rsid w:val="00934C66"/>
    <w:rsid w:val="0093525F"/>
    <w:rsid w:val="009360ED"/>
    <w:rsid w:val="0093654E"/>
    <w:rsid w:val="00937818"/>
    <w:rsid w:val="00937A89"/>
    <w:rsid w:val="00937B95"/>
    <w:rsid w:val="00940059"/>
    <w:rsid w:val="0094236B"/>
    <w:rsid w:val="00942FE6"/>
    <w:rsid w:val="009441D7"/>
    <w:rsid w:val="00944A8A"/>
    <w:rsid w:val="00944F1C"/>
    <w:rsid w:val="00945A74"/>
    <w:rsid w:val="00945D79"/>
    <w:rsid w:val="00947162"/>
    <w:rsid w:val="009474C3"/>
    <w:rsid w:val="00950346"/>
    <w:rsid w:val="0095294B"/>
    <w:rsid w:val="009538F4"/>
    <w:rsid w:val="009542A2"/>
    <w:rsid w:val="00954AA2"/>
    <w:rsid w:val="00954E99"/>
    <w:rsid w:val="009553E7"/>
    <w:rsid w:val="009557E7"/>
    <w:rsid w:val="00955D5F"/>
    <w:rsid w:val="00956F82"/>
    <w:rsid w:val="00960CBD"/>
    <w:rsid w:val="009610D0"/>
    <w:rsid w:val="0096375C"/>
    <w:rsid w:val="00965147"/>
    <w:rsid w:val="00965339"/>
    <w:rsid w:val="00965E8F"/>
    <w:rsid w:val="009662E6"/>
    <w:rsid w:val="009674C3"/>
    <w:rsid w:val="00967F44"/>
    <w:rsid w:val="00970336"/>
    <w:rsid w:val="0097095E"/>
    <w:rsid w:val="00970F16"/>
    <w:rsid w:val="00971357"/>
    <w:rsid w:val="009714DB"/>
    <w:rsid w:val="009720F1"/>
    <w:rsid w:val="009728E2"/>
    <w:rsid w:val="00972CB6"/>
    <w:rsid w:val="00973AA4"/>
    <w:rsid w:val="00974DF2"/>
    <w:rsid w:val="00975F24"/>
    <w:rsid w:val="0097678F"/>
    <w:rsid w:val="00976D18"/>
    <w:rsid w:val="009772C4"/>
    <w:rsid w:val="00977BB9"/>
    <w:rsid w:val="00980870"/>
    <w:rsid w:val="00980E29"/>
    <w:rsid w:val="0098150F"/>
    <w:rsid w:val="009819C8"/>
    <w:rsid w:val="00982676"/>
    <w:rsid w:val="00983A00"/>
    <w:rsid w:val="0098404F"/>
    <w:rsid w:val="0098480F"/>
    <w:rsid w:val="009849D1"/>
    <w:rsid w:val="0098592B"/>
    <w:rsid w:val="00985D5E"/>
    <w:rsid w:val="00985D8A"/>
    <w:rsid w:val="00985FC4"/>
    <w:rsid w:val="00986126"/>
    <w:rsid w:val="00986298"/>
    <w:rsid w:val="00987202"/>
    <w:rsid w:val="00987370"/>
    <w:rsid w:val="00987742"/>
    <w:rsid w:val="009879EE"/>
    <w:rsid w:val="00987C7B"/>
    <w:rsid w:val="00990766"/>
    <w:rsid w:val="00990D58"/>
    <w:rsid w:val="00991198"/>
    <w:rsid w:val="00991261"/>
    <w:rsid w:val="009935D3"/>
    <w:rsid w:val="009937FE"/>
    <w:rsid w:val="00993BBD"/>
    <w:rsid w:val="00994432"/>
    <w:rsid w:val="00994DCB"/>
    <w:rsid w:val="0099508E"/>
    <w:rsid w:val="009964C4"/>
    <w:rsid w:val="00996DFF"/>
    <w:rsid w:val="00997D4F"/>
    <w:rsid w:val="009A06A7"/>
    <w:rsid w:val="009A111F"/>
    <w:rsid w:val="009A14C2"/>
    <w:rsid w:val="009A53BA"/>
    <w:rsid w:val="009A5F9B"/>
    <w:rsid w:val="009A67CB"/>
    <w:rsid w:val="009A7B81"/>
    <w:rsid w:val="009A7CA7"/>
    <w:rsid w:val="009A7EE2"/>
    <w:rsid w:val="009B08B5"/>
    <w:rsid w:val="009B0D97"/>
    <w:rsid w:val="009B201C"/>
    <w:rsid w:val="009B3DBD"/>
    <w:rsid w:val="009B3EC8"/>
    <w:rsid w:val="009B47B7"/>
    <w:rsid w:val="009B64D5"/>
    <w:rsid w:val="009B67EF"/>
    <w:rsid w:val="009B7859"/>
    <w:rsid w:val="009B78F3"/>
    <w:rsid w:val="009C0AB5"/>
    <w:rsid w:val="009C10D5"/>
    <w:rsid w:val="009C1FDC"/>
    <w:rsid w:val="009C237B"/>
    <w:rsid w:val="009C25D5"/>
    <w:rsid w:val="009C2E5B"/>
    <w:rsid w:val="009C393E"/>
    <w:rsid w:val="009C4BE1"/>
    <w:rsid w:val="009C5578"/>
    <w:rsid w:val="009C55C4"/>
    <w:rsid w:val="009C5CCD"/>
    <w:rsid w:val="009C7C0A"/>
    <w:rsid w:val="009D01C0"/>
    <w:rsid w:val="009D1A13"/>
    <w:rsid w:val="009D266E"/>
    <w:rsid w:val="009D3A20"/>
    <w:rsid w:val="009D3C93"/>
    <w:rsid w:val="009D45A7"/>
    <w:rsid w:val="009D47BC"/>
    <w:rsid w:val="009D5933"/>
    <w:rsid w:val="009D6A08"/>
    <w:rsid w:val="009D7891"/>
    <w:rsid w:val="009E00F7"/>
    <w:rsid w:val="009E0A16"/>
    <w:rsid w:val="009E0EAD"/>
    <w:rsid w:val="009E29FD"/>
    <w:rsid w:val="009E302C"/>
    <w:rsid w:val="009E4016"/>
    <w:rsid w:val="009E4B7F"/>
    <w:rsid w:val="009E5900"/>
    <w:rsid w:val="009E5B0E"/>
    <w:rsid w:val="009E6CB7"/>
    <w:rsid w:val="009E7970"/>
    <w:rsid w:val="009E7C1D"/>
    <w:rsid w:val="009F1687"/>
    <w:rsid w:val="009F1966"/>
    <w:rsid w:val="009F1DE5"/>
    <w:rsid w:val="009F2EAC"/>
    <w:rsid w:val="009F312D"/>
    <w:rsid w:val="009F46DB"/>
    <w:rsid w:val="009F4AD1"/>
    <w:rsid w:val="009F4F1E"/>
    <w:rsid w:val="009F4F59"/>
    <w:rsid w:val="009F575C"/>
    <w:rsid w:val="009F57E3"/>
    <w:rsid w:val="009F7F92"/>
    <w:rsid w:val="00A006A1"/>
    <w:rsid w:val="00A00A7C"/>
    <w:rsid w:val="00A00D5A"/>
    <w:rsid w:val="00A01979"/>
    <w:rsid w:val="00A01CD1"/>
    <w:rsid w:val="00A031F3"/>
    <w:rsid w:val="00A032F5"/>
    <w:rsid w:val="00A04AD7"/>
    <w:rsid w:val="00A04D8C"/>
    <w:rsid w:val="00A05C9D"/>
    <w:rsid w:val="00A062C5"/>
    <w:rsid w:val="00A06A31"/>
    <w:rsid w:val="00A06E87"/>
    <w:rsid w:val="00A070DF"/>
    <w:rsid w:val="00A07172"/>
    <w:rsid w:val="00A10E65"/>
    <w:rsid w:val="00A10F4F"/>
    <w:rsid w:val="00A11067"/>
    <w:rsid w:val="00A112F8"/>
    <w:rsid w:val="00A116E0"/>
    <w:rsid w:val="00A1182E"/>
    <w:rsid w:val="00A11D99"/>
    <w:rsid w:val="00A120C9"/>
    <w:rsid w:val="00A131C2"/>
    <w:rsid w:val="00A13919"/>
    <w:rsid w:val="00A13A68"/>
    <w:rsid w:val="00A1431F"/>
    <w:rsid w:val="00A1459F"/>
    <w:rsid w:val="00A14FEF"/>
    <w:rsid w:val="00A1574B"/>
    <w:rsid w:val="00A1591F"/>
    <w:rsid w:val="00A16851"/>
    <w:rsid w:val="00A169CE"/>
    <w:rsid w:val="00A16C07"/>
    <w:rsid w:val="00A1704A"/>
    <w:rsid w:val="00A1724D"/>
    <w:rsid w:val="00A17D9F"/>
    <w:rsid w:val="00A20490"/>
    <w:rsid w:val="00A2053F"/>
    <w:rsid w:val="00A20EC1"/>
    <w:rsid w:val="00A22184"/>
    <w:rsid w:val="00A22B52"/>
    <w:rsid w:val="00A234B4"/>
    <w:rsid w:val="00A243B5"/>
    <w:rsid w:val="00A245C2"/>
    <w:rsid w:val="00A24608"/>
    <w:rsid w:val="00A25133"/>
    <w:rsid w:val="00A25147"/>
    <w:rsid w:val="00A25839"/>
    <w:rsid w:val="00A259B6"/>
    <w:rsid w:val="00A25DA2"/>
    <w:rsid w:val="00A25E73"/>
    <w:rsid w:val="00A25E75"/>
    <w:rsid w:val="00A26980"/>
    <w:rsid w:val="00A26B2C"/>
    <w:rsid w:val="00A27E86"/>
    <w:rsid w:val="00A27F14"/>
    <w:rsid w:val="00A27F84"/>
    <w:rsid w:val="00A3025E"/>
    <w:rsid w:val="00A30293"/>
    <w:rsid w:val="00A303C9"/>
    <w:rsid w:val="00A304AB"/>
    <w:rsid w:val="00A309CC"/>
    <w:rsid w:val="00A31CB1"/>
    <w:rsid w:val="00A32E78"/>
    <w:rsid w:val="00A337CF"/>
    <w:rsid w:val="00A345CA"/>
    <w:rsid w:val="00A35205"/>
    <w:rsid w:val="00A35887"/>
    <w:rsid w:val="00A35C0F"/>
    <w:rsid w:val="00A37B00"/>
    <w:rsid w:val="00A40A39"/>
    <w:rsid w:val="00A42116"/>
    <w:rsid w:val="00A425EB"/>
    <w:rsid w:val="00A426DD"/>
    <w:rsid w:val="00A436C6"/>
    <w:rsid w:val="00A47080"/>
    <w:rsid w:val="00A47AC8"/>
    <w:rsid w:val="00A5044F"/>
    <w:rsid w:val="00A506DA"/>
    <w:rsid w:val="00A525D5"/>
    <w:rsid w:val="00A5333F"/>
    <w:rsid w:val="00A552BD"/>
    <w:rsid w:val="00A55407"/>
    <w:rsid w:val="00A555B2"/>
    <w:rsid w:val="00A55FE1"/>
    <w:rsid w:val="00A601F8"/>
    <w:rsid w:val="00A6047A"/>
    <w:rsid w:val="00A606BC"/>
    <w:rsid w:val="00A614A5"/>
    <w:rsid w:val="00A61B39"/>
    <w:rsid w:val="00A638C1"/>
    <w:rsid w:val="00A6457E"/>
    <w:rsid w:val="00A66070"/>
    <w:rsid w:val="00A66C50"/>
    <w:rsid w:val="00A672A3"/>
    <w:rsid w:val="00A700E5"/>
    <w:rsid w:val="00A71282"/>
    <w:rsid w:val="00A72F22"/>
    <w:rsid w:val="00A733BC"/>
    <w:rsid w:val="00A73509"/>
    <w:rsid w:val="00A73E56"/>
    <w:rsid w:val="00A748A6"/>
    <w:rsid w:val="00A7615E"/>
    <w:rsid w:val="00A763DE"/>
    <w:rsid w:val="00A76A69"/>
    <w:rsid w:val="00A77238"/>
    <w:rsid w:val="00A77914"/>
    <w:rsid w:val="00A80825"/>
    <w:rsid w:val="00A830D2"/>
    <w:rsid w:val="00A8433D"/>
    <w:rsid w:val="00A8442C"/>
    <w:rsid w:val="00A8447E"/>
    <w:rsid w:val="00A8472D"/>
    <w:rsid w:val="00A84EA8"/>
    <w:rsid w:val="00A8521A"/>
    <w:rsid w:val="00A86686"/>
    <w:rsid w:val="00A86713"/>
    <w:rsid w:val="00A875C9"/>
    <w:rsid w:val="00A879A4"/>
    <w:rsid w:val="00A90189"/>
    <w:rsid w:val="00A913C1"/>
    <w:rsid w:val="00A9197D"/>
    <w:rsid w:val="00A933D9"/>
    <w:rsid w:val="00A93DC8"/>
    <w:rsid w:val="00A94276"/>
    <w:rsid w:val="00A945E9"/>
    <w:rsid w:val="00A94BAE"/>
    <w:rsid w:val="00A94CFE"/>
    <w:rsid w:val="00A95600"/>
    <w:rsid w:val="00A95699"/>
    <w:rsid w:val="00A97626"/>
    <w:rsid w:val="00A978E5"/>
    <w:rsid w:val="00AA04EE"/>
    <w:rsid w:val="00AA0794"/>
    <w:rsid w:val="00AA0FF8"/>
    <w:rsid w:val="00AA1B50"/>
    <w:rsid w:val="00AA1F26"/>
    <w:rsid w:val="00AA35C1"/>
    <w:rsid w:val="00AA37CE"/>
    <w:rsid w:val="00AA3CF3"/>
    <w:rsid w:val="00AA4727"/>
    <w:rsid w:val="00AA4914"/>
    <w:rsid w:val="00AA5047"/>
    <w:rsid w:val="00AA508B"/>
    <w:rsid w:val="00AA50AD"/>
    <w:rsid w:val="00AA56BF"/>
    <w:rsid w:val="00AA7277"/>
    <w:rsid w:val="00AB0662"/>
    <w:rsid w:val="00AB18D0"/>
    <w:rsid w:val="00AB1B2E"/>
    <w:rsid w:val="00AB2578"/>
    <w:rsid w:val="00AB318D"/>
    <w:rsid w:val="00AB356D"/>
    <w:rsid w:val="00AB3660"/>
    <w:rsid w:val="00AB3CE2"/>
    <w:rsid w:val="00AB4441"/>
    <w:rsid w:val="00AB4814"/>
    <w:rsid w:val="00AB5270"/>
    <w:rsid w:val="00AB5A2F"/>
    <w:rsid w:val="00AB5DCD"/>
    <w:rsid w:val="00AB66A7"/>
    <w:rsid w:val="00AB68DF"/>
    <w:rsid w:val="00AB7DFC"/>
    <w:rsid w:val="00AC0F2C"/>
    <w:rsid w:val="00AC1C0E"/>
    <w:rsid w:val="00AC2004"/>
    <w:rsid w:val="00AC36F5"/>
    <w:rsid w:val="00AC4105"/>
    <w:rsid w:val="00AC4E41"/>
    <w:rsid w:val="00AC502A"/>
    <w:rsid w:val="00AC51EB"/>
    <w:rsid w:val="00AC68E4"/>
    <w:rsid w:val="00AC7521"/>
    <w:rsid w:val="00AD0B69"/>
    <w:rsid w:val="00AD19E1"/>
    <w:rsid w:val="00AD57F2"/>
    <w:rsid w:val="00AD5909"/>
    <w:rsid w:val="00AD699C"/>
    <w:rsid w:val="00AD6CA1"/>
    <w:rsid w:val="00AD6F03"/>
    <w:rsid w:val="00AD6F5D"/>
    <w:rsid w:val="00AE0CC8"/>
    <w:rsid w:val="00AE2806"/>
    <w:rsid w:val="00AE2B97"/>
    <w:rsid w:val="00AE4311"/>
    <w:rsid w:val="00AE4566"/>
    <w:rsid w:val="00AE457D"/>
    <w:rsid w:val="00AE484E"/>
    <w:rsid w:val="00AE4C79"/>
    <w:rsid w:val="00AE557B"/>
    <w:rsid w:val="00AE5850"/>
    <w:rsid w:val="00AE661D"/>
    <w:rsid w:val="00AE7D74"/>
    <w:rsid w:val="00AF011E"/>
    <w:rsid w:val="00AF0C5B"/>
    <w:rsid w:val="00AF0D3E"/>
    <w:rsid w:val="00AF191F"/>
    <w:rsid w:val="00AF1973"/>
    <w:rsid w:val="00AF1A1D"/>
    <w:rsid w:val="00AF1C47"/>
    <w:rsid w:val="00AF1E96"/>
    <w:rsid w:val="00AF1FCD"/>
    <w:rsid w:val="00AF29AD"/>
    <w:rsid w:val="00AF3E1E"/>
    <w:rsid w:val="00AF51E5"/>
    <w:rsid w:val="00AF58AE"/>
    <w:rsid w:val="00AF58C1"/>
    <w:rsid w:val="00AF610F"/>
    <w:rsid w:val="00AF64F2"/>
    <w:rsid w:val="00AF69F2"/>
    <w:rsid w:val="00AF6AFE"/>
    <w:rsid w:val="00AF7037"/>
    <w:rsid w:val="00AF76EE"/>
    <w:rsid w:val="00B01B03"/>
    <w:rsid w:val="00B01E1C"/>
    <w:rsid w:val="00B032CE"/>
    <w:rsid w:val="00B0333E"/>
    <w:rsid w:val="00B036D4"/>
    <w:rsid w:val="00B03A0E"/>
    <w:rsid w:val="00B04911"/>
    <w:rsid w:val="00B04A14"/>
    <w:rsid w:val="00B04A3F"/>
    <w:rsid w:val="00B06643"/>
    <w:rsid w:val="00B076CA"/>
    <w:rsid w:val="00B10D96"/>
    <w:rsid w:val="00B111FF"/>
    <w:rsid w:val="00B12491"/>
    <w:rsid w:val="00B126A6"/>
    <w:rsid w:val="00B131C2"/>
    <w:rsid w:val="00B13D57"/>
    <w:rsid w:val="00B141B7"/>
    <w:rsid w:val="00B15055"/>
    <w:rsid w:val="00B150B2"/>
    <w:rsid w:val="00B1599C"/>
    <w:rsid w:val="00B15B6E"/>
    <w:rsid w:val="00B15D72"/>
    <w:rsid w:val="00B16472"/>
    <w:rsid w:val="00B1659D"/>
    <w:rsid w:val="00B16C25"/>
    <w:rsid w:val="00B17732"/>
    <w:rsid w:val="00B17913"/>
    <w:rsid w:val="00B230B1"/>
    <w:rsid w:val="00B250BE"/>
    <w:rsid w:val="00B25428"/>
    <w:rsid w:val="00B25959"/>
    <w:rsid w:val="00B274EF"/>
    <w:rsid w:val="00B27917"/>
    <w:rsid w:val="00B27FF5"/>
    <w:rsid w:val="00B30179"/>
    <w:rsid w:val="00B3058B"/>
    <w:rsid w:val="00B31C93"/>
    <w:rsid w:val="00B323C9"/>
    <w:rsid w:val="00B33058"/>
    <w:rsid w:val="00B3409D"/>
    <w:rsid w:val="00B34AFF"/>
    <w:rsid w:val="00B34F35"/>
    <w:rsid w:val="00B35066"/>
    <w:rsid w:val="00B3636E"/>
    <w:rsid w:val="00B37B15"/>
    <w:rsid w:val="00B430A7"/>
    <w:rsid w:val="00B43DF0"/>
    <w:rsid w:val="00B45592"/>
    <w:rsid w:val="00B45C02"/>
    <w:rsid w:val="00B46F69"/>
    <w:rsid w:val="00B4731D"/>
    <w:rsid w:val="00B47EA1"/>
    <w:rsid w:val="00B50B05"/>
    <w:rsid w:val="00B514B1"/>
    <w:rsid w:val="00B522CE"/>
    <w:rsid w:val="00B524B5"/>
    <w:rsid w:val="00B52F5F"/>
    <w:rsid w:val="00B53257"/>
    <w:rsid w:val="00B5390C"/>
    <w:rsid w:val="00B54C1B"/>
    <w:rsid w:val="00B555CD"/>
    <w:rsid w:val="00B567E3"/>
    <w:rsid w:val="00B57A82"/>
    <w:rsid w:val="00B600E7"/>
    <w:rsid w:val="00B60E62"/>
    <w:rsid w:val="00B62030"/>
    <w:rsid w:val="00B6277F"/>
    <w:rsid w:val="00B63839"/>
    <w:rsid w:val="00B63F7E"/>
    <w:rsid w:val="00B649B0"/>
    <w:rsid w:val="00B6698E"/>
    <w:rsid w:val="00B71F49"/>
    <w:rsid w:val="00B72168"/>
    <w:rsid w:val="00B725E0"/>
    <w:rsid w:val="00B72A1E"/>
    <w:rsid w:val="00B736FB"/>
    <w:rsid w:val="00B73ED1"/>
    <w:rsid w:val="00B75135"/>
    <w:rsid w:val="00B75BFE"/>
    <w:rsid w:val="00B760AA"/>
    <w:rsid w:val="00B760B2"/>
    <w:rsid w:val="00B769FA"/>
    <w:rsid w:val="00B77BB5"/>
    <w:rsid w:val="00B8043B"/>
    <w:rsid w:val="00B8080B"/>
    <w:rsid w:val="00B8100A"/>
    <w:rsid w:val="00B8103B"/>
    <w:rsid w:val="00B81537"/>
    <w:rsid w:val="00B81915"/>
    <w:rsid w:val="00B81A88"/>
    <w:rsid w:val="00B81E12"/>
    <w:rsid w:val="00B8207C"/>
    <w:rsid w:val="00B837D1"/>
    <w:rsid w:val="00B839C5"/>
    <w:rsid w:val="00B83A3C"/>
    <w:rsid w:val="00B84118"/>
    <w:rsid w:val="00B84750"/>
    <w:rsid w:val="00B848C4"/>
    <w:rsid w:val="00B850B1"/>
    <w:rsid w:val="00B85CAD"/>
    <w:rsid w:val="00B86449"/>
    <w:rsid w:val="00B86660"/>
    <w:rsid w:val="00B871E3"/>
    <w:rsid w:val="00B873B3"/>
    <w:rsid w:val="00B90509"/>
    <w:rsid w:val="00B92E10"/>
    <w:rsid w:val="00B934F4"/>
    <w:rsid w:val="00B93CF5"/>
    <w:rsid w:val="00B93F35"/>
    <w:rsid w:val="00B940C1"/>
    <w:rsid w:val="00B9565F"/>
    <w:rsid w:val="00B95AD2"/>
    <w:rsid w:val="00B961E3"/>
    <w:rsid w:val="00B9638D"/>
    <w:rsid w:val="00B975B1"/>
    <w:rsid w:val="00B97AC6"/>
    <w:rsid w:val="00B97C62"/>
    <w:rsid w:val="00BA16F2"/>
    <w:rsid w:val="00BA339B"/>
    <w:rsid w:val="00BA351A"/>
    <w:rsid w:val="00BA5834"/>
    <w:rsid w:val="00BA5F89"/>
    <w:rsid w:val="00BA6443"/>
    <w:rsid w:val="00BA6C73"/>
    <w:rsid w:val="00BA6F69"/>
    <w:rsid w:val="00BA7DB1"/>
    <w:rsid w:val="00BA7E6A"/>
    <w:rsid w:val="00BB0410"/>
    <w:rsid w:val="00BB0BF0"/>
    <w:rsid w:val="00BB1EBD"/>
    <w:rsid w:val="00BB2668"/>
    <w:rsid w:val="00BB2F69"/>
    <w:rsid w:val="00BB317A"/>
    <w:rsid w:val="00BB53D4"/>
    <w:rsid w:val="00BB5817"/>
    <w:rsid w:val="00BB5EA3"/>
    <w:rsid w:val="00BB646F"/>
    <w:rsid w:val="00BB64A8"/>
    <w:rsid w:val="00BB7DF2"/>
    <w:rsid w:val="00BC1E7E"/>
    <w:rsid w:val="00BC29EA"/>
    <w:rsid w:val="00BC3BBA"/>
    <w:rsid w:val="00BC4141"/>
    <w:rsid w:val="00BC452C"/>
    <w:rsid w:val="00BC56BE"/>
    <w:rsid w:val="00BC5823"/>
    <w:rsid w:val="00BC626F"/>
    <w:rsid w:val="00BC658D"/>
    <w:rsid w:val="00BC6857"/>
    <w:rsid w:val="00BC7327"/>
    <w:rsid w:val="00BC74E9"/>
    <w:rsid w:val="00BC7D8B"/>
    <w:rsid w:val="00BD0DD2"/>
    <w:rsid w:val="00BD0EFC"/>
    <w:rsid w:val="00BD0F20"/>
    <w:rsid w:val="00BD2C50"/>
    <w:rsid w:val="00BD2E59"/>
    <w:rsid w:val="00BD4614"/>
    <w:rsid w:val="00BD4CF1"/>
    <w:rsid w:val="00BD51D4"/>
    <w:rsid w:val="00BD6660"/>
    <w:rsid w:val="00BD728C"/>
    <w:rsid w:val="00BD786F"/>
    <w:rsid w:val="00BE0839"/>
    <w:rsid w:val="00BE13C5"/>
    <w:rsid w:val="00BE19DF"/>
    <w:rsid w:val="00BE1E52"/>
    <w:rsid w:val="00BE363E"/>
    <w:rsid w:val="00BE36A9"/>
    <w:rsid w:val="00BE509C"/>
    <w:rsid w:val="00BE5AAE"/>
    <w:rsid w:val="00BE618E"/>
    <w:rsid w:val="00BE6881"/>
    <w:rsid w:val="00BE7BEC"/>
    <w:rsid w:val="00BF00CF"/>
    <w:rsid w:val="00BF08CC"/>
    <w:rsid w:val="00BF0A5A"/>
    <w:rsid w:val="00BF0E63"/>
    <w:rsid w:val="00BF12A3"/>
    <w:rsid w:val="00BF16D7"/>
    <w:rsid w:val="00BF221A"/>
    <w:rsid w:val="00BF2236"/>
    <w:rsid w:val="00BF22AA"/>
    <w:rsid w:val="00BF2373"/>
    <w:rsid w:val="00BF2628"/>
    <w:rsid w:val="00BF3064"/>
    <w:rsid w:val="00BF3141"/>
    <w:rsid w:val="00BF375F"/>
    <w:rsid w:val="00BF3791"/>
    <w:rsid w:val="00BF577E"/>
    <w:rsid w:val="00BF5C3B"/>
    <w:rsid w:val="00C00EAF"/>
    <w:rsid w:val="00C044E2"/>
    <w:rsid w:val="00C048CB"/>
    <w:rsid w:val="00C04FF9"/>
    <w:rsid w:val="00C051A9"/>
    <w:rsid w:val="00C05AC4"/>
    <w:rsid w:val="00C066F3"/>
    <w:rsid w:val="00C070BC"/>
    <w:rsid w:val="00C07248"/>
    <w:rsid w:val="00C0762E"/>
    <w:rsid w:val="00C118BB"/>
    <w:rsid w:val="00C11E80"/>
    <w:rsid w:val="00C11EEF"/>
    <w:rsid w:val="00C124AC"/>
    <w:rsid w:val="00C130C1"/>
    <w:rsid w:val="00C134CC"/>
    <w:rsid w:val="00C135D6"/>
    <w:rsid w:val="00C15E5E"/>
    <w:rsid w:val="00C15F9B"/>
    <w:rsid w:val="00C1751C"/>
    <w:rsid w:val="00C17C1E"/>
    <w:rsid w:val="00C21031"/>
    <w:rsid w:val="00C228A3"/>
    <w:rsid w:val="00C2351A"/>
    <w:rsid w:val="00C242BC"/>
    <w:rsid w:val="00C24650"/>
    <w:rsid w:val="00C248E6"/>
    <w:rsid w:val="00C25CBF"/>
    <w:rsid w:val="00C26781"/>
    <w:rsid w:val="00C26A1A"/>
    <w:rsid w:val="00C273EA"/>
    <w:rsid w:val="00C27635"/>
    <w:rsid w:val="00C30AE0"/>
    <w:rsid w:val="00C310FE"/>
    <w:rsid w:val="00C311B8"/>
    <w:rsid w:val="00C326D1"/>
    <w:rsid w:val="00C33634"/>
    <w:rsid w:val="00C336C2"/>
    <w:rsid w:val="00C34E1A"/>
    <w:rsid w:val="00C364C0"/>
    <w:rsid w:val="00C367FB"/>
    <w:rsid w:val="00C401DA"/>
    <w:rsid w:val="00C407E7"/>
    <w:rsid w:val="00C40C0D"/>
    <w:rsid w:val="00C40F0A"/>
    <w:rsid w:val="00C40F2D"/>
    <w:rsid w:val="00C40FED"/>
    <w:rsid w:val="00C4105A"/>
    <w:rsid w:val="00C4224F"/>
    <w:rsid w:val="00C42BBF"/>
    <w:rsid w:val="00C42DD1"/>
    <w:rsid w:val="00C42F8E"/>
    <w:rsid w:val="00C440A5"/>
    <w:rsid w:val="00C4422D"/>
    <w:rsid w:val="00C44341"/>
    <w:rsid w:val="00C44B45"/>
    <w:rsid w:val="00C44E59"/>
    <w:rsid w:val="00C452A9"/>
    <w:rsid w:val="00C46006"/>
    <w:rsid w:val="00C460B3"/>
    <w:rsid w:val="00C463DD"/>
    <w:rsid w:val="00C47119"/>
    <w:rsid w:val="00C47623"/>
    <w:rsid w:val="00C47AE0"/>
    <w:rsid w:val="00C5157A"/>
    <w:rsid w:val="00C51623"/>
    <w:rsid w:val="00C5173E"/>
    <w:rsid w:val="00C536D7"/>
    <w:rsid w:val="00C53D83"/>
    <w:rsid w:val="00C53FA0"/>
    <w:rsid w:val="00C541BB"/>
    <w:rsid w:val="00C54997"/>
    <w:rsid w:val="00C556CB"/>
    <w:rsid w:val="00C557B1"/>
    <w:rsid w:val="00C56098"/>
    <w:rsid w:val="00C57184"/>
    <w:rsid w:val="00C5741B"/>
    <w:rsid w:val="00C577C6"/>
    <w:rsid w:val="00C57AA6"/>
    <w:rsid w:val="00C60690"/>
    <w:rsid w:val="00C6280D"/>
    <w:rsid w:val="00C62811"/>
    <w:rsid w:val="00C63FEA"/>
    <w:rsid w:val="00C6513F"/>
    <w:rsid w:val="00C6701E"/>
    <w:rsid w:val="00C67728"/>
    <w:rsid w:val="00C7035A"/>
    <w:rsid w:val="00C70AF1"/>
    <w:rsid w:val="00C7115A"/>
    <w:rsid w:val="00C71C8B"/>
    <w:rsid w:val="00C724FF"/>
    <w:rsid w:val="00C72EBC"/>
    <w:rsid w:val="00C745C3"/>
    <w:rsid w:val="00C759E1"/>
    <w:rsid w:val="00C763DD"/>
    <w:rsid w:val="00C775D0"/>
    <w:rsid w:val="00C77C93"/>
    <w:rsid w:val="00C81664"/>
    <w:rsid w:val="00C81767"/>
    <w:rsid w:val="00C8181D"/>
    <w:rsid w:val="00C8192C"/>
    <w:rsid w:val="00C81E16"/>
    <w:rsid w:val="00C81E6C"/>
    <w:rsid w:val="00C82862"/>
    <w:rsid w:val="00C82C81"/>
    <w:rsid w:val="00C83EF4"/>
    <w:rsid w:val="00C84321"/>
    <w:rsid w:val="00C84BED"/>
    <w:rsid w:val="00C863C1"/>
    <w:rsid w:val="00C86449"/>
    <w:rsid w:val="00C87A84"/>
    <w:rsid w:val="00C90CA6"/>
    <w:rsid w:val="00C90CF7"/>
    <w:rsid w:val="00C90CFC"/>
    <w:rsid w:val="00C911B7"/>
    <w:rsid w:val="00C927BE"/>
    <w:rsid w:val="00C929C6"/>
    <w:rsid w:val="00C930C7"/>
    <w:rsid w:val="00C93611"/>
    <w:rsid w:val="00C941AC"/>
    <w:rsid w:val="00C94E27"/>
    <w:rsid w:val="00C95CD1"/>
    <w:rsid w:val="00C96395"/>
    <w:rsid w:val="00CA0ADA"/>
    <w:rsid w:val="00CA0B2B"/>
    <w:rsid w:val="00CA24A4"/>
    <w:rsid w:val="00CA356D"/>
    <w:rsid w:val="00CA3682"/>
    <w:rsid w:val="00CA3C86"/>
    <w:rsid w:val="00CA56D1"/>
    <w:rsid w:val="00CA5E16"/>
    <w:rsid w:val="00CA60BA"/>
    <w:rsid w:val="00CA653F"/>
    <w:rsid w:val="00CA7E2D"/>
    <w:rsid w:val="00CB0A52"/>
    <w:rsid w:val="00CB147B"/>
    <w:rsid w:val="00CB23DD"/>
    <w:rsid w:val="00CB2683"/>
    <w:rsid w:val="00CB318F"/>
    <w:rsid w:val="00CB348D"/>
    <w:rsid w:val="00CB4603"/>
    <w:rsid w:val="00CB5DA6"/>
    <w:rsid w:val="00CB5EB6"/>
    <w:rsid w:val="00CB62CF"/>
    <w:rsid w:val="00CB7D52"/>
    <w:rsid w:val="00CB7FA5"/>
    <w:rsid w:val="00CC1633"/>
    <w:rsid w:val="00CC1E5B"/>
    <w:rsid w:val="00CC3703"/>
    <w:rsid w:val="00CC3B46"/>
    <w:rsid w:val="00CC4229"/>
    <w:rsid w:val="00CC53A6"/>
    <w:rsid w:val="00CC56F0"/>
    <w:rsid w:val="00CC641A"/>
    <w:rsid w:val="00CC6695"/>
    <w:rsid w:val="00CC6E9E"/>
    <w:rsid w:val="00CC7153"/>
    <w:rsid w:val="00CD0C82"/>
    <w:rsid w:val="00CD0CFA"/>
    <w:rsid w:val="00CD141C"/>
    <w:rsid w:val="00CD1522"/>
    <w:rsid w:val="00CD16F7"/>
    <w:rsid w:val="00CD1DF5"/>
    <w:rsid w:val="00CD227C"/>
    <w:rsid w:val="00CD2810"/>
    <w:rsid w:val="00CD28C3"/>
    <w:rsid w:val="00CD2AA5"/>
    <w:rsid w:val="00CD316E"/>
    <w:rsid w:val="00CD3246"/>
    <w:rsid w:val="00CD3F48"/>
    <w:rsid w:val="00CD46F5"/>
    <w:rsid w:val="00CD5371"/>
    <w:rsid w:val="00CD580E"/>
    <w:rsid w:val="00CD5919"/>
    <w:rsid w:val="00CD6C87"/>
    <w:rsid w:val="00CD6D83"/>
    <w:rsid w:val="00CE10C6"/>
    <w:rsid w:val="00CE15B4"/>
    <w:rsid w:val="00CE1748"/>
    <w:rsid w:val="00CE19DA"/>
    <w:rsid w:val="00CE2850"/>
    <w:rsid w:val="00CE32ED"/>
    <w:rsid w:val="00CE39F0"/>
    <w:rsid w:val="00CE3CA0"/>
    <w:rsid w:val="00CE4A8F"/>
    <w:rsid w:val="00CE4DEA"/>
    <w:rsid w:val="00CE5220"/>
    <w:rsid w:val="00CE545E"/>
    <w:rsid w:val="00CE563C"/>
    <w:rsid w:val="00CE697C"/>
    <w:rsid w:val="00CF071D"/>
    <w:rsid w:val="00CF0F86"/>
    <w:rsid w:val="00CF159C"/>
    <w:rsid w:val="00CF3431"/>
    <w:rsid w:val="00CF39D3"/>
    <w:rsid w:val="00CF4664"/>
    <w:rsid w:val="00CF4F78"/>
    <w:rsid w:val="00CF542F"/>
    <w:rsid w:val="00CF75A6"/>
    <w:rsid w:val="00CF7D6C"/>
    <w:rsid w:val="00CF7DA5"/>
    <w:rsid w:val="00D00C8C"/>
    <w:rsid w:val="00D01098"/>
    <w:rsid w:val="00D010C9"/>
    <w:rsid w:val="00D011BB"/>
    <w:rsid w:val="00D01622"/>
    <w:rsid w:val="00D017E2"/>
    <w:rsid w:val="00D01844"/>
    <w:rsid w:val="00D02115"/>
    <w:rsid w:val="00D0245D"/>
    <w:rsid w:val="00D033D5"/>
    <w:rsid w:val="00D03AB9"/>
    <w:rsid w:val="00D048DA"/>
    <w:rsid w:val="00D04910"/>
    <w:rsid w:val="00D04AFC"/>
    <w:rsid w:val="00D06DED"/>
    <w:rsid w:val="00D07422"/>
    <w:rsid w:val="00D10334"/>
    <w:rsid w:val="00D10F1F"/>
    <w:rsid w:val="00D119D1"/>
    <w:rsid w:val="00D13359"/>
    <w:rsid w:val="00D136FC"/>
    <w:rsid w:val="00D1415B"/>
    <w:rsid w:val="00D149CF"/>
    <w:rsid w:val="00D15101"/>
    <w:rsid w:val="00D154FA"/>
    <w:rsid w:val="00D15B04"/>
    <w:rsid w:val="00D16117"/>
    <w:rsid w:val="00D163A7"/>
    <w:rsid w:val="00D177F4"/>
    <w:rsid w:val="00D2031B"/>
    <w:rsid w:val="00D20752"/>
    <w:rsid w:val="00D22234"/>
    <w:rsid w:val="00D228BA"/>
    <w:rsid w:val="00D22A7B"/>
    <w:rsid w:val="00D23D2C"/>
    <w:rsid w:val="00D25560"/>
    <w:rsid w:val="00D25665"/>
    <w:rsid w:val="00D2577C"/>
    <w:rsid w:val="00D25DF0"/>
    <w:rsid w:val="00D25FE2"/>
    <w:rsid w:val="00D26B97"/>
    <w:rsid w:val="00D27655"/>
    <w:rsid w:val="00D27914"/>
    <w:rsid w:val="00D27EC9"/>
    <w:rsid w:val="00D30C82"/>
    <w:rsid w:val="00D31736"/>
    <w:rsid w:val="00D31EF1"/>
    <w:rsid w:val="00D33831"/>
    <w:rsid w:val="00D35288"/>
    <w:rsid w:val="00D359A9"/>
    <w:rsid w:val="00D378B2"/>
    <w:rsid w:val="00D37DA9"/>
    <w:rsid w:val="00D40308"/>
    <w:rsid w:val="00D406A7"/>
    <w:rsid w:val="00D4094D"/>
    <w:rsid w:val="00D40FE6"/>
    <w:rsid w:val="00D41946"/>
    <w:rsid w:val="00D4270F"/>
    <w:rsid w:val="00D42CB6"/>
    <w:rsid w:val="00D43252"/>
    <w:rsid w:val="00D44D86"/>
    <w:rsid w:val="00D45DF2"/>
    <w:rsid w:val="00D46432"/>
    <w:rsid w:val="00D465F9"/>
    <w:rsid w:val="00D473BF"/>
    <w:rsid w:val="00D474DD"/>
    <w:rsid w:val="00D47EE2"/>
    <w:rsid w:val="00D50B7D"/>
    <w:rsid w:val="00D519E7"/>
    <w:rsid w:val="00D51F89"/>
    <w:rsid w:val="00D52012"/>
    <w:rsid w:val="00D52846"/>
    <w:rsid w:val="00D53147"/>
    <w:rsid w:val="00D549BB"/>
    <w:rsid w:val="00D54A5D"/>
    <w:rsid w:val="00D55E38"/>
    <w:rsid w:val="00D566D5"/>
    <w:rsid w:val="00D5672E"/>
    <w:rsid w:val="00D57A3C"/>
    <w:rsid w:val="00D57BA3"/>
    <w:rsid w:val="00D604EC"/>
    <w:rsid w:val="00D60A37"/>
    <w:rsid w:val="00D615C0"/>
    <w:rsid w:val="00D61BAC"/>
    <w:rsid w:val="00D61C42"/>
    <w:rsid w:val="00D61CF8"/>
    <w:rsid w:val="00D620EE"/>
    <w:rsid w:val="00D62E39"/>
    <w:rsid w:val="00D63412"/>
    <w:rsid w:val="00D6426D"/>
    <w:rsid w:val="00D64460"/>
    <w:rsid w:val="00D64E0D"/>
    <w:rsid w:val="00D6571E"/>
    <w:rsid w:val="00D6577D"/>
    <w:rsid w:val="00D65B4C"/>
    <w:rsid w:val="00D66087"/>
    <w:rsid w:val="00D6608B"/>
    <w:rsid w:val="00D6758C"/>
    <w:rsid w:val="00D67F31"/>
    <w:rsid w:val="00D704E5"/>
    <w:rsid w:val="00D705F8"/>
    <w:rsid w:val="00D707A1"/>
    <w:rsid w:val="00D71312"/>
    <w:rsid w:val="00D72727"/>
    <w:rsid w:val="00D72D75"/>
    <w:rsid w:val="00D737D7"/>
    <w:rsid w:val="00D73A19"/>
    <w:rsid w:val="00D75043"/>
    <w:rsid w:val="00D766A7"/>
    <w:rsid w:val="00D76F1A"/>
    <w:rsid w:val="00D77535"/>
    <w:rsid w:val="00D775BB"/>
    <w:rsid w:val="00D80AAE"/>
    <w:rsid w:val="00D81BC0"/>
    <w:rsid w:val="00D81F5D"/>
    <w:rsid w:val="00D82BC9"/>
    <w:rsid w:val="00D83148"/>
    <w:rsid w:val="00D8314F"/>
    <w:rsid w:val="00D83A0D"/>
    <w:rsid w:val="00D84095"/>
    <w:rsid w:val="00D85774"/>
    <w:rsid w:val="00D85AE9"/>
    <w:rsid w:val="00D86462"/>
    <w:rsid w:val="00D87C88"/>
    <w:rsid w:val="00D87CAC"/>
    <w:rsid w:val="00D87CBD"/>
    <w:rsid w:val="00D9015B"/>
    <w:rsid w:val="00D904E3"/>
    <w:rsid w:val="00D9050E"/>
    <w:rsid w:val="00D91135"/>
    <w:rsid w:val="00D929AC"/>
    <w:rsid w:val="00D938A6"/>
    <w:rsid w:val="00D93EF3"/>
    <w:rsid w:val="00D94A0D"/>
    <w:rsid w:val="00D953E5"/>
    <w:rsid w:val="00D9552C"/>
    <w:rsid w:val="00D95862"/>
    <w:rsid w:val="00D95B4B"/>
    <w:rsid w:val="00D95F7D"/>
    <w:rsid w:val="00D96854"/>
    <w:rsid w:val="00D971FB"/>
    <w:rsid w:val="00D978C6"/>
    <w:rsid w:val="00D97914"/>
    <w:rsid w:val="00D979EF"/>
    <w:rsid w:val="00DA0956"/>
    <w:rsid w:val="00DA0FD2"/>
    <w:rsid w:val="00DA24A7"/>
    <w:rsid w:val="00DA270A"/>
    <w:rsid w:val="00DA33B8"/>
    <w:rsid w:val="00DA357F"/>
    <w:rsid w:val="00DA3592"/>
    <w:rsid w:val="00DA3E12"/>
    <w:rsid w:val="00DA6E0B"/>
    <w:rsid w:val="00DB0A07"/>
    <w:rsid w:val="00DB1340"/>
    <w:rsid w:val="00DB13B2"/>
    <w:rsid w:val="00DB144A"/>
    <w:rsid w:val="00DB21DC"/>
    <w:rsid w:val="00DB3979"/>
    <w:rsid w:val="00DB4E4C"/>
    <w:rsid w:val="00DB51E2"/>
    <w:rsid w:val="00DB5F1E"/>
    <w:rsid w:val="00DB7B78"/>
    <w:rsid w:val="00DC005D"/>
    <w:rsid w:val="00DC04C5"/>
    <w:rsid w:val="00DC0B18"/>
    <w:rsid w:val="00DC18AD"/>
    <w:rsid w:val="00DC1C43"/>
    <w:rsid w:val="00DC35A8"/>
    <w:rsid w:val="00DC3BA6"/>
    <w:rsid w:val="00DC40CE"/>
    <w:rsid w:val="00DC64EB"/>
    <w:rsid w:val="00DC6A5C"/>
    <w:rsid w:val="00DC7991"/>
    <w:rsid w:val="00DC7EDE"/>
    <w:rsid w:val="00DD00CC"/>
    <w:rsid w:val="00DD0EB2"/>
    <w:rsid w:val="00DD18B8"/>
    <w:rsid w:val="00DD18D4"/>
    <w:rsid w:val="00DD25CB"/>
    <w:rsid w:val="00DD48AC"/>
    <w:rsid w:val="00DD4D81"/>
    <w:rsid w:val="00DD6D98"/>
    <w:rsid w:val="00DD7274"/>
    <w:rsid w:val="00DD77BE"/>
    <w:rsid w:val="00DD7CF7"/>
    <w:rsid w:val="00DE098C"/>
    <w:rsid w:val="00DE0AA2"/>
    <w:rsid w:val="00DE0AD8"/>
    <w:rsid w:val="00DE2297"/>
    <w:rsid w:val="00DE22A9"/>
    <w:rsid w:val="00DE2566"/>
    <w:rsid w:val="00DE3670"/>
    <w:rsid w:val="00DE44A7"/>
    <w:rsid w:val="00DE4CAF"/>
    <w:rsid w:val="00DE4FE7"/>
    <w:rsid w:val="00DE554F"/>
    <w:rsid w:val="00DE6054"/>
    <w:rsid w:val="00DE6EB3"/>
    <w:rsid w:val="00DE7746"/>
    <w:rsid w:val="00DE7851"/>
    <w:rsid w:val="00DF0470"/>
    <w:rsid w:val="00DF115A"/>
    <w:rsid w:val="00DF4A0F"/>
    <w:rsid w:val="00DF7CAE"/>
    <w:rsid w:val="00E00E72"/>
    <w:rsid w:val="00E01B27"/>
    <w:rsid w:val="00E01D6B"/>
    <w:rsid w:val="00E02C4B"/>
    <w:rsid w:val="00E036F2"/>
    <w:rsid w:val="00E044DD"/>
    <w:rsid w:val="00E0483E"/>
    <w:rsid w:val="00E049E1"/>
    <w:rsid w:val="00E05119"/>
    <w:rsid w:val="00E106C1"/>
    <w:rsid w:val="00E1119E"/>
    <w:rsid w:val="00E11595"/>
    <w:rsid w:val="00E1173A"/>
    <w:rsid w:val="00E1312F"/>
    <w:rsid w:val="00E13388"/>
    <w:rsid w:val="00E137E4"/>
    <w:rsid w:val="00E1384C"/>
    <w:rsid w:val="00E1425E"/>
    <w:rsid w:val="00E1450A"/>
    <w:rsid w:val="00E14A15"/>
    <w:rsid w:val="00E15884"/>
    <w:rsid w:val="00E15C15"/>
    <w:rsid w:val="00E16FAF"/>
    <w:rsid w:val="00E172E4"/>
    <w:rsid w:val="00E174AF"/>
    <w:rsid w:val="00E1787C"/>
    <w:rsid w:val="00E17936"/>
    <w:rsid w:val="00E20399"/>
    <w:rsid w:val="00E20745"/>
    <w:rsid w:val="00E217BA"/>
    <w:rsid w:val="00E221CC"/>
    <w:rsid w:val="00E23EDC"/>
    <w:rsid w:val="00E2465B"/>
    <w:rsid w:val="00E251A0"/>
    <w:rsid w:val="00E26A78"/>
    <w:rsid w:val="00E27457"/>
    <w:rsid w:val="00E27B58"/>
    <w:rsid w:val="00E31057"/>
    <w:rsid w:val="00E32978"/>
    <w:rsid w:val="00E32A1D"/>
    <w:rsid w:val="00E339E8"/>
    <w:rsid w:val="00E356B5"/>
    <w:rsid w:val="00E35A60"/>
    <w:rsid w:val="00E363CD"/>
    <w:rsid w:val="00E36762"/>
    <w:rsid w:val="00E36991"/>
    <w:rsid w:val="00E36C6C"/>
    <w:rsid w:val="00E4207A"/>
    <w:rsid w:val="00E423C0"/>
    <w:rsid w:val="00E42581"/>
    <w:rsid w:val="00E427EE"/>
    <w:rsid w:val="00E42858"/>
    <w:rsid w:val="00E43ED3"/>
    <w:rsid w:val="00E45327"/>
    <w:rsid w:val="00E46898"/>
    <w:rsid w:val="00E4723C"/>
    <w:rsid w:val="00E5068C"/>
    <w:rsid w:val="00E50D8C"/>
    <w:rsid w:val="00E50F12"/>
    <w:rsid w:val="00E53706"/>
    <w:rsid w:val="00E55513"/>
    <w:rsid w:val="00E56618"/>
    <w:rsid w:val="00E56BC5"/>
    <w:rsid w:val="00E56D6E"/>
    <w:rsid w:val="00E57668"/>
    <w:rsid w:val="00E60D7B"/>
    <w:rsid w:val="00E6231F"/>
    <w:rsid w:val="00E62CDE"/>
    <w:rsid w:val="00E62D6B"/>
    <w:rsid w:val="00E630A9"/>
    <w:rsid w:val="00E6414C"/>
    <w:rsid w:val="00E64975"/>
    <w:rsid w:val="00E66076"/>
    <w:rsid w:val="00E66D33"/>
    <w:rsid w:val="00E670A1"/>
    <w:rsid w:val="00E701AE"/>
    <w:rsid w:val="00E71619"/>
    <w:rsid w:val="00E72186"/>
    <w:rsid w:val="00E72358"/>
    <w:rsid w:val="00E7260F"/>
    <w:rsid w:val="00E734C2"/>
    <w:rsid w:val="00E77167"/>
    <w:rsid w:val="00E77B22"/>
    <w:rsid w:val="00E77D39"/>
    <w:rsid w:val="00E800BD"/>
    <w:rsid w:val="00E80CB0"/>
    <w:rsid w:val="00E80CFB"/>
    <w:rsid w:val="00E811DE"/>
    <w:rsid w:val="00E81674"/>
    <w:rsid w:val="00E825AB"/>
    <w:rsid w:val="00E83390"/>
    <w:rsid w:val="00E84877"/>
    <w:rsid w:val="00E85338"/>
    <w:rsid w:val="00E8702D"/>
    <w:rsid w:val="00E87530"/>
    <w:rsid w:val="00E87A0D"/>
    <w:rsid w:val="00E916A9"/>
    <w:rsid w:val="00E916DE"/>
    <w:rsid w:val="00E91928"/>
    <w:rsid w:val="00E91BED"/>
    <w:rsid w:val="00E91E00"/>
    <w:rsid w:val="00E92492"/>
    <w:rsid w:val="00E925AD"/>
    <w:rsid w:val="00E9260C"/>
    <w:rsid w:val="00E9316D"/>
    <w:rsid w:val="00E93730"/>
    <w:rsid w:val="00E940F8"/>
    <w:rsid w:val="00E9436B"/>
    <w:rsid w:val="00E95839"/>
    <w:rsid w:val="00E95A7A"/>
    <w:rsid w:val="00E96630"/>
    <w:rsid w:val="00E96CA6"/>
    <w:rsid w:val="00E96CE3"/>
    <w:rsid w:val="00E97433"/>
    <w:rsid w:val="00E97CC5"/>
    <w:rsid w:val="00E97F08"/>
    <w:rsid w:val="00EA061B"/>
    <w:rsid w:val="00EA0927"/>
    <w:rsid w:val="00EA123A"/>
    <w:rsid w:val="00EA1FAD"/>
    <w:rsid w:val="00EA234C"/>
    <w:rsid w:val="00EA329E"/>
    <w:rsid w:val="00EA38BF"/>
    <w:rsid w:val="00EA531C"/>
    <w:rsid w:val="00EA5503"/>
    <w:rsid w:val="00EA5D02"/>
    <w:rsid w:val="00EA628D"/>
    <w:rsid w:val="00EA6443"/>
    <w:rsid w:val="00EA6668"/>
    <w:rsid w:val="00EA694C"/>
    <w:rsid w:val="00EA7701"/>
    <w:rsid w:val="00EA7D7C"/>
    <w:rsid w:val="00EB26C1"/>
    <w:rsid w:val="00EB2C73"/>
    <w:rsid w:val="00EB35F6"/>
    <w:rsid w:val="00EB37E9"/>
    <w:rsid w:val="00EB381A"/>
    <w:rsid w:val="00EB68DC"/>
    <w:rsid w:val="00EB72EE"/>
    <w:rsid w:val="00EC0356"/>
    <w:rsid w:val="00EC1BA2"/>
    <w:rsid w:val="00EC2B10"/>
    <w:rsid w:val="00EC332D"/>
    <w:rsid w:val="00EC4138"/>
    <w:rsid w:val="00EC4338"/>
    <w:rsid w:val="00EC5581"/>
    <w:rsid w:val="00EC5945"/>
    <w:rsid w:val="00EC67B2"/>
    <w:rsid w:val="00ED0A7B"/>
    <w:rsid w:val="00ED1366"/>
    <w:rsid w:val="00ED139A"/>
    <w:rsid w:val="00ED18DC"/>
    <w:rsid w:val="00ED1A83"/>
    <w:rsid w:val="00ED228E"/>
    <w:rsid w:val="00ED31CC"/>
    <w:rsid w:val="00ED3C5F"/>
    <w:rsid w:val="00ED6201"/>
    <w:rsid w:val="00ED640D"/>
    <w:rsid w:val="00ED67EE"/>
    <w:rsid w:val="00ED7A2A"/>
    <w:rsid w:val="00EE0E31"/>
    <w:rsid w:val="00EE4CCD"/>
    <w:rsid w:val="00EE4DD8"/>
    <w:rsid w:val="00EE4F3D"/>
    <w:rsid w:val="00EE5A98"/>
    <w:rsid w:val="00EE6AD5"/>
    <w:rsid w:val="00EE7018"/>
    <w:rsid w:val="00EE7316"/>
    <w:rsid w:val="00EE7438"/>
    <w:rsid w:val="00EF0E7F"/>
    <w:rsid w:val="00EF19A7"/>
    <w:rsid w:val="00EF1D7F"/>
    <w:rsid w:val="00EF2A09"/>
    <w:rsid w:val="00EF2B7E"/>
    <w:rsid w:val="00EF306E"/>
    <w:rsid w:val="00EF3575"/>
    <w:rsid w:val="00EF37E7"/>
    <w:rsid w:val="00EF3A49"/>
    <w:rsid w:val="00EF7454"/>
    <w:rsid w:val="00EF7CA2"/>
    <w:rsid w:val="00F0009D"/>
    <w:rsid w:val="00F00D39"/>
    <w:rsid w:val="00F00EAF"/>
    <w:rsid w:val="00F0102D"/>
    <w:rsid w:val="00F0137E"/>
    <w:rsid w:val="00F04826"/>
    <w:rsid w:val="00F05C18"/>
    <w:rsid w:val="00F073D5"/>
    <w:rsid w:val="00F07787"/>
    <w:rsid w:val="00F07FCE"/>
    <w:rsid w:val="00F11A3E"/>
    <w:rsid w:val="00F12296"/>
    <w:rsid w:val="00F12A4A"/>
    <w:rsid w:val="00F12EB5"/>
    <w:rsid w:val="00F13402"/>
    <w:rsid w:val="00F13642"/>
    <w:rsid w:val="00F1407F"/>
    <w:rsid w:val="00F14900"/>
    <w:rsid w:val="00F16213"/>
    <w:rsid w:val="00F1624B"/>
    <w:rsid w:val="00F1756C"/>
    <w:rsid w:val="00F2069D"/>
    <w:rsid w:val="00F21085"/>
    <w:rsid w:val="00F21786"/>
    <w:rsid w:val="00F2206E"/>
    <w:rsid w:val="00F22630"/>
    <w:rsid w:val="00F22882"/>
    <w:rsid w:val="00F22B4D"/>
    <w:rsid w:val="00F2320B"/>
    <w:rsid w:val="00F2399F"/>
    <w:rsid w:val="00F24333"/>
    <w:rsid w:val="00F24CB0"/>
    <w:rsid w:val="00F24EDE"/>
    <w:rsid w:val="00F27896"/>
    <w:rsid w:val="00F31D0F"/>
    <w:rsid w:val="00F31D4C"/>
    <w:rsid w:val="00F324FB"/>
    <w:rsid w:val="00F32759"/>
    <w:rsid w:val="00F32DD6"/>
    <w:rsid w:val="00F34727"/>
    <w:rsid w:val="00F349CF"/>
    <w:rsid w:val="00F34B41"/>
    <w:rsid w:val="00F36C83"/>
    <w:rsid w:val="00F3742B"/>
    <w:rsid w:val="00F37D79"/>
    <w:rsid w:val="00F40FEC"/>
    <w:rsid w:val="00F41510"/>
    <w:rsid w:val="00F41FDB"/>
    <w:rsid w:val="00F420DE"/>
    <w:rsid w:val="00F423F2"/>
    <w:rsid w:val="00F42614"/>
    <w:rsid w:val="00F44BB5"/>
    <w:rsid w:val="00F44C3C"/>
    <w:rsid w:val="00F45FD6"/>
    <w:rsid w:val="00F507EC"/>
    <w:rsid w:val="00F531A6"/>
    <w:rsid w:val="00F532EB"/>
    <w:rsid w:val="00F5340A"/>
    <w:rsid w:val="00F54358"/>
    <w:rsid w:val="00F5461E"/>
    <w:rsid w:val="00F5465F"/>
    <w:rsid w:val="00F54925"/>
    <w:rsid w:val="00F549BC"/>
    <w:rsid w:val="00F54AA9"/>
    <w:rsid w:val="00F55066"/>
    <w:rsid w:val="00F55A3C"/>
    <w:rsid w:val="00F56A6B"/>
    <w:rsid w:val="00F56CDB"/>
    <w:rsid w:val="00F56D63"/>
    <w:rsid w:val="00F57F74"/>
    <w:rsid w:val="00F600F0"/>
    <w:rsid w:val="00F60603"/>
    <w:rsid w:val="00F609A9"/>
    <w:rsid w:val="00F61203"/>
    <w:rsid w:val="00F649FC"/>
    <w:rsid w:val="00F64F55"/>
    <w:rsid w:val="00F651A8"/>
    <w:rsid w:val="00F67789"/>
    <w:rsid w:val="00F718B3"/>
    <w:rsid w:val="00F72567"/>
    <w:rsid w:val="00F728F6"/>
    <w:rsid w:val="00F72E85"/>
    <w:rsid w:val="00F73B82"/>
    <w:rsid w:val="00F74CC4"/>
    <w:rsid w:val="00F76112"/>
    <w:rsid w:val="00F76215"/>
    <w:rsid w:val="00F76F19"/>
    <w:rsid w:val="00F7763E"/>
    <w:rsid w:val="00F8063F"/>
    <w:rsid w:val="00F80C99"/>
    <w:rsid w:val="00F83187"/>
    <w:rsid w:val="00F835E8"/>
    <w:rsid w:val="00F8487A"/>
    <w:rsid w:val="00F856C8"/>
    <w:rsid w:val="00F867EC"/>
    <w:rsid w:val="00F86B5F"/>
    <w:rsid w:val="00F87427"/>
    <w:rsid w:val="00F87856"/>
    <w:rsid w:val="00F87E3A"/>
    <w:rsid w:val="00F903CD"/>
    <w:rsid w:val="00F91619"/>
    <w:rsid w:val="00F91B2B"/>
    <w:rsid w:val="00F91F42"/>
    <w:rsid w:val="00F9214D"/>
    <w:rsid w:val="00F92949"/>
    <w:rsid w:val="00F93166"/>
    <w:rsid w:val="00F93FBC"/>
    <w:rsid w:val="00F94C44"/>
    <w:rsid w:val="00F95427"/>
    <w:rsid w:val="00F9555E"/>
    <w:rsid w:val="00F96489"/>
    <w:rsid w:val="00F96646"/>
    <w:rsid w:val="00F96824"/>
    <w:rsid w:val="00F96EB8"/>
    <w:rsid w:val="00F96F8C"/>
    <w:rsid w:val="00FA1F6F"/>
    <w:rsid w:val="00FA3D99"/>
    <w:rsid w:val="00FA4ED2"/>
    <w:rsid w:val="00FA5E26"/>
    <w:rsid w:val="00FA71ED"/>
    <w:rsid w:val="00FA79F6"/>
    <w:rsid w:val="00FB0DF0"/>
    <w:rsid w:val="00FB2858"/>
    <w:rsid w:val="00FB3D49"/>
    <w:rsid w:val="00FB40D5"/>
    <w:rsid w:val="00FB449A"/>
    <w:rsid w:val="00FB47EE"/>
    <w:rsid w:val="00FB4B5E"/>
    <w:rsid w:val="00FB53D9"/>
    <w:rsid w:val="00FB5F61"/>
    <w:rsid w:val="00FC0141"/>
    <w:rsid w:val="00FC0166"/>
    <w:rsid w:val="00FC03CD"/>
    <w:rsid w:val="00FC0519"/>
    <w:rsid w:val="00FC0646"/>
    <w:rsid w:val="00FC1577"/>
    <w:rsid w:val="00FC15BF"/>
    <w:rsid w:val="00FC1D28"/>
    <w:rsid w:val="00FC26B3"/>
    <w:rsid w:val="00FC28AA"/>
    <w:rsid w:val="00FC2DFE"/>
    <w:rsid w:val="00FC2ED7"/>
    <w:rsid w:val="00FC3121"/>
    <w:rsid w:val="00FC370A"/>
    <w:rsid w:val="00FC48B9"/>
    <w:rsid w:val="00FC4A05"/>
    <w:rsid w:val="00FC4FAC"/>
    <w:rsid w:val="00FC5F22"/>
    <w:rsid w:val="00FC6142"/>
    <w:rsid w:val="00FC6460"/>
    <w:rsid w:val="00FC670F"/>
    <w:rsid w:val="00FC68B7"/>
    <w:rsid w:val="00FC75B2"/>
    <w:rsid w:val="00FC75E3"/>
    <w:rsid w:val="00FD0144"/>
    <w:rsid w:val="00FD2BA9"/>
    <w:rsid w:val="00FD4AD4"/>
    <w:rsid w:val="00FD5FB5"/>
    <w:rsid w:val="00FD6240"/>
    <w:rsid w:val="00FD690A"/>
    <w:rsid w:val="00FD72DB"/>
    <w:rsid w:val="00FD750A"/>
    <w:rsid w:val="00FD778D"/>
    <w:rsid w:val="00FD7E87"/>
    <w:rsid w:val="00FE050D"/>
    <w:rsid w:val="00FE079F"/>
    <w:rsid w:val="00FE10DF"/>
    <w:rsid w:val="00FE1578"/>
    <w:rsid w:val="00FE1635"/>
    <w:rsid w:val="00FE1B20"/>
    <w:rsid w:val="00FE1BB7"/>
    <w:rsid w:val="00FE250B"/>
    <w:rsid w:val="00FE2CC0"/>
    <w:rsid w:val="00FE317D"/>
    <w:rsid w:val="00FE3254"/>
    <w:rsid w:val="00FE41C3"/>
    <w:rsid w:val="00FE42DE"/>
    <w:rsid w:val="00FE4A99"/>
    <w:rsid w:val="00FE5757"/>
    <w:rsid w:val="00FE6985"/>
    <w:rsid w:val="00FE6EBA"/>
    <w:rsid w:val="00FF1082"/>
    <w:rsid w:val="00FF2660"/>
    <w:rsid w:val="00FF2736"/>
    <w:rsid w:val="00FF4BC3"/>
    <w:rsid w:val="00FF5624"/>
    <w:rsid w:val="00FF587E"/>
    <w:rsid w:val="00FF58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2B393"/>
  <w15:docId w15:val="{C686DF7D-95D5-4C3F-9166-DE201F2A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D08"/>
    <w:rPr>
      <w:sz w:val="24"/>
      <w:szCs w:val="24"/>
    </w:rPr>
  </w:style>
  <w:style w:type="paragraph" w:styleId="Heading1">
    <w:name w:val="heading 1"/>
    <w:aliases w:val="Table_G"/>
    <w:basedOn w:val="SingleTxtG"/>
    <w:next w:val="SingleTxtG"/>
    <w:qFormat/>
    <w:rsid w:val="006A5D08"/>
    <w:pPr>
      <w:spacing w:after="0"/>
      <w:ind w:right="0"/>
      <w:jc w:val="left"/>
      <w:outlineLvl w:val="0"/>
    </w:pPr>
  </w:style>
  <w:style w:type="paragraph" w:styleId="Heading2">
    <w:name w:val="heading 2"/>
    <w:basedOn w:val="Normal"/>
    <w:next w:val="Normal"/>
    <w:qFormat/>
    <w:rsid w:val="006A5D08"/>
    <w:pPr>
      <w:outlineLvl w:val="1"/>
    </w:pPr>
  </w:style>
  <w:style w:type="paragraph" w:styleId="Heading3">
    <w:name w:val="heading 3"/>
    <w:basedOn w:val="Normal"/>
    <w:next w:val="Normal"/>
    <w:qFormat/>
    <w:rsid w:val="006A5D08"/>
    <w:pPr>
      <w:outlineLvl w:val="2"/>
    </w:pPr>
  </w:style>
  <w:style w:type="paragraph" w:styleId="Heading4">
    <w:name w:val="heading 4"/>
    <w:basedOn w:val="Normal"/>
    <w:next w:val="Normal"/>
    <w:qFormat/>
    <w:rsid w:val="006A5D08"/>
    <w:pPr>
      <w:outlineLvl w:val="3"/>
    </w:pPr>
  </w:style>
  <w:style w:type="paragraph" w:styleId="Heading5">
    <w:name w:val="heading 5"/>
    <w:basedOn w:val="Normal"/>
    <w:next w:val="Normal"/>
    <w:qFormat/>
    <w:rsid w:val="006A5D08"/>
    <w:pPr>
      <w:outlineLvl w:val="4"/>
    </w:pPr>
  </w:style>
  <w:style w:type="paragraph" w:styleId="Heading6">
    <w:name w:val="heading 6"/>
    <w:basedOn w:val="Normal"/>
    <w:next w:val="Normal"/>
    <w:qFormat/>
    <w:rsid w:val="006A5D08"/>
    <w:pPr>
      <w:outlineLvl w:val="5"/>
    </w:pPr>
  </w:style>
  <w:style w:type="paragraph" w:styleId="Heading7">
    <w:name w:val="heading 7"/>
    <w:basedOn w:val="Normal"/>
    <w:next w:val="Normal"/>
    <w:qFormat/>
    <w:rsid w:val="006A5D08"/>
    <w:pPr>
      <w:outlineLvl w:val="6"/>
    </w:pPr>
  </w:style>
  <w:style w:type="paragraph" w:styleId="Heading8">
    <w:name w:val="heading 8"/>
    <w:basedOn w:val="Normal"/>
    <w:next w:val="Normal"/>
    <w:qFormat/>
    <w:rsid w:val="006A5D08"/>
    <w:pPr>
      <w:outlineLvl w:val="7"/>
    </w:pPr>
  </w:style>
  <w:style w:type="paragraph" w:styleId="Heading9">
    <w:name w:val="heading 9"/>
    <w:basedOn w:val="Normal"/>
    <w:next w:val="Normal"/>
    <w:qFormat/>
    <w:rsid w:val="006A5D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6A5D0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6A5D08"/>
    <w:rPr>
      <w:sz w:val="16"/>
    </w:rPr>
  </w:style>
  <w:style w:type="paragraph" w:styleId="Header">
    <w:name w:val="header"/>
    <w:aliases w:val="6_G"/>
    <w:basedOn w:val="Normal"/>
    <w:rsid w:val="006A5D08"/>
    <w:pPr>
      <w:pBdr>
        <w:bottom w:val="single" w:sz="4" w:space="4" w:color="auto"/>
      </w:pBdr>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rsid w:val="00C90CFC"/>
    <w:rPr>
      <w:lang w:val="x-none"/>
    </w:rPr>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6A5D08"/>
    <w:pPr>
      <w:widowControl w:val="0"/>
      <w:autoSpaceDE w:val="0"/>
      <w:spacing w:line="220" w:lineRule="exact"/>
      <w:ind w:firstLine="475"/>
      <w:jc w:val="both"/>
    </w:pPr>
    <w:rPr>
      <w:lang w:val="uk-UA" w:eastAsia="ar-SA"/>
    </w:rPr>
  </w:style>
  <w:style w:type="character" w:customStyle="1" w:styleId="CommentTextChar">
    <w:name w:val="Comment Text Char"/>
    <w:link w:val="CommentText"/>
    <w:rsid w:val="004761A3"/>
    <w:rPr>
      <w:lang w:eastAsia="en-US"/>
    </w:rPr>
  </w:style>
  <w:style w:type="character" w:styleId="Strong">
    <w:name w:val="Strong"/>
    <w:uiPriority w:val="22"/>
    <w:qFormat/>
    <w:rsid w:val="008F1F09"/>
    <w:rPr>
      <w:b/>
      <w:bCs/>
    </w:rPr>
  </w:style>
  <w:style w:type="character" w:styleId="Emphasis">
    <w:name w:val="Emphasis"/>
    <w:uiPriority w:val="20"/>
    <w:qFormat/>
    <w:rsid w:val="006B3ED4"/>
    <w:rPr>
      <w:i/>
      <w:iCs/>
    </w:rPr>
  </w:style>
  <w:style w:type="character" w:customStyle="1" w:styleId="st">
    <w:name w:val="st"/>
    <w:rsid w:val="006B3ED4"/>
  </w:style>
  <w:style w:type="paragraph" w:customStyle="1" w:styleId="legclearfix">
    <w:name w:val="legclearfix"/>
    <w:basedOn w:val="Normal"/>
    <w:rsid w:val="006A5D08"/>
    <w:pPr>
      <w:spacing w:before="100" w:beforeAutospacing="1" w:after="100" w:afterAutospacing="1"/>
    </w:pPr>
    <w:rPr>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6A5D08"/>
    <w:pPr>
      <w:spacing w:before="100" w:beforeAutospacing="1" w:after="100" w:afterAutospacing="1"/>
    </w:pPr>
    <w:rPr>
      <w:lang w:val="fr-FR" w:eastAsia="fr-FR"/>
    </w:rPr>
  </w:style>
  <w:style w:type="character" w:customStyle="1" w:styleId="SingleTxtGChar">
    <w:name w:val="_ Single Txt_G Char"/>
    <w:link w:val="SingleTxtG"/>
    <w:locked/>
    <w:rsid w:val="00976D18"/>
    <w:rPr>
      <w:lang w:eastAsia="en-US"/>
    </w:rPr>
  </w:style>
  <w:style w:type="character" w:customStyle="1" w:styleId="FootnoteTextChar">
    <w:name w:val="Footnote Text Char"/>
    <w:aliases w:val="5_G Char"/>
    <w:link w:val="FootnoteText"/>
    <w:uiPriority w:val="99"/>
    <w:rsid w:val="00976D18"/>
    <w:rPr>
      <w:sz w:val="18"/>
      <w:lang w:eastAsia="en-US"/>
    </w:rPr>
  </w:style>
  <w:style w:type="character" w:customStyle="1" w:styleId="highlight">
    <w:name w:val="highlight"/>
    <w:basedOn w:val="DefaultParagraphFont"/>
    <w:rsid w:val="00471092"/>
  </w:style>
  <w:style w:type="paragraph" w:customStyle="1" w:styleId="c02alineaalta">
    <w:name w:val="c02alineaalta"/>
    <w:basedOn w:val="Normal"/>
    <w:rsid w:val="006A5D08"/>
    <w:pPr>
      <w:spacing w:before="100" w:beforeAutospacing="1" w:after="100" w:afterAutospacing="1"/>
    </w:pPr>
    <w:rPr>
      <w:lang w:eastAsia="en-GB"/>
    </w:rPr>
  </w:style>
  <w:style w:type="paragraph" w:customStyle="1" w:styleId="c19centre">
    <w:name w:val="c19centre"/>
    <w:basedOn w:val="Normal"/>
    <w:rsid w:val="006A5D08"/>
    <w:pPr>
      <w:spacing w:before="100" w:beforeAutospacing="1" w:after="100" w:afterAutospacing="1"/>
    </w:pPr>
    <w:rPr>
      <w:lang w:eastAsia="en-GB"/>
    </w:rPr>
  </w:style>
  <w:style w:type="paragraph" w:styleId="DocumentMap">
    <w:name w:val="Document Map"/>
    <w:basedOn w:val="Normal"/>
    <w:link w:val="DocumentMapChar"/>
    <w:semiHidden/>
    <w:unhideWhenUsed/>
    <w:rsid w:val="003E2472"/>
  </w:style>
  <w:style w:type="character" w:customStyle="1" w:styleId="DocumentMapChar">
    <w:name w:val="Document Map Char"/>
    <w:basedOn w:val="DefaultParagraphFont"/>
    <w:link w:val="DocumentMap"/>
    <w:semiHidden/>
    <w:rsid w:val="003E2472"/>
    <w:rPr>
      <w:sz w:val="24"/>
      <w:szCs w:val="24"/>
      <w:lang w:val="en-GB"/>
    </w:rPr>
  </w:style>
  <w:style w:type="paragraph" w:styleId="Revision">
    <w:name w:val="Revision"/>
    <w:hidden/>
    <w:uiPriority w:val="99"/>
    <w:semiHidden/>
    <w:rsid w:val="009423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201526192">
      <w:bodyDiv w:val="1"/>
      <w:marLeft w:val="0"/>
      <w:marRight w:val="0"/>
      <w:marTop w:val="0"/>
      <w:marBottom w:val="0"/>
      <w:divBdr>
        <w:top w:val="none" w:sz="0" w:space="0" w:color="auto"/>
        <w:left w:val="none" w:sz="0" w:space="0" w:color="auto"/>
        <w:bottom w:val="none" w:sz="0" w:space="0" w:color="auto"/>
        <w:right w:val="none" w:sz="0" w:space="0" w:color="auto"/>
      </w:divBdr>
      <w:divsChild>
        <w:div w:id="284506386">
          <w:marLeft w:val="0"/>
          <w:marRight w:val="0"/>
          <w:marTop w:val="0"/>
          <w:marBottom w:val="0"/>
          <w:divBdr>
            <w:top w:val="none" w:sz="0" w:space="0" w:color="auto"/>
            <w:left w:val="none" w:sz="0" w:space="0" w:color="auto"/>
            <w:bottom w:val="none" w:sz="0" w:space="0" w:color="auto"/>
            <w:right w:val="none" w:sz="0" w:space="0" w:color="auto"/>
          </w:divBdr>
        </w:div>
        <w:div w:id="651062256">
          <w:marLeft w:val="0"/>
          <w:marRight w:val="0"/>
          <w:marTop w:val="0"/>
          <w:marBottom w:val="0"/>
          <w:divBdr>
            <w:top w:val="none" w:sz="0" w:space="0" w:color="auto"/>
            <w:left w:val="none" w:sz="0" w:space="0" w:color="auto"/>
            <w:bottom w:val="none" w:sz="0" w:space="0" w:color="auto"/>
            <w:right w:val="none" w:sz="0" w:space="0" w:color="auto"/>
          </w:divBdr>
        </w:div>
        <w:div w:id="780028099">
          <w:marLeft w:val="0"/>
          <w:marRight w:val="0"/>
          <w:marTop w:val="0"/>
          <w:marBottom w:val="0"/>
          <w:divBdr>
            <w:top w:val="none" w:sz="0" w:space="0" w:color="auto"/>
            <w:left w:val="none" w:sz="0" w:space="0" w:color="auto"/>
            <w:bottom w:val="none" w:sz="0" w:space="0" w:color="auto"/>
            <w:right w:val="none" w:sz="0" w:space="0" w:color="auto"/>
          </w:divBdr>
        </w:div>
        <w:div w:id="1557735581">
          <w:marLeft w:val="0"/>
          <w:marRight w:val="0"/>
          <w:marTop w:val="0"/>
          <w:marBottom w:val="0"/>
          <w:divBdr>
            <w:top w:val="none" w:sz="0" w:space="0" w:color="auto"/>
            <w:left w:val="none" w:sz="0" w:space="0" w:color="auto"/>
            <w:bottom w:val="none" w:sz="0" w:space="0" w:color="auto"/>
            <w:right w:val="none" w:sz="0" w:space="0" w:color="auto"/>
          </w:divBdr>
        </w:div>
        <w:div w:id="1889947389">
          <w:marLeft w:val="0"/>
          <w:marRight w:val="0"/>
          <w:marTop w:val="0"/>
          <w:marBottom w:val="0"/>
          <w:divBdr>
            <w:top w:val="none" w:sz="0" w:space="0" w:color="auto"/>
            <w:left w:val="none" w:sz="0" w:space="0" w:color="auto"/>
            <w:bottom w:val="none" w:sz="0" w:space="0" w:color="auto"/>
            <w:right w:val="none" w:sz="0" w:space="0" w:color="auto"/>
          </w:divBdr>
        </w:div>
      </w:divsChild>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373501365">
      <w:bodyDiv w:val="1"/>
      <w:marLeft w:val="0"/>
      <w:marRight w:val="0"/>
      <w:marTop w:val="0"/>
      <w:marBottom w:val="0"/>
      <w:divBdr>
        <w:top w:val="none" w:sz="0" w:space="0" w:color="auto"/>
        <w:left w:val="none" w:sz="0" w:space="0" w:color="auto"/>
        <w:bottom w:val="none" w:sz="0" w:space="0" w:color="auto"/>
        <w:right w:val="none" w:sz="0" w:space="0" w:color="auto"/>
      </w:divBdr>
      <w:divsChild>
        <w:div w:id="485822885">
          <w:marLeft w:val="0"/>
          <w:marRight w:val="0"/>
          <w:marTop w:val="0"/>
          <w:marBottom w:val="0"/>
          <w:divBdr>
            <w:top w:val="none" w:sz="0" w:space="0" w:color="auto"/>
            <w:left w:val="none" w:sz="0" w:space="0" w:color="auto"/>
            <w:bottom w:val="none" w:sz="0" w:space="0" w:color="auto"/>
            <w:right w:val="none" w:sz="0" w:space="0" w:color="auto"/>
          </w:divBdr>
        </w:div>
        <w:div w:id="644705006">
          <w:marLeft w:val="0"/>
          <w:marRight w:val="0"/>
          <w:marTop w:val="0"/>
          <w:marBottom w:val="0"/>
          <w:divBdr>
            <w:top w:val="none" w:sz="0" w:space="0" w:color="auto"/>
            <w:left w:val="none" w:sz="0" w:space="0" w:color="auto"/>
            <w:bottom w:val="none" w:sz="0" w:space="0" w:color="auto"/>
            <w:right w:val="none" w:sz="0" w:space="0" w:color="auto"/>
          </w:divBdr>
        </w:div>
        <w:div w:id="1067922188">
          <w:marLeft w:val="0"/>
          <w:marRight w:val="0"/>
          <w:marTop w:val="0"/>
          <w:marBottom w:val="0"/>
          <w:divBdr>
            <w:top w:val="none" w:sz="0" w:space="0" w:color="auto"/>
            <w:left w:val="none" w:sz="0" w:space="0" w:color="auto"/>
            <w:bottom w:val="none" w:sz="0" w:space="0" w:color="auto"/>
            <w:right w:val="none" w:sz="0" w:space="0" w:color="auto"/>
          </w:divBdr>
        </w:div>
        <w:div w:id="1510483334">
          <w:marLeft w:val="0"/>
          <w:marRight w:val="0"/>
          <w:marTop w:val="0"/>
          <w:marBottom w:val="0"/>
          <w:divBdr>
            <w:top w:val="none" w:sz="0" w:space="0" w:color="auto"/>
            <w:left w:val="none" w:sz="0" w:space="0" w:color="auto"/>
            <w:bottom w:val="none" w:sz="0" w:space="0" w:color="auto"/>
            <w:right w:val="none" w:sz="0" w:space="0" w:color="auto"/>
          </w:divBdr>
        </w:div>
        <w:div w:id="1567644783">
          <w:marLeft w:val="0"/>
          <w:marRight w:val="0"/>
          <w:marTop w:val="0"/>
          <w:marBottom w:val="0"/>
          <w:divBdr>
            <w:top w:val="none" w:sz="0" w:space="0" w:color="auto"/>
            <w:left w:val="none" w:sz="0" w:space="0" w:color="auto"/>
            <w:bottom w:val="none" w:sz="0" w:space="0" w:color="auto"/>
            <w:right w:val="none" w:sz="0" w:space="0" w:color="auto"/>
          </w:divBdr>
        </w:div>
        <w:div w:id="1725060873">
          <w:marLeft w:val="0"/>
          <w:marRight w:val="0"/>
          <w:marTop w:val="0"/>
          <w:marBottom w:val="0"/>
          <w:divBdr>
            <w:top w:val="none" w:sz="0" w:space="0" w:color="auto"/>
            <w:left w:val="none" w:sz="0" w:space="0" w:color="auto"/>
            <w:bottom w:val="none" w:sz="0" w:space="0" w:color="auto"/>
            <w:right w:val="none" w:sz="0" w:space="0" w:color="auto"/>
          </w:divBdr>
        </w:div>
        <w:div w:id="2047636002">
          <w:marLeft w:val="0"/>
          <w:marRight w:val="0"/>
          <w:marTop w:val="0"/>
          <w:marBottom w:val="0"/>
          <w:divBdr>
            <w:top w:val="none" w:sz="0" w:space="0" w:color="auto"/>
            <w:left w:val="none" w:sz="0" w:space="0" w:color="auto"/>
            <w:bottom w:val="none" w:sz="0" w:space="0" w:color="auto"/>
            <w:right w:val="none" w:sz="0" w:space="0" w:color="auto"/>
          </w:divBdr>
        </w:div>
      </w:divsChild>
    </w:div>
    <w:div w:id="440418035">
      <w:bodyDiv w:val="1"/>
      <w:marLeft w:val="0"/>
      <w:marRight w:val="0"/>
      <w:marTop w:val="0"/>
      <w:marBottom w:val="0"/>
      <w:divBdr>
        <w:top w:val="none" w:sz="0" w:space="0" w:color="auto"/>
        <w:left w:val="none" w:sz="0" w:space="0" w:color="auto"/>
        <w:bottom w:val="none" w:sz="0" w:space="0" w:color="auto"/>
        <w:right w:val="none" w:sz="0" w:space="0" w:color="auto"/>
      </w:divBdr>
      <w:divsChild>
        <w:div w:id="310528276">
          <w:marLeft w:val="0"/>
          <w:marRight w:val="0"/>
          <w:marTop w:val="0"/>
          <w:marBottom w:val="0"/>
          <w:divBdr>
            <w:top w:val="none" w:sz="0" w:space="0" w:color="auto"/>
            <w:left w:val="none" w:sz="0" w:space="0" w:color="auto"/>
            <w:bottom w:val="none" w:sz="0" w:space="0" w:color="auto"/>
            <w:right w:val="none" w:sz="0" w:space="0" w:color="auto"/>
          </w:divBdr>
        </w:div>
        <w:div w:id="319387806">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1940789891">
          <w:marLeft w:val="0"/>
          <w:marRight w:val="0"/>
          <w:marTop w:val="0"/>
          <w:marBottom w:val="0"/>
          <w:divBdr>
            <w:top w:val="none" w:sz="0" w:space="0" w:color="auto"/>
            <w:left w:val="none" w:sz="0" w:space="0" w:color="auto"/>
            <w:bottom w:val="none" w:sz="0" w:space="0" w:color="auto"/>
            <w:right w:val="none" w:sz="0" w:space="0" w:color="auto"/>
          </w:divBdr>
        </w:div>
      </w:divsChild>
    </w:div>
    <w:div w:id="559704974">
      <w:bodyDiv w:val="1"/>
      <w:marLeft w:val="0"/>
      <w:marRight w:val="0"/>
      <w:marTop w:val="0"/>
      <w:marBottom w:val="0"/>
      <w:divBdr>
        <w:top w:val="none" w:sz="0" w:space="0" w:color="auto"/>
        <w:left w:val="none" w:sz="0" w:space="0" w:color="auto"/>
        <w:bottom w:val="none" w:sz="0" w:space="0" w:color="auto"/>
        <w:right w:val="none" w:sz="0" w:space="0" w:color="auto"/>
      </w:divBdr>
      <w:divsChild>
        <w:div w:id="806356820">
          <w:marLeft w:val="0"/>
          <w:marRight w:val="0"/>
          <w:marTop w:val="0"/>
          <w:marBottom w:val="0"/>
          <w:divBdr>
            <w:top w:val="none" w:sz="0" w:space="0" w:color="auto"/>
            <w:left w:val="none" w:sz="0" w:space="0" w:color="auto"/>
            <w:bottom w:val="none" w:sz="0" w:space="0" w:color="auto"/>
            <w:right w:val="none" w:sz="0" w:space="0" w:color="auto"/>
          </w:divBdr>
        </w:div>
        <w:div w:id="1831091876">
          <w:marLeft w:val="0"/>
          <w:marRight w:val="0"/>
          <w:marTop w:val="0"/>
          <w:marBottom w:val="0"/>
          <w:divBdr>
            <w:top w:val="none" w:sz="0" w:space="0" w:color="auto"/>
            <w:left w:val="none" w:sz="0" w:space="0" w:color="auto"/>
            <w:bottom w:val="none" w:sz="0" w:space="0" w:color="auto"/>
            <w:right w:val="none" w:sz="0" w:space="0" w:color="auto"/>
          </w:divBdr>
        </w:div>
      </w:divsChild>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813911281">
      <w:bodyDiv w:val="1"/>
      <w:marLeft w:val="0"/>
      <w:marRight w:val="0"/>
      <w:marTop w:val="0"/>
      <w:marBottom w:val="0"/>
      <w:divBdr>
        <w:top w:val="none" w:sz="0" w:space="0" w:color="auto"/>
        <w:left w:val="none" w:sz="0" w:space="0" w:color="auto"/>
        <w:bottom w:val="none" w:sz="0" w:space="0" w:color="auto"/>
        <w:right w:val="none" w:sz="0" w:space="0" w:color="auto"/>
      </w:divBdr>
      <w:divsChild>
        <w:div w:id="61220869">
          <w:marLeft w:val="0"/>
          <w:marRight w:val="0"/>
          <w:marTop w:val="0"/>
          <w:marBottom w:val="0"/>
          <w:divBdr>
            <w:top w:val="none" w:sz="0" w:space="0" w:color="auto"/>
            <w:left w:val="none" w:sz="0" w:space="0" w:color="auto"/>
            <w:bottom w:val="none" w:sz="0" w:space="0" w:color="auto"/>
            <w:right w:val="none" w:sz="0" w:space="0" w:color="auto"/>
          </w:divBdr>
        </w:div>
        <w:div w:id="63066748">
          <w:marLeft w:val="0"/>
          <w:marRight w:val="0"/>
          <w:marTop w:val="0"/>
          <w:marBottom w:val="0"/>
          <w:divBdr>
            <w:top w:val="none" w:sz="0" w:space="0" w:color="auto"/>
            <w:left w:val="none" w:sz="0" w:space="0" w:color="auto"/>
            <w:bottom w:val="none" w:sz="0" w:space="0" w:color="auto"/>
            <w:right w:val="none" w:sz="0" w:space="0" w:color="auto"/>
          </w:divBdr>
        </w:div>
        <w:div w:id="188221632">
          <w:marLeft w:val="0"/>
          <w:marRight w:val="0"/>
          <w:marTop w:val="0"/>
          <w:marBottom w:val="0"/>
          <w:divBdr>
            <w:top w:val="none" w:sz="0" w:space="0" w:color="auto"/>
            <w:left w:val="none" w:sz="0" w:space="0" w:color="auto"/>
            <w:bottom w:val="none" w:sz="0" w:space="0" w:color="auto"/>
            <w:right w:val="none" w:sz="0" w:space="0" w:color="auto"/>
          </w:divBdr>
        </w:div>
        <w:div w:id="268204636">
          <w:marLeft w:val="0"/>
          <w:marRight w:val="0"/>
          <w:marTop w:val="0"/>
          <w:marBottom w:val="0"/>
          <w:divBdr>
            <w:top w:val="none" w:sz="0" w:space="0" w:color="auto"/>
            <w:left w:val="none" w:sz="0" w:space="0" w:color="auto"/>
            <w:bottom w:val="none" w:sz="0" w:space="0" w:color="auto"/>
            <w:right w:val="none" w:sz="0" w:space="0" w:color="auto"/>
          </w:divBdr>
        </w:div>
        <w:div w:id="307249656">
          <w:marLeft w:val="0"/>
          <w:marRight w:val="0"/>
          <w:marTop w:val="0"/>
          <w:marBottom w:val="0"/>
          <w:divBdr>
            <w:top w:val="none" w:sz="0" w:space="0" w:color="auto"/>
            <w:left w:val="none" w:sz="0" w:space="0" w:color="auto"/>
            <w:bottom w:val="none" w:sz="0" w:space="0" w:color="auto"/>
            <w:right w:val="none" w:sz="0" w:space="0" w:color="auto"/>
          </w:divBdr>
        </w:div>
        <w:div w:id="449280403">
          <w:marLeft w:val="0"/>
          <w:marRight w:val="0"/>
          <w:marTop w:val="0"/>
          <w:marBottom w:val="0"/>
          <w:divBdr>
            <w:top w:val="none" w:sz="0" w:space="0" w:color="auto"/>
            <w:left w:val="none" w:sz="0" w:space="0" w:color="auto"/>
            <w:bottom w:val="none" w:sz="0" w:space="0" w:color="auto"/>
            <w:right w:val="none" w:sz="0" w:space="0" w:color="auto"/>
          </w:divBdr>
        </w:div>
        <w:div w:id="892539509">
          <w:marLeft w:val="0"/>
          <w:marRight w:val="0"/>
          <w:marTop w:val="0"/>
          <w:marBottom w:val="0"/>
          <w:divBdr>
            <w:top w:val="none" w:sz="0" w:space="0" w:color="auto"/>
            <w:left w:val="none" w:sz="0" w:space="0" w:color="auto"/>
            <w:bottom w:val="none" w:sz="0" w:space="0" w:color="auto"/>
            <w:right w:val="none" w:sz="0" w:space="0" w:color="auto"/>
          </w:divBdr>
        </w:div>
        <w:div w:id="930505774">
          <w:marLeft w:val="0"/>
          <w:marRight w:val="0"/>
          <w:marTop w:val="0"/>
          <w:marBottom w:val="0"/>
          <w:divBdr>
            <w:top w:val="none" w:sz="0" w:space="0" w:color="auto"/>
            <w:left w:val="none" w:sz="0" w:space="0" w:color="auto"/>
            <w:bottom w:val="none" w:sz="0" w:space="0" w:color="auto"/>
            <w:right w:val="none" w:sz="0" w:space="0" w:color="auto"/>
          </w:divBdr>
        </w:div>
        <w:div w:id="1035159564">
          <w:marLeft w:val="0"/>
          <w:marRight w:val="0"/>
          <w:marTop w:val="0"/>
          <w:marBottom w:val="0"/>
          <w:divBdr>
            <w:top w:val="none" w:sz="0" w:space="0" w:color="auto"/>
            <w:left w:val="none" w:sz="0" w:space="0" w:color="auto"/>
            <w:bottom w:val="none" w:sz="0" w:space="0" w:color="auto"/>
            <w:right w:val="none" w:sz="0" w:space="0" w:color="auto"/>
          </w:divBdr>
        </w:div>
        <w:div w:id="1077051168">
          <w:marLeft w:val="0"/>
          <w:marRight w:val="0"/>
          <w:marTop w:val="0"/>
          <w:marBottom w:val="0"/>
          <w:divBdr>
            <w:top w:val="none" w:sz="0" w:space="0" w:color="auto"/>
            <w:left w:val="none" w:sz="0" w:space="0" w:color="auto"/>
            <w:bottom w:val="none" w:sz="0" w:space="0" w:color="auto"/>
            <w:right w:val="none" w:sz="0" w:space="0" w:color="auto"/>
          </w:divBdr>
        </w:div>
        <w:div w:id="1119106380">
          <w:marLeft w:val="0"/>
          <w:marRight w:val="0"/>
          <w:marTop w:val="0"/>
          <w:marBottom w:val="0"/>
          <w:divBdr>
            <w:top w:val="none" w:sz="0" w:space="0" w:color="auto"/>
            <w:left w:val="none" w:sz="0" w:space="0" w:color="auto"/>
            <w:bottom w:val="none" w:sz="0" w:space="0" w:color="auto"/>
            <w:right w:val="none" w:sz="0" w:space="0" w:color="auto"/>
          </w:divBdr>
        </w:div>
        <w:div w:id="1346245851">
          <w:marLeft w:val="0"/>
          <w:marRight w:val="0"/>
          <w:marTop w:val="0"/>
          <w:marBottom w:val="0"/>
          <w:divBdr>
            <w:top w:val="none" w:sz="0" w:space="0" w:color="auto"/>
            <w:left w:val="none" w:sz="0" w:space="0" w:color="auto"/>
            <w:bottom w:val="none" w:sz="0" w:space="0" w:color="auto"/>
            <w:right w:val="none" w:sz="0" w:space="0" w:color="auto"/>
          </w:divBdr>
        </w:div>
        <w:div w:id="1458061732">
          <w:marLeft w:val="0"/>
          <w:marRight w:val="0"/>
          <w:marTop w:val="0"/>
          <w:marBottom w:val="0"/>
          <w:divBdr>
            <w:top w:val="none" w:sz="0" w:space="0" w:color="auto"/>
            <w:left w:val="none" w:sz="0" w:space="0" w:color="auto"/>
            <w:bottom w:val="none" w:sz="0" w:space="0" w:color="auto"/>
            <w:right w:val="none" w:sz="0" w:space="0" w:color="auto"/>
          </w:divBdr>
        </w:div>
        <w:div w:id="1485271480">
          <w:marLeft w:val="0"/>
          <w:marRight w:val="0"/>
          <w:marTop w:val="0"/>
          <w:marBottom w:val="0"/>
          <w:divBdr>
            <w:top w:val="none" w:sz="0" w:space="0" w:color="auto"/>
            <w:left w:val="none" w:sz="0" w:space="0" w:color="auto"/>
            <w:bottom w:val="none" w:sz="0" w:space="0" w:color="auto"/>
            <w:right w:val="none" w:sz="0" w:space="0" w:color="auto"/>
          </w:divBdr>
        </w:div>
        <w:div w:id="1488204003">
          <w:marLeft w:val="0"/>
          <w:marRight w:val="0"/>
          <w:marTop w:val="0"/>
          <w:marBottom w:val="0"/>
          <w:divBdr>
            <w:top w:val="none" w:sz="0" w:space="0" w:color="auto"/>
            <w:left w:val="none" w:sz="0" w:space="0" w:color="auto"/>
            <w:bottom w:val="none" w:sz="0" w:space="0" w:color="auto"/>
            <w:right w:val="none" w:sz="0" w:space="0" w:color="auto"/>
          </w:divBdr>
        </w:div>
        <w:div w:id="1795558741">
          <w:marLeft w:val="0"/>
          <w:marRight w:val="0"/>
          <w:marTop w:val="0"/>
          <w:marBottom w:val="0"/>
          <w:divBdr>
            <w:top w:val="none" w:sz="0" w:space="0" w:color="auto"/>
            <w:left w:val="none" w:sz="0" w:space="0" w:color="auto"/>
            <w:bottom w:val="none" w:sz="0" w:space="0" w:color="auto"/>
            <w:right w:val="none" w:sz="0" w:space="0" w:color="auto"/>
          </w:divBdr>
        </w:div>
        <w:div w:id="2074885637">
          <w:marLeft w:val="0"/>
          <w:marRight w:val="0"/>
          <w:marTop w:val="0"/>
          <w:marBottom w:val="0"/>
          <w:divBdr>
            <w:top w:val="none" w:sz="0" w:space="0" w:color="auto"/>
            <w:left w:val="none" w:sz="0" w:space="0" w:color="auto"/>
            <w:bottom w:val="none" w:sz="0" w:space="0" w:color="auto"/>
            <w:right w:val="none" w:sz="0" w:space="0" w:color="auto"/>
          </w:divBdr>
        </w:div>
      </w:divsChild>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1151753178">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266159073">
      <w:bodyDiv w:val="1"/>
      <w:marLeft w:val="0"/>
      <w:marRight w:val="0"/>
      <w:marTop w:val="0"/>
      <w:marBottom w:val="0"/>
      <w:divBdr>
        <w:top w:val="none" w:sz="0" w:space="0" w:color="auto"/>
        <w:left w:val="none" w:sz="0" w:space="0" w:color="auto"/>
        <w:bottom w:val="none" w:sz="0" w:space="0" w:color="auto"/>
        <w:right w:val="none" w:sz="0" w:space="0" w:color="auto"/>
      </w:divBdr>
    </w:div>
    <w:div w:id="1290088989">
      <w:bodyDiv w:val="1"/>
      <w:marLeft w:val="0"/>
      <w:marRight w:val="0"/>
      <w:marTop w:val="0"/>
      <w:marBottom w:val="0"/>
      <w:divBdr>
        <w:top w:val="none" w:sz="0" w:space="0" w:color="auto"/>
        <w:left w:val="none" w:sz="0" w:space="0" w:color="auto"/>
        <w:bottom w:val="none" w:sz="0" w:space="0" w:color="auto"/>
        <w:right w:val="none" w:sz="0" w:space="0" w:color="auto"/>
      </w:divBdr>
      <w:divsChild>
        <w:div w:id="180778603">
          <w:marLeft w:val="0"/>
          <w:marRight w:val="0"/>
          <w:marTop w:val="0"/>
          <w:marBottom w:val="0"/>
          <w:divBdr>
            <w:top w:val="none" w:sz="0" w:space="0" w:color="auto"/>
            <w:left w:val="none" w:sz="0" w:space="0" w:color="auto"/>
            <w:bottom w:val="none" w:sz="0" w:space="0" w:color="auto"/>
            <w:right w:val="none" w:sz="0" w:space="0" w:color="auto"/>
          </w:divBdr>
        </w:div>
        <w:div w:id="385496553">
          <w:marLeft w:val="0"/>
          <w:marRight w:val="0"/>
          <w:marTop w:val="0"/>
          <w:marBottom w:val="0"/>
          <w:divBdr>
            <w:top w:val="none" w:sz="0" w:space="0" w:color="auto"/>
            <w:left w:val="none" w:sz="0" w:space="0" w:color="auto"/>
            <w:bottom w:val="none" w:sz="0" w:space="0" w:color="auto"/>
            <w:right w:val="none" w:sz="0" w:space="0" w:color="auto"/>
          </w:divBdr>
        </w:div>
        <w:div w:id="1014071142">
          <w:marLeft w:val="0"/>
          <w:marRight w:val="0"/>
          <w:marTop w:val="0"/>
          <w:marBottom w:val="0"/>
          <w:divBdr>
            <w:top w:val="none" w:sz="0" w:space="0" w:color="auto"/>
            <w:left w:val="none" w:sz="0" w:space="0" w:color="auto"/>
            <w:bottom w:val="none" w:sz="0" w:space="0" w:color="auto"/>
            <w:right w:val="none" w:sz="0" w:space="0" w:color="auto"/>
          </w:divBdr>
        </w:div>
        <w:div w:id="1069499536">
          <w:marLeft w:val="0"/>
          <w:marRight w:val="0"/>
          <w:marTop w:val="0"/>
          <w:marBottom w:val="0"/>
          <w:divBdr>
            <w:top w:val="none" w:sz="0" w:space="0" w:color="auto"/>
            <w:left w:val="none" w:sz="0" w:space="0" w:color="auto"/>
            <w:bottom w:val="none" w:sz="0" w:space="0" w:color="auto"/>
            <w:right w:val="none" w:sz="0" w:space="0" w:color="auto"/>
          </w:divBdr>
        </w:div>
        <w:div w:id="1377386192">
          <w:marLeft w:val="0"/>
          <w:marRight w:val="0"/>
          <w:marTop w:val="0"/>
          <w:marBottom w:val="0"/>
          <w:divBdr>
            <w:top w:val="none" w:sz="0" w:space="0" w:color="auto"/>
            <w:left w:val="none" w:sz="0" w:space="0" w:color="auto"/>
            <w:bottom w:val="none" w:sz="0" w:space="0" w:color="auto"/>
            <w:right w:val="none" w:sz="0" w:space="0" w:color="auto"/>
          </w:divBdr>
        </w:div>
        <w:div w:id="1485971526">
          <w:marLeft w:val="0"/>
          <w:marRight w:val="0"/>
          <w:marTop w:val="0"/>
          <w:marBottom w:val="0"/>
          <w:divBdr>
            <w:top w:val="none" w:sz="0" w:space="0" w:color="auto"/>
            <w:left w:val="none" w:sz="0" w:space="0" w:color="auto"/>
            <w:bottom w:val="none" w:sz="0" w:space="0" w:color="auto"/>
            <w:right w:val="none" w:sz="0" w:space="0" w:color="auto"/>
          </w:divBdr>
        </w:div>
      </w:divsChild>
    </w:div>
    <w:div w:id="1343582214">
      <w:bodyDiv w:val="1"/>
      <w:marLeft w:val="0"/>
      <w:marRight w:val="0"/>
      <w:marTop w:val="0"/>
      <w:marBottom w:val="0"/>
      <w:divBdr>
        <w:top w:val="none" w:sz="0" w:space="0" w:color="auto"/>
        <w:left w:val="none" w:sz="0" w:space="0" w:color="auto"/>
        <w:bottom w:val="none" w:sz="0" w:space="0" w:color="auto"/>
        <w:right w:val="none" w:sz="0" w:space="0" w:color="auto"/>
      </w:divBdr>
    </w:div>
    <w:div w:id="1430925762">
      <w:bodyDiv w:val="1"/>
      <w:marLeft w:val="0"/>
      <w:marRight w:val="0"/>
      <w:marTop w:val="0"/>
      <w:marBottom w:val="0"/>
      <w:divBdr>
        <w:top w:val="none" w:sz="0" w:space="0" w:color="auto"/>
        <w:left w:val="none" w:sz="0" w:space="0" w:color="auto"/>
        <w:bottom w:val="none" w:sz="0" w:space="0" w:color="auto"/>
        <w:right w:val="none" w:sz="0" w:space="0" w:color="auto"/>
      </w:divBdr>
      <w:divsChild>
        <w:div w:id="1141313963">
          <w:marLeft w:val="0"/>
          <w:marRight w:val="0"/>
          <w:marTop w:val="0"/>
          <w:marBottom w:val="0"/>
          <w:divBdr>
            <w:top w:val="none" w:sz="0" w:space="0" w:color="auto"/>
            <w:left w:val="none" w:sz="0" w:space="0" w:color="auto"/>
            <w:bottom w:val="none" w:sz="0" w:space="0" w:color="auto"/>
            <w:right w:val="none" w:sz="0" w:space="0" w:color="auto"/>
          </w:divBdr>
        </w:div>
        <w:div w:id="1815675509">
          <w:marLeft w:val="0"/>
          <w:marRight w:val="0"/>
          <w:marTop w:val="0"/>
          <w:marBottom w:val="0"/>
          <w:divBdr>
            <w:top w:val="none" w:sz="0" w:space="0" w:color="auto"/>
            <w:left w:val="none" w:sz="0" w:space="0" w:color="auto"/>
            <w:bottom w:val="none" w:sz="0" w:space="0" w:color="auto"/>
            <w:right w:val="none" w:sz="0" w:space="0" w:color="auto"/>
          </w:divBdr>
        </w:div>
      </w:divsChild>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719552918">
      <w:bodyDiv w:val="1"/>
      <w:marLeft w:val="0"/>
      <w:marRight w:val="0"/>
      <w:marTop w:val="0"/>
      <w:marBottom w:val="0"/>
      <w:divBdr>
        <w:top w:val="none" w:sz="0" w:space="0" w:color="auto"/>
        <w:left w:val="none" w:sz="0" w:space="0" w:color="auto"/>
        <w:bottom w:val="none" w:sz="0" w:space="0" w:color="auto"/>
        <w:right w:val="none" w:sz="0" w:space="0" w:color="auto"/>
      </w:divBdr>
      <w:divsChild>
        <w:div w:id="172037175">
          <w:marLeft w:val="0"/>
          <w:marRight w:val="0"/>
          <w:marTop w:val="0"/>
          <w:marBottom w:val="0"/>
          <w:divBdr>
            <w:top w:val="none" w:sz="0" w:space="0" w:color="auto"/>
            <w:left w:val="none" w:sz="0" w:space="0" w:color="auto"/>
            <w:bottom w:val="none" w:sz="0" w:space="0" w:color="auto"/>
            <w:right w:val="none" w:sz="0" w:space="0" w:color="auto"/>
          </w:divBdr>
        </w:div>
        <w:div w:id="315764495">
          <w:marLeft w:val="0"/>
          <w:marRight w:val="0"/>
          <w:marTop w:val="0"/>
          <w:marBottom w:val="0"/>
          <w:divBdr>
            <w:top w:val="none" w:sz="0" w:space="0" w:color="auto"/>
            <w:left w:val="none" w:sz="0" w:space="0" w:color="auto"/>
            <w:bottom w:val="none" w:sz="0" w:space="0" w:color="auto"/>
            <w:right w:val="none" w:sz="0" w:space="0" w:color="auto"/>
          </w:divBdr>
        </w:div>
        <w:div w:id="576400244">
          <w:marLeft w:val="0"/>
          <w:marRight w:val="0"/>
          <w:marTop w:val="0"/>
          <w:marBottom w:val="0"/>
          <w:divBdr>
            <w:top w:val="none" w:sz="0" w:space="0" w:color="auto"/>
            <w:left w:val="none" w:sz="0" w:space="0" w:color="auto"/>
            <w:bottom w:val="none" w:sz="0" w:space="0" w:color="auto"/>
            <w:right w:val="none" w:sz="0" w:space="0" w:color="auto"/>
          </w:divBdr>
        </w:div>
        <w:div w:id="1557935108">
          <w:marLeft w:val="0"/>
          <w:marRight w:val="0"/>
          <w:marTop w:val="0"/>
          <w:marBottom w:val="0"/>
          <w:divBdr>
            <w:top w:val="none" w:sz="0" w:space="0" w:color="auto"/>
            <w:left w:val="none" w:sz="0" w:space="0" w:color="auto"/>
            <w:bottom w:val="none" w:sz="0" w:space="0" w:color="auto"/>
            <w:right w:val="none" w:sz="0" w:space="0" w:color="auto"/>
          </w:divBdr>
        </w:div>
      </w:divsChild>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8500269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032">
          <w:marLeft w:val="0"/>
          <w:marRight w:val="0"/>
          <w:marTop w:val="0"/>
          <w:marBottom w:val="0"/>
          <w:divBdr>
            <w:top w:val="none" w:sz="0" w:space="0" w:color="auto"/>
            <w:left w:val="none" w:sz="0" w:space="0" w:color="auto"/>
            <w:bottom w:val="none" w:sz="0" w:space="0" w:color="auto"/>
            <w:right w:val="none" w:sz="0" w:space="0" w:color="auto"/>
          </w:divBdr>
        </w:div>
        <w:div w:id="1157113441">
          <w:marLeft w:val="0"/>
          <w:marRight w:val="0"/>
          <w:marTop w:val="0"/>
          <w:marBottom w:val="0"/>
          <w:divBdr>
            <w:top w:val="none" w:sz="0" w:space="0" w:color="auto"/>
            <w:left w:val="none" w:sz="0" w:space="0" w:color="auto"/>
            <w:bottom w:val="none" w:sz="0" w:space="0" w:color="auto"/>
            <w:right w:val="none" w:sz="0" w:space="0" w:color="auto"/>
          </w:divBdr>
        </w:div>
        <w:div w:id="1297250498">
          <w:marLeft w:val="0"/>
          <w:marRight w:val="0"/>
          <w:marTop w:val="0"/>
          <w:marBottom w:val="0"/>
          <w:divBdr>
            <w:top w:val="none" w:sz="0" w:space="0" w:color="auto"/>
            <w:left w:val="none" w:sz="0" w:space="0" w:color="auto"/>
            <w:bottom w:val="none" w:sz="0" w:space="0" w:color="auto"/>
            <w:right w:val="none" w:sz="0" w:space="0" w:color="auto"/>
          </w:divBdr>
        </w:div>
        <w:div w:id="2080446281">
          <w:marLeft w:val="0"/>
          <w:marRight w:val="0"/>
          <w:marTop w:val="0"/>
          <w:marBottom w:val="0"/>
          <w:divBdr>
            <w:top w:val="none" w:sz="0" w:space="0" w:color="auto"/>
            <w:left w:val="none" w:sz="0" w:space="0" w:color="auto"/>
            <w:bottom w:val="none" w:sz="0" w:space="0" w:color="auto"/>
            <w:right w:val="none" w:sz="0" w:space="0" w:color="auto"/>
          </w:divBdr>
        </w:div>
      </w:divsChild>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 w:id="1981616359">
      <w:bodyDiv w:val="1"/>
      <w:marLeft w:val="0"/>
      <w:marRight w:val="0"/>
      <w:marTop w:val="0"/>
      <w:marBottom w:val="0"/>
      <w:divBdr>
        <w:top w:val="none" w:sz="0" w:space="0" w:color="auto"/>
        <w:left w:val="none" w:sz="0" w:space="0" w:color="auto"/>
        <w:bottom w:val="none" w:sz="0" w:space="0" w:color="auto"/>
        <w:right w:val="none" w:sz="0" w:space="0" w:color="auto"/>
      </w:divBdr>
      <w:divsChild>
        <w:div w:id="28459376">
          <w:marLeft w:val="0"/>
          <w:marRight w:val="0"/>
          <w:marTop w:val="0"/>
          <w:marBottom w:val="0"/>
          <w:divBdr>
            <w:top w:val="none" w:sz="0" w:space="0" w:color="auto"/>
            <w:left w:val="none" w:sz="0" w:space="0" w:color="auto"/>
            <w:bottom w:val="none" w:sz="0" w:space="0" w:color="auto"/>
            <w:right w:val="none" w:sz="0" w:space="0" w:color="auto"/>
          </w:divBdr>
        </w:div>
        <w:div w:id="1121648653">
          <w:marLeft w:val="0"/>
          <w:marRight w:val="0"/>
          <w:marTop w:val="0"/>
          <w:marBottom w:val="0"/>
          <w:divBdr>
            <w:top w:val="none" w:sz="0" w:space="0" w:color="auto"/>
            <w:left w:val="none" w:sz="0" w:space="0" w:color="auto"/>
            <w:bottom w:val="none" w:sz="0" w:space="0" w:color="auto"/>
            <w:right w:val="none" w:sz="0" w:space="0" w:color="auto"/>
          </w:divBdr>
        </w:div>
      </w:divsChild>
    </w:div>
    <w:div w:id="20272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ironmental-policy/conventions/public-participation/aarhus-convention/tfwg/envppcc/envppcccom/acccc2014121-european-un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C7DA-5586-4F38-B293-33916761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9</TotalTime>
  <Pages>19</Pages>
  <Words>11273</Words>
  <Characters>48366</Characters>
  <Application>Microsoft Office Word</Application>
  <DocSecurity>0</DocSecurity>
  <Lines>662</Lines>
  <Paragraphs>405</Paragraphs>
  <ScaleCrop>false</ScaleCrop>
  <HeadingPairs>
    <vt:vector size="6" baseType="variant">
      <vt:variant>
        <vt:lpstr>Title</vt:lpstr>
      </vt:variant>
      <vt:variant>
        <vt:i4>1</vt:i4>
      </vt:variant>
      <vt:variant>
        <vt:lpstr>Rubrik</vt:lpstr>
      </vt:variant>
      <vt:variant>
        <vt:i4>1</vt:i4>
      </vt:variant>
      <vt:variant>
        <vt:lpstr>Tytuł</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59234</CharactersWithSpaces>
  <SharedDoc>false</SharedDoc>
  <HLinks>
    <vt:vector size="6" baseType="variant">
      <vt:variant>
        <vt:i4>2031622</vt:i4>
      </vt:variant>
      <vt:variant>
        <vt:i4>0</vt:i4>
      </vt:variant>
      <vt:variant>
        <vt:i4>0</vt:i4>
      </vt:variant>
      <vt:variant>
        <vt:i4>5</vt:i4>
      </vt:variant>
      <vt:variant>
        <vt:lpwstr>http://www.unece.org/environmental-policy/conventions/public-participation/aarhus-convention/tfwg/envppcc/envppcccom/acccc2014121-european-union.html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cp:lastModifiedBy>Aarhus secretariat</cp:lastModifiedBy>
  <cp:revision>2</cp:revision>
  <cp:lastPrinted>2019-11-26T08:27:00Z</cp:lastPrinted>
  <dcterms:created xsi:type="dcterms:W3CDTF">2019-11-29T09:12:00Z</dcterms:created>
  <dcterms:modified xsi:type="dcterms:W3CDTF">2019-12-02T08:40:00Z</dcterms:modified>
</cp:coreProperties>
</file>