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79FC" w14:textId="77777777" w:rsidR="0023575C" w:rsidRPr="00FF1087" w:rsidRDefault="00BE509C" w:rsidP="001C3D04">
      <w:pPr>
        <w:pStyle w:val="HChG"/>
        <w:tabs>
          <w:tab w:val="left" w:pos="1843"/>
          <w:tab w:val="left" w:pos="6120"/>
        </w:tabs>
        <w:ind w:right="0" w:firstLine="0"/>
        <w:jc w:val="center"/>
      </w:pPr>
      <w:r w:rsidRPr="00FF1087">
        <w:t>Draft f</w:t>
      </w:r>
      <w:r w:rsidR="0023575C" w:rsidRPr="00FF1087">
        <w:rPr>
          <w:spacing w:val="-2"/>
        </w:rPr>
        <w:t xml:space="preserve">indings and </w:t>
      </w:r>
      <w:r w:rsidR="00C90CFC" w:rsidRPr="00FF1087">
        <w:rPr>
          <w:spacing w:val="-2"/>
        </w:rPr>
        <w:t>r</w:t>
      </w:r>
      <w:r w:rsidR="0023575C" w:rsidRPr="00FF1087">
        <w:rPr>
          <w:spacing w:val="-2"/>
        </w:rPr>
        <w:t xml:space="preserve">ecommendations </w:t>
      </w:r>
      <w:proofErr w:type="gramStart"/>
      <w:r w:rsidR="0023575C" w:rsidRPr="00FF1087">
        <w:rPr>
          <w:spacing w:val="-2"/>
        </w:rPr>
        <w:t>with regard to</w:t>
      </w:r>
      <w:proofErr w:type="gramEnd"/>
      <w:r w:rsidR="0023575C" w:rsidRPr="00FF1087">
        <w:rPr>
          <w:spacing w:val="-2"/>
        </w:rPr>
        <w:t xml:space="preserve"> </w:t>
      </w:r>
      <w:r w:rsidR="00C90CFC" w:rsidRPr="00FF1087">
        <w:rPr>
          <w:spacing w:val="-2"/>
        </w:rPr>
        <w:t>c</w:t>
      </w:r>
      <w:r w:rsidR="0023575C" w:rsidRPr="00FF1087">
        <w:rPr>
          <w:spacing w:val="-2"/>
        </w:rPr>
        <w:t>ommunication</w:t>
      </w:r>
      <w:r w:rsidR="0023575C" w:rsidRPr="00FF1087">
        <w:t xml:space="preserve"> </w:t>
      </w:r>
      <w:r w:rsidR="00683167" w:rsidRPr="00FF1087">
        <w:t>ACCC/C/201</w:t>
      </w:r>
      <w:r w:rsidR="0069526F" w:rsidRPr="00FF1087">
        <w:t>3</w:t>
      </w:r>
      <w:r w:rsidR="000D759F" w:rsidRPr="00FF1087">
        <w:t>/</w:t>
      </w:r>
      <w:r w:rsidR="0069526F" w:rsidRPr="00FF1087">
        <w:t>96</w:t>
      </w:r>
      <w:r w:rsidR="00FD1C2F" w:rsidRPr="00FF1087">
        <w:t xml:space="preserve"> </w:t>
      </w:r>
      <w:r w:rsidR="0023575C" w:rsidRPr="00FF1087">
        <w:t xml:space="preserve">concerning compliance by </w:t>
      </w:r>
      <w:r w:rsidR="0069526F" w:rsidRPr="00FF1087">
        <w:t>European Union</w:t>
      </w:r>
    </w:p>
    <w:p w14:paraId="182EB84D" w14:textId="77777777" w:rsidR="009E5900" w:rsidRPr="00FF1087" w:rsidRDefault="009E5900" w:rsidP="001C3D04">
      <w:pPr>
        <w:pStyle w:val="H1G"/>
        <w:tabs>
          <w:tab w:val="left" w:pos="1843"/>
          <w:tab w:val="left" w:pos="6120"/>
        </w:tabs>
        <w:ind w:right="0" w:firstLine="0"/>
        <w:jc w:val="center"/>
      </w:pPr>
      <w:r w:rsidRPr="00FF1087">
        <w:t xml:space="preserve">Adopted by the Compliance Committee on </w:t>
      </w:r>
      <w:r w:rsidR="0013259A" w:rsidRPr="00FF1087">
        <w:t>…</w:t>
      </w:r>
    </w:p>
    <w:p w14:paraId="53613046" w14:textId="77777777" w:rsidR="0023575C" w:rsidRPr="00FF1087" w:rsidRDefault="00D971FB" w:rsidP="001C3D04">
      <w:pPr>
        <w:pStyle w:val="Heading2"/>
        <w:tabs>
          <w:tab w:val="left" w:pos="1843"/>
          <w:tab w:val="left" w:pos="6120"/>
        </w:tabs>
        <w:ind w:firstLine="0"/>
        <w:rPr>
          <w:lang w:val="en-GB"/>
        </w:rPr>
      </w:pPr>
      <w:r w:rsidRPr="00FF1087">
        <w:rPr>
          <w:lang w:val="en-GB"/>
        </w:rPr>
        <w:t>Introduction</w:t>
      </w:r>
    </w:p>
    <w:p w14:paraId="5285C026" w14:textId="27388A2E" w:rsidR="00FD1C2F" w:rsidRPr="00FF1087" w:rsidRDefault="00FD1C2F" w:rsidP="001C3D04">
      <w:pPr>
        <w:pStyle w:val="SingleTxtG"/>
        <w:numPr>
          <w:ilvl w:val="0"/>
          <w:numId w:val="3"/>
        </w:numPr>
        <w:tabs>
          <w:tab w:val="left" w:pos="1843"/>
          <w:tab w:val="left" w:pos="6120"/>
        </w:tabs>
        <w:ind w:left="1134" w:right="0" w:firstLine="0"/>
        <w:rPr>
          <w:lang w:val="en-GB"/>
        </w:rPr>
      </w:pPr>
      <w:r w:rsidRPr="00FF1087">
        <w:rPr>
          <w:lang w:val="en-GB"/>
        </w:rPr>
        <w:t xml:space="preserve">On </w:t>
      </w:r>
      <w:r w:rsidR="007D00E0" w:rsidRPr="00FF1087">
        <w:rPr>
          <w:lang w:val="en-GB"/>
        </w:rPr>
        <w:t>28</w:t>
      </w:r>
      <w:r w:rsidRPr="00FF1087">
        <w:rPr>
          <w:lang w:val="en-GB"/>
        </w:rPr>
        <w:t xml:space="preserve"> </w:t>
      </w:r>
      <w:r w:rsidR="007D00E0" w:rsidRPr="00FF1087">
        <w:rPr>
          <w:lang w:val="en-GB"/>
        </w:rPr>
        <w:t xml:space="preserve">October </w:t>
      </w:r>
      <w:r w:rsidRPr="00FF1087">
        <w:rPr>
          <w:lang w:val="en-GB"/>
        </w:rPr>
        <w:t>201</w:t>
      </w:r>
      <w:r w:rsidR="007D00E0" w:rsidRPr="00FF1087">
        <w:rPr>
          <w:lang w:val="en-GB"/>
        </w:rPr>
        <w:t>3</w:t>
      </w:r>
      <w:r w:rsidRPr="00FF1087">
        <w:rPr>
          <w:lang w:val="en-GB"/>
        </w:rPr>
        <w:t xml:space="preserve">, </w:t>
      </w:r>
      <w:r w:rsidR="00CF7909" w:rsidRPr="00FF1087">
        <w:rPr>
          <w:lang w:val="en-GB"/>
        </w:rPr>
        <w:t>t</w:t>
      </w:r>
      <w:r w:rsidR="007D00E0" w:rsidRPr="00FF1087">
        <w:rPr>
          <w:lang w:val="en-GB"/>
        </w:rPr>
        <w:t xml:space="preserve">he European Platform Against Windfarms </w:t>
      </w:r>
      <w:r w:rsidRPr="00FF1087">
        <w:rPr>
          <w:lang w:val="en-GB"/>
        </w:rPr>
        <w:t xml:space="preserve">(the communicant) submitted a communication to the Committee </w:t>
      </w:r>
      <w:r w:rsidR="00B266DE" w:rsidRPr="00FF1087">
        <w:rPr>
          <w:lang w:val="en-GB"/>
        </w:rPr>
        <w:t xml:space="preserve">under the Convention on Access to Information, Public Participation in Decision-making and Access to Justice in Environmental Matters (Aarhus Convention) </w:t>
      </w:r>
      <w:r w:rsidRPr="00FF1087">
        <w:rPr>
          <w:lang w:val="en-GB"/>
        </w:rPr>
        <w:t xml:space="preserve">alleging </w:t>
      </w:r>
      <w:r w:rsidR="003C5ACE" w:rsidRPr="00FF1087">
        <w:rPr>
          <w:lang w:val="en-GB"/>
        </w:rPr>
        <w:t xml:space="preserve">a </w:t>
      </w:r>
      <w:r w:rsidRPr="00FF1087">
        <w:rPr>
          <w:lang w:val="en-GB"/>
        </w:rPr>
        <w:t xml:space="preserve">failure by </w:t>
      </w:r>
      <w:r w:rsidR="007D00E0" w:rsidRPr="00FF1087">
        <w:rPr>
          <w:lang w:val="en-GB"/>
        </w:rPr>
        <w:t xml:space="preserve">the European Union </w:t>
      </w:r>
      <w:r w:rsidRPr="00FF1087">
        <w:rPr>
          <w:lang w:val="en-GB"/>
        </w:rPr>
        <w:t xml:space="preserve"> to comply with its obligations under </w:t>
      </w:r>
      <w:r w:rsidR="00D30197" w:rsidRPr="00FF1087">
        <w:rPr>
          <w:lang w:val="en-GB"/>
        </w:rPr>
        <w:t>article</w:t>
      </w:r>
      <w:r w:rsidR="00181A17" w:rsidRPr="00FF1087">
        <w:rPr>
          <w:lang w:val="en-GB"/>
        </w:rPr>
        <w:t>s</w:t>
      </w:r>
      <w:r w:rsidR="00D30197" w:rsidRPr="00FF1087">
        <w:rPr>
          <w:lang w:val="en-GB"/>
        </w:rPr>
        <w:t xml:space="preserve"> 3</w:t>
      </w:r>
      <w:r w:rsidR="007F3124" w:rsidRPr="00FF1087">
        <w:rPr>
          <w:lang w:val="en-GB"/>
        </w:rPr>
        <w:t>(</w:t>
      </w:r>
      <w:r w:rsidR="00D30197" w:rsidRPr="00FF1087">
        <w:rPr>
          <w:lang w:val="en-GB"/>
        </w:rPr>
        <w:t>2</w:t>
      </w:r>
      <w:r w:rsidR="007F3124" w:rsidRPr="00FF1087">
        <w:rPr>
          <w:lang w:val="en-GB"/>
        </w:rPr>
        <w:t>)</w:t>
      </w:r>
      <w:r w:rsidR="003C5ACE" w:rsidRPr="00FF1087">
        <w:rPr>
          <w:lang w:val="en-GB"/>
        </w:rPr>
        <w:t>,</w:t>
      </w:r>
      <w:r w:rsidR="00D30197" w:rsidRPr="00FF1087">
        <w:rPr>
          <w:lang w:val="en-GB"/>
        </w:rPr>
        <w:t xml:space="preserve"> 4 and 7 </w:t>
      </w:r>
      <w:r w:rsidRPr="00FF1087">
        <w:rPr>
          <w:lang w:val="en-GB"/>
        </w:rPr>
        <w:t>of the</w:t>
      </w:r>
      <w:r w:rsidR="00B266DE" w:rsidRPr="00FF1087">
        <w:rPr>
          <w:lang w:val="en-GB"/>
        </w:rPr>
        <w:t xml:space="preserve"> Convention</w:t>
      </w:r>
      <w:r w:rsidRPr="00FF1087">
        <w:rPr>
          <w:lang w:val="en-GB"/>
        </w:rPr>
        <w:t xml:space="preserve"> in relation to </w:t>
      </w:r>
      <w:r w:rsidR="007D00E0" w:rsidRPr="00FF1087">
        <w:rPr>
          <w:lang w:val="en-GB"/>
        </w:rPr>
        <w:t>the European Commission</w:t>
      </w:r>
      <w:r w:rsidR="00DF235E" w:rsidRPr="00FF1087">
        <w:rPr>
          <w:lang w:val="en-GB"/>
        </w:rPr>
        <w:t>’s adoption</w:t>
      </w:r>
      <w:r w:rsidR="007D00E0" w:rsidRPr="00FF1087">
        <w:rPr>
          <w:lang w:val="en-GB"/>
        </w:rPr>
        <w:t xml:space="preserve"> on 14 October 2013 of a list of 248 “Projects of Common Interest”</w:t>
      </w:r>
      <w:r w:rsidR="007F3124" w:rsidRPr="00FF1087">
        <w:rPr>
          <w:lang w:val="en-GB"/>
        </w:rPr>
        <w:t xml:space="preserve"> (PCIs)</w:t>
      </w:r>
      <w:r w:rsidRPr="00FF1087">
        <w:rPr>
          <w:lang w:val="en-GB"/>
        </w:rPr>
        <w:t>.</w:t>
      </w:r>
      <w:r w:rsidR="001C6CD7" w:rsidRPr="00FF1087">
        <w:rPr>
          <w:rStyle w:val="FootnoteReference"/>
          <w:lang w:val="en-GB"/>
        </w:rPr>
        <w:t xml:space="preserve"> </w:t>
      </w:r>
    </w:p>
    <w:p w14:paraId="7E55A76F" w14:textId="77777777" w:rsidR="00841A60" w:rsidRPr="00FF1087" w:rsidRDefault="00841A60" w:rsidP="001C3D04">
      <w:pPr>
        <w:pStyle w:val="SingleTxtG"/>
        <w:numPr>
          <w:ilvl w:val="0"/>
          <w:numId w:val="3"/>
        </w:numPr>
        <w:tabs>
          <w:tab w:val="left" w:pos="1843"/>
          <w:tab w:val="left" w:pos="6120"/>
        </w:tabs>
        <w:ind w:left="1134" w:right="0" w:firstLine="0"/>
        <w:rPr>
          <w:lang w:val="en-GB"/>
        </w:rPr>
      </w:pPr>
      <w:r w:rsidRPr="00FF1087">
        <w:rPr>
          <w:lang w:val="en-GB"/>
        </w:rPr>
        <w:t xml:space="preserve">At its </w:t>
      </w:r>
      <w:r w:rsidR="007D00E0" w:rsidRPr="00FF1087">
        <w:rPr>
          <w:lang w:val="en-GB"/>
        </w:rPr>
        <w:t>forty-third meeting (17-20 December 2013)</w:t>
      </w:r>
      <w:r w:rsidRPr="00FF1087">
        <w:rPr>
          <w:lang w:val="en-GB"/>
        </w:rPr>
        <w:t>, the Committee determined on a preliminary basis that the communication was admissible.</w:t>
      </w:r>
    </w:p>
    <w:p w14:paraId="370544D6" w14:textId="77777777" w:rsidR="00301DC8" w:rsidRPr="00FF1087" w:rsidRDefault="00A9197D" w:rsidP="001C3D04">
      <w:pPr>
        <w:pStyle w:val="SingleTxtG"/>
        <w:numPr>
          <w:ilvl w:val="0"/>
          <w:numId w:val="3"/>
        </w:numPr>
        <w:tabs>
          <w:tab w:val="left" w:pos="1843"/>
          <w:tab w:val="left" w:pos="6120"/>
        </w:tabs>
        <w:ind w:left="1134" w:right="0" w:firstLine="0"/>
        <w:rPr>
          <w:lang w:val="en-GB"/>
        </w:rPr>
      </w:pPr>
      <w:r w:rsidRPr="00FF1087">
        <w:rPr>
          <w:lang w:val="en-GB"/>
        </w:rPr>
        <w:t xml:space="preserve">Pursuant to paragraph 22 of the annex to decision I/7 of the Meeting of the Parties to the Convention, the communication was forwarded to the Party concerned on </w:t>
      </w:r>
      <w:r w:rsidR="006E6F35" w:rsidRPr="00FF1087">
        <w:rPr>
          <w:lang w:val="en-GB"/>
        </w:rPr>
        <w:t>25 March 2014</w:t>
      </w:r>
      <w:r w:rsidR="00841A60" w:rsidRPr="00FF1087">
        <w:rPr>
          <w:lang w:val="en-GB"/>
        </w:rPr>
        <w:t>.</w:t>
      </w:r>
    </w:p>
    <w:p w14:paraId="19C2B32F" w14:textId="38CEA4A3" w:rsidR="00E724E0" w:rsidRPr="00FF1087" w:rsidRDefault="00E724E0" w:rsidP="001C3D04">
      <w:pPr>
        <w:pStyle w:val="SingleTxtG"/>
        <w:numPr>
          <w:ilvl w:val="0"/>
          <w:numId w:val="3"/>
        </w:numPr>
        <w:tabs>
          <w:tab w:val="left" w:pos="1843"/>
          <w:tab w:val="left" w:pos="6120"/>
        </w:tabs>
        <w:ind w:left="1134" w:right="0" w:firstLine="0"/>
        <w:rPr>
          <w:lang w:val="en-GB"/>
        </w:rPr>
      </w:pPr>
      <w:r w:rsidRPr="00FF1087">
        <w:rPr>
          <w:lang w:val="en-GB"/>
        </w:rPr>
        <w:t>On 9 September 2014, the communicant provided further information.</w:t>
      </w:r>
    </w:p>
    <w:p w14:paraId="602E94CA" w14:textId="1307640D" w:rsidR="00760761" w:rsidRPr="00FF1087" w:rsidRDefault="00D81BC0" w:rsidP="001C3D04">
      <w:pPr>
        <w:pStyle w:val="SingleTxtG"/>
        <w:numPr>
          <w:ilvl w:val="0"/>
          <w:numId w:val="3"/>
        </w:numPr>
        <w:tabs>
          <w:tab w:val="left" w:pos="1843"/>
          <w:tab w:val="left" w:pos="6120"/>
        </w:tabs>
        <w:ind w:left="1134" w:right="0" w:firstLine="0"/>
        <w:rPr>
          <w:lang w:val="en-GB"/>
        </w:rPr>
      </w:pPr>
      <w:r w:rsidRPr="00FF1087">
        <w:rPr>
          <w:lang w:val="en-GB"/>
        </w:rPr>
        <w:t xml:space="preserve">The Party concerned </w:t>
      </w:r>
      <w:r w:rsidR="003C5ACE" w:rsidRPr="00FF1087">
        <w:rPr>
          <w:lang w:val="en-GB"/>
        </w:rPr>
        <w:t>provided its response to the communication</w:t>
      </w:r>
      <w:r w:rsidRPr="00FF1087">
        <w:rPr>
          <w:lang w:val="en-GB"/>
        </w:rPr>
        <w:t xml:space="preserve"> on</w:t>
      </w:r>
      <w:r w:rsidR="0064478E" w:rsidRPr="00FF1087">
        <w:rPr>
          <w:lang w:val="en-GB"/>
        </w:rPr>
        <w:t xml:space="preserve"> </w:t>
      </w:r>
      <w:r w:rsidR="002635B1" w:rsidRPr="00FF1087">
        <w:rPr>
          <w:lang w:val="en-GB"/>
        </w:rPr>
        <w:t>12</w:t>
      </w:r>
      <w:r w:rsidRPr="00FF1087">
        <w:rPr>
          <w:lang w:val="en-GB"/>
        </w:rPr>
        <w:t xml:space="preserve"> </w:t>
      </w:r>
      <w:r w:rsidR="002635B1" w:rsidRPr="00FF1087">
        <w:rPr>
          <w:lang w:val="en-GB"/>
        </w:rPr>
        <w:t xml:space="preserve">December </w:t>
      </w:r>
      <w:r w:rsidRPr="00FF1087">
        <w:rPr>
          <w:lang w:val="en-GB"/>
        </w:rPr>
        <w:t>201</w:t>
      </w:r>
      <w:r w:rsidR="006A79C5" w:rsidRPr="00FF1087">
        <w:rPr>
          <w:lang w:val="en-GB"/>
        </w:rPr>
        <w:t>4</w:t>
      </w:r>
      <w:r w:rsidR="008806E8" w:rsidRPr="00FF1087">
        <w:rPr>
          <w:lang w:val="en-GB"/>
        </w:rPr>
        <w:t>.</w:t>
      </w:r>
    </w:p>
    <w:p w14:paraId="760EFB6C" w14:textId="6D6ADC1A" w:rsidR="00611587" w:rsidRPr="00FF1087" w:rsidRDefault="00AE6F05" w:rsidP="001C3D04">
      <w:pPr>
        <w:pStyle w:val="SingleTxtG"/>
        <w:numPr>
          <w:ilvl w:val="0"/>
          <w:numId w:val="3"/>
        </w:numPr>
        <w:tabs>
          <w:tab w:val="left" w:pos="1843"/>
          <w:tab w:val="left" w:pos="6120"/>
        </w:tabs>
        <w:ind w:left="1134" w:right="0" w:firstLine="0"/>
        <w:rPr>
          <w:lang w:val="en-GB"/>
        </w:rPr>
      </w:pPr>
      <w:r w:rsidRPr="00FF1087">
        <w:rPr>
          <w:lang w:val="en-GB"/>
        </w:rPr>
        <w:t>On 21 December 2014</w:t>
      </w:r>
      <w:r w:rsidR="00E724E0" w:rsidRPr="00FF1087">
        <w:rPr>
          <w:lang w:val="en-GB"/>
        </w:rPr>
        <w:t>, t</w:t>
      </w:r>
      <w:r w:rsidR="00781033" w:rsidRPr="00FF1087">
        <w:rPr>
          <w:lang w:val="en-GB"/>
        </w:rPr>
        <w:t>he communicant provided</w:t>
      </w:r>
      <w:r w:rsidR="00611587" w:rsidRPr="00FF1087">
        <w:rPr>
          <w:lang w:val="en-GB"/>
        </w:rPr>
        <w:t xml:space="preserve"> comments on the Party’</w:t>
      </w:r>
      <w:r w:rsidR="003C5ACE" w:rsidRPr="00FF1087">
        <w:rPr>
          <w:lang w:val="en-GB"/>
        </w:rPr>
        <w:t>s</w:t>
      </w:r>
      <w:r w:rsidR="00611587" w:rsidRPr="00FF1087">
        <w:rPr>
          <w:lang w:val="en-GB"/>
        </w:rPr>
        <w:t xml:space="preserve"> response.</w:t>
      </w:r>
    </w:p>
    <w:p w14:paraId="4005225F" w14:textId="58874559" w:rsidR="00045A9B" w:rsidRPr="00FF1087" w:rsidRDefault="00045A9B" w:rsidP="00AE6F05">
      <w:pPr>
        <w:pStyle w:val="SingleTxtG"/>
        <w:numPr>
          <w:ilvl w:val="0"/>
          <w:numId w:val="3"/>
        </w:numPr>
        <w:tabs>
          <w:tab w:val="left" w:pos="1843"/>
          <w:tab w:val="left" w:pos="6120"/>
        </w:tabs>
        <w:ind w:left="1134" w:right="0" w:firstLine="0"/>
        <w:rPr>
          <w:lang w:val="en-GB"/>
        </w:rPr>
      </w:pPr>
      <w:r w:rsidRPr="00FF1087">
        <w:rPr>
          <w:lang w:val="en-GB"/>
        </w:rPr>
        <w:t>On 17 February and 4 May 2015, the communicant submitted additional information.</w:t>
      </w:r>
    </w:p>
    <w:p w14:paraId="4CA4A463" w14:textId="2AB7528D" w:rsidR="00AA6F14" w:rsidRPr="00FF1087" w:rsidRDefault="00AE6F05" w:rsidP="00702A72">
      <w:pPr>
        <w:pStyle w:val="SingleTxtG"/>
        <w:numPr>
          <w:ilvl w:val="0"/>
          <w:numId w:val="3"/>
        </w:numPr>
        <w:tabs>
          <w:tab w:val="left" w:pos="1843"/>
          <w:tab w:val="left" w:pos="6120"/>
        </w:tabs>
        <w:ind w:left="1134" w:right="0" w:firstLine="0"/>
        <w:rPr>
          <w:lang w:val="en-GB"/>
        </w:rPr>
      </w:pPr>
      <w:r w:rsidRPr="00FF1087">
        <w:rPr>
          <w:lang w:val="en-GB"/>
        </w:rPr>
        <w:t>T</w:t>
      </w:r>
      <w:r w:rsidR="00FD3852" w:rsidRPr="00FF1087">
        <w:rPr>
          <w:lang w:val="en-GB"/>
        </w:rPr>
        <w:t>he Committee request</w:t>
      </w:r>
      <w:r w:rsidRPr="00FF1087">
        <w:rPr>
          <w:lang w:val="en-GB"/>
        </w:rPr>
        <w:t>ed</w:t>
      </w:r>
      <w:r w:rsidR="00FD3852" w:rsidRPr="00FF1087">
        <w:rPr>
          <w:lang w:val="en-GB"/>
        </w:rPr>
        <w:t xml:space="preserve"> further information </w:t>
      </w:r>
      <w:r w:rsidR="003C5ACE" w:rsidRPr="00FF1087">
        <w:rPr>
          <w:lang w:val="en-GB"/>
        </w:rPr>
        <w:t xml:space="preserve">from </w:t>
      </w:r>
      <w:r w:rsidR="00FD3852" w:rsidRPr="00FF1087">
        <w:rPr>
          <w:lang w:val="en-GB"/>
        </w:rPr>
        <w:t>the communicant</w:t>
      </w:r>
      <w:r w:rsidR="006A79C5" w:rsidRPr="00FF1087">
        <w:rPr>
          <w:lang w:val="en-GB"/>
        </w:rPr>
        <w:t xml:space="preserve"> on 18 June 2015</w:t>
      </w:r>
      <w:r w:rsidRPr="00FF1087">
        <w:rPr>
          <w:lang w:val="en-GB"/>
        </w:rPr>
        <w:t>, which the communicant provided</w:t>
      </w:r>
      <w:r w:rsidR="00FC59E0" w:rsidRPr="00FF1087">
        <w:rPr>
          <w:lang w:val="en-GB"/>
        </w:rPr>
        <w:t xml:space="preserve"> on 21</w:t>
      </w:r>
      <w:r w:rsidR="006D0263" w:rsidRPr="00FF1087">
        <w:rPr>
          <w:lang w:val="en-GB"/>
        </w:rPr>
        <w:t xml:space="preserve"> </w:t>
      </w:r>
      <w:r w:rsidR="00FC59E0" w:rsidRPr="00FF1087">
        <w:rPr>
          <w:lang w:val="en-GB"/>
        </w:rPr>
        <w:t xml:space="preserve">June 2015. </w:t>
      </w:r>
    </w:p>
    <w:p w14:paraId="63434513" w14:textId="627E8608" w:rsidR="006D0263" w:rsidRPr="00FF1087" w:rsidRDefault="00AE6F05" w:rsidP="001C3D04">
      <w:pPr>
        <w:pStyle w:val="SingleTxtG"/>
        <w:numPr>
          <w:ilvl w:val="0"/>
          <w:numId w:val="3"/>
        </w:numPr>
        <w:tabs>
          <w:tab w:val="left" w:pos="1843"/>
          <w:tab w:val="left" w:pos="6120"/>
        </w:tabs>
        <w:ind w:left="1134" w:right="0" w:firstLine="0"/>
        <w:rPr>
          <w:lang w:val="en-GB"/>
        </w:rPr>
      </w:pPr>
      <w:r w:rsidRPr="00FF1087">
        <w:rPr>
          <w:lang w:val="en-GB"/>
        </w:rPr>
        <w:t>On 5 October 2015, t</w:t>
      </w:r>
      <w:r w:rsidR="006D0263" w:rsidRPr="00FF1087">
        <w:rPr>
          <w:lang w:val="en-GB"/>
        </w:rPr>
        <w:t xml:space="preserve">he Committee </w:t>
      </w:r>
      <w:r w:rsidR="00FD3852" w:rsidRPr="00FF1087">
        <w:rPr>
          <w:lang w:val="en-GB"/>
        </w:rPr>
        <w:t>request</w:t>
      </w:r>
      <w:r w:rsidRPr="00FF1087">
        <w:rPr>
          <w:lang w:val="en-GB"/>
        </w:rPr>
        <w:t>ed</w:t>
      </w:r>
      <w:r w:rsidR="00FD3852" w:rsidRPr="00FF1087">
        <w:rPr>
          <w:lang w:val="en-GB"/>
        </w:rPr>
        <w:t xml:space="preserve"> further information from the Party concerned and the communicant’s comments thereon</w:t>
      </w:r>
      <w:r w:rsidR="006D0263" w:rsidRPr="00FF1087">
        <w:rPr>
          <w:lang w:val="en-GB"/>
        </w:rPr>
        <w:t>.</w:t>
      </w:r>
      <w:r w:rsidR="00045A9B" w:rsidRPr="00FF1087">
        <w:rPr>
          <w:lang w:val="en-GB"/>
        </w:rPr>
        <w:t xml:space="preserve"> On 30 November 2015 the Party concerned submitted its reply, and on 4 December 2015 the communicant submitted its comments thereon.</w:t>
      </w:r>
    </w:p>
    <w:p w14:paraId="77BCC04E" w14:textId="154556A8" w:rsidR="00E64F0F" w:rsidRPr="00FF1087" w:rsidRDefault="00841A60" w:rsidP="001C3D04">
      <w:pPr>
        <w:pStyle w:val="SingleTxtG"/>
        <w:numPr>
          <w:ilvl w:val="0"/>
          <w:numId w:val="3"/>
        </w:numPr>
        <w:tabs>
          <w:tab w:val="left" w:pos="1843"/>
          <w:tab w:val="left" w:pos="6120"/>
        </w:tabs>
        <w:ind w:left="1134" w:right="0" w:firstLine="0"/>
        <w:rPr>
          <w:lang w:val="en-GB"/>
        </w:rPr>
      </w:pPr>
      <w:r w:rsidRPr="00FF1087">
        <w:rPr>
          <w:lang w:val="en-GB"/>
        </w:rPr>
        <w:t xml:space="preserve">The </w:t>
      </w:r>
      <w:r w:rsidR="00E4207A" w:rsidRPr="00FF1087">
        <w:rPr>
          <w:lang w:val="en-GB"/>
        </w:rPr>
        <w:t xml:space="preserve">Committee </w:t>
      </w:r>
      <w:r w:rsidR="00851A94" w:rsidRPr="00FF1087">
        <w:rPr>
          <w:lang w:val="en-GB"/>
        </w:rPr>
        <w:t xml:space="preserve">held a hearing to discuss the substance of the </w:t>
      </w:r>
      <w:r w:rsidR="00E4207A" w:rsidRPr="00FF1087">
        <w:rPr>
          <w:lang w:val="en-GB"/>
        </w:rPr>
        <w:t xml:space="preserve">communication at its </w:t>
      </w:r>
      <w:r w:rsidR="00A126C6" w:rsidRPr="00FF1087">
        <w:rPr>
          <w:lang w:val="en-GB"/>
        </w:rPr>
        <w:t>fifty</w:t>
      </w:r>
      <w:r w:rsidR="003C5ACE" w:rsidRPr="00FF1087">
        <w:rPr>
          <w:lang w:val="en-GB"/>
        </w:rPr>
        <w:t>-</w:t>
      </w:r>
      <w:r w:rsidR="00A126C6" w:rsidRPr="00FF1087">
        <w:rPr>
          <w:lang w:val="en-GB"/>
        </w:rPr>
        <w:t xml:space="preserve">first </w:t>
      </w:r>
      <w:r w:rsidR="00E4207A" w:rsidRPr="00FF1087">
        <w:rPr>
          <w:lang w:val="en-GB"/>
        </w:rPr>
        <w:t>meeting</w:t>
      </w:r>
      <w:r w:rsidR="00BD54E1" w:rsidRPr="00FF1087">
        <w:rPr>
          <w:lang w:val="en-GB"/>
        </w:rPr>
        <w:t xml:space="preserve"> </w:t>
      </w:r>
      <w:r w:rsidR="00851A94" w:rsidRPr="00FF1087">
        <w:rPr>
          <w:lang w:val="en-GB"/>
        </w:rPr>
        <w:t>(Geneva, 15-18 December 2015)</w:t>
      </w:r>
      <w:r w:rsidR="00E4207A" w:rsidRPr="00FF1087">
        <w:rPr>
          <w:lang w:val="en-GB"/>
        </w:rPr>
        <w:t xml:space="preserve">, with the participation of representatives of the communicant and the Party concerned. At the same meeting, the Committee confirmed the </w:t>
      </w:r>
      <w:r w:rsidR="00DF235E" w:rsidRPr="00FF1087">
        <w:rPr>
          <w:lang w:val="en-GB"/>
        </w:rPr>
        <w:t xml:space="preserve">communication’s </w:t>
      </w:r>
      <w:r w:rsidR="00E4207A" w:rsidRPr="00FF1087">
        <w:rPr>
          <w:lang w:val="en-GB"/>
        </w:rPr>
        <w:t xml:space="preserve">admissibility. </w:t>
      </w:r>
    </w:p>
    <w:p w14:paraId="5E12E7C1" w14:textId="1C149C52" w:rsidR="00E4207A" w:rsidRPr="00FF1087" w:rsidRDefault="00E64F0F" w:rsidP="00E64F0F">
      <w:pPr>
        <w:pStyle w:val="SingleTxtG"/>
        <w:numPr>
          <w:ilvl w:val="0"/>
          <w:numId w:val="3"/>
        </w:numPr>
        <w:tabs>
          <w:tab w:val="left" w:pos="1843"/>
          <w:tab w:val="left" w:pos="6120"/>
        </w:tabs>
        <w:ind w:left="1134" w:right="0" w:firstLine="0"/>
        <w:rPr>
          <w:lang w:val="en-GB"/>
        </w:rPr>
      </w:pPr>
      <w:r w:rsidRPr="00FF1087">
        <w:rPr>
          <w:lang w:val="en-GB"/>
        </w:rPr>
        <w:t xml:space="preserve">On 3 January 2016, the Committee sent questions to the Party concerned for its reply. </w:t>
      </w:r>
    </w:p>
    <w:p w14:paraId="1651D213" w14:textId="37662B3B" w:rsidR="00163511" w:rsidRPr="00FF1087" w:rsidRDefault="00045A9B" w:rsidP="00E64F0F">
      <w:pPr>
        <w:pStyle w:val="SingleTxtG"/>
        <w:numPr>
          <w:ilvl w:val="0"/>
          <w:numId w:val="3"/>
        </w:numPr>
        <w:tabs>
          <w:tab w:val="left" w:pos="1843"/>
          <w:tab w:val="left" w:pos="6120"/>
        </w:tabs>
        <w:ind w:left="1134" w:right="0" w:firstLine="0"/>
        <w:rPr>
          <w:lang w:val="en-GB"/>
        </w:rPr>
      </w:pPr>
      <w:r w:rsidRPr="00FF1087">
        <w:rPr>
          <w:lang w:val="en-GB"/>
        </w:rPr>
        <w:t>On 3 January and</w:t>
      </w:r>
      <w:r w:rsidR="00163511" w:rsidRPr="00FF1087">
        <w:rPr>
          <w:lang w:val="en-GB"/>
        </w:rPr>
        <w:t xml:space="preserve"> 17 April 2016, the </w:t>
      </w:r>
      <w:r w:rsidR="00851A94" w:rsidRPr="00FF1087">
        <w:rPr>
          <w:lang w:val="en-GB"/>
        </w:rPr>
        <w:t>c</w:t>
      </w:r>
      <w:r w:rsidR="00163511" w:rsidRPr="00FF1087">
        <w:rPr>
          <w:lang w:val="en-GB"/>
        </w:rPr>
        <w:t xml:space="preserve">ommunicant submitted </w:t>
      </w:r>
      <w:r w:rsidRPr="00FF1087">
        <w:rPr>
          <w:lang w:val="en-GB"/>
        </w:rPr>
        <w:t>further information.</w:t>
      </w:r>
    </w:p>
    <w:p w14:paraId="5BF4D926" w14:textId="110CC16B" w:rsidR="00E4207A" w:rsidRPr="00FF1087" w:rsidRDefault="00163511" w:rsidP="001C3D04">
      <w:pPr>
        <w:pStyle w:val="SingleTxtG"/>
        <w:numPr>
          <w:ilvl w:val="0"/>
          <w:numId w:val="3"/>
        </w:numPr>
        <w:tabs>
          <w:tab w:val="left" w:pos="1843"/>
          <w:tab w:val="left" w:pos="6120"/>
        </w:tabs>
        <w:ind w:left="1134" w:right="0" w:firstLine="0"/>
        <w:rPr>
          <w:lang w:val="en-GB"/>
        </w:rPr>
      </w:pPr>
      <w:r w:rsidRPr="00FF1087">
        <w:rPr>
          <w:lang w:val="en-GB"/>
        </w:rPr>
        <w:t>On 20 May 2016, t</w:t>
      </w:r>
      <w:r w:rsidR="00E4207A" w:rsidRPr="00FF1087">
        <w:rPr>
          <w:lang w:val="en-GB"/>
        </w:rPr>
        <w:t xml:space="preserve">he Party concerned submitted </w:t>
      </w:r>
      <w:r w:rsidR="00851A94" w:rsidRPr="00FF1087">
        <w:rPr>
          <w:lang w:val="en-GB"/>
        </w:rPr>
        <w:t>its</w:t>
      </w:r>
      <w:r w:rsidR="00E4207A" w:rsidRPr="00FF1087">
        <w:rPr>
          <w:lang w:val="en-GB"/>
        </w:rPr>
        <w:t xml:space="preserve"> </w:t>
      </w:r>
      <w:r w:rsidR="00E64F0F" w:rsidRPr="00FF1087">
        <w:rPr>
          <w:lang w:val="en-GB"/>
        </w:rPr>
        <w:t>repl</w:t>
      </w:r>
      <w:r w:rsidR="00045A9B" w:rsidRPr="00FF1087">
        <w:rPr>
          <w:lang w:val="en-GB"/>
        </w:rPr>
        <w:t>y</w:t>
      </w:r>
      <w:r w:rsidR="00E64F0F" w:rsidRPr="00FF1087">
        <w:rPr>
          <w:lang w:val="en-GB"/>
        </w:rPr>
        <w:t xml:space="preserve"> </w:t>
      </w:r>
      <w:r w:rsidRPr="00FF1087">
        <w:rPr>
          <w:lang w:val="en-GB"/>
        </w:rPr>
        <w:t>to the Committee’s</w:t>
      </w:r>
      <w:r w:rsidR="006B4E27" w:rsidRPr="00FF1087">
        <w:rPr>
          <w:lang w:val="en-GB"/>
        </w:rPr>
        <w:t xml:space="preserve"> questions. </w:t>
      </w:r>
      <w:r w:rsidRPr="00FF1087">
        <w:rPr>
          <w:lang w:val="en-GB"/>
        </w:rPr>
        <w:t xml:space="preserve">On 6 June 2016, the communicant submitted comments </w:t>
      </w:r>
      <w:r w:rsidR="006B4E27" w:rsidRPr="00FF1087">
        <w:rPr>
          <w:lang w:val="en-GB"/>
        </w:rPr>
        <w:t>thereon</w:t>
      </w:r>
      <w:r w:rsidRPr="00FF1087">
        <w:rPr>
          <w:lang w:val="en-GB"/>
        </w:rPr>
        <w:t>.</w:t>
      </w:r>
    </w:p>
    <w:p w14:paraId="5B3B7420" w14:textId="567033BB" w:rsidR="00E4207A" w:rsidRPr="001932D9" w:rsidRDefault="00E4207A" w:rsidP="001C3D04">
      <w:pPr>
        <w:pStyle w:val="SingleTxtG"/>
        <w:numPr>
          <w:ilvl w:val="0"/>
          <w:numId w:val="3"/>
        </w:numPr>
        <w:tabs>
          <w:tab w:val="left" w:pos="1843"/>
          <w:tab w:val="left" w:pos="6120"/>
        </w:tabs>
        <w:ind w:left="1134" w:right="0" w:firstLine="0"/>
        <w:rPr>
          <w:iCs/>
          <w:lang w:val="en-GB"/>
        </w:rPr>
      </w:pPr>
      <w:r w:rsidRPr="00CA40C8">
        <w:rPr>
          <w:iCs/>
          <w:lang w:val="en-GB"/>
        </w:rPr>
        <w:t xml:space="preserve">The Committee </w:t>
      </w:r>
      <w:r w:rsidR="00B9011E" w:rsidRPr="00CA40C8">
        <w:rPr>
          <w:iCs/>
          <w:lang w:val="en-GB"/>
        </w:rPr>
        <w:t xml:space="preserve">completed its </w:t>
      </w:r>
      <w:r w:rsidRPr="00CA40C8">
        <w:rPr>
          <w:iCs/>
          <w:lang w:val="en-GB"/>
        </w:rPr>
        <w:t xml:space="preserve">draft findings </w:t>
      </w:r>
      <w:r w:rsidR="00B9011E" w:rsidRPr="00CA40C8">
        <w:rPr>
          <w:iCs/>
          <w:lang w:val="en-GB"/>
        </w:rPr>
        <w:t>through its electronic decision-making procedure on 1 April 2020</w:t>
      </w:r>
      <w:r w:rsidRPr="00CA40C8">
        <w:rPr>
          <w:iCs/>
          <w:lang w:val="en-GB"/>
        </w:rPr>
        <w:t>.</w:t>
      </w:r>
      <w:r w:rsidRPr="001932D9">
        <w:rPr>
          <w:iCs/>
          <w:lang w:val="en-GB"/>
        </w:rPr>
        <w:t xml:space="preserve"> In accordance with paragraph 34 of the annex to decision I/7, the draft findings were then forwarded for comments to the Party concerned and the communicant on </w:t>
      </w:r>
      <w:r w:rsidR="00CA40C8" w:rsidRPr="001932D9">
        <w:rPr>
          <w:iCs/>
          <w:lang w:val="en-GB"/>
        </w:rPr>
        <w:t xml:space="preserve">6 April 2020. </w:t>
      </w:r>
      <w:r w:rsidR="00C94E27" w:rsidRPr="001932D9">
        <w:rPr>
          <w:iCs/>
          <w:lang w:val="en-GB"/>
        </w:rPr>
        <w:t xml:space="preserve">Both were invited to provide comments by </w:t>
      </w:r>
      <w:r w:rsidR="00CA40C8" w:rsidRPr="001932D9">
        <w:rPr>
          <w:iCs/>
          <w:lang w:val="en-GB"/>
        </w:rPr>
        <w:t>18 May 2020.</w:t>
      </w:r>
    </w:p>
    <w:p w14:paraId="12E2C9FE" w14:textId="16CF1D11" w:rsidR="00C94E27" w:rsidRPr="00FF1087" w:rsidRDefault="00C94E27" w:rsidP="001C3D04">
      <w:pPr>
        <w:pStyle w:val="SingleTxtG"/>
        <w:numPr>
          <w:ilvl w:val="0"/>
          <w:numId w:val="3"/>
        </w:numPr>
        <w:tabs>
          <w:tab w:val="left" w:pos="1843"/>
          <w:tab w:val="left" w:pos="6120"/>
        </w:tabs>
        <w:ind w:left="1134" w:right="0" w:firstLine="0"/>
        <w:rPr>
          <w:i/>
          <w:lang w:val="en-GB"/>
        </w:rPr>
      </w:pPr>
      <w:r w:rsidRPr="00FF1087">
        <w:rPr>
          <w:i/>
          <w:lang w:val="en-GB"/>
        </w:rPr>
        <w:lastRenderedPageBreak/>
        <w:t xml:space="preserve">The Party concerned and the communicant provided comments on </w:t>
      </w:r>
      <w:r w:rsidR="007C1AD1" w:rsidRPr="00FF1087">
        <w:rPr>
          <w:i/>
          <w:lang w:val="en-GB"/>
        </w:rPr>
        <w:t>[…]</w:t>
      </w:r>
      <w:r w:rsidRPr="00FF1087">
        <w:rPr>
          <w:i/>
          <w:lang w:val="en-GB"/>
        </w:rPr>
        <w:t xml:space="preserve"> and </w:t>
      </w:r>
      <w:r w:rsidR="007C1AD1" w:rsidRPr="00FF1087">
        <w:rPr>
          <w:i/>
          <w:lang w:val="en-GB"/>
        </w:rPr>
        <w:t>[…]</w:t>
      </w:r>
      <w:r w:rsidRPr="00FF1087">
        <w:rPr>
          <w:i/>
          <w:lang w:val="en-GB"/>
        </w:rPr>
        <w:t xml:space="preserve"> respectively.</w:t>
      </w:r>
    </w:p>
    <w:p w14:paraId="216BCB00" w14:textId="77777777" w:rsidR="00C94E27" w:rsidRPr="00FF1087" w:rsidRDefault="00C94E27" w:rsidP="001C3D04">
      <w:pPr>
        <w:pStyle w:val="SingleTxtG"/>
        <w:numPr>
          <w:ilvl w:val="0"/>
          <w:numId w:val="3"/>
        </w:numPr>
        <w:tabs>
          <w:tab w:val="left" w:pos="1843"/>
          <w:tab w:val="left" w:pos="6120"/>
        </w:tabs>
        <w:ind w:left="1134" w:right="0" w:firstLine="0"/>
        <w:rPr>
          <w:i/>
          <w:lang w:val="en-GB"/>
        </w:rPr>
      </w:pPr>
      <w:r w:rsidRPr="00FF1087">
        <w:rPr>
          <w:i/>
          <w:lang w:val="en-GB"/>
        </w:rPr>
        <w:t>At its […] meeting, the Committee proceeded to finalize its findings in closed session, taking account of the comments received. The Committee then adopted its findings and agreed that they should be published as a formal pre-session document to its [</w:t>
      </w:r>
      <w:r w:rsidR="007F09E7" w:rsidRPr="00FF1087">
        <w:rPr>
          <w:i/>
          <w:lang w:val="en-GB"/>
        </w:rPr>
        <w:t>…</w:t>
      </w:r>
      <w:r w:rsidRPr="00FF1087">
        <w:rPr>
          <w:i/>
          <w:lang w:val="en-GB"/>
        </w:rPr>
        <w:t>]</w:t>
      </w:r>
      <w:r w:rsidR="00A8433D" w:rsidRPr="00FF1087">
        <w:rPr>
          <w:i/>
          <w:lang w:val="en-GB"/>
        </w:rPr>
        <w:t xml:space="preserve"> meeting. It requested the secretariat to send the findings to the Party concerned and the communicant.</w:t>
      </w:r>
    </w:p>
    <w:p w14:paraId="3F577B8B" w14:textId="77777777" w:rsidR="0023575C" w:rsidRPr="00FF1087" w:rsidRDefault="00D971FB" w:rsidP="001C3D04">
      <w:pPr>
        <w:pStyle w:val="Heading2"/>
        <w:tabs>
          <w:tab w:val="left" w:pos="1843"/>
          <w:tab w:val="left" w:pos="6120"/>
        </w:tabs>
        <w:ind w:firstLine="0"/>
        <w:rPr>
          <w:lang w:val="en-GB"/>
        </w:rPr>
      </w:pPr>
      <w:r w:rsidRPr="00FF1087">
        <w:rPr>
          <w:lang w:val="en-GB"/>
        </w:rPr>
        <w:t>Summary of facts, evidence and issues</w:t>
      </w:r>
      <w:r w:rsidR="0023575C" w:rsidRPr="00FF1087">
        <w:rPr>
          <w:rStyle w:val="FootnoteReference"/>
          <w:lang w:val="en-GB"/>
        </w:rPr>
        <w:footnoteReference w:id="2"/>
      </w:r>
    </w:p>
    <w:p w14:paraId="1A2B5459" w14:textId="313B82F6" w:rsidR="0045180A" w:rsidRPr="00FF1087" w:rsidRDefault="0045180A" w:rsidP="001C3D04">
      <w:pPr>
        <w:pStyle w:val="H1G"/>
        <w:numPr>
          <w:ilvl w:val="0"/>
          <w:numId w:val="4"/>
        </w:numPr>
        <w:tabs>
          <w:tab w:val="clear" w:pos="1200"/>
          <w:tab w:val="left" w:pos="1843"/>
          <w:tab w:val="left" w:pos="6120"/>
        </w:tabs>
        <w:ind w:left="1134" w:right="0" w:firstLine="0"/>
      </w:pPr>
      <w:r w:rsidRPr="00FF1087">
        <w:t>Legal framework</w:t>
      </w:r>
    </w:p>
    <w:p w14:paraId="0B4F8D70" w14:textId="531BE9A3" w:rsidR="00C336C2" w:rsidRPr="00FF1087" w:rsidRDefault="0019052F" w:rsidP="001C3D04">
      <w:pPr>
        <w:tabs>
          <w:tab w:val="left" w:pos="1843"/>
          <w:tab w:val="left" w:pos="3460"/>
          <w:tab w:val="left" w:pos="6120"/>
        </w:tabs>
        <w:spacing w:after="120"/>
        <w:ind w:left="1134"/>
        <w:rPr>
          <w:b/>
        </w:rPr>
      </w:pPr>
      <w:r w:rsidRPr="00FF1087">
        <w:rPr>
          <w:b/>
        </w:rPr>
        <w:t xml:space="preserve">Projects of Common Interest </w:t>
      </w:r>
    </w:p>
    <w:p w14:paraId="05F1B086" w14:textId="7B2F5720" w:rsidR="0005127E" w:rsidRPr="00FF1087" w:rsidRDefault="004D1DFA" w:rsidP="001C3D04">
      <w:pPr>
        <w:pStyle w:val="SingleTxtG"/>
        <w:numPr>
          <w:ilvl w:val="0"/>
          <w:numId w:val="3"/>
        </w:numPr>
        <w:tabs>
          <w:tab w:val="left" w:pos="1843"/>
          <w:tab w:val="left" w:pos="6120"/>
        </w:tabs>
        <w:ind w:left="1134" w:right="0" w:firstLine="0"/>
        <w:rPr>
          <w:lang w:val="en-GB"/>
        </w:rPr>
      </w:pPr>
      <w:bookmarkStart w:id="0" w:name="_Ref468191334"/>
      <w:r w:rsidRPr="00FF1087">
        <w:rPr>
          <w:lang w:val="en-GB"/>
        </w:rPr>
        <w:t>Article 1</w:t>
      </w:r>
      <w:r w:rsidR="007F3124" w:rsidRPr="00FF1087">
        <w:rPr>
          <w:lang w:val="en-GB"/>
        </w:rPr>
        <w:t>(</w:t>
      </w:r>
      <w:r w:rsidRPr="00FF1087">
        <w:rPr>
          <w:lang w:val="en-GB"/>
        </w:rPr>
        <w:t>1</w:t>
      </w:r>
      <w:r w:rsidR="007F3124" w:rsidRPr="00FF1087">
        <w:rPr>
          <w:lang w:val="en-GB"/>
        </w:rPr>
        <w:t>)</w:t>
      </w:r>
      <w:r w:rsidRPr="00FF1087">
        <w:rPr>
          <w:lang w:val="en-GB"/>
        </w:rPr>
        <w:t xml:space="preserve"> </w:t>
      </w:r>
      <w:proofErr w:type="gramStart"/>
      <w:r w:rsidR="0005127E" w:rsidRPr="00FF1087">
        <w:rPr>
          <w:lang w:val="en-GB"/>
        </w:rPr>
        <w:t xml:space="preserve">of </w:t>
      </w:r>
      <w:r w:rsidR="001F50A3" w:rsidRPr="00FF1087">
        <w:rPr>
          <w:lang w:val="en-GB"/>
        </w:rPr>
        <w:t xml:space="preserve"> Regulation</w:t>
      </w:r>
      <w:proofErr w:type="gramEnd"/>
      <w:r w:rsidR="001F50A3" w:rsidRPr="00FF1087">
        <w:rPr>
          <w:lang w:val="en-GB"/>
        </w:rPr>
        <w:t xml:space="preserve"> 347/2013</w:t>
      </w:r>
      <w:r w:rsidR="00946CB9" w:rsidRPr="00FF1087">
        <w:rPr>
          <w:rStyle w:val="FootnoteReference"/>
          <w:lang w:val="en-GB"/>
        </w:rPr>
        <w:footnoteReference w:id="3"/>
      </w:r>
      <w:r w:rsidR="0005127E" w:rsidRPr="00FF1087">
        <w:rPr>
          <w:lang w:val="en-GB"/>
        </w:rPr>
        <w:t xml:space="preserve"> </w:t>
      </w:r>
      <w:r w:rsidR="001F50A3" w:rsidRPr="00FF1087">
        <w:rPr>
          <w:lang w:val="en-GB"/>
        </w:rPr>
        <w:t xml:space="preserve">(TEN-E Regulation) </w:t>
      </w:r>
      <w:r w:rsidR="00541B82" w:rsidRPr="00FF1087">
        <w:rPr>
          <w:lang w:val="en-GB"/>
        </w:rPr>
        <w:t xml:space="preserve">states </w:t>
      </w:r>
      <w:r w:rsidRPr="00FF1087">
        <w:rPr>
          <w:lang w:val="en-GB"/>
        </w:rPr>
        <w:t>that</w:t>
      </w:r>
      <w:r w:rsidR="00AC7B78" w:rsidRPr="00FF1087">
        <w:rPr>
          <w:lang w:val="en-GB"/>
        </w:rPr>
        <w:t xml:space="preserve"> </w:t>
      </w:r>
      <w:r w:rsidR="008A400E" w:rsidRPr="00FF1087">
        <w:rPr>
          <w:lang w:val="en-GB"/>
        </w:rPr>
        <w:t>the</w:t>
      </w:r>
      <w:r w:rsidRPr="00FF1087">
        <w:rPr>
          <w:lang w:val="en-GB"/>
        </w:rPr>
        <w:t xml:space="preserve"> </w:t>
      </w:r>
      <w:r w:rsidR="008656E8" w:rsidRPr="00FF1087">
        <w:rPr>
          <w:lang w:val="en-GB"/>
        </w:rPr>
        <w:t>R</w:t>
      </w:r>
      <w:r w:rsidRPr="00FF1087">
        <w:rPr>
          <w:lang w:val="en-GB"/>
        </w:rPr>
        <w:t>egulation lays down guidelines for the</w:t>
      </w:r>
      <w:r w:rsidR="00FC3217" w:rsidRPr="00FF1087">
        <w:rPr>
          <w:lang w:val="en-GB"/>
        </w:rPr>
        <w:t xml:space="preserve"> </w:t>
      </w:r>
      <w:r w:rsidRPr="00FF1087">
        <w:rPr>
          <w:lang w:val="en-GB"/>
        </w:rPr>
        <w:t>development and interoperability of priority corridors and areas of trans-European energy infr</w:t>
      </w:r>
      <w:r w:rsidR="00F62668" w:rsidRPr="00FF1087">
        <w:rPr>
          <w:lang w:val="en-GB"/>
        </w:rPr>
        <w:t>astructure.</w:t>
      </w:r>
      <w:r w:rsidR="001F50A3" w:rsidRPr="00FF1087">
        <w:rPr>
          <w:lang w:val="en-GB"/>
        </w:rPr>
        <w:t xml:space="preserve"> </w:t>
      </w:r>
      <w:r w:rsidR="00F62668" w:rsidRPr="00FF1087">
        <w:rPr>
          <w:lang w:val="en-GB"/>
        </w:rPr>
        <w:t xml:space="preserve"> </w:t>
      </w:r>
      <w:r w:rsidR="00BD54E1" w:rsidRPr="00FF1087">
        <w:rPr>
          <w:lang w:val="en-GB"/>
        </w:rPr>
        <w:t>A</w:t>
      </w:r>
      <w:r w:rsidR="00434059" w:rsidRPr="00FF1087">
        <w:rPr>
          <w:lang w:val="en-GB"/>
        </w:rPr>
        <w:t>r</w:t>
      </w:r>
      <w:r w:rsidRPr="00FF1087">
        <w:rPr>
          <w:lang w:val="en-GB"/>
        </w:rPr>
        <w:t>t</w:t>
      </w:r>
      <w:r w:rsidR="00434059" w:rsidRPr="00FF1087">
        <w:rPr>
          <w:lang w:val="en-GB"/>
        </w:rPr>
        <w:t>i</w:t>
      </w:r>
      <w:r w:rsidRPr="00FF1087">
        <w:rPr>
          <w:lang w:val="en-GB"/>
        </w:rPr>
        <w:t>cle 1</w:t>
      </w:r>
      <w:r w:rsidR="007F3124" w:rsidRPr="00FF1087">
        <w:rPr>
          <w:lang w:val="en-GB"/>
        </w:rPr>
        <w:t>(</w:t>
      </w:r>
      <w:r w:rsidR="00EC0454" w:rsidRPr="00FF1087">
        <w:rPr>
          <w:lang w:val="en-GB"/>
        </w:rPr>
        <w:t>2</w:t>
      </w:r>
      <w:r w:rsidR="007F3124" w:rsidRPr="00FF1087">
        <w:rPr>
          <w:lang w:val="en-GB"/>
        </w:rPr>
        <w:t>)</w:t>
      </w:r>
      <w:r w:rsidRPr="00FF1087">
        <w:rPr>
          <w:lang w:val="en-GB"/>
        </w:rPr>
        <w:t>(a)</w:t>
      </w:r>
      <w:r w:rsidR="00541B82" w:rsidRPr="00FF1087">
        <w:rPr>
          <w:lang w:val="en-GB"/>
        </w:rPr>
        <w:t xml:space="preserve"> states </w:t>
      </w:r>
      <w:r w:rsidRPr="00FF1087">
        <w:rPr>
          <w:lang w:val="en-GB"/>
        </w:rPr>
        <w:t xml:space="preserve">that </w:t>
      </w:r>
      <w:r w:rsidR="00541B82" w:rsidRPr="00FF1087">
        <w:rPr>
          <w:lang w:val="en-GB"/>
        </w:rPr>
        <w:t xml:space="preserve">the </w:t>
      </w:r>
      <w:r w:rsidR="008656E8" w:rsidRPr="00FF1087">
        <w:rPr>
          <w:lang w:val="en-GB"/>
        </w:rPr>
        <w:t>R</w:t>
      </w:r>
      <w:r w:rsidR="006E398A" w:rsidRPr="00FF1087">
        <w:rPr>
          <w:lang w:val="en-GB"/>
        </w:rPr>
        <w:t>egulation</w:t>
      </w:r>
      <w:r w:rsidRPr="00FF1087">
        <w:rPr>
          <w:lang w:val="en-GB"/>
        </w:rPr>
        <w:t xml:space="preserve"> addresses the identification of </w:t>
      </w:r>
      <w:r w:rsidR="00DE5EFD" w:rsidRPr="00FF1087">
        <w:rPr>
          <w:lang w:val="en-GB"/>
        </w:rPr>
        <w:t>PCIs</w:t>
      </w:r>
      <w:r w:rsidRPr="00FF1087">
        <w:rPr>
          <w:lang w:val="en-GB"/>
        </w:rPr>
        <w:t xml:space="preserve"> necessary to implement priority corridors and areas falling under the energy infrastructure categories in electricity, gas, oil, and carbon dioxide</w:t>
      </w:r>
      <w:r w:rsidR="006E398A" w:rsidRPr="00FF1087">
        <w:rPr>
          <w:lang w:val="en-GB"/>
        </w:rPr>
        <w:t>.</w:t>
      </w:r>
      <w:bookmarkEnd w:id="0"/>
      <w:r w:rsidR="006E398A" w:rsidRPr="00FF1087">
        <w:rPr>
          <w:lang w:val="en-GB"/>
        </w:rPr>
        <w:t xml:space="preserve"> </w:t>
      </w:r>
    </w:p>
    <w:p w14:paraId="240DA5F3" w14:textId="7A248336" w:rsidR="00541B82" w:rsidRPr="00FF1087" w:rsidRDefault="00B77C63" w:rsidP="001C3D04">
      <w:pPr>
        <w:pStyle w:val="SingleTxtG"/>
        <w:numPr>
          <w:ilvl w:val="0"/>
          <w:numId w:val="3"/>
        </w:numPr>
        <w:tabs>
          <w:tab w:val="left" w:pos="1843"/>
          <w:tab w:val="left" w:pos="6120"/>
        </w:tabs>
        <w:ind w:left="1134" w:right="0" w:firstLine="0"/>
        <w:rPr>
          <w:lang w:val="en-GB"/>
        </w:rPr>
      </w:pPr>
      <w:bookmarkStart w:id="1" w:name="_Ref7179353"/>
      <w:r w:rsidRPr="00FF1087">
        <w:rPr>
          <w:lang w:val="en-GB"/>
        </w:rPr>
        <w:t xml:space="preserve">Article 3 establishes twelve Regional Groups and </w:t>
      </w:r>
      <w:r w:rsidR="00AC7B78" w:rsidRPr="00FF1087">
        <w:rPr>
          <w:lang w:val="en-GB"/>
        </w:rPr>
        <w:t xml:space="preserve">requires </w:t>
      </w:r>
      <w:r w:rsidRPr="00FF1087">
        <w:rPr>
          <w:lang w:val="en-GB"/>
        </w:rPr>
        <w:t xml:space="preserve">the decision-making body of each </w:t>
      </w:r>
      <w:r w:rsidR="00E434AF" w:rsidRPr="00FF1087">
        <w:rPr>
          <w:lang w:val="en-GB"/>
        </w:rPr>
        <w:t>g</w:t>
      </w:r>
      <w:r w:rsidRPr="00FF1087">
        <w:rPr>
          <w:lang w:val="en-GB"/>
        </w:rPr>
        <w:t xml:space="preserve">roup </w:t>
      </w:r>
      <w:r w:rsidR="00AC7B78" w:rsidRPr="00FF1087">
        <w:rPr>
          <w:lang w:val="en-GB"/>
        </w:rPr>
        <w:t xml:space="preserve">to </w:t>
      </w:r>
      <w:r w:rsidRPr="00FF1087">
        <w:rPr>
          <w:lang w:val="en-GB"/>
        </w:rPr>
        <w:t xml:space="preserve">adopt a regional list of proposed </w:t>
      </w:r>
      <w:r w:rsidR="00C22961" w:rsidRPr="00FF1087">
        <w:rPr>
          <w:lang w:val="en-GB"/>
        </w:rPr>
        <w:t>PCIs</w:t>
      </w:r>
      <w:r w:rsidRPr="00FF1087">
        <w:rPr>
          <w:lang w:val="en-GB"/>
        </w:rPr>
        <w:t xml:space="preserve"> drawn up according to t</w:t>
      </w:r>
      <w:r w:rsidR="006D6FD8" w:rsidRPr="00FF1087">
        <w:rPr>
          <w:lang w:val="en-GB"/>
        </w:rPr>
        <w:t>he process set out in Annex III</w:t>
      </w:r>
      <w:r w:rsidR="00FC3217" w:rsidRPr="00FF1087">
        <w:rPr>
          <w:lang w:val="en-GB"/>
        </w:rPr>
        <w:t>.</w:t>
      </w:r>
      <w:r w:rsidR="00EC0454" w:rsidRPr="00FF1087">
        <w:rPr>
          <w:lang w:val="en-GB"/>
        </w:rPr>
        <w:t>1.</w:t>
      </w:r>
      <w:r w:rsidR="006D6FD8" w:rsidRPr="00FF1087">
        <w:rPr>
          <w:lang w:val="en-GB"/>
        </w:rPr>
        <w:t xml:space="preserve"> </w:t>
      </w:r>
      <w:bookmarkEnd w:id="1"/>
    </w:p>
    <w:p w14:paraId="46FB4B0D" w14:textId="37D3826E" w:rsidR="00420874" w:rsidRPr="00FF1087" w:rsidRDefault="001C6CD7" w:rsidP="00A0466A">
      <w:pPr>
        <w:pStyle w:val="SingleTxtG"/>
        <w:numPr>
          <w:ilvl w:val="0"/>
          <w:numId w:val="3"/>
        </w:numPr>
        <w:tabs>
          <w:tab w:val="left" w:pos="1843"/>
          <w:tab w:val="left" w:pos="6120"/>
        </w:tabs>
        <w:ind w:left="1134" w:right="0" w:firstLine="0"/>
        <w:rPr>
          <w:lang w:val="en-GB"/>
        </w:rPr>
      </w:pPr>
      <w:r w:rsidRPr="00FF1087">
        <w:rPr>
          <w:lang w:val="en-GB"/>
        </w:rPr>
        <w:t>Article 3</w:t>
      </w:r>
      <w:r w:rsidR="007F3124" w:rsidRPr="00FF1087">
        <w:rPr>
          <w:lang w:val="en-GB"/>
        </w:rPr>
        <w:t>(</w:t>
      </w:r>
      <w:r w:rsidR="00420874" w:rsidRPr="00FF1087">
        <w:rPr>
          <w:lang w:val="en-GB"/>
        </w:rPr>
        <w:t>4</w:t>
      </w:r>
      <w:r w:rsidR="007F3124" w:rsidRPr="00FF1087">
        <w:rPr>
          <w:lang w:val="en-GB"/>
        </w:rPr>
        <w:t>)</w:t>
      </w:r>
      <w:r w:rsidR="00420874" w:rsidRPr="00FF1087">
        <w:rPr>
          <w:lang w:val="en-GB"/>
        </w:rPr>
        <w:t xml:space="preserve"> empowers the Commission to adopt delegated acts </w:t>
      </w:r>
      <w:r w:rsidR="00E434AF" w:rsidRPr="00FF1087">
        <w:rPr>
          <w:lang w:val="en-GB"/>
        </w:rPr>
        <w:t>establishing</w:t>
      </w:r>
      <w:r w:rsidR="00420874" w:rsidRPr="00FF1087">
        <w:rPr>
          <w:lang w:val="en-GB"/>
        </w:rPr>
        <w:t xml:space="preserve"> the Union</w:t>
      </w:r>
      <w:r w:rsidR="006544C8" w:rsidRPr="00FF1087">
        <w:rPr>
          <w:lang w:val="en-GB"/>
        </w:rPr>
        <w:t>’</w:t>
      </w:r>
      <w:r w:rsidR="00E434AF" w:rsidRPr="00FF1087">
        <w:rPr>
          <w:lang w:val="en-GB"/>
        </w:rPr>
        <w:t>s</w:t>
      </w:r>
      <w:r w:rsidR="00420874" w:rsidRPr="00FF1087">
        <w:rPr>
          <w:lang w:val="en-GB"/>
        </w:rPr>
        <w:t xml:space="preserve"> list of </w:t>
      </w:r>
      <w:r w:rsidR="001951DB" w:rsidRPr="00FF1087">
        <w:rPr>
          <w:lang w:val="en-GB"/>
        </w:rPr>
        <w:t>PCIs</w:t>
      </w:r>
      <w:r w:rsidR="009E4A13" w:rsidRPr="00FF1087">
        <w:rPr>
          <w:lang w:val="en-GB"/>
        </w:rPr>
        <w:t xml:space="preserve">. </w:t>
      </w:r>
      <w:r w:rsidR="00420874" w:rsidRPr="00FF1087">
        <w:rPr>
          <w:lang w:val="en-GB"/>
        </w:rPr>
        <w:t xml:space="preserve">In exercising its power, the Commission shall ensure the Union list is established every two years </w:t>
      </w:r>
      <w:proofErr w:type="gramStart"/>
      <w:r w:rsidR="00420874" w:rsidRPr="00FF1087">
        <w:rPr>
          <w:lang w:val="en-GB"/>
        </w:rPr>
        <w:t>on the basis of</w:t>
      </w:r>
      <w:proofErr w:type="gramEnd"/>
      <w:r w:rsidR="00420874" w:rsidRPr="00FF1087">
        <w:rPr>
          <w:lang w:val="en-GB"/>
        </w:rPr>
        <w:t xml:space="preserve"> the regional lists. Article 3</w:t>
      </w:r>
      <w:r w:rsidR="007F3124" w:rsidRPr="00FF1087">
        <w:rPr>
          <w:lang w:val="en-GB"/>
        </w:rPr>
        <w:t>(</w:t>
      </w:r>
      <w:r w:rsidR="00420874" w:rsidRPr="00FF1087">
        <w:rPr>
          <w:lang w:val="en-GB"/>
        </w:rPr>
        <w:t>4</w:t>
      </w:r>
      <w:r w:rsidR="007F3124" w:rsidRPr="00FF1087">
        <w:rPr>
          <w:lang w:val="en-GB"/>
        </w:rPr>
        <w:t>)</w:t>
      </w:r>
      <w:r w:rsidR="00420874" w:rsidRPr="00FF1087">
        <w:rPr>
          <w:lang w:val="en-GB"/>
        </w:rPr>
        <w:t xml:space="preserve"> requires the first Union list be adopted by 30 September 2013</w:t>
      </w:r>
      <w:r w:rsidR="009E4A13" w:rsidRPr="00FF1087">
        <w:rPr>
          <w:lang w:val="en-GB"/>
        </w:rPr>
        <w:t xml:space="preserve"> </w:t>
      </w:r>
      <w:r w:rsidR="00FC3217" w:rsidRPr="00FF1087">
        <w:rPr>
          <w:lang w:val="en-GB"/>
        </w:rPr>
        <w:t>as</w:t>
      </w:r>
      <w:r w:rsidR="009E4A13" w:rsidRPr="00FF1087">
        <w:rPr>
          <w:lang w:val="en-GB"/>
        </w:rPr>
        <w:t xml:space="preserve"> an annex to the Regulation.</w:t>
      </w:r>
    </w:p>
    <w:p w14:paraId="3AA427A1" w14:textId="4987FCA0" w:rsidR="00F62668" w:rsidRPr="00FF1087" w:rsidRDefault="00DE5EFD" w:rsidP="00FC3217">
      <w:pPr>
        <w:pStyle w:val="SingleTxtG"/>
        <w:numPr>
          <w:ilvl w:val="0"/>
          <w:numId w:val="3"/>
        </w:numPr>
        <w:tabs>
          <w:tab w:val="left" w:pos="1843"/>
          <w:tab w:val="left" w:pos="6120"/>
        </w:tabs>
        <w:ind w:left="1134" w:right="0" w:firstLine="0"/>
        <w:rPr>
          <w:lang w:val="en-GB"/>
        </w:rPr>
      </w:pPr>
      <w:bookmarkStart w:id="2" w:name="_Ref468191339"/>
      <w:r w:rsidRPr="00FF1087">
        <w:rPr>
          <w:lang w:val="en-GB"/>
        </w:rPr>
        <w:t>Article 7</w:t>
      </w:r>
      <w:r w:rsidR="007F3124" w:rsidRPr="00FF1087">
        <w:rPr>
          <w:lang w:val="en-GB"/>
        </w:rPr>
        <w:t>(</w:t>
      </w:r>
      <w:r w:rsidRPr="00FF1087">
        <w:rPr>
          <w:lang w:val="en-GB"/>
        </w:rPr>
        <w:t>1</w:t>
      </w:r>
      <w:r w:rsidR="007F3124" w:rsidRPr="00FF1087">
        <w:rPr>
          <w:lang w:val="en-GB"/>
        </w:rPr>
        <w:t>)</w:t>
      </w:r>
      <w:r w:rsidRPr="00FF1087">
        <w:rPr>
          <w:lang w:val="en-GB"/>
        </w:rPr>
        <w:t xml:space="preserve"> </w:t>
      </w:r>
      <w:r w:rsidR="009E4A13" w:rsidRPr="00FF1087">
        <w:rPr>
          <w:lang w:val="en-GB"/>
        </w:rPr>
        <w:t>states</w:t>
      </w:r>
      <w:r w:rsidRPr="00FF1087">
        <w:rPr>
          <w:lang w:val="en-GB"/>
        </w:rPr>
        <w:t xml:space="preserve"> that adoption of the Union list shall establish, for the purposes of any decisions issued in the permit granting process, the necessity of these projects from an energy policy perspective, without prejudice to the </w:t>
      </w:r>
      <w:r w:rsidR="00FC3217" w:rsidRPr="00FF1087">
        <w:rPr>
          <w:lang w:val="en-GB"/>
        </w:rPr>
        <w:t xml:space="preserve">project’s </w:t>
      </w:r>
      <w:r w:rsidRPr="00FF1087">
        <w:rPr>
          <w:lang w:val="en-GB"/>
        </w:rPr>
        <w:t>exact location, routing or technology.</w:t>
      </w:r>
      <w:bookmarkEnd w:id="2"/>
    </w:p>
    <w:p w14:paraId="31A48AC7" w14:textId="304D81D2" w:rsidR="00B266DE" w:rsidRPr="00FF1087" w:rsidRDefault="00B266DE" w:rsidP="00B266DE">
      <w:pPr>
        <w:pStyle w:val="SingleTxtG"/>
        <w:tabs>
          <w:tab w:val="left" w:pos="1843"/>
          <w:tab w:val="left" w:pos="6120"/>
        </w:tabs>
        <w:ind w:right="0"/>
        <w:rPr>
          <w:b/>
          <w:lang w:val="en-GB"/>
        </w:rPr>
      </w:pPr>
      <w:r w:rsidRPr="00FF1087">
        <w:rPr>
          <w:b/>
          <w:lang w:val="en-GB"/>
        </w:rPr>
        <w:t>Public participation on the PCIs</w:t>
      </w:r>
    </w:p>
    <w:p w14:paraId="106CCBE3" w14:textId="2818A091" w:rsidR="00B266DE" w:rsidRPr="00FF1087" w:rsidRDefault="00B266DE" w:rsidP="00B266DE">
      <w:pPr>
        <w:pStyle w:val="SingleTxtG"/>
        <w:numPr>
          <w:ilvl w:val="0"/>
          <w:numId w:val="3"/>
        </w:numPr>
        <w:tabs>
          <w:tab w:val="left" w:pos="1843"/>
          <w:tab w:val="left" w:pos="6120"/>
        </w:tabs>
        <w:ind w:left="1134" w:right="0" w:firstLine="0"/>
        <w:rPr>
          <w:b/>
          <w:lang w:val="en-GB"/>
        </w:rPr>
      </w:pPr>
      <w:r w:rsidRPr="00FF1087">
        <w:rPr>
          <w:lang w:val="en-GB"/>
        </w:rPr>
        <w:t>Annex III.1 (5) of the TEN-E regulation requires each group to consult with the “</w:t>
      </w:r>
      <w:proofErr w:type="gramStart"/>
      <w:r w:rsidRPr="00FF1087">
        <w:rPr>
          <w:lang w:val="en-GB"/>
        </w:rPr>
        <w:t>relevant  stakeholders</w:t>
      </w:r>
      <w:proofErr w:type="gramEnd"/>
      <w:r w:rsidRPr="00FF1087">
        <w:rPr>
          <w:lang w:val="en-GB"/>
        </w:rPr>
        <w:t>”, namely:</w:t>
      </w:r>
      <w:r w:rsidR="00E470D5" w:rsidRPr="00FF1087">
        <w:rPr>
          <w:lang w:val="en-GB"/>
        </w:rPr>
        <w:t xml:space="preserve"> </w:t>
      </w:r>
      <w:r w:rsidRPr="00FF1087">
        <w:rPr>
          <w:lang w:val="en-GB"/>
        </w:rPr>
        <w:t>producers, distribution system operators, suppliers, consumers, and organizations for environmental protection. Article 9 of the Aarhus Regulation</w:t>
      </w:r>
      <w:r w:rsidRPr="00FF1087">
        <w:rPr>
          <w:rStyle w:val="FootnoteReference"/>
          <w:lang w:val="en-GB"/>
        </w:rPr>
        <w:footnoteReference w:id="4"/>
      </w:r>
      <w:r w:rsidRPr="00FF1087">
        <w:rPr>
          <w:lang w:val="en-GB"/>
        </w:rPr>
        <w:t xml:space="preserve"> applies</w:t>
      </w:r>
      <w:r w:rsidR="00FC3217" w:rsidRPr="00FF1087">
        <w:rPr>
          <w:lang w:val="en-GB"/>
        </w:rPr>
        <w:t xml:space="preserve"> to the establishment of the PCI list</w:t>
      </w:r>
      <w:r w:rsidRPr="00FF1087">
        <w:rPr>
          <w:lang w:val="en-GB"/>
        </w:rPr>
        <w:t xml:space="preserve">, as does the Commission’s 2002 Communication “Towards a reinforced culture of consultation and dialogue - General </w:t>
      </w:r>
      <w:r w:rsidRPr="00FF1087">
        <w:rPr>
          <w:lang w:val="en-GB"/>
        </w:rPr>
        <w:lastRenderedPageBreak/>
        <w:t xml:space="preserve">principles and minimum standards for consultation of interested parties by the </w:t>
      </w:r>
      <w:r w:rsidR="00C557A4" w:rsidRPr="00FF1087">
        <w:rPr>
          <w:lang w:val="en-GB"/>
        </w:rPr>
        <w:t>C</w:t>
      </w:r>
      <w:r w:rsidRPr="00FF1087">
        <w:rPr>
          <w:lang w:val="en-GB"/>
        </w:rPr>
        <w:t>ommission”.</w:t>
      </w:r>
      <w:r w:rsidRPr="00FF1087">
        <w:rPr>
          <w:vertAlign w:val="superscript"/>
          <w:lang w:val="en-GB"/>
        </w:rPr>
        <w:footnoteReference w:id="5"/>
      </w:r>
      <w:r w:rsidRPr="00FF1087">
        <w:rPr>
          <w:vertAlign w:val="superscript"/>
          <w:lang w:val="en-GB"/>
        </w:rPr>
        <w:t>,</w:t>
      </w:r>
      <w:r w:rsidRPr="00FF1087">
        <w:rPr>
          <w:vertAlign w:val="superscript"/>
          <w:lang w:val="en-GB"/>
        </w:rPr>
        <w:footnoteReference w:id="6"/>
      </w:r>
    </w:p>
    <w:p w14:paraId="469128D9" w14:textId="607F54F8" w:rsidR="007742C2" w:rsidRPr="00FF1087" w:rsidRDefault="00A40768" w:rsidP="001C3D04">
      <w:pPr>
        <w:pStyle w:val="SingleTxtG"/>
        <w:tabs>
          <w:tab w:val="left" w:pos="1843"/>
          <w:tab w:val="left" w:pos="6120"/>
        </w:tabs>
        <w:ind w:right="0"/>
        <w:rPr>
          <w:b/>
          <w:lang w:val="en-GB"/>
        </w:rPr>
      </w:pPr>
      <w:r w:rsidRPr="00FF1087">
        <w:rPr>
          <w:b/>
          <w:lang w:val="en-GB"/>
        </w:rPr>
        <w:t>Access to environmental information</w:t>
      </w:r>
    </w:p>
    <w:p w14:paraId="1A922193" w14:textId="00303FD2" w:rsidR="00B12A54" w:rsidRPr="00FF1087" w:rsidRDefault="00B12A54" w:rsidP="00E470D5">
      <w:pPr>
        <w:pStyle w:val="SingleTxtG"/>
        <w:numPr>
          <w:ilvl w:val="0"/>
          <w:numId w:val="3"/>
        </w:numPr>
        <w:tabs>
          <w:tab w:val="left" w:pos="1843"/>
          <w:tab w:val="left" w:pos="6120"/>
        </w:tabs>
        <w:ind w:left="1134" w:right="0" w:firstLine="0"/>
        <w:rPr>
          <w:lang w:val="en-GB"/>
        </w:rPr>
      </w:pPr>
      <w:r w:rsidRPr="00FF1087">
        <w:rPr>
          <w:lang w:val="en-GB"/>
        </w:rPr>
        <w:t>Article 4(1)(b) of Regulation 1049/2001</w:t>
      </w:r>
      <w:r w:rsidRPr="00FF1087">
        <w:rPr>
          <w:rStyle w:val="FootnoteReference"/>
          <w:lang w:val="en-GB"/>
        </w:rPr>
        <w:footnoteReference w:id="7"/>
      </w:r>
      <w:r w:rsidRPr="00FF1087">
        <w:rPr>
          <w:lang w:val="en-GB"/>
        </w:rPr>
        <w:t xml:space="preserve"> stipulates that </w:t>
      </w:r>
      <w:r w:rsidR="00E470D5" w:rsidRPr="00FF1087">
        <w:rPr>
          <w:lang w:val="en-GB"/>
        </w:rPr>
        <w:t xml:space="preserve">institutions of </w:t>
      </w:r>
      <w:r w:rsidRPr="00FF1087">
        <w:rPr>
          <w:lang w:val="en-GB"/>
        </w:rPr>
        <w:t>the Party concerned</w:t>
      </w:r>
      <w:r w:rsidR="00876A16" w:rsidRPr="00FF1087">
        <w:rPr>
          <w:lang w:val="en-GB"/>
        </w:rPr>
        <w:t xml:space="preserve"> </w:t>
      </w:r>
      <w:r w:rsidRPr="00FF1087">
        <w:rPr>
          <w:lang w:val="en-GB"/>
        </w:rPr>
        <w:t xml:space="preserve">shall refuse access to a document where disclosure would undermine the protection of privacy and the integrity of the individual. </w:t>
      </w:r>
    </w:p>
    <w:p w14:paraId="5D219C24" w14:textId="3648BB14" w:rsidR="00A40768" w:rsidRPr="00FF1087" w:rsidRDefault="00A40768" w:rsidP="00A40768">
      <w:pPr>
        <w:pStyle w:val="SingleTxtG"/>
        <w:numPr>
          <w:ilvl w:val="0"/>
          <w:numId w:val="3"/>
        </w:numPr>
        <w:tabs>
          <w:tab w:val="left" w:pos="1843"/>
          <w:tab w:val="left" w:pos="6120"/>
        </w:tabs>
        <w:ind w:left="1134" w:right="0" w:firstLine="0"/>
        <w:rPr>
          <w:lang w:val="en-GB"/>
        </w:rPr>
      </w:pPr>
      <w:r w:rsidRPr="00FF1087">
        <w:rPr>
          <w:lang w:val="en-GB"/>
        </w:rPr>
        <w:t xml:space="preserve">Article 4(2), first indent, of Regulation 1049/2001 states that the institutions shall refuse access to a document where disclosure would undermine the protection of commercial interests of a natural or legal person. </w:t>
      </w:r>
    </w:p>
    <w:p w14:paraId="1F9A2C56" w14:textId="4C6751BD" w:rsidR="00FC3217" w:rsidRPr="00FF1087" w:rsidRDefault="00FC3217" w:rsidP="00FC3217">
      <w:pPr>
        <w:pStyle w:val="SingleTxtG"/>
        <w:numPr>
          <w:ilvl w:val="0"/>
          <w:numId w:val="3"/>
        </w:numPr>
        <w:tabs>
          <w:tab w:val="left" w:pos="1843"/>
          <w:tab w:val="left" w:pos="6120"/>
        </w:tabs>
        <w:ind w:left="1134" w:right="0" w:firstLine="0"/>
        <w:rPr>
          <w:lang w:val="en-GB"/>
        </w:rPr>
      </w:pPr>
      <w:r w:rsidRPr="00FF1087">
        <w:rPr>
          <w:lang w:val="en-GB"/>
        </w:rPr>
        <w:t xml:space="preserve">Annex III.2 (2) of the TEN-E Regulation likewise requires all recipients to preserve the confidentiality of commercially sensitive information. </w:t>
      </w:r>
    </w:p>
    <w:p w14:paraId="07B7FEB1" w14:textId="4BFC9DE5" w:rsidR="00FC3217" w:rsidRPr="00FF1087" w:rsidRDefault="00FC3217" w:rsidP="001C3D04">
      <w:pPr>
        <w:pStyle w:val="SingleTxtG"/>
        <w:numPr>
          <w:ilvl w:val="0"/>
          <w:numId w:val="3"/>
        </w:numPr>
        <w:tabs>
          <w:tab w:val="left" w:pos="1843"/>
          <w:tab w:val="left" w:pos="6120"/>
        </w:tabs>
        <w:ind w:left="1134" w:right="0" w:firstLine="0"/>
        <w:rPr>
          <w:lang w:val="en-GB"/>
        </w:rPr>
      </w:pPr>
      <w:r w:rsidRPr="00FF1087">
        <w:rPr>
          <w:lang w:val="en-GB"/>
        </w:rPr>
        <w:t>Article 4(3) of Regulation 1049/2001</w:t>
      </w:r>
      <w:r w:rsidR="00BD54E1" w:rsidRPr="00FF1087">
        <w:rPr>
          <w:lang w:val="en-GB"/>
        </w:rPr>
        <w:t xml:space="preserve"> </w:t>
      </w:r>
      <w:r w:rsidR="00B12A54" w:rsidRPr="00FF1087">
        <w:rPr>
          <w:lang w:val="en-GB"/>
        </w:rPr>
        <w:t>provides that a</w:t>
      </w:r>
      <w:r w:rsidRPr="00FF1087">
        <w:rPr>
          <w:lang w:val="en-GB"/>
        </w:rPr>
        <w:t xml:space="preserve">ccess to a document </w:t>
      </w:r>
      <w:r w:rsidR="00B12A54" w:rsidRPr="00FF1087">
        <w:rPr>
          <w:lang w:val="en-GB"/>
        </w:rPr>
        <w:t xml:space="preserve">relating </w:t>
      </w:r>
      <w:r w:rsidRPr="00FF1087">
        <w:rPr>
          <w:lang w:val="en-GB"/>
        </w:rPr>
        <w:t>to a matter where the decision has not been taken by the institution shall be refused if disclosure of the document would seriously undermine the institution</w:t>
      </w:r>
      <w:r w:rsidR="00B12A54" w:rsidRPr="00FF1087">
        <w:rPr>
          <w:lang w:val="en-GB"/>
        </w:rPr>
        <w:t>’</w:t>
      </w:r>
      <w:r w:rsidRPr="00FF1087">
        <w:rPr>
          <w:lang w:val="en-GB"/>
        </w:rPr>
        <w:t>s decision-making process, unless there is an overriding public interest in disclosure</w:t>
      </w:r>
      <w:r w:rsidR="00B12A54" w:rsidRPr="00FF1087">
        <w:rPr>
          <w:lang w:val="en-GB"/>
        </w:rPr>
        <w:t>.</w:t>
      </w:r>
    </w:p>
    <w:p w14:paraId="6B6B4FC5" w14:textId="3542469D" w:rsidR="002C34F4" w:rsidRPr="00FF1087" w:rsidRDefault="002C34F4" w:rsidP="001C3D04">
      <w:pPr>
        <w:pStyle w:val="SingleTxtG"/>
        <w:numPr>
          <w:ilvl w:val="0"/>
          <w:numId w:val="3"/>
        </w:numPr>
        <w:tabs>
          <w:tab w:val="left" w:pos="1843"/>
          <w:tab w:val="left" w:pos="6120"/>
        </w:tabs>
        <w:ind w:left="1134" w:right="0" w:firstLine="0"/>
        <w:rPr>
          <w:lang w:val="en-GB"/>
        </w:rPr>
      </w:pPr>
      <w:r w:rsidRPr="00FF1087">
        <w:rPr>
          <w:lang w:val="en-GB"/>
        </w:rPr>
        <w:t>Article 6</w:t>
      </w:r>
      <w:r w:rsidR="007F3124" w:rsidRPr="00FF1087">
        <w:rPr>
          <w:lang w:val="en-GB"/>
        </w:rPr>
        <w:t>(</w:t>
      </w:r>
      <w:r w:rsidRPr="00FF1087">
        <w:rPr>
          <w:lang w:val="en-GB"/>
        </w:rPr>
        <w:t>1</w:t>
      </w:r>
      <w:r w:rsidR="007F3124" w:rsidRPr="00FF1087">
        <w:rPr>
          <w:lang w:val="en-GB"/>
        </w:rPr>
        <w:t>)</w:t>
      </w:r>
      <w:r w:rsidR="00EC0454" w:rsidRPr="00FF1087">
        <w:rPr>
          <w:lang w:val="en-GB"/>
        </w:rPr>
        <w:t xml:space="preserve"> o</w:t>
      </w:r>
      <w:r w:rsidRPr="00FF1087">
        <w:rPr>
          <w:lang w:val="en-GB"/>
        </w:rPr>
        <w:t>f the Aarhus Regulation</w:t>
      </w:r>
      <w:r w:rsidR="00B06154" w:rsidRPr="00FF1087">
        <w:rPr>
          <w:lang w:val="en-GB"/>
        </w:rPr>
        <w:t xml:space="preserve"> </w:t>
      </w:r>
      <w:r w:rsidRPr="00FF1087">
        <w:rPr>
          <w:lang w:val="en-GB"/>
        </w:rPr>
        <w:t>states that the grounds for refusal in article 4 of Regulation 1049/2001, other than those in article 4</w:t>
      </w:r>
      <w:r w:rsidR="00BB2F60" w:rsidRPr="00FF1087">
        <w:rPr>
          <w:lang w:val="en-GB"/>
        </w:rPr>
        <w:t>(</w:t>
      </w:r>
      <w:r w:rsidRPr="00FF1087">
        <w:rPr>
          <w:lang w:val="en-GB"/>
        </w:rPr>
        <w:t>2</w:t>
      </w:r>
      <w:r w:rsidR="00BB2F60" w:rsidRPr="00FF1087">
        <w:rPr>
          <w:lang w:val="en-GB"/>
        </w:rPr>
        <w:t>)</w:t>
      </w:r>
      <w:r w:rsidRPr="00FF1087">
        <w:rPr>
          <w:lang w:val="en-GB"/>
        </w:rPr>
        <w:t xml:space="preserve">, first and third indents, shall be interpreted in a restrictive way, </w:t>
      </w:r>
      <w:proofErr w:type="gramStart"/>
      <w:r w:rsidRPr="00FF1087">
        <w:rPr>
          <w:lang w:val="en-GB"/>
        </w:rPr>
        <w:t>taking into account</w:t>
      </w:r>
      <w:proofErr w:type="gramEnd"/>
      <w:r w:rsidRPr="00FF1087">
        <w:rPr>
          <w:lang w:val="en-GB"/>
        </w:rPr>
        <w:t xml:space="preserve"> the public interest served by disclosure and whether the information requested relates to emissions into the environment.</w:t>
      </w:r>
    </w:p>
    <w:p w14:paraId="6CACEF3A" w14:textId="77777777" w:rsidR="00477630" w:rsidRPr="00FF1087" w:rsidRDefault="00477630" w:rsidP="001C3D04">
      <w:pPr>
        <w:pStyle w:val="H1G"/>
        <w:numPr>
          <w:ilvl w:val="0"/>
          <w:numId w:val="4"/>
        </w:numPr>
        <w:tabs>
          <w:tab w:val="num" w:pos="1134"/>
          <w:tab w:val="left" w:pos="1843"/>
          <w:tab w:val="left" w:pos="6120"/>
        </w:tabs>
        <w:ind w:left="1134" w:right="0" w:firstLine="0"/>
      </w:pPr>
      <w:r w:rsidRPr="00FF1087">
        <w:t>Facts</w:t>
      </w:r>
    </w:p>
    <w:p w14:paraId="416287A5" w14:textId="5567E40A" w:rsidR="0070528A" w:rsidRPr="00FF1087" w:rsidRDefault="0070528A" w:rsidP="001C3D04">
      <w:pPr>
        <w:pStyle w:val="SingleTxtG"/>
        <w:tabs>
          <w:tab w:val="left" w:pos="1843"/>
          <w:tab w:val="left" w:pos="6120"/>
        </w:tabs>
        <w:ind w:right="0"/>
        <w:rPr>
          <w:b/>
          <w:lang w:val="en-GB"/>
        </w:rPr>
      </w:pPr>
      <w:r w:rsidRPr="00FF1087">
        <w:rPr>
          <w:b/>
          <w:lang w:val="en-GB"/>
        </w:rPr>
        <w:t xml:space="preserve">Adoption </w:t>
      </w:r>
      <w:r w:rsidR="00781A24" w:rsidRPr="00FF1087">
        <w:rPr>
          <w:b/>
          <w:lang w:val="en-GB"/>
        </w:rPr>
        <w:t xml:space="preserve">of the </w:t>
      </w:r>
      <w:r w:rsidR="00A74D0A" w:rsidRPr="00FF1087">
        <w:rPr>
          <w:b/>
          <w:lang w:val="en-GB"/>
        </w:rPr>
        <w:t xml:space="preserve">first </w:t>
      </w:r>
      <w:r w:rsidR="00F4463B" w:rsidRPr="00FF1087">
        <w:rPr>
          <w:b/>
          <w:lang w:val="en-GB"/>
        </w:rPr>
        <w:t>PCI list</w:t>
      </w:r>
    </w:p>
    <w:p w14:paraId="5870B2EA" w14:textId="1F831BA2" w:rsidR="00B031D0" w:rsidRPr="00FF1087" w:rsidRDefault="002C34F4" w:rsidP="001C3D04">
      <w:pPr>
        <w:pStyle w:val="SingleTxtG"/>
        <w:numPr>
          <w:ilvl w:val="0"/>
          <w:numId w:val="3"/>
        </w:numPr>
        <w:tabs>
          <w:tab w:val="left" w:pos="1843"/>
          <w:tab w:val="left" w:pos="6120"/>
        </w:tabs>
        <w:ind w:left="1134" w:right="0" w:firstLine="0"/>
        <w:rPr>
          <w:lang w:val="en-GB"/>
        </w:rPr>
      </w:pPr>
      <w:bookmarkStart w:id="3" w:name="_Ref465333689"/>
      <w:r w:rsidRPr="00FF1087">
        <w:rPr>
          <w:lang w:val="en-GB"/>
        </w:rPr>
        <w:t xml:space="preserve">On </w:t>
      </w:r>
      <w:r w:rsidR="00AB6859" w:rsidRPr="00FF1087">
        <w:rPr>
          <w:lang w:val="en-GB"/>
        </w:rPr>
        <w:t>14 October 2013</w:t>
      </w:r>
      <w:r w:rsidRPr="00FF1087">
        <w:rPr>
          <w:lang w:val="en-GB"/>
        </w:rPr>
        <w:t>,</w:t>
      </w:r>
      <w:r w:rsidR="00B576C8" w:rsidRPr="00FF1087">
        <w:rPr>
          <w:lang w:val="en-GB"/>
        </w:rPr>
        <w:t xml:space="preserve"> the </w:t>
      </w:r>
      <w:r w:rsidR="00107BC4" w:rsidRPr="00FF1087">
        <w:rPr>
          <w:lang w:val="en-GB"/>
        </w:rPr>
        <w:t>Commission</w:t>
      </w:r>
      <w:r w:rsidR="00B576C8" w:rsidRPr="00FF1087">
        <w:rPr>
          <w:lang w:val="en-GB"/>
        </w:rPr>
        <w:t xml:space="preserve"> adopted </w:t>
      </w:r>
      <w:r w:rsidR="005A38B4" w:rsidRPr="00FF1087">
        <w:rPr>
          <w:lang w:val="en-GB"/>
        </w:rPr>
        <w:t>Delegated Regulation 1391/2013</w:t>
      </w:r>
      <w:r w:rsidR="00DE2FDA" w:rsidRPr="00FF1087">
        <w:rPr>
          <w:rStyle w:val="FootnoteReference"/>
          <w:lang w:val="en-GB"/>
        </w:rPr>
        <w:footnoteReference w:id="8"/>
      </w:r>
      <w:r w:rsidR="005A38B4" w:rsidRPr="00FF1087">
        <w:rPr>
          <w:lang w:val="en-GB"/>
        </w:rPr>
        <w:t xml:space="preserve"> </w:t>
      </w:r>
      <w:r w:rsidR="00DE2FDA" w:rsidRPr="00FF1087">
        <w:rPr>
          <w:lang w:val="en-GB"/>
        </w:rPr>
        <w:t xml:space="preserve">which added </w:t>
      </w:r>
      <w:r w:rsidR="00B576C8" w:rsidRPr="00FF1087">
        <w:rPr>
          <w:lang w:val="en-GB"/>
        </w:rPr>
        <w:t xml:space="preserve">a list of 248 </w:t>
      </w:r>
      <w:r w:rsidR="00AB6859" w:rsidRPr="00FF1087">
        <w:rPr>
          <w:lang w:val="en-GB"/>
        </w:rPr>
        <w:t>PCIs</w:t>
      </w:r>
      <w:r w:rsidR="005A38B4" w:rsidRPr="00FF1087">
        <w:rPr>
          <w:lang w:val="en-GB"/>
        </w:rPr>
        <w:t xml:space="preserve"> as Annex VII to</w:t>
      </w:r>
      <w:r w:rsidR="0019052F" w:rsidRPr="00FF1087">
        <w:rPr>
          <w:lang w:val="en-GB"/>
        </w:rPr>
        <w:t xml:space="preserve"> </w:t>
      </w:r>
      <w:r w:rsidR="001F50A3" w:rsidRPr="00FF1087">
        <w:rPr>
          <w:lang w:val="en-GB"/>
        </w:rPr>
        <w:t>the TEN-E Regulation</w:t>
      </w:r>
      <w:r w:rsidR="00BD54E1" w:rsidRPr="00FF1087">
        <w:rPr>
          <w:lang w:val="en-GB"/>
        </w:rPr>
        <w:t xml:space="preserve">. The list was </w:t>
      </w:r>
      <w:r w:rsidR="00D90645" w:rsidRPr="00FF1087">
        <w:rPr>
          <w:lang w:val="en-GB"/>
        </w:rPr>
        <w:t xml:space="preserve">based on the regional lists referred to </w:t>
      </w:r>
      <w:r w:rsidR="00BB2F60" w:rsidRPr="00FF1087">
        <w:rPr>
          <w:lang w:val="en-GB"/>
        </w:rPr>
        <w:t xml:space="preserve">in paragraph </w:t>
      </w:r>
      <w:r w:rsidR="00BB2F60" w:rsidRPr="00FF1087">
        <w:rPr>
          <w:lang w:val="en-GB"/>
        </w:rPr>
        <w:fldChar w:fldCharType="begin"/>
      </w:r>
      <w:r w:rsidR="00BB2F60" w:rsidRPr="00FF1087">
        <w:rPr>
          <w:lang w:val="en-GB"/>
        </w:rPr>
        <w:instrText xml:space="preserve"> REF _Ref7179353 \r \h </w:instrText>
      </w:r>
      <w:r w:rsidR="00E54DB8" w:rsidRPr="00FF1087">
        <w:rPr>
          <w:lang w:val="en-GB"/>
        </w:rPr>
        <w:instrText xml:space="preserve"> \* MERGEFORMAT </w:instrText>
      </w:r>
      <w:r w:rsidR="00BB2F60" w:rsidRPr="00FF1087">
        <w:rPr>
          <w:lang w:val="en-GB"/>
        </w:rPr>
      </w:r>
      <w:r w:rsidR="00BB2F60" w:rsidRPr="00FF1087">
        <w:rPr>
          <w:lang w:val="en-GB"/>
        </w:rPr>
        <w:fldChar w:fldCharType="separate"/>
      </w:r>
      <w:r w:rsidR="00B713E0">
        <w:rPr>
          <w:cs/>
          <w:lang w:val="en-GB"/>
        </w:rPr>
        <w:t>‎</w:t>
      </w:r>
      <w:r w:rsidR="00B713E0">
        <w:rPr>
          <w:lang w:val="en-GB"/>
        </w:rPr>
        <w:t>18</w:t>
      </w:r>
      <w:r w:rsidR="00BB2F60" w:rsidRPr="00FF1087">
        <w:rPr>
          <w:lang w:val="en-GB"/>
        </w:rPr>
        <w:fldChar w:fldCharType="end"/>
      </w:r>
      <w:r w:rsidR="00BB2F60" w:rsidRPr="00FF1087">
        <w:rPr>
          <w:lang w:val="en-GB"/>
        </w:rPr>
        <w:t xml:space="preserve"> </w:t>
      </w:r>
      <w:r w:rsidR="00D90645" w:rsidRPr="00FF1087">
        <w:rPr>
          <w:lang w:val="en-GB"/>
        </w:rPr>
        <w:t>above</w:t>
      </w:r>
      <w:r w:rsidR="00B576C8" w:rsidRPr="00FF1087">
        <w:rPr>
          <w:lang w:val="en-GB"/>
        </w:rPr>
        <w:t>.</w:t>
      </w:r>
      <w:r w:rsidR="00B576C8" w:rsidRPr="00FF1087">
        <w:rPr>
          <w:rStyle w:val="FootnoteReference"/>
          <w:lang w:val="en-GB"/>
        </w:rPr>
        <w:t xml:space="preserve"> </w:t>
      </w:r>
      <w:bookmarkEnd w:id="3"/>
      <w:r w:rsidR="00D90645" w:rsidRPr="00FF1087">
        <w:rPr>
          <w:lang w:val="en-GB"/>
        </w:rPr>
        <w:t xml:space="preserve">On the same day, the Commission adopted a Communication on “Long term infrastructure vision for Europe and beyond” (COM/2013/0711) to provide some further details </w:t>
      </w:r>
      <w:r w:rsidR="00BB2F60" w:rsidRPr="00FF1087">
        <w:rPr>
          <w:lang w:val="en-GB"/>
        </w:rPr>
        <w:t xml:space="preserve">regarding </w:t>
      </w:r>
      <w:r w:rsidR="00D90645" w:rsidRPr="00FF1087">
        <w:rPr>
          <w:lang w:val="en-GB"/>
        </w:rPr>
        <w:t>the adopted list.</w:t>
      </w:r>
    </w:p>
    <w:p w14:paraId="768C9A3D" w14:textId="1F53622B" w:rsidR="00D95E0D" w:rsidRPr="00FF1087" w:rsidRDefault="00B576C8"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PCI</w:t>
      </w:r>
      <w:r w:rsidR="00B1068C" w:rsidRPr="00FF1087">
        <w:rPr>
          <w:rStyle w:val="st"/>
          <w:lang w:val="en-GB"/>
        </w:rPr>
        <w:t>s</w:t>
      </w:r>
      <w:r w:rsidRPr="00FF1087">
        <w:rPr>
          <w:rStyle w:val="st"/>
          <w:lang w:val="en-GB"/>
        </w:rPr>
        <w:t xml:space="preserve"> benefit from faster and more efficient permit</w:t>
      </w:r>
      <w:r w:rsidR="00875008" w:rsidRPr="00FF1087">
        <w:rPr>
          <w:rStyle w:val="st"/>
          <w:lang w:val="en-GB"/>
        </w:rPr>
        <w:t xml:space="preserve"> </w:t>
      </w:r>
      <w:r w:rsidRPr="00FF1087">
        <w:rPr>
          <w:rStyle w:val="st"/>
          <w:lang w:val="en-GB"/>
        </w:rPr>
        <w:t>granting procedures, improved regulatory treatment and may also have access to financial support from the Connecting Europe Facility</w:t>
      </w:r>
      <w:r w:rsidR="001552E7" w:rsidRPr="00FF1087">
        <w:rPr>
          <w:rStyle w:val="st"/>
          <w:lang w:val="en-GB"/>
        </w:rPr>
        <w:t>.</w:t>
      </w:r>
      <w:r w:rsidR="008039D5" w:rsidRPr="00FF1087">
        <w:rPr>
          <w:rStyle w:val="FootnoteReference"/>
          <w:lang w:val="en-GB"/>
        </w:rPr>
        <w:footnoteReference w:id="9"/>
      </w:r>
    </w:p>
    <w:p w14:paraId="0F9B9CB7" w14:textId="74BF6ABA" w:rsidR="00747B91" w:rsidRPr="00FF1087" w:rsidRDefault="007157E3" w:rsidP="007157E3">
      <w:pPr>
        <w:pStyle w:val="SingleTxtG"/>
        <w:numPr>
          <w:ilvl w:val="0"/>
          <w:numId w:val="3"/>
        </w:numPr>
        <w:tabs>
          <w:tab w:val="left" w:pos="1843"/>
          <w:tab w:val="num" w:pos="1887"/>
          <w:tab w:val="left" w:pos="6120"/>
        </w:tabs>
        <w:ind w:left="1134" w:right="0" w:firstLine="0"/>
        <w:rPr>
          <w:rStyle w:val="st"/>
          <w:lang w:val="en-GB"/>
        </w:rPr>
      </w:pPr>
      <w:bookmarkStart w:id="4" w:name="_Ref19386347"/>
      <w:bookmarkStart w:id="5" w:name="_Hlk12695968"/>
      <w:r w:rsidRPr="00FF1087">
        <w:rPr>
          <w:rStyle w:val="st"/>
          <w:lang w:val="en-GB"/>
        </w:rPr>
        <w:t xml:space="preserve">With respect to </w:t>
      </w:r>
      <w:r w:rsidR="00747B91" w:rsidRPr="00FF1087">
        <w:rPr>
          <w:rStyle w:val="st"/>
          <w:lang w:val="en-GB"/>
        </w:rPr>
        <w:t xml:space="preserve">how due account of the outcome of the public participation </w:t>
      </w:r>
      <w:r w:rsidRPr="00FF1087">
        <w:rPr>
          <w:rStyle w:val="st"/>
          <w:lang w:val="en-GB"/>
        </w:rPr>
        <w:t>on</w:t>
      </w:r>
      <w:r w:rsidR="00747B91" w:rsidRPr="00FF1087">
        <w:rPr>
          <w:rStyle w:val="st"/>
          <w:lang w:val="en-GB"/>
        </w:rPr>
        <w:t xml:space="preserve"> the first PCI list was taken, </w:t>
      </w:r>
      <w:r w:rsidRPr="00FF1087">
        <w:rPr>
          <w:rStyle w:val="st"/>
          <w:lang w:val="en-GB"/>
        </w:rPr>
        <w:t xml:space="preserve">the explanatory memorandum accompanying Delegated Regulation 1391/2013 </w:t>
      </w:r>
      <w:r w:rsidR="00747B91" w:rsidRPr="00FF1087">
        <w:rPr>
          <w:rStyle w:val="st"/>
          <w:lang w:val="en-GB"/>
        </w:rPr>
        <w:t>stated that:</w:t>
      </w:r>
      <w:bookmarkEnd w:id="4"/>
    </w:p>
    <w:p w14:paraId="5FD7CC1B" w14:textId="77777777" w:rsidR="00747B91" w:rsidRPr="00FF1087" w:rsidRDefault="00747B91" w:rsidP="00747B91">
      <w:pPr>
        <w:suppressAutoHyphens w:val="0"/>
        <w:spacing w:line="240" w:lineRule="auto"/>
        <w:ind w:left="1701"/>
        <w:jc w:val="both"/>
        <w:rPr>
          <w:rStyle w:val="st"/>
        </w:rPr>
      </w:pPr>
      <w:r w:rsidRPr="00FF1087">
        <w:t xml:space="preserve">“Some concerns were raised by environmental stakeholders on certain environmental impacts of specific projects. However, it was explained that the inclusion of these </w:t>
      </w:r>
      <w:r w:rsidRPr="00FF1087">
        <w:lastRenderedPageBreak/>
        <w:t xml:space="preserve">projects in the Union list is subject to their continued compliance with Union law, </w:t>
      </w:r>
      <w:proofErr w:type="gramStart"/>
      <w:r w:rsidRPr="00FF1087">
        <w:t>in particular Union</w:t>
      </w:r>
      <w:proofErr w:type="gramEnd"/>
      <w:r w:rsidRPr="00FF1087">
        <w:t xml:space="preserve"> environmental legislation.”</w:t>
      </w:r>
      <w:r w:rsidRPr="00FF1087">
        <w:rPr>
          <w:rStyle w:val="FootnoteReference"/>
        </w:rPr>
        <w:footnoteReference w:id="10"/>
      </w:r>
      <w:r w:rsidRPr="00FF1087">
        <w:t xml:space="preserve"> </w:t>
      </w:r>
    </w:p>
    <w:p w14:paraId="2415F833" w14:textId="77777777" w:rsidR="00747B91" w:rsidRPr="00FF1087" w:rsidRDefault="00747B91" w:rsidP="001C3D04">
      <w:pPr>
        <w:pStyle w:val="SingleTxtG"/>
        <w:tabs>
          <w:tab w:val="left" w:pos="1843"/>
          <w:tab w:val="left" w:pos="6120"/>
        </w:tabs>
        <w:ind w:right="0"/>
        <w:rPr>
          <w:rStyle w:val="st"/>
          <w:b/>
          <w:lang w:val="en-GB"/>
        </w:rPr>
      </w:pPr>
    </w:p>
    <w:p w14:paraId="0B061132" w14:textId="30A77A92" w:rsidR="0076642F" w:rsidRPr="00FF1087" w:rsidRDefault="00A908CF" w:rsidP="001C3D04">
      <w:pPr>
        <w:pStyle w:val="SingleTxtG"/>
        <w:tabs>
          <w:tab w:val="left" w:pos="1843"/>
          <w:tab w:val="left" w:pos="6120"/>
        </w:tabs>
        <w:ind w:right="0"/>
        <w:rPr>
          <w:rStyle w:val="st"/>
          <w:b/>
          <w:lang w:val="en-GB"/>
        </w:rPr>
      </w:pPr>
      <w:r w:rsidRPr="00FF1087">
        <w:rPr>
          <w:rStyle w:val="st"/>
          <w:b/>
          <w:lang w:val="en-GB"/>
        </w:rPr>
        <w:t xml:space="preserve">Mr. </w:t>
      </w:r>
      <w:r w:rsidR="000F3D8A" w:rsidRPr="00FF1087">
        <w:rPr>
          <w:rStyle w:val="st"/>
          <w:b/>
          <w:lang w:val="en-GB"/>
        </w:rPr>
        <w:t>Waugh</w:t>
      </w:r>
      <w:r w:rsidR="00CA7FF8" w:rsidRPr="00FF1087">
        <w:rPr>
          <w:rStyle w:val="st"/>
          <w:b/>
          <w:lang w:val="en-GB"/>
        </w:rPr>
        <w:t>’</w:t>
      </w:r>
      <w:r w:rsidR="000F3D8A" w:rsidRPr="00FF1087">
        <w:rPr>
          <w:rStyle w:val="st"/>
          <w:b/>
          <w:lang w:val="en-GB"/>
        </w:rPr>
        <w:t>s f</w:t>
      </w:r>
      <w:r w:rsidR="00A108B7" w:rsidRPr="00FF1087">
        <w:rPr>
          <w:rStyle w:val="st"/>
          <w:b/>
          <w:lang w:val="en-GB"/>
        </w:rPr>
        <w:t xml:space="preserve">irst and second </w:t>
      </w:r>
      <w:r w:rsidR="008656E8" w:rsidRPr="00FF1087">
        <w:rPr>
          <w:rStyle w:val="st"/>
          <w:b/>
          <w:lang w:val="en-GB"/>
        </w:rPr>
        <w:t xml:space="preserve">information </w:t>
      </w:r>
      <w:r w:rsidR="00A108B7" w:rsidRPr="00FF1087">
        <w:rPr>
          <w:rStyle w:val="st"/>
          <w:b/>
          <w:lang w:val="en-GB"/>
        </w:rPr>
        <w:t>r</w:t>
      </w:r>
      <w:r w:rsidR="003A7663" w:rsidRPr="00FF1087">
        <w:rPr>
          <w:rStyle w:val="st"/>
          <w:b/>
          <w:lang w:val="en-GB"/>
        </w:rPr>
        <w:t xml:space="preserve">equest </w:t>
      </w:r>
    </w:p>
    <w:p w14:paraId="46BDFE62" w14:textId="3660E0FF" w:rsidR="001416F3" w:rsidRPr="00FF1087" w:rsidRDefault="00C02DF2" w:rsidP="0007320D">
      <w:pPr>
        <w:pStyle w:val="SingleTxtG"/>
        <w:numPr>
          <w:ilvl w:val="0"/>
          <w:numId w:val="3"/>
        </w:numPr>
        <w:tabs>
          <w:tab w:val="left" w:pos="1843"/>
          <w:tab w:val="num" w:pos="1887"/>
          <w:tab w:val="left" w:pos="6120"/>
        </w:tabs>
        <w:ind w:left="1134" w:right="0" w:firstLine="0"/>
        <w:rPr>
          <w:lang w:val="en-GB"/>
        </w:rPr>
      </w:pPr>
      <w:bookmarkStart w:id="6" w:name="_Ref465332203"/>
      <w:r w:rsidRPr="00FF1087">
        <w:rPr>
          <w:rStyle w:val="st"/>
          <w:lang w:val="en-GB"/>
        </w:rPr>
        <w:t xml:space="preserve">On </w:t>
      </w:r>
      <w:r w:rsidR="001D28A9" w:rsidRPr="00FF1087">
        <w:rPr>
          <w:rStyle w:val="st"/>
          <w:lang w:val="en-GB"/>
        </w:rPr>
        <w:t>30 July 2012</w:t>
      </w:r>
      <w:r w:rsidRPr="00FF1087">
        <w:rPr>
          <w:rStyle w:val="st"/>
          <w:lang w:val="en-GB"/>
        </w:rPr>
        <w:t>,</w:t>
      </w:r>
      <w:r w:rsidR="003A7663" w:rsidRPr="00FF1087">
        <w:rPr>
          <w:rStyle w:val="st"/>
          <w:lang w:val="en-GB"/>
        </w:rPr>
        <w:t xml:space="preserve"> </w:t>
      </w:r>
      <w:r w:rsidR="00A908CF" w:rsidRPr="00FF1087">
        <w:rPr>
          <w:rStyle w:val="st"/>
          <w:lang w:val="en-GB"/>
        </w:rPr>
        <w:t xml:space="preserve">Mr. </w:t>
      </w:r>
      <w:r w:rsidR="003A7663" w:rsidRPr="00FF1087">
        <w:rPr>
          <w:rStyle w:val="st"/>
          <w:lang w:val="en-GB"/>
        </w:rPr>
        <w:t xml:space="preserve">Waugh </w:t>
      </w:r>
      <w:r w:rsidR="001C6CD7" w:rsidRPr="00FF1087">
        <w:rPr>
          <w:rStyle w:val="st"/>
          <w:lang w:val="en-GB"/>
        </w:rPr>
        <w:t>asked</w:t>
      </w:r>
      <w:r w:rsidR="00774C20" w:rsidRPr="00FF1087">
        <w:rPr>
          <w:rStyle w:val="st"/>
          <w:lang w:val="en-GB"/>
        </w:rPr>
        <w:t xml:space="preserve"> the </w:t>
      </w:r>
      <w:r w:rsidR="00107BC4" w:rsidRPr="00FF1087">
        <w:rPr>
          <w:rStyle w:val="st"/>
          <w:lang w:val="en-GB"/>
        </w:rPr>
        <w:t>Commission</w:t>
      </w:r>
      <w:r w:rsidR="00D1625B" w:rsidRPr="00FF1087">
        <w:rPr>
          <w:rStyle w:val="st"/>
          <w:lang w:val="en-GB"/>
        </w:rPr>
        <w:t xml:space="preserve"> </w:t>
      </w:r>
      <w:r w:rsidR="00CA7FF8" w:rsidRPr="00FF1087">
        <w:rPr>
          <w:rStyle w:val="st"/>
          <w:lang w:val="en-GB"/>
        </w:rPr>
        <w:t>where</w:t>
      </w:r>
      <w:r w:rsidR="00774C20" w:rsidRPr="00FF1087">
        <w:rPr>
          <w:rStyle w:val="st"/>
          <w:lang w:val="en-GB"/>
        </w:rPr>
        <w:t xml:space="preserve"> detailed project information </w:t>
      </w:r>
      <w:r w:rsidR="008656E8" w:rsidRPr="00FF1087">
        <w:rPr>
          <w:rStyle w:val="st"/>
          <w:lang w:val="en-GB"/>
        </w:rPr>
        <w:t>regarding</w:t>
      </w:r>
      <w:r w:rsidR="00774C20" w:rsidRPr="00FF1087">
        <w:rPr>
          <w:rStyle w:val="st"/>
          <w:lang w:val="en-GB"/>
        </w:rPr>
        <w:t xml:space="preserve"> electricity projects in Ireland</w:t>
      </w:r>
      <w:r w:rsidR="00CA7FF8" w:rsidRPr="00FF1087">
        <w:rPr>
          <w:rStyle w:val="st"/>
          <w:lang w:val="en-GB"/>
        </w:rPr>
        <w:t xml:space="preserve"> </w:t>
      </w:r>
      <w:r w:rsidR="00AD0A98" w:rsidRPr="00FF1087">
        <w:rPr>
          <w:rStyle w:val="st"/>
          <w:lang w:val="en-GB"/>
        </w:rPr>
        <w:t>might</w:t>
      </w:r>
      <w:r w:rsidR="001D28A9" w:rsidRPr="00FF1087">
        <w:rPr>
          <w:rStyle w:val="st"/>
          <w:lang w:val="en-GB"/>
        </w:rPr>
        <w:t xml:space="preserve"> be obtained. </w:t>
      </w:r>
      <w:r w:rsidR="001416F3" w:rsidRPr="00FF1087">
        <w:rPr>
          <w:rStyle w:val="st"/>
          <w:lang w:val="en-GB"/>
        </w:rPr>
        <w:t>T</w:t>
      </w:r>
      <w:r w:rsidR="00774C20" w:rsidRPr="00FF1087">
        <w:rPr>
          <w:rStyle w:val="st"/>
          <w:lang w:val="en-GB"/>
        </w:rPr>
        <w:t xml:space="preserve">he </w:t>
      </w:r>
      <w:r w:rsidR="00107BC4" w:rsidRPr="00FF1087">
        <w:rPr>
          <w:rStyle w:val="st"/>
          <w:lang w:val="en-GB"/>
        </w:rPr>
        <w:t>Commission</w:t>
      </w:r>
      <w:r w:rsidR="00D1625B" w:rsidRPr="00FF1087">
        <w:rPr>
          <w:rStyle w:val="st"/>
          <w:lang w:val="en-GB"/>
        </w:rPr>
        <w:t xml:space="preserve"> </w:t>
      </w:r>
      <w:r w:rsidR="00774C20" w:rsidRPr="00FF1087">
        <w:rPr>
          <w:rStyle w:val="st"/>
          <w:lang w:val="en-GB"/>
        </w:rPr>
        <w:t>respon</w:t>
      </w:r>
      <w:r w:rsidR="00107BC4" w:rsidRPr="00FF1087">
        <w:rPr>
          <w:rStyle w:val="st"/>
          <w:lang w:val="en-GB"/>
        </w:rPr>
        <w:t>d</w:t>
      </w:r>
      <w:r w:rsidR="00774C20" w:rsidRPr="00FF1087">
        <w:rPr>
          <w:rStyle w:val="st"/>
          <w:lang w:val="en-GB"/>
        </w:rPr>
        <w:t>e</w:t>
      </w:r>
      <w:r w:rsidR="00D1625B" w:rsidRPr="00FF1087">
        <w:rPr>
          <w:rStyle w:val="st"/>
          <w:lang w:val="en-GB"/>
        </w:rPr>
        <w:t>d</w:t>
      </w:r>
      <w:r w:rsidR="00774C20" w:rsidRPr="00FF1087">
        <w:rPr>
          <w:rStyle w:val="st"/>
          <w:lang w:val="en-GB"/>
        </w:rPr>
        <w:t xml:space="preserve"> </w:t>
      </w:r>
      <w:r w:rsidR="00D1625B" w:rsidRPr="00FF1087">
        <w:rPr>
          <w:rStyle w:val="st"/>
          <w:lang w:val="en-GB"/>
        </w:rPr>
        <w:t xml:space="preserve">that it had </w:t>
      </w:r>
      <w:r w:rsidR="001D28A9" w:rsidRPr="00FF1087">
        <w:rPr>
          <w:rStyle w:val="st"/>
          <w:lang w:val="en-GB"/>
        </w:rPr>
        <w:t>publicly released</w:t>
      </w:r>
      <w:r w:rsidR="00774C20" w:rsidRPr="00FF1087">
        <w:rPr>
          <w:rStyle w:val="st"/>
          <w:lang w:val="en-GB"/>
        </w:rPr>
        <w:t xml:space="preserve"> all information</w:t>
      </w:r>
      <w:r w:rsidR="00AD0A98" w:rsidRPr="00FF1087">
        <w:rPr>
          <w:rStyle w:val="st"/>
          <w:lang w:val="en-GB"/>
        </w:rPr>
        <w:t xml:space="preserve"> </w:t>
      </w:r>
      <w:r w:rsidR="00774C20" w:rsidRPr="00FF1087">
        <w:rPr>
          <w:rStyle w:val="st"/>
          <w:lang w:val="en-GB"/>
        </w:rPr>
        <w:t xml:space="preserve">it </w:t>
      </w:r>
      <w:proofErr w:type="gramStart"/>
      <w:r w:rsidR="00774C20" w:rsidRPr="00FF1087">
        <w:rPr>
          <w:rStyle w:val="st"/>
          <w:lang w:val="en-GB"/>
        </w:rPr>
        <w:t>could</w:t>
      </w:r>
      <w:proofErr w:type="gramEnd"/>
      <w:r w:rsidR="00774C20" w:rsidRPr="00FF1087">
        <w:rPr>
          <w:rStyle w:val="st"/>
          <w:lang w:val="en-GB"/>
        </w:rPr>
        <w:t xml:space="preserve"> </w:t>
      </w:r>
      <w:r w:rsidR="00AD0A98" w:rsidRPr="00FF1087">
        <w:rPr>
          <w:rStyle w:val="st"/>
          <w:lang w:val="en-GB"/>
        </w:rPr>
        <w:t xml:space="preserve">and </w:t>
      </w:r>
      <w:r w:rsidR="00774C20" w:rsidRPr="00FF1087">
        <w:rPr>
          <w:rStyle w:val="st"/>
          <w:lang w:val="en-GB"/>
        </w:rPr>
        <w:t xml:space="preserve">more detailed information </w:t>
      </w:r>
      <w:r w:rsidR="00EC0454" w:rsidRPr="00FF1087">
        <w:rPr>
          <w:rStyle w:val="st"/>
          <w:lang w:val="en-GB"/>
        </w:rPr>
        <w:t>could not</w:t>
      </w:r>
      <w:r w:rsidR="00774C20" w:rsidRPr="00FF1087">
        <w:rPr>
          <w:rStyle w:val="st"/>
          <w:lang w:val="en-GB"/>
        </w:rPr>
        <w:t xml:space="preserve"> be released due to </w:t>
      </w:r>
      <w:r w:rsidR="001808E9" w:rsidRPr="00FF1087">
        <w:rPr>
          <w:rStyle w:val="st"/>
          <w:lang w:val="en-GB"/>
        </w:rPr>
        <w:t xml:space="preserve">the developers’ </w:t>
      </w:r>
      <w:r w:rsidR="00774C20" w:rsidRPr="00FF1087">
        <w:rPr>
          <w:rStyle w:val="st"/>
          <w:lang w:val="en-GB"/>
        </w:rPr>
        <w:t>commercial confidentiality</w:t>
      </w:r>
      <w:r w:rsidR="001416F3" w:rsidRPr="00FF1087">
        <w:rPr>
          <w:rStyle w:val="st"/>
          <w:lang w:val="en-GB"/>
        </w:rPr>
        <w:t xml:space="preserve"> and confidentiality of personal data</w:t>
      </w:r>
      <w:r w:rsidR="00774C20" w:rsidRPr="00FF1087">
        <w:rPr>
          <w:rStyle w:val="st"/>
          <w:lang w:val="en-GB"/>
        </w:rPr>
        <w:t>.</w:t>
      </w:r>
      <w:r w:rsidR="00D1625B" w:rsidRPr="00FF1087">
        <w:rPr>
          <w:rStyle w:val="FootnoteReference"/>
          <w:lang w:val="en-GB"/>
        </w:rPr>
        <w:footnoteReference w:id="11"/>
      </w:r>
      <w:r w:rsidR="00774C20" w:rsidRPr="00FF1087">
        <w:rPr>
          <w:rStyle w:val="st"/>
          <w:lang w:val="en-GB"/>
        </w:rPr>
        <w:t xml:space="preserve"> </w:t>
      </w:r>
      <w:r w:rsidR="00D93A06" w:rsidRPr="00FF1087">
        <w:rPr>
          <w:rStyle w:val="st"/>
          <w:lang w:val="en-GB"/>
        </w:rPr>
        <w:t>It</w:t>
      </w:r>
      <w:r w:rsidR="00D1625B" w:rsidRPr="00FF1087">
        <w:rPr>
          <w:rStyle w:val="st"/>
          <w:lang w:val="en-GB"/>
        </w:rPr>
        <w:t xml:space="preserve"> </w:t>
      </w:r>
      <w:r w:rsidR="00774C20" w:rsidRPr="00FF1087">
        <w:rPr>
          <w:rStyle w:val="st"/>
          <w:lang w:val="en-GB"/>
        </w:rPr>
        <w:t>suggest</w:t>
      </w:r>
      <w:r w:rsidR="00D1625B" w:rsidRPr="00FF1087">
        <w:rPr>
          <w:rStyle w:val="st"/>
          <w:lang w:val="en-GB"/>
        </w:rPr>
        <w:t>ed</w:t>
      </w:r>
      <w:r w:rsidR="00774C20" w:rsidRPr="00FF1087">
        <w:rPr>
          <w:rStyle w:val="st"/>
          <w:lang w:val="en-GB"/>
        </w:rPr>
        <w:t xml:space="preserve"> </w:t>
      </w:r>
      <w:r w:rsidR="00A908CF" w:rsidRPr="00FF1087">
        <w:rPr>
          <w:rStyle w:val="st"/>
          <w:lang w:val="en-GB"/>
        </w:rPr>
        <w:t xml:space="preserve">Mr. </w:t>
      </w:r>
      <w:r w:rsidR="00A37672" w:rsidRPr="00FF1087">
        <w:rPr>
          <w:rStyle w:val="st"/>
          <w:lang w:val="en-GB"/>
        </w:rPr>
        <w:t>Waugh</w:t>
      </w:r>
      <w:r w:rsidR="00D1625B" w:rsidRPr="00FF1087">
        <w:rPr>
          <w:rStyle w:val="st"/>
          <w:lang w:val="en-GB"/>
        </w:rPr>
        <w:t xml:space="preserve"> </w:t>
      </w:r>
      <w:r w:rsidR="00774C20" w:rsidRPr="00FF1087">
        <w:rPr>
          <w:rStyle w:val="st"/>
          <w:lang w:val="en-GB"/>
        </w:rPr>
        <w:t xml:space="preserve">request information from </w:t>
      </w:r>
      <w:r w:rsidR="003A7663" w:rsidRPr="00FF1087">
        <w:rPr>
          <w:rStyle w:val="st"/>
          <w:lang w:val="en-GB"/>
        </w:rPr>
        <w:t xml:space="preserve">the </w:t>
      </w:r>
      <w:r w:rsidR="00DF235E" w:rsidRPr="00FF1087">
        <w:rPr>
          <w:rStyle w:val="st"/>
          <w:lang w:val="en-GB"/>
        </w:rPr>
        <w:t>developers</w:t>
      </w:r>
      <w:r w:rsidR="00774C20" w:rsidRPr="00FF1087">
        <w:rPr>
          <w:rStyle w:val="st"/>
          <w:lang w:val="en-GB"/>
        </w:rPr>
        <w:t>.</w:t>
      </w:r>
      <w:r w:rsidR="00C15E68" w:rsidRPr="00FF1087">
        <w:rPr>
          <w:rStyle w:val="FootnoteReference"/>
          <w:lang w:val="en-GB"/>
        </w:rPr>
        <w:footnoteReference w:id="12"/>
      </w:r>
      <w:bookmarkEnd w:id="6"/>
    </w:p>
    <w:p w14:paraId="02AAA693" w14:textId="75CBC1F9" w:rsidR="0076642F" w:rsidRPr="00FF1087" w:rsidRDefault="00AD0A98" w:rsidP="00370E70">
      <w:pPr>
        <w:pStyle w:val="SingleTxtG"/>
        <w:numPr>
          <w:ilvl w:val="0"/>
          <w:numId w:val="3"/>
        </w:numPr>
        <w:tabs>
          <w:tab w:val="left" w:pos="1843"/>
          <w:tab w:val="left" w:pos="6120"/>
        </w:tabs>
        <w:ind w:left="1134" w:right="0" w:firstLine="0"/>
        <w:rPr>
          <w:rStyle w:val="st"/>
          <w:lang w:val="en-GB"/>
        </w:rPr>
      </w:pPr>
      <w:bookmarkStart w:id="7" w:name="_Ref465332855"/>
      <w:r w:rsidRPr="00FF1087">
        <w:rPr>
          <w:rStyle w:val="st"/>
          <w:lang w:val="en-GB"/>
        </w:rPr>
        <w:t xml:space="preserve">On 1 October 2013, </w:t>
      </w:r>
      <w:r w:rsidR="00A908CF" w:rsidRPr="00FF1087">
        <w:rPr>
          <w:rStyle w:val="st"/>
          <w:lang w:val="en-GB"/>
        </w:rPr>
        <w:t xml:space="preserve">Mr. </w:t>
      </w:r>
      <w:r w:rsidR="00601907" w:rsidRPr="00FF1087">
        <w:rPr>
          <w:rStyle w:val="st"/>
          <w:lang w:val="en-GB"/>
        </w:rPr>
        <w:t xml:space="preserve">Waugh </w:t>
      </w:r>
      <w:r w:rsidRPr="00FF1087">
        <w:rPr>
          <w:rStyle w:val="st"/>
          <w:lang w:val="en-GB"/>
        </w:rPr>
        <w:t xml:space="preserve">made a further request for access to </w:t>
      </w:r>
      <w:r w:rsidR="00601907" w:rsidRPr="00FF1087">
        <w:rPr>
          <w:rStyle w:val="st"/>
          <w:lang w:val="en-GB"/>
        </w:rPr>
        <w:t>environmental information</w:t>
      </w:r>
      <w:r w:rsidR="008656E8" w:rsidRPr="00FF1087">
        <w:rPr>
          <w:rStyle w:val="st"/>
          <w:lang w:val="en-GB"/>
        </w:rPr>
        <w:t xml:space="preserve"> </w:t>
      </w:r>
      <w:r w:rsidR="001416F3" w:rsidRPr="00FF1087">
        <w:rPr>
          <w:rStyle w:val="st"/>
          <w:lang w:val="en-GB"/>
        </w:rPr>
        <w:t xml:space="preserve">regarding the </w:t>
      </w:r>
      <w:r w:rsidR="00601907" w:rsidRPr="00FF1087">
        <w:rPr>
          <w:rStyle w:val="st"/>
          <w:lang w:val="en-GB"/>
        </w:rPr>
        <w:t>assessment</w:t>
      </w:r>
      <w:r w:rsidR="008656E8" w:rsidRPr="00FF1087">
        <w:rPr>
          <w:rStyle w:val="st"/>
          <w:lang w:val="en-GB"/>
        </w:rPr>
        <w:t xml:space="preserve"> </w:t>
      </w:r>
      <w:r w:rsidR="00111432" w:rsidRPr="00FF1087">
        <w:rPr>
          <w:rStyle w:val="st"/>
          <w:lang w:val="en-GB"/>
        </w:rPr>
        <w:t>of</w:t>
      </w:r>
      <w:r w:rsidR="00601907" w:rsidRPr="00FF1087">
        <w:rPr>
          <w:rStyle w:val="st"/>
          <w:lang w:val="en-GB"/>
        </w:rPr>
        <w:t xml:space="preserve"> projects affecting Irel</w:t>
      </w:r>
      <w:r w:rsidR="00B14F76" w:rsidRPr="00FF1087">
        <w:rPr>
          <w:rStyle w:val="st"/>
          <w:lang w:val="en-GB"/>
        </w:rPr>
        <w:t xml:space="preserve">and. </w:t>
      </w:r>
      <w:r w:rsidR="00D63D3A" w:rsidRPr="00FF1087">
        <w:rPr>
          <w:rStyle w:val="st"/>
          <w:lang w:val="en-GB"/>
        </w:rPr>
        <w:t>On 18 November 2013, the Commission provided partial access to 57 documents and refused access to six</w:t>
      </w:r>
      <w:r w:rsidR="00111432" w:rsidRPr="00FF1087">
        <w:rPr>
          <w:rStyle w:val="st"/>
          <w:lang w:val="en-GB"/>
        </w:rPr>
        <w:t xml:space="preserve"> documents</w:t>
      </w:r>
      <w:r w:rsidR="00D63D3A" w:rsidRPr="00FF1087">
        <w:rPr>
          <w:rStyle w:val="st"/>
          <w:lang w:val="en-GB"/>
        </w:rPr>
        <w:t>.</w:t>
      </w:r>
      <w:r w:rsidR="00D63D3A" w:rsidRPr="00FF1087">
        <w:rPr>
          <w:rStyle w:val="st"/>
          <w:vertAlign w:val="superscript"/>
          <w:lang w:val="en-GB"/>
        </w:rPr>
        <w:footnoteReference w:id="13"/>
      </w:r>
      <w:r w:rsidR="00D63D3A" w:rsidRPr="00FF1087">
        <w:rPr>
          <w:rStyle w:val="st"/>
          <w:vertAlign w:val="superscript"/>
          <w:lang w:val="en-GB"/>
        </w:rPr>
        <w:t xml:space="preserve"> </w:t>
      </w:r>
      <w:r w:rsidR="00A908CF" w:rsidRPr="00FF1087">
        <w:rPr>
          <w:rStyle w:val="st"/>
          <w:lang w:val="en-GB"/>
        </w:rPr>
        <w:t xml:space="preserve">Mr. </w:t>
      </w:r>
      <w:r w:rsidR="006005EA" w:rsidRPr="00FF1087">
        <w:rPr>
          <w:rStyle w:val="st"/>
          <w:lang w:val="en-GB"/>
        </w:rPr>
        <w:t>Waugh submitted a conf</w:t>
      </w:r>
      <w:r w:rsidR="00A90B57" w:rsidRPr="00FF1087">
        <w:rPr>
          <w:rStyle w:val="st"/>
          <w:lang w:val="en-GB"/>
        </w:rPr>
        <w:t>i</w:t>
      </w:r>
      <w:r w:rsidR="006005EA" w:rsidRPr="00FF1087">
        <w:rPr>
          <w:rStyle w:val="st"/>
          <w:lang w:val="en-GB"/>
        </w:rPr>
        <w:t>rmatory application</w:t>
      </w:r>
      <w:r w:rsidR="00D63D3A" w:rsidRPr="00FF1087">
        <w:rPr>
          <w:rStyle w:val="st"/>
          <w:lang w:val="en-GB"/>
        </w:rPr>
        <w:t xml:space="preserve"> </w:t>
      </w:r>
      <w:r w:rsidR="00D93A06" w:rsidRPr="00FF1087">
        <w:rPr>
          <w:rStyle w:val="st"/>
          <w:lang w:val="en-GB"/>
        </w:rPr>
        <w:t>for</w:t>
      </w:r>
      <w:r w:rsidR="00A37672" w:rsidRPr="00FF1087">
        <w:rPr>
          <w:rStyle w:val="st"/>
          <w:lang w:val="en-GB"/>
        </w:rPr>
        <w:t xml:space="preserve"> the</w:t>
      </w:r>
      <w:r w:rsidR="00111432" w:rsidRPr="00FF1087">
        <w:rPr>
          <w:rStyle w:val="st"/>
          <w:lang w:val="en-GB"/>
        </w:rPr>
        <w:t xml:space="preserve"> </w:t>
      </w:r>
      <w:r w:rsidR="00A37672" w:rsidRPr="00FF1087">
        <w:rPr>
          <w:rStyle w:val="st"/>
          <w:lang w:val="en-GB"/>
        </w:rPr>
        <w:t xml:space="preserve">six documents </w:t>
      </w:r>
      <w:r w:rsidR="006E4746" w:rsidRPr="00FF1087">
        <w:rPr>
          <w:rStyle w:val="st"/>
          <w:lang w:val="en-GB"/>
        </w:rPr>
        <w:t xml:space="preserve">on </w:t>
      </w:r>
      <w:r w:rsidRPr="00FF1087">
        <w:rPr>
          <w:rStyle w:val="st"/>
          <w:lang w:val="en-GB"/>
        </w:rPr>
        <w:t>3 December 2013.</w:t>
      </w:r>
      <w:r w:rsidR="00D63D3A" w:rsidRPr="00FF1087">
        <w:rPr>
          <w:rStyle w:val="st"/>
          <w:vertAlign w:val="superscript"/>
          <w:lang w:val="en-GB"/>
        </w:rPr>
        <w:footnoteReference w:id="14"/>
      </w:r>
      <w:r w:rsidR="001416F3" w:rsidRPr="00FF1087">
        <w:rPr>
          <w:rStyle w:val="st"/>
          <w:lang w:val="en-GB"/>
        </w:rPr>
        <w:t xml:space="preserve"> </w:t>
      </w:r>
      <w:r w:rsidR="00491D67" w:rsidRPr="00FF1087">
        <w:rPr>
          <w:rStyle w:val="st"/>
          <w:lang w:val="en-GB"/>
        </w:rPr>
        <w:t xml:space="preserve">In its </w:t>
      </w:r>
      <w:r w:rsidRPr="00FF1087">
        <w:rPr>
          <w:rStyle w:val="st"/>
          <w:lang w:val="en-GB"/>
        </w:rPr>
        <w:t>30 January 2014</w:t>
      </w:r>
      <w:r w:rsidR="001416F3" w:rsidRPr="00FF1087">
        <w:rPr>
          <w:rStyle w:val="st"/>
          <w:lang w:val="en-GB"/>
        </w:rPr>
        <w:t xml:space="preserve"> confirmatory</w:t>
      </w:r>
      <w:r w:rsidR="00491D67" w:rsidRPr="00FF1087">
        <w:rPr>
          <w:rStyle w:val="st"/>
          <w:lang w:val="en-GB"/>
        </w:rPr>
        <w:t xml:space="preserve"> </w:t>
      </w:r>
      <w:r w:rsidR="00F419A2" w:rsidRPr="00FF1087">
        <w:rPr>
          <w:rStyle w:val="st"/>
          <w:lang w:val="en-GB"/>
        </w:rPr>
        <w:t>decision</w:t>
      </w:r>
      <w:r w:rsidRPr="00FF1087">
        <w:rPr>
          <w:rStyle w:val="st"/>
          <w:lang w:val="en-GB"/>
        </w:rPr>
        <w:t xml:space="preserve">, </w:t>
      </w:r>
      <w:r w:rsidR="00491D67" w:rsidRPr="00FF1087">
        <w:rPr>
          <w:rStyle w:val="st"/>
          <w:lang w:val="en-GB"/>
        </w:rPr>
        <w:t xml:space="preserve">the </w:t>
      </w:r>
      <w:r w:rsidR="002B755E" w:rsidRPr="00FF1087">
        <w:rPr>
          <w:rStyle w:val="st"/>
          <w:lang w:val="en-GB"/>
        </w:rPr>
        <w:t>Commission</w:t>
      </w:r>
      <w:r w:rsidR="00AB1C34" w:rsidRPr="00FF1087">
        <w:rPr>
          <w:rStyle w:val="st"/>
          <w:lang w:val="en-GB"/>
        </w:rPr>
        <w:t xml:space="preserve"> </w:t>
      </w:r>
      <w:r w:rsidR="00491D67" w:rsidRPr="00FF1087">
        <w:rPr>
          <w:rStyle w:val="st"/>
          <w:lang w:val="en-GB"/>
        </w:rPr>
        <w:t xml:space="preserve">provided access to </w:t>
      </w:r>
      <w:r w:rsidR="001416F3" w:rsidRPr="00FF1087">
        <w:rPr>
          <w:rStyle w:val="st"/>
          <w:lang w:val="en-GB"/>
        </w:rPr>
        <w:t xml:space="preserve">one </w:t>
      </w:r>
      <w:r w:rsidR="00491D67" w:rsidRPr="00FF1087">
        <w:rPr>
          <w:rStyle w:val="st"/>
          <w:lang w:val="en-GB"/>
        </w:rPr>
        <w:t xml:space="preserve">document and parts of the remaining </w:t>
      </w:r>
      <w:r w:rsidR="00F419A2" w:rsidRPr="00FF1087">
        <w:rPr>
          <w:rStyle w:val="st"/>
          <w:lang w:val="en-GB"/>
        </w:rPr>
        <w:t>five</w:t>
      </w:r>
      <w:r w:rsidR="00491D67" w:rsidRPr="00FF1087">
        <w:rPr>
          <w:rStyle w:val="st"/>
          <w:lang w:val="en-GB"/>
        </w:rPr>
        <w:t>, stating that the non-disclosed parts were covered by</w:t>
      </w:r>
      <w:r w:rsidRPr="00FF1087">
        <w:rPr>
          <w:rStyle w:val="st"/>
          <w:lang w:val="en-GB"/>
        </w:rPr>
        <w:t xml:space="preserve"> </w:t>
      </w:r>
      <w:r w:rsidR="00491D67" w:rsidRPr="00FF1087">
        <w:rPr>
          <w:rStyle w:val="st"/>
          <w:lang w:val="en-GB"/>
        </w:rPr>
        <w:t xml:space="preserve">exceptions </w:t>
      </w:r>
      <w:r w:rsidR="001416F3" w:rsidRPr="00FF1087">
        <w:rPr>
          <w:rStyle w:val="st"/>
          <w:lang w:val="en-GB"/>
        </w:rPr>
        <w:t xml:space="preserve">on </w:t>
      </w:r>
      <w:r w:rsidR="00491D67" w:rsidRPr="00FF1087">
        <w:rPr>
          <w:rStyle w:val="st"/>
          <w:lang w:val="en-GB"/>
        </w:rPr>
        <w:t>protection of commercial interests, protection of the decision-making process</w:t>
      </w:r>
      <w:r w:rsidR="001416F3" w:rsidRPr="00FF1087">
        <w:rPr>
          <w:rStyle w:val="st"/>
          <w:lang w:val="en-GB"/>
        </w:rPr>
        <w:t xml:space="preserve"> and personal data</w:t>
      </w:r>
      <w:r w:rsidR="0019052F" w:rsidRPr="00FF1087">
        <w:rPr>
          <w:rStyle w:val="st"/>
          <w:lang w:val="en-GB"/>
        </w:rPr>
        <w:t>.</w:t>
      </w:r>
      <w:r w:rsidR="00A92469" w:rsidRPr="00FF1087">
        <w:rPr>
          <w:rStyle w:val="st"/>
          <w:vertAlign w:val="superscript"/>
          <w:lang w:val="en-GB"/>
        </w:rPr>
        <w:footnoteReference w:id="15"/>
      </w:r>
      <w:bookmarkEnd w:id="7"/>
    </w:p>
    <w:p w14:paraId="67C51397" w14:textId="30DCC0EE" w:rsidR="0076642F" w:rsidRPr="00FF1087" w:rsidRDefault="00A908CF" w:rsidP="001C3D04">
      <w:pPr>
        <w:pStyle w:val="SingleTxtG"/>
        <w:tabs>
          <w:tab w:val="left" w:pos="1843"/>
          <w:tab w:val="left" w:pos="6120"/>
        </w:tabs>
        <w:ind w:right="0"/>
        <w:rPr>
          <w:rStyle w:val="st"/>
          <w:b/>
          <w:lang w:val="en-GB"/>
        </w:rPr>
      </w:pPr>
      <w:r w:rsidRPr="00FF1087">
        <w:rPr>
          <w:rStyle w:val="st"/>
          <w:b/>
          <w:lang w:val="en-GB"/>
        </w:rPr>
        <w:t xml:space="preserve">Mr. </w:t>
      </w:r>
      <w:r w:rsidR="00781A24" w:rsidRPr="00FF1087">
        <w:rPr>
          <w:rStyle w:val="st"/>
          <w:b/>
          <w:lang w:val="en-GB"/>
        </w:rPr>
        <w:t>Caulfield</w:t>
      </w:r>
      <w:r w:rsidR="006544C8" w:rsidRPr="00FF1087">
        <w:rPr>
          <w:rStyle w:val="st"/>
          <w:b/>
          <w:lang w:val="en-GB"/>
        </w:rPr>
        <w:t>’</w:t>
      </w:r>
      <w:r w:rsidR="00781A24" w:rsidRPr="00FF1087">
        <w:rPr>
          <w:rStyle w:val="st"/>
          <w:b/>
          <w:lang w:val="en-GB"/>
        </w:rPr>
        <w:t>s f</w:t>
      </w:r>
      <w:r w:rsidR="00A108B7" w:rsidRPr="00FF1087">
        <w:rPr>
          <w:rStyle w:val="st"/>
          <w:b/>
          <w:lang w:val="en-GB"/>
        </w:rPr>
        <w:t>irst</w:t>
      </w:r>
      <w:r w:rsidR="0070528A" w:rsidRPr="00FF1087">
        <w:rPr>
          <w:rStyle w:val="st"/>
          <w:b/>
          <w:lang w:val="en-GB"/>
        </w:rPr>
        <w:t xml:space="preserve"> and second</w:t>
      </w:r>
      <w:r w:rsidR="00A108B7" w:rsidRPr="00FF1087">
        <w:rPr>
          <w:rStyle w:val="st"/>
          <w:b/>
          <w:lang w:val="en-GB"/>
        </w:rPr>
        <w:t xml:space="preserve"> </w:t>
      </w:r>
      <w:r w:rsidR="004303E5" w:rsidRPr="00FF1087">
        <w:rPr>
          <w:rStyle w:val="st"/>
          <w:b/>
          <w:lang w:val="en-GB"/>
        </w:rPr>
        <w:t xml:space="preserve">information </w:t>
      </w:r>
      <w:r w:rsidR="00A108B7" w:rsidRPr="00FF1087">
        <w:rPr>
          <w:rStyle w:val="st"/>
          <w:b/>
          <w:lang w:val="en-GB"/>
        </w:rPr>
        <w:t>r</w:t>
      </w:r>
      <w:r w:rsidR="004D2028" w:rsidRPr="00FF1087">
        <w:rPr>
          <w:rStyle w:val="st"/>
          <w:b/>
          <w:lang w:val="en-GB"/>
        </w:rPr>
        <w:t>equest</w:t>
      </w:r>
      <w:r w:rsidR="00781A24" w:rsidRPr="00FF1087">
        <w:rPr>
          <w:rStyle w:val="st"/>
          <w:b/>
          <w:lang w:val="en-GB"/>
        </w:rPr>
        <w:t>s</w:t>
      </w:r>
      <w:r w:rsidR="004D2028" w:rsidRPr="00FF1087">
        <w:rPr>
          <w:rStyle w:val="st"/>
          <w:b/>
          <w:lang w:val="en-GB"/>
        </w:rPr>
        <w:t xml:space="preserve"> </w:t>
      </w:r>
      <w:r w:rsidR="0070528A" w:rsidRPr="00FF1087">
        <w:rPr>
          <w:rStyle w:val="st"/>
          <w:b/>
          <w:lang w:val="en-GB"/>
        </w:rPr>
        <w:t xml:space="preserve">and first </w:t>
      </w:r>
      <w:r w:rsidR="00BB4FB8" w:rsidRPr="00FF1087">
        <w:rPr>
          <w:rStyle w:val="st"/>
          <w:b/>
          <w:lang w:val="en-GB"/>
        </w:rPr>
        <w:t xml:space="preserve">Ombudsman </w:t>
      </w:r>
      <w:r w:rsidR="0070528A" w:rsidRPr="00FF1087">
        <w:rPr>
          <w:rStyle w:val="st"/>
          <w:b/>
          <w:lang w:val="en-GB"/>
        </w:rPr>
        <w:t xml:space="preserve">complaint </w:t>
      </w:r>
    </w:p>
    <w:p w14:paraId="5676A514" w14:textId="1FE22941" w:rsidR="00935A97" w:rsidRPr="00FF1087" w:rsidRDefault="006E4746" w:rsidP="001C3D04">
      <w:pPr>
        <w:pStyle w:val="SingleTxtG"/>
        <w:numPr>
          <w:ilvl w:val="0"/>
          <w:numId w:val="3"/>
        </w:numPr>
        <w:tabs>
          <w:tab w:val="left" w:pos="1843"/>
          <w:tab w:val="left" w:pos="6120"/>
        </w:tabs>
        <w:ind w:left="1134" w:right="0" w:firstLine="0"/>
        <w:rPr>
          <w:rStyle w:val="st"/>
          <w:lang w:val="en-GB"/>
        </w:rPr>
      </w:pPr>
      <w:bookmarkStart w:id="8" w:name="_Ref465268292"/>
      <w:bookmarkStart w:id="9" w:name="_Ref500590449"/>
      <w:r w:rsidRPr="00FF1087">
        <w:rPr>
          <w:rStyle w:val="st"/>
          <w:lang w:val="en-GB"/>
        </w:rPr>
        <w:t xml:space="preserve">On </w:t>
      </w:r>
      <w:r w:rsidR="009F67B7" w:rsidRPr="00FF1087">
        <w:rPr>
          <w:rStyle w:val="st"/>
          <w:lang w:val="en-GB"/>
        </w:rPr>
        <w:t>20 August 2012</w:t>
      </w:r>
      <w:r w:rsidRPr="00FF1087">
        <w:rPr>
          <w:rStyle w:val="st"/>
          <w:lang w:val="en-GB"/>
        </w:rPr>
        <w:t>,</w:t>
      </w:r>
      <w:r w:rsidR="00A02CE2" w:rsidRPr="00FF1087">
        <w:rPr>
          <w:rStyle w:val="st"/>
          <w:lang w:val="en-GB"/>
        </w:rPr>
        <w:t xml:space="preserve"> </w:t>
      </w:r>
      <w:r w:rsidR="00A908CF" w:rsidRPr="00FF1087">
        <w:rPr>
          <w:rStyle w:val="st"/>
          <w:lang w:val="en-GB"/>
        </w:rPr>
        <w:t xml:space="preserve">Mr. </w:t>
      </w:r>
      <w:r w:rsidR="00A02CE2" w:rsidRPr="00FF1087">
        <w:rPr>
          <w:rStyle w:val="st"/>
          <w:lang w:val="en-GB"/>
        </w:rPr>
        <w:t xml:space="preserve">Caulfield </w:t>
      </w:r>
      <w:r w:rsidR="007A247F" w:rsidRPr="00FF1087">
        <w:rPr>
          <w:rStyle w:val="st"/>
          <w:lang w:val="en-GB"/>
        </w:rPr>
        <w:t>requested</w:t>
      </w:r>
      <w:r w:rsidR="006005EA" w:rsidRPr="00FF1087">
        <w:rPr>
          <w:rStyle w:val="st"/>
          <w:lang w:val="en-GB"/>
        </w:rPr>
        <w:t xml:space="preserve"> information </w:t>
      </w:r>
      <w:r w:rsidR="00D93A06" w:rsidRPr="00FF1087">
        <w:rPr>
          <w:rStyle w:val="st"/>
          <w:lang w:val="en-GB"/>
        </w:rPr>
        <w:t xml:space="preserve">on </w:t>
      </w:r>
      <w:r w:rsidR="00A02CE2" w:rsidRPr="00FF1087">
        <w:rPr>
          <w:rStyle w:val="st"/>
          <w:lang w:val="en-GB"/>
        </w:rPr>
        <w:t xml:space="preserve">the processes which </w:t>
      </w:r>
      <w:r w:rsidR="007B733C" w:rsidRPr="00FF1087">
        <w:rPr>
          <w:rStyle w:val="st"/>
          <w:lang w:val="en-GB"/>
        </w:rPr>
        <w:t>would</w:t>
      </w:r>
      <w:r w:rsidR="00A02CE2" w:rsidRPr="00FF1087">
        <w:rPr>
          <w:rStyle w:val="st"/>
          <w:lang w:val="en-GB"/>
        </w:rPr>
        <w:t xml:space="preserve"> be </w:t>
      </w:r>
      <w:r w:rsidR="00650C5D" w:rsidRPr="00FF1087">
        <w:rPr>
          <w:rStyle w:val="st"/>
          <w:lang w:val="en-GB"/>
        </w:rPr>
        <w:t>used</w:t>
      </w:r>
      <w:r w:rsidR="00A02CE2" w:rsidRPr="00FF1087">
        <w:rPr>
          <w:rStyle w:val="st"/>
          <w:lang w:val="en-GB"/>
        </w:rPr>
        <w:t xml:space="preserve"> to evaluate projects, details </w:t>
      </w:r>
      <w:r w:rsidR="007B733C" w:rsidRPr="00FF1087">
        <w:rPr>
          <w:rStyle w:val="st"/>
          <w:lang w:val="en-GB"/>
        </w:rPr>
        <w:t xml:space="preserve">of </w:t>
      </w:r>
      <w:r w:rsidR="00A02CE2" w:rsidRPr="00FF1087">
        <w:rPr>
          <w:rStyle w:val="st"/>
          <w:lang w:val="en-GB"/>
        </w:rPr>
        <w:t xml:space="preserve">how public consultations </w:t>
      </w:r>
      <w:r w:rsidR="007B733C" w:rsidRPr="00FF1087">
        <w:rPr>
          <w:rStyle w:val="st"/>
          <w:lang w:val="en-GB"/>
        </w:rPr>
        <w:t xml:space="preserve">would </w:t>
      </w:r>
      <w:r w:rsidR="00A02CE2" w:rsidRPr="00FF1087">
        <w:rPr>
          <w:rStyle w:val="st"/>
          <w:lang w:val="en-GB"/>
        </w:rPr>
        <w:t>be incorporated in</w:t>
      </w:r>
      <w:r w:rsidR="007B733C" w:rsidRPr="00FF1087">
        <w:rPr>
          <w:rStyle w:val="st"/>
          <w:lang w:val="en-GB"/>
        </w:rPr>
        <w:t>to the decision-</w:t>
      </w:r>
      <w:r w:rsidR="00A02CE2" w:rsidRPr="00FF1087">
        <w:rPr>
          <w:rStyle w:val="st"/>
          <w:lang w:val="en-GB"/>
        </w:rPr>
        <w:t xml:space="preserve">making, </w:t>
      </w:r>
      <w:r w:rsidR="00D93A06" w:rsidRPr="00FF1087">
        <w:rPr>
          <w:rStyle w:val="st"/>
          <w:lang w:val="en-GB"/>
        </w:rPr>
        <w:t xml:space="preserve">and </w:t>
      </w:r>
      <w:r w:rsidR="00A02CE2" w:rsidRPr="00FF1087">
        <w:rPr>
          <w:rStyle w:val="st"/>
          <w:lang w:val="en-GB"/>
        </w:rPr>
        <w:t xml:space="preserve">of the membership of the team </w:t>
      </w:r>
      <w:r w:rsidR="00D93A06" w:rsidRPr="00FF1087">
        <w:rPr>
          <w:rStyle w:val="st"/>
          <w:lang w:val="en-GB"/>
        </w:rPr>
        <w:t>evaluating</w:t>
      </w:r>
      <w:r w:rsidR="007B733C" w:rsidRPr="00FF1087">
        <w:rPr>
          <w:rStyle w:val="st"/>
          <w:lang w:val="en-GB"/>
        </w:rPr>
        <w:t xml:space="preserve"> </w:t>
      </w:r>
      <w:r w:rsidR="00A02CE2" w:rsidRPr="00FF1087">
        <w:rPr>
          <w:rStyle w:val="st"/>
          <w:lang w:val="en-GB"/>
        </w:rPr>
        <w:t>the proj</w:t>
      </w:r>
      <w:r w:rsidR="00965CE4" w:rsidRPr="00FF1087">
        <w:rPr>
          <w:rStyle w:val="st"/>
          <w:lang w:val="en-GB"/>
        </w:rPr>
        <w:t>ects</w:t>
      </w:r>
      <w:r w:rsidR="00D93A06" w:rsidRPr="00FF1087">
        <w:rPr>
          <w:rStyle w:val="st"/>
          <w:lang w:val="en-GB"/>
        </w:rPr>
        <w:t>,</w:t>
      </w:r>
      <w:r w:rsidR="007A247F" w:rsidRPr="00FF1087">
        <w:rPr>
          <w:rStyle w:val="st"/>
          <w:lang w:val="en-GB"/>
        </w:rPr>
        <w:t xml:space="preserve"> </w:t>
      </w:r>
      <w:r w:rsidR="00965CE4" w:rsidRPr="00FF1087">
        <w:rPr>
          <w:rStyle w:val="st"/>
          <w:lang w:val="en-GB"/>
        </w:rPr>
        <w:t>including qualifications</w:t>
      </w:r>
      <w:r w:rsidR="00D93A06" w:rsidRPr="00FF1087">
        <w:rPr>
          <w:rStyle w:val="st"/>
          <w:lang w:val="en-GB"/>
        </w:rPr>
        <w:t>,</w:t>
      </w:r>
      <w:r w:rsidR="00965CE4" w:rsidRPr="00FF1087">
        <w:rPr>
          <w:rStyle w:val="st"/>
          <w:lang w:val="en-GB"/>
        </w:rPr>
        <w:t xml:space="preserve"> and</w:t>
      </w:r>
      <w:r w:rsidR="00A02CE2" w:rsidRPr="00FF1087">
        <w:rPr>
          <w:rStyle w:val="st"/>
          <w:lang w:val="en-GB"/>
        </w:rPr>
        <w:t xml:space="preserve"> environmental information on certain projects.</w:t>
      </w:r>
      <w:r w:rsidR="006005EA" w:rsidRPr="00FF1087">
        <w:rPr>
          <w:rStyle w:val="FootnoteReference"/>
          <w:lang w:val="en-GB"/>
        </w:rPr>
        <w:footnoteReference w:id="16"/>
      </w:r>
    </w:p>
    <w:p w14:paraId="0E8D7EEC" w14:textId="3F11912C" w:rsidR="00D64BE3" w:rsidRPr="00FF1087" w:rsidRDefault="006E4746"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On </w:t>
      </w:r>
      <w:r w:rsidR="00050A3F" w:rsidRPr="00FF1087">
        <w:rPr>
          <w:rStyle w:val="st"/>
          <w:lang w:val="en-GB"/>
        </w:rPr>
        <w:t>1</w:t>
      </w:r>
      <w:r w:rsidR="009F67B7" w:rsidRPr="00FF1087">
        <w:rPr>
          <w:rStyle w:val="st"/>
          <w:lang w:val="en-GB"/>
        </w:rPr>
        <w:t>9 October 2012</w:t>
      </w:r>
      <w:r w:rsidRPr="00FF1087">
        <w:rPr>
          <w:rStyle w:val="st"/>
          <w:lang w:val="en-GB"/>
        </w:rPr>
        <w:t>,</w:t>
      </w:r>
      <w:r w:rsidR="0074628E" w:rsidRPr="00FF1087">
        <w:rPr>
          <w:rStyle w:val="st"/>
          <w:lang w:val="en-GB"/>
        </w:rPr>
        <w:t xml:space="preserve"> </w:t>
      </w:r>
      <w:r w:rsidRPr="00FF1087">
        <w:rPr>
          <w:rStyle w:val="st"/>
          <w:lang w:val="en-GB"/>
        </w:rPr>
        <w:t xml:space="preserve">the </w:t>
      </w:r>
      <w:r w:rsidR="00D93A06" w:rsidRPr="00FF1087">
        <w:rPr>
          <w:rStyle w:val="st"/>
          <w:lang w:val="en-GB"/>
        </w:rPr>
        <w:t>Commission</w:t>
      </w:r>
      <w:r w:rsidRPr="00FF1087">
        <w:rPr>
          <w:rStyle w:val="st"/>
          <w:lang w:val="en-GB"/>
        </w:rPr>
        <w:t xml:space="preserve"> </w:t>
      </w:r>
      <w:r w:rsidR="0074628E" w:rsidRPr="00FF1087">
        <w:rPr>
          <w:rStyle w:val="st"/>
          <w:lang w:val="en-GB"/>
        </w:rPr>
        <w:t>provided some information</w:t>
      </w:r>
      <w:r w:rsidRPr="00FF1087">
        <w:rPr>
          <w:rStyle w:val="st"/>
          <w:lang w:val="en-GB"/>
        </w:rPr>
        <w:t xml:space="preserve"> but</w:t>
      </w:r>
      <w:r w:rsidR="0074628E" w:rsidRPr="00FF1087">
        <w:rPr>
          <w:rStyle w:val="st"/>
          <w:lang w:val="en-GB"/>
        </w:rPr>
        <w:t xml:space="preserve"> refused to provide </w:t>
      </w:r>
      <w:r w:rsidR="007B733C" w:rsidRPr="00FF1087">
        <w:rPr>
          <w:rStyle w:val="st"/>
          <w:lang w:val="en-GB"/>
        </w:rPr>
        <w:t xml:space="preserve">the </w:t>
      </w:r>
      <w:r w:rsidR="0074628E" w:rsidRPr="00FF1087">
        <w:rPr>
          <w:rStyle w:val="st"/>
          <w:lang w:val="en-GB"/>
        </w:rPr>
        <w:t>details o</w:t>
      </w:r>
      <w:r w:rsidR="007B733C" w:rsidRPr="00FF1087">
        <w:rPr>
          <w:rStyle w:val="st"/>
          <w:lang w:val="en-GB"/>
        </w:rPr>
        <w:t>f</w:t>
      </w:r>
      <w:r w:rsidR="0074628E" w:rsidRPr="00FF1087">
        <w:rPr>
          <w:rStyle w:val="st"/>
          <w:lang w:val="en-GB"/>
        </w:rPr>
        <w:t xml:space="preserve"> any individual</w:t>
      </w:r>
      <w:r w:rsidR="007A247F" w:rsidRPr="00FF1087">
        <w:rPr>
          <w:rStyle w:val="st"/>
          <w:lang w:val="en-GB"/>
        </w:rPr>
        <w:t>s</w:t>
      </w:r>
      <w:r w:rsidR="00965CE4" w:rsidRPr="00FF1087">
        <w:rPr>
          <w:rStyle w:val="st"/>
          <w:lang w:val="en-GB"/>
        </w:rPr>
        <w:t xml:space="preserve"> who </w:t>
      </w:r>
      <w:r w:rsidR="007B733C" w:rsidRPr="00FF1087">
        <w:rPr>
          <w:rStyle w:val="st"/>
          <w:lang w:val="en-GB"/>
        </w:rPr>
        <w:t xml:space="preserve">would </w:t>
      </w:r>
      <w:r w:rsidR="00965CE4" w:rsidRPr="00FF1087">
        <w:rPr>
          <w:rStyle w:val="st"/>
          <w:lang w:val="en-GB"/>
        </w:rPr>
        <w:t xml:space="preserve">evaluate the projects </w:t>
      </w:r>
      <w:r w:rsidRPr="00FF1087">
        <w:rPr>
          <w:rStyle w:val="st"/>
          <w:lang w:val="en-GB"/>
        </w:rPr>
        <w:t>on</w:t>
      </w:r>
      <w:r w:rsidR="007B733C" w:rsidRPr="00FF1087">
        <w:rPr>
          <w:rStyle w:val="st"/>
          <w:lang w:val="en-GB"/>
        </w:rPr>
        <w:t xml:space="preserve"> the basis that</w:t>
      </w:r>
      <w:r w:rsidR="00D93A06" w:rsidRPr="00FF1087">
        <w:rPr>
          <w:rStyle w:val="st"/>
          <w:lang w:val="en-GB"/>
        </w:rPr>
        <w:t xml:space="preserve"> this was</w:t>
      </w:r>
      <w:r w:rsidRPr="00FF1087">
        <w:rPr>
          <w:rStyle w:val="st"/>
          <w:lang w:val="en-GB"/>
        </w:rPr>
        <w:t xml:space="preserve"> </w:t>
      </w:r>
      <w:r w:rsidR="00965CE4" w:rsidRPr="00FF1087">
        <w:rPr>
          <w:rStyle w:val="st"/>
          <w:lang w:val="en-GB"/>
        </w:rPr>
        <w:t xml:space="preserve">personal data </w:t>
      </w:r>
      <w:r w:rsidR="000127CD" w:rsidRPr="00FF1087">
        <w:rPr>
          <w:rStyle w:val="st"/>
          <w:lang w:val="en-GB"/>
        </w:rPr>
        <w:t>under</w:t>
      </w:r>
      <w:r w:rsidR="0074628E" w:rsidRPr="00FF1087">
        <w:rPr>
          <w:rStyle w:val="st"/>
          <w:lang w:val="en-GB"/>
        </w:rPr>
        <w:t xml:space="preserve"> Regulation 45/2001.</w:t>
      </w:r>
      <w:r w:rsidRPr="00FF1087">
        <w:rPr>
          <w:rStyle w:val="FootnoteReference"/>
          <w:lang w:val="en-GB"/>
        </w:rPr>
        <w:footnoteReference w:id="17"/>
      </w:r>
      <w:r w:rsidR="0074628E" w:rsidRPr="00FF1087">
        <w:rPr>
          <w:rStyle w:val="st"/>
          <w:lang w:val="en-GB"/>
        </w:rPr>
        <w:t xml:space="preserve"> </w:t>
      </w:r>
      <w:r w:rsidR="00D93A06" w:rsidRPr="00FF1087">
        <w:rPr>
          <w:rStyle w:val="st"/>
          <w:lang w:val="en-GB"/>
        </w:rPr>
        <w:t>It</w:t>
      </w:r>
      <w:r w:rsidR="009166E5" w:rsidRPr="00FF1087">
        <w:rPr>
          <w:rStyle w:val="st"/>
          <w:lang w:val="en-GB"/>
        </w:rPr>
        <w:t xml:space="preserve"> </w:t>
      </w:r>
      <w:r w:rsidR="00F1132C" w:rsidRPr="00FF1087">
        <w:rPr>
          <w:rStyle w:val="st"/>
          <w:lang w:val="en-GB"/>
        </w:rPr>
        <w:t>stated</w:t>
      </w:r>
      <w:r w:rsidR="009166E5" w:rsidRPr="00FF1087">
        <w:rPr>
          <w:rStyle w:val="st"/>
          <w:lang w:val="en-GB"/>
        </w:rPr>
        <w:t xml:space="preserve"> it did not </w:t>
      </w:r>
      <w:r w:rsidR="00BB4FB8" w:rsidRPr="00FF1087">
        <w:rPr>
          <w:rStyle w:val="st"/>
          <w:lang w:val="en-GB"/>
        </w:rPr>
        <w:t xml:space="preserve">currently hold any </w:t>
      </w:r>
      <w:r w:rsidR="00E70E17" w:rsidRPr="00FF1087">
        <w:rPr>
          <w:rStyle w:val="st"/>
          <w:lang w:val="en-GB"/>
        </w:rPr>
        <w:t xml:space="preserve">more detailed </w:t>
      </w:r>
      <w:r w:rsidR="00D93A06" w:rsidRPr="00FF1087">
        <w:rPr>
          <w:rStyle w:val="st"/>
          <w:lang w:val="en-GB"/>
        </w:rPr>
        <w:t xml:space="preserve">environmental </w:t>
      </w:r>
      <w:r w:rsidR="00E70E17" w:rsidRPr="00FF1087">
        <w:rPr>
          <w:rStyle w:val="st"/>
          <w:lang w:val="en-GB"/>
        </w:rPr>
        <w:t>information.</w:t>
      </w:r>
      <w:r w:rsidR="00E2631A" w:rsidRPr="00FF1087">
        <w:rPr>
          <w:rStyle w:val="st"/>
          <w:lang w:val="en-GB"/>
        </w:rPr>
        <w:t xml:space="preserve"> </w:t>
      </w:r>
      <w:r w:rsidR="00D93A06" w:rsidRPr="00FF1087">
        <w:rPr>
          <w:rStyle w:val="st"/>
          <w:lang w:val="en-GB"/>
        </w:rPr>
        <w:t>It</w:t>
      </w:r>
      <w:r w:rsidR="007B733C" w:rsidRPr="00FF1087">
        <w:rPr>
          <w:rStyle w:val="st"/>
          <w:lang w:val="en-GB"/>
        </w:rPr>
        <w:t xml:space="preserve"> noted</w:t>
      </w:r>
      <w:r w:rsidR="00E70E17" w:rsidRPr="00FF1087">
        <w:rPr>
          <w:rStyle w:val="st"/>
          <w:lang w:val="en-GB"/>
        </w:rPr>
        <w:t xml:space="preserve"> the consultation included information on the form and the loca</w:t>
      </w:r>
      <w:r w:rsidR="000127CD" w:rsidRPr="00FF1087">
        <w:rPr>
          <w:rStyle w:val="st"/>
          <w:lang w:val="en-GB"/>
        </w:rPr>
        <w:t>tion of all projects</w:t>
      </w:r>
      <w:r w:rsidR="00F1132C" w:rsidRPr="00FF1087">
        <w:rPr>
          <w:rStyle w:val="st"/>
          <w:lang w:val="en-GB"/>
        </w:rPr>
        <w:t xml:space="preserve"> </w:t>
      </w:r>
      <w:r w:rsidR="00210BCC" w:rsidRPr="00FF1087">
        <w:rPr>
          <w:rStyle w:val="st"/>
          <w:lang w:val="en-GB"/>
        </w:rPr>
        <w:t xml:space="preserve">and the consultation </w:t>
      </w:r>
      <w:r w:rsidR="007B733C" w:rsidRPr="00FF1087">
        <w:rPr>
          <w:rStyle w:val="st"/>
          <w:lang w:val="en-GB"/>
        </w:rPr>
        <w:t>did</w:t>
      </w:r>
      <w:r w:rsidR="00E70E17" w:rsidRPr="00FF1087">
        <w:rPr>
          <w:rStyle w:val="st"/>
          <w:lang w:val="en-GB"/>
        </w:rPr>
        <w:t xml:space="preserve"> not prejudice any future consultations by </w:t>
      </w:r>
      <w:r w:rsidR="00DF235E" w:rsidRPr="00FF1087">
        <w:rPr>
          <w:rStyle w:val="st"/>
          <w:lang w:val="en-GB"/>
        </w:rPr>
        <w:t>developers</w:t>
      </w:r>
      <w:r w:rsidR="006005EA" w:rsidRPr="00FF1087">
        <w:rPr>
          <w:rStyle w:val="st"/>
          <w:lang w:val="en-GB"/>
        </w:rPr>
        <w:t xml:space="preserve"> at </w:t>
      </w:r>
      <w:r w:rsidR="00D93A06" w:rsidRPr="00FF1087">
        <w:rPr>
          <w:rStyle w:val="st"/>
          <w:lang w:val="en-GB"/>
        </w:rPr>
        <w:t xml:space="preserve">the </w:t>
      </w:r>
      <w:r w:rsidR="006005EA" w:rsidRPr="00FF1087">
        <w:rPr>
          <w:rStyle w:val="st"/>
          <w:lang w:val="en-GB"/>
        </w:rPr>
        <w:t>project level</w:t>
      </w:r>
      <w:r w:rsidR="007B733C" w:rsidRPr="00FF1087">
        <w:rPr>
          <w:rStyle w:val="st"/>
          <w:lang w:val="en-GB"/>
        </w:rPr>
        <w:t>.</w:t>
      </w:r>
      <w:r w:rsidR="00E70E17" w:rsidRPr="00FF1087">
        <w:rPr>
          <w:rStyle w:val="FootnoteReference"/>
          <w:lang w:val="en-GB"/>
        </w:rPr>
        <w:footnoteReference w:id="18"/>
      </w:r>
      <w:bookmarkEnd w:id="8"/>
      <w:bookmarkEnd w:id="9"/>
    </w:p>
    <w:p w14:paraId="654ADFE6" w14:textId="75ABE318" w:rsidR="00A02CE2" w:rsidRPr="00FF1087" w:rsidRDefault="009166E5" w:rsidP="001C3D04">
      <w:pPr>
        <w:pStyle w:val="SingleTxtG"/>
        <w:numPr>
          <w:ilvl w:val="0"/>
          <w:numId w:val="3"/>
        </w:numPr>
        <w:tabs>
          <w:tab w:val="left" w:pos="1843"/>
          <w:tab w:val="left" w:pos="6120"/>
        </w:tabs>
        <w:ind w:left="1134" w:right="0" w:firstLine="0"/>
        <w:rPr>
          <w:rStyle w:val="st"/>
          <w:lang w:val="en-GB"/>
        </w:rPr>
      </w:pPr>
      <w:bookmarkStart w:id="10" w:name="_Ref465173683"/>
      <w:r w:rsidRPr="00FF1087">
        <w:rPr>
          <w:rStyle w:val="st"/>
          <w:lang w:val="en-GB"/>
        </w:rPr>
        <w:t xml:space="preserve">On </w:t>
      </w:r>
      <w:r w:rsidR="009F67B7" w:rsidRPr="00FF1087">
        <w:rPr>
          <w:rStyle w:val="st"/>
          <w:lang w:val="en-GB"/>
        </w:rPr>
        <w:t>24 October 2012</w:t>
      </w:r>
      <w:r w:rsidRPr="00FF1087">
        <w:rPr>
          <w:rStyle w:val="st"/>
          <w:lang w:val="en-GB"/>
        </w:rPr>
        <w:t>,</w:t>
      </w:r>
      <w:r w:rsidR="00631046" w:rsidRPr="00FF1087">
        <w:rPr>
          <w:rStyle w:val="st"/>
          <w:lang w:val="en-GB"/>
        </w:rPr>
        <w:t xml:space="preserve"> </w:t>
      </w:r>
      <w:r w:rsidR="00A908CF" w:rsidRPr="00FF1087">
        <w:rPr>
          <w:rStyle w:val="st"/>
          <w:lang w:val="en-GB"/>
        </w:rPr>
        <w:t xml:space="preserve">Mr. </w:t>
      </w:r>
      <w:r w:rsidR="00631046" w:rsidRPr="00FF1087">
        <w:rPr>
          <w:rStyle w:val="st"/>
          <w:lang w:val="en-GB"/>
        </w:rPr>
        <w:t>Caulfield</w:t>
      </w:r>
      <w:r w:rsidR="006005EA" w:rsidRPr="00FF1087">
        <w:rPr>
          <w:rStyle w:val="st"/>
          <w:lang w:val="en-GB"/>
        </w:rPr>
        <w:t xml:space="preserve"> </w:t>
      </w:r>
      <w:r w:rsidR="007B733C" w:rsidRPr="00FF1087">
        <w:rPr>
          <w:rStyle w:val="st"/>
          <w:lang w:val="en-GB"/>
        </w:rPr>
        <w:t>filed a confirmatory a</w:t>
      </w:r>
      <w:r w:rsidRPr="00FF1087">
        <w:rPr>
          <w:rStyle w:val="st"/>
          <w:lang w:val="en-GB"/>
        </w:rPr>
        <w:t>pplication</w:t>
      </w:r>
      <w:r w:rsidR="006005EA" w:rsidRPr="00FF1087">
        <w:rPr>
          <w:rStyle w:val="st"/>
          <w:lang w:val="en-GB"/>
        </w:rPr>
        <w:t xml:space="preserve"> </w:t>
      </w:r>
      <w:r w:rsidRPr="00FF1087">
        <w:rPr>
          <w:rStyle w:val="st"/>
          <w:lang w:val="en-GB"/>
        </w:rPr>
        <w:t xml:space="preserve">requesting </w:t>
      </w:r>
      <w:r w:rsidR="00631046" w:rsidRPr="00FF1087">
        <w:rPr>
          <w:rStyle w:val="st"/>
          <w:lang w:val="en-GB"/>
        </w:rPr>
        <w:t xml:space="preserve">access to all environmental information </w:t>
      </w:r>
      <w:r w:rsidRPr="00FF1087">
        <w:rPr>
          <w:rStyle w:val="st"/>
          <w:lang w:val="en-GB"/>
        </w:rPr>
        <w:t xml:space="preserve">the </w:t>
      </w:r>
      <w:r w:rsidR="00631046" w:rsidRPr="00FF1087">
        <w:rPr>
          <w:rStyle w:val="st"/>
          <w:lang w:val="en-GB"/>
        </w:rPr>
        <w:t xml:space="preserve">Commission </w:t>
      </w:r>
      <w:r w:rsidR="00E57516" w:rsidRPr="00FF1087">
        <w:rPr>
          <w:rStyle w:val="st"/>
          <w:lang w:val="en-GB"/>
        </w:rPr>
        <w:t xml:space="preserve">held regarding </w:t>
      </w:r>
      <w:r w:rsidR="00631046" w:rsidRPr="00FF1087">
        <w:rPr>
          <w:rStyle w:val="st"/>
          <w:lang w:val="en-GB"/>
        </w:rPr>
        <w:t>electricity projects E149, E150, E151, E152, E153, E154, E156 and E291.</w:t>
      </w:r>
      <w:r w:rsidR="00631046" w:rsidRPr="00FF1087">
        <w:rPr>
          <w:rStyle w:val="FootnoteReference"/>
          <w:lang w:val="en-GB"/>
        </w:rPr>
        <w:footnoteReference w:id="19"/>
      </w:r>
      <w:r w:rsidR="00631046" w:rsidRPr="00FF1087">
        <w:rPr>
          <w:rStyle w:val="st"/>
          <w:lang w:val="en-GB"/>
        </w:rPr>
        <w:t xml:space="preserve"> </w:t>
      </w:r>
      <w:r w:rsidRPr="00FF1087">
        <w:rPr>
          <w:rStyle w:val="st"/>
          <w:lang w:val="en-GB"/>
        </w:rPr>
        <w:t xml:space="preserve">On </w:t>
      </w:r>
      <w:r w:rsidR="009F67B7" w:rsidRPr="00FF1087">
        <w:rPr>
          <w:rStyle w:val="st"/>
          <w:lang w:val="en-GB"/>
        </w:rPr>
        <w:t>28 February 2013</w:t>
      </w:r>
      <w:r w:rsidRPr="00FF1087">
        <w:rPr>
          <w:rStyle w:val="st"/>
          <w:lang w:val="en-GB"/>
        </w:rPr>
        <w:t>,</w:t>
      </w:r>
      <w:r w:rsidR="00631046" w:rsidRPr="00FF1087">
        <w:rPr>
          <w:rStyle w:val="st"/>
          <w:lang w:val="en-GB"/>
        </w:rPr>
        <w:t xml:space="preserve"> </w:t>
      </w:r>
      <w:r w:rsidRPr="00FF1087">
        <w:rPr>
          <w:rStyle w:val="st"/>
          <w:lang w:val="en-GB"/>
        </w:rPr>
        <w:t xml:space="preserve">the </w:t>
      </w:r>
      <w:r w:rsidR="006005EA" w:rsidRPr="00FF1087">
        <w:rPr>
          <w:rStyle w:val="st"/>
          <w:lang w:val="en-GB"/>
        </w:rPr>
        <w:t>Commission</w:t>
      </w:r>
      <w:r w:rsidRPr="00FF1087">
        <w:rPr>
          <w:rStyle w:val="st"/>
          <w:lang w:val="en-GB"/>
        </w:rPr>
        <w:t xml:space="preserve"> </w:t>
      </w:r>
      <w:r w:rsidR="007B733C" w:rsidRPr="00FF1087">
        <w:rPr>
          <w:rStyle w:val="st"/>
          <w:lang w:val="en-GB"/>
        </w:rPr>
        <w:t>replied</w:t>
      </w:r>
      <w:r w:rsidR="00631046" w:rsidRPr="00FF1087">
        <w:rPr>
          <w:rStyle w:val="st"/>
          <w:lang w:val="en-GB"/>
        </w:rPr>
        <w:t xml:space="preserve"> </w:t>
      </w:r>
      <w:r w:rsidR="007B733C" w:rsidRPr="00FF1087">
        <w:rPr>
          <w:rStyle w:val="st"/>
          <w:lang w:val="en-GB"/>
        </w:rPr>
        <w:t xml:space="preserve">that it </w:t>
      </w:r>
      <w:r w:rsidR="006005EA" w:rsidRPr="00FF1087">
        <w:rPr>
          <w:rStyle w:val="st"/>
          <w:lang w:val="en-GB"/>
        </w:rPr>
        <w:t>did</w:t>
      </w:r>
      <w:r w:rsidR="00631046" w:rsidRPr="00FF1087">
        <w:rPr>
          <w:rStyle w:val="st"/>
          <w:lang w:val="en-GB"/>
        </w:rPr>
        <w:t xml:space="preserve"> not hold environ</w:t>
      </w:r>
      <w:r w:rsidR="007B733C" w:rsidRPr="00FF1087">
        <w:rPr>
          <w:rStyle w:val="st"/>
          <w:lang w:val="en-GB"/>
        </w:rPr>
        <w:t>mental information on the</w:t>
      </w:r>
      <w:r w:rsidR="00E57516" w:rsidRPr="00FF1087">
        <w:rPr>
          <w:rStyle w:val="st"/>
          <w:lang w:val="en-GB"/>
        </w:rPr>
        <w:t>se</w:t>
      </w:r>
      <w:r w:rsidR="007B733C" w:rsidRPr="00FF1087">
        <w:rPr>
          <w:rStyle w:val="st"/>
          <w:lang w:val="en-GB"/>
        </w:rPr>
        <w:t xml:space="preserve"> </w:t>
      </w:r>
      <w:r w:rsidR="00C162DB" w:rsidRPr="00FF1087">
        <w:rPr>
          <w:rStyle w:val="st"/>
          <w:lang w:val="en-GB"/>
        </w:rPr>
        <w:t>projects, but had</w:t>
      </w:r>
      <w:r w:rsidR="00631046" w:rsidRPr="00FF1087">
        <w:rPr>
          <w:rStyle w:val="st"/>
          <w:lang w:val="en-GB"/>
        </w:rPr>
        <w:t xml:space="preserve"> only received responses to a questionnaire with very limited information regarding expectations on sustainability</w:t>
      </w:r>
      <w:r w:rsidR="007B733C" w:rsidRPr="00FF1087">
        <w:rPr>
          <w:rStyle w:val="st"/>
          <w:lang w:val="en-GB"/>
        </w:rPr>
        <w:t xml:space="preserve">. It provided </w:t>
      </w:r>
      <w:r w:rsidR="00A908CF" w:rsidRPr="00FF1087">
        <w:rPr>
          <w:rStyle w:val="st"/>
          <w:lang w:val="en-GB"/>
        </w:rPr>
        <w:t xml:space="preserve">Mr. </w:t>
      </w:r>
      <w:r w:rsidR="007B733C" w:rsidRPr="00FF1087">
        <w:rPr>
          <w:rStyle w:val="st"/>
          <w:lang w:val="en-GB"/>
        </w:rPr>
        <w:t xml:space="preserve">Caulfield with </w:t>
      </w:r>
      <w:r w:rsidR="00EE6ADF" w:rsidRPr="00FF1087">
        <w:rPr>
          <w:rStyle w:val="st"/>
          <w:lang w:val="en-GB"/>
        </w:rPr>
        <w:t>a</w:t>
      </w:r>
      <w:r w:rsidR="006005EA" w:rsidRPr="00FF1087">
        <w:rPr>
          <w:rStyle w:val="st"/>
          <w:lang w:val="en-GB"/>
        </w:rPr>
        <w:t xml:space="preserve"> blank questionnaire</w:t>
      </w:r>
      <w:r w:rsidR="00F91786" w:rsidRPr="00FF1087">
        <w:rPr>
          <w:rStyle w:val="st"/>
          <w:lang w:val="en-GB"/>
        </w:rPr>
        <w:t xml:space="preserve"> and informed him that he could apply for the </w:t>
      </w:r>
      <w:r w:rsidR="00397AFC" w:rsidRPr="00FF1087">
        <w:rPr>
          <w:rStyle w:val="st"/>
          <w:lang w:val="en-GB"/>
        </w:rPr>
        <w:t>completed</w:t>
      </w:r>
      <w:r w:rsidR="00F91786" w:rsidRPr="00FF1087">
        <w:rPr>
          <w:rStyle w:val="st"/>
          <w:lang w:val="en-GB"/>
        </w:rPr>
        <w:t xml:space="preserve"> questionnaires</w:t>
      </w:r>
      <w:r w:rsidR="00911D0C" w:rsidRPr="00FF1087">
        <w:rPr>
          <w:rStyle w:val="st"/>
          <w:lang w:val="en-GB"/>
        </w:rPr>
        <w:t xml:space="preserve"> though</w:t>
      </w:r>
      <w:r w:rsidR="00A908CF" w:rsidRPr="00FF1087">
        <w:rPr>
          <w:rStyle w:val="st"/>
          <w:lang w:val="en-GB"/>
        </w:rPr>
        <w:t xml:space="preserve"> </w:t>
      </w:r>
      <w:r w:rsidR="00F91786" w:rsidRPr="00FF1087">
        <w:rPr>
          <w:rStyle w:val="st"/>
          <w:lang w:val="en-GB"/>
        </w:rPr>
        <w:t xml:space="preserve">this would be considered a new information request </w:t>
      </w:r>
      <w:r w:rsidR="00397AFC" w:rsidRPr="00FF1087">
        <w:rPr>
          <w:rStyle w:val="st"/>
          <w:lang w:val="en-GB"/>
        </w:rPr>
        <w:t>and</w:t>
      </w:r>
      <w:r w:rsidR="007A247F" w:rsidRPr="00FF1087">
        <w:rPr>
          <w:rStyle w:val="st"/>
          <w:lang w:val="en-GB"/>
        </w:rPr>
        <w:t xml:space="preserve"> </w:t>
      </w:r>
      <w:r w:rsidR="00397AFC" w:rsidRPr="00FF1087">
        <w:rPr>
          <w:rStyle w:val="st"/>
          <w:lang w:val="en-GB"/>
        </w:rPr>
        <w:t xml:space="preserve">would </w:t>
      </w:r>
      <w:r w:rsidR="00F91786" w:rsidRPr="00FF1087">
        <w:rPr>
          <w:rStyle w:val="st"/>
          <w:lang w:val="en-GB"/>
        </w:rPr>
        <w:t xml:space="preserve">require </w:t>
      </w:r>
      <w:r w:rsidR="00397AFC" w:rsidRPr="00FF1087">
        <w:rPr>
          <w:rStyle w:val="st"/>
          <w:lang w:val="en-GB"/>
        </w:rPr>
        <w:t xml:space="preserve">consultation with </w:t>
      </w:r>
      <w:r w:rsidR="00F91786" w:rsidRPr="00FF1087">
        <w:rPr>
          <w:rStyle w:val="st"/>
          <w:lang w:val="en-GB"/>
        </w:rPr>
        <w:t>the third parties involved.</w:t>
      </w:r>
      <w:r w:rsidR="00433F19" w:rsidRPr="00FF1087">
        <w:rPr>
          <w:rStyle w:val="FootnoteReference"/>
          <w:lang w:val="en-GB"/>
        </w:rPr>
        <w:footnoteReference w:id="20"/>
      </w:r>
      <w:r w:rsidR="002E0580" w:rsidRPr="00FF1087">
        <w:rPr>
          <w:rStyle w:val="st"/>
          <w:lang w:val="en-GB"/>
        </w:rPr>
        <w:t xml:space="preserve"> </w:t>
      </w:r>
      <w:r w:rsidR="006005EA" w:rsidRPr="00FF1087">
        <w:rPr>
          <w:rStyle w:val="st"/>
          <w:lang w:val="en-GB"/>
        </w:rPr>
        <w:t xml:space="preserve">The </w:t>
      </w:r>
      <w:r w:rsidR="006005EA" w:rsidRPr="00FF1087">
        <w:rPr>
          <w:rStyle w:val="st"/>
          <w:lang w:val="en-GB"/>
        </w:rPr>
        <w:lastRenderedPageBreak/>
        <w:t>Commission further stated</w:t>
      </w:r>
      <w:r w:rsidR="004D2028" w:rsidRPr="00FF1087">
        <w:rPr>
          <w:rStyle w:val="st"/>
          <w:lang w:val="en-GB"/>
        </w:rPr>
        <w:t xml:space="preserve"> that</w:t>
      </w:r>
      <w:r w:rsidR="00433F19" w:rsidRPr="00FF1087">
        <w:rPr>
          <w:rStyle w:val="st"/>
          <w:lang w:val="en-GB"/>
        </w:rPr>
        <w:t>,</w:t>
      </w:r>
      <w:r w:rsidR="004D2028" w:rsidRPr="00FF1087">
        <w:rPr>
          <w:rStyle w:val="st"/>
          <w:lang w:val="en-GB"/>
        </w:rPr>
        <w:t xml:space="preserve"> since </w:t>
      </w:r>
      <w:r w:rsidR="00433F19" w:rsidRPr="00FF1087">
        <w:rPr>
          <w:rStyle w:val="st"/>
          <w:lang w:val="en-GB"/>
        </w:rPr>
        <w:t>it h</w:t>
      </w:r>
      <w:r w:rsidR="00911D0C" w:rsidRPr="00FF1087">
        <w:rPr>
          <w:rStyle w:val="st"/>
          <w:lang w:val="en-GB"/>
        </w:rPr>
        <w:t>el</w:t>
      </w:r>
      <w:r w:rsidR="00433F19" w:rsidRPr="00FF1087">
        <w:rPr>
          <w:rStyle w:val="st"/>
          <w:lang w:val="en-GB"/>
        </w:rPr>
        <w:t>d</w:t>
      </w:r>
      <w:r w:rsidR="004D2028" w:rsidRPr="00FF1087">
        <w:rPr>
          <w:rStyle w:val="st"/>
          <w:lang w:val="en-GB"/>
        </w:rPr>
        <w:t xml:space="preserve"> no </w:t>
      </w:r>
      <w:r w:rsidRPr="00FF1087">
        <w:rPr>
          <w:rStyle w:val="st"/>
          <w:lang w:val="en-GB"/>
        </w:rPr>
        <w:t xml:space="preserve">further </w:t>
      </w:r>
      <w:r w:rsidR="004D2028" w:rsidRPr="00FF1087">
        <w:rPr>
          <w:rStyle w:val="st"/>
          <w:lang w:val="en-GB"/>
        </w:rPr>
        <w:t>environmental information</w:t>
      </w:r>
      <w:r w:rsidR="00433F19" w:rsidRPr="00FF1087">
        <w:rPr>
          <w:rStyle w:val="st"/>
          <w:lang w:val="en-GB"/>
        </w:rPr>
        <w:t xml:space="preserve"> on </w:t>
      </w:r>
      <w:r w:rsidR="004D2028" w:rsidRPr="00FF1087">
        <w:rPr>
          <w:rStyle w:val="st"/>
          <w:lang w:val="en-GB"/>
        </w:rPr>
        <w:t>these projects</w:t>
      </w:r>
      <w:r w:rsidR="007B733C" w:rsidRPr="00FF1087">
        <w:rPr>
          <w:rStyle w:val="st"/>
          <w:lang w:val="en-GB"/>
        </w:rPr>
        <w:t>, the confirmatory application wa</w:t>
      </w:r>
      <w:r w:rsidR="004D2028" w:rsidRPr="00FF1087">
        <w:rPr>
          <w:rStyle w:val="st"/>
          <w:lang w:val="en-GB"/>
        </w:rPr>
        <w:t>s</w:t>
      </w:r>
      <w:r w:rsidR="007A247F" w:rsidRPr="00FF1087">
        <w:rPr>
          <w:rStyle w:val="st"/>
          <w:lang w:val="en-GB"/>
        </w:rPr>
        <w:t xml:space="preserve"> </w:t>
      </w:r>
      <w:r w:rsidR="004D2028" w:rsidRPr="00FF1087">
        <w:rPr>
          <w:rStyle w:val="st"/>
          <w:lang w:val="en-GB"/>
        </w:rPr>
        <w:t>devoid of purpose.</w:t>
      </w:r>
      <w:r w:rsidR="00B87815" w:rsidRPr="00FF1087">
        <w:rPr>
          <w:rStyle w:val="FootnoteReference"/>
          <w:lang w:val="en-GB"/>
        </w:rPr>
        <w:footnoteReference w:id="21"/>
      </w:r>
      <w:bookmarkEnd w:id="10"/>
    </w:p>
    <w:p w14:paraId="047C754B" w14:textId="48539D64" w:rsidR="003F44D2" w:rsidRPr="00FF1087" w:rsidRDefault="00107BC4" w:rsidP="001C3D04">
      <w:pPr>
        <w:pStyle w:val="SingleTxtG"/>
        <w:numPr>
          <w:ilvl w:val="0"/>
          <w:numId w:val="3"/>
        </w:numPr>
        <w:tabs>
          <w:tab w:val="left" w:pos="1843"/>
          <w:tab w:val="left" w:pos="6120"/>
        </w:tabs>
        <w:ind w:left="1134" w:right="0" w:firstLine="0"/>
        <w:rPr>
          <w:rStyle w:val="st"/>
          <w:lang w:val="en-GB"/>
        </w:rPr>
      </w:pPr>
      <w:bookmarkStart w:id="11" w:name="_Ref465268844"/>
      <w:r w:rsidRPr="00FF1087">
        <w:rPr>
          <w:rStyle w:val="st"/>
          <w:lang w:val="en-GB"/>
        </w:rPr>
        <w:t xml:space="preserve">On </w:t>
      </w:r>
      <w:r w:rsidR="003F44D2" w:rsidRPr="00FF1087">
        <w:rPr>
          <w:rStyle w:val="st"/>
          <w:lang w:val="en-GB"/>
        </w:rPr>
        <w:t>22 January 2013</w:t>
      </w:r>
      <w:r w:rsidRPr="00FF1087">
        <w:rPr>
          <w:rStyle w:val="st"/>
          <w:lang w:val="en-GB"/>
        </w:rPr>
        <w:t>,</w:t>
      </w:r>
      <w:r w:rsidR="003F44D2" w:rsidRPr="00FF1087">
        <w:rPr>
          <w:rStyle w:val="st"/>
          <w:lang w:val="en-GB"/>
        </w:rPr>
        <w:t xml:space="preserve"> </w:t>
      </w:r>
      <w:r w:rsidR="00A908CF" w:rsidRPr="00FF1087">
        <w:rPr>
          <w:rStyle w:val="st"/>
          <w:lang w:val="en-GB"/>
        </w:rPr>
        <w:t xml:space="preserve">Mr. </w:t>
      </w:r>
      <w:r w:rsidR="003F44D2" w:rsidRPr="00FF1087">
        <w:rPr>
          <w:rStyle w:val="st"/>
          <w:lang w:val="en-GB"/>
        </w:rPr>
        <w:t xml:space="preserve">Caulfield filed </w:t>
      </w:r>
      <w:r w:rsidRPr="00FF1087">
        <w:rPr>
          <w:rStyle w:val="st"/>
          <w:lang w:val="en-GB"/>
        </w:rPr>
        <w:t xml:space="preserve">a </w:t>
      </w:r>
      <w:r w:rsidR="003F44D2" w:rsidRPr="00FF1087">
        <w:rPr>
          <w:rStyle w:val="st"/>
          <w:lang w:val="en-GB"/>
        </w:rPr>
        <w:t xml:space="preserve">complaint </w:t>
      </w:r>
      <w:r w:rsidR="007B733C" w:rsidRPr="00FF1087">
        <w:rPr>
          <w:rStyle w:val="st"/>
          <w:lang w:val="en-GB"/>
        </w:rPr>
        <w:t>with</w:t>
      </w:r>
      <w:r w:rsidR="003F44D2" w:rsidRPr="00FF1087">
        <w:rPr>
          <w:rStyle w:val="st"/>
          <w:lang w:val="en-GB"/>
        </w:rPr>
        <w:t xml:space="preserve"> the </w:t>
      </w:r>
      <w:r w:rsidRPr="00FF1087">
        <w:rPr>
          <w:rStyle w:val="st"/>
          <w:lang w:val="en-GB"/>
        </w:rPr>
        <w:t xml:space="preserve">European </w:t>
      </w:r>
      <w:r w:rsidR="003F44D2" w:rsidRPr="00FF1087">
        <w:rPr>
          <w:rStyle w:val="st"/>
          <w:lang w:val="en-GB"/>
        </w:rPr>
        <w:t xml:space="preserve">Ombudsman claiming the Commission </w:t>
      </w:r>
      <w:r w:rsidRPr="00FF1087">
        <w:rPr>
          <w:rStyle w:val="st"/>
          <w:lang w:val="en-GB"/>
        </w:rPr>
        <w:t xml:space="preserve">had </w:t>
      </w:r>
      <w:r w:rsidR="003F44D2" w:rsidRPr="00FF1087">
        <w:rPr>
          <w:rStyle w:val="st"/>
          <w:lang w:val="en-GB"/>
        </w:rPr>
        <w:t xml:space="preserve">failed to provide environmental information for the public consultation </w:t>
      </w:r>
      <w:r w:rsidR="001E1EC0" w:rsidRPr="00FF1087">
        <w:rPr>
          <w:rStyle w:val="st"/>
          <w:lang w:val="en-GB"/>
        </w:rPr>
        <w:t xml:space="preserve">on </w:t>
      </w:r>
      <w:r w:rsidR="003F44D2" w:rsidRPr="00FF1087">
        <w:rPr>
          <w:rStyle w:val="st"/>
          <w:lang w:val="en-GB"/>
        </w:rPr>
        <w:t>the PCI</w:t>
      </w:r>
      <w:r w:rsidR="00B43B94" w:rsidRPr="00FF1087">
        <w:rPr>
          <w:rStyle w:val="st"/>
          <w:lang w:val="en-GB"/>
        </w:rPr>
        <w:t>s</w:t>
      </w:r>
      <w:r w:rsidR="003F44D2" w:rsidRPr="00FF1087">
        <w:rPr>
          <w:rStyle w:val="st"/>
          <w:lang w:val="en-GB"/>
        </w:rPr>
        <w:t>.</w:t>
      </w:r>
      <w:r w:rsidR="003F44D2" w:rsidRPr="00FF1087">
        <w:rPr>
          <w:rStyle w:val="FootnoteReference"/>
          <w:lang w:val="en-GB"/>
        </w:rPr>
        <w:footnoteReference w:id="22"/>
      </w:r>
      <w:r w:rsidR="003F44D2" w:rsidRPr="00FF1087">
        <w:rPr>
          <w:rStyle w:val="FootnoteReference"/>
          <w:lang w:val="en-GB"/>
        </w:rPr>
        <w:t xml:space="preserve"> </w:t>
      </w:r>
      <w:r w:rsidR="002F09E4" w:rsidRPr="00FF1087">
        <w:rPr>
          <w:rStyle w:val="st"/>
          <w:lang w:val="en-GB"/>
        </w:rPr>
        <w:t xml:space="preserve">The </w:t>
      </w:r>
      <w:r w:rsidR="00433F19" w:rsidRPr="00FF1087">
        <w:rPr>
          <w:rStyle w:val="st"/>
          <w:lang w:val="en-GB"/>
        </w:rPr>
        <w:t xml:space="preserve">Ombudsman accepted </w:t>
      </w:r>
      <w:r w:rsidR="007A247F" w:rsidRPr="00FF1087">
        <w:rPr>
          <w:rStyle w:val="st"/>
          <w:lang w:val="en-GB"/>
        </w:rPr>
        <w:t xml:space="preserve">the </w:t>
      </w:r>
      <w:r w:rsidR="002F09E4" w:rsidRPr="00FF1087">
        <w:rPr>
          <w:rStyle w:val="st"/>
          <w:lang w:val="en-GB"/>
        </w:rPr>
        <w:t>access to information aspect o</w:t>
      </w:r>
      <w:r w:rsidR="007B733C" w:rsidRPr="00FF1087">
        <w:rPr>
          <w:rStyle w:val="st"/>
          <w:lang w:val="en-GB"/>
        </w:rPr>
        <w:t xml:space="preserve">f </w:t>
      </w:r>
      <w:r w:rsidR="002F09E4" w:rsidRPr="00FF1087">
        <w:rPr>
          <w:rStyle w:val="st"/>
          <w:lang w:val="en-GB"/>
        </w:rPr>
        <w:t>his complaint for consideration</w:t>
      </w:r>
      <w:r w:rsidR="004D3A28" w:rsidRPr="00FF1087">
        <w:rPr>
          <w:rStyle w:val="st"/>
          <w:lang w:val="en-GB"/>
        </w:rPr>
        <w:t>.</w:t>
      </w:r>
      <w:r w:rsidRPr="00FF1087">
        <w:rPr>
          <w:rStyle w:val="st"/>
          <w:lang w:val="en-GB"/>
        </w:rPr>
        <w:t xml:space="preserve"> </w:t>
      </w:r>
      <w:r w:rsidR="004D3A28" w:rsidRPr="00FF1087">
        <w:rPr>
          <w:rStyle w:val="st"/>
          <w:lang w:val="en-GB"/>
        </w:rPr>
        <w:t xml:space="preserve">However, </w:t>
      </w:r>
      <w:r w:rsidR="002F09E4" w:rsidRPr="00FF1087">
        <w:rPr>
          <w:rStyle w:val="st"/>
          <w:lang w:val="en-GB"/>
        </w:rPr>
        <w:t xml:space="preserve">the wider issue of the public </w:t>
      </w:r>
      <w:r w:rsidR="000259C4" w:rsidRPr="00FF1087">
        <w:rPr>
          <w:rStyle w:val="st"/>
          <w:lang w:val="en-GB"/>
        </w:rPr>
        <w:t xml:space="preserve">consultation </w:t>
      </w:r>
      <w:r w:rsidR="002F09E4" w:rsidRPr="00FF1087">
        <w:rPr>
          <w:rStyle w:val="st"/>
          <w:lang w:val="en-GB"/>
        </w:rPr>
        <w:t xml:space="preserve">was not </w:t>
      </w:r>
      <w:r w:rsidR="004D3A28" w:rsidRPr="00FF1087">
        <w:rPr>
          <w:rStyle w:val="st"/>
          <w:lang w:val="en-GB"/>
        </w:rPr>
        <w:t>accepted</w:t>
      </w:r>
      <w:r w:rsidR="007B733C" w:rsidRPr="00FF1087">
        <w:rPr>
          <w:rStyle w:val="st"/>
          <w:lang w:val="en-GB"/>
        </w:rPr>
        <w:t xml:space="preserve"> </w:t>
      </w:r>
      <w:r w:rsidR="002F09E4" w:rsidRPr="00FF1087">
        <w:rPr>
          <w:rStyle w:val="st"/>
          <w:lang w:val="en-GB"/>
        </w:rPr>
        <w:t>as the “complaint must be preceded by appropriate administrative approaches to the institutions, bodies, offices or agencies concerned”</w:t>
      </w:r>
      <w:r w:rsidR="003F44D2" w:rsidRPr="00FF1087">
        <w:rPr>
          <w:rStyle w:val="st"/>
          <w:lang w:val="en-GB"/>
        </w:rPr>
        <w:t>.</w:t>
      </w:r>
      <w:r w:rsidR="003F44D2" w:rsidRPr="00FF1087">
        <w:rPr>
          <w:rStyle w:val="FootnoteReference"/>
          <w:lang w:val="en-GB"/>
        </w:rPr>
        <w:footnoteReference w:id="23"/>
      </w:r>
      <w:r w:rsidR="002F09E4" w:rsidRPr="00FF1087">
        <w:rPr>
          <w:rStyle w:val="FootnoteReference"/>
          <w:lang w:val="en-GB"/>
        </w:rPr>
        <w:t xml:space="preserve"> </w:t>
      </w:r>
      <w:r w:rsidR="002F09E4" w:rsidRPr="00FF1087">
        <w:rPr>
          <w:rStyle w:val="st"/>
          <w:lang w:val="en-GB"/>
        </w:rPr>
        <w:t xml:space="preserve"> </w:t>
      </w:r>
      <w:r w:rsidRPr="00FF1087">
        <w:rPr>
          <w:rStyle w:val="st"/>
          <w:lang w:val="en-GB"/>
        </w:rPr>
        <w:t xml:space="preserve">On </w:t>
      </w:r>
      <w:r w:rsidR="002F09E4" w:rsidRPr="00FF1087">
        <w:rPr>
          <w:rStyle w:val="st"/>
          <w:lang w:val="en-GB"/>
        </w:rPr>
        <w:t>4 March 2013</w:t>
      </w:r>
      <w:r w:rsidRPr="00FF1087">
        <w:rPr>
          <w:rStyle w:val="st"/>
          <w:lang w:val="en-GB"/>
        </w:rPr>
        <w:t>,</w:t>
      </w:r>
      <w:r w:rsidR="002F09E4" w:rsidRPr="00FF1087">
        <w:rPr>
          <w:rStyle w:val="st"/>
          <w:lang w:val="en-GB"/>
        </w:rPr>
        <w:t xml:space="preserve"> </w:t>
      </w:r>
      <w:r w:rsidR="00A908CF" w:rsidRPr="00FF1087">
        <w:rPr>
          <w:rStyle w:val="st"/>
          <w:lang w:val="en-GB"/>
        </w:rPr>
        <w:t xml:space="preserve">Mr. </w:t>
      </w:r>
      <w:r w:rsidR="002F09E4" w:rsidRPr="00FF1087">
        <w:rPr>
          <w:rStyle w:val="st"/>
          <w:lang w:val="en-GB"/>
        </w:rPr>
        <w:t>Caulfield</w:t>
      </w:r>
      <w:r w:rsidR="00D17ED7" w:rsidRPr="00FF1087">
        <w:rPr>
          <w:rStyle w:val="st"/>
          <w:lang w:val="en-GB"/>
        </w:rPr>
        <w:t xml:space="preserve"> </w:t>
      </w:r>
      <w:r w:rsidR="002F09E4" w:rsidRPr="00FF1087">
        <w:rPr>
          <w:rStyle w:val="st"/>
          <w:lang w:val="en-GB"/>
        </w:rPr>
        <w:t xml:space="preserve">sent </w:t>
      </w:r>
      <w:r w:rsidR="001E1EC0" w:rsidRPr="00FF1087">
        <w:rPr>
          <w:rStyle w:val="st"/>
          <w:lang w:val="en-GB"/>
        </w:rPr>
        <w:t xml:space="preserve">the Commission </w:t>
      </w:r>
      <w:r w:rsidR="00A108B7" w:rsidRPr="00FF1087">
        <w:rPr>
          <w:rStyle w:val="st"/>
          <w:lang w:val="en-GB"/>
        </w:rPr>
        <w:t>a</w:t>
      </w:r>
      <w:r w:rsidR="002F09E4" w:rsidRPr="00FF1087">
        <w:rPr>
          <w:rStyle w:val="st"/>
          <w:lang w:val="en-GB"/>
        </w:rPr>
        <w:t xml:space="preserve"> letter to </w:t>
      </w:r>
      <w:r w:rsidR="00CE543E" w:rsidRPr="00FF1087">
        <w:rPr>
          <w:rStyle w:val="st"/>
          <w:lang w:val="en-GB"/>
        </w:rPr>
        <w:t>fulfil</w:t>
      </w:r>
      <w:r w:rsidRPr="00FF1087">
        <w:rPr>
          <w:rStyle w:val="st"/>
          <w:lang w:val="en-GB"/>
        </w:rPr>
        <w:t xml:space="preserve"> </w:t>
      </w:r>
      <w:r w:rsidR="00433F19" w:rsidRPr="00FF1087">
        <w:rPr>
          <w:rStyle w:val="st"/>
          <w:lang w:val="en-GB"/>
        </w:rPr>
        <w:t>this</w:t>
      </w:r>
      <w:r w:rsidR="002F09E4" w:rsidRPr="00FF1087">
        <w:rPr>
          <w:rStyle w:val="st"/>
          <w:lang w:val="en-GB"/>
        </w:rPr>
        <w:t xml:space="preserve"> </w:t>
      </w:r>
      <w:r w:rsidRPr="00FF1087">
        <w:rPr>
          <w:rStyle w:val="st"/>
          <w:lang w:val="en-GB"/>
        </w:rPr>
        <w:t>requirement</w:t>
      </w:r>
      <w:r w:rsidR="002F09E4" w:rsidRPr="00FF1087">
        <w:rPr>
          <w:rStyle w:val="st"/>
          <w:lang w:val="en-GB"/>
        </w:rPr>
        <w:t>.</w:t>
      </w:r>
      <w:r w:rsidR="002F09E4" w:rsidRPr="00FF1087">
        <w:rPr>
          <w:rStyle w:val="FootnoteReference"/>
          <w:lang w:val="en-GB"/>
        </w:rPr>
        <w:footnoteReference w:id="24"/>
      </w:r>
      <w:bookmarkEnd w:id="11"/>
    </w:p>
    <w:p w14:paraId="35AC5F97" w14:textId="20188F35" w:rsidR="0070528A" w:rsidRPr="00FF1087" w:rsidRDefault="0070528A" w:rsidP="001E1EC0">
      <w:pPr>
        <w:pStyle w:val="SingleTxtG"/>
        <w:numPr>
          <w:ilvl w:val="0"/>
          <w:numId w:val="3"/>
        </w:numPr>
        <w:tabs>
          <w:tab w:val="left" w:pos="1843"/>
          <w:tab w:val="left" w:pos="6120"/>
        </w:tabs>
        <w:ind w:left="1134" w:right="0" w:firstLine="0"/>
        <w:rPr>
          <w:rStyle w:val="st"/>
          <w:lang w:val="en-GB"/>
        </w:rPr>
      </w:pPr>
      <w:bookmarkStart w:id="12" w:name="_Ref465333002"/>
      <w:r w:rsidRPr="00FF1087">
        <w:rPr>
          <w:rStyle w:val="st"/>
          <w:lang w:val="en-GB"/>
        </w:rPr>
        <w:t xml:space="preserve">On 5 March 2013, </w:t>
      </w:r>
      <w:r w:rsidR="00A908CF" w:rsidRPr="00FF1087">
        <w:rPr>
          <w:rStyle w:val="st"/>
          <w:lang w:val="en-GB"/>
        </w:rPr>
        <w:t xml:space="preserve">Mr. </w:t>
      </w:r>
      <w:r w:rsidRPr="00FF1087">
        <w:rPr>
          <w:rStyle w:val="st"/>
          <w:lang w:val="en-GB"/>
        </w:rPr>
        <w:t xml:space="preserve">Caulfield filed a second </w:t>
      </w:r>
      <w:r w:rsidR="001E1EC0" w:rsidRPr="00FF1087">
        <w:rPr>
          <w:rStyle w:val="st"/>
          <w:lang w:val="en-GB"/>
        </w:rPr>
        <w:t xml:space="preserve">information </w:t>
      </w:r>
      <w:r w:rsidRPr="00FF1087">
        <w:rPr>
          <w:rStyle w:val="st"/>
          <w:lang w:val="en-GB"/>
        </w:rPr>
        <w:t>request for th</w:t>
      </w:r>
      <w:r w:rsidR="004D3A28" w:rsidRPr="00FF1087">
        <w:rPr>
          <w:rStyle w:val="st"/>
          <w:lang w:val="en-GB"/>
        </w:rPr>
        <w:t>e project questionnaires relating</w:t>
      </w:r>
      <w:r w:rsidRPr="00FF1087">
        <w:rPr>
          <w:rStyle w:val="st"/>
          <w:lang w:val="en-GB"/>
        </w:rPr>
        <w:t xml:space="preserve"> to Irish electricity projects. On 22 April 2013, the Commission provided the</w:t>
      </w:r>
      <w:r w:rsidR="001E1EC0" w:rsidRPr="00FF1087">
        <w:rPr>
          <w:rStyle w:val="st"/>
          <w:lang w:val="en-GB"/>
        </w:rPr>
        <w:t xml:space="preserve"> questionnaires</w:t>
      </w:r>
      <w:r w:rsidR="00433F19" w:rsidRPr="00FF1087">
        <w:rPr>
          <w:rStyle w:val="st"/>
          <w:lang w:val="en-GB"/>
        </w:rPr>
        <w:t xml:space="preserve">, </w:t>
      </w:r>
      <w:r w:rsidRPr="00FF1087">
        <w:rPr>
          <w:rStyle w:val="st"/>
          <w:lang w:val="en-GB"/>
        </w:rPr>
        <w:t xml:space="preserve">excluding </w:t>
      </w:r>
      <w:r w:rsidR="001F50A3" w:rsidRPr="00FF1087">
        <w:rPr>
          <w:rStyle w:val="st"/>
          <w:lang w:val="en-GB"/>
        </w:rPr>
        <w:t xml:space="preserve">some </w:t>
      </w:r>
      <w:r w:rsidRPr="00FF1087">
        <w:rPr>
          <w:rStyle w:val="st"/>
          <w:lang w:val="en-GB"/>
        </w:rPr>
        <w:t>commercially sensitive informatio</w:t>
      </w:r>
      <w:r w:rsidR="001F50A3" w:rsidRPr="00FF1087">
        <w:rPr>
          <w:rStyle w:val="st"/>
          <w:lang w:val="en-GB"/>
        </w:rPr>
        <w:t>n</w:t>
      </w:r>
      <w:r w:rsidRPr="00FF1087">
        <w:rPr>
          <w:rStyle w:val="FootnoteReference"/>
          <w:lang w:val="en-GB"/>
        </w:rPr>
        <w:footnoteReference w:id="25"/>
      </w:r>
      <w:r w:rsidR="004D3A28" w:rsidRPr="00FF1087">
        <w:rPr>
          <w:rStyle w:val="st"/>
          <w:lang w:val="en-GB"/>
        </w:rPr>
        <w:t xml:space="preserve"> </w:t>
      </w:r>
      <w:r w:rsidR="001E1EC0" w:rsidRPr="00FF1087">
        <w:rPr>
          <w:rStyle w:val="st"/>
          <w:lang w:val="en-GB"/>
        </w:rPr>
        <w:t>and</w:t>
      </w:r>
      <w:r w:rsidR="00A908CF" w:rsidRPr="00FF1087">
        <w:rPr>
          <w:rStyle w:val="st"/>
          <w:lang w:val="en-GB"/>
        </w:rPr>
        <w:t xml:space="preserve"> </w:t>
      </w:r>
      <w:r w:rsidR="004D3A28" w:rsidRPr="00FF1087">
        <w:rPr>
          <w:rStyle w:val="st"/>
          <w:lang w:val="en-GB"/>
        </w:rPr>
        <w:t>proposed</w:t>
      </w:r>
      <w:r w:rsidRPr="00FF1087">
        <w:rPr>
          <w:rStyle w:val="st"/>
          <w:lang w:val="en-GB"/>
        </w:rPr>
        <w:t xml:space="preserve"> a meeting to clarify issues</w:t>
      </w:r>
      <w:r w:rsidR="001E1EC0" w:rsidRPr="00FF1087">
        <w:rPr>
          <w:rStyle w:val="st"/>
          <w:lang w:val="en-GB"/>
        </w:rPr>
        <w:t xml:space="preserve"> regarding </w:t>
      </w:r>
      <w:r w:rsidR="00A908CF" w:rsidRPr="00FF1087">
        <w:rPr>
          <w:rStyle w:val="st"/>
          <w:lang w:val="en-GB"/>
        </w:rPr>
        <w:t xml:space="preserve">Mr. </w:t>
      </w:r>
      <w:r w:rsidR="001E1EC0" w:rsidRPr="00FF1087">
        <w:rPr>
          <w:rStyle w:val="st"/>
          <w:lang w:val="en-GB"/>
        </w:rPr>
        <w:t>Caulfield’s first request</w:t>
      </w:r>
      <w:r w:rsidRPr="00FF1087">
        <w:rPr>
          <w:rStyle w:val="st"/>
          <w:lang w:val="en-GB"/>
        </w:rPr>
        <w:t xml:space="preserve"> (see para</w:t>
      </w:r>
      <w:r w:rsidR="007E60DE" w:rsidRPr="00FF1087">
        <w:rPr>
          <w:rStyle w:val="st"/>
          <w:lang w:val="en-GB"/>
        </w:rPr>
        <w:t>.</w:t>
      </w:r>
      <w:r w:rsidRPr="00FF1087">
        <w:rPr>
          <w:rStyle w:val="st"/>
          <w:lang w:val="en-GB"/>
        </w:rPr>
        <w:t xml:space="preserve"> </w:t>
      </w:r>
      <w:r w:rsidRPr="00FF1087">
        <w:rPr>
          <w:rStyle w:val="st"/>
          <w:lang w:val="en-GB"/>
        </w:rPr>
        <w:fldChar w:fldCharType="begin"/>
      </w:r>
      <w:r w:rsidRPr="00FF1087">
        <w:rPr>
          <w:rStyle w:val="st"/>
          <w:lang w:val="en-GB"/>
        </w:rPr>
        <w:instrText xml:space="preserve"> REF _Ref465268292 \r \h </w:instrText>
      </w:r>
      <w:r w:rsidR="00A908CF" w:rsidRPr="00FF1087">
        <w:rPr>
          <w:rStyle w:val="st"/>
          <w:lang w:val="en-GB"/>
        </w:rPr>
        <w:instrText xml:space="preserve"> \* MERGEFORMAT </w:instrText>
      </w:r>
      <w:r w:rsidRPr="00FF1087">
        <w:rPr>
          <w:rStyle w:val="st"/>
          <w:lang w:val="en-GB"/>
        </w:rPr>
      </w:r>
      <w:r w:rsidRPr="00FF1087">
        <w:rPr>
          <w:rStyle w:val="st"/>
          <w:lang w:val="en-GB"/>
        </w:rPr>
        <w:fldChar w:fldCharType="separate"/>
      </w:r>
      <w:r w:rsidR="00B713E0">
        <w:rPr>
          <w:rStyle w:val="st"/>
          <w:cs/>
          <w:lang w:val="en-GB"/>
        </w:rPr>
        <w:t>‎</w:t>
      </w:r>
      <w:r w:rsidR="00B713E0">
        <w:rPr>
          <w:rStyle w:val="st"/>
          <w:lang w:val="en-GB"/>
        </w:rPr>
        <w:t>32</w:t>
      </w:r>
      <w:r w:rsidRPr="00FF1087">
        <w:rPr>
          <w:rStyle w:val="st"/>
          <w:lang w:val="en-GB"/>
        </w:rPr>
        <w:fldChar w:fldCharType="end"/>
      </w:r>
      <w:r w:rsidRPr="00FF1087">
        <w:rPr>
          <w:rStyle w:val="st"/>
          <w:lang w:val="en-GB"/>
        </w:rPr>
        <w:t xml:space="preserve"> above).</w:t>
      </w:r>
      <w:r w:rsidRPr="00FF1087">
        <w:rPr>
          <w:rStyle w:val="FootnoteReference"/>
          <w:lang w:val="en-GB"/>
        </w:rPr>
        <w:footnoteReference w:id="26"/>
      </w:r>
      <w:r w:rsidRPr="00FF1087">
        <w:rPr>
          <w:rStyle w:val="st"/>
          <w:lang w:val="en-GB"/>
        </w:rPr>
        <w:t xml:space="preserve"> On 28 April 2013, </w:t>
      </w:r>
      <w:r w:rsidR="00A908CF" w:rsidRPr="00FF1087">
        <w:rPr>
          <w:rStyle w:val="st"/>
          <w:lang w:val="en-GB"/>
        </w:rPr>
        <w:t xml:space="preserve">Mr. </w:t>
      </w:r>
      <w:r w:rsidRPr="00FF1087">
        <w:rPr>
          <w:rStyle w:val="st"/>
          <w:lang w:val="en-GB"/>
        </w:rPr>
        <w:t xml:space="preserve">Caulfield </w:t>
      </w:r>
      <w:r w:rsidR="001E1EC0" w:rsidRPr="00FF1087">
        <w:rPr>
          <w:rStyle w:val="st"/>
          <w:lang w:val="en-GB"/>
        </w:rPr>
        <w:t>replied,</w:t>
      </w:r>
      <w:r w:rsidRPr="00FF1087">
        <w:rPr>
          <w:rStyle w:val="st"/>
          <w:lang w:val="en-GB"/>
        </w:rPr>
        <w:t xml:space="preserve"> </w:t>
      </w:r>
      <w:r w:rsidR="00A908CF" w:rsidRPr="00FF1087">
        <w:rPr>
          <w:rStyle w:val="st"/>
          <w:lang w:val="en-GB"/>
        </w:rPr>
        <w:t xml:space="preserve">stating that, despite being partially redacted, </w:t>
      </w:r>
      <w:r w:rsidRPr="00FF1087">
        <w:rPr>
          <w:rStyle w:val="st"/>
          <w:lang w:val="en-GB"/>
        </w:rPr>
        <w:t>the questionnaires</w:t>
      </w:r>
      <w:r w:rsidR="00A908CF" w:rsidRPr="00FF1087">
        <w:rPr>
          <w:rStyle w:val="st"/>
          <w:lang w:val="en-GB"/>
        </w:rPr>
        <w:t xml:space="preserve"> </w:t>
      </w:r>
      <w:r w:rsidR="009C209D" w:rsidRPr="00FF1087">
        <w:rPr>
          <w:rStyle w:val="st"/>
          <w:lang w:val="en-GB"/>
        </w:rPr>
        <w:t>evidently</w:t>
      </w:r>
      <w:r w:rsidRPr="00FF1087">
        <w:rPr>
          <w:rStyle w:val="st"/>
          <w:lang w:val="en-GB"/>
        </w:rPr>
        <w:t xml:space="preserve"> contain</w:t>
      </w:r>
      <w:r w:rsidR="004D3A28" w:rsidRPr="00FF1087">
        <w:rPr>
          <w:rStyle w:val="st"/>
          <w:lang w:val="en-GB"/>
        </w:rPr>
        <w:t>ed</w:t>
      </w:r>
      <w:r w:rsidRPr="00FF1087">
        <w:rPr>
          <w:rStyle w:val="st"/>
          <w:lang w:val="en-GB"/>
        </w:rPr>
        <w:t xml:space="preserve"> </w:t>
      </w:r>
      <w:r w:rsidR="007E60DE" w:rsidRPr="00FF1087">
        <w:rPr>
          <w:rStyle w:val="st"/>
          <w:lang w:val="en-GB"/>
        </w:rPr>
        <w:t xml:space="preserve">much </w:t>
      </w:r>
      <w:r w:rsidRPr="00FF1087">
        <w:rPr>
          <w:rStyle w:val="st"/>
          <w:lang w:val="en-GB"/>
        </w:rPr>
        <w:t>environmental information, and therefore the reply of 19 October 2012 was inaccurate</w:t>
      </w:r>
      <w:r w:rsidR="009C209D" w:rsidRPr="00FF1087">
        <w:rPr>
          <w:rStyle w:val="st"/>
          <w:lang w:val="en-GB"/>
        </w:rPr>
        <w:t xml:space="preserve"> and</w:t>
      </w:r>
      <w:r w:rsidRPr="00FF1087">
        <w:rPr>
          <w:rStyle w:val="st"/>
          <w:lang w:val="en-GB"/>
        </w:rPr>
        <w:t xml:space="preserve"> that the Commission’s reply d</w:t>
      </w:r>
      <w:r w:rsidR="004D3A28" w:rsidRPr="00FF1087">
        <w:rPr>
          <w:rStyle w:val="st"/>
          <w:lang w:val="en-GB"/>
        </w:rPr>
        <w:t>id</w:t>
      </w:r>
      <w:r w:rsidRPr="00FF1087">
        <w:rPr>
          <w:rStyle w:val="st"/>
          <w:lang w:val="en-GB"/>
        </w:rPr>
        <w:t xml:space="preserve"> not refer to </w:t>
      </w:r>
      <w:r w:rsidR="00D17ED7" w:rsidRPr="00FF1087">
        <w:rPr>
          <w:rStyle w:val="st"/>
          <w:lang w:val="en-GB"/>
        </w:rPr>
        <w:t xml:space="preserve">a </w:t>
      </w:r>
      <w:r w:rsidR="00DF235E" w:rsidRPr="00FF1087">
        <w:rPr>
          <w:rStyle w:val="st"/>
          <w:lang w:val="en-GB"/>
        </w:rPr>
        <w:t xml:space="preserve">legal </w:t>
      </w:r>
      <w:r w:rsidRPr="00FF1087">
        <w:rPr>
          <w:rStyle w:val="st"/>
          <w:lang w:val="en-GB"/>
        </w:rPr>
        <w:t xml:space="preserve">basis </w:t>
      </w:r>
      <w:r w:rsidR="004D3A28" w:rsidRPr="00FF1087">
        <w:rPr>
          <w:rStyle w:val="st"/>
          <w:lang w:val="en-GB"/>
        </w:rPr>
        <w:t>which allowed</w:t>
      </w:r>
      <w:r w:rsidRPr="00FF1087">
        <w:rPr>
          <w:rStyle w:val="st"/>
          <w:lang w:val="en-GB"/>
        </w:rPr>
        <w:t xml:space="preserve"> </w:t>
      </w:r>
      <w:r w:rsidR="007E60DE" w:rsidRPr="00FF1087">
        <w:rPr>
          <w:rStyle w:val="st"/>
          <w:lang w:val="en-GB"/>
        </w:rPr>
        <w:t>withholding</w:t>
      </w:r>
      <w:r w:rsidRPr="00FF1087">
        <w:rPr>
          <w:rStyle w:val="st"/>
          <w:lang w:val="en-GB"/>
        </w:rPr>
        <w:t xml:space="preserve"> the information.</w:t>
      </w:r>
      <w:r w:rsidR="001A17D3" w:rsidRPr="00FF1087">
        <w:rPr>
          <w:rStyle w:val="FootnoteReference"/>
          <w:lang w:val="en-GB"/>
        </w:rPr>
        <w:footnoteReference w:id="27"/>
      </w:r>
      <w:r w:rsidRPr="00FF1087">
        <w:rPr>
          <w:rStyle w:val="st"/>
          <w:lang w:val="en-GB"/>
        </w:rPr>
        <w:t xml:space="preserve"> </w:t>
      </w:r>
      <w:bookmarkEnd w:id="12"/>
    </w:p>
    <w:p w14:paraId="30DBF72D" w14:textId="0A935350" w:rsidR="00A00E91" w:rsidRPr="00FF1087" w:rsidRDefault="00107BC4" w:rsidP="001C3D04">
      <w:pPr>
        <w:pStyle w:val="SingleTxtG"/>
        <w:numPr>
          <w:ilvl w:val="0"/>
          <w:numId w:val="3"/>
        </w:numPr>
        <w:tabs>
          <w:tab w:val="left" w:pos="1843"/>
          <w:tab w:val="left" w:pos="6120"/>
        </w:tabs>
        <w:ind w:left="1134" w:right="0" w:firstLine="0"/>
        <w:rPr>
          <w:lang w:val="en-GB"/>
        </w:rPr>
      </w:pPr>
      <w:bookmarkStart w:id="13" w:name="_Ref465240949"/>
      <w:r w:rsidRPr="00FF1087">
        <w:rPr>
          <w:rStyle w:val="st"/>
          <w:lang w:val="en-GB"/>
        </w:rPr>
        <w:t xml:space="preserve">On </w:t>
      </w:r>
      <w:r w:rsidR="00D24E1B" w:rsidRPr="00FF1087">
        <w:rPr>
          <w:rStyle w:val="st"/>
          <w:lang w:val="en-GB"/>
        </w:rPr>
        <w:t xml:space="preserve">22 January 2014, the Ombudsman issued its preliminary opinion and on </w:t>
      </w:r>
      <w:r w:rsidR="005C6E0A" w:rsidRPr="00FF1087">
        <w:rPr>
          <w:rStyle w:val="st"/>
          <w:lang w:val="en-GB"/>
        </w:rPr>
        <w:t>3 June 2014</w:t>
      </w:r>
      <w:r w:rsidRPr="00FF1087">
        <w:rPr>
          <w:rStyle w:val="st"/>
          <w:lang w:val="en-GB"/>
        </w:rPr>
        <w:t>,</w:t>
      </w:r>
      <w:r w:rsidR="005C6E0A" w:rsidRPr="00FF1087">
        <w:rPr>
          <w:rStyle w:val="st"/>
          <w:lang w:val="en-GB"/>
        </w:rPr>
        <w:t xml:space="preserve"> </w:t>
      </w:r>
      <w:r w:rsidR="00431FD6" w:rsidRPr="00FF1087">
        <w:rPr>
          <w:rStyle w:val="st"/>
          <w:lang w:val="en-GB"/>
        </w:rPr>
        <w:t>the Commission</w:t>
      </w:r>
      <w:r w:rsidR="005C6E0A" w:rsidRPr="00FF1087">
        <w:rPr>
          <w:rStyle w:val="st"/>
          <w:lang w:val="en-GB"/>
        </w:rPr>
        <w:t xml:space="preserve"> </w:t>
      </w:r>
      <w:r w:rsidR="007A247F" w:rsidRPr="00FF1087">
        <w:rPr>
          <w:rStyle w:val="st"/>
          <w:lang w:val="en-GB"/>
        </w:rPr>
        <w:t>responded</w:t>
      </w:r>
      <w:r w:rsidR="005C6E0A" w:rsidRPr="00FF1087">
        <w:rPr>
          <w:rStyle w:val="st"/>
          <w:lang w:val="en-GB"/>
        </w:rPr>
        <w:t xml:space="preserve"> to the</w:t>
      </w:r>
      <w:r w:rsidRPr="00FF1087">
        <w:rPr>
          <w:rStyle w:val="st"/>
          <w:lang w:val="en-GB"/>
        </w:rPr>
        <w:t xml:space="preserve"> </w:t>
      </w:r>
      <w:r w:rsidR="005C6E0A" w:rsidRPr="00FF1087">
        <w:rPr>
          <w:rStyle w:val="st"/>
          <w:lang w:val="en-GB"/>
        </w:rPr>
        <w:t>Ombudsman</w:t>
      </w:r>
      <w:r w:rsidR="00580B4D" w:rsidRPr="00FF1087">
        <w:rPr>
          <w:rStyle w:val="st"/>
          <w:lang w:val="en-GB"/>
        </w:rPr>
        <w:t>, stating</w:t>
      </w:r>
      <w:r w:rsidR="005C6E0A" w:rsidRPr="00FF1087">
        <w:rPr>
          <w:rStyle w:val="st"/>
          <w:lang w:val="en-GB"/>
        </w:rPr>
        <w:t xml:space="preserve"> that </w:t>
      </w:r>
      <w:r w:rsidR="007A247F" w:rsidRPr="00FF1087">
        <w:rPr>
          <w:rStyle w:val="st"/>
          <w:lang w:val="en-GB"/>
        </w:rPr>
        <w:t>it</w:t>
      </w:r>
      <w:r w:rsidR="005C6E0A" w:rsidRPr="00FF1087">
        <w:rPr>
          <w:rStyle w:val="st"/>
          <w:lang w:val="en-GB"/>
        </w:rPr>
        <w:t xml:space="preserve"> </w:t>
      </w:r>
      <w:r w:rsidR="004D3A28" w:rsidRPr="00FF1087">
        <w:rPr>
          <w:rStyle w:val="st"/>
          <w:lang w:val="en-GB"/>
        </w:rPr>
        <w:t xml:space="preserve">had </w:t>
      </w:r>
      <w:r w:rsidR="00A108B7" w:rsidRPr="00FF1087">
        <w:rPr>
          <w:rStyle w:val="st"/>
          <w:lang w:val="en-GB"/>
        </w:rPr>
        <w:t>r</w:t>
      </w:r>
      <w:r w:rsidR="005C6E0A" w:rsidRPr="00FF1087">
        <w:rPr>
          <w:rStyle w:val="st"/>
          <w:lang w:val="en-GB"/>
        </w:rPr>
        <w:t xml:space="preserve">eassessed the requested questionnaires to consider the possibility </w:t>
      </w:r>
      <w:r w:rsidR="009C172C" w:rsidRPr="00FF1087">
        <w:rPr>
          <w:rStyle w:val="st"/>
          <w:lang w:val="en-GB"/>
        </w:rPr>
        <w:t xml:space="preserve">of granting either full </w:t>
      </w:r>
      <w:r w:rsidR="005C6E0A" w:rsidRPr="00FF1087">
        <w:rPr>
          <w:rStyle w:val="st"/>
          <w:lang w:val="en-GB"/>
        </w:rPr>
        <w:t xml:space="preserve">or wider access to the </w:t>
      </w:r>
      <w:r w:rsidR="003F411A" w:rsidRPr="00FF1087">
        <w:rPr>
          <w:rStyle w:val="st"/>
          <w:lang w:val="en-GB"/>
        </w:rPr>
        <w:t xml:space="preserve">redacted </w:t>
      </w:r>
      <w:r w:rsidR="005C6E0A" w:rsidRPr="00FF1087">
        <w:rPr>
          <w:rStyle w:val="st"/>
          <w:lang w:val="en-GB"/>
        </w:rPr>
        <w:t xml:space="preserve">parts </w:t>
      </w:r>
      <w:r w:rsidR="00E914CB" w:rsidRPr="00FF1087">
        <w:rPr>
          <w:rStyle w:val="st"/>
          <w:lang w:val="en-GB"/>
        </w:rPr>
        <w:t xml:space="preserve">and </w:t>
      </w:r>
      <w:r w:rsidR="003F411A" w:rsidRPr="00FF1087">
        <w:rPr>
          <w:rStyle w:val="st"/>
          <w:lang w:val="en-GB"/>
        </w:rPr>
        <w:t xml:space="preserve">had consequently </w:t>
      </w:r>
      <w:r w:rsidR="007A247F" w:rsidRPr="00FF1087">
        <w:rPr>
          <w:rStyle w:val="st"/>
          <w:lang w:val="en-GB"/>
        </w:rPr>
        <w:t>provided</w:t>
      </w:r>
      <w:r w:rsidR="00E914CB" w:rsidRPr="00FF1087">
        <w:rPr>
          <w:rStyle w:val="st"/>
          <w:lang w:val="en-GB"/>
        </w:rPr>
        <w:t xml:space="preserve"> some further information</w:t>
      </w:r>
      <w:r w:rsidR="005C6E0A" w:rsidRPr="00FF1087">
        <w:rPr>
          <w:rStyle w:val="st"/>
          <w:lang w:val="en-GB"/>
        </w:rPr>
        <w:t>.</w:t>
      </w:r>
      <w:r w:rsidR="005C6E0A" w:rsidRPr="00FF1087">
        <w:rPr>
          <w:rStyle w:val="FootnoteReference"/>
          <w:lang w:val="en-GB"/>
        </w:rPr>
        <w:footnoteReference w:id="28"/>
      </w:r>
      <w:r w:rsidR="005C6E0A" w:rsidRPr="00FF1087">
        <w:rPr>
          <w:rStyle w:val="FootnoteReference"/>
          <w:lang w:val="en-GB"/>
        </w:rPr>
        <w:t xml:space="preserve"> </w:t>
      </w:r>
      <w:r w:rsidR="00431FD6" w:rsidRPr="00FF1087">
        <w:rPr>
          <w:lang w:val="en-GB"/>
        </w:rPr>
        <w:t>On 1</w:t>
      </w:r>
      <w:r w:rsidR="00A00E91" w:rsidRPr="00FF1087">
        <w:rPr>
          <w:lang w:val="en-GB"/>
        </w:rPr>
        <w:t>6 February 2015</w:t>
      </w:r>
      <w:r w:rsidR="00431FD6" w:rsidRPr="00FF1087">
        <w:rPr>
          <w:lang w:val="en-GB"/>
        </w:rPr>
        <w:t>, the</w:t>
      </w:r>
      <w:r w:rsidR="00A00E91" w:rsidRPr="00FF1087">
        <w:rPr>
          <w:lang w:val="en-GB"/>
        </w:rPr>
        <w:t xml:space="preserve"> Ombudsman </w:t>
      </w:r>
      <w:r w:rsidR="00EE6ADF" w:rsidRPr="00FF1087">
        <w:rPr>
          <w:lang w:val="en-GB"/>
        </w:rPr>
        <w:t>closed</w:t>
      </w:r>
      <w:r w:rsidR="00A00E91" w:rsidRPr="00FF1087">
        <w:rPr>
          <w:lang w:val="en-GB"/>
        </w:rPr>
        <w:t xml:space="preserve"> the </w:t>
      </w:r>
      <w:r w:rsidR="00F509D8" w:rsidRPr="00FF1087">
        <w:rPr>
          <w:lang w:val="en-GB"/>
        </w:rPr>
        <w:t>complaint</w:t>
      </w:r>
      <w:r w:rsidR="004D3A28" w:rsidRPr="00FF1087">
        <w:rPr>
          <w:lang w:val="en-GB"/>
        </w:rPr>
        <w:t xml:space="preserve">, noting </w:t>
      </w:r>
      <w:proofErr w:type="spellStart"/>
      <w:r w:rsidR="00301FC7" w:rsidRPr="00FF1087">
        <w:rPr>
          <w:lang w:val="en-GB"/>
        </w:rPr>
        <w:t>tht</w:t>
      </w:r>
      <w:proofErr w:type="spellEnd"/>
      <w:r w:rsidR="00301FC7" w:rsidRPr="00FF1087">
        <w:rPr>
          <w:lang w:val="en-GB"/>
        </w:rPr>
        <w:t xml:space="preserve"> the Commission had</w:t>
      </w:r>
      <w:r w:rsidR="00A00E91" w:rsidRPr="00FF1087">
        <w:rPr>
          <w:lang w:val="en-GB"/>
        </w:rPr>
        <w:t xml:space="preserve"> accepted the Ombud</w:t>
      </w:r>
      <w:r w:rsidR="00301FC7" w:rsidRPr="00FF1087">
        <w:rPr>
          <w:lang w:val="en-GB"/>
        </w:rPr>
        <w:t>sman</w:t>
      </w:r>
      <w:r w:rsidR="004D3A28" w:rsidRPr="00FF1087">
        <w:rPr>
          <w:lang w:val="en-GB"/>
        </w:rPr>
        <w:t>’</w:t>
      </w:r>
      <w:r w:rsidR="00301FC7" w:rsidRPr="00FF1087">
        <w:rPr>
          <w:lang w:val="en-GB"/>
        </w:rPr>
        <w:t>s proposed solution and had</w:t>
      </w:r>
      <w:r w:rsidR="00A00E91" w:rsidRPr="00FF1087">
        <w:rPr>
          <w:lang w:val="en-GB"/>
        </w:rPr>
        <w:t xml:space="preserve"> provided the complainant with the widest possible access to the requested documents. </w:t>
      </w:r>
      <w:r w:rsidR="004D3A28" w:rsidRPr="00FF1087">
        <w:rPr>
          <w:lang w:val="en-GB"/>
        </w:rPr>
        <w:t>The Ombudsman</w:t>
      </w:r>
      <w:r w:rsidR="00A00E91" w:rsidRPr="00FF1087">
        <w:rPr>
          <w:lang w:val="en-GB"/>
        </w:rPr>
        <w:t xml:space="preserve"> further state</w:t>
      </w:r>
      <w:r w:rsidR="004D3A28" w:rsidRPr="00FF1087">
        <w:rPr>
          <w:lang w:val="en-GB"/>
        </w:rPr>
        <w:t>d</w:t>
      </w:r>
      <w:r w:rsidR="00A00E91" w:rsidRPr="00FF1087">
        <w:rPr>
          <w:lang w:val="en-GB"/>
        </w:rPr>
        <w:t xml:space="preserve"> that</w:t>
      </w:r>
      <w:r w:rsidR="003868BD" w:rsidRPr="00FF1087">
        <w:rPr>
          <w:lang w:val="en-GB"/>
        </w:rPr>
        <w:t>,</w:t>
      </w:r>
      <w:r w:rsidR="00A00E91" w:rsidRPr="00FF1087">
        <w:rPr>
          <w:lang w:val="en-GB"/>
        </w:rPr>
        <w:t xml:space="preserve"> in light of this favourable </w:t>
      </w:r>
      <w:r w:rsidR="004D3A28" w:rsidRPr="00FF1087">
        <w:rPr>
          <w:lang w:val="en-GB"/>
        </w:rPr>
        <w:t>outcome and the Commission’</w:t>
      </w:r>
      <w:r w:rsidR="00A00E91" w:rsidRPr="00FF1087">
        <w:rPr>
          <w:lang w:val="en-GB"/>
        </w:rPr>
        <w:t xml:space="preserve">s cooperative attitude, </w:t>
      </w:r>
      <w:r w:rsidR="004D3A28" w:rsidRPr="00FF1087">
        <w:rPr>
          <w:lang w:val="en-GB"/>
        </w:rPr>
        <w:t xml:space="preserve">it did </w:t>
      </w:r>
      <w:r w:rsidR="00A00E91" w:rsidRPr="00FF1087">
        <w:rPr>
          <w:lang w:val="en-GB"/>
        </w:rPr>
        <w:t>not consider it appropriate to issue a critical remark o</w:t>
      </w:r>
      <w:r w:rsidR="003868BD" w:rsidRPr="00FF1087">
        <w:rPr>
          <w:lang w:val="en-GB"/>
        </w:rPr>
        <w:t>n</w:t>
      </w:r>
      <w:r w:rsidR="00A00E91" w:rsidRPr="00FF1087">
        <w:rPr>
          <w:lang w:val="en-GB"/>
        </w:rPr>
        <w:t xml:space="preserve"> the procedural oversight identified.</w:t>
      </w:r>
      <w:r w:rsidR="00A00E91" w:rsidRPr="00FF1087">
        <w:rPr>
          <w:rStyle w:val="FootnoteReference"/>
          <w:lang w:val="en-GB"/>
        </w:rPr>
        <w:footnoteReference w:id="29"/>
      </w:r>
      <w:bookmarkEnd w:id="13"/>
    </w:p>
    <w:p w14:paraId="01A65297" w14:textId="10F7A4AB" w:rsidR="0070528A" w:rsidRPr="00FF1087" w:rsidRDefault="00A908CF" w:rsidP="001C3D04">
      <w:pPr>
        <w:pStyle w:val="SingleTxtG"/>
        <w:tabs>
          <w:tab w:val="left" w:pos="1843"/>
          <w:tab w:val="left" w:pos="6120"/>
        </w:tabs>
        <w:ind w:right="0"/>
        <w:rPr>
          <w:rStyle w:val="st"/>
          <w:b/>
          <w:lang w:val="en-GB"/>
        </w:rPr>
      </w:pPr>
      <w:r w:rsidRPr="00FF1087">
        <w:rPr>
          <w:rStyle w:val="st"/>
          <w:b/>
          <w:lang w:val="en-GB"/>
        </w:rPr>
        <w:t xml:space="preserve">Mr. </w:t>
      </w:r>
      <w:r w:rsidR="00781A24" w:rsidRPr="00FF1087">
        <w:rPr>
          <w:rStyle w:val="st"/>
          <w:b/>
          <w:lang w:val="en-GB"/>
        </w:rPr>
        <w:t>Caulfield</w:t>
      </w:r>
      <w:r w:rsidR="006544C8" w:rsidRPr="00FF1087">
        <w:rPr>
          <w:rStyle w:val="st"/>
          <w:b/>
          <w:lang w:val="en-GB"/>
        </w:rPr>
        <w:t>’</w:t>
      </w:r>
      <w:r w:rsidR="00781A24" w:rsidRPr="00FF1087">
        <w:rPr>
          <w:rStyle w:val="st"/>
          <w:b/>
          <w:lang w:val="en-GB"/>
        </w:rPr>
        <w:t>s s</w:t>
      </w:r>
      <w:r w:rsidR="0070528A" w:rsidRPr="00FF1087">
        <w:rPr>
          <w:rStyle w:val="st"/>
          <w:b/>
          <w:lang w:val="en-GB"/>
        </w:rPr>
        <w:t xml:space="preserve">econd and third </w:t>
      </w:r>
      <w:r w:rsidR="00BB4FB8" w:rsidRPr="00FF1087">
        <w:rPr>
          <w:rStyle w:val="st"/>
          <w:b/>
          <w:lang w:val="en-GB"/>
        </w:rPr>
        <w:t xml:space="preserve">Ombudsman </w:t>
      </w:r>
      <w:r w:rsidR="00781A24" w:rsidRPr="00FF1087">
        <w:rPr>
          <w:rStyle w:val="st"/>
          <w:b/>
          <w:lang w:val="en-GB"/>
        </w:rPr>
        <w:t xml:space="preserve">complaints </w:t>
      </w:r>
    </w:p>
    <w:p w14:paraId="64BB2B24" w14:textId="64E2E3B3" w:rsidR="00E3124E" w:rsidRPr="00FF1087" w:rsidRDefault="00431FD6" w:rsidP="001C3D04">
      <w:pPr>
        <w:pStyle w:val="SingleTxtG"/>
        <w:numPr>
          <w:ilvl w:val="0"/>
          <w:numId w:val="3"/>
        </w:numPr>
        <w:tabs>
          <w:tab w:val="left" w:pos="1843"/>
          <w:tab w:val="left" w:pos="6120"/>
          <w:tab w:val="left" w:pos="6237"/>
        </w:tabs>
        <w:ind w:left="1134" w:right="0" w:firstLine="0"/>
        <w:rPr>
          <w:rStyle w:val="st"/>
          <w:lang w:val="en-GB"/>
        </w:rPr>
      </w:pPr>
      <w:r w:rsidRPr="00FF1087">
        <w:rPr>
          <w:rStyle w:val="st"/>
          <w:lang w:val="en-GB"/>
        </w:rPr>
        <w:t xml:space="preserve">On </w:t>
      </w:r>
      <w:r w:rsidR="007600AE" w:rsidRPr="00FF1087">
        <w:rPr>
          <w:rStyle w:val="st"/>
          <w:lang w:val="en-GB"/>
        </w:rPr>
        <w:t>21 July 2013</w:t>
      </w:r>
      <w:r w:rsidRPr="00FF1087">
        <w:rPr>
          <w:rStyle w:val="st"/>
          <w:lang w:val="en-GB"/>
        </w:rPr>
        <w:t>,</w:t>
      </w:r>
      <w:r w:rsidR="007600AE" w:rsidRPr="00FF1087">
        <w:rPr>
          <w:rStyle w:val="st"/>
          <w:lang w:val="en-GB"/>
        </w:rPr>
        <w:t xml:space="preserve"> </w:t>
      </w:r>
      <w:r w:rsidR="00A908CF" w:rsidRPr="00FF1087">
        <w:rPr>
          <w:rStyle w:val="st"/>
          <w:lang w:val="en-GB"/>
        </w:rPr>
        <w:t xml:space="preserve">Mr. </w:t>
      </w:r>
      <w:r w:rsidR="007600AE" w:rsidRPr="00FF1087">
        <w:rPr>
          <w:rStyle w:val="st"/>
          <w:lang w:val="en-GB"/>
        </w:rPr>
        <w:t>Caulfield filed</w:t>
      </w:r>
      <w:r w:rsidRPr="00FF1087">
        <w:rPr>
          <w:rStyle w:val="st"/>
          <w:lang w:val="en-GB"/>
        </w:rPr>
        <w:t xml:space="preserve"> a</w:t>
      </w:r>
      <w:r w:rsidR="007600AE" w:rsidRPr="00FF1087">
        <w:rPr>
          <w:rStyle w:val="st"/>
          <w:lang w:val="en-GB"/>
        </w:rPr>
        <w:t xml:space="preserve"> second </w:t>
      </w:r>
      <w:r w:rsidR="00BB4FB8" w:rsidRPr="00FF1087">
        <w:rPr>
          <w:rStyle w:val="st"/>
          <w:lang w:val="en-GB"/>
        </w:rPr>
        <w:t xml:space="preserve">Ombudsman </w:t>
      </w:r>
      <w:r w:rsidR="007600AE" w:rsidRPr="00FF1087">
        <w:rPr>
          <w:rStyle w:val="st"/>
          <w:lang w:val="en-GB"/>
        </w:rPr>
        <w:t>complain</w:t>
      </w:r>
      <w:r w:rsidRPr="00FF1087">
        <w:rPr>
          <w:rStyle w:val="st"/>
          <w:lang w:val="en-GB"/>
        </w:rPr>
        <w:t>t</w:t>
      </w:r>
      <w:r w:rsidR="003F411A" w:rsidRPr="00FF1087">
        <w:rPr>
          <w:rStyle w:val="st"/>
          <w:lang w:val="en-GB"/>
        </w:rPr>
        <w:t xml:space="preserve">, claiming that the Commission had failed to conduct the public consultation </w:t>
      </w:r>
      <w:r w:rsidR="00D6151F" w:rsidRPr="00FF1087">
        <w:rPr>
          <w:rStyle w:val="st"/>
          <w:lang w:val="en-GB"/>
        </w:rPr>
        <w:t xml:space="preserve">on </w:t>
      </w:r>
      <w:r w:rsidR="003F411A" w:rsidRPr="00FF1087">
        <w:rPr>
          <w:rStyle w:val="st"/>
          <w:lang w:val="en-GB"/>
        </w:rPr>
        <w:t>the PCIs in accordance with European legislation and to provide evidence of how the population of the Irish Midlands were informed.</w:t>
      </w:r>
      <w:r w:rsidR="0025405C" w:rsidRPr="00FF1087">
        <w:rPr>
          <w:rStyle w:val="st"/>
          <w:lang w:val="en-GB"/>
        </w:rPr>
        <w:t xml:space="preserve"> </w:t>
      </w:r>
      <w:r w:rsidR="003F411A" w:rsidRPr="00FF1087">
        <w:rPr>
          <w:rStyle w:val="st"/>
          <w:lang w:val="en-GB"/>
        </w:rPr>
        <w:t xml:space="preserve">He </w:t>
      </w:r>
      <w:r w:rsidR="007600AE" w:rsidRPr="00FF1087">
        <w:rPr>
          <w:rStyle w:val="st"/>
          <w:lang w:val="en-GB"/>
        </w:rPr>
        <w:t>request</w:t>
      </w:r>
      <w:r w:rsidR="002B4874" w:rsidRPr="00FF1087">
        <w:rPr>
          <w:rStyle w:val="st"/>
          <w:lang w:val="en-GB"/>
        </w:rPr>
        <w:t>ed</w:t>
      </w:r>
      <w:r w:rsidR="007600AE" w:rsidRPr="00FF1087">
        <w:rPr>
          <w:rStyle w:val="st"/>
          <w:lang w:val="en-GB"/>
        </w:rPr>
        <w:t xml:space="preserve"> </w:t>
      </w:r>
      <w:r w:rsidR="003868BD" w:rsidRPr="00FF1087">
        <w:rPr>
          <w:rStyle w:val="st"/>
          <w:lang w:val="en-GB"/>
        </w:rPr>
        <w:t>the</w:t>
      </w:r>
      <w:r w:rsidR="002B4874" w:rsidRPr="00FF1087">
        <w:rPr>
          <w:rStyle w:val="st"/>
          <w:lang w:val="en-GB"/>
        </w:rPr>
        <w:t xml:space="preserve"> </w:t>
      </w:r>
      <w:r w:rsidR="0029549C" w:rsidRPr="00FF1087">
        <w:rPr>
          <w:rStyle w:val="st"/>
          <w:lang w:val="en-GB"/>
        </w:rPr>
        <w:t>consultation</w:t>
      </w:r>
      <w:r w:rsidR="003868BD" w:rsidRPr="00FF1087">
        <w:rPr>
          <w:rStyle w:val="st"/>
          <w:lang w:val="en-GB"/>
        </w:rPr>
        <w:t xml:space="preserve"> be reopened</w:t>
      </w:r>
      <w:r w:rsidR="0029549C" w:rsidRPr="00FF1087">
        <w:rPr>
          <w:rStyle w:val="st"/>
          <w:lang w:val="en-GB"/>
        </w:rPr>
        <w:t xml:space="preserve"> </w:t>
      </w:r>
      <w:r w:rsidR="0098067D" w:rsidRPr="00FF1087">
        <w:rPr>
          <w:rStyle w:val="st"/>
          <w:lang w:val="en-GB"/>
        </w:rPr>
        <w:t xml:space="preserve">to </w:t>
      </w:r>
      <w:r w:rsidR="007600AE" w:rsidRPr="00FF1087">
        <w:rPr>
          <w:rStyle w:val="st"/>
          <w:lang w:val="en-GB"/>
        </w:rPr>
        <w:t>ensure</w:t>
      </w:r>
      <w:r w:rsidR="0098067D" w:rsidRPr="00FF1087">
        <w:rPr>
          <w:rStyle w:val="st"/>
          <w:lang w:val="en-GB"/>
        </w:rPr>
        <w:t xml:space="preserve"> the environmental information wa</w:t>
      </w:r>
      <w:r w:rsidR="007600AE" w:rsidRPr="00FF1087">
        <w:rPr>
          <w:rStyle w:val="st"/>
          <w:lang w:val="en-GB"/>
        </w:rPr>
        <w:t>s availa</w:t>
      </w:r>
      <w:r w:rsidR="0029549C" w:rsidRPr="00FF1087">
        <w:rPr>
          <w:rStyle w:val="st"/>
          <w:lang w:val="en-GB"/>
        </w:rPr>
        <w:t>ble to</w:t>
      </w:r>
      <w:r w:rsidR="003868BD" w:rsidRPr="00FF1087">
        <w:rPr>
          <w:rStyle w:val="st"/>
          <w:lang w:val="en-GB"/>
        </w:rPr>
        <w:t xml:space="preserve"> affected</w:t>
      </w:r>
      <w:r w:rsidR="007A247F" w:rsidRPr="00FF1087">
        <w:rPr>
          <w:rStyle w:val="st"/>
          <w:lang w:val="en-GB"/>
        </w:rPr>
        <w:t xml:space="preserve"> </w:t>
      </w:r>
      <w:r w:rsidR="0029549C" w:rsidRPr="00FF1087">
        <w:rPr>
          <w:rStyle w:val="st"/>
          <w:lang w:val="en-GB"/>
        </w:rPr>
        <w:t xml:space="preserve">communities and </w:t>
      </w:r>
      <w:r w:rsidR="0098067D" w:rsidRPr="00FF1087">
        <w:rPr>
          <w:rStyle w:val="st"/>
          <w:lang w:val="en-GB"/>
        </w:rPr>
        <w:t xml:space="preserve">to </w:t>
      </w:r>
      <w:r w:rsidR="007600AE" w:rsidRPr="00FF1087">
        <w:rPr>
          <w:rStyle w:val="st"/>
          <w:lang w:val="en-GB"/>
        </w:rPr>
        <w:t xml:space="preserve">halt the </w:t>
      </w:r>
      <w:r w:rsidR="00D17ED7" w:rsidRPr="00FF1087">
        <w:rPr>
          <w:rStyle w:val="st"/>
          <w:lang w:val="en-GB"/>
        </w:rPr>
        <w:t xml:space="preserve">PCI </w:t>
      </w:r>
      <w:r w:rsidR="007600AE" w:rsidRPr="00FF1087">
        <w:rPr>
          <w:rStyle w:val="st"/>
          <w:lang w:val="en-GB"/>
        </w:rPr>
        <w:t xml:space="preserve">legislative process until </w:t>
      </w:r>
      <w:r w:rsidR="003868BD" w:rsidRPr="00FF1087">
        <w:rPr>
          <w:rStyle w:val="st"/>
          <w:lang w:val="en-GB"/>
        </w:rPr>
        <w:t xml:space="preserve">these issues </w:t>
      </w:r>
      <w:r w:rsidR="00D17ED7" w:rsidRPr="00FF1087">
        <w:rPr>
          <w:rStyle w:val="st"/>
          <w:lang w:val="en-GB"/>
        </w:rPr>
        <w:t>were</w:t>
      </w:r>
      <w:r w:rsidR="0029549C" w:rsidRPr="00FF1087">
        <w:rPr>
          <w:rStyle w:val="st"/>
          <w:lang w:val="en-GB"/>
        </w:rPr>
        <w:t xml:space="preserve"> resolved</w:t>
      </w:r>
      <w:r w:rsidR="007600AE" w:rsidRPr="00FF1087">
        <w:rPr>
          <w:rStyle w:val="st"/>
          <w:lang w:val="en-GB"/>
        </w:rPr>
        <w:t>.</w:t>
      </w:r>
      <w:r w:rsidR="007600AE" w:rsidRPr="00FF1087">
        <w:rPr>
          <w:rStyle w:val="FootnoteReference"/>
          <w:lang w:val="en-GB"/>
        </w:rPr>
        <w:footnoteReference w:id="30"/>
      </w:r>
      <w:r w:rsidR="002B4874" w:rsidRPr="00FF1087">
        <w:rPr>
          <w:rStyle w:val="st"/>
          <w:lang w:val="en-GB"/>
        </w:rPr>
        <w:t xml:space="preserve"> On</w:t>
      </w:r>
      <w:r w:rsidR="0098067D" w:rsidRPr="00FF1087">
        <w:rPr>
          <w:rStyle w:val="st"/>
          <w:lang w:val="en-GB"/>
        </w:rPr>
        <w:t xml:space="preserve"> </w:t>
      </w:r>
      <w:r w:rsidR="00D63084" w:rsidRPr="00FF1087">
        <w:rPr>
          <w:rStyle w:val="st"/>
          <w:lang w:val="en-GB"/>
        </w:rPr>
        <w:t>16 December 2013</w:t>
      </w:r>
      <w:r w:rsidR="002B4874" w:rsidRPr="00FF1087">
        <w:rPr>
          <w:rStyle w:val="st"/>
          <w:lang w:val="en-GB"/>
        </w:rPr>
        <w:t>, the</w:t>
      </w:r>
      <w:r w:rsidR="00D63084" w:rsidRPr="00FF1087">
        <w:rPr>
          <w:rStyle w:val="st"/>
          <w:lang w:val="en-GB"/>
        </w:rPr>
        <w:t xml:space="preserve"> Ombudsma</w:t>
      </w:r>
      <w:r w:rsidR="00B43B94" w:rsidRPr="00FF1087">
        <w:rPr>
          <w:rStyle w:val="st"/>
          <w:lang w:val="en-GB"/>
        </w:rPr>
        <w:t xml:space="preserve">n closed </w:t>
      </w:r>
      <w:r w:rsidR="003868BD" w:rsidRPr="00FF1087">
        <w:rPr>
          <w:rStyle w:val="st"/>
          <w:lang w:val="en-GB"/>
        </w:rPr>
        <w:t xml:space="preserve">this </w:t>
      </w:r>
      <w:r w:rsidR="00B43B94" w:rsidRPr="00FF1087">
        <w:rPr>
          <w:rStyle w:val="st"/>
          <w:lang w:val="en-GB"/>
        </w:rPr>
        <w:t xml:space="preserve">complaint </w:t>
      </w:r>
      <w:r w:rsidR="000F4BF2" w:rsidRPr="00FF1087">
        <w:rPr>
          <w:rStyle w:val="st"/>
          <w:lang w:val="en-GB"/>
        </w:rPr>
        <w:t>for inaction by Mr Caulfield</w:t>
      </w:r>
      <w:r w:rsidR="00B43B94" w:rsidRPr="00FF1087">
        <w:rPr>
          <w:rStyle w:val="st"/>
          <w:lang w:val="en-GB"/>
        </w:rPr>
        <w:t>.</w:t>
      </w:r>
      <w:r w:rsidR="00D63084" w:rsidRPr="00FF1087">
        <w:rPr>
          <w:rStyle w:val="FootnoteReference"/>
          <w:lang w:val="en-GB"/>
        </w:rPr>
        <w:footnoteReference w:id="31"/>
      </w:r>
      <w:r w:rsidR="0077460E" w:rsidRPr="00FF1087">
        <w:rPr>
          <w:rStyle w:val="FootnoteReference"/>
          <w:lang w:val="en-GB"/>
        </w:rPr>
        <w:t xml:space="preserve"> </w:t>
      </w:r>
    </w:p>
    <w:p w14:paraId="7B72FE6F" w14:textId="710BAB1E" w:rsidR="007600AE" w:rsidRPr="00FF1087" w:rsidRDefault="002B4874" w:rsidP="00BB4FB8">
      <w:pPr>
        <w:pStyle w:val="SingleTxtG"/>
        <w:numPr>
          <w:ilvl w:val="0"/>
          <w:numId w:val="3"/>
        </w:numPr>
        <w:tabs>
          <w:tab w:val="left" w:pos="1843"/>
          <w:tab w:val="left" w:pos="6120"/>
        </w:tabs>
        <w:ind w:left="1134" w:right="0" w:firstLine="0"/>
        <w:rPr>
          <w:rStyle w:val="st"/>
          <w:lang w:val="en-GB"/>
        </w:rPr>
      </w:pPr>
      <w:bookmarkStart w:id="14" w:name="_Ref465251089"/>
      <w:r w:rsidRPr="00FF1087">
        <w:rPr>
          <w:rStyle w:val="st"/>
          <w:lang w:val="en-GB"/>
        </w:rPr>
        <w:t xml:space="preserve">On </w:t>
      </w:r>
      <w:r w:rsidR="0077460E" w:rsidRPr="00FF1087">
        <w:rPr>
          <w:rStyle w:val="st"/>
          <w:lang w:val="en-GB"/>
        </w:rPr>
        <w:t>2 February 2014</w:t>
      </w:r>
      <w:r w:rsidRPr="00FF1087">
        <w:rPr>
          <w:rStyle w:val="st"/>
          <w:lang w:val="en-GB"/>
        </w:rPr>
        <w:t>,</w:t>
      </w:r>
      <w:r w:rsidR="0077460E" w:rsidRPr="00FF1087">
        <w:rPr>
          <w:rStyle w:val="st"/>
          <w:lang w:val="en-GB"/>
        </w:rPr>
        <w:t xml:space="preserve"> </w:t>
      </w:r>
      <w:r w:rsidR="00A908CF" w:rsidRPr="00FF1087">
        <w:rPr>
          <w:rStyle w:val="st"/>
          <w:lang w:val="en-GB"/>
        </w:rPr>
        <w:t xml:space="preserve">Mr. </w:t>
      </w:r>
      <w:r w:rsidR="0077460E" w:rsidRPr="00FF1087">
        <w:rPr>
          <w:rStyle w:val="st"/>
          <w:lang w:val="en-GB"/>
        </w:rPr>
        <w:t xml:space="preserve">Caulfield submitted </w:t>
      </w:r>
      <w:r w:rsidRPr="00FF1087">
        <w:rPr>
          <w:rStyle w:val="st"/>
          <w:lang w:val="en-GB"/>
        </w:rPr>
        <w:t>a</w:t>
      </w:r>
      <w:r w:rsidR="0077460E" w:rsidRPr="00FF1087">
        <w:rPr>
          <w:rStyle w:val="st"/>
          <w:lang w:val="en-GB"/>
        </w:rPr>
        <w:t xml:space="preserve"> </w:t>
      </w:r>
      <w:r w:rsidR="00A108B7" w:rsidRPr="00FF1087">
        <w:rPr>
          <w:rStyle w:val="st"/>
          <w:lang w:val="en-GB"/>
        </w:rPr>
        <w:t xml:space="preserve">third </w:t>
      </w:r>
      <w:r w:rsidR="00BB4FB8" w:rsidRPr="00FF1087">
        <w:rPr>
          <w:rStyle w:val="st"/>
          <w:lang w:val="en-GB"/>
        </w:rPr>
        <w:t xml:space="preserve">Ombudsman </w:t>
      </w:r>
      <w:proofErr w:type="gramStart"/>
      <w:r w:rsidR="0077460E" w:rsidRPr="00FF1087">
        <w:rPr>
          <w:rStyle w:val="st"/>
          <w:lang w:val="en-GB"/>
        </w:rPr>
        <w:t>complaint</w:t>
      </w:r>
      <w:r w:rsidR="00A80D55" w:rsidRPr="00FF1087">
        <w:rPr>
          <w:rStyle w:val="st"/>
          <w:lang w:val="en-GB"/>
        </w:rPr>
        <w:t xml:space="preserve">, </w:t>
      </w:r>
      <w:r w:rsidR="003F411A" w:rsidRPr="00FF1087">
        <w:rPr>
          <w:rStyle w:val="st"/>
          <w:lang w:val="en-GB"/>
        </w:rPr>
        <w:t xml:space="preserve"> </w:t>
      </w:r>
      <w:r w:rsidR="00A80D55" w:rsidRPr="00FF1087">
        <w:rPr>
          <w:rStyle w:val="st"/>
          <w:lang w:val="en-GB"/>
        </w:rPr>
        <w:t>claiming</w:t>
      </w:r>
      <w:proofErr w:type="gramEnd"/>
      <w:r w:rsidR="00A80D55" w:rsidRPr="00FF1087">
        <w:rPr>
          <w:rStyle w:val="st"/>
          <w:lang w:val="en-GB"/>
        </w:rPr>
        <w:t xml:space="preserve"> </w:t>
      </w:r>
      <w:r w:rsidR="0077460E" w:rsidRPr="00FF1087">
        <w:rPr>
          <w:rStyle w:val="st"/>
          <w:lang w:val="en-GB"/>
        </w:rPr>
        <w:t xml:space="preserve">that </w:t>
      </w:r>
      <w:r w:rsidR="005C6E0A" w:rsidRPr="00FF1087">
        <w:rPr>
          <w:rStyle w:val="st"/>
          <w:lang w:val="en-GB"/>
        </w:rPr>
        <w:t xml:space="preserve">firstly, </w:t>
      </w:r>
      <w:r w:rsidR="0077460E" w:rsidRPr="00FF1087">
        <w:rPr>
          <w:rStyle w:val="st"/>
          <w:lang w:val="en-GB"/>
        </w:rPr>
        <w:t xml:space="preserve">the </w:t>
      </w:r>
      <w:r w:rsidR="009C00D2" w:rsidRPr="00FF1087">
        <w:rPr>
          <w:rStyle w:val="st"/>
          <w:lang w:val="en-GB"/>
        </w:rPr>
        <w:t xml:space="preserve">Commission </w:t>
      </w:r>
      <w:r w:rsidR="00B54272" w:rsidRPr="00FF1087">
        <w:rPr>
          <w:rStyle w:val="st"/>
          <w:lang w:val="en-GB"/>
        </w:rPr>
        <w:t xml:space="preserve">had </w:t>
      </w:r>
      <w:r w:rsidR="009C00D2" w:rsidRPr="00FF1087">
        <w:rPr>
          <w:rStyle w:val="st"/>
          <w:lang w:val="en-GB"/>
        </w:rPr>
        <w:t xml:space="preserve">failed </w:t>
      </w:r>
      <w:r w:rsidR="0077460E" w:rsidRPr="00FF1087">
        <w:rPr>
          <w:rStyle w:val="st"/>
          <w:lang w:val="en-GB"/>
        </w:rPr>
        <w:t>to use all possible means of publication</w:t>
      </w:r>
      <w:r w:rsidR="00D6151F" w:rsidRPr="00FF1087">
        <w:rPr>
          <w:rStyle w:val="st"/>
          <w:lang w:val="en-GB"/>
        </w:rPr>
        <w:t xml:space="preserve"> and </w:t>
      </w:r>
      <w:r w:rsidR="0077460E" w:rsidRPr="00FF1087">
        <w:rPr>
          <w:rStyle w:val="st"/>
          <w:lang w:val="en-GB"/>
        </w:rPr>
        <w:t xml:space="preserve">information </w:t>
      </w:r>
      <w:r w:rsidR="00D6151F" w:rsidRPr="00FF1087">
        <w:rPr>
          <w:rStyle w:val="st"/>
          <w:lang w:val="en-GB"/>
        </w:rPr>
        <w:t xml:space="preserve">regarding </w:t>
      </w:r>
      <w:r w:rsidR="0077460E" w:rsidRPr="00FF1087">
        <w:rPr>
          <w:rStyle w:val="st"/>
          <w:lang w:val="en-GB"/>
        </w:rPr>
        <w:t xml:space="preserve">the </w:t>
      </w:r>
      <w:r w:rsidR="000F4BF2" w:rsidRPr="00FF1087">
        <w:rPr>
          <w:rStyle w:val="st"/>
          <w:lang w:val="en-GB"/>
        </w:rPr>
        <w:t xml:space="preserve">PCI </w:t>
      </w:r>
      <w:r w:rsidR="007A247F" w:rsidRPr="00FF1087">
        <w:rPr>
          <w:rStyle w:val="st"/>
          <w:lang w:val="en-GB"/>
        </w:rPr>
        <w:t>l</w:t>
      </w:r>
      <w:r w:rsidR="0077460E" w:rsidRPr="00FF1087">
        <w:rPr>
          <w:rStyle w:val="st"/>
          <w:lang w:val="en-GB"/>
        </w:rPr>
        <w:t>ist</w:t>
      </w:r>
      <w:r w:rsidR="009C00D2" w:rsidRPr="00FF1087">
        <w:rPr>
          <w:rStyle w:val="st"/>
          <w:lang w:val="en-GB"/>
        </w:rPr>
        <w:t xml:space="preserve"> and</w:t>
      </w:r>
      <w:r w:rsidR="0077460E" w:rsidRPr="00FF1087">
        <w:rPr>
          <w:rStyle w:val="st"/>
          <w:lang w:val="en-GB"/>
        </w:rPr>
        <w:t xml:space="preserve"> </w:t>
      </w:r>
      <w:r w:rsidR="00B83327" w:rsidRPr="00FF1087">
        <w:rPr>
          <w:rStyle w:val="st"/>
          <w:lang w:val="en-GB"/>
        </w:rPr>
        <w:t xml:space="preserve">to </w:t>
      </w:r>
      <w:r w:rsidR="0077460E" w:rsidRPr="00FF1087">
        <w:rPr>
          <w:rStyle w:val="st"/>
          <w:lang w:val="en-GB"/>
        </w:rPr>
        <w:t xml:space="preserve">ensure that interested parties in Ireland had access </w:t>
      </w:r>
      <w:r w:rsidR="0077460E" w:rsidRPr="00FF1087">
        <w:rPr>
          <w:rStyle w:val="st"/>
          <w:lang w:val="en-GB"/>
        </w:rPr>
        <w:lastRenderedPageBreak/>
        <w:t xml:space="preserve">to the consultation on projects </w:t>
      </w:r>
      <w:r w:rsidR="00CE2E0F" w:rsidRPr="00FF1087">
        <w:rPr>
          <w:rStyle w:val="st"/>
          <w:lang w:val="en-GB"/>
        </w:rPr>
        <w:t>E149, E156 and E291</w:t>
      </w:r>
      <w:r w:rsidR="0077460E" w:rsidRPr="00FF1087">
        <w:rPr>
          <w:rStyle w:val="st"/>
          <w:lang w:val="en-GB"/>
        </w:rPr>
        <w:t xml:space="preserve">. </w:t>
      </w:r>
      <w:r w:rsidR="005C6E0A" w:rsidRPr="00FF1087">
        <w:rPr>
          <w:rStyle w:val="st"/>
          <w:lang w:val="en-GB"/>
        </w:rPr>
        <w:t xml:space="preserve">Secondly, </w:t>
      </w:r>
      <w:r w:rsidR="00A908CF" w:rsidRPr="00FF1087">
        <w:rPr>
          <w:rStyle w:val="st"/>
          <w:lang w:val="en-GB"/>
        </w:rPr>
        <w:t xml:space="preserve">Mr. </w:t>
      </w:r>
      <w:r w:rsidR="00A108B7" w:rsidRPr="00FF1087">
        <w:rPr>
          <w:rStyle w:val="st"/>
          <w:lang w:val="en-GB"/>
        </w:rPr>
        <w:t>Caulfield</w:t>
      </w:r>
      <w:r w:rsidR="005C6E0A" w:rsidRPr="00FF1087">
        <w:rPr>
          <w:rStyle w:val="st"/>
          <w:lang w:val="en-GB"/>
        </w:rPr>
        <w:t xml:space="preserve"> </w:t>
      </w:r>
      <w:r w:rsidR="0077460E" w:rsidRPr="00FF1087">
        <w:rPr>
          <w:rStyle w:val="st"/>
          <w:lang w:val="en-GB"/>
        </w:rPr>
        <w:t>claim</w:t>
      </w:r>
      <w:r w:rsidR="00A108B7" w:rsidRPr="00FF1087">
        <w:rPr>
          <w:rStyle w:val="st"/>
          <w:lang w:val="en-GB"/>
        </w:rPr>
        <w:t>ed</w:t>
      </w:r>
      <w:r w:rsidR="0077460E" w:rsidRPr="00FF1087">
        <w:rPr>
          <w:rStyle w:val="st"/>
          <w:lang w:val="en-GB"/>
        </w:rPr>
        <w:t xml:space="preserve"> that</w:t>
      </w:r>
      <w:r w:rsidR="00807240" w:rsidRPr="00FF1087">
        <w:rPr>
          <w:rStyle w:val="st"/>
          <w:lang w:val="en-GB"/>
        </w:rPr>
        <w:t>,</w:t>
      </w:r>
      <w:r w:rsidR="0077460E" w:rsidRPr="00FF1087">
        <w:rPr>
          <w:rStyle w:val="st"/>
          <w:lang w:val="en-GB"/>
        </w:rPr>
        <w:t xml:space="preserve"> by restricting the language of </w:t>
      </w:r>
      <w:r w:rsidR="00BB4FB8" w:rsidRPr="00FF1087">
        <w:rPr>
          <w:rStyle w:val="st"/>
          <w:lang w:val="en-GB"/>
        </w:rPr>
        <w:t xml:space="preserve">the public consultation </w:t>
      </w:r>
      <w:r w:rsidR="0077460E" w:rsidRPr="00FF1087">
        <w:rPr>
          <w:rStyle w:val="st"/>
          <w:lang w:val="en-GB"/>
        </w:rPr>
        <w:t xml:space="preserve">website to English, the Commission disenfranchised many citizens in countries where </w:t>
      </w:r>
      <w:r w:rsidR="00BB4FB8" w:rsidRPr="00FF1087">
        <w:rPr>
          <w:rStyle w:val="st"/>
          <w:lang w:val="en-GB"/>
        </w:rPr>
        <w:t>the</w:t>
      </w:r>
      <w:r w:rsidR="0077460E" w:rsidRPr="00FF1087">
        <w:rPr>
          <w:rStyle w:val="st"/>
          <w:lang w:val="en-GB"/>
        </w:rPr>
        <w:t xml:space="preserve"> projects may be built. </w:t>
      </w:r>
      <w:r w:rsidRPr="00FF1087">
        <w:rPr>
          <w:rStyle w:val="st"/>
          <w:lang w:val="en-GB"/>
        </w:rPr>
        <w:t xml:space="preserve">On </w:t>
      </w:r>
      <w:r w:rsidR="00213A9A" w:rsidRPr="00FF1087">
        <w:rPr>
          <w:rStyle w:val="st"/>
          <w:lang w:val="en-GB"/>
        </w:rPr>
        <w:t>28 April 2015</w:t>
      </w:r>
      <w:r w:rsidRPr="00FF1087">
        <w:rPr>
          <w:rStyle w:val="st"/>
          <w:lang w:val="en-GB"/>
        </w:rPr>
        <w:t>,</w:t>
      </w:r>
      <w:r w:rsidR="00213A9A" w:rsidRPr="00FF1087">
        <w:rPr>
          <w:rStyle w:val="st"/>
          <w:lang w:val="en-GB"/>
        </w:rPr>
        <w:t xml:space="preserve"> the</w:t>
      </w:r>
      <w:r w:rsidR="007A247F" w:rsidRPr="00FF1087">
        <w:rPr>
          <w:rStyle w:val="st"/>
          <w:lang w:val="en-GB"/>
        </w:rPr>
        <w:t xml:space="preserve"> </w:t>
      </w:r>
      <w:r w:rsidR="00213A9A" w:rsidRPr="00FF1087">
        <w:rPr>
          <w:rStyle w:val="st"/>
          <w:lang w:val="en-GB"/>
        </w:rPr>
        <w:t xml:space="preserve">Ombudsman closed the inquiry. </w:t>
      </w:r>
      <w:r w:rsidR="00807240" w:rsidRPr="00FF1087">
        <w:rPr>
          <w:rStyle w:val="st"/>
          <w:lang w:val="en-GB"/>
        </w:rPr>
        <w:t>It</w:t>
      </w:r>
      <w:r w:rsidR="00213A9A" w:rsidRPr="00FF1087">
        <w:rPr>
          <w:rStyle w:val="st"/>
          <w:lang w:val="en-GB"/>
        </w:rPr>
        <w:t xml:space="preserve"> </w:t>
      </w:r>
      <w:r w:rsidR="00984A60" w:rsidRPr="00FF1087">
        <w:rPr>
          <w:rStyle w:val="st"/>
          <w:lang w:val="en-GB"/>
        </w:rPr>
        <w:t>found</w:t>
      </w:r>
      <w:r w:rsidR="00807240" w:rsidRPr="00FF1087">
        <w:rPr>
          <w:rStyle w:val="st"/>
          <w:lang w:val="en-GB"/>
        </w:rPr>
        <w:t xml:space="preserve"> no maladministration </w:t>
      </w:r>
      <w:r w:rsidR="00B572F3" w:rsidRPr="00FF1087">
        <w:rPr>
          <w:rStyle w:val="st"/>
          <w:lang w:val="en-GB"/>
        </w:rPr>
        <w:t>by</w:t>
      </w:r>
      <w:r w:rsidR="00807240" w:rsidRPr="00FF1087">
        <w:rPr>
          <w:rStyle w:val="st"/>
          <w:lang w:val="en-GB"/>
        </w:rPr>
        <w:t xml:space="preserve"> the Commission</w:t>
      </w:r>
      <w:r w:rsidR="00B572F3" w:rsidRPr="00FF1087">
        <w:rPr>
          <w:rStyle w:val="st"/>
          <w:lang w:val="en-GB"/>
        </w:rPr>
        <w:t xml:space="preserve"> in publishing </w:t>
      </w:r>
      <w:r w:rsidR="00807240" w:rsidRPr="00FF1087">
        <w:rPr>
          <w:rStyle w:val="st"/>
          <w:lang w:val="en-GB"/>
        </w:rPr>
        <w:t xml:space="preserve">and </w:t>
      </w:r>
      <w:r w:rsidR="00CE4F11" w:rsidRPr="00FF1087">
        <w:rPr>
          <w:rStyle w:val="st"/>
          <w:lang w:val="en-GB"/>
        </w:rPr>
        <w:t xml:space="preserve">informing the public about the </w:t>
      </w:r>
      <w:r w:rsidR="00807240" w:rsidRPr="00FF1087">
        <w:rPr>
          <w:rStyle w:val="st"/>
          <w:lang w:val="en-GB"/>
        </w:rPr>
        <w:t xml:space="preserve">consultation </w:t>
      </w:r>
      <w:r w:rsidR="00BB4FB8" w:rsidRPr="00FF1087">
        <w:rPr>
          <w:rStyle w:val="st"/>
          <w:lang w:val="en-GB"/>
        </w:rPr>
        <w:t>on the PCIs</w:t>
      </w:r>
      <w:r w:rsidR="00807240" w:rsidRPr="00FF1087">
        <w:rPr>
          <w:rStyle w:val="st"/>
          <w:lang w:val="en-GB"/>
        </w:rPr>
        <w:t xml:space="preserve">. However, </w:t>
      </w:r>
      <w:r w:rsidR="00B572F3" w:rsidRPr="00FF1087">
        <w:rPr>
          <w:rStyle w:val="st"/>
          <w:lang w:val="en-GB"/>
        </w:rPr>
        <w:t xml:space="preserve">it </w:t>
      </w:r>
      <w:r w:rsidR="00807240" w:rsidRPr="00FF1087">
        <w:rPr>
          <w:rStyle w:val="st"/>
          <w:lang w:val="en-GB"/>
        </w:rPr>
        <w:t>found</w:t>
      </w:r>
      <w:r w:rsidR="00213A9A" w:rsidRPr="00FF1087">
        <w:rPr>
          <w:rStyle w:val="st"/>
          <w:lang w:val="en-GB"/>
        </w:rPr>
        <w:t xml:space="preserve"> the Commission</w:t>
      </w:r>
      <w:r w:rsidR="00807240" w:rsidRPr="00FF1087">
        <w:rPr>
          <w:rStyle w:val="st"/>
          <w:lang w:val="en-GB"/>
        </w:rPr>
        <w:t>’s</w:t>
      </w:r>
      <w:r w:rsidR="00213A9A" w:rsidRPr="00FF1087">
        <w:rPr>
          <w:rStyle w:val="st"/>
          <w:lang w:val="en-GB"/>
        </w:rPr>
        <w:t xml:space="preserve"> fail</w:t>
      </w:r>
      <w:r w:rsidR="00807240" w:rsidRPr="00FF1087">
        <w:rPr>
          <w:rStyle w:val="st"/>
          <w:lang w:val="en-GB"/>
        </w:rPr>
        <w:t>ure</w:t>
      </w:r>
      <w:r w:rsidR="00213A9A" w:rsidRPr="00FF1087">
        <w:rPr>
          <w:rStyle w:val="st"/>
          <w:lang w:val="en-GB"/>
        </w:rPr>
        <w:t xml:space="preserve"> to provide translation</w:t>
      </w:r>
      <w:r w:rsidR="000F4BF2" w:rsidRPr="00FF1087">
        <w:rPr>
          <w:rStyle w:val="st"/>
          <w:lang w:val="en-GB"/>
        </w:rPr>
        <w:t xml:space="preserve"> </w:t>
      </w:r>
      <w:r w:rsidR="00213A9A" w:rsidRPr="00FF1087">
        <w:rPr>
          <w:rStyle w:val="st"/>
          <w:lang w:val="en-GB"/>
        </w:rPr>
        <w:t xml:space="preserve">to </w:t>
      </w:r>
      <w:r w:rsidR="00807240" w:rsidRPr="00FF1087">
        <w:rPr>
          <w:rStyle w:val="st"/>
          <w:lang w:val="en-GB"/>
        </w:rPr>
        <w:t>enable the</w:t>
      </w:r>
      <w:r w:rsidR="00B572F3" w:rsidRPr="00FF1087">
        <w:rPr>
          <w:rStyle w:val="st"/>
          <w:lang w:val="en-GB"/>
        </w:rPr>
        <w:t xml:space="preserve"> public’s</w:t>
      </w:r>
      <w:r w:rsidR="00807240" w:rsidRPr="00FF1087">
        <w:rPr>
          <w:rStyle w:val="st"/>
          <w:lang w:val="en-GB"/>
        </w:rPr>
        <w:t xml:space="preserve"> full</w:t>
      </w:r>
      <w:r w:rsidR="00213A9A" w:rsidRPr="00FF1087">
        <w:rPr>
          <w:rStyle w:val="st"/>
          <w:lang w:val="en-GB"/>
        </w:rPr>
        <w:t xml:space="preserve"> participat</w:t>
      </w:r>
      <w:r w:rsidR="00807240" w:rsidRPr="00FF1087">
        <w:rPr>
          <w:rStyle w:val="st"/>
          <w:lang w:val="en-GB"/>
        </w:rPr>
        <w:t>ion</w:t>
      </w:r>
      <w:r w:rsidR="00213A9A" w:rsidRPr="00FF1087">
        <w:rPr>
          <w:rStyle w:val="st"/>
          <w:lang w:val="en-GB"/>
        </w:rPr>
        <w:t xml:space="preserve"> in the consultation </w:t>
      </w:r>
      <w:r w:rsidR="00807240" w:rsidRPr="00FF1087">
        <w:rPr>
          <w:rStyle w:val="st"/>
          <w:lang w:val="en-GB"/>
        </w:rPr>
        <w:t>was</w:t>
      </w:r>
      <w:r w:rsidR="00213A9A" w:rsidRPr="00FF1087">
        <w:rPr>
          <w:rStyle w:val="st"/>
          <w:lang w:val="en-GB"/>
        </w:rPr>
        <w:t xml:space="preserve"> maladministration. The Ombudsman remark</w:t>
      </w:r>
      <w:r w:rsidR="00807240" w:rsidRPr="00FF1087">
        <w:rPr>
          <w:rStyle w:val="st"/>
          <w:lang w:val="en-GB"/>
        </w:rPr>
        <w:t>ed</w:t>
      </w:r>
      <w:r w:rsidR="00213A9A" w:rsidRPr="00FF1087">
        <w:rPr>
          <w:rStyle w:val="st"/>
          <w:lang w:val="en-GB"/>
        </w:rPr>
        <w:t xml:space="preserve"> that the Commission should, in addition to</w:t>
      </w:r>
      <w:r w:rsidR="005E1433" w:rsidRPr="00FF1087">
        <w:rPr>
          <w:rStyle w:val="st"/>
          <w:lang w:val="en-GB"/>
        </w:rPr>
        <w:t xml:space="preserve"> using websites, consider </w:t>
      </w:r>
      <w:r w:rsidR="00213A9A" w:rsidRPr="00FF1087">
        <w:rPr>
          <w:rStyle w:val="st"/>
          <w:lang w:val="en-GB"/>
        </w:rPr>
        <w:t>more dynamic internet forms of communicating with citizens.</w:t>
      </w:r>
      <w:r w:rsidR="00213A9A" w:rsidRPr="00FF1087">
        <w:rPr>
          <w:rStyle w:val="FootnoteReference"/>
          <w:lang w:val="en-GB"/>
        </w:rPr>
        <w:footnoteReference w:id="32"/>
      </w:r>
      <w:bookmarkEnd w:id="14"/>
    </w:p>
    <w:p w14:paraId="0597E562" w14:textId="36C89E23" w:rsidR="00CF1FC5" w:rsidRPr="00FF1087" w:rsidRDefault="00A908CF" w:rsidP="001C3D04">
      <w:pPr>
        <w:pStyle w:val="SingleTxtG"/>
        <w:tabs>
          <w:tab w:val="left" w:pos="1843"/>
          <w:tab w:val="left" w:pos="6120"/>
        </w:tabs>
        <w:ind w:right="0"/>
        <w:rPr>
          <w:b/>
          <w:lang w:val="en-GB"/>
        </w:rPr>
      </w:pPr>
      <w:r w:rsidRPr="00FF1087">
        <w:rPr>
          <w:rStyle w:val="st"/>
          <w:b/>
          <w:lang w:val="en-GB"/>
        </w:rPr>
        <w:t xml:space="preserve">Mr. </w:t>
      </w:r>
      <w:r w:rsidR="00781A24" w:rsidRPr="00FF1087">
        <w:rPr>
          <w:rStyle w:val="st"/>
          <w:b/>
          <w:lang w:val="en-GB"/>
        </w:rPr>
        <w:t>Conroy</w:t>
      </w:r>
      <w:r w:rsidR="006544C8" w:rsidRPr="00FF1087">
        <w:rPr>
          <w:rStyle w:val="st"/>
          <w:b/>
          <w:lang w:val="en-GB"/>
        </w:rPr>
        <w:t>’</w:t>
      </w:r>
      <w:r w:rsidR="00781A24" w:rsidRPr="00FF1087">
        <w:rPr>
          <w:rStyle w:val="st"/>
          <w:b/>
          <w:lang w:val="en-GB"/>
        </w:rPr>
        <w:t>s r</w:t>
      </w:r>
      <w:r w:rsidR="005E1433" w:rsidRPr="00FF1087">
        <w:rPr>
          <w:rStyle w:val="st"/>
          <w:b/>
          <w:lang w:val="en-GB"/>
        </w:rPr>
        <w:t>equest for information</w:t>
      </w:r>
      <w:r w:rsidR="00781A24" w:rsidRPr="00FF1087">
        <w:rPr>
          <w:rStyle w:val="st"/>
          <w:b/>
          <w:lang w:val="en-GB"/>
        </w:rPr>
        <w:t xml:space="preserve"> </w:t>
      </w:r>
    </w:p>
    <w:p w14:paraId="2F479A39" w14:textId="7E9F9253" w:rsidR="0040249C" w:rsidRPr="00FF1087" w:rsidRDefault="002B4874" w:rsidP="0082063B">
      <w:pPr>
        <w:pStyle w:val="SingleTxtG"/>
        <w:numPr>
          <w:ilvl w:val="0"/>
          <w:numId w:val="3"/>
        </w:numPr>
        <w:tabs>
          <w:tab w:val="left" w:pos="1843"/>
          <w:tab w:val="num" w:pos="1887"/>
          <w:tab w:val="left" w:pos="6120"/>
        </w:tabs>
        <w:ind w:left="1134" w:right="0" w:firstLine="0"/>
        <w:rPr>
          <w:rStyle w:val="st"/>
          <w:lang w:val="en-GB"/>
        </w:rPr>
      </w:pPr>
      <w:bookmarkStart w:id="15" w:name="_Ref500589486"/>
      <w:r w:rsidRPr="00FF1087">
        <w:rPr>
          <w:rStyle w:val="st"/>
          <w:lang w:val="en-GB"/>
        </w:rPr>
        <w:t xml:space="preserve">On </w:t>
      </w:r>
      <w:r w:rsidR="0031534A" w:rsidRPr="00FF1087">
        <w:rPr>
          <w:rStyle w:val="st"/>
          <w:lang w:val="en-GB"/>
        </w:rPr>
        <w:t>1 April 2013</w:t>
      </w:r>
      <w:r w:rsidRPr="00FF1087">
        <w:rPr>
          <w:rStyle w:val="st"/>
          <w:lang w:val="en-GB"/>
        </w:rPr>
        <w:t>,</w:t>
      </w:r>
      <w:r w:rsidR="0031534A" w:rsidRPr="00FF1087">
        <w:rPr>
          <w:rStyle w:val="st"/>
          <w:lang w:val="en-GB"/>
        </w:rPr>
        <w:t xml:space="preserve"> </w:t>
      </w:r>
      <w:r w:rsidR="00A908CF" w:rsidRPr="00FF1087">
        <w:rPr>
          <w:rStyle w:val="st"/>
          <w:lang w:val="en-GB"/>
        </w:rPr>
        <w:t xml:space="preserve">Mr. </w:t>
      </w:r>
      <w:r w:rsidR="0031534A" w:rsidRPr="00FF1087">
        <w:rPr>
          <w:rStyle w:val="st"/>
          <w:lang w:val="en-GB"/>
        </w:rPr>
        <w:t xml:space="preserve">Conroy </w:t>
      </w:r>
      <w:r w:rsidRPr="00FF1087">
        <w:rPr>
          <w:rStyle w:val="st"/>
          <w:lang w:val="en-GB"/>
        </w:rPr>
        <w:t>requested</w:t>
      </w:r>
      <w:r w:rsidR="0031534A" w:rsidRPr="00FF1087">
        <w:rPr>
          <w:rStyle w:val="st"/>
          <w:lang w:val="en-GB"/>
        </w:rPr>
        <w:t xml:space="preserve"> information </w:t>
      </w:r>
      <w:r w:rsidR="00F40FFF" w:rsidRPr="00FF1087">
        <w:rPr>
          <w:rStyle w:val="st"/>
          <w:lang w:val="en-GB"/>
        </w:rPr>
        <w:t>from</w:t>
      </w:r>
      <w:r w:rsidR="0031534A" w:rsidRPr="00FF1087">
        <w:rPr>
          <w:rStyle w:val="st"/>
          <w:lang w:val="en-GB"/>
        </w:rPr>
        <w:t xml:space="preserve"> the Commission regarding </w:t>
      </w:r>
      <w:r w:rsidR="00B572F3" w:rsidRPr="00FF1087">
        <w:rPr>
          <w:rStyle w:val="st"/>
          <w:lang w:val="en-GB"/>
        </w:rPr>
        <w:t xml:space="preserve">project </w:t>
      </w:r>
      <w:r w:rsidR="0031534A" w:rsidRPr="00FF1087">
        <w:rPr>
          <w:rStyle w:val="st"/>
          <w:lang w:val="en-GB"/>
        </w:rPr>
        <w:t>E156 (</w:t>
      </w:r>
      <w:proofErr w:type="spellStart"/>
      <w:r w:rsidR="0031534A" w:rsidRPr="00FF1087">
        <w:rPr>
          <w:rStyle w:val="st"/>
          <w:lang w:val="en-GB"/>
        </w:rPr>
        <w:t>Greenwire</w:t>
      </w:r>
      <w:proofErr w:type="spellEnd"/>
      <w:r w:rsidR="0031534A" w:rsidRPr="00FF1087">
        <w:rPr>
          <w:rStyle w:val="st"/>
          <w:lang w:val="en-GB"/>
        </w:rPr>
        <w:t xml:space="preserve">). </w:t>
      </w:r>
      <w:r w:rsidRPr="00FF1087">
        <w:rPr>
          <w:rStyle w:val="st"/>
          <w:lang w:val="en-GB"/>
        </w:rPr>
        <w:t xml:space="preserve">On </w:t>
      </w:r>
      <w:r w:rsidR="0031534A" w:rsidRPr="00FF1087">
        <w:rPr>
          <w:rStyle w:val="st"/>
          <w:lang w:val="en-GB"/>
        </w:rPr>
        <w:t>7 M</w:t>
      </w:r>
      <w:r w:rsidR="009F67B7" w:rsidRPr="00FF1087">
        <w:rPr>
          <w:rStyle w:val="st"/>
          <w:lang w:val="en-GB"/>
        </w:rPr>
        <w:t>ay 2013</w:t>
      </w:r>
      <w:r w:rsidRPr="00FF1087">
        <w:rPr>
          <w:rStyle w:val="st"/>
          <w:lang w:val="en-GB"/>
        </w:rPr>
        <w:t>,</w:t>
      </w:r>
      <w:r w:rsidR="0031534A" w:rsidRPr="00FF1087">
        <w:rPr>
          <w:rStyle w:val="st"/>
          <w:lang w:val="en-GB"/>
        </w:rPr>
        <w:t xml:space="preserve"> </w:t>
      </w:r>
      <w:r w:rsidRPr="00FF1087">
        <w:rPr>
          <w:rStyle w:val="st"/>
          <w:lang w:val="en-GB"/>
        </w:rPr>
        <w:t>the Commission</w:t>
      </w:r>
      <w:r w:rsidR="0031534A" w:rsidRPr="00FF1087">
        <w:rPr>
          <w:rStyle w:val="st"/>
          <w:lang w:val="en-GB"/>
        </w:rPr>
        <w:t xml:space="preserve"> provided the questionnaire </w:t>
      </w:r>
      <w:r w:rsidR="006E29D9" w:rsidRPr="00FF1087">
        <w:rPr>
          <w:rStyle w:val="st"/>
          <w:lang w:val="en-GB"/>
        </w:rPr>
        <w:t xml:space="preserve">for </w:t>
      </w:r>
      <w:r w:rsidR="0031534A" w:rsidRPr="00FF1087">
        <w:rPr>
          <w:rStyle w:val="st"/>
          <w:lang w:val="en-GB"/>
        </w:rPr>
        <w:t>project E156</w:t>
      </w:r>
      <w:r w:rsidR="00F57115" w:rsidRPr="00FF1087">
        <w:rPr>
          <w:rStyle w:val="st"/>
          <w:lang w:val="en-GB"/>
        </w:rPr>
        <w:t xml:space="preserve">, stating </w:t>
      </w:r>
      <w:r w:rsidR="00B572F3" w:rsidRPr="00FF1087">
        <w:rPr>
          <w:rStyle w:val="st"/>
          <w:lang w:val="en-GB"/>
        </w:rPr>
        <w:t xml:space="preserve">it could not </w:t>
      </w:r>
      <w:r w:rsidR="0031534A" w:rsidRPr="00FF1087">
        <w:rPr>
          <w:rStyle w:val="st"/>
          <w:lang w:val="en-GB"/>
        </w:rPr>
        <w:t xml:space="preserve">provide </w:t>
      </w:r>
      <w:r w:rsidR="00F57115" w:rsidRPr="00FF1087">
        <w:rPr>
          <w:rStyle w:val="st"/>
          <w:lang w:val="en-GB"/>
        </w:rPr>
        <w:t xml:space="preserve">the </w:t>
      </w:r>
      <w:r w:rsidR="001B6FEE" w:rsidRPr="00FF1087">
        <w:rPr>
          <w:rStyle w:val="st"/>
          <w:lang w:val="en-GB"/>
        </w:rPr>
        <w:t xml:space="preserve">developers’ </w:t>
      </w:r>
      <w:r w:rsidR="00F57115" w:rsidRPr="00FF1087">
        <w:rPr>
          <w:rStyle w:val="st"/>
          <w:lang w:val="en-GB"/>
        </w:rPr>
        <w:t xml:space="preserve">names since under Regulation 49/2001 </w:t>
      </w:r>
      <w:r w:rsidR="00B572F3" w:rsidRPr="00FF1087">
        <w:rPr>
          <w:rStyle w:val="st"/>
          <w:lang w:val="en-GB"/>
        </w:rPr>
        <w:t xml:space="preserve">they were </w:t>
      </w:r>
      <w:r w:rsidR="006E29D9" w:rsidRPr="00FF1087">
        <w:rPr>
          <w:rStyle w:val="st"/>
          <w:lang w:val="en-GB"/>
        </w:rPr>
        <w:t>personal data</w:t>
      </w:r>
      <w:r w:rsidR="0031534A" w:rsidRPr="00FF1087">
        <w:rPr>
          <w:rStyle w:val="st"/>
          <w:lang w:val="en-GB"/>
        </w:rPr>
        <w:t>.</w:t>
      </w:r>
      <w:r w:rsidRPr="00FF1087">
        <w:rPr>
          <w:rStyle w:val="FootnoteReference"/>
          <w:lang w:val="en-GB"/>
        </w:rPr>
        <w:footnoteReference w:id="33"/>
      </w:r>
      <w:bookmarkEnd w:id="15"/>
      <w:r w:rsidR="00410A05" w:rsidRPr="00FF1087">
        <w:rPr>
          <w:rStyle w:val="st"/>
          <w:lang w:val="en-GB"/>
        </w:rPr>
        <w:t xml:space="preserve"> </w:t>
      </w:r>
    </w:p>
    <w:p w14:paraId="68F44A55" w14:textId="129CE36D" w:rsidR="00D4240E" w:rsidRPr="00FF1087" w:rsidRDefault="00781A24" w:rsidP="001C3D04">
      <w:pPr>
        <w:pStyle w:val="SingleTxtG"/>
        <w:tabs>
          <w:tab w:val="left" w:pos="1843"/>
          <w:tab w:val="num" w:pos="1887"/>
          <w:tab w:val="left" w:pos="6120"/>
        </w:tabs>
        <w:ind w:right="0"/>
        <w:rPr>
          <w:rStyle w:val="st"/>
          <w:b/>
          <w:lang w:val="en-GB"/>
        </w:rPr>
      </w:pPr>
      <w:r w:rsidRPr="00FF1087">
        <w:rPr>
          <w:rStyle w:val="st"/>
          <w:b/>
          <w:lang w:val="en-GB"/>
        </w:rPr>
        <w:t>The communicant</w:t>
      </w:r>
      <w:r w:rsidR="006544C8" w:rsidRPr="00FF1087">
        <w:rPr>
          <w:rStyle w:val="st"/>
          <w:b/>
          <w:lang w:val="en-GB"/>
        </w:rPr>
        <w:t>’</w:t>
      </w:r>
      <w:r w:rsidRPr="00FF1087">
        <w:rPr>
          <w:rStyle w:val="st"/>
          <w:b/>
          <w:lang w:val="en-GB"/>
        </w:rPr>
        <w:t>s r</w:t>
      </w:r>
      <w:r w:rsidR="00D4240E" w:rsidRPr="00FF1087">
        <w:rPr>
          <w:rStyle w:val="st"/>
          <w:b/>
          <w:lang w:val="en-GB"/>
        </w:rPr>
        <w:t>equest for information</w:t>
      </w:r>
    </w:p>
    <w:p w14:paraId="7ED47F9C" w14:textId="24B69EB4" w:rsidR="002B4874" w:rsidRPr="00FF1087" w:rsidRDefault="00D4240E" w:rsidP="001C3D04">
      <w:pPr>
        <w:pStyle w:val="SingleTxtG"/>
        <w:numPr>
          <w:ilvl w:val="0"/>
          <w:numId w:val="3"/>
        </w:numPr>
        <w:tabs>
          <w:tab w:val="left" w:pos="1843"/>
          <w:tab w:val="num" w:pos="1887"/>
          <w:tab w:val="left" w:pos="6120"/>
        </w:tabs>
        <w:ind w:left="1134" w:right="0" w:firstLine="0"/>
        <w:rPr>
          <w:rStyle w:val="st"/>
          <w:lang w:val="en-GB"/>
        </w:rPr>
      </w:pPr>
      <w:bookmarkStart w:id="16" w:name="_Ref465244375"/>
      <w:r w:rsidRPr="00FF1087">
        <w:rPr>
          <w:rStyle w:val="st"/>
          <w:lang w:val="en-GB"/>
        </w:rPr>
        <w:t>The communicant request</w:t>
      </w:r>
      <w:r w:rsidR="006E29D9" w:rsidRPr="00FF1087">
        <w:rPr>
          <w:rStyle w:val="st"/>
          <w:lang w:val="en-GB"/>
        </w:rPr>
        <w:t>ed from the Commission</w:t>
      </w:r>
      <w:r w:rsidR="005E7CFD" w:rsidRPr="00FF1087">
        <w:rPr>
          <w:rStyle w:val="st"/>
          <w:lang w:val="en-GB"/>
        </w:rPr>
        <w:t xml:space="preserve"> </w:t>
      </w:r>
      <w:r w:rsidRPr="00FF1087">
        <w:rPr>
          <w:rStyle w:val="st"/>
          <w:lang w:val="en-GB"/>
        </w:rPr>
        <w:t xml:space="preserve">information </w:t>
      </w:r>
      <w:r w:rsidR="006E29D9" w:rsidRPr="00FF1087">
        <w:rPr>
          <w:rStyle w:val="st"/>
          <w:lang w:val="en-GB"/>
        </w:rPr>
        <w:t>relating</w:t>
      </w:r>
      <w:r w:rsidRPr="00FF1087">
        <w:rPr>
          <w:rStyle w:val="st"/>
          <w:lang w:val="en-GB"/>
        </w:rPr>
        <w:t xml:space="preserve"> to the </w:t>
      </w:r>
      <w:r w:rsidR="00CC119D" w:rsidRPr="00FF1087">
        <w:rPr>
          <w:rStyle w:val="st"/>
          <w:lang w:val="en-GB"/>
        </w:rPr>
        <w:t>“reasons and considerations”</w:t>
      </w:r>
      <w:r w:rsidRPr="00FF1087">
        <w:rPr>
          <w:rStyle w:val="st"/>
          <w:lang w:val="en-GB"/>
        </w:rPr>
        <w:t xml:space="preserve"> applicable </w:t>
      </w:r>
      <w:r w:rsidR="00CC119D" w:rsidRPr="00FF1087">
        <w:rPr>
          <w:rStyle w:val="st"/>
          <w:lang w:val="en-GB"/>
        </w:rPr>
        <w:t xml:space="preserve">to </w:t>
      </w:r>
      <w:r w:rsidRPr="00FF1087">
        <w:rPr>
          <w:rStyle w:val="st"/>
          <w:lang w:val="en-GB"/>
        </w:rPr>
        <w:t xml:space="preserve">the selection of the renewable electricity projects in Ireland. </w:t>
      </w:r>
      <w:r w:rsidR="007A382F" w:rsidRPr="00FF1087">
        <w:rPr>
          <w:rStyle w:val="st"/>
          <w:lang w:val="en-GB"/>
        </w:rPr>
        <w:t>T</w:t>
      </w:r>
      <w:r w:rsidRPr="00FF1087">
        <w:rPr>
          <w:rStyle w:val="st"/>
          <w:lang w:val="en-GB"/>
        </w:rPr>
        <w:t xml:space="preserve">he communicant received </w:t>
      </w:r>
      <w:r w:rsidR="009D0AB4" w:rsidRPr="00FF1087">
        <w:rPr>
          <w:rStyle w:val="st"/>
          <w:lang w:val="en-GB"/>
        </w:rPr>
        <w:t>two documents</w:t>
      </w:r>
      <w:r w:rsidR="00CB1DEB" w:rsidRPr="00FF1087">
        <w:rPr>
          <w:rStyle w:val="st"/>
          <w:lang w:val="en-GB"/>
        </w:rPr>
        <w:t>, partially redacted</w:t>
      </w:r>
      <w:r w:rsidR="009D0AB4" w:rsidRPr="00FF1087">
        <w:rPr>
          <w:rStyle w:val="st"/>
          <w:lang w:val="en-GB"/>
        </w:rPr>
        <w:t>.</w:t>
      </w:r>
      <w:r w:rsidR="00A025A3" w:rsidRPr="00FF1087">
        <w:rPr>
          <w:rStyle w:val="FootnoteReference"/>
          <w:lang w:val="en-GB"/>
        </w:rPr>
        <w:footnoteReference w:id="34"/>
      </w:r>
      <w:bookmarkEnd w:id="16"/>
    </w:p>
    <w:p w14:paraId="3930709E" w14:textId="13D593BF" w:rsidR="00287C4F" w:rsidRPr="00FF1087" w:rsidRDefault="0031689E" w:rsidP="001C3D04">
      <w:pPr>
        <w:pStyle w:val="SingleTxtG"/>
        <w:tabs>
          <w:tab w:val="left" w:pos="1843"/>
          <w:tab w:val="left" w:pos="6120"/>
        </w:tabs>
        <w:ind w:right="0"/>
        <w:rPr>
          <w:rStyle w:val="st"/>
          <w:b/>
          <w:lang w:val="en-GB"/>
        </w:rPr>
      </w:pPr>
      <w:r w:rsidRPr="00FF1087">
        <w:rPr>
          <w:rStyle w:val="st"/>
          <w:b/>
          <w:lang w:val="en-GB"/>
        </w:rPr>
        <w:t>The communicant</w:t>
      </w:r>
      <w:r w:rsidR="006544C8" w:rsidRPr="00FF1087">
        <w:rPr>
          <w:rStyle w:val="st"/>
          <w:b/>
          <w:lang w:val="en-GB"/>
        </w:rPr>
        <w:t>’</w:t>
      </w:r>
      <w:r w:rsidRPr="00FF1087">
        <w:rPr>
          <w:rStyle w:val="st"/>
          <w:b/>
          <w:lang w:val="en-GB"/>
        </w:rPr>
        <w:t>s r</w:t>
      </w:r>
      <w:r w:rsidR="00287C4F" w:rsidRPr="00FF1087">
        <w:rPr>
          <w:rStyle w:val="st"/>
          <w:b/>
          <w:lang w:val="en-GB"/>
        </w:rPr>
        <w:t>equest for internal revie</w:t>
      </w:r>
      <w:r w:rsidRPr="00FF1087">
        <w:rPr>
          <w:rStyle w:val="st"/>
          <w:b/>
          <w:lang w:val="en-GB"/>
        </w:rPr>
        <w:t>w</w:t>
      </w:r>
    </w:p>
    <w:p w14:paraId="125D3B70" w14:textId="4ABD7FF9" w:rsidR="00287C4F" w:rsidRPr="00FF1087" w:rsidRDefault="00287C4F" w:rsidP="001C3D04">
      <w:pPr>
        <w:pStyle w:val="SingleTxtG"/>
        <w:numPr>
          <w:ilvl w:val="0"/>
          <w:numId w:val="3"/>
        </w:numPr>
        <w:tabs>
          <w:tab w:val="left" w:pos="1843"/>
          <w:tab w:val="num" w:pos="1887"/>
          <w:tab w:val="left" w:pos="6120"/>
        </w:tabs>
        <w:ind w:left="1134" w:right="0" w:firstLine="0"/>
        <w:rPr>
          <w:rStyle w:val="st"/>
          <w:lang w:val="en-GB"/>
        </w:rPr>
      </w:pPr>
      <w:bookmarkStart w:id="17" w:name="_Ref27074625"/>
      <w:r w:rsidRPr="00FF1087">
        <w:rPr>
          <w:rStyle w:val="st"/>
          <w:lang w:val="en-GB"/>
        </w:rPr>
        <w:t>On 5 November 2013, the communicant requested</w:t>
      </w:r>
      <w:r w:rsidR="00B44A16" w:rsidRPr="00FF1087">
        <w:rPr>
          <w:rStyle w:val="st"/>
          <w:lang w:val="en-GB"/>
        </w:rPr>
        <w:t xml:space="preserve"> </w:t>
      </w:r>
      <w:r w:rsidRPr="00FF1087">
        <w:rPr>
          <w:rStyle w:val="st"/>
          <w:lang w:val="en-GB"/>
        </w:rPr>
        <w:t>the Commission carry out an internal review</w:t>
      </w:r>
      <w:r w:rsidR="00B44A16" w:rsidRPr="00FF1087">
        <w:rPr>
          <w:rStyle w:val="st"/>
          <w:lang w:val="en-GB"/>
        </w:rPr>
        <w:t xml:space="preserve"> of </w:t>
      </w:r>
      <w:r w:rsidR="006E29D9" w:rsidRPr="00FF1087">
        <w:rPr>
          <w:rStyle w:val="st"/>
          <w:lang w:val="en-GB"/>
        </w:rPr>
        <w:t>its</w:t>
      </w:r>
      <w:r w:rsidR="00B44A16" w:rsidRPr="00FF1087">
        <w:rPr>
          <w:rStyle w:val="st"/>
          <w:lang w:val="en-GB"/>
        </w:rPr>
        <w:t xml:space="preserve"> </w:t>
      </w:r>
      <w:r w:rsidR="00492A37" w:rsidRPr="00FF1087">
        <w:rPr>
          <w:rStyle w:val="st"/>
          <w:lang w:val="en-GB"/>
        </w:rPr>
        <w:t>a</w:t>
      </w:r>
      <w:r w:rsidR="00B44A16" w:rsidRPr="00FF1087">
        <w:rPr>
          <w:rStyle w:val="st"/>
          <w:lang w:val="en-GB"/>
        </w:rPr>
        <w:t xml:space="preserve">ct establishing the </w:t>
      </w:r>
      <w:r w:rsidR="00AE3036" w:rsidRPr="00FF1087">
        <w:rPr>
          <w:rStyle w:val="st"/>
          <w:lang w:val="en-GB"/>
        </w:rPr>
        <w:t>PCI list</w:t>
      </w:r>
      <w:r w:rsidRPr="00FF1087">
        <w:rPr>
          <w:rStyle w:val="st"/>
          <w:lang w:val="en-GB"/>
        </w:rPr>
        <w:t xml:space="preserve"> </w:t>
      </w:r>
      <w:r w:rsidR="00B44A16" w:rsidRPr="00FF1087">
        <w:rPr>
          <w:rStyle w:val="st"/>
          <w:lang w:val="en-GB"/>
        </w:rPr>
        <w:t xml:space="preserve">pursuant to </w:t>
      </w:r>
      <w:r w:rsidR="00CC119D" w:rsidRPr="00FF1087">
        <w:rPr>
          <w:rStyle w:val="st"/>
          <w:lang w:val="en-GB"/>
        </w:rPr>
        <w:t>a</w:t>
      </w:r>
      <w:r w:rsidR="008C473A" w:rsidRPr="00FF1087">
        <w:rPr>
          <w:rStyle w:val="st"/>
          <w:lang w:val="en-GB"/>
        </w:rPr>
        <w:t>rticle 10 of the Aarhus Regulation.</w:t>
      </w:r>
      <w:r w:rsidRPr="00FF1087">
        <w:rPr>
          <w:rStyle w:val="st"/>
          <w:lang w:val="en-GB"/>
        </w:rPr>
        <w:t xml:space="preserve"> On 7 February 2014, the Commission found this request inadmissible</w:t>
      </w:r>
      <w:r w:rsidR="00D24FD9" w:rsidRPr="00FF1087">
        <w:rPr>
          <w:rStyle w:val="st"/>
          <w:lang w:val="en-GB"/>
        </w:rPr>
        <w:t xml:space="preserve"> on the ground that</w:t>
      </w:r>
      <w:r w:rsidR="00492A37" w:rsidRPr="00FF1087">
        <w:rPr>
          <w:rStyle w:val="st"/>
          <w:lang w:val="en-GB"/>
        </w:rPr>
        <w:t xml:space="preserve"> </w:t>
      </w:r>
      <w:r w:rsidR="007F7787" w:rsidRPr="00FF1087">
        <w:rPr>
          <w:rStyle w:val="st"/>
          <w:lang w:val="en-GB"/>
        </w:rPr>
        <w:t>the communicant</w:t>
      </w:r>
      <w:r w:rsidR="00301FC7" w:rsidRPr="00FF1087">
        <w:rPr>
          <w:rStyle w:val="st"/>
          <w:lang w:val="en-GB"/>
        </w:rPr>
        <w:t xml:space="preserve"> </w:t>
      </w:r>
      <w:r w:rsidR="00CC119D" w:rsidRPr="00FF1087">
        <w:rPr>
          <w:rStyle w:val="st"/>
          <w:lang w:val="en-GB"/>
        </w:rPr>
        <w:t xml:space="preserve">was </w:t>
      </w:r>
      <w:r w:rsidRPr="00FF1087">
        <w:rPr>
          <w:rStyle w:val="st"/>
          <w:lang w:val="en-GB"/>
        </w:rPr>
        <w:t xml:space="preserve">not an eligible applicant for requests for internal review </w:t>
      </w:r>
      <w:r w:rsidR="001D5D88" w:rsidRPr="00FF1087">
        <w:rPr>
          <w:rStyle w:val="st"/>
          <w:lang w:val="en-GB"/>
        </w:rPr>
        <w:t>since n</w:t>
      </w:r>
      <w:r w:rsidRPr="00FF1087">
        <w:rPr>
          <w:rStyle w:val="st"/>
          <w:lang w:val="en-GB"/>
        </w:rPr>
        <w:t xml:space="preserve">o documents </w:t>
      </w:r>
      <w:r w:rsidR="009E5E5D" w:rsidRPr="00FF1087">
        <w:rPr>
          <w:rStyle w:val="st"/>
          <w:lang w:val="en-GB"/>
        </w:rPr>
        <w:t xml:space="preserve">had been </w:t>
      </w:r>
      <w:r w:rsidRPr="00FF1087">
        <w:rPr>
          <w:rStyle w:val="st"/>
          <w:lang w:val="en-GB"/>
        </w:rPr>
        <w:t xml:space="preserve">provided </w:t>
      </w:r>
      <w:r w:rsidR="009E5E5D" w:rsidRPr="00FF1087">
        <w:rPr>
          <w:rStyle w:val="st"/>
          <w:lang w:val="en-GB"/>
        </w:rPr>
        <w:t xml:space="preserve">to </w:t>
      </w:r>
      <w:r w:rsidRPr="00FF1087">
        <w:rPr>
          <w:rStyle w:val="st"/>
          <w:lang w:val="en-GB"/>
        </w:rPr>
        <w:t xml:space="preserve">prove that </w:t>
      </w:r>
      <w:r w:rsidR="00CB1DEB" w:rsidRPr="00FF1087">
        <w:rPr>
          <w:rStyle w:val="st"/>
          <w:lang w:val="en-GB"/>
        </w:rPr>
        <w:t>it</w:t>
      </w:r>
      <w:r w:rsidRPr="00FF1087">
        <w:rPr>
          <w:rStyle w:val="st"/>
          <w:lang w:val="en-GB"/>
        </w:rPr>
        <w:t xml:space="preserve"> </w:t>
      </w:r>
      <w:r w:rsidR="009E5E5D" w:rsidRPr="00FF1087">
        <w:rPr>
          <w:rStyle w:val="st"/>
          <w:lang w:val="en-GB"/>
        </w:rPr>
        <w:t>wa</w:t>
      </w:r>
      <w:r w:rsidRPr="00FF1087">
        <w:rPr>
          <w:rStyle w:val="st"/>
          <w:lang w:val="en-GB"/>
        </w:rPr>
        <w:t xml:space="preserve">s a legal person and </w:t>
      </w:r>
      <w:r w:rsidR="00CB1DEB" w:rsidRPr="00FF1087">
        <w:rPr>
          <w:rStyle w:val="st"/>
          <w:lang w:val="en-GB"/>
        </w:rPr>
        <w:t xml:space="preserve">it </w:t>
      </w:r>
      <w:r w:rsidRPr="00FF1087">
        <w:rPr>
          <w:rStyle w:val="st"/>
          <w:lang w:val="en-GB"/>
        </w:rPr>
        <w:t>ha</w:t>
      </w:r>
      <w:r w:rsidR="009E5E5D" w:rsidRPr="00FF1087">
        <w:rPr>
          <w:rStyle w:val="st"/>
          <w:lang w:val="en-GB"/>
        </w:rPr>
        <w:t>d</w:t>
      </w:r>
      <w:r w:rsidRPr="00FF1087">
        <w:rPr>
          <w:rStyle w:val="st"/>
          <w:lang w:val="en-GB"/>
        </w:rPr>
        <w:t xml:space="preserve"> no clearly stated objective to promote environmental protection.</w:t>
      </w:r>
      <w:r w:rsidR="00DA7376" w:rsidRPr="00FF1087">
        <w:rPr>
          <w:rStyle w:val="FootnoteReference"/>
          <w:lang w:val="en-GB"/>
        </w:rPr>
        <w:footnoteReference w:id="35"/>
      </w:r>
      <w:bookmarkEnd w:id="17"/>
    </w:p>
    <w:bookmarkEnd w:id="5"/>
    <w:p w14:paraId="1DBDE998" w14:textId="0C033A54" w:rsidR="00E427EE" w:rsidRPr="00FF1087" w:rsidRDefault="00E427EE" w:rsidP="001C3D04">
      <w:pPr>
        <w:pStyle w:val="H1G"/>
        <w:numPr>
          <w:ilvl w:val="0"/>
          <w:numId w:val="4"/>
        </w:numPr>
        <w:tabs>
          <w:tab w:val="left" w:pos="1843"/>
          <w:tab w:val="left" w:pos="6120"/>
        </w:tabs>
        <w:ind w:left="1134" w:right="0" w:firstLine="0"/>
      </w:pPr>
      <w:r w:rsidRPr="00FF1087">
        <w:t xml:space="preserve">Domestic remedies and </w:t>
      </w:r>
      <w:r w:rsidR="00CE543E" w:rsidRPr="00FF1087">
        <w:t>admissibility</w:t>
      </w:r>
      <w:r w:rsidR="003B6EBB" w:rsidRPr="00FF1087">
        <w:t xml:space="preserve"> </w:t>
      </w:r>
    </w:p>
    <w:p w14:paraId="19B71EA6" w14:textId="2ABBF5D8" w:rsidR="001A5FD4" w:rsidRPr="00FF1087" w:rsidRDefault="001A5FD4" w:rsidP="001C3D04">
      <w:pPr>
        <w:pStyle w:val="SingleTxtG"/>
        <w:tabs>
          <w:tab w:val="left" w:pos="1843"/>
          <w:tab w:val="left" w:pos="6120"/>
        </w:tabs>
        <w:ind w:right="0"/>
        <w:rPr>
          <w:rStyle w:val="st"/>
          <w:b/>
          <w:sz w:val="24"/>
          <w:lang w:val="en-GB"/>
        </w:rPr>
      </w:pPr>
      <w:r w:rsidRPr="00FF1087">
        <w:rPr>
          <w:rStyle w:val="st"/>
          <w:b/>
          <w:lang w:val="en-GB"/>
        </w:rPr>
        <w:t xml:space="preserve">Admissibility of claims </w:t>
      </w:r>
      <w:r w:rsidR="00492A37" w:rsidRPr="00FF1087">
        <w:rPr>
          <w:rStyle w:val="st"/>
          <w:b/>
          <w:lang w:val="en-GB"/>
        </w:rPr>
        <w:t>concerning</w:t>
      </w:r>
      <w:r w:rsidRPr="00FF1087">
        <w:rPr>
          <w:rStyle w:val="st"/>
          <w:b/>
          <w:lang w:val="en-GB"/>
        </w:rPr>
        <w:t xml:space="preserve"> compliance with </w:t>
      </w:r>
      <w:r w:rsidR="00AE3036" w:rsidRPr="00FF1087">
        <w:rPr>
          <w:rStyle w:val="st"/>
          <w:b/>
          <w:lang w:val="en-GB"/>
        </w:rPr>
        <w:t xml:space="preserve">European Union </w:t>
      </w:r>
      <w:r w:rsidRPr="00FF1087">
        <w:rPr>
          <w:rStyle w:val="st"/>
          <w:b/>
          <w:lang w:val="en-GB"/>
        </w:rPr>
        <w:t>law</w:t>
      </w:r>
    </w:p>
    <w:p w14:paraId="211F8326" w14:textId="392B191E" w:rsidR="001A5FD4" w:rsidRPr="00FF1087" w:rsidRDefault="001A5FD4" w:rsidP="001C3D04">
      <w:pPr>
        <w:pStyle w:val="SingleTxtG"/>
        <w:numPr>
          <w:ilvl w:val="0"/>
          <w:numId w:val="3"/>
        </w:numPr>
        <w:tabs>
          <w:tab w:val="left" w:pos="1843"/>
          <w:tab w:val="left" w:pos="6120"/>
        </w:tabs>
        <w:ind w:left="1134" w:right="0" w:firstLine="0"/>
        <w:rPr>
          <w:lang w:val="en-GB"/>
        </w:rPr>
      </w:pPr>
      <w:r w:rsidRPr="00FF1087">
        <w:rPr>
          <w:rStyle w:val="st"/>
          <w:lang w:val="en-GB"/>
        </w:rPr>
        <w:t xml:space="preserve">The Party concerned submits </w:t>
      </w:r>
      <w:r w:rsidR="00D24FD9" w:rsidRPr="00FF1087">
        <w:rPr>
          <w:rStyle w:val="st"/>
          <w:lang w:val="en-GB"/>
        </w:rPr>
        <w:t xml:space="preserve">that </w:t>
      </w:r>
      <w:r w:rsidRPr="00FF1087">
        <w:rPr>
          <w:rStyle w:val="st"/>
          <w:lang w:val="en-GB"/>
        </w:rPr>
        <w:t xml:space="preserve">some </w:t>
      </w:r>
      <w:r w:rsidR="00D24FD9" w:rsidRPr="00FF1087">
        <w:rPr>
          <w:rStyle w:val="st"/>
          <w:lang w:val="en-GB"/>
        </w:rPr>
        <w:t xml:space="preserve">of the communicant’s </w:t>
      </w:r>
      <w:r w:rsidRPr="00FF1087">
        <w:rPr>
          <w:rStyle w:val="st"/>
          <w:lang w:val="en-GB"/>
        </w:rPr>
        <w:t xml:space="preserve">allegations </w:t>
      </w:r>
      <w:r w:rsidR="00E006BA" w:rsidRPr="00FF1087">
        <w:rPr>
          <w:rStyle w:val="st"/>
          <w:lang w:val="en-GB"/>
        </w:rPr>
        <w:t>d</w:t>
      </w:r>
      <w:r w:rsidRPr="00FF1087">
        <w:rPr>
          <w:rStyle w:val="st"/>
          <w:lang w:val="en-GB"/>
        </w:rPr>
        <w:t xml:space="preserve">o not </w:t>
      </w:r>
      <w:r w:rsidR="0044643F" w:rsidRPr="00FF1087">
        <w:rPr>
          <w:rStyle w:val="st"/>
          <w:lang w:val="en-GB"/>
        </w:rPr>
        <w:t xml:space="preserve">relate </w:t>
      </w:r>
      <w:r w:rsidRPr="00FF1087">
        <w:rPr>
          <w:rStyle w:val="st"/>
          <w:lang w:val="en-GB"/>
        </w:rPr>
        <w:t xml:space="preserve">to compliance with the Convention, but with </w:t>
      </w:r>
      <w:r w:rsidR="003C5462" w:rsidRPr="00FF1087">
        <w:rPr>
          <w:rStyle w:val="st"/>
          <w:lang w:val="en-GB"/>
        </w:rPr>
        <w:t>E</w:t>
      </w:r>
      <w:r w:rsidR="00DA7376" w:rsidRPr="00FF1087">
        <w:rPr>
          <w:rStyle w:val="st"/>
          <w:lang w:val="en-GB"/>
        </w:rPr>
        <w:t xml:space="preserve">uropean </w:t>
      </w:r>
      <w:r w:rsidR="003C5462" w:rsidRPr="00FF1087">
        <w:rPr>
          <w:rStyle w:val="st"/>
          <w:lang w:val="en-GB"/>
        </w:rPr>
        <w:t>U</w:t>
      </w:r>
      <w:r w:rsidR="00DA7376" w:rsidRPr="00FF1087">
        <w:rPr>
          <w:rStyle w:val="st"/>
          <w:lang w:val="en-GB"/>
        </w:rPr>
        <w:t>nion</w:t>
      </w:r>
      <w:r w:rsidRPr="00FF1087">
        <w:rPr>
          <w:rStyle w:val="st"/>
          <w:lang w:val="en-GB"/>
        </w:rPr>
        <w:t xml:space="preserve"> law.</w:t>
      </w:r>
      <w:r w:rsidRPr="00FF1087">
        <w:rPr>
          <w:rStyle w:val="FootnoteReference"/>
          <w:lang w:val="en-GB"/>
        </w:rPr>
        <w:footnoteReference w:id="36"/>
      </w:r>
      <w:r w:rsidRPr="00FF1087">
        <w:rPr>
          <w:rStyle w:val="st"/>
          <w:lang w:val="en-GB"/>
        </w:rPr>
        <w:t xml:space="preserve"> </w:t>
      </w:r>
      <w:r w:rsidR="001B6FEE" w:rsidRPr="00FF1087">
        <w:rPr>
          <w:rStyle w:val="st"/>
          <w:lang w:val="en-GB"/>
        </w:rPr>
        <w:t>It</w:t>
      </w:r>
      <w:r w:rsidR="00747B91" w:rsidRPr="00FF1087">
        <w:rPr>
          <w:rStyle w:val="st"/>
          <w:lang w:val="en-GB"/>
        </w:rPr>
        <w:t xml:space="preserve"> </w:t>
      </w:r>
      <w:r w:rsidRPr="00FF1087">
        <w:rPr>
          <w:rStyle w:val="st"/>
          <w:lang w:val="en-GB"/>
        </w:rPr>
        <w:t xml:space="preserve">requests the Committee to find these </w:t>
      </w:r>
      <w:r w:rsidR="00DA7376" w:rsidRPr="00FF1087">
        <w:rPr>
          <w:rStyle w:val="st"/>
          <w:lang w:val="en-GB"/>
        </w:rPr>
        <w:t xml:space="preserve">allegations </w:t>
      </w:r>
      <w:r w:rsidRPr="00FF1087">
        <w:rPr>
          <w:rStyle w:val="st"/>
          <w:lang w:val="en-GB"/>
        </w:rPr>
        <w:t>inadmissible</w:t>
      </w:r>
      <w:r w:rsidR="001B6FEE" w:rsidRPr="00FF1087">
        <w:rPr>
          <w:rStyle w:val="st"/>
          <w:lang w:val="en-GB"/>
        </w:rPr>
        <w:t xml:space="preserve"> under</w:t>
      </w:r>
      <w:r w:rsidR="00DA7376" w:rsidRPr="00FF1087">
        <w:rPr>
          <w:rStyle w:val="st"/>
          <w:lang w:val="en-GB"/>
        </w:rPr>
        <w:t xml:space="preserve"> </w:t>
      </w:r>
      <w:r w:rsidRPr="00FF1087">
        <w:rPr>
          <w:lang w:val="en-GB"/>
        </w:rPr>
        <w:t>paragraph</w:t>
      </w:r>
      <w:r w:rsidR="00E006BA" w:rsidRPr="00FF1087">
        <w:rPr>
          <w:lang w:val="en-GB"/>
        </w:rPr>
        <w:t xml:space="preserve"> 13(b) and (c) of the </w:t>
      </w:r>
      <w:r w:rsidR="009E5E5D" w:rsidRPr="00FF1087">
        <w:rPr>
          <w:lang w:val="en-GB"/>
        </w:rPr>
        <w:t>a</w:t>
      </w:r>
      <w:r w:rsidR="00E006BA" w:rsidRPr="00FF1087">
        <w:rPr>
          <w:lang w:val="en-GB"/>
        </w:rPr>
        <w:t>nnex to d</w:t>
      </w:r>
      <w:r w:rsidRPr="00FF1087">
        <w:rPr>
          <w:lang w:val="en-GB"/>
        </w:rPr>
        <w:t>ecision I/7.</w:t>
      </w:r>
    </w:p>
    <w:p w14:paraId="50F70F29" w14:textId="7A21B6AF" w:rsidR="001A5FD4" w:rsidRPr="00FF1087" w:rsidRDefault="001A5FD4" w:rsidP="00313686">
      <w:pPr>
        <w:pStyle w:val="SingleTxtG"/>
        <w:tabs>
          <w:tab w:val="left" w:pos="1843"/>
          <w:tab w:val="left" w:pos="6120"/>
        </w:tabs>
        <w:ind w:right="0"/>
        <w:rPr>
          <w:b/>
          <w:lang w:val="en-GB"/>
        </w:rPr>
      </w:pPr>
      <w:r w:rsidRPr="00FF1087">
        <w:rPr>
          <w:b/>
          <w:lang w:val="en-GB"/>
        </w:rPr>
        <w:t xml:space="preserve">Admissibility of claims </w:t>
      </w:r>
      <w:r w:rsidR="00492A37" w:rsidRPr="00FF1087">
        <w:rPr>
          <w:b/>
          <w:lang w:val="en-GB"/>
        </w:rPr>
        <w:t>concerning the</w:t>
      </w:r>
      <w:r w:rsidRPr="00FF1087">
        <w:rPr>
          <w:b/>
          <w:lang w:val="en-GB"/>
        </w:rPr>
        <w:t xml:space="preserve"> grievances </w:t>
      </w:r>
      <w:r w:rsidR="00492A37" w:rsidRPr="00FF1087">
        <w:rPr>
          <w:b/>
          <w:lang w:val="en-GB"/>
        </w:rPr>
        <w:t>of others</w:t>
      </w:r>
    </w:p>
    <w:p w14:paraId="310D873D" w14:textId="75459D44" w:rsidR="001A5FD4" w:rsidRPr="00FF1087" w:rsidRDefault="001A5FD4"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w:t>
      </w:r>
      <w:r w:rsidR="00D24FD9" w:rsidRPr="00FF1087">
        <w:rPr>
          <w:rStyle w:val="st"/>
          <w:lang w:val="en-GB"/>
        </w:rPr>
        <w:t xml:space="preserve">claims that </w:t>
      </w:r>
      <w:r w:rsidR="00250757" w:rsidRPr="00FF1087">
        <w:rPr>
          <w:rStyle w:val="st"/>
          <w:lang w:val="en-GB"/>
        </w:rPr>
        <w:t>the communication includes allegations involving persons or organi</w:t>
      </w:r>
      <w:r w:rsidR="0082063B" w:rsidRPr="00FF1087">
        <w:rPr>
          <w:rStyle w:val="st"/>
          <w:lang w:val="en-GB"/>
        </w:rPr>
        <w:t>z</w:t>
      </w:r>
      <w:r w:rsidR="00250757" w:rsidRPr="00FF1087">
        <w:rPr>
          <w:rStyle w:val="st"/>
          <w:lang w:val="en-GB"/>
        </w:rPr>
        <w:t>ations other than the communicant and the latter</w:t>
      </w:r>
      <w:r w:rsidRPr="00FF1087">
        <w:rPr>
          <w:rStyle w:val="st"/>
          <w:lang w:val="en-GB"/>
        </w:rPr>
        <w:t xml:space="preserve"> </w:t>
      </w:r>
      <w:r w:rsidR="00CB1DEB" w:rsidRPr="00FF1087">
        <w:rPr>
          <w:rStyle w:val="st"/>
          <w:lang w:val="en-GB"/>
        </w:rPr>
        <w:t xml:space="preserve">has not established </w:t>
      </w:r>
      <w:r w:rsidRPr="00FF1087">
        <w:rPr>
          <w:rStyle w:val="st"/>
          <w:lang w:val="en-GB"/>
        </w:rPr>
        <w:t>that the</w:t>
      </w:r>
      <w:r w:rsidR="009E5E5D" w:rsidRPr="00FF1087">
        <w:rPr>
          <w:rStyle w:val="st"/>
          <w:lang w:val="en-GB"/>
        </w:rPr>
        <w:t>se</w:t>
      </w:r>
      <w:r w:rsidRPr="00FF1087">
        <w:rPr>
          <w:rStyle w:val="st"/>
          <w:lang w:val="en-GB"/>
        </w:rPr>
        <w:t xml:space="preserve"> third parties entrusted </w:t>
      </w:r>
      <w:r w:rsidR="006F316D" w:rsidRPr="00FF1087">
        <w:rPr>
          <w:rStyle w:val="st"/>
          <w:lang w:val="en-GB"/>
        </w:rPr>
        <w:t xml:space="preserve">it </w:t>
      </w:r>
      <w:r w:rsidRPr="00FF1087">
        <w:rPr>
          <w:rStyle w:val="st"/>
          <w:lang w:val="en-GB"/>
        </w:rPr>
        <w:t>to present the</w:t>
      </w:r>
      <w:r w:rsidR="009E5E5D" w:rsidRPr="00FF1087">
        <w:rPr>
          <w:rStyle w:val="st"/>
          <w:lang w:val="en-GB"/>
        </w:rPr>
        <w:t>ir</w:t>
      </w:r>
      <w:r w:rsidRPr="00FF1087">
        <w:rPr>
          <w:rStyle w:val="st"/>
          <w:lang w:val="en-GB"/>
        </w:rPr>
        <w:t xml:space="preserve"> grievances on their behalf. </w:t>
      </w:r>
      <w:r w:rsidR="00CB1DEB" w:rsidRPr="00FF1087">
        <w:rPr>
          <w:rStyle w:val="st"/>
          <w:lang w:val="en-GB"/>
        </w:rPr>
        <w:t xml:space="preserve">Accordingly, </w:t>
      </w:r>
      <w:r w:rsidRPr="00FF1087">
        <w:rPr>
          <w:rStyle w:val="st"/>
          <w:lang w:val="en-GB"/>
        </w:rPr>
        <w:t xml:space="preserve">the Committee should </w:t>
      </w:r>
      <w:r w:rsidR="006F316D" w:rsidRPr="00FF1087">
        <w:rPr>
          <w:rStyle w:val="st"/>
          <w:lang w:val="en-GB"/>
        </w:rPr>
        <w:t>find the grievances of the other individuals and organi</w:t>
      </w:r>
      <w:r w:rsidR="0082063B" w:rsidRPr="00FF1087">
        <w:rPr>
          <w:rStyle w:val="st"/>
          <w:lang w:val="en-GB"/>
        </w:rPr>
        <w:t>z</w:t>
      </w:r>
      <w:r w:rsidR="006F316D" w:rsidRPr="00FF1087">
        <w:rPr>
          <w:rStyle w:val="st"/>
          <w:lang w:val="en-GB"/>
        </w:rPr>
        <w:t>ations</w:t>
      </w:r>
      <w:r w:rsidR="006F316D" w:rsidRPr="00FF1087" w:rsidDel="006F316D">
        <w:rPr>
          <w:rStyle w:val="st"/>
          <w:lang w:val="en-GB"/>
        </w:rPr>
        <w:t xml:space="preserve"> </w:t>
      </w:r>
      <w:r w:rsidR="006F316D" w:rsidRPr="00FF1087">
        <w:rPr>
          <w:rStyle w:val="st"/>
          <w:lang w:val="en-GB"/>
        </w:rPr>
        <w:t xml:space="preserve">inadmissible </w:t>
      </w:r>
      <w:r w:rsidRPr="00FF1087">
        <w:rPr>
          <w:rStyle w:val="st"/>
          <w:lang w:val="en-GB"/>
        </w:rPr>
        <w:t>under paragraph 20</w:t>
      </w:r>
      <w:r w:rsidR="009E5E5D" w:rsidRPr="00FF1087">
        <w:rPr>
          <w:rStyle w:val="st"/>
          <w:lang w:val="en-GB"/>
        </w:rPr>
        <w:t>(a)</w:t>
      </w:r>
      <w:r w:rsidRPr="00FF1087">
        <w:rPr>
          <w:rStyle w:val="st"/>
          <w:lang w:val="en-GB"/>
        </w:rPr>
        <w:t xml:space="preserve"> of </w:t>
      </w:r>
      <w:r w:rsidR="0082063B" w:rsidRPr="00FF1087">
        <w:rPr>
          <w:rStyle w:val="st"/>
          <w:lang w:val="en-GB"/>
        </w:rPr>
        <w:t xml:space="preserve">the annex to </w:t>
      </w:r>
      <w:r w:rsidR="009E5E5D" w:rsidRPr="00FF1087">
        <w:rPr>
          <w:rStyle w:val="st"/>
          <w:lang w:val="en-GB"/>
        </w:rPr>
        <w:t>d</w:t>
      </w:r>
      <w:r w:rsidRPr="00FF1087">
        <w:rPr>
          <w:rStyle w:val="st"/>
          <w:lang w:val="en-GB"/>
        </w:rPr>
        <w:t>ecision I/7.</w:t>
      </w:r>
      <w:r w:rsidRPr="00FF1087">
        <w:rPr>
          <w:rStyle w:val="FootnoteReference"/>
          <w:lang w:val="en-GB"/>
        </w:rPr>
        <w:footnoteReference w:id="37"/>
      </w:r>
    </w:p>
    <w:p w14:paraId="28E8F997" w14:textId="77777777" w:rsidR="001932D9" w:rsidRDefault="001932D9" w:rsidP="001C3D04">
      <w:pPr>
        <w:pStyle w:val="SingleTxtG"/>
        <w:tabs>
          <w:tab w:val="left" w:pos="1843"/>
          <w:tab w:val="left" w:pos="6120"/>
        </w:tabs>
        <w:ind w:right="0"/>
        <w:rPr>
          <w:rStyle w:val="st"/>
          <w:b/>
          <w:lang w:val="en-GB"/>
        </w:rPr>
      </w:pPr>
    </w:p>
    <w:p w14:paraId="6F0A05DA" w14:textId="68E15E3B" w:rsidR="00BE3718" w:rsidRPr="00FF1087" w:rsidRDefault="00BE3718" w:rsidP="001C3D04">
      <w:pPr>
        <w:pStyle w:val="SingleTxtG"/>
        <w:tabs>
          <w:tab w:val="left" w:pos="1843"/>
          <w:tab w:val="left" w:pos="6120"/>
        </w:tabs>
        <w:ind w:right="0"/>
        <w:rPr>
          <w:rStyle w:val="st"/>
          <w:b/>
          <w:lang w:val="en-GB"/>
        </w:rPr>
      </w:pPr>
      <w:r w:rsidRPr="00FF1087">
        <w:rPr>
          <w:rStyle w:val="st"/>
          <w:b/>
          <w:lang w:val="en-GB"/>
        </w:rPr>
        <w:lastRenderedPageBreak/>
        <w:t>Exhaustion of domestic remedies</w:t>
      </w:r>
    </w:p>
    <w:p w14:paraId="0CCD3E78" w14:textId="4898DB41" w:rsidR="00782D80" w:rsidRPr="00FF1087" w:rsidRDefault="00287C4F" w:rsidP="00CB1DEB">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 claims</w:t>
      </w:r>
      <w:r w:rsidR="00167801" w:rsidRPr="00FF1087">
        <w:rPr>
          <w:rStyle w:val="st"/>
          <w:lang w:val="en-GB"/>
        </w:rPr>
        <w:t xml:space="preserve"> </w:t>
      </w:r>
      <w:r w:rsidRPr="00FF1087">
        <w:rPr>
          <w:rStyle w:val="st"/>
          <w:lang w:val="en-GB"/>
        </w:rPr>
        <w:t xml:space="preserve">the communication covers issues for which redress </w:t>
      </w:r>
      <w:r w:rsidR="000E2733" w:rsidRPr="00FF1087">
        <w:rPr>
          <w:rStyle w:val="st"/>
          <w:lang w:val="en-GB"/>
        </w:rPr>
        <w:t xml:space="preserve">is </w:t>
      </w:r>
      <w:r w:rsidRPr="00FF1087">
        <w:rPr>
          <w:rStyle w:val="st"/>
          <w:lang w:val="en-GB"/>
        </w:rPr>
        <w:t>available at the</w:t>
      </w:r>
      <w:r w:rsidR="00B44A16" w:rsidRPr="00FF1087">
        <w:rPr>
          <w:rStyle w:val="st"/>
          <w:lang w:val="en-GB"/>
        </w:rPr>
        <w:t xml:space="preserve"> </w:t>
      </w:r>
      <w:r w:rsidR="00DA7376" w:rsidRPr="00FF1087">
        <w:rPr>
          <w:rStyle w:val="st"/>
          <w:lang w:val="en-GB"/>
        </w:rPr>
        <w:t xml:space="preserve">European Union </w:t>
      </w:r>
      <w:r w:rsidRPr="00FF1087">
        <w:rPr>
          <w:rStyle w:val="st"/>
          <w:lang w:val="en-GB"/>
        </w:rPr>
        <w:t xml:space="preserve">level </w:t>
      </w:r>
      <w:r w:rsidR="00102A8C" w:rsidRPr="00FF1087">
        <w:rPr>
          <w:rStyle w:val="st"/>
          <w:lang w:val="en-GB"/>
        </w:rPr>
        <w:t xml:space="preserve">which </w:t>
      </w:r>
      <w:r w:rsidR="004C4027" w:rsidRPr="00FF1087">
        <w:rPr>
          <w:rStyle w:val="st"/>
          <w:lang w:val="en-GB"/>
        </w:rPr>
        <w:t xml:space="preserve">has </w:t>
      </w:r>
      <w:r w:rsidRPr="00FF1087">
        <w:rPr>
          <w:rStyle w:val="st"/>
          <w:lang w:val="en-GB"/>
        </w:rPr>
        <w:t xml:space="preserve">not been exhausted. </w:t>
      </w:r>
      <w:r w:rsidR="00DE2FDA" w:rsidRPr="00FF1087">
        <w:rPr>
          <w:rStyle w:val="st"/>
          <w:lang w:val="en-GB"/>
        </w:rPr>
        <w:t>F</w:t>
      </w:r>
      <w:r w:rsidR="005C6297" w:rsidRPr="00FF1087">
        <w:rPr>
          <w:rStyle w:val="st"/>
          <w:lang w:val="en-GB"/>
        </w:rPr>
        <w:t>or information requests</w:t>
      </w:r>
      <w:r w:rsidR="00DE2FDA" w:rsidRPr="00FF1087">
        <w:rPr>
          <w:rStyle w:val="st"/>
          <w:lang w:val="en-GB"/>
        </w:rPr>
        <w:t>, the redress</w:t>
      </w:r>
      <w:r w:rsidR="005C6297" w:rsidRPr="00FF1087">
        <w:rPr>
          <w:rStyle w:val="st"/>
          <w:lang w:val="en-GB"/>
        </w:rPr>
        <w:t xml:space="preserve"> </w:t>
      </w:r>
      <w:r w:rsidR="004C4027" w:rsidRPr="00FF1087">
        <w:rPr>
          <w:rStyle w:val="st"/>
          <w:lang w:val="en-GB"/>
        </w:rPr>
        <w:t xml:space="preserve">is </w:t>
      </w:r>
      <w:r w:rsidRPr="00FF1087">
        <w:rPr>
          <w:rStyle w:val="st"/>
          <w:lang w:val="en-GB"/>
        </w:rPr>
        <w:t xml:space="preserve">to </w:t>
      </w:r>
      <w:r w:rsidR="00893594" w:rsidRPr="00FF1087">
        <w:rPr>
          <w:rStyle w:val="st"/>
          <w:lang w:val="en-GB"/>
        </w:rPr>
        <w:t xml:space="preserve">file </w:t>
      </w:r>
      <w:r w:rsidR="00301FC7" w:rsidRPr="00FF1087">
        <w:rPr>
          <w:rStyle w:val="st"/>
          <w:lang w:val="en-GB"/>
        </w:rPr>
        <w:t xml:space="preserve">a confirmatory application, which </w:t>
      </w:r>
      <w:r w:rsidR="003C5462" w:rsidRPr="00FF1087">
        <w:rPr>
          <w:rStyle w:val="st"/>
          <w:lang w:val="en-GB"/>
        </w:rPr>
        <w:t>was not</w:t>
      </w:r>
      <w:r w:rsidRPr="00FF1087">
        <w:rPr>
          <w:rStyle w:val="st"/>
          <w:lang w:val="en-GB"/>
        </w:rPr>
        <w:t xml:space="preserve"> </w:t>
      </w:r>
      <w:r w:rsidR="003C5462" w:rsidRPr="00FF1087">
        <w:rPr>
          <w:rStyle w:val="st"/>
          <w:lang w:val="en-GB"/>
        </w:rPr>
        <w:t xml:space="preserve">done </w:t>
      </w:r>
      <w:r w:rsidR="005C6297" w:rsidRPr="00FF1087">
        <w:rPr>
          <w:rStyle w:val="st"/>
          <w:lang w:val="en-GB"/>
        </w:rPr>
        <w:t>in all cases</w:t>
      </w:r>
      <w:r w:rsidRPr="00FF1087">
        <w:rPr>
          <w:rStyle w:val="st"/>
          <w:lang w:val="en-GB"/>
        </w:rPr>
        <w:t xml:space="preserve">. </w:t>
      </w:r>
      <w:r w:rsidR="00301FC7" w:rsidRPr="00FF1087">
        <w:rPr>
          <w:rStyle w:val="st"/>
          <w:lang w:val="en-GB"/>
        </w:rPr>
        <w:t xml:space="preserve">Following the confirmatory request, an applicant may </w:t>
      </w:r>
      <w:r w:rsidRPr="00FF1087">
        <w:rPr>
          <w:rStyle w:val="st"/>
          <w:lang w:val="en-GB"/>
        </w:rPr>
        <w:t xml:space="preserve">bring proceedings before the General Court under </w:t>
      </w:r>
      <w:r w:rsidR="001B6FEE" w:rsidRPr="00FF1087">
        <w:rPr>
          <w:rStyle w:val="st"/>
          <w:lang w:val="en-GB"/>
        </w:rPr>
        <w:t>a</w:t>
      </w:r>
      <w:r w:rsidRPr="00FF1087">
        <w:rPr>
          <w:rStyle w:val="st"/>
          <w:lang w:val="en-GB"/>
        </w:rPr>
        <w:t xml:space="preserve">rticle 263 </w:t>
      </w:r>
      <w:r w:rsidR="00CB1DEB" w:rsidRPr="00FF1087">
        <w:rPr>
          <w:rStyle w:val="st"/>
          <w:lang w:val="en-GB"/>
        </w:rPr>
        <w:t>of the Treaty on the Functioning of the European Union (</w:t>
      </w:r>
      <w:r w:rsidRPr="00FF1087">
        <w:rPr>
          <w:rStyle w:val="st"/>
          <w:lang w:val="en-GB"/>
        </w:rPr>
        <w:t>TFEU</w:t>
      </w:r>
      <w:proofErr w:type="gramStart"/>
      <w:r w:rsidR="00CB1DEB" w:rsidRPr="00FF1087">
        <w:rPr>
          <w:rStyle w:val="st"/>
          <w:lang w:val="en-GB"/>
        </w:rPr>
        <w:t>)</w:t>
      </w:r>
      <w:r w:rsidRPr="00FF1087">
        <w:rPr>
          <w:rStyle w:val="st"/>
          <w:lang w:val="en-GB"/>
        </w:rPr>
        <w:t>, or</w:t>
      </w:r>
      <w:proofErr w:type="gramEnd"/>
      <w:r w:rsidRPr="00FF1087">
        <w:rPr>
          <w:rStyle w:val="st"/>
          <w:lang w:val="en-GB"/>
        </w:rPr>
        <w:t xml:space="preserve"> file </w:t>
      </w:r>
      <w:r w:rsidR="00CB1DEB" w:rsidRPr="00FF1087">
        <w:rPr>
          <w:rStyle w:val="st"/>
          <w:lang w:val="en-GB"/>
        </w:rPr>
        <w:t xml:space="preserve">an Ombudsman </w:t>
      </w:r>
      <w:r w:rsidRPr="00FF1087">
        <w:rPr>
          <w:rStyle w:val="st"/>
          <w:lang w:val="en-GB"/>
        </w:rPr>
        <w:t xml:space="preserve">complaint under </w:t>
      </w:r>
      <w:r w:rsidR="001B6FEE" w:rsidRPr="00FF1087">
        <w:rPr>
          <w:rStyle w:val="st"/>
          <w:lang w:val="en-GB"/>
        </w:rPr>
        <w:t>a</w:t>
      </w:r>
      <w:r w:rsidRPr="00FF1087">
        <w:rPr>
          <w:rStyle w:val="st"/>
          <w:lang w:val="en-GB"/>
        </w:rPr>
        <w:t xml:space="preserve">rticle 228 TFEU. </w:t>
      </w:r>
      <w:r w:rsidR="00167801" w:rsidRPr="00FF1087">
        <w:rPr>
          <w:rStyle w:val="st"/>
          <w:lang w:val="en-GB"/>
        </w:rPr>
        <w:t>It</w:t>
      </w:r>
      <w:r w:rsidR="00782D80" w:rsidRPr="00FF1087">
        <w:rPr>
          <w:rStyle w:val="st"/>
          <w:lang w:val="en-GB"/>
        </w:rPr>
        <w:t xml:space="preserve"> </w:t>
      </w:r>
      <w:r w:rsidR="00CB1DEB" w:rsidRPr="00FF1087">
        <w:rPr>
          <w:rStyle w:val="st"/>
          <w:lang w:val="en-GB"/>
        </w:rPr>
        <w:t xml:space="preserve">submits </w:t>
      </w:r>
      <w:r w:rsidR="004C4027" w:rsidRPr="00FF1087">
        <w:rPr>
          <w:rStyle w:val="st"/>
          <w:lang w:val="en-GB"/>
        </w:rPr>
        <w:t xml:space="preserve">that </w:t>
      </w:r>
      <w:r w:rsidR="00904258" w:rsidRPr="00FF1087">
        <w:rPr>
          <w:rStyle w:val="st"/>
          <w:lang w:val="en-GB"/>
        </w:rPr>
        <w:t>the communicant’s</w:t>
      </w:r>
      <w:r w:rsidR="00CB1DEB" w:rsidRPr="00FF1087">
        <w:rPr>
          <w:rStyle w:val="st"/>
          <w:lang w:val="en-GB"/>
        </w:rPr>
        <w:t xml:space="preserve"> Ombudsman compla</w:t>
      </w:r>
      <w:r w:rsidR="00DA7376" w:rsidRPr="00FF1087">
        <w:rPr>
          <w:rStyle w:val="st"/>
          <w:lang w:val="en-GB"/>
        </w:rPr>
        <w:t>i</w:t>
      </w:r>
      <w:r w:rsidR="00CB1DEB" w:rsidRPr="00FF1087">
        <w:rPr>
          <w:rStyle w:val="st"/>
          <w:lang w:val="en-GB"/>
        </w:rPr>
        <w:t xml:space="preserve">nt </w:t>
      </w:r>
      <w:r w:rsidR="00904258" w:rsidRPr="00FF1087">
        <w:rPr>
          <w:rStyle w:val="st"/>
          <w:lang w:val="en-GB"/>
        </w:rPr>
        <w:t xml:space="preserve">does not exhaust </w:t>
      </w:r>
      <w:r w:rsidRPr="00FF1087">
        <w:rPr>
          <w:rStyle w:val="st"/>
          <w:lang w:val="en-GB"/>
        </w:rPr>
        <w:t>available domestic remedies</w:t>
      </w:r>
      <w:r w:rsidR="00CB1DEB" w:rsidRPr="00FF1087">
        <w:rPr>
          <w:rStyle w:val="st"/>
          <w:lang w:val="en-GB"/>
        </w:rPr>
        <w:t xml:space="preserve"> since </w:t>
      </w:r>
      <w:r w:rsidR="007F7787" w:rsidRPr="00FF1087">
        <w:rPr>
          <w:rStyle w:val="st"/>
          <w:lang w:val="en-GB"/>
        </w:rPr>
        <w:t>the communicant’s</w:t>
      </w:r>
      <w:r w:rsidRPr="00FF1087">
        <w:rPr>
          <w:rStyle w:val="st"/>
          <w:lang w:val="en-GB"/>
        </w:rPr>
        <w:t xml:space="preserve"> allegations address issues on which the Ombudsman cannot make a legally binding decision.</w:t>
      </w:r>
      <w:r w:rsidR="00782D80" w:rsidRPr="00FF1087">
        <w:rPr>
          <w:rStyle w:val="st"/>
          <w:lang w:val="en-GB"/>
        </w:rPr>
        <w:t xml:space="preserve"> </w:t>
      </w:r>
      <w:r w:rsidR="00174F9C" w:rsidRPr="00FF1087">
        <w:rPr>
          <w:rStyle w:val="st"/>
          <w:lang w:val="en-GB"/>
        </w:rPr>
        <w:t xml:space="preserve">Should the Ombudsman mishandle a request, </w:t>
      </w:r>
      <w:r w:rsidR="00782D80" w:rsidRPr="00FF1087">
        <w:rPr>
          <w:rStyle w:val="st"/>
          <w:lang w:val="en-GB"/>
        </w:rPr>
        <w:t>an action for damages may be brought before the General Court.</w:t>
      </w:r>
      <w:r w:rsidR="00174F9C" w:rsidRPr="00FF1087">
        <w:rPr>
          <w:rStyle w:val="st"/>
          <w:lang w:val="en-GB"/>
        </w:rPr>
        <w:t xml:space="preserve"> Finally, </w:t>
      </w:r>
      <w:r w:rsidR="00EA1B06" w:rsidRPr="00FF1087">
        <w:rPr>
          <w:rStyle w:val="st"/>
          <w:lang w:val="en-GB"/>
        </w:rPr>
        <w:t xml:space="preserve">regarding </w:t>
      </w:r>
      <w:r w:rsidR="00B44A16" w:rsidRPr="00FF1087">
        <w:rPr>
          <w:rStyle w:val="st"/>
          <w:lang w:val="en-GB"/>
        </w:rPr>
        <w:t>requests for internal review</w:t>
      </w:r>
      <w:r w:rsidR="004C4027" w:rsidRPr="00FF1087">
        <w:rPr>
          <w:rStyle w:val="st"/>
          <w:lang w:val="en-GB"/>
        </w:rPr>
        <w:t xml:space="preserve">, </w:t>
      </w:r>
      <w:r w:rsidR="00174F9C" w:rsidRPr="00FF1087">
        <w:rPr>
          <w:rStyle w:val="st"/>
          <w:lang w:val="en-GB"/>
        </w:rPr>
        <w:t xml:space="preserve">redress can be sought </w:t>
      </w:r>
      <w:r w:rsidR="001B6FEE" w:rsidRPr="00FF1087">
        <w:rPr>
          <w:rStyle w:val="st"/>
          <w:lang w:val="en-GB"/>
        </w:rPr>
        <w:t>from</w:t>
      </w:r>
      <w:r w:rsidR="00FD3F4D" w:rsidRPr="00FF1087">
        <w:rPr>
          <w:rStyle w:val="st"/>
          <w:lang w:val="en-GB"/>
        </w:rPr>
        <w:t xml:space="preserve"> the General Court</w:t>
      </w:r>
      <w:r w:rsidR="004C4027" w:rsidRPr="00FF1087">
        <w:rPr>
          <w:rStyle w:val="st"/>
          <w:lang w:val="en-GB"/>
        </w:rPr>
        <w:t xml:space="preserve"> </w:t>
      </w:r>
      <w:r w:rsidR="004C4027" w:rsidRPr="00FF1087">
        <w:rPr>
          <w:lang w:val="en-GB"/>
        </w:rPr>
        <w:t>under article 12 of the Aarhus Regulation</w:t>
      </w:r>
      <w:r w:rsidR="00782D80" w:rsidRPr="00FF1087">
        <w:rPr>
          <w:rStyle w:val="st"/>
          <w:lang w:val="en-GB"/>
        </w:rPr>
        <w:t>.</w:t>
      </w:r>
      <w:r w:rsidR="004C4027" w:rsidRPr="00FF1087">
        <w:rPr>
          <w:rStyle w:val="FootnoteReference"/>
          <w:lang w:val="en-GB"/>
        </w:rPr>
        <w:footnoteReference w:id="38"/>
      </w:r>
    </w:p>
    <w:p w14:paraId="38E24029" w14:textId="2B202D1F" w:rsidR="00287C4F" w:rsidRPr="00FF1087" w:rsidRDefault="00F23BEE"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Party</w:t>
      </w:r>
      <w:r w:rsidR="00EA6B04" w:rsidRPr="00FF1087">
        <w:rPr>
          <w:rStyle w:val="st"/>
          <w:lang w:val="en-GB"/>
        </w:rPr>
        <w:t xml:space="preserve"> </w:t>
      </w:r>
      <w:r w:rsidR="004E015D" w:rsidRPr="00FF1087">
        <w:rPr>
          <w:rStyle w:val="st"/>
          <w:lang w:val="en-GB"/>
        </w:rPr>
        <w:t xml:space="preserve">concerned </w:t>
      </w:r>
      <w:r w:rsidR="00EA6B04" w:rsidRPr="00FF1087">
        <w:rPr>
          <w:rStyle w:val="st"/>
          <w:lang w:val="en-GB"/>
        </w:rPr>
        <w:t>submits</w:t>
      </w:r>
      <w:r w:rsidR="00287C4F" w:rsidRPr="00FF1087">
        <w:rPr>
          <w:rStyle w:val="st"/>
          <w:lang w:val="en-GB"/>
        </w:rPr>
        <w:t xml:space="preserve"> </w:t>
      </w:r>
      <w:r w:rsidR="00D349D3" w:rsidRPr="00FF1087">
        <w:rPr>
          <w:rStyle w:val="st"/>
          <w:lang w:val="en-GB"/>
        </w:rPr>
        <w:t>such</w:t>
      </w:r>
      <w:r w:rsidR="00287C4F" w:rsidRPr="00FF1087">
        <w:rPr>
          <w:rStyle w:val="st"/>
          <w:lang w:val="en-GB"/>
        </w:rPr>
        <w:t xml:space="preserve"> court proceedings do not unreasonably prolong </w:t>
      </w:r>
      <w:r w:rsidR="00893594" w:rsidRPr="00FF1087">
        <w:rPr>
          <w:rStyle w:val="st"/>
          <w:lang w:val="en-GB"/>
        </w:rPr>
        <w:t xml:space="preserve">a </w:t>
      </w:r>
      <w:r w:rsidR="00287C4F" w:rsidRPr="00FF1087">
        <w:rPr>
          <w:rStyle w:val="st"/>
          <w:lang w:val="en-GB"/>
        </w:rPr>
        <w:t xml:space="preserve">remedy and provide an effective and </w:t>
      </w:r>
      <w:proofErr w:type="gramStart"/>
      <w:r w:rsidR="00287C4F" w:rsidRPr="00FF1087">
        <w:rPr>
          <w:rStyle w:val="st"/>
          <w:lang w:val="en-GB"/>
        </w:rPr>
        <w:t>sufficient</w:t>
      </w:r>
      <w:proofErr w:type="gramEnd"/>
      <w:r w:rsidR="00287C4F" w:rsidRPr="00FF1087">
        <w:rPr>
          <w:rStyle w:val="st"/>
          <w:lang w:val="en-GB"/>
        </w:rPr>
        <w:t xml:space="preserve"> means of redress.</w:t>
      </w:r>
      <w:r w:rsidR="00B26E0D" w:rsidRPr="00FF1087">
        <w:rPr>
          <w:rStyle w:val="FootnoteReference"/>
          <w:lang w:val="en-GB"/>
        </w:rPr>
        <w:footnoteReference w:id="39"/>
      </w:r>
      <w:r w:rsidR="00B26E0D" w:rsidRPr="00FF1087">
        <w:rPr>
          <w:rStyle w:val="st"/>
          <w:lang w:val="en-GB"/>
        </w:rPr>
        <w:t xml:space="preserve"> </w:t>
      </w:r>
      <w:r w:rsidR="00082BB2" w:rsidRPr="00FF1087">
        <w:rPr>
          <w:rStyle w:val="st"/>
          <w:lang w:val="en-GB"/>
        </w:rPr>
        <w:t>It</w:t>
      </w:r>
      <w:r w:rsidR="00B26E0D" w:rsidRPr="00FF1087">
        <w:rPr>
          <w:rStyle w:val="st"/>
          <w:lang w:val="en-GB"/>
        </w:rPr>
        <w:t xml:space="preserve"> disputes that </w:t>
      </w:r>
      <w:r w:rsidR="00EA1B06" w:rsidRPr="00FF1087">
        <w:rPr>
          <w:rStyle w:val="st"/>
          <w:lang w:val="en-GB"/>
        </w:rPr>
        <w:t>its</w:t>
      </w:r>
      <w:r w:rsidR="00893594" w:rsidRPr="00FF1087">
        <w:rPr>
          <w:rStyle w:val="st"/>
          <w:lang w:val="en-GB"/>
        </w:rPr>
        <w:t xml:space="preserve"> </w:t>
      </w:r>
      <w:r w:rsidR="00174F9C" w:rsidRPr="00FF1087">
        <w:rPr>
          <w:rStyle w:val="st"/>
          <w:lang w:val="en-GB"/>
        </w:rPr>
        <w:t xml:space="preserve">courts </w:t>
      </w:r>
      <w:r w:rsidR="00E33B10" w:rsidRPr="00FF1087">
        <w:rPr>
          <w:rStyle w:val="st"/>
          <w:lang w:val="en-GB"/>
        </w:rPr>
        <w:t>are prohibitively expensive</w:t>
      </w:r>
      <w:r w:rsidR="00167801" w:rsidRPr="00FF1087">
        <w:rPr>
          <w:rStyle w:val="st"/>
          <w:lang w:val="en-GB"/>
        </w:rPr>
        <w:t>,</w:t>
      </w:r>
      <w:r w:rsidR="00E33B10" w:rsidRPr="00FF1087">
        <w:rPr>
          <w:rStyle w:val="st"/>
          <w:lang w:val="en-GB"/>
        </w:rPr>
        <w:t xml:space="preserve"> </w:t>
      </w:r>
      <w:r w:rsidR="00167801" w:rsidRPr="00FF1087">
        <w:rPr>
          <w:rStyle w:val="st"/>
          <w:lang w:val="en-GB"/>
        </w:rPr>
        <w:t>observing</w:t>
      </w:r>
      <w:r w:rsidR="00E33B10" w:rsidRPr="00FF1087">
        <w:rPr>
          <w:rStyle w:val="st"/>
          <w:lang w:val="en-GB"/>
        </w:rPr>
        <w:t xml:space="preserve"> that </w:t>
      </w:r>
      <w:r w:rsidR="00183675" w:rsidRPr="00FF1087">
        <w:rPr>
          <w:rStyle w:val="st"/>
          <w:lang w:val="en-GB"/>
        </w:rPr>
        <w:t>access</w:t>
      </w:r>
      <w:r w:rsidR="00E33B10" w:rsidRPr="00FF1087">
        <w:rPr>
          <w:rStyle w:val="st"/>
          <w:lang w:val="en-GB"/>
        </w:rPr>
        <w:t xml:space="preserve"> is principally free of charge, legal aid</w:t>
      </w:r>
      <w:r w:rsidR="0058340C" w:rsidRPr="00FF1087">
        <w:rPr>
          <w:rStyle w:val="st"/>
          <w:lang w:val="en-GB"/>
        </w:rPr>
        <w:t xml:space="preserve"> </w:t>
      </w:r>
      <w:r w:rsidR="003D7A8E" w:rsidRPr="00FF1087">
        <w:rPr>
          <w:rStyle w:val="st"/>
          <w:lang w:val="en-GB"/>
        </w:rPr>
        <w:t xml:space="preserve">is possible, </w:t>
      </w:r>
      <w:r w:rsidR="00E33B10" w:rsidRPr="00FF1087">
        <w:rPr>
          <w:rStyle w:val="st"/>
          <w:lang w:val="en-GB"/>
        </w:rPr>
        <w:t xml:space="preserve">and the Commission does not always claim costs </w:t>
      </w:r>
      <w:r w:rsidR="00167801" w:rsidRPr="00FF1087">
        <w:rPr>
          <w:rStyle w:val="st"/>
          <w:lang w:val="en-GB"/>
        </w:rPr>
        <w:t>when it wins</w:t>
      </w:r>
      <w:r w:rsidR="00B26E0D" w:rsidRPr="00FF1087">
        <w:rPr>
          <w:rStyle w:val="st"/>
          <w:lang w:val="en-GB"/>
        </w:rPr>
        <w:t xml:space="preserve">. It </w:t>
      </w:r>
      <w:r w:rsidR="00174F9C" w:rsidRPr="00FF1087">
        <w:rPr>
          <w:rStyle w:val="st"/>
          <w:lang w:val="en-GB"/>
        </w:rPr>
        <w:t xml:space="preserve">asserts that </w:t>
      </w:r>
      <w:r w:rsidR="00B26E0D" w:rsidRPr="00FF1087">
        <w:rPr>
          <w:rStyle w:val="st"/>
          <w:lang w:val="en-GB"/>
        </w:rPr>
        <w:t>the communicant did not provide evidence as to its</w:t>
      </w:r>
      <w:r w:rsidR="003D7A8E" w:rsidRPr="00FF1087">
        <w:rPr>
          <w:rStyle w:val="st"/>
          <w:lang w:val="en-GB"/>
        </w:rPr>
        <w:t xml:space="preserve"> </w:t>
      </w:r>
      <w:r w:rsidR="00B26E0D" w:rsidRPr="00FF1087">
        <w:rPr>
          <w:rStyle w:val="st"/>
          <w:lang w:val="en-GB"/>
        </w:rPr>
        <w:t>capacity to bear costs but only made general allegations.</w:t>
      </w:r>
      <w:r w:rsidR="0058340C" w:rsidRPr="00FF1087">
        <w:rPr>
          <w:rStyle w:val="FootnoteReference"/>
          <w:lang w:val="en-GB"/>
        </w:rPr>
        <w:footnoteReference w:id="40"/>
      </w:r>
      <w:r w:rsidR="00287C4F" w:rsidRPr="00FF1087">
        <w:rPr>
          <w:rStyle w:val="st"/>
          <w:lang w:val="en-GB"/>
        </w:rPr>
        <w:t xml:space="preserve"> </w:t>
      </w:r>
      <w:r w:rsidR="00EA1B06" w:rsidRPr="00FF1087">
        <w:rPr>
          <w:rStyle w:val="st"/>
          <w:lang w:val="en-GB"/>
        </w:rPr>
        <w:t xml:space="preserve">It </w:t>
      </w:r>
      <w:r w:rsidR="00893594" w:rsidRPr="00FF1087">
        <w:rPr>
          <w:rStyle w:val="st"/>
          <w:lang w:val="en-GB"/>
        </w:rPr>
        <w:t xml:space="preserve">submits </w:t>
      </w:r>
      <w:r w:rsidR="00063168" w:rsidRPr="00FF1087">
        <w:rPr>
          <w:rStyle w:val="st"/>
          <w:lang w:val="en-GB"/>
        </w:rPr>
        <w:t>that the</w:t>
      </w:r>
      <w:r w:rsidR="00287C4F" w:rsidRPr="00FF1087">
        <w:rPr>
          <w:rStyle w:val="st"/>
          <w:lang w:val="en-GB"/>
        </w:rPr>
        <w:t xml:space="preserve"> communication </w:t>
      </w:r>
      <w:r w:rsidR="00063168" w:rsidRPr="00FF1087">
        <w:rPr>
          <w:rStyle w:val="st"/>
          <w:lang w:val="en-GB"/>
        </w:rPr>
        <w:t xml:space="preserve">should </w:t>
      </w:r>
      <w:r w:rsidR="00174F9C" w:rsidRPr="00FF1087">
        <w:rPr>
          <w:rStyle w:val="st"/>
          <w:lang w:val="en-GB"/>
        </w:rPr>
        <w:t xml:space="preserve">accordingly </w:t>
      </w:r>
      <w:r w:rsidR="00063168" w:rsidRPr="00FF1087">
        <w:rPr>
          <w:rStyle w:val="st"/>
          <w:lang w:val="en-GB"/>
        </w:rPr>
        <w:t xml:space="preserve">be declared </w:t>
      </w:r>
      <w:r w:rsidR="00287C4F" w:rsidRPr="00FF1087">
        <w:rPr>
          <w:rStyle w:val="st"/>
          <w:lang w:val="en-GB"/>
        </w:rPr>
        <w:t xml:space="preserve">inadmissible for </w:t>
      </w:r>
      <w:r w:rsidR="00904258" w:rsidRPr="00FF1087">
        <w:rPr>
          <w:rStyle w:val="st"/>
          <w:lang w:val="en-GB"/>
        </w:rPr>
        <w:t xml:space="preserve">a failure </w:t>
      </w:r>
      <w:r w:rsidR="00287C4F" w:rsidRPr="00FF1087">
        <w:rPr>
          <w:rStyle w:val="st"/>
          <w:lang w:val="en-GB"/>
        </w:rPr>
        <w:t>to exhaust domestic remedies.</w:t>
      </w:r>
      <w:r w:rsidR="00287C4F" w:rsidRPr="00FF1087">
        <w:rPr>
          <w:rStyle w:val="FootnoteReference"/>
          <w:lang w:val="en-GB"/>
        </w:rPr>
        <w:footnoteReference w:id="41"/>
      </w:r>
    </w:p>
    <w:p w14:paraId="33C1B9D3" w14:textId="0C6FD64E" w:rsidR="00BE2468" w:rsidRPr="00FF1087" w:rsidRDefault="00167801" w:rsidP="00EA1B06">
      <w:pPr>
        <w:pStyle w:val="SingleTxtG"/>
        <w:numPr>
          <w:ilvl w:val="0"/>
          <w:numId w:val="3"/>
        </w:numPr>
        <w:tabs>
          <w:tab w:val="left" w:pos="1843"/>
          <w:tab w:val="left" w:pos="6120"/>
        </w:tabs>
        <w:ind w:left="1134" w:right="0" w:firstLine="0"/>
        <w:rPr>
          <w:lang w:val="en-GB"/>
        </w:rPr>
      </w:pPr>
      <w:r w:rsidRPr="00FF1087">
        <w:rPr>
          <w:rStyle w:val="st"/>
          <w:lang w:val="en-GB"/>
        </w:rPr>
        <w:t>T</w:t>
      </w:r>
      <w:r w:rsidR="001B2D9C" w:rsidRPr="00FF1087">
        <w:rPr>
          <w:rStyle w:val="st"/>
          <w:lang w:val="en-GB"/>
        </w:rPr>
        <w:t xml:space="preserve">he communicant states that </w:t>
      </w:r>
      <w:r w:rsidR="004E015D" w:rsidRPr="00FF1087">
        <w:rPr>
          <w:rStyle w:val="st"/>
          <w:lang w:val="en-GB"/>
        </w:rPr>
        <w:t>some</w:t>
      </w:r>
      <w:r w:rsidRPr="00FF1087">
        <w:rPr>
          <w:rStyle w:val="st"/>
          <w:lang w:val="en-GB"/>
        </w:rPr>
        <w:t xml:space="preserve"> </w:t>
      </w:r>
      <w:r w:rsidR="001B2D9C" w:rsidRPr="00FF1087">
        <w:rPr>
          <w:rStyle w:val="st"/>
          <w:lang w:val="en-GB"/>
        </w:rPr>
        <w:t>confirmatory applications have been filed</w:t>
      </w:r>
      <w:r w:rsidR="003A27E6" w:rsidRPr="00FF1087">
        <w:rPr>
          <w:rStyle w:val="st"/>
          <w:lang w:val="en-GB"/>
        </w:rPr>
        <w:t>.</w:t>
      </w:r>
      <w:r w:rsidR="00EA1B06" w:rsidRPr="00FF1087">
        <w:rPr>
          <w:rStyle w:val="st"/>
          <w:lang w:val="en-GB"/>
        </w:rPr>
        <w:t xml:space="preserve"> It </w:t>
      </w:r>
      <w:r w:rsidR="00102A8C" w:rsidRPr="00FF1087">
        <w:rPr>
          <w:rStyle w:val="st"/>
          <w:lang w:val="en-GB"/>
        </w:rPr>
        <w:t xml:space="preserve">claims it did not appeal </w:t>
      </w:r>
      <w:r w:rsidR="00282233" w:rsidRPr="00FF1087">
        <w:rPr>
          <w:rStyle w:val="st"/>
          <w:lang w:val="en-GB"/>
        </w:rPr>
        <w:t xml:space="preserve">to the General Court </w:t>
      </w:r>
      <w:r w:rsidR="00102A8C" w:rsidRPr="00FF1087">
        <w:rPr>
          <w:rStyle w:val="st"/>
          <w:lang w:val="en-GB"/>
        </w:rPr>
        <w:t xml:space="preserve">because </w:t>
      </w:r>
      <w:r w:rsidR="00240D1C" w:rsidRPr="00FF1087">
        <w:rPr>
          <w:rStyle w:val="st"/>
          <w:lang w:val="en-GB"/>
        </w:rPr>
        <w:t xml:space="preserve">it </w:t>
      </w:r>
      <w:r w:rsidR="00904258" w:rsidRPr="00FF1087">
        <w:rPr>
          <w:rStyle w:val="st"/>
          <w:lang w:val="en-GB"/>
        </w:rPr>
        <w:t xml:space="preserve">had previously been </w:t>
      </w:r>
      <w:r w:rsidR="00240D1C" w:rsidRPr="00FF1087">
        <w:rPr>
          <w:rStyle w:val="st"/>
          <w:lang w:val="en-GB"/>
        </w:rPr>
        <w:t xml:space="preserve">denied standing by the Court </w:t>
      </w:r>
      <w:r w:rsidR="00945D29" w:rsidRPr="00FF1087">
        <w:rPr>
          <w:rStyle w:val="st"/>
          <w:lang w:val="en-GB"/>
        </w:rPr>
        <w:t>for lacking</w:t>
      </w:r>
      <w:r w:rsidR="00412E5F" w:rsidRPr="00FF1087">
        <w:rPr>
          <w:rStyle w:val="st"/>
          <w:lang w:val="en-GB"/>
        </w:rPr>
        <w:t xml:space="preserve"> a </w:t>
      </w:r>
      <w:r w:rsidR="00412E5F" w:rsidRPr="00FF1087">
        <w:rPr>
          <w:lang w:val="en-GB"/>
        </w:rPr>
        <w:t>general legal personality under Irish law</w:t>
      </w:r>
      <w:r w:rsidR="00904258" w:rsidRPr="00FF1087">
        <w:rPr>
          <w:lang w:val="en-GB"/>
        </w:rPr>
        <w:t xml:space="preserve"> </w:t>
      </w:r>
      <w:r w:rsidR="00904258" w:rsidRPr="00FF1087">
        <w:rPr>
          <w:rStyle w:val="st"/>
          <w:lang w:val="en-GB"/>
        </w:rPr>
        <w:t xml:space="preserve">(Case </w:t>
      </w:r>
      <w:r w:rsidR="00904258" w:rsidRPr="00FF1087">
        <w:rPr>
          <w:lang w:val="en-GB"/>
        </w:rPr>
        <w:t>T-168/13 of 21 January 2014)</w:t>
      </w:r>
      <w:r w:rsidR="00102A8C" w:rsidRPr="00FF1087">
        <w:rPr>
          <w:rStyle w:val="st"/>
          <w:lang w:val="en-GB"/>
        </w:rPr>
        <w:t xml:space="preserve">. </w:t>
      </w:r>
      <w:r w:rsidR="00F1385F" w:rsidRPr="00FF1087">
        <w:rPr>
          <w:rStyle w:val="st"/>
          <w:lang w:val="en-GB"/>
        </w:rPr>
        <w:t xml:space="preserve">The </w:t>
      </w:r>
      <w:r w:rsidR="00893594" w:rsidRPr="00FF1087">
        <w:rPr>
          <w:rStyle w:val="st"/>
          <w:lang w:val="en-GB"/>
        </w:rPr>
        <w:t>c</w:t>
      </w:r>
      <w:r w:rsidR="00F1385F" w:rsidRPr="00FF1087">
        <w:rPr>
          <w:rStyle w:val="st"/>
          <w:lang w:val="en-GB"/>
        </w:rPr>
        <w:t xml:space="preserve">ommunicant submits </w:t>
      </w:r>
      <w:r w:rsidR="00282233" w:rsidRPr="00FF1087">
        <w:rPr>
          <w:rStyle w:val="st"/>
          <w:lang w:val="en-GB"/>
        </w:rPr>
        <w:t>it</w:t>
      </w:r>
      <w:r w:rsidR="00893594" w:rsidRPr="00FF1087">
        <w:rPr>
          <w:rStyle w:val="st"/>
          <w:lang w:val="en-GB"/>
        </w:rPr>
        <w:t xml:space="preserve"> </w:t>
      </w:r>
      <w:r w:rsidR="00F1385F" w:rsidRPr="00FF1087">
        <w:rPr>
          <w:rStyle w:val="st"/>
          <w:lang w:val="en-GB"/>
        </w:rPr>
        <w:t xml:space="preserve">could have </w:t>
      </w:r>
      <w:r w:rsidR="00282233" w:rsidRPr="00FF1087">
        <w:rPr>
          <w:rStyle w:val="st"/>
          <w:lang w:val="en-GB"/>
        </w:rPr>
        <w:t>chosen to become</w:t>
      </w:r>
      <w:r w:rsidR="00893594" w:rsidRPr="00FF1087">
        <w:rPr>
          <w:rStyle w:val="st"/>
          <w:lang w:val="en-GB"/>
        </w:rPr>
        <w:t xml:space="preserve"> </w:t>
      </w:r>
      <w:r w:rsidR="00F1385F" w:rsidRPr="00FF1087">
        <w:rPr>
          <w:rStyle w:val="st"/>
          <w:lang w:val="en-GB"/>
        </w:rPr>
        <w:t>incorporate</w:t>
      </w:r>
      <w:r w:rsidR="002D5119" w:rsidRPr="00FF1087">
        <w:rPr>
          <w:rStyle w:val="st"/>
          <w:lang w:val="en-GB"/>
        </w:rPr>
        <w:t>d</w:t>
      </w:r>
      <w:r w:rsidR="00F1385F" w:rsidRPr="00FF1087">
        <w:rPr>
          <w:rStyle w:val="st"/>
          <w:lang w:val="en-GB"/>
        </w:rPr>
        <w:t xml:space="preserve"> in a </w:t>
      </w:r>
      <w:r w:rsidR="00240D1C" w:rsidRPr="00FF1087">
        <w:rPr>
          <w:rStyle w:val="st"/>
          <w:lang w:val="en-GB"/>
        </w:rPr>
        <w:t>m</w:t>
      </w:r>
      <w:r w:rsidR="00F1385F" w:rsidRPr="00FF1087">
        <w:rPr>
          <w:rStyle w:val="st"/>
          <w:lang w:val="en-GB"/>
        </w:rPr>
        <w:t>ember State</w:t>
      </w:r>
      <w:r w:rsidR="00E97FE9" w:rsidRPr="00FF1087">
        <w:rPr>
          <w:rStyle w:val="st"/>
          <w:lang w:val="en-GB"/>
        </w:rPr>
        <w:t xml:space="preserve"> </w:t>
      </w:r>
      <w:r w:rsidR="00F1385F" w:rsidRPr="00FF1087">
        <w:rPr>
          <w:rStyle w:val="st"/>
          <w:lang w:val="en-GB"/>
        </w:rPr>
        <w:t>but that</w:t>
      </w:r>
      <w:r w:rsidR="00893594" w:rsidRPr="00FF1087">
        <w:rPr>
          <w:rStyle w:val="st"/>
          <w:lang w:val="en-GB"/>
        </w:rPr>
        <w:t>,</w:t>
      </w:r>
      <w:r w:rsidR="00F1385F" w:rsidRPr="00FF1087">
        <w:rPr>
          <w:rStyle w:val="st"/>
          <w:lang w:val="en-GB"/>
        </w:rPr>
        <w:t xml:space="preserve"> </w:t>
      </w:r>
      <w:r w:rsidR="00893594" w:rsidRPr="00FF1087">
        <w:rPr>
          <w:rStyle w:val="st"/>
          <w:lang w:val="en-GB"/>
        </w:rPr>
        <w:t xml:space="preserve">given </w:t>
      </w:r>
      <w:r w:rsidR="00F1385F" w:rsidRPr="00FF1087">
        <w:rPr>
          <w:rStyle w:val="st"/>
          <w:lang w:val="en-GB"/>
        </w:rPr>
        <w:t xml:space="preserve">the </w:t>
      </w:r>
      <w:r w:rsidR="00893594" w:rsidRPr="00FF1087">
        <w:rPr>
          <w:rStyle w:val="st"/>
          <w:lang w:val="en-GB"/>
        </w:rPr>
        <w:t xml:space="preserve">limited scope </w:t>
      </w:r>
      <w:r w:rsidR="00817FEB" w:rsidRPr="00FF1087">
        <w:rPr>
          <w:rStyle w:val="st"/>
          <w:lang w:val="en-GB"/>
        </w:rPr>
        <w:t>of</w:t>
      </w:r>
      <w:r w:rsidR="00893594" w:rsidRPr="00FF1087">
        <w:rPr>
          <w:rStyle w:val="st"/>
          <w:lang w:val="en-GB"/>
        </w:rPr>
        <w:t xml:space="preserve"> i</w:t>
      </w:r>
      <w:r w:rsidR="00F1385F" w:rsidRPr="00FF1087">
        <w:rPr>
          <w:rStyle w:val="st"/>
          <w:lang w:val="en-GB"/>
        </w:rPr>
        <w:t xml:space="preserve">nternal </w:t>
      </w:r>
      <w:r w:rsidR="00893594" w:rsidRPr="00FF1087">
        <w:rPr>
          <w:rStyle w:val="st"/>
          <w:lang w:val="en-GB"/>
        </w:rPr>
        <w:t>r</w:t>
      </w:r>
      <w:r w:rsidR="00F1385F" w:rsidRPr="00FF1087">
        <w:rPr>
          <w:rStyle w:val="st"/>
          <w:lang w:val="en-GB"/>
        </w:rPr>
        <w:t xml:space="preserve">eview under the Aarhus Regulation, this </w:t>
      </w:r>
      <w:r w:rsidR="00945D29" w:rsidRPr="00FF1087">
        <w:rPr>
          <w:rStyle w:val="st"/>
          <w:lang w:val="en-GB"/>
        </w:rPr>
        <w:t>was not</w:t>
      </w:r>
      <w:r w:rsidR="00665E10" w:rsidRPr="00FF1087">
        <w:rPr>
          <w:rStyle w:val="st"/>
          <w:lang w:val="en-GB"/>
        </w:rPr>
        <w:t xml:space="preserve"> </w:t>
      </w:r>
      <w:r w:rsidR="00F1385F" w:rsidRPr="00FF1087">
        <w:rPr>
          <w:rStyle w:val="st"/>
          <w:lang w:val="en-GB"/>
        </w:rPr>
        <w:t>wo</w:t>
      </w:r>
      <w:r w:rsidR="00893594" w:rsidRPr="00FF1087">
        <w:rPr>
          <w:rStyle w:val="st"/>
          <w:lang w:val="en-GB"/>
        </w:rPr>
        <w:t>r</w:t>
      </w:r>
      <w:r w:rsidR="00F1385F" w:rsidRPr="00FF1087">
        <w:rPr>
          <w:rStyle w:val="st"/>
          <w:lang w:val="en-GB"/>
        </w:rPr>
        <w:t>thwhile</w:t>
      </w:r>
      <w:r w:rsidR="00282233" w:rsidRPr="00FF1087">
        <w:rPr>
          <w:rStyle w:val="st"/>
          <w:lang w:val="en-GB"/>
        </w:rPr>
        <w:t>.</w:t>
      </w:r>
      <w:r w:rsidR="00385DD5" w:rsidRPr="00385DD5">
        <w:rPr>
          <w:rStyle w:val="FootnoteReference"/>
          <w:lang w:val="en-GB"/>
        </w:rPr>
        <w:t xml:space="preserve"> </w:t>
      </w:r>
      <w:r w:rsidR="00385DD5" w:rsidRPr="00FF1087">
        <w:rPr>
          <w:rStyle w:val="FootnoteReference"/>
          <w:lang w:val="en-GB"/>
        </w:rPr>
        <w:footnoteReference w:id="42"/>
      </w:r>
    </w:p>
    <w:p w14:paraId="2A02B2F6" w14:textId="7B773F3D" w:rsidR="00004881" w:rsidRPr="00FF1087" w:rsidRDefault="00B31284"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communicant</w:t>
      </w:r>
      <w:r w:rsidR="00102A8C" w:rsidRPr="00FF1087">
        <w:rPr>
          <w:rStyle w:val="st"/>
          <w:lang w:val="en-GB"/>
        </w:rPr>
        <w:t xml:space="preserve"> </w:t>
      </w:r>
      <w:r w:rsidR="00FB1064" w:rsidRPr="00FF1087">
        <w:rPr>
          <w:rStyle w:val="st"/>
          <w:lang w:val="en-GB"/>
        </w:rPr>
        <w:t xml:space="preserve">notes the cost </w:t>
      </w:r>
      <w:r w:rsidR="0058340C" w:rsidRPr="00FF1087">
        <w:rPr>
          <w:rStyle w:val="st"/>
          <w:lang w:val="en-GB"/>
        </w:rPr>
        <w:t>of</w:t>
      </w:r>
      <w:r w:rsidR="00FB1064" w:rsidRPr="00FF1087">
        <w:rPr>
          <w:rStyle w:val="st"/>
          <w:lang w:val="en-GB"/>
        </w:rPr>
        <w:t xml:space="preserve"> bringing a case to the General Court, including paying a lawyer, preparing for and attending a court hearing in Luxemb</w:t>
      </w:r>
      <w:r w:rsidR="00FA4E7F" w:rsidRPr="00FF1087">
        <w:rPr>
          <w:rStyle w:val="st"/>
          <w:lang w:val="en-GB"/>
        </w:rPr>
        <w:t>o</w:t>
      </w:r>
      <w:r w:rsidR="00FB1064" w:rsidRPr="00FF1087">
        <w:rPr>
          <w:rStyle w:val="st"/>
          <w:lang w:val="en-GB"/>
        </w:rPr>
        <w:t xml:space="preserve">urg and potentially paying the </w:t>
      </w:r>
      <w:r w:rsidR="003D7A8E" w:rsidRPr="00FF1087">
        <w:rPr>
          <w:rStyle w:val="st"/>
          <w:lang w:val="en-GB"/>
        </w:rPr>
        <w:t xml:space="preserve">other side’s </w:t>
      </w:r>
      <w:r w:rsidR="00FB1064" w:rsidRPr="00FF1087">
        <w:rPr>
          <w:rStyle w:val="st"/>
          <w:lang w:val="en-GB"/>
        </w:rPr>
        <w:t>costs</w:t>
      </w:r>
      <w:r w:rsidRPr="00FF1087">
        <w:rPr>
          <w:rStyle w:val="st"/>
          <w:lang w:val="en-GB"/>
        </w:rPr>
        <w:t xml:space="preserve">. </w:t>
      </w:r>
      <w:r w:rsidR="004E015D" w:rsidRPr="00FF1087">
        <w:rPr>
          <w:rStyle w:val="st"/>
          <w:lang w:val="en-GB"/>
        </w:rPr>
        <w:t>It</w:t>
      </w:r>
      <w:r w:rsidR="004515AB" w:rsidRPr="00FF1087">
        <w:rPr>
          <w:rStyle w:val="st"/>
          <w:lang w:val="en-GB"/>
        </w:rPr>
        <w:t xml:space="preserve"> claims that Case T-221/14 clarified there is no possibility to reduce legal costs by utilising a lawyer </w:t>
      </w:r>
      <w:r w:rsidR="00904258" w:rsidRPr="00FF1087">
        <w:rPr>
          <w:rStyle w:val="st"/>
          <w:lang w:val="en-GB"/>
        </w:rPr>
        <w:t xml:space="preserve">from </w:t>
      </w:r>
      <w:r w:rsidR="004515AB" w:rsidRPr="00FF1087">
        <w:rPr>
          <w:rStyle w:val="st"/>
          <w:lang w:val="en-GB"/>
        </w:rPr>
        <w:t xml:space="preserve">one’s own organization. </w:t>
      </w:r>
      <w:r w:rsidR="00945D29" w:rsidRPr="00FF1087">
        <w:rPr>
          <w:rStyle w:val="st"/>
          <w:lang w:val="en-GB"/>
        </w:rPr>
        <w:t>L</w:t>
      </w:r>
      <w:r w:rsidR="00BE2468" w:rsidRPr="00FF1087">
        <w:rPr>
          <w:rStyle w:val="st"/>
          <w:lang w:val="en-GB"/>
        </w:rPr>
        <w:t xml:space="preserve">egal aid is given </w:t>
      </w:r>
      <w:r w:rsidR="001968E8" w:rsidRPr="00FF1087">
        <w:rPr>
          <w:rStyle w:val="st"/>
          <w:lang w:val="en-GB"/>
        </w:rPr>
        <w:t xml:space="preserve">exceptionally </w:t>
      </w:r>
      <w:r w:rsidR="00BE2468" w:rsidRPr="00FF1087">
        <w:rPr>
          <w:rStyle w:val="st"/>
          <w:lang w:val="en-GB"/>
        </w:rPr>
        <w:t xml:space="preserve">and that </w:t>
      </w:r>
      <w:r w:rsidRPr="00FF1087">
        <w:rPr>
          <w:rStyle w:val="st"/>
          <w:lang w:val="en-GB"/>
        </w:rPr>
        <w:t>over the last five years less than fifteen</w:t>
      </w:r>
      <w:r w:rsidR="00287C4F" w:rsidRPr="00FF1087">
        <w:rPr>
          <w:rStyle w:val="st"/>
          <w:lang w:val="en-GB"/>
        </w:rPr>
        <w:t xml:space="preserve"> cases</w:t>
      </w:r>
      <w:r w:rsidRPr="00FF1087">
        <w:rPr>
          <w:rStyle w:val="st"/>
          <w:lang w:val="en-GB"/>
        </w:rPr>
        <w:t xml:space="preserve"> could be connected to the subject matter of the Convention, </w:t>
      </w:r>
      <w:r w:rsidR="00BE2468" w:rsidRPr="00FF1087">
        <w:rPr>
          <w:rStyle w:val="st"/>
          <w:lang w:val="en-GB"/>
        </w:rPr>
        <w:t>which</w:t>
      </w:r>
      <w:r w:rsidRPr="00FF1087">
        <w:rPr>
          <w:rStyle w:val="st"/>
          <w:lang w:val="en-GB"/>
        </w:rPr>
        <w:t xml:space="preserve"> demonstrates barriers to access to justice.</w:t>
      </w:r>
      <w:r w:rsidR="00004881" w:rsidRPr="00FF1087">
        <w:rPr>
          <w:rStyle w:val="st"/>
          <w:lang w:val="en-GB"/>
        </w:rPr>
        <w:t xml:space="preserve"> </w:t>
      </w:r>
      <w:r w:rsidR="004E015D" w:rsidRPr="00FF1087">
        <w:rPr>
          <w:rStyle w:val="st"/>
          <w:lang w:val="en-GB"/>
        </w:rPr>
        <w:t>It</w:t>
      </w:r>
      <w:r w:rsidR="00641959" w:rsidRPr="00FF1087">
        <w:rPr>
          <w:rStyle w:val="st"/>
          <w:lang w:val="en-GB"/>
        </w:rPr>
        <w:t xml:space="preserve"> </w:t>
      </w:r>
      <w:r w:rsidR="00B25F9B" w:rsidRPr="00FF1087">
        <w:rPr>
          <w:rStyle w:val="st"/>
          <w:lang w:val="en-GB"/>
        </w:rPr>
        <w:t>claims</w:t>
      </w:r>
      <w:r w:rsidR="00004881" w:rsidRPr="00FF1087">
        <w:rPr>
          <w:rStyle w:val="st"/>
          <w:lang w:val="en-GB"/>
        </w:rPr>
        <w:t xml:space="preserve"> a one day oral hearing</w:t>
      </w:r>
      <w:r w:rsidR="00E83405" w:rsidRPr="00FF1087">
        <w:rPr>
          <w:rStyle w:val="st"/>
          <w:lang w:val="en-GB"/>
        </w:rPr>
        <w:t xml:space="preserve"> would cost </w:t>
      </w:r>
      <w:r w:rsidR="00E97FE9" w:rsidRPr="00FF1087">
        <w:rPr>
          <w:rStyle w:val="st"/>
          <w:lang w:val="en-GB"/>
        </w:rPr>
        <w:t>about</w:t>
      </w:r>
      <w:r w:rsidR="00004881" w:rsidRPr="00FF1087">
        <w:rPr>
          <w:rStyle w:val="st"/>
          <w:lang w:val="en-GB"/>
        </w:rPr>
        <w:t xml:space="preserve"> €10,000</w:t>
      </w:r>
      <w:r w:rsidR="00904258" w:rsidRPr="00FF1087">
        <w:rPr>
          <w:rStyle w:val="st"/>
          <w:lang w:val="en-GB"/>
        </w:rPr>
        <w:t xml:space="preserve">, or €20,000-€50,000 if </w:t>
      </w:r>
      <w:r w:rsidR="00004881" w:rsidRPr="00FF1087">
        <w:rPr>
          <w:rStyle w:val="st"/>
          <w:lang w:val="en-GB"/>
        </w:rPr>
        <w:t>the legal issues are complex.</w:t>
      </w:r>
      <w:r w:rsidR="00C027F2" w:rsidRPr="00FF1087">
        <w:rPr>
          <w:rStyle w:val="FootnoteReference"/>
          <w:lang w:val="en-GB"/>
        </w:rPr>
        <w:footnoteReference w:id="43"/>
      </w:r>
      <w:r w:rsidR="00BE2468" w:rsidRPr="00FF1087">
        <w:rPr>
          <w:rStyle w:val="st"/>
          <w:lang w:val="en-GB"/>
        </w:rPr>
        <w:t xml:space="preserve"> </w:t>
      </w:r>
    </w:p>
    <w:p w14:paraId="251AFCD3" w14:textId="0CBBEEE0" w:rsidR="007B67D7" w:rsidRDefault="00421A91" w:rsidP="00E83405">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claims </w:t>
      </w:r>
      <w:r w:rsidR="00904258" w:rsidRPr="00FF1087">
        <w:rPr>
          <w:rStyle w:val="st"/>
          <w:lang w:val="en-GB"/>
        </w:rPr>
        <w:t xml:space="preserve">it takes at least two years from when an information request is submitted to </w:t>
      </w:r>
      <w:r w:rsidR="001968E8" w:rsidRPr="00FF1087">
        <w:rPr>
          <w:rStyle w:val="st"/>
          <w:lang w:val="en-GB"/>
        </w:rPr>
        <w:t xml:space="preserve">an </w:t>
      </w:r>
      <w:r w:rsidRPr="00FF1087">
        <w:rPr>
          <w:rStyle w:val="st"/>
          <w:lang w:val="en-GB"/>
        </w:rPr>
        <w:t>EU institution</w:t>
      </w:r>
      <w:r w:rsidR="00641959" w:rsidRPr="00FF1087">
        <w:rPr>
          <w:rStyle w:val="st"/>
          <w:lang w:val="en-GB"/>
        </w:rPr>
        <w:t xml:space="preserve"> </w:t>
      </w:r>
      <w:r w:rsidR="004515AB" w:rsidRPr="00FF1087">
        <w:rPr>
          <w:rStyle w:val="st"/>
          <w:lang w:val="en-GB"/>
        </w:rPr>
        <w:t xml:space="preserve">until </w:t>
      </w:r>
      <w:r w:rsidR="00904258" w:rsidRPr="00FF1087">
        <w:rPr>
          <w:rStyle w:val="st"/>
          <w:lang w:val="en-GB"/>
        </w:rPr>
        <w:t xml:space="preserve">the </w:t>
      </w:r>
      <w:r w:rsidR="003D7A8E" w:rsidRPr="00FF1087">
        <w:rPr>
          <w:rStyle w:val="st"/>
          <w:lang w:val="en-GB"/>
        </w:rPr>
        <w:t>General Court</w:t>
      </w:r>
      <w:r w:rsidR="00904258" w:rsidRPr="00FF1087">
        <w:rPr>
          <w:rStyle w:val="st"/>
          <w:lang w:val="en-GB"/>
        </w:rPr>
        <w:t xml:space="preserve"> issues a</w:t>
      </w:r>
      <w:r w:rsidR="003D7A8E" w:rsidRPr="00FF1087">
        <w:rPr>
          <w:rStyle w:val="st"/>
          <w:lang w:val="en-GB"/>
        </w:rPr>
        <w:t xml:space="preserve"> </w:t>
      </w:r>
      <w:r w:rsidR="001968E8" w:rsidRPr="00FF1087">
        <w:rPr>
          <w:rStyle w:val="st"/>
          <w:lang w:val="en-GB"/>
        </w:rPr>
        <w:t>judgment</w:t>
      </w:r>
      <w:r w:rsidR="004515AB" w:rsidRPr="00FF1087">
        <w:rPr>
          <w:rStyle w:val="st"/>
          <w:lang w:val="en-GB"/>
        </w:rPr>
        <w:t xml:space="preserve"> and </w:t>
      </w:r>
      <w:r w:rsidR="00B2581B" w:rsidRPr="00FF1087">
        <w:rPr>
          <w:rStyle w:val="st"/>
          <w:lang w:val="en-GB"/>
        </w:rPr>
        <w:t>many</w:t>
      </w:r>
      <w:r w:rsidRPr="00FF1087">
        <w:rPr>
          <w:rStyle w:val="st"/>
          <w:lang w:val="en-GB"/>
        </w:rPr>
        <w:t xml:space="preserve"> cases </w:t>
      </w:r>
      <w:r w:rsidR="001968E8" w:rsidRPr="00FF1087">
        <w:rPr>
          <w:rStyle w:val="st"/>
          <w:lang w:val="en-GB"/>
        </w:rPr>
        <w:t>go</w:t>
      </w:r>
      <w:r w:rsidRPr="00FF1087">
        <w:rPr>
          <w:rStyle w:val="st"/>
          <w:lang w:val="en-GB"/>
        </w:rPr>
        <w:t xml:space="preserve"> to</w:t>
      </w:r>
      <w:r w:rsidR="00B2581B" w:rsidRPr="00FF1087">
        <w:rPr>
          <w:rStyle w:val="st"/>
          <w:lang w:val="en-GB"/>
        </w:rPr>
        <w:t xml:space="preserve"> </w:t>
      </w:r>
      <w:r w:rsidRPr="00FF1087">
        <w:rPr>
          <w:rStyle w:val="st"/>
          <w:lang w:val="en-GB"/>
        </w:rPr>
        <w:t xml:space="preserve">appeal, </w:t>
      </w:r>
      <w:r w:rsidR="00E83405" w:rsidRPr="00FF1087">
        <w:rPr>
          <w:rStyle w:val="st"/>
          <w:lang w:val="en-GB"/>
        </w:rPr>
        <w:t>taking even longer</w:t>
      </w:r>
      <w:r w:rsidRPr="00FF1087">
        <w:rPr>
          <w:rStyle w:val="st"/>
          <w:lang w:val="en-GB"/>
        </w:rPr>
        <w:t>.</w:t>
      </w:r>
      <w:r w:rsidR="00E4447F" w:rsidRPr="00FF1087">
        <w:rPr>
          <w:lang w:val="en-GB"/>
        </w:rPr>
        <w:t xml:space="preserve"> </w:t>
      </w:r>
      <w:r w:rsidR="004515AB" w:rsidRPr="00FF1087">
        <w:rPr>
          <w:rStyle w:val="st"/>
          <w:lang w:val="en-GB"/>
        </w:rPr>
        <w:t>It</w:t>
      </w:r>
      <w:r w:rsidR="008A501B" w:rsidRPr="00FF1087">
        <w:rPr>
          <w:rStyle w:val="st"/>
          <w:lang w:val="en-GB"/>
        </w:rPr>
        <w:t xml:space="preserve"> claims</w:t>
      </w:r>
      <w:r w:rsidR="00B2581B" w:rsidRPr="00FF1087">
        <w:rPr>
          <w:rStyle w:val="st"/>
          <w:lang w:val="en-GB"/>
        </w:rPr>
        <w:t xml:space="preserve"> </w:t>
      </w:r>
      <w:r w:rsidR="00E83405" w:rsidRPr="00FF1087">
        <w:rPr>
          <w:rStyle w:val="st"/>
          <w:lang w:val="en-GB"/>
        </w:rPr>
        <w:t xml:space="preserve">an Ombudsman </w:t>
      </w:r>
      <w:r w:rsidR="008A501B" w:rsidRPr="00FF1087">
        <w:rPr>
          <w:rStyle w:val="st"/>
          <w:lang w:val="en-GB"/>
        </w:rPr>
        <w:t xml:space="preserve">complaint takes more than </w:t>
      </w:r>
      <w:r w:rsidR="00E83405" w:rsidRPr="00FF1087">
        <w:rPr>
          <w:rStyle w:val="st"/>
          <w:lang w:val="en-GB"/>
        </w:rPr>
        <w:t>eighteen months</w:t>
      </w:r>
      <w:r w:rsidR="00641959" w:rsidRPr="00FF1087">
        <w:rPr>
          <w:rStyle w:val="st"/>
          <w:lang w:val="en-GB"/>
        </w:rPr>
        <w:t>.</w:t>
      </w:r>
      <w:r w:rsidR="00B2581B" w:rsidRPr="00FF1087">
        <w:rPr>
          <w:rStyle w:val="FootnoteReference"/>
          <w:lang w:val="en-GB"/>
        </w:rPr>
        <w:footnoteReference w:id="44"/>
      </w:r>
      <w:r w:rsidR="004515AB" w:rsidRPr="00FF1087">
        <w:rPr>
          <w:rStyle w:val="st"/>
          <w:lang w:val="en-GB"/>
        </w:rPr>
        <w:t xml:space="preserve"> </w:t>
      </w:r>
    </w:p>
    <w:p w14:paraId="20C7B2C3" w14:textId="77777777" w:rsidR="001932D9" w:rsidRPr="00FF1087" w:rsidRDefault="001932D9" w:rsidP="001932D9">
      <w:pPr>
        <w:pStyle w:val="SingleTxtG"/>
        <w:tabs>
          <w:tab w:val="left" w:pos="1843"/>
          <w:tab w:val="left" w:pos="6120"/>
        </w:tabs>
        <w:ind w:right="0"/>
        <w:rPr>
          <w:lang w:val="en-GB"/>
        </w:rPr>
      </w:pPr>
    </w:p>
    <w:p w14:paraId="1761EDDE" w14:textId="77777777" w:rsidR="0023575C" w:rsidRPr="00FF1087" w:rsidRDefault="0023575C" w:rsidP="001C3D04">
      <w:pPr>
        <w:pStyle w:val="H1G"/>
        <w:numPr>
          <w:ilvl w:val="0"/>
          <w:numId w:val="4"/>
        </w:numPr>
        <w:tabs>
          <w:tab w:val="left" w:pos="1843"/>
          <w:tab w:val="left" w:pos="6120"/>
        </w:tabs>
        <w:ind w:left="1134" w:right="0" w:firstLine="0"/>
      </w:pPr>
      <w:r w:rsidRPr="00FF1087">
        <w:lastRenderedPageBreak/>
        <w:t>Substantive issues</w:t>
      </w:r>
    </w:p>
    <w:p w14:paraId="22EF0E81" w14:textId="1F778077" w:rsidR="00F53147" w:rsidRPr="00FF1087" w:rsidRDefault="0034495A" w:rsidP="001C3D04">
      <w:pPr>
        <w:tabs>
          <w:tab w:val="left" w:pos="1843"/>
          <w:tab w:val="left" w:pos="6120"/>
        </w:tabs>
        <w:spacing w:after="120"/>
        <w:ind w:left="1134"/>
        <w:rPr>
          <w:b/>
        </w:rPr>
      </w:pPr>
      <w:r w:rsidRPr="00FF1087">
        <w:rPr>
          <w:b/>
        </w:rPr>
        <w:t>A</w:t>
      </w:r>
      <w:r w:rsidR="00F53147" w:rsidRPr="00FF1087">
        <w:rPr>
          <w:b/>
        </w:rPr>
        <w:t xml:space="preserve">rticle </w:t>
      </w:r>
      <w:r w:rsidR="008B0071" w:rsidRPr="00FF1087">
        <w:rPr>
          <w:b/>
        </w:rPr>
        <w:t>3</w:t>
      </w:r>
      <w:r w:rsidR="004515AB" w:rsidRPr="00FF1087">
        <w:rPr>
          <w:b/>
        </w:rPr>
        <w:t>(</w:t>
      </w:r>
      <w:r w:rsidR="008B0071" w:rsidRPr="00FF1087">
        <w:rPr>
          <w:b/>
        </w:rPr>
        <w:t>2</w:t>
      </w:r>
      <w:r w:rsidR="004515AB" w:rsidRPr="00FF1087">
        <w:rPr>
          <w:b/>
        </w:rPr>
        <w:t>)</w:t>
      </w:r>
    </w:p>
    <w:p w14:paraId="480C2ED3" w14:textId="7E9B2145" w:rsidR="00BE7F2B" w:rsidRPr="00FF1087" w:rsidRDefault="008B0071" w:rsidP="001C3D04">
      <w:pPr>
        <w:pStyle w:val="SingleTxtG"/>
        <w:numPr>
          <w:ilvl w:val="0"/>
          <w:numId w:val="3"/>
        </w:numPr>
        <w:tabs>
          <w:tab w:val="left" w:pos="1843"/>
          <w:tab w:val="left" w:pos="6120"/>
        </w:tabs>
        <w:ind w:left="1134" w:right="0" w:firstLine="0"/>
        <w:rPr>
          <w:rStyle w:val="st"/>
          <w:lang w:val="en-GB"/>
        </w:rPr>
      </w:pPr>
      <w:bookmarkStart w:id="18" w:name="_Ref508751902"/>
      <w:r w:rsidRPr="00FF1087">
        <w:rPr>
          <w:rStyle w:val="st"/>
          <w:lang w:val="en-GB"/>
        </w:rPr>
        <w:t xml:space="preserve">The communicant </w:t>
      </w:r>
      <w:r w:rsidR="00C815FD" w:rsidRPr="00FF1087">
        <w:rPr>
          <w:rStyle w:val="st"/>
          <w:lang w:val="en-GB"/>
        </w:rPr>
        <w:t>claims</w:t>
      </w:r>
      <w:r w:rsidR="003D5351" w:rsidRPr="00FF1087">
        <w:rPr>
          <w:rStyle w:val="st"/>
          <w:lang w:val="en-GB"/>
        </w:rPr>
        <w:t xml:space="preserve"> </w:t>
      </w:r>
      <w:r w:rsidR="00C815FD" w:rsidRPr="00FF1087">
        <w:rPr>
          <w:rStyle w:val="st"/>
          <w:lang w:val="en-GB"/>
        </w:rPr>
        <w:t>the Party concer</w:t>
      </w:r>
      <w:r w:rsidR="008F7468" w:rsidRPr="00FF1087">
        <w:rPr>
          <w:rStyle w:val="st"/>
          <w:lang w:val="en-GB"/>
        </w:rPr>
        <w:t>n</w:t>
      </w:r>
      <w:r w:rsidR="00C815FD" w:rsidRPr="00FF1087">
        <w:rPr>
          <w:rStyle w:val="st"/>
          <w:lang w:val="en-GB"/>
        </w:rPr>
        <w:t>ed</w:t>
      </w:r>
      <w:r w:rsidR="003D5351" w:rsidRPr="00FF1087">
        <w:rPr>
          <w:rStyle w:val="st"/>
          <w:lang w:val="en-GB"/>
        </w:rPr>
        <w:t>, through</w:t>
      </w:r>
      <w:r w:rsidR="00BF6158" w:rsidRPr="00FF1087">
        <w:rPr>
          <w:rStyle w:val="st"/>
          <w:lang w:val="en-GB"/>
        </w:rPr>
        <w:t xml:space="preserve"> its</w:t>
      </w:r>
      <w:r w:rsidR="003D5351" w:rsidRPr="00FF1087">
        <w:rPr>
          <w:rStyle w:val="st"/>
          <w:lang w:val="en-GB"/>
        </w:rPr>
        <w:t xml:space="preserve"> 28 February 2013</w:t>
      </w:r>
      <w:r w:rsidR="009F53AD" w:rsidRPr="00FF1087">
        <w:rPr>
          <w:rStyle w:val="st"/>
          <w:lang w:val="en-GB"/>
        </w:rPr>
        <w:t xml:space="preserve"> reply</w:t>
      </w:r>
      <w:r w:rsidR="003D5351" w:rsidRPr="00FF1087">
        <w:rPr>
          <w:rStyle w:val="st"/>
          <w:lang w:val="en-GB"/>
        </w:rPr>
        <w:t xml:space="preserve"> to </w:t>
      </w:r>
      <w:r w:rsidR="00A908CF" w:rsidRPr="00FF1087">
        <w:rPr>
          <w:rStyle w:val="st"/>
          <w:lang w:val="en-GB"/>
        </w:rPr>
        <w:t xml:space="preserve">Mr. </w:t>
      </w:r>
      <w:r w:rsidR="003D5351" w:rsidRPr="00FF1087">
        <w:rPr>
          <w:rStyle w:val="st"/>
          <w:lang w:val="en-GB"/>
        </w:rPr>
        <w:t>Caulfield’s confirmatory application,</w:t>
      </w:r>
      <w:r w:rsidR="00E97FE9" w:rsidRPr="00FF1087">
        <w:rPr>
          <w:rStyle w:val="st"/>
          <w:lang w:val="en-GB"/>
        </w:rPr>
        <w:t xml:space="preserve"> </w:t>
      </w:r>
      <w:r w:rsidR="00A8449E" w:rsidRPr="00FF1087">
        <w:rPr>
          <w:rStyle w:val="st"/>
          <w:lang w:val="en-GB"/>
        </w:rPr>
        <w:t>failed to comply with article 3</w:t>
      </w:r>
      <w:r w:rsidR="004515AB" w:rsidRPr="00FF1087">
        <w:rPr>
          <w:rStyle w:val="st"/>
          <w:lang w:val="en-GB"/>
        </w:rPr>
        <w:t>(</w:t>
      </w:r>
      <w:r w:rsidR="00A8449E" w:rsidRPr="00FF1087">
        <w:rPr>
          <w:rStyle w:val="st"/>
          <w:lang w:val="en-GB"/>
        </w:rPr>
        <w:t>2</w:t>
      </w:r>
      <w:r w:rsidR="004515AB" w:rsidRPr="00FF1087">
        <w:rPr>
          <w:rStyle w:val="st"/>
          <w:lang w:val="en-GB"/>
        </w:rPr>
        <w:t>)</w:t>
      </w:r>
      <w:r w:rsidR="00A8449E" w:rsidRPr="00FF1087">
        <w:rPr>
          <w:rStyle w:val="st"/>
          <w:lang w:val="en-GB"/>
        </w:rPr>
        <w:t xml:space="preserve"> by continuing to refuse access to the </w:t>
      </w:r>
      <w:r w:rsidR="00427192" w:rsidRPr="00FF1087">
        <w:rPr>
          <w:rStyle w:val="st"/>
          <w:lang w:val="en-GB"/>
        </w:rPr>
        <w:t xml:space="preserve">requested </w:t>
      </w:r>
      <w:r w:rsidR="00A8449E" w:rsidRPr="00FF1087">
        <w:rPr>
          <w:rStyle w:val="st"/>
          <w:lang w:val="en-GB"/>
        </w:rPr>
        <w:t>information</w:t>
      </w:r>
      <w:r w:rsidR="00DD79BD" w:rsidRPr="00FF1087">
        <w:rPr>
          <w:rStyle w:val="st"/>
          <w:lang w:val="en-GB"/>
        </w:rPr>
        <w:t xml:space="preserve"> </w:t>
      </w:r>
      <w:r w:rsidR="00BE7F2B" w:rsidRPr="00FF1087">
        <w:rPr>
          <w:rStyle w:val="st"/>
          <w:lang w:val="en-GB"/>
        </w:rPr>
        <w:t>(</w:t>
      </w:r>
      <w:r w:rsidR="00A44DEB" w:rsidRPr="00FF1087">
        <w:rPr>
          <w:rStyle w:val="st"/>
          <w:lang w:val="en-GB"/>
        </w:rPr>
        <w:t xml:space="preserve">see </w:t>
      </w:r>
      <w:r w:rsidR="003D5351" w:rsidRPr="00FF1087">
        <w:rPr>
          <w:rStyle w:val="st"/>
          <w:lang w:val="en-GB"/>
        </w:rPr>
        <w:t xml:space="preserve">para. </w:t>
      </w:r>
      <w:r w:rsidR="00A44DEB" w:rsidRPr="00FF1087">
        <w:rPr>
          <w:rStyle w:val="st"/>
          <w:lang w:val="en-GB"/>
        </w:rPr>
        <w:fldChar w:fldCharType="begin"/>
      </w:r>
      <w:r w:rsidR="00A44DEB" w:rsidRPr="00FF1087">
        <w:rPr>
          <w:rStyle w:val="st"/>
          <w:lang w:val="en-GB"/>
        </w:rPr>
        <w:instrText xml:space="preserve"> REF _Ref465173683 \r \h </w:instrText>
      </w:r>
      <w:r w:rsidR="00A8449E" w:rsidRPr="00FF1087">
        <w:rPr>
          <w:rStyle w:val="st"/>
          <w:lang w:val="en-GB"/>
        </w:rPr>
        <w:instrText xml:space="preserve"> \* MERGEFORMAT </w:instrText>
      </w:r>
      <w:r w:rsidR="00A44DEB" w:rsidRPr="00FF1087">
        <w:rPr>
          <w:rStyle w:val="st"/>
          <w:lang w:val="en-GB"/>
        </w:rPr>
      </w:r>
      <w:r w:rsidR="00A44DEB" w:rsidRPr="00FF1087">
        <w:rPr>
          <w:rStyle w:val="st"/>
          <w:lang w:val="en-GB"/>
        </w:rPr>
        <w:fldChar w:fldCharType="separate"/>
      </w:r>
      <w:r w:rsidR="00B713E0">
        <w:rPr>
          <w:rStyle w:val="st"/>
          <w:cs/>
          <w:lang w:val="en-GB"/>
        </w:rPr>
        <w:t>‎</w:t>
      </w:r>
      <w:r w:rsidR="00B713E0">
        <w:rPr>
          <w:rStyle w:val="st"/>
          <w:lang w:val="en-GB"/>
        </w:rPr>
        <w:t>34</w:t>
      </w:r>
      <w:r w:rsidR="00A44DEB" w:rsidRPr="00FF1087">
        <w:rPr>
          <w:rStyle w:val="st"/>
          <w:lang w:val="en-GB"/>
        </w:rPr>
        <w:fldChar w:fldCharType="end"/>
      </w:r>
      <w:r w:rsidR="00A44DEB" w:rsidRPr="00FF1087">
        <w:rPr>
          <w:rStyle w:val="st"/>
          <w:lang w:val="en-GB"/>
        </w:rPr>
        <w:t xml:space="preserve"> above</w:t>
      </w:r>
      <w:r w:rsidR="00BE7F2B" w:rsidRPr="00FF1087">
        <w:rPr>
          <w:rStyle w:val="st"/>
          <w:lang w:val="en-GB"/>
        </w:rPr>
        <w:t>).</w:t>
      </w:r>
      <w:r w:rsidR="006263A2" w:rsidRPr="00FF1087">
        <w:rPr>
          <w:rStyle w:val="FootnoteReference"/>
          <w:lang w:val="en-GB"/>
        </w:rPr>
        <w:footnoteReference w:id="45"/>
      </w:r>
      <w:bookmarkEnd w:id="18"/>
    </w:p>
    <w:p w14:paraId="166D24D4" w14:textId="37741EA8" w:rsidR="008F7468" w:rsidRPr="00FF1087" w:rsidRDefault="008F7468"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w:t>
      </w:r>
      <w:r w:rsidR="00437471" w:rsidRPr="00FF1087">
        <w:rPr>
          <w:rStyle w:val="st"/>
          <w:lang w:val="en-GB"/>
        </w:rPr>
        <w:t xml:space="preserve"> did</w:t>
      </w:r>
      <w:r w:rsidR="004374FA" w:rsidRPr="00FF1087">
        <w:rPr>
          <w:rStyle w:val="st"/>
          <w:lang w:val="en-GB"/>
        </w:rPr>
        <w:t xml:space="preserve"> not respond to </w:t>
      </w:r>
      <w:r w:rsidR="00D078D8" w:rsidRPr="00FF1087">
        <w:rPr>
          <w:rStyle w:val="st"/>
          <w:lang w:val="en-GB"/>
        </w:rPr>
        <w:t>this</w:t>
      </w:r>
      <w:r w:rsidR="00E97FE9" w:rsidRPr="00FF1087">
        <w:rPr>
          <w:rStyle w:val="st"/>
          <w:lang w:val="en-GB"/>
        </w:rPr>
        <w:t xml:space="preserve"> </w:t>
      </w:r>
      <w:r w:rsidR="004374FA" w:rsidRPr="00FF1087">
        <w:rPr>
          <w:rStyle w:val="st"/>
          <w:lang w:val="en-GB"/>
        </w:rPr>
        <w:t>allegation</w:t>
      </w:r>
      <w:r w:rsidRPr="00FF1087">
        <w:rPr>
          <w:rStyle w:val="st"/>
          <w:lang w:val="en-GB"/>
        </w:rPr>
        <w:t>.</w:t>
      </w:r>
    </w:p>
    <w:p w14:paraId="742A9A20" w14:textId="77777777" w:rsidR="00EB5FEE" w:rsidRPr="00FF1087" w:rsidRDefault="00FA58D7" w:rsidP="001C3D04">
      <w:pPr>
        <w:tabs>
          <w:tab w:val="left" w:pos="1843"/>
          <w:tab w:val="left" w:pos="6120"/>
        </w:tabs>
        <w:spacing w:after="120"/>
        <w:ind w:left="1134"/>
        <w:rPr>
          <w:b/>
        </w:rPr>
      </w:pPr>
      <w:r w:rsidRPr="00FF1087">
        <w:rPr>
          <w:b/>
        </w:rPr>
        <w:t>A</w:t>
      </w:r>
      <w:r w:rsidR="00EB5FEE" w:rsidRPr="00FF1087">
        <w:rPr>
          <w:b/>
        </w:rPr>
        <w:t xml:space="preserve">rticle </w:t>
      </w:r>
      <w:r w:rsidR="000A255F" w:rsidRPr="00FF1087">
        <w:rPr>
          <w:b/>
        </w:rPr>
        <w:t>4</w:t>
      </w:r>
      <w:r w:rsidR="0048389C" w:rsidRPr="00FF1087">
        <w:rPr>
          <w:b/>
        </w:rPr>
        <w:t xml:space="preserve"> </w:t>
      </w:r>
    </w:p>
    <w:p w14:paraId="2167B7E9" w14:textId="291FFE75" w:rsidR="003A0412" w:rsidRPr="00FF1087" w:rsidRDefault="003A0412"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communicant claims that</w:t>
      </w:r>
      <w:r w:rsidR="00BF6158" w:rsidRPr="00FF1087">
        <w:rPr>
          <w:rStyle w:val="st"/>
          <w:lang w:val="en-GB"/>
        </w:rPr>
        <w:t>,</w:t>
      </w:r>
      <w:r w:rsidR="00BA0F24" w:rsidRPr="00FF1087">
        <w:rPr>
          <w:rStyle w:val="st"/>
          <w:lang w:val="en-GB"/>
        </w:rPr>
        <w:t xml:space="preserve"> </w:t>
      </w:r>
      <w:r w:rsidRPr="00FF1087">
        <w:rPr>
          <w:rStyle w:val="st"/>
          <w:lang w:val="en-GB"/>
        </w:rPr>
        <w:t>despite repeated requests and complaints</w:t>
      </w:r>
      <w:r w:rsidR="002C3778" w:rsidRPr="00FF1087">
        <w:rPr>
          <w:rStyle w:val="st"/>
          <w:lang w:val="en-GB"/>
        </w:rPr>
        <w:t xml:space="preserve">, </w:t>
      </w:r>
      <w:r w:rsidR="00FD7657" w:rsidRPr="00FF1087">
        <w:rPr>
          <w:rStyle w:val="st"/>
          <w:lang w:val="en-GB"/>
        </w:rPr>
        <w:t xml:space="preserve">the information </w:t>
      </w:r>
      <w:r w:rsidR="002C3778" w:rsidRPr="00FF1087">
        <w:rPr>
          <w:rStyle w:val="st"/>
          <w:lang w:val="en-GB"/>
        </w:rPr>
        <w:t xml:space="preserve">requested by Mr. Waugh, </w:t>
      </w:r>
      <w:r w:rsidR="006856A3" w:rsidRPr="00FF1087">
        <w:rPr>
          <w:rStyle w:val="st"/>
          <w:lang w:val="en-GB"/>
        </w:rPr>
        <w:t xml:space="preserve">Mr. Caulfield and the communicant </w:t>
      </w:r>
      <w:r w:rsidR="00FD7657" w:rsidRPr="00FF1087">
        <w:rPr>
          <w:rStyle w:val="st"/>
          <w:lang w:val="en-GB"/>
        </w:rPr>
        <w:t>continues to be refused</w:t>
      </w:r>
      <w:r w:rsidR="006856A3" w:rsidRPr="00FF1087">
        <w:rPr>
          <w:rStyle w:val="st"/>
          <w:lang w:val="en-GB"/>
        </w:rPr>
        <w:t xml:space="preserve"> in breach of article 4</w:t>
      </w:r>
      <w:r w:rsidRPr="00FF1087">
        <w:rPr>
          <w:rStyle w:val="st"/>
          <w:lang w:val="en-GB"/>
        </w:rPr>
        <w:t>.</w:t>
      </w:r>
      <w:r w:rsidRPr="00FF1087">
        <w:rPr>
          <w:rStyle w:val="FootnoteReference"/>
          <w:lang w:val="en-GB"/>
        </w:rPr>
        <w:footnoteReference w:id="46"/>
      </w:r>
    </w:p>
    <w:p w14:paraId="230729E8" w14:textId="5152F4D6" w:rsidR="003A0412" w:rsidRPr="00FF1087" w:rsidRDefault="003A0412" w:rsidP="00370E70">
      <w:pPr>
        <w:pStyle w:val="SingleTxtG"/>
        <w:numPr>
          <w:ilvl w:val="0"/>
          <w:numId w:val="3"/>
        </w:numPr>
        <w:tabs>
          <w:tab w:val="left" w:pos="1843"/>
          <w:tab w:val="left" w:pos="6120"/>
        </w:tabs>
        <w:ind w:left="1134" w:right="0" w:firstLine="0"/>
        <w:rPr>
          <w:rStyle w:val="st"/>
          <w:lang w:val="en-GB"/>
        </w:rPr>
      </w:pPr>
      <w:bookmarkStart w:id="19" w:name="_Ref465239105"/>
      <w:r w:rsidRPr="00FF1087">
        <w:rPr>
          <w:rStyle w:val="st"/>
          <w:lang w:val="en-GB"/>
        </w:rPr>
        <w:t>The Party concerned denies all allegations</w:t>
      </w:r>
      <w:r w:rsidR="00BA0F24" w:rsidRPr="00FF1087">
        <w:rPr>
          <w:rStyle w:val="st"/>
          <w:lang w:val="en-GB"/>
        </w:rPr>
        <w:t xml:space="preserve"> concerning article 4</w:t>
      </w:r>
      <w:r w:rsidRPr="00FF1087">
        <w:rPr>
          <w:rStyle w:val="st"/>
          <w:lang w:val="en-GB"/>
        </w:rPr>
        <w:t>.</w:t>
      </w:r>
      <w:r w:rsidRPr="00FF1087">
        <w:rPr>
          <w:lang w:val="en-GB"/>
        </w:rPr>
        <w:t xml:space="preserve"> </w:t>
      </w:r>
      <w:r w:rsidR="00AE3036" w:rsidRPr="00FF1087">
        <w:rPr>
          <w:lang w:val="en-GB"/>
        </w:rPr>
        <w:t xml:space="preserve">It contends that the </w:t>
      </w:r>
      <w:r w:rsidRPr="00FF1087">
        <w:rPr>
          <w:lang w:val="en-GB"/>
        </w:rPr>
        <w:t>communicant received the project questionnaires and the Commission disclose</w:t>
      </w:r>
      <w:r w:rsidR="00BF6158" w:rsidRPr="00FF1087">
        <w:rPr>
          <w:lang w:val="en-GB"/>
        </w:rPr>
        <w:t>d</w:t>
      </w:r>
      <w:r w:rsidRPr="00FF1087">
        <w:rPr>
          <w:lang w:val="en-GB"/>
        </w:rPr>
        <w:t xml:space="preserve"> </w:t>
      </w:r>
      <w:r w:rsidR="003A27E6" w:rsidRPr="00FF1087">
        <w:rPr>
          <w:lang w:val="en-GB"/>
        </w:rPr>
        <w:t>further information</w:t>
      </w:r>
      <w:r w:rsidRPr="00FF1087">
        <w:rPr>
          <w:lang w:val="en-GB"/>
        </w:rPr>
        <w:t xml:space="preserve"> </w:t>
      </w:r>
      <w:r w:rsidR="00BF6158" w:rsidRPr="00FF1087">
        <w:rPr>
          <w:lang w:val="en-GB"/>
        </w:rPr>
        <w:t xml:space="preserve">after consulting developers, </w:t>
      </w:r>
      <w:r w:rsidRPr="00FF1087">
        <w:rPr>
          <w:lang w:val="en-GB"/>
        </w:rPr>
        <w:t xml:space="preserve">including </w:t>
      </w:r>
      <w:r w:rsidR="008E4B3F" w:rsidRPr="00FF1087">
        <w:rPr>
          <w:lang w:val="en-GB"/>
        </w:rPr>
        <w:t xml:space="preserve">previously </w:t>
      </w:r>
      <w:r w:rsidRPr="00FF1087">
        <w:rPr>
          <w:lang w:val="en-GB"/>
        </w:rPr>
        <w:t>redacted</w:t>
      </w:r>
      <w:r w:rsidR="00932EEB" w:rsidRPr="00FF1087">
        <w:rPr>
          <w:lang w:val="en-GB"/>
        </w:rPr>
        <w:t xml:space="preserve"> information</w:t>
      </w:r>
      <w:r w:rsidRPr="00FF1087">
        <w:rPr>
          <w:lang w:val="en-GB"/>
        </w:rPr>
        <w:t>.</w:t>
      </w:r>
      <w:r w:rsidR="003A27E6" w:rsidRPr="00FF1087">
        <w:rPr>
          <w:lang w:val="en-GB"/>
        </w:rPr>
        <w:t xml:space="preserve"> </w:t>
      </w:r>
      <w:r w:rsidR="008E4B3F" w:rsidRPr="00FF1087">
        <w:rPr>
          <w:lang w:val="en-GB"/>
        </w:rPr>
        <w:t>I</w:t>
      </w:r>
      <w:r w:rsidR="00D22ADE" w:rsidRPr="00FF1087">
        <w:rPr>
          <w:lang w:val="en-GB"/>
        </w:rPr>
        <w:t>n line with article 4 i</w:t>
      </w:r>
      <w:r w:rsidR="008E4B3F" w:rsidRPr="00FF1087">
        <w:rPr>
          <w:lang w:val="en-GB"/>
        </w:rPr>
        <w:t>t</w:t>
      </w:r>
      <w:r w:rsidRPr="00FF1087">
        <w:rPr>
          <w:lang w:val="en-GB"/>
        </w:rPr>
        <w:t xml:space="preserve"> has not disclosed personal data and commercially sensitive information</w:t>
      </w:r>
      <w:r w:rsidR="00BA0F24" w:rsidRPr="00FF1087">
        <w:rPr>
          <w:lang w:val="en-GB"/>
        </w:rPr>
        <w:t xml:space="preserve"> </w:t>
      </w:r>
      <w:r w:rsidRPr="00FF1087">
        <w:rPr>
          <w:lang w:val="en-GB"/>
        </w:rPr>
        <w:t>exempted from disclosure.</w:t>
      </w:r>
      <w:r w:rsidRPr="00FF1087">
        <w:rPr>
          <w:rStyle w:val="FootnoteReference"/>
          <w:lang w:val="en-GB"/>
        </w:rPr>
        <w:footnoteReference w:id="47"/>
      </w:r>
      <w:bookmarkEnd w:id="19"/>
      <w:r w:rsidR="008F7468" w:rsidRPr="00FF1087">
        <w:rPr>
          <w:lang w:val="en-GB"/>
        </w:rPr>
        <w:t xml:space="preserve"> </w:t>
      </w:r>
    </w:p>
    <w:p w14:paraId="64DF6EF6" w14:textId="33BF0DAC" w:rsidR="0019052F" w:rsidRPr="00FF1087" w:rsidRDefault="00F430DC" w:rsidP="001C3D04">
      <w:pPr>
        <w:pStyle w:val="SingleTxtG"/>
        <w:tabs>
          <w:tab w:val="left" w:pos="1843"/>
          <w:tab w:val="left" w:pos="6120"/>
        </w:tabs>
        <w:ind w:right="0"/>
        <w:rPr>
          <w:lang w:val="en-GB"/>
        </w:rPr>
      </w:pPr>
      <w:r w:rsidRPr="00FF1087">
        <w:rPr>
          <w:i/>
          <w:lang w:val="en-GB"/>
        </w:rPr>
        <w:t>Mr</w:t>
      </w:r>
      <w:r w:rsidR="005C5383" w:rsidRPr="00FF1087">
        <w:rPr>
          <w:i/>
          <w:lang w:val="en-GB"/>
        </w:rPr>
        <w:t>.</w:t>
      </w:r>
      <w:r w:rsidRPr="00FF1087">
        <w:rPr>
          <w:i/>
          <w:lang w:val="en-GB"/>
        </w:rPr>
        <w:t xml:space="preserve"> Waugh</w:t>
      </w:r>
      <w:r w:rsidR="005C5383" w:rsidRPr="00FF1087">
        <w:rPr>
          <w:i/>
          <w:lang w:val="en-GB"/>
        </w:rPr>
        <w:t>’s requests</w:t>
      </w:r>
    </w:p>
    <w:p w14:paraId="6AB0D0B8" w14:textId="2007DCB2" w:rsidR="00FD34C1" w:rsidRPr="00FF1087" w:rsidRDefault="0081383B" w:rsidP="001C3D04">
      <w:pPr>
        <w:pStyle w:val="SingleTxtG"/>
        <w:numPr>
          <w:ilvl w:val="0"/>
          <w:numId w:val="3"/>
        </w:numPr>
        <w:tabs>
          <w:tab w:val="left" w:pos="1843"/>
          <w:tab w:val="left" w:pos="6120"/>
        </w:tabs>
        <w:ind w:left="1134" w:right="0" w:firstLine="0"/>
        <w:rPr>
          <w:rStyle w:val="st"/>
          <w:lang w:val="en-GB"/>
        </w:rPr>
      </w:pPr>
      <w:bookmarkStart w:id="20" w:name="_Ref492760430"/>
      <w:r w:rsidRPr="00FF1087">
        <w:rPr>
          <w:rStyle w:val="st"/>
          <w:lang w:val="en-GB"/>
        </w:rPr>
        <w:t>T</w:t>
      </w:r>
      <w:r w:rsidR="00D25289" w:rsidRPr="00FF1087">
        <w:rPr>
          <w:rStyle w:val="st"/>
          <w:lang w:val="en-GB"/>
        </w:rPr>
        <w:t>he communicant claims</w:t>
      </w:r>
      <w:r w:rsidR="00D7346B" w:rsidRPr="00FF1087">
        <w:rPr>
          <w:rStyle w:val="st"/>
          <w:lang w:val="en-GB"/>
        </w:rPr>
        <w:t xml:space="preserve"> the Party concerned </w:t>
      </w:r>
      <w:r w:rsidR="00950610" w:rsidRPr="00FF1087">
        <w:rPr>
          <w:rStyle w:val="st"/>
          <w:lang w:val="en-GB"/>
        </w:rPr>
        <w:t>fail</w:t>
      </w:r>
      <w:r w:rsidR="00D7346B" w:rsidRPr="00FF1087">
        <w:rPr>
          <w:rStyle w:val="st"/>
          <w:lang w:val="en-GB"/>
        </w:rPr>
        <w:t>ed</w:t>
      </w:r>
      <w:r w:rsidR="00950610" w:rsidRPr="00FF1087">
        <w:rPr>
          <w:rStyle w:val="st"/>
          <w:lang w:val="en-GB"/>
        </w:rPr>
        <w:t xml:space="preserve"> to </w:t>
      </w:r>
      <w:r w:rsidR="00AC7AEE" w:rsidRPr="00FF1087">
        <w:rPr>
          <w:rStyle w:val="st"/>
          <w:lang w:val="en-GB"/>
        </w:rPr>
        <w:t xml:space="preserve">address </w:t>
      </w:r>
      <w:r w:rsidR="00A908CF" w:rsidRPr="00FF1087">
        <w:rPr>
          <w:rStyle w:val="st"/>
          <w:lang w:val="en-GB"/>
        </w:rPr>
        <w:t xml:space="preserve">Mr. </w:t>
      </w:r>
      <w:r w:rsidR="00900984" w:rsidRPr="00FF1087">
        <w:rPr>
          <w:rStyle w:val="st"/>
          <w:lang w:val="en-GB"/>
        </w:rPr>
        <w:t>Waugh</w:t>
      </w:r>
      <w:r w:rsidR="00AC7AEE" w:rsidRPr="00FF1087">
        <w:rPr>
          <w:rStyle w:val="st"/>
          <w:lang w:val="en-GB"/>
        </w:rPr>
        <w:t>’s request</w:t>
      </w:r>
      <w:r w:rsidR="00900984" w:rsidRPr="00FF1087">
        <w:rPr>
          <w:rStyle w:val="st"/>
          <w:lang w:val="en-GB"/>
        </w:rPr>
        <w:t xml:space="preserve"> </w:t>
      </w:r>
      <w:r w:rsidR="007A382F" w:rsidRPr="00FF1087">
        <w:rPr>
          <w:rStyle w:val="st"/>
          <w:lang w:val="en-GB"/>
        </w:rPr>
        <w:t>for</w:t>
      </w:r>
      <w:r w:rsidR="00D25289" w:rsidRPr="00FF1087">
        <w:rPr>
          <w:rStyle w:val="st"/>
          <w:lang w:val="en-GB"/>
        </w:rPr>
        <w:t xml:space="preserve"> </w:t>
      </w:r>
      <w:r w:rsidR="00AC7AEE" w:rsidRPr="00FF1087">
        <w:rPr>
          <w:rStyle w:val="st"/>
          <w:lang w:val="en-GB"/>
        </w:rPr>
        <w:t xml:space="preserve">information on </w:t>
      </w:r>
      <w:r w:rsidR="00082121" w:rsidRPr="00FF1087">
        <w:rPr>
          <w:rStyle w:val="st"/>
          <w:lang w:val="en-GB"/>
        </w:rPr>
        <w:t xml:space="preserve">Irish </w:t>
      </w:r>
      <w:r w:rsidR="00D25289" w:rsidRPr="00FF1087">
        <w:rPr>
          <w:rStyle w:val="st"/>
          <w:lang w:val="en-GB"/>
        </w:rPr>
        <w:t>projects</w:t>
      </w:r>
      <w:r w:rsidR="00950610" w:rsidRPr="00FF1087">
        <w:rPr>
          <w:rStyle w:val="st"/>
          <w:lang w:val="en-GB"/>
        </w:rPr>
        <w:t>.</w:t>
      </w:r>
      <w:r w:rsidR="003A27E6" w:rsidRPr="00FF1087">
        <w:rPr>
          <w:rStyle w:val="FootnoteReference"/>
          <w:lang w:val="en-GB"/>
        </w:rPr>
        <w:footnoteReference w:id="48"/>
      </w:r>
      <w:bookmarkEnd w:id="20"/>
    </w:p>
    <w:p w14:paraId="7C57BCA8" w14:textId="220DE10C" w:rsidR="00B24335" w:rsidRPr="00FF1087" w:rsidRDefault="00262AF0" w:rsidP="00370E70">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claims </w:t>
      </w:r>
      <w:r w:rsidR="006856A3" w:rsidRPr="00FF1087">
        <w:rPr>
          <w:rStyle w:val="st"/>
          <w:lang w:val="en-GB"/>
        </w:rPr>
        <w:t xml:space="preserve">that </w:t>
      </w:r>
      <w:r w:rsidR="000B5B0F" w:rsidRPr="00FF1087">
        <w:rPr>
          <w:rStyle w:val="st"/>
          <w:lang w:val="en-GB"/>
        </w:rPr>
        <w:t>it</w:t>
      </w:r>
      <w:r w:rsidRPr="00FF1087">
        <w:rPr>
          <w:rStyle w:val="st"/>
          <w:lang w:val="en-GB"/>
        </w:rPr>
        <w:t xml:space="preserve"> </w:t>
      </w:r>
      <w:r w:rsidR="00590D27" w:rsidRPr="00FF1087">
        <w:rPr>
          <w:rStyle w:val="st"/>
          <w:lang w:val="en-GB"/>
        </w:rPr>
        <w:t>gave</w:t>
      </w:r>
      <w:r w:rsidRPr="00FF1087">
        <w:rPr>
          <w:rStyle w:val="st"/>
          <w:lang w:val="en-GB"/>
        </w:rPr>
        <w:t xml:space="preserve"> access to </w:t>
      </w:r>
      <w:proofErr w:type="gramStart"/>
      <w:r w:rsidR="003945B1" w:rsidRPr="00FF1087">
        <w:rPr>
          <w:rStyle w:val="st"/>
          <w:lang w:val="en-GB"/>
        </w:rPr>
        <w:t>a number of</w:t>
      </w:r>
      <w:proofErr w:type="gramEnd"/>
      <w:r w:rsidR="003945B1" w:rsidRPr="00FF1087">
        <w:rPr>
          <w:rStyle w:val="st"/>
          <w:lang w:val="en-GB"/>
        </w:rPr>
        <w:t xml:space="preserve"> </w:t>
      </w:r>
      <w:r w:rsidRPr="00FF1087">
        <w:rPr>
          <w:rStyle w:val="st"/>
          <w:lang w:val="en-GB"/>
        </w:rPr>
        <w:t>documents</w:t>
      </w:r>
      <w:r w:rsidR="0059480E" w:rsidRPr="00FF1087">
        <w:rPr>
          <w:rStyle w:val="st"/>
          <w:lang w:val="en-GB"/>
        </w:rPr>
        <w:t xml:space="preserve"> in response to Mr. Waugh’s second information request</w:t>
      </w:r>
      <w:r w:rsidRPr="00FF1087">
        <w:rPr>
          <w:rStyle w:val="st"/>
          <w:lang w:val="en-GB"/>
        </w:rPr>
        <w:t xml:space="preserve">, </w:t>
      </w:r>
      <w:r w:rsidR="00590D27" w:rsidRPr="00FF1087">
        <w:rPr>
          <w:rStyle w:val="st"/>
          <w:lang w:val="en-GB"/>
        </w:rPr>
        <w:t>except</w:t>
      </w:r>
      <w:r w:rsidRPr="00FF1087">
        <w:rPr>
          <w:rStyle w:val="st"/>
          <w:lang w:val="en-GB"/>
        </w:rPr>
        <w:t xml:space="preserve"> parts </w:t>
      </w:r>
      <w:r w:rsidR="00082121" w:rsidRPr="00FF1087">
        <w:rPr>
          <w:rStyle w:val="st"/>
          <w:lang w:val="en-GB"/>
        </w:rPr>
        <w:t>exempted from</w:t>
      </w:r>
      <w:r w:rsidRPr="00FF1087">
        <w:rPr>
          <w:rStyle w:val="st"/>
          <w:lang w:val="en-GB"/>
        </w:rPr>
        <w:t xml:space="preserve"> disclosure.</w:t>
      </w:r>
      <w:r w:rsidR="00CF1FC5" w:rsidRPr="00FF1087">
        <w:rPr>
          <w:rStyle w:val="FootnoteReference"/>
          <w:lang w:val="en-GB"/>
        </w:rPr>
        <w:footnoteReference w:id="49"/>
      </w:r>
      <w:r w:rsidRPr="00FF1087">
        <w:rPr>
          <w:rStyle w:val="st"/>
          <w:lang w:val="en-GB"/>
        </w:rPr>
        <w:t xml:space="preserve"> </w:t>
      </w:r>
      <w:r w:rsidR="00082121" w:rsidRPr="00FF1087">
        <w:rPr>
          <w:rStyle w:val="st"/>
          <w:lang w:val="en-GB"/>
        </w:rPr>
        <w:t>It</w:t>
      </w:r>
      <w:r w:rsidR="00B24335" w:rsidRPr="00FF1087">
        <w:rPr>
          <w:rStyle w:val="st"/>
          <w:lang w:val="en-GB"/>
        </w:rPr>
        <w:t xml:space="preserve"> submits </w:t>
      </w:r>
      <w:r w:rsidR="00AD6710" w:rsidRPr="00FF1087">
        <w:rPr>
          <w:rStyle w:val="st"/>
          <w:lang w:val="en-GB"/>
        </w:rPr>
        <w:t xml:space="preserve">the handling of </w:t>
      </w:r>
      <w:r w:rsidR="00A908CF" w:rsidRPr="00FF1087">
        <w:rPr>
          <w:rStyle w:val="st"/>
          <w:lang w:val="en-GB"/>
        </w:rPr>
        <w:t xml:space="preserve">Mr. </w:t>
      </w:r>
      <w:r w:rsidR="00AD6710" w:rsidRPr="00FF1087">
        <w:rPr>
          <w:rStyle w:val="st"/>
          <w:lang w:val="en-GB"/>
        </w:rPr>
        <w:t xml:space="preserve">Waugh’s </w:t>
      </w:r>
      <w:r w:rsidR="0081383B" w:rsidRPr="00FF1087">
        <w:rPr>
          <w:rStyle w:val="st"/>
          <w:lang w:val="en-GB"/>
        </w:rPr>
        <w:t>c</w:t>
      </w:r>
      <w:r w:rsidR="003D6FFD" w:rsidRPr="00FF1087">
        <w:rPr>
          <w:rStyle w:val="st"/>
          <w:lang w:val="en-GB"/>
        </w:rPr>
        <w:t xml:space="preserve">onfirmatory </w:t>
      </w:r>
      <w:r w:rsidR="0081383B" w:rsidRPr="00FF1087">
        <w:rPr>
          <w:rStyle w:val="st"/>
          <w:lang w:val="en-GB"/>
        </w:rPr>
        <w:t>a</w:t>
      </w:r>
      <w:r w:rsidR="003D6FFD" w:rsidRPr="00FF1087">
        <w:rPr>
          <w:rStyle w:val="st"/>
          <w:lang w:val="en-GB"/>
        </w:rPr>
        <w:t xml:space="preserve">pplication </w:t>
      </w:r>
      <w:r w:rsidR="00AD6710" w:rsidRPr="00FF1087">
        <w:rPr>
          <w:rStyle w:val="st"/>
          <w:lang w:val="en-GB"/>
        </w:rPr>
        <w:t>met the requirements of Regulation 1049/2001</w:t>
      </w:r>
      <w:r w:rsidR="0038112D" w:rsidRPr="00FF1087">
        <w:rPr>
          <w:rStyle w:val="st"/>
          <w:lang w:val="en-GB"/>
        </w:rPr>
        <w:t>, including timeliness</w:t>
      </w:r>
      <w:r w:rsidR="00AD6710" w:rsidRPr="00FF1087">
        <w:rPr>
          <w:rStyle w:val="st"/>
          <w:lang w:val="en-GB"/>
        </w:rPr>
        <w:t>.</w:t>
      </w:r>
      <w:r w:rsidR="00B24335" w:rsidRPr="00FF1087">
        <w:rPr>
          <w:rStyle w:val="FootnoteReference"/>
          <w:lang w:val="en-GB"/>
        </w:rPr>
        <w:footnoteReference w:id="50"/>
      </w:r>
    </w:p>
    <w:p w14:paraId="4CED85BF" w14:textId="280BF8C1" w:rsidR="00F430DC" w:rsidRPr="00FF1087" w:rsidRDefault="00A908CF" w:rsidP="001C3D04">
      <w:pPr>
        <w:pStyle w:val="SingleTxtG"/>
        <w:tabs>
          <w:tab w:val="left" w:pos="1843"/>
          <w:tab w:val="left" w:pos="6120"/>
        </w:tabs>
        <w:ind w:right="0"/>
        <w:rPr>
          <w:rStyle w:val="st"/>
          <w:i/>
          <w:lang w:val="en-GB"/>
        </w:rPr>
      </w:pPr>
      <w:r w:rsidRPr="00FF1087">
        <w:rPr>
          <w:rStyle w:val="st"/>
          <w:i/>
          <w:lang w:val="en-GB"/>
        </w:rPr>
        <w:t xml:space="preserve">Mr. </w:t>
      </w:r>
      <w:r w:rsidR="00F430DC" w:rsidRPr="00FF1087">
        <w:rPr>
          <w:rStyle w:val="st"/>
          <w:i/>
          <w:lang w:val="en-GB"/>
        </w:rPr>
        <w:t>Caulfield</w:t>
      </w:r>
      <w:r w:rsidR="00AD6710" w:rsidRPr="00FF1087">
        <w:rPr>
          <w:rStyle w:val="st"/>
          <w:i/>
          <w:lang w:val="en-GB"/>
        </w:rPr>
        <w:t>’s requests</w:t>
      </w:r>
    </w:p>
    <w:p w14:paraId="1E82DC78" w14:textId="37BA52C2" w:rsidR="000A255F" w:rsidRPr="00FF1087" w:rsidRDefault="000A255F" w:rsidP="00370E70">
      <w:pPr>
        <w:pStyle w:val="SingleTxtG"/>
        <w:numPr>
          <w:ilvl w:val="0"/>
          <w:numId w:val="3"/>
        </w:numPr>
        <w:tabs>
          <w:tab w:val="left" w:pos="1843"/>
          <w:tab w:val="left" w:pos="6120"/>
        </w:tabs>
        <w:ind w:left="1134" w:right="0" w:firstLine="0"/>
        <w:rPr>
          <w:rStyle w:val="st"/>
          <w:lang w:val="en-GB"/>
        </w:rPr>
      </w:pPr>
      <w:bookmarkStart w:id="21" w:name="_Ref465420383"/>
      <w:r w:rsidRPr="00FF1087">
        <w:rPr>
          <w:rStyle w:val="st"/>
          <w:lang w:val="en-GB"/>
        </w:rPr>
        <w:t xml:space="preserve">The communicant claims </w:t>
      </w:r>
      <w:r w:rsidR="00690591" w:rsidRPr="00FF1087">
        <w:rPr>
          <w:rStyle w:val="st"/>
          <w:lang w:val="en-GB"/>
        </w:rPr>
        <w:t xml:space="preserve">that </w:t>
      </w:r>
      <w:r w:rsidRPr="00FF1087">
        <w:rPr>
          <w:rStyle w:val="st"/>
          <w:lang w:val="en-GB"/>
        </w:rPr>
        <w:t xml:space="preserve">in </w:t>
      </w:r>
      <w:r w:rsidR="00BB42A6" w:rsidRPr="00FF1087">
        <w:rPr>
          <w:rStyle w:val="st"/>
          <w:lang w:val="en-GB"/>
        </w:rPr>
        <w:t xml:space="preserve">processing </w:t>
      </w:r>
      <w:r w:rsidR="003945B1" w:rsidRPr="00FF1087">
        <w:rPr>
          <w:rStyle w:val="st"/>
          <w:lang w:val="en-GB"/>
        </w:rPr>
        <w:t xml:space="preserve">Mr. Caulfield’s </w:t>
      </w:r>
      <w:r w:rsidR="00BB42A6" w:rsidRPr="00FF1087">
        <w:rPr>
          <w:rStyle w:val="st"/>
          <w:lang w:val="en-GB"/>
        </w:rPr>
        <w:t>request</w:t>
      </w:r>
      <w:r w:rsidR="00AB37A3" w:rsidRPr="00FF1087">
        <w:rPr>
          <w:rStyle w:val="st"/>
          <w:lang w:val="en-GB"/>
        </w:rPr>
        <w:t>s</w:t>
      </w:r>
      <w:r w:rsidRPr="00FF1087">
        <w:rPr>
          <w:rStyle w:val="st"/>
          <w:lang w:val="en-GB"/>
        </w:rPr>
        <w:t>, the Party concerned did not comply with the timeframes in article 4</w:t>
      </w:r>
      <w:r w:rsidR="004515AB" w:rsidRPr="00FF1087">
        <w:rPr>
          <w:rStyle w:val="st"/>
          <w:lang w:val="en-GB"/>
        </w:rPr>
        <w:t>(</w:t>
      </w:r>
      <w:r w:rsidRPr="00FF1087">
        <w:rPr>
          <w:rStyle w:val="st"/>
          <w:lang w:val="en-GB"/>
        </w:rPr>
        <w:t>2</w:t>
      </w:r>
      <w:r w:rsidR="004515AB" w:rsidRPr="00FF1087">
        <w:rPr>
          <w:rStyle w:val="st"/>
          <w:lang w:val="en-GB"/>
        </w:rPr>
        <w:t>)</w:t>
      </w:r>
      <w:r w:rsidRPr="00FF1087">
        <w:rPr>
          <w:rStyle w:val="st"/>
          <w:lang w:val="en-GB"/>
        </w:rPr>
        <w:t xml:space="preserve"> of the Convention. </w:t>
      </w:r>
      <w:r w:rsidR="008B62B6" w:rsidRPr="00FF1087">
        <w:rPr>
          <w:rStyle w:val="st"/>
          <w:lang w:val="en-GB"/>
        </w:rPr>
        <w:t xml:space="preserve">The request was </w:t>
      </w:r>
      <w:r w:rsidR="0042280C" w:rsidRPr="00FF1087">
        <w:rPr>
          <w:rStyle w:val="st"/>
          <w:lang w:val="en-GB"/>
        </w:rPr>
        <w:t xml:space="preserve">submitted </w:t>
      </w:r>
      <w:r w:rsidR="008B62B6" w:rsidRPr="00FF1087">
        <w:rPr>
          <w:rStyle w:val="st"/>
          <w:lang w:val="en-GB"/>
        </w:rPr>
        <w:t xml:space="preserve">on 20 August </w:t>
      </w:r>
      <w:proofErr w:type="gramStart"/>
      <w:r w:rsidR="008B62B6" w:rsidRPr="00FF1087">
        <w:rPr>
          <w:rStyle w:val="st"/>
          <w:lang w:val="en-GB"/>
        </w:rPr>
        <w:t>2012</w:t>
      </w:r>
      <w:r w:rsidR="005A374E" w:rsidRPr="00FF1087">
        <w:rPr>
          <w:rStyle w:val="st"/>
          <w:lang w:val="en-GB"/>
        </w:rPr>
        <w:t xml:space="preserve">; </w:t>
      </w:r>
      <w:r w:rsidR="008B62B6" w:rsidRPr="00FF1087">
        <w:rPr>
          <w:rStyle w:val="st"/>
          <w:lang w:val="en-GB"/>
        </w:rPr>
        <w:t xml:space="preserve"> the</w:t>
      </w:r>
      <w:proofErr w:type="gramEnd"/>
      <w:r w:rsidR="008B62B6" w:rsidRPr="00FF1087">
        <w:rPr>
          <w:rStyle w:val="st"/>
          <w:lang w:val="en-GB"/>
        </w:rPr>
        <w:t xml:space="preserve"> response </w:t>
      </w:r>
      <w:r w:rsidR="0042280C" w:rsidRPr="00FF1087">
        <w:rPr>
          <w:rStyle w:val="st"/>
          <w:lang w:val="en-GB"/>
        </w:rPr>
        <w:t xml:space="preserve">was dated </w:t>
      </w:r>
      <w:r w:rsidR="008B62B6" w:rsidRPr="00FF1087">
        <w:rPr>
          <w:rStyle w:val="st"/>
          <w:lang w:val="en-GB"/>
        </w:rPr>
        <w:t>19 October 2012</w:t>
      </w:r>
      <w:r w:rsidR="005A374E" w:rsidRPr="00FF1087">
        <w:rPr>
          <w:rStyle w:val="st"/>
          <w:lang w:val="en-GB"/>
        </w:rPr>
        <w:t xml:space="preserve">. </w:t>
      </w:r>
      <w:r w:rsidR="008B62B6" w:rsidRPr="00FF1087">
        <w:rPr>
          <w:rStyle w:val="st"/>
          <w:lang w:val="en-GB"/>
        </w:rPr>
        <w:t>A confirmatory application was sent on 24 October 2012</w:t>
      </w:r>
      <w:r w:rsidR="005A374E" w:rsidRPr="00FF1087">
        <w:rPr>
          <w:rStyle w:val="st"/>
          <w:lang w:val="en-GB"/>
        </w:rPr>
        <w:t>;</w:t>
      </w:r>
      <w:r w:rsidR="008B62B6" w:rsidRPr="00FF1087">
        <w:rPr>
          <w:rStyle w:val="st"/>
          <w:lang w:val="en-GB"/>
        </w:rPr>
        <w:t xml:space="preserve"> the response </w:t>
      </w:r>
      <w:r w:rsidR="00392450" w:rsidRPr="00FF1087">
        <w:rPr>
          <w:rStyle w:val="st"/>
          <w:lang w:val="en-GB"/>
        </w:rPr>
        <w:t xml:space="preserve">was </w:t>
      </w:r>
      <w:r w:rsidR="0042280C" w:rsidRPr="00FF1087">
        <w:rPr>
          <w:rStyle w:val="st"/>
          <w:lang w:val="en-GB"/>
        </w:rPr>
        <w:t xml:space="preserve">dated </w:t>
      </w:r>
      <w:r w:rsidR="008B62B6" w:rsidRPr="00FF1087">
        <w:rPr>
          <w:rStyle w:val="st"/>
          <w:lang w:val="en-GB"/>
        </w:rPr>
        <w:t>28 February 2013</w:t>
      </w:r>
      <w:r w:rsidR="00AB37A3" w:rsidRPr="00FF1087">
        <w:rPr>
          <w:rStyle w:val="st"/>
          <w:lang w:val="en-GB"/>
        </w:rPr>
        <w:t xml:space="preserve">. </w:t>
      </w:r>
      <w:r w:rsidR="00A908CF" w:rsidRPr="00FF1087">
        <w:rPr>
          <w:rStyle w:val="st"/>
          <w:lang w:val="en-GB"/>
        </w:rPr>
        <w:t xml:space="preserve">Mr. </w:t>
      </w:r>
      <w:r w:rsidR="00AB37A3" w:rsidRPr="00FF1087">
        <w:rPr>
          <w:rStyle w:val="st"/>
          <w:lang w:val="en-GB"/>
        </w:rPr>
        <w:t xml:space="preserve">Caulfield’s </w:t>
      </w:r>
      <w:r w:rsidR="008B62B6" w:rsidRPr="00FF1087">
        <w:rPr>
          <w:rStyle w:val="st"/>
          <w:lang w:val="en-GB"/>
        </w:rPr>
        <w:t xml:space="preserve">second </w:t>
      </w:r>
      <w:r w:rsidR="00AB37A3" w:rsidRPr="00FF1087">
        <w:rPr>
          <w:rStyle w:val="st"/>
          <w:lang w:val="en-GB"/>
        </w:rPr>
        <w:t xml:space="preserve">information </w:t>
      </w:r>
      <w:r w:rsidR="008B62B6" w:rsidRPr="00FF1087">
        <w:rPr>
          <w:rStyle w:val="st"/>
          <w:lang w:val="en-GB"/>
        </w:rPr>
        <w:t>request</w:t>
      </w:r>
      <w:r w:rsidR="00AB37A3" w:rsidRPr="00FF1087">
        <w:rPr>
          <w:rStyle w:val="st"/>
          <w:lang w:val="en-GB"/>
        </w:rPr>
        <w:t xml:space="preserve"> was sent on 5 March 2013</w:t>
      </w:r>
      <w:r w:rsidR="005A374E" w:rsidRPr="00FF1087">
        <w:rPr>
          <w:rStyle w:val="st"/>
          <w:lang w:val="en-GB"/>
        </w:rPr>
        <w:t xml:space="preserve">; </w:t>
      </w:r>
      <w:r w:rsidR="008B62B6" w:rsidRPr="00FF1087">
        <w:rPr>
          <w:rStyle w:val="st"/>
          <w:lang w:val="en-GB"/>
        </w:rPr>
        <w:t xml:space="preserve">the response </w:t>
      </w:r>
      <w:r w:rsidR="00392450" w:rsidRPr="00FF1087">
        <w:rPr>
          <w:rStyle w:val="st"/>
          <w:lang w:val="en-GB"/>
        </w:rPr>
        <w:t xml:space="preserve">was </w:t>
      </w:r>
      <w:r w:rsidR="0042280C" w:rsidRPr="00FF1087">
        <w:rPr>
          <w:rStyle w:val="st"/>
          <w:lang w:val="en-GB"/>
        </w:rPr>
        <w:t>dated</w:t>
      </w:r>
      <w:r w:rsidR="008B62B6" w:rsidRPr="00FF1087">
        <w:rPr>
          <w:rStyle w:val="st"/>
          <w:lang w:val="en-GB"/>
        </w:rPr>
        <w:t xml:space="preserve"> 22 April 2013</w:t>
      </w:r>
      <w:r w:rsidR="005A374E" w:rsidRPr="00FF1087">
        <w:rPr>
          <w:rStyle w:val="st"/>
          <w:lang w:val="en-GB"/>
        </w:rPr>
        <w:t xml:space="preserve"> (paras. </w:t>
      </w:r>
      <w:r w:rsidR="005A374E" w:rsidRPr="00FF1087">
        <w:rPr>
          <w:rStyle w:val="st"/>
          <w:lang w:val="en-GB"/>
        </w:rPr>
        <w:fldChar w:fldCharType="begin"/>
      </w:r>
      <w:r w:rsidR="005A374E" w:rsidRPr="00FF1087">
        <w:rPr>
          <w:rStyle w:val="st"/>
          <w:lang w:val="en-GB"/>
        </w:rPr>
        <w:instrText xml:space="preserve"> REF _Ref465268292 \r \h  \* MERGEFORMAT </w:instrText>
      </w:r>
      <w:r w:rsidR="005A374E" w:rsidRPr="00FF1087">
        <w:rPr>
          <w:rStyle w:val="st"/>
          <w:lang w:val="en-GB"/>
        </w:rPr>
      </w:r>
      <w:r w:rsidR="005A374E" w:rsidRPr="00FF1087">
        <w:rPr>
          <w:rStyle w:val="st"/>
          <w:lang w:val="en-GB"/>
        </w:rPr>
        <w:fldChar w:fldCharType="separate"/>
      </w:r>
      <w:r w:rsidR="00B713E0">
        <w:rPr>
          <w:rStyle w:val="st"/>
          <w:cs/>
          <w:lang w:val="en-GB"/>
        </w:rPr>
        <w:t>‎</w:t>
      </w:r>
      <w:r w:rsidR="00B713E0">
        <w:rPr>
          <w:rStyle w:val="st"/>
          <w:lang w:val="en-GB"/>
        </w:rPr>
        <w:t>32</w:t>
      </w:r>
      <w:r w:rsidR="005A374E" w:rsidRPr="00FF1087">
        <w:rPr>
          <w:rStyle w:val="st"/>
          <w:lang w:val="en-GB"/>
        </w:rPr>
        <w:fldChar w:fldCharType="end"/>
      </w:r>
      <w:r w:rsidR="005A374E" w:rsidRPr="00FF1087">
        <w:rPr>
          <w:rStyle w:val="st"/>
          <w:lang w:val="en-GB"/>
        </w:rPr>
        <w:t>-</w:t>
      </w:r>
      <w:r w:rsidR="005A374E" w:rsidRPr="00FF1087">
        <w:rPr>
          <w:rStyle w:val="st"/>
          <w:lang w:val="en-GB"/>
        </w:rPr>
        <w:fldChar w:fldCharType="begin"/>
      </w:r>
      <w:r w:rsidR="005A374E" w:rsidRPr="00FF1087">
        <w:rPr>
          <w:rStyle w:val="st"/>
          <w:lang w:val="en-GB"/>
        </w:rPr>
        <w:instrText xml:space="preserve"> REF _Ref465333002 \r \h  \* MERGEFORMAT </w:instrText>
      </w:r>
      <w:r w:rsidR="005A374E" w:rsidRPr="00FF1087">
        <w:rPr>
          <w:rStyle w:val="st"/>
          <w:lang w:val="en-GB"/>
        </w:rPr>
      </w:r>
      <w:r w:rsidR="005A374E" w:rsidRPr="00FF1087">
        <w:rPr>
          <w:rStyle w:val="st"/>
          <w:lang w:val="en-GB"/>
        </w:rPr>
        <w:fldChar w:fldCharType="separate"/>
      </w:r>
      <w:r w:rsidR="00B713E0">
        <w:rPr>
          <w:rStyle w:val="st"/>
          <w:cs/>
          <w:lang w:val="en-GB"/>
        </w:rPr>
        <w:t>‎</w:t>
      </w:r>
      <w:r w:rsidR="00B713E0">
        <w:rPr>
          <w:rStyle w:val="st"/>
          <w:lang w:val="en-GB"/>
        </w:rPr>
        <w:t>36</w:t>
      </w:r>
      <w:r w:rsidR="005A374E" w:rsidRPr="00FF1087">
        <w:rPr>
          <w:rStyle w:val="st"/>
          <w:lang w:val="en-GB"/>
        </w:rPr>
        <w:fldChar w:fldCharType="end"/>
      </w:r>
      <w:r w:rsidR="005A374E" w:rsidRPr="00FF1087">
        <w:rPr>
          <w:rStyle w:val="st"/>
          <w:lang w:val="en-GB"/>
        </w:rPr>
        <w:t xml:space="preserve"> above)</w:t>
      </w:r>
      <w:r w:rsidR="008B62B6" w:rsidRPr="00FF1087">
        <w:rPr>
          <w:rStyle w:val="st"/>
          <w:lang w:val="en-GB"/>
        </w:rPr>
        <w:t xml:space="preserve">. </w:t>
      </w:r>
      <w:r w:rsidRPr="00FF1087">
        <w:rPr>
          <w:rStyle w:val="st"/>
          <w:lang w:val="en-GB"/>
        </w:rPr>
        <w:t xml:space="preserve">The communicant </w:t>
      </w:r>
      <w:r w:rsidR="005A374E" w:rsidRPr="00FF1087">
        <w:rPr>
          <w:rStyle w:val="st"/>
          <w:lang w:val="en-GB"/>
        </w:rPr>
        <w:t xml:space="preserve">submits </w:t>
      </w:r>
      <w:r w:rsidRPr="00FF1087">
        <w:rPr>
          <w:rStyle w:val="st"/>
          <w:lang w:val="en-GB"/>
        </w:rPr>
        <w:t>th</w:t>
      </w:r>
      <w:r w:rsidR="00AB37A3" w:rsidRPr="00FF1087">
        <w:rPr>
          <w:rStyle w:val="st"/>
          <w:lang w:val="en-GB"/>
        </w:rPr>
        <w:t>ese</w:t>
      </w:r>
      <w:r w:rsidRPr="00FF1087">
        <w:rPr>
          <w:rStyle w:val="st"/>
          <w:lang w:val="en-GB"/>
        </w:rPr>
        <w:t xml:space="preserve"> delay</w:t>
      </w:r>
      <w:r w:rsidR="00AB37A3" w:rsidRPr="00FF1087">
        <w:rPr>
          <w:rStyle w:val="st"/>
          <w:lang w:val="en-GB"/>
        </w:rPr>
        <w:t>s</w:t>
      </w:r>
      <w:r w:rsidRPr="00FF1087">
        <w:rPr>
          <w:rStyle w:val="st"/>
          <w:lang w:val="en-GB"/>
        </w:rPr>
        <w:t xml:space="preserve"> restricted </w:t>
      </w:r>
      <w:r w:rsidR="005A374E" w:rsidRPr="00FF1087">
        <w:rPr>
          <w:rStyle w:val="st"/>
          <w:lang w:val="en-GB"/>
        </w:rPr>
        <w:t xml:space="preserve">both </w:t>
      </w:r>
      <w:r w:rsidRPr="00FF1087">
        <w:rPr>
          <w:rStyle w:val="st"/>
          <w:lang w:val="en-GB"/>
        </w:rPr>
        <w:t>citizens</w:t>
      </w:r>
      <w:r w:rsidR="00AB37A3" w:rsidRPr="00FF1087">
        <w:rPr>
          <w:rStyle w:val="st"/>
          <w:lang w:val="en-GB"/>
        </w:rPr>
        <w:t>’</w:t>
      </w:r>
      <w:r w:rsidRPr="00FF1087">
        <w:rPr>
          <w:rStyle w:val="st"/>
          <w:lang w:val="en-GB"/>
        </w:rPr>
        <w:t xml:space="preserve"> right to be informed</w:t>
      </w:r>
      <w:r w:rsidR="005A374E" w:rsidRPr="00FF1087">
        <w:rPr>
          <w:rStyle w:val="st"/>
          <w:lang w:val="en-GB"/>
        </w:rPr>
        <w:t xml:space="preserve"> and </w:t>
      </w:r>
      <w:r w:rsidRPr="00FF1087">
        <w:rPr>
          <w:rStyle w:val="st"/>
          <w:lang w:val="en-GB"/>
        </w:rPr>
        <w:t>to participate in th</w:t>
      </w:r>
      <w:r w:rsidR="00E97FE9" w:rsidRPr="00FF1087">
        <w:rPr>
          <w:rStyle w:val="st"/>
          <w:lang w:val="en-GB"/>
        </w:rPr>
        <w:t xml:space="preserve">e </w:t>
      </w:r>
      <w:r w:rsidR="005A374E" w:rsidRPr="00FF1087">
        <w:rPr>
          <w:rStyle w:val="st"/>
          <w:lang w:val="en-GB"/>
        </w:rPr>
        <w:t>consultation</w:t>
      </w:r>
      <w:r w:rsidRPr="00FF1087">
        <w:rPr>
          <w:rStyle w:val="st"/>
          <w:lang w:val="en-GB"/>
        </w:rPr>
        <w:t xml:space="preserve"> process.</w:t>
      </w:r>
      <w:r w:rsidRPr="00FF1087">
        <w:rPr>
          <w:rStyle w:val="FootnoteReference"/>
          <w:lang w:val="en-GB"/>
        </w:rPr>
        <w:footnoteReference w:id="51"/>
      </w:r>
      <w:bookmarkEnd w:id="21"/>
      <w:r w:rsidRPr="00FF1087">
        <w:rPr>
          <w:rStyle w:val="st"/>
          <w:lang w:val="en-GB"/>
        </w:rPr>
        <w:t xml:space="preserve"> </w:t>
      </w:r>
    </w:p>
    <w:p w14:paraId="1D509F6B" w14:textId="27900922" w:rsidR="0051700E" w:rsidRPr="00FF1087" w:rsidRDefault="0051700E" w:rsidP="00370E70">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communicant</w:t>
      </w:r>
      <w:r w:rsidR="00061D41" w:rsidRPr="00FF1087">
        <w:rPr>
          <w:rStyle w:val="st"/>
          <w:lang w:val="en-GB"/>
        </w:rPr>
        <w:t xml:space="preserve"> </w:t>
      </w:r>
      <w:r w:rsidRPr="00FF1087">
        <w:rPr>
          <w:rStyle w:val="st"/>
          <w:lang w:val="en-GB"/>
        </w:rPr>
        <w:t xml:space="preserve">refers to </w:t>
      </w:r>
      <w:r w:rsidR="00A908CF" w:rsidRPr="00FF1087">
        <w:rPr>
          <w:rStyle w:val="st"/>
          <w:lang w:val="en-GB"/>
        </w:rPr>
        <w:t xml:space="preserve">Mr. </w:t>
      </w:r>
      <w:r w:rsidR="00A11B0E" w:rsidRPr="00FF1087">
        <w:rPr>
          <w:rStyle w:val="st"/>
          <w:lang w:val="en-GB"/>
        </w:rPr>
        <w:t>Caulfield</w:t>
      </w:r>
      <w:r w:rsidR="00FD7657" w:rsidRPr="00FF1087">
        <w:rPr>
          <w:rStyle w:val="st"/>
          <w:lang w:val="en-GB"/>
        </w:rPr>
        <w:t xml:space="preserve">’s </w:t>
      </w:r>
      <w:r w:rsidR="00420A89" w:rsidRPr="00FF1087">
        <w:rPr>
          <w:rStyle w:val="st"/>
          <w:lang w:val="en-GB"/>
        </w:rPr>
        <w:t>allegation</w:t>
      </w:r>
      <w:r w:rsidRPr="00FF1087">
        <w:rPr>
          <w:rStyle w:val="st"/>
          <w:lang w:val="en-GB"/>
        </w:rPr>
        <w:t xml:space="preserve"> in his second confirmatory application of 28 April 2013</w:t>
      </w:r>
      <w:r w:rsidR="00420A89" w:rsidRPr="00FF1087">
        <w:rPr>
          <w:rStyle w:val="st"/>
          <w:lang w:val="en-GB"/>
        </w:rPr>
        <w:t xml:space="preserve"> </w:t>
      </w:r>
      <w:r w:rsidRPr="00FF1087">
        <w:rPr>
          <w:rStyle w:val="st"/>
          <w:lang w:val="en-GB"/>
        </w:rPr>
        <w:t>that more information than “personal data” had been blanked out</w:t>
      </w:r>
      <w:r w:rsidR="00420A89" w:rsidRPr="00FF1087">
        <w:rPr>
          <w:rStyle w:val="st"/>
          <w:lang w:val="en-GB"/>
        </w:rPr>
        <w:t xml:space="preserve"> of the redacted </w:t>
      </w:r>
      <w:proofErr w:type="spellStart"/>
      <w:r w:rsidR="00420A89" w:rsidRPr="00FF1087">
        <w:rPr>
          <w:rStyle w:val="st"/>
          <w:lang w:val="en-GB"/>
        </w:rPr>
        <w:t>questionaire</w:t>
      </w:r>
      <w:proofErr w:type="spellEnd"/>
      <w:r w:rsidRPr="00FF1087">
        <w:rPr>
          <w:rStyle w:val="st"/>
          <w:lang w:val="en-GB"/>
        </w:rPr>
        <w:t>.</w:t>
      </w:r>
      <w:r w:rsidRPr="00FF1087">
        <w:rPr>
          <w:rStyle w:val="FootnoteReference"/>
          <w:lang w:val="en-GB"/>
        </w:rPr>
        <w:footnoteReference w:id="52"/>
      </w:r>
      <w:r w:rsidRPr="00FF1087">
        <w:rPr>
          <w:rStyle w:val="st"/>
          <w:lang w:val="en-GB"/>
        </w:rPr>
        <w:t xml:space="preserve"> </w:t>
      </w:r>
      <w:r w:rsidR="00B4785C" w:rsidRPr="00FF1087">
        <w:rPr>
          <w:rStyle w:val="st"/>
          <w:lang w:val="en-GB"/>
        </w:rPr>
        <w:t>It</w:t>
      </w:r>
      <w:r w:rsidRPr="00FF1087">
        <w:rPr>
          <w:rStyle w:val="st"/>
          <w:lang w:val="en-GB"/>
        </w:rPr>
        <w:t xml:space="preserve"> also claims the questionnaire</w:t>
      </w:r>
      <w:r w:rsidR="002F14E0" w:rsidRPr="00FF1087">
        <w:rPr>
          <w:rStyle w:val="st"/>
          <w:lang w:val="en-GB"/>
        </w:rPr>
        <w:t xml:space="preserve"> for project E151 shows</w:t>
      </w:r>
      <w:r w:rsidRPr="00FF1087">
        <w:rPr>
          <w:rStyle w:val="st"/>
          <w:lang w:val="en-GB"/>
        </w:rPr>
        <w:t xml:space="preserve"> the developer planned three project phases but information on the third phase is bla</w:t>
      </w:r>
      <w:r w:rsidR="0006121A" w:rsidRPr="00FF1087">
        <w:rPr>
          <w:rStyle w:val="st"/>
          <w:lang w:val="en-GB"/>
        </w:rPr>
        <w:t>n</w:t>
      </w:r>
      <w:r w:rsidRPr="00FF1087">
        <w:rPr>
          <w:rStyle w:val="st"/>
          <w:lang w:val="en-GB"/>
        </w:rPr>
        <w:t xml:space="preserve">ked out without evidence </w:t>
      </w:r>
      <w:r w:rsidR="00392450" w:rsidRPr="00FF1087">
        <w:rPr>
          <w:rStyle w:val="st"/>
          <w:lang w:val="en-GB"/>
        </w:rPr>
        <w:t xml:space="preserve">that </w:t>
      </w:r>
      <w:r w:rsidRPr="00FF1087">
        <w:rPr>
          <w:rStyle w:val="st"/>
          <w:lang w:val="en-GB"/>
        </w:rPr>
        <w:t xml:space="preserve">phase is not likely to affect the environment. </w:t>
      </w:r>
      <w:r w:rsidR="002F14E0" w:rsidRPr="00FF1087">
        <w:rPr>
          <w:rStyle w:val="st"/>
          <w:lang w:val="en-GB"/>
        </w:rPr>
        <w:t>Moreover,</w:t>
      </w:r>
      <w:r w:rsidRPr="00FF1087">
        <w:rPr>
          <w:rStyle w:val="st"/>
          <w:lang w:val="en-GB"/>
        </w:rPr>
        <w:t xml:space="preserve"> from the </w:t>
      </w:r>
      <w:r w:rsidRPr="00FF1087">
        <w:rPr>
          <w:rStyle w:val="st"/>
          <w:lang w:val="en-GB"/>
        </w:rPr>
        <w:lastRenderedPageBreak/>
        <w:t xml:space="preserve">Commission’s reply </w:t>
      </w:r>
      <w:r w:rsidR="00424901" w:rsidRPr="00FF1087">
        <w:rPr>
          <w:rStyle w:val="st"/>
          <w:lang w:val="en-GB"/>
        </w:rPr>
        <w:t xml:space="preserve">of 3 June 2014 </w:t>
      </w:r>
      <w:r w:rsidRPr="00FF1087">
        <w:rPr>
          <w:rStyle w:val="st"/>
          <w:lang w:val="en-GB"/>
        </w:rPr>
        <w:t xml:space="preserve">it is evident there were two questionnaires </w:t>
      </w:r>
      <w:r w:rsidR="00FE33D6" w:rsidRPr="00FF1087">
        <w:rPr>
          <w:rStyle w:val="st"/>
          <w:lang w:val="en-GB"/>
        </w:rPr>
        <w:t xml:space="preserve">completed </w:t>
      </w:r>
      <w:r w:rsidR="006855BF" w:rsidRPr="00FF1087">
        <w:rPr>
          <w:rStyle w:val="st"/>
          <w:lang w:val="en-GB"/>
        </w:rPr>
        <w:t>for</w:t>
      </w:r>
      <w:r w:rsidRPr="00FF1087">
        <w:rPr>
          <w:rStyle w:val="st"/>
          <w:lang w:val="en-GB"/>
        </w:rPr>
        <w:t xml:space="preserve"> </w:t>
      </w:r>
      <w:r w:rsidR="002F14E0" w:rsidRPr="00FF1087">
        <w:rPr>
          <w:rStyle w:val="st"/>
          <w:lang w:val="en-GB"/>
        </w:rPr>
        <w:t>p</w:t>
      </w:r>
      <w:r w:rsidRPr="00FF1087">
        <w:rPr>
          <w:rStyle w:val="st"/>
          <w:lang w:val="en-GB"/>
        </w:rPr>
        <w:t xml:space="preserve">roject E151, but the second </w:t>
      </w:r>
      <w:r w:rsidR="00326A67" w:rsidRPr="00FF1087">
        <w:rPr>
          <w:rStyle w:val="st"/>
          <w:lang w:val="en-GB"/>
        </w:rPr>
        <w:t xml:space="preserve">was </w:t>
      </w:r>
      <w:r w:rsidRPr="00FF1087">
        <w:rPr>
          <w:rStyle w:val="st"/>
          <w:lang w:val="en-GB"/>
        </w:rPr>
        <w:t>not provided.</w:t>
      </w:r>
      <w:r w:rsidRPr="00FF1087">
        <w:rPr>
          <w:rStyle w:val="FootnoteReference"/>
          <w:lang w:val="en-GB"/>
        </w:rPr>
        <w:footnoteReference w:id="53"/>
      </w:r>
    </w:p>
    <w:p w14:paraId="53700B0C" w14:textId="2CA539DE" w:rsidR="00BA09FB" w:rsidRPr="00FF1087" w:rsidRDefault="00BA09FB" w:rsidP="00BA09FB">
      <w:pPr>
        <w:pStyle w:val="SingleTxtG"/>
        <w:numPr>
          <w:ilvl w:val="0"/>
          <w:numId w:val="3"/>
        </w:numPr>
        <w:tabs>
          <w:tab w:val="left" w:pos="1843"/>
          <w:tab w:val="left" w:pos="6120"/>
        </w:tabs>
        <w:ind w:left="1134" w:right="0" w:firstLine="0"/>
        <w:rPr>
          <w:lang w:val="en-GB"/>
        </w:rPr>
      </w:pPr>
      <w:r w:rsidRPr="00FF1087">
        <w:rPr>
          <w:rStyle w:val="st"/>
          <w:lang w:val="en-GB"/>
        </w:rPr>
        <w:t xml:space="preserve">The communicant states the information </w:t>
      </w:r>
      <w:r w:rsidR="006856A3" w:rsidRPr="00FF1087">
        <w:rPr>
          <w:rStyle w:val="st"/>
          <w:lang w:val="en-GB"/>
        </w:rPr>
        <w:t xml:space="preserve">requested by Mr. Caulfield </w:t>
      </w:r>
      <w:r w:rsidRPr="00FF1087">
        <w:rPr>
          <w:rStyle w:val="st"/>
          <w:lang w:val="en-GB"/>
        </w:rPr>
        <w:t xml:space="preserve">does not fall under the </w:t>
      </w:r>
      <w:r w:rsidRPr="00FF1087">
        <w:rPr>
          <w:lang w:val="en-GB"/>
        </w:rPr>
        <w:t>requirement in annex III</w:t>
      </w:r>
      <w:r w:rsidR="002F14E0" w:rsidRPr="00FF1087">
        <w:rPr>
          <w:lang w:val="en-GB"/>
        </w:rPr>
        <w:t>.</w:t>
      </w:r>
      <w:r w:rsidRPr="00FF1087">
        <w:rPr>
          <w:lang w:val="en-GB"/>
        </w:rPr>
        <w:t xml:space="preserve">2(2) of the TEN-E Regulation to preserve the confidentiality of commercially sensitive information because the 2012 </w:t>
      </w:r>
      <w:r w:rsidR="002F14E0" w:rsidRPr="00FF1087">
        <w:rPr>
          <w:lang w:val="en-GB"/>
        </w:rPr>
        <w:t xml:space="preserve">consultation predated </w:t>
      </w:r>
      <w:r w:rsidRPr="00FF1087">
        <w:rPr>
          <w:lang w:val="en-GB"/>
        </w:rPr>
        <w:t>the Regulation’s adoption and this requirement moreover violates the Convention.</w:t>
      </w:r>
      <w:r w:rsidRPr="00FF1087">
        <w:rPr>
          <w:rStyle w:val="FootnoteReference"/>
          <w:lang w:val="en-GB"/>
        </w:rPr>
        <w:footnoteReference w:id="54"/>
      </w:r>
      <w:r w:rsidRPr="00FF1087">
        <w:rPr>
          <w:lang w:val="en-GB"/>
        </w:rPr>
        <w:t xml:space="preserve"> </w:t>
      </w:r>
    </w:p>
    <w:p w14:paraId="24FABCA2" w14:textId="35009701" w:rsidR="00231D43" w:rsidRPr="00FF1087" w:rsidRDefault="00231D43" w:rsidP="00D92CDC">
      <w:pPr>
        <w:pStyle w:val="SingleTxtG"/>
        <w:numPr>
          <w:ilvl w:val="0"/>
          <w:numId w:val="3"/>
        </w:numPr>
        <w:tabs>
          <w:tab w:val="left" w:pos="1843"/>
          <w:tab w:val="left" w:pos="6120"/>
        </w:tabs>
        <w:ind w:left="1134" w:right="0" w:firstLine="0"/>
        <w:rPr>
          <w:lang w:val="en-GB"/>
        </w:rPr>
      </w:pPr>
      <w:r w:rsidRPr="00FF1087">
        <w:rPr>
          <w:lang w:val="en-GB"/>
        </w:rPr>
        <w:t>Regarding the Convention’s exemption for commercially sensitive info</w:t>
      </w:r>
      <w:r w:rsidR="008A4101" w:rsidRPr="00FF1087">
        <w:rPr>
          <w:lang w:val="en-GB"/>
        </w:rPr>
        <w:t>rm</w:t>
      </w:r>
      <w:r w:rsidRPr="00FF1087">
        <w:rPr>
          <w:lang w:val="en-GB"/>
        </w:rPr>
        <w:t>a</w:t>
      </w:r>
      <w:r w:rsidR="008A4101" w:rsidRPr="00FF1087">
        <w:rPr>
          <w:lang w:val="en-GB"/>
        </w:rPr>
        <w:t>ti</w:t>
      </w:r>
      <w:r w:rsidRPr="00FF1087">
        <w:rPr>
          <w:lang w:val="en-GB"/>
        </w:rPr>
        <w:t>on, the communicant cites the Committee’s findings on communication ACCC/C/2007/21</w:t>
      </w:r>
      <w:r w:rsidR="000D16F1" w:rsidRPr="00FF1087">
        <w:rPr>
          <w:lang w:val="en-GB"/>
        </w:rPr>
        <w:t xml:space="preserve"> (European </w:t>
      </w:r>
      <w:proofErr w:type="gramStart"/>
      <w:r w:rsidR="000D16F1" w:rsidRPr="00FF1087">
        <w:rPr>
          <w:lang w:val="en-GB"/>
        </w:rPr>
        <w:t>Community)</w:t>
      </w:r>
      <w:r w:rsidRPr="00FF1087">
        <w:rPr>
          <w:lang w:val="en-GB"/>
        </w:rPr>
        <w:t xml:space="preserve"> </w:t>
      </w:r>
      <w:r w:rsidR="003F45B9" w:rsidRPr="00FF1087">
        <w:rPr>
          <w:lang w:val="en-GB"/>
        </w:rPr>
        <w:t xml:space="preserve"> that</w:t>
      </w:r>
      <w:proofErr w:type="gramEnd"/>
      <w:r w:rsidR="003F45B9" w:rsidRPr="00FF1087">
        <w:rPr>
          <w:lang w:val="en-GB"/>
        </w:rPr>
        <w:t xml:space="preserve"> the exemption does not mean that </w:t>
      </w:r>
      <w:r w:rsidRPr="00FF1087">
        <w:rPr>
          <w:lang w:val="en-GB"/>
        </w:rPr>
        <w:t xml:space="preserve">public authorities are only required to release environmental information where no harm to the interests concerned is identified. </w:t>
      </w:r>
      <w:r w:rsidR="000D16F1" w:rsidRPr="00FF1087">
        <w:rPr>
          <w:lang w:val="en-GB"/>
        </w:rPr>
        <w:t>Rather</w:t>
      </w:r>
      <w:r w:rsidRPr="00FF1087">
        <w:rPr>
          <w:lang w:val="en-GB"/>
        </w:rPr>
        <w:t>,</w:t>
      </w:r>
      <w:r w:rsidR="000D16F1" w:rsidRPr="00FF1087">
        <w:rPr>
          <w:lang w:val="en-GB"/>
        </w:rPr>
        <w:t xml:space="preserve"> </w:t>
      </w:r>
      <w:r w:rsidRPr="00FF1087">
        <w:rPr>
          <w:lang w:val="en-GB"/>
        </w:rPr>
        <w:t>where there is a significant public interest in disclosure and a relatively small amount of harm to the interests involved, the Convention require</w:t>
      </w:r>
      <w:r w:rsidR="000D16F1" w:rsidRPr="00FF1087">
        <w:rPr>
          <w:lang w:val="en-GB"/>
        </w:rPr>
        <w:t>s</w:t>
      </w:r>
      <w:r w:rsidRPr="00FF1087">
        <w:rPr>
          <w:lang w:val="en-GB"/>
        </w:rPr>
        <w:t xml:space="preserve"> disclosure</w:t>
      </w:r>
      <w:r w:rsidR="00F47E8D" w:rsidRPr="00FF1087">
        <w:rPr>
          <w:lang w:val="en-GB"/>
        </w:rPr>
        <w:t>.</w:t>
      </w:r>
      <w:r w:rsidRPr="00FF1087">
        <w:rPr>
          <w:rStyle w:val="FootnoteReference"/>
          <w:lang w:val="en-GB"/>
        </w:rPr>
        <w:footnoteReference w:id="55"/>
      </w:r>
    </w:p>
    <w:p w14:paraId="519F6A81" w14:textId="34F906F9" w:rsidR="00E25011" w:rsidRPr="00FF1087" w:rsidRDefault="00F47E8D" w:rsidP="00DD70F0">
      <w:pPr>
        <w:pStyle w:val="SingleTxtG"/>
        <w:numPr>
          <w:ilvl w:val="0"/>
          <w:numId w:val="3"/>
        </w:numPr>
        <w:tabs>
          <w:tab w:val="left" w:pos="1843"/>
          <w:tab w:val="left" w:pos="6120"/>
        </w:tabs>
        <w:ind w:left="1134" w:right="0" w:firstLine="0"/>
        <w:rPr>
          <w:lang w:val="en-GB"/>
        </w:rPr>
      </w:pPr>
      <w:r w:rsidRPr="00FF1087">
        <w:rPr>
          <w:lang w:val="en-GB"/>
        </w:rPr>
        <w:t>The communicant claims that</w:t>
      </w:r>
      <w:r w:rsidR="00D349D3" w:rsidRPr="00FF1087">
        <w:rPr>
          <w:lang w:val="en-GB"/>
        </w:rPr>
        <w:t xml:space="preserve"> </w:t>
      </w:r>
      <w:r w:rsidRPr="00FF1087">
        <w:rPr>
          <w:lang w:val="en-GB"/>
        </w:rPr>
        <w:t xml:space="preserve">the public was </w:t>
      </w:r>
      <w:r w:rsidR="00E25011" w:rsidRPr="00FF1087">
        <w:rPr>
          <w:lang w:val="en-GB"/>
        </w:rPr>
        <w:t>denied access to “the project cost, the cost per unit power and the energy storage cost”</w:t>
      </w:r>
      <w:r w:rsidR="00FE33D6" w:rsidRPr="00FF1087">
        <w:rPr>
          <w:lang w:val="en-GB"/>
        </w:rPr>
        <w:t xml:space="preserve"> of Ireland’s Natural Hydro Energy Scheme</w:t>
      </w:r>
      <w:r w:rsidR="00E25011" w:rsidRPr="00FF1087">
        <w:rPr>
          <w:lang w:val="en-GB"/>
        </w:rPr>
        <w:t xml:space="preserve">, despite the </w:t>
      </w:r>
      <w:r w:rsidR="00FE33D6" w:rsidRPr="00FF1087">
        <w:rPr>
          <w:lang w:val="en-GB"/>
        </w:rPr>
        <w:t xml:space="preserve">Convention’s </w:t>
      </w:r>
      <w:r w:rsidR="00E25011" w:rsidRPr="00FF1087">
        <w:rPr>
          <w:lang w:val="en-GB"/>
        </w:rPr>
        <w:t>definition of environmental information clearly including information on “cost-benefit and other economic analyses and assumptions”.</w:t>
      </w:r>
      <w:r w:rsidR="00E25011" w:rsidRPr="00FF1087">
        <w:rPr>
          <w:rStyle w:val="FootnoteReference"/>
          <w:lang w:val="en-GB"/>
        </w:rPr>
        <w:footnoteReference w:id="56"/>
      </w:r>
    </w:p>
    <w:p w14:paraId="39008BB6" w14:textId="278586E5" w:rsidR="000A255F" w:rsidRPr="00FF1087" w:rsidRDefault="00B5244D"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communicant</w:t>
      </w:r>
      <w:r w:rsidR="00265742" w:rsidRPr="00FF1087">
        <w:rPr>
          <w:rStyle w:val="st"/>
          <w:lang w:val="en-GB"/>
        </w:rPr>
        <w:t xml:space="preserve"> </w:t>
      </w:r>
      <w:r w:rsidR="00260D37">
        <w:rPr>
          <w:rStyle w:val="st"/>
          <w:lang w:val="en-GB"/>
        </w:rPr>
        <w:t>submits</w:t>
      </w:r>
      <w:r w:rsidRPr="00FF1087">
        <w:rPr>
          <w:rStyle w:val="st"/>
          <w:lang w:val="en-GB"/>
        </w:rPr>
        <w:t xml:space="preserve"> that</w:t>
      </w:r>
      <w:r w:rsidR="00424901" w:rsidRPr="00FF1087">
        <w:rPr>
          <w:rStyle w:val="st"/>
          <w:lang w:val="en-GB"/>
        </w:rPr>
        <w:t xml:space="preserve"> </w:t>
      </w:r>
      <w:r w:rsidR="0051700E" w:rsidRPr="00FF1087">
        <w:rPr>
          <w:rStyle w:val="st"/>
          <w:lang w:val="en-GB"/>
        </w:rPr>
        <w:t>the Party concern</w:t>
      </w:r>
      <w:r w:rsidRPr="00FF1087">
        <w:rPr>
          <w:rStyle w:val="st"/>
          <w:lang w:val="en-GB"/>
        </w:rPr>
        <w:t>ed</w:t>
      </w:r>
      <w:r w:rsidR="00326A67" w:rsidRPr="00FF1087">
        <w:rPr>
          <w:rStyle w:val="st"/>
          <w:lang w:val="en-GB"/>
        </w:rPr>
        <w:t xml:space="preserve"> </w:t>
      </w:r>
      <w:r w:rsidRPr="00FF1087">
        <w:rPr>
          <w:rStyle w:val="st"/>
          <w:lang w:val="en-GB"/>
        </w:rPr>
        <w:t xml:space="preserve">failed to comply with </w:t>
      </w:r>
      <w:r w:rsidR="000A255F" w:rsidRPr="00FF1087">
        <w:rPr>
          <w:rStyle w:val="st"/>
          <w:lang w:val="en-GB"/>
        </w:rPr>
        <w:t>article 4</w:t>
      </w:r>
      <w:r w:rsidR="00392450" w:rsidRPr="00FF1087">
        <w:rPr>
          <w:rStyle w:val="st"/>
          <w:lang w:val="en-GB"/>
        </w:rPr>
        <w:t>(</w:t>
      </w:r>
      <w:r w:rsidR="00061D41" w:rsidRPr="00FF1087">
        <w:rPr>
          <w:rStyle w:val="st"/>
          <w:lang w:val="en-GB"/>
        </w:rPr>
        <w:t>4</w:t>
      </w:r>
      <w:r w:rsidR="00392450" w:rsidRPr="00FF1087">
        <w:rPr>
          <w:rStyle w:val="st"/>
          <w:lang w:val="en-GB"/>
        </w:rPr>
        <w:t>)</w:t>
      </w:r>
      <w:r w:rsidR="000A255F" w:rsidRPr="00FF1087">
        <w:rPr>
          <w:rStyle w:val="st"/>
          <w:lang w:val="en-GB"/>
        </w:rPr>
        <w:t xml:space="preserve">(f) </w:t>
      </w:r>
      <w:r w:rsidRPr="00FF1087">
        <w:rPr>
          <w:rStyle w:val="st"/>
          <w:lang w:val="en-GB"/>
        </w:rPr>
        <w:t>of the Convention</w:t>
      </w:r>
      <w:r w:rsidR="00424901" w:rsidRPr="00FF1087">
        <w:rPr>
          <w:rStyle w:val="st"/>
          <w:lang w:val="en-GB"/>
        </w:rPr>
        <w:t xml:space="preserve"> in handling </w:t>
      </w:r>
      <w:r w:rsidR="00260D37">
        <w:rPr>
          <w:rStyle w:val="st"/>
          <w:lang w:val="en-GB"/>
        </w:rPr>
        <w:t xml:space="preserve">Mr. Caulfield’s </w:t>
      </w:r>
      <w:r w:rsidR="00424901" w:rsidRPr="00FF1087">
        <w:rPr>
          <w:rStyle w:val="st"/>
          <w:lang w:val="en-GB"/>
        </w:rPr>
        <w:t>request</w:t>
      </w:r>
      <w:r w:rsidR="008376E4" w:rsidRPr="00FF1087">
        <w:rPr>
          <w:rStyle w:val="st"/>
          <w:lang w:val="en-GB"/>
        </w:rPr>
        <w:t xml:space="preserve"> in that the</w:t>
      </w:r>
      <w:r w:rsidR="00326A67" w:rsidRPr="00FF1087">
        <w:rPr>
          <w:rStyle w:val="st"/>
          <w:lang w:val="en-GB"/>
        </w:rPr>
        <w:t xml:space="preserve"> Commission </w:t>
      </w:r>
      <w:r w:rsidR="00067AC2" w:rsidRPr="00FF1087">
        <w:rPr>
          <w:rStyle w:val="st"/>
          <w:lang w:val="en-GB"/>
        </w:rPr>
        <w:t>state</w:t>
      </w:r>
      <w:r w:rsidR="008376E4" w:rsidRPr="00FF1087">
        <w:rPr>
          <w:rStyle w:val="st"/>
          <w:lang w:val="en-GB"/>
        </w:rPr>
        <w:t>d</w:t>
      </w:r>
      <w:r w:rsidR="00067AC2" w:rsidRPr="00FF1087">
        <w:rPr>
          <w:rStyle w:val="st"/>
          <w:lang w:val="en-GB"/>
        </w:rPr>
        <w:t xml:space="preserve"> it</w:t>
      </w:r>
      <w:r w:rsidR="000A255F" w:rsidRPr="00FF1087">
        <w:rPr>
          <w:rStyle w:val="st"/>
          <w:lang w:val="en-GB"/>
        </w:rPr>
        <w:t xml:space="preserve"> </w:t>
      </w:r>
      <w:r w:rsidR="00861DAE" w:rsidRPr="00FF1087">
        <w:rPr>
          <w:rStyle w:val="st"/>
          <w:lang w:val="en-GB"/>
        </w:rPr>
        <w:t>“</w:t>
      </w:r>
      <w:r w:rsidR="000A255F" w:rsidRPr="00FF1087">
        <w:rPr>
          <w:rStyle w:val="st"/>
          <w:lang w:val="en-GB"/>
        </w:rPr>
        <w:t>maintains its view that personal names, e-mail addresses and telephone numbers redacted from the questionnaires constitute</w:t>
      </w:r>
      <w:r w:rsidR="00061D41" w:rsidRPr="00FF1087">
        <w:rPr>
          <w:rStyle w:val="st"/>
          <w:lang w:val="en-GB"/>
        </w:rPr>
        <w:t xml:space="preserve"> personal data in the sense of a</w:t>
      </w:r>
      <w:r w:rsidR="000A255F" w:rsidRPr="00FF1087">
        <w:rPr>
          <w:rStyle w:val="st"/>
          <w:lang w:val="en-GB"/>
        </w:rPr>
        <w:t>rt</w:t>
      </w:r>
      <w:r w:rsidR="00861DAE" w:rsidRPr="00FF1087">
        <w:rPr>
          <w:rStyle w:val="st"/>
          <w:lang w:val="en-GB"/>
        </w:rPr>
        <w:t>icle 2(a)</w:t>
      </w:r>
      <w:r w:rsidR="00061D41" w:rsidRPr="00FF1087">
        <w:rPr>
          <w:rStyle w:val="st"/>
          <w:lang w:val="en-GB"/>
        </w:rPr>
        <w:t>,</w:t>
      </w:r>
      <w:r w:rsidR="00861DAE" w:rsidRPr="00FF1087">
        <w:rPr>
          <w:rStyle w:val="st"/>
          <w:lang w:val="en-GB"/>
        </w:rPr>
        <w:t xml:space="preserve"> of Regulation 45/2001”</w:t>
      </w:r>
      <w:r w:rsidR="00265742" w:rsidRPr="00FF1087">
        <w:rPr>
          <w:rStyle w:val="st"/>
          <w:lang w:val="en-GB"/>
        </w:rPr>
        <w:t>.</w:t>
      </w:r>
      <w:r w:rsidR="000A255F" w:rsidRPr="00FF1087">
        <w:rPr>
          <w:rStyle w:val="st"/>
          <w:lang w:val="en-GB"/>
        </w:rPr>
        <w:t xml:space="preserve"> </w:t>
      </w:r>
      <w:r w:rsidR="006856A3" w:rsidRPr="00FF1087">
        <w:rPr>
          <w:rStyle w:val="st"/>
          <w:lang w:val="en-GB"/>
        </w:rPr>
        <w:t xml:space="preserve">The communicant </w:t>
      </w:r>
      <w:r w:rsidR="00424901" w:rsidRPr="00FF1087">
        <w:rPr>
          <w:rStyle w:val="st"/>
          <w:lang w:val="en-GB"/>
        </w:rPr>
        <w:t>refers to</w:t>
      </w:r>
      <w:r w:rsidR="00861DAE" w:rsidRPr="00FF1087">
        <w:rPr>
          <w:rStyle w:val="st"/>
          <w:lang w:val="en-GB"/>
        </w:rPr>
        <w:t xml:space="preserve"> </w:t>
      </w:r>
      <w:r w:rsidR="007D18EC" w:rsidRPr="00FF1087">
        <w:rPr>
          <w:rStyle w:val="st"/>
          <w:i/>
          <w:iCs/>
          <w:lang w:val="en-GB"/>
        </w:rPr>
        <w:t xml:space="preserve">The </w:t>
      </w:r>
      <w:r w:rsidR="000A255F" w:rsidRPr="00FF1087">
        <w:rPr>
          <w:rStyle w:val="st"/>
          <w:i/>
          <w:iCs/>
          <w:lang w:val="en-GB"/>
        </w:rPr>
        <w:t>Aarhus Convention</w:t>
      </w:r>
      <w:r w:rsidR="007D18EC" w:rsidRPr="00FF1087">
        <w:rPr>
          <w:rStyle w:val="st"/>
          <w:i/>
          <w:iCs/>
          <w:lang w:val="en-GB"/>
        </w:rPr>
        <w:t xml:space="preserve">: An </w:t>
      </w:r>
      <w:r w:rsidR="000A255F" w:rsidRPr="00FF1087">
        <w:rPr>
          <w:rStyle w:val="st"/>
          <w:i/>
          <w:iCs/>
          <w:lang w:val="en-GB"/>
        </w:rPr>
        <w:t>Implementation Guide</w:t>
      </w:r>
      <w:r w:rsidR="000A255F" w:rsidRPr="00FF1087">
        <w:rPr>
          <w:rStyle w:val="st"/>
          <w:lang w:val="en-GB"/>
        </w:rPr>
        <w:t xml:space="preserve"> </w:t>
      </w:r>
      <w:r w:rsidR="002238C9" w:rsidRPr="00FF1087">
        <w:rPr>
          <w:rStyle w:val="st"/>
          <w:lang w:val="en-GB"/>
        </w:rPr>
        <w:t>to claim</w:t>
      </w:r>
      <w:r w:rsidR="00424901" w:rsidRPr="00FF1087">
        <w:rPr>
          <w:rStyle w:val="st"/>
          <w:lang w:val="en-GB"/>
        </w:rPr>
        <w:t xml:space="preserve"> </w:t>
      </w:r>
      <w:r w:rsidR="00861DAE" w:rsidRPr="00FF1087">
        <w:rPr>
          <w:rStyle w:val="st"/>
          <w:lang w:val="en-GB"/>
        </w:rPr>
        <w:t xml:space="preserve">the </w:t>
      </w:r>
      <w:r w:rsidR="000A255F" w:rsidRPr="00FF1087">
        <w:rPr>
          <w:rStyle w:val="st"/>
          <w:lang w:val="en-GB"/>
        </w:rPr>
        <w:t>exception under article 4</w:t>
      </w:r>
      <w:r w:rsidR="00073C34" w:rsidRPr="00FF1087">
        <w:rPr>
          <w:rStyle w:val="st"/>
          <w:lang w:val="en-GB"/>
        </w:rPr>
        <w:t>(</w:t>
      </w:r>
      <w:r w:rsidR="000A255F" w:rsidRPr="00FF1087">
        <w:rPr>
          <w:rStyle w:val="st"/>
          <w:lang w:val="en-GB"/>
        </w:rPr>
        <w:t>4</w:t>
      </w:r>
      <w:r w:rsidR="00073C34" w:rsidRPr="00FF1087">
        <w:rPr>
          <w:rStyle w:val="st"/>
          <w:lang w:val="en-GB"/>
        </w:rPr>
        <w:t>)</w:t>
      </w:r>
      <w:r w:rsidR="000A255F" w:rsidRPr="00FF1087">
        <w:rPr>
          <w:rStyle w:val="st"/>
          <w:lang w:val="en-GB"/>
        </w:rPr>
        <w:t>(f) doe</w:t>
      </w:r>
      <w:r w:rsidR="00326A67" w:rsidRPr="00FF1087">
        <w:rPr>
          <w:rStyle w:val="st"/>
          <w:lang w:val="en-GB"/>
        </w:rPr>
        <w:t>s</w:t>
      </w:r>
      <w:r w:rsidR="000A255F" w:rsidRPr="00FF1087">
        <w:rPr>
          <w:rStyle w:val="st"/>
          <w:lang w:val="en-GB"/>
        </w:rPr>
        <w:t xml:space="preserve"> not apply to legal persons, such as companies or organizations</w:t>
      </w:r>
      <w:r w:rsidR="00221C18" w:rsidRPr="00FF1087">
        <w:rPr>
          <w:rStyle w:val="st"/>
          <w:lang w:val="en-GB"/>
        </w:rPr>
        <w:t>,</w:t>
      </w:r>
      <w:r w:rsidR="000A255F" w:rsidRPr="00FF1087">
        <w:rPr>
          <w:rStyle w:val="st"/>
          <w:lang w:val="en-GB"/>
        </w:rPr>
        <w:t xml:space="preserve"> but is meant to protect documents such as employee records, salary history and health records</w:t>
      </w:r>
      <w:r w:rsidR="00067AC2" w:rsidRPr="00FF1087">
        <w:rPr>
          <w:rStyle w:val="st"/>
          <w:lang w:val="en-GB"/>
        </w:rPr>
        <w:t xml:space="preserve"> and therefore </w:t>
      </w:r>
      <w:r w:rsidR="00C654C7" w:rsidRPr="00FF1087">
        <w:rPr>
          <w:rStyle w:val="st"/>
          <w:lang w:val="en-GB"/>
        </w:rPr>
        <w:t>was</w:t>
      </w:r>
      <w:r w:rsidR="00067AC2" w:rsidRPr="00FF1087">
        <w:rPr>
          <w:rStyle w:val="st"/>
          <w:lang w:val="en-GB"/>
        </w:rPr>
        <w:t xml:space="preserve"> </w:t>
      </w:r>
      <w:r w:rsidR="006856A3" w:rsidRPr="00FF1087">
        <w:rPr>
          <w:rStyle w:val="st"/>
          <w:lang w:val="en-GB"/>
        </w:rPr>
        <w:t xml:space="preserve">not </w:t>
      </w:r>
      <w:r w:rsidR="00C654C7" w:rsidRPr="00FF1087">
        <w:rPr>
          <w:rStyle w:val="st"/>
          <w:lang w:val="en-GB"/>
        </w:rPr>
        <w:t>applicable</w:t>
      </w:r>
      <w:r w:rsidR="000A255F" w:rsidRPr="00FF1087">
        <w:rPr>
          <w:rStyle w:val="st"/>
          <w:lang w:val="en-GB"/>
        </w:rPr>
        <w:t>.</w:t>
      </w:r>
      <w:r w:rsidR="000A255F" w:rsidRPr="00FF1087">
        <w:rPr>
          <w:rStyle w:val="FootnoteReference"/>
          <w:lang w:val="en-GB"/>
        </w:rPr>
        <w:footnoteReference w:id="57"/>
      </w:r>
    </w:p>
    <w:p w14:paraId="49067EB6" w14:textId="1BBD7ED8" w:rsidR="00A464F0" w:rsidRPr="00FF1087" w:rsidRDefault="003F2F5F" w:rsidP="00DE1069">
      <w:pPr>
        <w:pStyle w:val="SingleTxtG"/>
        <w:numPr>
          <w:ilvl w:val="0"/>
          <w:numId w:val="3"/>
        </w:numPr>
        <w:tabs>
          <w:tab w:val="left" w:pos="1843"/>
          <w:tab w:val="left" w:pos="6120"/>
        </w:tabs>
        <w:ind w:left="1134" w:right="0" w:firstLine="0"/>
        <w:rPr>
          <w:rStyle w:val="st"/>
          <w:lang w:val="en-GB"/>
        </w:rPr>
      </w:pPr>
      <w:r w:rsidRPr="00FF1087">
        <w:rPr>
          <w:rStyle w:val="st"/>
          <w:lang w:val="en-GB"/>
        </w:rPr>
        <w:t>T</w:t>
      </w:r>
      <w:r w:rsidR="00A464F0" w:rsidRPr="00FF1087">
        <w:rPr>
          <w:rStyle w:val="st"/>
          <w:lang w:val="en-GB"/>
        </w:rPr>
        <w:t>he communicant claims</w:t>
      </w:r>
      <w:r w:rsidR="007D027B" w:rsidRPr="00FF1087">
        <w:rPr>
          <w:rStyle w:val="st"/>
          <w:lang w:val="en-GB"/>
        </w:rPr>
        <w:t xml:space="preserve"> </w:t>
      </w:r>
      <w:r w:rsidR="00A464F0" w:rsidRPr="00FF1087">
        <w:rPr>
          <w:rStyle w:val="st"/>
          <w:lang w:val="en-GB"/>
        </w:rPr>
        <w:t xml:space="preserve">the information </w:t>
      </w:r>
      <w:r w:rsidR="006856A3" w:rsidRPr="00FF1087">
        <w:rPr>
          <w:rStyle w:val="st"/>
          <w:lang w:val="en-GB"/>
        </w:rPr>
        <w:t xml:space="preserve">requested by Mr. Caulfield </w:t>
      </w:r>
      <w:r w:rsidR="0036598E" w:rsidRPr="00FF1087">
        <w:rPr>
          <w:rStyle w:val="st"/>
          <w:lang w:val="en-GB"/>
        </w:rPr>
        <w:t xml:space="preserve">was </w:t>
      </w:r>
      <w:r w:rsidR="00A464F0" w:rsidRPr="00FF1087">
        <w:rPr>
          <w:rStyle w:val="st"/>
          <w:lang w:val="en-GB"/>
        </w:rPr>
        <w:t xml:space="preserve">“facts and analyses of facts which </w:t>
      </w:r>
      <w:r w:rsidR="00221C18" w:rsidRPr="00FF1087">
        <w:rPr>
          <w:rStyle w:val="st"/>
          <w:lang w:val="en-GB"/>
        </w:rPr>
        <w:t xml:space="preserve">[the Party concerned] </w:t>
      </w:r>
      <w:r w:rsidR="00A464F0" w:rsidRPr="00FF1087">
        <w:rPr>
          <w:rStyle w:val="st"/>
          <w:lang w:val="en-GB"/>
        </w:rPr>
        <w:t>considers relevant and important in framing major environmental policy proposals” for the purpose of article 5</w:t>
      </w:r>
      <w:r w:rsidR="00221C18" w:rsidRPr="00FF1087">
        <w:rPr>
          <w:rStyle w:val="st"/>
          <w:lang w:val="en-GB"/>
        </w:rPr>
        <w:t>(</w:t>
      </w:r>
      <w:r w:rsidR="00A464F0" w:rsidRPr="00FF1087">
        <w:rPr>
          <w:rStyle w:val="st"/>
          <w:lang w:val="en-GB"/>
        </w:rPr>
        <w:t>7</w:t>
      </w:r>
      <w:r w:rsidR="00221C18" w:rsidRPr="00FF1087">
        <w:rPr>
          <w:rStyle w:val="st"/>
          <w:lang w:val="en-GB"/>
        </w:rPr>
        <w:t>)</w:t>
      </w:r>
      <w:r w:rsidR="00A464F0" w:rsidRPr="00FF1087">
        <w:rPr>
          <w:rStyle w:val="st"/>
          <w:lang w:val="en-GB"/>
        </w:rPr>
        <w:t xml:space="preserve">(a) of the Convention </w:t>
      </w:r>
      <w:r w:rsidR="00DE1069" w:rsidRPr="00FF1087">
        <w:rPr>
          <w:rStyle w:val="st"/>
          <w:lang w:val="en-GB"/>
        </w:rPr>
        <w:t xml:space="preserve">and accordingly </w:t>
      </w:r>
      <w:r w:rsidR="00326A67" w:rsidRPr="00FF1087">
        <w:rPr>
          <w:rStyle w:val="st"/>
          <w:lang w:val="en-GB"/>
        </w:rPr>
        <w:t xml:space="preserve">could not </w:t>
      </w:r>
      <w:r w:rsidR="00A464F0" w:rsidRPr="00FF1087">
        <w:rPr>
          <w:rStyle w:val="st"/>
          <w:lang w:val="en-GB"/>
        </w:rPr>
        <w:t>be withheld.</w:t>
      </w:r>
      <w:r w:rsidR="00A464F0" w:rsidRPr="00FF1087">
        <w:rPr>
          <w:rStyle w:val="FootnoteReference"/>
          <w:lang w:val="en-GB"/>
        </w:rPr>
        <w:footnoteReference w:id="58"/>
      </w:r>
    </w:p>
    <w:p w14:paraId="1937F1CC" w14:textId="0DBC2318" w:rsidR="00102FE7" w:rsidRPr="00FF1087" w:rsidRDefault="0036598E"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w:t>
      </w:r>
      <w:r w:rsidR="002C03E3" w:rsidRPr="00FF1087">
        <w:rPr>
          <w:rStyle w:val="st"/>
          <w:lang w:val="en-GB"/>
        </w:rPr>
        <w:t xml:space="preserve">he communicant alleges the Commission failed to justify that no overriding </w:t>
      </w:r>
      <w:r w:rsidR="00A82900" w:rsidRPr="00FF1087">
        <w:rPr>
          <w:rStyle w:val="st"/>
          <w:lang w:val="en-GB"/>
        </w:rPr>
        <w:t>public</w:t>
      </w:r>
      <w:r w:rsidR="00102FE7" w:rsidRPr="00FF1087">
        <w:rPr>
          <w:rStyle w:val="st"/>
          <w:lang w:val="en-GB"/>
        </w:rPr>
        <w:t xml:space="preserve"> interest existed and failed to provide information on available review procedures</w:t>
      </w:r>
      <w:r w:rsidRPr="00FF1087">
        <w:rPr>
          <w:rStyle w:val="st"/>
          <w:lang w:val="en-GB"/>
        </w:rPr>
        <w:t xml:space="preserve"> in its response to </w:t>
      </w:r>
      <w:r w:rsidR="006856A3" w:rsidRPr="00FF1087">
        <w:rPr>
          <w:rStyle w:val="st"/>
          <w:lang w:val="en-GB"/>
        </w:rPr>
        <w:t xml:space="preserve">Mr. Caulfield’s </w:t>
      </w:r>
      <w:r w:rsidRPr="00FF1087">
        <w:rPr>
          <w:rStyle w:val="st"/>
          <w:lang w:val="en-GB"/>
        </w:rPr>
        <w:t xml:space="preserve">confirmatory application (see para. </w:t>
      </w:r>
      <w:r w:rsidRPr="00FF1087">
        <w:rPr>
          <w:rStyle w:val="st"/>
          <w:lang w:val="en-GB"/>
        </w:rPr>
        <w:fldChar w:fldCharType="begin"/>
      </w:r>
      <w:r w:rsidRPr="00FF1087">
        <w:rPr>
          <w:rStyle w:val="st"/>
          <w:lang w:val="en-GB"/>
        </w:rPr>
        <w:instrText xml:space="preserve"> REF _Ref465173683 \r \h </w:instrText>
      </w:r>
      <w:r w:rsidR="00DB1094" w:rsidRPr="00FF1087">
        <w:rPr>
          <w:rStyle w:val="st"/>
          <w:lang w:val="en-GB"/>
        </w:rPr>
        <w:instrText xml:space="preserve"> \* MERGEFORMAT </w:instrText>
      </w:r>
      <w:r w:rsidRPr="00FF1087">
        <w:rPr>
          <w:rStyle w:val="st"/>
          <w:lang w:val="en-GB"/>
        </w:rPr>
      </w:r>
      <w:r w:rsidRPr="00FF1087">
        <w:rPr>
          <w:rStyle w:val="st"/>
          <w:lang w:val="en-GB"/>
        </w:rPr>
        <w:fldChar w:fldCharType="separate"/>
      </w:r>
      <w:r w:rsidR="00B713E0">
        <w:rPr>
          <w:rStyle w:val="st"/>
          <w:cs/>
          <w:lang w:val="en-GB"/>
        </w:rPr>
        <w:t>‎</w:t>
      </w:r>
      <w:r w:rsidR="00B713E0">
        <w:rPr>
          <w:rStyle w:val="st"/>
          <w:lang w:val="en-GB"/>
        </w:rPr>
        <w:t>34</w:t>
      </w:r>
      <w:r w:rsidRPr="00FF1087">
        <w:rPr>
          <w:rStyle w:val="st"/>
          <w:lang w:val="en-GB"/>
        </w:rPr>
        <w:fldChar w:fldCharType="end"/>
      </w:r>
      <w:r w:rsidRPr="00FF1087">
        <w:rPr>
          <w:rStyle w:val="st"/>
          <w:lang w:val="en-GB"/>
        </w:rPr>
        <w:t xml:space="preserve"> above)</w:t>
      </w:r>
      <w:r w:rsidR="00A82900" w:rsidRPr="00FF1087">
        <w:rPr>
          <w:rStyle w:val="st"/>
          <w:lang w:val="en-GB"/>
        </w:rPr>
        <w:t>.</w:t>
      </w:r>
      <w:r w:rsidR="00102FE7" w:rsidRPr="00FF1087">
        <w:rPr>
          <w:rStyle w:val="FootnoteReference"/>
          <w:lang w:val="en-GB"/>
        </w:rPr>
        <w:footnoteReference w:id="59"/>
      </w:r>
      <w:r w:rsidR="00102FE7" w:rsidRPr="00FF1087">
        <w:rPr>
          <w:rStyle w:val="st"/>
          <w:lang w:val="en-GB"/>
        </w:rPr>
        <w:t xml:space="preserve"> </w:t>
      </w:r>
    </w:p>
    <w:p w14:paraId="1243E53F" w14:textId="0A11DD6E" w:rsidR="00A15903" w:rsidRPr="00FF1087" w:rsidRDefault="0036598E" w:rsidP="001C3D04">
      <w:pPr>
        <w:pStyle w:val="SingleTxtG"/>
        <w:numPr>
          <w:ilvl w:val="0"/>
          <w:numId w:val="3"/>
        </w:numPr>
        <w:tabs>
          <w:tab w:val="left" w:pos="1843"/>
          <w:tab w:val="left" w:pos="6120"/>
        </w:tabs>
        <w:ind w:left="1134" w:right="0" w:firstLine="0"/>
        <w:rPr>
          <w:rStyle w:val="st"/>
          <w:lang w:val="en-GB"/>
        </w:rPr>
      </w:pPr>
      <w:bookmarkStart w:id="22" w:name="_Ref465425106"/>
      <w:r w:rsidRPr="00FF1087">
        <w:rPr>
          <w:rStyle w:val="st"/>
          <w:lang w:val="en-GB"/>
        </w:rPr>
        <w:t xml:space="preserve">The </w:t>
      </w:r>
      <w:r w:rsidR="002C03E3" w:rsidRPr="00FF1087">
        <w:rPr>
          <w:rStyle w:val="st"/>
          <w:lang w:val="en-GB"/>
        </w:rPr>
        <w:t xml:space="preserve">communicant </w:t>
      </w:r>
      <w:r w:rsidR="0095649F" w:rsidRPr="00FF1087">
        <w:rPr>
          <w:rStyle w:val="st"/>
          <w:lang w:val="en-GB"/>
        </w:rPr>
        <w:t>assert</w:t>
      </w:r>
      <w:r w:rsidR="002C03E3" w:rsidRPr="00FF1087">
        <w:rPr>
          <w:rStyle w:val="st"/>
          <w:lang w:val="en-GB"/>
        </w:rPr>
        <w:t>s</w:t>
      </w:r>
      <w:r w:rsidRPr="00FF1087">
        <w:rPr>
          <w:rStyle w:val="st"/>
          <w:lang w:val="en-GB"/>
        </w:rPr>
        <w:t xml:space="preserve"> </w:t>
      </w:r>
      <w:r w:rsidR="0095649F" w:rsidRPr="00FF1087">
        <w:rPr>
          <w:rStyle w:val="st"/>
          <w:lang w:val="en-GB"/>
        </w:rPr>
        <w:t xml:space="preserve">that </w:t>
      </w:r>
      <w:r w:rsidR="002C03E3" w:rsidRPr="00FF1087">
        <w:rPr>
          <w:rStyle w:val="st"/>
          <w:lang w:val="en-GB"/>
        </w:rPr>
        <w:t xml:space="preserve">the </w:t>
      </w:r>
      <w:r w:rsidRPr="00FF1087">
        <w:rPr>
          <w:rStyle w:val="st"/>
          <w:lang w:val="en-GB"/>
        </w:rPr>
        <w:t xml:space="preserve">Commission’s 3 June 2014 </w:t>
      </w:r>
      <w:r w:rsidR="00FE33D6" w:rsidRPr="00FF1087">
        <w:rPr>
          <w:rStyle w:val="st"/>
          <w:lang w:val="en-GB"/>
        </w:rPr>
        <w:t xml:space="preserve">reply </w:t>
      </w:r>
      <w:r w:rsidRPr="00FF1087">
        <w:rPr>
          <w:rStyle w:val="st"/>
          <w:lang w:val="en-GB"/>
        </w:rPr>
        <w:t>to the Ombudsman</w:t>
      </w:r>
      <w:r w:rsidR="00BF21C2" w:rsidRPr="00FF1087">
        <w:rPr>
          <w:rStyle w:val="st"/>
          <w:lang w:val="en-GB"/>
        </w:rPr>
        <w:t xml:space="preserve"> </w:t>
      </w:r>
      <w:r w:rsidR="002C03E3" w:rsidRPr="00FF1087">
        <w:rPr>
          <w:rStyle w:val="st"/>
          <w:lang w:val="en-GB"/>
        </w:rPr>
        <w:t xml:space="preserve">falsely stated no confirmatory application had been lodged </w:t>
      </w:r>
      <w:r w:rsidR="00A82900" w:rsidRPr="00FF1087">
        <w:rPr>
          <w:rStyle w:val="st"/>
          <w:lang w:val="en-GB"/>
        </w:rPr>
        <w:t xml:space="preserve">and </w:t>
      </w:r>
      <w:r w:rsidR="00B47B69" w:rsidRPr="00FF1087">
        <w:rPr>
          <w:rStyle w:val="st"/>
          <w:lang w:val="en-GB"/>
        </w:rPr>
        <w:t>suggest</w:t>
      </w:r>
      <w:r w:rsidR="00326A67" w:rsidRPr="00FF1087">
        <w:rPr>
          <w:rStyle w:val="st"/>
          <w:lang w:val="en-GB"/>
        </w:rPr>
        <w:t>ed</w:t>
      </w:r>
      <w:r w:rsidR="00B47B69" w:rsidRPr="00FF1087">
        <w:rPr>
          <w:rStyle w:val="st"/>
          <w:lang w:val="en-GB"/>
        </w:rPr>
        <w:t xml:space="preserve"> that </w:t>
      </w:r>
      <w:r w:rsidR="00A82900" w:rsidRPr="00FF1087">
        <w:rPr>
          <w:rStyle w:val="st"/>
          <w:lang w:val="en-GB"/>
        </w:rPr>
        <w:t xml:space="preserve">the Convention and the Aarhus Regulation only require disclosure </w:t>
      </w:r>
      <w:r w:rsidR="005627B0" w:rsidRPr="00FF1087">
        <w:rPr>
          <w:rStyle w:val="st"/>
          <w:lang w:val="en-GB"/>
        </w:rPr>
        <w:t>of confidential information</w:t>
      </w:r>
      <w:r w:rsidR="00B47B69" w:rsidRPr="00FF1087">
        <w:rPr>
          <w:rStyle w:val="st"/>
          <w:lang w:val="en-GB"/>
        </w:rPr>
        <w:t xml:space="preserve"> </w:t>
      </w:r>
      <w:r w:rsidR="00A82900" w:rsidRPr="00FF1087">
        <w:rPr>
          <w:rStyle w:val="st"/>
          <w:lang w:val="en-GB"/>
        </w:rPr>
        <w:t xml:space="preserve">where </w:t>
      </w:r>
      <w:r w:rsidR="00B47B69" w:rsidRPr="00FF1087">
        <w:rPr>
          <w:rStyle w:val="st"/>
          <w:lang w:val="en-GB"/>
        </w:rPr>
        <w:t>the information</w:t>
      </w:r>
      <w:r w:rsidR="00A82900" w:rsidRPr="00FF1087">
        <w:rPr>
          <w:rStyle w:val="st"/>
          <w:lang w:val="en-GB"/>
        </w:rPr>
        <w:t xml:space="preserve"> relate</w:t>
      </w:r>
      <w:r w:rsidR="00B47B69" w:rsidRPr="00FF1087">
        <w:rPr>
          <w:rStyle w:val="st"/>
          <w:lang w:val="en-GB"/>
        </w:rPr>
        <w:t>s</w:t>
      </w:r>
      <w:r w:rsidR="00A82900" w:rsidRPr="00FF1087">
        <w:rPr>
          <w:rStyle w:val="st"/>
          <w:lang w:val="en-GB"/>
        </w:rPr>
        <w:t xml:space="preserve"> to emissions. </w:t>
      </w:r>
      <w:r w:rsidR="00124E3C" w:rsidRPr="00FF1087">
        <w:rPr>
          <w:rStyle w:val="st"/>
          <w:lang w:val="en-GB"/>
        </w:rPr>
        <w:t>It</w:t>
      </w:r>
      <w:r w:rsidR="00A15903" w:rsidRPr="00FF1087">
        <w:rPr>
          <w:rStyle w:val="st"/>
          <w:lang w:val="en-GB"/>
        </w:rPr>
        <w:t xml:space="preserve"> allege</w:t>
      </w:r>
      <w:r w:rsidR="00B4785C" w:rsidRPr="00FF1087">
        <w:rPr>
          <w:rStyle w:val="st"/>
          <w:lang w:val="en-GB"/>
        </w:rPr>
        <w:t>s</w:t>
      </w:r>
      <w:r w:rsidR="00A15903" w:rsidRPr="00FF1087">
        <w:rPr>
          <w:rStyle w:val="st"/>
          <w:lang w:val="en-GB"/>
        </w:rPr>
        <w:t xml:space="preserve"> </w:t>
      </w:r>
      <w:r w:rsidR="00124E3C" w:rsidRPr="00FF1087">
        <w:rPr>
          <w:rStyle w:val="st"/>
          <w:lang w:val="en-GB"/>
        </w:rPr>
        <w:t xml:space="preserve">that </w:t>
      </w:r>
      <w:r w:rsidR="00A15903" w:rsidRPr="00FF1087">
        <w:rPr>
          <w:rStyle w:val="st"/>
          <w:lang w:val="en-GB"/>
        </w:rPr>
        <w:t xml:space="preserve">in </w:t>
      </w:r>
      <w:r w:rsidR="00FE33D6" w:rsidRPr="00FF1087">
        <w:rPr>
          <w:rStyle w:val="st"/>
          <w:lang w:val="en-GB"/>
        </w:rPr>
        <w:t xml:space="preserve">that </w:t>
      </w:r>
      <w:r w:rsidR="00A15903" w:rsidRPr="00FF1087">
        <w:rPr>
          <w:rStyle w:val="st"/>
          <w:lang w:val="en-GB"/>
        </w:rPr>
        <w:t xml:space="preserve">reply the </w:t>
      </w:r>
      <w:r w:rsidR="00704932" w:rsidRPr="00FF1087">
        <w:rPr>
          <w:rStyle w:val="st"/>
          <w:lang w:val="en-GB"/>
        </w:rPr>
        <w:t>Commission</w:t>
      </w:r>
      <w:r w:rsidR="00A15903" w:rsidRPr="00FF1087">
        <w:rPr>
          <w:rStyle w:val="st"/>
          <w:lang w:val="en-GB"/>
        </w:rPr>
        <w:t xml:space="preserve"> </w:t>
      </w:r>
      <w:r w:rsidR="00326A67" w:rsidRPr="00FF1087">
        <w:rPr>
          <w:rStyle w:val="st"/>
          <w:lang w:val="en-GB"/>
        </w:rPr>
        <w:t xml:space="preserve">incorrectly </w:t>
      </w:r>
      <w:r w:rsidR="00A15903" w:rsidRPr="00FF1087">
        <w:rPr>
          <w:rStyle w:val="st"/>
          <w:lang w:val="en-GB"/>
        </w:rPr>
        <w:t>interpret</w:t>
      </w:r>
      <w:r w:rsidR="00704932" w:rsidRPr="00FF1087">
        <w:rPr>
          <w:rStyle w:val="st"/>
          <w:lang w:val="en-GB"/>
        </w:rPr>
        <w:t>ed</w:t>
      </w:r>
      <w:r w:rsidR="00A15903" w:rsidRPr="00FF1087">
        <w:rPr>
          <w:rStyle w:val="st"/>
          <w:lang w:val="en-GB"/>
        </w:rPr>
        <w:t xml:space="preserve"> article 4 of the Convention by stating that greater openness is required in the context of </w:t>
      </w:r>
      <w:r w:rsidR="00D2241A" w:rsidRPr="00FF1087">
        <w:rPr>
          <w:rStyle w:val="st"/>
          <w:lang w:val="en-GB"/>
        </w:rPr>
        <w:t>legislative procedures</w:t>
      </w:r>
      <w:r w:rsidR="00A15903" w:rsidRPr="00FF1087">
        <w:rPr>
          <w:rStyle w:val="st"/>
          <w:lang w:val="en-GB"/>
        </w:rPr>
        <w:t xml:space="preserve"> than in administrative </w:t>
      </w:r>
      <w:r w:rsidR="00B4785C" w:rsidRPr="00FF1087">
        <w:rPr>
          <w:rStyle w:val="st"/>
          <w:lang w:val="en-GB"/>
        </w:rPr>
        <w:t>ones</w:t>
      </w:r>
      <w:r w:rsidR="00A15903" w:rsidRPr="00FF1087">
        <w:rPr>
          <w:rStyle w:val="st"/>
          <w:lang w:val="en-GB"/>
        </w:rPr>
        <w:t xml:space="preserve">. </w:t>
      </w:r>
      <w:r w:rsidR="00704932" w:rsidRPr="00FF1087">
        <w:rPr>
          <w:rStyle w:val="st"/>
          <w:lang w:val="en-GB"/>
        </w:rPr>
        <w:t>It</w:t>
      </w:r>
      <w:r w:rsidR="00A82900" w:rsidRPr="00FF1087">
        <w:rPr>
          <w:rStyle w:val="st"/>
          <w:lang w:val="en-GB"/>
        </w:rPr>
        <w:t xml:space="preserve"> </w:t>
      </w:r>
      <w:r w:rsidR="00704932" w:rsidRPr="00FF1087">
        <w:rPr>
          <w:rStyle w:val="st"/>
          <w:lang w:val="en-GB"/>
        </w:rPr>
        <w:t xml:space="preserve">submits </w:t>
      </w:r>
      <w:r w:rsidR="00124E3C" w:rsidRPr="00FF1087">
        <w:rPr>
          <w:rStyle w:val="st"/>
          <w:lang w:val="en-GB"/>
        </w:rPr>
        <w:t xml:space="preserve">the Commission’s </w:t>
      </w:r>
      <w:r w:rsidR="00704932" w:rsidRPr="00FF1087">
        <w:rPr>
          <w:rStyle w:val="st"/>
          <w:lang w:val="en-GB"/>
        </w:rPr>
        <w:t xml:space="preserve">reply shows </w:t>
      </w:r>
      <w:r w:rsidR="00124E3C" w:rsidRPr="00FF1087">
        <w:rPr>
          <w:rStyle w:val="st"/>
          <w:lang w:val="en-GB"/>
        </w:rPr>
        <w:t xml:space="preserve">that it </w:t>
      </w:r>
      <w:r w:rsidR="00A82900" w:rsidRPr="00FF1087">
        <w:rPr>
          <w:rStyle w:val="st"/>
          <w:lang w:val="en-GB"/>
        </w:rPr>
        <w:t>failed to adequately weigh the public interest in disclosure</w:t>
      </w:r>
      <w:r w:rsidR="00727A68" w:rsidRPr="00FF1087">
        <w:rPr>
          <w:rStyle w:val="st"/>
          <w:lang w:val="en-GB"/>
        </w:rPr>
        <w:t>.</w:t>
      </w:r>
      <w:r w:rsidR="00B47B69" w:rsidRPr="00FF1087">
        <w:rPr>
          <w:rStyle w:val="FootnoteReference"/>
          <w:lang w:val="en-GB"/>
        </w:rPr>
        <w:footnoteReference w:id="60"/>
      </w:r>
      <w:bookmarkEnd w:id="22"/>
      <w:r w:rsidR="00A15903" w:rsidRPr="00FF1087">
        <w:rPr>
          <w:rStyle w:val="st"/>
          <w:lang w:val="en-GB"/>
        </w:rPr>
        <w:t xml:space="preserve"> </w:t>
      </w:r>
      <w:r w:rsidRPr="00FF1087">
        <w:rPr>
          <w:rStyle w:val="st"/>
          <w:lang w:val="en-GB"/>
        </w:rPr>
        <w:t xml:space="preserve"> </w:t>
      </w:r>
    </w:p>
    <w:p w14:paraId="51BE55F6" w14:textId="2063F4F8" w:rsidR="00B02D47" w:rsidRPr="00FF1087" w:rsidRDefault="00B02D47" w:rsidP="001C3D04">
      <w:pPr>
        <w:pStyle w:val="SingleTxtG"/>
        <w:numPr>
          <w:ilvl w:val="0"/>
          <w:numId w:val="3"/>
        </w:numPr>
        <w:tabs>
          <w:tab w:val="left" w:pos="1843"/>
          <w:tab w:val="left" w:pos="6120"/>
        </w:tabs>
        <w:ind w:left="1134" w:right="0" w:firstLine="0"/>
        <w:rPr>
          <w:lang w:val="en-GB"/>
        </w:rPr>
      </w:pPr>
      <w:r w:rsidRPr="00FF1087">
        <w:rPr>
          <w:rStyle w:val="st"/>
          <w:lang w:val="en-GB"/>
        </w:rPr>
        <w:lastRenderedPageBreak/>
        <w:t xml:space="preserve">The Party concerned </w:t>
      </w:r>
      <w:r w:rsidR="00151671" w:rsidRPr="00FF1087">
        <w:rPr>
          <w:rStyle w:val="st"/>
          <w:lang w:val="en-GB"/>
        </w:rPr>
        <w:t>claims</w:t>
      </w:r>
      <w:r w:rsidRPr="00FF1087">
        <w:rPr>
          <w:rStyle w:val="st"/>
          <w:lang w:val="en-GB"/>
        </w:rPr>
        <w:t xml:space="preserve"> </w:t>
      </w:r>
      <w:r w:rsidR="004A3609" w:rsidRPr="00FF1087">
        <w:rPr>
          <w:rStyle w:val="st"/>
          <w:lang w:val="en-GB"/>
        </w:rPr>
        <w:t xml:space="preserve">that </w:t>
      </w:r>
      <w:r w:rsidR="004E7105" w:rsidRPr="00FF1087">
        <w:rPr>
          <w:rStyle w:val="st"/>
          <w:lang w:val="en-GB"/>
        </w:rPr>
        <w:t xml:space="preserve">in </w:t>
      </w:r>
      <w:r w:rsidR="00061D41" w:rsidRPr="00FF1087">
        <w:rPr>
          <w:rStyle w:val="st"/>
          <w:lang w:val="en-GB"/>
        </w:rPr>
        <w:t xml:space="preserve">its </w:t>
      </w:r>
      <w:r w:rsidR="004E7105" w:rsidRPr="00FF1087">
        <w:rPr>
          <w:rStyle w:val="st"/>
          <w:lang w:val="en-GB"/>
        </w:rPr>
        <w:t xml:space="preserve">28 February 2013 </w:t>
      </w:r>
      <w:r w:rsidR="000257FA" w:rsidRPr="00FF1087">
        <w:rPr>
          <w:rStyle w:val="st"/>
          <w:lang w:val="en-GB"/>
        </w:rPr>
        <w:t xml:space="preserve">response </w:t>
      </w:r>
      <w:r w:rsidR="00E74272" w:rsidRPr="00FF1087">
        <w:rPr>
          <w:rStyle w:val="st"/>
          <w:lang w:val="en-GB"/>
        </w:rPr>
        <w:t xml:space="preserve">to </w:t>
      </w:r>
      <w:r w:rsidR="00A908CF" w:rsidRPr="00FF1087">
        <w:rPr>
          <w:rStyle w:val="st"/>
          <w:lang w:val="en-GB"/>
        </w:rPr>
        <w:t xml:space="preserve">Mr. </w:t>
      </w:r>
      <w:r w:rsidR="00E74272" w:rsidRPr="00FF1087">
        <w:rPr>
          <w:rStyle w:val="st"/>
          <w:lang w:val="en-GB"/>
        </w:rPr>
        <w:t xml:space="preserve">Caulfield the Commission underlined that, at that stage, </w:t>
      </w:r>
      <w:r w:rsidR="00704932" w:rsidRPr="00FF1087">
        <w:rPr>
          <w:rStyle w:val="st"/>
          <w:lang w:val="en-GB"/>
        </w:rPr>
        <w:t>it</w:t>
      </w:r>
      <w:r w:rsidR="00E74272" w:rsidRPr="00FF1087">
        <w:rPr>
          <w:rStyle w:val="st"/>
          <w:lang w:val="en-GB"/>
        </w:rPr>
        <w:t xml:space="preserve"> did not hold information on the projects </w:t>
      </w:r>
      <w:r w:rsidR="00783E79" w:rsidRPr="00FF1087">
        <w:rPr>
          <w:rStyle w:val="st"/>
          <w:lang w:val="en-GB"/>
        </w:rPr>
        <w:t>and t</w:t>
      </w:r>
      <w:r w:rsidR="00E74272" w:rsidRPr="00FF1087">
        <w:rPr>
          <w:rStyle w:val="st"/>
          <w:lang w:val="en-GB"/>
        </w:rPr>
        <w:t xml:space="preserve">herefore </w:t>
      </w:r>
      <w:r w:rsidR="00684B46" w:rsidRPr="00FF1087">
        <w:rPr>
          <w:rStyle w:val="st"/>
          <w:lang w:val="en-GB"/>
        </w:rPr>
        <w:t>his</w:t>
      </w:r>
      <w:r w:rsidR="00E74272" w:rsidRPr="00FF1087">
        <w:rPr>
          <w:rStyle w:val="st"/>
          <w:lang w:val="en-GB"/>
        </w:rPr>
        <w:t xml:space="preserve"> confirmatory application was devoid of purpose.</w:t>
      </w:r>
      <w:r w:rsidR="00E2631A" w:rsidRPr="00FF1087">
        <w:rPr>
          <w:rStyle w:val="FootnoteReference"/>
          <w:lang w:val="en-GB"/>
        </w:rPr>
        <w:footnoteReference w:id="61"/>
      </w:r>
      <w:r w:rsidR="00B24335" w:rsidRPr="00FF1087">
        <w:rPr>
          <w:rStyle w:val="st"/>
          <w:lang w:val="en-GB"/>
        </w:rPr>
        <w:t xml:space="preserve"> </w:t>
      </w:r>
      <w:r w:rsidR="004A3609" w:rsidRPr="00FF1087">
        <w:rPr>
          <w:rStyle w:val="st"/>
          <w:lang w:val="en-GB"/>
        </w:rPr>
        <w:t>I</w:t>
      </w:r>
      <w:r w:rsidR="00B24335" w:rsidRPr="00FF1087">
        <w:rPr>
          <w:rStyle w:val="st"/>
          <w:lang w:val="en-GB"/>
        </w:rPr>
        <w:t>n response to the Ombudsman</w:t>
      </w:r>
      <w:r w:rsidR="00D6499C" w:rsidRPr="00FF1087">
        <w:rPr>
          <w:rStyle w:val="st"/>
          <w:lang w:val="en-GB"/>
        </w:rPr>
        <w:t>’s investigations</w:t>
      </w:r>
      <w:r w:rsidR="00B24335" w:rsidRPr="00FF1087">
        <w:rPr>
          <w:rStyle w:val="st"/>
          <w:lang w:val="en-GB"/>
        </w:rPr>
        <w:t>, the Commission provided</w:t>
      </w:r>
      <w:r w:rsidR="004517B1" w:rsidRPr="00FF1087">
        <w:rPr>
          <w:rStyle w:val="st"/>
          <w:lang w:val="en-GB"/>
        </w:rPr>
        <w:t xml:space="preserve"> </w:t>
      </w:r>
      <w:r w:rsidR="00B24335" w:rsidRPr="00FF1087">
        <w:rPr>
          <w:rStyle w:val="st"/>
          <w:lang w:val="en-GB"/>
        </w:rPr>
        <w:t xml:space="preserve">wider access to </w:t>
      </w:r>
      <w:r w:rsidR="004E7105" w:rsidRPr="00FF1087">
        <w:rPr>
          <w:rStyle w:val="st"/>
          <w:lang w:val="en-GB"/>
        </w:rPr>
        <w:t>s</w:t>
      </w:r>
      <w:r w:rsidR="00B24335" w:rsidRPr="00FF1087">
        <w:rPr>
          <w:rStyle w:val="st"/>
          <w:lang w:val="en-GB"/>
        </w:rPr>
        <w:t>om</w:t>
      </w:r>
      <w:r w:rsidR="004517B1" w:rsidRPr="00FF1087">
        <w:rPr>
          <w:rStyle w:val="st"/>
          <w:lang w:val="en-GB"/>
        </w:rPr>
        <w:t>e</w:t>
      </w:r>
      <w:r w:rsidR="00B24335" w:rsidRPr="00FF1087">
        <w:rPr>
          <w:rStyle w:val="st"/>
          <w:lang w:val="en-GB"/>
        </w:rPr>
        <w:t xml:space="preserve"> questionnaires </w:t>
      </w:r>
      <w:r w:rsidR="004E7105" w:rsidRPr="00FF1087">
        <w:rPr>
          <w:rStyle w:val="st"/>
          <w:lang w:val="en-GB"/>
        </w:rPr>
        <w:t xml:space="preserve">and </w:t>
      </w:r>
      <w:r w:rsidR="00D6499C" w:rsidRPr="00FF1087">
        <w:rPr>
          <w:rStyle w:val="st"/>
          <w:lang w:val="en-GB"/>
        </w:rPr>
        <w:t xml:space="preserve">justified </w:t>
      </w:r>
      <w:r w:rsidR="00B24335" w:rsidRPr="00FF1087">
        <w:rPr>
          <w:rStyle w:val="st"/>
          <w:lang w:val="en-GB"/>
        </w:rPr>
        <w:t xml:space="preserve">the remaining redactions. </w:t>
      </w:r>
      <w:r w:rsidR="00D6499C" w:rsidRPr="00FF1087">
        <w:rPr>
          <w:rStyle w:val="st"/>
          <w:lang w:val="en-GB"/>
        </w:rPr>
        <w:t>It</w:t>
      </w:r>
      <w:r w:rsidR="00B24335" w:rsidRPr="00FF1087">
        <w:rPr>
          <w:rStyle w:val="st"/>
          <w:lang w:val="en-GB"/>
        </w:rPr>
        <w:t xml:space="preserve"> emphasizes </w:t>
      </w:r>
      <w:r w:rsidR="004A3609" w:rsidRPr="00FF1087">
        <w:rPr>
          <w:rStyle w:val="st"/>
          <w:lang w:val="en-GB"/>
        </w:rPr>
        <w:t>the Commission</w:t>
      </w:r>
      <w:r w:rsidR="00D6499C" w:rsidRPr="00FF1087">
        <w:rPr>
          <w:rStyle w:val="st"/>
          <w:lang w:val="en-GB"/>
        </w:rPr>
        <w:t xml:space="preserve"> released </w:t>
      </w:r>
      <w:r w:rsidR="00B24335" w:rsidRPr="00FF1087">
        <w:rPr>
          <w:rStyle w:val="st"/>
          <w:lang w:val="en-GB"/>
        </w:rPr>
        <w:t xml:space="preserve">the identity of the </w:t>
      </w:r>
      <w:r w:rsidR="00A469D3" w:rsidRPr="00FF1087">
        <w:rPr>
          <w:rStyle w:val="st"/>
          <w:lang w:val="en-GB"/>
        </w:rPr>
        <w:t>developer</w:t>
      </w:r>
      <w:r w:rsidR="00B24335" w:rsidRPr="00FF1087">
        <w:rPr>
          <w:rStyle w:val="st"/>
          <w:lang w:val="en-GB"/>
        </w:rPr>
        <w:t xml:space="preserve">s </w:t>
      </w:r>
      <w:r w:rsidR="00D6499C" w:rsidRPr="00FF1087">
        <w:rPr>
          <w:rStyle w:val="st"/>
          <w:lang w:val="en-GB"/>
        </w:rPr>
        <w:t xml:space="preserve">as </w:t>
      </w:r>
      <w:r w:rsidR="00B24335" w:rsidRPr="00FF1087">
        <w:rPr>
          <w:rStyle w:val="st"/>
          <w:lang w:val="en-GB"/>
        </w:rPr>
        <w:t>legal persons</w:t>
      </w:r>
      <w:r w:rsidR="00D6499C" w:rsidRPr="00FF1087">
        <w:rPr>
          <w:rStyle w:val="st"/>
          <w:lang w:val="en-GB"/>
        </w:rPr>
        <w:t xml:space="preserve">, </w:t>
      </w:r>
      <w:r w:rsidR="00B24335" w:rsidRPr="00FF1087">
        <w:rPr>
          <w:rStyle w:val="st"/>
          <w:lang w:val="en-GB"/>
        </w:rPr>
        <w:t xml:space="preserve">and </w:t>
      </w:r>
      <w:r w:rsidR="004E7105" w:rsidRPr="00FF1087">
        <w:rPr>
          <w:rStyle w:val="st"/>
          <w:lang w:val="en-GB"/>
        </w:rPr>
        <w:t xml:space="preserve">only the </w:t>
      </w:r>
      <w:r w:rsidR="00B24335" w:rsidRPr="00FF1087">
        <w:rPr>
          <w:rStyle w:val="st"/>
          <w:lang w:val="en-GB"/>
        </w:rPr>
        <w:t>n</w:t>
      </w:r>
      <w:r w:rsidR="00B24335" w:rsidRPr="00FF1087">
        <w:rPr>
          <w:lang w:val="en-GB"/>
        </w:rPr>
        <w:t xml:space="preserve">ames/surnames and contact information of individuals identified as </w:t>
      </w:r>
      <w:r w:rsidR="00D6499C" w:rsidRPr="00FF1087">
        <w:rPr>
          <w:lang w:val="en-GB"/>
        </w:rPr>
        <w:t xml:space="preserve">the </w:t>
      </w:r>
      <w:proofErr w:type="spellStart"/>
      <w:r w:rsidR="00A469D3" w:rsidRPr="00FF1087">
        <w:rPr>
          <w:lang w:val="en-GB"/>
        </w:rPr>
        <w:t>developer</w:t>
      </w:r>
      <w:r w:rsidR="00B24335" w:rsidRPr="00FF1087">
        <w:rPr>
          <w:lang w:val="en-GB"/>
        </w:rPr>
        <w:t>s</w:t>
      </w:r>
      <w:r w:rsidR="00C654C7" w:rsidRPr="00FF1087">
        <w:rPr>
          <w:lang w:val="en-GB"/>
        </w:rPr>
        <w:t>’s</w:t>
      </w:r>
      <w:proofErr w:type="spellEnd"/>
      <w:r w:rsidR="00C654C7" w:rsidRPr="00FF1087">
        <w:rPr>
          <w:lang w:val="en-GB"/>
        </w:rPr>
        <w:t xml:space="preserve"> contact points</w:t>
      </w:r>
      <w:r w:rsidR="00B24335" w:rsidRPr="00FF1087">
        <w:rPr>
          <w:lang w:val="en-GB"/>
        </w:rPr>
        <w:t xml:space="preserve"> were redacted </w:t>
      </w:r>
      <w:r w:rsidR="00D6499C" w:rsidRPr="00FF1087">
        <w:rPr>
          <w:lang w:val="en-GB"/>
        </w:rPr>
        <w:t>as</w:t>
      </w:r>
      <w:r w:rsidR="00B24335" w:rsidRPr="00FF1087">
        <w:rPr>
          <w:lang w:val="en-GB"/>
        </w:rPr>
        <w:t xml:space="preserve"> personal data </w:t>
      </w:r>
      <w:r w:rsidR="00D6499C" w:rsidRPr="00FF1087">
        <w:rPr>
          <w:lang w:val="en-GB"/>
        </w:rPr>
        <w:t>under</w:t>
      </w:r>
      <w:r w:rsidR="00B24335" w:rsidRPr="00FF1087">
        <w:rPr>
          <w:lang w:val="en-GB"/>
        </w:rPr>
        <w:t xml:space="preserve"> Regulation 45/2001.</w:t>
      </w:r>
      <w:r w:rsidR="00B24335" w:rsidRPr="00FF1087">
        <w:rPr>
          <w:rStyle w:val="FootnoteReference"/>
          <w:lang w:val="en-GB"/>
        </w:rPr>
        <w:footnoteReference w:id="62"/>
      </w:r>
    </w:p>
    <w:p w14:paraId="0DF4A16D" w14:textId="35B9919B" w:rsidR="00A15097" w:rsidRPr="00FF1087" w:rsidRDefault="00606244" w:rsidP="00172A9F">
      <w:pPr>
        <w:pStyle w:val="SingleTxtG"/>
        <w:numPr>
          <w:ilvl w:val="0"/>
          <w:numId w:val="3"/>
        </w:numPr>
        <w:tabs>
          <w:tab w:val="left" w:pos="1843"/>
          <w:tab w:val="left" w:pos="6120"/>
        </w:tabs>
        <w:ind w:left="1134" w:right="0" w:firstLine="0"/>
        <w:rPr>
          <w:rStyle w:val="st"/>
          <w:lang w:val="en-GB"/>
        </w:rPr>
      </w:pPr>
      <w:r w:rsidRPr="00FF1087">
        <w:rPr>
          <w:lang w:val="en-GB"/>
        </w:rPr>
        <w:t>R</w:t>
      </w:r>
      <w:r w:rsidR="0057326B" w:rsidRPr="00FF1087">
        <w:rPr>
          <w:rStyle w:val="st"/>
          <w:lang w:val="en-GB"/>
        </w:rPr>
        <w:t>egarding</w:t>
      </w:r>
      <w:r w:rsidR="00D6499C" w:rsidRPr="00FF1087">
        <w:rPr>
          <w:rStyle w:val="st"/>
          <w:lang w:val="en-GB"/>
        </w:rPr>
        <w:t xml:space="preserve"> </w:t>
      </w:r>
      <w:r w:rsidR="00893C4A" w:rsidRPr="00FF1087">
        <w:rPr>
          <w:rStyle w:val="st"/>
          <w:lang w:val="en-GB"/>
        </w:rPr>
        <w:t xml:space="preserve">the </w:t>
      </w:r>
      <w:r w:rsidR="0054782F" w:rsidRPr="00FF1087">
        <w:rPr>
          <w:rStyle w:val="st"/>
          <w:lang w:val="en-GB"/>
        </w:rPr>
        <w:t>timeframe for the confirmatory decision</w:t>
      </w:r>
      <w:r w:rsidRPr="00FF1087">
        <w:rPr>
          <w:rStyle w:val="st"/>
          <w:lang w:val="en-GB"/>
        </w:rPr>
        <w:t>, the Party concerned states</w:t>
      </w:r>
      <w:r w:rsidR="00D6499C" w:rsidRPr="00FF1087">
        <w:rPr>
          <w:rStyle w:val="st"/>
          <w:lang w:val="en-GB"/>
        </w:rPr>
        <w:t xml:space="preserve"> that</w:t>
      </w:r>
      <w:r w:rsidR="004F2C8E" w:rsidRPr="00FF1087">
        <w:rPr>
          <w:rStyle w:val="st"/>
          <w:lang w:val="en-GB"/>
        </w:rPr>
        <w:t xml:space="preserve"> the request was received on 24 October 2012</w:t>
      </w:r>
      <w:r w:rsidR="00C94289" w:rsidRPr="00FF1087">
        <w:rPr>
          <w:rStyle w:val="st"/>
          <w:lang w:val="en-GB"/>
        </w:rPr>
        <w:t>. On 22 November 2012, the Commission sent a holding letter requesting 15 further working days in line with article 8</w:t>
      </w:r>
      <w:r w:rsidR="00B1124E" w:rsidRPr="00FF1087">
        <w:rPr>
          <w:rStyle w:val="st"/>
          <w:lang w:val="en-GB"/>
        </w:rPr>
        <w:t>(</w:t>
      </w:r>
      <w:r w:rsidR="00C94289" w:rsidRPr="00FF1087">
        <w:rPr>
          <w:rStyle w:val="st"/>
          <w:lang w:val="en-GB"/>
        </w:rPr>
        <w:t>2</w:t>
      </w:r>
      <w:r w:rsidR="00B1124E" w:rsidRPr="00FF1087">
        <w:rPr>
          <w:rStyle w:val="st"/>
          <w:lang w:val="en-GB"/>
        </w:rPr>
        <w:t>)</w:t>
      </w:r>
      <w:r w:rsidR="00C94289" w:rsidRPr="00FF1087">
        <w:rPr>
          <w:rStyle w:val="st"/>
          <w:lang w:val="en-GB"/>
        </w:rPr>
        <w:t xml:space="preserve"> of Regulation 1049/2001</w:t>
      </w:r>
      <w:r w:rsidR="00D6499C" w:rsidRPr="00FF1087">
        <w:rPr>
          <w:rStyle w:val="st"/>
          <w:lang w:val="en-GB"/>
        </w:rPr>
        <w:t>,</w:t>
      </w:r>
      <w:r w:rsidR="00C94289" w:rsidRPr="00FF1087">
        <w:rPr>
          <w:rStyle w:val="st"/>
          <w:lang w:val="en-GB"/>
        </w:rPr>
        <w:t xml:space="preserve"> and on 12 December 2012 </w:t>
      </w:r>
      <w:r w:rsidR="00D6499C" w:rsidRPr="00FF1087">
        <w:rPr>
          <w:rStyle w:val="st"/>
          <w:lang w:val="en-GB"/>
        </w:rPr>
        <w:t xml:space="preserve">submitted </w:t>
      </w:r>
      <w:r w:rsidR="00C94289" w:rsidRPr="00FF1087">
        <w:rPr>
          <w:rStyle w:val="st"/>
          <w:lang w:val="en-GB"/>
        </w:rPr>
        <w:t xml:space="preserve">an additional holding letter stating it needed </w:t>
      </w:r>
      <w:r w:rsidR="00684B46" w:rsidRPr="00FF1087">
        <w:rPr>
          <w:rStyle w:val="st"/>
          <w:lang w:val="en-GB"/>
        </w:rPr>
        <w:t>more</w:t>
      </w:r>
      <w:r w:rsidR="0057326B" w:rsidRPr="00FF1087">
        <w:rPr>
          <w:rStyle w:val="st"/>
          <w:lang w:val="en-GB"/>
        </w:rPr>
        <w:t xml:space="preserve"> time</w:t>
      </w:r>
      <w:r w:rsidR="00C94289" w:rsidRPr="00FF1087">
        <w:rPr>
          <w:rStyle w:val="st"/>
          <w:lang w:val="en-GB"/>
        </w:rPr>
        <w:t xml:space="preserve">. The confirmatory </w:t>
      </w:r>
      <w:r w:rsidR="0054782F" w:rsidRPr="00FF1087">
        <w:rPr>
          <w:rStyle w:val="st"/>
          <w:lang w:val="en-GB"/>
        </w:rPr>
        <w:t xml:space="preserve">decision </w:t>
      </w:r>
      <w:r w:rsidR="00C94289" w:rsidRPr="00FF1087">
        <w:rPr>
          <w:rStyle w:val="st"/>
          <w:lang w:val="en-GB"/>
        </w:rPr>
        <w:t>was sent on 2</w:t>
      </w:r>
      <w:r w:rsidR="00A60BF3" w:rsidRPr="00FF1087">
        <w:rPr>
          <w:rStyle w:val="st"/>
          <w:lang w:val="en-GB"/>
        </w:rPr>
        <w:t>8</w:t>
      </w:r>
      <w:r w:rsidR="00C94289" w:rsidRPr="00FF1087">
        <w:rPr>
          <w:rStyle w:val="st"/>
          <w:lang w:val="en-GB"/>
        </w:rPr>
        <w:t xml:space="preserve"> February 2013. </w:t>
      </w:r>
      <w:r w:rsidR="00F24155" w:rsidRPr="00FF1087">
        <w:rPr>
          <w:rStyle w:val="st"/>
          <w:lang w:val="en-GB"/>
        </w:rPr>
        <w:t>The</w:t>
      </w:r>
      <w:r w:rsidR="00C94289" w:rsidRPr="00FF1087">
        <w:rPr>
          <w:rStyle w:val="st"/>
          <w:lang w:val="en-GB"/>
        </w:rPr>
        <w:t xml:space="preserve"> applicant neither challenged the implied negative reply nor the confirmatory </w:t>
      </w:r>
      <w:r w:rsidR="0054782F" w:rsidRPr="00FF1087">
        <w:rPr>
          <w:rStyle w:val="st"/>
          <w:lang w:val="en-GB"/>
        </w:rPr>
        <w:t xml:space="preserve">decision </w:t>
      </w:r>
      <w:r w:rsidR="003F2F5F" w:rsidRPr="00FF1087">
        <w:rPr>
          <w:rStyle w:val="st"/>
          <w:lang w:val="en-GB"/>
        </w:rPr>
        <w:t>in</w:t>
      </w:r>
      <w:r w:rsidR="00C94289" w:rsidRPr="00FF1087">
        <w:rPr>
          <w:rStyle w:val="st"/>
          <w:lang w:val="en-GB"/>
        </w:rPr>
        <w:t xml:space="preserve"> court.</w:t>
      </w:r>
      <w:r w:rsidR="00C94289" w:rsidRPr="00FF1087">
        <w:rPr>
          <w:rStyle w:val="FootnoteReference"/>
          <w:lang w:val="en-GB"/>
        </w:rPr>
        <w:footnoteReference w:id="63"/>
      </w:r>
      <w:r w:rsidR="00A60BF3" w:rsidRPr="00FF1087">
        <w:rPr>
          <w:rStyle w:val="st"/>
          <w:lang w:val="en-GB"/>
        </w:rPr>
        <w:t xml:space="preserve"> </w:t>
      </w:r>
    </w:p>
    <w:p w14:paraId="7CE18B04" w14:textId="3527DED8" w:rsidR="005627B0" w:rsidRPr="00FF1087" w:rsidRDefault="000F3E9E"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w:t>
      </w:r>
      <w:r w:rsidR="00A15097" w:rsidRPr="00FF1087">
        <w:rPr>
          <w:rStyle w:val="st"/>
          <w:lang w:val="en-GB"/>
        </w:rPr>
        <w:t xml:space="preserve">he Party concerned submits </w:t>
      </w:r>
      <w:r w:rsidR="00606244" w:rsidRPr="00FF1087">
        <w:rPr>
          <w:rStyle w:val="st"/>
          <w:lang w:val="en-GB"/>
        </w:rPr>
        <w:t xml:space="preserve">that </w:t>
      </w:r>
      <w:r w:rsidR="005627B0" w:rsidRPr="00FF1087">
        <w:rPr>
          <w:rStyle w:val="st"/>
          <w:lang w:val="en-GB"/>
        </w:rPr>
        <w:t xml:space="preserve">if information relates to other elements than emissions a case-by-case analysis of the proper weighing of the interests concerned </w:t>
      </w:r>
      <w:r w:rsidR="00C54C85" w:rsidRPr="00FF1087">
        <w:rPr>
          <w:rStyle w:val="st"/>
          <w:lang w:val="en-GB"/>
        </w:rPr>
        <w:t>must</w:t>
      </w:r>
      <w:r w:rsidR="005627B0" w:rsidRPr="00FF1087">
        <w:rPr>
          <w:rStyle w:val="st"/>
          <w:lang w:val="en-GB"/>
        </w:rPr>
        <w:t xml:space="preserve"> be carried out in accordance with </w:t>
      </w:r>
      <w:r w:rsidR="00B1124E" w:rsidRPr="00FF1087">
        <w:rPr>
          <w:rStyle w:val="st"/>
          <w:lang w:val="en-GB"/>
        </w:rPr>
        <w:t xml:space="preserve">the second sentence of </w:t>
      </w:r>
      <w:r w:rsidR="005627B0" w:rsidRPr="00FF1087">
        <w:rPr>
          <w:rStyle w:val="st"/>
          <w:lang w:val="en-GB"/>
        </w:rPr>
        <w:t>article 6</w:t>
      </w:r>
      <w:r w:rsidR="00B1124E" w:rsidRPr="00FF1087">
        <w:rPr>
          <w:rStyle w:val="st"/>
          <w:lang w:val="en-GB"/>
        </w:rPr>
        <w:t>(</w:t>
      </w:r>
      <w:r w:rsidR="005627B0" w:rsidRPr="00FF1087">
        <w:rPr>
          <w:rStyle w:val="st"/>
          <w:lang w:val="en-GB"/>
        </w:rPr>
        <w:t>1</w:t>
      </w:r>
      <w:r w:rsidR="00B1124E" w:rsidRPr="00FF1087">
        <w:rPr>
          <w:rStyle w:val="st"/>
          <w:lang w:val="en-GB"/>
        </w:rPr>
        <w:t>)</w:t>
      </w:r>
      <w:r w:rsidR="005627B0" w:rsidRPr="00FF1087">
        <w:rPr>
          <w:rStyle w:val="st"/>
          <w:lang w:val="en-GB"/>
        </w:rPr>
        <w:t xml:space="preserve"> of the Aarhus Regulation in combination with article 4 of Regulation 1049/2001.</w:t>
      </w:r>
      <w:r w:rsidR="005627B0" w:rsidRPr="00FF1087">
        <w:rPr>
          <w:rStyle w:val="FootnoteReference"/>
          <w:lang w:val="en-GB"/>
        </w:rPr>
        <w:footnoteReference w:id="64"/>
      </w:r>
    </w:p>
    <w:p w14:paraId="739F1009" w14:textId="3DDCEB4E" w:rsidR="00B47B69" w:rsidRPr="00FF1087" w:rsidRDefault="00F17C1C" w:rsidP="001C3D04">
      <w:pPr>
        <w:pStyle w:val="SingleTxtG"/>
        <w:tabs>
          <w:tab w:val="left" w:pos="1843"/>
          <w:tab w:val="left" w:pos="6120"/>
        </w:tabs>
        <w:ind w:right="0"/>
        <w:rPr>
          <w:i/>
          <w:lang w:val="en-GB"/>
        </w:rPr>
      </w:pPr>
      <w:r w:rsidRPr="00FF1087">
        <w:rPr>
          <w:i/>
          <w:lang w:val="en-GB"/>
        </w:rPr>
        <w:t xml:space="preserve">The communicant’s </w:t>
      </w:r>
      <w:r w:rsidR="00A15097" w:rsidRPr="00FF1087">
        <w:rPr>
          <w:i/>
          <w:lang w:val="en-GB"/>
        </w:rPr>
        <w:t>request</w:t>
      </w:r>
    </w:p>
    <w:p w14:paraId="38372594" w14:textId="7DF80F25" w:rsidR="00B47B69" w:rsidRPr="00FF1087" w:rsidRDefault="00B47B69"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claims the Party concerned failed to provide information </w:t>
      </w:r>
      <w:r w:rsidR="00A15097" w:rsidRPr="00FF1087">
        <w:rPr>
          <w:rStyle w:val="st"/>
          <w:lang w:val="en-GB"/>
        </w:rPr>
        <w:t xml:space="preserve">in response to </w:t>
      </w:r>
      <w:r w:rsidRPr="00FF1087">
        <w:rPr>
          <w:rStyle w:val="st"/>
          <w:lang w:val="en-GB"/>
        </w:rPr>
        <w:t>its</w:t>
      </w:r>
      <w:r w:rsidR="004419BC" w:rsidRPr="00FF1087">
        <w:rPr>
          <w:rStyle w:val="st"/>
          <w:lang w:val="en-GB"/>
        </w:rPr>
        <w:t xml:space="preserve"> </w:t>
      </w:r>
      <w:r w:rsidRPr="00FF1087">
        <w:rPr>
          <w:rStyle w:val="st"/>
          <w:lang w:val="en-GB"/>
        </w:rPr>
        <w:t xml:space="preserve">request </w:t>
      </w:r>
      <w:r w:rsidR="00B95BFB" w:rsidRPr="00FF1087">
        <w:rPr>
          <w:rStyle w:val="st"/>
          <w:lang w:val="en-GB"/>
        </w:rPr>
        <w:t xml:space="preserve">for </w:t>
      </w:r>
      <w:r w:rsidRPr="00FF1087">
        <w:rPr>
          <w:rStyle w:val="st"/>
          <w:lang w:val="en-GB"/>
        </w:rPr>
        <w:t xml:space="preserve">the </w:t>
      </w:r>
      <w:r w:rsidR="00A15097" w:rsidRPr="00FF1087">
        <w:rPr>
          <w:rStyle w:val="st"/>
          <w:lang w:val="en-GB"/>
        </w:rPr>
        <w:t>“</w:t>
      </w:r>
      <w:r w:rsidRPr="00FF1087">
        <w:rPr>
          <w:rStyle w:val="st"/>
          <w:lang w:val="en-GB"/>
        </w:rPr>
        <w:t>reasons and considerations</w:t>
      </w:r>
      <w:r w:rsidR="00A15097" w:rsidRPr="00FF1087">
        <w:rPr>
          <w:rStyle w:val="st"/>
          <w:lang w:val="en-GB"/>
        </w:rPr>
        <w:t>”</w:t>
      </w:r>
      <w:r w:rsidRPr="00FF1087">
        <w:rPr>
          <w:rStyle w:val="st"/>
          <w:lang w:val="en-GB"/>
        </w:rPr>
        <w:t xml:space="preserve"> </w:t>
      </w:r>
      <w:r w:rsidR="00C21DAF" w:rsidRPr="00FF1087">
        <w:rPr>
          <w:rStyle w:val="st"/>
          <w:lang w:val="en-GB"/>
        </w:rPr>
        <w:t>regarding</w:t>
      </w:r>
      <w:r w:rsidR="00B95BFB" w:rsidRPr="00FF1087">
        <w:rPr>
          <w:rStyle w:val="st"/>
          <w:lang w:val="en-GB"/>
        </w:rPr>
        <w:t xml:space="preserve"> </w:t>
      </w:r>
      <w:r w:rsidRPr="00FF1087">
        <w:rPr>
          <w:rStyle w:val="st"/>
          <w:lang w:val="en-GB"/>
        </w:rPr>
        <w:t>the selection of renewable electricity projects in Ireland (see para</w:t>
      </w:r>
      <w:r w:rsidR="00A15097" w:rsidRPr="00FF1087">
        <w:rPr>
          <w:rStyle w:val="st"/>
          <w:lang w:val="en-GB"/>
        </w:rPr>
        <w:t>.</w:t>
      </w:r>
      <w:r w:rsidRPr="00FF1087">
        <w:rPr>
          <w:rStyle w:val="st"/>
          <w:lang w:val="en-GB"/>
        </w:rPr>
        <w:t xml:space="preserve"> </w:t>
      </w:r>
      <w:r w:rsidRPr="00FF1087">
        <w:rPr>
          <w:rStyle w:val="st"/>
          <w:lang w:val="en-GB"/>
        </w:rPr>
        <w:fldChar w:fldCharType="begin"/>
      </w:r>
      <w:r w:rsidRPr="00FF1087">
        <w:rPr>
          <w:rStyle w:val="st"/>
          <w:lang w:val="en-GB"/>
        </w:rPr>
        <w:instrText xml:space="preserve"> REF _Ref465244375 \r \h </w:instrText>
      </w:r>
      <w:r w:rsidR="00DB1094" w:rsidRPr="00FF1087">
        <w:rPr>
          <w:rStyle w:val="st"/>
          <w:lang w:val="en-GB"/>
        </w:rPr>
        <w:instrText xml:space="preserve"> \* MERGEFORMAT </w:instrText>
      </w:r>
      <w:r w:rsidRPr="00FF1087">
        <w:rPr>
          <w:rStyle w:val="st"/>
          <w:lang w:val="en-GB"/>
        </w:rPr>
      </w:r>
      <w:r w:rsidRPr="00FF1087">
        <w:rPr>
          <w:rStyle w:val="st"/>
          <w:lang w:val="en-GB"/>
        </w:rPr>
        <w:fldChar w:fldCharType="separate"/>
      </w:r>
      <w:r w:rsidR="00B713E0">
        <w:rPr>
          <w:rStyle w:val="st"/>
          <w:cs/>
          <w:lang w:val="en-GB"/>
        </w:rPr>
        <w:t>‎</w:t>
      </w:r>
      <w:r w:rsidR="00B713E0">
        <w:rPr>
          <w:rStyle w:val="st"/>
          <w:lang w:val="en-GB"/>
        </w:rPr>
        <w:t>41</w:t>
      </w:r>
      <w:r w:rsidRPr="00FF1087">
        <w:rPr>
          <w:rStyle w:val="st"/>
          <w:lang w:val="en-GB"/>
        </w:rPr>
        <w:fldChar w:fldCharType="end"/>
      </w:r>
      <w:r w:rsidRPr="00FF1087">
        <w:rPr>
          <w:rStyle w:val="st"/>
          <w:lang w:val="en-GB"/>
        </w:rPr>
        <w:t xml:space="preserve"> above).</w:t>
      </w:r>
      <w:r w:rsidRPr="00FF1087">
        <w:rPr>
          <w:rStyle w:val="FootnoteReference"/>
          <w:lang w:val="en-GB"/>
        </w:rPr>
        <w:footnoteReference w:id="65"/>
      </w:r>
    </w:p>
    <w:p w14:paraId="1ABECF70" w14:textId="3495BA8C" w:rsidR="00BE2C71" w:rsidRPr="00FF1087" w:rsidRDefault="0048389C" w:rsidP="00FF1087">
      <w:pPr>
        <w:pStyle w:val="SingleTxtG"/>
        <w:tabs>
          <w:tab w:val="left" w:pos="1843"/>
          <w:tab w:val="left" w:pos="6120"/>
        </w:tabs>
        <w:ind w:right="0"/>
        <w:rPr>
          <w:rStyle w:val="st"/>
          <w:b/>
          <w:lang w:val="en-GB"/>
        </w:rPr>
      </w:pPr>
      <w:r w:rsidRPr="00FF1087">
        <w:rPr>
          <w:rStyle w:val="st"/>
          <w:b/>
          <w:lang w:val="en-GB"/>
        </w:rPr>
        <w:t>A</w:t>
      </w:r>
      <w:r w:rsidR="00A15097" w:rsidRPr="00FF1087">
        <w:rPr>
          <w:rStyle w:val="st"/>
          <w:b/>
          <w:lang w:val="en-GB"/>
        </w:rPr>
        <w:t>rticle 7</w:t>
      </w:r>
      <w:r w:rsidRPr="00FF1087">
        <w:rPr>
          <w:rStyle w:val="st"/>
          <w:b/>
          <w:lang w:val="en-GB"/>
        </w:rPr>
        <w:t xml:space="preserve"> – applicability </w:t>
      </w:r>
    </w:p>
    <w:p w14:paraId="2528B250" w14:textId="3AACC927" w:rsidR="003D07B8" w:rsidRPr="00FF1087" w:rsidRDefault="003D07B8"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communicant claims</w:t>
      </w:r>
      <w:r w:rsidR="00AF641B" w:rsidRPr="00FF1087">
        <w:rPr>
          <w:rStyle w:val="st"/>
          <w:lang w:val="en-GB"/>
        </w:rPr>
        <w:t xml:space="preserve"> </w:t>
      </w:r>
      <w:r w:rsidRPr="00FF1087">
        <w:rPr>
          <w:rStyle w:val="st"/>
          <w:lang w:val="en-GB"/>
        </w:rPr>
        <w:t xml:space="preserve">that </w:t>
      </w:r>
      <w:r w:rsidR="009672B0" w:rsidRPr="00FF1087">
        <w:rPr>
          <w:rStyle w:val="st"/>
          <w:lang w:val="en-GB"/>
        </w:rPr>
        <w:t xml:space="preserve">article 1 of </w:t>
      </w:r>
      <w:r w:rsidR="000F3E9E" w:rsidRPr="00FF1087">
        <w:rPr>
          <w:rStyle w:val="st"/>
          <w:lang w:val="en-GB"/>
        </w:rPr>
        <w:t xml:space="preserve">the </w:t>
      </w:r>
      <w:r w:rsidR="001F50A3" w:rsidRPr="00FF1087">
        <w:rPr>
          <w:rStyle w:val="st"/>
          <w:lang w:val="en-GB"/>
        </w:rPr>
        <w:t>TEN-E Regulation</w:t>
      </w:r>
      <w:r w:rsidR="009672B0" w:rsidRPr="00FF1087">
        <w:rPr>
          <w:rStyle w:val="st"/>
          <w:lang w:val="en-GB"/>
        </w:rPr>
        <w:t xml:space="preserve"> </w:t>
      </w:r>
      <w:r w:rsidR="005E3500" w:rsidRPr="00FF1087">
        <w:rPr>
          <w:rStyle w:val="st"/>
          <w:lang w:val="en-GB"/>
        </w:rPr>
        <w:t xml:space="preserve">demonstrates </w:t>
      </w:r>
      <w:r w:rsidR="009672B0" w:rsidRPr="00FF1087">
        <w:rPr>
          <w:rStyle w:val="st"/>
          <w:lang w:val="en-GB"/>
        </w:rPr>
        <w:t xml:space="preserve">that </w:t>
      </w:r>
      <w:r w:rsidRPr="00FF1087">
        <w:rPr>
          <w:rStyle w:val="st"/>
          <w:lang w:val="en-GB"/>
        </w:rPr>
        <w:t>the PCI</w:t>
      </w:r>
      <w:r w:rsidR="002F4B39" w:rsidRPr="00FF1087">
        <w:rPr>
          <w:rStyle w:val="st"/>
          <w:lang w:val="en-GB"/>
        </w:rPr>
        <w:t>s</w:t>
      </w:r>
      <w:r w:rsidRPr="00FF1087">
        <w:rPr>
          <w:rStyle w:val="st"/>
          <w:lang w:val="en-GB"/>
        </w:rPr>
        <w:t xml:space="preserve">, their supporting regulation and official documentation are </w:t>
      </w:r>
      <w:r w:rsidR="00A15097" w:rsidRPr="00FF1087">
        <w:rPr>
          <w:rStyle w:val="st"/>
          <w:lang w:val="en-GB"/>
        </w:rPr>
        <w:t xml:space="preserve">a </w:t>
      </w:r>
      <w:r w:rsidRPr="00FF1087">
        <w:rPr>
          <w:rStyle w:val="st"/>
          <w:lang w:val="en-GB"/>
        </w:rPr>
        <w:t xml:space="preserve">plan or programme related to the </w:t>
      </w:r>
      <w:r w:rsidR="002F4B39" w:rsidRPr="00FF1087">
        <w:rPr>
          <w:rStyle w:val="st"/>
          <w:lang w:val="en-GB"/>
        </w:rPr>
        <w:t>environment</w:t>
      </w:r>
      <w:r w:rsidR="00142781" w:rsidRPr="00FF1087">
        <w:rPr>
          <w:rStyle w:val="st"/>
          <w:lang w:val="en-GB"/>
        </w:rPr>
        <w:t xml:space="preserve"> under article 7</w:t>
      </w:r>
      <w:r w:rsidR="005E38B1" w:rsidRPr="00FF1087">
        <w:rPr>
          <w:rStyle w:val="st"/>
          <w:lang w:val="en-GB"/>
        </w:rPr>
        <w:t xml:space="preserve"> of the Convention.</w:t>
      </w:r>
      <w:r w:rsidR="00EC6A0F" w:rsidRPr="00FF1087">
        <w:rPr>
          <w:rStyle w:val="FootnoteReference"/>
          <w:lang w:val="en-GB"/>
        </w:rPr>
        <w:footnoteReference w:id="66"/>
      </w:r>
      <w:r w:rsidR="009546C2" w:rsidRPr="00FF1087">
        <w:rPr>
          <w:rStyle w:val="st"/>
          <w:lang w:val="en-GB"/>
        </w:rPr>
        <w:t xml:space="preserve"> </w:t>
      </w:r>
    </w:p>
    <w:p w14:paraId="254D6A80" w14:textId="2558E656" w:rsidR="005E38B1" w:rsidRPr="00FF1087" w:rsidRDefault="005E38B1"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w:t>
      </w:r>
      <w:r w:rsidR="00EF1857" w:rsidRPr="00FF1087">
        <w:rPr>
          <w:rStyle w:val="st"/>
          <w:lang w:val="en-GB"/>
        </w:rPr>
        <w:t xml:space="preserve"> does not contest this but</w:t>
      </w:r>
      <w:r w:rsidRPr="00FF1087">
        <w:rPr>
          <w:rStyle w:val="st"/>
          <w:lang w:val="en-GB"/>
        </w:rPr>
        <w:t xml:space="preserve"> </w:t>
      </w:r>
      <w:r w:rsidR="00DD4F31" w:rsidRPr="00FF1087">
        <w:rPr>
          <w:rStyle w:val="st"/>
          <w:lang w:val="en-GB"/>
        </w:rPr>
        <w:t xml:space="preserve">notes </w:t>
      </w:r>
      <w:r w:rsidR="005A38B4" w:rsidRPr="00FF1087">
        <w:rPr>
          <w:rStyle w:val="st"/>
          <w:lang w:val="en-GB"/>
        </w:rPr>
        <w:t xml:space="preserve">the first </w:t>
      </w:r>
      <w:r w:rsidR="00876A16" w:rsidRPr="00FF1087">
        <w:rPr>
          <w:rStyle w:val="st"/>
          <w:lang w:val="en-GB"/>
        </w:rPr>
        <w:t>PCI list</w:t>
      </w:r>
      <w:r w:rsidR="005A38B4" w:rsidRPr="00FF1087">
        <w:rPr>
          <w:rStyle w:val="st"/>
          <w:lang w:val="en-GB"/>
        </w:rPr>
        <w:t xml:space="preserve"> was adopted via </w:t>
      </w:r>
      <w:r w:rsidR="00A15097" w:rsidRPr="00FF1087">
        <w:rPr>
          <w:rStyle w:val="st"/>
          <w:lang w:val="en-GB"/>
        </w:rPr>
        <w:t xml:space="preserve">a delegated regulation </w:t>
      </w:r>
      <w:r w:rsidR="005A38B4" w:rsidRPr="00FF1087">
        <w:rPr>
          <w:rStyle w:val="st"/>
          <w:lang w:val="en-GB"/>
        </w:rPr>
        <w:t xml:space="preserve">as defined </w:t>
      </w:r>
      <w:r w:rsidR="00A15097" w:rsidRPr="00FF1087">
        <w:rPr>
          <w:rStyle w:val="st"/>
          <w:lang w:val="en-GB"/>
        </w:rPr>
        <w:t xml:space="preserve">in </w:t>
      </w:r>
      <w:r w:rsidR="005A38B4" w:rsidRPr="00FF1087">
        <w:rPr>
          <w:rStyle w:val="st"/>
          <w:lang w:val="en-GB"/>
        </w:rPr>
        <w:t xml:space="preserve">article 290 TFEU. </w:t>
      </w:r>
      <w:r w:rsidR="00E97500" w:rsidRPr="00FF1087">
        <w:rPr>
          <w:rStyle w:val="st"/>
          <w:lang w:val="en-GB"/>
        </w:rPr>
        <w:t>It</w:t>
      </w:r>
      <w:r w:rsidR="005A38B4" w:rsidRPr="00FF1087">
        <w:rPr>
          <w:rStyle w:val="st"/>
          <w:lang w:val="en-GB"/>
        </w:rPr>
        <w:t xml:space="preserve"> submits </w:t>
      </w:r>
      <w:r w:rsidR="00AF641B" w:rsidRPr="00FF1087">
        <w:rPr>
          <w:rStyle w:val="st"/>
          <w:lang w:val="en-GB"/>
        </w:rPr>
        <w:t xml:space="preserve">the delegated regulation </w:t>
      </w:r>
      <w:r w:rsidR="00FD7657" w:rsidRPr="00FF1087">
        <w:rPr>
          <w:rStyle w:val="st"/>
          <w:lang w:val="en-GB"/>
        </w:rPr>
        <w:t xml:space="preserve">is </w:t>
      </w:r>
      <w:r w:rsidR="00572A57" w:rsidRPr="00FF1087">
        <w:rPr>
          <w:rStyle w:val="st"/>
          <w:lang w:val="en-GB"/>
        </w:rPr>
        <w:t>a l</w:t>
      </w:r>
      <w:r w:rsidR="00572A57" w:rsidRPr="00FF1087">
        <w:rPr>
          <w:lang w:val="en-GB"/>
        </w:rPr>
        <w:t xml:space="preserve">egally binding regulatory act of general application and that </w:t>
      </w:r>
      <w:r w:rsidR="00727A68" w:rsidRPr="00FF1087">
        <w:rPr>
          <w:lang w:val="en-GB"/>
        </w:rPr>
        <w:t>prior to</w:t>
      </w:r>
      <w:r w:rsidR="00A15097" w:rsidRPr="00FF1087">
        <w:rPr>
          <w:lang w:val="en-GB"/>
        </w:rPr>
        <w:t xml:space="preserve"> </w:t>
      </w:r>
      <w:r w:rsidR="00684B46" w:rsidRPr="00FF1087">
        <w:rPr>
          <w:lang w:val="en-GB"/>
        </w:rPr>
        <w:t xml:space="preserve">its </w:t>
      </w:r>
      <w:r w:rsidR="00572A57" w:rsidRPr="00FF1087">
        <w:rPr>
          <w:lang w:val="en-GB"/>
        </w:rPr>
        <w:t>adoption, public partic</w:t>
      </w:r>
      <w:r w:rsidR="00A15097" w:rsidRPr="00FF1087">
        <w:rPr>
          <w:lang w:val="en-GB"/>
        </w:rPr>
        <w:t>i</w:t>
      </w:r>
      <w:r w:rsidR="00572A57" w:rsidRPr="00FF1087">
        <w:rPr>
          <w:lang w:val="en-GB"/>
        </w:rPr>
        <w:t xml:space="preserve">pation </w:t>
      </w:r>
      <w:r w:rsidR="00A704F9" w:rsidRPr="00FF1087">
        <w:rPr>
          <w:lang w:val="en-GB"/>
        </w:rPr>
        <w:t xml:space="preserve">meeting the requirements of </w:t>
      </w:r>
      <w:r w:rsidR="00572A57" w:rsidRPr="00FF1087">
        <w:rPr>
          <w:lang w:val="en-GB"/>
        </w:rPr>
        <w:t xml:space="preserve">article 7 </w:t>
      </w:r>
      <w:r w:rsidR="00A704F9" w:rsidRPr="00FF1087">
        <w:rPr>
          <w:lang w:val="en-GB"/>
        </w:rPr>
        <w:t>was carried out</w:t>
      </w:r>
      <w:r w:rsidR="00572A57" w:rsidRPr="00FF1087">
        <w:rPr>
          <w:lang w:val="en-GB"/>
        </w:rPr>
        <w:t>.</w:t>
      </w:r>
    </w:p>
    <w:p w14:paraId="3AF49FF0" w14:textId="29FF38AA" w:rsidR="004D7399" w:rsidRPr="00FF1087" w:rsidRDefault="0048389C">
      <w:pPr>
        <w:pStyle w:val="SingleTxtG"/>
        <w:tabs>
          <w:tab w:val="left" w:pos="1843"/>
          <w:tab w:val="left" w:pos="6120"/>
        </w:tabs>
        <w:ind w:right="0"/>
        <w:rPr>
          <w:b/>
          <w:lang w:val="en-GB"/>
        </w:rPr>
      </w:pPr>
      <w:r w:rsidRPr="00FF1087">
        <w:rPr>
          <w:rStyle w:val="st"/>
          <w:b/>
          <w:lang w:val="en-GB"/>
        </w:rPr>
        <w:t xml:space="preserve">Article 7 </w:t>
      </w:r>
      <w:r w:rsidR="00BD774B" w:rsidRPr="00FF1087">
        <w:rPr>
          <w:rStyle w:val="st"/>
          <w:b/>
          <w:lang w:val="en-GB"/>
        </w:rPr>
        <w:t xml:space="preserve">– </w:t>
      </w:r>
      <w:r w:rsidRPr="00FF1087">
        <w:rPr>
          <w:rStyle w:val="st"/>
          <w:b/>
          <w:lang w:val="en-GB"/>
        </w:rPr>
        <w:t>i</w:t>
      </w:r>
      <w:r w:rsidR="004D7399" w:rsidRPr="00FF1087">
        <w:rPr>
          <w:rStyle w:val="st"/>
          <w:b/>
          <w:lang w:val="en-GB"/>
        </w:rPr>
        <w:t>dentification</w:t>
      </w:r>
      <w:r w:rsidR="00715A7C" w:rsidRPr="00FF1087">
        <w:rPr>
          <w:rStyle w:val="st"/>
          <w:b/>
          <w:lang w:val="en-GB"/>
        </w:rPr>
        <w:t xml:space="preserve"> and notification</w:t>
      </w:r>
      <w:r w:rsidR="004D7399" w:rsidRPr="00FF1087">
        <w:rPr>
          <w:rStyle w:val="st"/>
          <w:b/>
          <w:lang w:val="en-GB"/>
        </w:rPr>
        <w:t xml:space="preserve"> </w:t>
      </w:r>
    </w:p>
    <w:p w14:paraId="55A88B7C" w14:textId="3069F08F" w:rsidR="004D7399" w:rsidRPr="00FF1087" w:rsidRDefault="004D7399"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claims the Party </w:t>
      </w:r>
      <w:r w:rsidR="0048389C" w:rsidRPr="00FF1087">
        <w:rPr>
          <w:rStyle w:val="st"/>
          <w:lang w:val="en-GB"/>
        </w:rPr>
        <w:t xml:space="preserve">concerned </w:t>
      </w:r>
      <w:r w:rsidRPr="00FF1087">
        <w:rPr>
          <w:rStyle w:val="st"/>
          <w:lang w:val="en-GB"/>
        </w:rPr>
        <w:t>made no effort to identify the public</w:t>
      </w:r>
      <w:r w:rsidR="0048389C" w:rsidRPr="00FF1087">
        <w:rPr>
          <w:rStyle w:val="st"/>
          <w:lang w:val="en-GB"/>
        </w:rPr>
        <w:t xml:space="preserve"> which may participate</w:t>
      </w:r>
      <w:r w:rsidRPr="00FF1087">
        <w:rPr>
          <w:rStyle w:val="st"/>
          <w:lang w:val="en-GB"/>
        </w:rPr>
        <w:t xml:space="preserve">. </w:t>
      </w:r>
      <w:r w:rsidR="00E97500" w:rsidRPr="00FF1087">
        <w:rPr>
          <w:rStyle w:val="st"/>
          <w:lang w:val="en-GB"/>
        </w:rPr>
        <w:t>It</w:t>
      </w:r>
      <w:r w:rsidRPr="00FF1087">
        <w:rPr>
          <w:rStyle w:val="st"/>
          <w:lang w:val="en-GB"/>
        </w:rPr>
        <w:t xml:space="preserve"> refers to the </w:t>
      </w:r>
      <w:r w:rsidR="00E97500" w:rsidRPr="00FF1087">
        <w:rPr>
          <w:rStyle w:val="st"/>
          <w:lang w:val="en-GB"/>
        </w:rPr>
        <w:t xml:space="preserve">Commissioner’s </w:t>
      </w:r>
      <w:r w:rsidRPr="00FF1087">
        <w:rPr>
          <w:rStyle w:val="st"/>
          <w:lang w:val="en-GB"/>
        </w:rPr>
        <w:t>r</w:t>
      </w:r>
      <w:r w:rsidR="00181355" w:rsidRPr="00FF1087">
        <w:rPr>
          <w:rStyle w:val="st"/>
          <w:lang w:val="en-GB"/>
        </w:rPr>
        <w:t xml:space="preserve">eply that </w:t>
      </w:r>
      <w:r w:rsidR="0048389C" w:rsidRPr="00FF1087">
        <w:rPr>
          <w:rStyle w:val="st"/>
          <w:lang w:val="en-GB"/>
        </w:rPr>
        <w:t>“</w:t>
      </w:r>
      <w:r w:rsidR="00181355" w:rsidRPr="00FF1087">
        <w:rPr>
          <w:rStyle w:val="st"/>
          <w:lang w:val="en-GB"/>
        </w:rPr>
        <w:t>i</w:t>
      </w:r>
      <w:r w:rsidRPr="00FF1087">
        <w:rPr>
          <w:rStyle w:val="st"/>
          <w:lang w:val="en-GB"/>
        </w:rPr>
        <w:t>dentification of any specific target groups in Ireland and/or in other EU Member States for the purpose or carrying out the consultation on the PCI Regulati</w:t>
      </w:r>
      <w:r w:rsidR="00181355" w:rsidRPr="00FF1087">
        <w:rPr>
          <w:rStyle w:val="st"/>
          <w:lang w:val="en-GB"/>
        </w:rPr>
        <w:t>on was not considered necessary.</w:t>
      </w:r>
      <w:r w:rsidR="0048389C" w:rsidRPr="00FF1087">
        <w:rPr>
          <w:rStyle w:val="st"/>
          <w:lang w:val="en-GB"/>
        </w:rPr>
        <w:t>”</w:t>
      </w:r>
      <w:r w:rsidRPr="00FF1087">
        <w:rPr>
          <w:rStyle w:val="FootnoteReference"/>
          <w:lang w:val="en-GB"/>
        </w:rPr>
        <w:footnoteReference w:id="67"/>
      </w:r>
      <w:r w:rsidRPr="00FF1087">
        <w:rPr>
          <w:rStyle w:val="st"/>
          <w:lang w:val="en-GB"/>
        </w:rPr>
        <w:t xml:space="preserve"> </w:t>
      </w:r>
    </w:p>
    <w:p w14:paraId="3DFBF0F5" w14:textId="37B86880" w:rsidR="00715A7C" w:rsidRPr="00FF1087" w:rsidRDefault="004517B1" w:rsidP="00370E70">
      <w:pPr>
        <w:pStyle w:val="SingleTxtG"/>
        <w:numPr>
          <w:ilvl w:val="0"/>
          <w:numId w:val="3"/>
        </w:numPr>
        <w:tabs>
          <w:tab w:val="left" w:pos="1843"/>
          <w:tab w:val="left" w:pos="6120"/>
        </w:tabs>
        <w:ind w:left="1134" w:right="0" w:firstLine="0"/>
        <w:rPr>
          <w:rStyle w:val="st"/>
          <w:lang w:val="en-GB"/>
        </w:rPr>
      </w:pPr>
      <w:r w:rsidRPr="00FF1087">
        <w:rPr>
          <w:rStyle w:val="st"/>
          <w:lang w:val="en-GB"/>
        </w:rPr>
        <w:t>To prove</w:t>
      </w:r>
      <w:r w:rsidR="00715A7C" w:rsidRPr="00FF1087">
        <w:rPr>
          <w:rStyle w:val="st"/>
          <w:lang w:val="en-GB"/>
        </w:rPr>
        <w:t xml:space="preserve"> </w:t>
      </w:r>
      <w:r w:rsidR="005E38B1" w:rsidRPr="00FF1087">
        <w:rPr>
          <w:rStyle w:val="st"/>
          <w:lang w:val="en-GB"/>
        </w:rPr>
        <w:t>the notification was insufficient</w:t>
      </w:r>
      <w:r w:rsidR="00715A7C" w:rsidRPr="00FF1087">
        <w:rPr>
          <w:rStyle w:val="st"/>
          <w:lang w:val="en-GB"/>
        </w:rPr>
        <w:t xml:space="preserve"> the communicant </w:t>
      </w:r>
      <w:r w:rsidR="00AF641B" w:rsidRPr="00FF1087">
        <w:rPr>
          <w:rStyle w:val="st"/>
          <w:lang w:val="en-GB"/>
        </w:rPr>
        <w:t xml:space="preserve">points </w:t>
      </w:r>
      <w:r w:rsidR="00715A7C" w:rsidRPr="00FF1087">
        <w:rPr>
          <w:rStyle w:val="st"/>
          <w:lang w:val="en-GB"/>
        </w:rPr>
        <w:t>to the low</w:t>
      </w:r>
      <w:r w:rsidR="00D2241A" w:rsidRPr="00FF1087">
        <w:rPr>
          <w:rStyle w:val="st"/>
          <w:lang w:val="en-GB"/>
        </w:rPr>
        <w:t xml:space="preserve"> </w:t>
      </w:r>
      <w:r w:rsidR="00715A7C" w:rsidRPr="00FF1087">
        <w:rPr>
          <w:rStyle w:val="st"/>
          <w:lang w:val="en-GB"/>
        </w:rPr>
        <w:t>number of responses</w:t>
      </w:r>
      <w:r w:rsidR="006A4261" w:rsidRPr="00FF1087">
        <w:rPr>
          <w:rStyle w:val="st"/>
          <w:lang w:val="en-GB"/>
        </w:rPr>
        <w:t xml:space="preserve"> (142 from the EU region)</w:t>
      </w:r>
      <w:r w:rsidR="00715A7C" w:rsidRPr="00FF1087">
        <w:rPr>
          <w:rStyle w:val="st"/>
          <w:lang w:val="en-GB"/>
        </w:rPr>
        <w:t>.</w:t>
      </w:r>
      <w:r w:rsidR="00715A7C" w:rsidRPr="00FF1087">
        <w:rPr>
          <w:rStyle w:val="FootnoteReference"/>
          <w:lang w:val="en-GB"/>
        </w:rPr>
        <w:footnoteReference w:id="68"/>
      </w:r>
      <w:r w:rsidR="00715A7C" w:rsidRPr="00FF1087">
        <w:rPr>
          <w:rStyle w:val="st"/>
          <w:lang w:val="en-GB"/>
        </w:rPr>
        <w:t xml:space="preserve"> </w:t>
      </w:r>
      <w:r w:rsidR="0057326B" w:rsidRPr="00FF1087">
        <w:rPr>
          <w:rStyle w:val="st"/>
          <w:lang w:val="en-GB"/>
        </w:rPr>
        <w:t>It</w:t>
      </w:r>
      <w:r w:rsidR="00715A7C" w:rsidRPr="00FF1087">
        <w:rPr>
          <w:rStyle w:val="st"/>
          <w:lang w:val="en-GB"/>
        </w:rPr>
        <w:t xml:space="preserve"> </w:t>
      </w:r>
      <w:r w:rsidR="0057326B" w:rsidRPr="00FF1087">
        <w:rPr>
          <w:rStyle w:val="st"/>
          <w:lang w:val="en-GB"/>
        </w:rPr>
        <w:t>submits</w:t>
      </w:r>
      <w:r w:rsidR="004419BC" w:rsidRPr="00FF1087">
        <w:rPr>
          <w:rStyle w:val="st"/>
          <w:lang w:val="en-GB"/>
        </w:rPr>
        <w:t xml:space="preserve"> </w:t>
      </w:r>
      <w:r w:rsidR="00715A7C" w:rsidRPr="00FF1087">
        <w:rPr>
          <w:rStyle w:val="st"/>
          <w:lang w:val="en-GB"/>
        </w:rPr>
        <w:t xml:space="preserve">it </w:t>
      </w:r>
      <w:r w:rsidR="0048389C" w:rsidRPr="00FF1087">
        <w:rPr>
          <w:rStyle w:val="st"/>
          <w:lang w:val="en-GB"/>
        </w:rPr>
        <w:t xml:space="preserve">is </w:t>
      </w:r>
      <w:r w:rsidR="00715A7C" w:rsidRPr="00FF1087">
        <w:rPr>
          <w:rStyle w:val="st"/>
          <w:lang w:val="en-GB"/>
        </w:rPr>
        <w:t xml:space="preserve">not </w:t>
      </w:r>
      <w:r w:rsidR="006544C8" w:rsidRPr="00FF1087">
        <w:rPr>
          <w:rStyle w:val="st"/>
          <w:lang w:val="en-GB"/>
        </w:rPr>
        <w:t xml:space="preserve">the </w:t>
      </w:r>
      <w:r w:rsidR="00715A7C" w:rsidRPr="00FF1087">
        <w:rPr>
          <w:rStyle w:val="st"/>
          <w:lang w:val="en-GB"/>
        </w:rPr>
        <w:t xml:space="preserve">regular practice </w:t>
      </w:r>
      <w:r w:rsidR="006544C8" w:rsidRPr="00FF1087">
        <w:rPr>
          <w:rStyle w:val="st"/>
          <w:lang w:val="en-GB"/>
        </w:rPr>
        <w:t xml:space="preserve">of the public in Ireland </w:t>
      </w:r>
      <w:r w:rsidR="00715A7C" w:rsidRPr="00FF1087">
        <w:rPr>
          <w:rStyle w:val="st"/>
          <w:lang w:val="en-GB"/>
        </w:rPr>
        <w:t>to check EU websites and</w:t>
      </w:r>
      <w:r w:rsidRPr="00FF1087">
        <w:rPr>
          <w:rStyle w:val="st"/>
          <w:lang w:val="en-GB"/>
        </w:rPr>
        <w:t xml:space="preserve"> </w:t>
      </w:r>
      <w:r w:rsidR="00715A7C" w:rsidRPr="00FF1087">
        <w:rPr>
          <w:rStyle w:val="st"/>
          <w:lang w:val="en-GB"/>
        </w:rPr>
        <w:t xml:space="preserve">questions how many ordinary people are able to find and </w:t>
      </w:r>
      <w:r w:rsidR="00715A7C" w:rsidRPr="00FF1087">
        <w:rPr>
          <w:rStyle w:val="st"/>
          <w:lang w:val="en-GB"/>
        </w:rPr>
        <w:lastRenderedPageBreak/>
        <w:t xml:space="preserve">read the Commission’s “Your Voice in Europe” webpage </w:t>
      </w:r>
      <w:r w:rsidR="0048389C" w:rsidRPr="00FF1087">
        <w:rPr>
          <w:rStyle w:val="st"/>
          <w:lang w:val="en-GB"/>
        </w:rPr>
        <w:t>or</w:t>
      </w:r>
      <w:r w:rsidR="00715A7C" w:rsidRPr="00FF1087">
        <w:rPr>
          <w:rStyle w:val="st"/>
          <w:lang w:val="en-GB"/>
        </w:rPr>
        <w:t xml:space="preserve"> the announcements on </w:t>
      </w:r>
      <w:r w:rsidR="006355ED" w:rsidRPr="00FF1087">
        <w:rPr>
          <w:rStyle w:val="st"/>
          <w:lang w:val="en-GB"/>
        </w:rPr>
        <w:t xml:space="preserve">the responsible authorities’ </w:t>
      </w:r>
      <w:r w:rsidR="00715A7C" w:rsidRPr="00FF1087">
        <w:rPr>
          <w:rStyle w:val="st"/>
          <w:lang w:val="en-GB"/>
        </w:rPr>
        <w:t>website</w:t>
      </w:r>
      <w:r w:rsidR="006355ED" w:rsidRPr="00FF1087">
        <w:rPr>
          <w:rStyle w:val="st"/>
          <w:lang w:val="en-GB"/>
        </w:rPr>
        <w:t>s</w:t>
      </w:r>
      <w:r w:rsidR="004419BC" w:rsidRPr="00FF1087">
        <w:rPr>
          <w:rStyle w:val="st"/>
          <w:lang w:val="en-GB"/>
        </w:rPr>
        <w:t>.</w:t>
      </w:r>
      <w:r w:rsidR="00715A7C" w:rsidRPr="00FF1087">
        <w:rPr>
          <w:rStyle w:val="st"/>
          <w:lang w:val="en-GB"/>
        </w:rPr>
        <w:t xml:space="preserve"> </w:t>
      </w:r>
      <w:r w:rsidR="00643C48" w:rsidRPr="00FF1087">
        <w:rPr>
          <w:rStyle w:val="st"/>
          <w:lang w:val="en-GB"/>
        </w:rPr>
        <w:t>It</w:t>
      </w:r>
      <w:r w:rsidR="00715A7C" w:rsidRPr="00FF1087">
        <w:rPr>
          <w:rStyle w:val="st"/>
          <w:lang w:val="en-GB"/>
        </w:rPr>
        <w:t xml:space="preserve"> claims there is no evidence that </w:t>
      </w:r>
      <w:r w:rsidR="00D964F7" w:rsidRPr="00FF1087">
        <w:rPr>
          <w:rStyle w:val="st"/>
          <w:lang w:val="en-GB"/>
        </w:rPr>
        <w:t xml:space="preserve">a </w:t>
      </w:r>
      <w:r w:rsidR="00715A7C" w:rsidRPr="00FF1087">
        <w:rPr>
          <w:rStyle w:val="st"/>
          <w:lang w:val="en-GB"/>
        </w:rPr>
        <w:t>press release was printed in any Irish newspapers or that any other “more traditional alternatives to the internet” were</w:t>
      </w:r>
      <w:r w:rsidR="004419BC" w:rsidRPr="00FF1087">
        <w:rPr>
          <w:rStyle w:val="st"/>
          <w:lang w:val="en-GB"/>
        </w:rPr>
        <w:t xml:space="preserve"> </w:t>
      </w:r>
      <w:r w:rsidR="00715A7C" w:rsidRPr="00FF1087">
        <w:rPr>
          <w:rStyle w:val="st"/>
          <w:lang w:val="en-GB"/>
        </w:rPr>
        <w:t xml:space="preserve">utilised. </w:t>
      </w:r>
      <w:r w:rsidR="004419BC" w:rsidRPr="00FF1087">
        <w:rPr>
          <w:rStyle w:val="st"/>
          <w:lang w:val="en-GB"/>
        </w:rPr>
        <w:t>It</w:t>
      </w:r>
      <w:r w:rsidR="00715A7C" w:rsidRPr="00FF1087">
        <w:rPr>
          <w:rStyle w:val="st"/>
          <w:lang w:val="en-GB"/>
        </w:rPr>
        <w:t xml:space="preserve"> refers to paragraph</w:t>
      </w:r>
      <w:r w:rsidR="00643C48" w:rsidRPr="00FF1087">
        <w:rPr>
          <w:rStyle w:val="st"/>
          <w:lang w:val="en-GB"/>
        </w:rPr>
        <w:t>s</w:t>
      </w:r>
      <w:r w:rsidR="00715A7C" w:rsidRPr="00FF1087">
        <w:rPr>
          <w:rStyle w:val="st"/>
          <w:lang w:val="en-GB"/>
        </w:rPr>
        <w:t xml:space="preserve"> 65 and 66 of the Maastricht Recommendations </w:t>
      </w:r>
      <w:r w:rsidR="006A4261" w:rsidRPr="00FF1087">
        <w:rPr>
          <w:rStyle w:val="st"/>
          <w:lang w:val="en-GB"/>
        </w:rPr>
        <w:t xml:space="preserve">on Promoting Effective Public Participation in Environmental Matters </w:t>
      </w:r>
      <w:r w:rsidR="00715A7C" w:rsidRPr="00FF1087">
        <w:rPr>
          <w:rStyle w:val="st"/>
          <w:lang w:val="en-GB"/>
        </w:rPr>
        <w:t>which recommend public notice through radio, television, social media and local newspapers.</w:t>
      </w:r>
      <w:r w:rsidR="00715A7C" w:rsidRPr="00FF1087">
        <w:rPr>
          <w:rStyle w:val="FootnoteReference"/>
          <w:lang w:val="en-GB"/>
        </w:rPr>
        <w:footnoteReference w:id="69"/>
      </w:r>
      <w:r w:rsidR="00715A7C" w:rsidRPr="00FF1087">
        <w:rPr>
          <w:rStyle w:val="st"/>
          <w:lang w:val="en-GB"/>
        </w:rPr>
        <w:t xml:space="preserve"> </w:t>
      </w:r>
    </w:p>
    <w:p w14:paraId="13E6E0A0" w14:textId="713AADEB" w:rsidR="00715A7C" w:rsidRPr="00FF1087" w:rsidRDefault="00715A7C" w:rsidP="006544C8">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 submit</w:t>
      </w:r>
      <w:r w:rsidR="00D964F7" w:rsidRPr="00FF1087">
        <w:rPr>
          <w:rStyle w:val="st"/>
          <w:lang w:val="en-GB"/>
        </w:rPr>
        <w:t>s</w:t>
      </w:r>
      <w:r w:rsidRPr="00FF1087">
        <w:rPr>
          <w:rStyle w:val="st"/>
          <w:lang w:val="en-GB"/>
        </w:rPr>
        <w:t xml:space="preserve"> the </w:t>
      </w:r>
      <w:r w:rsidR="006544C8" w:rsidRPr="00FF1087">
        <w:rPr>
          <w:rStyle w:val="st"/>
          <w:lang w:val="en-GB"/>
        </w:rPr>
        <w:t xml:space="preserve">2012 </w:t>
      </w:r>
      <w:r w:rsidRPr="00FF1087">
        <w:rPr>
          <w:rStyle w:val="st"/>
          <w:lang w:val="en-GB"/>
        </w:rPr>
        <w:t xml:space="preserve">public consultation was announced on the “Your Voice in Europe” website, which </w:t>
      </w:r>
      <w:r w:rsidR="00FD68FF" w:rsidRPr="00FF1087">
        <w:rPr>
          <w:rStyle w:val="st"/>
          <w:lang w:val="en-GB"/>
        </w:rPr>
        <w:t xml:space="preserve">is </w:t>
      </w:r>
      <w:r w:rsidRPr="00FF1087">
        <w:rPr>
          <w:rStyle w:val="st"/>
          <w:lang w:val="en-GB"/>
        </w:rPr>
        <w:t>the single access point for all</w:t>
      </w:r>
      <w:r w:rsidR="006544C8" w:rsidRPr="00FF1087">
        <w:rPr>
          <w:rStyle w:val="st"/>
          <w:lang w:val="en-GB"/>
        </w:rPr>
        <w:t xml:space="preserve"> </w:t>
      </w:r>
      <w:r w:rsidRPr="00FF1087">
        <w:rPr>
          <w:rStyle w:val="st"/>
          <w:lang w:val="en-GB"/>
        </w:rPr>
        <w:t>public consultations</w:t>
      </w:r>
      <w:r w:rsidR="006544C8" w:rsidRPr="00FF1087">
        <w:rPr>
          <w:rStyle w:val="st"/>
          <w:lang w:val="en-GB"/>
        </w:rPr>
        <w:t xml:space="preserve"> by the Commission</w:t>
      </w:r>
      <w:r w:rsidRPr="00FF1087">
        <w:rPr>
          <w:rStyle w:val="st"/>
          <w:lang w:val="en-GB"/>
        </w:rPr>
        <w:t>.</w:t>
      </w:r>
      <w:r w:rsidR="005E38B1" w:rsidRPr="00FF1087">
        <w:rPr>
          <w:rStyle w:val="FootnoteReference"/>
          <w:lang w:val="en-GB"/>
        </w:rPr>
        <w:footnoteReference w:id="70"/>
      </w:r>
      <w:r w:rsidRPr="00FF1087">
        <w:rPr>
          <w:rStyle w:val="st"/>
          <w:lang w:val="en-GB"/>
        </w:rPr>
        <w:t xml:space="preserve"> </w:t>
      </w:r>
      <w:r w:rsidR="0018065C" w:rsidRPr="00FF1087">
        <w:rPr>
          <w:rStyle w:val="st"/>
          <w:lang w:val="en-GB"/>
        </w:rPr>
        <w:t>It submits</w:t>
      </w:r>
      <w:r w:rsidR="005C23EF" w:rsidRPr="00FF1087">
        <w:rPr>
          <w:rStyle w:val="st"/>
          <w:lang w:val="en-GB"/>
        </w:rPr>
        <w:t xml:space="preserve"> </w:t>
      </w:r>
      <w:r w:rsidR="0018065C" w:rsidRPr="00FF1087">
        <w:rPr>
          <w:rStyle w:val="st"/>
          <w:lang w:val="en-GB"/>
        </w:rPr>
        <w:t>a</w:t>
      </w:r>
      <w:r w:rsidRPr="00FF1087">
        <w:rPr>
          <w:rStyle w:val="st"/>
          <w:lang w:val="en-GB"/>
        </w:rPr>
        <w:t>ll</w:t>
      </w:r>
      <w:r w:rsidR="005C23EF" w:rsidRPr="00FF1087">
        <w:rPr>
          <w:rStyle w:val="st"/>
          <w:lang w:val="en-GB"/>
        </w:rPr>
        <w:t xml:space="preserve"> </w:t>
      </w:r>
      <w:r w:rsidRPr="00FF1087">
        <w:rPr>
          <w:rStyle w:val="st"/>
          <w:lang w:val="en-GB"/>
        </w:rPr>
        <w:t xml:space="preserve">events were communicated to stakeholders and members of the public </w:t>
      </w:r>
      <w:r w:rsidR="006544C8" w:rsidRPr="00FF1087">
        <w:rPr>
          <w:rStyle w:val="st"/>
          <w:lang w:val="en-GB"/>
        </w:rPr>
        <w:t>through the</w:t>
      </w:r>
      <w:r w:rsidR="004517B1" w:rsidRPr="00FF1087">
        <w:rPr>
          <w:rStyle w:val="st"/>
          <w:lang w:val="en-GB"/>
        </w:rPr>
        <w:t xml:space="preserve"> </w:t>
      </w:r>
      <w:r w:rsidRPr="00FF1087">
        <w:rPr>
          <w:rStyle w:val="st"/>
          <w:lang w:val="en-GB"/>
        </w:rPr>
        <w:t xml:space="preserve">webpages </w:t>
      </w:r>
      <w:r w:rsidR="006544C8" w:rsidRPr="00FF1087">
        <w:rPr>
          <w:rStyle w:val="st"/>
          <w:lang w:val="en-GB"/>
        </w:rPr>
        <w:t xml:space="preserve">of its </w:t>
      </w:r>
      <w:r w:rsidRPr="00FF1087">
        <w:rPr>
          <w:rStyle w:val="st"/>
          <w:lang w:val="en-GB"/>
        </w:rPr>
        <w:t>Directorate</w:t>
      </w:r>
      <w:r w:rsidR="00F57575" w:rsidRPr="00FF1087">
        <w:rPr>
          <w:rStyle w:val="st"/>
          <w:lang w:val="en-GB"/>
        </w:rPr>
        <w:t>-</w:t>
      </w:r>
      <w:r w:rsidRPr="00FF1087">
        <w:rPr>
          <w:rStyle w:val="st"/>
          <w:lang w:val="en-GB"/>
        </w:rPr>
        <w:t xml:space="preserve">General </w:t>
      </w:r>
      <w:r w:rsidR="00F57575" w:rsidRPr="00FF1087">
        <w:rPr>
          <w:rStyle w:val="st"/>
          <w:lang w:val="en-GB"/>
        </w:rPr>
        <w:t xml:space="preserve">for </w:t>
      </w:r>
      <w:r w:rsidRPr="00FF1087">
        <w:rPr>
          <w:rStyle w:val="st"/>
          <w:lang w:val="en-GB"/>
        </w:rPr>
        <w:t xml:space="preserve">Energy </w:t>
      </w:r>
      <w:r w:rsidR="0018065C" w:rsidRPr="00FF1087">
        <w:rPr>
          <w:rStyle w:val="st"/>
          <w:lang w:val="en-GB"/>
        </w:rPr>
        <w:t>and that</w:t>
      </w:r>
      <w:r w:rsidR="000C7B9B" w:rsidRPr="00FF1087">
        <w:rPr>
          <w:rStyle w:val="st"/>
          <w:lang w:val="en-GB"/>
        </w:rPr>
        <w:t xml:space="preserve"> </w:t>
      </w:r>
      <w:r w:rsidRPr="00FF1087">
        <w:rPr>
          <w:rStyle w:val="st"/>
          <w:lang w:val="en-GB"/>
        </w:rPr>
        <w:t>stakeholders and members of the public interested in energy policy</w:t>
      </w:r>
      <w:r w:rsidR="00643C48" w:rsidRPr="00FF1087">
        <w:rPr>
          <w:rStyle w:val="st"/>
          <w:lang w:val="en-GB"/>
        </w:rPr>
        <w:t xml:space="preserve"> follow these</w:t>
      </w:r>
      <w:r w:rsidRPr="00FF1087">
        <w:rPr>
          <w:rStyle w:val="st"/>
          <w:lang w:val="en-GB"/>
        </w:rPr>
        <w:t xml:space="preserve">. </w:t>
      </w:r>
    </w:p>
    <w:p w14:paraId="1B44115A" w14:textId="43F7F5F7" w:rsidR="00715A7C" w:rsidRPr="00FF1087" w:rsidRDefault="00715A7C"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submits the consultation process was open and not subject to limitations based on </w:t>
      </w:r>
      <w:r w:rsidR="0067377E" w:rsidRPr="00FF1087">
        <w:rPr>
          <w:rStyle w:val="st"/>
          <w:lang w:val="en-GB"/>
        </w:rPr>
        <w:t xml:space="preserve">stakeholders’ </w:t>
      </w:r>
      <w:r w:rsidRPr="00FF1087">
        <w:rPr>
          <w:rStyle w:val="st"/>
          <w:lang w:val="en-GB"/>
        </w:rPr>
        <w:t>location, activities</w:t>
      </w:r>
      <w:r w:rsidR="0048389C" w:rsidRPr="00FF1087">
        <w:rPr>
          <w:rStyle w:val="st"/>
          <w:lang w:val="en-GB"/>
        </w:rPr>
        <w:t xml:space="preserve"> performed</w:t>
      </w:r>
      <w:r w:rsidRPr="00FF1087">
        <w:rPr>
          <w:rStyle w:val="st"/>
          <w:lang w:val="en-GB"/>
        </w:rPr>
        <w:t xml:space="preserve"> or any other </w:t>
      </w:r>
      <w:r w:rsidR="00CE543E" w:rsidRPr="00FF1087">
        <w:rPr>
          <w:rStyle w:val="st"/>
          <w:lang w:val="en-GB"/>
        </w:rPr>
        <w:t>characteristics</w:t>
      </w:r>
      <w:r w:rsidRPr="00FF1087">
        <w:rPr>
          <w:rStyle w:val="st"/>
          <w:lang w:val="en-GB"/>
        </w:rPr>
        <w:t>.</w:t>
      </w:r>
      <w:r w:rsidR="005E38B1" w:rsidRPr="00FF1087">
        <w:rPr>
          <w:rStyle w:val="FootnoteReference"/>
          <w:lang w:val="en-GB"/>
        </w:rPr>
        <w:footnoteReference w:id="71"/>
      </w:r>
      <w:r w:rsidRPr="00FF1087">
        <w:rPr>
          <w:rStyle w:val="st"/>
          <w:lang w:val="en-GB"/>
        </w:rPr>
        <w:t xml:space="preserve"> </w:t>
      </w:r>
    </w:p>
    <w:p w14:paraId="1D5A5827" w14:textId="732EF1B3" w:rsidR="005E38B1" w:rsidRPr="00FF1087" w:rsidRDefault="005E38B1" w:rsidP="009062BF">
      <w:pPr>
        <w:pStyle w:val="SingleTxtG"/>
        <w:numPr>
          <w:ilvl w:val="0"/>
          <w:numId w:val="3"/>
        </w:numPr>
        <w:tabs>
          <w:tab w:val="left" w:pos="1843"/>
          <w:tab w:val="left" w:pos="6120"/>
        </w:tabs>
        <w:ind w:left="1134" w:right="0" w:firstLine="0"/>
        <w:rPr>
          <w:rStyle w:val="st"/>
          <w:lang w:val="en-GB"/>
        </w:rPr>
      </w:pPr>
      <w:bookmarkStart w:id="23" w:name="_Ref465261757"/>
      <w:r w:rsidRPr="00FF1087">
        <w:rPr>
          <w:rStyle w:val="st"/>
          <w:lang w:val="en-GB"/>
        </w:rPr>
        <w:t xml:space="preserve">The Party concerned </w:t>
      </w:r>
      <w:r w:rsidR="0067377E" w:rsidRPr="00FF1087">
        <w:rPr>
          <w:rStyle w:val="st"/>
          <w:lang w:val="en-GB"/>
        </w:rPr>
        <w:t xml:space="preserve">further </w:t>
      </w:r>
      <w:r w:rsidRPr="00FF1087">
        <w:rPr>
          <w:rStyle w:val="st"/>
          <w:lang w:val="en-GB"/>
        </w:rPr>
        <w:t>submits</w:t>
      </w:r>
      <w:r w:rsidR="0067377E" w:rsidRPr="00FF1087">
        <w:rPr>
          <w:rStyle w:val="st"/>
          <w:lang w:val="en-GB"/>
        </w:rPr>
        <w:t xml:space="preserve"> that, prior </w:t>
      </w:r>
      <w:proofErr w:type="gramStart"/>
      <w:r w:rsidR="0067377E" w:rsidRPr="00FF1087">
        <w:rPr>
          <w:rStyle w:val="st"/>
          <w:lang w:val="en-GB"/>
        </w:rPr>
        <w:t>to  construction</w:t>
      </w:r>
      <w:proofErr w:type="gramEnd"/>
      <w:r w:rsidR="0067377E" w:rsidRPr="00FF1087">
        <w:rPr>
          <w:rStyle w:val="st"/>
          <w:lang w:val="en-GB"/>
        </w:rPr>
        <w:t xml:space="preserve">, each </w:t>
      </w:r>
      <w:r w:rsidRPr="00FF1087">
        <w:rPr>
          <w:rStyle w:val="st"/>
          <w:lang w:val="en-GB"/>
        </w:rPr>
        <w:t xml:space="preserve">PCI </w:t>
      </w:r>
      <w:r w:rsidR="00BD774B" w:rsidRPr="00FF1087">
        <w:rPr>
          <w:rStyle w:val="st"/>
          <w:lang w:val="en-GB"/>
        </w:rPr>
        <w:t xml:space="preserve">will </w:t>
      </w:r>
      <w:r w:rsidR="0067377E" w:rsidRPr="00FF1087">
        <w:rPr>
          <w:rStyle w:val="st"/>
          <w:lang w:val="en-GB"/>
        </w:rPr>
        <w:t xml:space="preserve">be subject to </w:t>
      </w:r>
      <w:r w:rsidRPr="00FF1087">
        <w:rPr>
          <w:rStyle w:val="st"/>
          <w:lang w:val="en-GB"/>
        </w:rPr>
        <w:t>public participation</w:t>
      </w:r>
      <w:r w:rsidR="004517B1" w:rsidRPr="00FF1087">
        <w:rPr>
          <w:rStyle w:val="st"/>
          <w:lang w:val="en-GB"/>
        </w:rPr>
        <w:t xml:space="preserve"> </w:t>
      </w:r>
      <w:r w:rsidR="00C654C7" w:rsidRPr="00FF1087">
        <w:rPr>
          <w:rStyle w:val="st"/>
          <w:lang w:val="en-GB"/>
        </w:rPr>
        <w:t xml:space="preserve">at the national level </w:t>
      </w:r>
      <w:r w:rsidRPr="00FF1087">
        <w:rPr>
          <w:rStyle w:val="st"/>
          <w:lang w:val="en-GB"/>
        </w:rPr>
        <w:t>in line with article 9</w:t>
      </w:r>
      <w:r w:rsidR="0018065C" w:rsidRPr="00FF1087">
        <w:rPr>
          <w:rStyle w:val="st"/>
          <w:lang w:val="en-GB"/>
        </w:rPr>
        <w:t xml:space="preserve"> of</w:t>
      </w:r>
      <w:r w:rsidRPr="00FF1087">
        <w:rPr>
          <w:rStyle w:val="st"/>
          <w:lang w:val="en-GB"/>
        </w:rPr>
        <w:t xml:space="preserve"> </w:t>
      </w:r>
      <w:r w:rsidR="00B2067B" w:rsidRPr="00FF1087">
        <w:rPr>
          <w:rStyle w:val="st"/>
          <w:lang w:val="en-GB"/>
        </w:rPr>
        <w:t xml:space="preserve">the </w:t>
      </w:r>
      <w:r w:rsidR="001F50A3" w:rsidRPr="00FF1087">
        <w:rPr>
          <w:rStyle w:val="st"/>
          <w:lang w:val="en-GB"/>
        </w:rPr>
        <w:t>TEN-E Regulation</w:t>
      </w:r>
      <w:r w:rsidRPr="00FF1087">
        <w:rPr>
          <w:rStyle w:val="st"/>
          <w:lang w:val="en-GB"/>
        </w:rPr>
        <w:t>.</w:t>
      </w:r>
      <w:r w:rsidRPr="00FF1087">
        <w:rPr>
          <w:rStyle w:val="FootnoteReference"/>
          <w:lang w:val="en-GB"/>
        </w:rPr>
        <w:footnoteReference w:id="72"/>
      </w:r>
      <w:bookmarkEnd w:id="23"/>
    </w:p>
    <w:p w14:paraId="1BF779C0" w14:textId="552B691E" w:rsidR="00A56EA6" w:rsidRPr="00FF1087" w:rsidRDefault="002A4490">
      <w:pPr>
        <w:pStyle w:val="SingleTxtG"/>
        <w:tabs>
          <w:tab w:val="left" w:pos="1843"/>
          <w:tab w:val="left" w:pos="6120"/>
        </w:tabs>
        <w:ind w:right="0"/>
        <w:rPr>
          <w:rStyle w:val="st"/>
          <w:b/>
          <w:lang w:val="en-GB"/>
        </w:rPr>
      </w:pPr>
      <w:r w:rsidRPr="00FF1087">
        <w:rPr>
          <w:rStyle w:val="st"/>
          <w:b/>
          <w:lang w:val="en-GB"/>
        </w:rPr>
        <w:t>Article</w:t>
      </w:r>
      <w:r w:rsidR="00715A7C" w:rsidRPr="00FF1087">
        <w:rPr>
          <w:rStyle w:val="st"/>
          <w:b/>
          <w:lang w:val="en-GB"/>
        </w:rPr>
        <w:t xml:space="preserve"> 7</w:t>
      </w:r>
      <w:r w:rsidR="0048389C" w:rsidRPr="00FF1087">
        <w:rPr>
          <w:rStyle w:val="st"/>
          <w:b/>
          <w:lang w:val="en-GB"/>
        </w:rPr>
        <w:t xml:space="preserve"> </w:t>
      </w:r>
      <w:r w:rsidR="00BD774B" w:rsidRPr="00FF1087">
        <w:rPr>
          <w:rStyle w:val="st"/>
          <w:b/>
          <w:lang w:val="en-GB"/>
        </w:rPr>
        <w:t>–</w:t>
      </w:r>
      <w:r w:rsidR="00CB398F" w:rsidRPr="00FF1087">
        <w:rPr>
          <w:rStyle w:val="st"/>
          <w:b/>
          <w:lang w:val="en-GB"/>
        </w:rPr>
        <w:t xml:space="preserve"> </w:t>
      </w:r>
      <w:r w:rsidR="00A56EA6" w:rsidRPr="00FF1087">
        <w:rPr>
          <w:rStyle w:val="st"/>
          <w:b/>
          <w:lang w:val="en-GB"/>
        </w:rPr>
        <w:t>necessary information</w:t>
      </w:r>
      <w:r w:rsidR="0087512B" w:rsidRPr="00FF1087">
        <w:rPr>
          <w:rStyle w:val="st"/>
          <w:b/>
          <w:lang w:val="en-GB"/>
        </w:rPr>
        <w:t xml:space="preserve"> </w:t>
      </w:r>
    </w:p>
    <w:p w14:paraId="73950402" w14:textId="39C59C71" w:rsidR="009672B0" w:rsidRPr="00FF1087" w:rsidRDefault="00A56EA6" w:rsidP="00370E70">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claims </w:t>
      </w:r>
      <w:r w:rsidR="00305E91" w:rsidRPr="00FF1087">
        <w:rPr>
          <w:rStyle w:val="st"/>
          <w:lang w:val="en-GB"/>
        </w:rPr>
        <w:t xml:space="preserve">the </w:t>
      </w:r>
      <w:r w:rsidRPr="00FF1087">
        <w:rPr>
          <w:rStyle w:val="st"/>
          <w:lang w:val="en-GB"/>
        </w:rPr>
        <w:t xml:space="preserve">“necessary information” </w:t>
      </w:r>
      <w:r w:rsidR="0087512B" w:rsidRPr="00FF1087">
        <w:rPr>
          <w:rStyle w:val="st"/>
          <w:lang w:val="en-GB"/>
        </w:rPr>
        <w:t>for</w:t>
      </w:r>
      <w:r w:rsidRPr="00FF1087">
        <w:rPr>
          <w:lang w:val="en-GB"/>
        </w:rPr>
        <w:t xml:space="preserve"> participation</w:t>
      </w:r>
      <w:r w:rsidR="006A2488" w:rsidRPr="00FF1087">
        <w:rPr>
          <w:lang w:val="en-GB"/>
        </w:rPr>
        <w:t xml:space="preserve"> was absent</w:t>
      </w:r>
      <w:r w:rsidR="00184849" w:rsidRPr="00FF1087">
        <w:rPr>
          <w:lang w:val="en-GB"/>
        </w:rPr>
        <w:t>.</w:t>
      </w:r>
      <w:r w:rsidR="00184849" w:rsidRPr="00FF1087">
        <w:rPr>
          <w:rStyle w:val="FootnoteReference"/>
          <w:lang w:val="en-GB"/>
        </w:rPr>
        <w:footnoteReference w:id="73"/>
      </w:r>
      <w:r w:rsidR="00184849" w:rsidRPr="00FF1087">
        <w:rPr>
          <w:lang w:val="en-GB"/>
        </w:rPr>
        <w:t xml:space="preserve"> </w:t>
      </w:r>
      <w:r w:rsidR="006355ED" w:rsidRPr="00FF1087">
        <w:rPr>
          <w:rStyle w:val="st"/>
          <w:lang w:val="en-GB"/>
        </w:rPr>
        <w:t>G</w:t>
      </w:r>
      <w:r w:rsidR="009645BE" w:rsidRPr="00FF1087">
        <w:rPr>
          <w:rStyle w:val="st"/>
          <w:lang w:val="en-GB"/>
        </w:rPr>
        <w:t xml:space="preserve">iven the enormous scale and impact of the 248 projects, the </w:t>
      </w:r>
      <w:r w:rsidR="0087512B" w:rsidRPr="00FF1087">
        <w:rPr>
          <w:rStyle w:val="st"/>
          <w:lang w:val="en-GB"/>
        </w:rPr>
        <w:t>“</w:t>
      </w:r>
      <w:r w:rsidR="009645BE" w:rsidRPr="00FF1087">
        <w:rPr>
          <w:rStyle w:val="st"/>
          <w:lang w:val="en-GB"/>
        </w:rPr>
        <w:t>necessary information</w:t>
      </w:r>
      <w:r w:rsidR="0087512B" w:rsidRPr="00FF1087">
        <w:rPr>
          <w:rStyle w:val="st"/>
          <w:lang w:val="en-GB"/>
        </w:rPr>
        <w:t>”</w:t>
      </w:r>
      <w:r w:rsidR="009645BE" w:rsidRPr="00FF1087">
        <w:rPr>
          <w:rStyle w:val="st"/>
          <w:lang w:val="en-GB"/>
        </w:rPr>
        <w:t xml:space="preserve"> should have </w:t>
      </w:r>
      <w:r w:rsidR="006355ED" w:rsidRPr="00FF1087">
        <w:rPr>
          <w:rStyle w:val="st"/>
          <w:lang w:val="en-GB"/>
        </w:rPr>
        <w:t>addressed at least</w:t>
      </w:r>
      <w:r w:rsidR="009645BE" w:rsidRPr="00FF1087">
        <w:rPr>
          <w:rStyle w:val="st"/>
          <w:lang w:val="en-GB"/>
        </w:rPr>
        <w:t xml:space="preserve"> cost, environmental impacts, environmental mitigation measures, quantification of objectives and alternatives.</w:t>
      </w:r>
      <w:r w:rsidR="009645BE" w:rsidRPr="00FF1087">
        <w:rPr>
          <w:rStyle w:val="FootnoteReference"/>
          <w:lang w:val="en-GB"/>
        </w:rPr>
        <w:footnoteReference w:id="74"/>
      </w:r>
      <w:r w:rsidR="00D403DC" w:rsidRPr="00FF1087">
        <w:rPr>
          <w:rStyle w:val="st"/>
          <w:lang w:val="en-GB"/>
        </w:rPr>
        <w:t xml:space="preserve"> </w:t>
      </w:r>
      <w:r w:rsidR="00B2067B" w:rsidRPr="00FF1087">
        <w:rPr>
          <w:rStyle w:val="st"/>
          <w:lang w:val="en-GB"/>
        </w:rPr>
        <w:t>T</w:t>
      </w:r>
      <w:r w:rsidR="009672B0" w:rsidRPr="00FF1087">
        <w:rPr>
          <w:rStyle w:val="st"/>
          <w:lang w:val="en-GB"/>
        </w:rPr>
        <w:t>he communicant</w:t>
      </w:r>
      <w:r w:rsidR="009645BE" w:rsidRPr="00FF1087">
        <w:rPr>
          <w:rStyle w:val="st"/>
          <w:lang w:val="en-GB"/>
        </w:rPr>
        <w:t xml:space="preserve"> </w:t>
      </w:r>
      <w:r w:rsidR="009672B0" w:rsidRPr="00FF1087">
        <w:rPr>
          <w:rStyle w:val="st"/>
          <w:lang w:val="en-GB"/>
        </w:rPr>
        <w:t>claims article 9</w:t>
      </w:r>
      <w:r w:rsidR="00B1124E" w:rsidRPr="00FF1087">
        <w:rPr>
          <w:rStyle w:val="st"/>
          <w:lang w:val="en-GB"/>
        </w:rPr>
        <w:t>(</w:t>
      </w:r>
      <w:r w:rsidR="009672B0" w:rsidRPr="00FF1087">
        <w:rPr>
          <w:rStyle w:val="st"/>
          <w:lang w:val="en-GB"/>
        </w:rPr>
        <w:t>4</w:t>
      </w:r>
      <w:r w:rsidR="00B1124E" w:rsidRPr="00FF1087">
        <w:rPr>
          <w:rStyle w:val="st"/>
          <w:lang w:val="en-GB"/>
        </w:rPr>
        <w:t>)</w:t>
      </w:r>
      <w:r w:rsidR="009672B0" w:rsidRPr="00FF1087">
        <w:rPr>
          <w:rStyle w:val="st"/>
          <w:lang w:val="en-GB"/>
        </w:rPr>
        <w:t xml:space="preserve"> of </w:t>
      </w:r>
      <w:r w:rsidR="009645BE" w:rsidRPr="00FF1087">
        <w:rPr>
          <w:rStyle w:val="st"/>
          <w:lang w:val="en-GB"/>
        </w:rPr>
        <w:t>the Aarhus R</w:t>
      </w:r>
      <w:r w:rsidR="009672B0" w:rsidRPr="00FF1087">
        <w:rPr>
          <w:rStyle w:val="st"/>
          <w:lang w:val="en-GB"/>
        </w:rPr>
        <w:t>egulation</w:t>
      </w:r>
      <w:r w:rsidR="006A2488" w:rsidRPr="00FF1087">
        <w:rPr>
          <w:rStyle w:val="st"/>
          <w:lang w:val="en-GB"/>
        </w:rPr>
        <w:t>, which only requires</w:t>
      </w:r>
      <w:r w:rsidR="003358FC" w:rsidRPr="00FF1087">
        <w:rPr>
          <w:rStyle w:val="st"/>
          <w:lang w:val="en-GB"/>
        </w:rPr>
        <w:t xml:space="preserve"> </w:t>
      </w:r>
      <w:r w:rsidR="006A2488" w:rsidRPr="00FF1087">
        <w:rPr>
          <w:rStyle w:val="st"/>
          <w:lang w:val="en-GB"/>
        </w:rPr>
        <w:t>disclosing “environmental information where available”</w:t>
      </w:r>
      <w:r w:rsidR="00D2241A" w:rsidRPr="00FF1087">
        <w:rPr>
          <w:rStyle w:val="st"/>
          <w:lang w:val="en-GB"/>
        </w:rPr>
        <w:t>,</w:t>
      </w:r>
      <w:r w:rsidR="003358FC" w:rsidRPr="00FF1087">
        <w:rPr>
          <w:rStyle w:val="st"/>
          <w:lang w:val="en-GB"/>
        </w:rPr>
        <w:t xml:space="preserve"> </w:t>
      </w:r>
      <w:r w:rsidR="00793FDA" w:rsidRPr="00FF1087">
        <w:rPr>
          <w:rStyle w:val="st"/>
          <w:lang w:val="en-GB"/>
        </w:rPr>
        <w:t>in</w:t>
      </w:r>
      <w:r w:rsidR="006A2488" w:rsidRPr="00FF1087">
        <w:rPr>
          <w:rStyle w:val="st"/>
          <w:lang w:val="en-GB"/>
        </w:rPr>
        <w:t xml:space="preserve">correctly </w:t>
      </w:r>
      <w:r w:rsidR="009672B0" w:rsidRPr="00FF1087">
        <w:rPr>
          <w:rStyle w:val="st"/>
          <w:lang w:val="en-GB"/>
        </w:rPr>
        <w:t>transpose</w:t>
      </w:r>
      <w:r w:rsidR="00793FDA" w:rsidRPr="00FF1087">
        <w:rPr>
          <w:rStyle w:val="st"/>
          <w:lang w:val="en-GB"/>
        </w:rPr>
        <w:t>s</w:t>
      </w:r>
      <w:r w:rsidR="009672B0" w:rsidRPr="00FF1087">
        <w:rPr>
          <w:rStyle w:val="st"/>
          <w:lang w:val="en-GB"/>
        </w:rPr>
        <w:t xml:space="preserve"> article 7</w:t>
      </w:r>
      <w:r w:rsidR="009645BE" w:rsidRPr="00FF1087">
        <w:rPr>
          <w:rStyle w:val="st"/>
          <w:lang w:val="en-GB"/>
        </w:rPr>
        <w:t xml:space="preserve"> of the Convention</w:t>
      </w:r>
      <w:r w:rsidR="009672B0" w:rsidRPr="00FF1087">
        <w:rPr>
          <w:rStyle w:val="st"/>
          <w:lang w:val="en-GB"/>
        </w:rPr>
        <w:t>.</w:t>
      </w:r>
      <w:r w:rsidR="009672B0" w:rsidRPr="00FF1087">
        <w:rPr>
          <w:rStyle w:val="FootnoteReference"/>
          <w:lang w:val="en-GB"/>
        </w:rPr>
        <w:footnoteReference w:id="75"/>
      </w:r>
      <w:r w:rsidR="009672B0" w:rsidRPr="00FF1087">
        <w:rPr>
          <w:rStyle w:val="st"/>
          <w:lang w:val="en-GB"/>
        </w:rPr>
        <w:t xml:space="preserve"> </w:t>
      </w:r>
    </w:p>
    <w:p w14:paraId="36C7A4DA" w14:textId="308A6D4B" w:rsidR="009645BE" w:rsidRPr="00FF1087" w:rsidRDefault="000F7BAD"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w:t>
      </w:r>
      <w:r w:rsidR="003E036C" w:rsidRPr="00FF1087">
        <w:rPr>
          <w:rStyle w:val="st"/>
          <w:lang w:val="en-GB"/>
        </w:rPr>
        <w:t xml:space="preserve">states </w:t>
      </w:r>
      <w:r w:rsidRPr="00FF1087">
        <w:rPr>
          <w:rStyle w:val="st"/>
          <w:lang w:val="en-GB"/>
        </w:rPr>
        <w:t xml:space="preserve">it actively disclosed environmental information </w:t>
      </w:r>
      <w:r w:rsidR="00607451" w:rsidRPr="00FF1087">
        <w:rPr>
          <w:rStyle w:val="st"/>
          <w:lang w:val="en-GB"/>
        </w:rPr>
        <w:t xml:space="preserve">during </w:t>
      </w:r>
      <w:r w:rsidRPr="00FF1087">
        <w:rPr>
          <w:rStyle w:val="st"/>
          <w:lang w:val="en-GB"/>
        </w:rPr>
        <w:t xml:space="preserve">the public consultation </w:t>
      </w:r>
      <w:r w:rsidR="006355ED" w:rsidRPr="00FF1087">
        <w:rPr>
          <w:rStyle w:val="st"/>
          <w:lang w:val="en-GB"/>
        </w:rPr>
        <w:t>from</w:t>
      </w:r>
      <w:r w:rsidRPr="00FF1087">
        <w:rPr>
          <w:rStyle w:val="st"/>
          <w:lang w:val="en-GB"/>
        </w:rPr>
        <w:t xml:space="preserve"> 20 June</w:t>
      </w:r>
      <w:r w:rsidR="00D2241A" w:rsidRPr="00FF1087">
        <w:rPr>
          <w:rStyle w:val="st"/>
          <w:lang w:val="en-GB"/>
        </w:rPr>
        <w:t xml:space="preserve"> to </w:t>
      </w:r>
      <w:r w:rsidRPr="00FF1087">
        <w:rPr>
          <w:rStyle w:val="st"/>
          <w:lang w:val="en-GB"/>
        </w:rPr>
        <w:t xml:space="preserve">4 October 2012. </w:t>
      </w:r>
      <w:r w:rsidR="006355ED" w:rsidRPr="00FF1087">
        <w:rPr>
          <w:rStyle w:val="st"/>
          <w:lang w:val="en-GB"/>
        </w:rPr>
        <w:t>T</w:t>
      </w:r>
      <w:r w:rsidRPr="00FF1087">
        <w:rPr>
          <w:rStyle w:val="st"/>
          <w:lang w:val="en-GB"/>
        </w:rPr>
        <w:t xml:space="preserve">he Commission published on its website and on the </w:t>
      </w:r>
      <w:r w:rsidR="0087512B" w:rsidRPr="00FF1087">
        <w:rPr>
          <w:rStyle w:val="st"/>
          <w:lang w:val="en-GB"/>
        </w:rPr>
        <w:t>“</w:t>
      </w:r>
      <w:r w:rsidRPr="00FF1087">
        <w:rPr>
          <w:rStyle w:val="st"/>
          <w:lang w:val="en-GB"/>
        </w:rPr>
        <w:t>Your voice in Europe</w:t>
      </w:r>
      <w:r w:rsidR="0087512B" w:rsidRPr="00FF1087">
        <w:rPr>
          <w:rStyle w:val="st"/>
          <w:lang w:val="en-GB"/>
        </w:rPr>
        <w:t>”</w:t>
      </w:r>
      <w:r w:rsidRPr="00FF1087">
        <w:rPr>
          <w:rStyle w:val="st"/>
          <w:lang w:val="en-GB"/>
        </w:rPr>
        <w:t xml:space="preserve"> website the lists of all PCI candidates in the electricity, gas and oil</w:t>
      </w:r>
      <w:r w:rsidR="0087512B" w:rsidRPr="00FF1087">
        <w:rPr>
          <w:rStyle w:val="st"/>
          <w:lang w:val="en-GB"/>
        </w:rPr>
        <w:t xml:space="preserve"> sectors, </w:t>
      </w:r>
      <w:r w:rsidR="006355ED" w:rsidRPr="00FF1087">
        <w:rPr>
          <w:rStyle w:val="st"/>
          <w:lang w:val="en-GB"/>
        </w:rPr>
        <w:t>including the</w:t>
      </w:r>
      <w:r w:rsidRPr="00FF1087">
        <w:rPr>
          <w:rStyle w:val="st"/>
          <w:lang w:val="en-GB"/>
        </w:rPr>
        <w:t xml:space="preserve"> countries concerned, name, description, planned year of completion, </w:t>
      </w:r>
      <w:r w:rsidR="00A469D3" w:rsidRPr="00FF1087">
        <w:rPr>
          <w:rStyle w:val="st"/>
          <w:lang w:val="en-GB"/>
        </w:rPr>
        <w:t>developer</w:t>
      </w:r>
      <w:r w:rsidRPr="00FF1087">
        <w:rPr>
          <w:rStyle w:val="st"/>
          <w:lang w:val="en-GB"/>
        </w:rPr>
        <w:t xml:space="preserve">s and reference number in the </w:t>
      </w:r>
      <w:r w:rsidR="0087512B" w:rsidRPr="00FF1087">
        <w:rPr>
          <w:rStyle w:val="st"/>
          <w:lang w:val="en-GB"/>
        </w:rPr>
        <w:t>“</w:t>
      </w:r>
      <w:r w:rsidRPr="00FF1087">
        <w:rPr>
          <w:rStyle w:val="st"/>
          <w:lang w:val="en-GB"/>
        </w:rPr>
        <w:t>Ten Year Network Development Plan</w:t>
      </w:r>
      <w:r w:rsidR="0087512B" w:rsidRPr="00FF1087">
        <w:rPr>
          <w:rStyle w:val="st"/>
          <w:lang w:val="en-GB"/>
        </w:rPr>
        <w:t>”</w:t>
      </w:r>
      <w:r w:rsidRPr="00FF1087">
        <w:rPr>
          <w:rStyle w:val="st"/>
          <w:lang w:val="en-GB"/>
        </w:rPr>
        <w:t>.</w:t>
      </w:r>
      <w:r w:rsidR="002805E2" w:rsidRPr="00FF1087">
        <w:rPr>
          <w:rStyle w:val="FootnoteReference"/>
          <w:lang w:val="en-GB"/>
        </w:rPr>
        <w:footnoteReference w:id="76"/>
      </w:r>
      <w:r w:rsidRPr="00FF1087">
        <w:rPr>
          <w:rStyle w:val="st"/>
          <w:lang w:val="en-GB"/>
        </w:rPr>
        <w:t xml:space="preserve"> It</w:t>
      </w:r>
      <w:r w:rsidR="00EB2BF1" w:rsidRPr="00FF1087">
        <w:rPr>
          <w:rStyle w:val="st"/>
          <w:lang w:val="en-GB"/>
        </w:rPr>
        <w:t xml:space="preserve"> </w:t>
      </w:r>
      <w:r w:rsidR="00F67E95" w:rsidRPr="00FF1087">
        <w:rPr>
          <w:rStyle w:val="st"/>
          <w:lang w:val="en-GB"/>
        </w:rPr>
        <w:t xml:space="preserve">submits </w:t>
      </w:r>
      <w:r w:rsidR="006355ED" w:rsidRPr="00FF1087">
        <w:rPr>
          <w:rStyle w:val="st"/>
          <w:lang w:val="en-GB"/>
        </w:rPr>
        <w:t xml:space="preserve">that </w:t>
      </w:r>
      <w:r w:rsidRPr="00FF1087">
        <w:rPr>
          <w:rStyle w:val="st"/>
          <w:lang w:val="en-GB"/>
        </w:rPr>
        <w:t xml:space="preserve">at the stage of establishing the PCI lists </w:t>
      </w:r>
      <w:r w:rsidR="009645BE" w:rsidRPr="00FF1087">
        <w:rPr>
          <w:rStyle w:val="st"/>
          <w:lang w:val="en-GB"/>
        </w:rPr>
        <w:t>the Commission</w:t>
      </w:r>
      <w:r w:rsidRPr="00FF1087">
        <w:rPr>
          <w:rStyle w:val="st"/>
          <w:lang w:val="en-GB"/>
        </w:rPr>
        <w:t xml:space="preserve"> did not hold detailed information, such as precise location, routing and technology of the projects and their </w:t>
      </w:r>
      <w:r w:rsidR="00440189" w:rsidRPr="00FF1087">
        <w:rPr>
          <w:rStyle w:val="st"/>
          <w:lang w:val="en-GB"/>
        </w:rPr>
        <w:t xml:space="preserve">environmental </w:t>
      </w:r>
      <w:r w:rsidRPr="00FF1087">
        <w:rPr>
          <w:rStyle w:val="st"/>
          <w:lang w:val="en-GB"/>
        </w:rPr>
        <w:t>impact</w:t>
      </w:r>
      <w:r w:rsidR="00440189" w:rsidRPr="00FF1087">
        <w:rPr>
          <w:rStyle w:val="st"/>
          <w:lang w:val="en-GB"/>
        </w:rPr>
        <w:t>s</w:t>
      </w:r>
      <w:r w:rsidR="00DD4F31" w:rsidRPr="00FF1087">
        <w:rPr>
          <w:rStyle w:val="st"/>
          <w:lang w:val="en-GB"/>
        </w:rPr>
        <w:t xml:space="preserve">; </w:t>
      </w:r>
      <w:r w:rsidR="009645BE" w:rsidRPr="00FF1087">
        <w:rPr>
          <w:rStyle w:val="st"/>
          <w:lang w:val="en-GB"/>
        </w:rPr>
        <w:t xml:space="preserve">this information </w:t>
      </w:r>
      <w:r w:rsidR="00DD4F31" w:rsidRPr="00FF1087">
        <w:rPr>
          <w:rStyle w:val="st"/>
          <w:lang w:val="en-GB"/>
        </w:rPr>
        <w:t xml:space="preserve">would </w:t>
      </w:r>
      <w:r w:rsidR="0087512B" w:rsidRPr="00FF1087">
        <w:rPr>
          <w:rStyle w:val="st"/>
          <w:lang w:val="en-GB"/>
        </w:rPr>
        <w:t xml:space="preserve">become available </w:t>
      </w:r>
      <w:r w:rsidRPr="00FF1087">
        <w:rPr>
          <w:rStyle w:val="st"/>
          <w:lang w:val="en-GB"/>
        </w:rPr>
        <w:t xml:space="preserve">at </w:t>
      </w:r>
      <w:r w:rsidR="009645BE" w:rsidRPr="00FF1087">
        <w:rPr>
          <w:rStyle w:val="st"/>
          <w:lang w:val="en-GB"/>
        </w:rPr>
        <w:t>the</w:t>
      </w:r>
      <w:r w:rsidRPr="00FF1087">
        <w:rPr>
          <w:rStyle w:val="st"/>
          <w:lang w:val="en-GB"/>
        </w:rPr>
        <w:t xml:space="preserve"> </w:t>
      </w:r>
      <w:r w:rsidR="009645BE" w:rsidRPr="00FF1087">
        <w:rPr>
          <w:rStyle w:val="st"/>
          <w:lang w:val="en-GB"/>
        </w:rPr>
        <w:t>permit</w:t>
      </w:r>
      <w:r w:rsidR="00440189" w:rsidRPr="00FF1087">
        <w:rPr>
          <w:rStyle w:val="st"/>
          <w:lang w:val="en-GB"/>
        </w:rPr>
        <w:t>ting</w:t>
      </w:r>
      <w:r w:rsidR="009645BE" w:rsidRPr="00FF1087">
        <w:rPr>
          <w:rStyle w:val="st"/>
          <w:lang w:val="en-GB"/>
        </w:rPr>
        <w:t xml:space="preserve"> stage. </w:t>
      </w:r>
    </w:p>
    <w:p w14:paraId="63EC32BD" w14:textId="3E4276C4" w:rsidR="00DD4F31" w:rsidRPr="00FF1087" w:rsidRDefault="00DD4F31" w:rsidP="00DD4F31">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claims the EU website for the consultation was restricted to English, and therefore most of the </w:t>
      </w:r>
      <w:r w:rsidR="00F57575" w:rsidRPr="00FF1087">
        <w:rPr>
          <w:rStyle w:val="st"/>
          <w:lang w:val="en-GB"/>
        </w:rPr>
        <w:t xml:space="preserve">EU </w:t>
      </w:r>
      <w:r w:rsidRPr="00FF1087">
        <w:rPr>
          <w:rStyle w:val="st"/>
          <w:lang w:val="en-GB"/>
        </w:rPr>
        <w:t>member States’ 500 million citizens were disenfranchised.</w:t>
      </w:r>
      <w:r w:rsidRPr="00FF1087">
        <w:rPr>
          <w:rStyle w:val="FootnoteReference"/>
          <w:lang w:val="en-GB"/>
        </w:rPr>
        <w:footnoteReference w:id="77"/>
      </w:r>
      <w:r w:rsidRPr="00FF1087">
        <w:rPr>
          <w:rStyle w:val="st"/>
          <w:lang w:val="en-GB"/>
        </w:rPr>
        <w:t xml:space="preserve"> It claims that the Commission’s reply to the Ombudsman that the information published on the “Your Voice for Europe website” was available in 23 EU </w:t>
      </w:r>
      <w:r w:rsidRPr="00FF1087">
        <w:rPr>
          <w:rStyle w:val="st"/>
          <w:lang w:val="en-GB"/>
        </w:rPr>
        <w:lastRenderedPageBreak/>
        <w:t>languages is untrue. The “Your Voice in Europe” website could be accessed in other languages, but most information on the site was only in English.</w:t>
      </w:r>
      <w:r w:rsidRPr="00FF1087">
        <w:rPr>
          <w:rStyle w:val="FootnoteReference"/>
          <w:lang w:val="en-GB"/>
        </w:rPr>
        <w:footnoteReference w:id="78"/>
      </w:r>
    </w:p>
    <w:p w14:paraId="240C04A8" w14:textId="2EF07C5E" w:rsidR="000F7BAD" w:rsidRPr="00FF1087" w:rsidRDefault="000F7BAD"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 claims</w:t>
      </w:r>
      <w:r w:rsidR="00B35C09" w:rsidRPr="00FF1087">
        <w:rPr>
          <w:rStyle w:val="st"/>
          <w:lang w:val="en-GB"/>
        </w:rPr>
        <w:t xml:space="preserve"> </w:t>
      </w:r>
      <w:r w:rsidRPr="00FF1087">
        <w:rPr>
          <w:rStyle w:val="st"/>
          <w:lang w:val="en-GB"/>
        </w:rPr>
        <w:t>the contact details of the</w:t>
      </w:r>
      <w:r w:rsidR="00B35C09" w:rsidRPr="00FF1087">
        <w:rPr>
          <w:rStyle w:val="st"/>
          <w:lang w:val="en-GB"/>
        </w:rPr>
        <w:t xml:space="preserve"> </w:t>
      </w:r>
      <w:r w:rsidRPr="00FF1087">
        <w:rPr>
          <w:rStyle w:val="st"/>
          <w:lang w:val="en-GB"/>
        </w:rPr>
        <w:t xml:space="preserve">Commission service in charge of PCIs and </w:t>
      </w:r>
      <w:r w:rsidR="009645BE" w:rsidRPr="00FF1087">
        <w:rPr>
          <w:rStyle w:val="st"/>
          <w:lang w:val="en-GB"/>
        </w:rPr>
        <w:t xml:space="preserve">the </w:t>
      </w:r>
      <w:r w:rsidR="006355ED" w:rsidRPr="00FF1087">
        <w:rPr>
          <w:rStyle w:val="st"/>
          <w:lang w:val="en-GB"/>
        </w:rPr>
        <w:t xml:space="preserve">PCI developers’ names </w:t>
      </w:r>
      <w:r w:rsidRPr="00FF1087">
        <w:rPr>
          <w:rStyle w:val="st"/>
          <w:lang w:val="en-GB"/>
        </w:rPr>
        <w:t xml:space="preserve">have been on </w:t>
      </w:r>
      <w:r w:rsidR="00533207" w:rsidRPr="00FF1087">
        <w:rPr>
          <w:rStyle w:val="st"/>
          <w:lang w:val="en-GB"/>
        </w:rPr>
        <w:t xml:space="preserve">its </w:t>
      </w:r>
      <w:r w:rsidRPr="00FF1087">
        <w:rPr>
          <w:rStyle w:val="st"/>
          <w:lang w:val="en-GB"/>
        </w:rPr>
        <w:t xml:space="preserve">website since June 2012 and the public </w:t>
      </w:r>
      <w:r w:rsidR="00533207" w:rsidRPr="00FF1087">
        <w:rPr>
          <w:rStyle w:val="st"/>
          <w:lang w:val="en-GB"/>
        </w:rPr>
        <w:t>could</w:t>
      </w:r>
      <w:r w:rsidRPr="00FF1087">
        <w:rPr>
          <w:rStyle w:val="st"/>
          <w:lang w:val="en-GB"/>
        </w:rPr>
        <w:t xml:space="preserve"> request additional information from </w:t>
      </w:r>
      <w:r w:rsidR="0087512B" w:rsidRPr="00FF1087">
        <w:rPr>
          <w:rStyle w:val="st"/>
          <w:lang w:val="en-GB"/>
        </w:rPr>
        <w:t xml:space="preserve">either </w:t>
      </w:r>
      <w:r w:rsidR="004517B1" w:rsidRPr="00FF1087">
        <w:rPr>
          <w:rStyle w:val="st"/>
          <w:lang w:val="en-GB"/>
        </w:rPr>
        <w:t>source</w:t>
      </w:r>
      <w:r w:rsidRPr="00FF1087">
        <w:rPr>
          <w:rStyle w:val="st"/>
          <w:lang w:val="en-GB"/>
        </w:rPr>
        <w:t>.</w:t>
      </w:r>
      <w:r w:rsidRPr="00FF1087">
        <w:rPr>
          <w:rStyle w:val="FootnoteReference"/>
          <w:lang w:val="en-GB"/>
        </w:rPr>
        <w:footnoteReference w:id="79"/>
      </w:r>
    </w:p>
    <w:p w14:paraId="5F05698C" w14:textId="16D31E50" w:rsidR="00147C3D" w:rsidRPr="00FF1087" w:rsidRDefault="00D24B11" w:rsidP="008C2131">
      <w:pPr>
        <w:pStyle w:val="SingleTxtG"/>
        <w:numPr>
          <w:ilvl w:val="0"/>
          <w:numId w:val="3"/>
        </w:numPr>
        <w:tabs>
          <w:tab w:val="left" w:pos="1843"/>
          <w:tab w:val="left" w:pos="6120"/>
        </w:tabs>
        <w:ind w:left="1134" w:right="0" w:firstLine="0"/>
        <w:rPr>
          <w:rStyle w:val="st"/>
          <w:lang w:val="en-GB"/>
        </w:rPr>
      </w:pPr>
      <w:r w:rsidRPr="00FF1087">
        <w:rPr>
          <w:rStyle w:val="st"/>
          <w:lang w:val="en-GB"/>
        </w:rPr>
        <w:t>The Party concerned reiterates</w:t>
      </w:r>
      <w:r w:rsidR="00147C3D" w:rsidRPr="00FF1087">
        <w:rPr>
          <w:rStyle w:val="st"/>
          <w:lang w:val="en-GB"/>
        </w:rPr>
        <w:t xml:space="preserve"> </w:t>
      </w:r>
      <w:r w:rsidR="00E544FB" w:rsidRPr="00FF1087">
        <w:rPr>
          <w:rStyle w:val="st"/>
          <w:lang w:val="en-GB"/>
        </w:rPr>
        <w:t>that before each PCI</w:t>
      </w:r>
      <w:r w:rsidR="008C2131" w:rsidRPr="00FF1087">
        <w:rPr>
          <w:rStyle w:val="st"/>
          <w:lang w:val="en-GB"/>
        </w:rPr>
        <w:t xml:space="preserve"> is permitted</w:t>
      </w:r>
      <w:r w:rsidR="00147C3D" w:rsidRPr="00FF1087">
        <w:rPr>
          <w:rStyle w:val="st"/>
          <w:lang w:val="en-GB"/>
        </w:rPr>
        <w:t>, communities living in</w:t>
      </w:r>
      <w:r w:rsidR="0035054E" w:rsidRPr="00FF1087">
        <w:rPr>
          <w:rStyle w:val="st"/>
          <w:lang w:val="en-GB"/>
        </w:rPr>
        <w:t xml:space="preserve"> the project</w:t>
      </w:r>
      <w:r w:rsidR="006544C8" w:rsidRPr="00FF1087">
        <w:rPr>
          <w:rStyle w:val="st"/>
          <w:lang w:val="en-GB"/>
        </w:rPr>
        <w:t>’</w:t>
      </w:r>
      <w:r w:rsidR="0035054E" w:rsidRPr="00FF1087">
        <w:rPr>
          <w:rStyle w:val="st"/>
          <w:lang w:val="en-GB"/>
        </w:rPr>
        <w:t xml:space="preserve">s </w:t>
      </w:r>
      <w:r w:rsidR="00147C3D" w:rsidRPr="00FF1087">
        <w:rPr>
          <w:rStyle w:val="st"/>
          <w:lang w:val="en-GB"/>
        </w:rPr>
        <w:t xml:space="preserve">vicinity </w:t>
      </w:r>
      <w:r w:rsidR="00EA04E8" w:rsidRPr="00FF1087">
        <w:rPr>
          <w:rStyle w:val="st"/>
          <w:lang w:val="en-GB"/>
        </w:rPr>
        <w:t>w</w:t>
      </w:r>
      <w:r w:rsidR="000D29EC" w:rsidRPr="00FF1087">
        <w:rPr>
          <w:rStyle w:val="st"/>
          <w:lang w:val="en-GB"/>
        </w:rPr>
        <w:t>ill</w:t>
      </w:r>
      <w:r w:rsidR="00EA04E8" w:rsidRPr="00FF1087">
        <w:rPr>
          <w:rStyle w:val="st"/>
          <w:lang w:val="en-GB"/>
        </w:rPr>
        <w:t xml:space="preserve"> </w:t>
      </w:r>
      <w:r w:rsidR="00147C3D" w:rsidRPr="00FF1087">
        <w:rPr>
          <w:rStyle w:val="st"/>
          <w:lang w:val="en-GB"/>
        </w:rPr>
        <w:t xml:space="preserve">receive information </w:t>
      </w:r>
      <w:r w:rsidR="0035054E" w:rsidRPr="00FF1087">
        <w:rPr>
          <w:rStyle w:val="st"/>
          <w:lang w:val="en-GB"/>
        </w:rPr>
        <w:t xml:space="preserve">and </w:t>
      </w:r>
      <w:r w:rsidR="00147C3D" w:rsidRPr="00FF1087">
        <w:rPr>
          <w:rStyle w:val="st"/>
          <w:lang w:val="en-GB"/>
        </w:rPr>
        <w:t>be able to communicate their views in their national languages.</w:t>
      </w:r>
      <w:r w:rsidR="008C2131" w:rsidRPr="00FF1087">
        <w:rPr>
          <w:rStyle w:val="st"/>
          <w:lang w:val="en-GB"/>
        </w:rPr>
        <w:t xml:space="preserve"> </w:t>
      </w:r>
      <w:r w:rsidR="000D29EC" w:rsidRPr="00FF1087">
        <w:rPr>
          <w:rStyle w:val="st"/>
          <w:lang w:val="en-GB"/>
        </w:rPr>
        <w:t xml:space="preserve">It contends </w:t>
      </w:r>
      <w:r w:rsidR="008C2131" w:rsidRPr="00FF1087">
        <w:rPr>
          <w:rStyle w:val="st"/>
          <w:lang w:val="en-GB"/>
        </w:rPr>
        <w:t>using</w:t>
      </w:r>
      <w:r w:rsidR="000D29EC" w:rsidRPr="00FF1087">
        <w:rPr>
          <w:rStyle w:val="st"/>
          <w:lang w:val="en-GB"/>
        </w:rPr>
        <w:t xml:space="preserve"> </w:t>
      </w:r>
      <w:r w:rsidR="00761F23" w:rsidRPr="00FF1087">
        <w:rPr>
          <w:rStyle w:val="st"/>
          <w:lang w:val="en-GB"/>
        </w:rPr>
        <w:t xml:space="preserve">solely </w:t>
      </w:r>
      <w:r w:rsidR="000D29EC" w:rsidRPr="00FF1087">
        <w:rPr>
          <w:rStyle w:val="st"/>
          <w:lang w:val="en-GB"/>
        </w:rPr>
        <w:t>English</w:t>
      </w:r>
      <w:r w:rsidR="008C2131" w:rsidRPr="00FF1087">
        <w:rPr>
          <w:rStyle w:val="st"/>
          <w:lang w:val="en-GB"/>
        </w:rPr>
        <w:t xml:space="preserve"> </w:t>
      </w:r>
      <w:r w:rsidR="000D29EC" w:rsidRPr="00FF1087">
        <w:rPr>
          <w:rStyle w:val="st"/>
          <w:lang w:val="en-GB"/>
        </w:rPr>
        <w:t>did not breach the Convention and that the</w:t>
      </w:r>
      <w:r w:rsidR="00147C3D" w:rsidRPr="00FF1087">
        <w:rPr>
          <w:rStyle w:val="st"/>
          <w:lang w:val="en-GB"/>
        </w:rPr>
        <w:t xml:space="preserve"> </w:t>
      </w:r>
      <w:r w:rsidR="00CE543E" w:rsidRPr="00FF1087">
        <w:rPr>
          <w:rStyle w:val="st"/>
          <w:lang w:val="en-GB"/>
        </w:rPr>
        <w:t>Committee</w:t>
      </w:r>
      <w:r w:rsidR="00147C3D" w:rsidRPr="00FF1087">
        <w:rPr>
          <w:rStyle w:val="st"/>
          <w:lang w:val="en-GB"/>
        </w:rPr>
        <w:t xml:space="preserve"> already </w:t>
      </w:r>
      <w:r w:rsidR="00352A88" w:rsidRPr="00FF1087">
        <w:rPr>
          <w:rStyle w:val="st"/>
          <w:lang w:val="en-GB"/>
        </w:rPr>
        <w:t>found in</w:t>
      </w:r>
      <w:r w:rsidR="00A766EC" w:rsidRPr="00FF1087">
        <w:rPr>
          <w:rStyle w:val="st"/>
          <w:lang w:val="en-GB"/>
        </w:rPr>
        <w:t xml:space="preserve"> communication </w:t>
      </w:r>
      <w:r w:rsidR="00147C3D" w:rsidRPr="00FF1087">
        <w:rPr>
          <w:rStyle w:val="st"/>
          <w:lang w:val="en-GB"/>
        </w:rPr>
        <w:t>ACCC/C/2010/46</w:t>
      </w:r>
      <w:r w:rsidR="00A766EC" w:rsidRPr="00FF1087">
        <w:rPr>
          <w:rStyle w:val="st"/>
          <w:lang w:val="en-GB"/>
        </w:rPr>
        <w:t xml:space="preserve"> (United Kingdom</w:t>
      </w:r>
      <w:r w:rsidR="00147C3D" w:rsidRPr="00FF1087">
        <w:rPr>
          <w:rStyle w:val="st"/>
          <w:lang w:val="en-GB"/>
        </w:rPr>
        <w:t>)</w:t>
      </w:r>
      <w:r w:rsidR="00A766EC" w:rsidRPr="00FF1087">
        <w:rPr>
          <w:rStyle w:val="st"/>
          <w:lang w:val="en-GB"/>
        </w:rPr>
        <w:t xml:space="preserve"> </w:t>
      </w:r>
      <w:r w:rsidRPr="00FF1087">
        <w:rPr>
          <w:rStyle w:val="st"/>
          <w:lang w:val="en-GB"/>
        </w:rPr>
        <w:t>that</w:t>
      </w:r>
      <w:r w:rsidR="00811115" w:rsidRPr="00FF1087">
        <w:rPr>
          <w:rStyle w:val="st"/>
          <w:lang w:val="en-GB"/>
        </w:rPr>
        <w:t xml:space="preserve"> </w:t>
      </w:r>
      <w:r w:rsidR="00A766EC" w:rsidRPr="00FF1087">
        <w:rPr>
          <w:rStyle w:val="st"/>
          <w:lang w:val="en-GB"/>
        </w:rPr>
        <w:t>a</w:t>
      </w:r>
      <w:r w:rsidR="00147C3D" w:rsidRPr="00FF1087">
        <w:rPr>
          <w:rStyle w:val="st"/>
          <w:lang w:val="en-GB"/>
        </w:rPr>
        <w:t>rticle 3</w:t>
      </w:r>
      <w:r w:rsidR="00B1124E" w:rsidRPr="00FF1087">
        <w:rPr>
          <w:rStyle w:val="st"/>
          <w:lang w:val="en-GB"/>
        </w:rPr>
        <w:t>(</w:t>
      </w:r>
      <w:r w:rsidRPr="00FF1087">
        <w:rPr>
          <w:rStyle w:val="st"/>
          <w:lang w:val="en-GB"/>
        </w:rPr>
        <w:t>9</w:t>
      </w:r>
      <w:r w:rsidR="00B1124E" w:rsidRPr="00FF1087">
        <w:rPr>
          <w:rStyle w:val="st"/>
          <w:lang w:val="en-GB"/>
        </w:rPr>
        <w:t>)</w:t>
      </w:r>
      <w:r w:rsidRPr="00FF1087">
        <w:rPr>
          <w:rStyle w:val="st"/>
          <w:lang w:val="en-GB"/>
        </w:rPr>
        <w:t xml:space="preserve"> of the Convention</w:t>
      </w:r>
      <w:r w:rsidR="00811115" w:rsidRPr="00FF1087">
        <w:rPr>
          <w:rStyle w:val="st"/>
          <w:lang w:val="en-GB"/>
        </w:rPr>
        <w:t xml:space="preserve"> </w:t>
      </w:r>
      <w:r w:rsidRPr="00FF1087">
        <w:rPr>
          <w:rStyle w:val="st"/>
          <w:lang w:val="en-GB"/>
        </w:rPr>
        <w:t>is</w:t>
      </w:r>
      <w:r w:rsidR="00147C3D" w:rsidRPr="00FF1087">
        <w:rPr>
          <w:rStyle w:val="st"/>
          <w:lang w:val="en-GB"/>
        </w:rPr>
        <w:t xml:space="preserve"> silent on </w:t>
      </w:r>
      <w:r w:rsidR="00B713B3" w:rsidRPr="00FF1087">
        <w:rPr>
          <w:rStyle w:val="st"/>
          <w:lang w:val="en-GB"/>
        </w:rPr>
        <w:t>language</w:t>
      </w:r>
      <w:r w:rsidR="00147C3D" w:rsidRPr="00FF1087">
        <w:rPr>
          <w:rStyle w:val="st"/>
          <w:lang w:val="en-GB"/>
        </w:rPr>
        <w:t xml:space="preserve"> discrimination.</w:t>
      </w:r>
      <w:r w:rsidR="00147C3D" w:rsidRPr="00FF1087">
        <w:rPr>
          <w:rStyle w:val="FootnoteReference"/>
          <w:lang w:val="en-GB"/>
        </w:rPr>
        <w:footnoteReference w:id="80"/>
      </w:r>
    </w:p>
    <w:p w14:paraId="6DAF11AC" w14:textId="58853438" w:rsidR="00EE5726" w:rsidRPr="00FF1087" w:rsidRDefault="004D7399">
      <w:pPr>
        <w:pStyle w:val="SingleTxtG"/>
        <w:tabs>
          <w:tab w:val="left" w:pos="1843"/>
          <w:tab w:val="left" w:pos="6120"/>
        </w:tabs>
        <w:ind w:right="0"/>
        <w:rPr>
          <w:rStyle w:val="st"/>
          <w:b/>
          <w:lang w:val="en-GB"/>
        </w:rPr>
      </w:pPr>
      <w:r w:rsidRPr="00FF1087">
        <w:rPr>
          <w:rStyle w:val="st"/>
          <w:b/>
          <w:lang w:val="en-GB"/>
        </w:rPr>
        <w:t>Article 7 in conjunction with article 6</w:t>
      </w:r>
      <w:r w:rsidR="00B1124E" w:rsidRPr="00FF1087">
        <w:rPr>
          <w:rStyle w:val="st"/>
          <w:b/>
          <w:lang w:val="en-GB"/>
        </w:rPr>
        <w:t>(</w:t>
      </w:r>
      <w:r w:rsidRPr="00FF1087">
        <w:rPr>
          <w:rStyle w:val="st"/>
          <w:b/>
          <w:lang w:val="en-GB"/>
        </w:rPr>
        <w:t>4</w:t>
      </w:r>
      <w:r w:rsidR="00B1124E" w:rsidRPr="00FF1087">
        <w:rPr>
          <w:rStyle w:val="st"/>
          <w:b/>
          <w:lang w:val="en-GB"/>
        </w:rPr>
        <w:t>)</w:t>
      </w:r>
    </w:p>
    <w:p w14:paraId="7045F050" w14:textId="48BD074D" w:rsidR="00FB77EA" w:rsidRPr="00FF1087" w:rsidRDefault="00B31F87" w:rsidP="001C3D04">
      <w:pPr>
        <w:pStyle w:val="SingleTxtG"/>
        <w:numPr>
          <w:ilvl w:val="0"/>
          <w:numId w:val="3"/>
        </w:numPr>
        <w:tabs>
          <w:tab w:val="left" w:pos="1843"/>
          <w:tab w:val="left" w:pos="6120"/>
        </w:tabs>
        <w:ind w:left="1134" w:right="0" w:firstLine="0"/>
        <w:rPr>
          <w:lang w:val="en-GB"/>
        </w:rPr>
      </w:pPr>
      <w:r w:rsidRPr="00FF1087">
        <w:rPr>
          <w:rStyle w:val="st"/>
          <w:lang w:val="en-GB"/>
        </w:rPr>
        <w:t>The communicant</w:t>
      </w:r>
      <w:r w:rsidR="00142781" w:rsidRPr="00FF1087">
        <w:rPr>
          <w:rStyle w:val="st"/>
          <w:lang w:val="en-GB"/>
        </w:rPr>
        <w:t xml:space="preserve"> </w:t>
      </w:r>
      <w:r w:rsidR="00FB77EA" w:rsidRPr="00FF1087">
        <w:rPr>
          <w:rStyle w:val="st"/>
          <w:lang w:val="en-GB"/>
        </w:rPr>
        <w:t>claims</w:t>
      </w:r>
      <w:r w:rsidR="00596F2B" w:rsidRPr="00FF1087">
        <w:rPr>
          <w:rStyle w:val="st"/>
          <w:lang w:val="en-GB"/>
        </w:rPr>
        <w:t xml:space="preserve"> the Party concerned breached </w:t>
      </w:r>
      <w:r w:rsidR="009645BE" w:rsidRPr="00FF1087">
        <w:rPr>
          <w:rStyle w:val="st"/>
          <w:lang w:val="en-GB"/>
        </w:rPr>
        <w:t>article 7</w:t>
      </w:r>
      <w:r w:rsidR="0060364C" w:rsidRPr="00FF1087">
        <w:rPr>
          <w:rStyle w:val="st"/>
          <w:lang w:val="en-GB"/>
        </w:rPr>
        <w:t xml:space="preserve"> by not providing</w:t>
      </w:r>
      <w:r w:rsidR="00FB77EA" w:rsidRPr="00FF1087">
        <w:rPr>
          <w:rStyle w:val="st"/>
          <w:lang w:val="en-GB"/>
        </w:rPr>
        <w:t xml:space="preserve"> public participation </w:t>
      </w:r>
      <w:r w:rsidR="000D29EC" w:rsidRPr="00FF1087">
        <w:rPr>
          <w:rStyle w:val="st"/>
          <w:lang w:val="en-GB"/>
        </w:rPr>
        <w:t>on</w:t>
      </w:r>
      <w:r w:rsidR="00493D84" w:rsidRPr="00FF1087">
        <w:rPr>
          <w:rStyle w:val="st"/>
          <w:lang w:val="en-GB"/>
        </w:rPr>
        <w:t xml:space="preserve"> the </w:t>
      </w:r>
      <w:r w:rsidR="00343417" w:rsidRPr="00FF1087">
        <w:rPr>
          <w:rStyle w:val="st"/>
          <w:lang w:val="en-GB"/>
        </w:rPr>
        <w:t>first</w:t>
      </w:r>
      <w:r w:rsidR="001F5FB5" w:rsidRPr="00FF1087">
        <w:rPr>
          <w:rStyle w:val="st"/>
          <w:lang w:val="en-GB"/>
        </w:rPr>
        <w:t xml:space="preserve"> </w:t>
      </w:r>
      <w:r w:rsidR="00FD5DE4" w:rsidRPr="00FF1087">
        <w:rPr>
          <w:rStyle w:val="st"/>
          <w:lang w:val="en-GB"/>
        </w:rPr>
        <w:t xml:space="preserve">PCI </w:t>
      </w:r>
      <w:r w:rsidR="001F5FB5" w:rsidRPr="00FF1087">
        <w:rPr>
          <w:rStyle w:val="st"/>
          <w:lang w:val="en-GB"/>
        </w:rPr>
        <w:t>list</w:t>
      </w:r>
      <w:r w:rsidR="00FB77EA" w:rsidRPr="00FF1087">
        <w:rPr>
          <w:rStyle w:val="st"/>
          <w:lang w:val="en-GB"/>
        </w:rPr>
        <w:t xml:space="preserve">. </w:t>
      </w:r>
      <w:r w:rsidR="00FD5DE4" w:rsidRPr="00FF1087">
        <w:rPr>
          <w:rStyle w:val="st"/>
          <w:lang w:val="en-GB"/>
        </w:rPr>
        <w:t>T</w:t>
      </w:r>
      <w:r w:rsidR="00493D84" w:rsidRPr="00FF1087">
        <w:rPr>
          <w:rStyle w:val="st"/>
          <w:lang w:val="en-GB"/>
        </w:rPr>
        <w:t>he text of</w:t>
      </w:r>
      <w:r w:rsidR="00181355" w:rsidRPr="00FF1087">
        <w:rPr>
          <w:rStyle w:val="st"/>
          <w:lang w:val="en-GB"/>
        </w:rPr>
        <w:t xml:space="preserve"> COM/2013/0711</w:t>
      </w:r>
      <w:r w:rsidR="00FD5DE4" w:rsidRPr="00FF1087">
        <w:rPr>
          <w:rStyle w:val="st"/>
          <w:lang w:val="en-GB"/>
        </w:rPr>
        <w:t>,</w:t>
      </w:r>
      <w:r w:rsidR="00181355" w:rsidRPr="00FF1087">
        <w:rPr>
          <w:rStyle w:val="st"/>
          <w:lang w:val="en-GB"/>
        </w:rPr>
        <w:t xml:space="preserve"> </w:t>
      </w:r>
      <w:r w:rsidR="00493D84" w:rsidRPr="00FF1087">
        <w:rPr>
          <w:rStyle w:val="st"/>
          <w:lang w:val="en-GB"/>
        </w:rPr>
        <w:t xml:space="preserve">which enumerates </w:t>
      </w:r>
      <w:r w:rsidR="00596F2B" w:rsidRPr="00FF1087">
        <w:rPr>
          <w:rStyle w:val="st"/>
          <w:lang w:val="en-GB"/>
        </w:rPr>
        <w:t xml:space="preserve">the </w:t>
      </w:r>
      <w:r w:rsidR="00493D84" w:rsidRPr="00FF1087">
        <w:rPr>
          <w:rStyle w:val="st"/>
          <w:lang w:val="en-GB"/>
        </w:rPr>
        <w:t xml:space="preserve">representatives </w:t>
      </w:r>
      <w:r w:rsidR="00596F2B" w:rsidRPr="00FF1087">
        <w:rPr>
          <w:rStyle w:val="st"/>
          <w:lang w:val="en-GB"/>
        </w:rPr>
        <w:t>who contributed</w:t>
      </w:r>
      <w:r w:rsidR="00493D84" w:rsidRPr="00FF1087">
        <w:rPr>
          <w:rStyle w:val="st"/>
          <w:lang w:val="en-GB"/>
        </w:rPr>
        <w:t xml:space="preserve"> to </w:t>
      </w:r>
      <w:r w:rsidR="000D29EC" w:rsidRPr="00FF1087">
        <w:rPr>
          <w:rStyle w:val="st"/>
          <w:lang w:val="en-GB"/>
        </w:rPr>
        <w:t>preparing</w:t>
      </w:r>
      <w:r w:rsidR="00493D84" w:rsidRPr="00FF1087">
        <w:rPr>
          <w:rStyle w:val="st"/>
          <w:lang w:val="en-GB"/>
        </w:rPr>
        <w:t xml:space="preserve"> </w:t>
      </w:r>
      <w:r w:rsidR="0060364C" w:rsidRPr="00FF1087">
        <w:rPr>
          <w:rStyle w:val="st"/>
          <w:lang w:val="en-GB"/>
        </w:rPr>
        <w:t>th</w:t>
      </w:r>
      <w:r w:rsidR="00FD5DE4" w:rsidRPr="00FF1087">
        <w:rPr>
          <w:rStyle w:val="st"/>
          <w:lang w:val="en-GB"/>
        </w:rPr>
        <w:t>e</w:t>
      </w:r>
      <w:r w:rsidR="0060364C" w:rsidRPr="00FF1087">
        <w:rPr>
          <w:rStyle w:val="st"/>
          <w:lang w:val="en-GB"/>
        </w:rPr>
        <w:t xml:space="preserve"> </w:t>
      </w:r>
      <w:r w:rsidR="00493D84" w:rsidRPr="00FF1087">
        <w:rPr>
          <w:rStyle w:val="st"/>
          <w:lang w:val="en-GB"/>
        </w:rPr>
        <w:t>list</w:t>
      </w:r>
      <w:r w:rsidR="00FD5DE4" w:rsidRPr="00FF1087">
        <w:rPr>
          <w:rStyle w:val="st"/>
          <w:lang w:val="en-GB"/>
        </w:rPr>
        <w:t>,</w:t>
      </w:r>
      <w:r w:rsidR="00493D84" w:rsidRPr="00FF1087">
        <w:rPr>
          <w:rStyle w:val="st"/>
          <w:lang w:val="en-GB"/>
        </w:rPr>
        <w:t xml:space="preserve"> </w:t>
      </w:r>
      <w:r w:rsidR="00596F2B" w:rsidRPr="00FF1087">
        <w:rPr>
          <w:rStyle w:val="st"/>
          <w:lang w:val="en-GB"/>
        </w:rPr>
        <w:t xml:space="preserve">does not mention </w:t>
      </w:r>
      <w:r w:rsidR="00493D84" w:rsidRPr="00FF1087">
        <w:rPr>
          <w:rStyle w:val="st"/>
          <w:lang w:val="en-GB"/>
        </w:rPr>
        <w:t>the public</w:t>
      </w:r>
      <w:r w:rsidR="00813362" w:rsidRPr="00FF1087">
        <w:rPr>
          <w:rStyle w:val="st"/>
          <w:lang w:val="en-GB"/>
        </w:rPr>
        <w:t xml:space="preserve"> (para. </w:t>
      </w:r>
      <w:r w:rsidR="00813362" w:rsidRPr="00FF1087">
        <w:rPr>
          <w:rStyle w:val="st"/>
          <w:lang w:val="en-GB"/>
        </w:rPr>
        <w:fldChar w:fldCharType="begin"/>
      </w:r>
      <w:r w:rsidR="00813362" w:rsidRPr="00FF1087">
        <w:rPr>
          <w:rStyle w:val="st"/>
          <w:lang w:val="en-GB"/>
        </w:rPr>
        <w:instrText xml:space="preserve"> REF _Ref465333689 \r \h </w:instrText>
      </w:r>
      <w:r w:rsidR="00DF3556" w:rsidRPr="00FF1087">
        <w:rPr>
          <w:rStyle w:val="st"/>
          <w:lang w:val="en-GB"/>
        </w:rPr>
        <w:instrText xml:space="preserve"> \* MERGEFORMAT </w:instrText>
      </w:r>
      <w:r w:rsidR="00813362" w:rsidRPr="00FF1087">
        <w:rPr>
          <w:rStyle w:val="st"/>
          <w:lang w:val="en-GB"/>
        </w:rPr>
      </w:r>
      <w:r w:rsidR="00813362" w:rsidRPr="00FF1087">
        <w:rPr>
          <w:rStyle w:val="st"/>
          <w:lang w:val="en-GB"/>
        </w:rPr>
        <w:fldChar w:fldCharType="separate"/>
      </w:r>
      <w:r w:rsidR="00B713E0">
        <w:rPr>
          <w:rStyle w:val="st"/>
          <w:cs/>
          <w:lang w:val="en-GB"/>
        </w:rPr>
        <w:t>‎</w:t>
      </w:r>
      <w:r w:rsidR="00B713E0">
        <w:rPr>
          <w:rStyle w:val="st"/>
          <w:lang w:val="en-GB"/>
        </w:rPr>
        <w:t>27</w:t>
      </w:r>
      <w:r w:rsidR="00813362" w:rsidRPr="00FF1087">
        <w:rPr>
          <w:rStyle w:val="st"/>
          <w:lang w:val="en-GB"/>
        </w:rPr>
        <w:fldChar w:fldCharType="end"/>
      </w:r>
      <w:r w:rsidR="00813362" w:rsidRPr="00FF1087">
        <w:rPr>
          <w:rStyle w:val="st"/>
          <w:lang w:val="en-GB"/>
        </w:rPr>
        <w:t xml:space="preserve"> above)</w:t>
      </w:r>
      <w:r w:rsidR="00FB77EA" w:rsidRPr="00FF1087">
        <w:rPr>
          <w:rStyle w:val="st"/>
          <w:lang w:val="en-GB"/>
        </w:rPr>
        <w:t>.</w:t>
      </w:r>
      <w:r w:rsidR="00FB77EA" w:rsidRPr="00FF1087">
        <w:rPr>
          <w:rStyle w:val="FootnoteReference"/>
          <w:lang w:val="en-GB"/>
        </w:rPr>
        <w:t xml:space="preserve"> </w:t>
      </w:r>
      <w:r w:rsidR="00FD5DE4" w:rsidRPr="00FF1087">
        <w:rPr>
          <w:rStyle w:val="st"/>
          <w:lang w:val="en-GB"/>
        </w:rPr>
        <w:t xml:space="preserve">Accordingly, </w:t>
      </w:r>
      <w:r w:rsidR="0060364C" w:rsidRPr="00FF1087">
        <w:rPr>
          <w:rStyle w:val="st"/>
          <w:lang w:val="en-GB"/>
        </w:rPr>
        <w:t xml:space="preserve">the </w:t>
      </w:r>
      <w:r w:rsidR="00FD5DE4" w:rsidRPr="00FF1087">
        <w:rPr>
          <w:rStyle w:val="st"/>
          <w:lang w:val="en-GB"/>
        </w:rPr>
        <w:t xml:space="preserve">2012 </w:t>
      </w:r>
      <w:r w:rsidR="0060364C" w:rsidRPr="00FF1087">
        <w:rPr>
          <w:rStyle w:val="st"/>
          <w:lang w:val="en-GB"/>
        </w:rPr>
        <w:t xml:space="preserve">public consultation on the </w:t>
      </w:r>
      <w:r w:rsidR="00FD5DE4" w:rsidRPr="00FF1087">
        <w:rPr>
          <w:rStyle w:val="st"/>
          <w:lang w:val="en-GB"/>
        </w:rPr>
        <w:t xml:space="preserve">first </w:t>
      </w:r>
      <w:r w:rsidR="0060364C" w:rsidRPr="00FF1087">
        <w:rPr>
          <w:rStyle w:val="st"/>
          <w:lang w:val="en-GB"/>
        </w:rPr>
        <w:t>PCI</w:t>
      </w:r>
      <w:r w:rsidR="00FD5DE4" w:rsidRPr="00FF1087">
        <w:rPr>
          <w:rStyle w:val="st"/>
          <w:lang w:val="en-GB"/>
        </w:rPr>
        <w:t xml:space="preserve"> list</w:t>
      </w:r>
      <w:r w:rsidR="0060364C" w:rsidRPr="00FF1087">
        <w:rPr>
          <w:rStyle w:val="st"/>
          <w:lang w:val="en-GB"/>
        </w:rPr>
        <w:t xml:space="preserve"> </w:t>
      </w:r>
      <w:r w:rsidR="00596F2B" w:rsidRPr="00FF1087">
        <w:rPr>
          <w:rStyle w:val="st"/>
          <w:lang w:val="en-GB"/>
        </w:rPr>
        <w:t>failed to comply with the Convention</w:t>
      </w:r>
      <w:r w:rsidR="00FB77EA" w:rsidRPr="00FF1087">
        <w:rPr>
          <w:rStyle w:val="st"/>
          <w:lang w:val="en-GB"/>
        </w:rPr>
        <w:t>.</w:t>
      </w:r>
      <w:r w:rsidR="00C30BBC" w:rsidRPr="00C30BBC">
        <w:rPr>
          <w:rStyle w:val="FootnoteReference"/>
          <w:lang w:val="en-GB"/>
        </w:rPr>
        <w:t xml:space="preserve"> </w:t>
      </w:r>
      <w:r w:rsidR="00C30BBC" w:rsidRPr="00FF1087">
        <w:rPr>
          <w:rStyle w:val="FootnoteReference"/>
          <w:lang w:val="en-GB"/>
        </w:rPr>
        <w:footnoteReference w:id="81"/>
      </w:r>
      <w:r w:rsidR="00C30BBC" w:rsidRPr="00FF1087">
        <w:rPr>
          <w:rStyle w:val="FootnoteReference"/>
          <w:lang w:val="en-GB"/>
        </w:rPr>
        <w:t xml:space="preserve"> </w:t>
      </w:r>
    </w:p>
    <w:p w14:paraId="46211E94" w14:textId="77439CBB" w:rsidR="003277D2" w:rsidRPr="00FF1087" w:rsidRDefault="00EC6A0F"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The communican</w:t>
      </w:r>
      <w:r w:rsidR="00133D9E" w:rsidRPr="00FF1087">
        <w:rPr>
          <w:rStyle w:val="st"/>
          <w:lang w:val="en-GB"/>
        </w:rPr>
        <w:t>t</w:t>
      </w:r>
      <w:r w:rsidRPr="00FF1087">
        <w:rPr>
          <w:rStyle w:val="st"/>
          <w:lang w:val="en-GB"/>
        </w:rPr>
        <w:t xml:space="preserve"> </w:t>
      </w:r>
      <w:r w:rsidR="00F35612" w:rsidRPr="00FF1087">
        <w:rPr>
          <w:rStyle w:val="st"/>
          <w:lang w:val="en-GB"/>
        </w:rPr>
        <w:t xml:space="preserve">claims </w:t>
      </w:r>
      <w:r w:rsidR="00733407" w:rsidRPr="00FF1087">
        <w:rPr>
          <w:rStyle w:val="st"/>
          <w:lang w:val="en-GB"/>
        </w:rPr>
        <w:t xml:space="preserve">the Party concerned </w:t>
      </w:r>
      <w:r w:rsidR="00647AD2" w:rsidRPr="00FF1087">
        <w:rPr>
          <w:rStyle w:val="st"/>
          <w:lang w:val="en-GB"/>
        </w:rPr>
        <w:t>avoids</w:t>
      </w:r>
      <w:r w:rsidR="00133D9E" w:rsidRPr="00FF1087">
        <w:rPr>
          <w:rStyle w:val="st"/>
          <w:lang w:val="en-GB"/>
        </w:rPr>
        <w:t xml:space="preserve"> </w:t>
      </w:r>
      <w:r w:rsidR="00A93D8C" w:rsidRPr="00FF1087">
        <w:rPr>
          <w:rStyle w:val="st"/>
          <w:lang w:val="en-GB"/>
        </w:rPr>
        <w:t xml:space="preserve">public </w:t>
      </w:r>
      <w:r w:rsidRPr="00FF1087">
        <w:rPr>
          <w:rStyle w:val="st"/>
          <w:lang w:val="en-GB"/>
        </w:rPr>
        <w:t>participation at the plan</w:t>
      </w:r>
      <w:r w:rsidR="005E3556" w:rsidRPr="00FF1087">
        <w:rPr>
          <w:rStyle w:val="st"/>
          <w:lang w:val="en-GB"/>
        </w:rPr>
        <w:t>/</w:t>
      </w:r>
      <w:r w:rsidRPr="00FF1087">
        <w:rPr>
          <w:rStyle w:val="st"/>
          <w:lang w:val="en-GB"/>
        </w:rPr>
        <w:t>programme level</w:t>
      </w:r>
      <w:r w:rsidR="00FD5DE4" w:rsidRPr="00FF1087">
        <w:rPr>
          <w:rStyle w:val="st"/>
          <w:lang w:val="en-GB"/>
        </w:rPr>
        <w:t xml:space="preserve"> and relies on</w:t>
      </w:r>
      <w:r w:rsidR="00596F2B" w:rsidRPr="00FF1087">
        <w:rPr>
          <w:rStyle w:val="st"/>
          <w:lang w:val="en-GB"/>
        </w:rPr>
        <w:t xml:space="preserve"> </w:t>
      </w:r>
      <w:r w:rsidR="00133D9E" w:rsidRPr="00FF1087">
        <w:rPr>
          <w:rStyle w:val="st"/>
          <w:lang w:val="en-GB"/>
        </w:rPr>
        <w:t xml:space="preserve">participation at the </w:t>
      </w:r>
      <w:r w:rsidR="009645BE" w:rsidRPr="00FF1087">
        <w:rPr>
          <w:rStyle w:val="st"/>
          <w:lang w:val="en-GB"/>
        </w:rPr>
        <w:t xml:space="preserve">permitting </w:t>
      </w:r>
      <w:r w:rsidR="00133D9E" w:rsidRPr="00FF1087">
        <w:rPr>
          <w:rStyle w:val="st"/>
          <w:lang w:val="en-GB"/>
        </w:rPr>
        <w:t>level</w:t>
      </w:r>
      <w:r w:rsidRPr="00FF1087">
        <w:rPr>
          <w:rStyle w:val="st"/>
          <w:lang w:val="en-GB"/>
        </w:rPr>
        <w:t xml:space="preserve">. </w:t>
      </w:r>
      <w:r w:rsidR="00FD5DE4" w:rsidRPr="00FF1087">
        <w:rPr>
          <w:rStyle w:val="st"/>
          <w:lang w:val="en-GB"/>
        </w:rPr>
        <w:t>D</w:t>
      </w:r>
      <w:r w:rsidR="00596F2B" w:rsidRPr="00FF1087">
        <w:rPr>
          <w:rStyle w:val="st"/>
          <w:lang w:val="en-GB"/>
        </w:rPr>
        <w:t>espite the Committee’s findings on communication ACCC/C/2010/54</w:t>
      </w:r>
      <w:r w:rsidR="005D4D61" w:rsidRPr="00FF1087">
        <w:rPr>
          <w:rStyle w:val="st"/>
          <w:lang w:val="en-GB"/>
        </w:rPr>
        <w:t xml:space="preserve"> (EU)</w:t>
      </w:r>
      <w:r w:rsidR="00596F2B" w:rsidRPr="00FF1087">
        <w:rPr>
          <w:rStyle w:val="st"/>
          <w:lang w:val="en-GB"/>
        </w:rPr>
        <w:t>,</w:t>
      </w:r>
      <w:r w:rsidR="00056AB3" w:rsidRPr="00FF1087">
        <w:rPr>
          <w:rStyle w:val="st"/>
          <w:lang w:val="en-GB"/>
        </w:rPr>
        <w:t xml:space="preserve"> the Party concerned </w:t>
      </w:r>
      <w:r w:rsidR="00D86AEB" w:rsidRPr="00FF1087">
        <w:rPr>
          <w:rStyle w:val="st"/>
          <w:lang w:val="en-GB"/>
        </w:rPr>
        <w:t xml:space="preserve">still </w:t>
      </w:r>
      <w:r w:rsidR="00B141D5" w:rsidRPr="00FF1087">
        <w:rPr>
          <w:rStyle w:val="st"/>
          <w:lang w:val="en-GB"/>
        </w:rPr>
        <w:t>refuses</w:t>
      </w:r>
      <w:r w:rsidR="00056AB3" w:rsidRPr="00FF1087">
        <w:rPr>
          <w:rStyle w:val="st"/>
          <w:lang w:val="en-GB"/>
        </w:rPr>
        <w:t xml:space="preserve"> to comply with the</w:t>
      </w:r>
      <w:r w:rsidR="005D4D61" w:rsidRPr="00FF1087">
        <w:rPr>
          <w:rStyle w:val="st"/>
          <w:lang w:val="en-GB"/>
        </w:rPr>
        <w:t xml:space="preserve"> </w:t>
      </w:r>
      <w:r w:rsidR="00D86AEB" w:rsidRPr="00FF1087">
        <w:rPr>
          <w:rStyle w:val="st"/>
          <w:lang w:val="en-GB"/>
        </w:rPr>
        <w:t xml:space="preserve">Convention’s </w:t>
      </w:r>
      <w:r w:rsidR="00056AB3" w:rsidRPr="00FF1087">
        <w:rPr>
          <w:rStyle w:val="st"/>
          <w:lang w:val="en-GB"/>
        </w:rPr>
        <w:t xml:space="preserve">requirements </w:t>
      </w:r>
      <w:r w:rsidR="005D4D61" w:rsidRPr="00FF1087">
        <w:rPr>
          <w:rStyle w:val="st"/>
          <w:lang w:val="en-GB"/>
        </w:rPr>
        <w:t>for</w:t>
      </w:r>
      <w:r w:rsidR="007F72C4" w:rsidRPr="00FF1087">
        <w:rPr>
          <w:rStyle w:val="st"/>
          <w:lang w:val="en-GB"/>
        </w:rPr>
        <w:t xml:space="preserve"> </w:t>
      </w:r>
      <w:r w:rsidR="00D86AEB" w:rsidRPr="00FF1087">
        <w:rPr>
          <w:rStyle w:val="st"/>
          <w:lang w:val="en-GB"/>
        </w:rPr>
        <w:t xml:space="preserve">public participation on </w:t>
      </w:r>
      <w:r w:rsidR="007F72C4" w:rsidRPr="00FF1087">
        <w:rPr>
          <w:rStyle w:val="st"/>
          <w:lang w:val="en-GB"/>
        </w:rPr>
        <w:t>plans and programmes</w:t>
      </w:r>
      <w:r w:rsidR="003277D2" w:rsidRPr="00FF1087">
        <w:rPr>
          <w:rStyle w:val="st"/>
          <w:lang w:val="en-GB"/>
        </w:rPr>
        <w:t>.</w:t>
      </w:r>
      <w:r w:rsidR="00C30BBC" w:rsidRPr="00C30BBC">
        <w:rPr>
          <w:rStyle w:val="FootnoteReference"/>
          <w:lang w:val="en-GB"/>
        </w:rPr>
        <w:t xml:space="preserve"> </w:t>
      </w:r>
      <w:r w:rsidR="00C30BBC" w:rsidRPr="00FF1087">
        <w:rPr>
          <w:rStyle w:val="FootnoteReference"/>
          <w:lang w:val="en-GB"/>
        </w:rPr>
        <w:footnoteReference w:id="82"/>
      </w:r>
    </w:p>
    <w:p w14:paraId="7F9EF4CB" w14:textId="59DCA7E2" w:rsidR="005558C5" w:rsidRPr="00FF1087" w:rsidRDefault="00AD07FD" w:rsidP="000D117C">
      <w:pPr>
        <w:pStyle w:val="SingleTxtG"/>
        <w:numPr>
          <w:ilvl w:val="0"/>
          <w:numId w:val="3"/>
        </w:numPr>
        <w:tabs>
          <w:tab w:val="left" w:pos="1843"/>
          <w:tab w:val="left" w:pos="6120"/>
        </w:tabs>
        <w:ind w:left="1134" w:right="0" w:firstLine="0"/>
        <w:rPr>
          <w:rStyle w:val="st"/>
          <w:lang w:val="en-GB"/>
        </w:rPr>
      </w:pPr>
      <w:r w:rsidRPr="00FF1087">
        <w:rPr>
          <w:rStyle w:val="st"/>
          <w:lang w:val="en-GB"/>
        </w:rPr>
        <w:t>The</w:t>
      </w:r>
      <w:r w:rsidR="00B31F87" w:rsidRPr="00FF1087">
        <w:rPr>
          <w:rStyle w:val="st"/>
          <w:lang w:val="en-GB"/>
        </w:rPr>
        <w:t xml:space="preserve"> communicant</w:t>
      </w:r>
      <w:r w:rsidR="00733407" w:rsidRPr="00FF1087">
        <w:rPr>
          <w:rStyle w:val="st"/>
          <w:lang w:val="en-GB"/>
        </w:rPr>
        <w:t xml:space="preserve"> </w:t>
      </w:r>
      <w:r w:rsidR="00056AB3" w:rsidRPr="00FF1087">
        <w:rPr>
          <w:rStyle w:val="st"/>
          <w:lang w:val="en-GB"/>
        </w:rPr>
        <w:t>claims</w:t>
      </w:r>
      <w:r w:rsidR="001D1E59" w:rsidRPr="00FF1087">
        <w:rPr>
          <w:rStyle w:val="st"/>
          <w:lang w:val="en-GB"/>
        </w:rPr>
        <w:t xml:space="preserve"> </w:t>
      </w:r>
      <w:r w:rsidR="00733407" w:rsidRPr="00FF1087">
        <w:rPr>
          <w:rStyle w:val="st"/>
          <w:lang w:val="en-GB"/>
        </w:rPr>
        <w:t xml:space="preserve">the Party concerned </w:t>
      </w:r>
      <w:r w:rsidR="003277D2" w:rsidRPr="00FF1087">
        <w:rPr>
          <w:rStyle w:val="st"/>
          <w:lang w:val="en-GB"/>
        </w:rPr>
        <w:t>breaches article 6</w:t>
      </w:r>
      <w:r w:rsidR="00B1124E" w:rsidRPr="00FF1087">
        <w:rPr>
          <w:rStyle w:val="st"/>
          <w:lang w:val="en-GB"/>
        </w:rPr>
        <w:t>(</w:t>
      </w:r>
      <w:r w:rsidR="003277D2" w:rsidRPr="00FF1087">
        <w:rPr>
          <w:rStyle w:val="st"/>
          <w:lang w:val="en-GB"/>
        </w:rPr>
        <w:t>4</w:t>
      </w:r>
      <w:r w:rsidR="00B1124E" w:rsidRPr="00FF1087">
        <w:rPr>
          <w:rStyle w:val="st"/>
          <w:lang w:val="en-GB"/>
        </w:rPr>
        <w:t>)</w:t>
      </w:r>
      <w:r w:rsidR="003277D2" w:rsidRPr="00FF1087">
        <w:rPr>
          <w:rStyle w:val="st"/>
          <w:lang w:val="en-GB"/>
        </w:rPr>
        <w:t xml:space="preserve"> of the Convention because </w:t>
      </w:r>
      <w:r w:rsidR="007F72C4" w:rsidRPr="00FF1087">
        <w:rPr>
          <w:rStyle w:val="st"/>
          <w:lang w:val="en-GB"/>
        </w:rPr>
        <w:t>it</w:t>
      </w:r>
      <w:r w:rsidR="003277D2" w:rsidRPr="00FF1087">
        <w:rPr>
          <w:rStyle w:val="st"/>
          <w:lang w:val="en-GB"/>
        </w:rPr>
        <w:t xml:space="preserve"> prevents public participation “when all options are open</w:t>
      </w:r>
      <w:r w:rsidR="00FD5DE4" w:rsidRPr="00FF1087">
        <w:rPr>
          <w:rStyle w:val="st"/>
          <w:lang w:val="en-GB"/>
        </w:rPr>
        <w:t xml:space="preserve">”. </w:t>
      </w:r>
      <w:r w:rsidR="00530F14" w:rsidRPr="00FF1087">
        <w:rPr>
          <w:rStyle w:val="st"/>
          <w:lang w:val="en-GB"/>
        </w:rPr>
        <w:t>It</w:t>
      </w:r>
      <w:r w:rsidR="003277D2" w:rsidRPr="00FF1087">
        <w:rPr>
          <w:rStyle w:val="st"/>
          <w:lang w:val="en-GB"/>
        </w:rPr>
        <w:t xml:space="preserve"> </w:t>
      </w:r>
      <w:r w:rsidR="00D86AEB" w:rsidRPr="00FF1087">
        <w:rPr>
          <w:rStyle w:val="st"/>
          <w:lang w:val="en-GB"/>
        </w:rPr>
        <w:t>submits</w:t>
      </w:r>
      <w:r w:rsidR="003277D2" w:rsidRPr="00FF1087">
        <w:rPr>
          <w:rStyle w:val="st"/>
          <w:lang w:val="en-GB"/>
        </w:rPr>
        <w:t xml:space="preserve"> the public will not be able to raise concerns </w:t>
      </w:r>
      <w:r w:rsidR="005E3556" w:rsidRPr="00FF1087">
        <w:rPr>
          <w:rStyle w:val="st"/>
          <w:lang w:val="en-GB"/>
        </w:rPr>
        <w:t>about</w:t>
      </w:r>
      <w:r w:rsidR="003277D2" w:rsidRPr="00FF1087">
        <w:rPr>
          <w:rStyle w:val="st"/>
          <w:lang w:val="en-GB"/>
        </w:rPr>
        <w:t xml:space="preserve"> the overall renewable energy programme</w:t>
      </w:r>
      <w:r w:rsidR="00124A8F" w:rsidRPr="00FF1087">
        <w:rPr>
          <w:rStyle w:val="st"/>
          <w:lang w:val="en-GB"/>
        </w:rPr>
        <w:t xml:space="preserve"> </w:t>
      </w:r>
      <w:r w:rsidR="003277D2" w:rsidRPr="00FF1087">
        <w:rPr>
          <w:rStyle w:val="st"/>
          <w:lang w:val="en-GB"/>
        </w:rPr>
        <w:t>at the permitting stage</w:t>
      </w:r>
      <w:r w:rsidR="0053202B" w:rsidRPr="00FF1087">
        <w:rPr>
          <w:rStyle w:val="st"/>
          <w:lang w:val="en-GB"/>
        </w:rPr>
        <w:t>.</w:t>
      </w:r>
      <w:r w:rsidR="00056AB3" w:rsidRPr="00FF1087">
        <w:rPr>
          <w:rStyle w:val="FootnoteReference"/>
          <w:lang w:val="en-GB"/>
        </w:rPr>
        <w:footnoteReference w:id="83"/>
      </w:r>
    </w:p>
    <w:p w14:paraId="10221892" w14:textId="77E09729" w:rsidR="004025E8" w:rsidRPr="00FF1087" w:rsidRDefault="00FB77EA" w:rsidP="001C3D04">
      <w:pPr>
        <w:pStyle w:val="SingleTxtG"/>
        <w:numPr>
          <w:ilvl w:val="0"/>
          <w:numId w:val="3"/>
        </w:numPr>
        <w:tabs>
          <w:tab w:val="left" w:pos="1843"/>
          <w:tab w:val="left" w:pos="6120"/>
        </w:tabs>
        <w:ind w:left="1134" w:right="0" w:firstLine="0"/>
        <w:rPr>
          <w:lang w:val="en-GB"/>
        </w:rPr>
      </w:pPr>
      <w:r w:rsidRPr="00FF1087">
        <w:rPr>
          <w:rStyle w:val="st"/>
          <w:lang w:val="en-GB"/>
        </w:rPr>
        <w:t>The Party concerned claims a project</w:t>
      </w:r>
      <w:r w:rsidR="005E3556" w:rsidRPr="00FF1087">
        <w:rPr>
          <w:rStyle w:val="st"/>
          <w:lang w:val="en-GB"/>
        </w:rPr>
        <w:t>’s inclusion</w:t>
      </w:r>
      <w:r w:rsidRPr="00FF1087">
        <w:rPr>
          <w:rStyle w:val="st"/>
          <w:lang w:val="en-GB"/>
        </w:rPr>
        <w:t xml:space="preserve"> on the </w:t>
      </w:r>
      <w:r w:rsidR="007F72C4" w:rsidRPr="00FF1087">
        <w:rPr>
          <w:rStyle w:val="st"/>
          <w:lang w:val="en-GB"/>
        </w:rPr>
        <w:t xml:space="preserve">PCI </w:t>
      </w:r>
      <w:r w:rsidRPr="00FF1087">
        <w:rPr>
          <w:rStyle w:val="st"/>
          <w:lang w:val="en-GB"/>
        </w:rPr>
        <w:t xml:space="preserve">list is the result of an extensive </w:t>
      </w:r>
      <w:r w:rsidR="00B97D7C" w:rsidRPr="00FF1087">
        <w:rPr>
          <w:rStyle w:val="st"/>
          <w:lang w:val="en-GB"/>
        </w:rPr>
        <w:t xml:space="preserve">upstream </w:t>
      </w:r>
      <w:r w:rsidRPr="00FF1087">
        <w:rPr>
          <w:rStyle w:val="st"/>
          <w:lang w:val="en-GB"/>
        </w:rPr>
        <w:t xml:space="preserve">consultation process. </w:t>
      </w:r>
      <w:r w:rsidR="00D86AEB" w:rsidRPr="00FF1087">
        <w:rPr>
          <w:rStyle w:val="st"/>
          <w:lang w:val="en-GB"/>
        </w:rPr>
        <w:t>P</w:t>
      </w:r>
      <w:r w:rsidRPr="00FF1087">
        <w:rPr>
          <w:rStyle w:val="st"/>
          <w:lang w:val="en-GB"/>
        </w:rPr>
        <w:t xml:space="preserve">oint 5 of Annex III of </w:t>
      </w:r>
      <w:r w:rsidR="009D7B3C" w:rsidRPr="00FF1087">
        <w:rPr>
          <w:rStyle w:val="st"/>
          <w:lang w:val="en-GB"/>
        </w:rPr>
        <w:t xml:space="preserve">the </w:t>
      </w:r>
      <w:r w:rsidR="001F50A3" w:rsidRPr="00FF1087">
        <w:rPr>
          <w:rStyle w:val="st"/>
          <w:lang w:val="en-GB"/>
        </w:rPr>
        <w:t>TEN-E Regulation</w:t>
      </w:r>
      <w:r w:rsidRPr="00FF1087">
        <w:rPr>
          <w:rStyle w:val="st"/>
          <w:lang w:val="en-GB"/>
        </w:rPr>
        <w:t xml:space="preserve"> requires </w:t>
      </w:r>
      <w:r w:rsidR="008E2F95" w:rsidRPr="00FF1087">
        <w:rPr>
          <w:rStyle w:val="st"/>
          <w:lang w:val="en-GB"/>
        </w:rPr>
        <w:t xml:space="preserve">that </w:t>
      </w:r>
      <w:r w:rsidR="00813362" w:rsidRPr="00FF1087">
        <w:rPr>
          <w:rStyle w:val="st"/>
          <w:lang w:val="en-GB"/>
        </w:rPr>
        <w:t xml:space="preserve">each </w:t>
      </w:r>
      <w:r w:rsidR="00530F14" w:rsidRPr="00FF1087">
        <w:rPr>
          <w:rStyle w:val="st"/>
          <w:lang w:val="en-GB"/>
        </w:rPr>
        <w:t>R</w:t>
      </w:r>
      <w:r w:rsidR="004025E8" w:rsidRPr="00FF1087">
        <w:rPr>
          <w:rStyle w:val="st"/>
          <w:lang w:val="en-GB"/>
        </w:rPr>
        <w:t xml:space="preserve">egional </w:t>
      </w:r>
      <w:r w:rsidR="00530F14" w:rsidRPr="00FF1087">
        <w:rPr>
          <w:rStyle w:val="st"/>
          <w:lang w:val="en-GB"/>
        </w:rPr>
        <w:t>G</w:t>
      </w:r>
      <w:r w:rsidR="004025E8" w:rsidRPr="00FF1087">
        <w:rPr>
          <w:rStyle w:val="st"/>
          <w:lang w:val="en-GB"/>
        </w:rPr>
        <w:t xml:space="preserve">roup </w:t>
      </w:r>
      <w:r w:rsidR="004025E8" w:rsidRPr="00FF1087">
        <w:rPr>
          <w:lang w:val="en-GB"/>
        </w:rPr>
        <w:t>consult the organi</w:t>
      </w:r>
      <w:r w:rsidR="00D86AEB" w:rsidRPr="00FF1087">
        <w:rPr>
          <w:lang w:val="en-GB"/>
        </w:rPr>
        <w:t>z</w:t>
      </w:r>
      <w:r w:rsidR="004025E8" w:rsidRPr="00FF1087">
        <w:rPr>
          <w:lang w:val="en-GB"/>
        </w:rPr>
        <w:t>ations representing stakeholders, and, if deemed appropriate, stakeholders directly, including producers, distribution system operators, suppliers, consumers and environmental protection</w:t>
      </w:r>
      <w:r w:rsidR="00530F14" w:rsidRPr="00FF1087">
        <w:rPr>
          <w:lang w:val="en-GB"/>
        </w:rPr>
        <w:t xml:space="preserve"> organi</w:t>
      </w:r>
      <w:r w:rsidR="00D86AEB" w:rsidRPr="00FF1087">
        <w:rPr>
          <w:lang w:val="en-GB"/>
        </w:rPr>
        <w:t>z</w:t>
      </w:r>
      <w:r w:rsidR="00530F14" w:rsidRPr="00FF1087">
        <w:rPr>
          <w:lang w:val="en-GB"/>
        </w:rPr>
        <w:t>ations</w:t>
      </w:r>
      <w:r w:rsidR="004025E8" w:rsidRPr="00FF1087">
        <w:rPr>
          <w:lang w:val="en-GB"/>
        </w:rPr>
        <w:t>.</w:t>
      </w:r>
      <w:r w:rsidR="00762FF0" w:rsidRPr="00FF1087">
        <w:rPr>
          <w:rStyle w:val="FootnoteReference"/>
          <w:lang w:val="en-GB"/>
        </w:rPr>
        <w:footnoteReference w:id="84"/>
      </w:r>
    </w:p>
    <w:p w14:paraId="0715403B" w14:textId="493509B7" w:rsidR="00FB77EA" w:rsidRPr="00FF1087" w:rsidRDefault="00733407"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w:t>
      </w:r>
      <w:r w:rsidR="004025E8" w:rsidRPr="00FF1087">
        <w:rPr>
          <w:rStyle w:val="st"/>
          <w:lang w:val="en-GB"/>
        </w:rPr>
        <w:t xml:space="preserve">reiterates </w:t>
      </w:r>
      <w:r w:rsidR="00FB77EA" w:rsidRPr="00FF1087">
        <w:rPr>
          <w:rStyle w:val="st"/>
          <w:lang w:val="en-GB"/>
        </w:rPr>
        <w:t xml:space="preserve">each </w:t>
      </w:r>
      <w:r w:rsidR="008E2F95" w:rsidRPr="00FF1087">
        <w:rPr>
          <w:rStyle w:val="st"/>
          <w:lang w:val="en-GB"/>
        </w:rPr>
        <w:t xml:space="preserve">project </w:t>
      </w:r>
      <w:r w:rsidR="00FB77EA" w:rsidRPr="00FF1087">
        <w:rPr>
          <w:rStyle w:val="st"/>
          <w:lang w:val="en-GB"/>
        </w:rPr>
        <w:t xml:space="preserve">will undergo a </w:t>
      </w:r>
      <w:r w:rsidR="007F72C4" w:rsidRPr="00FF1087">
        <w:rPr>
          <w:rStyle w:val="st"/>
          <w:lang w:val="en-GB"/>
        </w:rPr>
        <w:t>permitting</w:t>
      </w:r>
      <w:r w:rsidR="00FB77EA" w:rsidRPr="00FF1087">
        <w:rPr>
          <w:rStyle w:val="st"/>
          <w:lang w:val="en-GB"/>
        </w:rPr>
        <w:t xml:space="preserve"> process </w:t>
      </w:r>
      <w:r w:rsidR="00FD5DE4" w:rsidRPr="00FF1087">
        <w:rPr>
          <w:rStyle w:val="st"/>
          <w:lang w:val="en-GB"/>
        </w:rPr>
        <w:t>including the consultation of</w:t>
      </w:r>
      <w:r w:rsidR="00FB77EA" w:rsidRPr="00FF1087">
        <w:rPr>
          <w:rStyle w:val="st"/>
          <w:lang w:val="en-GB"/>
        </w:rPr>
        <w:t xml:space="preserve"> stakeholders likely to be directly affected, including landowners, citizens living in the vicinity of the pr</w:t>
      </w:r>
      <w:r w:rsidR="00380BAE" w:rsidRPr="00FF1087">
        <w:rPr>
          <w:rStyle w:val="st"/>
          <w:lang w:val="en-GB"/>
        </w:rPr>
        <w:t>oject, and the general public.</w:t>
      </w:r>
      <w:r w:rsidR="00FB77EA" w:rsidRPr="00FF1087">
        <w:rPr>
          <w:rStyle w:val="FootnoteReference"/>
          <w:lang w:val="en-GB"/>
        </w:rPr>
        <w:footnoteReference w:id="85"/>
      </w:r>
    </w:p>
    <w:p w14:paraId="554DCAD5" w14:textId="0299E9B2" w:rsidR="00FB77EA" w:rsidRPr="00FF1087" w:rsidRDefault="00330F35" w:rsidP="00642866">
      <w:pPr>
        <w:pStyle w:val="SingleTxtG"/>
        <w:numPr>
          <w:ilvl w:val="0"/>
          <w:numId w:val="3"/>
        </w:numPr>
        <w:tabs>
          <w:tab w:val="left" w:pos="1843"/>
          <w:tab w:val="left" w:pos="6120"/>
        </w:tabs>
        <w:ind w:left="1134" w:right="0" w:firstLine="0"/>
        <w:rPr>
          <w:rStyle w:val="st"/>
          <w:lang w:val="en-GB"/>
        </w:rPr>
      </w:pPr>
      <w:bookmarkStart w:id="24" w:name="_Ref500606191"/>
      <w:r w:rsidRPr="00FF1087">
        <w:rPr>
          <w:rStyle w:val="st"/>
          <w:lang w:val="en-GB"/>
        </w:rPr>
        <w:t xml:space="preserve">The Party concerned </w:t>
      </w:r>
      <w:r w:rsidR="00AA535C" w:rsidRPr="00FF1087">
        <w:rPr>
          <w:rStyle w:val="st"/>
          <w:lang w:val="en-GB"/>
        </w:rPr>
        <w:t xml:space="preserve">submits </w:t>
      </w:r>
      <w:r w:rsidR="004E1E16" w:rsidRPr="00FF1087">
        <w:rPr>
          <w:rStyle w:val="st"/>
          <w:lang w:val="en-GB"/>
        </w:rPr>
        <w:t>its</w:t>
      </w:r>
      <w:r w:rsidR="00AA535C" w:rsidRPr="00FF1087">
        <w:rPr>
          <w:rStyle w:val="st"/>
          <w:lang w:val="en-GB"/>
        </w:rPr>
        <w:t xml:space="preserve"> </w:t>
      </w:r>
      <w:r w:rsidR="004E1E16" w:rsidRPr="00FF1087">
        <w:rPr>
          <w:rStyle w:val="st"/>
          <w:lang w:val="en-GB"/>
        </w:rPr>
        <w:t>2012</w:t>
      </w:r>
      <w:r w:rsidR="00E2528C" w:rsidRPr="00FF1087">
        <w:rPr>
          <w:rStyle w:val="st"/>
          <w:lang w:val="en-GB"/>
        </w:rPr>
        <w:sym w:font="Symbol" w:char="F02D"/>
      </w:r>
      <w:r w:rsidR="004E1E16" w:rsidRPr="00FF1087">
        <w:rPr>
          <w:rStyle w:val="st"/>
          <w:lang w:val="en-GB"/>
        </w:rPr>
        <w:t xml:space="preserve">2013 </w:t>
      </w:r>
      <w:r w:rsidR="00AA535C" w:rsidRPr="00FF1087">
        <w:rPr>
          <w:rStyle w:val="st"/>
          <w:lang w:val="en-GB"/>
        </w:rPr>
        <w:t>consultation was comprehensive</w:t>
      </w:r>
      <w:r w:rsidR="004025E8" w:rsidRPr="00FF1087">
        <w:rPr>
          <w:rStyle w:val="st"/>
          <w:lang w:val="en-GB"/>
        </w:rPr>
        <w:t xml:space="preserve">, </w:t>
      </w:r>
      <w:r w:rsidR="00D86AEB" w:rsidRPr="00FF1087">
        <w:rPr>
          <w:rStyle w:val="st"/>
          <w:lang w:val="en-GB"/>
        </w:rPr>
        <w:t>highlighting</w:t>
      </w:r>
      <w:r w:rsidR="004025E8" w:rsidRPr="00FF1087">
        <w:rPr>
          <w:rStyle w:val="st"/>
          <w:lang w:val="en-GB"/>
        </w:rPr>
        <w:t xml:space="preserve"> seven </w:t>
      </w:r>
      <w:r w:rsidR="005D4D61" w:rsidRPr="00FF1087">
        <w:rPr>
          <w:rStyle w:val="st"/>
          <w:lang w:val="en-GB"/>
        </w:rPr>
        <w:t>events</w:t>
      </w:r>
      <w:r w:rsidR="00D86AEB" w:rsidRPr="00FF1087">
        <w:rPr>
          <w:rStyle w:val="st"/>
          <w:lang w:val="en-GB"/>
        </w:rPr>
        <w:t>:</w:t>
      </w:r>
      <w:bookmarkEnd w:id="24"/>
    </w:p>
    <w:p w14:paraId="246B3E73" w14:textId="2CFDCB60" w:rsidR="00184849" w:rsidRPr="00FF1087" w:rsidRDefault="004025E8" w:rsidP="00827A3D">
      <w:pPr>
        <w:pStyle w:val="SingleTxtG"/>
        <w:numPr>
          <w:ilvl w:val="0"/>
          <w:numId w:val="6"/>
        </w:numPr>
        <w:tabs>
          <w:tab w:val="left" w:pos="1843"/>
        </w:tabs>
        <w:ind w:left="1560" w:right="0" w:firstLine="0"/>
        <w:rPr>
          <w:rStyle w:val="st"/>
          <w:b/>
          <w:i/>
          <w:lang w:val="en-GB"/>
        </w:rPr>
      </w:pPr>
      <w:r w:rsidRPr="00FF1087">
        <w:rPr>
          <w:rStyle w:val="st"/>
          <w:lang w:val="en-GB"/>
        </w:rPr>
        <w:tab/>
        <w:t>Open public consultation from 23 May</w:t>
      </w:r>
      <w:r w:rsidR="00D86AEB" w:rsidRPr="00FF1087">
        <w:rPr>
          <w:rStyle w:val="st"/>
          <w:lang w:val="en-GB"/>
        </w:rPr>
        <w:sym w:font="Symbol" w:char="F02D"/>
      </w:r>
      <w:r w:rsidRPr="00FF1087">
        <w:rPr>
          <w:rStyle w:val="st"/>
          <w:lang w:val="en-GB"/>
        </w:rPr>
        <w:t>7 June 2012 to identify infrastructure projects as potential PCIs</w:t>
      </w:r>
      <w:r w:rsidR="00107932" w:rsidRPr="00FF1087">
        <w:rPr>
          <w:rStyle w:val="st"/>
          <w:lang w:val="en-GB"/>
        </w:rPr>
        <w:t>;</w:t>
      </w:r>
    </w:p>
    <w:p w14:paraId="414778ED" w14:textId="06254F47" w:rsidR="004025E8" w:rsidRPr="00FF1087" w:rsidRDefault="004025E8" w:rsidP="00827A3D">
      <w:pPr>
        <w:pStyle w:val="SingleTxtG"/>
        <w:numPr>
          <w:ilvl w:val="0"/>
          <w:numId w:val="6"/>
        </w:numPr>
        <w:tabs>
          <w:tab w:val="left" w:pos="1843"/>
        </w:tabs>
        <w:ind w:left="1560" w:right="0" w:firstLine="0"/>
        <w:rPr>
          <w:rStyle w:val="st"/>
          <w:b/>
          <w:i/>
          <w:lang w:val="en-GB"/>
        </w:rPr>
      </w:pPr>
      <w:r w:rsidRPr="00FF1087">
        <w:rPr>
          <w:rStyle w:val="st"/>
          <w:lang w:val="en-GB"/>
        </w:rPr>
        <w:lastRenderedPageBreak/>
        <w:tab/>
        <w:t xml:space="preserve">Open public consultation </w:t>
      </w:r>
      <w:r w:rsidR="00E2528C" w:rsidRPr="00FF1087">
        <w:rPr>
          <w:rStyle w:val="st"/>
          <w:lang w:val="en-GB"/>
        </w:rPr>
        <w:t>from 20 June</w:t>
      </w:r>
      <w:r w:rsidR="00E2528C" w:rsidRPr="00FF1087">
        <w:rPr>
          <w:rStyle w:val="st"/>
          <w:lang w:val="en-GB"/>
        </w:rPr>
        <w:sym w:font="Symbol" w:char="F02D"/>
      </w:r>
      <w:r w:rsidR="00E2528C" w:rsidRPr="00FF1087">
        <w:rPr>
          <w:rStyle w:val="st"/>
          <w:lang w:val="en-GB"/>
        </w:rPr>
        <w:t xml:space="preserve">4 October 2012 </w:t>
      </w:r>
      <w:r w:rsidRPr="00FF1087">
        <w:rPr>
          <w:rStyle w:val="st"/>
          <w:lang w:val="en-GB"/>
        </w:rPr>
        <w:t>to obtain views of the public, through a detailed online questionnaire</w:t>
      </w:r>
      <w:r w:rsidR="00107932" w:rsidRPr="00FF1087">
        <w:rPr>
          <w:rStyle w:val="st"/>
          <w:lang w:val="en-GB"/>
        </w:rPr>
        <w:t>, on all infr</w:t>
      </w:r>
      <w:r w:rsidRPr="00FF1087">
        <w:rPr>
          <w:rStyle w:val="st"/>
          <w:lang w:val="en-GB"/>
        </w:rPr>
        <w:t>a</w:t>
      </w:r>
      <w:r w:rsidR="00107932" w:rsidRPr="00FF1087">
        <w:rPr>
          <w:rStyle w:val="st"/>
          <w:lang w:val="en-GB"/>
        </w:rPr>
        <w:t>s</w:t>
      </w:r>
      <w:r w:rsidRPr="00FF1087">
        <w:rPr>
          <w:rStyle w:val="st"/>
          <w:lang w:val="en-GB"/>
        </w:rPr>
        <w:t>tructure projects propose</w:t>
      </w:r>
      <w:r w:rsidR="00F26E91" w:rsidRPr="00FF1087">
        <w:rPr>
          <w:rStyle w:val="st"/>
          <w:lang w:val="en-GB"/>
        </w:rPr>
        <w:t>d</w:t>
      </w:r>
      <w:r w:rsidRPr="00FF1087">
        <w:rPr>
          <w:rStyle w:val="st"/>
          <w:lang w:val="en-GB"/>
        </w:rPr>
        <w:t xml:space="preserve"> as potential PCIs;</w:t>
      </w:r>
    </w:p>
    <w:p w14:paraId="6DF6E9F2" w14:textId="1266A0BB" w:rsidR="00107932" w:rsidRPr="00FF1087" w:rsidRDefault="00107932" w:rsidP="00827A3D">
      <w:pPr>
        <w:pStyle w:val="SingleTxtG"/>
        <w:numPr>
          <w:ilvl w:val="0"/>
          <w:numId w:val="6"/>
        </w:numPr>
        <w:tabs>
          <w:tab w:val="left" w:pos="1843"/>
        </w:tabs>
        <w:ind w:left="1560" w:right="0" w:firstLine="0"/>
        <w:rPr>
          <w:rStyle w:val="st"/>
          <w:b/>
          <w:i/>
          <w:lang w:val="en-GB"/>
        </w:rPr>
      </w:pPr>
      <w:r w:rsidRPr="00FF1087">
        <w:rPr>
          <w:rStyle w:val="st"/>
          <w:lang w:val="en-GB"/>
        </w:rPr>
        <w:tab/>
        <w:t xml:space="preserve">“Information Day on the process of </w:t>
      </w:r>
      <w:r w:rsidR="00CE543E" w:rsidRPr="00FF1087">
        <w:rPr>
          <w:rStyle w:val="st"/>
          <w:lang w:val="en-GB"/>
        </w:rPr>
        <w:t>identifying</w:t>
      </w:r>
      <w:r w:rsidRPr="00FF1087">
        <w:rPr>
          <w:rStyle w:val="st"/>
          <w:lang w:val="en-GB"/>
        </w:rPr>
        <w:t xml:space="preserve"> PCIs in energy infrastructure” on 17 July 2012 to provide the public with detailed information on the PCI</w:t>
      </w:r>
      <w:r w:rsidR="005017DD" w:rsidRPr="00FF1087">
        <w:rPr>
          <w:rStyle w:val="st"/>
          <w:lang w:val="en-GB"/>
        </w:rPr>
        <w:t>s</w:t>
      </w:r>
      <w:r w:rsidRPr="00FF1087">
        <w:rPr>
          <w:rStyle w:val="st"/>
          <w:lang w:val="en-GB"/>
        </w:rPr>
        <w:t xml:space="preserve"> identification process and the ongoing public consultation;</w:t>
      </w:r>
    </w:p>
    <w:p w14:paraId="3479DE8D" w14:textId="12C291B1" w:rsidR="004025E8" w:rsidRPr="00FF1087" w:rsidRDefault="004025E8" w:rsidP="00827A3D">
      <w:pPr>
        <w:pStyle w:val="SingleTxtG"/>
        <w:numPr>
          <w:ilvl w:val="0"/>
          <w:numId w:val="6"/>
        </w:numPr>
        <w:tabs>
          <w:tab w:val="left" w:pos="1843"/>
        </w:tabs>
        <w:ind w:left="1560" w:right="0" w:firstLine="0"/>
        <w:rPr>
          <w:rStyle w:val="st"/>
          <w:b/>
          <w:i/>
          <w:lang w:val="en-GB"/>
        </w:rPr>
      </w:pPr>
      <w:r w:rsidRPr="00FF1087">
        <w:rPr>
          <w:rStyle w:val="st"/>
          <w:lang w:val="en-GB"/>
        </w:rPr>
        <w:tab/>
        <w:t xml:space="preserve">European </w:t>
      </w:r>
      <w:r w:rsidR="00107932" w:rsidRPr="00FF1087">
        <w:rPr>
          <w:rStyle w:val="st"/>
          <w:lang w:val="en-GB"/>
        </w:rPr>
        <w:t xml:space="preserve">Gas Regulatory Forum (Madrid Forum) meeting on 18 April 2013 to obtain views on </w:t>
      </w:r>
      <w:r w:rsidR="005017DD" w:rsidRPr="00FF1087">
        <w:rPr>
          <w:rStyle w:val="st"/>
          <w:lang w:val="en-GB"/>
        </w:rPr>
        <w:t xml:space="preserve">proposed </w:t>
      </w:r>
      <w:r w:rsidR="00107932" w:rsidRPr="00FF1087">
        <w:rPr>
          <w:rStyle w:val="st"/>
          <w:lang w:val="en-GB"/>
        </w:rPr>
        <w:t>PCIs from the gas sector;</w:t>
      </w:r>
    </w:p>
    <w:p w14:paraId="425BA7F5" w14:textId="4D5BEF78" w:rsidR="00107932" w:rsidRPr="00FF1087" w:rsidRDefault="00107932" w:rsidP="00827A3D">
      <w:pPr>
        <w:pStyle w:val="SingleTxtG"/>
        <w:numPr>
          <w:ilvl w:val="0"/>
          <w:numId w:val="6"/>
        </w:numPr>
        <w:tabs>
          <w:tab w:val="left" w:pos="1843"/>
        </w:tabs>
        <w:ind w:left="1560" w:right="0" w:firstLine="0"/>
        <w:rPr>
          <w:rStyle w:val="st"/>
          <w:b/>
          <w:i/>
          <w:lang w:val="en-GB"/>
        </w:rPr>
      </w:pPr>
      <w:r w:rsidRPr="00FF1087">
        <w:rPr>
          <w:rStyle w:val="st"/>
          <w:lang w:val="en-GB"/>
        </w:rPr>
        <w:tab/>
        <w:t xml:space="preserve">Electricity Regulatory Forum (Florence Forum) meeting on 16 May 2013 to obtain views on </w:t>
      </w:r>
      <w:r w:rsidR="005017DD" w:rsidRPr="00FF1087">
        <w:rPr>
          <w:rStyle w:val="st"/>
          <w:lang w:val="en-GB"/>
        </w:rPr>
        <w:t xml:space="preserve">proposed PCIs </w:t>
      </w:r>
      <w:r w:rsidRPr="00FF1087">
        <w:rPr>
          <w:rStyle w:val="st"/>
          <w:lang w:val="en-GB"/>
        </w:rPr>
        <w:t>from the electricity sector;</w:t>
      </w:r>
    </w:p>
    <w:p w14:paraId="51472896" w14:textId="5AFEA2F6" w:rsidR="00107932" w:rsidRPr="00FF1087" w:rsidRDefault="00107932" w:rsidP="00827A3D">
      <w:pPr>
        <w:pStyle w:val="SingleTxtG"/>
        <w:numPr>
          <w:ilvl w:val="0"/>
          <w:numId w:val="6"/>
        </w:numPr>
        <w:tabs>
          <w:tab w:val="left" w:pos="1843"/>
        </w:tabs>
        <w:ind w:left="1560" w:right="0" w:firstLine="0"/>
        <w:rPr>
          <w:rStyle w:val="st"/>
          <w:b/>
          <w:i/>
          <w:lang w:val="en-GB"/>
        </w:rPr>
      </w:pPr>
      <w:r w:rsidRPr="00FF1087">
        <w:rPr>
          <w:rStyle w:val="st"/>
          <w:lang w:val="en-GB"/>
        </w:rPr>
        <w:tab/>
        <w:t xml:space="preserve">Submission of the draft regional </w:t>
      </w:r>
      <w:r w:rsidR="00DF3556" w:rsidRPr="00FF1087">
        <w:rPr>
          <w:rStyle w:val="st"/>
          <w:lang w:val="en-GB"/>
        </w:rPr>
        <w:t xml:space="preserve">PCI </w:t>
      </w:r>
      <w:r w:rsidRPr="00FF1087">
        <w:rPr>
          <w:rStyle w:val="st"/>
          <w:lang w:val="en-GB"/>
        </w:rPr>
        <w:t>lists to relevant environmental stakeholders and discussion with these stakeholders at a meeting on 5 June 2013, with participation of eleven environmental organization</w:t>
      </w:r>
      <w:r w:rsidR="00DF3556" w:rsidRPr="00FF1087">
        <w:rPr>
          <w:rStyle w:val="st"/>
          <w:lang w:val="en-GB"/>
        </w:rPr>
        <w:t>s</w:t>
      </w:r>
      <w:r w:rsidRPr="00FF1087">
        <w:rPr>
          <w:rStyle w:val="st"/>
          <w:lang w:val="en-GB"/>
        </w:rPr>
        <w:t>. Additional information requested by stakeholders was provided and a further period for written comments granted;</w:t>
      </w:r>
    </w:p>
    <w:p w14:paraId="31ECE061" w14:textId="77FD2476" w:rsidR="00107932" w:rsidRPr="00FF1087" w:rsidRDefault="00107932" w:rsidP="00827A3D">
      <w:pPr>
        <w:pStyle w:val="SingleTxtG"/>
        <w:numPr>
          <w:ilvl w:val="0"/>
          <w:numId w:val="6"/>
        </w:numPr>
        <w:tabs>
          <w:tab w:val="left" w:pos="1843"/>
        </w:tabs>
        <w:ind w:left="1560" w:right="0" w:firstLine="0"/>
        <w:rPr>
          <w:rStyle w:val="st"/>
          <w:b/>
          <w:i/>
          <w:lang w:val="en-GB"/>
        </w:rPr>
      </w:pPr>
      <w:r w:rsidRPr="00FF1087">
        <w:rPr>
          <w:rStyle w:val="st"/>
          <w:lang w:val="en-GB"/>
        </w:rPr>
        <w:tab/>
        <w:t>Final written public consultation from 3</w:t>
      </w:r>
      <w:r w:rsidR="00D86AEB" w:rsidRPr="00FF1087">
        <w:rPr>
          <w:rStyle w:val="st"/>
          <w:lang w:val="en-GB"/>
        </w:rPr>
        <w:sym w:font="Symbol" w:char="F02D"/>
      </w:r>
      <w:r w:rsidRPr="00FF1087">
        <w:rPr>
          <w:rStyle w:val="st"/>
          <w:lang w:val="en-GB"/>
        </w:rPr>
        <w:t>17 July 2013, mainly with environmental stakeholders.</w:t>
      </w:r>
      <w:r w:rsidRPr="00FF1087">
        <w:rPr>
          <w:rStyle w:val="FootnoteReference"/>
          <w:lang w:val="en-GB"/>
        </w:rPr>
        <w:footnoteReference w:id="86"/>
      </w:r>
    </w:p>
    <w:p w14:paraId="36BDA2B5" w14:textId="0D01EE7D" w:rsidR="000F7BAD" w:rsidRPr="00FF1087" w:rsidRDefault="00107932" w:rsidP="001C3D04">
      <w:pPr>
        <w:pStyle w:val="SingleTxtG"/>
        <w:tabs>
          <w:tab w:val="left" w:pos="1843"/>
          <w:tab w:val="left" w:pos="6120"/>
        </w:tabs>
        <w:ind w:right="0"/>
        <w:rPr>
          <w:rStyle w:val="st"/>
          <w:b/>
          <w:lang w:val="en-GB"/>
        </w:rPr>
      </w:pPr>
      <w:r w:rsidRPr="00FF1087">
        <w:rPr>
          <w:rStyle w:val="st"/>
          <w:b/>
          <w:lang w:val="en-GB"/>
        </w:rPr>
        <w:t>Article 7</w:t>
      </w:r>
      <w:r w:rsidR="00811115" w:rsidRPr="00FF1087">
        <w:rPr>
          <w:rStyle w:val="st"/>
          <w:b/>
          <w:lang w:val="en-GB"/>
        </w:rPr>
        <w:t xml:space="preserve"> in conjunction with article 6</w:t>
      </w:r>
      <w:r w:rsidR="00B1124E" w:rsidRPr="00FF1087">
        <w:rPr>
          <w:rStyle w:val="st"/>
          <w:b/>
          <w:lang w:val="en-GB"/>
        </w:rPr>
        <w:t>(</w:t>
      </w:r>
      <w:r w:rsidR="00811115" w:rsidRPr="00FF1087">
        <w:rPr>
          <w:rStyle w:val="st"/>
          <w:b/>
          <w:lang w:val="en-GB"/>
        </w:rPr>
        <w:t>8</w:t>
      </w:r>
      <w:r w:rsidR="00B1124E" w:rsidRPr="00FF1087">
        <w:rPr>
          <w:rStyle w:val="st"/>
          <w:b/>
          <w:lang w:val="en-GB"/>
        </w:rPr>
        <w:t>)</w:t>
      </w:r>
    </w:p>
    <w:p w14:paraId="2417DC36" w14:textId="050332CD" w:rsidR="00141252" w:rsidRPr="00FF1087" w:rsidRDefault="00141252" w:rsidP="001C3D04">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communicant </w:t>
      </w:r>
      <w:r w:rsidR="00A26EA2" w:rsidRPr="00FF1087">
        <w:rPr>
          <w:rStyle w:val="st"/>
          <w:lang w:val="en-GB"/>
        </w:rPr>
        <w:t xml:space="preserve">claims </w:t>
      </w:r>
      <w:r w:rsidR="00147C3D" w:rsidRPr="00FF1087">
        <w:rPr>
          <w:rStyle w:val="st"/>
          <w:lang w:val="en-GB"/>
        </w:rPr>
        <w:t>the Party concerned</w:t>
      </w:r>
      <w:r w:rsidR="00107932" w:rsidRPr="00FF1087">
        <w:rPr>
          <w:rStyle w:val="st"/>
          <w:lang w:val="en-GB"/>
        </w:rPr>
        <w:t xml:space="preserve"> </w:t>
      </w:r>
      <w:r w:rsidR="00147C3D" w:rsidRPr="00FF1087">
        <w:rPr>
          <w:rStyle w:val="st"/>
          <w:lang w:val="en-GB"/>
        </w:rPr>
        <w:t>failed to take the</w:t>
      </w:r>
      <w:r w:rsidR="00A26EA2" w:rsidRPr="00FF1087">
        <w:rPr>
          <w:rStyle w:val="st"/>
          <w:lang w:val="en-GB"/>
        </w:rPr>
        <w:t xml:space="preserve"> outcome of the public participation into</w:t>
      </w:r>
      <w:r w:rsidRPr="00FF1087">
        <w:rPr>
          <w:rStyle w:val="st"/>
          <w:lang w:val="en-GB"/>
        </w:rPr>
        <w:t xml:space="preserve"> account in the final decision</w:t>
      </w:r>
      <w:r w:rsidR="005017DD" w:rsidRPr="00FF1087">
        <w:rPr>
          <w:rStyle w:val="st"/>
          <w:lang w:val="en-GB"/>
        </w:rPr>
        <w:t xml:space="preserve"> on the PCIs</w:t>
      </w:r>
      <w:r w:rsidRPr="00FF1087">
        <w:rPr>
          <w:rStyle w:val="st"/>
          <w:lang w:val="en-GB"/>
        </w:rPr>
        <w:t xml:space="preserve">. </w:t>
      </w:r>
      <w:r w:rsidR="00AD78C2" w:rsidRPr="00FF1087">
        <w:rPr>
          <w:rStyle w:val="st"/>
          <w:lang w:val="en-GB"/>
        </w:rPr>
        <w:t>It</w:t>
      </w:r>
      <w:r w:rsidR="00A26EA2" w:rsidRPr="00FF1087">
        <w:rPr>
          <w:rStyle w:val="st"/>
          <w:lang w:val="en-GB"/>
        </w:rPr>
        <w:t xml:space="preserve"> claims </w:t>
      </w:r>
      <w:r w:rsidR="0053202B" w:rsidRPr="00FF1087">
        <w:rPr>
          <w:rStyle w:val="st"/>
          <w:lang w:val="en-GB"/>
        </w:rPr>
        <w:t xml:space="preserve">the </w:t>
      </w:r>
      <w:r w:rsidRPr="00FF1087">
        <w:rPr>
          <w:rStyle w:val="st"/>
          <w:lang w:val="en-GB"/>
        </w:rPr>
        <w:t xml:space="preserve">142 submissions </w:t>
      </w:r>
      <w:r w:rsidR="00112A47" w:rsidRPr="00FF1087">
        <w:rPr>
          <w:rStyle w:val="st"/>
          <w:lang w:val="en-GB"/>
        </w:rPr>
        <w:t xml:space="preserve">the Party concerned </w:t>
      </w:r>
      <w:r w:rsidR="0053202B" w:rsidRPr="00FF1087">
        <w:rPr>
          <w:rStyle w:val="st"/>
          <w:lang w:val="en-GB"/>
        </w:rPr>
        <w:t xml:space="preserve">received </w:t>
      </w:r>
      <w:r w:rsidRPr="00FF1087">
        <w:rPr>
          <w:rStyle w:val="st"/>
          <w:lang w:val="en-GB"/>
        </w:rPr>
        <w:t>were never published and</w:t>
      </w:r>
      <w:r w:rsidR="0053202B" w:rsidRPr="00FF1087">
        <w:rPr>
          <w:rStyle w:val="st"/>
          <w:lang w:val="en-GB"/>
        </w:rPr>
        <w:t xml:space="preserve"> </w:t>
      </w:r>
      <w:r w:rsidRPr="00FF1087">
        <w:rPr>
          <w:rStyle w:val="st"/>
          <w:lang w:val="en-GB"/>
        </w:rPr>
        <w:t xml:space="preserve">there is no record how they were evaluated. </w:t>
      </w:r>
      <w:r w:rsidR="00FE553D" w:rsidRPr="00FF1087">
        <w:rPr>
          <w:rStyle w:val="st"/>
          <w:lang w:val="en-GB"/>
        </w:rPr>
        <w:t>It</w:t>
      </w:r>
      <w:r w:rsidRPr="00FF1087">
        <w:rPr>
          <w:rStyle w:val="st"/>
          <w:lang w:val="en-GB"/>
        </w:rPr>
        <w:t xml:space="preserve"> presents </w:t>
      </w:r>
      <w:r w:rsidR="008E2337" w:rsidRPr="00FF1087">
        <w:rPr>
          <w:rStyle w:val="st"/>
          <w:lang w:val="en-GB"/>
        </w:rPr>
        <w:t xml:space="preserve">an </w:t>
      </w:r>
      <w:r w:rsidRPr="00FF1087">
        <w:rPr>
          <w:rStyle w:val="st"/>
          <w:lang w:val="en-GB"/>
        </w:rPr>
        <w:t xml:space="preserve">example </w:t>
      </w:r>
      <w:r w:rsidR="005017DD" w:rsidRPr="00FF1087">
        <w:rPr>
          <w:rStyle w:val="st"/>
          <w:lang w:val="en-GB"/>
        </w:rPr>
        <w:t xml:space="preserve">it alleges was </w:t>
      </w:r>
      <w:r w:rsidRPr="00FF1087">
        <w:rPr>
          <w:rStyle w:val="st"/>
          <w:lang w:val="en-GB"/>
        </w:rPr>
        <w:t>ignored.</w:t>
      </w:r>
      <w:r w:rsidR="00DA4622" w:rsidRPr="00FF1087">
        <w:rPr>
          <w:rStyle w:val="FootnoteReference"/>
          <w:lang w:val="en-GB"/>
        </w:rPr>
        <w:footnoteReference w:id="87"/>
      </w:r>
    </w:p>
    <w:p w14:paraId="4267D105" w14:textId="7E13E904" w:rsidR="0042160E" w:rsidRPr="00FF1087" w:rsidRDefault="0042160E" w:rsidP="0007320D">
      <w:pPr>
        <w:pStyle w:val="SingleTxtG"/>
        <w:numPr>
          <w:ilvl w:val="0"/>
          <w:numId w:val="3"/>
        </w:numPr>
        <w:tabs>
          <w:tab w:val="left" w:pos="1843"/>
          <w:tab w:val="left" w:pos="6120"/>
        </w:tabs>
        <w:ind w:left="1134" w:right="0" w:firstLine="0"/>
        <w:rPr>
          <w:rStyle w:val="st"/>
          <w:lang w:val="en-GB"/>
        </w:rPr>
      </w:pPr>
      <w:r w:rsidRPr="00FF1087">
        <w:rPr>
          <w:rStyle w:val="st"/>
          <w:lang w:val="en-GB"/>
        </w:rPr>
        <w:t xml:space="preserve">The Party concerned </w:t>
      </w:r>
      <w:r w:rsidR="00514BE5" w:rsidRPr="00FF1087">
        <w:rPr>
          <w:rStyle w:val="st"/>
          <w:lang w:val="en-GB"/>
        </w:rPr>
        <w:t>state</w:t>
      </w:r>
      <w:r w:rsidRPr="00FF1087">
        <w:rPr>
          <w:rStyle w:val="st"/>
          <w:lang w:val="en-GB"/>
        </w:rPr>
        <w:t xml:space="preserve">s the </w:t>
      </w:r>
      <w:r w:rsidR="00FD5DE4" w:rsidRPr="00FF1087">
        <w:rPr>
          <w:rStyle w:val="st"/>
          <w:lang w:val="en-GB"/>
        </w:rPr>
        <w:t xml:space="preserve">public’s </w:t>
      </w:r>
      <w:r w:rsidRPr="00FF1087">
        <w:rPr>
          <w:rStyle w:val="st"/>
          <w:lang w:val="en-GB"/>
        </w:rPr>
        <w:t xml:space="preserve">views </w:t>
      </w:r>
      <w:r w:rsidR="00514BE5" w:rsidRPr="00FF1087">
        <w:rPr>
          <w:rStyle w:val="st"/>
          <w:lang w:val="en-GB"/>
        </w:rPr>
        <w:t>were</w:t>
      </w:r>
      <w:r w:rsidRPr="00FF1087">
        <w:rPr>
          <w:rStyle w:val="st"/>
          <w:lang w:val="en-GB"/>
        </w:rPr>
        <w:t xml:space="preserve"> duly </w:t>
      </w:r>
      <w:proofErr w:type="gramStart"/>
      <w:r w:rsidRPr="00FF1087">
        <w:rPr>
          <w:rStyle w:val="st"/>
          <w:lang w:val="en-GB"/>
        </w:rPr>
        <w:t>taken into account</w:t>
      </w:r>
      <w:proofErr w:type="gramEnd"/>
      <w:r w:rsidR="00811115" w:rsidRPr="00FF1087">
        <w:rPr>
          <w:rStyle w:val="st"/>
          <w:lang w:val="en-GB"/>
        </w:rPr>
        <w:t>;</w:t>
      </w:r>
      <w:r w:rsidRPr="00FF1087">
        <w:rPr>
          <w:rStyle w:val="st"/>
          <w:lang w:val="en-GB"/>
        </w:rPr>
        <w:t xml:space="preserve"> </w:t>
      </w:r>
      <w:r w:rsidR="00B07F05" w:rsidRPr="00FF1087">
        <w:rPr>
          <w:rStyle w:val="st"/>
          <w:lang w:val="en-GB"/>
        </w:rPr>
        <w:t xml:space="preserve">the Regional Groups considered </w:t>
      </w:r>
      <w:r w:rsidRPr="00FF1087">
        <w:rPr>
          <w:rStyle w:val="st"/>
          <w:lang w:val="en-GB"/>
        </w:rPr>
        <w:t xml:space="preserve">all 142 responses when assessing the </w:t>
      </w:r>
      <w:r w:rsidR="00B36116" w:rsidRPr="00FF1087">
        <w:rPr>
          <w:rStyle w:val="st"/>
          <w:lang w:val="en-GB"/>
        </w:rPr>
        <w:t xml:space="preserve">PCI </w:t>
      </w:r>
      <w:r w:rsidRPr="00FF1087">
        <w:rPr>
          <w:rStyle w:val="st"/>
          <w:lang w:val="en-GB"/>
        </w:rPr>
        <w:t>proposals</w:t>
      </w:r>
      <w:r w:rsidR="00811115" w:rsidRPr="00FF1087">
        <w:rPr>
          <w:rStyle w:val="st"/>
          <w:lang w:val="en-GB"/>
        </w:rPr>
        <w:t xml:space="preserve"> and the </w:t>
      </w:r>
      <w:r w:rsidR="00B36116" w:rsidRPr="00FF1087">
        <w:rPr>
          <w:rStyle w:val="st"/>
          <w:lang w:val="en-GB"/>
        </w:rPr>
        <w:t xml:space="preserve">Commission considered </w:t>
      </w:r>
      <w:r w:rsidRPr="00FF1087">
        <w:rPr>
          <w:rStyle w:val="st"/>
          <w:lang w:val="en-GB"/>
        </w:rPr>
        <w:t>stakeholders</w:t>
      </w:r>
      <w:r w:rsidR="005017DD" w:rsidRPr="00FF1087">
        <w:rPr>
          <w:rStyle w:val="st"/>
          <w:lang w:val="en-GB"/>
        </w:rPr>
        <w:t>’</w:t>
      </w:r>
      <w:r w:rsidRPr="00FF1087">
        <w:rPr>
          <w:rStyle w:val="st"/>
          <w:lang w:val="en-GB"/>
        </w:rPr>
        <w:t xml:space="preserve"> comments in an internal inter-service consultation process</w:t>
      </w:r>
      <w:r w:rsidR="0038740D" w:rsidRPr="00FF1087">
        <w:rPr>
          <w:rStyle w:val="st"/>
          <w:lang w:val="en-GB"/>
        </w:rPr>
        <w:t>; it</w:t>
      </w:r>
      <w:r w:rsidR="00785B86" w:rsidRPr="00FF1087">
        <w:rPr>
          <w:lang w:val="en-GB"/>
        </w:rPr>
        <w:t xml:space="preserve"> highlights two modifications made to the PCI list as a result. </w:t>
      </w:r>
      <w:r w:rsidR="00785B86" w:rsidRPr="00FF1087">
        <w:rPr>
          <w:rStyle w:val="st"/>
          <w:lang w:val="en-GB"/>
        </w:rPr>
        <w:t xml:space="preserve">Finally, it states that a </w:t>
      </w:r>
      <w:r w:rsidRPr="00FF1087">
        <w:rPr>
          <w:rStyle w:val="st"/>
          <w:lang w:val="en-GB"/>
        </w:rPr>
        <w:t xml:space="preserve">summary of the process was included in </w:t>
      </w:r>
      <w:r w:rsidR="00FD5DE4" w:rsidRPr="00FF1087">
        <w:rPr>
          <w:rStyle w:val="st"/>
          <w:lang w:val="en-GB"/>
        </w:rPr>
        <w:t xml:space="preserve">the </w:t>
      </w:r>
      <w:r w:rsidRPr="00FF1087">
        <w:rPr>
          <w:rStyle w:val="st"/>
          <w:lang w:val="en-GB"/>
        </w:rPr>
        <w:t xml:space="preserve">explanatory memorandum accompanying </w:t>
      </w:r>
      <w:r w:rsidR="007157E3" w:rsidRPr="00FF1087">
        <w:rPr>
          <w:rStyle w:val="st"/>
          <w:lang w:val="en-GB"/>
        </w:rPr>
        <w:t>Delegated Regulation 1391/2013</w:t>
      </w:r>
      <w:r w:rsidRPr="00FF1087">
        <w:rPr>
          <w:rStyle w:val="st"/>
          <w:lang w:val="en-GB"/>
        </w:rPr>
        <w:t>.</w:t>
      </w:r>
      <w:r w:rsidRPr="00FF1087">
        <w:rPr>
          <w:rStyle w:val="FootnoteReference"/>
          <w:lang w:val="en-GB"/>
        </w:rPr>
        <w:footnoteReference w:id="88"/>
      </w:r>
    </w:p>
    <w:p w14:paraId="7F814A9C" w14:textId="77777777" w:rsidR="0044070E" w:rsidRPr="00FF1087" w:rsidRDefault="0044070E" w:rsidP="0044070E">
      <w:pPr>
        <w:pStyle w:val="SingleTxtG"/>
        <w:tabs>
          <w:tab w:val="left" w:pos="1843"/>
          <w:tab w:val="left" w:pos="6120"/>
        </w:tabs>
        <w:ind w:right="0"/>
        <w:rPr>
          <w:rStyle w:val="st"/>
          <w:lang w:val="en-GB"/>
        </w:rPr>
      </w:pPr>
    </w:p>
    <w:p w14:paraId="23CA78A5" w14:textId="1D59D7CA" w:rsidR="00684468" w:rsidRPr="00FF1087" w:rsidRDefault="009636FE" w:rsidP="001C3D04">
      <w:pPr>
        <w:pStyle w:val="Heading2"/>
        <w:tabs>
          <w:tab w:val="left" w:pos="1843"/>
          <w:tab w:val="left" w:pos="6120"/>
        </w:tabs>
        <w:ind w:hanging="425"/>
        <w:rPr>
          <w:lang w:val="en-GB"/>
        </w:rPr>
      </w:pPr>
      <w:r>
        <w:rPr>
          <w:lang w:val="en-GB"/>
        </w:rPr>
        <w:t xml:space="preserve"> </w:t>
      </w:r>
      <w:r w:rsidR="00D971FB" w:rsidRPr="00FF1087">
        <w:rPr>
          <w:lang w:val="en-GB"/>
        </w:rPr>
        <w:t>Consideration a</w:t>
      </w:r>
      <w:r w:rsidR="00090D28" w:rsidRPr="00FF1087">
        <w:rPr>
          <w:lang w:val="en-GB"/>
        </w:rPr>
        <w:t>nd evaluation by the C</w:t>
      </w:r>
      <w:r w:rsidR="00D971FB" w:rsidRPr="00FF1087">
        <w:rPr>
          <w:lang w:val="en-GB"/>
        </w:rPr>
        <w:t>ommittee</w:t>
      </w:r>
    </w:p>
    <w:p w14:paraId="298324E4" w14:textId="2931CEC7" w:rsidR="00E006BA" w:rsidRPr="00FF1087" w:rsidRDefault="00E006BA" w:rsidP="001C3D04">
      <w:pPr>
        <w:pStyle w:val="SingleTxtG"/>
        <w:numPr>
          <w:ilvl w:val="0"/>
          <w:numId w:val="3"/>
        </w:numPr>
        <w:tabs>
          <w:tab w:val="left" w:pos="1843"/>
          <w:tab w:val="left" w:pos="6120"/>
        </w:tabs>
        <w:ind w:left="1134" w:right="0" w:firstLine="0"/>
        <w:rPr>
          <w:lang w:val="en-GB"/>
        </w:rPr>
      </w:pPr>
      <w:r w:rsidRPr="00FF1087">
        <w:rPr>
          <w:lang w:val="en-GB"/>
        </w:rPr>
        <w:t>The European Union approved the Convention through Council Decision 2005/370/EC of 17 February 2005. The E</w:t>
      </w:r>
      <w:r w:rsidR="005017DD" w:rsidRPr="00FF1087">
        <w:rPr>
          <w:lang w:val="en-GB"/>
        </w:rPr>
        <w:t>uropean Union</w:t>
      </w:r>
      <w:r w:rsidRPr="00FF1087">
        <w:rPr>
          <w:lang w:val="en-GB"/>
        </w:rPr>
        <w:t xml:space="preserve"> has been a Party to the Convention since 17 May 2005.</w:t>
      </w:r>
    </w:p>
    <w:p w14:paraId="360E86F7" w14:textId="1E183983" w:rsidR="001A5FD4" w:rsidRPr="00FF1087" w:rsidRDefault="001F5FB5">
      <w:pPr>
        <w:pStyle w:val="SingleTxtG"/>
        <w:tabs>
          <w:tab w:val="left" w:pos="1843"/>
          <w:tab w:val="left" w:pos="6120"/>
        </w:tabs>
        <w:ind w:right="0"/>
        <w:rPr>
          <w:b/>
          <w:lang w:val="en-GB"/>
        </w:rPr>
      </w:pPr>
      <w:r w:rsidRPr="00FF1087">
        <w:rPr>
          <w:b/>
          <w:lang w:val="en-GB"/>
        </w:rPr>
        <w:t>Admissibility</w:t>
      </w:r>
    </w:p>
    <w:p w14:paraId="7BCB84CE" w14:textId="7D21D813" w:rsidR="008F400A" w:rsidRPr="00FF1087" w:rsidRDefault="008F400A" w:rsidP="00642866">
      <w:pPr>
        <w:pStyle w:val="SingleTxtG"/>
        <w:tabs>
          <w:tab w:val="left" w:pos="1843"/>
          <w:tab w:val="left" w:pos="6120"/>
        </w:tabs>
        <w:ind w:right="0"/>
        <w:rPr>
          <w:i/>
          <w:lang w:val="en-GB"/>
        </w:rPr>
      </w:pPr>
      <w:r w:rsidRPr="00FF1087">
        <w:rPr>
          <w:i/>
          <w:lang w:val="en-GB"/>
        </w:rPr>
        <w:t>Claims related to E</w:t>
      </w:r>
      <w:r w:rsidR="00D2241A" w:rsidRPr="00FF1087">
        <w:rPr>
          <w:i/>
          <w:lang w:val="en-GB"/>
        </w:rPr>
        <w:t xml:space="preserve">uropean </w:t>
      </w:r>
      <w:r w:rsidRPr="00FF1087">
        <w:rPr>
          <w:i/>
          <w:lang w:val="en-GB"/>
        </w:rPr>
        <w:t>U</w:t>
      </w:r>
      <w:r w:rsidR="00D2241A" w:rsidRPr="00FF1087">
        <w:rPr>
          <w:i/>
          <w:lang w:val="en-GB"/>
        </w:rPr>
        <w:t>nion</w:t>
      </w:r>
      <w:r w:rsidRPr="00FF1087">
        <w:rPr>
          <w:i/>
          <w:lang w:val="en-GB"/>
        </w:rPr>
        <w:t xml:space="preserve"> law</w:t>
      </w:r>
    </w:p>
    <w:p w14:paraId="57273E8E" w14:textId="5ACEDC03" w:rsidR="008F400A" w:rsidRPr="00FF1087" w:rsidRDefault="001A5FD4" w:rsidP="00D472B6">
      <w:pPr>
        <w:pStyle w:val="SingleTxtG"/>
        <w:numPr>
          <w:ilvl w:val="0"/>
          <w:numId w:val="3"/>
        </w:numPr>
        <w:tabs>
          <w:tab w:val="left" w:pos="1843"/>
          <w:tab w:val="left" w:pos="6120"/>
        </w:tabs>
        <w:ind w:left="1134" w:right="0" w:firstLine="0"/>
        <w:rPr>
          <w:i/>
          <w:lang w:val="en-GB"/>
        </w:rPr>
      </w:pPr>
      <w:r w:rsidRPr="00FF1087">
        <w:rPr>
          <w:lang w:val="en-GB"/>
        </w:rPr>
        <w:t xml:space="preserve">The Committee is competent to assess </w:t>
      </w:r>
      <w:r w:rsidR="006827D6" w:rsidRPr="00FF1087">
        <w:rPr>
          <w:lang w:val="en-GB"/>
        </w:rPr>
        <w:t xml:space="preserve">only </w:t>
      </w:r>
      <w:r w:rsidRPr="00FF1087">
        <w:rPr>
          <w:lang w:val="en-GB"/>
        </w:rPr>
        <w:t xml:space="preserve">compliance with the Convention, </w:t>
      </w:r>
      <w:r w:rsidR="004E164E" w:rsidRPr="00FF1087">
        <w:rPr>
          <w:lang w:val="en-GB"/>
        </w:rPr>
        <w:t>and not</w:t>
      </w:r>
      <w:r w:rsidRPr="00FF1087">
        <w:rPr>
          <w:lang w:val="en-GB"/>
        </w:rPr>
        <w:t xml:space="preserve"> </w:t>
      </w:r>
      <w:proofErr w:type="gramStart"/>
      <w:r w:rsidR="006827D6" w:rsidRPr="00FF1087">
        <w:rPr>
          <w:lang w:val="en-GB"/>
        </w:rPr>
        <w:t xml:space="preserve">with  </w:t>
      </w:r>
      <w:r w:rsidRPr="00FF1087">
        <w:rPr>
          <w:lang w:val="en-GB"/>
        </w:rPr>
        <w:t>domestic</w:t>
      </w:r>
      <w:proofErr w:type="gramEnd"/>
      <w:r w:rsidRPr="00FF1087">
        <w:rPr>
          <w:lang w:val="en-GB"/>
        </w:rPr>
        <w:t xml:space="preserve"> law</w:t>
      </w:r>
      <w:r w:rsidR="003B625F" w:rsidRPr="00FF1087">
        <w:rPr>
          <w:lang w:val="en-GB"/>
        </w:rPr>
        <w:t>,</w:t>
      </w:r>
      <w:r w:rsidR="00112A47" w:rsidRPr="00FF1087">
        <w:rPr>
          <w:lang w:val="en-GB"/>
        </w:rPr>
        <w:t xml:space="preserve"> and</w:t>
      </w:r>
      <w:r w:rsidRPr="00FF1087">
        <w:rPr>
          <w:lang w:val="en-GB"/>
        </w:rPr>
        <w:t xml:space="preserve"> proceeds on this basis.</w:t>
      </w:r>
    </w:p>
    <w:p w14:paraId="14D2D319" w14:textId="77777777" w:rsidR="00747B91" w:rsidRPr="00FF1087" w:rsidRDefault="00747B91" w:rsidP="00026F95">
      <w:pPr>
        <w:pStyle w:val="SingleTxtG"/>
        <w:tabs>
          <w:tab w:val="left" w:pos="1843"/>
          <w:tab w:val="left" w:pos="6120"/>
        </w:tabs>
        <w:ind w:right="0"/>
        <w:rPr>
          <w:i/>
          <w:lang w:val="en-GB"/>
        </w:rPr>
      </w:pPr>
      <w:r w:rsidRPr="00FF1087">
        <w:rPr>
          <w:i/>
          <w:lang w:val="en-GB"/>
        </w:rPr>
        <w:t>Admissibility of claims concerning the grievances of others</w:t>
      </w:r>
    </w:p>
    <w:p w14:paraId="252251C5" w14:textId="2F0A8AF9" w:rsidR="001A5FD4" w:rsidRPr="00FF1087" w:rsidRDefault="001A5FD4" w:rsidP="00E83405">
      <w:pPr>
        <w:pStyle w:val="SingleTxtG"/>
        <w:numPr>
          <w:ilvl w:val="0"/>
          <w:numId w:val="3"/>
        </w:numPr>
        <w:tabs>
          <w:tab w:val="left" w:pos="1843"/>
          <w:tab w:val="left" w:pos="6120"/>
        </w:tabs>
        <w:ind w:left="1134" w:right="0" w:firstLine="0"/>
        <w:rPr>
          <w:lang w:val="en-GB"/>
        </w:rPr>
      </w:pPr>
      <w:r w:rsidRPr="00FF1087">
        <w:rPr>
          <w:lang w:val="en-GB"/>
        </w:rPr>
        <w:t>The Committee</w:t>
      </w:r>
      <w:r w:rsidR="005E3556" w:rsidRPr="00FF1087">
        <w:rPr>
          <w:lang w:val="en-GB"/>
        </w:rPr>
        <w:t>’s</w:t>
      </w:r>
      <w:r w:rsidR="00330F35" w:rsidRPr="00FF1087">
        <w:rPr>
          <w:lang w:val="en-GB"/>
        </w:rPr>
        <w:t xml:space="preserve"> </w:t>
      </w:r>
      <w:r w:rsidR="00104B1B" w:rsidRPr="00FF1087">
        <w:rPr>
          <w:lang w:val="en-GB"/>
        </w:rPr>
        <w:t>role is</w:t>
      </w:r>
      <w:r w:rsidR="00944537" w:rsidRPr="00FF1087">
        <w:rPr>
          <w:lang w:val="en-GB"/>
        </w:rPr>
        <w:t xml:space="preserve"> </w:t>
      </w:r>
      <w:r w:rsidR="000A05C2" w:rsidRPr="00FF1087">
        <w:rPr>
          <w:lang w:val="en-GB"/>
        </w:rPr>
        <w:t xml:space="preserve">to </w:t>
      </w:r>
      <w:r w:rsidR="008F400A" w:rsidRPr="00FF1087">
        <w:rPr>
          <w:lang w:val="en-GB"/>
        </w:rPr>
        <w:t xml:space="preserve">review </w:t>
      </w:r>
      <w:r w:rsidR="00944537" w:rsidRPr="00FF1087">
        <w:rPr>
          <w:lang w:val="en-GB"/>
        </w:rPr>
        <w:t>the compliance of Parties with the Convention and</w:t>
      </w:r>
      <w:r w:rsidR="008F400A" w:rsidRPr="00FF1087">
        <w:rPr>
          <w:lang w:val="en-GB"/>
        </w:rPr>
        <w:t>, where non-compliance is found, to</w:t>
      </w:r>
      <w:r w:rsidR="00944537" w:rsidRPr="00FF1087">
        <w:rPr>
          <w:lang w:val="en-GB"/>
        </w:rPr>
        <w:t xml:space="preserve"> assist them </w:t>
      </w:r>
      <w:r w:rsidR="008F400A" w:rsidRPr="00FF1087">
        <w:rPr>
          <w:lang w:val="en-GB"/>
        </w:rPr>
        <w:t>to come into compliance</w:t>
      </w:r>
      <w:r w:rsidR="00944537" w:rsidRPr="00FF1087">
        <w:rPr>
          <w:lang w:val="en-GB"/>
        </w:rPr>
        <w:t xml:space="preserve">. </w:t>
      </w:r>
      <w:r w:rsidR="00D964F7" w:rsidRPr="00FF1087">
        <w:rPr>
          <w:lang w:val="en-GB"/>
        </w:rPr>
        <w:t>C</w:t>
      </w:r>
      <w:r w:rsidR="00915648" w:rsidRPr="00FF1087">
        <w:rPr>
          <w:lang w:val="en-GB"/>
        </w:rPr>
        <w:t>ommunicants</w:t>
      </w:r>
      <w:r w:rsidR="00D4476C" w:rsidRPr="00FF1087">
        <w:rPr>
          <w:lang w:val="en-GB"/>
        </w:rPr>
        <w:t xml:space="preserve">’ </w:t>
      </w:r>
      <w:r w:rsidR="00D4476C" w:rsidRPr="00FF1087">
        <w:rPr>
          <w:lang w:val="en-GB"/>
        </w:rPr>
        <w:lastRenderedPageBreak/>
        <w:t>allegations</w:t>
      </w:r>
      <w:r w:rsidR="00915648" w:rsidRPr="00FF1087">
        <w:rPr>
          <w:lang w:val="en-GB"/>
        </w:rPr>
        <w:t xml:space="preserve"> need not </w:t>
      </w:r>
      <w:r w:rsidR="008047AB" w:rsidRPr="00FF1087">
        <w:rPr>
          <w:lang w:val="en-GB"/>
        </w:rPr>
        <w:t xml:space="preserve">relate to their own experience. Rather, </w:t>
      </w:r>
      <w:r w:rsidR="00E83405" w:rsidRPr="00FF1087">
        <w:rPr>
          <w:lang w:val="en-GB"/>
        </w:rPr>
        <w:t xml:space="preserve">communicants </w:t>
      </w:r>
      <w:r w:rsidR="008047AB" w:rsidRPr="00FF1087">
        <w:rPr>
          <w:lang w:val="en-GB"/>
        </w:rPr>
        <w:t xml:space="preserve">need only be “members of the public” </w:t>
      </w:r>
      <w:r w:rsidR="00E83405" w:rsidRPr="00FF1087">
        <w:rPr>
          <w:lang w:val="en-GB"/>
        </w:rPr>
        <w:t>under</w:t>
      </w:r>
      <w:r w:rsidR="008047AB" w:rsidRPr="00FF1087">
        <w:rPr>
          <w:lang w:val="en-GB"/>
        </w:rPr>
        <w:t xml:space="preserve"> paragraph 18 of the annex to decision I/7. </w:t>
      </w:r>
      <w:r w:rsidR="00131AC8" w:rsidRPr="00FF1087">
        <w:rPr>
          <w:lang w:val="en-GB"/>
        </w:rPr>
        <w:t>M</w:t>
      </w:r>
      <w:r w:rsidR="000A05C2" w:rsidRPr="00FF1087">
        <w:rPr>
          <w:lang w:val="en-GB"/>
        </w:rPr>
        <w:t>any</w:t>
      </w:r>
      <w:r w:rsidRPr="00FF1087">
        <w:rPr>
          <w:lang w:val="en-GB"/>
        </w:rPr>
        <w:t xml:space="preserve"> </w:t>
      </w:r>
      <w:r w:rsidR="000A05C2" w:rsidRPr="00FF1087">
        <w:rPr>
          <w:lang w:val="en-GB"/>
        </w:rPr>
        <w:t xml:space="preserve">members of the public have submitted </w:t>
      </w:r>
      <w:r w:rsidRPr="00FF1087">
        <w:rPr>
          <w:lang w:val="en-GB"/>
        </w:rPr>
        <w:t xml:space="preserve">communications </w:t>
      </w:r>
      <w:r w:rsidR="00E83405" w:rsidRPr="00FF1087">
        <w:rPr>
          <w:lang w:val="en-GB"/>
        </w:rPr>
        <w:t xml:space="preserve">concerning </w:t>
      </w:r>
      <w:r w:rsidR="000A05C2" w:rsidRPr="00FF1087">
        <w:rPr>
          <w:lang w:val="en-GB"/>
        </w:rPr>
        <w:t>the experiences of third</w:t>
      </w:r>
      <w:r w:rsidR="00AD07FD" w:rsidRPr="00FF1087">
        <w:rPr>
          <w:lang w:val="en-GB"/>
        </w:rPr>
        <w:t xml:space="preserve"> </w:t>
      </w:r>
      <w:r w:rsidRPr="00FF1087">
        <w:rPr>
          <w:lang w:val="en-GB"/>
        </w:rPr>
        <w:t>parties</w:t>
      </w:r>
      <w:r w:rsidR="00131AC8" w:rsidRPr="00FF1087">
        <w:rPr>
          <w:lang w:val="en-GB"/>
        </w:rPr>
        <w:t xml:space="preserve"> and indeed</w:t>
      </w:r>
      <w:r w:rsidR="00F6757C" w:rsidRPr="00FF1087">
        <w:rPr>
          <w:lang w:val="en-GB"/>
        </w:rPr>
        <w:t xml:space="preserve">, </w:t>
      </w:r>
      <w:r w:rsidR="00E83405" w:rsidRPr="00FF1087">
        <w:rPr>
          <w:lang w:val="en-GB"/>
        </w:rPr>
        <w:t xml:space="preserve">such evidence is </w:t>
      </w:r>
      <w:r w:rsidR="000A05C2" w:rsidRPr="00FF1087">
        <w:rPr>
          <w:lang w:val="en-GB"/>
        </w:rPr>
        <w:t>often</w:t>
      </w:r>
      <w:r w:rsidRPr="00FF1087">
        <w:rPr>
          <w:lang w:val="en-GB"/>
        </w:rPr>
        <w:t xml:space="preserve"> indispensable to substantiate systemic non-compliance. </w:t>
      </w:r>
      <w:r w:rsidR="0000122A" w:rsidRPr="00FF1087">
        <w:rPr>
          <w:lang w:val="en-GB"/>
        </w:rPr>
        <w:t>T</w:t>
      </w:r>
      <w:r w:rsidRPr="00FF1087">
        <w:rPr>
          <w:lang w:val="en-GB"/>
        </w:rPr>
        <w:t xml:space="preserve">he </w:t>
      </w:r>
      <w:r w:rsidR="00520610" w:rsidRPr="00FF1087">
        <w:rPr>
          <w:lang w:val="en-GB"/>
        </w:rPr>
        <w:t>communicant</w:t>
      </w:r>
      <w:r w:rsidR="006544C8" w:rsidRPr="00FF1087">
        <w:rPr>
          <w:lang w:val="en-GB"/>
        </w:rPr>
        <w:t>’</w:t>
      </w:r>
      <w:r w:rsidR="00520610" w:rsidRPr="00FF1087">
        <w:rPr>
          <w:lang w:val="en-GB"/>
        </w:rPr>
        <w:t xml:space="preserve">s </w:t>
      </w:r>
      <w:r w:rsidRPr="00FF1087">
        <w:rPr>
          <w:lang w:val="en-GB"/>
        </w:rPr>
        <w:t xml:space="preserve">claims </w:t>
      </w:r>
      <w:r w:rsidR="00520610" w:rsidRPr="00FF1087">
        <w:rPr>
          <w:lang w:val="en-GB"/>
        </w:rPr>
        <w:t xml:space="preserve">concerning </w:t>
      </w:r>
      <w:r w:rsidR="00DB3F06" w:rsidRPr="00FF1087">
        <w:rPr>
          <w:lang w:val="en-GB"/>
        </w:rPr>
        <w:t xml:space="preserve">compliance of the Party concerned with respect to other persons </w:t>
      </w:r>
      <w:r w:rsidR="0000122A" w:rsidRPr="00FF1087">
        <w:rPr>
          <w:lang w:val="en-GB"/>
        </w:rPr>
        <w:t xml:space="preserve">are </w:t>
      </w:r>
      <w:r w:rsidR="00CB2DF8" w:rsidRPr="00FF1087">
        <w:rPr>
          <w:lang w:val="en-GB"/>
        </w:rPr>
        <w:t xml:space="preserve">therefore </w:t>
      </w:r>
      <w:r w:rsidR="00936CED" w:rsidRPr="00FF1087">
        <w:rPr>
          <w:lang w:val="en-GB"/>
        </w:rPr>
        <w:t>not in</w:t>
      </w:r>
      <w:r w:rsidR="0000122A" w:rsidRPr="00FF1087">
        <w:rPr>
          <w:lang w:val="en-GB"/>
        </w:rPr>
        <w:t>admissible</w:t>
      </w:r>
      <w:r w:rsidR="00936CED" w:rsidRPr="00FF1087">
        <w:rPr>
          <w:lang w:val="en-GB"/>
        </w:rPr>
        <w:t xml:space="preserve"> on this ground</w:t>
      </w:r>
      <w:r w:rsidRPr="00FF1087">
        <w:rPr>
          <w:lang w:val="en-GB"/>
        </w:rPr>
        <w:t>.</w:t>
      </w:r>
    </w:p>
    <w:p w14:paraId="2E9357E3" w14:textId="013EB464" w:rsidR="001A5FD4" w:rsidRPr="00FF1087" w:rsidRDefault="00FE553D" w:rsidP="00642866">
      <w:pPr>
        <w:pStyle w:val="SingleTxtG"/>
        <w:tabs>
          <w:tab w:val="left" w:pos="1843"/>
          <w:tab w:val="left" w:pos="6120"/>
        </w:tabs>
        <w:ind w:right="0"/>
        <w:rPr>
          <w:b/>
          <w:lang w:val="en-GB"/>
        </w:rPr>
      </w:pPr>
      <w:r w:rsidRPr="00FF1087">
        <w:rPr>
          <w:bCs/>
          <w:i/>
          <w:iCs/>
          <w:lang w:val="en-GB"/>
        </w:rPr>
        <w:t xml:space="preserve">Exhaustion of </w:t>
      </w:r>
      <w:r w:rsidR="00D71F8F" w:rsidRPr="00FF1087">
        <w:rPr>
          <w:bCs/>
          <w:i/>
          <w:iCs/>
          <w:lang w:val="en-GB"/>
        </w:rPr>
        <w:t xml:space="preserve">domestic </w:t>
      </w:r>
      <w:r w:rsidRPr="00FF1087">
        <w:rPr>
          <w:bCs/>
          <w:i/>
          <w:iCs/>
          <w:lang w:val="en-GB"/>
        </w:rPr>
        <w:t>remedies – article</w:t>
      </w:r>
      <w:r w:rsidR="00D349D3" w:rsidRPr="00FF1087">
        <w:rPr>
          <w:bCs/>
          <w:i/>
          <w:iCs/>
          <w:lang w:val="en-GB"/>
        </w:rPr>
        <w:t>s</w:t>
      </w:r>
      <w:r w:rsidR="001A5FD4" w:rsidRPr="00FF1087">
        <w:rPr>
          <w:bCs/>
          <w:i/>
          <w:iCs/>
          <w:lang w:val="en-GB"/>
        </w:rPr>
        <w:t xml:space="preserve"> 3</w:t>
      </w:r>
      <w:r w:rsidR="008F400A" w:rsidRPr="00FF1087">
        <w:rPr>
          <w:bCs/>
          <w:i/>
          <w:iCs/>
          <w:lang w:val="en-GB"/>
        </w:rPr>
        <w:t>(</w:t>
      </w:r>
      <w:r w:rsidR="001A5FD4" w:rsidRPr="00FF1087">
        <w:rPr>
          <w:bCs/>
          <w:i/>
          <w:iCs/>
          <w:lang w:val="en-GB"/>
        </w:rPr>
        <w:t>2</w:t>
      </w:r>
      <w:r w:rsidR="008F400A" w:rsidRPr="00FF1087">
        <w:rPr>
          <w:bCs/>
          <w:i/>
          <w:iCs/>
          <w:lang w:val="en-GB"/>
        </w:rPr>
        <w:t>)</w:t>
      </w:r>
      <w:r w:rsidR="001A5FD4" w:rsidRPr="00FF1087">
        <w:rPr>
          <w:bCs/>
          <w:i/>
          <w:iCs/>
          <w:lang w:val="en-GB"/>
        </w:rPr>
        <w:t xml:space="preserve"> and 4</w:t>
      </w:r>
    </w:p>
    <w:p w14:paraId="31C3F998" w14:textId="7A620EB3" w:rsidR="001A5FD4" w:rsidRPr="00FF1087" w:rsidRDefault="00D71F8F" w:rsidP="001C3D04">
      <w:pPr>
        <w:pStyle w:val="SingleTxtG"/>
        <w:numPr>
          <w:ilvl w:val="0"/>
          <w:numId w:val="3"/>
        </w:numPr>
        <w:tabs>
          <w:tab w:val="left" w:pos="1843"/>
          <w:tab w:val="left" w:pos="6120"/>
        </w:tabs>
        <w:ind w:left="1134" w:right="0" w:firstLine="0"/>
        <w:rPr>
          <w:lang w:val="en-GB"/>
        </w:rPr>
      </w:pPr>
      <w:r w:rsidRPr="00FF1087">
        <w:rPr>
          <w:lang w:val="en-GB"/>
        </w:rPr>
        <w:t>No other domestic remedies were used to challenge the</w:t>
      </w:r>
      <w:r w:rsidR="005D1D1C" w:rsidRPr="00FF1087">
        <w:rPr>
          <w:lang w:val="en-GB"/>
        </w:rPr>
        <w:t xml:space="preserve"> handling by the</w:t>
      </w:r>
      <w:r w:rsidRPr="00FF1087">
        <w:rPr>
          <w:lang w:val="en-GB"/>
        </w:rPr>
        <w:t xml:space="preserve"> Party concerned</w:t>
      </w:r>
      <w:r w:rsidR="005D1D1C" w:rsidRPr="00FF1087">
        <w:rPr>
          <w:lang w:val="en-GB"/>
        </w:rPr>
        <w:t xml:space="preserve"> </w:t>
      </w:r>
      <w:r w:rsidRPr="00FF1087">
        <w:rPr>
          <w:lang w:val="en-GB"/>
        </w:rPr>
        <w:t>of t</w:t>
      </w:r>
      <w:r w:rsidR="00FE553D" w:rsidRPr="00FF1087">
        <w:rPr>
          <w:lang w:val="en-GB"/>
        </w:rPr>
        <w:t>he</w:t>
      </w:r>
      <w:r w:rsidR="001A5FD4" w:rsidRPr="00FF1087">
        <w:rPr>
          <w:lang w:val="en-GB"/>
        </w:rPr>
        <w:t xml:space="preserve"> </w:t>
      </w:r>
      <w:r w:rsidR="00FE553D" w:rsidRPr="00FF1087">
        <w:rPr>
          <w:lang w:val="en-GB"/>
        </w:rPr>
        <w:t xml:space="preserve">information </w:t>
      </w:r>
      <w:r w:rsidR="001A5FD4" w:rsidRPr="00FF1087">
        <w:rPr>
          <w:lang w:val="en-GB"/>
        </w:rPr>
        <w:t xml:space="preserve">requests </w:t>
      </w:r>
      <w:r w:rsidR="00FE553D" w:rsidRPr="00FF1087">
        <w:rPr>
          <w:lang w:val="en-GB"/>
        </w:rPr>
        <w:t xml:space="preserve">filed by </w:t>
      </w:r>
      <w:r w:rsidR="00A908CF" w:rsidRPr="00FF1087">
        <w:rPr>
          <w:lang w:val="en-GB"/>
        </w:rPr>
        <w:t xml:space="preserve">Mr. </w:t>
      </w:r>
      <w:r w:rsidR="00FE553D" w:rsidRPr="00FF1087">
        <w:rPr>
          <w:lang w:val="en-GB"/>
        </w:rPr>
        <w:t xml:space="preserve">Waugh, </w:t>
      </w:r>
      <w:r w:rsidR="00A908CF" w:rsidRPr="00FF1087">
        <w:rPr>
          <w:lang w:val="en-GB"/>
        </w:rPr>
        <w:t xml:space="preserve">Mr. </w:t>
      </w:r>
      <w:r w:rsidR="00FE553D" w:rsidRPr="00FF1087">
        <w:rPr>
          <w:lang w:val="en-GB"/>
        </w:rPr>
        <w:t xml:space="preserve">Conroy and the communicant </w:t>
      </w:r>
      <w:r w:rsidR="001A5FD4" w:rsidRPr="00FF1087">
        <w:rPr>
          <w:lang w:val="en-GB"/>
        </w:rPr>
        <w:t>be</w:t>
      </w:r>
      <w:r w:rsidR="004A1586" w:rsidRPr="00FF1087">
        <w:rPr>
          <w:lang w:val="en-GB"/>
        </w:rPr>
        <w:t>sides</w:t>
      </w:r>
      <w:r w:rsidR="001A5FD4" w:rsidRPr="00FF1087">
        <w:rPr>
          <w:lang w:val="en-GB"/>
        </w:rPr>
        <w:t xml:space="preserve"> a </w:t>
      </w:r>
      <w:r w:rsidR="00C76382" w:rsidRPr="00FF1087">
        <w:rPr>
          <w:lang w:val="en-GB"/>
        </w:rPr>
        <w:t>confirmatory application</w:t>
      </w:r>
      <w:r w:rsidR="00FE553D" w:rsidRPr="00FF1087">
        <w:rPr>
          <w:lang w:val="en-GB"/>
        </w:rPr>
        <w:t xml:space="preserve"> </w:t>
      </w:r>
      <w:r w:rsidR="00C76382" w:rsidRPr="00FF1087">
        <w:rPr>
          <w:lang w:val="en-GB"/>
        </w:rPr>
        <w:t>(see para</w:t>
      </w:r>
      <w:r w:rsidR="00A94961" w:rsidRPr="00FF1087">
        <w:rPr>
          <w:lang w:val="en-GB"/>
        </w:rPr>
        <w:t>s</w:t>
      </w:r>
      <w:r w:rsidR="00C76382" w:rsidRPr="00FF1087">
        <w:rPr>
          <w:lang w:val="en-GB"/>
        </w:rPr>
        <w:t xml:space="preserve">. </w:t>
      </w:r>
      <w:r w:rsidR="00C76382" w:rsidRPr="00FF1087">
        <w:rPr>
          <w:lang w:val="en-GB"/>
        </w:rPr>
        <w:fldChar w:fldCharType="begin"/>
      </w:r>
      <w:r w:rsidR="00C76382" w:rsidRPr="00FF1087">
        <w:rPr>
          <w:lang w:val="en-GB"/>
        </w:rPr>
        <w:instrText xml:space="preserve"> REF _Ref500589486 \r \h </w:instrText>
      </w:r>
      <w:r w:rsidR="00770B6C" w:rsidRPr="00FF1087">
        <w:rPr>
          <w:lang w:val="en-GB"/>
        </w:rPr>
        <w:instrText xml:space="preserve"> \* MERGEFORMAT </w:instrText>
      </w:r>
      <w:r w:rsidR="00C76382" w:rsidRPr="00FF1087">
        <w:rPr>
          <w:lang w:val="en-GB"/>
        </w:rPr>
      </w:r>
      <w:r w:rsidR="00C76382" w:rsidRPr="00FF1087">
        <w:rPr>
          <w:lang w:val="en-GB"/>
        </w:rPr>
        <w:fldChar w:fldCharType="separate"/>
      </w:r>
      <w:r w:rsidR="00B713E0">
        <w:rPr>
          <w:cs/>
          <w:lang w:val="en-GB"/>
        </w:rPr>
        <w:t>‎</w:t>
      </w:r>
      <w:r w:rsidR="00B713E0">
        <w:rPr>
          <w:lang w:val="en-GB"/>
        </w:rPr>
        <w:t>40</w:t>
      </w:r>
      <w:r w:rsidR="00C76382" w:rsidRPr="00FF1087">
        <w:rPr>
          <w:lang w:val="en-GB"/>
        </w:rPr>
        <w:fldChar w:fldCharType="end"/>
      </w:r>
      <w:r w:rsidR="00E34649" w:rsidRPr="00FF1087">
        <w:rPr>
          <w:lang w:val="en-GB"/>
        </w:rPr>
        <w:t>-</w:t>
      </w:r>
      <w:r w:rsidR="00A94961" w:rsidRPr="00FF1087">
        <w:rPr>
          <w:lang w:val="en-GB"/>
        </w:rPr>
        <w:fldChar w:fldCharType="begin"/>
      </w:r>
      <w:r w:rsidR="00A94961" w:rsidRPr="00FF1087">
        <w:rPr>
          <w:lang w:val="en-GB"/>
        </w:rPr>
        <w:instrText xml:space="preserve"> REF _Ref465244375 \r \h </w:instrText>
      </w:r>
      <w:r w:rsidR="00770B6C" w:rsidRPr="00FF1087">
        <w:rPr>
          <w:lang w:val="en-GB"/>
        </w:rPr>
        <w:instrText xml:space="preserve"> \* MERGEFORMAT </w:instrText>
      </w:r>
      <w:r w:rsidR="00A94961" w:rsidRPr="00FF1087">
        <w:rPr>
          <w:lang w:val="en-GB"/>
        </w:rPr>
      </w:r>
      <w:r w:rsidR="00A94961" w:rsidRPr="00FF1087">
        <w:rPr>
          <w:lang w:val="en-GB"/>
        </w:rPr>
        <w:fldChar w:fldCharType="separate"/>
      </w:r>
      <w:r w:rsidR="00B713E0">
        <w:rPr>
          <w:cs/>
          <w:lang w:val="en-GB"/>
        </w:rPr>
        <w:t>‎</w:t>
      </w:r>
      <w:r w:rsidR="00B713E0">
        <w:rPr>
          <w:lang w:val="en-GB"/>
        </w:rPr>
        <w:t>41</w:t>
      </w:r>
      <w:r w:rsidR="00A94961" w:rsidRPr="00FF1087">
        <w:rPr>
          <w:lang w:val="en-GB"/>
        </w:rPr>
        <w:fldChar w:fldCharType="end"/>
      </w:r>
      <w:r w:rsidR="00C76382" w:rsidRPr="00FF1087">
        <w:rPr>
          <w:lang w:val="en-GB"/>
        </w:rPr>
        <w:t xml:space="preserve"> above)</w:t>
      </w:r>
      <w:r w:rsidR="001A5FD4" w:rsidRPr="00FF1087">
        <w:rPr>
          <w:lang w:val="en-GB"/>
        </w:rPr>
        <w:t xml:space="preserve">. </w:t>
      </w:r>
      <w:r w:rsidR="002730AA" w:rsidRPr="00FF1087">
        <w:rPr>
          <w:lang w:val="en-GB"/>
        </w:rPr>
        <w:t xml:space="preserve">The </w:t>
      </w:r>
      <w:r w:rsidR="007D3E60" w:rsidRPr="00FF1087">
        <w:rPr>
          <w:lang w:val="en-GB"/>
        </w:rPr>
        <w:t xml:space="preserve">Committee accordingly finds </w:t>
      </w:r>
      <w:r w:rsidRPr="00FF1087">
        <w:rPr>
          <w:lang w:val="en-GB"/>
        </w:rPr>
        <w:t xml:space="preserve">the communicant’s </w:t>
      </w:r>
      <w:r w:rsidR="00FE553D" w:rsidRPr="00FF1087">
        <w:rPr>
          <w:lang w:val="en-GB"/>
        </w:rPr>
        <w:t>allegations</w:t>
      </w:r>
      <w:r w:rsidR="002730AA" w:rsidRPr="00FF1087">
        <w:rPr>
          <w:lang w:val="en-GB"/>
        </w:rPr>
        <w:t xml:space="preserve"> concerning these requests inadmissible under paragraphs 20(d) and 21 of the </w:t>
      </w:r>
      <w:proofErr w:type="gramStart"/>
      <w:r w:rsidR="002730AA" w:rsidRPr="00FF1087">
        <w:rPr>
          <w:lang w:val="en-GB"/>
        </w:rPr>
        <w:t>annex</w:t>
      </w:r>
      <w:proofErr w:type="gramEnd"/>
      <w:r w:rsidR="002730AA" w:rsidRPr="00FF1087">
        <w:rPr>
          <w:lang w:val="en-GB"/>
        </w:rPr>
        <w:t xml:space="preserve"> to decision I/7 for failure to exhaust domestic remedies.</w:t>
      </w:r>
    </w:p>
    <w:p w14:paraId="300A13FC" w14:textId="72D27072" w:rsidR="002E72F8" w:rsidRPr="00FF1087" w:rsidRDefault="00A908CF" w:rsidP="00F04B57">
      <w:pPr>
        <w:pStyle w:val="SingleTxtG"/>
        <w:numPr>
          <w:ilvl w:val="0"/>
          <w:numId w:val="3"/>
        </w:numPr>
        <w:tabs>
          <w:tab w:val="left" w:pos="1843"/>
          <w:tab w:val="left" w:pos="6120"/>
        </w:tabs>
        <w:ind w:left="1134" w:right="0" w:firstLine="0"/>
        <w:rPr>
          <w:lang w:val="en-GB"/>
        </w:rPr>
      </w:pPr>
      <w:bookmarkStart w:id="25" w:name="_Ref36464677"/>
      <w:r w:rsidRPr="00FF1087">
        <w:rPr>
          <w:lang w:val="en-GB"/>
        </w:rPr>
        <w:t xml:space="preserve">Mr. </w:t>
      </w:r>
      <w:r w:rsidR="001A5FD4" w:rsidRPr="00FF1087">
        <w:rPr>
          <w:lang w:val="en-GB"/>
        </w:rPr>
        <w:t>Caulfield</w:t>
      </w:r>
      <w:r w:rsidR="00C76382" w:rsidRPr="00FF1087">
        <w:rPr>
          <w:lang w:val="en-GB"/>
        </w:rPr>
        <w:t>’s</w:t>
      </w:r>
      <w:r w:rsidR="00FE553D" w:rsidRPr="00FF1087">
        <w:rPr>
          <w:lang w:val="en-GB"/>
        </w:rPr>
        <w:t xml:space="preserve"> </w:t>
      </w:r>
      <w:r w:rsidR="00C76382" w:rsidRPr="00FF1087">
        <w:rPr>
          <w:lang w:val="en-GB"/>
        </w:rPr>
        <w:t>requests</w:t>
      </w:r>
      <w:r w:rsidR="00174DE1" w:rsidRPr="00FF1087">
        <w:rPr>
          <w:lang w:val="en-GB"/>
        </w:rPr>
        <w:t xml:space="preserve"> were followed by</w:t>
      </w:r>
      <w:r w:rsidR="001A5FD4" w:rsidRPr="00FF1087">
        <w:rPr>
          <w:lang w:val="en-GB"/>
        </w:rPr>
        <w:t xml:space="preserve"> several </w:t>
      </w:r>
      <w:r w:rsidR="00C76382" w:rsidRPr="00FF1087">
        <w:rPr>
          <w:lang w:val="en-GB"/>
        </w:rPr>
        <w:t xml:space="preserve">complaints </w:t>
      </w:r>
      <w:r w:rsidR="001A5FD4" w:rsidRPr="00FF1087">
        <w:rPr>
          <w:lang w:val="en-GB"/>
        </w:rPr>
        <w:t>to the</w:t>
      </w:r>
      <w:r w:rsidR="00B0179E" w:rsidRPr="00FF1087">
        <w:rPr>
          <w:lang w:val="en-GB"/>
        </w:rPr>
        <w:t xml:space="preserve"> </w:t>
      </w:r>
      <w:r w:rsidR="001A5FD4" w:rsidRPr="00FF1087">
        <w:rPr>
          <w:lang w:val="en-GB"/>
        </w:rPr>
        <w:t xml:space="preserve">Ombudsman but none to the </w:t>
      </w:r>
      <w:r w:rsidR="005D48B3" w:rsidRPr="00FF1087">
        <w:rPr>
          <w:lang w:val="en-GB"/>
        </w:rPr>
        <w:t>General Court</w:t>
      </w:r>
      <w:r w:rsidR="001A5FD4" w:rsidRPr="00FF1087">
        <w:rPr>
          <w:lang w:val="en-GB"/>
        </w:rPr>
        <w:t>.</w:t>
      </w:r>
      <w:r w:rsidR="001C11B4" w:rsidRPr="00FF1087">
        <w:rPr>
          <w:lang w:val="en-GB"/>
        </w:rPr>
        <w:t xml:space="preserve"> </w:t>
      </w:r>
      <w:bookmarkStart w:id="26" w:name="_Hlk27087735"/>
      <w:r w:rsidR="00EA3BD7" w:rsidRPr="00FF1087">
        <w:rPr>
          <w:lang w:val="en-GB"/>
        </w:rPr>
        <w:t>The Committee considers that</w:t>
      </w:r>
      <w:r w:rsidR="005D48B3" w:rsidRPr="00FF1087">
        <w:rPr>
          <w:lang w:val="en-GB"/>
        </w:rPr>
        <w:t xml:space="preserve"> an </w:t>
      </w:r>
      <w:r w:rsidR="00ED0167" w:rsidRPr="00FF1087">
        <w:rPr>
          <w:lang w:val="en-GB"/>
        </w:rPr>
        <w:t>appeal</w:t>
      </w:r>
      <w:r w:rsidR="005D48B3" w:rsidRPr="00FF1087">
        <w:rPr>
          <w:lang w:val="en-GB"/>
        </w:rPr>
        <w:t xml:space="preserve"> to the</w:t>
      </w:r>
      <w:r w:rsidR="001A5FD4" w:rsidRPr="00FF1087">
        <w:rPr>
          <w:lang w:val="en-GB"/>
        </w:rPr>
        <w:t xml:space="preserve"> Ombudsman may in </w:t>
      </w:r>
      <w:r w:rsidR="001D2A45" w:rsidRPr="00FF1087">
        <w:rPr>
          <w:lang w:val="en-GB"/>
        </w:rPr>
        <w:t xml:space="preserve">some </w:t>
      </w:r>
      <w:r w:rsidR="001A5FD4" w:rsidRPr="00FF1087">
        <w:rPr>
          <w:lang w:val="en-GB"/>
        </w:rPr>
        <w:t xml:space="preserve">access to information </w:t>
      </w:r>
      <w:r w:rsidR="00104B1B" w:rsidRPr="00FF1087">
        <w:rPr>
          <w:lang w:val="en-GB"/>
        </w:rPr>
        <w:t xml:space="preserve">cases </w:t>
      </w:r>
      <w:r w:rsidR="00191DBF" w:rsidRPr="00FF1087">
        <w:rPr>
          <w:lang w:val="en-GB"/>
        </w:rPr>
        <w:t xml:space="preserve">suffice </w:t>
      </w:r>
      <w:r w:rsidR="00ED0167" w:rsidRPr="00FF1087">
        <w:rPr>
          <w:lang w:val="en-GB"/>
        </w:rPr>
        <w:t xml:space="preserve">for the purposes of </w:t>
      </w:r>
      <w:r w:rsidR="00EA3BD7" w:rsidRPr="00FF1087">
        <w:rPr>
          <w:lang w:val="en-GB"/>
        </w:rPr>
        <w:t>paragraph 21 of the annex to decision I/7</w:t>
      </w:r>
      <w:r w:rsidR="00191DBF" w:rsidRPr="00FF1087">
        <w:rPr>
          <w:lang w:val="en-GB"/>
        </w:rPr>
        <w:t xml:space="preserve"> on the use of domestic remedies</w:t>
      </w:r>
      <w:r w:rsidR="00EA3BD7" w:rsidRPr="00FF1087">
        <w:rPr>
          <w:lang w:val="en-GB"/>
        </w:rPr>
        <w:t xml:space="preserve">. </w:t>
      </w:r>
      <w:bookmarkEnd w:id="26"/>
      <w:r w:rsidR="00EA3BD7" w:rsidRPr="00FF1087">
        <w:rPr>
          <w:lang w:val="en-GB"/>
        </w:rPr>
        <w:t>For example</w:t>
      </w:r>
      <w:r w:rsidR="00E24385" w:rsidRPr="00FF1087">
        <w:rPr>
          <w:lang w:val="en-GB"/>
        </w:rPr>
        <w:t>,</w:t>
      </w:r>
      <w:r w:rsidR="00B0179E" w:rsidRPr="00FF1087">
        <w:rPr>
          <w:lang w:val="en-GB"/>
        </w:rPr>
        <w:t xml:space="preserve"> </w:t>
      </w:r>
      <w:r w:rsidR="001D2A45" w:rsidRPr="00FF1087">
        <w:rPr>
          <w:lang w:val="en-GB"/>
        </w:rPr>
        <w:t xml:space="preserve">where </w:t>
      </w:r>
      <w:r w:rsidR="001A5FD4" w:rsidRPr="00FF1087">
        <w:rPr>
          <w:lang w:val="en-GB"/>
        </w:rPr>
        <w:t xml:space="preserve">the </w:t>
      </w:r>
      <w:r w:rsidR="00E24385" w:rsidRPr="00FF1087">
        <w:rPr>
          <w:lang w:val="en-GB"/>
        </w:rPr>
        <w:t xml:space="preserve">Ombudsman </w:t>
      </w:r>
      <w:r w:rsidR="001A5FD4" w:rsidRPr="00FF1087">
        <w:rPr>
          <w:lang w:val="en-GB"/>
        </w:rPr>
        <w:t xml:space="preserve">proceedings </w:t>
      </w:r>
      <w:r w:rsidR="00EA3BD7" w:rsidRPr="00FF1087">
        <w:rPr>
          <w:lang w:val="en-GB"/>
        </w:rPr>
        <w:t xml:space="preserve">have </w:t>
      </w:r>
      <w:r w:rsidR="001A5FD4" w:rsidRPr="00FF1087">
        <w:rPr>
          <w:lang w:val="en-GB"/>
        </w:rPr>
        <w:t>result</w:t>
      </w:r>
      <w:r w:rsidR="00EA3BD7" w:rsidRPr="00FF1087">
        <w:rPr>
          <w:lang w:val="en-GB"/>
        </w:rPr>
        <w:t>ed</w:t>
      </w:r>
      <w:r w:rsidR="001A5FD4" w:rsidRPr="00FF1087">
        <w:rPr>
          <w:lang w:val="en-GB"/>
        </w:rPr>
        <w:t xml:space="preserve"> in </w:t>
      </w:r>
      <w:r w:rsidR="001D2A45" w:rsidRPr="00FF1087">
        <w:rPr>
          <w:lang w:val="en-GB"/>
        </w:rPr>
        <w:t>significant</w:t>
      </w:r>
      <w:r w:rsidR="001A5FD4" w:rsidRPr="00FF1087">
        <w:rPr>
          <w:lang w:val="en-GB"/>
        </w:rPr>
        <w:t xml:space="preserve"> delay or </w:t>
      </w:r>
      <w:r w:rsidR="001D2A45" w:rsidRPr="00FF1087">
        <w:rPr>
          <w:lang w:val="en-GB"/>
        </w:rPr>
        <w:t xml:space="preserve">the </w:t>
      </w:r>
      <w:r w:rsidR="001A5FD4" w:rsidRPr="00FF1087">
        <w:rPr>
          <w:lang w:val="en-GB"/>
        </w:rPr>
        <w:t>cost</w:t>
      </w:r>
      <w:r w:rsidR="001D2A45" w:rsidRPr="00FF1087">
        <w:rPr>
          <w:lang w:val="en-GB"/>
        </w:rPr>
        <w:t xml:space="preserve"> of court proceedings make it </w:t>
      </w:r>
      <w:r w:rsidR="001A5FD4" w:rsidRPr="00FF1087">
        <w:rPr>
          <w:lang w:val="en-GB"/>
        </w:rPr>
        <w:t xml:space="preserve">unreasonable to </w:t>
      </w:r>
      <w:r w:rsidR="001D2A45" w:rsidRPr="00FF1087">
        <w:rPr>
          <w:lang w:val="en-GB"/>
        </w:rPr>
        <w:t xml:space="preserve">require </w:t>
      </w:r>
      <w:r w:rsidR="001A5FD4" w:rsidRPr="00FF1087">
        <w:rPr>
          <w:lang w:val="en-GB"/>
        </w:rPr>
        <w:t xml:space="preserve">the communicant to </w:t>
      </w:r>
      <w:r w:rsidR="001D2A45" w:rsidRPr="00FF1087">
        <w:rPr>
          <w:lang w:val="en-GB"/>
        </w:rPr>
        <w:t>use the</w:t>
      </w:r>
      <w:r w:rsidR="001A5FD4" w:rsidRPr="00FF1087">
        <w:rPr>
          <w:lang w:val="en-GB"/>
        </w:rPr>
        <w:t xml:space="preserve"> court</w:t>
      </w:r>
      <w:r w:rsidR="001D2A45" w:rsidRPr="00FF1087">
        <w:rPr>
          <w:lang w:val="en-GB"/>
        </w:rPr>
        <w:t>s</w:t>
      </w:r>
      <w:r w:rsidR="00E24385" w:rsidRPr="00FF1087">
        <w:rPr>
          <w:lang w:val="en-GB"/>
        </w:rPr>
        <w:t xml:space="preserve">. </w:t>
      </w:r>
      <w:r w:rsidR="00770B6C" w:rsidRPr="00FF1087">
        <w:rPr>
          <w:lang w:val="en-GB"/>
        </w:rPr>
        <w:t>Regarding delay, t</w:t>
      </w:r>
      <w:r w:rsidR="00E24385" w:rsidRPr="00FF1087">
        <w:rPr>
          <w:lang w:val="en-GB"/>
        </w:rPr>
        <w:t xml:space="preserve">his is in line with </w:t>
      </w:r>
      <w:r w:rsidR="00C76382" w:rsidRPr="00FF1087">
        <w:rPr>
          <w:lang w:val="en-GB"/>
        </w:rPr>
        <w:t>paragraph 21 of the annex to decision I/7</w:t>
      </w:r>
      <w:r w:rsidR="00E24385" w:rsidRPr="00FF1087">
        <w:rPr>
          <w:lang w:val="en-GB"/>
        </w:rPr>
        <w:t>, which</w:t>
      </w:r>
      <w:r w:rsidR="00C76382" w:rsidRPr="00FF1087">
        <w:rPr>
          <w:lang w:val="en-GB"/>
        </w:rPr>
        <w:t xml:space="preserve"> </w:t>
      </w:r>
      <w:r w:rsidR="00035149" w:rsidRPr="00FF1087">
        <w:rPr>
          <w:lang w:val="en-GB"/>
        </w:rPr>
        <w:t xml:space="preserve">requires </w:t>
      </w:r>
      <w:r w:rsidR="00C76382" w:rsidRPr="00FF1087">
        <w:rPr>
          <w:lang w:val="en-GB"/>
        </w:rPr>
        <w:t xml:space="preserve">the Committee at all relevant stages </w:t>
      </w:r>
      <w:r w:rsidR="00035149" w:rsidRPr="00FF1087">
        <w:rPr>
          <w:lang w:val="en-GB"/>
        </w:rPr>
        <w:t xml:space="preserve">to </w:t>
      </w:r>
      <w:proofErr w:type="gramStart"/>
      <w:r w:rsidR="00C76382" w:rsidRPr="00FF1087">
        <w:rPr>
          <w:lang w:val="en-GB"/>
        </w:rPr>
        <w:t>take into account</w:t>
      </w:r>
      <w:proofErr w:type="gramEnd"/>
      <w:r w:rsidR="00C76382" w:rsidRPr="00FF1087">
        <w:rPr>
          <w:lang w:val="en-GB"/>
        </w:rPr>
        <w:t xml:space="preserve"> any available domestic remedy unless the application of the remedy is unreasonably prolonged. </w:t>
      </w:r>
      <w:r w:rsidR="00770B6C" w:rsidRPr="00FF1087">
        <w:rPr>
          <w:lang w:val="en-GB"/>
        </w:rPr>
        <w:t xml:space="preserve">Such a consideration would be particularly relevant where the </w:t>
      </w:r>
      <w:r w:rsidR="005D1D1C" w:rsidRPr="00FF1087">
        <w:rPr>
          <w:lang w:val="en-GB"/>
        </w:rPr>
        <w:t xml:space="preserve">public authorities of the </w:t>
      </w:r>
      <w:r w:rsidR="00770B6C" w:rsidRPr="00FF1087">
        <w:rPr>
          <w:lang w:val="en-GB"/>
        </w:rPr>
        <w:t>Party concerned</w:t>
      </w:r>
      <w:r w:rsidR="005D1D1C" w:rsidRPr="00FF1087">
        <w:rPr>
          <w:lang w:val="en-GB"/>
        </w:rPr>
        <w:t xml:space="preserve"> </w:t>
      </w:r>
      <w:r w:rsidR="00770B6C" w:rsidRPr="00FF1087">
        <w:rPr>
          <w:lang w:val="en-GB"/>
        </w:rPr>
        <w:t>caused the delay.</w:t>
      </w:r>
      <w:r w:rsidR="00770B6C" w:rsidRPr="00FF1087">
        <w:rPr>
          <w:rStyle w:val="FootnoteReference"/>
          <w:lang w:val="en-GB"/>
        </w:rPr>
        <w:footnoteReference w:id="89"/>
      </w:r>
      <w:bookmarkEnd w:id="25"/>
    </w:p>
    <w:p w14:paraId="5D83E5FF" w14:textId="16003F3C" w:rsidR="00145B6B" w:rsidRPr="00FF1087" w:rsidRDefault="002E72F8" w:rsidP="00936CED">
      <w:pPr>
        <w:pStyle w:val="SingleTxtG"/>
        <w:numPr>
          <w:ilvl w:val="0"/>
          <w:numId w:val="3"/>
        </w:numPr>
        <w:tabs>
          <w:tab w:val="left" w:pos="1843"/>
          <w:tab w:val="left" w:pos="6120"/>
        </w:tabs>
        <w:ind w:left="1134" w:right="0" w:firstLine="0"/>
        <w:rPr>
          <w:lang w:val="en-GB"/>
        </w:rPr>
      </w:pPr>
      <w:r w:rsidRPr="00FF1087">
        <w:rPr>
          <w:lang w:val="en-GB"/>
        </w:rPr>
        <w:t>M</w:t>
      </w:r>
      <w:bookmarkStart w:id="27" w:name="_Ref492456433"/>
      <w:r w:rsidR="00347C2C" w:rsidRPr="00FF1087">
        <w:rPr>
          <w:lang w:val="en-GB"/>
        </w:rPr>
        <w:t xml:space="preserve">r. Caulfield received a partial refusal to his </w:t>
      </w:r>
      <w:r w:rsidR="00486633" w:rsidRPr="00FF1087">
        <w:rPr>
          <w:lang w:val="en-GB"/>
        </w:rPr>
        <w:t xml:space="preserve">first </w:t>
      </w:r>
      <w:r w:rsidR="00347C2C" w:rsidRPr="00FF1087">
        <w:rPr>
          <w:lang w:val="en-GB"/>
        </w:rPr>
        <w:t>request after 60 days</w:t>
      </w:r>
      <w:r w:rsidR="00C33325" w:rsidRPr="00FF1087">
        <w:rPr>
          <w:lang w:val="en-GB"/>
        </w:rPr>
        <w:t>.</w:t>
      </w:r>
      <w:r w:rsidR="00347C2C" w:rsidRPr="00FF1087">
        <w:rPr>
          <w:lang w:val="en-GB"/>
        </w:rPr>
        <w:t xml:space="preserve"> </w:t>
      </w:r>
      <w:r w:rsidR="00C33325" w:rsidRPr="00FF1087">
        <w:rPr>
          <w:lang w:val="en-GB"/>
        </w:rPr>
        <w:t xml:space="preserve">He </w:t>
      </w:r>
      <w:r w:rsidR="00347C2C" w:rsidRPr="00FF1087">
        <w:rPr>
          <w:lang w:val="en-GB"/>
        </w:rPr>
        <w:t xml:space="preserve">waited </w:t>
      </w:r>
      <w:r w:rsidR="00BB7EE4" w:rsidRPr="00FF1087">
        <w:rPr>
          <w:lang w:val="en-GB"/>
        </w:rPr>
        <w:t xml:space="preserve">another 90 days for </w:t>
      </w:r>
      <w:r w:rsidR="00347C2C" w:rsidRPr="00FF1087">
        <w:rPr>
          <w:lang w:val="en-GB"/>
        </w:rPr>
        <w:t xml:space="preserve">a reply to his confirmatory application </w:t>
      </w:r>
      <w:r w:rsidR="00667229" w:rsidRPr="00FF1087">
        <w:rPr>
          <w:lang w:val="en-GB"/>
        </w:rPr>
        <w:t>before turning to the Ombudsman.</w:t>
      </w:r>
      <w:r w:rsidR="00D74719" w:rsidRPr="00FF1087">
        <w:rPr>
          <w:lang w:val="en-GB"/>
        </w:rPr>
        <w:t xml:space="preserve"> </w:t>
      </w:r>
      <w:r w:rsidR="00C8710C" w:rsidRPr="00FF1087">
        <w:rPr>
          <w:lang w:val="en-GB"/>
        </w:rPr>
        <w:t>I</w:t>
      </w:r>
      <w:r w:rsidR="00BB7EE4" w:rsidRPr="00FF1087">
        <w:rPr>
          <w:lang w:val="en-GB"/>
        </w:rPr>
        <w:t xml:space="preserve">t took </w:t>
      </w:r>
      <w:r w:rsidR="00D74719" w:rsidRPr="00FF1087">
        <w:rPr>
          <w:lang w:val="en-GB"/>
        </w:rPr>
        <w:t xml:space="preserve">the Ombudsman </w:t>
      </w:r>
      <w:r w:rsidR="00BB7EE4" w:rsidRPr="00FF1087">
        <w:rPr>
          <w:lang w:val="en-GB"/>
        </w:rPr>
        <w:t xml:space="preserve">1 year to </w:t>
      </w:r>
      <w:r w:rsidR="00D74719" w:rsidRPr="00FF1087">
        <w:rPr>
          <w:lang w:val="en-GB"/>
        </w:rPr>
        <w:t xml:space="preserve">issue </w:t>
      </w:r>
      <w:r w:rsidR="00893901" w:rsidRPr="00FF1087">
        <w:rPr>
          <w:lang w:val="en-GB"/>
        </w:rPr>
        <w:t xml:space="preserve">a preliminary </w:t>
      </w:r>
      <w:r w:rsidR="00D74719" w:rsidRPr="00FF1087">
        <w:rPr>
          <w:lang w:val="en-GB"/>
        </w:rPr>
        <w:t>opinion</w:t>
      </w:r>
      <w:r w:rsidR="002B1E54" w:rsidRPr="00FF1087">
        <w:rPr>
          <w:lang w:val="en-GB"/>
        </w:rPr>
        <w:t>;</w:t>
      </w:r>
      <w:r w:rsidR="00D74719" w:rsidRPr="00FF1087">
        <w:rPr>
          <w:lang w:val="en-GB"/>
        </w:rPr>
        <w:t xml:space="preserve"> </w:t>
      </w:r>
      <w:r w:rsidR="00893901" w:rsidRPr="00FF1087">
        <w:rPr>
          <w:lang w:val="en-GB"/>
        </w:rPr>
        <w:t>a further 4</w:t>
      </w:r>
      <w:r w:rsidR="00BB7EE4" w:rsidRPr="00FF1087">
        <w:rPr>
          <w:lang w:val="en-GB"/>
        </w:rPr>
        <w:t xml:space="preserve"> months</w:t>
      </w:r>
      <w:r w:rsidR="00BC14EF" w:rsidRPr="00FF1087">
        <w:rPr>
          <w:lang w:val="en-GB"/>
        </w:rPr>
        <w:t xml:space="preserve">, </w:t>
      </w:r>
      <w:r w:rsidR="00BB7EE4" w:rsidRPr="00FF1087">
        <w:rPr>
          <w:lang w:val="en-GB"/>
        </w:rPr>
        <w:t>1</w:t>
      </w:r>
      <w:r w:rsidR="00893901" w:rsidRPr="00FF1087">
        <w:rPr>
          <w:lang w:val="en-GB"/>
        </w:rPr>
        <w:t>2</w:t>
      </w:r>
      <w:r w:rsidR="00BB7EE4" w:rsidRPr="00FF1087">
        <w:rPr>
          <w:lang w:val="en-GB"/>
        </w:rPr>
        <w:t xml:space="preserve"> days for </w:t>
      </w:r>
      <w:r w:rsidR="00D74719" w:rsidRPr="00FF1087">
        <w:rPr>
          <w:lang w:val="en-GB"/>
        </w:rPr>
        <w:t xml:space="preserve">the Commission </w:t>
      </w:r>
      <w:r w:rsidR="00BB7EE4" w:rsidRPr="00FF1087">
        <w:rPr>
          <w:lang w:val="en-GB"/>
        </w:rPr>
        <w:t xml:space="preserve">to </w:t>
      </w:r>
      <w:r w:rsidR="00D74719" w:rsidRPr="00FF1087">
        <w:rPr>
          <w:lang w:val="en-GB"/>
        </w:rPr>
        <w:t>issue a new decision</w:t>
      </w:r>
      <w:r w:rsidR="002B1E54" w:rsidRPr="00FF1087">
        <w:rPr>
          <w:lang w:val="en-GB"/>
        </w:rPr>
        <w:t>;</w:t>
      </w:r>
      <w:r w:rsidR="00F45B4B" w:rsidRPr="00FF1087">
        <w:rPr>
          <w:lang w:val="en-GB"/>
        </w:rPr>
        <w:t xml:space="preserve"> </w:t>
      </w:r>
      <w:r w:rsidR="00D74719" w:rsidRPr="00FF1087">
        <w:rPr>
          <w:lang w:val="en-GB"/>
        </w:rPr>
        <w:t xml:space="preserve">and </w:t>
      </w:r>
      <w:r w:rsidR="00BB7EE4" w:rsidRPr="00FF1087">
        <w:rPr>
          <w:lang w:val="en-GB"/>
        </w:rPr>
        <w:t>8 months</w:t>
      </w:r>
      <w:r w:rsidR="00B533A8" w:rsidRPr="00FF1087">
        <w:rPr>
          <w:lang w:val="en-GB"/>
        </w:rPr>
        <w:t xml:space="preserve">, </w:t>
      </w:r>
      <w:r w:rsidR="00893901" w:rsidRPr="00FF1087">
        <w:rPr>
          <w:lang w:val="en-GB"/>
        </w:rPr>
        <w:t xml:space="preserve">13 </w:t>
      </w:r>
      <w:r w:rsidR="00BB7EE4" w:rsidRPr="00FF1087">
        <w:rPr>
          <w:lang w:val="en-GB"/>
        </w:rPr>
        <w:t xml:space="preserve">days for </w:t>
      </w:r>
      <w:r w:rsidR="00D74719" w:rsidRPr="00FF1087">
        <w:rPr>
          <w:lang w:val="en-GB"/>
        </w:rPr>
        <w:t xml:space="preserve">the Ombudsman </w:t>
      </w:r>
      <w:r w:rsidR="00BB7EE4" w:rsidRPr="00FF1087">
        <w:rPr>
          <w:lang w:val="en-GB"/>
        </w:rPr>
        <w:t xml:space="preserve">to </w:t>
      </w:r>
      <w:r w:rsidR="00D74719" w:rsidRPr="00FF1087">
        <w:rPr>
          <w:lang w:val="en-GB"/>
        </w:rPr>
        <w:t xml:space="preserve">issue </w:t>
      </w:r>
      <w:r w:rsidR="00893901" w:rsidRPr="00FF1087">
        <w:rPr>
          <w:lang w:val="en-GB"/>
        </w:rPr>
        <w:t>its final</w:t>
      </w:r>
      <w:r w:rsidR="00D74719" w:rsidRPr="00FF1087">
        <w:rPr>
          <w:lang w:val="en-GB"/>
        </w:rPr>
        <w:t xml:space="preserve"> opinion</w:t>
      </w:r>
      <w:r w:rsidR="00642866" w:rsidRPr="00FF1087">
        <w:rPr>
          <w:lang w:val="en-GB"/>
        </w:rPr>
        <w:t xml:space="preserve">, </w:t>
      </w:r>
      <w:r w:rsidR="00C33325" w:rsidRPr="00FF1087">
        <w:rPr>
          <w:lang w:val="en-GB"/>
        </w:rPr>
        <w:t>meaning that the review procedures took nearly two years and four months</w:t>
      </w:r>
      <w:r w:rsidR="00C8710C" w:rsidRPr="00FF1087">
        <w:rPr>
          <w:lang w:val="en-GB"/>
        </w:rPr>
        <w:t xml:space="preserve">. </w:t>
      </w:r>
      <w:r w:rsidR="00D74719" w:rsidRPr="00FF1087">
        <w:rPr>
          <w:lang w:val="en-GB"/>
        </w:rPr>
        <w:t xml:space="preserve"> </w:t>
      </w:r>
      <w:r w:rsidR="00C8710C" w:rsidRPr="00FF1087">
        <w:rPr>
          <w:lang w:val="en-GB"/>
        </w:rPr>
        <w:t>It</w:t>
      </w:r>
      <w:r w:rsidR="00D74719" w:rsidRPr="00FF1087">
        <w:rPr>
          <w:lang w:val="en-GB"/>
        </w:rPr>
        <w:t xml:space="preserve"> would be </w:t>
      </w:r>
      <w:r w:rsidR="00BB7EE4" w:rsidRPr="00FF1087">
        <w:rPr>
          <w:lang w:val="en-GB"/>
        </w:rPr>
        <w:t>un</w:t>
      </w:r>
      <w:r w:rsidR="00D74719" w:rsidRPr="00FF1087">
        <w:rPr>
          <w:lang w:val="en-GB"/>
        </w:rPr>
        <w:t xml:space="preserve">reasonable to </w:t>
      </w:r>
      <w:r w:rsidR="0008626B" w:rsidRPr="00FF1087">
        <w:rPr>
          <w:lang w:val="en-GB"/>
        </w:rPr>
        <w:t xml:space="preserve">expect </w:t>
      </w:r>
      <w:r w:rsidR="00D74719" w:rsidRPr="00FF1087">
        <w:rPr>
          <w:lang w:val="en-GB"/>
        </w:rPr>
        <w:t xml:space="preserve">an applicant to </w:t>
      </w:r>
      <w:r w:rsidR="00D964F7" w:rsidRPr="00FF1087">
        <w:rPr>
          <w:lang w:val="en-GB"/>
        </w:rPr>
        <w:t xml:space="preserve">then </w:t>
      </w:r>
      <w:r w:rsidR="00D74719" w:rsidRPr="00FF1087">
        <w:rPr>
          <w:lang w:val="en-GB"/>
        </w:rPr>
        <w:t xml:space="preserve">bring </w:t>
      </w:r>
      <w:r w:rsidR="00D26F38" w:rsidRPr="00FF1087">
        <w:rPr>
          <w:lang w:val="en-GB"/>
        </w:rPr>
        <w:t>a</w:t>
      </w:r>
      <w:r w:rsidR="00D74719" w:rsidRPr="00FF1087">
        <w:rPr>
          <w:lang w:val="en-GB"/>
        </w:rPr>
        <w:t xml:space="preserve"> case to court in circumstances in which the case ha</w:t>
      </w:r>
      <w:r w:rsidR="0089412E" w:rsidRPr="00FF1087">
        <w:rPr>
          <w:lang w:val="en-GB"/>
        </w:rPr>
        <w:t>d</w:t>
      </w:r>
      <w:r w:rsidR="00D74719" w:rsidRPr="00FF1087">
        <w:rPr>
          <w:lang w:val="en-GB"/>
        </w:rPr>
        <w:t xml:space="preserve"> already taken such a prolonged period of time</w:t>
      </w:r>
      <w:r w:rsidR="001E4954" w:rsidRPr="00FF1087">
        <w:rPr>
          <w:lang w:val="en-GB"/>
        </w:rPr>
        <w:t>.</w:t>
      </w:r>
      <w:r w:rsidR="000A05C2" w:rsidRPr="00FF1087">
        <w:rPr>
          <w:rStyle w:val="FootnoteReference"/>
          <w:lang w:val="en-GB"/>
        </w:rPr>
        <w:footnoteReference w:id="90"/>
      </w:r>
      <w:r w:rsidR="001E4954" w:rsidRPr="00FF1087">
        <w:rPr>
          <w:lang w:val="en-GB"/>
        </w:rPr>
        <w:t xml:space="preserve"> Moreover, the two-month time limit provided </w:t>
      </w:r>
      <w:r w:rsidR="00792B61" w:rsidRPr="00FF1087">
        <w:rPr>
          <w:lang w:val="en-GB"/>
        </w:rPr>
        <w:t xml:space="preserve">to bring claims to court </w:t>
      </w:r>
      <w:r w:rsidR="001E4954" w:rsidRPr="00FF1087">
        <w:rPr>
          <w:lang w:val="en-GB"/>
        </w:rPr>
        <w:t xml:space="preserve">under article 263 TFEU </w:t>
      </w:r>
      <w:r w:rsidR="00D26F38" w:rsidRPr="00FF1087">
        <w:rPr>
          <w:lang w:val="en-GB"/>
        </w:rPr>
        <w:t xml:space="preserve">would have </w:t>
      </w:r>
      <w:r w:rsidR="00C33325" w:rsidRPr="00FF1087">
        <w:rPr>
          <w:lang w:val="en-GB"/>
        </w:rPr>
        <w:t xml:space="preserve">long </w:t>
      </w:r>
      <w:r w:rsidR="00792B61" w:rsidRPr="00FF1087">
        <w:rPr>
          <w:lang w:val="en-GB"/>
        </w:rPr>
        <w:t xml:space="preserve">lapsed by then, meaning that </w:t>
      </w:r>
      <w:r w:rsidR="00A908CF" w:rsidRPr="00FF1087">
        <w:rPr>
          <w:lang w:val="en-GB"/>
        </w:rPr>
        <w:t xml:space="preserve">Mr. </w:t>
      </w:r>
      <w:r w:rsidR="00792B61" w:rsidRPr="00FF1087">
        <w:rPr>
          <w:lang w:val="en-GB"/>
        </w:rPr>
        <w:t xml:space="preserve">Caulfield’s claims </w:t>
      </w:r>
      <w:r w:rsidR="00D26F38" w:rsidRPr="00FF1087">
        <w:rPr>
          <w:lang w:val="en-GB"/>
        </w:rPr>
        <w:t xml:space="preserve">under that provision </w:t>
      </w:r>
      <w:r w:rsidR="00792B61" w:rsidRPr="00FF1087">
        <w:rPr>
          <w:lang w:val="en-GB"/>
        </w:rPr>
        <w:t>would be time-barred.</w:t>
      </w:r>
      <w:r w:rsidR="004B099E" w:rsidRPr="00FF1087">
        <w:rPr>
          <w:lang w:val="en-GB"/>
        </w:rPr>
        <w:t xml:space="preserve"> The </w:t>
      </w:r>
      <w:r w:rsidR="003B1707" w:rsidRPr="00FF1087">
        <w:rPr>
          <w:lang w:val="en-GB"/>
        </w:rPr>
        <w:t xml:space="preserve">communicant’s </w:t>
      </w:r>
      <w:r w:rsidR="004B099E" w:rsidRPr="00FF1087">
        <w:rPr>
          <w:lang w:val="en-GB"/>
        </w:rPr>
        <w:t xml:space="preserve">allegations </w:t>
      </w:r>
      <w:r w:rsidR="003B1707" w:rsidRPr="00FF1087">
        <w:rPr>
          <w:lang w:val="en-GB"/>
        </w:rPr>
        <w:t xml:space="preserve">under article </w:t>
      </w:r>
      <w:r w:rsidR="00CA6423" w:rsidRPr="00FF1087">
        <w:rPr>
          <w:lang w:val="en-GB"/>
        </w:rPr>
        <w:t>3</w:t>
      </w:r>
      <w:r w:rsidR="00B1124E" w:rsidRPr="00FF1087">
        <w:rPr>
          <w:lang w:val="en-GB"/>
        </w:rPr>
        <w:t>(</w:t>
      </w:r>
      <w:r w:rsidR="00CA6423" w:rsidRPr="00FF1087">
        <w:rPr>
          <w:lang w:val="en-GB"/>
        </w:rPr>
        <w:t>2</w:t>
      </w:r>
      <w:r w:rsidR="00B1124E" w:rsidRPr="00FF1087">
        <w:rPr>
          <w:lang w:val="en-GB"/>
        </w:rPr>
        <w:t>)</w:t>
      </w:r>
      <w:r w:rsidR="00CA6423" w:rsidRPr="00FF1087">
        <w:rPr>
          <w:lang w:val="en-GB"/>
        </w:rPr>
        <w:t xml:space="preserve"> and article </w:t>
      </w:r>
      <w:r w:rsidR="003B1707" w:rsidRPr="00FF1087">
        <w:rPr>
          <w:lang w:val="en-GB"/>
        </w:rPr>
        <w:t xml:space="preserve">4 with respect to </w:t>
      </w:r>
      <w:r w:rsidR="00A908CF" w:rsidRPr="00FF1087">
        <w:rPr>
          <w:lang w:val="en-GB"/>
        </w:rPr>
        <w:t xml:space="preserve">Mr. </w:t>
      </w:r>
      <w:r w:rsidR="004B099E" w:rsidRPr="00FF1087">
        <w:rPr>
          <w:lang w:val="en-GB"/>
        </w:rPr>
        <w:t>Caulfield</w:t>
      </w:r>
      <w:r w:rsidR="003B1707" w:rsidRPr="00FF1087">
        <w:rPr>
          <w:lang w:val="en-GB"/>
        </w:rPr>
        <w:t xml:space="preserve">’s information requests </w:t>
      </w:r>
      <w:r w:rsidR="00966C7D" w:rsidRPr="00FF1087">
        <w:rPr>
          <w:lang w:val="en-GB"/>
        </w:rPr>
        <w:t>are</w:t>
      </w:r>
      <w:r w:rsidR="003B1707" w:rsidRPr="00FF1087">
        <w:rPr>
          <w:lang w:val="en-GB"/>
        </w:rPr>
        <w:t xml:space="preserve"> </w:t>
      </w:r>
      <w:r w:rsidR="000B2F6D" w:rsidRPr="00FF1087">
        <w:rPr>
          <w:lang w:val="en-GB"/>
        </w:rPr>
        <w:t xml:space="preserve">therefore </w:t>
      </w:r>
      <w:r w:rsidR="00936CED" w:rsidRPr="00FF1087">
        <w:rPr>
          <w:lang w:val="en-GB"/>
        </w:rPr>
        <w:t>not in</w:t>
      </w:r>
      <w:r w:rsidR="003B1707" w:rsidRPr="00FF1087">
        <w:rPr>
          <w:lang w:val="en-GB"/>
        </w:rPr>
        <w:t>admissible</w:t>
      </w:r>
      <w:r w:rsidR="00C17B46" w:rsidRPr="00FF1087">
        <w:rPr>
          <w:lang w:val="en-GB"/>
        </w:rPr>
        <w:t xml:space="preserve"> </w:t>
      </w:r>
      <w:r w:rsidR="00936CED" w:rsidRPr="00FF1087">
        <w:rPr>
          <w:lang w:val="en-GB"/>
        </w:rPr>
        <w:t>on this ground</w:t>
      </w:r>
      <w:r w:rsidR="004B099E" w:rsidRPr="00FF1087">
        <w:rPr>
          <w:lang w:val="en-GB"/>
        </w:rPr>
        <w:t>.</w:t>
      </w:r>
      <w:bookmarkEnd w:id="27"/>
      <w:r w:rsidR="003B1707" w:rsidRPr="00FF1087">
        <w:rPr>
          <w:lang w:val="en-GB"/>
        </w:rPr>
        <w:t xml:space="preserve"> </w:t>
      </w:r>
    </w:p>
    <w:p w14:paraId="237E21B5" w14:textId="3CEE89BB" w:rsidR="001A5FD4" w:rsidRPr="00FF1087" w:rsidRDefault="00C8710C">
      <w:pPr>
        <w:pStyle w:val="SingleTxtG"/>
        <w:tabs>
          <w:tab w:val="left" w:pos="1843"/>
          <w:tab w:val="left" w:pos="6120"/>
        </w:tabs>
        <w:ind w:right="0"/>
        <w:rPr>
          <w:i/>
          <w:iCs/>
          <w:lang w:val="en-GB"/>
        </w:rPr>
      </w:pPr>
      <w:r w:rsidRPr="00FF1087">
        <w:rPr>
          <w:i/>
          <w:iCs/>
          <w:lang w:val="en-GB"/>
        </w:rPr>
        <w:t xml:space="preserve">Exhaustion of domestic remedies – article 7 </w:t>
      </w:r>
      <w:r w:rsidR="001A5FD4" w:rsidRPr="00FF1087">
        <w:rPr>
          <w:i/>
          <w:iCs/>
          <w:lang w:val="en-GB"/>
        </w:rPr>
        <w:t xml:space="preserve"> </w:t>
      </w:r>
    </w:p>
    <w:p w14:paraId="68B2A8FB" w14:textId="66593D59" w:rsidR="00693A34" w:rsidRPr="00FF1087" w:rsidRDefault="003C2EE7" w:rsidP="0007320D">
      <w:pPr>
        <w:pStyle w:val="SingleTxtG"/>
        <w:numPr>
          <w:ilvl w:val="0"/>
          <w:numId w:val="3"/>
        </w:numPr>
        <w:tabs>
          <w:tab w:val="left" w:pos="1843"/>
          <w:tab w:val="left" w:pos="6120"/>
        </w:tabs>
        <w:ind w:left="1134" w:right="0" w:firstLine="0"/>
        <w:rPr>
          <w:lang w:val="en-GB"/>
        </w:rPr>
      </w:pPr>
      <w:bookmarkStart w:id="28" w:name="_Ref36464685"/>
      <w:r w:rsidRPr="00FF1087">
        <w:rPr>
          <w:lang w:val="en-GB"/>
        </w:rPr>
        <w:t>T</w:t>
      </w:r>
      <w:r w:rsidR="001A5FD4" w:rsidRPr="00FF1087">
        <w:rPr>
          <w:lang w:val="en-GB"/>
        </w:rPr>
        <w:t xml:space="preserve">he communicant </w:t>
      </w:r>
      <w:r w:rsidR="003B775D" w:rsidRPr="00FF1087">
        <w:rPr>
          <w:lang w:val="en-GB"/>
        </w:rPr>
        <w:t>requested</w:t>
      </w:r>
      <w:r w:rsidR="001A5FD4" w:rsidRPr="00FF1087">
        <w:rPr>
          <w:lang w:val="en-GB"/>
        </w:rPr>
        <w:t xml:space="preserve"> internal review </w:t>
      </w:r>
      <w:r w:rsidR="004A1586" w:rsidRPr="00FF1087">
        <w:rPr>
          <w:lang w:val="en-GB"/>
        </w:rPr>
        <w:t>of</w:t>
      </w:r>
      <w:r w:rsidR="001A5FD4" w:rsidRPr="00FF1087">
        <w:rPr>
          <w:lang w:val="en-GB"/>
        </w:rPr>
        <w:t xml:space="preserve"> Delegated Regulation 1391/2013 </w:t>
      </w:r>
      <w:r w:rsidR="00C17B46" w:rsidRPr="00FF1087">
        <w:rPr>
          <w:lang w:val="en-GB"/>
        </w:rPr>
        <w:t>but</w:t>
      </w:r>
      <w:r w:rsidR="001A5FD4" w:rsidRPr="00FF1087">
        <w:rPr>
          <w:lang w:val="en-GB"/>
        </w:rPr>
        <w:t xml:space="preserve"> was </w:t>
      </w:r>
      <w:r w:rsidRPr="00FF1087">
        <w:rPr>
          <w:lang w:val="en-GB"/>
        </w:rPr>
        <w:t>denied</w:t>
      </w:r>
      <w:r w:rsidR="001A5FD4" w:rsidRPr="00FF1087">
        <w:rPr>
          <w:lang w:val="en-GB"/>
        </w:rPr>
        <w:t xml:space="preserve"> standing </w:t>
      </w:r>
      <w:r w:rsidRPr="00FF1087">
        <w:rPr>
          <w:lang w:val="en-GB"/>
        </w:rPr>
        <w:t xml:space="preserve">because it was not </w:t>
      </w:r>
      <w:r w:rsidR="002B1E54" w:rsidRPr="00FF1087">
        <w:rPr>
          <w:lang w:val="en-GB"/>
        </w:rPr>
        <w:t xml:space="preserve">an eligible applicant for such review (see para. </w:t>
      </w:r>
      <w:r w:rsidR="002B1E54" w:rsidRPr="00FF1087">
        <w:rPr>
          <w:lang w:val="en-GB"/>
        </w:rPr>
        <w:fldChar w:fldCharType="begin"/>
      </w:r>
      <w:r w:rsidR="002B1E54" w:rsidRPr="00FF1087">
        <w:rPr>
          <w:lang w:val="en-GB"/>
        </w:rPr>
        <w:instrText xml:space="preserve"> REF _Ref27074625 \r \h </w:instrText>
      </w:r>
      <w:r w:rsidR="00FF1087">
        <w:rPr>
          <w:lang w:val="en-GB"/>
        </w:rPr>
        <w:instrText xml:space="preserve"> \* MERGEFORMAT </w:instrText>
      </w:r>
      <w:r w:rsidR="002B1E54" w:rsidRPr="00FF1087">
        <w:rPr>
          <w:lang w:val="en-GB"/>
        </w:rPr>
      </w:r>
      <w:r w:rsidR="002B1E54" w:rsidRPr="00FF1087">
        <w:rPr>
          <w:lang w:val="en-GB"/>
        </w:rPr>
        <w:fldChar w:fldCharType="separate"/>
      </w:r>
      <w:r w:rsidR="00B713E0">
        <w:rPr>
          <w:cs/>
          <w:lang w:val="en-GB"/>
        </w:rPr>
        <w:t>‎</w:t>
      </w:r>
      <w:r w:rsidR="00B713E0">
        <w:rPr>
          <w:lang w:val="en-GB"/>
        </w:rPr>
        <w:t>42</w:t>
      </w:r>
      <w:r w:rsidR="002B1E54" w:rsidRPr="00FF1087">
        <w:rPr>
          <w:lang w:val="en-GB"/>
        </w:rPr>
        <w:fldChar w:fldCharType="end"/>
      </w:r>
      <w:r w:rsidR="002B1E54" w:rsidRPr="00FF1087">
        <w:rPr>
          <w:lang w:val="en-GB"/>
        </w:rPr>
        <w:t xml:space="preserve"> above)</w:t>
      </w:r>
      <w:r w:rsidR="001A5FD4" w:rsidRPr="00FF1087">
        <w:rPr>
          <w:lang w:val="en-GB"/>
        </w:rPr>
        <w:t xml:space="preserve">. </w:t>
      </w:r>
      <w:r w:rsidR="004A1586" w:rsidRPr="00FF1087">
        <w:rPr>
          <w:lang w:val="en-GB"/>
        </w:rPr>
        <w:t xml:space="preserve">The Committee thus considers that </w:t>
      </w:r>
      <w:r w:rsidR="008D23E8" w:rsidRPr="00FF1087">
        <w:rPr>
          <w:lang w:val="en-GB"/>
        </w:rPr>
        <w:t>t</w:t>
      </w:r>
      <w:r w:rsidR="001A5FD4" w:rsidRPr="00FF1087">
        <w:rPr>
          <w:lang w:val="en-GB"/>
        </w:rPr>
        <w:t xml:space="preserve">he communicant exhausted </w:t>
      </w:r>
      <w:r w:rsidR="009E1ED1" w:rsidRPr="00FF1087">
        <w:rPr>
          <w:lang w:val="en-GB"/>
        </w:rPr>
        <w:t xml:space="preserve">the </w:t>
      </w:r>
      <w:r w:rsidR="001A5FD4" w:rsidRPr="00FF1087">
        <w:rPr>
          <w:lang w:val="en-GB"/>
        </w:rPr>
        <w:t xml:space="preserve">domestic remedies </w:t>
      </w:r>
      <w:r w:rsidR="009E1ED1" w:rsidRPr="00FF1087">
        <w:rPr>
          <w:lang w:val="en-GB"/>
        </w:rPr>
        <w:t xml:space="preserve">available regarding </w:t>
      </w:r>
      <w:r w:rsidR="004A1586" w:rsidRPr="00FF1087">
        <w:rPr>
          <w:lang w:val="en-GB"/>
        </w:rPr>
        <w:t xml:space="preserve">its </w:t>
      </w:r>
      <w:r w:rsidR="001A5FD4" w:rsidRPr="00FF1087">
        <w:rPr>
          <w:lang w:val="en-GB"/>
        </w:rPr>
        <w:t xml:space="preserve">article 7 </w:t>
      </w:r>
      <w:r w:rsidR="00EB43D1" w:rsidRPr="00FF1087">
        <w:rPr>
          <w:lang w:val="en-GB"/>
        </w:rPr>
        <w:t>claim</w:t>
      </w:r>
      <w:r w:rsidR="004A1586" w:rsidRPr="00FF1087">
        <w:rPr>
          <w:lang w:val="en-GB"/>
        </w:rPr>
        <w:t xml:space="preserve">, </w:t>
      </w:r>
      <w:r w:rsidR="00936CED" w:rsidRPr="00FF1087">
        <w:rPr>
          <w:lang w:val="en-GB"/>
        </w:rPr>
        <w:t xml:space="preserve">and </w:t>
      </w:r>
      <w:r w:rsidR="009E1ED1" w:rsidRPr="00FF1087">
        <w:rPr>
          <w:lang w:val="en-GB"/>
        </w:rPr>
        <w:t xml:space="preserve">it is </w:t>
      </w:r>
      <w:r w:rsidR="00936CED" w:rsidRPr="00FF1087">
        <w:rPr>
          <w:lang w:val="en-GB"/>
        </w:rPr>
        <w:t xml:space="preserve">thus not </w:t>
      </w:r>
      <w:r w:rsidR="009E1ED1" w:rsidRPr="00FF1087">
        <w:rPr>
          <w:lang w:val="en-GB"/>
        </w:rPr>
        <w:t>in</w:t>
      </w:r>
      <w:r w:rsidR="00936CED" w:rsidRPr="00FF1087">
        <w:rPr>
          <w:lang w:val="en-GB"/>
        </w:rPr>
        <w:t>admissible on this ground</w:t>
      </w:r>
      <w:r w:rsidR="00EB43D1" w:rsidRPr="00FF1087">
        <w:rPr>
          <w:lang w:val="en-GB"/>
        </w:rPr>
        <w:t>.</w:t>
      </w:r>
      <w:bookmarkEnd w:id="28"/>
    </w:p>
    <w:p w14:paraId="69B2C747" w14:textId="7FA984CA" w:rsidR="00766066" w:rsidRPr="00FF1087" w:rsidRDefault="00936CED" w:rsidP="00370E70">
      <w:pPr>
        <w:pStyle w:val="SingleTxtG"/>
        <w:numPr>
          <w:ilvl w:val="0"/>
          <w:numId w:val="3"/>
        </w:numPr>
        <w:tabs>
          <w:tab w:val="clear" w:pos="1711"/>
          <w:tab w:val="num" w:pos="1701"/>
          <w:tab w:val="left" w:pos="1843"/>
          <w:tab w:val="left" w:pos="6120"/>
        </w:tabs>
        <w:ind w:left="1134" w:right="0" w:firstLine="0"/>
        <w:rPr>
          <w:lang w:val="en-GB"/>
        </w:rPr>
      </w:pPr>
      <w:r w:rsidRPr="00FF1087">
        <w:rPr>
          <w:lang w:val="en-GB"/>
        </w:rPr>
        <w:t xml:space="preserve">Based on </w:t>
      </w:r>
      <w:r w:rsidR="00E64005" w:rsidRPr="00FF1087">
        <w:rPr>
          <w:lang w:val="en-GB"/>
        </w:rPr>
        <w:t xml:space="preserve">paragraphs </w:t>
      </w:r>
      <w:r w:rsidR="00E64005" w:rsidRPr="00FF1087">
        <w:rPr>
          <w:lang w:val="en-GB"/>
        </w:rPr>
        <w:fldChar w:fldCharType="begin"/>
      </w:r>
      <w:r w:rsidR="00E64005" w:rsidRPr="00FF1087">
        <w:rPr>
          <w:lang w:val="en-GB"/>
        </w:rPr>
        <w:instrText xml:space="preserve"> REF _Ref36464677 \r \h </w:instrText>
      </w:r>
      <w:r w:rsidR="00FF1087">
        <w:rPr>
          <w:lang w:val="en-GB"/>
        </w:rPr>
        <w:instrText xml:space="preserve"> \* MERGEFORMAT </w:instrText>
      </w:r>
      <w:r w:rsidR="00E64005" w:rsidRPr="00FF1087">
        <w:rPr>
          <w:lang w:val="en-GB"/>
        </w:rPr>
      </w:r>
      <w:r w:rsidR="00E64005" w:rsidRPr="00FF1087">
        <w:rPr>
          <w:lang w:val="en-GB"/>
        </w:rPr>
        <w:fldChar w:fldCharType="separate"/>
      </w:r>
      <w:r w:rsidR="00B713E0">
        <w:rPr>
          <w:cs/>
          <w:lang w:val="en-GB"/>
        </w:rPr>
        <w:t>‎</w:t>
      </w:r>
      <w:r w:rsidR="00B713E0">
        <w:rPr>
          <w:lang w:val="en-GB"/>
        </w:rPr>
        <w:t>93</w:t>
      </w:r>
      <w:r w:rsidR="00E64005" w:rsidRPr="00FF1087">
        <w:rPr>
          <w:lang w:val="en-GB"/>
        </w:rPr>
        <w:fldChar w:fldCharType="end"/>
      </w:r>
      <w:r w:rsidR="00E64005" w:rsidRPr="00FF1087">
        <w:rPr>
          <w:lang w:val="en-GB"/>
        </w:rPr>
        <w:t>-</w:t>
      </w:r>
      <w:r w:rsidR="00E64005" w:rsidRPr="00FF1087">
        <w:rPr>
          <w:lang w:val="en-GB"/>
        </w:rPr>
        <w:fldChar w:fldCharType="begin"/>
      </w:r>
      <w:r w:rsidR="00E64005" w:rsidRPr="00FF1087">
        <w:rPr>
          <w:lang w:val="en-GB"/>
        </w:rPr>
        <w:instrText xml:space="preserve"> REF _Ref36464685 \r \h </w:instrText>
      </w:r>
      <w:r w:rsidR="00FF1087">
        <w:rPr>
          <w:lang w:val="en-GB"/>
        </w:rPr>
        <w:instrText xml:space="preserve"> \* MERGEFORMAT </w:instrText>
      </w:r>
      <w:r w:rsidR="00E64005" w:rsidRPr="00FF1087">
        <w:rPr>
          <w:lang w:val="en-GB"/>
        </w:rPr>
      </w:r>
      <w:r w:rsidR="00E64005" w:rsidRPr="00FF1087">
        <w:rPr>
          <w:lang w:val="en-GB"/>
        </w:rPr>
        <w:fldChar w:fldCharType="separate"/>
      </w:r>
      <w:r w:rsidR="00B713E0">
        <w:rPr>
          <w:cs/>
          <w:lang w:val="en-GB"/>
        </w:rPr>
        <w:t>‎</w:t>
      </w:r>
      <w:r w:rsidR="00B713E0">
        <w:rPr>
          <w:lang w:val="en-GB"/>
        </w:rPr>
        <w:t>95</w:t>
      </w:r>
      <w:r w:rsidR="00E64005" w:rsidRPr="00FF1087">
        <w:rPr>
          <w:lang w:val="en-GB"/>
        </w:rPr>
        <w:fldChar w:fldCharType="end"/>
      </w:r>
      <w:r w:rsidR="00E64005" w:rsidRPr="00FF1087">
        <w:rPr>
          <w:lang w:val="en-GB"/>
        </w:rPr>
        <w:t xml:space="preserve"> </w:t>
      </w:r>
      <w:r w:rsidRPr="00FF1087">
        <w:rPr>
          <w:lang w:val="en-GB"/>
        </w:rPr>
        <w:t>above, the Committee finds th</w:t>
      </w:r>
      <w:r w:rsidR="00E64005" w:rsidRPr="00FF1087">
        <w:rPr>
          <w:lang w:val="en-GB"/>
        </w:rPr>
        <w:t>os</w:t>
      </w:r>
      <w:r w:rsidRPr="00FF1087">
        <w:rPr>
          <w:lang w:val="en-GB"/>
        </w:rPr>
        <w:t xml:space="preserve">e </w:t>
      </w:r>
      <w:r w:rsidR="00E64005" w:rsidRPr="00FF1087">
        <w:rPr>
          <w:lang w:val="en-GB"/>
        </w:rPr>
        <w:t xml:space="preserve">aspects of the </w:t>
      </w:r>
      <w:r w:rsidRPr="00FF1087">
        <w:rPr>
          <w:lang w:val="en-GB"/>
        </w:rPr>
        <w:t>communication admissible.</w:t>
      </w:r>
    </w:p>
    <w:p w14:paraId="47C13842" w14:textId="4D047A28" w:rsidR="00693A34" w:rsidRPr="00FF1087" w:rsidRDefault="00693A34">
      <w:pPr>
        <w:pStyle w:val="SingleTxtG"/>
        <w:tabs>
          <w:tab w:val="left" w:pos="1843"/>
          <w:tab w:val="left" w:pos="6120"/>
        </w:tabs>
        <w:ind w:right="0"/>
        <w:rPr>
          <w:b/>
          <w:lang w:val="en-GB"/>
        </w:rPr>
      </w:pPr>
      <w:r w:rsidRPr="00FF1087">
        <w:rPr>
          <w:b/>
          <w:lang w:val="en-GB"/>
        </w:rPr>
        <w:t>Scope of consideration</w:t>
      </w:r>
    </w:p>
    <w:p w14:paraId="38DFEB48" w14:textId="5BBF4D97" w:rsidR="00DE6431" w:rsidRPr="00FF1087" w:rsidRDefault="00CD6D35" w:rsidP="0007320D">
      <w:pPr>
        <w:pStyle w:val="SingleTxtG"/>
        <w:numPr>
          <w:ilvl w:val="0"/>
          <w:numId w:val="3"/>
        </w:numPr>
        <w:tabs>
          <w:tab w:val="left" w:pos="1843"/>
          <w:tab w:val="left" w:pos="6120"/>
        </w:tabs>
        <w:ind w:left="1134" w:right="0" w:firstLine="0"/>
        <w:rPr>
          <w:lang w:val="en-GB"/>
        </w:rPr>
      </w:pPr>
      <w:r w:rsidRPr="00FF1087">
        <w:rPr>
          <w:color w:val="000000"/>
          <w:lang w:val="en-GB"/>
        </w:rPr>
        <w:t>While the Party concerned adopted s</w:t>
      </w:r>
      <w:r w:rsidR="00693A34" w:rsidRPr="00FF1087">
        <w:rPr>
          <w:color w:val="000000"/>
          <w:lang w:val="en-GB"/>
        </w:rPr>
        <w:t xml:space="preserve">econd </w:t>
      </w:r>
      <w:r w:rsidR="009476B5" w:rsidRPr="00FF1087">
        <w:rPr>
          <w:color w:val="000000"/>
          <w:lang w:val="en-GB"/>
        </w:rPr>
        <w:t xml:space="preserve">and third </w:t>
      </w:r>
      <w:r w:rsidR="00693A34" w:rsidRPr="00FF1087">
        <w:rPr>
          <w:color w:val="000000"/>
          <w:lang w:val="en-GB"/>
        </w:rPr>
        <w:t>PCI</w:t>
      </w:r>
      <w:r w:rsidR="00E64005" w:rsidRPr="00FF1087">
        <w:rPr>
          <w:color w:val="000000"/>
          <w:lang w:val="en-GB"/>
        </w:rPr>
        <w:t xml:space="preserve"> lists</w:t>
      </w:r>
      <w:r w:rsidR="00693A34" w:rsidRPr="00FF1087">
        <w:rPr>
          <w:color w:val="000000"/>
          <w:lang w:val="en-GB"/>
        </w:rPr>
        <w:t xml:space="preserve"> </w:t>
      </w:r>
      <w:r w:rsidR="009476B5" w:rsidRPr="00FF1087">
        <w:rPr>
          <w:color w:val="000000"/>
          <w:lang w:val="en-GB"/>
        </w:rPr>
        <w:t>in November 2015 and November 2017, respectively</w:t>
      </w:r>
      <w:r w:rsidRPr="00FF1087">
        <w:rPr>
          <w:color w:val="000000"/>
          <w:lang w:val="en-GB"/>
        </w:rPr>
        <w:t xml:space="preserve">, </w:t>
      </w:r>
      <w:r w:rsidR="00F60EB3" w:rsidRPr="00FF1087">
        <w:rPr>
          <w:color w:val="000000"/>
          <w:lang w:val="en-GB"/>
        </w:rPr>
        <w:t>the communicant</w:t>
      </w:r>
      <w:r w:rsidRPr="00FF1087">
        <w:rPr>
          <w:color w:val="000000"/>
          <w:lang w:val="en-GB"/>
        </w:rPr>
        <w:t>’</w:t>
      </w:r>
      <w:r w:rsidR="00F60EB3" w:rsidRPr="00FF1087">
        <w:rPr>
          <w:color w:val="000000"/>
          <w:lang w:val="en-GB"/>
        </w:rPr>
        <w:t>s allegations</w:t>
      </w:r>
      <w:r w:rsidRPr="00FF1087">
        <w:rPr>
          <w:color w:val="000000"/>
          <w:lang w:val="en-GB"/>
        </w:rPr>
        <w:t xml:space="preserve"> concern the first </w:t>
      </w:r>
      <w:r w:rsidR="00E64005" w:rsidRPr="00FF1087">
        <w:rPr>
          <w:color w:val="000000"/>
          <w:lang w:val="en-GB"/>
        </w:rPr>
        <w:t>PCI list</w:t>
      </w:r>
      <w:r w:rsidRPr="00FF1087">
        <w:rPr>
          <w:color w:val="000000"/>
          <w:lang w:val="en-GB"/>
        </w:rPr>
        <w:t xml:space="preserve"> adopted in October 2013 and accordingly the Committee limits its examination to the first list</w:t>
      </w:r>
      <w:r w:rsidR="00693A34" w:rsidRPr="00FF1087">
        <w:rPr>
          <w:color w:val="000000"/>
          <w:lang w:val="en-GB"/>
        </w:rPr>
        <w:t>.</w:t>
      </w:r>
    </w:p>
    <w:p w14:paraId="58787DF3" w14:textId="5510757E" w:rsidR="008A3626" w:rsidRPr="00FF1087" w:rsidRDefault="00432A2D">
      <w:pPr>
        <w:pStyle w:val="SingleTxtG"/>
        <w:tabs>
          <w:tab w:val="left" w:pos="1843"/>
          <w:tab w:val="left" w:pos="6120"/>
        </w:tabs>
        <w:ind w:right="0"/>
        <w:rPr>
          <w:b/>
          <w:lang w:val="en-GB"/>
        </w:rPr>
      </w:pPr>
      <w:r w:rsidRPr="00FF1087">
        <w:rPr>
          <w:b/>
          <w:lang w:val="en-GB"/>
        </w:rPr>
        <w:lastRenderedPageBreak/>
        <w:t>Requests for environmental information – ar</w:t>
      </w:r>
      <w:r w:rsidR="00987478" w:rsidRPr="00FF1087">
        <w:rPr>
          <w:b/>
          <w:lang w:val="en-GB"/>
        </w:rPr>
        <w:t>ticle</w:t>
      </w:r>
      <w:r w:rsidRPr="00FF1087">
        <w:rPr>
          <w:b/>
          <w:lang w:val="en-GB"/>
        </w:rPr>
        <w:t xml:space="preserve"> 4 in conjunction with article</w:t>
      </w:r>
      <w:r w:rsidR="00987478" w:rsidRPr="00FF1087">
        <w:rPr>
          <w:b/>
          <w:lang w:val="en-GB"/>
        </w:rPr>
        <w:t xml:space="preserve"> </w:t>
      </w:r>
      <w:r w:rsidRPr="00FF1087">
        <w:rPr>
          <w:b/>
          <w:lang w:val="en-GB"/>
        </w:rPr>
        <w:t xml:space="preserve">2(3) </w:t>
      </w:r>
    </w:p>
    <w:p w14:paraId="2184CB8A" w14:textId="6791BB01" w:rsidR="00987478" w:rsidRPr="00FF1087" w:rsidRDefault="00A908CF" w:rsidP="001C3D04">
      <w:pPr>
        <w:numPr>
          <w:ilvl w:val="0"/>
          <w:numId w:val="3"/>
        </w:numPr>
        <w:tabs>
          <w:tab w:val="left" w:pos="1890"/>
        </w:tabs>
        <w:ind w:left="1134" w:firstLine="0"/>
        <w:jc w:val="both"/>
      </w:pPr>
      <w:r w:rsidRPr="00FF1087">
        <w:t xml:space="preserve">Mr. </w:t>
      </w:r>
      <w:r w:rsidR="008355A6" w:rsidRPr="00FF1087">
        <w:t xml:space="preserve">Caulfield received </w:t>
      </w:r>
      <w:r w:rsidR="00CC78BF" w:rsidRPr="00FF1087">
        <w:t>some</w:t>
      </w:r>
      <w:r w:rsidR="008355A6" w:rsidRPr="00FF1087">
        <w:t xml:space="preserve"> </w:t>
      </w:r>
      <w:r w:rsidR="001A3645" w:rsidRPr="00FF1087">
        <w:t xml:space="preserve">additional </w:t>
      </w:r>
      <w:r w:rsidR="008355A6" w:rsidRPr="00FF1087">
        <w:t xml:space="preserve">information </w:t>
      </w:r>
      <w:r w:rsidR="001A3645" w:rsidRPr="00FF1087">
        <w:t>as a result of</w:t>
      </w:r>
      <w:r w:rsidR="00A21F89" w:rsidRPr="00FF1087">
        <w:t xml:space="preserve"> his confirmatory application and </w:t>
      </w:r>
      <w:r w:rsidR="00C74C62" w:rsidRPr="00FF1087">
        <w:t xml:space="preserve">complaint to the </w:t>
      </w:r>
      <w:r w:rsidR="00A21F89" w:rsidRPr="00FF1087">
        <w:t>Ombudsman</w:t>
      </w:r>
      <w:r w:rsidR="006827D6" w:rsidRPr="00FF1087">
        <w:t xml:space="preserve"> but </w:t>
      </w:r>
      <w:r w:rsidR="00A108B0" w:rsidRPr="00FF1087">
        <w:t>parts</w:t>
      </w:r>
      <w:r w:rsidR="001A3645" w:rsidRPr="00FF1087">
        <w:t xml:space="preserve"> of the </w:t>
      </w:r>
      <w:r w:rsidR="00987478" w:rsidRPr="00FF1087">
        <w:t xml:space="preserve">eight questionnaires </w:t>
      </w:r>
      <w:r w:rsidR="00E83735" w:rsidRPr="00FF1087">
        <w:t>on</w:t>
      </w:r>
      <w:r w:rsidR="00987478" w:rsidRPr="00FF1087">
        <w:t xml:space="preserve"> Irish electricity projects</w:t>
      </w:r>
      <w:r w:rsidR="001A3645" w:rsidRPr="00FF1087">
        <w:t xml:space="preserve"> remained redacted</w:t>
      </w:r>
      <w:r w:rsidR="00987478" w:rsidRPr="00FF1087">
        <w:rPr>
          <w:rFonts w:ascii="Times" w:hAnsi="Times"/>
        </w:rPr>
        <w:t xml:space="preserve">. </w:t>
      </w:r>
      <w:r w:rsidR="00987478" w:rsidRPr="00FF1087">
        <w:t>Th</w:t>
      </w:r>
      <w:r w:rsidR="001A3645" w:rsidRPr="00FF1087">
        <w:t>is</w:t>
      </w:r>
      <w:r w:rsidR="00987478" w:rsidRPr="00FF1087">
        <w:t xml:space="preserve"> </w:t>
      </w:r>
      <w:r w:rsidR="008355A6" w:rsidRPr="00FF1087">
        <w:t>included</w:t>
      </w:r>
      <w:r w:rsidR="00987478" w:rsidRPr="00FF1087">
        <w:t xml:space="preserve"> </w:t>
      </w:r>
      <w:r w:rsidR="00A06258" w:rsidRPr="00FF1087">
        <w:t>the</w:t>
      </w:r>
      <w:r w:rsidR="00987478" w:rsidRPr="00FF1087">
        <w:t xml:space="preserve"> </w:t>
      </w:r>
      <w:r w:rsidR="00A469D3" w:rsidRPr="00FF1087">
        <w:t>developer</w:t>
      </w:r>
      <w:r w:rsidR="008355A6" w:rsidRPr="00FF1087">
        <w:t xml:space="preserve">s’ </w:t>
      </w:r>
      <w:r w:rsidR="00987478" w:rsidRPr="00FF1087">
        <w:t xml:space="preserve">personal data, </w:t>
      </w:r>
      <w:r w:rsidR="00A06258" w:rsidRPr="00FF1087">
        <w:t xml:space="preserve">the </w:t>
      </w:r>
      <w:r w:rsidR="00987478" w:rsidRPr="00FF1087">
        <w:t xml:space="preserve">level of access to funding and estimated capital costs, the cost per unit power and the energy storage cost, information about possible subsequent </w:t>
      </w:r>
      <w:r w:rsidR="001D1FB8" w:rsidRPr="00FF1087">
        <w:t xml:space="preserve">project </w:t>
      </w:r>
      <w:r w:rsidR="00987478" w:rsidRPr="00FF1087">
        <w:t>phases, follow-up actions and the type of resources to be invested</w:t>
      </w:r>
      <w:r w:rsidR="00B52018" w:rsidRPr="00FF1087">
        <w:t>,</w:t>
      </w:r>
      <w:r w:rsidR="009100B6" w:rsidRPr="00FF1087">
        <w:t xml:space="preserve"> and</w:t>
      </w:r>
      <w:r w:rsidR="00987478" w:rsidRPr="00FF1087">
        <w:t xml:space="preserve"> a summary of the ownership of shares </w:t>
      </w:r>
      <w:r w:rsidR="00E64005" w:rsidRPr="00FF1087">
        <w:t xml:space="preserve">in </w:t>
      </w:r>
      <w:r w:rsidR="00987478" w:rsidRPr="00FF1087">
        <w:t xml:space="preserve">one of the </w:t>
      </w:r>
      <w:r w:rsidR="00E64005" w:rsidRPr="00FF1087">
        <w:t>projects</w:t>
      </w:r>
      <w:r w:rsidR="00987478" w:rsidRPr="00FF1087">
        <w:t xml:space="preserve">. </w:t>
      </w:r>
      <w:r w:rsidR="00936CED" w:rsidRPr="00FF1087">
        <w:t>The parties do not dispute that the requested information was environmental information within the meaning of article 2(3) of the Convention.</w:t>
      </w:r>
      <w:r w:rsidR="00432A2D" w:rsidRPr="00FF1087">
        <w:t xml:space="preserve"> </w:t>
      </w:r>
      <w:r w:rsidR="005D1D1C" w:rsidRPr="00FF1087">
        <w:t>Thus, the</w:t>
      </w:r>
      <w:r w:rsidR="00432A2D" w:rsidRPr="00FF1087">
        <w:t xml:space="preserve"> requested information </w:t>
      </w:r>
      <w:r w:rsidR="005D1D1C" w:rsidRPr="00FF1087">
        <w:t xml:space="preserve">had </w:t>
      </w:r>
      <w:r w:rsidR="00432A2D" w:rsidRPr="00FF1087">
        <w:t>to be disclosed</w:t>
      </w:r>
      <w:r w:rsidR="005D1D1C" w:rsidRPr="00FF1087">
        <w:t>,</w:t>
      </w:r>
      <w:r w:rsidR="00432A2D" w:rsidRPr="00FF1087">
        <w:t xml:space="preserve"> unless it could be validly withheld under one of article 4’s stated exceptions</w:t>
      </w:r>
      <w:r w:rsidR="00A829EA" w:rsidRPr="00FF1087">
        <w:t>, as examined below</w:t>
      </w:r>
      <w:r w:rsidR="00432A2D" w:rsidRPr="00FF1087">
        <w:t>.</w:t>
      </w:r>
    </w:p>
    <w:p w14:paraId="7E81350F" w14:textId="77777777" w:rsidR="00780A4A" w:rsidRPr="00FF1087" w:rsidRDefault="00780A4A" w:rsidP="001C3D04">
      <w:pPr>
        <w:pStyle w:val="ListParagraph"/>
        <w:tabs>
          <w:tab w:val="left" w:pos="1890"/>
        </w:tabs>
        <w:jc w:val="both"/>
      </w:pPr>
    </w:p>
    <w:p w14:paraId="5D2AC7D5" w14:textId="4FA671BE" w:rsidR="00133EFB" w:rsidRPr="00FF1087" w:rsidRDefault="00432A2D">
      <w:pPr>
        <w:tabs>
          <w:tab w:val="left" w:pos="6120"/>
        </w:tabs>
        <w:ind w:left="1134"/>
        <w:jc w:val="both"/>
        <w:rPr>
          <w:b/>
        </w:rPr>
      </w:pPr>
      <w:r w:rsidRPr="00FF1087">
        <w:rPr>
          <w:b/>
        </w:rPr>
        <w:t>Exceptions from disclosure – a</w:t>
      </w:r>
      <w:r w:rsidR="00133EFB" w:rsidRPr="00FF1087">
        <w:rPr>
          <w:b/>
        </w:rPr>
        <w:t>rticle 4</w:t>
      </w:r>
      <w:r w:rsidR="00B1124E" w:rsidRPr="00FF1087">
        <w:rPr>
          <w:b/>
        </w:rPr>
        <w:t>(</w:t>
      </w:r>
      <w:r w:rsidR="00133EFB" w:rsidRPr="00FF1087">
        <w:rPr>
          <w:b/>
        </w:rPr>
        <w:t>4</w:t>
      </w:r>
      <w:r w:rsidR="00B1124E" w:rsidRPr="00FF1087">
        <w:rPr>
          <w:b/>
        </w:rPr>
        <w:t>)</w:t>
      </w:r>
    </w:p>
    <w:p w14:paraId="5049FA20" w14:textId="410D85B3" w:rsidR="00B76EE9" w:rsidRPr="00FF1087" w:rsidRDefault="00B76EE9" w:rsidP="0007212F">
      <w:pPr>
        <w:tabs>
          <w:tab w:val="left" w:pos="6120"/>
        </w:tabs>
        <w:jc w:val="both"/>
        <w:rPr>
          <w:b/>
        </w:rPr>
      </w:pPr>
    </w:p>
    <w:p w14:paraId="3ECF0955" w14:textId="0876E9A3" w:rsidR="00B76EE9" w:rsidRPr="00FF1087" w:rsidRDefault="00B76EE9" w:rsidP="00702A72">
      <w:pPr>
        <w:tabs>
          <w:tab w:val="left" w:pos="6120"/>
        </w:tabs>
        <w:ind w:left="1134"/>
        <w:jc w:val="both"/>
        <w:rPr>
          <w:i/>
        </w:rPr>
      </w:pPr>
      <w:r w:rsidRPr="00FF1087">
        <w:rPr>
          <w:bCs/>
          <w:i/>
          <w:iCs/>
        </w:rPr>
        <w:t>Commercial confidentiality – article</w:t>
      </w:r>
      <w:r w:rsidRPr="00FF1087">
        <w:rPr>
          <w:i/>
        </w:rPr>
        <w:t xml:space="preserve"> 4(4)(d)</w:t>
      </w:r>
    </w:p>
    <w:p w14:paraId="4D411ED4" w14:textId="77777777" w:rsidR="00133EFB" w:rsidRPr="00FF1087" w:rsidRDefault="00133EFB" w:rsidP="001C3D04">
      <w:pPr>
        <w:pStyle w:val="ListParagraph"/>
        <w:tabs>
          <w:tab w:val="left" w:pos="6120"/>
        </w:tabs>
        <w:jc w:val="both"/>
      </w:pPr>
    </w:p>
    <w:p w14:paraId="56488CCC" w14:textId="26FF856D" w:rsidR="00987478" w:rsidRPr="00FF1087" w:rsidRDefault="00D73E96" w:rsidP="001C3D04">
      <w:pPr>
        <w:numPr>
          <w:ilvl w:val="0"/>
          <w:numId w:val="3"/>
        </w:numPr>
        <w:tabs>
          <w:tab w:val="left" w:pos="1980"/>
        </w:tabs>
        <w:spacing w:after="120"/>
        <w:ind w:left="1134" w:firstLine="0"/>
        <w:jc w:val="both"/>
      </w:pPr>
      <w:r w:rsidRPr="00FF1087">
        <w:t xml:space="preserve">The Commission withheld three </w:t>
      </w:r>
      <w:r w:rsidR="00B76EE9" w:rsidRPr="00FF1087">
        <w:t xml:space="preserve">types </w:t>
      </w:r>
      <w:r w:rsidRPr="00FF1087">
        <w:t xml:space="preserve">of </w:t>
      </w:r>
      <w:r w:rsidR="005E577E" w:rsidRPr="00FF1087">
        <w:t xml:space="preserve">“commercially confidential” </w:t>
      </w:r>
      <w:r w:rsidRPr="00FF1087">
        <w:t>information</w:t>
      </w:r>
      <w:r w:rsidR="00C74C62" w:rsidRPr="00FF1087">
        <w:t>:</w:t>
      </w:r>
      <w:r w:rsidRPr="00FF1087">
        <w:t xml:space="preserve"> (a)</w:t>
      </w:r>
      <w:r w:rsidR="00987478" w:rsidRPr="00FF1087">
        <w:t xml:space="preserve"> </w:t>
      </w:r>
      <w:r w:rsidRPr="00FF1087">
        <w:t>the</w:t>
      </w:r>
      <w:r w:rsidR="00987478" w:rsidRPr="00FF1087">
        <w:t xml:space="preserve"> level of access to funding and estimated capital costs, the cost per unit power and the energy storage cost, </w:t>
      </w:r>
      <w:r w:rsidRPr="00FF1087">
        <w:t xml:space="preserve">including a related brief explanation, (b) </w:t>
      </w:r>
      <w:r w:rsidR="00987478" w:rsidRPr="00FF1087">
        <w:t xml:space="preserve">information about possible subsequent </w:t>
      </w:r>
      <w:r w:rsidR="00500ED0" w:rsidRPr="00FF1087">
        <w:t>project phases</w:t>
      </w:r>
      <w:r w:rsidR="00987478" w:rsidRPr="00FF1087">
        <w:t>, follow-up actions and the type of resources to be invested</w:t>
      </w:r>
      <w:r w:rsidR="00C74C62" w:rsidRPr="00FF1087">
        <w:t>,</w:t>
      </w:r>
      <w:r w:rsidRPr="00FF1087">
        <w:t xml:space="preserve"> and (c)</w:t>
      </w:r>
      <w:r w:rsidR="00987478" w:rsidRPr="00FF1087">
        <w:t xml:space="preserve"> a summary of the ownership of shares </w:t>
      </w:r>
      <w:r w:rsidR="00E64005" w:rsidRPr="00FF1087">
        <w:t xml:space="preserve">in </w:t>
      </w:r>
      <w:r w:rsidR="00987478" w:rsidRPr="00FF1087">
        <w:t xml:space="preserve">one of the </w:t>
      </w:r>
      <w:r w:rsidR="00E64005" w:rsidRPr="00FF1087">
        <w:t>projects</w:t>
      </w:r>
      <w:r w:rsidRPr="00FF1087">
        <w:t>.</w:t>
      </w:r>
    </w:p>
    <w:p w14:paraId="384E4986" w14:textId="2AA16DA6" w:rsidR="006A3A58" w:rsidRPr="00FF1087" w:rsidRDefault="006A3A58" w:rsidP="00551BBC">
      <w:pPr>
        <w:numPr>
          <w:ilvl w:val="0"/>
          <w:numId w:val="3"/>
        </w:numPr>
        <w:tabs>
          <w:tab w:val="left" w:pos="1980"/>
        </w:tabs>
        <w:ind w:left="1134" w:firstLine="0"/>
        <w:jc w:val="both"/>
      </w:pPr>
      <w:r w:rsidRPr="00FF1087">
        <w:t xml:space="preserve">The Party concerned </w:t>
      </w:r>
      <w:r w:rsidR="005D1D1C" w:rsidRPr="00FF1087">
        <w:t xml:space="preserve">justifies </w:t>
      </w:r>
      <w:r w:rsidR="005E577E" w:rsidRPr="00FF1087">
        <w:t xml:space="preserve">its </w:t>
      </w:r>
      <w:r w:rsidRPr="00FF1087">
        <w:t xml:space="preserve">categorization </w:t>
      </w:r>
      <w:r w:rsidR="005E577E" w:rsidRPr="00FF1087">
        <w:t xml:space="preserve">of </w:t>
      </w:r>
      <w:r w:rsidR="00330F35" w:rsidRPr="00FF1087">
        <w:t>the above information</w:t>
      </w:r>
      <w:r w:rsidRPr="00FF1087">
        <w:t xml:space="preserve"> </w:t>
      </w:r>
      <w:r w:rsidR="003522C4" w:rsidRPr="00FF1087">
        <w:t xml:space="preserve">as commercially confidential </w:t>
      </w:r>
      <w:r w:rsidRPr="00FF1087">
        <w:t xml:space="preserve">chiefly </w:t>
      </w:r>
      <w:r w:rsidR="0036444A" w:rsidRPr="00FF1087">
        <w:t>by</w:t>
      </w:r>
      <w:r w:rsidR="00C74C62" w:rsidRPr="00FF1087">
        <w:t xml:space="preserve"> </w:t>
      </w:r>
      <w:r w:rsidRPr="00FF1087">
        <w:t>economic impact</w:t>
      </w:r>
      <w:r w:rsidR="005E577E" w:rsidRPr="00FF1087">
        <w:t xml:space="preserve">. The Committee concurs that such information </w:t>
      </w:r>
      <w:r w:rsidR="003522C4" w:rsidRPr="00FF1087">
        <w:t>may</w:t>
      </w:r>
      <w:r w:rsidR="005E577E" w:rsidRPr="00FF1087">
        <w:t xml:space="preserve"> </w:t>
      </w:r>
      <w:r w:rsidRPr="00FF1087">
        <w:t>be characterized as commercial information</w:t>
      </w:r>
      <w:r w:rsidR="0005268F" w:rsidRPr="00FF1087">
        <w:t xml:space="preserve"> under article 4</w:t>
      </w:r>
      <w:r w:rsidR="00B1124E" w:rsidRPr="00FF1087">
        <w:t>(</w:t>
      </w:r>
      <w:r w:rsidR="0005268F" w:rsidRPr="00FF1087">
        <w:t>4</w:t>
      </w:r>
      <w:r w:rsidR="00B1124E" w:rsidRPr="00FF1087">
        <w:t>)</w:t>
      </w:r>
      <w:r w:rsidR="0005268F" w:rsidRPr="00FF1087">
        <w:t xml:space="preserve">(d) of the Convention. However, </w:t>
      </w:r>
      <w:r w:rsidR="00AE18EA" w:rsidRPr="00FF1087">
        <w:t xml:space="preserve">withholding </w:t>
      </w:r>
      <w:r w:rsidR="007F4A85" w:rsidRPr="00FF1087">
        <w:t xml:space="preserve">commercial </w:t>
      </w:r>
      <w:r w:rsidR="00AE18EA" w:rsidRPr="00FF1087">
        <w:t xml:space="preserve">information </w:t>
      </w:r>
      <w:r w:rsidR="007F4A85" w:rsidRPr="00FF1087">
        <w:t xml:space="preserve">under </w:t>
      </w:r>
      <w:r w:rsidR="00300267" w:rsidRPr="00FF1087">
        <w:t>this provision</w:t>
      </w:r>
      <w:r w:rsidR="00B76EE9" w:rsidRPr="00FF1087">
        <w:t xml:space="preserve"> also</w:t>
      </w:r>
      <w:r w:rsidR="007F4A85" w:rsidRPr="00FF1087">
        <w:t xml:space="preserve"> </w:t>
      </w:r>
      <w:r w:rsidR="00300267" w:rsidRPr="00FF1087">
        <w:t>requires</w:t>
      </w:r>
      <w:r w:rsidR="007F4A85" w:rsidRPr="00FF1087">
        <w:t xml:space="preserve"> </w:t>
      </w:r>
      <w:r w:rsidR="00B76EE9" w:rsidRPr="00FF1087">
        <w:t xml:space="preserve">that </w:t>
      </w:r>
      <w:r w:rsidR="007F4A85" w:rsidRPr="00FF1087">
        <w:t xml:space="preserve">the confidentiality of the information </w:t>
      </w:r>
      <w:r w:rsidR="00300267" w:rsidRPr="00FF1087">
        <w:t>is</w:t>
      </w:r>
      <w:r w:rsidR="007F4A85" w:rsidRPr="00FF1087">
        <w:t xml:space="preserve"> protected by law</w:t>
      </w:r>
      <w:r w:rsidR="00E83735" w:rsidRPr="00FF1087">
        <w:t>;</w:t>
      </w:r>
      <w:r w:rsidR="007F4A85" w:rsidRPr="00FF1087">
        <w:t xml:space="preserve"> and </w:t>
      </w:r>
      <w:proofErr w:type="gramStart"/>
      <w:r w:rsidR="00613682" w:rsidRPr="00FF1087">
        <w:t>moreover</w:t>
      </w:r>
      <w:proofErr w:type="gramEnd"/>
      <w:r w:rsidR="00B76EE9" w:rsidRPr="00FF1087">
        <w:t xml:space="preserve"> </w:t>
      </w:r>
      <w:r w:rsidR="00300267" w:rsidRPr="00FF1087">
        <w:t>that</w:t>
      </w:r>
      <w:r w:rsidR="003F3E12" w:rsidRPr="00FF1087">
        <w:t xml:space="preserve"> </w:t>
      </w:r>
      <w:r w:rsidR="0005268F" w:rsidRPr="00FF1087">
        <w:t xml:space="preserve">this ground for refusal </w:t>
      </w:r>
      <w:r w:rsidR="00B76EE9" w:rsidRPr="00FF1087">
        <w:t xml:space="preserve">is </w:t>
      </w:r>
      <w:r w:rsidR="00514113" w:rsidRPr="00FF1087">
        <w:t>“</w:t>
      </w:r>
      <w:r w:rsidR="0005268F" w:rsidRPr="00FF1087">
        <w:t>interpreted in a restrictive way, taking into account the public interest served by disclosure and taking into account whether the information requested relates to emissions into the environment</w:t>
      </w:r>
      <w:r w:rsidR="003522C4" w:rsidRPr="00FF1087">
        <w:t>”.</w:t>
      </w:r>
    </w:p>
    <w:p w14:paraId="2E67643C" w14:textId="77777777" w:rsidR="00987478" w:rsidRPr="00FF1087" w:rsidRDefault="00987478" w:rsidP="001C3D04">
      <w:pPr>
        <w:tabs>
          <w:tab w:val="left" w:pos="1980"/>
        </w:tabs>
        <w:ind w:left="1134"/>
        <w:jc w:val="both"/>
      </w:pPr>
    </w:p>
    <w:p w14:paraId="05388202" w14:textId="44EDDDEE" w:rsidR="00987478" w:rsidRPr="00FF1087" w:rsidRDefault="0036444A" w:rsidP="001478E7">
      <w:pPr>
        <w:pStyle w:val="SingleTxtG"/>
        <w:numPr>
          <w:ilvl w:val="0"/>
          <w:numId w:val="3"/>
        </w:numPr>
        <w:tabs>
          <w:tab w:val="left" w:pos="1843"/>
          <w:tab w:val="left" w:pos="6120"/>
        </w:tabs>
        <w:ind w:left="1134" w:right="0" w:firstLine="0"/>
        <w:rPr>
          <w:i/>
          <w:lang w:val="en-GB"/>
        </w:rPr>
      </w:pPr>
      <w:bookmarkStart w:id="29" w:name="_Ref19650779"/>
      <w:r w:rsidRPr="00FF1087">
        <w:rPr>
          <w:lang w:val="en-GB"/>
        </w:rPr>
        <w:t xml:space="preserve">The first </w:t>
      </w:r>
      <w:r w:rsidR="003522C4" w:rsidRPr="00FF1087">
        <w:rPr>
          <w:lang w:val="en-GB"/>
        </w:rPr>
        <w:t>condition</w:t>
      </w:r>
      <w:r w:rsidRPr="00FF1087">
        <w:rPr>
          <w:lang w:val="en-GB"/>
        </w:rPr>
        <w:t xml:space="preserve"> is met, </w:t>
      </w:r>
      <w:r w:rsidR="003522C4" w:rsidRPr="00FF1087">
        <w:rPr>
          <w:lang w:val="en-GB"/>
        </w:rPr>
        <w:t>since</w:t>
      </w:r>
      <w:r w:rsidRPr="00FF1087">
        <w:rPr>
          <w:lang w:val="en-GB"/>
        </w:rPr>
        <w:t xml:space="preserve"> a</w:t>
      </w:r>
      <w:r w:rsidR="00AC4C2F" w:rsidRPr="00FF1087">
        <w:rPr>
          <w:lang w:val="en-GB"/>
        </w:rPr>
        <w:t>rticle 4</w:t>
      </w:r>
      <w:r w:rsidR="00B1124E" w:rsidRPr="00FF1087">
        <w:rPr>
          <w:lang w:val="en-GB"/>
        </w:rPr>
        <w:t>(</w:t>
      </w:r>
      <w:r w:rsidR="00AC4C2F" w:rsidRPr="00FF1087">
        <w:rPr>
          <w:lang w:val="en-GB"/>
        </w:rPr>
        <w:t>2</w:t>
      </w:r>
      <w:r w:rsidR="00B1124E" w:rsidRPr="00FF1087">
        <w:rPr>
          <w:lang w:val="en-GB"/>
        </w:rPr>
        <w:t>)</w:t>
      </w:r>
      <w:r w:rsidR="00AC4C2F" w:rsidRPr="00FF1087">
        <w:rPr>
          <w:lang w:val="en-GB"/>
        </w:rPr>
        <w:t xml:space="preserve">, first indent, of Regulation 1049/2001 </w:t>
      </w:r>
      <w:r w:rsidR="00FB78EB" w:rsidRPr="00FF1087">
        <w:rPr>
          <w:lang w:val="en-GB"/>
        </w:rPr>
        <w:t xml:space="preserve">provides an exemption for </w:t>
      </w:r>
      <w:r w:rsidR="00AC4C2F" w:rsidRPr="00FF1087">
        <w:rPr>
          <w:lang w:val="en-GB"/>
        </w:rPr>
        <w:t xml:space="preserve">commercial information. </w:t>
      </w:r>
      <w:r w:rsidR="00660A66" w:rsidRPr="00FF1087">
        <w:rPr>
          <w:lang w:val="en-GB"/>
        </w:rPr>
        <w:t>The Committee considers that c</w:t>
      </w:r>
      <w:r w:rsidR="003C2511" w:rsidRPr="00FF1087">
        <w:rPr>
          <w:lang w:val="en-GB"/>
        </w:rPr>
        <w:t>ontext is an important factor in</w:t>
      </w:r>
      <w:r w:rsidRPr="00FF1087">
        <w:rPr>
          <w:lang w:val="en-GB"/>
        </w:rPr>
        <w:t xml:space="preserve"> </w:t>
      </w:r>
      <w:r w:rsidR="00E60705" w:rsidRPr="00FF1087">
        <w:rPr>
          <w:lang w:val="en-GB"/>
        </w:rPr>
        <w:t>evaluating</w:t>
      </w:r>
      <w:r w:rsidRPr="00FF1087">
        <w:rPr>
          <w:lang w:val="en-GB"/>
        </w:rPr>
        <w:t xml:space="preserve"> </w:t>
      </w:r>
      <w:r w:rsidR="005F040B" w:rsidRPr="00FF1087">
        <w:rPr>
          <w:lang w:val="en-GB"/>
        </w:rPr>
        <w:t xml:space="preserve">the second </w:t>
      </w:r>
      <w:r w:rsidR="003522C4" w:rsidRPr="00FF1087">
        <w:rPr>
          <w:lang w:val="en-GB"/>
        </w:rPr>
        <w:t>condition</w:t>
      </w:r>
      <w:r w:rsidR="00660A66" w:rsidRPr="00FF1087">
        <w:rPr>
          <w:lang w:val="en-GB"/>
        </w:rPr>
        <w:t xml:space="preserve"> and</w:t>
      </w:r>
      <w:r w:rsidR="00F074F6" w:rsidRPr="00FF1087">
        <w:rPr>
          <w:lang w:val="en-GB"/>
        </w:rPr>
        <w:t xml:space="preserve"> that</w:t>
      </w:r>
      <w:r w:rsidR="00271A23" w:rsidRPr="00FF1087">
        <w:rPr>
          <w:lang w:val="en-GB"/>
        </w:rPr>
        <w:t xml:space="preserve">, as stated in </w:t>
      </w:r>
      <w:r w:rsidR="00F074F6" w:rsidRPr="00FF1087">
        <w:rPr>
          <w:lang w:val="en-GB"/>
        </w:rPr>
        <w:t>the Committee’s findings on communication ACCC/C/2007/21 (European Community),</w:t>
      </w:r>
      <w:r w:rsidR="00660A66" w:rsidRPr="00FF1087">
        <w:rPr>
          <w:lang w:val="en-GB"/>
        </w:rPr>
        <w:t xml:space="preserve"> </w:t>
      </w:r>
      <w:r w:rsidR="00AC187D" w:rsidRPr="00FF1087">
        <w:rPr>
          <w:lang w:val="en-GB"/>
        </w:rPr>
        <w:t>“in situations where there is a significant public interest in disclosure of certain environmental information and a relatively small amount of harm to the interests involved, the Convention would require disclosure.”</w:t>
      </w:r>
      <w:r w:rsidR="007F4A85" w:rsidRPr="0007212F">
        <w:rPr>
          <w:rStyle w:val="FootnoteReference"/>
          <w:lang w:val="en-GB"/>
        </w:rPr>
        <w:footnoteReference w:id="91"/>
      </w:r>
      <w:r w:rsidR="00F63339" w:rsidRPr="00FF1087">
        <w:rPr>
          <w:rStyle w:val="FootnoteReference"/>
          <w:sz w:val="20"/>
          <w:lang w:val="en-GB"/>
        </w:rPr>
        <w:t xml:space="preserve"> </w:t>
      </w:r>
      <w:r w:rsidR="008B3C90" w:rsidRPr="00FF1087">
        <w:rPr>
          <w:lang w:val="en-GB"/>
        </w:rPr>
        <w:t>The C</w:t>
      </w:r>
      <w:r w:rsidR="00AC4C2F" w:rsidRPr="00FF1087">
        <w:rPr>
          <w:lang w:val="en-GB"/>
        </w:rPr>
        <w:t xml:space="preserve">ommission </w:t>
      </w:r>
      <w:r w:rsidR="00C0657C" w:rsidRPr="00FF1087">
        <w:rPr>
          <w:lang w:val="en-GB"/>
        </w:rPr>
        <w:t xml:space="preserve">acknowledged </w:t>
      </w:r>
      <w:r w:rsidR="00253C7A" w:rsidRPr="00FF1087">
        <w:rPr>
          <w:lang w:val="en-GB"/>
        </w:rPr>
        <w:t>to the Ombudsman</w:t>
      </w:r>
      <w:r w:rsidR="00AC4C2F" w:rsidRPr="00FF1087">
        <w:rPr>
          <w:lang w:val="en-GB"/>
        </w:rPr>
        <w:t xml:space="preserve"> it had not provided information on how the public interest had been taken into account in its replies to the request and </w:t>
      </w:r>
      <w:r w:rsidR="00CE543E" w:rsidRPr="00FF1087">
        <w:rPr>
          <w:lang w:val="en-GB"/>
        </w:rPr>
        <w:t>confirmatory</w:t>
      </w:r>
      <w:r w:rsidR="00AC4C2F" w:rsidRPr="00FF1087">
        <w:rPr>
          <w:lang w:val="en-GB"/>
        </w:rPr>
        <w:t xml:space="preserve"> application.</w:t>
      </w:r>
      <w:r w:rsidR="00AC4C2F" w:rsidRPr="00FF1087">
        <w:rPr>
          <w:rStyle w:val="FootnoteReference"/>
          <w:lang w:val="en-GB"/>
        </w:rPr>
        <w:footnoteReference w:id="92"/>
      </w:r>
      <w:r w:rsidR="00AC4C2F" w:rsidRPr="00FF1087">
        <w:rPr>
          <w:lang w:val="en-GB"/>
        </w:rPr>
        <w:t xml:space="preserve"> </w:t>
      </w:r>
      <w:r w:rsidR="00253C7A" w:rsidRPr="00FF1087">
        <w:rPr>
          <w:lang w:val="en-GB"/>
        </w:rPr>
        <w:t xml:space="preserve">However, </w:t>
      </w:r>
      <w:r w:rsidR="003522C4" w:rsidRPr="00FF1087">
        <w:rPr>
          <w:lang w:val="en-GB"/>
        </w:rPr>
        <w:t xml:space="preserve">while deciding that certain information should nonetheless be withheld, </w:t>
      </w:r>
      <w:r w:rsidR="005F040B" w:rsidRPr="00FF1087">
        <w:rPr>
          <w:lang w:val="en-GB"/>
        </w:rPr>
        <w:t>it</w:t>
      </w:r>
      <w:r w:rsidR="00552F49" w:rsidRPr="00FF1087">
        <w:rPr>
          <w:lang w:val="en-GB"/>
        </w:rPr>
        <w:t>s reply to the Ombudsman demonstrates that it</w:t>
      </w:r>
      <w:r w:rsidR="002B5210" w:rsidRPr="00FF1087">
        <w:rPr>
          <w:lang w:val="en-GB"/>
        </w:rPr>
        <w:t xml:space="preserve"> consider</w:t>
      </w:r>
      <w:r w:rsidR="008D73B5" w:rsidRPr="00FF1087">
        <w:rPr>
          <w:lang w:val="en-GB"/>
        </w:rPr>
        <w:t>ed</w:t>
      </w:r>
      <w:r w:rsidR="002B5210" w:rsidRPr="00FF1087">
        <w:rPr>
          <w:lang w:val="en-GB"/>
        </w:rPr>
        <w:t xml:space="preserve"> the publ</w:t>
      </w:r>
      <w:r w:rsidR="00FB78EB" w:rsidRPr="00FF1087">
        <w:rPr>
          <w:lang w:val="en-GB"/>
        </w:rPr>
        <w:t>i</w:t>
      </w:r>
      <w:r w:rsidR="002B5210" w:rsidRPr="00FF1087">
        <w:rPr>
          <w:lang w:val="en-GB"/>
        </w:rPr>
        <w:t>c interest in disclosure</w:t>
      </w:r>
      <w:r w:rsidR="00253C7A" w:rsidRPr="00FF1087">
        <w:rPr>
          <w:lang w:val="en-GB"/>
        </w:rPr>
        <w:t xml:space="preserve"> as part of the friendly settlement in the Ombudsman proceedings.</w:t>
      </w:r>
      <w:r w:rsidR="002B5210" w:rsidRPr="00FF1087">
        <w:rPr>
          <w:rStyle w:val="FootnoteReference"/>
          <w:lang w:val="en-GB"/>
        </w:rPr>
        <w:footnoteReference w:id="93"/>
      </w:r>
      <w:r w:rsidR="00253C7A" w:rsidRPr="00FF1087">
        <w:rPr>
          <w:lang w:val="en-GB"/>
        </w:rPr>
        <w:t xml:space="preserve"> </w:t>
      </w:r>
      <w:r w:rsidR="003522C4" w:rsidRPr="00FF1087">
        <w:rPr>
          <w:lang w:val="en-GB"/>
        </w:rPr>
        <w:t>T</w:t>
      </w:r>
      <w:r w:rsidR="00514113" w:rsidRPr="00FF1087">
        <w:rPr>
          <w:lang w:val="en-GB"/>
        </w:rPr>
        <w:t>he Committee</w:t>
      </w:r>
      <w:r w:rsidR="00552F49" w:rsidRPr="00FF1087">
        <w:rPr>
          <w:lang w:val="en-GB"/>
        </w:rPr>
        <w:t xml:space="preserve"> accordingly finds that the Party concerned indeed took into account </w:t>
      </w:r>
      <w:r w:rsidR="00FB78EB" w:rsidRPr="00FF1087">
        <w:rPr>
          <w:lang w:val="en-GB"/>
        </w:rPr>
        <w:t>the public interest in disclosure</w:t>
      </w:r>
      <w:r w:rsidR="00552F49" w:rsidRPr="00FF1087">
        <w:rPr>
          <w:lang w:val="en-GB"/>
        </w:rPr>
        <w:t xml:space="preserve"> </w:t>
      </w:r>
      <w:r w:rsidR="003C5C3E" w:rsidRPr="00FF1087">
        <w:rPr>
          <w:lang w:val="en-GB"/>
        </w:rPr>
        <w:t xml:space="preserve">in its final decision on the disclosure of the requested information </w:t>
      </w:r>
      <w:r w:rsidR="00552F49" w:rsidRPr="00FF1087">
        <w:rPr>
          <w:lang w:val="en-GB"/>
        </w:rPr>
        <w:t xml:space="preserve">and </w:t>
      </w:r>
      <w:r w:rsidR="003C5C3E" w:rsidRPr="00FF1087">
        <w:rPr>
          <w:lang w:val="en-GB"/>
        </w:rPr>
        <w:t xml:space="preserve">it </w:t>
      </w:r>
      <w:r w:rsidR="00552F49" w:rsidRPr="00FF1087">
        <w:rPr>
          <w:lang w:val="en-GB"/>
        </w:rPr>
        <w:t xml:space="preserve">is thus </w:t>
      </w:r>
      <w:r w:rsidR="005F040B" w:rsidRPr="00FF1087">
        <w:rPr>
          <w:lang w:val="en-GB"/>
        </w:rPr>
        <w:t>not</w:t>
      </w:r>
      <w:r w:rsidR="00253C7A" w:rsidRPr="00FF1087">
        <w:rPr>
          <w:lang w:val="en-GB"/>
        </w:rPr>
        <w:t xml:space="preserve"> in non-compliance with article 4</w:t>
      </w:r>
      <w:r w:rsidR="00B1124E" w:rsidRPr="00FF1087">
        <w:rPr>
          <w:lang w:val="en-GB"/>
        </w:rPr>
        <w:t>(</w:t>
      </w:r>
      <w:r w:rsidR="005F040B" w:rsidRPr="00FF1087">
        <w:rPr>
          <w:lang w:val="en-GB"/>
        </w:rPr>
        <w:t>4</w:t>
      </w:r>
      <w:r w:rsidR="00B1124E" w:rsidRPr="00FF1087">
        <w:rPr>
          <w:lang w:val="en-GB"/>
        </w:rPr>
        <w:t>)</w:t>
      </w:r>
      <w:r w:rsidR="00253C7A" w:rsidRPr="00FF1087">
        <w:rPr>
          <w:lang w:val="en-GB"/>
        </w:rPr>
        <w:t>(</w:t>
      </w:r>
      <w:r w:rsidR="005F040B" w:rsidRPr="00FF1087">
        <w:rPr>
          <w:lang w:val="en-GB"/>
        </w:rPr>
        <w:t>d</w:t>
      </w:r>
      <w:r w:rsidR="00253C7A" w:rsidRPr="00FF1087">
        <w:rPr>
          <w:lang w:val="en-GB"/>
        </w:rPr>
        <w:t>) of the Convention</w:t>
      </w:r>
      <w:r w:rsidR="00C0657C" w:rsidRPr="00FF1087">
        <w:rPr>
          <w:lang w:val="en-GB"/>
        </w:rPr>
        <w:t>.</w:t>
      </w:r>
      <w:bookmarkEnd w:id="29"/>
      <w:r w:rsidR="00035456" w:rsidRPr="00FF1087">
        <w:rPr>
          <w:lang w:val="en-GB"/>
        </w:rPr>
        <w:t xml:space="preserve"> </w:t>
      </w:r>
      <w:r w:rsidR="00A46BBE" w:rsidRPr="00FF1087">
        <w:rPr>
          <w:lang w:val="en-GB"/>
        </w:rPr>
        <w:t xml:space="preserve"> </w:t>
      </w:r>
    </w:p>
    <w:p w14:paraId="598A5BF5" w14:textId="77777777" w:rsidR="001932D9" w:rsidRDefault="001932D9" w:rsidP="00702A72">
      <w:pPr>
        <w:tabs>
          <w:tab w:val="left" w:pos="6120"/>
        </w:tabs>
        <w:ind w:left="1134"/>
        <w:jc w:val="both"/>
        <w:rPr>
          <w:bCs/>
          <w:i/>
          <w:iCs/>
        </w:rPr>
      </w:pPr>
    </w:p>
    <w:p w14:paraId="3283CEEE" w14:textId="77777777" w:rsidR="001932D9" w:rsidRDefault="001932D9" w:rsidP="00702A72">
      <w:pPr>
        <w:tabs>
          <w:tab w:val="left" w:pos="6120"/>
        </w:tabs>
        <w:ind w:left="1134"/>
        <w:jc w:val="both"/>
        <w:rPr>
          <w:bCs/>
          <w:i/>
          <w:iCs/>
        </w:rPr>
      </w:pPr>
    </w:p>
    <w:p w14:paraId="2D5940BA" w14:textId="2BF6B4D3" w:rsidR="00133EFB" w:rsidRPr="00FF1087" w:rsidRDefault="00B76EE9" w:rsidP="00702A72">
      <w:pPr>
        <w:tabs>
          <w:tab w:val="left" w:pos="6120"/>
        </w:tabs>
        <w:ind w:left="1134"/>
        <w:jc w:val="both"/>
        <w:rPr>
          <w:i/>
        </w:rPr>
      </w:pPr>
      <w:r w:rsidRPr="00FF1087">
        <w:rPr>
          <w:bCs/>
          <w:i/>
          <w:iCs/>
        </w:rPr>
        <w:lastRenderedPageBreak/>
        <w:t>Personal data – a</w:t>
      </w:r>
      <w:r w:rsidR="00133EFB" w:rsidRPr="00FF1087">
        <w:rPr>
          <w:bCs/>
          <w:i/>
          <w:iCs/>
        </w:rPr>
        <w:t>rticle</w:t>
      </w:r>
      <w:r w:rsidR="00133EFB" w:rsidRPr="00FF1087">
        <w:rPr>
          <w:i/>
        </w:rPr>
        <w:t xml:space="preserve"> 4</w:t>
      </w:r>
      <w:r w:rsidR="00B1124E" w:rsidRPr="00FF1087">
        <w:rPr>
          <w:i/>
        </w:rPr>
        <w:t>(</w:t>
      </w:r>
      <w:r w:rsidR="00133EFB" w:rsidRPr="00FF1087">
        <w:rPr>
          <w:i/>
        </w:rPr>
        <w:t>4</w:t>
      </w:r>
      <w:r w:rsidR="00B1124E" w:rsidRPr="00FF1087">
        <w:rPr>
          <w:i/>
        </w:rPr>
        <w:t>)</w:t>
      </w:r>
      <w:r w:rsidR="00133EFB" w:rsidRPr="00FF1087">
        <w:rPr>
          <w:i/>
        </w:rPr>
        <w:t>(f)</w:t>
      </w:r>
    </w:p>
    <w:p w14:paraId="5414E601" w14:textId="77777777" w:rsidR="00133EFB" w:rsidRPr="00FF1087" w:rsidRDefault="00133EFB" w:rsidP="001C3D04">
      <w:pPr>
        <w:pStyle w:val="ListParagraph"/>
        <w:tabs>
          <w:tab w:val="left" w:pos="6120"/>
        </w:tabs>
        <w:jc w:val="both"/>
      </w:pPr>
    </w:p>
    <w:p w14:paraId="40C88450" w14:textId="2A821CFE" w:rsidR="00C4651C" w:rsidRPr="00FF1087" w:rsidRDefault="00A54A24" w:rsidP="00936CED">
      <w:pPr>
        <w:numPr>
          <w:ilvl w:val="0"/>
          <w:numId w:val="3"/>
        </w:numPr>
        <w:tabs>
          <w:tab w:val="left" w:pos="1980"/>
        </w:tabs>
        <w:spacing w:after="120"/>
        <w:ind w:left="1134" w:firstLine="0"/>
        <w:jc w:val="both"/>
        <w:rPr>
          <w:i/>
        </w:rPr>
      </w:pPr>
      <w:bookmarkStart w:id="30" w:name="_Ref19650784"/>
      <w:r w:rsidRPr="00FF1087">
        <w:t>T</w:t>
      </w:r>
      <w:r w:rsidR="003B1ABB" w:rsidRPr="00FF1087">
        <w:t xml:space="preserve">he </w:t>
      </w:r>
      <w:r w:rsidR="00DD4F31" w:rsidRPr="00FF1087">
        <w:t>questionnaires</w:t>
      </w:r>
      <w:r w:rsidR="009916B3" w:rsidRPr="00FF1087">
        <w:t xml:space="preserve"> </w:t>
      </w:r>
      <w:r w:rsidR="00924278" w:rsidRPr="00FF1087">
        <w:t>include</w:t>
      </w:r>
      <w:r w:rsidR="009916B3" w:rsidRPr="00FF1087">
        <w:t>d</w:t>
      </w:r>
      <w:r w:rsidR="00924278" w:rsidRPr="00FF1087">
        <w:t xml:space="preserve"> </w:t>
      </w:r>
      <w:r w:rsidR="008025D0" w:rsidRPr="00FF1087">
        <w:t>the names</w:t>
      </w:r>
      <w:r w:rsidR="009916B3" w:rsidRPr="00FF1087">
        <w:t xml:space="preserve"> and the contact details </w:t>
      </w:r>
      <w:r w:rsidR="008025D0" w:rsidRPr="00FF1087">
        <w:t xml:space="preserve">of </w:t>
      </w:r>
      <w:r w:rsidR="00CC2708" w:rsidRPr="00FF1087">
        <w:t xml:space="preserve">natural </w:t>
      </w:r>
      <w:r w:rsidR="008025D0" w:rsidRPr="00FF1087">
        <w:t xml:space="preserve">persons </w:t>
      </w:r>
      <w:r w:rsidR="009916B3" w:rsidRPr="00FF1087">
        <w:t xml:space="preserve">acting </w:t>
      </w:r>
      <w:r w:rsidR="00252BFF" w:rsidRPr="00FF1087">
        <w:t xml:space="preserve">on behalf of </w:t>
      </w:r>
      <w:r w:rsidR="00CC2708" w:rsidRPr="00FF1087">
        <w:t>d</w:t>
      </w:r>
      <w:r w:rsidR="00E83735" w:rsidRPr="00FF1087">
        <w:t>e</w:t>
      </w:r>
      <w:r w:rsidR="00CC2708" w:rsidRPr="00FF1087">
        <w:t xml:space="preserve">velopers </w:t>
      </w:r>
      <w:r w:rsidR="00252BFF" w:rsidRPr="00FF1087">
        <w:t xml:space="preserve">and </w:t>
      </w:r>
      <w:r w:rsidR="00B21FCC" w:rsidRPr="00FF1087">
        <w:t>t</w:t>
      </w:r>
      <w:r w:rsidR="00252BFF" w:rsidRPr="00FF1087">
        <w:t xml:space="preserve">here is no indication that </w:t>
      </w:r>
      <w:r w:rsidR="00DD4F31" w:rsidRPr="00FF1087">
        <w:t xml:space="preserve">those persons </w:t>
      </w:r>
      <w:r w:rsidR="00252BFF" w:rsidRPr="00FF1087">
        <w:t>consented to disclosure</w:t>
      </w:r>
      <w:r w:rsidR="00E83735" w:rsidRPr="00FF1087">
        <w:t>,</w:t>
      </w:r>
      <w:r w:rsidR="00CC2708" w:rsidRPr="00FF1087">
        <w:t xml:space="preserve"> a </w:t>
      </w:r>
      <w:proofErr w:type="spellStart"/>
      <w:r w:rsidR="00CC2708" w:rsidRPr="00FF1087">
        <w:t>preprequiste</w:t>
      </w:r>
      <w:proofErr w:type="spellEnd"/>
      <w:r w:rsidR="00CC2708" w:rsidRPr="00FF1087">
        <w:t xml:space="preserve"> for a disclosure of personal data under article 4</w:t>
      </w:r>
      <w:r w:rsidR="00B1124E" w:rsidRPr="00FF1087">
        <w:t>(</w:t>
      </w:r>
      <w:r w:rsidR="009A66BC" w:rsidRPr="00FF1087">
        <w:t>4</w:t>
      </w:r>
      <w:r w:rsidR="00B1124E" w:rsidRPr="00FF1087">
        <w:t>)</w:t>
      </w:r>
      <w:r w:rsidR="009A66BC" w:rsidRPr="00FF1087">
        <w:t>(</w:t>
      </w:r>
      <w:r w:rsidR="00CC2708" w:rsidRPr="00FF1087">
        <w:t>f) of the Convention</w:t>
      </w:r>
      <w:r w:rsidR="00252BFF" w:rsidRPr="00FF1087">
        <w:t xml:space="preserve">. While </w:t>
      </w:r>
      <w:r w:rsidR="00B21FCC" w:rsidRPr="00FF1087">
        <w:t>there is no evidence that the Commi</w:t>
      </w:r>
      <w:r w:rsidR="00152623" w:rsidRPr="00FF1087">
        <w:t>s</w:t>
      </w:r>
      <w:r w:rsidR="00B21FCC" w:rsidRPr="00FF1087">
        <w:t xml:space="preserve">sion indeed weighed the interest served by disclosure, the Committee </w:t>
      </w:r>
      <w:r w:rsidR="009A66BC" w:rsidRPr="00FF1087">
        <w:t xml:space="preserve">does not consider that </w:t>
      </w:r>
      <w:r w:rsidR="00F55FB5" w:rsidRPr="00FF1087">
        <w:t xml:space="preserve">– </w:t>
      </w:r>
      <w:r w:rsidR="00B21FCC" w:rsidRPr="00FF1087">
        <w:t>beari</w:t>
      </w:r>
      <w:r w:rsidR="00647085" w:rsidRPr="00FF1087">
        <w:t>n</w:t>
      </w:r>
      <w:r w:rsidR="00B21FCC" w:rsidRPr="00FF1087">
        <w:t>g in mind the fact that the names of the companies themselves were disclosed –</w:t>
      </w:r>
      <w:r w:rsidR="009A66BC" w:rsidRPr="00FF1087">
        <w:t xml:space="preserve"> there</w:t>
      </w:r>
      <w:r w:rsidR="00B21FCC" w:rsidRPr="00FF1087">
        <w:t xml:space="preserve"> was a significant public interest in disclosure of the personal data of the persons acting on th</w:t>
      </w:r>
      <w:r w:rsidR="00647085" w:rsidRPr="00FF1087">
        <w:t>e</w:t>
      </w:r>
      <w:r w:rsidR="00B21FCC" w:rsidRPr="00FF1087">
        <w:t xml:space="preserve">ir behalf. </w:t>
      </w:r>
      <w:r w:rsidR="005D1D1C" w:rsidRPr="00FF1087">
        <w:t>Thus</w:t>
      </w:r>
      <w:r w:rsidR="00033A6D" w:rsidRPr="00FF1087">
        <w:t xml:space="preserve">, </w:t>
      </w:r>
      <w:r w:rsidR="00552F49" w:rsidRPr="00FF1087">
        <w:t xml:space="preserve">the Committee finds that </w:t>
      </w:r>
      <w:r w:rsidR="00033A6D" w:rsidRPr="00FF1087">
        <w:t>t</w:t>
      </w:r>
      <w:r w:rsidR="003B1ABB" w:rsidRPr="00FF1087">
        <w:t xml:space="preserve">his information could be validly withheld </w:t>
      </w:r>
      <w:r w:rsidR="00552F49" w:rsidRPr="00FF1087">
        <w:t xml:space="preserve">under </w:t>
      </w:r>
      <w:r w:rsidR="003B1ABB" w:rsidRPr="00FF1087">
        <w:t xml:space="preserve">article </w:t>
      </w:r>
      <w:r w:rsidR="00B1124E" w:rsidRPr="00FF1087">
        <w:t xml:space="preserve">4(4)(f) </w:t>
      </w:r>
      <w:r w:rsidR="003B1ABB" w:rsidRPr="00FF1087">
        <w:t>of the Convention</w:t>
      </w:r>
      <w:r w:rsidR="006C1E20" w:rsidRPr="00FF1087">
        <w:t xml:space="preserve"> and the Party </w:t>
      </w:r>
      <w:r w:rsidR="00552F49" w:rsidRPr="00FF1087">
        <w:t>accordingly</w:t>
      </w:r>
      <w:r w:rsidR="00733389" w:rsidRPr="00FF1087">
        <w:t xml:space="preserve"> is</w:t>
      </w:r>
      <w:r w:rsidR="00552F49" w:rsidRPr="00FF1087">
        <w:t xml:space="preserve"> </w:t>
      </w:r>
      <w:r w:rsidR="006C1E20" w:rsidRPr="00FF1087">
        <w:t>not in non-compliance with this provision</w:t>
      </w:r>
      <w:r w:rsidR="003B1ABB" w:rsidRPr="00FF1087">
        <w:t>.</w:t>
      </w:r>
      <w:bookmarkEnd w:id="30"/>
    </w:p>
    <w:p w14:paraId="0AD84672" w14:textId="2D85330B" w:rsidR="00C4651C" w:rsidRPr="00FF1087" w:rsidRDefault="00152623" w:rsidP="00702A72">
      <w:pPr>
        <w:ind w:left="1134"/>
        <w:jc w:val="both"/>
        <w:rPr>
          <w:i/>
        </w:rPr>
      </w:pPr>
      <w:r w:rsidRPr="00FF1087">
        <w:rPr>
          <w:bCs/>
          <w:i/>
          <w:iCs/>
        </w:rPr>
        <w:t>Proceedings of public authorities – a</w:t>
      </w:r>
      <w:r w:rsidR="00C4651C" w:rsidRPr="00FF1087">
        <w:rPr>
          <w:bCs/>
          <w:i/>
          <w:iCs/>
        </w:rPr>
        <w:t>rticle</w:t>
      </w:r>
      <w:r w:rsidR="00C4651C" w:rsidRPr="00FF1087">
        <w:rPr>
          <w:i/>
        </w:rPr>
        <w:t xml:space="preserve"> </w:t>
      </w:r>
      <w:r w:rsidR="00B1124E" w:rsidRPr="00FF1087">
        <w:rPr>
          <w:i/>
        </w:rPr>
        <w:t xml:space="preserve">4(4)(a) </w:t>
      </w:r>
    </w:p>
    <w:p w14:paraId="26134B7F" w14:textId="707A78EE" w:rsidR="00C4651C" w:rsidRPr="00FF1087" w:rsidRDefault="00C4651C" w:rsidP="00F70FCB">
      <w:pPr>
        <w:tabs>
          <w:tab w:val="left" w:pos="1980"/>
        </w:tabs>
        <w:jc w:val="both"/>
        <w:rPr>
          <w:i/>
        </w:rPr>
      </w:pPr>
    </w:p>
    <w:p w14:paraId="4D4416EF" w14:textId="0047E581" w:rsidR="00C4651C" w:rsidRPr="00FF1087" w:rsidRDefault="00A54A24" w:rsidP="00855D6B">
      <w:pPr>
        <w:numPr>
          <w:ilvl w:val="0"/>
          <w:numId w:val="3"/>
        </w:numPr>
        <w:tabs>
          <w:tab w:val="left" w:pos="1980"/>
        </w:tabs>
        <w:ind w:left="1134" w:firstLine="0"/>
        <w:jc w:val="both"/>
        <w:rPr>
          <w:i/>
        </w:rPr>
      </w:pPr>
      <w:r w:rsidRPr="00FF1087">
        <w:t>Having found in paragraph</w:t>
      </w:r>
      <w:r w:rsidR="00761F23" w:rsidRPr="00FF1087">
        <w:t xml:space="preserve"> </w:t>
      </w:r>
      <w:r w:rsidR="00761F23" w:rsidRPr="00FF1087">
        <w:fldChar w:fldCharType="begin"/>
      </w:r>
      <w:r w:rsidR="00761F23" w:rsidRPr="00FF1087">
        <w:instrText xml:space="preserve"> REF _Ref19650779 \r \h </w:instrText>
      </w:r>
      <w:r w:rsidR="0007320D" w:rsidRPr="00FF1087">
        <w:instrText xml:space="preserve"> \* MERGEFORMAT </w:instrText>
      </w:r>
      <w:r w:rsidR="00761F23" w:rsidRPr="00FF1087">
        <w:fldChar w:fldCharType="separate"/>
      </w:r>
      <w:r w:rsidR="00B713E0">
        <w:rPr>
          <w:cs/>
        </w:rPr>
        <w:t>‎</w:t>
      </w:r>
      <w:r w:rsidR="00B713E0">
        <w:t>101</w:t>
      </w:r>
      <w:r w:rsidR="00761F23" w:rsidRPr="00FF1087">
        <w:fldChar w:fldCharType="end"/>
      </w:r>
      <w:r w:rsidR="00761F23" w:rsidRPr="00FF1087">
        <w:t xml:space="preserve"> and</w:t>
      </w:r>
      <w:r w:rsidRPr="00FF1087">
        <w:t xml:space="preserve"> </w:t>
      </w:r>
      <w:r w:rsidR="00761F23" w:rsidRPr="00FF1087">
        <w:fldChar w:fldCharType="begin"/>
      </w:r>
      <w:r w:rsidR="00761F23" w:rsidRPr="00FF1087">
        <w:instrText xml:space="preserve"> REF _Ref19650784 \r \h </w:instrText>
      </w:r>
      <w:r w:rsidR="00DD4F31" w:rsidRPr="00FF1087">
        <w:instrText xml:space="preserve"> \* MERGEFORMAT </w:instrText>
      </w:r>
      <w:r w:rsidR="00761F23" w:rsidRPr="00FF1087">
        <w:fldChar w:fldCharType="separate"/>
      </w:r>
      <w:r w:rsidR="00B713E0">
        <w:rPr>
          <w:cs/>
        </w:rPr>
        <w:t>‎</w:t>
      </w:r>
      <w:r w:rsidR="00B713E0">
        <w:t>102</w:t>
      </w:r>
      <w:r w:rsidR="00761F23" w:rsidRPr="00FF1087">
        <w:fldChar w:fldCharType="end"/>
      </w:r>
      <w:r w:rsidR="00761F23" w:rsidRPr="00FF1087">
        <w:t xml:space="preserve"> </w:t>
      </w:r>
      <w:r w:rsidRPr="00FF1087">
        <w:t xml:space="preserve">above that the exempted information </w:t>
      </w:r>
      <w:r w:rsidR="005D1D1C" w:rsidRPr="00FF1087">
        <w:t xml:space="preserve">could </w:t>
      </w:r>
      <w:r w:rsidRPr="00FF1087">
        <w:t>be withheld</w:t>
      </w:r>
      <w:r w:rsidR="00C4651C" w:rsidRPr="00FF1087">
        <w:t xml:space="preserve">, the Committee does not consider it necessary to </w:t>
      </w:r>
      <w:r w:rsidR="00063F7F" w:rsidRPr="00FF1087">
        <w:t xml:space="preserve">examine </w:t>
      </w:r>
      <w:r w:rsidR="00C4651C" w:rsidRPr="00FF1087">
        <w:t xml:space="preserve">whether the information </w:t>
      </w:r>
      <w:r w:rsidR="00063F7F" w:rsidRPr="00FF1087">
        <w:t>might</w:t>
      </w:r>
      <w:r w:rsidR="00C4651C" w:rsidRPr="00FF1087">
        <w:t xml:space="preserve"> </w:t>
      </w:r>
      <w:r w:rsidRPr="00FF1087">
        <w:t xml:space="preserve">also </w:t>
      </w:r>
      <w:r w:rsidR="00C4651C" w:rsidRPr="00FF1087">
        <w:t xml:space="preserve">have been validly withheld under article </w:t>
      </w:r>
      <w:r w:rsidR="00B1124E" w:rsidRPr="00FF1087">
        <w:t xml:space="preserve">4(4)(a) </w:t>
      </w:r>
      <w:r w:rsidR="00C4651C" w:rsidRPr="00FF1087">
        <w:t>of the Convention.</w:t>
      </w:r>
    </w:p>
    <w:p w14:paraId="2EDD4714" w14:textId="77777777" w:rsidR="00656130" w:rsidRPr="00FF1087" w:rsidRDefault="00656130" w:rsidP="001C3D04">
      <w:pPr>
        <w:tabs>
          <w:tab w:val="left" w:pos="1980"/>
        </w:tabs>
        <w:ind w:left="1134"/>
        <w:jc w:val="both"/>
        <w:rPr>
          <w:b/>
        </w:rPr>
      </w:pPr>
    </w:p>
    <w:p w14:paraId="7E0308AF" w14:textId="57EF3279" w:rsidR="00133EFB" w:rsidRPr="00FF1087" w:rsidRDefault="00CE5051" w:rsidP="00FF1087">
      <w:pPr>
        <w:tabs>
          <w:tab w:val="left" w:pos="1980"/>
        </w:tabs>
        <w:ind w:left="1134"/>
        <w:jc w:val="both"/>
        <w:rPr>
          <w:b/>
        </w:rPr>
      </w:pPr>
      <w:r w:rsidRPr="00FF1087">
        <w:rPr>
          <w:b/>
        </w:rPr>
        <w:t xml:space="preserve">Timeframes for information requests </w:t>
      </w:r>
      <w:r w:rsidR="00152623" w:rsidRPr="00FF1087">
        <w:rPr>
          <w:b/>
        </w:rPr>
        <w:t xml:space="preserve">and the review thereof </w:t>
      </w:r>
      <w:r w:rsidRPr="00FF1087">
        <w:rPr>
          <w:b/>
        </w:rPr>
        <w:t>- a</w:t>
      </w:r>
      <w:r w:rsidR="00811665" w:rsidRPr="00FF1087">
        <w:rPr>
          <w:b/>
        </w:rPr>
        <w:t>rticle 4</w:t>
      </w:r>
      <w:r w:rsidR="00B1124E" w:rsidRPr="00FF1087">
        <w:rPr>
          <w:b/>
        </w:rPr>
        <w:t>(</w:t>
      </w:r>
      <w:r w:rsidR="00811665" w:rsidRPr="00FF1087">
        <w:rPr>
          <w:b/>
        </w:rPr>
        <w:t>2</w:t>
      </w:r>
      <w:r w:rsidR="00B1124E" w:rsidRPr="00FF1087">
        <w:rPr>
          <w:b/>
        </w:rPr>
        <w:t>)</w:t>
      </w:r>
      <w:r w:rsidR="00732888" w:rsidRPr="00FF1087">
        <w:rPr>
          <w:b/>
        </w:rPr>
        <w:t xml:space="preserve"> and </w:t>
      </w:r>
      <w:r w:rsidR="00B1124E" w:rsidRPr="00FF1087">
        <w:rPr>
          <w:b/>
        </w:rPr>
        <w:t>(</w:t>
      </w:r>
      <w:r w:rsidR="00732888" w:rsidRPr="00FF1087">
        <w:rPr>
          <w:b/>
        </w:rPr>
        <w:t>7</w:t>
      </w:r>
      <w:r w:rsidR="00B1124E" w:rsidRPr="00FF1087">
        <w:rPr>
          <w:b/>
        </w:rPr>
        <w:t>)</w:t>
      </w:r>
      <w:r w:rsidR="00811665" w:rsidRPr="00FF1087">
        <w:rPr>
          <w:b/>
        </w:rPr>
        <w:t xml:space="preserve"> and article 9</w:t>
      </w:r>
      <w:r w:rsidR="00B1124E" w:rsidRPr="00FF1087">
        <w:rPr>
          <w:b/>
        </w:rPr>
        <w:t>(</w:t>
      </w:r>
      <w:r w:rsidR="00811665" w:rsidRPr="00FF1087">
        <w:rPr>
          <w:b/>
        </w:rPr>
        <w:t>1</w:t>
      </w:r>
      <w:r w:rsidR="00B1124E" w:rsidRPr="00FF1087">
        <w:rPr>
          <w:b/>
        </w:rPr>
        <w:t>)</w:t>
      </w:r>
      <w:r w:rsidR="00732888" w:rsidRPr="00FF1087">
        <w:rPr>
          <w:b/>
        </w:rPr>
        <w:t xml:space="preserve"> </w:t>
      </w:r>
    </w:p>
    <w:p w14:paraId="1F67EFC2" w14:textId="7165A77C" w:rsidR="00CE5051" w:rsidRPr="00FF1087" w:rsidRDefault="00CE5051" w:rsidP="001C3D04">
      <w:pPr>
        <w:tabs>
          <w:tab w:val="left" w:pos="1980"/>
        </w:tabs>
        <w:ind w:left="1134"/>
        <w:jc w:val="both"/>
        <w:rPr>
          <w:b/>
        </w:rPr>
      </w:pPr>
    </w:p>
    <w:p w14:paraId="63D74139" w14:textId="57C2BACB" w:rsidR="00CE5051" w:rsidRPr="00FF1087" w:rsidRDefault="00CE5051" w:rsidP="001C3D04">
      <w:pPr>
        <w:tabs>
          <w:tab w:val="left" w:pos="1980"/>
        </w:tabs>
        <w:ind w:left="1134"/>
        <w:jc w:val="both"/>
        <w:rPr>
          <w:i/>
        </w:rPr>
      </w:pPr>
      <w:r w:rsidRPr="00FF1087">
        <w:rPr>
          <w:bCs/>
          <w:i/>
          <w:iCs/>
        </w:rPr>
        <w:t xml:space="preserve">Timeframes for replying to information requests - article </w:t>
      </w:r>
      <w:r w:rsidRPr="00FF1087">
        <w:rPr>
          <w:i/>
        </w:rPr>
        <w:t>4</w:t>
      </w:r>
      <w:r w:rsidRPr="00FF1087">
        <w:rPr>
          <w:bCs/>
          <w:i/>
          <w:iCs/>
        </w:rPr>
        <w:t>(2) and (7)</w:t>
      </w:r>
    </w:p>
    <w:p w14:paraId="557120E0" w14:textId="77777777" w:rsidR="00987478" w:rsidRPr="00FF1087" w:rsidRDefault="00987478" w:rsidP="001C3D04">
      <w:pPr>
        <w:tabs>
          <w:tab w:val="left" w:pos="1980"/>
        </w:tabs>
        <w:ind w:left="1134"/>
        <w:jc w:val="both"/>
        <w:rPr>
          <w:b/>
        </w:rPr>
      </w:pPr>
    </w:p>
    <w:p w14:paraId="70072297" w14:textId="7906D358" w:rsidR="009D604E" w:rsidRPr="00FF1087" w:rsidRDefault="0057736E" w:rsidP="00D678F7">
      <w:pPr>
        <w:numPr>
          <w:ilvl w:val="0"/>
          <w:numId w:val="3"/>
        </w:numPr>
        <w:tabs>
          <w:tab w:val="left" w:pos="1980"/>
        </w:tabs>
        <w:spacing w:after="120"/>
        <w:ind w:left="1134" w:firstLine="0"/>
        <w:jc w:val="both"/>
      </w:pPr>
      <w:r w:rsidRPr="00FF1087">
        <w:t>T</w:t>
      </w:r>
      <w:r w:rsidR="00F104B6" w:rsidRPr="00FF1087">
        <w:t>he communicant submi</w:t>
      </w:r>
      <w:r w:rsidRPr="00FF1087">
        <w:t>ts</w:t>
      </w:r>
      <w:r w:rsidR="00F104B6" w:rsidRPr="00FF1087">
        <w:t xml:space="preserve"> the Party concerned failed to comply with the time limits in article 4</w:t>
      </w:r>
      <w:r w:rsidR="00513E2D" w:rsidRPr="00FF1087">
        <w:t>(</w:t>
      </w:r>
      <w:r w:rsidR="00F104B6" w:rsidRPr="00FF1087">
        <w:t>2</w:t>
      </w:r>
      <w:r w:rsidR="00513E2D" w:rsidRPr="00FF1087">
        <w:t>)</w:t>
      </w:r>
      <w:r w:rsidR="00F104B6" w:rsidRPr="00FF1087">
        <w:t xml:space="preserve"> of the Convention due to </w:t>
      </w:r>
      <w:r w:rsidR="00152623" w:rsidRPr="00FF1087">
        <w:t xml:space="preserve">its </w:t>
      </w:r>
      <w:r w:rsidR="00F104B6" w:rsidRPr="00FF1087">
        <w:t>delay</w:t>
      </w:r>
      <w:r w:rsidR="00D678F7" w:rsidRPr="00FF1087">
        <w:t>s</w:t>
      </w:r>
      <w:r w:rsidR="00F104B6" w:rsidRPr="00FF1087">
        <w:t xml:space="preserve"> in replying to </w:t>
      </w:r>
      <w:r w:rsidR="00A908CF" w:rsidRPr="00FF1087">
        <w:t xml:space="preserve">Mr. </w:t>
      </w:r>
      <w:r w:rsidR="00CD1B56" w:rsidRPr="00FF1087">
        <w:t>Caulfield’s</w:t>
      </w:r>
      <w:r w:rsidR="00F104B6" w:rsidRPr="00FF1087">
        <w:t xml:space="preserve"> </w:t>
      </w:r>
      <w:r w:rsidR="00D678F7" w:rsidRPr="00FF1087">
        <w:t xml:space="preserve">information </w:t>
      </w:r>
      <w:r w:rsidR="00F104B6" w:rsidRPr="00FF1087">
        <w:t>request</w:t>
      </w:r>
      <w:r w:rsidR="00CD1B56" w:rsidRPr="00FF1087">
        <w:t>s</w:t>
      </w:r>
      <w:r w:rsidR="00D678F7" w:rsidRPr="00FF1087">
        <w:t xml:space="preserve"> </w:t>
      </w:r>
      <w:r w:rsidR="00F55FB5" w:rsidRPr="00FF1087">
        <w:t>and</w:t>
      </w:r>
      <w:r w:rsidR="00D678F7" w:rsidRPr="00FF1087">
        <w:t xml:space="preserve"> in the handling of his </w:t>
      </w:r>
      <w:r w:rsidR="00F104B6" w:rsidRPr="00FF1087">
        <w:t>confirmatory application</w:t>
      </w:r>
      <w:r w:rsidR="00CD1B56" w:rsidRPr="00FF1087">
        <w:t>s</w:t>
      </w:r>
      <w:r w:rsidR="00F104B6" w:rsidRPr="00FF1087">
        <w:t xml:space="preserve"> </w:t>
      </w:r>
      <w:r w:rsidR="002B64D0" w:rsidRPr="00FF1087">
        <w:t>and</w:t>
      </w:r>
      <w:r w:rsidR="00D678F7" w:rsidRPr="00FF1087">
        <w:t xml:space="preserve"> </w:t>
      </w:r>
      <w:r w:rsidR="002B64D0" w:rsidRPr="00FF1087">
        <w:t>Ombudsman</w:t>
      </w:r>
      <w:r w:rsidR="00D678F7" w:rsidRPr="00FF1087">
        <w:t xml:space="preserve"> complaints</w:t>
      </w:r>
      <w:r w:rsidR="00F104B6" w:rsidRPr="00FF1087">
        <w:t xml:space="preserve">. </w:t>
      </w:r>
      <w:r w:rsidR="007A3724" w:rsidRPr="00FF1087">
        <w:t xml:space="preserve">The Committee </w:t>
      </w:r>
      <w:r w:rsidR="00D678F7" w:rsidRPr="00FF1087">
        <w:t xml:space="preserve">clarifies </w:t>
      </w:r>
      <w:r w:rsidR="007A3724" w:rsidRPr="00FF1087">
        <w:t>that</w:t>
      </w:r>
      <w:r w:rsidR="00D678F7" w:rsidRPr="00FF1087">
        <w:t>,</w:t>
      </w:r>
      <w:r w:rsidR="007A3724" w:rsidRPr="00FF1087">
        <w:t xml:space="preserve"> while the timing of the repl</w:t>
      </w:r>
      <w:r w:rsidR="00D678F7" w:rsidRPr="00FF1087">
        <w:t>ies</w:t>
      </w:r>
      <w:r w:rsidR="007A3724" w:rsidRPr="00FF1087">
        <w:t xml:space="preserve"> to Mr. Caulfield’s requests indeed should be considered under article 4</w:t>
      </w:r>
      <w:r w:rsidR="00513E2D" w:rsidRPr="00FF1087">
        <w:t>(</w:t>
      </w:r>
      <w:r w:rsidR="002058C1" w:rsidRPr="00FF1087">
        <w:t>2</w:t>
      </w:r>
      <w:r w:rsidR="00513E2D" w:rsidRPr="00FF1087">
        <w:t>)</w:t>
      </w:r>
      <w:r w:rsidR="002058C1" w:rsidRPr="00FF1087">
        <w:t xml:space="preserve">, the </w:t>
      </w:r>
      <w:r w:rsidR="00D678F7" w:rsidRPr="00FF1087">
        <w:t xml:space="preserve">timeframes </w:t>
      </w:r>
      <w:r w:rsidR="00F55FB5" w:rsidRPr="00FF1087">
        <w:t>for</w:t>
      </w:r>
      <w:r w:rsidR="00D678F7" w:rsidRPr="00FF1087">
        <w:t xml:space="preserve"> his </w:t>
      </w:r>
      <w:r w:rsidR="002058C1" w:rsidRPr="00FF1087">
        <w:t>confirmatory applications</w:t>
      </w:r>
      <w:r w:rsidR="002B64D0" w:rsidRPr="00FF1087">
        <w:t xml:space="preserve"> and Ombudsman </w:t>
      </w:r>
      <w:r w:rsidR="00D678F7" w:rsidRPr="00FF1087">
        <w:t xml:space="preserve">complaints </w:t>
      </w:r>
      <w:r w:rsidR="002058C1" w:rsidRPr="00FF1087">
        <w:t xml:space="preserve">should be </w:t>
      </w:r>
      <w:r w:rsidR="00021950" w:rsidRPr="00FF1087">
        <w:t xml:space="preserve">examined </w:t>
      </w:r>
      <w:r w:rsidR="002058C1" w:rsidRPr="00FF1087">
        <w:t>under article 9</w:t>
      </w:r>
      <w:r w:rsidR="00513E2D" w:rsidRPr="00FF1087">
        <w:t>(</w:t>
      </w:r>
      <w:r w:rsidR="002058C1" w:rsidRPr="00FF1087">
        <w:t>1</w:t>
      </w:r>
      <w:r w:rsidR="00513E2D" w:rsidRPr="00FF1087">
        <w:t>)</w:t>
      </w:r>
      <w:r w:rsidR="002058C1" w:rsidRPr="00FF1087">
        <w:t xml:space="preserve"> of the Convention.</w:t>
      </w:r>
    </w:p>
    <w:p w14:paraId="382B1DD4" w14:textId="2158F81E" w:rsidR="004564C2" w:rsidRPr="00FF1087" w:rsidRDefault="004564C2" w:rsidP="001C3D04">
      <w:pPr>
        <w:numPr>
          <w:ilvl w:val="0"/>
          <w:numId w:val="3"/>
        </w:numPr>
        <w:tabs>
          <w:tab w:val="left" w:pos="1980"/>
        </w:tabs>
        <w:spacing w:after="120"/>
        <w:ind w:left="1134" w:firstLine="0"/>
        <w:jc w:val="both"/>
      </w:pPr>
      <w:bookmarkStart w:id="31" w:name="_Ref36480930"/>
      <w:r w:rsidRPr="00FF1087">
        <w:t>Regarding the repl</w:t>
      </w:r>
      <w:r w:rsidR="00D678F7" w:rsidRPr="00FF1087">
        <w:t>ies</w:t>
      </w:r>
      <w:r w:rsidRPr="00FF1087">
        <w:t xml:space="preserve"> to Mr. Caulfield’s requests</w:t>
      </w:r>
      <w:r w:rsidR="00D678F7" w:rsidRPr="00FF1087">
        <w:t>,</w:t>
      </w:r>
      <w:r w:rsidRPr="00FF1087">
        <w:t xml:space="preserve"> </w:t>
      </w:r>
      <w:r w:rsidR="00D678F7" w:rsidRPr="00FF1087">
        <w:t xml:space="preserve">his </w:t>
      </w:r>
      <w:r w:rsidR="0042280C" w:rsidRPr="00FF1087">
        <w:t xml:space="preserve">first request </w:t>
      </w:r>
      <w:r w:rsidR="0042280C" w:rsidRPr="00FF1087">
        <w:rPr>
          <w:rStyle w:val="st"/>
        </w:rPr>
        <w:t xml:space="preserve">was </w:t>
      </w:r>
      <w:proofErr w:type="spellStart"/>
      <w:r w:rsidR="0042280C" w:rsidRPr="00FF1087">
        <w:rPr>
          <w:rStyle w:val="st"/>
        </w:rPr>
        <w:t>submited</w:t>
      </w:r>
      <w:proofErr w:type="spellEnd"/>
      <w:r w:rsidR="0042280C" w:rsidRPr="00FF1087">
        <w:rPr>
          <w:rStyle w:val="st"/>
        </w:rPr>
        <w:t xml:space="preserve"> on 20 August 2012 and the response is dated 19 October 2012, while the second request was submitted on 5 March 2013 and the response is dated 22 April</w:t>
      </w:r>
      <w:r w:rsidR="00D678F7" w:rsidRPr="00FF1087">
        <w:rPr>
          <w:rStyle w:val="st"/>
        </w:rPr>
        <w:t xml:space="preserve"> 2013</w:t>
      </w:r>
      <w:r w:rsidR="0042280C" w:rsidRPr="00FF1087">
        <w:rPr>
          <w:rStyle w:val="st"/>
        </w:rPr>
        <w:t xml:space="preserve">. In both </w:t>
      </w:r>
      <w:proofErr w:type="gramStart"/>
      <w:r w:rsidR="0042280C" w:rsidRPr="00FF1087">
        <w:rPr>
          <w:rStyle w:val="st"/>
        </w:rPr>
        <w:t>cases  the</w:t>
      </w:r>
      <w:proofErr w:type="gramEnd"/>
      <w:r w:rsidR="0042280C" w:rsidRPr="00FF1087">
        <w:rPr>
          <w:rStyle w:val="st"/>
        </w:rPr>
        <w:t xml:space="preserve"> response failed to meet the </w:t>
      </w:r>
      <w:r w:rsidR="00021950" w:rsidRPr="00FF1087">
        <w:rPr>
          <w:rStyle w:val="st"/>
        </w:rPr>
        <w:t xml:space="preserve">one month </w:t>
      </w:r>
      <w:r w:rsidR="0042280C" w:rsidRPr="00FF1087">
        <w:rPr>
          <w:rStyle w:val="st"/>
        </w:rPr>
        <w:t xml:space="preserve">time limit </w:t>
      </w:r>
      <w:r w:rsidR="00176BD6" w:rsidRPr="00FF1087">
        <w:rPr>
          <w:rStyle w:val="st"/>
        </w:rPr>
        <w:t xml:space="preserve">in </w:t>
      </w:r>
      <w:r w:rsidR="0042280C" w:rsidRPr="00FF1087">
        <w:rPr>
          <w:rStyle w:val="st"/>
        </w:rPr>
        <w:t>article 4</w:t>
      </w:r>
      <w:r w:rsidR="00513E2D" w:rsidRPr="00FF1087">
        <w:rPr>
          <w:rStyle w:val="st"/>
        </w:rPr>
        <w:t>(</w:t>
      </w:r>
      <w:r w:rsidR="0042280C" w:rsidRPr="00FF1087">
        <w:rPr>
          <w:rStyle w:val="st"/>
        </w:rPr>
        <w:t>2</w:t>
      </w:r>
      <w:r w:rsidR="00513E2D" w:rsidRPr="00FF1087">
        <w:rPr>
          <w:rStyle w:val="st"/>
        </w:rPr>
        <w:t>)</w:t>
      </w:r>
      <w:r w:rsidR="0042280C" w:rsidRPr="00FF1087">
        <w:rPr>
          <w:rStyle w:val="st"/>
        </w:rPr>
        <w:t xml:space="preserve"> of the Convention. The Committee </w:t>
      </w:r>
      <w:r w:rsidRPr="00FF1087">
        <w:t xml:space="preserve">has not been provided with </w:t>
      </w:r>
      <w:r w:rsidR="00E83735" w:rsidRPr="00FF1087">
        <w:t>e</w:t>
      </w:r>
      <w:r w:rsidRPr="00FF1087">
        <w:t>vidence that the Commission informed Mr. Caulfield</w:t>
      </w:r>
      <w:r w:rsidR="002B728E" w:rsidRPr="00FF1087">
        <w:t xml:space="preserve">, as required </w:t>
      </w:r>
      <w:r w:rsidR="00152623" w:rsidRPr="00FF1087">
        <w:t>by article 4(2)</w:t>
      </w:r>
      <w:r w:rsidR="002B728E" w:rsidRPr="00FF1087">
        <w:t xml:space="preserve">, </w:t>
      </w:r>
      <w:r w:rsidRPr="00FF1087">
        <w:t xml:space="preserve">that the volume and complexity of the information </w:t>
      </w:r>
      <w:r w:rsidR="00021950" w:rsidRPr="00FF1087">
        <w:t xml:space="preserve">requested </w:t>
      </w:r>
      <w:r w:rsidRPr="00FF1087">
        <w:t>would justify an extension</w:t>
      </w:r>
      <w:r w:rsidR="002B728E" w:rsidRPr="00FF1087">
        <w:t xml:space="preserve"> of the </w:t>
      </w:r>
      <w:proofErr w:type="gramStart"/>
      <w:r w:rsidR="00CA5A8F" w:rsidRPr="00FF1087">
        <w:t>one month</w:t>
      </w:r>
      <w:proofErr w:type="gramEnd"/>
      <w:r w:rsidR="00CA5A8F" w:rsidRPr="00FF1087">
        <w:t xml:space="preserve"> </w:t>
      </w:r>
      <w:r w:rsidR="002B728E" w:rsidRPr="00FF1087">
        <w:t xml:space="preserve">time limit. Thus, </w:t>
      </w:r>
      <w:proofErr w:type="gramStart"/>
      <w:r w:rsidR="002B728E" w:rsidRPr="00FF1087">
        <w:t>despite the fact that</w:t>
      </w:r>
      <w:proofErr w:type="gramEnd"/>
      <w:r w:rsidR="002B728E" w:rsidRPr="00FF1087">
        <w:t xml:space="preserve"> in both cases the </w:t>
      </w:r>
      <w:r w:rsidR="00CE5051" w:rsidRPr="00FF1087">
        <w:t xml:space="preserve">extended </w:t>
      </w:r>
      <w:r w:rsidR="002B728E" w:rsidRPr="00FF1087">
        <w:t xml:space="preserve">time limit of two months was observed, the </w:t>
      </w:r>
      <w:r w:rsidR="00475C8E" w:rsidRPr="00FF1087">
        <w:t>Committee finds</w:t>
      </w:r>
      <w:r w:rsidR="005D1D1C" w:rsidRPr="00FF1087">
        <w:t xml:space="preserve"> that</w:t>
      </w:r>
      <w:r w:rsidR="00CE5051" w:rsidRPr="00FF1087">
        <w:t>,</w:t>
      </w:r>
      <w:r w:rsidR="002B728E" w:rsidRPr="00FF1087">
        <w:t xml:space="preserve"> by </w:t>
      </w:r>
      <w:r w:rsidR="00021950" w:rsidRPr="00FF1087">
        <w:t xml:space="preserve">not </w:t>
      </w:r>
      <w:r w:rsidR="002B728E" w:rsidRPr="00FF1087">
        <w:t>inform</w:t>
      </w:r>
      <w:r w:rsidR="00021950" w:rsidRPr="00FF1087">
        <w:t>ing</w:t>
      </w:r>
      <w:r w:rsidR="002B728E" w:rsidRPr="00FF1087">
        <w:t xml:space="preserve"> </w:t>
      </w:r>
      <w:r w:rsidR="00CE5051" w:rsidRPr="00FF1087">
        <w:t>the applicant that longer timeframes would be needed to reply to the information request</w:t>
      </w:r>
      <w:r w:rsidR="00021950" w:rsidRPr="00FF1087">
        <w:t>s</w:t>
      </w:r>
      <w:r w:rsidR="00CE5051" w:rsidRPr="00FF1087">
        <w:t xml:space="preserve"> and </w:t>
      </w:r>
      <w:r w:rsidR="00152623" w:rsidRPr="00FF1087">
        <w:t xml:space="preserve">of </w:t>
      </w:r>
      <w:r w:rsidR="00CE5051" w:rsidRPr="00FF1087">
        <w:t>the reasons</w:t>
      </w:r>
      <w:r w:rsidR="00021950" w:rsidRPr="00FF1087">
        <w:t xml:space="preserve"> </w:t>
      </w:r>
      <w:r w:rsidR="00864111" w:rsidRPr="00FF1087">
        <w:t>therefor</w:t>
      </w:r>
      <w:r w:rsidR="00CE5051" w:rsidRPr="00FF1087">
        <w:t xml:space="preserve">, </w:t>
      </w:r>
      <w:r w:rsidR="00475C8E" w:rsidRPr="00FF1087">
        <w:t xml:space="preserve">the Party concerned </w:t>
      </w:r>
      <w:r w:rsidR="002B728E" w:rsidRPr="00FF1087">
        <w:t>failed to comply with article 4</w:t>
      </w:r>
      <w:r w:rsidR="00513E2D" w:rsidRPr="00FF1087">
        <w:t>(</w:t>
      </w:r>
      <w:r w:rsidR="001C11B4" w:rsidRPr="00FF1087">
        <w:t>2</w:t>
      </w:r>
      <w:r w:rsidR="00513E2D" w:rsidRPr="00FF1087">
        <w:t>)</w:t>
      </w:r>
      <w:r w:rsidR="001C11B4" w:rsidRPr="00FF1087">
        <w:t xml:space="preserve"> </w:t>
      </w:r>
      <w:r w:rsidR="002B728E" w:rsidRPr="00FF1087">
        <w:t>of the Convention.</w:t>
      </w:r>
      <w:bookmarkEnd w:id="31"/>
    </w:p>
    <w:p w14:paraId="7CC5B8FF" w14:textId="153DD5B8" w:rsidR="005060F4" w:rsidRPr="00FF1087" w:rsidRDefault="00CA3FFB" w:rsidP="005648E2">
      <w:pPr>
        <w:numPr>
          <w:ilvl w:val="0"/>
          <w:numId w:val="3"/>
        </w:numPr>
        <w:tabs>
          <w:tab w:val="left" w:pos="1980"/>
        </w:tabs>
        <w:spacing w:after="120"/>
        <w:ind w:left="1134" w:firstLine="0"/>
        <w:jc w:val="both"/>
      </w:pPr>
      <w:r w:rsidRPr="00FF1087">
        <w:t xml:space="preserve">The Committee emphasizes the importance that the Party concerned </w:t>
      </w:r>
      <w:r w:rsidR="005648E2" w:rsidRPr="00FF1087">
        <w:t>ensures that, when the</w:t>
      </w:r>
      <w:r w:rsidRPr="00FF1087">
        <w:t xml:space="preserve"> volume and the complexity of </w:t>
      </w:r>
      <w:r w:rsidR="005648E2" w:rsidRPr="00FF1087">
        <w:t xml:space="preserve">an environmental information request may justify </w:t>
      </w:r>
      <w:r w:rsidRPr="00FF1087">
        <w:t xml:space="preserve">an extension of the </w:t>
      </w:r>
      <w:r w:rsidR="005648E2" w:rsidRPr="00FF1087">
        <w:t xml:space="preserve">one-month time limit in article 4(2) of the Convention, the applicant is informed </w:t>
      </w:r>
      <w:r w:rsidR="007A6832" w:rsidRPr="00FF1087">
        <w:t xml:space="preserve">of the extension </w:t>
      </w:r>
      <w:r w:rsidR="005648E2" w:rsidRPr="00FF1087">
        <w:t xml:space="preserve">and of the reasons therefor. </w:t>
      </w:r>
      <w:r w:rsidR="005060F4" w:rsidRPr="00FF1087">
        <w:t xml:space="preserve">However, taking into consideration that no evidence has been presented to substantiate that the non-compliance found in paragraph </w:t>
      </w:r>
      <w:r w:rsidR="005648E2" w:rsidRPr="00FF1087">
        <w:fldChar w:fldCharType="begin"/>
      </w:r>
      <w:r w:rsidR="005648E2" w:rsidRPr="00FF1087">
        <w:instrText xml:space="preserve"> REF _Ref36480930 \r \h </w:instrText>
      </w:r>
      <w:r w:rsidR="0063474D" w:rsidRPr="00FF1087">
        <w:instrText xml:space="preserve"> \* MERGEFORMAT </w:instrText>
      </w:r>
      <w:r w:rsidR="005648E2" w:rsidRPr="00FF1087">
        <w:fldChar w:fldCharType="separate"/>
      </w:r>
      <w:r w:rsidR="00B713E0">
        <w:rPr>
          <w:cs/>
        </w:rPr>
        <w:t>‎</w:t>
      </w:r>
      <w:r w:rsidR="00B713E0">
        <w:t>105</w:t>
      </w:r>
      <w:r w:rsidR="005648E2" w:rsidRPr="00FF1087">
        <w:fldChar w:fldCharType="end"/>
      </w:r>
      <w:r w:rsidR="005648E2" w:rsidRPr="00FF1087">
        <w:t xml:space="preserve"> </w:t>
      </w:r>
      <w:r w:rsidR="005060F4" w:rsidRPr="00FF1087">
        <w:t xml:space="preserve">above was of a </w:t>
      </w:r>
      <w:r w:rsidR="00817C07" w:rsidRPr="00FF1087">
        <w:t xml:space="preserve">wide or </w:t>
      </w:r>
      <w:r w:rsidR="005060F4" w:rsidRPr="00FF1087">
        <w:t>systemic nature, the Committee refrains from making a recommendation on this point.</w:t>
      </w:r>
    </w:p>
    <w:p w14:paraId="2470AADF" w14:textId="1559E675" w:rsidR="00CE5051" w:rsidRPr="00FF1087" w:rsidRDefault="00CE5051">
      <w:pPr>
        <w:tabs>
          <w:tab w:val="left" w:pos="1980"/>
        </w:tabs>
        <w:spacing w:after="120"/>
        <w:ind w:left="1134"/>
        <w:jc w:val="both"/>
        <w:rPr>
          <w:i/>
          <w:iCs/>
        </w:rPr>
      </w:pPr>
      <w:r w:rsidRPr="00FF1087">
        <w:rPr>
          <w:i/>
          <w:iCs/>
        </w:rPr>
        <w:t xml:space="preserve">Expeditious review of information requests – article 9(1) </w:t>
      </w:r>
    </w:p>
    <w:p w14:paraId="5A3B224C" w14:textId="27245E28" w:rsidR="00E6001C" w:rsidRPr="00FF1087" w:rsidRDefault="00706487" w:rsidP="00706487">
      <w:pPr>
        <w:numPr>
          <w:ilvl w:val="0"/>
          <w:numId w:val="3"/>
        </w:numPr>
        <w:tabs>
          <w:tab w:val="left" w:pos="1980"/>
        </w:tabs>
        <w:spacing w:after="120"/>
        <w:ind w:left="1134" w:firstLine="0"/>
        <w:jc w:val="both"/>
      </w:pPr>
      <w:r w:rsidRPr="00FF1087">
        <w:t>The Party concerned provides the possibility for member of the public who consider that their information requests have not been adequately dealt with to seek court review under article 263 TFEU. Pursuant to the second paragraph of article 9(1)</w:t>
      </w:r>
      <w:r w:rsidR="005D1D1C" w:rsidRPr="00FF1087">
        <w:t xml:space="preserve"> of the Convention</w:t>
      </w:r>
      <w:r w:rsidRPr="00FF1087">
        <w:t xml:space="preserve">, in </w:t>
      </w:r>
      <w:r w:rsidRPr="00FF1087">
        <w:lastRenderedPageBreak/>
        <w:t xml:space="preserve">circumstances where a Party provides for such review by a court of law, it must ensure that members of the public also have access to an expeditious and inexpensive procedure for reconsideration by a public authority or review by another independent and impartial body. </w:t>
      </w:r>
    </w:p>
    <w:p w14:paraId="215773BC" w14:textId="6F73C82C" w:rsidR="00706487" w:rsidRPr="00FF1087" w:rsidRDefault="00E6001C" w:rsidP="00706487">
      <w:pPr>
        <w:numPr>
          <w:ilvl w:val="0"/>
          <w:numId w:val="3"/>
        </w:numPr>
        <w:tabs>
          <w:tab w:val="left" w:pos="1980"/>
        </w:tabs>
        <w:spacing w:after="120"/>
        <w:ind w:left="1134" w:firstLine="0"/>
        <w:jc w:val="both"/>
      </w:pPr>
      <w:r w:rsidRPr="00FF1087">
        <w:t>In previous findings, the Committee has made clear that w</w:t>
      </w:r>
      <w:r w:rsidR="00706487" w:rsidRPr="00FF1087">
        <w:t xml:space="preserve">hen considering whether </w:t>
      </w:r>
      <w:r w:rsidRPr="00FF1087">
        <w:t xml:space="preserve">a </w:t>
      </w:r>
      <w:proofErr w:type="gramStart"/>
      <w:r w:rsidRPr="00FF1087">
        <w:t>procedure</w:t>
      </w:r>
      <w:r w:rsidR="00706487" w:rsidRPr="00FF1087">
        <w:t xml:space="preserve">  </w:t>
      </w:r>
      <w:r w:rsidR="002C522E" w:rsidRPr="00FF1087">
        <w:t>is</w:t>
      </w:r>
      <w:proofErr w:type="gramEnd"/>
      <w:r w:rsidR="002C522E" w:rsidRPr="00FF1087">
        <w:t xml:space="preserve"> </w:t>
      </w:r>
      <w:r w:rsidR="00706487" w:rsidRPr="00FF1087">
        <w:t>“expeditious” under article 9(1)</w:t>
      </w:r>
      <w:r w:rsidR="005D1D1C" w:rsidRPr="00FF1087">
        <w:t xml:space="preserve"> of the Convention</w:t>
      </w:r>
      <w:r w:rsidR="002C522E" w:rsidRPr="00FF1087">
        <w:t>,</w:t>
      </w:r>
      <w:r w:rsidR="00706487" w:rsidRPr="00FF1087">
        <w:t xml:space="preserve"> the time limits set out in article 4(2) and (7) are indicative.</w:t>
      </w:r>
      <w:r w:rsidR="00706487" w:rsidRPr="00FF1087">
        <w:rPr>
          <w:rStyle w:val="FootnoteReference"/>
          <w:sz w:val="20"/>
        </w:rPr>
        <w:footnoteReference w:id="94"/>
      </w:r>
    </w:p>
    <w:p w14:paraId="11CAFA25" w14:textId="6048E0CA" w:rsidR="00706487" w:rsidRPr="00FF1087" w:rsidRDefault="00E6001C" w:rsidP="001C3D04">
      <w:pPr>
        <w:numPr>
          <w:ilvl w:val="0"/>
          <w:numId w:val="3"/>
        </w:numPr>
        <w:tabs>
          <w:tab w:val="left" w:pos="1980"/>
        </w:tabs>
        <w:spacing w:after="120"/>
        <w:ind w:left="1134" w:firstLine="0"/>
        <w:jc w:val="both"/>
      </w:pPr>
      <w:r w:rsidRPr="00FF1087">
        <w:t>In the present case, t</w:t>
      </w:r>
      <w:r w:rsidR="0057736E" w:rsidRPr="00FF1087">
        <w:t>he Party concerned took more than four months to reply</w:t>
      </w:r>
      <w:r w:rsidR="009D604E" w:rsidRPr="00FF1087">
        <w:t xml:space="preserve"> to </w:t>
      </w:r>
      <w:r w:rsidR="00A908CF" w:rsidRPr="00FF1087">
        <w:t xml:space="preserve">Mr. </w:t>
      </w:r>
      <w:r w:rsidR="00CD1B56" w:rsidRPr="00FF1087">
        <w:t>Caulfield’s first</w:t>
      </w:r>
      <w:r w:rsidR="009D604E" w:rsidRPr="00FF1087">
        <w:t xml:space="preserve"> confirmatory application. </w:t>
      </w:r>
      <w:r w:rsidR="00CD1B56" w:rsidRPr="00FF1087">
        <w:t>Th</w:t>
      </w:r>
      <w:r w:rsidR="00FD5BFE" w:rsidRPr="00FF1087">
        <w:t>e</w:t>
      </w:r>
      <w:r w:rsidR="00BA410C" w:rsidRPr="00FF1087">
        <w:t>reafter the</w:t>
      </w:r>
      <w:r w:rsidR="00FD5BFE" w:rsidRPr="00FF1087">
        <w:t xml:space="preserve"> </w:t>
      </w:r>
      <w:r w:rsidR="006E13D8" w:rsidRPr="00FF1087">
        <w:t>Ombudsman took</w:t>
      </w:r>
      <w:r w:rsidR="00376A07" w:rsidRPr="00FF1087">
        <w:t xml:space="preserve"> one year to prepare </w:t>
      </w:r>
      <w:r w:rsidR="00427192" w:rsidRPr="00FF1087">
        <w:t>its</w:t>
      </w:r>
      <w:r w:rsidR="00376A07" w:rsidRPr="00FF1087">
        <w:t xml:space="preserve"> first opinion and </w:t>
      </w:r>
      <w:r w:rsidR="00706487" w:rsidRPr="00FF1087">
        <w:t xml:space="preserve">a further </w:t>
      </w:r>
      <w:r w:rsidR="00376A07" w:rsidRPr="00FF1087">
        <w:t xml:space="preserve">8 months to issue </w:t>
      </w:r>
      <w:r w:rsidR="00D24E1B" w:rsidRPr="00FF1087">
        <w:t xml:space="preserve">its </w:t>
      </w:r>
      <w:r w:rsidR="00376A07" w:rsidRPr="00FF1087">
        <w:t>final opinion</w:t>
      </w:r>
      <w:r w:rsidR="00706487" w:rsidRPr="00FF1087">
        <w:t xml:space="preserve">. </w:t>
      </w:r>
      <w:r w:rsidR="006E13D8" w:rsidRPr="00FF1087">
        <w:t xml:space="preserve"> </w:t>
      </w:r>
    </w:p>
    <w:p w14:paraId="70225EE8" w14:textId="37364E65" w:rsidR="005131B5" w:rsidRPr="00FF1087" w:rsidRDefault="00A07D51" w:rsidP="001478E7">
      <w:pPr>
        <w:numPr>
          <w:ilvl w:val="0"/>
          <w:numId w:val="3"/>
        </w:numPr>
        <w:tabs>
          <w:tab w:val="left" w:pos="1980"/>
        </w:tabs>
        <w:spacing w:after="120"/>
        <w:ind w:left="1134" w:firstLine="0"/>
        <w:jc w:val="both"/>
        <w:rPr>
          <w:color w:val="000000"/>
        </w:rPr>
      </w:pPr>
      <w:bookmarkStart w:id="32" w:name="_Ref36480463"/>
      <w:r w:rsidRPr="00FF1087">
        <w:t>The</w:t>
      </w:r>
      <w:r w:rsidR="009A3AEC" w:rsidRPr="00FF1087">
        <w:t xml:space="preserve"> Committee considers that </w:t>
      </w:r>
      <w:r w:rsidR="00245B20" w:rsidRPr="00FF1087">
        <w:t xml:space="preserve">neither </w:t>
      </w:r>
      <w:r w:rsidR="009A3AEC" w:rsidRPr="00FF1087">
        <w:t>the</w:t>
      </w:r>
      <w:r w:rsidRPr="00FF1087">
        <w:t xml:space="preserve"> </w:t>
      </w:r>
      <w:bookmarkStart w:id="33" w:name="_Hlk523836071"/>
      <w:r w:rsidR="001A3645" w:rsidRPr="00FF1087">
        <w:t>four</w:t>
      </w:r>
      <w:r w:rsidR="004060E0" w:rsidRPr="00FF1087">
        <w:t xml:space="preserve"> months </w:t>
      </w:r>
      <w:r w:rsidR="00245B20" w:rsidRPr="00FF1087">
        <w:t xml:space="preserve">that </w:t>
      </w:r>
      <w:r w:rsidR="00A72296" w:rsidRPr="00FF1087">
        <w:t>the Commission took</w:t>
      </w:r>
      <w:r w:rsidR="007A3740" w:rsidRPr="00FF1087">
        <w:t xml:space="preserve"> to respond to </w:t>
      </w:r>
      <w:r w:rsidR="00A908CF" w:rsidRPr="00FF1087">
        <w:t xml:space="preserve">Mr. </w:t>
      </w:r>
      <w:r w:rsidR="00CD1B56" w:rsidRPr="00FF1087">
        <w:t>Caulfield’s first</w:t>
      </w:r>
      <w:r w:rsidR="007A3740" w:rsidRPr="00FF1087">
        <w:t xml:space="preserve"> confirmatory application </w:t>
      </w:r>
      <w:r w:rsidR="00245B20" w:rsidRPr="00FF1087">
        <w:t xml:space="preserve">nor </w:t>
      </w:r>
      <w:r w:rsidR="007A3740" w:rsidRPr="00FF1087">
        <w:t xml:space="preserve">the </w:t>
      </w:r>
      <w:r w:rsidR="00245B20" w:rsidRPr="00FF1087">
        <w:t xml:space="preserve">more than </w:t>
      </w:r>
      <w:r w:rsidR="001A3645" w:rsidRPr="00FF1087">
        <w:t>two</w:t>
      </w:r>
      <w:r w:rsidR="004060E0" w:rsidRPr="00FF1087">
        <w:t xml:space="preserve"> years</w:t>
      </w:r>
      <w:r w:rsidR="00245B20" w:rsidRPr="00FF1087">
        <w:t xml:space="preserve"> </w:t>
      </w:r>
      <w:r w:rsidR="007A3740" w:rsidRPr="00FF1087">
        <w:t xml:space="preserve">the Ombudsman </w:t>
      </w:r>
      <w:r w:rsidR="00A72296" w:rsidRPr="00FF1087">
        <w:t xml:space="preserve">took </w:t>
      </w:r>
      <w:r w:rsidR="007A3740" w:rsidRPr="00FF1087">
        <w:t xml:space="preserve">to issue its final decision </w:t>
      </w:r>
      <w:r w:rsidR="009A3AEC" w:rsidRPr="00FF1087">
        <w:t>we</w:t>
      </w:r>
      <w:r w:rsidR="00D8617A" w:rsidRPr="00FF1087">
        <w:t xml:space="preserve">re </w:t>
      </w:r>
      <w:r w:rsidRPr="00FF1087">
        <w:t xml:space="preserve">“expeditious”. </w:t>
      </w:r>
      <w:r w:rsidR="00D8617A" w:rsidRPr="00FF1087">
        <w:t>The fact that</w:t>
      </w:r>
      <w:r w:rsidR="00EF5577" w:rsidRPr="00FF1087">
        <w:t xml:space="preserve">, after taking more </w:t>
      </w:r>
      <w:r w:rsidR="00376A07" w:rsidRPr="00FF1087">
        <w:t xml:space="preserve">than </w:t>
      </w:r>
      <w:r w:rsidR="00E6001C" w:rsidRPr="00FF1087">
        <w:t xml:space="preserve">four </w:t>
      </w:r>
      <w:r w:rsidR="00376A07" w:rsidRPr="00FF1087">
        <w:t xml:space="preserve">months </w:t>
      </w:r>
      <w:r w:rsidR="00EF5577" w:rsidRPr="00FF1087">
        <w:t>to</w:t>
      </w:r>
      <w:r w:rsidR="00376A07" w:rsidRPr="00FF1087">
        <w:t xml:space="preserve"> </w:t>
      </w:r>
      <w:r w:rsidR="00245B20" w:rsidRPr="00FF1087">
        <w:t>reply to his confirmatory application</w:t>
      </w:r>
      <w:r w:rsidR="00EF5577" w:rsidRPr="00FF1087">
        <w:t>, the Commission</w:t>
      </w:r>
      <w:r w:rsidR="00376A07" w:rsidRPr="00FF1087">
        <w:t xml:space="preserve"> </w:t>
      </w:r>
      <w:r w:rsidR="00EF5577" w:rsidRPr="00FF1087">
        <w:t xml:space="preserve">informed </w:t>
      </w:r>
      <w:r w:rsidR="00A908CF" w:rsidRPr="00FF1087">
        <w:t xml:space="preserve">Mr. </w:t>
      </w:r>
      <w:r w:rsidR="00EF5577" w:rsidRPr="00FF1087">
        <w:t xml:space="preserve">Caulfield </w:t>
      </w:r>
      <w:r w:rsidR="005D1D1C" w:rsidRPr="00FF1087">
        <w:t xml:space="preserve">that </w:t>
      </w:r>
      <w:r w:rsidR="00EF5577" w:rsidRPr="00FF1087">
        <w:t xml:space="preserve">he should file a </w:t>
      </w:r>
      <w:r w:rsidR="00376A07" w:rsidRPr="00FF1087">
        <w:t>new request regarding a sub-set of the information originally requested</w:t>
      </w:r>
      <w:r w:rsidR="00D8617A" w:rsidRPr="00FF1087">
        <w:t xml:space="preserve">, </w:t>
      </w:r>
      <w:r w:rsidR="00E67BEE" w:rsidRPr="00FF1087">
        <w:t>leading</w:t>
      </w:r>
      <w:r w:rsidR="00D8617A" w:rsidRPr="00FF1087">
        <w:t xml:space="preserve"> to further delay, is also of concern</w:t>
      </w:r>
      <w:r w:rsidR="00376A07" w:rsidRPr="00FF1087">
        <w:t>.</w:t>
      </w:r>
      <w:r w:rsidRPr="00FF1087">
        <w:t xml:space="preserve"> </w:t>
      </w:r>
      <w:r w:rsidR="00021950" w:rsidRPr="00FF1087">
        <w:t>T</w:t>
      </w:r>
      <w:r w:rsidRPr="00FF1087">
        <w:t xml:space="preserve">he </w:t>
      </w:r>
      <w:r w:rsidR="009A3AEC" w:rsidRPr="00FF1087">
        <w:t xml:space="preserve">Committee </w:t>
      </w:r>
      <w:r w:rsidR="00245B20" w:rsidRPr="00FF1087">
        <w:t xml:space="preserve">accordingly </w:t>
      </w:r>
      <w:r w:rsidR="009A3AEC" w:rsidRPr="00FF1087">
        <w:t>finds that</w:t>
      </w:r>
      <w:r w:rsidR="00B92C64" w:rsidRPr="00FF1087">
        <w:t xml:space="preserve">, by failing to ensure at least one </w:t>
      </w:r>
      <w:r w:rsidR="00475C8E" w:rsidRPr="00FF1087">
        <w:t xml:space="preserve">review </w:t>
      </w:r>
      <w:r w:rsidR="00B92C64" w:rsidRPr="00FF1087">
        <w:t>procedure that was expeditious,</w:t>
      </w:r>
      <w:r w:rsidR="009A3AEC" w:rsidRPr="00FF1087">
        <w:t xml:space="preserve"> the </w:t>
      </w:r>
      <w:r w:rsidRPr="00FF1087">
        <w:t>Party concerned failed to comply with the requirement in article 9</w:t>
      </w:r>
      <w:r w:rsidR="00513E2D" w:rsidRPr="00FF1087">
        <w:t>(</w:t>
      </w:r>
      <w:r w:rsidRPr="00FF1087">
        <w:t>1</w:t>
      </w:r>
      <w:r w:rsidR="00513E2D" w:rsidRPr="00FF1087">
        <w:t>)</w:t>
      </w:r>
      <w:r w:rsidRPr="00FF1087">
        <w:t xml:space="preserve">, second </w:t>
      </w:r>
      <w:r w:rsidR="00513E2D" w:rsidRPr="00FF1087">
        <w:t>sentence</w:t>
      </w:r>
      <w:r w:rsidRPr="00FF1087">
        <w:t xml:space="preserve">, </w:t>
      </w:r>
      <w:r w:rsidR="005D1D1C" w:rsidRPr="00FF1087">
        <w:t xml:space="preserve">of the Convention </w:t>
      </w:r>
      <w:r w:rsidRPr="00FF1087">
        <w:t>to ensure an “expeditious” procedure</w:t>
      </w:r>
      <w:r w:rsidR="00EF5577" w:rsidRPr="00FF1087">
        <w:t xml:space="preserve"> for the reconsideration</w:t>
      </w:r>
      <w:r w:rsidR="002C522E" w:rsidRPr="00FF1087">
        <w:t xml:space="preserve"> </w:t>
      </w:r>
      <w:r w:rsidR="00EF5577" w:rsidRPr="00FF1087">
        <w:t>of information requests</w:t>
      </w:r>
      <w:r w:rsidRPr="00FF1087">
        <w:t>.</w:t>
      </w:r>
      <w:bookmarkEnd w:id="32"/>
      <w:r w:rsidR="00693A34" w:rsidRPr="00FF1087" w:rsidDel="00693A34">
        <w:t xml:space="preserve"> </w:t>
      </w:r>
    </w:p>
    <w:p w14:paraId="30A9B950" w14:textId="2782FAEA" w:rsidR="0044070E" w:rsidRPr="00FF1087" w:rsidRDefault="0044070E" w:rsidP="0044070E">
      <w:pPr>
        <w:numPr>
          <w:ilvl w:val="0"/>
          <w:numId w:val="3"/>
        </w:numPr>
        <w:tabs>
          <w:tab w:val="left" w:pos="1980"/>
        </w:tabs>
        <w:spacing w:after="120"/>
        <w:ind w:left="1134" w:firstLine="0"/>
        <w:jc w:val="both"/>
      </w:pPr>
      <w:r w:rsidRPr="00FF1087">
        <w:t xml:space="preserve">The Committee stresses the importance that the Party concerned ensures at least one expeditious procedure under article 9(1), second sentence, of the Convention for the review of environmental information requests. However, taking into consideration that no evidence has been presented to substantiate that the non-compliance found in paragraph </w:t>
      </w:r>
      <w:r w:rsidRPr="00FF1087">
        <w:fldChar w:fldCharType="begin"/>
      </w:r>
      <w:r w:rsidRPr="00FF1087">
        <w:instrText xml:space="preserve"> REF _Ref36480463 \r \h </w:instrText>
      </w:r>
      <w:r w:rsidR="0063474D" w:rsidRPr="00FF1087">
        <w:instrText xml:space="preserve"> \* MERGEFORMAT </w:instrText>
      </w:r>
      <w:r w:rsidRPr="00FF1087">
        <w:fldChar w:fldCharType="separate"/>
      </w:r>
      <w:r w:rsidR="00B713E0">
        <w:rPr>
          <w:cs/>
        </w:rPr>
        <w:t>‎</w:t>
      </w:r>
      <w:r w:rsidR="00B713E0">
        <w:t>110</w:t>
      </w:r>
      <w:r w:rsidRPr="00FF1087">
        <w:fldChar w:fldCharType="end"/>
      </w:r>
      <w:r w:rsidRPr="00FF1087">
        <w:t xml:space="preserve"> above was of a wide or systemic nature, the Committee refrains from making a recommendation on this point.</w:t>
      </w:r>
    </w:p>
    <w:bookmarkEnd w:id="33"/>
    <w:p w14:paraId="6A1B85FD" w14:textId="0E2F2076" w:rsidR="00BF783A" w:rsidRPr="00FF1087" w:rsidRDefault="00BF783A" w:rsidP="0007212F">
      <w:pPr>
        <w:tabs>
          <w:tab w:val="left" w:pos="1170"/>
          <w:tab w:val="left" w:pos="1980"/>
        </w:tabs>
        <w:ind w:left="1134"/>
        <w:jc w:val="both"/>
        <w:rPr>
          <w:b/>
        </w:rPr>
      </w:pPr>
      <w:r w:rsidRPr="00FF1087">
        <w:rPr>
          <w:b/>
        </w:rPr>
        <w:t>Article 3</w:t>
      </w:r>
      <w:r w:rsidR="00513E2D" w:rsidRPr="00FF1087">
        <w:rPr>
          <w:b/>
        </w:rPr>
        <w:t>(</w:t>
      </w:r>
      <w:r w:rsidRPr="00FF1087">
        <w:rPr>
          <w:b/>
        </w:rPr>
        <w:t>2</w:t>
      </w:r>
      <w:r w:rsidR="00513E2D" w:rsidRPr="00FF1087">
        <w:rPr>
          <w:b/>
        </w:rPr>
        <w:t>)</w:t>
      </w:r>
    </w:p>
    <w:p w14:paraId="3CF037D1" w14:textId="77777777" w:rsidR="00BF783A" w:rsidRPr="00FF1087" w:rsidRDefault="00BF783A" w:rsidP="000461C7">
      <w:pPr>
        <w:pStyle w:val="ListParagraph"/>
        <w:tabs>
          <w:tab w:val="left" w:pos="1980"/>
        </w:tabs>
        <w:ind w:left="1746"/>
        <w:jc w:val="both"/>
        <w:rPr>
          <w:b/>
        </w:rPr>
      </w:pPr>
    </w:p>
    <w:p w14:paraId="4FDBD13C" w14:textId="5D2C5481" w:rsidR="007E577B" w:rsidRPr="00FF1087" w:rsidRDefault="00570502" w:rsidP="00A829EA">
      <w:pPr>
        <w:pStyle w:val="ListParagraph"/>
        <w:numPr>
          <w:ilvl w:val="0"/>
          <w:numId w:val="3"/>
        </w:numPr>
        <w:tabs>
          <w:tab w:val="num" w:pos="1170"/>
          <w:tab w:val="left" w:pos="1980"/>
          <w:tab w:val="left" w:pos="6120"/>
        </w:tabs>
        <w:ind w:left="1170" w:firstLine="0"/>
        <w:jc w:val="both"/>
        <w:rPr>
          <w:b/>
          <w:i/>
        </w:rPr>
      </w:pPr>
      <w:r w:rsidRPr="00FF1087">
        <w:t>The communicant states that by its “continuing refusal to provide access to what was requested back on the 20th August [2012]”, the Commission’s 28 February 2013 reply to Mr. Caulfield’s confirmatory application must be considered a breach of article 3(2)</w:t>
      </w:r>
      <w:r w:rsidR="003154B2" w:rsidRPr="00FF1087">
        <w:t xml:space="preserve"> of the Convention</w:t>
      </w:r>
      <w:r w:rsidRPr="00FF1087">
        <w:t>.</w:t>
      </w:r>
      <w:r w:rsidRPr="00FF1087">
        <w:rPr>
          <w:rStyle w:val="FootnoteReference"/>
        </w:rPr>
        <w:footnoteReference w:id="95"/>
      </w:r>
      <w:r w:rsidRPr="00FF1087">
        <w:t xml:space="preserve"> The Committee considers it would render article 3(2) meaningless if every breach of article 4 were simultaneously a breach of article 3(2). Since the communicant has not further elaborated on how it considers that the Party concerned has failed to comply with article 3(2), the Committee finds the allegation regarding article 3(2) unsubstantiated. </w:t>
      </w:r>
    </w:p>
    <w:p w14:paraId="617FDE28" w14:textId="33D0B146" w:rsidR="007E577B" w:rsidRPr="00FF1087" w:rsidRDefault="007E577B" w:rsidP="000461C7">
      <w:pPr>
        <w:tabs>
          <w:tab w:val="left" w:pos="1980"/>
          <w:tab w:val="left" w:pos="6120"/>
        </w:tabs>
        <w:ind w:left="1170"/>
        <w:jc w:val="both"/>
        <w:rPr>
          <w:b/>
          <w:i/>
        </w:rPr>
      </w:pPr>
    </w:p>
    <w:p w14:paraId="4CE12FE5" w14:textId="5407C438" w:rsidR="00ED4379" w:rsidRPr="00FF1087" w:rsidRDefault="00ED4379" w:rsidP="00ED4379">
      <w:pPr>
        <w:pStyle w:val="SingleTxtG"/>
        <w:tabs>
          <w:tab w:val="left" w:pos="1843"/>
          <w:tab w:val="left" w:pos="6120"/>
        </w:tabs>
        <w:ind w:right="0"/>
        <w:rPr>
          <w:b/>
          <w:bCs/>
          <w:lang w:val="en-GB"/>
        </w:rPr>
      </w:pPr>
      <w:r w:rsidRPr="00FF1087">
        <w:rPr>
          <w:b/>
          <w:lang w:val="en-GB"/>
        </w:rPr>
        <w:t xml:space="preserve">Article 7 </w:t>
      </w:r>
    </w:p>
    <w:p w14:paraId="65924FFB" w14:textId="7DEC36DC" w:rsidR="00ED4379" w:rsidRPr="00FF1087" w:rsidRDefault="00E83735" w:rsidP="00026F95">
      <w:pPr>
        <w:pStyle w:val="SingleTxtG"/>
        <w:numPr>
          <w:ilvl w:val="0"/>
          <w:numId w:val="3"/>
        </w:numPr>
        <w:tabs>
          <w:tab w:val="left" w:pos="1843"/>
          <w:tab w:val="left" w:pos="6120"/>
        </w:tabs>
        <w:ind w:left="1134" w:right="0" w:firstLine="0"/>
        <w:rPr>
          <w:lang w:val="en-GB"/>
        </w:rPr>
      </w:pPr>
      <w:r w:rsidRPr="00FF1087">
        <w:rPr>
          <w:lang w:val="en-GB"/>
        </w:rPr>
        <w:t>T</w:t>
      </w:r>
      <w:r w:rsidR="00ED4379" w:rsidRPr="00FF1087">
        <w:rPr>
          <w:lang w:val="en-GB"/>
        </w:rPr>
        <w:t xml:space="preserve">he decision-making procedures regarding the PCIs </w:t>
      </w:r>
      <w:r w:rsidR="005477B7" w:rsidRPr="00FF1087">
        <w:rPr>
          <w:lang w:val="en-GB"/>
        </w:rPr>
        <w:t xml:space="preserve">can </w:t>
      </w:r>
      <w:r w:rsidR="00ED4379" w:rsidRPr="00FF1087">
        <w:rPr>
          <w:lang w:val="en-GB"/>
        </w:rPr>
        <w:t xml:space="preserve">be divided into two levels: EU and </w:t>
      </w:r>
      <w:r w:rsidR="00C1525A" w:rsidRPr="00FF1087">
        <w:rPr>
          <w:lang w:val="en-GB"/>
        </w:rPr>
        <w:t xml:space="preserve">member </w:t>
      </w:r>
      <w:r w:rsidR="00ED4379" w:rsidRPr="00FF1087">
        <w:rPr>
          <w:lang w:val="en-GB"/>
        </w:rPr>
        <w:t>States</w:t>
      </w:r>
      <w:r w:rsidR="00271C2C" w:rsidRPr="00FF1087">
        <w:rPr>
          <w:lang w:val="en-GB"/>
        </w:rPr>
        <w:t>’</w:t>
      </w:r>
      <w:r w:rsidR="00ED4379" w:rsidRPr="00FF1087">
        <w:rPr>
          <w:lang w:val="en-GB"/>
        </w:rPr>
        <w:t xml:space="preserve"> level. The </w:t>
      </w:r>
      <w:r w:rsidR="004C3C39" w:rsidRPr="00FF1087">
        <w:rPr>
          <w:lang w:val="en-GB"/>
        </w:rPr>
        <w:t xml:space="preserve">present </w:t>
      </w:r>
      <w:r w:rsidR="00ED4379" w:rsidRPr="00FF1087">
        <w:rPr>
          <w:lang w:val="en-GB"/>
        </w:rPr>
        <w:t xml:space="preserve">communication is focused only on the decision-making procedures at the EU level, namely those regarding the establishment of the </w:t>
      </w:r>
      <w:r w:rsidR="00C1525A" w:rsidRPr="00FF1087">
        <w:rPr>
          <w:lang w:val="en-GB"/>
        </w:rPr>
        <w:t xml:space="preserve">PCI </w:t>
      </w:r>
      <w:r w:rsidR="00ED4379" w:rsidRPr="00FF1087">
        <w:rPr>
          <w:lang w:val="en-GB"/>
        </w:rPr>
        <w:t xml:space="preserve">list. In this respect the following points do not appear to be disputed by the parties: </w:t>
      </w:r>
    </w:p>
    <w:p w14:paraId="391332CA" w14:textId="41241817" w:rsidR="00ED4379" w:rsidRPr="00FF1087" w:rsidRDefault="00ED4379" w:rsidP="009203E1">
      <w:pPr>
        <w:pStyle w:val="SingleTxtG"/>
        <w:numPr>
          <w:ilvl w:val="0"/>
          <w:numId w:val="7"/>
        </w:numPr>
        <w:tabs>
          <w:tab w:val="left" w:pos="1843"/>
          <w:tab w:val="left" w:pos="6120"/>
        </w:tabs>
        <w:ind w:right="0"/>
        <w:rPr>
          <w:lang w:val="en-GB"/>
        </w:rPr>
      </w:pPr>
      <w:r w:rsidRPr="00FF1087">
        <w:rPr>
          <w:lang w:val="en-GB"/>
        </w:rPr>
        <w:t xml:space="preserve">Article 7 of the Convention applies to the decision-making </w:t>
      </w:r>
      <w:r w:rsidR="00D44D4D" w:rsidRPr="00FF1087">
        <w:rPr>
          <w:lang w:val="en-GB"/>
        </w:rPr>
        <w:t xml:space="preserve">to establish </w:t>
      </w:r>
      <w:r w:rsidRPr="00FF1087">
        <w:rPr>
          <w:lang w:val="en-GB"/>
        </w:rPr>
        <w:t xml:space="preserve">the </w:t>
      </w:r>
      <w:r w:rsidR="00D44D4D" w:rsidRPr="00FF1087">
        <w:rPr>
          <w:lang w:val="en-GB"/>
        </w:rPr>
        <w:t xml:space="preserve">first PCI </w:t>
      </w:r>
      <w:r w:rsidRPr="00FF1087">
        <w:rPr>
          <w:lang w:val="en-GB"/>
        </w:rPr>
        <w:t>list;</w:t>
      </w:r>
    </w:p>
    <w:p w14:paraId="30904AB9" w14:textId="20BD0193" w:rsidR="00ED4379" w:rsidRPr="00FF1087" w:rsidRDefault="00ED4379" w:rsidP="009203E1">
      <w:pPr>
        <w:pStyle w:val="SingleTxtG"/>
        <w:numPr>
          <w:ilvl w:val="0"/>
          <w:numId w:val="7"/>
        </w:numPr>
        <w:tabs>
          <w:tab w:val="left" w:pos="1843"/>
          <w:tab w:val="left" w:pos="6120"/>
        </w:tabs>
        <w:ind w:right="0"/>
        <w:rPr>
          <w:lang w:val="en-GB"/>
        </w:rPr>
      </w:pPr>
      <w:r w:rsidRPr="00FF1087">
        <w:rPr>
          <w:lang w:val="en-GB"/>
        </w:rPr>
        <w:t>Before</w:t>
      </w:r>
      <w:r w:rsidR="00763CA4" w:rsidRPr="00FF1087">
        <w:rPr>
          <w:lang w:val="en-GB"/>
        </w:rPr>
        <w:t xml:space="preserve"> the</w:t>
      </w:r>
      <w:r w:rsidRPr="00FF1087">
        <w:rPr>
          <w:lang w:val="en-GB"/>
        </w:rPr>
        <w:t xml:space="preserve"> adoption of the first list, public consultations were conducted;</w:t>
      </w:r>
    </w:p>
    <w:p w14:paraId="2A8F5ECB" w14:textId="6A0191DA" w:rsidR="00ED4379" w:rsidRPr="00FF1087" w:rsidRDefault="00ED4379" w:rsidP="005C7900">
      <w:pPr>
        <w:pStyle w:val="SingleTxtG"/>
        <w:numPr>
          <w:ilvl w:val="0"/>
          <w:numId w:val="7"/>
        </w:numPr>
        <w:tabs>
          <w:tab w:val="left" w:pos="1843"/>
          <w:tab w:val="left" w:pos="6120"/>
        </w:tabs>
        <w:ind w:right="0"/>
        <w:rPr>
          <w:lang w:val="en-GB"/>
        </w:rPr>
      </w:pPr>
      <w:r w:rsidRPr="00FF1087">
        <w:rPr>
          <w:lang w:val="en-GB"/>
        </w:rPr>
        <w:t xml:space="preserve">The communicant’s claims relate to the stage </w:t>
      </w:r>
      <w:proofErr w:type="gramStart"/>
      <w:r w:rsidR="005C7900" w:rsidRPr="00FF1087">
        <w:rPr>
          <w:lang w:val="en-GB"/>
        </w:rPr>
        <w:t xml:space="preserve">establishing </w:t>
      </w:r>
      <w:r w:rsidRPr="00FF1087">
        <w:rPr>
          <w:lang w:val="en-GB"/>
        </w:rPr>
        <w:t xml:space="preserve"> the</w:t>
      </w:r>
      <w:proofErr w:type="gramEnd"/>
      <w:r w:rsidRPr="00FF1087">
        <w:rPr>
          <w:lang w:val="en-GB"/>
        </w:rPr>
        <w:t xml:space="preserve"> </w:t>
      </w:r>
      <w:r w:rsidR="00C1525A" w:rsidRPr="00FF1087">
        <w:rPr>
          <w:lang w:val="en-GB"/>
        </w:rPr>
        <w:t>PCI list</w:t>
      </w:r>
      <w:r w:rsidRPr="00FF1087">
        <w:rPr>
          <w:lang w:val="en-GB"/>
        </w:rPr>
        <w:t xml:space="preserve"> and not to subsequent steps in the procedure.</w:t>
      </w:r>
    </w:p>
    <w:p w14:paraId="4A2475C5" w14:textId="2FCF6B32" w:rsidR="00ED4379" w:rsidRPr="00FF1087" w:rsidRDefault="00ED4379" w:rsidP="00ED4379">
      <w:pPr>
        <w:pStyle w:val="SingleTxtG"/>
        <w:numPr>
          <w:ilvl w:val="0"/>
          <w:numId w:val="3"/>
        </w:numPr>
        <w:tabs>
          <w:tab w:val="left" w:pos="1843"/>
          <w:tab w:val="left" w:pos="6120"/>
        </w:tabs>
        <w:ind w:left="1134" w:right="0" w:firstLine="0"/>
        <w:rPr>
          <w:lang w:val="en-GB"/>
        </w:rPr>
      </w:pPr>
      <w:r w:rsidRPr="00FF1087">
        <w:rPr>
          <w:lang w:val="en-GB"/>
        </w:rPr>
        <w:lastRenderedPageBreak/>
        <w:t xml:space="preserve">The essence of the communicant’s </w:t>
      </w:r>
      <w:r w:rsidR="00E83735" w:rsidRPr="00FF1087">
        <w:rPr>
          <w:lang w:val="en-GB"/>
        </w:rPr>
        <w:t xml:space="preserve">article 7 </w:t>
      </w:r>
      <w:r w:rsidRPr="00FF1087">
        <w:rPr>
          <w:lang w:val="en-GB"/>
        </w:rPr>
        <w:t xml:space="preserve">claim is that </w:t>
      </w:r>
      <w:r w:rsidR="00370E70" w:rsidRPr="00FF1087">
        <w:rPr>
          <w:lang w:val="en-GB"/>
        </w:rPr>
        <w:t xml:space="preserve">the </w:t>
      </w:r>
      <w:r w:rsidRPr="00FF1087">
        <w:rPr>
          <w:lang w:val="en-GB"/>
        </w:rPr>
        <w:t xml:space="preserve">consultations  regarding  the first </w:t>
      </w:r>
      <w:r w:rsidR="00C1525A" w:rsidRPr="00FF1087">
        <w:rPr>
          <w:lang w:val="en-GB"/>
        </w:rPr>
        <w:t>PCI list</w:t>
      </w:r>
      <w:r w:rsidRPr="00FF1087">
        <w:rPr>
          <w:lang w:val="en-GB"/>
        </w:rPr>
        <w:t xml:space="preserve"> </w:t>
      </w:r>
      <w:r w:rsidR="00E83735" w:rsidRPr="00FF1087">
        <w:rPr>
          <w:lang w:val="en-GB"/>
        </w:rPr>
        <w:t>was not</w:t>
      </w:r>
      <w:r w:rsidRPr="00FF1087">
        <w:rPr>
          <w:lang w:val="en-GB"/>
        </w:rPr>
        <w:t xml:space="preserve"> “early public participation, when all options are open” and were not conducted “having provided the necessary information to the public,” because  the public </w:t>
      </w:r>
      <w:r w:rsidR="004C3C39" w:rsidRPr="00FF1087">
        <w:rPr>
          <w:lang w:val="en-GB"/>
        </w:rPr>
        <w:t xml:space="preserve">that </w:t>
      </w:r>
      <w:r w:rsidRPr="00FF1087">
        <w:rPr>
          <w:lang w:val="en-GB"/>
        </w:rPr>
        <w:t xml:space="preserve">would be most affected was not identified, not properly notified, not provided with necessary information and did not have a chance to participate at </w:t>
      </w:r>
      <w:r w:rsidR="00370E70" w:rsidRPr="00FF1087">
        <w:rPr>
          <w:lang w:val="en-GB"/>
        </w:rPr>
        <w:t xml:space="preserve">an </w:t>
      </w:r>
      <w:r w:rsidRPr="00FF1087">
        <w:rPr>
          <w:lang w:val="en-GB"/>
        </w:rPr>
        <w:t xml:space="preserve">early stage. </w:t>
      </w:r>
      <w:r w:rsidR="00646B57" w:rsidRPr="00FF1087">
        <w:rPr>
          <w:lang w:val="en-GB"/>
        </w:rPr>
        <w:t xml:space="preserve">Moreover, </w:t>
      </w:r>
      <w:r w:rsidR="00646B57" w:rsidRPr="00FF1087">
        <w:rPr>
          <w:lang w:val="en-US"/>
        </w:rPr>
        <w:t xml:space="preserve">the </w:t>
      </w:r>
      <w:r w:rsidR="00BA3625" w:rsidRPr="00FF1087">
        <w:t xml:space="preserve">language of the public participation was restricted to English, which </w:t>
      </w:r>
      <w:r w:rsidR="00646B57" w:rsidRPr="00FF1087">
        <w:rPr>
          <w:lang w:val="en-US"/>
        </w:rPr>
        <w:t xml:space="preserve">is only </w:t>
      </w:r>
      <w:r w:rsidR="00BA3625" w:rsidRPr="00FF1087">
        <w:t>understood by a minority of those affected by the decision-making</w:t>
      </w:r>
      <w:r w:rsidR="00646B57" w:rsidRPr="00FF1087">
        <w:rPr>
          <w:lang w:val="en-US"/>
        </w:rPr>
        <w:t xml:space="preserve">. </w:t>
      </w:r>
      <w:r w:rsidR="00646B57" w:rsidRPr="00FF1087">
        <w:rPr>
          <w:lang w:val="en-GB"/>
        </w:rPr>
        <w:t xml:space="preserve">Finally, </w:t>
      </w:r>
      <w:r w:rsidRPr="00FF1087">
        <w:rPr>
          <w:lang w:val="en-GB"/>
        </w:rPr>
        <w:t xml:space="preserve">the communicant claims that the </w:t>
      </w:r>
      <w:r w:rsidR="00370E70" w:rsidRPr="00FF1087">
        <w:rPr>
          <w:lang w:val="en-GB"/>
        </w:rPr>
        <w:t xml:space="preserve">public’s </w:t>
      </w:r>
      <w:r w:rsidRPr="00FF1087">
        <w:rPr>
          <w:lang w:val="en-GB"/>
        </w:rPr>
        <w:t xml:space="preserve">views were not </w:t>
      </w:r>
      <w:proofErr w:type="gramStart"/>
      <w:r w:rsidRPr="00FF1087">
        <w:rPr>
          <w:lang w:val="en-GB"/>
        </w:rPr>
        <w:t>taken into account</w:t>
      </w:r>
      <w:proofErr w:type="gramEnd"/>
      <w:r w:rsidRPr="00FF1087">
        <w:rPr>
          <w:lang w:val="en-GB"/>
        </w:rPr>
        <w:t>.</w:t>
      </w:r>
    </w:p>
    <w:p w14:paraId="2F449236" w14:textId="435039B4" w:rsidR="00DF60CA" w:rsidRPr="00FF1087" w:rsidRDefault="00370E70" w:rsidP="00DF60CA">
      <w:pPr>
        <w:pStyle w:val="SingleTxtG"/>
        <w:numPr>
          <w:ilvl w:val="0"/>
          <w:numId w:val="3"/>
        </w:numPr>
        <w:tabs>
          <w:tab w:val="left" w:pos="1843"/>
          <w:tab w:val="left" w:pos="6120"/>
        </w:tabs>
        <w:ind w:left="1134" w:right="0" w:firstLine="0"/>
        <w:rPr>
          <w:lang w:val="en-GB"/>
        </w:rPr>
      </w:pPr>
      <w:r w:rsidRPr="00FF1087">
        <w:rPr>
          <w:lang w:val="en-GB"/>
        </w:rPr>
        <w:t xml:space="preserve">Based on </w:t>
      </w:r>
      <w:r w:rsidR="00ED4379" w:rsidRPr="00FF1087">
        <w:rPr>
          <w:lang w:val="en-GB"/>
        </w:rPr>
        <w:t>the above</w:t>
      </w:r>
      <w:r w:rsidRPr="00FF1087">
        <w:rPr>
          <w:lang w:val="en-GB"/>
        </w:rPr>
        <w:t>,</w:t>
      </w:r>
      <w:r w:rsidR="00ED4379" w:rsidRPr="00FF1087">
        <w:rPr>
          <w:lang w:val="en-GB"/>
        </w:rPr>
        <w:t xml:space="preserve"> the Committee </w:t>
      </w:r>
      <w:r w:rsidRPr="00FF1087">
        <w:rPr>
          <w:lang w:val="en-GB"/>
        </w:rPr>
        <w:t xml:space="preserve">will examine </w:t>
      </w:r>
      <w:r w:rsidR="00ED4379" w:rsidRPr="00FF1087">
        <w:rPr>
          <w:lang w:val="en-GB"/>
        </w:rPr>
        <w:t>the following issues</w:t>
      </w:r>
      <w:r w:rsidR="00817C07" w:rsidRPr="00FF1087">
        <w:rPr>
          <w:lang w:val="en-GB"/>
        </w:rPr>
        <w:t xml:space="preserve"> under article 7 of the Convention</w:t>
      </w:r>
      <w:r w:rsidR="00ED4379" w:rsidRPr="00FF1087">
        <w:rPr>
          <w:lang w:val="en-GB"/>
        </w:rPr>
        <w:t>:</w:t>
      </w:r>
      <w:r w:rsidR="00646B57" w:rsidRPr="00FF1087">
        <w:rPr>
          <w:lang w:val="en-GB"/>
        </w:rPr>
        <w:t xml:space="preserve"> </w:t>
      </w:r>
    </w:p>
    <w:p w14:paraId="39A4820D" w14:textId="5E6957A0" w:rsidR="00ED4379" w:rsidRPr="00FF1087" w:rsidRDefault="004C3C39" w:rsidP="0007320D">
      <w:pPr>
        <w:pStyle w:val="SingleTxtG"/>
        <w:numPr>
          <w:ilvl w:val="0"/>
          <w:numId w:val="9"/>
        </w:numPr>
        <w:tabs>
          <w:tab w:val="left" w:pos="1843"/>
          <w:tab w:val="left" w:pos="6120"/>
        </w:tabs>
        <w:ind w:left="2410" w:right="0" w:hanging="709"/>
        <w:rPr>
          <w:lang w:val="en-GB"/>
        </w:rPr>
      </w:pPr>
      <w:r w:rsidRPr="00FF1087">
        <w:rPr>
          <w:lang w:val="en-GB"/>
        </w:rPr>
        <w:t>I</w:t>
      </w:r>
      <w:r w:rsidR="00ED4379" w:rsidRPr="00FF1087">
        <w:rPr>
          <w:lang w:val="en-GB"/>
        </w:rPr>
        <w:t>dentification and notification of the public which may participate</w:t>
      </w:r>
      <w:r w:rsidRPr="00FF1087">
        <w:rPr>
          <w:lang w:val="en-GB"/>
        </w:rPr>
        <w:t xml:space="preserve"> (article 7 </w:t>
      </w:r>
      <w:proofErr w:type="gramStart"/>
      <w:r w:rsidRPr="00FF1087">
        <w:rPr>
          <w:lang w:val="en-GB"/>
        </w:rPr>
        <w:t>in  conjunction</w:t>
      </w:r>
      <w:proofErr w:type="gramEnd"/>
      <w:r w:rsidRPr="00FF1087">
        <w:rPr>
          <w:lang w:val="en-GB"/>
        </w:rPr>
        <w:t xml:space="preserve"> with article 6(2))</w:t>
      </w:r>
      <w:r w:rsidR="005C7900" w:rsidRPr="00FF1087">
        <w:rPr>
          <w:lang w:val="en-GB"/>
        </w:rPr>
        <w:t>;</w:t>
      </w:r>
    </w:p>
    <w:p w14:paraId="7B6533A1" w14:textId="6E342607" w:rsidR="004C3C39" w:rsidRPr="00FF1087" w:rsidRDefault="004C3C39" w:rsidP="0007320D">
      <w:pPr>
        <w:pStyle w:val="SingleTxtG"/>
        <w:numPr>
          <w:ilvl w:val="0"/>
          <w:numId w:val="9"/>
        </w:numPr>
        <w:tabs>
          <w:tab w:val="left" w:pos="1843"/>
          <w:tab w:val="left" w:pos="6120"/>
        </w:tabs>
        <w:ind w:left="2410" w:right="0" w:hanging="709"/>
        <w:rPr>
          <w:lang w:val="en-GB"/>
        </w:rPr>
      </w:pPr>
      <w:r w:rsidRPr="00FF1087">
        <w:rPr>
          <w:lang w:val="en-GB"/>
        </w:rPr>
        <w:t>Early</w:t>
      </w:r>
      <w:r w:rsidR="00ED4379" w:rsidRPr="00FF1087">
        <w:rPr>
          <w:lang w:val="en-GB"/>
        </w:rPr>
        <w:t xml:space="preserve"> public participation, when all options are open</w:t>
      </w:r>
      <w:r w:rsidRPr="00FF1087">
        <w:rPr>
          <w:lang w:val="en-GB"/>
        </w:rPr>
        <w:t xml:space="preserve"> (article 7 </w:t>
      </w:r>
      <w:proofErr w:type="gramStart"/>
      <w:r w:rsidRPr="00FF1087">
        <w:rPr>
          <w:lang w:val="en-GB"/>
        </w:rPr>
        <w:t>in  conjunction</w:t>
      </w:r>
      <w:proofErr w:type="gramEnd"/>
      <w:r w:rsidRPr="00FF1087">
        <w:rPr>
          <w:lang w:val="en-GB"/>
        </w:rPr>
        <w:t xml:space="preserve"> with article 6(4));</w:t>
      </w:r>
    </w:p>
    <w:p w14:paraId="5630B102" w14:textId="7753C19F" w:rsidR="00ED4379" w:rsidRPr="00FF1087" w:rsidRDefault="004C3C39" w:rsidP="0007320D">
      <w:pPr>
        <w:pStyle w:val="SingleTxtG"/>
        <w:numPr>
          <w:ilvl w:val="0"/>
          <w:numId w:val="9"/>
        </w:numPr>
        <w:tabs>
          <w:tab w:val="left" w:pos="1843"/>
          <w:tab w:val="left" w:pos="6120"/>
        </w:tabs>
        <w:ind w:left="2410" w:right="0" w:hanging="709"/>
        <w:rPr>
          <w:lang w:val="en-GB"/>
        </w:rPr>
      </w:pPr>
      <w:r w:rsidRPr="00FF1087">
        <w:rPr>
          <w:lang w:val="en-GB"/>
        </w:rPr>
        <w:t>O</w:t>
      </w:r>
      <w:r w:rsidR="00ED4379" w:rsidRPr="00FF1087">
        <w:rPr>
          <w:lang w:val="en-GB"/>
        </w:rPr>
        <w:t>bligation to provide the necessary information to the public</w:t>
      </w:r>
      <w:r w:rsidRPr="00FF1087">
        <w:rPr>
          <w:lang w:val="en-GB"/>
        </w:rPr>
        <w:t xml:space="preserve"> (article 7))</w:t>
      </w:r>
      <w:r w:rsidR="00ED4379" w:rsidRPr="00FF1087">
        <w:rPr>
          <w:lang w:val="en-GB"/>
        </w:rPr>
        <w:t xml:space="preserve">; </w:t>
      </w:r>
    </w:p>
    <w:p w14:paraId="797CC917" w14:textId="77C28561" w:rsidR="00646B57" w:rsidRPr="00FF1087" w:rsidRDefault="004C3C39" w:rsidP="0007320D">
      <w:pPr>
        <w:pStyle w:val="SingleTxtG"/>
        <w:numPr>
          <w:ilvl w:val="0"/>
          <w:numId w:val="9"/>
        </w:numPr>
        <w:tabs>
          <w:tab w:val="left" w:pos="1843"/>
          <w:tab w:val="left" w:pos="6120"/>
        </w:tabs>
        <w:ind w:left="2410" w:right="0" w:hanging="709"/>
        <w:rPr>
          <w:lang w:val="en-GB"/>
        </w:rPr>
      </w:pPr>
      <w:r w:rsidRPr="00FF1087">
        <w:rPr>
          <w:lang w:val="en-GB"/>
        </w:rPr>
        <w:t>O</w:t>
      </w:r>
      <w:r w:rsidR="00ED4379" w:rsidRPr="00FF1087">
        <w:rPr>
          <w:lang w:val="en-GB"/>
        </w:rPr>
        <w:t>bligation to take due account of the outcome of public participation</w:t>
      </w:r>
      <w:r w:rsidRPr="00FF1087">
        <w:rPr>
          <w:lang w:val="en-GB"/>
        </w:rPr>
        <w:t xml:space="preserve"> (article 7 </w:t>
      </w:r>
      <w:proofErr w:type="gramStart"/>
      <w:r w:rsidRPr="00FF1087">
        <w:rPr>
          <w:lang w:val="en-GB"/>
        </w:rPr>
        <w:t>in  conjunction</w:t>
      </w:r>
      <w:proofErr w:type="gramEnd"/>
      <w:r w:rsidRPr="00FF1087">
        <w:rPr>
          <w:lang w:val="en-GB"/>
        </w:rPr>
        <w:t xml:space="preserve"> with article 6(8))</w:t>
      </w:r>
      <w:r w:rsidR="00646B57" w:rsidRPr="00FF1087">
        <w:rPr>
          <w:lang w:val="en-GB"/>
        </w:rPr>
        <w:t>.</w:t>
      </w:r>
    </w:p>
    <w:p w14:paraId="6F949F91" w14:textId="7C83D604" w:rsidR="00646B57" w:rsidRPr="00FF1087" w:rsidRDefault="00646B57" w:rsidP="0044070E">
      <w:pPr>
        <w:pStyle w:val="SingleTxtG"/>
        <w:numPr>
          <w:ilvl w:val="0"/>
          <w:numId w:val="3"/>
        </w:numPr>
        <w:tabs>
          <w:tab w:val="left" w:pos="1843"/>
          <w:tab w:val="left" w:pos="6120"/>
        </w:tabs>
        <w:ind w:right="0"/>
        <w:rPr>
          <w:lang w:val="en-GB"/>
        </w:rPr>
      </w:pPr>
      <w:r w:rsidRPr="00FF1087">
        <w:rPr>
          <w:lang w:val="en-GB"/>
        </w:rPr>
        <w:t xml:space="preserve">The Committee will examine </w:t>
      </w:r>
      <w:r w:rsidR="00AB56F5" w:rsidRPr="00FF1087">
        <w:rPr>
          <w:lang w:val="en-GB"/>
        </w:rPr>
        <w:t xml:space="preserve">under article 3(9) </w:t>
      </w:r>
      <w:r w:rsidR="003154B2" w:rsidRPr="00FF1087">
        <w:rPr>
          <w:lang w:val="en-GB"/>
        </w:rPr>
        <w:t xml:space="preserve">of the Convention </w:t>
      </w:r>
      <w:r w:rsidRPr="00FF1087">
        <w:rPr>
          <w:lang w:val="en-GB"/>
        </w:rPr>
        <w:t>the communicant’s allegation regarding the language of the information provided.</w:t>
      </w:r>
    </w:p>
    <w:p w14:paraId="2BA890D7" w14:textId="452B334D" w:rsidR="00ED4379" w:rsidRPr="00FF1087" w:rsidRDefault="00172A9F" w:rsidP="0044070E">
      <w:pPr>
        <w:pStyle w:val="SingleTxtG"/>
        <w:tabs>
          <w:tab w:val="left" w:pos="1843"/>
          <w:tab w:val="left" w:pos="6120"/>
        </w:tabs>
        <w:spacing w:before="240"/>
        <w:ind w:right="0"/>
        <w:rPr>
          <w:b/>
          <w:bCs/>
          <w:lang w:val="en-GB"/>
        </w:rPr>
      </w:pPr>
      <w:r w:rsidRPr="00FF1087">
        <w:rPr>
          <w:b/>
          <w:bCs/>
          <w:lang w:val="en-GB"/>
        </w:rPr>
        <w:t>Identification and notification</w:t>
      </w:r>
      <w:r w:rsidRPr="00FF1087">
        <w:rPr>
          <w:b/>
          <w:lang w:val="en-GB"/>
        </w:rPr>
        <w:t xml:space="preserve"> of the </w:t>
      </w:r>
      <w:r w:rsidRPr="00FF1087">
        <w:rPr>
          <w:b/>
          <w:bCs/>
          <w:lang w:val="en-GB"/>
        </w:rPr>
        <w:t>public - a</w:t>
      </w:r>
      <w:r w:rsidR="00ED4379" w:rsidRPr="00FF1087">
        <w:rPr>
          <w:b/>
          <w:bCs/>
          <w:lang w:val="en-GB"/>
        </w:rPr>
        <w:t>rticle 7 in conjunction with article 6</w:t>
      </w:r>
      <w:r w:rsidR="004A3441" w:rsidRPr="00FF1087">
        <w:rPr>
          <w:b/>
          <w:bCs/>
          <w:lang w:val="en-GB"/>
        </w:rPr>
        <w:t>(</w:t>
      </w:r>
      <w:r w:rsidR="00ED4379" w:rsidRPr="00FF1087">
        <w:rPr>
          <w:b/>
          <w:bCs/>
          <w:lang w:val="en-GB"/>
        </w:rPr>
        <w:t>2</w:t>
      </w:r>
      <w:r w:rsidR="004A3441" w:rsidRPr="00FF1087">
        <w:rPr>
          <w:b/>
          <w:bCs/>
          <w:lang w:val="en-GB"/>
        </w:rPr>
        <w:t>)</w:t>
      </w:r>
    </w:p>
    <w:p w14:paraId="5C91AD75" w14:textId="54A1E455" w:rsidR="00172A9F" w:rsidRPr="00FF1087" w:rsidRDefault="00172A9F" w:rsidP="0007320D">
      <w:pPr>
        <w:pStyle w:val="SingleTxtG"/>
        <w:tabs>
          <w:tab w:val="left" w:pos="1843"/>
          <w:tab w:val="left" w:pos="6120"/>
        </w:tabs>
        <w:ind w:right="0"/>
        <w:rPr>
          <w:i/>
          <w:iCs/>
          <w:lang w:val="en-GB"/>
        </w:rPr>
      </w:pPr>
      <w:r w:rsidRPr="00FF1087">
        <w:rPr>
          <w:i/>
          <w:iCs/>
          <w:lang w:val="en-GB"/>
        </w:rPr>
        <w:t>Identification</w:t>
      </w:r>
    </w:p>
    <w:p w14:paraId="70A6A297" w14:textId="68B65A5A" w:rsidR="00ED4379" w:rsidRPr="00FF1087" w:rsidRDefault="0082471B" w:rsidP="0082471B">
      <w:pPr>
        <w:pStyle w:val="SingleTxtG"/>
        <w:numPr>
          <w:ilvl w:val="0"/>
          <w:numId w:val="3"/>
        </w:numPr>
        <w:tabs>
          <w:tab w:val="left" w:pos="1843"/>
          <w:tab w:val="left" w:pos="6120"/>
        </w:tabs>
        <w:ind w:left="1134" w:right="0" w:firstLine="0"/>
        <w:rPr>
          <w:lang w:val="en-GB"/>
        </w:rPr>
      </w:pPr>
      <w:r w:rsidRPr="00FF1087">
        <w:rPr>
          <w:lang w:val="en-GB"/>
        </w:rPr>
        <w:t xml:space="preserve">Article </w:t>
      </w:r>
      <w:r w:rsidR="00ED4379" w:rsidRPr="00FF1087">
        <w:rPr>
          <w:lang w:val="en-GB"/>
        </w:rPr>
        <w:t xml:space="preserve">7 </w:t>
      </w:r>
      <w:r w:rsidR="003154B2" w:rsidRPr="00FF1087">
        <w:rPr>
          <w:lang w:val="en-GB"/>
        </w:rPr>
        <w:t xml:space="preserve">of the Convention </w:t>
      </w:r>
      <w:r w:rsidR="00172A9F" w:rsidRPr="00FF1087">
        <w:rPr>
          <w:lang w:val="en-GB"/>
        </w:rPr>
        <w:t xml:space="preserve">requires the relevant public authority to identify the public which may participate. It </w:t>
      </w:r>
      <w:r w:rsidR="00763CA4" w:rsidRPr="00FF1087">
        <w:rPr>
          <w:lang w:val="en-GB"/>
        </w:rPr>
        <w:t xml:space="preserve">uses the </w:t>
      </w:r>
      <w:r w:rsidR="002D7246" w:rsidRPr="00FF1087">
        <w:rPr>
          <w:lang w:val="en-GB"/>
        </w:rPr>
        <w:t xml:space="preserve">broader </w:t>
      </w:r>
      <w:r w:rsidR="00370E70" w:rsidRPr="00FF1087">
        <w:rPr>
          <w:lang w:val="en-GB"/>
        </w:rPr>
        <w:t xml:space="preserve">term </w:t>
      </w:r>
      <w:r w:rsidR="00763CA4" w:rsidRPr="00FF1087">
        <w:rPr>
          <w:lang w:val="en-GB"/>
        </w:rPr>
        <w:t>“the public” rather than “the public concerned”</w:t>
      </w:r>
      <w:r w:rsidR="00172A9F" w:rsidRPr="00FF1087">
        <w:rPr>
          <w:lang w:val="en-GB"/>
        </w:rPr>
        <w:t xml:space="preserve"> and </w:t>
      </w:r>
      <w:r w:rsidR="00672990" w:rsidRPr="00FF1087">
        <w:rPr>
          <w:lang w:val="en-GB"/>
        </w:rPr>
        <w:t xml:space="preserve">expressly </w:t>
      </w:r>
      <w:r w:rsidR="00ED4379" w:rsidRPr="00FF1087">
        <w:rPr>
          <w:lang w:val="en-GB"/>
        </w:rPr>
        <w:t xml:space="preserve">requires public authorities to </w:t>
      </w:r>
      <w:proofErr w:type="gramStart"/>
      <w:r w:rsidR="00ED4379" w:rsidRPr="00FF1087">
        <w:rPr>
          <w:lang w:val="en-GB"/>
        </w:rPr>
        <w:t>take into account</w:t>
      </w:r>
      <w:proofErr w:type="gramEnd"/>
      <w:r w:rsidR="00ED4379" w:rsidRPr="00FF1087">
        <w:rPr>
          <w:lang w:val="en-GB"/>
        </w:rPr>
        <w:t xml:space="preserve"> the </w:t>
      </w:r>
      <w:r w:rsidR="002D7246" w:rsidRPr="00FF1087">
        <w:rPr>
          <w:lang w:val="en-GB"/>
        </w:rPr>
        <w:t xml:space="preserve">Convention’s </w:t>
      </w:r>
      <w:r w:rsidR="00ED4379" w:rsidRPr="00FF1087">
        <w:rPr>
          <w:lang w:val="en-GB"/>
        </w:rPr>
        <w:t xml:space="preserve">objectives when identifying the public which may participate. </w:t>
      </w:r>
      <w:r w:rsidR="00672990" w:rsidRPr="00FF1087">
        <w:rPr>
          <w:lang w:val="en-GB"/>
        </w:rPr>
        <w:t>The Committee makes clear that the</w:t>
      </w:r>
      <w:r w:rsidR="00ED4379" w:rsidRPr="00FF1087">
        <w:rPr>
          <w:lang w:val="en-GB"/>
        </w:rPr>
        <w:t xml:space="preserve"> </w:t>
      </w:r>
      <w:r w:rsidR="00172A9F" w:rsidRPr="00FF1087">
        <w:rPr>
          <w:lang w:val="en-GB"/>
        </w:rPr>
        <w:t>obligation to identify the</w:t>
      </w:r>
      <w:r w:rsidR="00672990" w:rsidRPr="00FF1087">
        <w:rPr>
          <w:lang w:val="en-GB"/>
        </w:rPr>
        <w:t xml:space="preserve"> </w:t>
      </w:r>
      <w:r w:rsidR="00ED4379" w:rsidRPr="00FF1087">
        <w:rPr>
          <w:lang w:val="en-GB"/>
        </w:rPr>
        <w:t xml:space="preserve">public which may participate </w:t>
      </w:r>
      <w:r w:rsidR="00672990" w:rsidRPr="00FF1087">
        <w:rPr>
          <w:lang w:val="en-GB"/>
        </w:rPr>
        <w:t xml:space="preserve">must </w:t>
      </w:r>
      <w:r w:rsidR="00ED4379" w:rsidRPr="00FF1087">
        <w:rPr>
          <w:lang w:val="en-GB"/>
        </w:rPr>
        <w:t xml:space="preserve">not be used by public authorities in a way </w:t>
      </w:r>
      <w:r w:rsidR="00AB56F5" w:rsidRPr="00FF1087">
        <w:rPr>
          <w:lang w:val="en-GB"/>
        </w:rPr>
        <w:t>that would</w:t>
      </w:r>
      <w:r w:rsidR="00ED4379" w:rsidRPr="00FF1087">
        <w:rPr>
          <w:lang w:val="en-GB"/>
        </w:rPr>
        <w:t xml:space="preserve"> restrict public participation, but rather as a way of making public participation more effective.</w:t>
      </w:r>
      <w:r w:rsidR="00ED4379" w:rsidRPr="00FF1087">
        <w:rPr>
          <w:vertAlign w:val="superscript"/>
          <w:lang w:val="en-GB"/>
        </w:rPr>
        <w:footnoteReference w:id="96"/>
      </w:r>
      <w:r w:rsidR="00ED4379" w:rsidRPr="00FF1087">
        <w:rPr>
          <w:lang w:val="en-GB"/>
        </w:rPr>
        <w:t xml:space="preserve"> </w:t>
      </w:r>
      <w:r w:rsidR="00672990" w:rsidRPr="00FF1087">
        <w:rPr>
          <w:lang w:val="en-GB"/>
        </w:rPr>
        <w:t>However, simply designing the procedure so that anyone who may wish to participate can do so may not be enough.</w:t>
      </w:r>
      <w:r w:rsidR="00672990" w:rsidRPr="00FF1087">
        <w:rPr>
          <w:vertAlign w:val="superscript"/>
          <w:lang w:val="en-GB"/>
        </w:rPr>
        <w:footnoteReference w:id="97"/>
      </w:r>
      <w:r w:rsidR="00672990" w:rsidRPr="00FF1087">
        <w:rPr>
          <w:lang w:val="en-GB"/>
        </w:rPr>
        <w:t xml:space="preserve"> Even if the procedure is open to all, i</w:t>
      </w:r>
      <w:r w:rsidR="00ED4379" w:rsidRPr="00FF1087">
        <w:rPr>
          <w:lang w:val="en-GB"/>
        </w:rPr>
        <w:t>t is recommended that</w:t>
      </w:r>
      <w:r w:rsidR="009A7A90" w:rsidRPr="00FF1087">
        <w:rPr>
          <w:lang w:val="en-GB"/>
        </w:rPr>
        <w:t>, bearing in mind inter alia the nature of the decision-making and its geographical scope,</w:t>
      </w:r>
      <w:r w:rsidR="00ED4379" w:rsidRPr="00FF1087">
        <w:rPr>
          <w:lang w:val="en-GB"/>
        </w:rPr>
        <w:t xml:space="preserve"> a wide range of interest groups </w:t>
      </w:r>
      <w:r w:rsidR="009A7A90" w:rsidRPr="00FF1087">
        <w:rPr>
          <w:lang w:val="en-GB"/>
        </w:rPr>
        <w:t xml:space="preserve">is </w:t>
      </w:r>
      <w:r w:rsidR="00ED4379" w:rsidRPr="00FF1087">
        <w:rPr>
          <w:lang w:val="en-GB"/>
        </w:rPr>
        <w:t>identified and encouraged to take part in the process</w:t>
      </w:r>
      <w:r w:rsidR="00B86B26" w:rsidRPr="00FF1087">
        <w:rPr>
          <w:lang w:val="en-GB"/>
        </w:rPr>
        <w:t>.</w:t>
      </w:r>
      <w:r w:rsidR="00ED4379" w:rsidRPr="00FF1087">
        <w:rPr>
          <w:vertAlign w:val="superscript"/>
          <w:lang w:val="en-GB"/>
        </w:rPr>
        <w:footnoteReference w:id="98"/>
      </w:r>
      <w:r w:rsidR="00ED4379" w:rsidRPr="00FF1087">
        <w:rPr>
          <w:vertAlign w:val="superscript"/>
          <w:lang w:val="en-GB"/>
        </w:rPr>
        <w:t xml:space="preserve"> </w:t>
      </w:r>
      <w:r w:rsidR="00ED4379" w:rsidRPr="00FF1087">
        <w:rPr>
          <w:lang w:val="en-GB"/>
        </w:rPr>
        <w:t xml:space="preserve">The bottom line is that </w:t>
      </w:r>
      <w:r w:rsidR="009A7A90" w:rsidRPr="00FF1087">
        <w:rPr>
          <w:lang w:val="en-GB"/>
        </w:rPr>
        <w:t xml:space="preserve">the </w:t>
      </w:r>
      <w:r w:rsidR="00ED4379" w:rsidRPr="00FF1087">
        <w:rPr>
          <w:lang w:val="en-GB"/>
        </w:rPr>
        <w:t xml:space="preserve">public participation procedure </w:t>
      </w:r>
      <w:r w:rsidR="00672990" w:rsidRPr="00FF1087">
        <w:rPr>
          <w:lang w:val="en-GB"/>
        </w:rPr>
        <w:t xml:space="preserve">must </w:t>
      </w:r>
      <w:r w:rsidR="00ED4379" w:rsidRPr="00FF1087">
        <w:rPr>
          <w:lang w:val="en-GB"/>
        </w:rPr>
        <w:t>be open to allow anyone affected by or with an interest in the decision to participate</w:t>
      </w:r>
      <w:r w:rsidR="00B86B26" w:rsidRPr="00FF1087">
        <w:rPr>
          <w:lang w:val="en-GB"/>
        </w:rPr>
        <w:t>.</w:t>
      </w:r>
      <w:r w:rsidR="00ED4379" w:rsidRPr="00FF1087">
        <w:rPr>
          <w:vertAlign w:val="superscript"/>
          <w:lang w:val="en-GB"/>
        </w:rPr>
        <w:footnoteReference w:id="99"/>
      </w:r>
    </w:p>
    <w:p w14:paraId="1D8553BA" w14:textId="75611056" w:rsidR="00ED4379" w:rsidRPr="00FF1087" w:rsidRDefault="00E0568D" w:rsidP="005A1CB6">
      <w:pPr>
        <w:pStyle w:val="SingleTxtG"/>
        <w:numPr>
          <w:ilvl w:val="0"/>
          <w:numId w:val="3"/>
        </w:numPr>
        <w:tabs>
          <w:tab w:val="left" w:pos="1843"/>
          <w:tab w:val="left" w:pos="6120"/>
        </w:tabs>
        <w:ind w:left="1134" w:right="0" w:firstLine="0"/>
        <w:rPr>
          <w:lang w:val="en-GB"/>
        </w:rPr>
      </w:pPr>
      <w:r w:rsidRPr="00FF1087">
        <w:rPr>
          <w:lang w:val="en-GB"/>
        </w:rPr>
        <w:t xml:space="preserve">Bearing in mind the multi-stage nature of the </w:t>
      </w:r>
      <w:r w:rsidR="00AB56F5" w:rsidRPr="00FF1087">
        <w:rPr>
          <w:lang w:val="en-GB"/>
        </w:rPr>
        <w:t xml:space="preserve">PCI </w:t>
      </w:r>
      <w:r w:rsidRPr="00FF1087">
        <w:rPr>
          <w:lang w:val="en-GB"/>
        </w:rPr>
        <w:t xml:space="preserve">decision-making whereby there </w:t>
      </w:r>
      <w:r w:rsidR="006B5D34" w:rsidRPr="00FF1087">
        <w:rPr>
          <w:lang w:val="en-GB"/>
        </w:rPr>
        <w:t xml:space="preserve">will be subsequent </w:t>
      </w:r>
      <w:r w:rsidRPr="00FF1087">
        <w:rPr>
          <w:lang w:val="en-GB"/>
        </w:rPr>
        <w:t>possibilities to participate at the stage where specific details of the projects and their environmental impact</w:t>
      </w:r>
      <w:r w:rsidR="00DC532C" w:rsidRPr="00FF1087">
        <w:rPr>
          <w:lang w:val="en-GB"/>
        </w:rPr>
        <w:t>s</w:t>
      </w:r>
      <w:r w:rsidRPr="00FF1087">
        <w:rPr>
          <w:lang w:val="en-GB"/>
        </w:rPr>
        <w:t xml:space="preserve"> are known, t</w:t>
      </w:r>
      <w:r w:rsidR="00ED4379" w:rsidRPr="00FF1087">
        <w:rPr>
          <w:lang w:val="en-GB"/>
        </w:rPr>
        <w:t xml:space="preserve">he Committee is </w:t>
      </w:r>
      <w:r w:rsidR="006B5D34" w:rsidRPr="00FF1087">
        <w:rPr>
          <w:lang w:val="en-GB"/>
        </w:rPr>
        <w:t xml:space="preserve">not </w:t>
      </w:r>
      <w:r w:rsidR="00ED4379" w:rsidRPr="00FF1087">
        <w:rPr>
          <w:lang w:val="en-GB"/>
        </w:rPr>
        <w:t xml:space="preserve">convinced that the decision-making at the EU level </w:t>
      </w:r>
      <w:r w:rsidR="005A1CB6" w:rsidRPr="00FF1087">
        <w:rPr>
          <w:lang w:val="en-GB"/>
        </w:rPr>
        <w:t xml:space="preserve">to establish the PCI list </w:t>
      </w:r>
      <w:r w:rsidR="00ED4379" w:rsidRPr="00FF1087">
        <w:rPr>
          <w:lang w:val="en-GB"/>
        </w:rPr>
        <w:t>require</w:t>
      </w:r>
      <w:r w:rsidR="00F11246" w:rsidRPr="00FF1087">
        <w:rPr>
          <w:lang w:val="en-GB"/>
        </w:rPr>
        <w:t>s</w:t>
      </w:r>
      <w:r w:rsidR="00ED4379" w:rsidRPr="00FF1087">
        <w:rPr>
          <w:lang w:val="en-GB"/>
        </w:rPr>
        <w:t xml:space="preserve"> all members of the public concerned by each and every project proposed </w:t>
      </w:r>
      <w:r w:rsidR="005A1CB6" w:rsidRPr="00FF1087">
        <w:rPr>
          <w:lang w:val="en-GB"/>
        </w:rPr>
        <w:t xml:space="preserve">for inclusion in </w:t>
      </w:r>
      <w:r w:rsidR="00ED4379" w:rsidRPr="00FF1087">
        <w:rPr>
          <w:lang w:val="en-GB"/>
        </w:rPr>
        <w:t>the list</w:t>
      </w:r>
      <w:r w:rsidR="005A1CB6" w:rsidRPr="00FF1087">
        <w:rPr>
          <w:lang w:val="en-GB"/>
        </w:rPr>
        <w:t xml:space="preserve"> to be proactively identified</w:t>
      </w:r>
      <w:r w:rsidR="00ED4379" w:rsidRPr="00FF1087">
        <w:rPr>
          <w:lang w:val="en-GB"/>
        </w:rPr>
        <w:t xml:space="preserve">. </w:t>
      </w:r>
      <w:r w:rsidRPr="00FF1087">
        <w:rPr>
          <w:lang w:val="en-GB"/>
        </w:rPr>
        <w:t xml:space="preserve">The Committee </w:t>
      </w:r>
      <w:r w:rsidR="005A1CB6" w:rsidRPr="00FF1087">
        <w:rPr>
          <w:lang w:val="en-GB"/>
        </w:rPr>
        <w:t xml:space="preserve">rather </w:t>
      </w:r>
      <w:r w:rsidRPr="00FF1087">
        <w:rPr>
          <w:lang w:val="en-GB"/>
        </w:rPr>
        <w:t>considers it</w:t>
      </w:r>
      <w:r w:rsidR="00ED4379" w:rsidRPr="00FF1087">
        <w:rPr>
          <w:lang w:val="en-GB"/>
        </w:rPr>
        <w:t xml:space="preserve"> </w:t>
      </w:r>
      <w:proofErr w:type="gramStart"/>
      <w:r w:rsidR="00ED4379" w:rsidRPr="00FF1087">
        <w:rPr>
          <w:lang w:val="en-GB"/>
        </w:rPr>
        <w:t>sufficient</w:t>
      </w:r>
      <w:proofErr w:type="gramEnd"/>
      <w:r w:rsidR="00ED4379" w:rsidRPr="00FF1087">
        <w:rPr>
          <w:lang w:val="en-GB"/>
        </w:rPr>
        <w:t xml:space="preserve"> at the EU stage </w:t>
      </w:r>
      <w:r w:rsidR="005A1CB6" w:rsidRPr="00FF1087">
        <w:rPr>
          <w:lang w:val="en-GB"/>
        </w:rPr>
        <w:t xml:space="preserve">to identify </w:t>
      </w:r>
      <w:r w:rsidR="00ED4379" w:rsidRPr="00FF1087">
        <w:rPr>
          <w:lang w:val="en-GB"/>
        </w:rPr>
        <w:t xml:space="preserve">those members of the public who have already shown </w:t>
      </w:r>
      <w:r w:rsidRPr="00FF1087">
        <w:rPr>
          <w:lang w:val="en-GB"/>
        </w:rPr>
        <w:t xml:space="preserve">themselves </w:t>
      </w:r>
      <w:r w:rsidR="00ED4379" w:rsidRPr="00FF1087">
        <w:rPr>
          <w:lang w:val="en-GB"/>
        </w:rPr>
        <w:t xml:space="preserve">to be concerned by the pan-European dimension of the </w:t>
      </w:r>
      <w:r w:rsidR="005A1CB6" w:rsidRPr="00FF1087">
        <w:rPr>
          <w:lang w:val="en-GB"/>
        </w:rPr>
        <w:t xml:space="preserve">PCI </w:t>
      </w:r>
      <w:r w:rsidR="00ED4379" w:rsidRPr="00FF1087">
        <w:rPr>
          <w:lang w:val="en-GB"/>
        </w:rPr>
        <w:t>list.</w:t>
      </w:r>
    </w:p>
    <w:p w14:paraId="1D1729C8" w14:textId="4E033E68" w:rsidR="00E0568D" w:rsidRPr="00FF1087" w:rsidRDefault="00E0568D" w:rsidP="00D92CDC">
      <w:pPr>
        <w:pStyle w:val="SingleTxtG"/>
        <w:tabs>
          <w:tab w:val="left" w:pos="1843"/>
          <w:tab w:val="left" w:pos="6120"/>
        </w:tabs>
        <w:ind w:right="0"/>
        <w:rPr>
          <w:i/>
          <w:iCs/>
          <w:lang w:val="en-GB"/>
        </w:rPr>
      </w:pPr>
      <w:r w:rsidRPr="00FF1087">
        <w:rPr>
          <w:i/>
          <w:iCs/>
          <w:lang w:val="en-GB"/>
        </w:rPr>
        <w:lastRenderedPageBreak/>
        <w:t>Notification</w:t>
      </w:r>
    </w:p>
    <w:p w14:paraId="3A09F40B" w14:textId="27BCBB8A" w:rsidR="00172A9F" w:rsidRPr="00FF1087" w:rsidRDefault="00172A9F" w:rsidP="00172A9F">
      <w:pPr>
        <w:pStyle w:val="SingleTxtG"/>
        <w:numPr>
          <w:ilvl w:val="0"/>
          <w:numId w:val="3"/>
        </w:numPr>
        <w:tabs>
          <w:tab w:val="left" w:pos="1843"/>
          <w:tab w:val="left" w:pos="6120"/>
        </w:tabs>
        <w:ind w:left="1134" w:right="0" w:firstLine="0"/>
        <w:rPr>
          <w:lang w:val="en-GB"/>
        </w:rPr>
      </w:pPr>
      <w:r w:rsidRPr="00FF1087">
        <w:rPr>
          <w:rFonts w:asciiTheme="majorBidi" w:hAnsiTheme="majorBidi"/>
          <w:lang w:val="en-GB"/>
        </w:rPr>
        <w:t xml:space="preserve">The public must be notified of its opportunities to participate. </w:t>
      </w:r>
      <w:r w:rsidR="003154B2" w:rsidRPr="00FF1087">
        <w:rPr>
          <w:rStyle w:val="st"/>
          <w:rFonts w:asciiTheme="majorBidi" w:hAnsiTheme="majorBidi"/>
          <w:lang w:val="en-GB"/>
        </w:rPr>
        <w:t xml:space="preserve">The conclusion that </w:t>
      </w:r>
      <w:r w:rsidRPr="00FF1087">
        <w:rPr>
          <w:rStyle w:val="st"/>
          <w:rFonts w:asciiTheme="majorBidi" w:hAnsiTheme="majorBidi"/>
          <w:lang w:val="en-GB"/>
        </w:rPr>
        <w:t xml:space="preserve">the requirements of article 6(2) </w:t>
      </w:r>
      <w:r w:rsidR="003154B2" w:rsidRPr="00FF1087">
        <w:rPr>
          <w:rStyle w:val="st"/>
          <w:rFonts w:asciiTheme="majorBidi" w:hAnsiTheme="majorBidi"/>
          <w:lang w:val="en-GB"/>
        </w:rPr>
        <w:t xml:space="preserve">of the Convention </w:t>
      </w:r>
      <w:r w:rsidRPr="00FF1087">
        <w:rPr>
          <w:rStyle w:val="st"/>
          <w:rFonts w:asciiTheme="majorBidi" w:hAnsiTheme="majorBidi"/>
          <w:lang w:val="en-GB"/>
        </w:rPr>
        <w:t xml:space="preserve">are applicable to article 7 follows from the fact that this provision is incorporated into article 6(3), which in turn is incorporated into article 7.  </w:t>
      </w:r>
    </w:p>
    <w:p w14:paraId="0961FB37" w14:textId="6CA34593" w:rsidR="00ED4379" w:rsidRPr="00FF1087" w:rsidRDefault="00ED4379" w:rsidP="00E0606F">
      <w:pPr>
        <w:pStyle w:val="SingleTxtG"/>
        <w:numPr>
          <w:ilvl w:val="0"/>
          <w:numId w:val="3"/>
        </w:numPr>
        <w:tabs>
          <w:tab w:val="left" w:pos="1843"/>
          <w:tab w:val="left" w:pos="6120"/>
        </w:tabs>
        <w:ind w:left="1134" w:right="0" w:firstLine="0"/>
        <w:rPr>
          <w:lang w:val="en-GB"/>
        </w:rPr>
      </w:pPr>
      <w:r w:rsidRPr="00FF1087">
        <w:rPr>
          <w:lang w:val="en-GB"/>
        </w:rPr>
        <w:t xml:space="preserve">The evidence in the present case indicates that notification was only made through websites. </w:t>
      </w:r>
      <w:r w:rsidR="00E0568D" w:rsidRPr="00FF1087">
        <w:rPr>
          <w:lang w:val="en-GB"/>
        </w:rPr>
        <w:t>As a general rule, t</w:t>
      </w:r>
      <w:r w:rsidRPr="00FF1087">
        <w:rPr>
          <w:lang w:val="en-GB"/>
        </w:rPr>
        <w:t>he Committee considers it unreasonable to expect the public to proactively check websites in case there are any decision-making procedures of interest to them and therefore other means of notifying the public are also needed</w:t>
      </w:r>
      <w:r w:rsidR="00F11246" w:rsidRPr="00FF1087">
        <w:rPr>
          <w:lang w:val="en-GB"/>
        </w:rPr>
        <w:t>.</w:t>
      </w:r>
      <w:r w:rsidRPr="00FF1087">
        <w:rPr>
          <w:vertAlign w:val="superscript"/>
          <w:lang w:val="en-GB"/>
        </w:rPr>
        <w:footnoteReference w:id="100"/>
      </w:r>
      <w:r w:rsidRPr="00FF1087">
        <w:rPr>
          <w:lang w:val="en-GB"/>
        </w:rPr>
        <w:t xml:space="preserve">  In cases where  the “relevant  stakeholders” are clearly indicated  (as in Annex III.1 (5) </w:t>
      </w:r>
      <w:r w:rsidR="00AB56F5" w:rsidRPr="00FF1087">
        <w:rPr>
          <w:lang w:val="en-GB"/>
        </w:rPr>
        <w:t>regarding</w:t>
      </w:r>
      <w:r w:rsidRPr="00FF1087">
        <w:rPr>
          <w:lang w:val="en-GB"/>
        </w:rPr>
        <w:t xml:space="preserve"> consultations held </w:t>
      </w:r>
      <w:r w:rsidR="00AB56F5" w:rsidRPr="00FF1087">
        <w:rPr>
          <w:lang w:val="en-GB"/>
        </w:rPr>
        <w:t>by the</w:t>
      </w:r>
      <w:r w:rsidRPr="00FF1087">
        <w:rPr>
          <w:lang w:val="en-GB"/>
        </w:rPr>
        <w:t xml:space="preserve"> Regional Groups)  </w:t>
      </w:r>
      <w:r w:rsidR="00DA34C3" w:rsidRPr="00FF1087">
        <w:rPr>
          <w:lang w:val="en-GB"/>
        </w:rPr>
        <w:t xml:space="preserve">it </w:t>
      </w:r>
      <w:r w:rsidR="007F4116" w:rsidRPr="00FF1087">
        <w:rPr>
          <w:lang w:val="en-GB"/>
        </w:rPr>
        <w:t>may be useful to notify t</w:t>
      </w:r>
      <w:r w:rsidR="00766066" w:rsidRPr="00FF1087">
        <w:rPr>
          <w:lang w:val="en-GB"/>
        </w:rPr>
        <w:t>he</w:t>
      </w:r>
      <w:r w:rsidRPr="00FF1087">
        <w:rPr>
          <w:lang w:val="en-GB"/>
        </w:rPr>
        <w:t xml:space="preserve"> representatives of such stakeholders individually. </w:t>
      </w:r>
      <w:r w:rsidR="00E0606F" w:rsidRPr="00FF1087">
        <w:rPr>
          <w:lang w:val="en-GB"/>
        </w:rPr>
        <w:t xml:space="preserve">This however must not preclude other members of the public from participating. </w:t>
      </w:r>
      <w:r w:rsidRPr="00FF1087">
        <w:rPr>
          <w:lang w:val="en-GB"/>
        </w:rPr>
        <w:t xml:space="preserve">For all other members of </w:t>
      </w:r>
      <w:proofErr w:type="gramStart"/>
      <w:r w:rsidRPr="00FF1087">
        <w:rPr>
          <w:lang w:val="en-GB"/>
        </w:rPr>
        <w:t>the  public</w:t>
      </w:r>
      <w:proofErr w:type="gramEnd"/>
      <w:r w:rsidRPr="00FF1087">
        <w:rPr>
          <w:lang w:val="en-GB"/>
        </w:rPr>
        <w:t xml:space="preserve"> interested in decision-making at the EU level </w:t>
      </w:r>
      <w:r w:rsidR="004419C2" w:rsidRPr="00FF1087">
        <w:rPr>
          <w:lang w:val="en-GB"/>
        </w:rPr>
        <w:t>the Committee considers it</w:t>
      </w:r>
      <w:r w:rsidRPr="00FF1087">
        <w:rPr>
          <w:lang w:val="en-GB"/>
        </w:rPr>
        <w:t xml:space="preserve"> reasonable to have one single point </w:t>
      </w:r>
      <w:r w:rsidR="00E0606F" w:rsidRPr="00FF1087">
        <w:rPr>
          <w:lang w:val="en-GB"/>
        </w:rPr>
        <w:t>through which they are notified.</w:t>
      </w:r>
    </w:p>
    <w:p w14:paraId="7B6F7072" w14:textId="4EB10F76" w:rsidR="00AB56F5" w:rsidRPr="00FF1087" w:rsidRDefault="00ED4379" w:rsidP="00E0606F">
      <w:pPr>
        <w:pStyle w:val="SingleTxtG"/>
        <w:numPr>
          <w:ilvl w:val="0"/>
          <w:numId w:val="3"/>
        </w:numPr>
        <w:tabs>
          <w:tab w:val="left" w:pos="1843"/>
          <w:tab w:val="left" w:pos="6120"/>
        </w:tabs>
        <w:ind w:left="1134" w:right="0" w:firstLine="0"/>
        <w:rPr>
          <w:lang w:val="en-GB"/>
        </w:rPr>
      </w:pPr>
      <w:r w:rsidRPr="00FF1087">
        <w:rPr>
          <w:lang w:val="en-GB"/>
        </w:rPr>
        <w:t>In the light of the above</w:t>
      </w:r>
      <w:r w:rsidR="00E0606F" w:rsidRPr="00FF1087">
        <w:rPr>
          <w:lang w:val="en-GB"/>
        </w:rPr>
        <w:t xml:space="preserve">, the Committee does not </w:t>
      </w:r>
      <w:r w:rsidRPr="00FF1087">
        <w:rPr>
          <w:lang w:val="en-GB"/>
        </w:rPr>
        <w:t>consider that</w:t>
      </w:r>
      <w:r w:rsidR="003D0176" w:rsidRPr="00FF1087">
        <w:rPr>
          <w:lang w:val="en-GB"/>
        </w:rPr>
        <w:t>,</w:t>
      </w:r>
      <w:r w:rsidRPr="00FF1087">
        <w:rPr>
          <w:lang w:val="en-GB"/>
        </w:rPr>
        <w:t xml:space="preserve"> in the</w:t>
      </w:r>
      <w:r w:rsidR="003D0176" w:rsidRPr="00FF1087">
        <w:rPr>
          <w:lang w:val="en-GB"/>
        </w:rPr>
        <w:t xml:space="preserve"> </w:t>
      </w:r>
      <w:proofErr w:type="gramStart"/>
      <w:r w:rsidR="003D0176" w:rsidRPr="00FF1087">
        <w:rPr>
          <w:lang w:val="en-GB"/>
        </w:rPr>
        <w:t>particular circumstances</w:t>
      </w:r>
      <w:proofErr w:type="gramEnd"/>
      <w:r w:rsidR="003D0176" w:rsidRPr="00FF1087">
        <w:rPr>
          <w:lang w:val="en-GB"/>
        </w:rPr>
        <w:t xml:space="preserve"> of the</w:t>
      </w:r>
      <w:r w:rsidRPr="00FF1087">
        <w:rPr>
          <w:lang w:val="en-GB"/>
        </w:rPr>
        <w:t xml:space="preserve"> decision-making </w:t>
      </w:r>
      <w:r w:rsidR="0054681D" w:rsidRPr="00FF1087">
        <w:rPr>
          <w:lang w:val="en-GB"/>
        </w:rPr>
        <w:t xml:space="preserve">on the PCI list </w:t>
      </w:r>
      <w:r w:rsidRPr="00FF1087">
        <w:rPr>
          <w:lang w:val="en-GB"/>
        </w:rPr>
        <w:t>at the EU level</w:t>
      </w:r>
      <w:r w:rsidR="003D0176" w:rsidRPr="00FF1087">
        <w:rPr>
          <w:lang w:val="en-GB"/>
        </w:rPr>
        <w:t>, the measures taken to identify or notify the public were inadequate</w:t>
      </w:r>
      <w:r w:rsidRPr="00FF1087">
        <w:rPr>
          <w:lang w:val="en-GB"/>
        </w:rPr>
        <w:t xml:space="preserve">. </w:t>
      </w:r>
    </w:p>
    <w:p w14:paraId="04F9AE7C" w14:textId="51EE8D93" w:rsidR="00ED4379" w:rsidRPr="00FF1087" w:rsidRDefault="00AB56F5" w:rsidP="00E0606F">
      <w:pPr>
        <w:pStyle w:val="SingleTxtG"/>
        <w:numPr>
          <w:ilvl w:val="0"/>
          <w:numId w:val="3"/>
        </w:numPr>
        <w:tabs>
          <w:tab w:val="left" w:pos="1843"/>
          <w:tab w:val="left" w:pos="6120"/>
        </w:tabs>
        <w:ind w:left="1134" w:right="0" w:firstLine="0"/>
        <w:rPr>
          <w:lang w:val="en-GB"/>
        </w:rPr>
      </w:pPr>
      <w:r w:rsidRPr="00FF1087">
        <w:rPr>
          <w:lang w:val="en-GB"/>
        </w:rPr>
        <w:t>T</w:t>
      </w:r>
      <w:r w:rsidR="00E0606F" w:rsidRPr="00FF1087">
        <w:rPr>
          <w:lang w:val="en-GB"/>
        </w:rPr>
        <w:t xml:space="preserve">he Committee </w:t>
      </w:r>
      <w:r w:rsidR="00064F59" w:rsidRPr="00FF1087">
        <w:rPr>
          <w:lang w:val="en-GB"/>
        </w:rPr>
        <w:t xml:space="preserve">accordingly </w:t>
      </w:r>
      <w:r w:rsidR="00E0606F" w:rsidRPr="00FF1087">
        <w:rPr>
          <w:lang w:val="en-GB"/>
        </w:rPr>
        <w:t>does not find the Party concerned to have failed to comply with article 7 in conjunction with article 6</w:t>
      </w:r>
      <w:r w:rsidR="004629EB" w:rsidRPr="00FF1087">
        <w:rPr>
          <w:lang w:val="en-GB"/>
        </w:rPr>
        <w:t>(</w:t>
      </w:r>
      <w:r w:rsidR="00E0606F" w:rsidRPr="00FF1087">
        <w:rPr>
          <w:lang w:val="en-GB"/>
        </w:rPr>
        <w:t>2</w:t>
      </w:r>
      <w:r w:rsidR="004629EB" w:rsidRPr="00FF1087">
        <w:rPr>
          <w:lang w:val="en-GB"/>
        </w:rPr>
        <w:t>)</w:t>
      </w:r>
      <w:r w:rsidR="00E0606F" w:rsidRPr="00FF1087">
        <w:rPr>
          <w:lang w:val="en-GB"/>
        </w:rPr>
        <w:t xml:space="preserve"> of the Convention</w:t>
      </w:r>
      <w:r w:rsidR="003D0176" w:rsidRPr="00FF1087">
        <w:rPr>
          <w:lang w:val="en-GB"/>
        </w:rPr>
        <w:t xml:space="preserve"> with respect to the identification and notification of the public in this case</w:t>
      </w:r>
      <w:r w:rsidR="00E0606F" w:rsidRPr="00FF1087">
        <w:rPr>
          <w:lang w:val="en-GB"/>
        </w:rPr>
        <w:t>.</w:t>
      </w:r>
    </w:p>
    <w:p w14:paraId="45513422" w14:textId="7C29A6A2" w:rsidR="00ED4379" w:rsidRPr="00FF1087" w:rsidRDefault="00337697">
      <w:pPr>
        <w:pStyle w:val="SingleTxtG"/>
        <w:tabs>
          <w:tab w:val="left" w:pos="1843"/>
          <w:tab w:val="left" w:pos="6120"/>
        </w:tabs>
        <w:ind w:right="0"/>
        <w:rPr>
          <w:b/>
          <w:lang w:val="en-GB"/>
        </w:rPr>
      </w:pPr>
      <w:r w:rsidRPr="00FF1087">
        <w:rPr>
          <w:b/>
          <w:bCs/>
          <w:lang w:val="en-GB"/>
        </w:rPr>
        <w:t>Early and effective public participation - a</w:t>
      </w:r>
      <w:r w:rsidR="00ED4379" w:rsidRPr="00FF1087">
        <w:rPr>
          <w:b/>
          <w:bCs/>
          <w:lang w:val="en-GB"/>
        </w:rPr>
        <w:t xml:space="preserve">rticle </w:t>
      </w:r>
      <w:r w:rsidR="00ED4379" w:rsidRPr="00FF1087">
        <w:rPr>
          <w:b/>
          <w:lang w:val="en-GB"/>
        </w:rPr>
        <w:t>7 in conjunction with article 6</w:t>
      </w:r>
      <w:r w:rsidR="004629EB" w:rsidRPr="00FF1087">
        <w:rPr>
          <w:b/>
          <w:lang w:val="en-GB"/>
        </w:rPr>
        <w:t>(</w:t>
      </w:r>
      <w:r w:rsidR="00ED4379" w:rsidRPr="00FF1087">
        <w:rPr>
          <w:b/>
          <w:lang w:val="en-GB"/>
        </w:rPr>
        <w:t>4</w:t>
      </w:r>
      <w:r w:rsidR="00DA34C3" w:rsidRPr="00FF1087">
        <w:rPr>
          <w:b/>
          <w:lang w:val="en-GB"/>
        </w:rPr>
        <w:t>)</w:t>
      </w:r>
    </w:p>
    <w:p w14:paraId="496847EB" w14:textId="4771E312" w:rsidR="00ED4379" w:rsidRPr="00FF1087" w:rsidRDefault="00ED4379" w:rsidP="00A91339">
      <w:pPr>
        <w:pStyle w:val="SingleTxtG"/>
        <w:numPr>
          <w:ilvl w:val="0"/>
          <w:numId w:val="3"/>
        </w:numPr>
        <w:tabs>
          <w:tab w:val="left" w:pos="1843"/>
          <w:tab w:val="left" w:pos="6120"/>
        </w:tabs>
        <w:ind w:left="1134" w:right="0" w:firstLine="0"/>
        <w:rPr>
          <w:lang w:val="en-GB"/>
        </w:rPr>
      </w:pPr>
      <w:r w:rsidRPr="00FF1087">
        <w:rPr>
          <w:lang w:val="en-GB"/>
        </w:rPr>
        <w:t>The incorporation of article 6</w:t>
      </w:r>
      <w:r w:rsidR="004629EB" w:rsidRPr="00FF1087">
        <w:rPr>
          <w:lang w:val="en-GB"/>
        </w:rPr>
        <w:t>(</w:t>
      </w:r>
      <w:r w:rsidRPr="00FF1087">
        <w:rPr>
          <w:lang w:val="en-GB"/>
        </w:rPr>
        <w:t>4</w:t>
      </w:r>
      <w:r w:rsidR="004629EB" w:rsidRPr="00FF1087">
        <w:rPr>
          <w:lang w:val="en-GB"/>
        </w:rPr>
        <w:t>)</w:t>
      </w:r>
      <w:r w:rsidR="003154B2" w:rsidRPr="00FF1087">
        <w:rPr>
          <w:lang w:val="en-GB"/>
        </w:rPr>
        <w:t xml:space="preserve"> of the Convention</w:t>
      </w:r>
      <w:r w:rsidRPr="00FF1087">
        <w:rPr>
          <w:lang w:val="en-GB"/>
        </w:rPr>
        <w:t xml:space="preserve"> into the text of article 7 means that Parties must provide for early public participation on plans and programmes relating to the environment when all options are open, including the so-called “zero option”. </w:t>
      </w:r>
      <w:r w:rsidR="00A91339" w:rsidRPr="00FF1087">
        <w:rPr>
          <w:lang w:val="en-GB"/>
        </w:rPr>
        <w:t>Regarding</w:t>
      </w:r>
      <w:r w:rsidRPr="00FF1087">
        <w:rPr>
          <w:lang w:val="en-GB"/>
        </w:rPr>
        <w:t xml:space="preserve"> the first </w:t>
      </w:r>
      <w:r w:rsidR="00064F59" w:rsidRPr="00FF1087">
        <w:rPr>
          <w:lang w:val="en-GB"/>
        </w:rPr>
        <w:t xml:space="preserve">PCI </w:t>
      </w:r>
      <w:r w:rsidRPr="00FF1087">
        <w:rPr>
          <w:lang w:val="en-GB"/>
        </w:rPr>
        <w:t xml:space="preserve">list, this meant that the public must have had the opportunity to participate at a time when </w:t>
      </w:r>
      <w:r w:rsidR="00174504" w:rsidRPr="00FF1087">
        <w:rPr>
          <w:lang w:val="en-GB"/>
        </w:rPr>
        <w:t xml:space="preserve">the </w:t>
      </w:r>
      <w:r w:rsidRPr="00FF1087">
        <w:rPr>
          <w:lang w:val="en-GB"/>
        </w:rPr>
        <w:t>decision</w:t>
      </w:r>
      <w:r w:rsidR="00174504" w:rsidRPr="00FF1087">
        <w:rPr>
          <w:lang w:val="en-GB"/>
        </w:rPr>
        <w:t>,</w:t>
      </w:r>
      <w:r w:rsidRPr="00FF1087">
        <w:rPr>
          <w:lang w:val="en-GB"/>
        </w:rPr>
        <w:t xml:space="preserve"> </w:t>
      </w:r>
      <w:r w:rsidR="00174504" w:rsidRPr="00FF1087">
        <w:rPr>
          <w:lang w:val="en-GB"/>
        </w:rPr>
        <w:t>or any type of commitment,</w:t>
      </w:r>
      <w:r w:rsidR="00111C23" w:rsidRPr="00FF1087">
        <w:rPr>
          <w:rStyle w:val="FootnoteReference"/>
          <w:lang w:val="en-GB"/>
        </w:rPr>
        <w:footnoteReference w:id="101"/>
      </w:r>
      <w:r w:rsidR="00174504" w:rsidRPr="00FF1087">
        <w:rPr>
          <w:lang w:val="en-GB"/>
        </w:rPr>
        <w:t xml:space="preserve"> </w:t>
      </w:r>
      <w:r w:rsidRPr="00FF1087">
        <w:rPr>
          <w:lang w:val="en-GB"/>
        </w:rPr>
        <w:t xml:space="preserve">to include any </w:t>
      </w:r>
      <w:proofErr w:type="gramStart"/>
      <w:r w:rsidRPr="00FF1087">
        <w:rPr>
          <w:lang w:val="en-GB"/>
        </w:rPr>
        <w:t>particular PCI</w:t>
      </w:r>
      <w:proofErr w:type="gramEnd"/>
      <w:r w:rsidRPr="00FF1087">
        <w:rPr>
          <w:lang w:val="en-GB"/>
        </w:rPr>
        <w:t xml:space="preserve"> in the list had not yet been </w:t>
      </w:r>
      <w:r w:rsidR="00174504" w:rsidRPr="00FF1087">
        <w:rPr>
          <w:lang w:val="en-GB"/>
        </w:rPr>
        <w:t>made</w:t>
      </w:r>
      <w:r w:rsidRPr="00FF1087">
        <w:rPr>
          <w:lang w:val="en-GB"/>
        </w:rPr>
        <w:t xml:space="preserve">. </w:t>
      </w:r>
      <w:r w:rsidR="009D272B" w:rsidRPr="00FF1087">
        <w:rPr>
          <w:lang w:val="en-GB"/>
        </w:rPr>
        <w:t xml:space="preserve">As set out </w:t>
      </w:r>
      <w:r w:rsidR="007B3E2D" w:rsidRPr="00FF1087">
        <w:rPr>
          <w:lang w:val="en-GB"/>
        </w:rPr>
        <w:t xml:space="preserve">in paragraph </w:t>
      </w:r>
      <w:r w:rsidR="007B3E2D" w:rsidRPr="00FF1087">
        <w:rPr>
          <w:lang w:val="en-GB"/>
        </w:rPr>
        <w:fldChar w:fldCharType="begin"/>
      </w:r>
      <w:r w:rsidR="007B3E2D" w:rsidRPr="00FF1087">
        <w:rPr>
          <w:lang w:val="en-GB"/>
        </w:rPr>
        <w:instrText xml:space="preserve"> REF _Ref500606191 \r \h </w:instrText>
      </w:r>
      <w:r w:rsidR="0007320D" w:rsidRPr="00FF1087">
        <w:rPr>
          <w:lang w:val="en-GB"/>
        </w:rPr>
        <w:instrText xml:space="preserve"> \* MERGEFORMAT </w:instrText>
      </w:r>
      <w:r w:rsidR="007B3E2D" w:rsidRPr="00FF1087">
        <w:rPr>
          <w:lang w:val="en-GB"/>
        </w:rPr>
      </w:r>
      <w:r w:rsidR="007B3E2D" w:rsidRPr="00FF1087">
        <w:rPr>
          <w:lang w:val="en-GB"/>
        </w:rPr>
        <w:fldChar w:fldCharType="separate"/>
      </w:r>
      <w:r w:rsidR="00B713E0">
        <w:rPr>
          <w:cs/>
          <w:lang w:val="en-GB"/>
        </w:rPr>
        <w:t>‎</w:t>
      </w:r>
      <w:r w:rsidR="00B713E0">
        <w:rPr>
          <w:lang w:val="en-GB"/>
        </w:rPr>
        <w:t>86</w:t>
      </w:r>
      <w:r w:rsidR="007B3E2D" w:rsidRPr="00FF1087">
        <w:rPr>
          <w:lang w:val="en-GB"/>
        </w:rPr>
        <w:fldChar w:fldCharType="end"/>
      </w:r>
      <w:r w:rsidR="007B3E2D" w:rsidRPr="00FF1087">
        <w:rPr>
          <w:lang w:val="en-GB"/>
        </w:rPr>
        <w:t xml:space="preserve"> </w:t>
      </w:r>
      <w:r w:rsidR="009D272B" w:rsidRPr="00FF1087">
        <w:rPr>
          <w:lang w:val="en-GB"/>
        </w:rPr>
        <w:t xml:space="preserve">above, members of the public did have an opportunity to comment already at that stage. Moreover, </w:t>
      </w:r>
      <w:r w:rsidRPr="00FF1087">
        <w:rPr>
          <w:lang w:val="en-GB"/>
        </w:rPr>
        <w:t xml:space="preserve">there is no evidence that </w:t>
      </w:r>
      <w:r w:rsidR="00A91339" w:rsidRPr="00FF1087">
        <w:rPr>
          <w:lang w:val="en-GB"/>
        </w:rPr>
        <w:t xml:space="preserve">the </w:t>
      </w:r>
      <w:r w:rsidRPr="00FF1087">
        <w:rPr>
          <w:lang w:val="en-GB"/>
        </w:rPr>
        <w:t xml:space="preserve">PCIs included in the first list were pre-determined prior to the public consultation. Furthermore, </w:t>
      </w:r>
      <w:r w:rsidR="00A91339" w:rsidRPr="00FF1087">
        <w:rPr>
          <w:lang w:val="en-GB"/>
        </w:rPr>
        <w:t xml:space="preserve">the inclusion of </w:t>
      </w:r>
      <w:r w:rsidRPr="00FF1087">
        <w:rPr>
          <w:lang w:val="en-GB"/>
        </w:rPr>
        <w:t xml:space="preserve">a project on the </w:t>
      </w:r>
      <w:r w:rsidR="00A91339" w:rsidRPr="00FF1087">
        <w:rPr>
          <w:lang w:val="en-GB"/>
        </w:rPr>
        <w:t xml:space="preserve">PCI </w:t>
      </w:r>
      <w:r w:rsidRPr="00FF1087">
        <w:rPr>
          <w:lang w:val="en-GB"/>
        </w:rPr>
        <w:t xml:space="preserve">list does not preclude the possibility of the project </w:t>
      </w:r>
      <w:r w:rsidR="00A91339" w:rsidRPr="00FF1087">
        <w:rPr>
          <w:lang w:val="en-GB"/>
        </w:rPr>
        <w:t xml:space="preserve">being refused </w:t>
      </w:r>
      <w:r w:rsidRPr="00FF1087">
        <w:rPr>
          <w:lang w:val="en-GB"/>
        </w:rPr>
        <w:t xml:space="preserve">authorisation at the stage of national permitting. The Committee </w:t>
      </w:r>
      <w:r w:rsidR="008D11BD" w:rsidRPr="00FF1087">
        <w:rPr>
          <w:lang w:val="en-GB"/>
        </w:rPr>
        <w:t xml:space="preserve">accordingly </w:t>
      </w:r>
      <w:r w:rsidRPr="00FF1087">
        <w:rPr>
          <w:lang w:val="en-GB"/>
        </w:rPr>
        <w:t xml:space="preserve">finds that, based on the information </w:t>
      </w:r>
      <w:r w:rsidR="008D11BD" w:rsidRPr="00FF1087">
        <w:rPr>
          <w:lang w:val="en-GB"/>
        </w:rPr>
        <w:t>provided</w:t>
      </w:r>
      <w:r w:rsidRPr="00FF1087">
        <w:rPr>
          <w:lang w:val="en-GB"/>
        </w:rPr>
        <w:t xml:space="preserve">, the </w:t>
      </w:r>
      <w:proofErr w:type="spellStart"/>
      <w:r w:rsidR="00A91339" w:rsidRPr="00FF1087">
        <w:rPr>
          <w:lang w:val="en-GB"/>
        </w:rPr>
        <w:t>the</w:t>
      </w:r>
      <w:proofErr w:type="spellEnd"/>
      <w:r w:rsidR="00A91339" w:rsidRPr="00FF1087">
        <w:rPr>
          <w:lang w:val="en-GB"/>
        </w:rPr>
        <w:t xml:space="preserve"> Party concerned did not fail to comply with article 7 in conjunction with article 6(4)</w:t>
      </w:r>
      <w:r w:rsidR="003154B2" w:rsidRPr="00FF1087">
        <w:rPr>
          <w:lang w:val="en-GB"/>
        </w:rPr>
        <w:t xml:space="preserve"> of the Convention</w:t>
      </w:r>
      <w:r w:rsidR="00A91339" w:rsidRPr="00FF1087">
        <w:rPr>
          <w:lang w:val="en-GB"/>
        </w:rPr>
        <w:t xml:space="preserve"> regarding the preparation of the first PCI list</w:t>
      </w:r>
      <w:r w:rsidRPr="00FF1087">
        <w:rPr>
          <w:lang w:val="en-GB"/>
        </w:rPr>
        <w:t>.</w:t>
      </w:r>
    </w:p>
    <w:p w14:paraId="35142408" w14:textId="15CF9290" w:rsidR="00ED4379" w:rsidRPr="00FF1087" w:rsidRDefault="00337697">
      <w:pPr>
        <w:pStyle w:val="SingleTxtG"/>
        <w:tabs>
          <w:tab w:val="left" w:pos="1843"/>
          <w:tab w:val="left" w:pos="6120"/>
        </w:tabs>
        <w:ind w:right="0"/>
        <w:rPr>
          <w:b/>
          <w:lang w:val="en-GB"/>
        </w:rPr>
      </w:pPr>
      <w:r w:rsidRPr="00FF1087">
        <w:rPr>
          <w:b/>
          <w:bCs/>
          <w:lang w:val="en-GB"/>
        </w:rPr>
        <w:t>Necessary</w:t>
      </w:r>
      <w:r w:rsidRPr="00FF1087">
        <w:rPr>
          <w:b/>
          <w:lang w:val="en-GB"/>
        </w:rPr>
        <w:t xml:space="preserve"> information</w:t>
      </w:r>
      <w:r w:rsidRPr="00FF1087">
        <w:rPr>
          <w:b/>
          <w:bCs/>
          <w:lang w:val="en-GB"/>
        </w:rPr>
        <w:t xml:space="preserve"> - a</w:t>
      </w:r>
      <w:r w:rsidR="00ED4379" w:rsidRPr="00FF1087">
        <w:rPr>
          <w:b/>
          <w:bCs/>
          <w:lang w:val="en-GB"/>
        </w:rPr>
        <w:t xml:space="preserve">rticle 7 </w:t>
      </w:r>
    </w:p>
    <w:p w14:paraId="6DC90189" w14:textId="59DB2F7E" w:rsidR="00ED4379" w:rsidRPr="00FF1087" w:rsidRDefault="00ED4379" w:rsidP="00DF60CA">
      <w:pPr>
        <w:pStyle w:val="SingleTxtG"/>
        <w:numPr>
          <w:ilvl w:val="0"/>
          <w:numId w:val="3"/>
        </w:numPr>
        <w:tabs>
          <w:tab w:val="left" w:pos="1843"/>
          <w:tab w:val="left" w:pos="6120"/>
        </w:tabs>
        <w:ind w:left="1134" w:right="0" w:firstLine="0"/>
        <w:rPr>
          <w:lang w:val="en-GB"/>
        </w:rPr>
      </w:pPr>
      <w:r w:rsidRPr="00FF1087">
        <w:rPr>
          <w:lang w:val="en-GB"/>
        </w:rPr>
        <w:t xml:space="preserve">As the Committee </w:t>
      </w:r>
      <w:r w:rsidR="003154B2" w:rsidRPr="00FF1087">
        <w:rPr>
          <w:lang w:val="en-GB"/>
        </w:rPr>
        <w:t xml:space="preserve">held </w:t>
      </w:r>
      <w:r w:rsidRPr="00FF1087">
        <w:rPr>
          <w:lang w:val="en-GB"/>
        </w:rPr>
        <w:t>in its findings on communication ACCC/C/2014/100 (U</w:t>
      </w:r>
      <w:r w:rsidR="0010008D" w:rsidRPr="00FF1087">
        <w:rPr>
          <w:lang w:val="en-GB"/>
        </w:rPr>
        <w:t xml:space="preserve">nited </w:t>
      </w:r>
      <w:r w:rsidRPr="00FF1087">
        <w:rPr>
          <w:lang w:val="en-GB"/>
        </w:rPr>
        <w:t>K</w:t>
      </w:r>
      <w:r w:rsidR="0010008D" w:rsidRPr="00FF1087">
        <w:rPr>
          <w:lang w:val="en-GB"/>
        </w:rPr>
        <w:t>ingdom</w:t>
      </w:r>
      <w:r w:rsidRPr="00FF1087">
        <w:rPr>
          <w:lang w:val="en-GB"/>
        </w:rPr>
        <w:t xml:space="preserve">): </w:t>
      </w:r>
    </w:p>
    <w:p w14:paraId="7AB3AED6" w14:textId="1C0CE524" w:rsidR="00041B0D" w:rsidRPr="00FF1087" w:rsidRDefault="004629EB" w:rsidP="00041B0D">
      <w:pPr>
        <w:pStyle w:val="SingleTxtG"/>
        <w:tabs>
          <w:tab w:val="left" w:pos="1843"/>
          <w:tab w:val="left" w:pos="6120"/>
        </w:tabs>
        <w:ind w:left="1701" w:right="0"/>
        <w:rPr>
          <w:lang w:val="en-GB"/>
        </w:rPr>
      </w:pPr>
      <w:r w:rsidRPr="00FF1087">
        <w:rPr>
          <w:lang w:val="en-GB"/>
        </w:rPr>
        <w:t>“</w:t>
      </w:r>
      <w:r w:rsidR="00041B0D" w:rsidRPr="00FF1087">
        <w:rPr>
          <w:lang w:val="en-GB"/>
        </w:rPr>
        <w:t xml:space="preserve">the obligation in article 7 to provide </w:t>
      </w:r>
      <w:r w:rsidR="008D11BD" w:rsidRPr="00FF1087">
        <w:rPr>
          <w:lang w:val="en-GB"/>
        </w:rPr>
        <w:t>‘</w:t>
      </w:r>
      <w:r w:rsidR="00041B0D" w:rsidRPr="00FF1087">
        <w:rPr>
          <w:lang w:val="en-GB"/>
        </w:rPr>
        <w:t>the necessary information to the public</w:t>
      </w:r>
      <w:r w:rsidR="008D11BD" w:rsidRPr="00FF1087">
        <w:rPr>
          <w:lang w:val="en-GB"/>
        </w:rPr>
        <w:t xml:space="preserve">’ </w:t>
      </w:r>
      <w:r w:rsidR="00041B0D" w:rsidRPr="00FF1087">
        <w:rPr>
          <w:lang w:val="en-GB"/>
        </w:rPr>
        <w:t xml:space="preserve">includes requirements both: </w:t>
      </w:r>
    </w:p>
    <w:p w14:paraId="0345695E" w14:textId="7508B5C2" w:rsidR="00592055" w:rsidRPr="00FF1087" w:rsidRDefault="00041B0D" w:rsidP="0044070E">
      <w:pPr>
        <w:pStyle w:val="SingleTxtG"/>
        <w:tabs>
          <w:tab w:val="left" w:pos="1843"/>
          <w:tab w:val="left" w:pos="2127"/>
          <w:tab w:val="left" w:pos="6120"/>
        </w:tabs>
        <w:ind w:left="1701" w:right="0"/>
        <w:rPr>
          <w:lang w:val="en-GB"/>
        </w:rPr>
      </w:pPr>
      <w:r w:rsidRPr="00FF1087">
        <w:rPr>
          <w:lang w:val="en-GB"/>
        </w:rPr>
        <w:t xml:space="preserve">(a) </w:t>
      </w:r>
      <w:r w:rsidR="008D11BD" w:rsidRPr="00FF1087">
        <w:rPr>
          <w:lang w:val="en-GB"/>
        </w:rPr>
        <w:tab/>
      </w:r>
      <w:r w:rsidRPr="00FF1087">
        <w:rPr>
          <w:lang w:val="en-GB"/>
        </w:rPr>
        <w:t xml:space="preserve">To actively disseminate the information indicated in article 6 (2), including information about the opportunities to participate and availability of the relevant information; and </w:t>
      </w:r>
    </w:p>
    <w:p w14:paraId="2E5B3D6D" w14:textId="5C35924E" w:rsidR="00A91339" w:rsidRPr="00FF1087" w:rsidRDefault="00A91339" w:rsidP="0044070E">
      <w:pPr>
        <w:pStyle w:val="SingleTxtG"/>
        <w:tabs>
          <w:tab w:val="left" w:pos="1843"/>
          <w:tab w:val="left" w:pos="2127"/>
          <w:tab w:val="left" w:pos="6120"/>
        </w:tabs>
        <w:ind w:left="1701" w:right="0"/>
        <w:rPr>
          <w:lang w:val="en-GB"/>
        </w:rPr>
      </w:pPr>
      <w:r w:rsidRPr="00FF1087">
        <w:rPr>
          <w:lang w:val="en-GB"/>
        </w:rPr>
        <w:lastRenderedPageBreak/>
        <w:t xml:space="preserve">(b) </w:t>
      </w:r>
      <w:r w:rsidR="008D11BD" w:rsidRPr="00FF1087">
        <w:rPr>
          <w:lang w:val="en-GB"/>
        </w:rPr>
        <w:tab/>
      </w:r>
      <w:r w:rsidRPr="00FF1087">
        <w:rPr>
          <w:lang w:val="en-GB"/>
        </w:rPr>
        <w:t xml:space="preserve">To make available to the public all information that is in the possession of the competent authorities and is relevant to the decision-making and is to be used for that purpose. </w:t>
      </w:r>
      <w:bookmarkStart w:id="34" w:name="_Ref500181354"/>
      <w:r w:rsidRPr="00FF1087">
        <w:rPr>
          <w:lang w:val="en-GB"/>
        </w:rPr>
        <w:t>The relevant information under category (b) would normally include the following information:</w:t>
      </w:r>
      <w:bookmarkEnd w:id="34"/>
      <w:r w:rsidRPr="00FF1087">
        <w:rPr>
          <w:lang w:val="en-GB"/>
        </w:rPr>
        <w:t xml:space="preserve"> </w:t>
      </w:r>
    </w:p>
    <w:p w14:paraId="7E056A40" w14:textId="37B5E266" w:rsidR="00A91339" w:rsidRPr="00FF1087" w:rsidRDefault="00A91339" w:rsidP="0044070E">
      <w:pPr>
        <w:pStyle w:val="SingleTxtG"/>
        <w:tabs>
          <w:tab w:val="left" w:pos="1843"/>
          <w:tab w:val="left" w:pos="2552"/>
          <w:tab w:val="left" w:pos="6120"/>
        </w:tabs>
        <w:ind w:left="1701" w:right="0" w:firstLine="426"/>
        <w:rPr>
          <w:lang w:val="en-GB"/>
        </w:rPr>
      </w:pPr>
      <w:r w:rsidRPr="00FF1087">
        <w:rPr>
          <w:lang w:val="en-GB"/>
        </w:rPr>
        <w:t>(</w:t>
      </w:r>
      <w:proofErr w:type="spellStart"/>
      <w:r w:rsidRPr="00FF1087">
        <w:rPr>
          <w:lang w:val="en-GB"/>
        </w:rPr>
        <w:t>i</w:t>
      </w:r>
      <w:proofErr w:type="spellEnd"/>
      <w:r w:rsidRPr="00FF1087">
        <w:rPr>
          <w:lang w:val="en-GB"/>
        </w:rPr>
        <w:t xml:space="preserve">) </w:t>
      </w:r>
      <w:r w:rsidR="008D11BD" w:rsidRPr="00FF1087">
        <w:rPr>
          <w:lang w:val="en-GB"/>
        </w:rPr>
        <w:tab/>
      </w:r>
      <w:r w:rsidRPr="00FF1087">
        <w:rPr>
          <w:lang w:val="en-GB"/>
        </w:rPr>
        <w:t xml:space="preserve">The main reports and advice issued to the competent authority; </w:t>
      </w:r>
    </w:p>
    <w:p w14:paraId="2812E951" w14:textId="35BF4B0E" w:rsidR="00A91339" w:rsidRPr="00FF1087" w:rsidRDefault="00A91339" w:rsidP="001932D9">
      <w:pPr>
        <w:pStyle w:val="SingleTxtG"/>
        <w:tabs>
          <w:tab w:val="left" w:pos="1843"/>
          <w:tab w:val="left" w:pos="2552"/>
          <w:tab w:val="left" w:pos="6120"/>
        </w:tabs>
        <w:ind w:left="2552" w:right="0" w:hanging="425"/>
        <w:rPr>
          <w:lang w:val="en-GB"/>
        </w:rPr>
      </w:pPr>
      <w:r w:rsidRPr="00FF1087">
        <w:rPr>
          <w:lang w:val="en-GB"/>
        </w:rPr>
        <w:t xml:space="preserve">(ii) </w:t>
      </w:r>
      <w:r w:rsidR="008D11BD" w:rsidRPr="00FF1087">
        <w:rPr>
          <w:lang w:val="en-GB"/>
        </w:rPr>
        <w:tab/>
      </w:r>
      <w:r w:rsidRPr="00FF1087">
        <w:rPr>
          <w:lang w:val="en-GB"/>
        </w:rPr>
        <w:t>Any information regarding possible environmental consequences and cost</w:t>
      </w:r>
      <w:r w:rsidR="00174504" w:rsidRPr="00FF1087">
        <w:rPr>
          <w:lang w:val="en-GB"/>
        </w:rPr>
        <w:t>-</w:t>
      </w:r>
      <w:r w:rsidRPr="00FF1087">
        <w:rPr>
          <w:lang w:val="en-GB"/>
        </w:rPr>
        <w:t xml:space="preserve">benefit and other economic analyses and assumptions to be used in the </w:t>
      </w:r>
      <w:proofErr w:type="spellStart"/>
      <w:r w:rsidRPr="00FF1087">
        <w:rPr>
          <w:lang w:val="en-GB"/>
        </w:rPr>
        <w:t>decisionmaking</w:t>
      </w:r>
      <w:proofErr w:type="spellEnd"/>
      <w:r w:rsidRPr="00FF1087">
        <w:rPr>
          <w:lang w:val="en-GB"/>
        </w:rPr>
        <w:t xml:space="preserve">; </w:t>
      </w:r>
    </w:p>
    <w:p w14:paraId="788AB437" w14:textId="2E303724" w:rsidR="00ED4379" w:rsidRPr="00FF1087" w:rsidRDefault="00A91339" w:rsidP="0044070E">
      <w:pPr>
        <w:pStyle w:val="SingleTxtG"/>
        <w:tabs>
          <w:tab w:val="left" w:pos="2268"/>
          <w:tab w:val="left" w:pos="2552"/>
          <w:tab w:val="left" w:pos="6120"/>
        </w:tabs>
        <w:ind w:left="1701" w:right="0" w:firstLine="426"/>
        <w:rPr>
          <w:lang w:val="en-GB"/>
        </w:rPr>
      </w:pPr>
      <w:r w:rsidRPr="00FF1087">
        <w:rPr>
          <w:lang w:val="en-GB"/>
        </w:rPr>
        <w:t xml:space="preserve">(iii) </w:t>
      </w:r>
      <w:r w:rsidR="008D11BD" w:rsidRPr="00FF1087">
        <w:rPr>
          <w:lang w:val="en-GB"/>
        </w:rPr>
        <w:tab/>
      </w:r>
      <w:r w:rsidRPr="00FF1087">
        <w:rPr>
          <w:lang w:val="en-GB"/>
        </w:rPr>
        <w:t>An outline of the main alternatives studied by the competent authority</w:t>
      </w:r>
      <w:r w:rsidR="00ED4379" w:rsidRPr="00FF1087">
        <w:rPr>
          <w:lang w:val="en-GB"/>
        </w:rPr>
        <w:t>.</w:t>
      </w:r>
      <w:r w:rsidR="00523AC3" w:rsidRPr="00FF1087">
        <w:rPr>
          <w:lang w:val="en-GB"/>
        </w:rPr>
        <w:t>”</w:t>
      </w:r>
      <w:r w:rsidR="004629EB" w:rsidRPr="00FF1087">
        <w:rPr>
          <w:rStyle w:val="FootnoteReference"/>
          <w:lang w:val="en-GB"/>
        </w:rPr>
        <w:footnoteReference w:id="102"/>
      </w:r>
    </w:p>
    <w:p w14:paraId="0D59A53D" w14:textId="0885414B" w:rsidR="009C0D0C" w:rsidRPr="00FF1087" w:rsidRDefault="009C0D0C" w:rsidP="009C0D0C">
      <w:pPr>
        <w:pStyle w:val="SingleTxtG"/>
        <w:numPr>
          <w:ilvl w:val="0"/>
          <w:numId w:val="3"/>
        </w:numPr>
        <w:tabs>
          <w:tab w:val="left" w:pos="1843"/>
          <w:tab w:val="left" w:pos="6120"/>
        </w:tabs>
        <w:ind w:left="1134" w:right="0" w:firstLine="0"/>
        <w:rPr>
          <w:lang w:val="en-GB"/>
        </w:rPr>
      </w:pPr>
      <w:r w:rsidRPr="00FF1087">
        <w:rPr>
          <w:lang w:val="en-GB"/>
        </w:rPr>
        <w:t>The communicant submits that, g</w:t>
      </w:r>
      <w:r w:rsidRPr="00FF1087">
        <w:rPr>
          <w:rStyle w:val="st"/>
          <w:lang w:val="en-GB"/>
        </w:rPr>
        <w:t xml:space="preserve">iven the enormous scale and impact of the 248 projects, the “necessary information” for public participation on the first PCI list should have addressed at least </w:t>
      </w:r>
      <w:r w:rsidR="00174504" w:rsidRPr="00FF1087">
        <w:rPr>
          <w:rStyle w:val="st"/>
          <w:lang w:val="en-GB"/>
        </w:rPr>
        <w:t xml:space="preserve">their </w:t>
      </w:r>
      <w:r w:rsidRPr="00FF1087">
        <w:rPr>
          <w:rStyle w:val="st"/>
          <w:lang w:val="en-GB"/>
        </w:rPr>
        <w:t>cost, environmental impacts, environmental mitigation measures, quantification of objectives and alternatives.</w:t>
      </w:r>
      <w:r w:rsidRPr="00FF1087">
        <w:rPr>
          <w:rStyle w:val="FootnoteReference"/>
          <w:lang w:val="en-GB"/>
        </w:rPr>
        <w:footnoteReference w:id="103"/>
      </w:r>
      <w:r w:rsidRPr="00FF1087">
        <w:rPr>
          <w:rStyle w:val="st"/>
          <w:lang w:val="en-GB"/>
        </w:rPr>
        <w:t xml:space="preserve"> The communicant also claims article 9(4) of the Aarhus Regulation, which only requires disclosing “environmental information where available” incorrectly transposes article 7 of the Convention.</w:t>
      </w:r>
      <w:r w:rsidRPr="00FF1087">
        <w:rPr>
          <w:rStyle w:val="FootnoteReference"/>
          <w:lang w:val="en-GB"/>
        </w:rPr>
        <w:footnoteReference w:id="104"/>
      </w:r>
      <w:r w:rsidRPr="00FF1087">
        <w:rPr>
          <w:rStyle w:val="st"/>
          <w:lang w:val="en-GB"/>
        </w:rPr>
        <w:t xml:space="preserve"> </w:t>
      </w:r>
    </w:p>
    <w:p w14:paraId="681D814C" w14:textId="5E60DF6D" w:rsidR="00345AE3" w:rsidRPr="00FF1087" w:rsidRDefault="00345AE3" w:rsidP="0007320D">
      <w:pPr>
        <w:pStyle w:val="SingleTxtG"/>
        <w:numPr>
          <w:ilvl w:val="0"/>
          <w:numId w:val="3"/>
        </w:numPr>
        <w:tabs>
          <w:tab w:val="left" w:pos="1843"/>
          <w:tab w:val="left" w:pos="6120"/>
        </w:tabs>
        <w:ind w:left="1134" w:right="0" w:firstLine="0"/>
        <w:rPr>
          <w:lang w:val="en-GB"/>
        </w:rPr>
      </w:pPr>
      <w:r w:rsidRPr="00FF1087">
        <w:rPr>
          <w:lang w:val="en-GB"/>
        </w:rPr>
        <w:t xml:space="preserve">With respect to the communicant’s </w:t>
      </w:r>
      <w:r w:rsidR="00264049" w:rsidRPr="00FF1087">
        <w:rPr>
          <w:lang w:val="en-GB"/>
        </w:rPr>
        <w:t xml:space="preserve">latter </w:t>
      </w:r>
      <w:r w:rsidR="00462F61" w:rsidRPr="00FF1087">
        <w:rPr>
          <w:lang w:val="en-GB"/>
        </w:rPr>
        <w:t>claim</w:t>
      </w:r>
      <w:r w:rsidRPr="00FF1087">
        <w:rPr>
          <w:lang w:val="en-GB"/>
        </w:rPr>
        <w:t xml:space="preserve">, the Committee </w:t>
      </w:r>
      <w:r w:rsidR="00264049" w:rsidRPr="00FF1087">
        <w:rPr>
          <w:lang w:val="en-GB"/>
        </w:rPr>
        <w:t>in its findings on communication ACCC/C/2014/100</w:t>
      </w:r>
      <w:r w:rsidR="008D11BD" w:rsidRPr="00FF1087">
        <w:rPr>
          <w:lang w:val="en-GB"/>
        </w:rPr>
        <w:t xml:space="preserve"> (United Kingdom)</w:t>
      </w:r>
      <w:r w:rsidR="00264049" w:rsidRPr="00FF1087">
        <w:rPr>
          <w:lang w:val="en-GB"/>
        </w:rPr>
        <w:t xml:space="preserve"> made clear that the obligation to provide the necessary information requires Parties to make available to the public all information that is relevant to the decision-making “that is in the possession of the competent authorities”. </w:t>
      </w:r>
      <w:r w:rsidR="009C2C1F" w:rsidRPr="00FF1087">
        <w:rPr>
          <w:lang w:val="en-GB"/>
        </w:rPr>
        <w:t xml:space="preserve">Accordingly, the Committee does not consider that </w:t>
      </w:r>
      <w:r w:rsidR="00264049" w:rsidRPr="00FF1087">
        <w:rPr>
          <w:lang w:val="en-GB"/>
        </w:rPr>
        <w:t xml:space="preserve">article 9(4) of the Aarhus Regulation fails to comply with article 7 of the Convention in this </w:t>
      </w:r>
      <w:r w:rsidR="008D11BD" w:rsidRPr="00FF1087">
        <w:rPr>
          <w:lang w:val="en-GB"/>
        </w:rPr>
        <w:t>respect</w:t>
      </w:r>
      <w:r w:rsidR="009C2C1F" w:rsidRPr="00FF1087">
        <w:rPr>
          <w:lang w:val="en-GB"/>
        </w:rPr>
        <w:t>.</w:t>
      </w:r>
    </w:p>
    <w:p w14:paraId="7870CFEA" w14:textId="393D3434" w:rsidR="00345AE3" w:rsidRPr="00FF1087" w:rsidRDefault="00264049" w:rsidP="00DF60CA">
      <w:pPr>
        <w:pStyle w:val="SingleTxtG"/>
        <w:numPr>
          <w:ilvl w:val="0"/>
          <w:numId w:val="3"/>
        </w:numPr>
        <w:tabs>
          <w:tab w:val="left" w:pos="1843"/>
          <w:tab w:val="left" w:pos="6120"/>
        </w:tabs>
        <w:ind w:left="1134" w:right="0" w:firstLine="0"/>
        <w:rPr>
          <w:lang w:val="en-GB"/>
        </w:rPr>
      </w:pPr>
      <w:r w:rsidRPr="00FF1087">
        <w:rPr>
          <w:lang w:val="en-GB"/>
        </w:rPr>
        <w:t xml:space="preserve">Moreover, </w:t>
      </w:r>
      <w:r w:rsidR="00345AE3" w:rsidRPr="00FF1087">
        <w:rPr>
          <w:lang w:val="en-GB"/>
        </w:rPr>
        <w:t xml:space="preserve">there is no evidence before the Committee that would indicate that the Party concerned </w:t>
      </w:r>
      <w:r w:rsidR="00817C07" w:rsidRPr="00FF1087">
        <w:rPr>
          <w:lang w:val="en-GB"/>
        </w:rPr>
        <w:t xml:space="preserve">possessed </w:t>
      </w:r>
      <w:r w:rsidR="00345AE3" w:rsidRPr="00FF1087">
        <w:rPr>
          <w:lang w:val="en-GB"/>
        </w:rPr>
        <w:t xml:space="preserve">further </w:t>
      </w:r>
      <w:r w:rsidR="009C2C1F" w:rsidRPr="00FF1087">
        <w:rPr>
          <w:lang w:val="en-GB"/>
        </w:rPr>
        <w:t xml:space="preserve">environmental </w:t>
      </w:r>
      <w:r w:rsidR="00345AE3" w:rsidRPr="00FF1087">
        <w:rPr>
          <w:lang w:val="en-GB"/>
        </w:rPr>
        <w:t xml:space="preserve">information </w:t>
      </w:r>
      <w:r w:rsidR="009C2C1F" w:rsidRPr="00FF1087">
        <w:rPr>
          <w:lang w:val="en-GB"/>
        </w:rPr>
        <w:t>regarding</w:t>
      </w:r>
      <w:r w:rsidR="00345AE3" w:rsidRPr="00FF1087">
        <w:rPr>
          <w:lang w:val="en-GB"/>
        </w:rPr>
        <w:t xml:space="preserve"> the </w:t>
      </w:r>
      <w:r w:rsidR="009C2C1F" w:rsidRPr="00FF1087">
        <w:rPr>
          <w:lang w:val="en-GB"/>
        </w:rPr>
        <w:t xml:space="preserve">first PCI list </w:t>
      </w:r>
      <w:r w:rsidR="00345AE3" w:rsidRPr="00FF1087">
        <w:rPr>
          <w:lang w:val="en-GB"/>
        </w:rPr>
        <w:t xml:space="preserve">at the time when the public consultation was held but failed to disclose it. </w:t>
      </w:r>
      <w:r w:rsidR="000B6543" w:rsidRPr="00FF1087">
        <w:rPr>
          <w:lang w:val="en-GB"/>
        </w:rPr>
        <w:t xml:space="preserve">Rather, </w:t>
      </w:r>
      <w:r w:rsidR="009C0D0C" w:rsidRPr="00FF1087">
        <w:rPr>
          <w:lang w:val="en-GB"/>
        </w:rPr>
        <w:t>the Party concerned</w:t>
      </w:r>
      <w:r w:rsidR="000B6543" w:rsidRPr="00FF1087">
        <w:rPr>
          <w:lang w:val="en-GB"/>
        </w:rPr>
        <w:t xml:space="preserve"> states that</w:t>
      </w:r>
      <w:r w:rsidR="009C0D0C" w:rsidRPr="00FF1087">
        <w:rPr>
          <w:lang w:val="en-GB"/>
        </w:rPr>
        <w:t xml:space="preserve"> such information was to be </w:t>
      </w:r>
      <w:r w:rsidR="000B6543" w:rsidRPr="00FF1087">
        <w:rPr>
          <w:lang w:val="en-GB"/>
        </w:rPr>
        <w:t xml:space="preserve">made </w:t>
      </w:r>
      <w:r w:rsidR="009C0D0C" w:rsidRPr="00FF1087">
        <w:rPr>
          <w:lang w:val="en-GB"/>
        </w:rPr>
        <w:t xml:space="preserve">available at the time of permitting the </w:t>
      </w:r>
      <w:r w:rsidR="008D11BD" w:rsidRPr="00FF1087">
        <w:rPr>
          <w:lang w:val="en-GB"/>
        </w:rPr>
        <w:t xml:space="preserve">specific </w:t>
      </w:r>
      <w:r w:rsidR="009C0D0C" w:rsidRPr="00FF1087">
        <w:rPr>
          <w:lang w:val="en-GB"/>
        </w:rPr>
        <w:t xml:space="preserve">projects. </w:t>
      </w:r>
      <w:r w:rsidR="009C2C1F" w:rsidRPr="00FF1087">
        <w:rPr>
          <w:lang w:val="en-GB"/>
        </w:rPr>
        <w:t xml:space="preserve">It is not for the Committee to determine whether it was reasonable to </w:t>
      </w:r>
      <w:r w:rsidR="009C0D0C" w:rsidRPr="00FF1087">
        <w:rPr>
          <w:lang w:val="en-GB"/>
        </w:rPr>
        <w:t xml:space="preserve">take a decision on the first </w:t>
      </w:r>
      <w:r w:rsidR="008D11BD" w:rsidRPr="00FF1087">
        <w:rPr>
          <w:lang w:val="en-GB"/>
        </w:rPr>
        <w:t>PCI list</w:t>
      </w:r>
      <w:r w:rsidR="009C2C1F" w:rsidRPr="00FF1087">
        <w:rPr>
          <w:lang w:val="en-GB"/>
        </w:rPr>
        <w:t xml:space="preserve"> without having information on their cumulative environmental effects.</w:t>
      </w:r>
    </w:p>
    <w:p w14:paraId="27B89EFF" w14:textId="6FF4D210" w:rsidR="00ED4379" w:rsidRPr="00FF1087" w:rsidRDefault="00ED4379" w:rsidP="0007320D">
      <w:pPr>
        <w:pStyle w:val="SingleTxtG"/>
        <w:numPr>
          <w:ilvl w:val="0"/>
          <w:numId w:val="3"/>
        </w:numPr>
        <w:tabs>
          <w:tab w:val="left" w:pos="1843"/>
          <w:tab w:val="left" w:pos="6120"/>
        </w:tabs>
        <w:ind w:left="1134" w:right="0" w:firstLine="0"/>
        <w:rPr>
          <w:lang w:val="en-GB"/>
        </w:rPr>
      </w:pPr>
      <w:r w:rsidRPr="00FF1087">
        <w:rPr>
          <w:lang w:val="en-GB"/>
        </w:rPr>
        <w:t xml:space="preserve">Based on the above, the Committee finds that, in the circumstances of this case, the Party concerned did not fail to comply with the requirement in article 7 </w:t>
      </w:r>
      <w:r w:rsidR="003154B2" w:rsidRPr="00FF1087">
        <w:rPr>
          <w:lang w:val="en-GB"/>
        </w:rPr>
        <w:t xml:space="preserve">of the Convention </w:t>
      </w:r>
      <w:r w:rsidRPr="00FF1087">
        <w:rPr>
          <w:lang w:val="en-GB"/>
        </w:rPr>
        <w:t xml:space="preserve">to provide the “necessary information” </w:t>
      </w:r>
      <w:r w:rsidR="00345AE3" w:rsidRPr="00FF1087">
        <w:rPr>
          <w:lang w:val="en-GB"/>
        </w:rPr>
        <w:t>to the public during the preparation</w:t>
      </w:r>
      <w:r w:rsidRPr="00FF1087">
        <w:rPr>
          <w:lang w:val="en-GB"/>
        </w:rPr>
        <w:t xml:space="preserve"> of the first </w:t>
      </w:r>
      <w:r w:rsidR="000B6543" w:rsidRPr="00FF1087">
        <w:rPr>
          <w:lang w:val="en-GB"/>
        </w:rPr>
        <w:t xml:space="preserve">PCI </w:t>
      </w:r>
      <w:r w:rsidRPr="00FF1087">
        <w:rPr>
          <w:lang w:val="en-GB"/>
        </w:rPr>
        <w:t>list.</w:t>
      </w:r>
    </w:p>
    <w:p w14:paraId="648542D1" w14:textId="01555014" w:rsidR="002F74BA" w:rsidRPr="00FF1087" w:rsidRDefault="00A452AB">
      <w:pPr>
        <w:pStyle w:val="SingleTxtG"/>
        <w:tabs>
          <w:tab w:val="left" w:pos="1843"/>
          <w:tab w:val="left" w:pos="6120"/>
        </w:tabs>
        <w:ind w:right="0"/>
        <w:rPr>
          <w:b/>
          <w:lang w:val="en-GB"/>
        </w:rPr>
      </w:pPr>
      <w:r w:rsidRPr="00FF1087">
        <w:rPr>
          <w:b/>
          <w:bCs/>
          <w:lang w:val="en-GB"/>
        </w:rPr>
        <w:t>Due account - a</w:t>
      </w:r>
      <w:r w:rsidR="00ED4379" w:rsidRPr="00FF1087">
        <w:rPr>
          <w:b/>
          <w:bCs/>
          <w:lang w:val="en-GB"/>
        </w:rPr>
        <w:t xml:space="preserve">rticle </w:t>
      </w:r>
      <w:r w:rsidR="00ED4379" w:rsidRPr="00FF1087">
        <w:rPr>
          <w:b/>
          <w:lang w:val="en-GB"/>
        </w:rPr>
        <w:t>7 in conjunction with article 6</w:t>
      </w:r>
      <w:r w:rsidR="007356B1" w:rsidRPr="00FF1087">
        <w:rPr>
          <w:b/>
          <w:lang w:val="en-GB"/>
        </w:rPr>
        <w:t>(</w:t>
      </w:r>
      <w:r w:rsidR="00ED4379" w:rsidRPr="00FF1087">
        <w:rPr>
          <w:b/>
          <w:lang w:val="en-GB"/>
        </w:rPr>
        <w:t>8</w:t>
      </w:r>
      <w:r w:rsidR="007356B1" w:rsidRPr="00FF1087">
        <w:rPr>
          <w:b/>
          <w:lang w:val="en-GB"/>
        </w:rPr>
        <w:t>)</w:t>
      </w:r>
    </w:p>
    <w:p w14:paraId="4857BE9C" w14:textId="7C087937" w:rsidR="00455A17" w:rsidRPr="00FF1087" w:rsidRDefault="00970EAE" w:rsidP="0007320D">
      <w:pPr>
        <w:pStyle w:val="SingleTxtG"/>
        <w:numPr>
          <w:ilvl w:val="0"/>
          <w:numId w:val="3"/>
        </w:numPr>
        <w:tabs>
          <w:tab w:val="left" w:pos="1843"/>
          <w:tab w:val="left" w:pos="6120"/>
        </w:tabs>
        <w:ind w:left="1134" w:right="0" w:firstLine="0"/>
        <w:rPr>
          <w:lang w:val="en-GB"/>
        </w:rPr>
      </w:pPr>
      <w:r w:rsidRPr="00FF1087">
        <w:rPr>
          <w:lang w:val="en-GB"/>
        </w:rPr>
        <w:t xml:space="preserve"> The incorporation of article 6(8) </w:t>
      </w:r>
      <w:r w:rsidR="003154B2" w:rsidRPr="00FF1087">
        <w:rPr>
          <w:lang w:val="en-GB"/>
        </w:rPr>
        <w:t xml:space="preserve">of the Convention </w:t>
      </w:r>
      <w:r w:rsidRPr="00FF1087">
        <w:rPr>
          <w:lang w:val="en-GB"/>
        </w:rPr>
        <w:t xml:space="preserve">into article 7 means that Parties must ensure that due account is taken of the outcome of the public participation during the preparation of plans and programmes relating to the environment. </w:t>
      </w:r>
      <w:r w:rsidR="00D91A59" w:rsidRPr="00FF1087">
        <w:rPr>
          <w:lang w:val="en-GB"/>
        </w:rPr>
        <w:t>As the Committee observe</w:t>
      </w:r>
      <w:r w:rsidR="00A452AB" w:rsidRPr="00FF1087">
        <w:rPr>
          <w:lang w:val="en-GB"/>
        </w:rPr>
        <w:t>d</w:t>
      </w:r>
      <w:r w:rsidR="00D91A59" w:rsidRPr="00FF1087">
        <w:rPr>
          <w:lang w:val="en-GB"/>
        </w:rPr>
        <w:t xml:space="preserve"> in </w:t>
      </w:r>
      <w:r w:rsidRPr="00FF1087">
        <w:rPr>
          <w:lang w:val="en-GB"/>
        </w:rPr>
        <w:t xml:space="preserve">its findings on communication </w:t>
      </w:r>
      <w:r w:rsidR="00D91A59" w:rsidRPr="00FF1087">
        <w:rPr>
          <w:lang w:val="en-GB"/>
        </w:rPr>
        <w:t>ACCC/C/2012/70 (Czech Republic)</w:t>
      </w:r>
      <w:r w:rsidR="00403A66" w:rsidRPr="00FF1087">
        <w:rPr>
          <w:lang w:val="en-GB"/>
        </w:rPr>
        <w:t>,</w:t>
      </w:r>
      <w:r w:rsidR="00D91A59" w:rsidRPr="00FF1087">
        <w:rPr>
          <w:lang w:val="en-GB"/>
        </w:rPr>
        <w:t xml:space="preserve"> </w:t>
      </w:r>
      <w:r w:rsidR="00D42B2E" w:rsidRPr="00FF1087">
        <w:rPr>
          <w:lang w:val="en-GB"/>
        </w:rPr>
        <w:t>“</w:t>
      </w:r>
      <w:r w:rsidR="00D91A59" w:rsidRPr="00FF1087">
        <w:rPr>
          <w:lang w:val="en-GB"/>
        </w:rPr>
        <w:t>a</w:t>
      </w:r>
      <w:r w:rsidR="00D42B2E" w:rsidRPr="00FF1087">
        <w:rPr>
          <w:lang w:val="en-GB"/>
        </w:rPr>
        <w:t xml:space="preserve"> requirement to make accessible the reasons and considerations on which the decision is based is not expressly provided for in article 7 of the Convention. Nevertheless, the Party concerned has the obligation to demonstrate that it has fulfilled its obligations under article 6, paragraph 8</w:t>
      </w:r>
      <w:r w:rsidR="00C51EA4" w:rsidRPr="00FF1087">
        <w:rPr>
          <w:lang w:val="en-GB"/>
        </w:rPr>
        <w:t>.</w:t>
      </w:r>
      <w:r w:rsidR="00D42B2E" w:rsidRPr="00FF1087">
        <w:rPr>
          <w:lang w:val="en-GB"/>
        </w:rPr>
        <w:t>”</w:t>
      </w:r>
      <w:r w:rsidR="00D42B2E" w:rsidRPr="00FF1087">
        <w:rPr>
          <w:rStyle w:val="FootnoteReference"/>
          <w:lang w:val="en-GB"/>
        </w:rPr>
        <w:footnoteReference w:id="105"/>
      </w:r>
      <w:r w:rsidR="00D91A59" w:rsidRPr="00FF1087">
        <w:rPr>
          <w:lang w:val="en-GB"/>
        </w:rPr>
        <w:t xml:space="preserve"> </w:t>
      </w:r>
    </w:p>
    <w:p w14:paraId="35C01E25" w14:textId="616A50BE" w:rsidR="00B41614" w:rsidRPr="00FF1087" w:rsidRDefault="001E0BF0" w:rsidP="0007320D">
      <w:pPr>
        <w:pStyle w:val="SingleTxtG"/>
        <w:numPr>
          <w:ilvl w:val="0"/>
          <w:numId w:val="3"/>
        </w:numPr>
        <w:tabs>
          <w:tab w:val="left" w:pos="1843"/>
          <w:tab w:val="left" w:pos="6120"/>
        </w:tabs>
        <w:ind w:left="1134" w:right="0" w:firstLine="0"/>
        <w:rPr>
          <w:lang w:val="en-GB"/>
        </w:rPr>
      </w:pPr>
      <w:r w:rsidRPr="00FF1087">
        <w:rPr>
          <w:lang w:val="en-GB"/>
        </w:rPr>
        <w:t>In those findings, the Committee pointed out that in the process of preparing a plan this obligation could be fulfilled by following the procedure set out in article 6</w:t>
      </w:r>
      <w:r w:rsidR="00654231" w:rsidRPr="00FF1087">
        <w:rPr>
          <w:lang w:val="en-GB"/>
        </w:rPr>
        <w:t>(</w:t>
      </w:r>
      <w:r w:rsidRPr="00FF1087">
        <w:rPr>
          <w:lang w:val="en-GB"/>
        </w:rPr>
        <w:t>9</w:t>
      </w:r>
      <w:r w:rsidR="00654231" w:rsidRPr="00FF1087">
        <w:rPr>
          <w:lang w:val="en-GB"/>
        </w:rPr>
        <w:t>)</w:t>
      </w:r>
      <w:r w:rsidRPr="00FF1087">
        <w:rPr>
          <w:lang w:val="en-GB"/>
        </w:rPr>
        <w:t xml:space="preserve">, or any </w:t>
      </w:r>
      <w:r w:rsidRPr="00FF1087">
        <w:rPr>
          <w:lang w:val="en-GB"/>
        </w:rPr>
        <w:lastRenderedPageBreak/>
        <w:t>other way the Party concern</w:t>
      </w:r>
      <w:r w:rsidR="00403A66" w:rsidRPr="00FF1087">
        <w:rPr>
          <w:lang w:val="en-GB"/>
        </w:rPr>
        <w:t>ed</w:t>
      </w:r>
      <w:r w:rsidRPr="00FF1087">
        <w:rPr>
          <w:lang w:val="en-GB"/>
        </w:rPr>
        <w:t xml:space="preserve"> chooses to demonstrate that it has taken “due account” of the outcome of the public participation.</w:t>
      </w:r>
      <w:r w:rsidR="00455A17" w:rsidRPr="00FF1087">
        <w:rPr>
          <w:vertAlign w:val="superscript"/>
          <w:lang w:val="en-GB"/>
        </w:rPr>
        <w:footnoteReference w:id="106"/>
      </w:r>
      <w:r w:rsidRPr="00FF1087">
        <w:rPr>
          <w:lang w:val="en-GB"/>
        </w:rPr>
        <w:t xml:space="preserve"> </w:t>
      </w:r>
      <w:r w:rsidR="00455A17" w:rsidRPr="00FF1087">
        <w:rPr>
          <w:lang w:val="en-GB"/>
        </w:rPr>
        <w:t>Whatever procedure is used, the Committee emphasises that</w:t>
      </w:r>
      <w:r w:rsidR="00BE4C7E" w:rsidRPr="00FF1087">
        <w:rPr>
          <w:lang w:val="en-GB"/>
        </w:rPr>
        <w:t xml:space="preserve"> </w:t>
      </w:r>
      <w:r w:rsidR="00200E58" w:rsidRPr="00FF1087">
        <w:rPr>
          <w:lang w:val="en-GB"/>
        </w:rPr>
        <w:t xml:space="preserve">it is </w:t>
      </w:r>
      <w:r w:rsidR="00654231" w:rsidRPr="00FF1087">
        <w:rPr>
          <w:lang w:val="en-GB"/>
        </w:rPr>
        <w:t xml:space="preserve">for the Party concerned to demonstrate that it has taken </w:t>
      </w:r>
      <w:r w:rsidR="00455A17" w:rsidRPr="00FF1087">
        <w:rPr>
          <w:lang w:val="en-GB"/>
        </w:rPr>
        <w:t>due account of</w:t>
      </w:r>
      <w:r w:rsidR="001571D7" w:rsidRPr="00FF1087">
        <w:rPr>
          <w:lang w:val="en-GB"/>
        </w:rPr>
        <w:t xml:space="preserve"> </w:t>
      </w:r>
      <w:r w:rsidR="003C3419" w:rsidRPr="00FF1087">
        <w:rPr>
          <w:lang w:val="en-GB"/>
        </w:rPr>
        <w:t xml:space="preserve">the outcome of the public participation. </w:t>
      </w:r>
      <w:r w:rsidR="00654231" w:rsidRPr="00FF1087">
        <w:rPr>
          <w:lang w:val="en-GB"/>
        </w:rPr>
        <w:t xml:space="preserve">The obligation to take due account has just as much </w:t>
      </w:r>
      <w:r w:rsidR="003C3419" w:rsidRPr="00FF1087">
        <w:rPr>
          <w:lang w:val="en-GB"/>
        </w:rPr>
        <w:t>force with respect to plans, programmes and policies under article 7 as it does with respect to projects under article 6.</w:t>
      </w:r>
      <w:r w:rsidR="00654231" w:rsidRPr="00FF1087" w:rsidDel="00654231">
        <w:rPr>
          <w:lang w:val="en-GB"/>
        </w:rPr>
        <w:t xml:space="preserve"> </w:t>
      </w:r>
    </w:p>
    <w:p w14:paraId="45E78985" w14:textId="46A87E96" w:rsidR="00AA50DD" w:rsidRPr="00FF1087" w:rsidRDefault="00ED4379" w:rsidP="00AA50DD">
      <w:pPr>
        <w:pStyle w:val="SingleTxtG"/>
        <w:numPr>
          <w:ilvl w:val="0"/>
          <w:numId w:val="3"/>
        </w:numPr>
        <w:tabs>
          <w:tab w:val="left" w:pos="1843"/>
          <w:tab w:val="left" w:pos="6120"/>
        </w:tabs>
        <w:ind w:left="1134" w:right="0" w:firstLine="0"/>
        <w:rPr>
          <w:lang w:val="en-GB"/>
        </w:rPr>
      </w:pPr>
      <w:r w:rsidRPr="00FF1087">
        <w:rPr>
          <w:lang w:val="en-GB"/>
        </w:rPr>
        <w:t xml:space="preserve">The </w:t>
      </w:r>
      <w:r w:rsidR="00F07342" w:rsidRPr="00FF1087">
        <w:rPr>
          <w:lang w:val="en-GB"/>
        </w:rPr>
        <w:t>Party concerned has pointed</w:t>
      </w:r>
      <w:r w:rsidR="00EC55D6" w:rsidRPr="00FF1087">
        <w:rPr>
          <w:lang w:val="en-GB"/>
        </w:rPr>
        <w:t xml:space="preserve"> the Committee</w:t>
      </w:r>
      <w:r w:rsidR="00F07342" w:rsidRPr="00FF1087">
        <w:rPr>
          <w:lang w:val="en-GB"/>
        </w:rPr>
        <w:t xml:space="preserve"> to two examples </w:t>
      </w:r>
      <w:r w:rsidR="0038740D" w:rsidRPr="00FF1087">
        <w:rPr>
          <w:lang w:val="en-GB"/>
        </w:rPr>
        <w:t xml:space="preserve">of how </w:t>
      </w:r>
      <w:r w:rsidR="002C0AD6" w:rsidRPr="00FF1087">
        <w:rPr>
          <w:lang w:val="en-GB"/>
        </w:rPr>
        <w:t xml:space="preserve">it claims </w:t>
      </w:r>
      <w:r w:rsidR="0038740D" w:rsidRPr="00FF1087">
        <w:rPr>
          <w:lang w:val="en-GB"/>
        </w:rPr>
        <w:t>stakeholders’</w:t>
      </w:r>
      <w:r w:rsidRPr="00FF1087">
        <w:rPr>
          <w:lang w:val="en-GB"/>
        </w:rPr>
        <w:t xml:space="preserve"> comments </w:t>
      </w:r>
      <w:r w:rsidR="002C0AD6" w:rsidRPr="00FF1087">
        <w:rPr>
          <w:lang w:val="en-GB"/>
        </w:rPr>
        <w:t xml:space="preserve">were </w:t>
      </w:r>
      <w:proofErr w:type="gramStart"/>
      <w:r w:rsidR="002C0AD6" w:rsidRPr="00FF1087">
        <w:rPr>
          <w:lang w:val="en-GB"/>
        </w:rPr>
        <w:t>taken into account</w:t>
      </w:r>
      <w:proofErr w:type="gramEnd"/>
      <w:r w:rsidR="002C0AD6" w:rsidRPr="00FF1087">
        <w:rPr>
          <w:lang w:val="en-GB"/>
        </w:rPr>
        <w:t xml:space="preserve"> in the preparation of the first </w:t>
      </w:r>
      <w:r w:rsidRPr="00FF1087">
        <w:rPr>
          <w:lang w:val="en-GB"/>
        </w:rPr>
        <w:t>PCI</w:t>
      </w:r>
      <w:r w:rsidR="0038740D" w:rsidRPr="00FF1087">
        <w:rPr>
          <w:lang w:val="en-GB"/>
        </w:rPr>
        <w:t xml:space="preserve"> list</w:t>
      </w:r>
      <w:r w:rsidR="007972AB" w:rsidRPr="00FF1087">
        <w:rPr>
          <w:lang w:val="en-GB"/>
        </w:rPr>
        <w:t>.</w:t>
      </w:r>
      <w:r w:rsidRPr="00FF1087">
        <w:rPr>
          <w:vertAlign w:val="superscript"/>
          <w:lang w:val="en-GB"/>
        </w:rPr>
        <w:footnoteReference w:id="107"/>
      </w:r>
      <w:r w:rsidR="003C3419" w:rsidRPr="00FF1087">
        <w:rPr>
          <w:lang w:val="en-GB"/>
        </w:rPr>
        <w:t xml:space="preserve"> The</w:t>
      </w:r>
      <w:r w:rsidR="002C0AD6" w:rsidRPr="00FF1087">
        <w:rPr>
          <w:lang w:val="en-GB"/>
        </w:rPr>
        <w:t xml:space="preserve"> Committee notes that these</w:t>
      </w:r>
      <w:r w:rsidR="003C3419" w:rsidRPr="00FF1087">
        <w:rPr>
          <w:lang w:val="en-GB"/>
        </w:rPr>
        <w:t xml:space="preserve"> two examples </w:t>
      </w:r>
      <w:r w:rsidR="002C0AD6" w:rsidRPr="00FF1087">
        <w:rPr>
          <w:lang w:val="en-GB"/>
        </w:rPr>
        <w:t xml:space="preserve">concern just </w:t>
      </w:r>
      <w:r w:rsidR="00966141" w:rsidRPr="00FF1087">
        <w:rPr>
          <w:lang w:val="en-GB"/>
        </w:rPr>
        <w:t xml:space="preserve">two of the </w:t>
      </w:r>
      <w:r w:rsidR="00D551AB" w:rsidRPr="00FF1087">
        <w:rPr>
          <w:lang w:val="en-GB"/>
        </w:rPr>
        <w:t>2</w:t>
      </w:r>
      <w:r w:rsidR="00966141" w:rsidRPr="00FF1087">
        <w:rPr>
          <w:lang w:val="en-GB"/>
        </w:rPr>
        <w:t>48 PCIs on the PCI list</w:t>
      </w:r>
      <w:r w:rsidR="002C0AD6" w:rsidRPr="00FF1087">
        <w:rPr>
          <w:lang w:val="en-GB"/>
        </w:rPr>
        <w:t xml:space="preserve">. </w:t>
      </w:r>
      <w:r w:rsidR="00785B86" w:rsidRPr="00FF1087">
        <w:rPr>
          <w:lang w:val="en-GB"/>
        </w:rPr>
        <w:t>Moreover</w:t>
      </w:r>
      <w:r w:rsidR="00F07342" w:rsidRPr="00FF1087">
        <w:rPr>
          <w:lang w:val="en-GB"/>
        </w:rPr>
        <w:t xml:space="preserve">, one of the </w:t>
      </w:r>
      <w:r w:rsidR="002C0AD6" w:rsidRPr="00FF1087">
        <w:rPr>
          <w:lang w:val="en-GB"/>
        </w:rPr>
        <w:t xml:space="preserve">two </w:t>
      </w:r>
      <w:r w:rsidR="00F07342" w:rsidRPr="00FF1087">
        <w:rPr>
          <w:lang w:val="en-GB"/>
        </w:rPr>
        <w:t xml:space="preserve">examples </w:t>
      </w:r>
      <w:r w:rsidR="002C0AD6" w:rsidRPr="00FF1087">
        <w:rPr>
          <w:lang w:val="en-GB"/>
        </w:rPr>
        <w:t>actually</w:t>
      </w:r>
      <w:r w:rsidR="00966141" w:rsidRPr="00FF1087">
        <w:rPr>
          <w:lang w:val="en-GB"/>
        </w:rPr>
        <w:t xml:space="preserve"> </w:t>
      </w:r>
      <w:proofErr w:type="gramStart"/>
      <w:r w:rsidR="00AA50DD" w:rsidRPr="00FF1087">
        <w:rPr>
          <w:lang w:val="en-GB"/>
        </w:rPr>
        <w:t>refers</w:t>
      </w:r>
      <w:proofErr w:type="gramEnd"/>
      <w:r w:rsidR="00AA50DD" w:rsidRPr="00FF1087">
        <w:rPr>
          <w:lang w:val="en-GB"/>
        </w:rPr>
        <w:t xml:space="preserve"> to </w:t>
      </w:r>
      <w:r w:rsidR="00F07342" w:rsidRPr="00FF1087">
        <w:rPr>
          <w:lang w:val="en-GB"/>
        </w:rPr>
        <w:t>comments submitted by the Directorate-General Environment</w:t>
      </w:r>
      <w:r w:rsidR="00BE4C7E" w:rsidRPr="00FF1087">
        <w:rPr>
          <w:lang w:val="en-GB"/>
        </w:rPr>
        <w:t xml:space="preserve"> of the Party concerned</w:t>
      </w:r>
      <w:r w:rsidR="00F07342" w:rsidRPr="00FF1087">
        <w:rPr>
          <w:lang w:val="en-GB"/>
        </w:rPr>
        <w:t xml:space="preserve">, rather than </w:t>
      </w:r>
      <w:r w:rsidR="00EC55D6" w:rsidRPr="00FF1087">
        <w:rPr>
          <w:lang w:val="en-GB"/>
        </w:rPr>
        <w:t>comments</w:t>
      </w:r>
      <w:r w:rsidR="00F07342" w:rsidRPr="00FF1087">
        <w:rPr>
          <w:lang w:val="en-GB"/>
        </w:rPr>
        <w:t xml:space="preserve"> from </w:t>
      </w:r>
      <w:r w:rsidR="00EC55D6" w:rsidRPr="00FF1087">
        <w:rPr>
          <w:lang w:val="en-GB"/>
        </w:rPr>
        <w:t xml:space="preserve">the public. </w:t>
      </w:r>
      <w:r w:rsidR="00966141" w:rsidRPr="00FF1087">
        <w:rPr>
          <w:lang w:val="en-GB"/>
        </w:rPr>
        <w:t xml:space="preserve">The Committee considers that these examples </w:t>
      </w:r>
      <w:r w:rsidR="00AA50DD" w:rsidRPr="00FF1087">
        <w:rPr>
          <w:lang w:val="en-GB"/>
        </w:rPr>
        <w:t xml:space="preserve">are not </w:t>
      </w:r>
      <w:proofErr w:type="gramStart"/>
      <w:r w:rsidR="00AA50DD" w:rsidRPr="00FF1087">
        <w:rPr>
          <w:lang w:val="en-GB"/>
        </w:rPr>
        <w:t>sufficient</w:t>
      </w:r>
      <w:proofErr w:type="gramEnd"/>
      <w:r w:rsidR="00AA50DD" w:rsidRPr="00FF1087">
        <w:rPr>
          <w:lang w:val="en-GB"/>
        </w:rPr>
        <w:t xml:space="preserve"> to</w:t>
      </w:r>
      <w:r w:rsidR="00966141" w:rsidRPr="00FF1087">
        <w:rPr>
          <w:lang w:val="en-GB"/>
        </w:rPr>
        <w:t xml:space="preserve"> demonstrate </w:t>
      </w:r>
      <w:r w:rsidR="00AA50DD" w:rsidRPr="00FF1087">
        <w:rPr>
          <w:lang w:val="en-GB"/>
        </w:rPr>
        <w:t>that the Party concerned took due account of the outcomes of the public participation in the first PCI list.</w:t>
      </w:r>
    </w:p>
    <w:p w14:paraId="0A25BA7D" w14:textId="461E8DD8" w:rsidR="0095417D" w:rsidRPr="00FF1087" w:rsidRDefault="00AA50DD" w:rsidP="0007320D">
      <w:pPr>
        <w:pStyle w:val="SingleTxtG"/>
        <w:numPr>
          <w:ilvl w:val="0"/>
          <w:numId w:val="3"/>
        </w:numPr>
        <w:tabs>
          <w:tab w:val="left" w:pos="1843"/>
          <w:tab w:val="left" w:pos="6120"/>
        </w:tabs>
        <w:ind w:left="1134" w:right="0" w:firstLine="0"/>
        <w:rPr>
          <w:lang w:val="en-GB"/>
        </w:rPr>
      </w:pPr>
      <w:r w:rsidRPr="00FF1087">
        <w:rPr>
          <w:lang w:val="en-GB"/>
        </w:rPr>
        <w:t>The Party concerned also states that a summary of the public participation was included in the explanatory memorandum of 14 October 2013 which accompanied the PCI Regul</w:t>
      </w:r>
      <w:r w:rsidR="00BE4C7E" w:rsidRPr="00FF1087">
        <w:rPr>
          <w:lang w:val="en-GB"/>
        </w:rPr>
        <w:t>a</w:t>
      </w:r>
      <w:r w:rsidRPr="00FF1087">
        <w:rPr>
          <w:lang w:val="en-GB"/>
        </w:rPr>
        <w:t xml:space="preserve">tion. However, the explanatory memorandum </w:t>
      </w:r>
      <w:r w:rsidR="003C3419" w:rsidRPr="00FF1087">
        <w:rPr>
          <w:lang w:val="en-GB"/>
        </w:rPr>
        <w:t xml:space="preserve">merely reports in two brief sentences that “some concerns were raised </w:t>
      </w:r>
      <w:r w:rsidR="003C3419" w:rsidRPr="00FF1087">
        <w:rPr>
          <w:lang w:val="en-GB"/>
        </w:rPr>
        <w:sym w:font="Symbol" w:char="F05B"/>
      </w:r>
      <w:r w:rsidR="003C3419" w:rsidRPr="00FF1087">
        <w:rPr>
          <w:lang w:val="en-GB"/>
        </w:rPr>
        <w:t>…</w:t>
      </w:r>
      <w:r w:rsidR="003C3419" w:rsidRPr="00FF1087">
        <w:rPr>
          <w:lang w:val="en-GB"/>
        </w:rPr>
        <w:sym w:font="Symbol" w:char="F05D"/>
      </w:r>
      <w:r w:rsidR="003C3419" w:rsidRPr="00FF1087">
        <w:rPr>
          <w:lang w:val="en-GB"/>
        </w:rPr>
        <w:t xml:space="preserve"> on certain environmental impacts of specific projects” and that “it was explained that the inclusion of these projects in the Union list is subject to their continued compliance with Union law, </w:t>
      </w:r>
      <w:proofErr w:type="gramStart"/>
      <w:r w:rsidR="003C3419" w:rsidRPr="00FF1087">
        <w:rPr>
          <w:lang w:val="en-GB"/>
        </w:rPr>
        <w:t>in particular Union</w:t>
      </w:r>
      <w:proofErr w:type="gramEnd"/>
      <w:r w:rsidR="003C3419" w:rsidRPr="00FF1087">
        <w:rPr>
          <w:lang w:val="en-GB"/>
        </w:rPr>
        <w:t xml:space="preserve"> environmental legislation”</w:t>
      </w:r>
      <w:r w:rsidRPr="00FF1087">
        <w:rPr>
          <w:lang w:val="en-GB"/>
        </w:rPr>
        <w:t xml:space="preserve"> (see para. </w:t>
      </w:r>
      <w:r w:rsidRPr="00FF1087">
        <w:rPr>
          <w:lang w:val="en-GB"/>
        </w:rPr>
        <w:fldChar w:fldCharType="begin"/>
      </w:r>
      <w:r w:rsidRPr="00FF1087">
        <w:rPr>
          <w:lang w:val="en-GB"/>
        </w:rPr>
        <w:instrText xml:space="preserve"> REF _Ref19386347 \r \h </w:instrText>
      </w:r>
      <w:r w:rsidR="00592055" w:rsidRPr="00FF1087">
        <w:rPr>
          <w:lang w:val="en-GB"/>
        </w:rPr>
        <w:instrText xml:space="preserve"> \* MERGEFORMAT </w:instrText>
      </w:r>
      <w:r w:rsidRPr="00FF1087">
        <w:rPr>
          <w:lang w:val="en-GB"/>
        </w:rPr>
      </w:r>
      <w:r w:rsidRPr="00FF1087">
        <w:rPr>
          <w:lang w:val="en-GB"/>
        </w:rPr>
        <w:fldChar w:fldCharType="separate"/>
      </w:r>
      <w:r w:rsidR="00B713E0">
        <w:rPr>
          <w:cs/>
          <w:lang w:val="en-GB"/>
        </w:rPr>
        <w:t>‎</w:t>
      </w:r>
      <w:r w:rsidR="00B713E0">
        <w:rPr>
          <w:lang w:val="en-GB"/>
        </w:rPr>
        <w:t>29</w:t>
      </w:r>
      <w:r w:rsidRPr="00FF1087">
        <w:rPr>
          <w:lang w:val="en-GB"/>
        </w:rPr>
        <w:fldChar w:fldCharType="end"/>
      </w:r>
      <w:r w:rsidRPr="00FF1087">
        <w:rPr>
          <w:lang w:val="en-GB"/>
        </w:rPr>
        <w:t xml:space="preserve"> above). The Committee considers that the explanatory memorandum does not demonstrate, in a </w:t>
      </w:r>
      <w:r w:rsidR="00415FC2" w:rsidRPr="00FF1087">
        <w:rPr>
          <w:lang w:val="en-GB"/>
        </w:rPr>
        <w:t xml:space="preserve">transparent and </w:t>
      </w:r>
      <w:r w:rsidRPr="00FF1087">
        <w:rPr>
          <w:lang w:val="en-GB"/>
        </w:rPr>
        <w:t xml:space="preserve">traceable way, how the 142 comments from members of the public were given due account.  </w:t>
      </w:r>
    </w:p>
    <w:p w14:paraId="5D87816C" w14:textId="38032CE1" w:rsidR="003C3419" w:rsidRPr="00FF1087" w:rsidRDefault="0095417D" w:rsidP="0007320D">
      <w:pPr>
        <w:pStyle w:val="SingleTxtG"/>
        <w:numPr>
          <w:ilvl w:val="0"/>
          <w:numId w:val="3"/>
        </w:numPr>
        <w:tabs>
          <w:tab w:val="left" w:pos="1843"/>
          <w:tab w:val="left" w:pos="6120"/>
        </w:tabs>
        <w:ind w:left="1134" w:right="0" w:firstLine="0"/>
        <w:rPr>
          <w:lang w:val="en-GB"/>
        </w:rPr>
      </w:pPr>
      <w:r w:rsidRPr="00FF1087">
        <w:rPr>
          <w:lang w:val="en-GB"/>
        </w:rPr>
        <w:t>Accordingly,</w:t>
      </w:r>
      <w:r w:rsidR="00455A17" w:rsidRPr="00FF1087">
        <w:rPr>
          <w:lang w:val="en-GB"/>
        </w:rPr>
        <w:t xml:space="preserve"> the Committee finds that</w:t>
      </w:r>
      <w:r w:rsidR="00403A66" w:rsidRPr="00FF1087">
        <w:rPr>
          <w:lang w:val="en-GB"/>
        </w:rPr>
        <w:t>,</w:t>
      </w:r>
      <w:r w:rsidRPr="00FF1087">
        <w:rPr>
          <w:lang w:val="en-GB"/>
        </w:rPr>
        <w:t xml:space="preserve"> by failing to demonstrate</w:t>
      </w:r>
      <w:r w:rsidR="00A6561E" w:rsidRPr="00FF1087">
        <w:rPr>
          <w:lang w:val="en-GB"/>
        </w:rPr>
        <w:t>, in a</w:t>
      </w:r>
      <w:r w:rsidR="00BA525D" w:rsidRPr="00FF1087">
        <w:rPr>
          <w:lang w:val="en-GB"/>
        </w:rPr>
        <w:t xml:space="preserve"> transparent</w:t>
      </w:r>
      <w:r w:rsidR="00415FC2" w:rsidRPr="00FF1087">
        <w:rPr>
          <w:lang w:val="en-GB"/>
        </w:rPr>
        <w:t xml:space="preserve"> and</w:t>
      </w:r>
      <w:r w:rsidR="00A6561E" w:rsidRPr="00FF1087">
        <w:rPr>
          <w:lang w:val="en-GB"/>
        </w:rPr>
        <w:t xml:space="preserve"> traceable</w:t>
      </w:r>
      <w:r w:rsidR="00BA525D" w:rsidRPr="00FF1087">
        <w:rPr>
          <w:lang w:val="en-GB"/>
        </w:rPr>
        <w:t xml:space="preserve"> </w:t>
      </w:r>
      <w:r w:rsidR="00A6561E" w:rsidRPr="00FF1087">
        <w:rPr>
          <w:lang w:val="en-GB"/>
        </w:rPr>
        <w:t>way</w:t>
      </w:r>
      <w:r w:rsidR="00403A66" w:rsidRPr="00FF1087">
        <w:rPr>
          <w:lang w:val="en-GB"/>
        </w:rPr>
        <w:t>,</w:t>
      </w:r>
      <w:r w:rsidR="00BA525D" w:rsidRPr="00FF1087">
        <w:rPr>
          <w:lang w:val="en-GB"/>
        </w:rPr>
        <w:t xml:space="preserve"> </w:t>
      </w:r>
      <w:r w:rsidR="00AA50DD" w:rsidRPr="00FF1087">
        <w:rPr>
          <w:lang w:val="en-GB"/>
        </w:rPr>
        <w:t xml:space="preserve">how due account was taken of the public participation </w:t>
      </w:r>
      <w:r w:rsidR="009F70FB" w:rsidRPr="00FF1087">
        <w:rPr>
          <w:lang w:val="en-GB"/>
        </w:rPr>
        <w:t>with respect to the first PCI list</w:t>
      </w:r>
      <w:r w:rsidRPr="00FF1087">
        <w:rPr>
          <w:lang w:val="en-GB"/>
        </w:rPr>
        <w:t xml:space="preserve">, the Party concerned failed to comply with article 7 in conjunction with article 6(8) of the Convention. </w:t>
      </w:r>
    </w:p>
    <w:p w14:paraId="15E9BCFD" w14:textId="422A2D96" w:rsidR="00ED4379" w:rsidRPr="00FF1087" w:rsidRDefault="00775D42">
      <w:pPr>
        <w:pStyle w:val="SingleTxtG"/>
        <w:tabs>
          <w:tab w:val="left" w:pos="1843"/>
          <w:tab w:val="left" w:pos="6120"/>
        </w:tabs>
        <w:ind w:right="0"/>
        <w:rPr>
          <w:b/>
          <w:lang w:val="en-GB"/>
        </w:rPr>
      </w:pPr>
      <w:r w:rsidRPr="00FF1087">
        <w:rPr>
          <w:b/>
          <w:lang w:val="en-GB"/>
        </w:rPr>
        <w:t>A</w:t>
      </w:r>
      <w:r w:rsidR="00ED4379" w:rsidRPr="00FF1087">
        <w:rPr>
          <w:b/>
          <w:lang w:val="en-GB"/>
        </w:rPr>
        <w:t>rticle 3</w:t>
      </w:r>
      <w:r w:rsidR="007356B1" w:rsidRPr="00FF1087">
        <w:rPr>
          <w:b/>
          <w:lang w:val="en-GB"/>
        </w:rPr>
        <w:t>(</w:t>
      </w:r>
      <w:r w:rsidR="00ED4379" w:rsidRPr="00FF1087">
        <w:rPr>
          <w:b/>
          <w:lang w:val="en-GB"/>
        </w:rPr>
        <w:t>9</w:t>
      </w:r>
      <w:r w:rsidR="007356B1" w:rsidRPr="00FF1087">
        <w:rPr>
          <w:b/>
          <w:lang w:val="en-GB"/>
        </w:rPr>
        <w:t>)</w:t>
      </w:r>
      <w:r w:rsidRPr="00FF1087">
        <w:rPr>
          <w:b/>
          <w:bCs/>
          <w:lang w:val="en-GB"/>
        </w:rPr>
        <w:t xml:space="preserve"> </w:t>
      </w:r>
    </w:p>
    <w:p w14:paraId="35B0896B" w14:textId="6C38AB0D" w:rsidR="00781693" w:rsidRPr="00FF1087" w:rsidRDefault="00ED4379" w:rsidP="00706231">
      <w:pPr>
        <w:pStyle w:val="SingleTxtG"/>
        <w:numPr>
          <w:ilvl w:val="0"/>
          <w:numId w:val="3"/>
        </w:numPr>
        <w:tabs>
          <w:tab w:val="left" w:pos="1843"/>
          <w:tab w:val="left" w:pos="6120"/>
        </w:tabs>
        <w:ind w:left="1134" w:right="0" w:firstLine="0"/>
        <w:rPr>
          <w:lang w:val="en-GB"/>
        </w:rPr>
      </w:pPr>
      <w:r w:rsidRPr="00FF1087">
        <w:rPr>
          <w:lang w:val="en-GB"/>
        </w:rPr>
        <w:t>The communicant alleges that</w:t>
      </w:r>
      <w:r w:rsidR="00BE4C7E" w:rsidRPr="00FF1087">
        <w:rPr>
          <w:lang w:val="en-GB"/>
        </w:rPr>
        <w:t>,</w:t>
      </w:r>
      <w:r w:rsidRPr="00FF1087">
        <w:rPr>
          <w:lang w:val="en-GB"/>
        </w:rPr>
        <w:t xml:space="preserve"> since the information for the public participation was only provided in English, </w:t>
      </w:r>
      <w:proofErr w:type="gramStart"/>
      <w:r w:rsidRPr="00FF1087">
        <w:rPr>
          <w:lang w:val="en-GB"/>
        </w:rPr>
        <w:t>a majority of</w:t>
      </w:r>
      <w:proofErr w:type="gramEnd"/>
      <w:r w:rsidRPr="00FF1087">
        <w:rPr>
          <w:lang w:val="en-GB"/>
        </w:rPr>
        <w:t xml:space="preserve"> the citizens </w:t>
      </w:r>
      <w:r w:rsidR="00BE4C7E" w:rsidRPr="00FF1087">
        <w:rPr>
          <w:lang w:val="en-GB"/>
        </w:rPr>
        <w:t xml:space="preserve">of the Party concerned </w:t>
      </w:r>
      <w:r w:rsidRPr="00FF1087">
        <w:rPr>
          <w:lang w:val="en-GB"/>
        </w:rPr>
        <w:t xml:space="preserve">were </w:t>
      </w:r>
      <w:proofErr w:type="spellStart"/>
      <w:r w:rsidRPr="00FF1087">
        <w:rPr>
          <w:lang w:val="en-GB"/>
        </w:rPr>
        <w:t>disenfrenchised</w:t>
      </w:r>
      <w:proofErr w:type="spellEnd"/>
      <w:r w:rsidRPr="00FF1087">
        <w:rPr>
          <w:lang w:val="en-GB"/>
        </w:rPr>
        <w:t xml:space="preserve">. </w:t>
      </w:r>
      <w:r w:rsidR="00DA7797" w:rsidRPr="00FF1087">
        <w:rPr>
          <w:lang w:val="en-GB"/>
        </w:rPr>
        <w:t xml:space="preserve">In </w:t>
      </w:r>
      <w:r w:rsidR="00E60C2C" w:rsidRPr="00FF1087">
        <w:rPr>
          <w:lang w:val="en-GB"/>
        </w:rPr>
        <w:t xml:space="preserve">its </w:t>
      </w:r>
      <w:r w:rsidR="00706231" w:rsidRPr="00FF1087">
        <w:rPr>
          <w:lang w:val="en-GB"/>
        </w:rPr>
        <w:t>findings</w:t>
      </w:r>
      <w:r w:rsidR="00E60C2C" w:rsidRPr="00FF1087">
        <w:rPr>
          <w:lang w:val="en-GB"/>
        </w:rPr>
        <w:t xml:space="preserve"> on communication ACCC/C/2012/71 (Czech Republic)</w:t>
      </w:r>
      <w:r w:rsidRPr="00FF1087">
        <w:rPr>
          <w:lang w:val="en-GB"/>
        </w:rPr>
        <w:t xml:space="preserve">, the Committee </w:t>
      </w:r>
      <w:r w:rsidR="00DA7797" w:rsidRPr="00FF1087">
        <w:rPr>
          <w:lang w:val="en-GB"/>
        </w:rPr>
        <w:t xml:space="preserve">held </w:t>
      </w:r>
      <w:r w:rsidRPr="00FF1087">
        <w:rPr>
          <w:lang w:val="en-GB"/>
        </w:rPr>
        <w:t>that the general test for discrimination under article 3</w:t>
      </w:r>
      <w:r w:rsidR="007356B1" w:rsidRPr="00FF1087">
        <w:rPr>
          <w:lang w:val="en-GB"/>
        </w:rPr>
        <w:t>(</w:t>
      </w:r>
      <w:r w:rsidRPr="00FF1087">
        <w:rPr>
          <w:lang w:val="en-GB"/>
        </w:rPr>
        <w:t>9</w:t>
      </w:r>
      <w:r w:rsidR="007356B1" w:rsidRPr="00FF1087">
        <w:rPr>
          <w:lang w:val="en-GB"/>
        </w:rPr>
        <w:t>)</w:t>
      </w:r>
      <w:r w:rsidRPr="00FF1087">
        <w:rPr>
          <w:lang w:val="en-GB"/>
        </w:rPr>
        <w:t xml:space="preserve"> is whether one section of the public concerned has been given less favourable treatment that another.</w:t>
      </w:r>
      <w:r w:rsidR="00DA7797" w:rsidRPr="00FF1087">
        <w:rPr>
          <w:vertAlign w:val="superscript"/>
          <w:lang w:val="en-GB"/>
        </w:rPr>
        <w:footnoteReference w:id="108"/>
      </w:r>
      <w:r w:rsidRPr="00FF1087">
        <w:rPr>
          <w:lang w:val="en-GB"/>
        </w:rPr>
        <w:t xml:space="preserve"> </w:t>
      </w:r>
      <w:r w:rsidR="00DA7797" w:rsidRPr="00FF1087">
        <w:rPr>
          <w:lang w:val="en-GB"/>
        </w:rPr>
        <w:t>The</w:t>
      </w:r>
      <w:r w:rsidRPr="00FF1087">
        <w:rPr>
          <w:lang w:val="en-GB"/>
        </w:rPr>
        <w:t xml:space="preserve"> Party concerned</w:t>
      </w:r>
      <w:r w:rsidR="00DA7797" w:rsidRPr="00FF1087">
        <w:rPr>
          <w:lang w:val="en-GB"/>
        </w:rPr>
        <w:t xml:space="preserve"> points out that</w:t>
      </w:r>
      <w:r w:rsidRPr="00FF1087">
        <w:rPr>
          <w:lang w:val="en-GB"/>
        </w:rPr>
        <w:t xml:space="preserve"> in its findings on communication ACCC/C/2010/51 (Romania)</w:t>
      </w:r>
      <w:r w:rsidR="009E197F" w:rsidRPr="00FF1087">
        <w:rPr>
          <w:lang w:val="en-GB"/>
        </w:rPr>
        <w:t>,</w:t>
      </w:r>
      <w:r w:rsidRPr="00FF1087">
        <w:rPr>
          <w:lang w:val="en-GB"/>
        </w:rPr>
        <w:t xml:space="preserve"> the Committee stated that </w:t>
      </w:r>
      <w:r w:rsidR="00DA7797" w:rsidRPr="00FF1087">
        <w:rPr>
          <w:lang w:val="en-GB"/>
        </w:rPr>
        <w:t xml:space="preserve">article 3(9) </w:t>
      </w:r>
      <w:r w:rsidRPr="00FF1087">
        <w:rPr>
          <w:lang w:val="en-GB"/>
        </w:rPr>
        <w:t>“cannot be interpreted as generally requiring the authorities to provide a translation of the information into any requested language</w:t>
      </w:r>
      <w:r w:rsidR="00DA7797" w:rsidRPr="00FF1087">
        <w:rPr>
          <w:lang w:val="en-GB"/>
        </w:rPr>
        <w:t>”</w:t>
      </w:r>
      <w:r w:rsidRPr="00FF1087">
        <w:rPr>
          <w:lang w:val="en-GB"/>
        </w:rPr>
        <w:t>.</w:t>
      </w:r>
      <w:r w:rsidR="00DA7797" w:rsidRPr="00FF1087">
        <w:rPr>
          <w:vertAlign w:val="superscript"/>
          <w:lang w:val="en-GB"/>
        </w:rPr>
        <w:t xml:space="preserve"> </w:t>
      </w:r>
      <w:r w:rsidR="00DA7797" w:rsidRPr="00FF1087">
        <w:rPr>
          <w:vertAlign w:val="superscript"/>
          <w:lang w:val="en-GB"/>
        </w:rPr>
        <w:footnoteReference w:id="109"/>
      </w:r>
      <w:r w:rsidR="00DA7797" w:rsidRPr="00FF1087">
        <w:rPr>
          <w:lang w:val="en-GB"/>
        </w:rPr>
        <w:t xml:space="preserve"> </w:t>
      </w:r>
      <w:r w:rsidR="00026326" w:rsidRPr="00FF1087">
        <w:rPr>
          <w:lang w:val="en-GB"/>
        </w:rPr>
        <w:t xml:space="preserve">While this is correct, </w:t>
      </w:r>
      <w:r w:rsidR="00DA7797" w:rsidRPr="00FF1087">
        <w:rPr>
          <w:lang w:val="en-GB"/>
        </w:rPr>
        <w:t xml:space="preserve">in those findings </w:t>
      </w:r>
      <w:r w:rsidRPr="00FF1087">
        <w:rPr>
          <w:lang w:val="en-GB"/>
        </w:rPr>
        <w:t>the Committee went on to state that “if, on the other hand, national law provides for translations to different official languages … article 3, paragraph 9, of the Convention implies that these criteria must be applied in a non-discriminatory way</w:t>
      </w:r>
      <w:r w:rsidR="00BE4C7E" w:rsidRPr="00FF1087">
        <w:rPr>
          <w:lang w:val="en-GB"/>
        </w:rPr>
        <w:t>”</w:t>
      </w:r>
      <w:r w:rsidRPr="00FF1087">
        <w:rPr>
          <w:lang w:val="en-GB"/>
        </w:rPr>
        <w:t>.</w:t>
      </w:r>
      <w:r w:rsidRPr="00FF1087">
        <w:rPr>
          <w:vertAlign w:val="superscript"/>
          <w:lang w:val="en-GB"/>
        </w:rPr>
        <w:footnoteReference w:id="110"/>
      </w:r>
      <w:r w:rsidRPr="00FF1087">
        <w:rPr>
          <w:lang w:val="en-GB"/>
        </w:rPr>
        <w:t xml:space="preserve"> </w:t>
      </w:r>
    </w:p>
    <w:p w14:paraId="1689F8BE" w14:textId="1D3478CE" w:rsidR="00ED4379" w:rsidRPr="00FF1087" w:rsidRDefault="002C0AD6" w:rsidP="0007320D">
      <w:pPr>
        <w:pStyle w:val="SingleTxtG"/>
        <w:numPr>
          <w:ilvl w:val="0"/>
          <w:numId w:val="3"/>
        </w:numPr>
        <w:tabs>
          <w:tab w:val="left" w:pos="1843"/>
          <w:tab w:val="left" w:pos="6120"/>
        </w:tabs>
        <w:ind w:left="1134" w:right="0" w:firstLine="0"/>
        <w:rPr>
          <w:lang w:val="en-GB"/>
        </w:rPr>
      </w:pPr>
      <w:r w:rsidRPr="00FF1087">
        <w:rPr>
          <w:lang w:val="en-GB"/>
        </w:rPr>
        <w:t>T</w:t>
      </w:r>
      <w:r w:rsidR="00ED4379" w:rsidRPr="00FF1087">
        <w:rPr>
          <w:lang w:val="en-GB"/>
        </w:rPr>
        <w:t>he communicant’s allegation relates to the availability of the necessary information in the twenty-three official languages of the Party concerned</w:t>
      </w:r>
      <w:r w:rsidR="00DA7797" w:rsidRPr="00FF1087">
        <w:rPr>
          <w:lang w:val="en-GB"/>
        </w:rPr>
        <w:t xml:space="preserve">. </w:t>
      </w:r>
      <w:r w:rsidR="00026326" w:rsidRPr="00FF1087">
        <w:rPr>
          <w:lang w:val="en-GB"/>
        </w:rPr>
        <w:t>It</w:t>
      </w:r>
      <w:r w:rsidR="00ED4379" w:rsidRPr="00FF1087">
        <w:rPr>
          <w:lang w:val="en-GB"/>
        </w:rPr>
        <w:t xml:space="preserve"> </w:t>
      </w:r>
      <w:r w:rsidRPr="00FF1087">
        <w:rPr>
          <w:lang w:val="en-GB"/>
        </w:rPr>
        <w:t>must</w:t>
      </w:r>
      <w:r w:rsidR="00295BB0" w:rsidRPr="00FF1087">
        <w:rPr>
          <w:lang w:val="en-GB"/>
        </w:rPr>
        <w:t xml:space="preserve"> </w:t>
      </w:r>
      <w:r w:rsidR="00026326" w:rsidRPr="00FF1087">
        <w:rPr>
          <w:lang w:val="en-GB"/>
        </w:rPr>
        <w:t xml:space="preserve">thus </w:t>
      </w:r>
      <w:r w:rsidR="00ED4379" w:rsidRPr="00FF1087">
        <w:rPr>
          <w:lang w:val="en-GB"/>
        </w:rPr>
        <w:t xml:space="preserve">be distinguished from communication ACCC/C/2010/51, which dealt with a request for translation into foreign languages. </w:t>
      </w:r>
      <w:r w:rsidR="00295BB0" w:rsidRPr="00FF1087">
        <w:rPr>
          <w:lang w:val="en-GB"/>
        </w:rPr>
        <w:t>In the present case</w:t>
      </w:r>
      <w:r w:rsidR="00ED4379" w:rsidRPr="00FF1087">
        <w:rPr>
          <w:lang w:val="en-GB"/>
        </w:rPr>
        <w:t xml:space="preserve">, </w:t>
      </w:r>
      <w:r w:rsidR="00C22DC8" w:rsidRPr="00FF1087">
        <w:rPr>
          <w:lang w:val="en-GB"/>
        </w:rPr>
        <w:t>the information</w:t>
      </w:r>
      <w:r w:rsidR="00ED4379" w:rsidRPr="00FF1087">
        <w:rPr>
          <w:lang w:val="en-GB"/>
        </w:rPr>
        <w:t xml:space="preserve"> </w:t>
      </w:r>
      <w:r w:rsidR="00C22DC8" w:rsidRPr="00FF1087">
        <w:rPr>
          <w:lang w:val="en-GB"/>
        </w:rPr>
        <w:t>made available</w:t>
      </w:r>
      <w:r w:rsidR="001417A6" w:rsidRPr="00FF1087">
        <w:rPr>
          <w:lang w:val="en-GB"/>
        </w:rPr>
        <w:t xml:space="preserve"> to the public du</w:t>
      </w:r>
      <w:r w:rsidR="00FF1087" w:rsidRPr="00FF1087">
        <w:rPr>
          <w:lang w:val="en-GB"/>
        </w:rPr>
        <w:t>r</w:t>
      </w:r>
      <w:r w:rsidR="001417A6" w:rsidRPr="00FF1087">
        <w:rPr>
          <w:lang w:val="en-GB"/>
        </w:rPr>
        <w:t xml:space="preserve">ing </w:t>
      </w:r>
      <w:r w:rsidR="001417A6" w:rsidRPr="00FF1087">
        <w:rPr>
          <w:lang w:val="en-GB"/>
        </w:rPr>
        <w:lastRenderedPageBreak/>
        <w:t xml:space="preserve">the </w:t>
      </w:r>
      <w:r w:rsidR="00C22DC8" w:rsidRPr="00FF1087">
        <w:rPr>
          <w:lang w:val="en-GB"/>
        </w:rPr>
        <w:t xml:space="preserve">consultation on </w:t>
      </w:r>
      <w:r w:rsidR="00ED4379" w:rsidRPr="00FF1087">
        <w:rPr>
          <w:lang w:val="en-GB"/>
        </w:rPr>
        <w:t xml:space="preserve">the first </w:t>
      </w:r>
      <w:r w:rsidR="00BE4C7E" w:rsidRPr="00FF1087">
        <w:rPr>
          <w:lang w:val="en-GB"/>
        </w:rPr>
        <w:t xml:space="preserve">PCI </w:t>
      </w:r>
      <w:r w:rsidR="00ED4379" w:rsidRPr="00FF1087">
        <w:rPr>
          <w:lang w:val="en-GB"/>
        </w:rPr>
        <w:t xml:space="preserve">list was indeed only </w:t>
      </w:r>
      <w:r w:rsidR="00C22DC8" w:rsidRPr="00FF1087">
        <w:rPr>
          <w:lang w:val="en-GB"/>
        </w:rPr>
        <w:t xml:space="preserve">provided </w:t>
      </w:r>
      <w:r w:rsidR="00ED4379" w:rsidRPr="00FF1087">
        <w:rPr>
          <w:lang w:val="en-GB"/>
        </w:rPr>
        <w:t xml:space="preserve">in English. The Committee considers that this meant that non-English speaking members of the public in the </w:t>
      </w:r>
      <w:r w:rsidRPr="00FF1087">
        <w:rPr>
          <w:lang w:val="en-GB"/>
        </w:rPr>
        <w:t>Party concerned</w:t>
      </w:r>
      <w:r w:rsidR="00ED4379" w:rsidRPr="00FF1087">
        <w:rPr>
          <w:lang w:val="en-GB"/>
        </w:rPr>
        <w:t xml:space="preserve"> received less favourable treatment than </w:t>
      </w:r>
      <w:r w:rsidR="00295BB0" w:rsidRPr="00FF1087">
        <w:rPr>
          <w:lang w:val="en-GB"/>
        </w:rPr>
        <w:t>those who speak English</w:t>
      </w:r>
      <w:r w:rsidR="00ED4379" w:rsidRPr="00FF1087">
        <w:rPr>
          <w:lang w:val="en-GB"/>
        </w:rPr>
        <w:t xml:space="preserve">. The Committee accordingly finds that, by not making </w:t>
      </w:r>
      <w:r w:rsidRPr="00FF1087">
        <w:rPr>
          <w:lang w:val="en-GB"/>
        </w:rPr>
        <w:t xml:space="preserve">the </w:t>
      </w:r>
      <w:r w:rsidR="00D67C9A" w:rsidRPr="00FF1087">
        <w:rPr>
          <w:lang w:val="en-GB"/>
        </w:rPr>
        <w:t xml:space="preserve">main consultation documents </w:t>
      </w:r>
      <w:r w:rsidR="00DA7797" w:rsidRPr="00FF1087">
        <w:rPr>
          <w:lang w:val="en-GB"/>
        </w:rPr>
        <w:t xml:space="preserve">available to the public </w:t>
      </w:r>
      <w:r w:rsidR="00ED4379" w:rsidRPr="00FF1087">
        <w:rPr>
          <w:lang w:val="en-GB"/>
        </w:rPr>
        <w:t xml:space="preserve">in its official languages other than English, the Party concerned discriminated against non-English speaking members of the public in the European Union </w:t>
      </w:r>
      <w:r w:rsidR="00DA7797" w:rsidRPr="00FF1087">
        <w:rPr>
          <w:lang w:val="en-GB"/>
        </w:rPr>
        <w:t xml:space="preserve">and thus failed to comply with </w:t>
      </w:r>
      <w:r w:rsidR="00ED4379" w:rsidRPr="00FF1087">
        <w:rPr>
          <w:lang w:val="en-GB"/>
        </w:rPr>
        <w:t>article 3</w:t>
      </w:r>
      <w:r w:rsidR="007356B1" w:rsidRPr="00FF1087">
        <w:rPr>
          <w:lang w:val="en-GB"/>
        </w:rPr>
        <w:t>(</w:t>
      </w:r>
      <w:r w:rsidR="00ED4379" w:rsidRPr="00FF1087">
        <w:rPr>
          <w:lang w:val="en-GB"/>
        </w:rPr>
        <w:t>9</w:t>
      </w:r>
      <w:r w:rsidR="007356B1" w:rsidRPr="00FF1087">
        <w:rPr>
          <w:lang w:val="en-GB"/>
        </w:rPr>
        <w:t>)</w:t>
      </w:r>
      <w:r w:rsidR="00ED4379" w:rsidRPr="00FF1087">
        <w:rPr>
          <w:lang w:val="en-GB"/>
        </w:rPr>
        <w:t xml:space="preserve"> of the Convention.</w:t>
      </w:r>
    </w:p>
    <w:p w14:paraId="59A2C2D8" w14:textId="1C9261CF" w:rsidR="00B1124E" w:rsidRPr="00FF1087" w:rsidRDefault="00B1124E" w:rsidP="0036735F">
      <w:pPr>
        <w:pStyle w:val="Heading2"/>
        <w:rPr>
          <w:lang w:val="en-GB"/>
        </w:rPr>
      </w:pPr>
      <w:r w:rsidRPr="00FF1087">
        <w:rPr>
          <w:lang w:val="en-GB"/>
        </w:rPr>
        <w:t>Conclusions and recommendations</w:t>
      </w:r>
    </w:p>
    <w:p w14:paraId="5419CDF5" w14:textId="77777777" w:rsidR="00B1124E" w:rsidRPr="00FF1087" w:rsidRDefault="00B1124E" w:rsidP="00551BBC">
      <w:pPr>
        <w:pStyle w:val="SingleTxtG"/>
        <w:numPr>
          <w:ilvl w:val="0"/>
          <w:numId w:val="3"/>
        </w:numPr>
        <w:tabs>
          <w:tab w:val="left" w:pos="1843"/>
          <w:tab w:val="left" w:pos="6120"/>
        </w:tabs>
        <w:ind w:left="1134" w:right="0" w:firstLine="0"/>
        <w:rPr>
          <w:lang w:val="en-GB"/>
        </w:rPr>
      </w:pPr>
      <w:r w:rsidRPr="00FF1087">
        <w:rPr>
          <w:lang w:val="en-GB"/>
        </w:rPr>
        <w:t>Having considered the above, the Committee adopts the findings and recommendations set out in the following paragraphs.</w:t>
      </w:r>
    </w:p>
    <w:p w14:paraId="7CFF02A5" w14:textId="77777777" w:rsidR="00B1124E" w:rsidRPr="00FF1087" w:rsidRDefault="00B1124E" w:rsidP="001932D9">
      <w:pPr>
        <w:pStyle w:val="H1G"/>
        <w:numPr>
          <w:ilvl w:val="0"/>
          <w:numId w:val="11"/>
        </w:numPr>
        <w:spacing w:before="240"/>
        <w:ind w:left="709" w:right="0" w:firstLine="0"/>
      </w:pPr>
      <w:r w:rsidRPr="00FF1087">
        <w:t xml:space="preserve">Main findings </w:t>
      </w:r>
      <w:proofErr w:type="gramStart"/>
      <w:r w:rsidRPr="00FF1087">
        <w:t>with regard to</w:t>
      </w:r>
      <w:proofErr w:type="gramEnd"/>
      <w:r w:rsidRPr="00FF1087">
        <w:t xml:space="preserve"> non-compliance</w:t>
      </w:r>
    </w:p>
    <w:p w14:paraId="5E15818E" w14:textId="77777777" w:rsidR="00B1124E" w:rsidRPr="00FF1087" w:rsidRDefault="00B1124E" w:rsidP="00551BBC">
      <w:pPr>
        <w:pStyle w:val="SingleTxtG"/>
        <w:numPr>
          <w:ilvl w:val="0"/>
          <w:numId w:val="3"/>
        </w:numPr>
        <w:tabs>
          <w:tab w:val="left" w:pos="1843"/>
          <w:tab w:val="left" w:pos="6120"/>
        </w:tabs>
        <w:ind w:left="1134" w:right="0" w:firstLine="0"/>
        <w:rPr>
          <w:lang w:val="en-GB"/>
        </w:rPr>
      </w:pPr>
      <w:r w:rsidRPr="00FF1087">
        <w:rPr>
          <w:lang w:val="en-GB"/>
        </w:rPr>
        <w:t>Having considered the above, the Committee adopts the findings and recommendations set out in the following paragraphs.</w:t>
      </w:r>
    </w:p>
    <w:p w14:paraId="609B252B" w14:textId="4E69FD3C" w:rsidR="003C4129" w:rsidRPr="00FF1087" w:rsidRDefault="00B1124E" w:rsidP="00551BBC">
      <w:pPr>
        <w:pStyle w:val="SingleTxtG"/>
        <w:numPr>
          <w:ilvl w:val="0"/>
          <w:numId w:val="3"/>
        </w:numPr>
        <w:tabs>
          <w:tab w:val="left" w:pos="1843"/>
          <w:tab w:val="left" w:pos="6120"/>
        </w:tabs>
        <w:ind w:left="1134" w:right="0" w:firstLine="0"/>
        <w:rPr>
          <w:lang w:val="en-GB"/>
        </w:rPr>
      </w:pPr>
      <w:bookmarkStart w:id="35" w:name="_Ref36561708"/>
      <w:r w:rsidRPr="00FF1087">
        <w:rPr>
          <w:lang w:val="en-GB"/>
        </w:rPr>
        <w:t>The Committee finds that</w:t>
      </w:r>
      <w:r w:rsidR="00706487" w:rsidRPr="00FF1087">
        <w:rPr>
          <w:lang w:val="en-GB"/>
        </w:rPr>
        <w:t>:</w:t>
      </w:r>
      <w:bookmarkEnd w:id="35"/>
    </w:p>
    <w:p w14:paraId="7A180A1C" w14:textId="0DE58449" w:rsidR="00B1124E" w:rsidRPr="00FF1087" w:rsidRDefault="00733389" w:rsidP="0044070E">
      <w:pPr>
        <w:pStyle w:val="SingleTxtG"/>
        <w:numPr>
          <w:ilvl w:val="0"/>
          <w:numId w:val="18"/>
        </w:numPr>
        <w:tabs>
          <w:tab w:val="left" w:pos="1843"/>
          <w:tab w:val="left" w:pos="2268"/>
        </w:tabs>
        <w:ind w:left="1134" w:right="0" w:firstLine="567"/>
        <w:rPr>
          <w:lang w:val="en-GB"/>
        </w:rPr>
      </w:pPr>
      <w:r w:rsidRPr="00FF1087">
        <w:rPr>
          <w:lang w:val="en-US"/>
        </w:rPr>
        <w:t>By</w:t>
      </w:r>
      <w:r w:rsidRPr="00FF1087">
        <w:t xml:space="preserve"> not informing the applicant that longer timeframes would be needed to reply to the information requests and of the reasons therefor, the Party concerned failed to comply with article 4(2) of the Convention</w:t>
      </w:r>
      <w:r w:rsidR="004D00AE" w:rsidRPr="00FF1087">
        <w:rPr>
          <w:lang w:val="en-GB"/>
        </w:rPr>
        <w:t>;</w:t>
      </w:r>
    </w:p>
    <w:p w14:paraId="6866538C" w14:textId="39108B68" w:rsidR="003C4129" w:rsidRPr="00FF1087" w:rsidRDefault="00733389" w:rsidP="0044070E">
      <w:pPr>
        <w:pStyle w:val="SingleTxtG"/>
        <w:numPr>
          <w:ilvl w:val="0"/>
          <w:numId w:val="18"/>
        </w:numPr>
        <w:tabs>
          <w:tab w:val="left" w:pos="1843"/>
          <w:tab w:val="left" w:pos="2268"/>
        </w:tabs>
        <w:ind w:left="1134" w:right="0" w:firstLine="567"/>
        <w:rPr>
          <w:lang w:val="en-US"/>
        </w:rPr>
      </w:pPr>
      <w:r w:rsidRPr="00FF1087">
        <w:rPr>
          <w:lang w:val="en-US"/>
        </w:rPr>
        <w:t>By failing to ensure at least one review procedure that was expeditious, the Party concerned failed to comply with the requirement in article 9(1), second sentence, of the Convention to ensure an “expeditious” procedure for the reconsideration of information requests</w:t>
      </w:r>
      <w:r w:rsidR="00FE1925" w:rsidRPr="00FF1087">
        <w:rPr>
          <w:lang w:val="en-US"/>
        </w:rPr>
        <w:t>;</w:t>
      </w:r>
    </w:p>
    <w:p w14:paraId="52F85D41" w14:textId="681EA975" w:rsidR="00A6561E" w:rsidRPr="00FF1087" w:rsidRDefault="00733389" w:rsidP="0044070E">
      <w:pPr>
        <w:pStyle w:val="SingleTxtG"/>
        <w:numPr>
          <w:ilvl w:val="0"/>
          <w:numId w:val="18"/>
        </w:numPr>
        <w:tabs>
          <w:tab w:val="left" w:pos="1843"/>
          <w:tab w:val="left" w:pos="2268"/>
        </w:tabs>
        <w:ind w:left="1134" w:right="0" w:firstLine="567"/>
        <w:rPr>
          <w:lang w:val="en-US"/>
        </w:rPr>
      </w:pPr>
      <w:r w:rsidRPr="00FF1087">
        <w:rPr>
          <w:lang w:val="en-US"/>
        </w:rPr>
        <w:t>By failing to demonstrate, in a transparent and traceable way, how due account was taken of the public participation with respect to the first PCI list, the Party concerned failed to comply with article 7 in conjunction with article 6(8) of the Convention</w:t>
      </w:r>
      <w:r w:rsidR="00111C23" w:rsidRPr="00FF1087">
        <w:rPr>
          <w:lang w:val="en-US"/>
        </w:rPr>
        <w:t>;</w:t>
      </w:r>
    </w:p>
    <w:p w14:paraId="789E89A2" w14:textId="4529406F" w:rsidR="00733389" w:rsidRPr="001932D9" w:rsidRDefault="00733389" w:rsidP="001932D9">
      <w:pPr>
        <w:pStyle w:val="SingleTxtG"/>
        <w:numPr>
          <w:ilvl w:val="0"/>
          <w:numId w:val="18"/>
        </w:numPr>
        <w:tabs>
          <w:tab w:val="left" w:pos="1843"/>
          <w:tab w:val="left" w:pos="2268"/>
        </w:tabs>
        <w:spacing w:before="240" w:after="360"/>
        <w:ind w:left="1134" w:right="0" w:firstLine="567"/>
        <w:rPr>
          <w:b/>
          <w:lang w:val="en-GB"/>
        </w:rPr>
      </w:pPr>
      <w:r w:rsidRPr="00FF1087">
        <w:rPr>
          <w:lang w:val="en-US"/>
        </w:rPr>
        <w:t>By not making the main consultation documents available to the public in its official languages other than English, the Party concerned discriminated against non-English speaking members of the public in the European Union and thus failed to comply with article 3(9) of the Convention</w:t>
      </w:r>
      <w:r w:rsidR="00D67C9A" w:rsidRPr="001932D9">
        <w:rPr>
          <w:lang w:val="en-US"/>
        </w:rPr>
        <w:t>.</w:t>
      </w:r>
      <w:bookmarkStart w:id="36" w:name="_GoBack"/>
      <w:bookmarkEnd w:id="36"/>
    </w:p>
    <w:p w14:paraId="5F7B15D3" w14:textId="2CD16864" w:rsidR="00B1124E" w:rsidRPr="00FF1087" w:rsidRDefault="00B1124E" w:rsidP="00B1124E">
      <w:pPr>
        <w:pStyle w:val="SingleTxtG"/>
        <w:tabs>
          <w:tab w:val="left" w:pos="1843"/>
          <w:tab w:val="left" w:pos="6120"/>
        </w:tabs>
        <w:ind w:right="0" w:hanging="425"/>
        <w:rPr>
          <w:b/>
          <w:sz w:val="24"/>
          <w:lang w:val="en-GB"/>
        </w:rPr>
      </w:pPr>
      <w:r w:rsidRPr="00FF1087">
        <w:rPr>
          <w:b/>
          <w:sz w:val="24"/>
          <w:lang w:val="en-GB"/>
        </w:rPr>
        <w:t>B.</w:t>
      </w:r>
      <w:r w:rsidRPr="00FF1087">
        <w:rPr>
          <w:b/>
          <w:sz w:val="24"/>
          <w:lang w:val="en-GB"/>
        </w:rPr>
        <w:tab/>
        <w:t>Recommendations</w:t>
      </w:r>
    </w:p>
    <w:p w14:paraId="6EECC0FA" w14:textId="20AF0637" w:rsidR="00DC0535" w:rsidRPr="00FF1087" w:rsidRDefault="005076D8" w:rsidP="0044070E">
      <w:pPr>
        <w:pStyle w:val="SingleTxtG"/>
        <w:numPr>
          <w:ilvl w:val="0"/>
          <w:numId w:val="3"/>
        </w:numPr>
        <w:tabs>
          <w:tab w:val="left" w:pos="1843"/>
          <w:tab w:val="left" w:pos="6120"/>
        </w:tabs>
        <w:ind w:left="1134" w:right="0" w:firstLine="0"/>
        <w:rPr>
          <w:lang w:val="en-GB"/>
        </w:rPr>
      </w:pPr>
      <w:r w:rsidRPr="00FF1087">
        <w:rPr>
          <w:lang w:val="en-GB"/>
        </w:rPr>
        <w:t>The Committee, pursuant to paragraph 36 (b) of the annex to decision I/7 of the Meeting of the Parties, [and noting the agreement of the Party concerned that the Committee take the measures requested in paragraph 37 (b) of the annex to decision I/7,] recommends that the Party concerned take the necessary legislative, regulatory or other measures and practical arrangements to ensure</w:t>
      </w:r>
      <w:r w:rsidR="002D74C7" w:rsidRPr="00FF1087">
        <w:rPr>
          <w:lang w:val="en-GB"/>
        </w:rPr>
        <w:t xml:space="preserve"> </w:t>
      </w:r>
      <w:r w:rsidRPr="00FF1087">
        <w:rPr>
          <w:lang w:val="en-GB"/>
        </w:rPr>
        <w:t>that</w:t>
      </w:r>
      <w:r w:rsidR="00733389" w:rsidRPr="00FF1087">
        <w:rPr>
          <w:lang w:val="en-GB"/>
        </w:rPr>
        <w:t xml:space="preserve"> in</w:t>
      </w:r>
      <w:r w:rsidRPr="00FF1087">
        <w:rPr>
          <w:lang w:val="en-GB"/>
        </w:rPr>
        <w:t xml:space="preserve"> </w:t>
      </w:r>
      <w:r w:rsidR="00733389" w:rsidRPr="00FF1087" w:rsidDel="00733389">
        <w:rPr>
          <w:lang w:val="en-GB"/>
        </w:rPr>
        <w:t xml:space="preserve"> </w:t>
      </w:r>
      <w:r w:rsidR="00D67C9A" w:rsidRPr="00FF1087">
        <w:rPr>
          <w:lang w:val="en-GB"/>
        </w:rPr>
        <w:t xml:space="preserve">public participation procedures </w:t>
      </w:r>
      <w:r w:rsidR="007E5232" w:rsidRPr="00FF1087">
        <w:rPr>
          <w:lang w:val="en-GB"/>
        </w:rPr>
        <w:t xml:space="preserve">within the scope of article 7 of the Convention </w:t>
      </w:r>
      <w:r w:rsidR="00DC0535" w:rsidRPr="00FF1087">
        <w:rPr>
          <w:lang w:val="en-GB"/>
        </w:rPr>
        <w:t>carried out under the TEN-E Regulation</w:t>
      </w:r>
      <w:r w:rsidR="00026326" w:rsidRPr="00FF1087">
        <w:rPr>
          <w:lang w:val="en-GB"/>
        </w:rPr>
        <w:t>, or any superseding legislation</w:t>
      </w:r>
      <w:r w:rsidR="00DC0535" w:rsidRPr="00FF1087">
        <w:rPr>
          <w:lang w:val="en-GB"/>
        </w:rPr>
        <w:t>:</w:t>
      </w:r>
      <w:r w:rsidR="00D67C9A" w:rsidRPr="00FF1087">
        <w:rPr>
          <w:lang w:val="en-GB"/>
        </w:rPr>
        <w:t xml:space="preserve"> </w:t>
      </w:r>
    </w:p>
    <w:p w14:paraId="17CC1CC7" w14:textId="7EBB1762" w:rsidR="00D67C9A" w:rsidRPr="00FF1087" w:rsidRDefault="00DC0535" w:rsidP="00DC0535">
      <w:pPr>
        <w:pStyle w:val="SingleTxtG"/>
        <w:tabs>
          <w:tab w:val="left" w:pos="1843"/>
          <w:tab w:val="left" w:pos="6120"/>
        </w:tabs>
        <w:ind w:right="0"/>
        <w:rPr>
          <w:lang w:val="en-GB"/>
        </w:rPr>
      </w:pPr>
      <w:r w:rsidRPr="00FF1087">
        <w:rPr>
          <w:lang w:val="en-GB"/>
        </w:rPr>
        <w:tab/>
        <w:t>(</w:t>
      </w:r>
      <w:r w:rsidR="00733389" w:rsidRPr="00FF1087">
        <w:rPr>
          <w:lang w:val="en-GB"/>
        </w:rPr>
        <w:t>a</w:t>
      </w:r>
      <w:r w:rsidRPr="00FF1087">
        <w:rPr>
          <w:lang w:val="en-GB"/>
        </w:rPr>
        <w:t xml:space="preserve">)   </w:t>
      </w:r>
      <w:r w:rsidR="004E6604" w:rsidRPr="00FF1087">
        <w:rPr>
          <w:lang w:val="en-GB"/>
        </w:rPr>
        <w:t>T</w:t>
      </w:r>
      <w:r w:rsidR="002C0AD6" w:rsidRPr="00FF1087">
        <w:rPr>
          <w:lang w:val="en-GB"/>
        </w:rPr>
        <w:t xml:space="preserve">he main consultation documents </w:t>
      </w:r>
      <w:r w:rsidR="002D74C7" w:rsidRPr="00FF1087">
        <w:rPr>
          <w:lang w:val="en-GB"/>
        </w:rPr>
        <w:t xml:space="preserve">are </w:t>
      </w:r>
      <w:r w:rsidR="00D67C9A" w:rsidRPr="00FF1087">
        <w:rPr>
          <w:lang w:val="en-GB"/>
        </w:rPr>
        <w:t>provided to the</w:t>
      </w:r>
      <w:r w:rsidR="004E6604" w:rsidRPr="00FF1087">
        <w:rPr>
          <w:lang w:val="en-GB"/>
        </w:rPr>
        <w:t xml:space="preserve"> </w:t>
      </w:r>
      <w:r w:rsidR="00D67C9A" w:rsidRPr="00FF1087">
        <w:rPr>
          <w:lang w:val="en-GB"/>
        </w:rPr>
        <w:t xml:space="preserve">public in all the official languages of the Party concerned; </w:t>
      </w:r>
    </w:p>
    <w:p w14:paraId="26652B5B" w14:textId="6A7D0901" w:rsidR="00DC0535" w:rsidRPr="00FF1087" w:rsidRDefault="00DC0535" w:rsidP="0007320D">
      <w:pPr>
        <w:pStyle w:val="SingleTxtG"/>
        <w:tabs>
          <w:tab w:val="left" w:pos="1843"/>
          <w:tab w:val="left" w:pos="6120"/>
        </w:tabs>
        <w:ind w:right="0"/>
        <w:rPr>
          <w:lang w:val="en-GB"/>
        </w:rPr>
      </w:pPr>
      <w:r w:rsidRPr="00FF1087">
        <w:rPr>
          <w:lang w:val="en-GB"/>
        </w:rPr>
        <w:tab/>
        <w:t>(</w:t>
      </w:r>
      <w:r w:rsidR="00733389" w:rsidRPr="00FF1087">
        <w:rPr>
          <w:lang w:val="en-GB"/>
        </w:rPr>
        <w:t>b</w:t>
      </w:r>
      <w:r w:rsidRPr="00FF1087">
        <w:rPr>
          <w:lang w:val="en-GB"/>
        </w:rPr>
        <w:t>)</w:t>
      </w:r>
      <w:r w:rsidR="004E6604" w:rsidRPr="00FF1087">
        <w:rPr>
          <w:lang w:val="en-GB"/>
        </w:rPr>
        <w:t xml:space="preserve">   </w:t>
      </w:r>
      <w:r w:rsidR="006D3952" w:rsidRPr="00FF1087">
        <w:rPr>
          <w:lang w:val="en-GB"/>
        </w:rPr>
        <w:t>D</w:t>
      </w:r>
      <w:r w:rsidR="004E6604" w:rsidRPr="00FF1087">
        <w:rPr>
          <w:lang w:val="en-GB"/>
        </w:rPr>
        <w:t xml:space="preserve">ue account </w:t>
      </w:r>
      <w:r w:rsidR="006D3952" w:rsidRPr="00FF1087">
        <w:rPr>
          <w:lang w:val="en-GB"/>
        </w:rPr>
        <w:t>of the outcomes of the public participation is taken</w:t>
      </w:r>
      <w:r w:rsidR="00C600D6" w:rsidRPr="00FF1087">
        <w:rPr>
          <w:lang w:val="en-GB"/>
        </w:rPr>
        <w:t xml:space="preserve">, in a transparent and traceable way, </w:t>
      </w:r>
      <w:r w:rsidR="006D3952" w:rsidRPr="00FF1087">
        <w:rPr>
          <w:lang w:val="en-GB"/>
        </w:rPr>
        <w:t>in the decision-making</w:t>
      </w:r>
      <w:r w:rsidR="004E6604" w:rsidRPr="00FF1087">
        <w:rPr>
          <w:lang w:val="en-GB"/>
        </w:rPr>
        <w:t>.</w:t>
      </w:r>
      <w:r w:rsidRPr="00FF1087">
        <w:rPr>
          <w:lang w:val="en-GB"/>
        </w:rPr>
        <w:tab/>
      </w:r>
    </w:p>
    <w:p w14:paraId="2677A8C3" w14:textId="42A57E6C" w:rsidR="00D67C9A" w:rsidRPr="00FF1087" w:rsidRDefault="00026326" w:rsidP="0044070E">
      <w:pPr>
        <w:pStyle w:val="SingleTxtG"/>
        <w:numPr>
          <w:ilvl w:val="0"/>
          <w:numId w:val="3"/>
        </w:numPr>
        <w:tabs>
          <w:tab w:val="left" w:pos="1843"/>
          <w:tab w:val="left" w:pos="6120"/>
        </w:tabs>
        <w:ind w:left="1134" w:right="0" w:firstLine="0"/>
      </w:pPr>
      <w:r w:rsidRPr="00FF1087">
        <w:rPr>
          <w:lang w:val="en-GB"/>
        </w:rPr>
        <w:lastRenderedPageBreak/>
        <w:t>Taking into consideration that no evidence has been presented to substantiate that the non-compliance found in paragraph</w:t>
      </w:r>
      <w:r w:rsidR="00122B91" w:rsidRPr="00FF1087">
        <w:rPr>
          <w:lang w:val="en-GB"/>
        </w:rPr>
        <w:t xml:space="preserve"> </w:t>
      </w:r>
      <w:r w:rsidR="00122B91" w:rsidRPr="00FF1087">
        <w:rPr>
          <w:lang w:val="en-GB"/>
        </w:rPr>
        <w:fldChar w:fldCharType="begin"/>
      </w:r>
      <w:r w:rsidR="00122B91" w:rsidRPr="00FF1087">
        <w:rPr>
          <w:lang w:val="en-GB"/>
        </w:rPr>
        <w:instrText xml:space="preserve"> REF _Ref36561708 \r \h </w:instrText>
      </w:r>
      <w:r w:rsidR="00FF1087">
        <w:rPr>
          <w:lang w:val="en-GB"/>
        </w:rPr>
        <w:instrText xml:space="preserve"> \* MERGEFORMAT </w:instrText>
      </w:r>
      <w:r w:rsidR="00122B91" w:rsidRPr="00FF1087">
        <w:rPr>
          <w:lang w:val="en-GB"/>
        </w:rPr>
      </w:r>
      <w:r w:rsidR="00122B91" w:rsidRPr="00FF1087">
        <w:rPr>
          <w:lang w:val="en-GB"/>
        </w:rPr>
        <w:fldChar w:fldCharType="separate"/>
      </w:r>
      <w:r w:rsidR="00B713E0">
        <w:rPr>
          <w:cs/>
          <w:lang w:val="en-GB"/>
        </w:rPr>
        <w:t>‎</w:t>
      </w:r>
      <w:r w:rsidR="00B713E0">
        <w:rPr>
          <w:lang w:val="en-GB"/>
        </w:rPr>
        <w:t>138</w:t>
      </w:r>
      <w:r w:rsidR="00122B91" w:rsidRPr="00FF1087">
        <w:rPr>
          <w:lang w:val="en-GB"/>
        </w:rPr>
        <w:fldChar w:fldCharType="end"/>
      </w:r>
      <w:r w:rsidR="005A3BF3" w:rsidRPr="00FF1087">
        <w:rPr>
          <w:lang w:val="en-GB"/>
        </w:rPr>
        <w:t>(a) and (b)</w:t>
      </w:r>
      <w:r w:rsidRPr="00FF1087">
        <w:rPr>
          <w:lang w:val="en-GB"/>
        </w:rPr>
        <w:t xml:space="preserve"> above was of a wide or systemic nature, the Committee refrains from making recommendation</w:t>
      </w:r>
      <w:r w:rsidR="005A3BF3" w:rsidRPr="00FF1087">
        <w:rPr>
          <w:lang w:val="en-GB"/>
        </w:rPr>
        <w:t>s</w:t>
      </w:r>
      <w:r w:rsidRPr="00FF1087">
        <w:rPr>
          <w:lang w:val="en-GB"/>
        </w:rPr>
        <w:t xml:space="preserve"> on </w:t>
      </w:r>
      <w:r w:rsidR="005A3BF3" w:rsidRPr="00FF1087">
        <w:rPr>
          <w:lang w:val="en-GB"/>
        </w:rPr>
        <w:t>these</w:t>
      </w:r>
      <w:r w:rsidRPr="00FF1087">
        <w:rPr>
          <w:lang w:val="en-GB"/>
        </w:rPr>
        <w:t xml:space="preserve"> point</w:t>
      </w:r>
      <w:r w:rsidR="005A3BF3" w:rsidRPr="00FF1087">
        <w:rPr>
          <w:lang w:val="en-GB"/>
        </w:rPr>
        <w:t>s.</w:t>
      </w:r>
    </w:p>
    <w:p w14:paraId="45191806" w14:textId="04A04ED6" w:rsidR="001C6663" w:rsidRPr="0044070E" w:rsidRDefault="00DC0535" w:rsidP="0007320D">
      <w:pPr>
        <w:pStyle w:val="SingleTxtG"/>
        <w:tabs>
          <w:tab w:val="left" w:pos="1843"/>
          <w:tab w:val="left" w:pos="6120"/>
        </w:tabs>
        <w:ind w:right="0" w:hanging="425"/>
        <w:jc w:val="center"/>
        <w:rPr>
          <w:u w:val="single"/>
          <w:lang w:val="en-GB"/>
        </w:rPr>
      </w:pPr>
      <w:r w:rsidRPr="00FF1087">
        <w:rPr>
          <w:b/>
          <w:sz w:val="24"/>
          <w:lang w:val="en-GB"/>
        </w:rPr>
        <w:t>_______________</w:t>
      </w:r>
    </w:p>
    <w:sectPr w:rsidR="001C6663" w:rsidRPr="0044070E" w:rsidSect="00111DE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D5F1" w14:textId="77777777" w:rsidR="0007212F" w:rsidRDefault="0007212F"/>
  </w:endnote>
  <w:endnote w:type="continuationSeparator" w:id="0">
    <w:p w14:paraId="1FD9638C" w14:textId="77777777" w:rsidR="0007212F" w:rsidRDefault="0007212F"/>
  </w:endnote>
  <w:endnote w:type="continuationNotice" w:id="1">
    <w:p w14:paraId="52A20968" w14:textId="77777777" w:rsidR="0007212F" w:rsidRDefault="00072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B68E" w14:textId="77777777" w:rsidR="0007212F" w:rsidRPr="0023575C" w:rsidRDefault="0007212F"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18</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BB86" w14:textId="007F7E1C" w:rsidR="0007212F" w:rsidRPr="0023575C" w:rsidRDefault="0007212F"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19</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ABB4" w14:textId="7539397B" w:rsidR="0007212F" w:rsidRPr="0023575C" w:rsidRDefault="0007212F">
    <w:pPr>
      <w:pStyle w:val="Footer"/>
      <w:rPr>
        <w:sz w:val="20"/>
      </w:rPr>
    </w:pPr>
    <w:r w:rsidRPr="00473803">
      <w:rPr>
        <w:noProof/>
        <w:lang w:val="pl-PL"/>
      </w:rPr>
      <w:drawing>
        <wp:anchor distT="0" distB="0" distL="114300" distR="114300" simplePos="0" relativeHeight="251657728" behindDoc="0" locked="1" layoutInCell="1" allowOverlap="1" wp14:anchorId="1DB6D341" wp14:editId="09D3152C">
          <wp:simplePos x="0" y="0"/>
          <wp:positionH relativeFrom="column">
            <wp:posOffset>5148580</wp:posOffset>
          </wp:positionH>
          <wp:positionV relativeFrom="paragraph">
            <wp:posOffset>-114935</wp:posOffset>
          </wp:positionV>
          <wp:extent cx="930275" cy="230505"/>
          <wp:effectExtent l="0" t="0" r="0" b="0"/>
          <wp:wrapNone/>
          <wp:docPr id="1" name="Obraz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AD68" w14:textId="77777777" w:rsidR="0007212F" w:rsidRPr="000B175B" w:rsidRDefault="0007212F" w:rsidP="000B175B">
      <w:pPr>
        <w:tabs>
          <w:tab w:val="right" w:pos="2155"/>
        </w:tabs>
        <w:spacing w:after="80"/>
        <w:ind w:left="680"/>
        <w:rPr>
          <w:u w:val="single"/>
        </w:rPr>
      </w:pPr>
      <w:r>
        <w:rPr>
          <w:u w:val="single"/>
        </w:rPr>
        <w:tab/>
      </w:r>
    </w:p>
  </w:footnote>
  <w:footnote w:type="continuationSeparator" w:id="0">
    <w:p w14:paraId="531F9768" w14:textId="77777777" w:rsidR="0007212F" w:rsidRPr="00FC68B7" w:rsidRDefault="0007212F" w:rsidP="00FC68B7">
      <w:pPr>
        <w:tabs>
          <w:tab w:val="left" w:pos="2155"/>
        </w:tabs>
        <w:spacing w:after="80"/>
        <w:ind w:left="680"/>
        <w:rPr>
          <w:u w:val="single"/>
        </w:rPr>
      </w:pPr>
      <w:r>
        <w:rPr>
          <w:u w:val="single"/>
        </w:rPr>
        <w:tab/>
      </w:r>
    </w:p>
  </w:footnote>
  <w:footnote w:type="continuationNotice" w:id="1">
    <w:p w14:paraId="6EBF6A76" w14:textId="77777777" w:rsidR="0007212F" w:rsidRDefault="0007212F"/>
  </w:footnote>
  <w:footnote w:id="2">
    <w:p w14:paraId="04CA5033" w14:textId="77777777" w:rsidR="0007212F" w:rsidRPr="001932D9" w:rsidRDefault="0007212F" w:rsidP="001932D9">
      <w:pPr>
        <w:pStyle w:val="FootnoteText"/>
        <w:tabs>
          <w:tab w:val="clear" w:pos="1021"/>
          <w:tab w:val="right" w:pos="709"/>
          <w:tab w:val="left" w:pos="1276"/>
          <w:tab w:val="left" w:pos="2268"/>
          <w:tab w:val="left" w:pos="8505"/>
        </w:tabs>
        <w:ind w:right="0" w:firstLine="0"/>
        <w:jc w:val="both"/>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This section summarizes only the main facts, evidence and issues considered to be relevant to the question of compliance, as presented to and considered by the Committee.</w:t>
      </w:r>
    </w:p>
  </w:footnote>
  <w:footnote w:id="3">
    <w:p w14:paraId="4E3BA0E7" w14:textId="69392AE3"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vertAlign w:val="superscript"/>
        </w:rPr>
        <w:footnoteRef/>
      </w:r>
      <w:r w:rsidRPr="001932D9">
        <w:rPr>
          <w:rFonts w:asciiTheme="majorBidi" w:hAnsiTheme="majorBidi"/>
          <w:vertAlign w:val="superscript"/>
          <w:lang w:val="en-GB"/>
        </w:rPr>
        <w:t xml:space="preserve">  </w:t>
      </w:r>
      <w:r w:rsidRPr="001932D9">
        <w:rPr>
          <w:rFonts w:asciiTheme="majorBidi" w:hAnsiTheme="majorBidi" w:cstheme="majorBidi"/>
          <w:szCs w:val="18"/>
          <w:lang w:val="en-GB"/>
        </w:rPr>
        <w:t>Regulation (EU) No 347/2013 of the European Parliament</w:t>
      </w:r>
      <w:r w:rsidRPr="001932D9" w:rsidDel="00DE2FDA">
        <w:rPr>
          <w:rFonts w:asciiTheme="majorBidi" w:hAnsiTheme="majorBidi" w:cstheme="majorBidi"/>
          <w:szCs w:val="18"/>
          <w:lang w:val="en-GB"/>
        </w:rPr>
        <w:t xml:space="preserve"> </w:t>
      </w:r>
      <w:r w:rsidRPr="001932D9">
        <w:rPr>
          <w:rFonts w:asciiTheme="majorBidi" w:hAnsiTheme="majorBidi" w:cstheme="majorBidi"/>
          <w:szCs w:val="18"/>
          <w:lang w:val="en-GB"/>
        </w:rPr>
        <w:t>and of the Council of 17 April 2013 on guidelines for trans-European energy infrastructure and repealing Decision No 1364/2006/EC and amending Regulations (EC) No 713/2009, (EC) No 714/2009 and (EC) No 715/2009.</w:t>
      </w:r>
    </w:p>
  </w:footnote>
  <w:footnote w:id="4">
    <w:p w14:paraId="749D00B4" w14:textId="56990474" w:rsidR="0007212F" w:rsidRPr="001932D9" w:rsidRDefault="0007212F" w:rsidP="001932D9">
      <w:pPr>
        <w:pStyle w:val="FootnoteText"/>
        <w:tabs>
          <w:tab w:val="left" w:pos="8505"/>
        </w:tabs>
        <w:ind w:right="0"/>
        <w:rPr>
          <w:szCs w:val="18"/>
          <w:lang w:val="en-GB"/>
        </w:rPr>
      </w:pPr>
      <w:r w:rsidRPr="001932D9">
        <w:rPr>
          <w:szCs w:val="18"/>
        </w:rPr>
        <w:tab/>
      </w:r>
      <w:r w:rsidRPr="001932D9">
        <w:rPr>
          <w:szCs w:val="18"/>
        </w:rPr>
        <w:tab/>
      </w:r>
      <w:r w:rsidRPr="001932D9">
        <w:rPr>
          <w:rStyle w:val="FootnoteReference"/>
          <w:szCs w:val="18"/>
        </w:rPr>
        <w:footnoteRef/>
      </w:r>
      <w:r w:rsidRPr="001932D9">
        <w:rPr>
          <w:szCs w:val="18"/>
        </w:rPr>
        <w:t xml:space="preserve"> </w:t>
      </w:r>
      <w:r w:rsidRPr="001932D9">
        <w:rPr>
          <w:szCs w:val="18"/>
          <w:lang w:val="en-GB"/>
        </w:rPr>
        <w:t>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w:t>
      </w:r>
    </w:p>
  </w:footnote>
  <w:footnote w:id="5">
    <w:p w14:paraId="446C6C2E" w14:textId="77777777" w:rsidR="0007212F" w:rsidRPr="001932D9" w:rsidRDefault="0007212F" w:rsidP="001932D9">
      <w:pPr>
        <w:pStyle w:val="FootnoteText"/>
        <w:tabs>
          <w:tab w:val="left" w:pos="8505"/>
        </w:tabs>
        <w:ind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proofErr w:type="gramStart"/>
      <w:r w:rsidRPr="001932D9">
        <w:rPr>
          <w:rFonts w:asciiTheme="majorBidi" w:hAnsiTheme="majorBidi" w:cstheme="majorBidi"/>
          <w:szCs w:val="18"/>
          <w:lang w:val="en-GB"/>
        </w:rPr>
        <w:t>COM(</w:t>
      </w:r>
      <w:proofErr w:type="gramEnd"/>
      <w:r w:rsidRPr="001932D9">
        <w:rPr>
          <w:rFonts w:asciiTheme="majorBidi" w:hAnsiTheme="majorBidi" w:cstheme="majorBidi"/>
          <w:szCs w:val="18"/>
          <w:lang w:val="en-GB"/>
        </w:rPr>
        <w:t>2002) 704 final.</w:t>
      </w:r>
    </w:p>
  </w:footnote>
  <w:footnote w:id="6">
    <w:p w14:paraId="0E7F0964" w14:textId="59108131" w:rsidR="0007212F" w:rsidRPr="001932D9" w:rsidRDefault="0007212F" w:rsidP="001932D9">
      <w:pPr>
        <w:pStyle w:val="FootnoteText"/>
        <w:tabs>
          <w:tab w:val="left" w:pos="8505"/>
        </w:tabs>
        <w:ind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 10.</w:t>
      </w:r>
    </w:p>
  </w:footnote>
  <w:footnote w:id="7">
    <w:p w14:paraId="731EB747" w14:textId="77777777"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Regulation (EC) No </w:t>
      </w:r>
      <w:hyperlink r:id="rId1" w:history="1">
        <w:r w:rsidRPr="001932D9">
          <w:rPr>
            <w:rStyle w:val="Hyperlink"/>
            <w:rFonts w:asciiTheme="majorBidi" w:hAnsiTheme="majorBidi" w:cstheme="majorBidi"/>
            <w:szCs w:val="18"/>
            <w:lang w:val="en-GB"/>
          </w:rPr>
          <w:t>1049/2001</w:t>
        </w:r>
      </w:hyperlink>
      <w:r w:rsidRPr="001932D9">
        <w:rPr>
          <w:rFonts w:asciiTheme="majorBidi" w:hAnsiTheme="majorBidi" w:cstheme="majorBidi"/>
          <w:szCs w:val="18"/>
          <w:lang w:val="en-GB"/>
        </w:rPr>
        <w:t xml:space="preserve"> of the European Parliament and of the Council of 30 May 2001 regarding public access to European Parliament, Council and Commission documents.</w:t>
      </w:r>
    </w:p>
  </w:footnote>
  <w:footnote w:id="8">
    <w:p w14:paraId="574417DB" w14:textId="28235548" w:rsidR="0007212F" w:rsidRPr="001932D9" w:rsidRDefault="0007212F" w:rsidP="001932D9">
      <w:pPr>
        <w:pStyle w:val="FootnoteText"/>
        <w:tabs>
          <w:tab w:val="left" w:pos="6804"/>
          <w:tab w:val="left" w:pos="6946"/>
          <w:tab w:val="left" w:pos="8505"/>
        </w:tabs>
        <w:ind w:right="0" w:firstLine="0"/>
        <w:rPr>
          <w:lang w:val="en-GB"/>
        </w:rPr>
      </w:pPr>
      <w:r w:rsidRPr="001932D9">
        <w:rPr>
          <w:rStyle w:val="FootnoteReference"/>
          <w:lang w:val="en-GB"/>
        </w:rPr>
        <w:footnoteRef/>
      </w:r>
      <w:r w:rsidRPr="001932D9">
        <w:rPr>
          <w:lang w:val="en-GB"/>
        </w:rPr>
        <w:t xml:space="preserve"> Commission Delegated Regulation (EU) No 1391/2013 of 14 October 2013 amending Regulation (EU) No 347/2013 of the European Parliament and of the Council on guidelines for trans-European energy infrastructure as regards the Union list of projects of common interest (Delegated Regulation 1391/2013).</w:t>
      </w:r>
    </w:p>
  </w:footnote>
  <w:footnote w:id="9">
    <w:p w14:paraId="72F247B6" w14:textId="77777777" w:rsidR="0007212F" w:rsidRPr="001932D9" w:rsidRDefault="0007212F" w:rsidP="001932D9">
      <w:pPr>
        <w:pStyle w:val="FootnoteText"/>
        <w:tabs>
          <w:tab w:val="left" w:pos="8505"/>
        </w:tabs>
        <w:ind w:firstLine="0"/>
        <w:rPr>
          <w:lang w:val="en-GB"/>
        </w:rPr>
      </w:pPr>
      <w:r w:rsidRPr="001932D9">
        <w:rPr>
          <w:rStyle w:val="FootnoteReference"/>
        </w:rPr>
        <w:footnoteRef/>
      </w:r>
      <w:r w:rsidRPr="001932D9">
        <w:t xml:space="preserve"> </w:t>
      </w:r>
      <w:r w:rsidRPr="001932D9">
        <w:rPr>
          <w:lang w:val="en-GB"/>
        </w:rPr>
        <w:t>Party’s response to communication, p. 2.</w:t>
      </w:r>
    </w:p>
  </w:footnote>
  <w:footnote w:id="10">
    <w:p w14:paraId="392F6505" w14:textId="0039B245"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12-13.</w:t>
      </w:r>
    </w:p>
  </w:footnote>
  <w:footnote w:id="11">
    <w:p w14:paraId="60C01F75" w14:textId="7322F99D"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Communication, p. 8</w:t>
      </w:r>
      <w:r w:rsidRPr="001932D9">
        <w:rPr>
          <w:rFonts w:asciiTheme="majorBidi" w:hAnsiTheme="majorBidi"/>
          <w:lang w:val="en-US"/>
        </w:rPr>
        <w:t>-</w:t>
      </w:r>
      <w:r w:rsidRPr="001932D9">
        <w:rPr>
          <w:rFonts w:asciiTheme="majorBidi" w:hAnsiTheme="majorBidi"/>
          <w:lang w:val="en-GB"/>
        </w:rPr>
        <w:t>9</w:t>
      </w:r>
      <w:r w:rsidRPr="001932D9">
        <w:rPr>
          <w:rStyle w:val="st"/>
          <w:rFonts w:asciiTheme="majorBidi" w:hAnsiTheme="majorBidi"/>
          <w:lang w:val="en-GB"/>
        </w:rPr>
        <w:t>.</w:t>
      </w:r>
    </w:p>
  </w:footnote>
  <w:footnote w:id="12">
    <w:p w14:paraId="4583B8F9" w14:textId="63FF7A8F"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Ibid.</w:t>
      </w:r>
      <w:proofErr w:type="gramStart"/>
      <w:r w:rsidRPr="001932D9">
        <w:rPr>
          <w:rFonts w:asciiTheme="majorBidi" w:hAnsiTheme="majorBidi"/>
          <w:lang w:val="en-GB"/>
        </w:rPr>
        <w:t>,  p.</w:t>
      </w:r>
      <w:proofErr w:type="gramEnd"/>
      <w:r w:rsidRPr="001932D9">
        <w:rPr>
          <w:rFonts w:asciiTheme="majorBidi" w:hAnsiTheme="majorBidi"/>
          <w:lang w:val="en-GB"/>
        </w:rPr>
        <w:t xml:space="preserve"> 9.</w:t>
      </w:r>
    </w:p>
  </w:footnote>
  <w:footnote w:id="13">
    <w:p w14:paraId="382120F6" w14:textId="1FCEED67"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annex 12, pp. 1-2.</w:t>
      </w:r>
    </w:p>
  </w:footnote>
  <w:footnote w:id="14">
    <w:p w14:paraId="69FA564E" w14:textId="2BFFFA88"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annex 12, pp. 1 and 3.</w:t>
      </w:r>
    </w:p>
  </w:footnote>
  <w:footnote w:id="15">
    <w:p w14:paraId="43CDDF7A" w14:textId="2C96DE2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3, and annex 12.</w:t>
      </w:r>
    </w:p>
  </w:footnote>
  <w:footnote w:id="16">
    <w:p w14:paraId="4C032FCC" w14:textId="56FEE575"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11, and annex 2.</w:t>
      </w:r>
    </w:p>
  </w:footnote>
  <w:footnote w:id="17">
    <w:p w14:paraId="314D9534" w14:textId="4DCF3289"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7A3E19" w:rsidRPr="001932D9">
        <w:rPr>
          <w:rFonts w:asciiTheme="majorBidi" w:hAnsiTheme="majorBidi" w:cstheme="majorBidi"/>
          <w:szCs w:val="18"/>
          <w:lang w:val="en-GB"/>
        </w:rPr>
        <w:t xml:space="preserve">Communication, </w:t>
      </w:r>
      <w:r w:rsidRPr="001932D9">
        <w:rPr>
          <w:rFonts w:asciiTheme="majorBidi" w:hAnsiTheme="majorBidi" w:cstheme="majorBidi"/>
          <w:szCs w:val="18"/>
          <w:lang w:val="en-GB"/>
        </w:rPr>
        <w:t>annex 2, pp. 1-2.</w:t>
      </w:r>
    </w:p>
  </w:footnote>
  <w:footnote w:id="18">
    <w:p w14:paraId="0861BB8B" w14:textId="3205DE8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w:t>
      </w:r>
      <w:r w:rsidR="007A3E19" w:rsidRPr="001932D9">
        <w:rPr>
          <w:rFonts w:asciiTheme="majorBidi" w:hAnsiTheme="majorBidi" w:cstheme="majorBidi"/>
          <w:szCs w:val="18"/>
          <w:lang w:val="en-GB"/>
        </w:rPr>
        <w:t xml:space="preserve">Communication, </w:t>
      </w:r>
      <w:r w:rsidRPr="001932D9">
        <w:rPr>
          <w:rFonts w:asciiTheme="majorBidi" w:hAnsiTheme="majorBidi"/>
          <w:lang w:val="en-GB"/>
        </w:rPr>
        <w:t xml:space="preserve">p. 11, and annex 2. </w:t>
      </w:r>
    </w:p>
  </w:footnote>
  <w:footnote w:id="19">
    <w:p w14:paraId="28647A32" w14:textId="13539C1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w:t>
      </w:r>
      <w:r w:rsidR="007A3E19" w:rsidRPr="001932D9">
        <w:rPr>
          <w:rFonts w:asciiTheme="majorBidi" w:hAnsiTheme="majorBidi" w:cstheme="majorBidi"/>
          <w:szCs w:val="18"/>
          <w:lang w:val="en-GB"/>
        </w:rPr>
        <w:t xml:space="preserve">Communication, </w:t>
      </w:r>
      <w:r w:rsidRPr="001932D9">
        <w:rPr>
          <w:rFonts w:asciiTheme="majorBidi" w:hAnsiTheme="majorBidi"/>
          <w:lang w:val="en-GB"/>
        </w:rPr>
        <w:t>p. 11, and annex 3, p. 1.</w:t>
      </w:r>
    </w:p>
  </w:footnote>
  <w:footnote w:id="20">
    <w:p w14:paraId="5DB6AA8F" w14:textId="33860A65"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7A3E19" w:rsidRPr="001932D9">
        <w:rPr>
          <w:rFonts w:asciiTheme="majorBidi" w:hAnsiTheme="majorBidi" w:cstheme="majorBidi"/>
          <w:szCs w:val="18"/>
          <w:lang w:val="en-GB"/>
        </w:rPr>
        <w:t xml:space="preserve">Communication, </w:t>
      </w:r>
      <w:r w:rsidRPr="001932D9">
        <w:rPr>
          <w:rStyle w:val="st"/>
          <w:rFonts w:asciiTheme="majorBidi" w:hAnsiTheme="majorBidi" w:cstheme="majorBidi"/>
          <w:szCs w:val="18"/>
          <w:lang w:val="en-GB"/>
        </w:rPr>
        <w:t>annex 3 and annex 4.</w:t>
      </w:r>
    </w:p>
  </w:footnote>
  <w:footnote w:id="21">
    <w:p w14:paraId="66228F2E" w14:textId="793F2DBF"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w:t>
      </w:r>
      <w:r w:rsidR="007A3E19" w:rsidRPr="001932D9">
        <w:rPr>
          <w:rFonts w:asciiTheme="majorBidi" w:hAnsiTheme="majorBidi" w:cstheme="majorBidi"/>
          <w:szCs w:val="18"/>
          <w:lang w:val="en-GB"/>
        </w:rPr>
        <w:t xml:space="preserve">Communication, </w:t>
      </w:r>
      <w:r w:rsidRPr="001932D9">
        <w:rPr>
          <w:rFonts w:asciiTheme="majorBidi" w:hAnsiTheme="majorBidi"/>
          <w:lang w:val="en-GB"/>
        </w:rPr>
        <w:t>annex 3, p. 2.</w:t>
      </w:r>
    </w:p>
  </w:footnote>
  <w:footnote w:id="22">
    <w:p w14:paraId="56DBCBD9" w14:textId="7097D9CD"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w:t>
      </w:r>
      <w:r w:rsidR="007A3E19" w:rsidRPr="001932D9">
        <w:rPr>
          <w:rFonts w:asciiTheme="majorBidi" w:hAnsiTheme="majorBidi" w:cstheme="majorBidi"/>
          <w:szCs w:val="18"/>
          <w:lang w:val="en-GB"/>
        </w:rPr>
        <w:t xml:space="preserve">Communication, </w:t>
      </w:r>
      <w:r w:rsidRPr="001932D9">
        <w:rPr>
          <w:rFonts w:asciiTheme="majorBidi" w:hAnsiTheme="majorBidi"/>
          <w:lang w:val="en-GB"/>
        </w:rPr>
        <w:t>annex 12.</w:t>
      </w:r>
    </w:p>
  </w:footnote>
  <w:footnote w:id="23">
    <w:p w14:paraId="49283280" w14:textId="6A50570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fr-CH"/>
        </w:rPr>
      </w:pPr>
      <w:r w:rsidRPr="001932D9">
        <w:rPr>
          <w:rStyle w:val="FootnoteReference"/>
          <w:rFonts w:asciiTheme="majorBidi" w:hAnsiTheme="majorBidi" w:cstheme="majorBidi"/>
          <w:szCs w:val="18"/>
          <w:lang w:val="en-GB"/>
        </w:rPr>
        <w:footnoteRef/>
      </w:r>
      <w:r w:rsidRPr="001932D9">
        <w:rPr>
          <w:rFonts w:asciiTheme="majorBidi" w:hAnsiTheme="majorBidi"/>
          <w:lang w:val="fr-CH"/>
        </w:rPr>
        <w:t xml:space="preserve"> </w:t>
      </w:r>
      <w:r w:rsidR="007A3E19" w:rsidRPr="001932D9">
        <w:rPr>
          <w:rFonts w:asciiTheme="majorBidi" w:hAnsiTheme="majorBidi" w:cstheme="majorBidi"/>
          <w:szCs w:val="18"/>
          <w:lang w:val="fr-CH"/>
        </w:rPr>
        <w:t xml:space="preserve">Communication, </w:t>
      </w:r>
      <w:r w:rsidRPr="001932D9">
        <w:rPr>
          <w:rFonts w:asciiTheme="majorBidi" w:hAnsiTheme="majorBidi"/>
          <w:lang w:val="fr-CH"/>
        </w:rPr>
        <w:t>p.</w:t>
      </w:r>
      <w:r w:rsidRPr="001932D9">
        <w:rPr>
          <w:rFonts w:asciiTheme="majorBidi" w:hAnsiTheme="majorBidi" w:cstheme="majorBidi"/>
          <w:szCs w:val="18"/>
          <w:lang w:val="fr-CH"/>
        </w:rPr>
        <w:t xml:space="preserve"> </w:t>
      </w:r>
      <w:r w:rsidRPr="001932D9">
        <w:rPr>
          <w:rFonts w:asciiTheme="majorBidi" w:hAnsiTheme="majorBidi"/>
          <w:lang w:val="fr-CH"/>
        </w:rPr>
        <w:t>16.</w:t>
      </w:r>
    </w:p>
  </w:footnote>
  <w:footnote w:id="24">
    <w:p w14:paraId="26263D35" w14:textId="12034E2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fr-CH"/>
        </w:rPr>
      </w:pPr>
      <w:r w:rsidRPr="001932D9">
        <w:rPr>
          <w:rStyle w:val="FootnoteReference"/>
          <w:rFonts w:asciiTheme="majorBidi" w:hAnsiTheme="majorBidi" w:cstheme="majorBidi"/>
          <w:szCs w:val="18"/>
          <w:lang w:val="en-GB"/>
        </w:rPr>
        <w:footnoteRef/>
      </w:r>
      <w:r w:rsidRPr="001932D9">
        <w:rPr>
          <w:rFonts w:asciiTheme="majorBidi" w:hAnsiTheme="majorBidi"/>
          <w:lang w:val="fr-CH"/>
        </w:rPr>
        <w:t xml:space="preserve"> </w:t>
      </w:r>
      <w:r w:rsidR="007A3E19" w:rsidRPr="001932D9">
        <w:rPr>
          <w:rFonts w:asciiTheme="majorBidi" w:hAnsiTheme="majorBidi" w:cstheme="majorBidi"/>
          <w:szCs w:val="18"/>
          <w:lang w:val="fr-CH"/>
        </w:rPr>
        <w:t xml:space="preserve">Communication, </w:t>
      </w:r>
      <w:proofErr w:type="spellStart"/>
      <w:r w:rsidRPr="001932D9">
        <w:rPr>
          <w:rFonts w:asciiTheme="majorBidi" w:hAnsiTheme="majorBidi"/>
          <w:lang w:val="fr-CH"/>
        </w:rPr>
        <w:t>annex</w:t>
      </w:r>
      <w:proofErr w:type="spellEnd"/>
      <w:r w:rsidRPr="001932D9">
        <w:rPr>
          <w:rFonts w:asciiTheme="majorBidi" w:hAnsiTheme="majorBidi"/>
          <w:lang w:val="fr-CH"/>
        </w:rPr>
        <w:t xml:space="preserve"> 13</w:t>
      </w:r>
      <w:r w:rsidRPr="001932D9">
        <w:rPr>
          <w:rFonts w:asciiTheme="majorBidi" w:hAnsiTheme="majorBidi" w:cstheme="majorBidi"/>
          <w:szCs w:val="18"/>
          <w:lang w:val="fr-CH"/>
        </w:rPr>
        <w:t>, p. 2</w:t>
      </w:r>
      <w:r w:rsidRPr="001932D9">
        <w:rPr>
          <w:rFonts w:asciiTheme="majorBidi" w:hAnsiTheme="majorBidi"/>
          <w:lang w:val="fr-CH"/>
        </w:rPr>
        <w:t>.</w:t>
      </w:r>
    </w:p>
  </w:footnote>
  <w:footnote w:id="25">
    <w:p w14:paraId="34C74854" w14:textId="5A4961F3"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fr-CH"/>
        </w:rPr>
      </w:pPr>
      <w:r w:rsidRPr="001932D9">
        <w:rPr>
          <w:rStyle w:val="FootnoteReference"/>
          <w:rFonts w:asciiTheme="majorBidi" w:hAnsiTheme="majorBidi" w:cstheme="majorBidi"/>
          <w:szCs w:val="18"/>
          <w:lang w:val="en-GB"/>
        </w:rPr>
        <w:footnoteRef/>
      </w:r>
      <w:r w:rsidRPr="001932D9">
        <w:rPr>
          <w:rFonts w:asciiTheme="majorBidi" w:hAnsiTheme="majorBidi"/>
          <w:lang w:val="fr-CH"/>
        </w:rPr>
        <w:t xml:space="preserve"> </w:t>
      </w:r>
      <w:r w:rsidR="007A3E19" w:rsidRPr="001932D9">
        <w:rPr>
          <w:rFonts w:asciiTheme="majorBidi" w:hAnsiTheme="majorBidi" w:cstheme="majorBidi"/>
          <w:szCs w:val="18"/>
          <w:lang w:val="fr-CH"/>
        </w:rPr>
        <w:t xml:space="preserve">Communication, </w:t>
      </w:r>
      <w:r w:rsidRPr="001932D9">
        <w:rPr>
          <w:rFonts w:asciiTheme="majorBidi" w:hAnsiTheme="majorBidi"/>
          <w:lang w:val="fr-CH"/>
        </w:rPr>
        <w:t>p.</w:t>
      </w:r>
      <w:r w:rsidRPr="001932D9">
        <w:rPr>
          <w:rFonts w:asciiTheme="majorBidi" w:hAnsiTheme="majorBidi" w:cstheme="majorBidi"/>
          <w:szCs w:val="18"/>
          <w:lang w:val="fr-CH"/>
        </w:rPr>
        <w:t xml:space="preserve"> </w:t>
      </w:r>
      <w:r w:rsidRPr="001932D9">
        <w:rPr>
          <w:rFonts w:asciiTheme="majorBidi" w:hAnsiTheme="majorBidi"/>
          <w:lang w:val="fr-CH"/>
        </w:rPr>
        <w:t xml:space="preserve">12. </w:t>
      </w:r>
    </w:p>
  </w:footnote>
  <w:footnote w:id="26">
    <w:p w14:paraId="5C2E9CB3" w14:textId="1C75A90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fr-CH"/>
        </w:rPr>
      </w:pPr>
      <w:r w:rsidRPr="001932D9">
        <w:rPr>
          <w:rStyle w:val="FootnoteReference"/>
          <w:rFonts w:asciiTheme="majorBidi" w:hAnsiTheme="majorBidi" w:cstheme="majorBidi"/>
          <w:szCs w:val="18"/>
          <w:lang w:val="en-GB"/>
        </w:rPr>
        <w:footnoteRef/>
      </w:r>
      <w:r w:rsidRPr="001932D9">
        <w:rPr>
          <w:rFonts w:asciiTheme="majorBidi" w:hAnsiTheme="majorBidi"/>
          <w:lang w:val="fr-CH"/>
        </w:rPr>
        <w:t xml:space="preserve"> </w:t>
      </w:r>
      <w:r w:rsidR="007A3E19" w:rsidRPr="001932D9">
        <w:rPr>
          <w:rFonts w:asciiTheme="majorBidi" w:hAnsiTheme="majorBidi" w:cstheme="majorBidi"/>
          <w:szCs w:val="18"/>
          <w:lang w:val="fr-CH"/>
        </w:rPr>
        <w:t xml:space="preserve">Communication, </w:t>
      </w:r>
      <w:proofErr w:type="spellStart"/>
      <w:r w:rsidRPr="001932D9">
        <w:rPr>
          <w:rFonts w:asciiTheme="majorBidi" w:hAnsiTheme="majorBidi"/>
          <w:lang w:val="fr-CH"/>
        </w:rPr>
        <w:t>annex</w:t>
      </w:r>
      <w:proofErr w:type="spellEnd"/>
      <w:r w:rsidRPr="001932D9">
        <w:rPr>
          <w:rFonts w:asciiTheme="majorBidi" w:hAnsiTheme="majorBidi"/>
          <w:lang w:val="fr-CH"/>
        </w:rPr>
        <w:t xml:space="preserve"> 5.</w:t>
      </w:r>
    </w:p>
  </w:footnote>
  <w:footnote w:id="27">
    <w:p w14:paraId="0FA16345" w14:textId="3BD4AFA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fr-CH"/>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fr-CH"/>
        </w:rPr>
        <w:t xml:space="preserve"> </w:t>
      </w:r>
      <w:r w:rsidR="007A3E19" w:rsidRPr="001932D9">
        <w:rPr>
          <w:rFonts w:asciiTheme="majorBidi" w:hAnsiTheme="majorBidi" w:cstheme="majorBidi"/>
          <w:szCs w:val="18"/>
          <w:lang w:val="fr-CH"/>
        </w:rPr>
        <w:t xml:space="preserve">Communication, </w:t>
      </w:r>
      <w:proofErr w:type="spellStart"/>
      <w:r w:rsidRPr="001932D9">
        <w:rPr>
          <w:rFonts w:asciiTheme="majorBidi" w:hAnsiTheme="majorBidi" w:cstheme="majorBidi"/>
          <w:szCs w:val="18"/>
          <w:lang w:val="fr-CH"/>
        </w:rPr>
        <w:t>annex</w:t>
      </w:r>
      <w:proofErr w:type="spellEnd"/>
      <w:r w:rsidRPr="001932D9">
        <w:rPr>
          <w:rFonts w:asciiTheme="majorBidi" w:hAnsiTheme="majorBidi" w:cstheme="majorBidi"/>
          <w:szCs w:val="18"/>
          <w:lang w:val="fr-CH"/>
        </w:rPr>
        <w:t xml:space="preserve"> 11.</w:t>
      </w:r>
    </w:p>
  </w:footnote>
  <w:footnote w:id="28">
    <w:p w14:paraId="62FC3062" w14:textId="6962E7D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385DD5" w:rsidRPr="001932D9">
        <w:rPr>
          <w:rFonts w:asciiTheme="majorBidi" w:hAnsiTheme="majorBidi" w:cstheme="majorBidi"/>
          <w:szCs w:val="18"/>
          <w:lang w:val="en-GB"/>
        </w:rPr>
        <w:t>Email from communicant, 9 September 2014, annex 3</w:t>
      </w:r>
      <w:r w:rsidRPr="001932D9">
        <w:rPr>
          <w:rFonts w:asciiTheme="majorBidi" w:hAnsiTheme="majorBidi" w:cstheme="majorBidi"/>
          <w:szCs w:val="18"/>
          <w:lang w:val="en-GB"/>
        </w:rPr>
        <w:t>.</w:t>
      </w:r>
    </w:p>
  </w:footnote>
  <w:footnote w:id="29">
    <w:p w14:paraId="46CCED3C" w14:textId="487C33BF"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385DD5" w:rsidRPr="001932D9">
        <w:rPr>
          <w:rFonts w:asciiTheme="majorBidi" w:hAnsiTheme="majorBidi" w:cstheme="majorBidi"/>
          <w:szCs w:val="18"/>
          <w:lang w:val="en-GB"/>
        </w:rPr>
        <w:t>European Union Ombudsman decision on complaint 183/2013/AN, received from the communicant on 17 February 2015.</w:t>
      </w:r>
    </w:p>
  </w:footnote>
  <w:footnote w:id="30">
    <w:p w14:paraId="3EB5F0F0" w14:textId="5015591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annex 13. </w:t>
      </w:r>
    </w:p>
  </w:footnote>
  <w:footnote w:id="31">
    <w:p w14:paraId="64E8EE5E" w14:textId="6444DECA"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annex 6.</w:t>
      </w:r>
    </w:p>
  </w:footnote>
  <w:footnote w:id="32">
    <w:p w14:paraId="741DF8C7" w14:textId="5FDA132E" w:rsidR="0007212F" w:rsidRPr="001932D9" w:rsidRDefault="0007212F" w:rsidP="001932D9">
      <w:pPr>
        <w:pStyle w:val="FootnoteText"/>
        <w:tabs>
          <w:tab w:val="clear" w:pos="1021"/>
          <w:tab w:val="left" w:pos="1276"/>
          <w:tab w:val="left" w:pos="1701"/>
          <w:tab w:val="left" w:pos="2268"/>
          <w:tab w:val="left" w:pos="2835"/>
          <w:tab w:val="left" w:pos="3402"/>
          <w:tab w:val="left" w:pos="4920"/>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4 May 2015, annex 1.</w:t>
      </w:r>
    </w:p>
  </w:footnote>
  <w:footnote w:id="33">
    <w:p w14:paraId="289F3A21" w14:textId="4F556C4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a</w:t>
      </w:r>
      <w:r w:rsidRPr="001932D9">
        <w:rPr>
          <w:rStyle w:val="st"/>
          <w:rFonts w:asciiTheme="majorBidi" w:hAnsiTheme="majorBidi" w:cstheme="majorBidi"/>
          <w:szCs w:val="18"/>
          <w:lang w:val="en-GB"/>
        </w:rPr>
        <w:t>nnex 9.</w:t>
      </w:r>
    </w:p>
  </w:footnote>
  <w:footnote w:id="34">
    <w:p w14:paraId="7F85CE2A" w14:textId="14B56AD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9 September 2014, p. 3. </w:t>
      </w:r>
    </w:p>
  </w:footnote>
  <w:footnote w:id="35">
    <w:p w14:paraId="5E26999F" w14:textId="083EFB86" w:rsidR="0007212F" w:rsidRPr="001932D9" w:rsidRDefault="0007212F" w:rsidP="001932D9">
      <w:pPr>
        <w:pStyle w:val="FootnoteText"/>
        <w:tabs>
          <w:tab w:val="left" w:pos="8505"/>
        </w:tabs>
        <w:rPr>
          <w:lang w:val="en-US"/>
        </w:rPr>
      </w:pPr>
      <w:r w:rsidRPr="001932D9">
        <w:tab/>
      </w:r>
      <w:r w:rsidRPr="001932D9">
        <w:tab/>
      </w:r>
      <w:r w:rsidRPr="001932D9">
        <w:rPr>
          <w:rStyle w:val="FootnoteReference"/>
        </w:rPr>
        <w:footnoteRef/>
      </w:r>
      <w:r w:rsidRPr="001932D9">
        <w:t xml:space="preserve"> </w:t>
      </w:r>
      <w:r w:rsidRPr="001932D9">
        <w:rPr>
          <w:lang w:val="en-US"/>
        </w:rPr>
        <w:t xml:space="preserve">Ibid., p. 5, and Party’s response to communication, p. </w:t>
      </w:r>
      <w:proofErr w:type="gramStart"/>
      <w:r w:rsidRPr="001932D9">
        <w:rPr>
          <w:lang w:val="en-US"/>
        </w:rPr>
        <w:t>4 .</w:t>
      </w:r>
      <w:proofErr w:type="gramEnd"/>
    </w:p>
  </w:footnote>
  <w:footnote w:id="36">
    <w:p w14:paraId="4B431AB7" w14:textId="0ED0161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pp. 7-8.</w:t>
      </w:r>
    </w:p>
  </w:footnote>
  <w:footnote w:id="37">
    <w:p w14:paraId="6864C940" w14:textId="4C1EC206"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7.</w:t>
      </w:r>
    </w:p>
  </w:footnote>
  <w:footnote w:id="38">
    <w:p w14:paraId="2B6AF7AE" w14:textId="530632C0" w:rsidR="0007212F" w:rsidRPr="001932D9" w:rsidRDefault="0007212F" w:rsidP="001932D9">
      <w:pPr>
        <w:pStyle w:val="FootnoteText"/>
        <w:tabs>
          <w:tab w:val="left" w:pos="8505"/>
        </w:tabs>
        <w:ind w:firstLine="0"/>
        <w:rPr>
          <w:rFonts w:asciiTheme="majorBidi" w:hAnsiTheme="majorBidi" w:cstheme="majorBidi"/>
          <w:szCs w:val="18"/>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w:t>
      </w:r>
      <w:r w:rsidRPr="001932D9">
        <w:rPr>
          <w:rFonts w:asciiTheme="majorBidi" w:hAnsiTheme="majorBidi" w:cstheme="majorBidi"/>
          <w:szCs w:val="18"/>
          <w:lang w:val="en-GB"/>
        </w:rPr>
        <w:t>Ibid</w:t>
      </w:r>
      <w:r w:rsidR="00385DD5" w:rsidRPr="001932D9">
        <w:rPr>
          <w:rFonts w:asciiTheme="majorBidi" w:hAnsiTheme="majorBidi" w:cstheme="majorBidi"/>
          <w:szCs w:val="18"/>
          <w:lang w:val="en-GB"/>
        </w:rPr>
        <w:t>., p. 5.</w:t>
      </w:r>
    </w:p>
  </w:footnote>
  <w:footnote w:id="39">
    <w:p w14:paraId="7D89963B" w14:textId="6DFAD4F6"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6.</w:t>
      </w:r>
    </w:p>
  </w:footnote>
  <w:footnote w:id="40">
    <w:p w14:paraId="139AD05F" w14:textId="389AAC68"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385DD5" w:rsidRPr="001932D9">
        <w:rPr>
          <w:rFonts w:asciiTheme="majorBidi" w:hAnsiTheme="majorBidi" w:cstheme="majorBidi"/>
          <w:szCs w:val="18"/>
          <w:lang w:val="en-GB"/>
        </w:rPr>
        <w:t>Party’s comments on exhaustion of domestic remedies, 30 November 2015, paras. 17-32.</w:t>
      </w:r>
    </w:p>
  </w:footnote>
  <w:footnote w:id="41">
    <w:p w14:paraId="79A39B5C" w14:textId="12D52F72"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 6.</w:t>
      </w:r>
    </w:p>
  </w:footnote>
  <w:footnote w:id="42">
    <w:p w14:paraId="4686DED7" w14:textId="77777777" w:rsidR="00385DD5" w:rsidRPr="001932D9" w:rsidRDefault="00385DD5" w:rsidP="00385DD5">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21 June 2015, annex 1, pp. 2-3 and 10.</w:t>
      </w:r>
    </w:p>
  </w:footnote>
  <w:footnote w:id="43">
    <w:p w14:paraId="508269A1" w14:textId="21F014FD"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w:t>
      </w:r>
      <w:r w:rsidR="00385DD5" w:rsidRPr="001932D9">
        <w:rPr>
          <w:rFonts w:asciiTheme="majorBidi" w:hAnsiTheme="majorBidi" w:cstheme="majorBidi"/>
          <w:szCs w:val="18"/>
          <w:lang w:val="en-GB"/>
        </w:rPr>
        <w:t>p</w:t>
      </w:r>
      <w:r w:rsidRPr="001932D9">
        <w:rPr>
          <w:rFonts w:asciiTheme="majorBidi" w:hAnsiTheme="majorBidi" w:cstheme="majorBidi"/>
          <w:szCs w:val="18"/>
          <w:lang w:val="en-GB"/>
        </w:rPr>
        <w:t xml:space="preserve">. </w:t>
      </w:r>
      <w:r w:rsidR="00385DD5" w:rsidRPr="001932D9">
        <w:rPr>
          <w:rFonts w:asciiTheme="majorBidi" w:hAnsiTheme="majorBidi" w:cstheme="majorBidi"/>
          <w:szCs w:val="18"/>
          <w:lang w:val="en-GB"/>
        </w:rPr>
        <w:t>6-9.</w:t>
      </w:r>
    </w:p>
  </w:footnote>
  <w:footnote w:id="44">
    <w:p w14:paraId="716640E9" w14:textId="544EF3C0"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w:t>
      </w:r>
      <w:r w:rsidR="00385DD5" w:rsidRPr="001932D9">
        <w:rPr>
          <w:rFonts w:asciiTheme="majorBidi" w:hAnsiTheme="majorBidi" w:cstheme="majorBidi"/>
          <w:szCs w:val="18"/>
          <w:lang w:val="en-GB"/>
        </w:rPr>
        <w:t>p</w:t>
      </w:r>
      <w:r w:rsidRPr="001932D9">
        <w:rPr>
          <w:rFonts w:asciiTheme="majorBidi" w:hAnsiTheme="majorBidi" w:cstheme="majorBidi"/>
          <w:szCs w:val="18"/>
          <w:lang w:val="en-GB"/>
        </w:rPr>
        <w:t>. 5</w:t>
      </w:r>
      <w:r w:rsidR="00385DD5" w:rsidRPr="001932D9">
        <w:rPr>
          <w:rFonts w:asciiTheme="majorBidi" w:hAnsiTheme="majorBidi" w:cstheme="majorBidi"/>
          <w:szCs w:val="18"/>
          <w:lang w:val="en-GB"/>
        </w:rPr>
        <w:t xml:space="preserve"> and 7</w:t>
      </w:r>
      <w:r w:rsidRPr="001932D9">
        <w:rPr>
          <w:rFonts w:asciiTheme="majorBidi" w:hAnsiTheme="majorBidi" w:cstheme="majorBidi"/>
          <w:szCs w:val="18"/>
          <w:lang w:val="en-GB"/>
        </w:rPr>
        <w:t xml:space="preserve">. </w:t>
      </w:r>
    </w:p>
  </w:footnote>
  <w:footnote w:id="45">
    <w:p w14:paraId="669DF607" w14:textId="73E9F546"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pp. 12-13.</w:t>
      </w:r>
    </w:p>
  </w:footnote>
  <w:footnote w:id="46">
    <w:p w14:paraId="54F46A25" w14:textId="7173672D"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7.</w:t>
      </w:r>
    </w:p>
  </w:footnote>
  <w:footnote w:id="47">
    <w:p w14:paraId="69D910B6" w14:textId="7ECCDC1B"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Party’s response to communication, pp. 13-14</w:t>
      </w:r>
      <w:r w:rsidRPr="001932D9">
        <w:rPr>
          <w:rFonts w:asciiTheme="majorBidi" w:hAnsiTheme="majorBidi" w:cstheme="majorBidi"/>
          <w:szCs w:val="18"/>
          <w:lang w:val="en-GB"/>
        </w:rPr>
        <w:t>.</w:t>
      </w:r>
    </w:p>
  </w:footnote>
  <w:footnote w:id="48">
    <w:p w14:paraId="3D2B92AE" w14:textId="398F99E1"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10.</w:t>
      </w:r>
    </w:p>
  </w:footnote>
  <w:footnote w:id="49">
    <w:p w14:paraId="4BA6F494" w14:textId="443CF5AD"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 3. </w:t>
      </w:r>
    </w:p>
  </w:footnote>
  <w:footnote w:id="50">
    <w:p w14:paraId="5CF078B0" w14:textId="51051719"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reply to the Committee’s questions, 20 May 2016, p. 3.</w:t>
      </w:r>
    </w:p>
  </w:footnote>
  <w:footnote w:id="51">
    <w:p w14:paraId="67039820" w14:textId="6432A3F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002805E2" w:rsidRPr="001932D9">
        <w:rPr>
          <w:rFonts w:asciiTheme="majorBidi" w:hAnsiTheme="majorBidi" w:cstheme="majorBidi"/>
          <w:szCs w:val="18"/>
          <w:lang w:val="en-GB"/>
        </w:rPr>
        <w:t xml:space="preserve"> </w:t>
      </w:r>
      <w:r w:rsidR="002805E2" w:rsidRPr="001932D9">
        <w:rPr>
          <w:rFonts w:asciiTheme="majorBidi" w:hAnsiTheme="majorBidi"/>
          <w:lang w:val="en-GB"/>
        </w:rPr>
        <w:t>Communication, pp.</w:t>
      </w:r>
      <w:r w:rsidR="002805E2" w:rsidRPr="001932D9">
        <w:rPr>
          <w:rFonts w:asciiTheme="majorBidi" w:hAnsiTheme="majorBidi" w:cstheme="majorBidi"/>
          <w:szCs w:val="18"/>
          <w:lang w:val="en-GB"/>
        </w:rPr>
        <w:t xml:space="preserve"> </w:t>
      </w:r>
      <w:r w:rsidR="002805E2" w:rsidRPr="001932D9">
        <w:rPr>
          <w:rFonts w:asciiTheme="majorBidi" w:hAnsiTheme="majorBidi"/>
          <w:lang w:val="en-GB"/>
        </w:rPr>
        <w:t>11-12</w:t>
      </w:r>
      <w:r w:rsidRPr="001932D9">
        <w:rPr>
          <w:rFonts w:asciiTheme="majorBidi" w:hAnsiTheme="majorBidi" w:cstheme="majorBidi"/>
          <w:szCs w:val="18"/>
          <w:lang w:val="en-GB"/>
        </w:rPr>
        <w:t>.</w:t>
      </w:r>
    </w:p>
  </w:footnote>
  <w:footnote w:id="52">
    <w:p w14:paraId="0FEFF36C" w14:textId="11D00C8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lang w:val="en-GB"/>
        </w:rPr>
        <w:t xml:space="preserve"> Ibid., pp. 13-14.</w:t>
      </w:r>
    </w:p>
  </w:footnote>
  <w:footnote w:id="53">
    <w:p w14:paraId="350A7C46" w14:textId="231A2B69"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Email from communicant, 9 September 2014, p. 9</w:t>
      </w:r>
      <w:r w:rsidRPr="001932D9">
        <w:rPr>
          <w:rFonts w:asciiTheme="majorBidi" w:hAnsiTheme="majorBidi" w:cstheme="majorBidi"/>
          <w:szCs w:val="18"/>
          <w:lang w:val="en-GB"/>
        </w:rPr>
        <w:t>.</w:t>
      </w:r>
    </w:p>
  </w:footnote>
  <w:footnote w:id="54">
    <w:p w14:paraId="0C649DEF" w14:textId="3E0030A3"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9-11.</w:t>
      </w:r>
    </w:p>
  </w:footnote>
  <w:footnote w:id="55">
    <w:p w14:paraId="422347C0" w14:textId="232C351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9-10, </w:t>
      </w:r>
      <w:r w:rsidRPr="001932D9">
        <w:rPr>
          <w:rFonts w:asciiTheme="majorBidi" w:hAnsiTheme="majorBidi"/>
          <w:lang w:val="en-GB"/>
        </w:rPr>
        <w:t xml:space="preserve">citing </w:t>
      </w:r>
      <w:r w:rsidRPr="001932D9">
        <w:rPr>
          <w:lang w:val="en-GB"/>
        </w:rPr>
        <w:t xml:space="preserve">ACCC/C/2007/21 (European Community), </w:t>
      </w:r>
      <w:r w:rsidRPr="001932D9">
        <w:t>ECE/</w:t>
      </w:r>
      <w:proofErr w:type="gramStart"/>
      <w:r w:rsidRPr="001932D9">
        <w:t>MP.PP</w:t>
      </w:r>
      <w:proofErr w:type="gramEnd"/>
      <w:r w:rsidRPr="001932D9">
        <w:t>/C.1/2009/2/Add.1</w:t>
      </w:r>
      <w:r w:rsidRPr="001932D9">
        <w:rPr>
          <w:lang w:val="en-GB"/>
        </w:rPr>
        <w:t xml:space="preserve">, </w:t>
      </w:r>
      <w:r w:rsidRPr="001932D9">
        <w:rPr>
          <w:rFonts w:asciiTheme="majorBidi" w:hAnsiTheme="majorBidi"/>
          <w:lang w:val="en-GB"/>
        </w:rPr>
        <w:t>para. 30(c).</w:t>
      </w:r>
    </w:p>
  </w:footnote>
  <w:footnote w:id="56">
    <w:p w14:paraId="1558D85F" w14:textId="59204BC4" w:rsidR="0007212F" w:rsidRPr="001932D9" w:rsidRDefault="0007212F" w:rsidP="001932D9">
      <w:pPr>
        <w:pStyle w:val="FootnoteText"/>
        <w:tabs>
          <w:tab w:val="left" w:pos="8505"/>
        </w:tabs>
        <w:ind w:firstLine="0"/>
        <w:rPr>
          <w:lang w:val="en-GB"/>
        </w:rPr>
      </w:pPr>
      <w:r w:rsidRPr="001932D9">
        <w:rPr>
          <w:rStyle w:val="FootnoteReference"/>
        </w:rPr>
        <w:footnoteRef/>
      </w:r>
      <w:r w:rsidRPr="001932D9">
        <w:t xml:space="preserve"> </w:t>
      </w:r>
      <w:r w:rsidRPr="001932D9">
        <w:rPr>
          <w:rFonts w:asciiTheme="majorBidi" w:hAnsiTheme="majorBidi" w:cstheme="majorBidi"/>
          <w:szCs w:val="18"/>
          <w:lang w:val="en-GB"/>
        </w:rPr>
        <w:t>Ibid., p. 8.</w:t>
      </w:r>
    </w:p>
  </w:footnote>
  <w:footnote w:id="57">
    <w:p w14:paraId="4DB97CF7" w14:textId="4D9E6839"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w:t>
      </w:r>
      <w:r w:rsidR="002805E2" w:rsidRPr="001932D9">
        <w:rPr>
          <w:rFonts w:asciiTheme="majorBidi" w:hAnsiTheme="majorBidi" w:cstheme="majorBidi"/>
          <w:szCs w:val="18"/>
          <w:lang w:val="en-GB"/>
        </w:rPr>
        <w:t>p</w:t>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7-</w:t>
      </w:r>
      <w:r w:rsidRPr="001932D9">
        <w:rPr>
          <w:rFonts w:asciiTheme="majorBidi" w:hAnsiTheme="majorBidi" w:cstheme="majorBidi"/>
          <w:szCs w:val="18"/>
          <w:lang w:val="en-GB"/>
        </w:rPr>
        <w:t>8.</w:t>
      </w:r>
    </w:p>
  </w:footnote>
  <w:footnote w:id="58">
    <w:p w14:paraId="6165FBA3" w14:textId="7FB201E3"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8 and 12.</w:t>
      </w:r>
    </w:p>
  </w:footnote>
  <w:footnote w:id="59">
    <w:p w14:paraId="20737708" w14:textId="6AFF5C1F"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6-7.</w:t>
      </w:r>
    </w:p>
  </w:footnote>
  <w:footnote w:id="60">
    <w:p w14:paraId="020241EE" w14:textId="4707866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6 and 11-13.</w:t>
      </w:r>
    </w:p>
  </w:footnote>
  <w:footnote w:id="61">
    <w:p w14:paraId="2BA804C1" w14:textId="0DFDD2F5"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 3</w:t>
      </w:r>
      <w:r w:rsidRPr="001932D9">
        <w:rPr>
          <w:rStyle w:val="st"/>
          <w:rFonts w:asciiTheme="majorBidi" w:hAnsiTheme="majorBidi" w:cstheme="majorBidi"/>
          <w:szCs w:val="18"/>
          <w:lang w:val="en-GB"/>
        </w:rPr>
        <w:t>.</w:t>
      </w:r>
    </w:p>
  </w:footnote>
  <w:footnote w:id="62">
    <w:p w14:paraId="781409FD" w14:textId="1DC8CFD1"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Party’s reply to Committee’s questions, 20 May 2016, p. 2.</w:t>
      </w:r>
    </w:p>
  </w:footnote>
  <w:footnote w:id="63">
    <w:p w14:paraId="532DEE8E" w14:textId="47C8DE92"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w:t>
      </w:r>
      <w:r w:rsidR="002805E2" w:rsidRPr="001932D9">
        <w:rPr>
          <w:rFonts w:asciiTheme="majorBidi" w:hAnsiTheme="majorBidi" w:cstheme="majorBidi"/>
          <w:szCs w:val="18"/>
          <w:lang w:val="en-GB"/>
        </w:rPr>
        <w:t>p</w:t>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3-</w:t>
      </w:r>
      <w:r w:rsidRPr="001932D9">
        <w:rPr>
          <w:rFonts w:asciiTheme="majorBidi" w:hAnsiTheme="majorBidi" w:cstheme="majorBidi"/>
          <w:szCs w:val="18"/>
          <w:lang w:val="en-GB"/>
        </w:rPr>
        <w:t>4.</w:t>
      </w:r>
    </w:p>
  </w:footnote>
  <w:footnote w:id="64">
    <w:p w14:paraId="2425AFEE" w14:textId="1B18C936"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4.</w:t>
      </w:r>
    </w:p>
  </w:footnote>
  <w:footnote w:id="65">
    <w:p w14:paraId="54DAF7FB" w14:textId="4AA16A7A"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9 September 2014, p. 3.</w:t>
      </w:r>
    </w:p>
  </w:footnote>
  <w:footnote w:id="66">
    <w:p w14:paraId="6F682CB3" w14:textId="3BD94F2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14-16.</w:t>
      </w:r>
    </w:p>
  </w:footnote>
  <w:footnote w:id="67">
    <w:p w14:paraId="1684E36D" w14:textId="1ABF71C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Communication, p. 7,</w:t>
      </w:r>
      <w:r w:rsidR="002805E2" w:rsidRPr="001932D9">
        <w:rPr>
          <w:rFonts w:asciiTheme="majorBidi" w:hAnsiTheme="majorBidi"/>
          <w:lang w:val="en-GB"/>
        </w:rPr>
        <w:t xml:space="preserve"> and e</w:t>
      </w:r>
      <w:r w:rsidRPr="001932D9">
        <w:rPr>
          <w:rFonts w:asciiTheme="majorBidi" w:hAnsiTheme="majorBidi" w:cstheme="majorBidi"/>
          <w:szCs w:val="18"/>
          <w:lang w:val="en-GB"/>
        </w:rPr>
        <w:t>mail from communicant, 9 September 2014, p</w:t>
      </w:r>
      <w:r w:rsidR="002805E2" w:rsidRPr="001932D9">
        <w:rPr>
          <w:rFonts w:asciiTheme="majorBidi" w:hAnsiTheme="majorBidi" w:cstheme="majorBidi"/>
          <w:szCs w:val="18"/>
          <w:lang w:val="en-GB"/>
        </w:rPr>
        <w:t>p</w:t>
      </w:r>
      <w:r w:rsidRPr="001932D9">
        <w:rPr>
          <w:rFonts w:asciiTheme="majorBidi" w:hAnsiTheme="majorBidi" w:cstheme="majorBidi"/>
          <w:szCs w:val="18"/>
          <w:lang w:val="en-GB"/>
        </w:rPr>
        <w:t>. 25</w:t>
      </w:r>
      <w:r w:rsidR="002805E2" w:rsidRPr="001932D9">
        <w:rPr>
          <w:rFonts w:asciiTheme="majorBidi" w:hAnsiTheme="majorBidi" w:cstheme="majorBidi"/>
          <w:szCs w:val="18"/>
          <w:lang w:val="en-GB"/>
        </w:rPr>
        <w:t>-26</w:t>
      </w:r>
      <w:r w:rsidRPr="001932D9">
        <w:rPr>
          <w:rFonts w:asciiTheme="majorBidi" w:hAnsiTheme="majorBidi" w:cstheme="majorBidi"/>
          <w:szCs w:val="18"/>
          <w:lang w:val="en-GB"/>
        </w:rPr>
        <w:t xml:space="preserve">, and </w:t>
      </w:r>
      <w:r w:rsidRPr="001932D9">
        <w:rPr>
          <w:rFonts w:asciiTheme="majorBidi" w:hAnsiTheme="majorBidi"/>
          <w:lang w:val="en-GB"/>
        </w:rPr>
        <w:t>annex 4, p. 7.</w:t>
      </w:r>
    </w:p>
  </w:footnote>
  <w:footnote w:id="68">
    <w:p w14:paraId="7A926E67" w14:textId="5519755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Pr="001932D9">
        <w:rPr>
          <w:rFonts w:asciiTheme="majorBidi" w:hAnsiTheme="majorBidi"/>
          <w:lang w:val="en-GB"/>
        </w:rPr>
        <w:t>Communication, p. 8.</w:t>
      </w:r>
    </w:p>
  </w:footnote>
  <w:footnote w:id="69">
    <w:p w14:paraId="6CE894E6" w14:textId="3D7C9F82"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2805E2" w:rsidRPr="001932D9">
        <w:rPr>
          <w:rFonts w:asciiTheme="majorBidi" w:hAnsiTheme="majorBidi" w:cstheme="majorBidi"/>
          <w:szCs w:val="18"/>
          <w:lang w:val="en-GB"/>
        </w:rPr>
        <w:t>Email from communicant, 9 September 2014, pp. 24-25, and annex 4, p. 3</w:t>
      </w:r>
      <w:r w:rsidRPr="001932D9">
        <w:rPr>
          <w:rFonts w:asciiTheme="majorBidi" w:hAnsiTheme="majorBidi" w:cstheme="majorBidi"/>
          <w:szCs w:val="18"/>
          <w:lang w:val="en-GB"/>
        </w:rPr>
        <w:t>.</w:t>
      </w:r>
    </w:p>
  </w:footnote>
  <w:footnote w:id="70">
    <w:p w14:paraId="295A2597" w14:textId="25E9AAFA"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pp. 10-11.</w:t>
      </w:r>
    </w:p>
  </w:footnote>
  <w:footnote w:id="71">
    <w:p w14:paraId="0260D598" w14:textId="255DF34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11.</w:t>
      </w:r>
    </w:p>
  </w:footnote>
  <w:footnote w:id="72">
    <w:p w14:paraId="57EEE37C" w14:textId="28219CD6"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w:t>
      </w:r>
    </w:p>
  </w:footnote>
  <w:footnote w:id="73">
    <w:p w14:paraId="0299FFE4" w14:textId="39FEC8B0"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18.</w:t>
      </w:r>
    </w:p>
  </w:footnote>
  <w:footnote w:id="74">
    <w:p w14:paraId="68FA9143" w14:textId="29BC8BF7"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6.</w:t>
      </w:r>
    </w:p>
  </w:footnote>
  <w:footnote w:id="75">
    <w:p w14:paraId="6FA3A376" w14:textId="7E65EB10"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9 September 2014, p. 17.</w:t>
      </w:r>
    </w:p>
  </w:footnote>
  <w:footnote w:id="76">
    <w:p w14:paraId="3CB23578" w14:textId="77777777" w:rsidR="002805E2" w:rsidRPr="001932D9" w:rsidRDefault="002805E2" w:rsidP="002805E2">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 13.</w:t>
      </w:r>
    </w:p>
  </w:footnote>
  <w:footnote w:id="77">
    <w:p w14:paraId="776366E8" w14:textId="26F7D0E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18.</w:t>
      </w:r>
    </w:p>
  </w:footnote>
  <w:footnote w:id="78">
    <w:p w14:paraId="496C8D81" w14:textId="415243F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004866" w:rsidRPr="001932D9">
        <w:rPr>
          <w:rFonts w:asciiTheme="majorBidi" w:hAnsiTheme="majorBidi" w:cstheme="majorBidi"/>
          <w:szCs w:val="18"/>
          <w:lang w:val="en-GB"/>
        </w:rPr>
        <w:t>Email from communicant, 9 September 2014</w:t>
      </w:r>
      <w:r w:rsidRPr="001932D9">
        <w:rPr>
          <w:rFonts w:asciiTheme="majorBidi" w:hAnsiTheme="majorBidi" w:cstheme="majorBidi"/>
          <w:szCs w:val="18"/>
          <w:lang w:val="en-GB"/>
        </w:rPr>
        <w:t>, pp. 27-28</w:t>
      </w:r>
      <w:r w:rsidR="0097282C" w:rsidRPr="001932D9">
        <w:rPr>
          <w:rFonts w:asciiTheme="majorBidi" w:hAnsiTheme="majorBidi" w:cstheme="majorBidi"/>
          <w:szCs w:val="18"/>
          <w:lang w:val="en-GB"/>
        </w:rPr>
        <w:t xml:space="preserve"> and annex 4, p. 6</w:t>
      </w:r>
      <w:r w:rsidRPr="001932D9">
        <w:rPr>
          <w:rFonts w:asciiTheme="majorBidi" w:hAnsiTheme="majorBidi" w:cstheme="majorBidi"/>
          <w:szCs w:val="18"/>
          <w:lang w:val="en-GB"/>
        </w:rPr>
        <w:t>.</w:t>
      </w:r>
    </w:p>
  </w:footnote>
  <w:footnote w:id="79">
    <w:p w14:paraId="01E54F5B" w14:textId="5FAA57F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pp. 9-10.</w:t>
      </w:r>
    </w:p>
  </w:footnote>
  <w:footnote w:id="80">
    <w:p w14:paraId="4C389B66" w14:textId="7AFAF08A"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w:t>
      </w:r>
      <w:r w:rsidR="002805E2" w:rsidRPr="001932D9">
        <w:rPr>
          <w:rFonts w:asciiTheme="majorBidi" w:hAnsiTheme="majorBidi" w:cstheme="majorBidi"/>
          <w:szCs w:val="18"/>
          <w:lang w:val="en-GB"/>
        </w:rPr>
        <w:t>, p. 12</w:t>
      </w:r>
      <w:r w:rsidRPr="001932D9">
        <w:rPr>
          <w:rFonts w:asciiTheme="majorBidi" w:hAnsiTheme="majorBidi" w:cstheme="majorBidi"/>
          <w:szCs w:val="18"/>
          <w:lang w:val="en-GB"/>
        </w:rPr>
        <w:t>.</w:t>
      </w:r>
    </w:p>
  </w:footnote>
  <w:footnote w:id="81">
    <w:p w14:paraId="3EA1FE2E" w14:textId="51C22D81" w:rsidR="00C30BBC" w:rsidRPr="001932D9" w:rsidRDefault="00C30BBC" w:rsidP="00C30BBC">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pp. 5-7.</w:t>
      </w:r>
    </w:p>
  </w:footnote>
  <w:footnote w:id="82">
    <w:p w14:paraId="7756216E" w14:textId="77777777" w:rsidR="00C30BBC" w:rsidRPr="001932D9" w:rsidRDefault="00C30BBC" w:rsidP="00C30BBC">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9 September 2014, p. 21.</w:t>
      </w:r>
    </w:p>
  </w:footnote>
  <w:footnote w:id="83">
    <w:p w14:paraId="7E2517A9" w14:textId="66344A58"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w:t>
      </w:r>
    </w:p>
  </w:footnote>
  <w:footnote w:id="84">
    <w:p w14:paraId="4C3AD6C6" w14:textId="7B571A9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Party’s response to communication, pp. 8-9.</w:t>
      </w:r>
    </w:p>
  </w:footnote>
  <w:footnote w:id="85">
    <w:p w14:paraId="3DC11DCF" w14:textId="673CCB3E"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 9.</w:t>
      </w:r>
    </w:p>
  </w:footnote>
  <w:footnote w:id="86">
    <w:p w14:paraId="34A174ED" w14:textId="1CE88E4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 pp. 9-10.</w:t>
      </w:r>
    </w:p>
  </w:footnote>
  <w:footnote w:id="87">
    <w:p w14:paraId="310F8310" w14:textId="7F1507C1"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8, and annex 1.</w:t>
      </w:r>
    </w:p>
  </w:footnote>
  <w:footnote w:id="88">
    <w:p w14:paraId="3B23C3EC" w14:textId="702FCEB4"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C30BBC" w:rsidRPr="001932D9">
        <w:rPr>
          <w:rFonts w:asciiTheme="majorBidi" w:hAnsiTheme="majorBidi" w:cstheme="majorBidi"/>
          <w:szCs w:val="18"/>
          <w:lang w:val="en-GB"/>
        </w:rPr>
        <w:t>Party’s response to communication, p. 12-13 and footnote 25</w:t>
      </w:r>
      <w:r w:rsidRPr="001932D9">
        <w:rPr>
          <w:rFonts w:asciiTheme="majorBidi" w:hAnsiTheme="majorBidi" w:cstheme="majorBidi"/>
          <w:szCs w:val="18"/>
          <w:lang w:val="en-GB"/>
        </w:rPr>
        <w:t>.</w:t>
      </w:r>
    </w:p>
  </w:footnote>
  <w:footnote w:id="89">
    <w:p w14:paraId="2BC2C168" w14:textId="5745B1C8" w:rsidR="0007212F" w:rsidRPr="001932D9" w:rsidRDefault="0007212F" w:rsidP="001932D9">
      <w:pPr>
        <w:pStyle w:val="FootnoteText"/>
        <w:tabs>
          <w:tab w:val="left" w:pos="1134"/>
          <w:tab w:val="left" w:pos="8505"/>
        </w:tabs>
        <w:ind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See </w:t>
      </w:r>
      <w:r w:rsidRPr="001932D9">
        <w:t>ACCC/C/2013/93</w:t>
      </w:r>
      <w:r w:rsidRPr="001932D9">
        <w:rPr>
          <w:lang w:val="en-US"/>
        </w:rPr>
        <w:t xml:space="preserve"> (Norway), </w:t>
      </w:r>
      <w:r w:rsidRPr="001932D9">
        <w:rPr>
          <w:rFonts w:asciiTheme="majorBidi" w:hAnsiTheme="majorBidi" w:cstheme="majorBidi"/>
          <w:szCs w:val="18"/>
          <w:lang w:val="en-GB"/>
        </w:rPr>
        <w:t>ECE/</w:t>
      </w:r>
      <w:proofErr w:type="gramStart"/>
      <w:r w:rsidRPr="001932D9">
        <w:rPr>
          <w:rFonts w:asciiTheme="majorBidi" w:hAnsiTheme="majorBidi" w:cstheme="majorBidi"/>
          <w:szCs w:val="18"/>
          <w:lang w:val="en-GB"/>
        </w:rPr>
        <w:t>MP.PP</w:t>
      </w:r>
      <w:proofErr w:type="gramEnd"/>
      <w:r w:rsidRPr="001932D9">
        <w:rPr>
          <w:rFonts w:asciiTheme="majorBidi" w:hAnsiTheme="majorBidi" w:cstheme="majorBidi"/>
          <w:szCs w:val="18"/>
          <w:lang w:val="en-GB"/>
        </w:rPr>
        <w:t>/C.1/2017/16, para. 65.</w:t>
      </w:r>
    </w:p>
  </w:footnote>
  <w:footnote w:id="90">
    <w:p w14:paraId="4C8B6344" w14:textId="4A450DB5" w:rsidR="0007212F" w:rsidRPr="001932D9" w:rsidRDefault="0007212F" w:rsidP="001932D9">
      <w:pPr>
        <w:pStyle w:val="FootnoteText"/>
        <w:tabs>
          <w:tab w:val="left" w:pos="1134"/>
          <w:tab w:val="left" w:pos="8505"/>
        </w:tabs>
        <w:ind w:right="45"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w:t>
      </w:r>
    </w:p>
  </w:footnote>
  <w:footnote w:id="91">
    <w:p w14:paraId="0EE813BD" w14:textId="4ECF7B5D"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See ECE/</w:t>
      </w:r>
      <w:proofErr w:type="gramStart"/>
      <w:r w:rsidRPr="001932D9">
        <w:rPr>
          <w:rFonts w:asciiTheme="majorBidi" w:hAnsiTheme="majorBidi" w:cstheme="majorBidi"/>
          <w:szCs w:val="18"/>
          <w:lang w:val="en-GB"/>
        </w:rPr>
        <w:t>MP.PP</w:t>
      </w:r>
      <w:proofErr w:type="gramEnd"/>
      <w:r w:rsidRPr="001932D9">
        <w:rPr>
          <w:rFonts w:asciiTheme="majorBidi" w:hAnsiTheme="majorBidi" w:cstheme="majorBidi"/>
          <w:szCs w:val="18"/>
          <w:lang w:val="en-GB"/>
        </w:rPr>
        <w:t>/C.1/2009/2/Add.1, para. 30.</w:t>
      </w:r>
    </w:p>
  </w:footnote>
  <w:footnote w:id="92">
    <w:p w14:paraId="7849F0BB" w14:textId="40E05FBD" w:rsidR="0007212F" w:rsidRPr="001932D9" w:rsidRDefault="0007212F" w:rsidP="001932D9">
      <w:pPr>
        <w:pStyle w:val="FootnoteText"/>
        <w:tabs>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hyperlink r:id="rId2" w:tooltip="APPLICATION, fr Comm C96 EU Ombudsman decision 19.02.2015, frCommC96_EU_Ombudsman_decision_19.02.2015.pdf, 630 KB" w:history="1">
        <w:r w:rsidRPr="001932D9">
          <w:rPr>
            <w:rStyle w:val="Hyperlink"/>
            <w:rFonts w:asciiTheme="majorBidi" w:hAnsiTheme="majorBidi" w:cstheme="majorBidi"/>
            <w:szCs w:val="18"/>
            <w:lang w:val="en-GB"/>
          </w:rPr>
          <w:t>EU Ombudsman decision on complaint 181/2013/AN</w:t>
        </w:r>
      </w:hyperlink>
      <w:r w:rsidRPr="001932D9">
        <w:rPr>
          <w:rFonts w:asciiTheme="majorBidi" w:hAnsiTheme="majorBidi" w:cstheme="majorBidi"/>
          <w:szCs w:val="18"/>
          <w:lang w:val="en-GB"/>
        </w:rPr>
        <w:t xml:space="preserve">, provided by the communicant on </w:t>
      </w:r>
      <w:r w:rsidRPr="001932D9">
        <w:rPr>
          <w:rFonts w:asciiTheme="majorBidi" w:hAnsiTheme="majorBidi" w:cstheme="majorBidi"/>
          <w:szCs w:val="18"/>
          <w:lang w:val="en-GB"/>
        </w:rPr>
        <w:br/>
        <w:t>17 February 2015, p. 7.</w:t>
      </w:r>
    </w:p>
  </w:footnote>
  <w:footnote w:id="93">
    <w:p w14:paraId="47A5232E" w14:textId="7713306F" w:rsidR="0007212F" w:rsidRPr="001932D9" w:rsidRDefault="0007212F" w:rsidP="001932D9">
      <w:pPr>
        <w:pStyle w:val="FootnoteText"/>
        <w:tabs>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w:t>
      </w:r>
      <w:r w:rsidR="00C30BBC" w:rsidRPr="001932D9">
        <w:rPr>
          <w:rFonts w:asciiTheme="majorBidi" w:hAnsiTheme="majorBidi" w:cstheme="majorBidi"/>
          <w:szCs w:val="18"/>
          <w:lang w:val="en-GB"/>
        </w:rPr>
        <w:t xml:space="preserve">Comments of the Commission on a proposal for a friendly solution from the European Ombudsman in complaint 181/2013/(JF)(RT)AN, provided by the Party concerned on 20 May </w:t>
      </w:r>
      <w:proofErr w:type="gramStart"/>
      <w:r w:rsidR="00C30BBC" w:rsidRPr="001932D9">
        <w:rPr>
          <w:rFonts w:asciiTheme="majorBidi" w:hAnsiTheme="majorBidi" w:cstheme="majorBidi"/>
          <w:szCs w:val="18"/>
          <w:lang w:val="en-GB"/>
        </w:rPr>
        <w:t xml:space="preserve">2016,  </w:t>
      </w:r>
      <w:r w:rsidRPr="001932D9">
        <w:rPr>
          <w:rFonts w:asciiTheme="majorBidi" w:hAnsiTheme="majorBidi" w:cstheme="majorBidi"/>
          <w:szCs w:val="18"/>
          <w:lang w:val="en-GB"/>
        </w:rPr>
        <w:t>pp.</w:t>
      </w:r>
      <w:proofErr w:type="gramEnd"/>
      <w:r w:rsidRPr="001932D9">
        <w:rPr>
          <w:rFonts w:asciiTheme="majorBidi" w:hAnsiTheme="majorBidi" w:cstheme="majorBidi"/>
          <w:szCs w:val="18"/>
          <w:lang w:val="en-GB"/>
        </w:rPr>
        <w:t xml:space="preserve"> 1 and 5-6.</w:t>
      </w:r>
    </w:p>
  </w:footnote>
  <w:footnote w:id="94">
    <w:p w14:paraId="32FFC904" w14:textId="31DD1772" w:rsidR="0007212F" w:rsidRPr="001932D9" w:rsidRDefault="0007212F" w:rsidP="001932D9">
      <w:pPr>
        <w:pStyle w:val="FootnoteText"/>
        <w:tabs>
          <w:tab w:val="left" w:pos="1276"/>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See </w:t>
      </w:r>
      <w:r w:rsidRPr="001932D9">
        <w:t>ACCC/C/2013/93</w:t>
      </w:r>
      <w:r w:rsidRPr="001932D9">
        <w:rPr>
          <w:lang w:val="en-US"/>
        </w:rPr>
        <w:t xml:space="preserve"> (Norway), </w:t>
      </w:r>
      <w:r w:rsidRPr="001932D9">
        <w:rPr>
          <w:rFonts w:asciiTheme="majorBidi" w:hAnsiTheme="majorBidi" w:cstheme="majorBidi"/>
          <w:szCs w:val="18"/>
          <w:lang w:val="en-GB"/>
        </w:rPr>
        <w:t>ECE/</w:t>
      </w:r>
      <w:proofErr w:type="gramStart"/>
      <w:r w:rsidRPr="001932D9">
        <w:rPr>
          <w:rFonts w:asciiTheme="majorBidi" w:hAnsiTheme="majorBidi" w:cstheme="majorBidi"/>
          <w:szCs w:val="18"/>
          <w:lang w:val="en-GB"/>
        </w:rPr>
        <w:t>MP.PP</w:t>
      </w:r>
      <w:proofErr w:type="gramEnd"/>
      <w:r w:rsidRPr="001932D9">
        <w:rPr>
          <w:rFonts w:asciiTheme="majorBidi" w:hAnsiTheme="majorBidi" w:cstheme="majorBidi"/>
          <w:szCs w:val="18"/>
          <w:lang w:val="en-GB"/>
        </w:rPr>
        <w:t>/C.1/2017/16, para. 90.</w:t>
      </w:r>
    </w:p>
  </w:footnote>
  <w:footnote w:id="95">
    <w:p w14:paraId="796A906B" w14:textId="2C31E352" w:rsidR="0007212F" w:rsidRPr="001932D9" w:rsidRDefault="0007212F" w:rsidP="001932D9">
      <w:pPr>
        <w:pStyle w:val="FootnoteText"/>
        <w:tabs>
          <w:tab w:val="left" w:pos="8505"/>
        </w:tabs>
        <w:rPr>
          <w:lang w:val="en-US"/>
        </w:rPr>
      </w:pPr>
      <w:r w:rsidRPr="001932D9">
        <w:tab/>
      </w:r>
      <w:r w:rsidRPr="001932D9">
        <w:tab/>
      </w:r>
      <w:r w:rsidRPr="001932D9">
        <w:rPr>
          <w:rStyle w:val="FootnoteReference"/>
        </w:rPr>
        <w:footnoteRef/>
      </w:r>
      <w:r w:rsidRPr="001932D9">
        <w:t xml:space="preserve"> </w:t>
      </w:r>
      <w:r w:rsidRPr="001932D9">
        <w:rPr>
          <w:lang w:val="en-US"/>
        </w:rPr>
        <w:t>Communication, p. 12.</w:t>
      </w:r>
    </w:p>
  </w:footnote>
  <w:footnote w:id="96">
    <w:p w14:paraId="49CD693F" w14:textId="5A594BAE"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See ACCC/C/2012/70 (Czech Republic), ECE/</w:t>
      </w:r>
      <w:proofErr w:type="gramStart"/>
      <w:r w:rsidRPr="001932D9">
        <w:rPr>
          <w:rFonts w:asciiTheme="majorBidi" w:hAnsiTheme="majorBidi"/>
          <w:lang w:val="en-GB"/>
        </w:rPr>
        <w:t>MP.PP</w:t>
      </w:r>
      <w:proofErr w:type="gramEnd"/>
      <w:r w:rsidRPr="001932D9">
        <w:rPr>
          <w:rFonts w:asciiTheme="majorBidi" w:hAnsiTheme="majorBidi"/>
          <w:lang w:val="en-GB"/>
        </w:rPr>
        <w:t>/C.1/2014/9, para. 59.</w:t>
      </w:r>
    </w:p>
  </w:footnote>
  <w:footnote w:id="97">
    <w:p w14:paraId="046D3DC8" w14:textId="7C00FED2"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Maastricht Recommendations, para. 164.</w:t>
      </w:r>
    </w:p>
  </w:footnote>
  <w:footnote w:id="98">
    <w:p w14:paraId="2F8E9551" w14:textId="304D6389"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Ibid. </w:t>
      </w:r>
    </w:p>
  </w:footnote>
  <w:footnote w:id="99">
    <w:p w14:paraId="69E45F77" w14:textId="23F05517"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Ibid., para 163.</w:t>
      </w:r>
    </w:p>
  </w:footnote>
  <w:footnote w:id="100">
    <w:p w14:paraId="228B538F" w14:textId="7D298511"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ACCC/C/2012/71 (Czechia), ECE/</w:t>
      </w:r>
      <w:proofErr w:type="gramStart"/>
      <w:r w:rsidRPr="001932D9">
        <w:rPr>
          <w:rFonts w:asciiTheme="majorBidi" w:hAnsiTheme="majorBidi"/>
          <w:lang w:val="en-GB"/>
        </w:rPr>
        <w:t>MP.PP</w:t>
      </w:r>
      <w:proofErr w:type="gramEnd"/>
      <w:r w:rsidRPr="001932D9">
        <w:rPr>
          <w:rFonts w:asciiTheme="majorBidi" w:hAnsiTheme="majorBidi"/>
          <w:lang w:val="en-GB"/>
        </w:rPr>
        <w:t>/C.1/2017/3, para. 76.</w:t>
      </w:r>
    </w:p>
  </w:footnote>
  <w:footnote w:id="101">
    <w:p w14:paraId="0B6232D9" w14:textId="1C8C7690" w:rsidR="0007212F" w:rsidRPr="001932D9" w:rsidRDefault="0007212F" w:rsidP="001932D9">
      <w:pPr>
        <w:pStyle w:val="FootnoteText"/>
        <w:tabs>
          <w:tab w:val="left" w:pos="8505"/>
        </w:tabs>
        <w:rPr>
          <w:lang w:val="en-GB"/>
        </w:rPr>
      </w:pPr>
      <w:r w:rsidRPr="001932D9">
        <w:tab/>
      </w:r>
      <w:r w:rsidRPr="001932D9">
        <w:tab/>
      </w:r>
      <w:r w:rsidRPr="001932D9">
        <w:rPr>
          <w:rStyle w:val="FootnoteReference"/>
        </w:rPr>
        <w:footnoteRef/>
      </w:r>
      <w:r w:rsidRPr="001932D9">
        <w:t xml:space="preserve"> </w:t>
      </w:r>
      <w:r w:rsidRPr="001932D9">
        <w:rPr>
          <w:lang w:val="en-GB"/>
        </w:rPr>
        <w:t>M</w:t>
      </w:r>
      <w:r w:rsidRPr="001932D9">
        <w:rPr>
          <w:rFonts w:asciiTheme="majorBidi" w:hAnsiTheme="majorBidi"/>
          <w:lang w:val="en-GB"/>
        </w:rPr>
        <w:t>aastricht Recommendations, para. 80.</w:t>
      </w:r>
    </w:p>
  </w:footnote>
  <w:footnote w:id="102">
    <w:p w14:paraId="5E2DF095" w14:textId="1BE01689" w:rsidR="0007212F" w:rsidRPr="001932D9" w:rsidRDefault="0007212F" w:rsidP="001932D9">
      <w:pPr>
        <w:pStyle w:val="FootnoteText"/>
        <w:tabs>
          <w:tab w:val="left" w:pos="8505"/>
        </w:tabs>
        <w:rPr>
          <w:lang w:val="en-GB"/>
        </w:rPr>
      </w:pPr>
      <w:r w:rsidRPr="001932D9">
        <w:tab/>
      </w:r>
      <w:r w:rsidRPr="001932D9">
        <w:tab/>
      </w:r>
      <w:r w:rsidRPr="001932D9">
        <w:rPr>
          <w:rStyle w:val="FootnoteReference"/>
        </w:rPr>
        <w:footnoteRef/>
      </w:r>
      <w:r w:rsidRPr="001932D9">
        <w:t xml:space="preserve"> ECE/MP.PP/C.1/2019/6</w:t>
      </w:r>
      <w:r w:rsidRPr="001932D9">
        <w:rPr>
          <w:lang w:val="en-GB"/>
        </w:rPr>
        <w:t>, para. 94.</w:t>
      </w:r>
    </w:p>
  </w:footnote>
  <w:footnote w:id="103">
    <w:p w14:paraId="4324BEE5" w14:textId="2EE51595"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Communication, p. 6, and email from communicant</w:t>
      </w:r>
      <w:r w:rsidR="00004866" w:rsidRPr="001932D9">
        <w:rPr>
          <w:rFonts w:asciiTheme="majorBidi" w:hAnsiTheme="majorBidi" w:cstheme="majorBidi"/>
          <w:szCs w:val="18"/>
          <w:lang w:val="en-GB"/>
        </w:rPr>
        <w:t>,</w:t>
      </w:r>
      <w:r w:rsidRPr="001932D9">
        <w:rPr>
          <w:rFonts w:asciiTheme="majorBidi" w:hAnsiTheme="majorBidi" w:cstheme="majorBidi"/>
          <w:szCs w:val="18"/>
          <w:lang w:val="en-GB"/>
        </w:rPr>
        <w:t xml:space="preserve"> 9 September 2014, p. 17.</w:t>
      </w:r>
    </w:p>
  </w:footnote>
  <w:footnote w:id="104">
    <w:p w14:paraId="73BC37B2" w14:textId="2B04C112" w:rsidR="0007212F" w:rsidRPr="001932D9" w:rsidRDefault="0007212F" w:rsidP="001932D9">
      <w:pPr>
        <w:pStyle w:val="FootnoteText"/>
        <w:tabs>
          <w:tab w:val="clear" w:pos="1021"/>
          <w:tab w:val="left" w:pos="1276"/>
          <w:tab w:val="left" w:pos="2268"/>
          <w:tab w:val="left" w:pos="8505"/>
        </w:tabs>
        <w:ind w:right="0" w:firstLine="0"/>
        <w:rPr>
          <w:rFonts w:asciiTheme="majorBidi" w:hAnsiTheme="majorBidi" w:cstheme="majorBidi"/>
          <w:szCs w:val="18"/>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Email from communicant, 9 September 2014, p. 17.</w:t>
      </w:r>
    </w:p>
  </w:footnote>
  <w:footnote w:id="105">
    <w:p w14:paraId="5728E143" w14:textId="0C4693B2" w:rsidR="0007212F" w:rsidRPr="001932D9" w:rsidRDefault="0007212F" w:rsidP="001932D9">
      <w:pPr>
        <w:pStyle w:val="FootnoteText"/>
        <w:tabs>
          <w:tab w:val="left" w:pos="8505"/>
        </w:tabs>
        <w:ind w:firstLine="0"/>
        <w:rPr>
          <w:lang w:val="en-GB"/>
        </w:rPr>
      </w:pPr>
      <w:r w:rsidRPr="001932D9">
        <w:rPr>
          <w:rStyle w:val="FootnoteReference"/>
        </w:rPr>
        <w:footnoteRef/>
      </w:r>
      <w:r w:rsidRPr="001932D9">
        <w:rPr>
          <w:lang w:val="es-ES"/>
        </w:rPr>
        <w:t xml:space="preserve"> </w:t>
      </w:r>
      <w:r w:rsidRPr="001932D9">
        <w:rPr>
          <w:rFonts w:asciiTheme="majorBidi" w:hAnsiTheme="majorBidi" w:cstheme="majorBidi"/>
          <w:szCs w:val="18"/>
          <w:lang w:val="es-ES_tradnl"/>
        </w:rPr>
        <w:t>ECE/</w:t>
      </w:r>
      <w:proofErr w:type="gramStart"/>
      <w:r w:rsidRPr="001932D9">
        <w:rPr>
          <w:rFonts w:asciiTheme="majorBidi" w:hAnsiTheme="majorBidi" w:cstheme="majorBidi"/>
          <w:szCs w:val="18"/>
          <w:lang w:val="es-ES_tradnl"/>
        </w:rPr>
        <w:t>MP.PP</w:t>
      </w:r>
      <w:proofErr w:type="gramEnd"/>
      <w:r w:rsidRPr="001932D9">
        <w:rPr>
          <w:rFonts w:asciiTheme="majorBidi" w:hAnsiTheme="majorBidi" w:cstheme="majorBidi"/>
          <w:szCs w:val="18"/>
          <w:lang w:val="es-ES_tradnl"/>
        </w:rPr>
        <w:t xml:space="preserve">/C.1/2014/9, para. </w:t>
      </w:r>
      <w:r w:rsidRPr="001932D9">
        <w:rPr>
          <w:rFonts w:asciiTheme="majorBidi" w:hAnsiTheme="majorBidi"/>
          <w:lang w:val="en-GB"/>
        </w:rPr>
        <w:t>62.</w:t>
      </w:r>
    </w:p>
  </w:footnote>
  <w:footnote w:id="106">
    <w:p w14:paraId="45999A91" w14:textId="7E39F5EE" w:rsidR="0007212F" w:rsidRPr="001932D9" w:rsidRDefault="0007212F" w:rsidP="001932D9">
      <w:pPr>
        <w:pStyle w:val="FootnoteText"/>
        <w:tabs>
          <w:tab w:val="left" w:pos="1276"/>
          <w:tab w:val="left" w:pos="8505"/>
        </w:tabs>
        <w:ind w:firstLine="0"/>
        <w:rPr>
          <w:rFonts w:asciiTheme="majorBidi" w:hAnsiTheme="majorBidi"/>
          <w:lang w:val="en-GB"/>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n-GB"/>
        </w:rPr>
        <w:t xml:space="preserve"> Ibid</w:t>
      </w:r>
      <w:r w:rsidRPr="001932D9">
        <w:rPr>
          <w:rFonts w:asciiTheme="majorBidi" w:hAnsiTheme="majorBidi"/>
          <w:lang w:val="en-GB"/>
        </w:rPr>
        <w:t>.</w:t>
      </w:r>
    </w:p>
  </w:footnote>
  <w:footnote w:id="107">
    <w:p w14:paraId="750F7792" w14:textId="07904C5B" w:rsidR="0007212F" w:rsidRPr="001932D9" w:rsidRDefault="0007212F" w:rsidP="001932D9">
      <w:pPr>
        <w:pStyle w:val="FootnoteText"/>
        <w:tabs>
          <w:tab w:val="left" w:pos="8505"/>
        </w:tabs>
        <w:ind w:firstLine="0"/>
        <w:rPr>
          <w:rFonts w:asciiTheme="majorBidi" w:hAnsiTheme="majorBidi"/>
          <w:lang w:val="en-GB"/>
        </w:rPr>
      </w:pPr>
      <w:r w:rsidRPr="001932D9">
        <w:rPr>
          <w:rStyle w:val="FootnoteReference"/>
          <w:rFonts w:asciiTheme="majorBidi" w:hAnsiTheme="majorBidi"/>
          <w:lang w:val="en-GB"/>
        </w:rPr>
        <w:footnoteRef/>
      </w:r>
      <w:r w:rsidRPr="001932D9">
        <w:rPr>
          <w:rFonts w:asciiTheme="majorBidi" w:hAnsiTheme="majorBidi"/>
          <w:lang w:val="en-GB"/>
        </w:rPr>
        <w:t xml:space="preserve"> </w:t>
      </w:r>
      <w:r w:rsidRPr="001932D9">
        <w:rPr>
          <w:rFonts w:asciiTheme="majorBidi" w:hAnsiTheme="majorBidi" w:cstheme="majorBidi"/>
          <w:szCs w:val="18"/>
          <w:lang w:val="en-GB"/>
        </w:rPr>
        <w:t>Party’s response to communication, pp. 12-13, footnote 25.</w:t>
      </w:r>
    </w:p>
  </w:footnote>
  <w:footnote w:id="108">
    <w:p w14:paraId="075A0DDA" w14:textId="77777777" w:rsidR="0007212F" w:rsidRPr="001932D9" w:rsidRDefault="0007212F" w:rsidP="001932D9">
      <w:pPr>
        <w:pStyle w:val="FootnoteText"/>
        <w:tabs>
          <w:tab w:val="left" w:pos="8505"/>
        </w:tabs>
        <w:ind w:firstLine="0"/>
        <w:rPr>
          <w:rFonts w:asciiTheme="majorBidi" w:hAnsiTheme="majorBidi" w:cstheme="majorBidi"/>
          <w:szCs w:val="18"/>
          <w:lang w:val="es-ES_tradnl"/>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s-ES"/>
        </w:rPr>
        <w:t xml:space="preserve"> ECE/</w:t>
      </w:r>
      <w:proofErr w:type="gramStart"/>
      <w:r w:rsidRPr="001932D9">
        <w:rPr>
          <w:rFonts w:asciiTheme="majorBidi" w:hAnsiTheme="majorBidi" w:cstheme="majorBidi"/>
          <w:szCs w:val="18"/>
          <w:lang w:val="es-ES"/>
        </w:rPr>
        <w:t>MP.PP</w:t>
      </w:r>
      <w:proofErr w:type="gramEnd"/>
      <w:r w:rsidRPr="001932D9">
        <w:rPr>
          <w:rFonts w:asciiTheme="majorBidi" w:hAnsiTheme="majorBidi" w:cstheme="majorBidi"/>
          <w:szCs w:val="18"/>
          <w:lang w:val="es-ES"/>
        </w:rPr>
        <w:t xml:space="preserve">/C.1/2017/3, para. </w:t>
      </w:r>
      <w:r w:rsidRPr="001932D9">
        <w:rPr>
          <w:rFonts w:asciiTheme="majorBidi" w:hAnsiTheme="majorBidi" w:cstheme="majorBidi"/>
          <w:szCs w:val="18"/>
          <w:lang w:val="es-ES_tradnl"/>
        </w:rPr>
        <w:t>107.</w:t>
      </w:r>
    </w:p>
  </w:footnote>
  <w:footnote w:id="109">
    <w:p w14:paraId="15BA6D92" w14:textId="77777777" w:rsidR="0007212F" w:rsidRPr="001932D9" w:rsidRDefault="0007212F" w:rsidP="001932D9">
      <w:pPr>
        <w:pStyle w:val="FootnoteText"/>
        <w:tabs>
          <w:tab w:val="left" w:pos="1276"/>
          <w:tab w:val="left" w:pos="8505"/>
        </w:tabs>
        <w:ind w:firstLine="0"/>
        <w:rPr>
          <w:rFonts w:asciiTheme="majorBidi" w:hAnsiTheme="majorBidi" w:cstheme="majorBidi"/>
          <w:szCs w:val="18"/>
          <w:lang w:val="es-ES_tradnl"/>
        </w:rPr>
      </w:pPr>
      <w:r w:rsidRPr="001932D9">
        <w:rPr>
          <w:rStyle w:val="FootnoteReference"/>
          <w:rFonts w:asciiTheme="majorBidi" w:hAnsiTheme="majorBidi" w:cstheme="majorBidi"/>
          <w:szCs w:val="18"/>
          <w:lang w:val="en-GB"/>
        </w:rPr>
        <w:footnoteRef/>
      </w:r>
      <w:r w:rsidRPr="001932D9">
        <w:rPr>
          <w:rFonts w:asciiTheme="majorBidi" w:hAnsiTheme="majorBidi" w:cstheme="majorBidi"/>
          <w:szCs w:val="18"/>
          <w:lang w:val="es-ES_tradnl"/>
        </w:rPr>
        <w:t xml:space="preserve"> ECE/</w:t>
      </w:r>
      <w:proofErr w:type="gramStart"/>
      <w:r w:rsidRPr="001932D9">
        <w:rPr>
          <w:rFonts w:asciiTheme="majorBidi" w:hAnsiTheme="majorBidi" w:cstheme="majorBidi"/>
          <w:szCs w:val="18"/>
          <w:lang w:val="es-ES_tradnl"/>
        </w:rPr>
        <w:t>MP.PP</w:t>
      </w:r>
      <w:proofErr w:type="gramEnd"/>
      <w:r w:rsidRPr="001932D9">
        <w:rPr>
          <w:rFonts w:asciiTheme="majorBidi" w:hAnsiTheme="majorBidi" w:cstheme="majorBidi"/>
          <w:szCs w:val="18"/>
          <w:lang w:val="es-ES_tradnl"/>
        </w:rPr>
        <w:t>/C.1/2014/12, para. 105.</w:t>
      </w:r>
    </w:p>
  </w:footnote>
  <w:footnote w:id="110">
    <w:p w14:paraId="2D4549E8" w14:textId="77777777" w:rsidR="0007212F" w:rsidRPr="0036735F" w:rsidRDefault="0007212F" w:rsidP="001932D9">
      <w:pPr>
        <w:pStyle w:val="FootnoteText"/>
        <w:tabs>
          <w:tab w:val="left" w:pos="1276"/>
          <w:tab w:val="left" w:pos="8505"/>
        </w:tabs>
        <w:ind w:firstLine="0"/>
        <w:rPr>
          <w:rFonts w:asciiTheme="majorBidi" w:hAnsiTheme="majorBidi"/>
          <w:lang w:val="es-ES_tradnl"/>
        </w:rPr>
      </w:pPr>
      <w:r w:rsidRPr="001932D9">
        <w:rPr>
          <w:rStyle w:val="FootnoteReference"/>
          <w:rFonts w:asciiTheme="majorBidi" w:hAnsiTheme="majorBidi"/>
          <w:lang w:val="en-GB"/>
        </w:rPr>
        <w:footnoteRef/>
      </w:r>
      <w:r w:rsidRPr="001932D9">
        <w:rPr>
          <w:rFonts w:asciiTheme="majorBidi" w:hAnsiTheme="majorBidi"/>
          <w:lang w:val="es-ES_tradnl"/>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4AAA" w14:textId="77777777" w:rsidR="0007212F" w:rsidRPr="00F56A6B" w:rsidRDefault="0007212F" w:rsidP="003E5A96">
    <w:pPr>
      <w:pStyle w:val="Header"/>
      <w:jc w:val="right"/>
    </w:pPr>
    <w:r>
      <w:rPr>
        <w:b w:val="0"/>
      </w:rPr>
      <w:t>ACCC/C/2013/96 (European Union)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EF96" w14:textId="77777777" w:rsidR="0007212F" w:rsidRPr="00F56A6B" w:rsidRDefault="0007212F" w:rsidP="006970FF">
    <w:pPr>
      <w:pStyle w:val="Header"/>
      <w:jc w:val="right"/>
    </w:pPr>
    <w:r>
      <w:rPr>
        <w:b w:val="0"/>
      </w:rPr>
      <w:t>ACCC/C/2013/96 (European Union)</w:t>
    </w:r>
  </w:p>
  <w:p w14:paraId="05143306" w14:textId="61EFC598" w:rsidR="0007212F" w:rsidRPr="00D149B7" w:rsidRDefault="0007212F" w:rsidP="00BD54E1">
    <w:pPr>
      <w:pStyle w:val="Header"/>
      <w:jc w:val="right"/>
      <w:rPr>
        <w:b w:val="0"/>
        <w:lang w:val="en-GB"/>
      </w:rPr>
    </w:pPr>
    <w:r>
      <w:rPr>
        <w:b w:val="0"/>
      </w:rPr>
      <w:t xml:space="preserve">Draft findings </w:t>
    </w:r>
    <w:r>
      <w:rPr>
        <w:b w:val="0"/>
        <w:lang w:val="en-GB"/>
      </w:rPr>
      <w:t xml:space="preserve">for </w:t>
    </w:r>
    <w:r w:rsidR="008C483B">
      <w:rPr>
        <w:b w:val="0"/>
        <w:lang w:val="en-GB"/>
      </w:rPr>
      <w:t>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57EC" w14:textId="77777777" w:rsidR="0007212F" w:rsidRDefault="0007212F" w:rsidP="00E32978">
    <w:pPr>
      <w:pStyle w:val="Header"/>
      <w:jc w:val="right"/>
      <w:rPr>
        <w:b w:val="0"/>
      </w:rPr>
    </w:pPr>
    <w:r>
      <w:rPr>
        <w:b w:val="0"/>
      </w:rPr>
      <w:t>ACCC/C/2013/96 (European Union)</w:t>
    </w:r>
  </w:p>
  <w:p w14:paraId="086BB9A0" w14:textId="77777777" w:rsidR="0007212F" w:rsidRPr="00E32978" w:rsidRDefault="0007212F" w:rsidP="00E32978">
    <w:pPr>
      <w:pStyle w:val="Header"/>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upperLetter"/>
      <w:lvlText w:val="%1."/>
      <w:lvlJc w:val="left"/>
      <w:pPr>
        <w:tabs>
          <w:tab w:val="num" w:pos="0"/>
        </w:tabs>
        <w:ind w:left="1128" w:hanging="504"/>
      </w:pPr>
      <w:rPr>
        <w:rFonts w:hint="default"/>
      </w:rPr>
    </w:lvl>
  </w:abstractNum>
  <w:abstractNum w:abstractNumId="1" w15:restartNumberingAfterBreak="0">
    <w:nsid w:val="00000005"/>
    <w:multiLevelType w:val="singleLevel"/>
    <w:tmpl w:val="00000005"/>
    <w:name w:val="WW8Num5"/>
    <w:lvl w:ilvl="0">
      <w:start w:val="1"/>
      <w:numFmt w:val="upperRoman"/>
      <w:lvlText w:val="%1."/>
      <w:lvlJc w:val="left"/>
      <w:pPr>
        <w:tabs>
          <w:tab w:val="num" w:pos="0"/>
        </w:tabs>
        <w:ind w:left="1395" w:hanging="720"/>
      </w:pPr>
      <w:rPr>
        <w:rFonts w:hint="default"/>
      </w:rPr>
    </w:lvl>
  </w:abstractNum>
  <w:abstractNum w:abstractNumId="2" w15:restartNumberingAfterBreak="0">
    <w:nsid w:val="059A16E4"/>
    <w:multiLevelType w:val="hybridMultilevel"/>
    <w:tmpl w:val="42C4E8EE"/>
    <w:lvl w:ilvl="0" w:tplc="BE5A2A46">
      <w:start w:val="20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B461F63"/>
    <w:multiLevelType w:val="hybridMultilevel"/>
    <w:tmpl w:val="A4B093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540AF"/>
    <w:multiLevelType w:val="hybridMultilevel"/>
    <w:tmpl w:val="30F8E9DA"/>
    <w:lvl w:ilvl="0" w:tplc="667624B8">
      <w:start w:val="3"/>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9447FC"/>
    <w:multiLevelType w:val="hybridMultilevel"/>
    <w:tmpl w:val="A4B093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285B"/>
    <w:multiLevelType w:val="hybridMultilevel"/>
    <w:tmpl w:val="0E8682DA"/>
    <w:lvl w:ilvl="0" w:tplc="6A744358">
      <w:start w:val="1"/>
      <w:numFmt w:val="lowerLetter"/>
      <w:lvlText w:val="%1)"/>
      <w:lvlJc w:val="left"/>
      <w:pPr>
        <w:ind w:left="2106" w:hanging="360"/>
      </w:pPr>
      <w:rPr>
        <w:rFonts w:hint="default"/>
      </w:rPr>
    </w:lvl>
    <w:lvl w:ilvl="1" w:tplc="04150019" w:tentative="1">
      <w:start w:val="1"/>
      <w:numFmt w:val="lowerLetter"/>
      <w:lvlText w:val="%2."/>
      <w:lvlJc w:val="left"/>
      <w:pPr>
        <w:ind w:left="2826" w:hanging="360"/>
      </w:pPr>
    </w:lvl>
    <w:lvl w:ilvl="2" w:tplc="0415001B" w:tentative="1">
      <w:start w:val="1"/>
      <w:numFmt w:val="lowerRoman"/>
      <w:lvlText w:val="%3."/>
      <w:lvlJc w:val="right"/>
      <w:pPr>
        <w:ind w:left="3546" w:hanging="180"/>
      </w:pPr>
    </w:lvl>
    <w:lvl w:ilvl="3" w:tplc="0415000F" w:tentative="1">
      <w:start w:val="1"/>
      <w:numFmt w:val="decimal"/>
      <w:lvlText w:val="%4."/>
      <w:lvlJc w:val="left"/>
      <w:pPr>
        <w:ind w:left="4266" w:hanging="360"/>
      </w:pPr>
    </w:lvl>
    <w:lvl w:ilvl="4" w:tplc="04150019" w:tentative="1">
      <w:start w:val="1"/>
      <w:numFmt w:val="lowerLetter"/>
      <w:lvlText w:val="%5."/>
      <w:lvlJc w:val="left"/>
      <w:pPr>
        <w:ind w:left="4986" w:hanging="360"/>
      </w:pPr>
    </w:lvl>
    <w:lvl w:ilvl="5" w:tplc="0415001B" w:tentative="1">
      <w:start w:val="1"/>
      <w:numFmt w:val="lowerRoman"/>
      <w:lvlText w:val="%6."/>
      <w:lvlJc w:val="right"/>
      <w:pPr>
        <w:ind w:left="5706" w:hanging="180"/>
      </w:pPr>
    </w:lvl>
    <w:lvl w:ilvl="6" w:tplc="0415000F" w:tentative="1">
      <w:start w:val="1"/>
      <w:numFmt w:val="decimal"/>
      <w:lvlText w:val="%7."/>
      <w:lvlJc w:val="left"/>
      <w:pPr>
        <w:ind w:left="6426" w:hanging="360"/>
      </w:pPr>
    </w:lvl>
    <w:lvl w:ilvl="7" w:tplc="04150019" w:tentative="1">
      <w:start w:val="1"/>
      <w:numFmt w:val="lowerLetter"/>
      <w:lvlText w:val="%8."/>
      <w:lvlJc w:val="left"/>
      <w:pPr>
        <w:ind w:left="7146" w:hanging="360"/>
      </w:pPr>
    </w:lvl>
    <w:lvl w:ilvl="8" w:tplc="0415001B" w:tentative="1">
      <w:start w:val="1"/>
      <w:numFmt w:val="lowerRoman"/>
      <w:lvlText w:val="%9."/>
      <w:lvlJc w:val="right"/>
      <w:pPr>
        <w:ind w:left="7866" w:hanging="180"/>
      </w:pPr>
    </w:lvl>
  </w:abstractNum>
  <w:abstractNum w:abstractNumId="7" w15:restartNumberingAfterBreak="0">
    <w:nsid w:val="1ECD46F9"/>
    <w:multiLevelType w:val="hybridMultilevel"/>
    <w:tmpl w:val="5884292E"/>
    <w:lvl w:ilvl="0" w:tplc="784EA766">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43B63"/>
    <w:multiLevelType w:val="hybridMultilevel"/>
    <w:tmpl w:val="96D29B18"/>
    <w:lvl w:ilvl="0" w:tplc="BB1E20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E54762F"/>
    <w:multiLevelType w:val="hybridMultilevel"/>
    <w:tmpl w:val="ED9ADCA0"/>
    <w:lvl w:ilvl="0" w:tplc="11BCA316">
      <w:start w:val="1"/>
      <w:numFmt w:val="bullet"/>
      <w:lvlText w:val=""/>
      <w:lvlJc w:val="left"/>
      <w:pPr>
        <w:ind w:left="1635" w:hanging="360"/>
      </w:pPr>
      <w:rPr>
        <w:rFonts w:ascii="Symbol" w:hAnsi="Symbol" w:hint="default"/>
        <w:sz w:val="20"/>
        <w:szCs w:val="20"/>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0" w15:restartNumberingAfterBreak="0">
    <w:nsid w:val="2E5E081D"/>
    <w:multiLevelType w:val="hybridMultilevel"/>
    <w:tmpl w:val="C0C4C1BA"/>
    <w:lvl w:ilvl="0" w:tplc="5B36AACC">
      <w:start w:val="1"/>
      <w:numFmt w:val="lowerLetter"/>
      <w:lvlText w:val="%1)"/>
      <w:lvlJc w:val="left"/>
      <w:pPr>
        <w:ind w:left="2106" w:hanging="360"/>
      </w:pPr>
      <w:rPr>
        <w:rFonts w:hint="default"/>
      </w:rPr>
    </w:lvl>
    <w:lvl w:ilvl="1" w:tplc="04150019" w:tentative="1">
      <w:start w:val="1"/>
      <w:numFmt w:val="lowerLetter"/>
      <w:lvlText w:val="%2."/>
      <w:lvlJc w:val="left"/>
      <w:pPr>
        <w:ind w:left="2826" w:hanging="360"/>
      </w:pPr>
    </w:lvl>
    <w:lvl w:ilvl="2" w:tplc="0415001B" w:tentative="1">
      <w:start w:val="1"/>
      <w:numFmt w:val="lowerRoman"/>
      <w:lvlText w:val="%3."/>
      <w:lvlJc w:val="right"/>
      <w:pPr>
        <w:ind w:left="3546" w:hanging="180"/>
      </w:pPr>
    </w:lvl>
    <w:lvl w:ilvl="3" w:tplc="0415000F" w:tentative="1">
      <w:start w:val="1"/>
      <w:numFmt w:val="decimal"/>
      <w:lvlText w:val="%4."/>
      <w:lvlJc w:val="left"/>
      <w:pPr>
        <w:ind w:left="4266" w:hanging="360"/>
      </w:pPr>
    </w:lvl>
    <w:lvl w:ilvl="4" w:tplc="04150019" w:tentative="1">
      <w:start w:val="1"/>
      <w:numFmt w:val="lowerLetter"/>
      <w:lvlText w:val="%5."/>
      <w:lvlJc w:val="left"/>
      <w:pPr>
        <w:ind w:left="4986" w:hanging="360"/>
      </w:pPr>
    </w:lvl>
    <w:lvl w:ilvl="5" w:tplc="0415001B" w:tentative="1">
      <w:start w:val="1"/>
      <w:numFmt w:val="lowerRoman"/>
      <w:lvlText w:val="%6."/>
      <w:lvlJc w:val="right"/>
      <w:pPr>
        <w:ind w:left="5706" w:hanging="180"/>
      </w:pPr>
    </w:lvl>
    <w:lvl w:ilvl="6" w:tplc="0415000F" w:tentative="1">
      <w:start w:val="1"/>
      <w:numFmt w:val="decimal"/>
      <w:lvlText w:val="%7."/>
      <w:lvlJc w:val="left"/>
      <w:pPr>
        <w:ind w:left="6426" w:hanging="360"/>
      </w:pPr>
    </w:lvl>
    <w:lvl w:ilvl="7" w:tplc="04150019" w:tentative="1">
      <w:start w:val="1"/>
      <w:numFmt w:val="lowerLetter"/>
      <w:lvlText w:val="%8."/>
      <w:lvlJc w:val="left"/>
      <w:pPr>
        <w:ind w:left="7146" w:hanging="360"/>
      </w:pPr>
    </w:lvl>
    <w:lvl w:ilvl="8" w:tplc="0415001B" w:tentative="1">
      <w:start w:val="1"/>
      <w:numFmt w:val="lowerRoman"/>
      <w:lvlText w:val="%9."/>
      <w:lvlJc w:val="right"/>
      <w:pPr>
        <w:ind w:left="7866" w:hanging="180"/>
      </w:pPr>
    </w:lvl>
  </w:abstractNum>
  <w:abstractNum w:abstractNumId="11" w15:restartNumberingAfterBreak="0">
    <w:nsid w:val="389148E5"/>
    <w:multiLevelType w:val="hybridMultilevel"/>
    <w:tmpl w:val="15F24E7E"/>
    <w:lvl w:ilvl="0" w:tplc="05F4DC90">
      <w:start w:val="3"/>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3E0C189B"/>
    <w:multiLevelType w:val="hybridMultilevel"/>
    <w:tmpl w:val="90E63D50"/>
    <w:lvl w:ilvl="0" w:tplc="AA1093A8">
      <w:start w:val="1"/>
      <w:numFmt w:val="lowerLetter"/>
      <w:lvlText w:val="(%1)"/>
      <w:lvlJc w:val="left"/>
      <w:pPr>
        <w:ind w:left="153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B7F87"/>
    <w:multiLevelType w:val="multilevel"/>
    <w:tmpl w:val="44BE9EB0"/>
    <w:lvl w:ilvl="0">
      <w:start w:val="1"/>
      <w:numFmt w:val="none"/>
      <w:pStyle w:val="Heading1"/>
      <w:lvlText w:val="%1."/>
      <w:lvlJc w:val="left"/>
      <w:pPr>
        <w:ind w:left="0" w:firstLine="0"/>
      </w:pPr>
      <w:rPr>
        <w:rFonts w:hint="default"/>
      </w:rPr>
    </w:lvl>
    <w:lvl w:ilvl="1">
      <w:start w:val="1"/>
      <w:numFmt w:val="upperRoman"/>
      <w:pStyle w:val="Heading2"/>
      <w:lvlText w:val="%2."/>
      <w:lvlJc w:val="left"/>
      <w:pPr>
        <w:ind w:left="1134" w:hanging="454"/>
      </w:pPr>
      <w:rPr>
        <w:rFonts w:hint="default"/>
      </w:rPr>
    </w:lvl>
    <w:lvl w:ilvl="2">
      <w:start w:val="1"/>
      <w:numFmt w:val="upperLetter"/>
      <w:pStyle w:val="Heading3"/>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5A595C9A"/>
    <w:multiLevelType w:val="hybridMultilevel"/>
    <w:tmpl w:val="5A54AA68"/>
    <w:lvl w:ilvl="0" w:tplc="34F89090">
      <w:start w:val="1"/>
      <w:numFmt w:val="upperLetter"/>
      <w:lvlText w:val="%1."/>
      <w:lvlJc w:val="left"/>
      <w:pPr>
        <w:tabs>
          <w:tab w:val="num" w:pos="1200"/>
        </w:tabs>
        <w:ind w:left="1200" w:hanging="525"/>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5E732D6A"/>
    <w:multiLevelType w:val="hybridMultilevel"/>
    <w:tmpl w:val="ADFE775A"/>
    <w:lvl w:ilvl="0" w:tplc="4A8E885E">
      <w:start w:val="1"/>
      <w:numFmt w:val="decimal"/>
      <w:lvlText w:val="%1."/>
      <w:lvlJc w:val="left"/>
      <w:pPr>
        <w:tabs>
          <w:tab w:val="num" w:pos="1711"/>
        </w:tabs>
        <w:ind w:left="1711" w:hanging="576"/>
      </w:pPr>
      <w:rPr>
        <w:rFonts w:hint="default"/>
        <w:b w:val="0"/>
        <w:i w:val="0"/>
        <w:vertAlign w:val="baseline"/>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63260652">
      <w:start w:val="1"/>
      <w:numFmt w:val="lowerRoman"/>
      <w:lvlText w:val="%4)"/>
      <w:lvlJc w:val="left"/>
      <w:pPr>
        <w:ind w:left="4014" w:hanging="720"/>
      </w:pPr>
      <w:rPr>
        <w:rFonts w:hint="default"/>
      </w:r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65007CEC"/>
    <w:multiLevelType w:val="hybridMultilevel"/>
    <w:tmpl w:val="60E6F42E"/>
    <w:lvl w:ilvl="0" w:tplc="A1061476">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64C00"/>
    <w:multiLevelType w:val="hybridMultilevel"/>
    <w:tmpl w:val="A482770A"/>
    <w:lvl w:ilvl="0" w:tplc="9F32C2AA">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F711A34"/>
    <w:multiLevelType w:val="hybridMultilevel"/>
    <w:tmpl w:val="05B66CF2"/>
    <w:lvl w:ilvl="0" w:tplc="11BCA316">
      <w:start w:val="1"/>
      <w:numFmt w:val="bullet"/>
      <w:lvlText w:val=""/>
      <w:lvlJc w:val="left"/>
      <w:pPr>
        <w:ind w:left="1854" w:hanging="360"/>
      </w:pPr>
      <w:rPr>
        <w:rFonts w:ascii="Symbol" w:hAnsi="Symbol" w:hint="default"/>
        <w:sz w:val="20"/>
        <w:szCs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5"/>
  </w:num>
  <w:num w:numId="4">
    <w:abstractNumId w:val="14"/>
  </w:num>
  <w:num w:numId="5">
    <w:abstractNumId w:val="13"/>
  </w:num>
  <w:num w:numId="6">
    <w:abstractNumId w:val="9"/>
  </w:num>
  <w:num w:numId="7">
    <w:abstractNumId w:val="19"/>
  </w:num>
  <w:num w:numId="8">
    <w:abstractNumId w:val="2"/>
  </w:num>
  <w:num w:numId="9">
    <w:abstractNumId w:val="8"/>
  </w:num>
  <w:num w:numId="10">
    <w:abstractNumId w:val="4"/>
  </w:num>
  <w:num w:numId="11">
    <w:abstractNumId w:val="0"/>
  </w:num>
  <w:num w:numId="12">
    <w:abstractNumId w:val="1"/>
  </w:num>
  <w:num w:numId="13">
    <w:abstractNumId w:val="5"/>
  </w:num>
  <w:num w:numId="14">
    <w:abstractNumId w:val="3"/>
  </w:num>
  <w:num w:numId="15">
    <w:abstractNumId w:val="10"/>
  </w:num>
  <w:num w:numId="16">
    <w:abstractNumId w:val="6"/>
  </w:num>
  <w:num w:numId="17">
    <w:abstractNumId w:val="16"/>
  </w:num>
  <w:num w:numId="18">
    <w:abstractNumId w:val="12"/>
  </w:num>
  <w:num w:numId="19">
    <w:abstractNumId w:val="13"/>
  </w:num>
  <w:num w:numId="20">
    <w:abstractNumId w:val="7"/>
  </w:num>
  <w:num w:numId="21">
    <w:abstractNumId w:val="18"/>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it-IT" w:vendorID="64" w:dllVersion="0" w:nlCheck="1" w:checkStyle="0"/>
  <w:activeWritingStyle w:appName="MSWord" w:lang="es-ES" w:vendorID="64" w:dllVersion="0" w:nlCheck="1" w:checkStyle="0"/>
  <w:activeWritingStyle w:appName="MSWord" w:lang="es-ES" w:vendorID="64" w:dllVersion="6" w:nlCheck="1" w:checkStyle="0"/>
  <w:activeWritingStyle w:appName="MSWord" w:lang="ar-SA" w:vendorID="64" w:dllVersion="0" w:nlCheck="1" w:checkStyle="0"/>
  <w:activeWritingStyle w:appName="MSWord" w:lang="ar-SA" w:vendorID="64" w:dllVersion="6" w:nlCheck="1" w:checkStyle="0"/>
  <w:activeWritingStyle w:appName="MSWord" w:lang="it-IT" w:vendorID="64" w:dllVersion="6" w:nlCheck="1" w:checkStyle="0"/>
  <w:activeWritingStyle w:appName="MSWord" w:lang="es-ES_tradnl" w:vendorID="64" w:dllVersion="0" w:nlCheck="1" w:checkStyle="0"/>
  <w:activeWritingStyle w:appName="MSWord" w:lang="de-AT" w:vendorID="64" w:dllVersion="0" w:nlCheck="1" w:checkStyle="0"/>
  <w:activeWritingStyle w:appName="MSWord" w:lang="es-ES_tradnl" w:vendorID="64" w:dllVersion="6" w:nlCheck="1" w:checkStyle="0"/>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02FE"/>
    <w:rsid w:val="000008D5"/>
    <w:rsid w:val="0000122A"/>
    <w:rsid w:val="00001E44"/>
    <w:rsid w:val="000022C2"/>
    <w:rsid w:val="00002A7D"/>
    <w:rsid w:val="00002FB4"/>
    <w:rsid w:val="0000341D"/>
    <w:rsid w:val="00003653"/>
    <w:rsid w:val="000038A8"/>
    <w:rsid w:val="00003B5C"/>
    <w:rsid w:val="00003E46"/>
    <w:rsid w:val="00004866"/>
    <w:rsid w:val="00004881"/>
    <w:rsid w:val="00004967"/>
    <w:rsid w:val="0000503D"/>
    <w:rsid w:val="000055A2"/>
    <w:rsid w:val="00005737"/>
    <w:rsid w:val="00006790"/>
    <w:rsid w:val="000068AD"/>
    <w:rsid w:val="000076A0"/>
    <w:rsid w:val="00007905"/>
    <w:rsid w:val="00007932"/>
    <w:rsid w:val="000102BE"/>
    <w:rsid w:val="00010513"/>
    <w:rsid w:val="00010802"/>
    <w:rsid w:val="00010EE6"/>
    <w:rsid w:val="00010F88"/>
    <w:rsid w:val="00011AF7"/>
    <w:rsid w:val="00012163"/>
    <w:rsid w:val="00012205"/>
    <w:rsid w:val="000127CD"/>
    <w:rsid w:val="00012E3A"/>
    <w:rsid w:val="00013065"/>
    <w:rsid w:val="000137C9"/>
    <w:rsid w:val="00015093"/>
    <w:rsid w:val="000155EF"/>
    <w:rsid w:val="00016049"/>
    <w:rsid w:val="00016058"/>
    <w:rsid w:val="00016389"/>
    <w:rsid w:val="000163E1"/>
    <w:rsid w:val="00016DC3"/>
    <w:rsid w:val="00017CDF"/>
    <w:rsid w:val="00017DB8"/>
    <w:rsid w:val="00020583"/>
    <w:rsid w:val="00021154"/>
    <w:rsid w:val="00021950"/>
    <w:rsid w:val="000219A9"/>
    <w:rsid w:val="0002226C"/>
    <w:rsid w:val="0002233B"/>
    <w:rsid w:val="00022D79"/>
    <w:rsid w:val="0002342B"/>
    <w:rsid w:val="000246CE"/>
    <w:rsid w:val="00024C6B"/>
    <w:rsid w:val="00025269"/>
    <w:rsid w:val="000253E3"/>
    <w:rsid w:val="000257FA"/>
    <w:rsid w:val="000259C4"/>
    <w:rsid w:val="00026326"/>
    <w:rsid w:val="00026F95"/>
    <w:rsid w:val="00027624"/>
    <w:rsid w:val="000312A8"/>
    <w:rsid w:val="0003193D"/>
    <w:rsid w:val="00032020"/>
    <w:rsid w:val="00032585"/>
    <w:rsid w:val="000326E6"/>
    <w:rsid w:val="00033141"/>
    <w:rsid w:val="00033A59"/>
    <w:rsid w:val="00033A6D"/>
    <w:rsid w:val="00033BB7"/>
    <w:rsid w:val="00034F38"/>
    <w:rsid w:val="00035055"/>
    <w:rsid w:val="00035149"/>
    <w:rsid w:val="00035456"/>
    <w:rsid w:val="000359C1"/>
    <w:rsid w:val="00035EAB"/>
    <w:rsid w:val="00036FF4"/>
    <w:rsid w:val="0003764F"/>
    <w:rsid w:val="0004065D"/>
    <w:rsid w:val="00040E5B"/>
    <w:rsid w:val="000411C6"/>
    <w:rsid w:val="00041439"/>
    <w:rsid w:val="00041B0D"/>
    <w:rsid w:val="00041E19"/>
    <w:rsid w:val="000429DA"/>
    <w:rsid w:val="00042ECF"/>
    <w:rsid w:val="00043E39"/>
    <w:rsid w:val="00043E49"/>
    <w:rsid w:val="0004421E"/>
    <w:rsid w:val="000446B2"/>
    <w:rsid w:val="00044DDA"/>
    <w:rsid w:val="00045A9B"/>
    <w:rsid w:val="00045B8F"/>
    <w:rsid w:val="00045F75"/>
    <w:rsid w:val="00045F81"/>
    <w:rsid w:val="000461C7"/>
    <w:rsid w:val="00046633"/>
    <w:rsid w:val="00046FDD"/>
    <w:rsid w:val="000475DC"/>
    <w:rsid w:val="00050576"/>
    <w:rsid w:val="000506B0"/>
    <w:rsid w:val="00050A3F"/>
    <w:rsid w:val="00050F6B"/>
    <w:rsid w:val="0005127E"/>
    <w:rsid w:val="0005268F"/>
    <w:rsid w:val="00053308"/>
    <w:rsid w:val="00053365"/>
    <w:rsid w:val="00053653"/>
    <w:rsid w:val="00053BB9"/>
    <w:rsid w:val="00054375"/>
    <w:rsid w:val="00054A26"/>
    <w:rsid w:val="00055094"/>
    <w:rsid w:val="00055309"/>
    <w:rsid w:val="00055A3B"/>
    <w:rsid w:val="00055DFB"/>
    <w:rsid w:val="0005655A"/>
    <w:rsid w:val="00056AB3"/>
    <w:rsid w:val="0005789F"/>
    <w:rsid w:val="000602AF"/>
    <w:rsid w:val="00060665"/>
    <w:rsid w:val="00060D95"/>
    <w:rsid w:val="0006121A"/>
    <w:rsid w:val="00061D41"/>
    <w:rsid w:val="00062A89"/>
    <w:rsid w:val="00063168"/>
    <w:rsid w:val="000633E8"/>
    <w:rsid w:val="00063F7F"/>
    <w:rsid w:val="00064F59"/>
    <w:rsid w:val="00064FBA"/>
    <w:rsid w:val="00065865"/>
    <w:rsid w:val="00065AAC"/>
    <w:rsid w:val="000663C7"/>
    <w:rsid w:val="00066E03"/>
    <w:rsid w:val="000675EB"/>
    <w:rsid w:val="0006785A"/>
    <w:rsid w:val="000678CD"/>
    <w:rsid w:val="00067AC2"/>
    <w:rsid w:val="0007027F"/>
    <w:rsid w:val="000702E9"/>
    <w:rsid w:val="00070D34"/>
    <w:rsid w:val="000710CD"/>
    <w:rsid w:val="00071A77"/>
    <w:rsid w:val="00072085"/>
    <w:rsid w:val="0007212F"/>
    <w:rsid w:val="000723D2"/>
    <w:rsid w:val="00072C8C"/>
    <w:rsid w:val="00072C91"/>
    <w:rsid w:val="0007320D"/>
    <w:rsid w:val="00073C34"/>
    <w:rsid w:val="000740A3"/>
    <w:rsid w:val="00074606"/>
    <w:rsid w:val="00074DDC"/>
    <w:rsid w:val="00075812"/>
    <w:rsid w:val="00075F4A"/>
    <w:rsid w:val="000770BA"/>
    <w:rsid w:val="00077487"/>
    <w:rsid w:val="000774FC"/>
    <w:rsid w:val="00077890"/>
    <w:rsid w:val="00077B30"/>
    <w:rsid w:val="00080A2B"/>
    <w:rsid w:val="00080E3B"/>
    <w:rsid w:val="000814F7"/>
    <w:rsid w:val="00081CE0"/>
    <w:rsid w:val="00082121"/>
    <w:rsid w:val="00082BB2"/>
    <w:rsid w:val="0008357A"/>
    <w:rsid w:val="00083FE2"/>
    <w:rsid w:val="000840A9"/>
    <w:rsid w:val="000845D0"/>
    <w:rsid w:val="000847F2"/>
    <w:rsid w:val="00084D30"/>
    <w:rsid w:val="0008626B"/>
    <w:rsid w:val="00086BAE"/>
    <w:rsid w:val="000878D1"/>
    <w:rsid w:val="00090320"/>
    <w:rsid w:val="00090745"/>
    <w:rsid w:val="00090D28"/>
    <w:rsid w:val="00091B80"/>
    <w:rsid w:val="00092AA4"/>
    <w:rsid w:val="00092E18"/>
    <w:rsid w:val="00092F94"/>
    <w:rsid w:val="000931C0"/>
    <w:rsid w:val="000931E4"/>
    <w:rsid w:val="00093BB7"/>
    <w:rsid w:val="00093DB7"/>
    <w:rsid w:val="00094C65"/>
    <w:rsid w:val="000955B9"/>
    <w:rsid w:val="000955D4"/>
    <w:rsid w:val="00096176"/>
    <w:rsid w:val="0009623C"/>
    <w:rsid w:val="000963BE"/>
    <w:rsid w:val="000969C9"/>
    <w:rsid w:val="00096BF7"/>
    <w:rsid w:val="00096E5C"/>
    <w:rsid w:val="00097280"/>
    <w:rsid w:val="00097F93"/>
    <w:rsid w:val="000A0087"/>
    <w:rsid w:val="000A0552"/>
    <w:rsid w:val="000A05C2"/>
    <w:rsid w:val="000A1778"/>
    <w:rsid w:val="000A1AE7"/>
    <w:rsid w:val="000A1F7E"/>
    <w:rsid w:val="000A20DD"/>
    <w:rsid w:val="000A255F"/>
    <w:rsid w:val="000A2E09"/>
    <w:rsid w:val="000A3B1A"/>
    <w:rsid w:val="000A3C4C"/>
    <w:rsid w:val="000A4024"/>
    <w:rsid w:val="000A46FD"/>
    <w:rsid w:val="000A4925"/>
    <w:rsid w:val="000A49F4"/>
    <w:rsid w:val="000A666E"/>
    <w:rsid w:val="000A6F91"/>
    <w:rsid w:val="000A7017"/>
    <w:rsid w:val="000A7D61"/>
    <w:rsid w:val="000B0114"/>
    <w:rsid w:val="000B024F"/>
    <w:rsid w:val="000B06E0"/>
    <w:rsid w:val="000B09B5"/>
    <w:rsid w:val="000B0A4B"/>
    <w:rsid w:val="000B0F1E"/>
    <w:rsid w:val="000B175B"/>
    <w:rsid w:val="000B2F6D"/>
    <w:rsid w:val="000B3356"/>
    <w:rsid w:val="000B3441"/>
    <w:rsid w:val="000B3916"/>
    <w:rsid w:val="000B3A0F"/>
    <w:rsid w:val="000B5012"/>
    <w:rsid w:val="000B53D9"/>
    <w:rsid w:val="000B5B0F"/>
    <w:rsid w:val="000B6543"/>
    <w:rsid w:val="000B670B"/>
    <w:rsid w:val="000B76CF"/>
    <w:rsid w:val="000B7E40"/>
    <w:rsid w:val="000C00DB"/>
    <w:rsid w:val="000C0934"/>
    <w:rsid w:val="000C102D"/>
    <w:rsid w:val="000C149A"/>
    <w:rsid w:val="000C160A"/>
    <w:rsid w:val="000C223C"/>
    <w:rsid w:val="000C2B8B"/>
    <w:rsid w:val="000C3332"/>
    <w:rsid w:val="000C48AA"/>
    <w:rsid w:val="000C53BC"/>
    <w:rsid w:val="000C6193"/>
    <w:rsid w:val="000C6C2B"/>
    <w:rsid w:val="000C6DF6"/>
    <w:rsid w:val="000C7B9B"/>
    <w:rsid w:val="000D0B6C"/>
    <w:rsid w:val="000D117C"/>
    <w:rsid w:val="000D16F1"/>
    <w:rsid w:val="000D210B"/>
    <w:rsid w:val="000D29EC"/>
    <w:rsid w:val="000D2E96"/>
    <w:rsid w:val="000D3040"/>
    <w:rsid w:val="000D4149"/>
    <w:rsid w:val="000D5100"/>
    <w:rsid w:val="000D53FE"/>
    <w:rsid w:val="000D6ADD"/>
    <w:rsid w:val="000D6F5E"/>
    <w:rsid w:val="000D759F"/>
    <w:rsid w:val="000E03AC"/>
    <w:rsid w:val="000E0415"/>
    <w:rsid w:val="000E0880"/>
    <w:rsid w:val="000E121C"/>
    <w:rsid w:val="000E26CA"/>
    <w:rsid w:val="000E2733"/>
    <w:rsid w:val="000E2A0D"/>
    <w:rsid w:val="000E2F3F"/>
    <w:rsid w:val="000E3640"/>
    <w:rsid w:val="000E4106"/>
    <w:rsid w:val="000E5178"/>
    <w:rsid w:val="000E5A38"/>
    <w:rsid w:val="000E5C7E"/>
    <w:rsid w:val="000E60B6"/>
    <w:rsid w:val="000E6E46"/>
    <w:rsid w:val="000E7270"/>
    <w:rsid w:val="000F0466"/>
    <w:rsid w:val="000F063C"/>
    <w:rsid w:val="000F0B84"/>
    <w:rsid w:val="000F0E53"/>
    <w:rsid w:val="000F1B8C"/>
    <w:rsid w:val="000F1BF4"/>
    <w:rsid w:val="000F22B8"/>
    <w:rsid w:val="000F2804"/>
    <w:rsid w:val="000F2B31"/>
    <w:rsid w:val="000F2F05"/>
    <w:rsid w:val="000F3259"/>
    <w:rsid w:val="000F36D2"/>
    <w:rsid w:val="000F3D74"/>
    <w:rsid w:val="000F3D8A"/>
    <w:rsid w:val="000F3E9E"/>
    <w:rsid w:val="000F4582"/>
    <w:rsid w:val="000F46FC"/>
    <w:rsid w:val="000F49E2"/>
    <w:rsid w:val="000F49FA"/>
    <w:rsid w:val="000F4BF2"/>
    <w:rsid w:val="000F4F58"/>
    <w:rsid w:val="000F52C2"/>
    <w:rsid w:val="000F53ED"/>
    <w:rsid w:val="000F587B"/>
    <w:rsid w:val="000F5F09"/>
    <w:rsid w:val="000F638F"/>
    <w:rsid w:val="000F6452"/>
    <w:rsid w:val="000F68C7"/>
    <w:rsid w:val="000F7715"/>
    <w:rsid w:val="000F7BAD"/>
    <w:rsid w:val="000F7F12"/>
    <w:rsid w:val="0010008D"/>
    <w:rsid w:val="0010049B"/>
    <w:rsid w:val="001004F5"/>
    <w:rsid w:val="001008F7"/>
    <w:rsid w:val="00100968"/>
    <w:rsid w:val="001010BD"/>
    <w:rsid w:val="001018AA"/>
    <w:rsid w:val="00101DD8"/>
    <w:rsid w:val="001021DF"/>
    <w:rsid w:val="00102A8C"/>
    <w:rsid w:val="00102FE7"/>
    <w:rsid w:val="001032E5"/>
    <w:rsid w:val="00104B1B"/>
    <w:rsid w:val="00104B20"/>
    <w:rsid w:val="001051EB"/>
    <w:rsid w:val="00105428"/>
    <w:rsid w:val="00105D79"/>
    <w:rsid w:val="001067DE"/>
    <w:rsid w:val="00106B5F"/>
    <w:rsid w:val="0010775F"/>
    <w:rsid w:val="00107932"/>
    <w:rsid w:val="00107BC4"/>
    <w:rsid w:val="00107F74"/>
    <w:rsid w:val="00110BB3"/>
    <w:rsid w:val="00111239"/>
    <w:rsid w:val="00111432"/>
    <w:rsid w:val="00111C23"/>
    <w:rsid w:val="00111DED"/>
    <w:rsid w:val="00112119"/>
    <w:rsid w:val="0011227A"/>
    <w:rsid w:val="00112A47"/>
    <w:rsid w:val="00112E41"/>
    <w:rsid w:val="00113CD6"/>
    <w:rsid w:val="00113D41"/>
    <w:rsid w:val="001146DD"/>
    <w:rsid w:val="00116594"/>
    <w:rsid w:val="00116FF8"/>
    <w:rsid w:val="001175D6"/>
    <w:rsid w:val="0011772C"/>
    <w:rsid w:val="001178E6"/>
    <w:rsid w:val="00120134"/>
    <w:rsid w:val="0012048B"/>
    <w:rsid w:val="00121145"/>
    <w:rsid w:val="0012184B"/>
    <w:rsid w:val="001221F5"/>
    <w:rsid w:val="00122B91"/>
    <w:rsid w:val="00123597"/>
    <w:rsid w:val="001237BA"/>
    <w:rsid w:val="00124988"/>
    <w:rsid w:val="00124A8F"/>
    <w:rsid w:val="00124E3C"/>
    <w:rsid w:val="0012533D"/>
    <w:rsid w:val="0012704F"/>
    <w:rsid w:val="0012744D"/>
    <w:rsid w:val="001277F7"/>
    <w:rsid w:val="001278B7"/>
    <w:rsid w:val="001278DD"/>
    <w:rsid w:val="00130080"/>
    <w:rsid w:val="00130C0B"/>
    <w:rsid w:val="00131317"/>
    <w:rsid w:val="00131AC8"/>
    <w:rsid w:val="00132402"/>
    <w:rsid w:val="0013259A"/>
    <w:rsid w:val="0013340E"/>
    <w:rsid w:val="00133D9E"/>
    <w:rsid w:val="00133EFB"/>
    <w:rsid w:val="00134AB3"/>
    <w:rsid w:val="00134E0E"/>
    <w:rsid w:val="00135200"/>
    <w:rsid w:val="00135446"/>
    <w:rsid w:val="00135C2F"/>
    <w:rsid w:val="00136A74"/>
    <w:rsid w:val="0013765D"/>
    <w:rsid w:val="00137E80"/>
    <w:rsid w:val="0014046C"/>
    <w:rsid w:val="00140F8C"/>
    <w:rsid w:val="00141252"/>
    <w:rsid w:val="00141479"/>
    <w:rsid w:val="001416D4"/>
    <w:rsid w:val="001416F3"/>
    <w:rsid w:val="001417A6"/>
    <w:rsid w:val="00141B93"/>
    <w:rsid w:val="00142444"/>
    <w:rsid w:val="00142449"/>
    <w:rsid w:val="00142781"/>
    <w:rsid w:val="001427B2"/>
    <w:rsid w:val="00142BE5"/>
    <w:rsid w:val="0014398E"/>
    <w:rsid w:val="00143B06"/>
    <w:rsid w:val="00143F4D"/>
    <w:rsid w:val="00143FFD"/>
    <w:rsid w:val="00144630"/>
    <w:rsid w:val="001449E7"/>
    <w:rsid w:val="00144EF4"/>
    <w:rsid w:val="00145AEF"/>
    <w:rsid w:val="00145B6B"/>
    <w:rsid w:val="00145DB9"/>
    <w:rsid w:val="00145E23"/>
    <w:rsid w:val="0014601A"/>
    <w:rsid w:val="00146496"/>
    <w:rsid w:val="00146F67"/>
    <w:rsid w:val="001474C2"/>
    <w:rsid w:val="001478E7"/>
    <w:rsid w:val="00147C3D"/>
    <w:rsid w:val="00150639"/>
    <w:rsid w:val="00150BBB"/>
    <w:rsid w:val="00151671"/>
    <w:rsid w:val="00151E21"/>
    <w:rsid w:val="00152016"/>
    <w:rsid w:val="00152623"/>
    <w:rsid w:val="001526B5"/>
    <w:rsid w:val="00152C18"/>
    <w:rsid w:val="00152C66"/>
    <w:rsid w:val="001530F4"/>
    <w:rsid w:val="0015334E"/>
    <w:rsid w:val="00153ADF"/>
    <w:rsid w:val="00154EBD"/>
    <w:rsid w:val="00155183"/>
    <w:rsid w:val="001552E7"/>
    <w:rsid w:val="00155F22"/>
    <w:rsid w:val="00156B99"/>
    <w:rsid w:val="001571D7"/>
    <w:rsid w:val="00157BC2"/>
    <w:rsid w:val="0016021D"/>
    <w:rsid w:val="00160773"/>
    <w:rsid w:val="001610D9"/>
    <w:rsid w:val="00161955"/>
    <w:rsid w:val="00161BBF"/>
    <w:rsid w:val="00162800"/>
    <w:rsid w:val="00162EA8"/>
    <w:rsid w:val="00163460"/>
    <w:rsid w:val="00163511"/>
    <w:rsid w:val="0016382D"/>
    <w:rsid w:val="00163B55"/>
    <w:rsid w:val="00164515"/>
    <w:rsid w:val="00164D59"/>
    <w:rsid w:val="00166124"/>
    <w:rsid w:val="001665F7"/>
    <w:rsid w:val="00167312"/>
    <w:rsid w:val="00167801"/>
    <w:rsid w:val="00167825"/>
    <w:rsid w:val="0017014E"/>
    <w:rsid w:val="00170D61"/>
    <w:rsid w:val="00171894"/>
    <w:rsid w:val="00171B98"/>
    <w:rsid w:val="00172833"/>
    <w:rsid w:val="001728A1"/>
    <w:rsid w:val="00172920"/>
    <w:rsid w:val="00172A9F"/>
    <w:rsid w:val="00172BB3"/>
    <w:rsid w:val="00172F95"/>
    <w:rsid w:val="00173604"/>
    <w:rsid w:val="00174504"/>
    <w:rsid w:val="00174DE1"/>
    <w:rsid w:val="00174F9C"/>
    <w:rsid w:val="001751A2"/>
    <w:rsid w:val="00175449"/>
    <w:rsid w:val="00175AD0"/>
    <w:rsid w:val="0017655C"/>
    <w:rsid w:val="001769B7"/>
    <w:rsid w:val="00176BD6"/>
    <w:rsid w:val="00176FA9"/>
    <w:rsid w:val="00180299"/>
    <w:rsid w:val="00180616"/>
    <w:rsid w:val="0018065C"/>
    <w:rsid w:val="001808E9"/>
    <w:rsid w:val="0018098C"/>
    <w:rsid w:val="00180F63"/>
    <w:rsid w:val="0018126D"/>
    <w:rsid w:val="00181355"/>
    <w:rsid w:val="00181A17"/>
    <w:rsid w:val="00181E49"/>
    <w:rsid w:val="00182110"/>
    <w:rsid w:val="00182B6E"/>
    <w:rsid w:val="001830A3"/>
    <w:rsid w:val="00183675"/>
    <w:rsid w:val="00183FAD"/>
    <w:rsid w:val="00184570"/>
    <w:rsid w:val="00184849"/>
    <w:rsid w:val="00184DDA"/>
    <w:rsid w:val="00184E04"/>
    <w:rsid w:val="00185938"/>
    <w:rsid w:val="001859D9"/>
    <w:rsid w:val="00185E47"/>
    <w:rsid w:val="001866FA"/>
    <w:rsid w:val="001876CB"/>
    <w:rsid w:val="00187C43"/>
    <w:rsid w:val="00187E16"/>
    <w:rsid w:val="001900CD"/>
    <w:rsid w:val="0019052F"/>
    <w:rsid w:val="00190B8A"/>
    <w:rsid w:val="001910AD"/>
    <w:rsid w:val="0019156A"/>
    <w:rsid w:val="00191A35"/>
    <w:rsid w:val="00191DBF"/>
    <w:rsid w:val="00192CEC"/>
    <w:rsid w:val="0019325F"/>
    <w:rsid w:val="001932D9"/>
    <w:rsid w:val="001935B0"/>
    <w:rsid w:val="00193930"/>
    <w:rsid w:val="001945C0"/>
    <w:rsid w:val="001951DB"/>
    <w:rsid w:val="001964EB"/>
    <w:rsid w:val="00196721"/>
    <w:rsid w:val="001968E8"/>
    <w:rsid w:val="00196C26"/>
    <w:rsid w:val="00196CAA"/>
    <w:rsid w:val="00197841"/>
    <w:rsid w:val="001A0452"/>
    <w:rsid w:val="001A0CB5"/>
    <w:rsid w:val="001A0F73"/>
    <w:rsid w:val="001A104B"/>
    <w:rsid w:val="001A17D3"/>
    <w:rsid w:val="001A1EF2"/>
    <w:rsid w:val="001A24D6"/>
    <w:rsid w:val="001A359E"/>
    <w:rsid w:val="001A3645"/>
    <w:rsid w:val="001A417A"/>
    <w:rsid w:val="001A4B8E"/>
    <w:rsid w:val="001A53AD"/>
    <w:rsid w:val="001A58EE"/>
    <w:rsid w:val="001A5A0C"/>
    <w:rsid w:val="001A5FD4"/>
    <w:rsid w:val="001A64A5"/>
    <w:rsid w:val="001A6642"/>
    <w:rsid w:val="001A672C"/>
    <w:rsid w:val="001A6835"/>
    <w:rsid w:val="001A7334"/>
    <w:rsid w:val="001B0663"/>
    <w:rsid w:val="001B1324"/>
    <w:rsid w:val="001B19BB"/>
    <w:rsid w:val="001B2D9C"/>
    <w:rsid w:val="001B3672"/>
    <w:rsid w:val="001B3EB1"/>
    <w:rsid w:val="001B4214"/>
    <w:rsid w:val="001B4913"/>
    <w:rsid w:val="001B4B04"/>
    <w:rsid w:val="001B574A"/>
    <w:rsid w:val="001B5875"/>
    <w:rsid w:val="001B59CE"/>
    <w:rsid w:val="001B5BC1"/>
    <w:rsid w:val="001B5CF1"/>
    <w:rsid w:val="001B63B3"/>
    <w:rsid w:val="001B661B"/>
    <w:rsid w:val="001B693D"/>
    <w:rsid w:val="001B6C91"/>
    <w:rsid w:val="001B6FEE"/>
    <w:rsid w:val="001C0752"/>
    <w:rsid w:val="001C0B08"/>
    <w:rsid w:val="001C11B1"/>
    <w:rsid w:val="001C11B4"/>
    <w:rsid w:val="001C148C"/>
    <w:rsid w:val="001C1FA9"/>
    <w:rsid w:val="001C2324"/>
    <w:rsid w:val="001C2842"/>
    <w:rsid w:val="001C2A1C"/>
    <w:rsid w:val="001C2CCC"/>
    <w:rsid w:val="001C2D82"/>
    <w:rsid w:val="001C3378"/>
    <w:rsid w:val="001C3436"/>
    <w:rsid w:val="001C3763"/>
    <w:rsid w:val="001C3D04"/>
    <w:rsid w:val="001C3EBE"/>
    <w:rsid w:val="001C4525"/>
    <w:rsid w:val="001C462B"/>
    <w:rsid w:val="001C483E"/>
    <w:rsid w:val="001C4B9C"/>
    <w:rsid w:val="001C4F57"/>
    <w:rsid w:val="001C5136"/>
    <w:rsid w:val="001C5458"/>
    <w:rsid w:val="001C5546"/>
    <w:rsid w:val="001C5783"/>
    <w:rsid w:val="001C593F"/>
    <w:rsid w:val="001C5D18"/>
    <w:rsid w:val="001C5D99"/>
    <w:rsid w:val="001C61E1"/>
    <w:rsid w:val="001C624F"/>
    <w:rsid w:val="001C6663"/>
    <w:rsid w:val="001C6CD7"/>
    <w:rsid w:val="001C74A2"/>
    <w:rsid w:val="001C7895"/>
    <w:rsid w:val="001D00F7"/>
    <w:rsid w:val="001D0BB9"/>
    <w:rsid w:val="001D0FF6"/>
    <w:rsid w:val="001D1A44"/>
    <w:rsid w:val="001D1E59"/>
    <w:rsid w:val="001D1FB8"/>
    <w:rsid w:val="001D26DF"/>
    <w:rsid w:val="001D28A9"/>
    <w:rsid w:val="001D2A45"/>
    <w:rsid w:val="001D2AC1"/>
    <w:rsid w:val="001D34F9"/>
    <w:rsid w:val="001D4B92"/>
    <w:rsid w:val="001D501E"/>
    <w:rsid w:val="001D512E"/>
    <w:rsid w:val="001D5A03"/>
    <w:rsid w:val="001D5D88"/>
    <w:rsid w:val="001D6DE5"/>
    <w:rsid w:val="001D6E9D"/>
    <w:rsid w:val="001E0834"/>
    <w:rsid w:val="001E0928"/>
    <w:rsid w:val="001E0AA3"/>
    <w:rsid w:val="001E0BF0"/>
    <w:rsid w:val="001E0F1C"/>
    <w:rsid w:val="001E1C17"/>
    <w:rsid w:val="001E1EC0"/>
    <w:rsid w:val="001E201E"/>
    <w:rsid w:val="001E2A42"/>
    <w:rsid w:val="001E30DD"/>
    <w:rsid w:val="001E31B1"/>
    <w:rsid w:val="001E38BC"/>
    <w:rsid w:val="001E46E7"/>
    <w:rsid w:val="001E4954"/>
    <w:rsid w:val="001E4B4D"/>
    <w:rsid w:val="001E5F28"/>
    <w:rsid w:val="001E60B5"/>
    <w:rsid w:val="001E6889"/>
    <w:rsid w:val="001E68AB"/>
    <w:rsid w:val="001E7671"/>
    <w:rsid w:val="001F0085"/>
    <w:rsid w:val="001F00E0"/>
    <w:rsid w:val="001F057D"/>
    <w:rsid w:val="001F1599"/>
    <w:rsid w:val="001F19C4"/>
    <w:rsid w:val="001F1B47"/>
    <w:rsid w:val="001F1D9A"/>
    <w:rsid w:val="001F21D9"/>
    <w:rsid w:val="001F245A"/>
    <w:rsid w:val="001F2C82"/>
    <w:rsid w:val="001F3C59"/>
    <w:rsid w:val="001F43EC"/>
    <w:rsid w:val="001F4B75"/>
    <w:rsid w:val="001F4DA7"/>
    <w:rsid w:val="001F4DDF"/>
    <w:rsid w:val="001F50A3"/>
    <w:rsid w:val="001F5773"/>
    <w:rsid w:val="001F58B9"/>
    <w:rsid w:val="001F59D4"/>
    <w:rsid w:val="001F5A93"/>
    <w:rsid w:val="001F5FB5"/>
    <w:rsid w:val="001F6117"/>
    <w:rsid w:val="001F63BA"/>
    <w:rsid w:val="001F72E1"/>
    <w:rsid w:val="001F7BAC"/>
    <w:rsid w:val="002003A9"/>
    <w:rsid w:val="002007E9"/>
    <w:rsid w:val="0020083A"/>
    <w:rsid w:val="00200CD6"/>
    <w:rsid w:val="00200E58"/>
    <w:rsid w:val="00200EA0"/>
    <w:rsid w:val="00201105"/>
    <w:rsid w:val="00201624"/>
    <w:rsid w:val="0020424F"/>
    <w:rsid w:val="002043F0"/>
    <w:rsid w:val="00204A89"/>
    <w:rsid w:val="002058C1"/>
    <w:rsid w:val="002059F6"/>
    <w:rsid w:val="00205C4A"/>
    <w:rsid w:val="00205DF4"/>
    <w:rsid w:val="00205F06"/>
    <w:rsid w:val="00206188"/>
    <w:rsid w:val="002069F4"/>
    <w:rsid w:val="00206C57"/>
    <w:rsid w:val="00206FCC"/>
    <w:rsid w:val="00207586"/>
    <w:rsid w:val="002079C6"/>
    <w:rsid w:val="00207BFD"/>
    <w:rsid w:val="00207E3E"/>
    <w:rsid w:val="00207F7E"/>
    <w:rsid w:val="0021080A"/>
    <w:rsid w:val="00210BCC"/>
    <w:rsid w:val="00210C6F"/>
    <w:rsid w:val="00210DA3"/>
    <w:rsid w:val="00211C5A"/>
    <w:rsid w:val="00211D37"/>
    <w:rsid w:val="00211DDE"/>
    <w:rsid w:val="00211E0B"/>
    <w:rsid w:val="00212619"/>
    <w:rsid w:val="00212C1E"/>
    <w:rsid w:val="00213A9A"/>
    <w:rsid w:val="00213FD1"/>
    <w:rsid w:val="002140E7"/>
    <w:rsid w:val="00214427"/>
    <w:rsid w:val="00215864"/>
    <w:rsid w:val="00215A0A"/>
    <w:rsid w:val="00216CFC"/>
    <w:rsid w:val="002175B5"/>
    <w:rsid w:val="00217BAF"/>
    <w:rsid w:val="002205AF"/>
    <w:rsid w:val="002208DD"/>
    <w:rsid w:val="0022157E"/>
    <w:rsid w:val="00221C18"/>
    <w:rsid w:val="00221EB5"/>
    <w:rsid w:val="00222283"/>
    <w:rsid w:val="00222B8B"/>
    <w:rsid w:val="00222F34"/>
    <w:rsid w:val="002237E2"/>
    <w:rsid w:val="002238C9"/>
    <w:rsid w:val="002247BB"/>
    <w:rsid w:val="00224838"/>
    <w:rsid w:val="0022535B"/>
    <w:rsid w:val="00225ED8"/>
    <w:rsid w:val="00226258"/>
    <w:rsid w:val="00226C97"/>
    <w:rsid w:val="002274F3"/>
    <w:rsid w:val="00227A44"/>
    <w:rsid w:val="00227ABC"/>
    <w:rsid w:val="00230279"/>
    <w:rsid w:val="00230A91"/>
    <w:rsid w:val="00230ADD"/>
    <w:rsid w:val="00230FCF"/>
    <w:rsid w:val="00231D43"/>
    <w:rsid w:val="00231EEB"/>
    <w:rsid w:val="00231EFB"/>
    <w:rsid w:val="00232181"/>
    <w:rsid w:val="00232575"/>
    <w:rsid w:val="00232AED"/>
    <w:rsid w:val="00232D9C"/>
    <w:rsid w:val="00233D64"/>
    <w:rsid w:val="0023450B"/>
    <w:rsid w:val="00234A55"/>
    <w:rsid w:val="0023575C"/>
    <w:rsid w:val="00235766"/>
    <w:rsid w:val="002359BA"/>
    <w:rsid w:val="002360B2"/>
    <w:rsid w:val="002370EE"/>
    <w:rsid w:val="00240175"/>
    <w:rsid w:val="002409E1"/>
    <w:rsid w:val="00240D1C"/>
    <w:rsid w:val="00240E76"/>
    <w:rsid w:val="00240FAE"/>
    <w:rsid w:val="002419AD"/>
    <w:rsid w:val="00241F6B"/>
    <w:rsid w:val="0024255C"/>
    <w:rsid w:val="00242D8E"/>
    <w:rsid w:val="0024343C"/>
    <w:rsid w:val="00243D15"/>
    <w:rsid w:val="00243EB0"/>
    <w:rsid w:val="00245B20"/>
    <w:rsid w:val="00245D94"/>
    <w:rsid w:val="00245E2E"/>
    <w:rsid w:val="00246C69"/>
    <w:rsid w:val="00247155"/>
    <w:rsid w:val="00247258"/>
    <w:rsid w:val="00247EC2"/>
    <w:rsid w:val="00250757"/>
    <w:rsid w:val="002516FB"/>
    <w:rsid w:val="002517F3"/>
    <w:rsid w:val="00251AD5"/>
    <w:rsid w:val="00252BFF"/>
    <w:rsid w:val="0025336F"/>
    <w:rsid w:val="00253658"/>
    <w:rsid w:val="00253C7A"/>
    <w:rsid w:val="0025405C"/>
    <w:rsid w:val="00254825"/>
    <w:rsid w:val="00254B3C"/>
    <w:rsid w:val="00254BB2"/>
    <w:rsid w:val="00255B7A"/>
    <w:rsid w:val="00255F0C"/>
    <w:rsid w:val="00256423"/>
    <w:rsid w:val="0025668A"/>
    <w:rsid w:val="002579B0"/>
    <w:rsid w:val="00257CAC"/>
    <w:rsid w:val="00257FBC"/>
    <w:rsid w:val="00260447"/>
    <w:rsid w:val="00260881"/>
    <w:rsid w:val="00260D37"/>
    <w:rsid w:val="00261341"/>
    <w:rsid w:val="00261586"/>
    <w:rsid w:val="00261668"/>
    <w:rsid w:val="002621CB"/>
    <w:rsid w:val="00262AF0"/>
    <w:rsid w:val="002635B1"/>
    <w:rsid w:val="002635EA"/>
    <w:rsid w:val="00264049"/>
    <w:rsid w:val="002648E9"/>
    <w:rsid w:val="002651FC"/>
    <w:rsid w:val="0026529C"/>
    <w:rsid w:val="00265742"/>
    <w:rsid w:val="002660E3"/>
    <w:rsid w:val="00266CFD"/>
    <w:rsid w:val="00267A4B"/>
    <w:rsid w:val="00271A23"/>
    <w:rsid w:val="00271A70"/>
    <w:rsid w:val="00271C2C"/>
    <w:rsid w:val="002721ED"/>
    <w:rsid w:val="0027237A"/>
    <w:rsid w:val="002723C9"/>
    <w:rsid w:val="0027248C"/>
    <w:rsid w:val="002730AA"/>
    <w:rsid w:val="0027336C"/>
    <w:rsid w:val="00274074"/>
    <w:rsid w:val="00274801"/>
    <w:rsid w:val="00276181"/>
    <w:rsid w:val="00276AA2"/>
    <w:rsid w:val="00277807"/>
    <w:rsid w:val="002800A0"/>
    <w:rsid w:val="002805E2"/>
    <w:rsid w:val="00281BEA"/>
    <w:rsid w:val="00282233"/>
    <w:rsid w:val="002826AE"/>
    <w:rsid w:val="00283712"/>
    <w:rsid w:val="002837CF"/>
    <w:rsid w:val="00283884"/>
    <w:rsid w:val="00283B62"/>
    <w:rsid w:val="00283C2C"/>
    <w:rsid w:val="0028518F"/>
    <w:rsid w:val="00285531"/>
    <w:rsid w:val="00285605"/>
    <w:rsid w:val="00285DFC"/>
    <w:rsid w:val="00285F31"/>
    <w:rsid w:val="00286393"/>
    <w:rsid w:val="0028659B"/>
    <w:rsid w:val="002866F8"/>
    <w:rsid w:val="00286D33"/>
    <w:rsid w:val="00287842"/>
    <w:rsid w:val="00287C4F"/>
    <w:rsid w:val="00287F7B"/>
    <w:rsid w:val="0029161D"/>
    <w:rsid w:val="0029192F"/>
    <w:rsid w:val="002925C9"/>
    <w:rsid w:val="00292743"/>
    <w:rsid w:val="00292CF1"/>
    <w:rsid w:val="00293149"/>
    <w:rsid w:val="00293365"/>
    <w:rsid w:val="00293450"/>
    <w:rsid w:val="0029366E"/>
    <w:rsid w:val="00293ADB"/>
    <w:rsid w:val="00294AC7"/>
    <w:rsid w:val="00294FBB"/>
    <w:rsid w:val="0029535D"/>
    <w:rsid w:val="0029549C"/>
    <w:rsid w:val="002954DB"/>
    <w:rsid w:val="00295BB0"/>
    <w:rsid w:val="00295FFD"/>
    <w:rsid w:val="00296A19"/>
    <w:rsid w:val="00296EFE"/>
    <w:rsid w:val="002974E9"/>
    <w:rsid w:val="002A0D27"/>
    <w:rsid w:val="002A18F1"/>
    <w:rsid w:val="002A1B2E"/>
    <w:rsid w:val="002A1ECB"/>
    <w:rsid w:val="002A314F"/>
    <w:rsid w:val="002A421C"/>
    <w:rsid w:val="002A4490"/>
    <w:rsid w:val="002A5850"/>
    <w:rsid w:val="002A5F5C"/>
    <w:rsid w:val="002A6416"/>
    <w:rsid w:val="002A67B1"/>
    <w:rsid w:val="002A6B3D"/>
    <w:rsid w:val="002A6B91"/>
    <w:rsid w:val="002A72BE"/>
    <w:rsid w:val="002A7603"/>
    <w:rsid w:val="002A772F"/>
    <w:rsid w:val="002A790B"/>
    <w:rsid w:val="002A7DC9"/>
    <w:rsid w:val="002A7F94"/>
    <w:rsid w:val="002B0396"/>
    <w:rsid w:val="002B0466"/>
    <w:rsid w:val="002B05C5"/>
    <w:rsid w:val="002B109A"/>
    <w:rsid w:val="002B1759"/>
    <w:rsid w:val="002B182F"/>
    <w:rsid w:val="002B1E1B"/>
    <w:rsid w:val="002B1E54"/>
    <w:rsid w:val="002B27B3"/>
    <w:rsid w:val="002B28DC"/>
    <w:rsid w:val="002B2AEF"/>
    <w:rsid w:val="002B2E08"/>
    <w:rsid w:val="002B3EB7"/>
    <w:rsid w:val="002B44A2"/>
    <w:rsid w:val="002B4874"/>
    <w:rsid w:val="002B4A1A"/>
    <w:rsid w:val="002B4A29"/>
    <w:rsid w:val="002B5210"/>
    <w:rsid w:val="002B641F"/>
    <w:rsid w:val="002B64D0"/>
    <w:rsid w:val="002B728E"/>
    <w:rsid w:val="002B755E"/>
    <w:rsid w:val="002B7767"/>
    <w:rsid w:val="002B7898"/>
    <w:rsid w:val="002B7DE5"/>
    <w:rsid w:val="002B7ED9"/>
    <w:rsid w:val="002C03E3"/>
    <w:rsid w:val="002C0AD6"/>
    <w:rsid w:val="002C12DE"/>
    <w:rsid w:val="002C3127"/>
    <w:rsid w:val="002C34F4"/>
    <w:rsid w:val="002C3778"/>
    <w:rsid w:val="002C3A9F"/>
    <w:rsid w:val="002C3F86"/>
    <w:rsid w:val="002C46A7"/>
    <w:rsid w:val="002C4E6B"/>
    <w:rsid w:val="002C522E"/>
    <w:rsid w:val="002C5C07"/>
    <w:rsid w:val="002C5FBB"/>
    <w:rsid w:val="002C60C6"/>
    <w:rsid w:val="002C6D45"/>
    <w:rsid w:val="002C6E6E"/>
    <w:rsid w:val="002D07E9"/>
    <w:rsid w:val="002D1065"/>
    <w:rsid w:val="002D12B9"/>
    <w:rsid w:val="002D1E72"/>
    <w:rsid w:val="002D209E"/>
    <w:rsid w:val="002D28B6"/>
    <w:rsid w:val="002D32D6"/>
    <w:rsid w:val="002D3580"/>
    <w:rsid w:val="002D42D4"/>
    <w:rsid w:val="002D45EE"/>
    <w:rsid w:val="002D5119"/>
    <w:rsid w:val="002D5262"/>
    <w:rsid w:val="002D5BE7"/>
    <w:rsid w:val="002D5CB4"/>
    <w:rsid w:val="002D620D"/>
    <w:rsid w:val="002D6221"/>
    <w:rsid w:val="002D6E46"/>
    <w:rsid w:val="002D6E53"/>
    <w:rsid w:val="002D6ECB"/>
    <w:rsid w:val="002D7246"/>
    <w:rsid w:val="002D74C7"/>
    <w:rsid w:val="002D7782"/>
    <w:rsid w:val="002E0580"/>
    <w:rsid w:val="002E07BD"/>
    <w:rsid w:val="002E26B2"/>
    <w:rsid w:val="002E28B5"/>
    <w:rsid w:val="002E3DC2"/>
    <w:rsid w:val="002E5250"/>
    <w:rsid w:val="002E5404"/>
    <w:rsid w:val="002E5912"/>
    <w:rsid w:val="002E600A"/>
    <w:rsid w:val="002E62EF"/>
    <w:rsid w:val="002E64E8"/>
    <w:rsid w:val="002E65C6"/>
    <w:rsid w:val="002E669F"/>
    <w:rsid w:val="002E671D"/>
    <w:rsid w:val="002E72F8"/>
    <w:rsid w:val="002E7566"/>
    <w:rsid w:val="002E76F9"/>
    <w:rsid w:val="002E77FD"/>
    <w:rsid w:val="002E7C5D"/>
    <w:rsid w:val="002F046D"/>
    <w:rsid w:val="002F09E4"/>
    <w:rsid w:val="002F14E0"/>
    <w:rsid w:val="002F1CC6"/>
    <w:rsid w:val="002F3287"/>
    <w:rsid w:val="002F3ADE"/>
    <w:rsid w:val="002F3BD5"/>
    <w:rsid w:val="002F4B39"/>
    <w:rsid w:val="002F5C02"/>
    <w:rsid w:val="002F5D59"/>
    <w:rsid w:val="002F6667"/>
    <w:rsid w:val="002F69B1"/>
    <w:rsid w:val="002F6D57"/>
    <w:rsid w:val="002F74BA"/>
    <w:rsid w:val="00300267"/>
    <w:rsid w:val="00301393"/>
    <w:rsid w:val="00301764"/>
    <w:rsid w:val="00301DC8"/>
    <w:rsid w:val="00301FC7"/>
    <w:rsid w:val="00302A5B"/>
    <w:rsid w:val="0030310B"/>
    <w:rsid w:val="0030343F"/>
    <w:rsid w:val="003034F0"/>
    <w:rsid w:val="00303F6B"/>
    <w:rsid w:val="00304050"/>
    <w:rsid w:val="00304CB0"/>
    <w:rsid w:val="00305E91"/>
    <w:rsid w:val="0030626B"/>
    <w:rsid w:val="003065C2"/>
    <w:rsid w:val="0030799C"/>
    <w:rsid w:val="00307EB6"/>
    <w:rsid w:val="003103CD"/>
    <w:rsid w:val="0031195A"/>
    <w:rsid w:val="003124CF"/>
    <w:rsid w:val="00312A1F"/>
    <w:rsid w:val="00313686"/>
    <w:rsid w:val="00313944"/>
    <w:rsid w:val="00313D24"/>
    <w:rsid w:val="00313DB6"/>
    <w:rsid w:val="00313E62"/>
    <w:rsid w:val="003141B9"/>
    <w:rsid w:val="003146B0"/>
    <w:rsid w:val="00314BCF"/>
    <w:rsid w:val="00314D0C"/>
    <w:rsid w:val="0031512A"/>
    <w:rsid w:val="0031534A"/>
    <w:rsid w:val="003154B2"/>
    <w:rsid w:val="0031582E"/>
    <w:rsid w:val="00315974"/>
    <w:rsid w:val="0031689E"/>
    <w:rsid w:val="00316AAB"/>
    <w:rsid w:val="00316D06"/>
    <w:rsid w:val="00317BBC"/>
    <w:rsid w:val="00320197"/>
    <w:rsid w:val="003201AC"/>
    <w:rsid w:val="00320CE4"/>
    <w:rsid w:val="00321673"/>
    <w:rsid w:val="00321AAF"/>
    <w:rsid w:val="00322474"/>
    <w:rsid w:val="0032284D"/>
    <w:rsid w:val="003229D8"/>
    <w:rsid w:val="00323213"/>
    <w:rsid w:val="00323352"/>
    <w:rsid w:val="00323ACD"/>
    <w:rsid w:val="00323BEA"/>
    <w:rsid w:val="00324004"/>
    <w:rsid w:val="0032502C"/>
    <w:rsid w:val="0032570F"/>
    <w:rsid w:val="00326A67"/>
    <w:rsid w:val="00326F0E"/>
    <w:rsid w:val="003277D2"/>
    <w:rsid w:val="00330A8B"/>
    <w:rsid w:val="00330F35"/>
    <w:rsid w:val="00331CAF"/>
    <w:rsid w:val="00331D29"/>
    <w:rsid w:val="003329BE"/>
    <w:rsid w:val="00332E7C"/>
    <w:rsid w:val="00333385"/>
    <w:rsid w:val="00333583"/>
    <w:rsid w:val="00333C0C"/>
    <w:rsid w:val="0033401C"/>
    <w:rsid w:val="003342FF"/>
    <w:rsid w:val="00334F33"/>
    <w:rsid w:val="00335129"/>
    <w:rsid w:val="003358FC"/>
    <w:rsid w:val="00335D61"/>
    <w:rsid w:val="003363D7"/>
    <w:rsid w:val="00336C97"/>
    <w:rsid w:val="00336EDD"/>
    <w:rsid w:val="00336FB4"/>
    <w:rsid w:val="003371DA"/>
    <w:rsid w:val="00337697"/>
    <w:rsid w:val="00337F88"/>
    <w:rsid w:val="00340512"/>
    <w:rsid w:val="00340C6C"/>
    <w:rsid w:val="00341D51"/>
    <w:rsid w:val="00342432"/>
    <w:rsid w:val="00342A62"/>
    <w:rsid w:val="00342E5A"/>
    <w:rsid w:val="00343417"/>
    <w:rsid w:val="003438F7"/>
    <w:rsid w:val="00344265"/>
    <w:rsid w:val="0034473E"/>
    <w:rsid w:val="0034495A"/>
    <w:rsid w:val="00344FD8"/>
    <w:rsid w:val="00345086"/>
    <w:rsid w:val="00345594"/>
    <w:rsid w:val="00345AB5"/>
    <w:rsid w:val="00345AE3"/>
    <w:rsid w:val="00346440"/>
    <w:rsid w:val="003464C1"/>
    <w:rsid w:val="00346D6C"/>
    <w:rsid w:val="003470D4"/>
    <w:rsid w:val="00347C2C"/>
    <w:rsid w:val="00347DD4"/>
    <w:rsid w:val="00347F53"/>
    <w:rsid w:val="00350531"/>
    <w:rsid w:val="0035054E"/>
    <w:rsid w:val="003505BD"/>
    <w:rsid w:val="0035106E"/>
    <w:rsid w:val="00351B04"/>
    <w:rsid w:val="00351DAC"/>
    <w:rsid w:val="00352125"/>
    <w:rsid w:val="0035223F"/>
    <w:rsid w:val="003522C4"/>
    <w:rsid w:val="00352795"/>
    <w:rsid w:val="00352A88"/>
    <w:rsid w:val="00352AED"/>
    <w:rsid w:val="00352D4B"/>
    <w:rsid w:val="003530E9"/>
    <w:rsid w:val="0035363D"/>
    <w:rsid w:val="003539FD"/>
    <w:rsid w:val="00353A0E"/>
    <w:rsid w:val="00353AC0"/>
    <w:rsid w:val="00353C51"/>
    <w:rsid w:val="00354614"/>
    <w:rsid w:val="00355E80"/>
    <w:rsid w:val="0035622B"/>
    <w:rsid w:val="0035638C"/>
    <w:rsid w:val="00356608"/>
    <w:rsid w:val="00356E08"/>
    <w:rsid w:val="00357611"/>
    <w:rsid w:val="0035773A"/>
    <w:rsid w:val="003578B9"/>
    <w:rsid w:val="003600B3"/>
    <w:rsid w:val="003602A3"/>
    <w:rsid w:val="0036052C"/>
    <w:rsid w:val="00360CED"/>
    <w:rsid w:val="00361825"/>
    <w:rsid w:val="00361DAE"/>
    <w:rsid w:val="003635E5"/>
    <w:rsid w:val="0036399F"/>
    <w:rsid w:val="00364147"/>
    <w:rsid w:val="0036444A"/>
    <w:rsid w:val="003649F6"/>
    <w:rsid w:val="00365483"/>
    <w:rsid w:val="0036598E"/>
    <w:rsid w:val="00365B88"/>
    <w:rsid w:val="00366575"/>
    <w:rsid w:val="0036734E"/>
    <w:rsid w:val="0036735F"/>
    <w:rsid w:val="003676AC"/>
    <w:rsid w:val="0036770F"/>
    <w:rsid w:val="0037058A"/>
    <w:rsid w:val="003706F2"/>
    <w:rsid w:val="00370E70"/>
    <w:rsid w:val="0037190C"/>
    <w:rsid w:val="003723A5"/>
    <w:rsid w:val="003729F5"/>
    <w:rsid w:val="0037301A"/>
    <w:rsid w:val="00373726"/>
    <w:rsid w:val="00373760"/>
    <w:rsid w:val="00373803"/>
    <w:rsid w:val="00374093"/>
    <w:rsid w:val="00374100"/>
    <w:rsid w:val="00374D9B"/>
    <w:rsid w:val="00375956"/>
    <w:rsid w:val="00375989"/>
    <w:rsid w:val="00376117"/>
    <w:rsid w:val="00376A07"/>
    <w:rsid w:val="00376DB7"/>
    <w:rsid w:val="00376E68"/>
    <w:rsid w:val="00380BAE"/>
    <w:rsid w:val="0038112D"/>
    <w:rsid w:val="00381399"/>
    <w:rsid w:val="00381714"/>
    <w:rsid w:val="00381893"/>
    <w:rsid w:val="00381F29"/>
    <w:rsid w:val="00381F6A"/>
    <w:rsid w:val="0038255E"/>
    <w:rsid w:val="003826A4"/>
    <w:rsid w:val="00382F50"/>
    <w:rsid w:val="00383458"/>
    <w:rsid w:val="00383499"/>
    <w:rsid w:val="00384368"/>
    <w:rsid w:val="0038493F"/>
    <w:rsid w:val="00384983"/>
    <w:rsid w:val="00384DE6"/>
    <w:rsid w:val="00384E55"/>
    <w:rsid w:val="00384EA7"/>
    <w:rsid w:val="00384F8A"/>
    <w:rsid w:val="00384FEF"/>
    <w:rsid w:val="003852C8"/>
    <w:rsid w:val="00385482"/>
    <w:rsid w:val="00385866"/>
    <w:rsid w:val="00385DB5"/>
    <w:rsid w:val="00385DD5"/>
    <w:rsid w:val="003868BD"/>
    <w:rsid w:val="00386DF8"/>
    <w:rsid w:val="00387049"/>
    <w:rsid w:val="003870A8"/>
    <w:rsid w:val="0038740D"/>
    <w:rsid w:val="00387467"/>
    <w:rsid w:val="00387A1D"/>
    <w:rsid w:val="003910FE"/>
    <w:rsid w:val="003918E6"/>
    <w:rsid w:val="003920CB"/>
    <w:rsid w:val="00392450"/>
    <w:rsid w:val="0039268B"/>
    <w:rsid w:val="00393117"/>
    <w:rsid w:val="003945B1"/>
    <w:rsid w:val="00394C4B"/>
    <w:rsid w:val="00395932"/>
    <w:rsid w:val="00396033"/>
    <w:rsid w:val="0039695D"/>
    <w:rsid w:val="00396ADD"/>
    <w:rsid w:val="00397AFC"/>
    <w:rsid w:val="00397F21"/>
    <w:rsid w:val="00397F7C"/>
    <w:rsid w:val="003A0412"/>
    <w:rsid w:val="003A1DEE"/>
    <w:rsid w:val="003A2415"/>
    <w:rsid w:val="003A27E6"/>
    <w:rsid w:val="003A27E9"/>
    <w:rsid w:val="003A2B38"/>
    <w:rsid w:val="003A383F"/>
    <w:rsid w:val="003A40E2"/>
    <w:rsid w:val="003A40ED"/>
    <w:rsid w:val="003A46BB"/>
    <w:rsid w:val="003A4979"/>
    <w:rsid w:val="003A4DF8"/>
    <w:rsid w:val="003A4EC7"/>
    <w:rsid w:val="003A4F16"/>
    <w:rsid w:val="003A51FF"/>
    <w:rsid w:val="003A5339"/>
    <w:rsid w:val="003A58FA"/>
    <w:rsid w:val="003A6563"/>
    <w:rsid w:val="003A65A6"/>
    <w:rsid w:val="003A6EB6"/>
    <w:rsid w:val="003A7295"/>
    <w:rsid w:val="003A7663"/>
    <w:rsid w:val="003A76CA"/>
    <w:rsid w:val="003A7F75"/>
    <w:rsid w:val="003B02F8"/>
    <w:rsid w:val="003B077C"/>
    <w:rsid w:val="003B07CF"/>
    <w:rsid w:val="003B0968"/>
    <w:rsid w:val="003B1707"/>
    <w:rsid w:val="003B17C8"/>
    <w:rsid w:val="003B1ABB"/>
    <w:rsid w:val="003B1F1C"/>
    <w:rsid w:val="003B1F60"/>
    <w:rsid w:val="003B251D"/>
    <w:rsid w:val="003B2576"/>
    <w:rsid w:val="003B2B81"/>
    <w:rsid w:val="003B3299"/>
    <w:rsid w:val="003B3369"/>
    <w:rsid w:val="003B4D03"/>
    <w:rsid w:val="003B4DF4"/>
    <w:rsid w:val="003B52DE"/>
    <w:rsid w:val="003B5440"/>
    <w:rsid w:val="003B5E44"/>
    <w:rsid w:val="003B625F"/>
    <w:rsid w:val="003B6864"/>
    <w:rsid w:val="003B6DAD"/>
    <w:rsid w:val="003B6EBB"/>
    <w:rsid w:val="003B775D"/>
    <w:rsid w:val="003B778D"/>
    <w:rsid w:val="003B7B9C"/>
    <w:rsid w:val="003C097D"/>
    <w:rsid w:val="003C0ADF"/>
    <w:rsid w:val="003C0B02"/>
    <w:rsid w:val="003C0D69"/>
    <w:rsid w:val="003C140A"/>
    <w:rsid w:val="003C19F8"/>
    <w:rsid w:val="003C1BA9"/>
    <w:rsid w:val="003C2017"/>
    <w:rsid w:val="003C2082"/>
    <w:rsid w:val="003C2511"/>
    <w:rsid w:val="003C2C05"/>
    <w:rsid w:val="003C2CC4"/>
    <w:rsid w:val="003C2E22"/>
    <w:rsid w:val="003C2EE7"/>
    <w:rsid w:val="003C2F1A"/>
    <w:rsid w:val="003C3419"/>
    <w:rsid w:val="003C3820"/>
    <w:rsid w:val="003C3E96"/>
    <w:rsid w:val="003C4129"/>
    <w:rsid w:val="003C4147"/>
    <w:rsid w:val="003C508A"/>
    <w:rsid w:val="003C5462"/>
    <w:rsid w:val="003C5ACE"/>
    <w:rsid w:val="003C5C3E"/>
    <w:rsid w:val="003C5FFD"/>
    <w:rsid w:val="003C730B"/>
    <w:rsid w:val="003C7D45"/>
    <w:rsid w:val="003D0176"/>
    <w:rsid w:val="003D07B8"/>
    <w:rsid w:val="003D0BF1"/>
    <w:rsid w:val="003D1283"/>
    <w:rsid w:val="003D13A5"/>
    <w:rsid w:val="003D288D"/>
    <w:rsid w:val="003D2CCA"/>
    <w:rsid w:val="003D356E"/>
    <w:rsid w:val="003D3C57"/>
    <w:rsid w:val="003D4B23"/>
    <w:rsid w:val="003D51B4"/>
    <w:rsid w:val="003D51B5"/>
    <w:rsid w:val="003D5246"/>
    <w:rsid w:val="003D5351"/>
    <w:rsid w:val="003D599B"/>
    <w:rsid w:val="003D6935"/>
    <w:rsid w:val="003D6D1C"/>
    <w:rsid w:val="003D6FFD"/>
    <w:rsid w:val="003D7A0D"/>
    <w:rsid w:val="003D7A8E"/>
    <w:rsid w:val="003D7E11"/>
    <w:rsid w:val="003E012D"/>
    <w:rsid w:val="003E036C"/>
    <w:rsid w:val="003E0A3E"/>
    <w:rsid w:val="003E1286"/>
    <w:rsid w:val="003E13D2"/>
    <w:rsid w:val="003E15E6"/>
    <w:rsid w:val="003E1946"/>
    <w:rsid w:val="003E278A"/>
    <w:rsid w:val="003E2F65"/>
    <w:rsid w:val="003E2FA1"/>
    <w:rsid w:val="003E3387"/>
    <w:rsid w:val="003E39BA"/>
    <w:rsid w:val="003E3B46"/>
    <w:rsid w:val="003E4349"/>
    <w:rsid w:val="003E4FA0"/>
    <w:rsid w:val="003E5A96"/>
    <w:rsid w:val="003E5B12"/>
    <w:rsid w:val="003E603D"/>
    <w:rsid w:val="003E630E"/>
    <w:rsid w:val="003E692A"/>
    <w:rsid w:val="003E79BB"/>
    <w:rsid w:val="003F0222"/>
    <w:rsid w:val="003F0792"/>
    <w:rsid w:val="003F0F2F"/>
    <w:rsid w:val="003F27B7"/>
    <w:rsid w:val="003F2EE5"/>
    <w:rsid w:val="003F2F5F"/>
    <w:rsid w:val="003F3205"/>
    <w:rsid w:val="003F3377"/>
    <w:rsid w:val="003F3E12"/>
    <w:rsid w:val="003F411A"/>
    <w:rsid w:val="003F4335"/>
    <w:rsid w:val="003F44D2"/>
    <w:rsid w:val="003F45B9"/>
    <w:rsid w:val="003F4D1C"/>
    <w:rsid w:val="003F4DA9"/>
    <w:rsid w:val="003F4F4C"/>
    <w:rsid w:val="003F54A8"/>
    <w:rsid w:val="003F56A0"/>
    <w:rsid w:val="003F601B"/>
    <w:rsid w:val="003F60CA"/>
    <w:rsid w:val="003F6209"/>
    <w:rsid w:val="003F63AE"/>
    <w:rsid w:val="003F65FF"/>
    <w:rsid w:val="003F6B63"/>
    <w:rsid w:val="003F7208"/>
    <w:rsid w:val="003F72FE"/>
    <w:rsid w:val="003F736D"/>
    <w:rsid w:val="00400026"/>
    <w:rsid w:val="00401638"/>
    <w:rsid w:val="004022AE"/>
    <w:rsid w:val="004022BD"/>
    <w:rsid w:val="00402373"/>
    <w:rsid w:val="0040249C"/>
    <w:rsid w:val="004025BD"/>
    <w:rsid w:val="004025E8"/>
    <w:rsid w:val="004038CC"/>
    <w:rsid w:val="00403A66"/>
    <w:rsid w:val="00404846"/>
    <w:rsid w:val="00404AC3"/>
    <w:rsid w:val="00405612"/>
    <w:rsid w:val="00405D04"/>
    <w:rsid w:val="004060E0"/>
    <w:rsid w:val="00406BC0"/>
    <w:rsid w:val="00407035"/>
    <w:rsid w:val="00407D8E"/>
    <w:rsid w:val="00410790"/>
    <w:rsid w:val="00410A05"/>
    <w:rsid w:val="00410F0F"/>
    <w:rsid w:val="00412E5F"/>
    <w:rsid w:val="00412E7C"/>
    <w:rsid w:val="00412F48"/>
    <w:rsid w:val="00412FBF"/>
    <w:rsid w:val="00413520"/>
    <w:rsid w:val="004135F7"/>
    <w:rsid w:val="004136EE"/>
    <w:rsid w:val="004138AC"/>
    <w:rsid w:val="0041514C"/>
    <w:rsid w:val="004153CE"/>
    <w:rsid w:val="00415CCC"/>
    <w:rsid w:val="00415FC2"/>
    <w:rsid w:val="004170BB"/>
    <w:rsid w:val="00417174"/>
    <w:rsid w:val="00420874"/>
    <w:rsid w:val="00420A89"/>
    <w:rsid w:val="00420E57"/>
    <w:rsid w:val="00421588"/>
    <w:rsid w:val="0042160E"/>
    <w:rsid w:val="00421962"/>
    <w:rsid w:val="00421A91"/>
    <w:rsid w:val="00422454"/>
    <w:rsid w:val="004224E9"/>
    <w:rsid w:val="0042280C"/>
    <w:rsid w:val="00422974"/>
    <w:rsid w:val="00424901"/>
    <w:rsid w:val="00424995"/>
    <w:rsid w:val="004252A4"/>
    <w:rsid w:val="00425BAA"/>
    <w:rsid w:val="00426489"/>
    <w:rsid w:val="00426A82"/>
    <w:rsid w:val="00426B3F"/>
    <w:rsid w:val="00427192"/>
    <w:rsid w:val="00427E4E"/>
    <w:rsid w:val="004303E5"/>
    <w:rsid w:val="004303E9"/>
    <w:rsid w:val="00430496"/>
    <w:rsid w:val="00430B15"/>
    <w:rsid w:val="0043113D"/>
    <w:rsid w:val="00431FC9"/>
    <w:rsid w:val="00431FD6"/>
    <w:rsid w:val="004325CB"/>
    <w:rsid w:val="00432A2D"/>
    <w:rsid w:val="00432D79"/>
    <w:rsid w:val="00433085"/>
    <w:rsid w:val="004332BA"/>
    <w:rsid w:val="00433528"/>
    <w:rsid w:val="00433627"/>
    <w:rsid w:val="00433757"/>
    <w:rsid w:val="00433DCE"/>
    <w:rsid w:val="00433F19"/>
    <w:rsid w:val="00434059"/>
    <w:rsid w:val="004344AE"/>
    <w:rsid w:val="004345FD"/>
    <w:rsid w:val="00434948"/>
    <w:rsid w:val="0043516C"/>
    <w:rsid w:val="0043655D"/>
    <w:rsid w:val="00436652"/>
    <w:rsid w:val="00436A97"/>
    <w:rsid w:val="00437471"/>
    <w:rsid w:val="004374FA"/>
    <w:rsid w:val="00437794"/>
    <w:rsid w:val="00437F2F"/>
    <w:rsid w:val="00440189"/>
    <w:rsid w:val="004402D3"/>
    <w:rsid w:val="0044070E"/>
    <w:rsid w:val="00440780"/>
    <w:rsid w:val="00440A07"/>
    <w:rsid w:val="004412CA"/>
    <w:rsid w:val="004419BC"/>
    <w:rsid w:val="004419C2"/>
    <w:rsid w:val="00442244"/>
    <w:rsid w:val="00442421"/>
    <w:rsid w:val="0044280C"/>
    <w:rsid w:val="004445F8"/>
    <w:rsid w:val="00444B81"/>
    <w:rsid w:val="0044643F"/>
    <w:rsid w:val="004469A2"/>
    <w:rsid w:val="00446F09"/>
    <w:rsid w:val="00450AC9"/>
    <w:rsid w:val="00450DCF"/>
    <w:rsid w:val="004515AB"/>
    <w:rsid w:val="004517B1"/>
    <w:rsid w:val="0045180A"/>
    <w:rsid w:val="00452053"/>
    <w:rsid w:val="004524BA"/>
    <w:rsid w:val="004527AD"/>
    <w:rsid w:val="004528C2"/>
    <w:rsid w:val="004536FA"/>
    <w:rsid w:val="00454CD4"/>
    <w:rsid w:val="00455A17"/>
    <w:rsid w:val="004564C2"/>
    <w:rsid w:val="00456D08"/>
    <w:rsid w:val="00460285"/>
    <w:rsid w:val="00460632"/>
    <w:rsid w:val="00460A0C"/>
    <w:rsid w:val="00460E96"/>
    <w:rsid w:val="004617F3"/>
    <w:rsid w:val="00462880"/>
    <w:rsid w:val="004629EB"/>
    <w:rsid w:val="00462A4B"/>
    <w:rsid w:val="00462F61"/>
    <w:rsid w:val="004630FB"/>
    <w:rsid w:val="004635DB"/>
    <w:rsid w:val="00464BFE"/>
    <w:rsid w:val="00464DC1"/>
    <w:rsid w:val="00465B0B"/>
    <w:rsid w:val="00465BD8"/>
    <w:rsid w:val="00466119"/>
    <w:rsid w:val="00466707"/>
    <w:rsid w:val="0046676F"/>
    <w:rsid w:val="00466792"/>
    <w:rsid w:val="00467133"/>
    <w:rsid w:val="0046760F"/>
    <w:rsid w:val="0046767D"/>
    <w:rsid w:val="004679F3"/>
    <w:rsid w:val="00467B52"/>
    <w:rsid w:val="00470E52"/>
    <w:rsid w:val="00471092"/>
    <w:rsid w:val="00471930"/>
    <w:rsid w:val="0047200A"/>
    <w:rsid w:val="00472AF8"/>
    <w:rsid w:val="00472FDE"/>
    <w:rsid w:val="00473803"/>
    <w:rsid w:val="00473A46"/>
    <w:rsid w:val="00473A5C"/>
    <w:rsid w:val="00473B2F"/>
    <w:rsid w:val="004744B4"/>
    <w:rsid w:val="00474828"/>
    <w:rsid w:val="00475A52"/>
    <w:rsid w:val="00475C8E"/>
    <w:rsid w:val="00475F68"/>
    <w:rsid w:val="004761A3"/>
    <w:rsid w:val="00476674"/>
    <w:rsid w:val="00476D3B"/>
    <w:rsid w:val="00476E85"/>
    <w:rsid w:val="00476F24"/>
    <w:rsid w:val="004770E8"/>
    <w:rsid w:val="004771CB"/>
    <w:rsid w:val="004773BD"/>
    <w:rsid w:val="00477630"/>
    <w:rsid w:val="0047769B"/>
    <w:rsid w:val="004777F3"/>
    <w:rsid w:val="004801F4"/>
    <w:rsid w:val="0048021F"/>
    <w:rsid w:val="004803AC"/>
    <w:rsid w:val="00480525"/>
    <w:rsid w:val="00480531"/>
    <w:rsid w:val="004807B7"/>
    <w:rsid w:val="0048082D"/>
    <w:rsid w:val="0048092E"/>
    <w:rsid w:val="00481FAB"/>
    <w:rsid w:val="00482936"/>
    <w:rsid w:val="00482AFF"/>
    <w:rsid w:val="0048389A"/>
    <w:rsid w:val="0048389C"/>
    <w:rsid w:val="00484A25"/>
    <w:rsid w:val="00484A79"/>
    <w:rsid w:val="00486632"/>
    <w:rsid w:val="00486633"/>
    <w:rsid w:val="00486D71"/>
    <w:rsid w:val="00487E5A"/>
    <w:rsid w:val="00487E94"/>
    <w:rsid w:val="00490830"/>
    <w:rsid w:val="00491A8B"/>
    <w:rsid w:val="00491D67"/>
    <w:rsid w:val="00492231"/>
    <w:rsid w:val="00492A37"/>
    <w:rsid w:val="00492C5B"/>
    <w:rsid w:val="0049326A"/>
    <w:rsid w:val="004939C6"/>
    <w:rsid w:val="00493B2F"/>
    <w:rsid w:val="00493D84"/>
    <w:rsid w:val="004940F1"/>
    <w:rsid w:val="004950C7"/>
    <w:rsid w:val="00495202"/>
    <w:rsid w:val="0049582A"/>
    <w:rsid w:val="00496294"/>
    <w:rsid w:val="00496338"/>
    <w:rsid w:val="004967BE"/>
    <w:rsid w:val="00496A75"/>
    <w:rsid w:val="004972BC"/>
    <w:rsid w:val="00497E11"/>
    <w:rsid w:val="00497FD2"/>
    <w:rsid w:val="004A08D8"/>
    <w:rsid w:val="004A09F1"/>
    <w:rsid w:val="004A0DC2"/>
    <w:rsid w:val="004A1586"/>
    <w:rsid w:val="004A2FC2"/>
    <w:rsid w:val="004A3398"/>
    <w:rsid w:val="004A3441"/>
    <w:rsid w:val="004A3609"/>
    <w:rsid w:val="004A38AC"/>
    <w:rsid w:val="004A3FF1"/>
    <w:rsid w:val="004A4B33"/>
    <w:rsid w:val="004A53B0"/>
    <w:rsid w:val="004A6394"/>
    <w:rsid w:val="004A65E6"/>
    <w:rsid w:val="004A6BD4"/>
    <w:rsid w:val="004A6D3B"/>
    <w:rsid w:val="004B099E"/>
    <w:rsid w:val="004B11D9"/>
    <w:rsid w:val="004B16F9"/>
    <w:rsid w:val="004B177A"/>
    <w:rsid w:val="004B1E10"/>
    <w:rsid w:val="004B2753"/>
    <w:rsid w:val="004B2844"/>
    <w:rsid w:val="004B3110"/>
    <w:rsid w:val="004B3786"/>
    <w:rsid w:val="004B38AB"/>
    <w:rsid w:val="004B3C93"/>
    <w:rsid w:val="004B3F76"/>
    <w:rsid w:val="004B4BEE"/>
    <w:rsid w:val="004B4FD4"/>
    <w:rsid w:val="004B534E"/>
    <w:rsid w:val="004B56A9"/>
    <w:rsid w:val="004B5D3E"/>
    <w:rsid w:val="004B693F"/>
    <w:rsid w:val="004B6B52"/>
    <w:rsid w:val="004B7DAD"/>
    <w:rsid w:val="004C010F"/>
    <w:rsid w:val="004C054B"/>
    <w:rsid w:val="004C1C9F"/>
    <w:rsid w:val="004C3C39"/>
    <w:rsid w:val="004C4027"/>
    <w:rsid w:val="004C518F"/>
    <w:rsid w:val="004C55B0"/>
    <w:rsid w:val="004C5984"/>
    <w:rsid w:val="004C5B8B"/>
    <w:rsid w:val="004C7698"/>
    <w:rsid w:val="004D00AE"/>
    <w:rsid w:val="004D0846"/>
    <w:rsid w:val="004D1198"/>
    <w:rsid w:val="004D13C5"/>
    <w:rsid w:val="004D1D79"/>
    <w:rsid w:val="004D1DFA"/>
    <w:rsid w:val="004D2028"/>
    <w:rsid w:val="004D22C3"/>
    <w:rsid w:val="004D24F1"/>
    <w:rsid w:val="004D26AF"/>
    <w:rsid w:val="004D28B0"/>
    <w:rsid w:val="004D2E2E"/>
    <w:rsid w:val="004D3085"/>
    <w:rsid w:val="004D3A28"/>
    <w:rsid w:val="004D40C8"/>
    <w:rsid w:val="004D4A66"/>
    <w:rsid w:val="004D4D4A"/>
    <w:rsid w:val="004D521E"/>
    <w:rsid w:val="004D5D5C"/>
    <w:rsid w:val="004D6048"/>
    <w:rsid w:val="004D6064"/>
    <w:rsid w:val="004D690B"/>
    <w:rsid w:val="004D7399"/>
    <w:rsid w:val="004D74CB"/>
    <w:rsid w:val="004D7552"/>
    <w:rsid w:val="004D7FA4"/>
    <w:rsid w:val="004E00FF"/>
    <w:rsid w:val="004E015D"/>
    <w:rsid w:val="004E05E2"/>
    <w:rsid w:val="004E097F"/>
    <w:rsid w:val="004E164E"/>
    <w:rsid w:val="004E1B31"/>
    <w:rsid w:val="004E1D34"/>
    <w:rsid w:val="004E1E16"/>
    <w:rsid w:val="004E1E79"/>
    <w:rsid w:val="004E6604"/>
    <w:rsid w:val="004E699D"/>
    <w:rsid w:val="004E6B16"/>
    <w:rsid w:val="004E6D06"/>
    <w:rsid w:val="004E6D18"/>
    <w:rsid w:val="004E7105"/>
    <w:rsid w:val="004F0890"/>
    <w:rsid w:val="004F0A6F"/>
    <w:rsid w:val="004F1802"/>
    <w:rsid w:val="004F27EB"/>
    <w:rsid w:val="004F2C8E"/>
    <w:rsid w:val="004F351D"/>
    <w:rsid w:val="004F371E"/>
    <w:rsid w:val="004F3AAC"/>
    <w:rsid w:val="004F3B0A"/>
    <w:rsid w:val="004F3DB7"/>
    <w:rsid w:val="004F4F12"/>
    <w:rsid w:val="004F5577"/>
    <w:rsid w:val="004F5AF4"/>
    <w:rsid w:val="004F6369"/>
    <w:rsid w:val="004F6BA0"/>
    <w:rsid w:val="004F7534"/>
    <w:rsid w:val="004F756C"/>
    <w:rsid w:val="004F7BFE"/>
    <w:rsid w:val="004F7CDE"/>
    <w:rsid w:val="004F7FA5"/>
    <w:rsid w:val="00500438"/>
    <w:rsid w:val="0050067E"/>
    <w:rsid w:val="00500980"/>
    <w:rsid w:val="00500ED0"/>
    <w:rsid w:val="005017DD"/>
    <w:rsid w:val="0050258C"/>
    <w:rsid w:val="0050290B"/>
    <w:rsid w:val="00503BEA"/>
    <w:rsid w:val="00503FAA"/>
    <w:rsid w:val="00504802"/>
    <w:rsid w:val="0050603C"/>
    <w:rsid w:val="005060F4"/>
    <w:rsid w:val="0050627E"/>
    <w:rsid w:val="0050669D"/>
    <w:rsid w:val="00506870"/>
    <w:rsid w:val="00506DC6"/>
    <w:rsid w:val="00507304"/>
    <w:rsid w:val="005074D1"/>
    <w:rsid w:val="005076D8"/>
    <w:rsid w:val="00507D24"/>
    <w:rsid w:val="00507DC7"/>
    <w:rsid w:val="00510180"/>
    <w:rsid w:val="00511975"/>
    <w:rsid w:val="00512243"/>
    <w:rsid w:val="00512898"/>
    <w:rsid w:val="00512985"/>
    <w:rsid w:val="005131B5"/>
    <w:rsid w:val="005132E3"/>
    <w:rsid w:val="00513724"/>
    <w:rsid w:val="00513BDB"/>
    <w:rsid w:val="00513E2D"/>
    <w:rsid w:val="00514113"/>
    <w:rsid w:val="00514BE5"/>
    <w:rsid w:val="00515D78"/>
    <w:rsid w:val="00515F9F"/>
    <w:rsid w:val="0051700E"/>
    <w:rsid w:val="0051716A"/>
    <w:rsid w:val="00517998"/>
    <w:rsid w:val="00517CCE"/>
    <w:rsid w:val="00517E5E"/>
    <w:rsid w:val="00520610"/>
    <w:rsid w:val="0052180E"/>
    <w:rsid w:val="0052195E"/>
    <w:rsid w:val="005219F7"/>
    <w:rsid w:val="00521F47"/>
    <w:rsid w:val="00522BE5"/>
    <w:rsid w:val="00522EAA"/>
    <w:rsid w:val="00523482"/>
    <w:rsid w:val="00523AC3"/>
    <w:rsid w:val="005251E2"/>
    <w:rsid w:val="00525890"/>
    <w:rsid w:val="00525E51"/>
    <w:rsid w:val="005263A9"/>
    <w:rsid w:val="00526FE3"/>
    <w:rsid w:val="00527D47"/>
    <w:rsid w:val="00527EA4"/>
    <w:rsid w:val="00530DD0"/>
    <w:rsid w:val="00530F14"/>
    <w:rsid w:val="0053101B"/>
    <w:rsid w:val="00531496"/>
    <w:rsid w:val="00531D2C"/>
    <w:rsid w:val="00531F0C"/>
    <w:rsid w:val="0053202B"/>
    <w:rsid w:val="005324F1"/>
    <w:rsid w:val="0053288A"/>
    <w:rsid w:val="00532A16"/>
    <w:rsid w:val="00532F7F"/>
    <w:rsid w:val="005331E8"/>
    <w:rsid w:val="00533207"/>
    <w:rsid w:val="00533616"/>
    <w:rsid w:val="005350C7"/>
    <w:rsid w:val="00535807"/>
    <w:rsid w:val="00535ABA"/>
    <w:rsid w:val="005360A3"/>
    <w:rsid w:val="00536CD0"/>
    <w:rsid w:val="0053768B"/>
    <w:rsid w:val="00537952"/>
    <w:rsid w:val="00537C21"/>
    <w:rsid w:val="0054018E"/>
    <w:rsid w:val="00540A8F"/>
    <w:rsid w:val="00541B82"/>
    <w:rsid w:val="00541BB7"/>
    <w:rsid w:val="005420F2"/>
    <w:rsid w:val="0054214A"/>
    <w:rsid w:val="0054285C"/>
    <w:rsid w:val="00543230"/>
    <w:rsid w:val="005439ED"/>
    <w:rsid w:val="005441D4"/>
    <w:rsid w:val="00544746"/>
    <w:rsid w:val="0054478B"/>
    <w:rsid w:val="00544D72"/>
    <w:rsid w:val="00544EC8"/>
    <w:rsid w:val="005450D9"/>
    <w:rsid w:val="00545E74"/>
    <w:rsid w:val="00546751"/>
    <w:rsid w:val="0054680F"/>
    <w:rsid w:val="0054681D"/>
    <w:rsid w:val="00546C33"/>
    <w:rsid w:val="00546CA5"/>
    <w:rsid w:val="00546D7A"/>
    <w:rsid w:val="005472EB"/>
    <w:rsid w:val="005477B7"/>
    <w:rsid w:val="0054782F"/>
    <w:rsid w:val="00547EC6"/>
    <w:rsid w:val="00547FFD"/>
    <w:rsid w:val="005500B0"/>
    <w:rsid w:val="00550954"/>
    <w:rsid w:val="00551641"/>
    <w:rsid w:val="005517CE"/>
    <w:rsid w:val="00551BBC"/>
    <w:rsid w:val="00551D1E"/>
    <w:rsid w:val="00551DAF"/>
    <w:rsid w:val="00551F94"/>
    <w:rsid w:val="00552878"/>
    <w:rsid w:val="00552AED"/>
    <w:rsid w:val="00552C73"/>
    <w:rsid w:val="00552F49"/>
    <w:rsid w:val="00552F98"/>
    <w:rsid w:val="00553474"/>
    <w:rsid w:val="00553502"/>
    <w:rsid w:val="00554325"/>
    <w:rsid w:val="00554329"/>
    <w:rsid w:val="00555597"/>
    <w:rsid w:val="005558C5"/>
    <w:rsid w:val="00555D44"/>
    <w:rsid w:val="00556146"/>
    <w:rsid w:val="00556625"/>
    <w:rsid w:val="0055693A"/>
    <w:rsid w:val="00557C4F"/>
    <w:rsid w:val="00560963"/>
    <w:rsid w:val="00561164"/>
    <w:rsid w:val="00561956"/>
    <w:rsid w:val="005627B0"/>
    <w:rsid w:val="00562958"/>
    <w:rsid w:val="00562A1D"/>
    <w:rsid w:val="005633C7"/>
    <w:rsid w:val="005648AD"/>
    <w:rsid w:val="005648E2"/>
    <w:rsid w:val="00564A1E"/>
    <w:rsid w:val="00564BC6"/>
    <w:rsid w:val="00565E16"/>
    <w:rsid w:val="005664A1"/>
    <w:rsid w:val="00566BB5"/>
    <w:rsid w:val="00566DA9"/>
    <w:rsid w:val="00566F3B"/>
    <w:rsid w:val="00566FC6"/>
    <w:rsid w:val="00570502"/>
    <w:rsid w:val="005708E4"/>
    <w:rsid w:val="00570F17"/>
    <w:rsid w:val="0057230B"/>
    <w:rsid w:val="00572645"/>
    <w:rsid w:val="005727EE"/>
    <w:rsid w:val="00572A57"/>
    <w:rsid w:val="00572DDF"/>
    <w:rsid w:val="00572EAA"/>
    <w:rsid w:val="00572F9C"/>
    <w:rsid w:val="0057326B"/>
    <w:rsid w:val="00573A7D"/>
    <w:rsid w:val="00573EE4"/>
    <w:rsid w:val="00573EF5"/>
    <w:rsid w:val="00573F70"/>
    <w:rsid w:val="0057465A"/>
    <w:rsid w:val="005746B8"/>
    <w:rsid w:val="00574DAB"/>
    <w:rsid w:val="0057684A"/>
    <w:rsid w:val="00576CC0"/>
    <w:rsid w:val="005770E8"/>
    <w:rsid w:val="0057736E"/>
    <w:rsid w:val="00577B1E"/>
    <w:rsid w:val="00577C01"/>
    <w:rsid w:val="00580756"/>
    <w:rsid w:val="00580B4D"/>
    <w:rsid w:val="00580F8B"/>
    <w:rsid w:val="005810CC"/>
    <w:rsid w:val="00582F9D"/>
    <w:rsid w:val="00582FDE"/>
    <w:rsid w:val="00583035"/>
    <w:rsid w:val="0058340C"/>
    <w:rsid w:val="00584173"/>
    <w:rsid w:val="00584B5A"/>
    <w:rsid w:val="00585703"/>
    <w:rsid w:val="00585B58"/>
    <w:rsid w:val="00585C8A"/>
    <w:rsid w:val="00586158"/>
    <w:rsid w:val="00586CE1"/>
    <w:rsid w:val="00587C4B"/>
    <w:rsid w:val="005907B8"/>
    <w:rsid w:val="00590D27"/>
    <w:rsid w:val="00591AA9"/>
    <w:rsid w:val="00592055"/>
    <w:rsid w:val="0059318E"/>
    <w:rsid w:val="00593522"/>
    <w:rsid w:val="005936FF"/>
    <w:rsid w:val="00593DB8"/>
    <w:rsid w:val="005942A8"/>
    <w:rsid w:val="005945E4"/>
    <w:rsid w:val="0059480E"/>
    <w:rsid w:val="0059494E"/>
    <w:rsid w:val="0059541E"/>
    <w:rsid w:val="00595520"/>
    <w:rsid w:val="005959A0"/>
    <w:rsid w:val="00595AB0"/>
    <w:rsid w:val="00596A76"/>
    <w:rsid w:val="00596F2B"/>
    <w:rsid w:val="0059735F"/>
    <w:rsid w:val="005A0277"/>
    <w:rsid w:val="005A046B"/>
    <w:rsid w:val="005A0673"/>
    <w:rsid w:val="005A08B2"/>
    <w:rsid w:val="005A1325"/>
    <w:rsid w:val="005A1C72"/>
    <w:rsid w:val="005A1CB6"/>
    <w:rsid w:val="005A1D3D"/>
    <w:rsid w:val="005A1E24"/>
    <w:rsid w:val="005A2255"/>
    <w:rsid w:val="005A2305"/>
    <w:rsid w:val="005A262B"/>
    <w:rsid w:val="005A269D"/>
    <w:rsid w:val="005A2D6D"/>
    <w:rsid w:val="005A374E"/>
    <w:rsid w:val="005A38B4"/>
    <w:rsid w:val="005A3BF3"/>
    <w:rsid w:val="005A3DD3"/>
    <w:rsid w:val="005A44B9"/>
    <w:rsid w:val="005A4518"/>
    <w:rsid w:val="005A467C"/>
    <w:rsid w:val="005A47CA"/>
    <w:rsid w:val="005A4E03"/>
    <w:rsid w:val="005A5973"/>
    <w:rsid w:val="005A6428"/>
    <w:rsid w:val="005A7327"/>
    <w:rsid w:val="005A7A2C"/>
    <w:rsid w:val="005B0695"/>
    <w:rsid w:val="005B19C7"/>
    <w:rsid w:val="005B1A85"/>
    <w:rsid w:val="005B1AF8"/>
    <w:rsid w:val="005B1BA0"/>
    <w:rsid w:val="005B258E"/>
    <w:rsid w:val="005B264F"/>
    <w:rsid w:val="005B2897"/>
    <w:rsid w:val="005B2A20"/>
    <w:rsid w:val="005B3C6A"/>
    <w:rsid w:val="005B3DB3"/>
    <w:rsid w:val="005B4931"/>
    <w:rsid w:val="005B4980"/>
    <w:rsid w:val="005B4BC6"/>
    <w:rsid w:val="005B4D9C"/>
    <w:rsid w:val="005B5BBA"/>
    <w:rsid w:val="005B60FE"/>
    <w:rsid w:val="005B6E0E"/>
    <w:rsid w:val="005B712E"/>
    <w:rsid w:val="005B7CEB"/>
    <w:rsid w:val="005C031A"/>
    <w:rsid w:val="005C23EF"/>
    <w:rsid w:val="005C2A86"/>
    <w:rsid w:val="005C31DA"/>
    <w:rsid w:val="005C3540"/>
    <w:rsid w:val="005C3EB0"/>
    <w:rsid w:val="005C4258"/>
    <w:rsid w:val="005C5383"/>
    <w:rsid w:val="005C5A1D"/>
    <w:rsid w:val="005C5CBB"/>
    <w:rsid w:val="005C5DBA"/>
    <w:rsid w:val="005C6297"/>
    <w:rsid w:val="005C655A"/>
    <w:rsid w:val="005C6884"/>
    <w:rsid w:val="005C6E0A"/>
    <w:rsid w:val="005C6E67"/>
    <w:rsid w:val="005C7287"/>
    <w:rsid w:val="005C7900"/>
    <w:rsid w:val="005C7AAF"/>
    <w:rsid w:val="005C7CE7"/>
    <w:rsid w:val="005D000F"/>
    <w:rsid w:val="005D07FD"/>
    <w:rsid w:val="005D15CA"/>
    <w:rsid w:val="005D19A8"/>
    <w:rsid w:val="005D1D1C"/>
    <w:rsid w:val="005D1E13"/>
    <w:rsid w:val="005D2FB3"/>
    <w:rsid w:val="005D3888"/>
    <w:rsid w:val="005D3E4D"/>
    <w:rsid w:val="005D48B3"/>
    <w:rsid w:val="005D4D61"/>
    <w:rsid w:val="005D50CD"/>
    <w:rsid w:val="005D5440"/>
    <w:rsid w:val="005D5BA6"/>
    <w:rsid w:val="005D5D44"/>
    <w:rsid w:val="005D5E78"/>
    <w:rsid w:val="005D6B0B"/>
    <w:rsid w:val="005D739D"/>
    <w:rsid w:val="005E025B"/>
    <w:rsid w:val="005E1433"/>
    <w:rsid w:val="005E21C5"/>
    <w:rsid w:val="005E2DFE"/>
    <w:rsid w:val="005E3500"/>
    <w:rsid w:val="005E3556"/>
    <w:rsid w:val="005E36A2"/>
    <w:rsid w:val="005E38B1"/>
    <w:rsid w:val="005E3B52"/>
    <w:rsid w:val="005E4875"/>
    <w:rsid w:val="005E4F88"/>
    <w:rsid w:val="005E577E"/>
    <w:rsid w:val="005E72A0"/>
    <w:rsid w:val="005E7322"/>
    <w:rsid w:val="005E7CFD"/>
    <w:rsid w:val="005E7F20"/>
    <w:rsid w:val="005F040B"/>
    <w:rsid w:val="005F0D26"/>
    <w:rsid w:val="005F0F7C"/>
    <w:rsid w:val="005F213D"/>
    <w:rsid w:val="005F22F8"/>
    <w:rsid w:val="005F2A41"/>
    <w:rsid w:val="005F3066"/>
    <w:rsid w:val="005F3E61"/>
    <w:rsid w:val="005F3F65"/>
    <w:rsid w:val="005F45AE"/>
    <w:rsid w:val="005F4FE7"/>
    <w:rsid w:val="005F53CC"/>
    <w:rsid w:val="005F582B"/>
    <w:rsid w:val="005F58CB"/>
    <w:rsid w:val="005F5F36"/>
    <w:rsid w:val="00600384"/>
    <w:rsid w:val="006005EA"/>
    <w:rsid w:val="00600FD6"/>
    <w:rsid w:val="00601907"/>
    <w:rsid w:val="0060207C"/>
    <w:rsid w:val="0060337A"/>
    <w:rsid w:val="0060364C"/>
    <w:rsid w:val="00603A2F"/>
    <w:rsid w:val="006043AB"/>
    <w:rsid w:val="006044BC"/>
    <w:rsid w:val="006047AA"/>
    <w:rsid w:val="006048E5"/>
    <w:rsid w:val="00604DDD"/>
    <w:rsid w:val="00604E19"/>
    <w:rsid w:val="00605001"/>
    <w:rsid w:val="00605951"/>
    <w:rsid w:val="00606244"/>
    <w:rsid w:val="00606380"/>
    <w:rsid w:val="006066EE"/>
    <w:rsid w:val="00607451"/>
    <w:rsid w:val="0061013B"/>
    <w:rsid w:val="00610E99"/>
    <w:rsid w:val="00611587"/>
    <w:rsid w:val="006115CC"/>
    <w:rsid w:val="00611FC4"/>
    <w:rsid w:val="00612522"/>
    <w:rsid w:val="00612C4B"/>
    <w:rsid w:val="00613682"/>
    <w:rsid w:val="00613C2E"/>
    <w:rsid w:val="00614380"/>
    <w:rsid w:val="006144A8"/>
    <w:rsid w:val="00614B3B"/>
    <w:rsid w:val="006157AD"/>
    <w:rsid w:val="00615B65"/>
    <w:rsid w:val="00616A20"/>
    <w:rsid w:val="00616E4A"/>
    <w:rsid w:val="00616F19"/>
    <w:rsid w:val="0061719E"/>
    <w:rsid w:val="006176FB"/>
    <w:rsid w:val="006178CF"/>
    <w:rsid w:val="00620653"/>
    <w:rsid w:val="00620BC3"/>
    <w:rsid w:val="006219EE"/>
    <w:rsid w:val="006229DB"/>
    <w:rsid w:val="00622E18"/>
    <w:rsid w:val="00622E5B"/>
    <w:rsid w:val="006236D0"/>
    <w:rsid w:val="006240D8"/>
    <w:rsid w:val="006241BD"/>
    <w:rsid w:val="00624C9B"/>
    <w:rsid w:val="0062578E"/>
    <w:rsid w:val="00625B83"/>
    <w:rsid w:val="00625BBA"/>
    <w:rsid w:val="00625E70"/>
    <w:rsid w:val="00625F94"/>
    <w:rsid w:val="006263A2"/>
    <w:rsid w:val="00626B06"/>
    <w:rsid w:val="00626FFA"/>
    <w:rsid w:val="00627420"/>
    <w:rsid w:val="00627642"/>
    <w:rsid w:val="00627AA6"/>
    <w:rsid w:val="00630FCB"/>
    <w:rsid w:val="00631046"/>
    <w:rsid w:val="0063163D"/>
    <w:rsid w:val="006318F1"/>
    <w:rsid w:val="00631C64"/>
    <w:rsid w:val="0063229B"/>
    <w:rsid w:val="00632B6B"/>
    <w:rsid w:val="00632B8F"/>
    <w:rsid w:val="00632D9F"/>
    <w:rsid w:val="0063433E"/>
    <w:rsid w:val="0063474D"/>
    <w:rsid w:val="00634F8D"/>
    <w:rsid w:val="006353AE"/>
    <w:rsid w:val="006355ED"/>
    <w:rsid w:val="006368BB"/>
    <w:rsid w:val="00636A7D"/>
    <w:rsid w:val="0063729E"/>
    <w:rsid w:val="0064002E"/>
    <w:rsid w:val="006402F1"/>
    <w:rsid w:val="006403F0"/>
    <w:rsid w:val="00640587"/>
    <w:rsid w:val="006409CD"/>
    <w:rsid w:val="00640B26"/>
    <w:rsid w:val="00641185"/>
    <w:rsid w:val="006411A3"/>
    <w:rsid w:val="00641535"/>
    <w:rsid w:val="00641959"/>
    <w:rsid w:val="006426AD"/>
    <w:rsid w:val="00642866"/>
    <w:rsid w:val="0064368A"/>
    <w:rsid w:val="00643C48"/>
    <w:rsid w:val="0064478E"/>
    <w:rsid w:val="006459DE"/>
    <w:rsid w:val="006462C9"/>
    <w:rsid w:val="0064635A"/>
    <w:rsid w:val="00646B57"/>
    <w:rsid w:val="00646FB4"/>
    <w:rsid w:val="00646FE6"/>
    <w:rsid w:val="00647085"/>
    <w:rsid w:val="0064734D"/>
    <w:rsid w:val="00647AD2"/>
    <w:rsid w:val="00650619"/>
    <w:rsid w:val="00650C5D"/>
    <w:rsid w:val="0065191F"/>
    <w:rsid w:val="00651A69"/>
    <w:rsid w:val="00651CB8"/>
    <w:rsid w:val="006528D5"/>
    <w:rsid w:val="00652BF2"/>
    <w:rsid w:val="00652ED1"/>
    <w:rsid w:val="00653605"/>
    <w:rsid w:val="00653723"/>
    <w:rsid w:val="006540FE"/>
    <w:rsid w:val="00654231"/>
    <w:rsid w:val="006544C8"/>
    <w:rsid w:val="00654984"/>
    <w:rsid w:val="00654A22"/>
    <w:rsid w:val="00654B99"/>
    <w:rsid w:val="00654FC5"/>
    <w:rsid w:val="00655FDE"/>
    <w:rsid w:val="00656130"/>
    <w:rsid w:val="00656BE9"/>
    <w:rsid w:val="00657E66"/>
    <w:rsid w:val="00660A66"/>
    <w:rsid w:val="00660C5D"/>
    <w:rsid w:val="00661A4B"/>
    <w:rsid w:val="006621AD"/>
    <w:rsid w:val="006622DA"/>
    <w:rsid w:val="006626D3"/>
    <w:rsid w:val="0066353C"/>
    <w:rsid w:val="00663F89"/>
    <w:rsid w:val="00665B5E"/>
    <w:rsid w:val="00665E10"/>
    <w:rsid w:val="00666846"/>
    <w:rsid w:val="006668A6"/>
    <w:rsid w:val="00666B56"/>
    <w:rsid w:val="00667229"/>
    <w:rsid w:val="00667583"/>
    <w:rsid w:val="00667591"/>
    <w:rsid w:val="00667E95"/>
    <w:rsid w:val="00667ED6"/>
    <w:rsid w:val="00667FA2"/>
    <w:rsid w:val="00670981"/>
    <w:rsid w:val="0067227B"/>
    <w:rsid w:val="00672990"/>
    <w:rsid w:val="0067377E"/>
    <w:rsid w:val="0067448E"/>
    <w:rsid w:val="00674AF8"/>
    <w:rsid w:val="006757C1"/>
    <w:rsid w:val="00675DBD"/>
    <w:rsid w:val="00676E81"/>
    <w:rsid w:val="00676ECE"/>
    <w:rsid w:val="00676EED"/>
    <w:rsid w:val="006770B2"/>
    <w:rsid w:val="00677717"/>
    <w:rsid w:val="00677D70"/>
    <w:rsid w:val="00677DF4"/>
    <w:rsid w:val="00680630"/>
    <w:rsid w:val="00681F34"/>
    <w:rsid w:val="0068255C"/>
    <w:rsid w:val="006826BE"/>
    <w:rsid w:val="006827D6"/>
    <w:rsid w:val="00682C19"/>
    <w:rsid w:val="00683120"/>
    <w:rsid w:val="00683167"/>
    <w:rsid w:val="00683C0A"/>
    <w:rsid w:val="00684468"/>
    <w:rsid w:val="00684ADC"/>
    <w:rsid w:val="00684B46"/>
    <w:rsid w:val="00684BFA"/>
    <w:rsid w:val="00684FE1"/>
    <w:rsid w:val="006855BF"/>
    <w:rsid w:val="006856A3"/>
    <w:rsid w:val="0068707F"/>
    <w:rsid w:val="0068782B"/>
    <w:rsid w:val="0069001C"/>
    <w:rsid w:val="00690591"/>
    <w:rsid w:val="00690903"/>
    <w:rsid w:val="006910B9"/>
    <w:rsid w:val="006913E1"/>
    <w:rsid w:val="00691D51"/>
    <w:rsid w:val="006929EE"/>
    <w:rsid w:val="0069319A"/>
    <w:rsid w:val="00693A34"/>
    <w:rsid w:val="006940E1"/>
    <w:rsid w:val="00694C82"/>
    <w:rsid w:val="0069526F"/>
    <w:rsid w:val="006952E3"/>
    <w:rsid w:val="0069575D"/>
    <w:rsid w:val="0069682C"/>
    <w:rsid w:val="006970FF"/>
    <w:rsid w:val="0069744F"/>
    <w:rsid w:val="00697631"/>
    <w:rsid w:val="006A0057"/>
    <w:rsid w:val="006A15D7"/>
    <w:rsid w:val="006A2062"/>
    <w:rsid w:val="006A228D"/>
    <w:rsid w:val="006A23D5"/>
    <w:rsid w:val="006A2480"/>
    <w:rsid w:val="006A2488"/>
    <w:rsid w:val="006A2512"/>
    <w:rsid w:val="006A26FC"/>
    <w:rsid w:val="006A28A3"/>
    <w:rsid w:val="006A2C6C"/>
    <w:rsid w:val="006A3446"/>
    <w:rsid w:val="006A37B1"/>
    <w:rsid w:val="006A3A58"/>
    <w:rsid w:val="006A3C72"/>
    <w:rsid w:val="006A4261"/>
    <w:rsid w:val="006A48F6"/>
    <w:rsid w:val="006A4B4F"/>
    <w:rsid w:val="006A53F8"/>
    <w:rsid w:val="006A5423"/>
    <w:rsid w:val="006A60D7"/>
    <w:rsid w:val="006A6A40"/>
    <w:rsid w:val="006A7112"/>
    <w:rsid w:val="006A7392"/>
    <w:rsid w:val="006A7975"/>
    <w:rsid w:val="006A79C5"/>
    <w:rsid w:val="006A7CFE"/>
    <w:rsid w:val="006B03A1"/>
    <w:rsid w:val="006B085E"/>
    <w:rsid w:val="006B1D1D"/>
    <w:rsid w:val="006B2C24"/>
    <w:rsid w:val="006B3019"/>
    <w:rsid w:val="006B30FC"/>
    <w:rsid w:val="006B328F"/>
    <w:rsid w:val="006B381B"/>
    <w:rsid w:val="006B3BC8"/>
    <w:rsid w:val="006B3C3A"/>
    <w:rsid w:val="006B3DDD"/>
    <w:rsid w:val="006B3ED4"/>
    <w:rsid w:val="006B3EFA"/>
    <w:rsid w:val="006B45CA"/>
    <w:rsid w:val="006B4892"/>
    <w:rsid w:val="006B4D0C"/>
    <w:rsid w:val="006B4E27"/>
    <w:rsid w:val="006B4EBB"/>
    <w:rsid w:val="006B5592"/>
    <w:rsid w:val="006B56E0"/>
    <w:rsid w:val="006B5D34"/>
    <w:rsid w:val="006B5F23"/>
    <w:rsid w:val="006B6731"/>
    <w:rsid w:val="006B67D9"/>
    <w:rsid w:val="006B73B2"/>
    <w:rsid w:val="006C0549"/>
    <w:rsid w:val="006C12A8"/>
    <w:rsid w:val="006C1E20"/>
    <w:rsid w:val="006C2066"/>
    <w:rsid w:val="006C2544"/>
    <w:rsid w:val="006C28A2"/>
    <w:rsid w:val="006C2AA6"/>
    <w:rsid w:val="006C2E89"/>
    <w:rsid w:val="006C347B"/>
    <w:rsid w:val="006C3A70"/>
    <w:rsid w:val="006C40B9"/>
    <w:rsid w:val="006C459D"/>
    <w:rsid w:val="006C5535"/>
    <w:rsid w:val="006C6708"/>
    <w:rsid w:val="006C74CF"/>
    <w:rsid w:val="006C7A45"/>
    <w:rsid w:val="006D0263"/>
    <w:rsid w:val="006D0399"/>
    <w:rsid w:val="006D0589"/>
    <w:rsid w:val="006D0EE2"/>
    <w:rsid w:val="006D15BB"/>
    <w:rsid w:val="006D1EE2"/>
    <w:rsid w:val="006D293C"/>
    <w:rsid w:val="006D3751"/>
    <w:rsid w:val="006D3952"/>
    <w:rsid w:val="006D3D05"/>
    <w:rsid w:val="006D3EFA"/>
    <w:rsid w:val="006D40FA"/>
    <w:rsid w:val="006D46FC"/>
    <w:rsid w:val="006D4871"/>
    <w:rsid w:val="006D4C43"/>
    <w:rsid w:val="006D55AF"/>
    <w:rsid w:val="006D5619"/>
    <w:rsid w:val="006D5624"/>
    <w:rsid w:val="006D6A2E"/>
    <w:rsid w:val="006D6ABB"/>
    <w:rsid w:val="006D6FD8"/>
    <w:rsid w:val="006D74DA"/>
    <w:rsid w:val="006D788F"/>
    <w:rsid w:val="006D7C4B"/>
    <w:rsid w:val="006E0115"/>
    <w:rsid w:val="006E0129"/>
    <w:rsid w:val="006E072C"/>
    <w:rsid w:val="006E0C80"/>
    <w:rsid w:val="006E0DA0"/>
    <w:rsid w:val="006E13D8"/>
    <w:rsid w:val="006E1500"/>
    <w:rsid w:val="006E1689"/>
    <w:rsid w:val="006E19CB"/>
    <w:rsid w:val="006E1D45"/>
    <w:rsid w:val="006E29D9"/>
    <w:rsid w:val="006E309F"/>
    <w:rsid w:val="006E398A"/>
    <w:rsid w:val="006E3A52"/>
    <w:rsid w:val="006E42FB"/>
    <w:rsid w:val="006E457F"/>
    <w:rsid w:val="006E470A"/>
    <w:rsid w:val="006E4746"/>
    <w:rsid w:val="006E564B"/>
    <w:rsid w:val="006E6428"/>
    <w:rsid w:val="006E690A"/>
    <w:rsid w:val="006E6C6C"/>
    <w:rsid w:val="006E6E23"/>
    <w:rsid w:val="006E6E7B"/>
    <w:rsid w:val="006E6F35"/>
    <w:rsid w:val="006E7154"/>
    <w:rsid w:val="006E7A2A"/>
    <w:rsid w:val="006F0365"/>
    <w:rsid w:val="006F0B69"/>
    <w:rsid w:val="006F13B0"/>
    <w:rsid w:val="006F2077"/>
    <w:rsid w:val="006F2234"/>
    <w:rsid w:val="006F316D"/>
    <w:rsid w:val="006F328D"/>
    <w:rsid w:val="006F6ADE"/>
    <w:rsid w:val="006F6C27"/>
    <w:rsid w:val="006F70E8"/>
    <w:rsid w:val="006F71C0"/>
    <w:rsid w:val="006F7379"/>
    <w:rsid w:val="006F7735"/>
    <w:rsid w:val="006F7A38"/>
    <w:rsid w:val="006F7E76"/>
    <w:rsid w:val="006F7E91"/>
    <w:rsid w:val="007003CD"/>
    <w:rsid w:val="0070050E"/>
    <w:rsid w:val="007007D3"/>
    <w:rsid w:val="00700A9F"/>
    <w:rsid w:val="007010F4"/>
    <w:rsid w:val="0070164F"/>
    <w:rsid w:val="00701952"/>
    <w:rsid w:val="00701BE8"/>
    <w:rsid w:val="00701FFF"/>
    <w:rsid w:val="007020B7"/>
    <w:rsid w:val="00702A72"/>
    <w:rsid w:val="00703065"/>
    <w:rsid w:val="007037FA"/>
    <w:rsid w:val="00703DAE"/>
    <w:rsid w:val="00704932"/>
    <w:rsid w:val="00704D4E"/>
    <w:rsid w:val="0070528A"/>
    <w:rsid w:val="00705319"/>
    <w:rsid w:val="007054E8"/>
    <w:rsid w:val="00705579"/>
    <w:rsid w:val="0070604A"/>
    <w:rsid w:val="00706231"/>
    <w:rsid w:val="007062A9"/>
    <w:rsid w:val="00706487"/>
    <w:rsid w:val="0070701E"/>
    <w:rsid w:val="00707615"/>
    <w:rsid w:val="007077A5"/>
    <w:rsid w:val="00707F2C"/>
    <w:rsid w:val="0071002B"/>
    <w:rsid w:val="00710054"/>
    <w:rsid w:val="007108B4"/>
    <w:rsid w:val="00711956"/>
    <w:rsid w:val="00711B30"/>
    <w:rsid w:val="00712C76"/>
    <w:rsid w:val="00713686"/>
    <w:rsid w:val="007140EF"/>
    <w:rsid w:val="007148FA"/>
    <w:rsid w:val="007154CF"/>
    <w:rsid w:val="0071560D"/>
    <w:rsid w:val="007157E3"/>
    <w:rsid w:val="00715A7C"/>
    <w:rsid w:val="0071604B"/>
    <w:rsid w:val="00716CF5"/>
    <w:rsid w:val="00717079"/>
    <w:rsid w:val="007175C9"/>
    <w:rsid w:val="00717B8C"/>
    <w:rsid w:val="007200B5"/>
    <w:rsid w:val="00720AC8"/>
    <w:rsid w:val="00721281"/>
    <w:rsid w:val="00721448"/>
    <w:rsid w:val="0072271A"/>
    <w:rsid w:val="00723A28"/>
    <w:rsid w:val="0072428C"/>
    <w:rsid w:val="007249AE"/>
    <w:rsid w:val="00724CF9"/>
    <w:rsid w:val="00725045"/>
    <w:rsid w:val="00726202"/>
    <w:rsid w:val="0072632A"/>
    <w:rsid w:val="007265E1"/>
    <w:rsid w:val="00726BEE"/>
    <w:rsid w:val="00727A68"/>
    <w:rsid w:val="00727B59"/>
    <w:rsid w:val="0073077D"/>
    <w:rsid w:val="0073136B"/>
    <w:rsid w:val="00731F9A"/>
    <w:rsid w:val="00732888"/>
    <w:rsid w:val="00732926"/>
    <w:rsid w:val="00733389"/>
    <w:rsid w:val="00733407"/>
    <w:rsid w:val="007337AC"/>
    <w:rsid w:val="00733BCC"/>
    <w:rsid w:val="00733D4F"/>
    <w:rsid w:val="00734B67"/>
    <w:rsid w:val="00734F83"/>
    <w:rsid w:val="007356B1"/>
    <w:rsid w:val="007358E8"/>
    <w:rsid w:val="00735C6A"/>
    <w:rsid w:val="00735F0D"/>
    <w:rsid w:val="00736ECE"/>
    <w:rsid w:val="00737AA2"/>
    <w:rsid w:val="00737B3D"/>
    <w:rsid w:val="00737BEB"/>
    <w:rsid w:val="00737D0C"/>
    <w:rsid w:val="007401C9"/>
    <w:rsid w:val="00740E1F"/>
    <w:rsid w:val="00740F0E"/>
    <w:rsid w:val="007414DB"/>
    <w:rsid w:val="00741527"/>
    <w:rsid w:val="00741850"/>
    <w:rsid w:val="00741D5E"/>
    <w:rsid w:val="007423CC"/>
    <w:rsid w:val="00743572"/>
    <w:rsid w:val="00743BA0"/>
    <w:rsid w:val="00744391"/>
    <w:rsid w:val="00744FCD"/>
    <w:rsid w:val="0074533B"/>
    <w:rsid w:val="00745374"/>
    <w:rsid w:val="00745434"/>
    <w:rsid w:val="007457FD"/>
    <w:rsid w:val="00746268"/>
    <w:rsid w:val="0074628E"/>
    <w:rsid w:val="007464BC"/>
    <w:rsid w:val="007464D3"/>
    <w:rsid w:val="00746974"/>
    <w:rsid w:val="00746C08"/>
    <w:rsid w:val="00746E78"/>
    <w:rsid w:val="007474C1"/>
    <w:rsid w:val="00747B91"/>
    <w:rsid w:val="00750234"/>
    <w:rsid w:val="00750827"/>
    <w:rsid w:val="00750F30"/>
    <w:rsid w:val="00750F89"/>
    <w:rsid w:val="007512D1"/>
    <w:rsid w:val="007519A9"/>
    <w:rsid w:val="00751B19"/>
    <w:rsid w:val="00751CEB"/>
    <w:rsid w:val="007528CB"/>
    <w:rsid w:val="00754659"/>
    <w:rsid w:val="007548BB"/>
    <w:rsid w:val="00754932"/>
    <w:rsid w:val="00755751"/>
    <w:rsid w:val="00755B9A"/>
    <w:rsid w:val="00756759"/>
    <w:rsid w:val="00757B0C"/>
    <w:rsid w:val="00757BBE"/>
    <w:rsid w:val="007600AE"/>
    <w:rsid w:val="007602BB"/>
    <w:rsid w:val="00760761"/>
    <w:rsid w:val="007609F3"/>
    <w:rsid w:val="00761BF6"/>
    <w:rsid w:val="00761F23"/>
    <w:rsid w:val="00762467"/>
    <w:rsid w:val="007624C8"/>
    <w:rsid w:val="00762A26"/>
    <w:rsid w:val="00762DC0"/>
    <w:rsid w:val="00762FF0"/>
    <w:rsid w:val="0076311D"/>
    <w:rsid w:val="00763954"/>
    <w:rsid w:val="00763CA4"/>
    <w:rsid w:val="007643BC"/>
    <w:rsid w:val="0076481D"/>
    <w:rsid w:val="00764CC0"/>
    <w:rsid w:val="00764FE0"/>
    <w:rsid w:val="0076547E"/>
    <w:rsid w:val="00765F1E"/>
    <w:rsid w:val="00766066"/>
    <w:rsid w:val="0076642F"/>
    <w:rsid w:val="007670F5"/>
    <w:rsid w:val="0076775C"/>
    <w:rsid w:val="007678AE"/>
    <w:rsid w:val="00770027"/>
    <w:rsid w:val="007701EA"/>
    <w:rsid w:val="00770B6C"/>
    <w:rsid w:val="00770D38"/>
    <w:rsid w:val="007727B5"/>
    <w:rsid w:val="0077322A"/>
    <w:rsid w:val="007735B9"/>
    <w:rsid w:val="007736E4"/>
    <w:rsid w:val="00773D72"/>
    <w:rsid w:val="00773F34"/>
    <w:rsid w:val="007742C2"/>
    <w:rsid w:val="0077460E"/>
    <w:rsid w:val="007748EA"/>
    <w:rsid w:val="00774C20"/>
    <w:rsid w:val="00775163"/>
    <w:rsid w:val="00775806"/>
    <w:rsid w:val="00775D42"/>
    <w:rsid w:val="0077652B"/>
    <w:rsid w:val="00776BBE"/>
    <w:rsid w:val="007775A8"/>
    <w:rsid w:val="00777A52"/>
    <w:rsid w:val="00780A4A"/>
    <w:rsid w:val="00781033"/>
    <w:rsid w:val="00781693"/>
    <w:rsid w:val="00781A24"/>
    <w:rsid w:val="0078212C"/>
    <w:rsid w:val="0078235C"/>
    <w:rsid w:val="007826C3"/>
    <w:rsid w:val="007829B3"/>
    <w:rsid w:val="00782D80"/>
    <w:rsid w:val="00783E00"/>
    <w:rsid w:val="00783E79"/>
    <w:rsid w:val="0078467F"/>
    <w:rsid w:val="007848E3"/>
    <w:rsid w:val="007858BE"/>
    <w:rsid w:val="00785B86"/>
    <w:rsid w:val="00785E41"/>
    <w:rsid w:val="00786113"/>
    <w:rsid w:val="007864DA"/>
    <w:rsid w:val="00786676"/>
    <w:rsid w:val="007868BA"/>
    <w:rsid w:val="00790D5A"/>
    <w:rsid w:val="0079120C"/>
    <w:rsid w:val="007913C0"/>
    <w:rsid w:val="00791CAB"/>
    <w:rsid w:val="00792B61"/>
    <w:rsid w:val="00793FDA"/>
    <w:rsid w:val="007953C0"/>
    <w:rsid w:val="00795746"/>
    <w:rsid w:val="007959FE"/>
    <w:rsid w:val="007972AB"/>
    <w:rsid w:val="007A00A1"/>
    <w:rsid w:val="007A0CF1"/>
    <w:rsid w:val="007A1337"/>
    <w:rsid w:val="007A14B3"/>
    <w:rsid w:val="007A1E16"/>
    <w:rsid w:val="007A224F"/>
    <w:rsid w:val="007A247F"/>
    <w:rsid w:val="007A25EE"/>
    <w:rsid w:val="007A371B"/>
    <w:rsid w:val="007A3724"/>
    <w:rsid w:val="007A3740"/>
    <w:rsid w:val="007A37C9"/>
    <w:rsid w:val="007A382F"/>
    <w:rsid w:val="007A38D4"/>
    <w:rsid w:val="007A3A48"/>
    <w:rsid w:val="007A3E19"/>
    <w:rsid w:val="007A5083"/>
    <w:rsid w:val="007A559F"/>
    <w:rsid w:val="007A5F11"/>
    <w:rsid w:val="007A6832"/>
    <w:rsid w:val="007A7054"/>
    <w:rsid w:val="007A74C5"/>
    <w:rsid w:val="007A7F2C"/>
    <w:rsid w:val="007A7F31"/>
    <w:rsid w:val="007B0B9B"/>
    <w:rsid w:val="007B1529"/>
    <w:rsid w:val="007B186F"/>
    <w:rsid w:val="007B228B"/>
    <w:rsid w:val="007B25B2"/>
    <w:rsid w:val="007B30C5"/>
    <w:rsid w:val="007B3538"/>
    <w:rsid w:val="007B3E2D"/>
    <w:rsid w:val="007B41FB"/>
    <w:rsid w:val="007B48DA"/>
    <w:rsid w:val="007B4DA2"/>
    <w:rsid w:val="007B518F"/>
    <w:rsid w:val="007B52B5"/>
    <w:rsid w:val="007B54AF"/>
    <w:rsid w:val="007B5A23"/>
    <w:rsid w:val="007B5C2F"/>
    <w:rsid w:val="007B5D39"/>
    <w:rsid w:val="007B5E74"/>
    <w:rsid w:val="007B615A"/>
    <w:rsid w:val="007B618A"/>
    <w:rsid w:val="007B63BF"/>
    <w:rsid w:val="007B677B"/>
    <w:rsid w:val="007B67D7"/>
    <w:rsid w:val="007B6A03"/>
    <w:rsid w:val="007B6BA5"/>
    <w:rsid w:val="007B72A5"/>
    <w:rsid w:val="007B733C"/>
    <w:rsid w:val="007B73D0"/>
    <w:rsid w:val="007B7774"/>
    <w:rsid w:val="007B7D86"/>
    <w:rsid w:val="007C004B"/>
    <w:rsid w:val="007C0AD3"/>
    <w:rsid w:val="007C15E4"/>
    <w:rsid w:val="007C16B4"/>
    <w:rsid w:val="007C1948"/>
    <w:rsid w:val="007C1AD1"/>
    <w:rsid w:val="007C3390"/>
    <w:rsid w:val="007C42D8"/>
    <w:rsid w:val="007C48A3"/>
    <w:rsid w:val="007C4F4B"/>
    <w:rsid w:val="007C501D"/>
    <w:rsid w:val="007C553D"/>
    <w:rsid w:val="007C5AD8"/>
    <w:rsid w:val="007C5E5C"/>
    <w:rsid w:val="007C6059"/>
    <w:rsid w:val="007C6AC8"/>
    <w:rsid w:val="007C6EDF"/>
    <w:rsid w:val="007C7022"/>
    <w:rsid w:val="007C7070"/>
    <w:rsid w:val="007C7A69"/>
    <w:rsid w:val="007D00E0"/>
    <w:rsid w:val="007D027B"/>
    <w:rsid w:val="007D03F7"/>
    <w:rsid w:val="007D0659"/>
    <w:rsid w:val="007D11CE"/>
    <w:rsid w:val="007D12FD"/>
    <w:rsid w:val="007D1386"/>
    <w:rsid w:val="007D13B0"/>
    <w:rsid w:val="007D13F9"/>
    <w:rsid w:val="007D1459"/>
    <w:rsid w:val="007D18EC"/>
    <w:rsid w:val="007D3639"/>
    <w:rsid w:val="007D36F8"/>
    <w:rsid w:val="007D3E60"/>
    <w:rsid w:val="007D4E5A"/>
    <w:rsid w:val="007D542B"/>
    <w:rsid w:val="007D5719"/>
    <w:rsid w:val="007D59EE"/>
    <w:rsid w:val="007D66C3"/>
    <w:rsid w:val="007D66EB"/>
    <w:rsid w:val="007D6B7E"/>
    <w:rsid w:val="007D7362"/>
    <w:rsid w:val="007D78C7"/>
    <w:rsid w:val="007D7A1A"/>
    <w:rsid w:val="007D7B8A"/>
    <w:rsid w:val="007E024A"/>
    <w:rsid w:val="007E0837"/>
    <w:rsid w:val="007E0C26"/>
    <w:rsid w:val="007E0F59"/>
    <w:rsid w:val="007E127C"/>
    <w:rsid w:val="007E1B59"/>
    <w:rsid w:val="007E4882"/>
    <w:rsid w:val="007E4E07"/>
    <w:rsid w:val="007E5232"/>
    <w:rsid w:val="007E530E"/>
    <w:rsid w:val="007E577B"/>
    <w:rsid w:val="007E60DE"/>
    <w:rsid w:val="007E7165"/>
    <w:rsid w:val="007E74CD"/>
    <w:rsid w:val="007E7D0F"/>
    <w:rsid w:val="007F00EF"/>
    <w:rsid w:val="007F09E7"/>
    <w:rsid w:val="007F0AD8"/>
    <w:rsid w:val="007F0ADA"/>
    <w:rsid w:val="007F0BE6"/>
    <w:rsid w:val="007F0FED"/>
    <w:rsid w:val="007F10A5"/>
    <w:rsid w:val="007F13F0"/>
    <w:rsid w:val="007F17D2"/>
    <w:rsid w:val="007F2506"/>
    <w:rsid w:val="007F2A69"/>
    <w:rsid w:val="007F3124"/>
    <w:rsid w:val="007F3304"/>
    <w:rsid w:val="007F3849"/>
    <w:rsid w:val="007F3FAC"/>
    <w:rsid w:val="007F4116"/>
    <w:rsid w:val="007F4298"/>
    <w:rsid w:val="007F4968"/>
    <w:rsid w:val="007F4A85"/>
    <w:rsid w:val="007F4E26"/>
    <w:rsid w:val="007F5351"/>
    <w:rsid w:val="007F537E"/>
    <w:rsid w:val="007F564E"/>
    <w:rsid w:val="007F5CE2"/>
    <w:rsid w:val="007F5D02"/>
    <w:rsid w:val="007F5FC4"/>
    <w:rsid w:val="007F6180"/>
    <w:rsid w:val="007F6237"/>
    <w:rsid w:val="007F62AD"/>
    <w:rsid w:val="007F65B9"/>
    <w:rsid w:val="007F6611"/>
    <w:rsid w:val="007F6C5B"/>
    <w:rsid w:val="007F72C4"/>
    <w:rsid w:val="007F72D1"/>
    <w:rsid w:val="007F73A6"/>
    <w:rsid w:val="007F7787"/>
    <w:rsid w:val="00800135"/>
    <w:rsid w:val="00800828"/>
    <w:rsid w:val="008009EC"/>
    <w:rsid w:val="00800B00"/>
    <w:rsid w:val="00800BB7"/>
    <w:rsid w:val="00800C34"/>
    <w:rsid w:val="00801650"/>
    <w:rsid w:val="008019C9"/>
    <w:rsid w:val="0080218F"/>
    <w:rsid w:val="008025D0"/>
    <w:rsid w:val="00802DCD"/>
    <w:rsid w:val="00803446"/>
    <w:rsid w:val="00803856"/>
    <w:rsid w:val="008039D5"/>
    <w:rsid w:val="008047AB"/>
    <w:rsid w:val="00804B8A"/>
    <w:rsid w:val="00804F68"/>
    <w:rsid w:val="00806A51"/>
    <w:rsid w:val="00806BA8"/>
    <w:rsid w:val="00806EED"/>
    <w:rsid w:val="00807240"/>
    <w:rsid w:val="00807553"/>
    <w:rsid w:val="00810171"/>
    <w:rsid w:val="00810BAC"/>
    <w:rsid w:val="00811115"/>
    <w:rsid w:val="00811150"/>
    <w:rsid w:val="00811665"/>
    <w:rsid w:val="0081268F"/>
    <w:rsid w:val="00812792"/>
    <w:rsid w:val="00812EFD"/>
    <w:rsid w:val="00813362"/>
    <w:rsid w:val="0081383B"/>
    <w:rsid w:val="0081464B"/>
    <w:rsid w:val="008148F3"/>
    <w:rsid w:val="008155D1"/>
    <w:rsid w:val="00816087"/>
    <w:rsid w:val="00816D12"/>
    <w:rsid w:val="00816F1E"/>
    <w:rsid w:val="00817465"/>
    <w:rsid w:val="008175E9"/>
    <w:rsid w:val="00817C07"/>
    <w:rsid w:val="00817FEB"/>
    <w:rsid w:val="00820453"/>
    <w:rsid w:val="00820586"/>
    <w:rsid w:val="00820626"/>
    <w:rsid w:val="0082063B"/>
    <w:rsid w:val="00820A5B"/>
    <w:rsid w:val="008227B6"/>
    <w:rsid w:val="008235FB"/>
    <w:rsid w:val="0082376F"/>
    <w:rsid w:val="00823A2C"/>
    <w:rsid w:val="00824165"/>
    <w:rsid w:val="008242D7"/>
    <w:rsid w:val="0082465D"/>
    <w:rsid w:val="0082471B"/>
    <w:rsid w:val="00825150"/>
    <w:rsid w:val="00825265"/>
    <w:rsid w:val="00825588"/>
    <w:rsid w:val="0082577B"/>
    <w:rsid w:val="00826838"/>
    <w:rsid w:val="00827A3D"/>
    <w:rsid w:val="00827ED2"/>
    <w:rsid w:val="008302CB"/>
    <w:rsid w:val="00831F6D"/>
    <w:rsid w:val="00832376"/>
    <w:rsid w:val="00833005"/>
    <w:rsid w:val="0083371A"/>
    <w:rsid w:val="0083415A"/>
    <w:rsid w:val="008343F8"/>
    <w:rsid w:val="00834430"/>
    <w:rsid w:val="008344C8"/>
    <w:rsid w:val="008355A6"/>
    <w:rsid w:val="00835BC3"/>
    <w:rsid w:val="00836813"/>
    <w:rsid w:val="00836AF6"/>
    <w:rsid w:val="00837407"/>
    <w:rsid w:val="008376E4"/>
    <w:rsid w:val="00837781"/>
    <w:rsid w:val="008408DF"/>
    <w:rsid w:val="00840BE9"/>
    <w:rsid w:val="00841A60"/>
    <w:rsid w:val="00841ABA"/>
    <w:rsid w:val="008422B3"/>
    <w:rsid w:val="00842543"/>
    <w:rsid w:val="00842764"/>
    <w:rsid w:val="0084298F"/>
    <w:rsid w:val="00844D58"/>
    <w:rsid w:val="008451FE"/>
    <w:rsid w:val="00845445"/>
    <w:rsid w:val="00845B1A"/>
    <w:rsid w:val="00846D33"/>
    <w:rsid w:val="00846ECE"/>
    <w:rsid w:val="00847498"/>
    <w:rsid w:val="0085036B"/>
    <w:rsid w:val="008507FB"/>
    <w:rsid w:val="00850F72"/>
    <w:rsid w:val="00850FE9"/>
    <w:rsid w:val="0085104D"/>
    <w:rsid w:val="008516B0"/>
    <w:rsid w:val="00851A94"/>
    <w:rsid w:val="00852CEF"/>
    <w:rsid w:val="00853AB8"/>
    <w:rsid w:val="00853F72"/>
    <w:rsid w:val="0085426A"/>
    <w:rsid w:val="008544FF"/>
    <w:rsid w:val="00855484"/>
    <w:rsid w:val="00855585"/>
    <w:rsid w:val="00855D6B"/>
    <w:rsid w:val="00855F1D"/>
    <w:rsid w:val="0085603B"/>
    <w:rsid w:val="0085639E"/>
    <w:rsid w:val="00856475"/>
    <w:rsid w:val="0085746B"/>
    <w:rsid w:val="00857792"/>
    <w:rsid w:val="00857DD6"/>
    <w:rsid w:val="0086046C"/>
    <w:rsid w:val="00860F5F"/>
    <w:rsid w:val="00861DAE"/>
    <w:rsid w:val="008628B3"/>
    <w:rsid w:val="00862A98"/>
    <w:rsid w:val="00862BC3"/>
    <w:rsid w:val="008637AD"/>
    <w:rsid w:val="008637E6"/>
    <w:rsid w:val="00864111"/>
    <w:rsid w:val="00864A10"/>
    <w:rsid w:val="00864B3E"/>
    <w:rsid w:val="00864BFE"/>
    <w:rsid w:val="00864CDF"/>
    <w:rsid w:val="00864E44"/>
    <w:rsid w:val="00864EC8"/>
    <w:rsid w:val="008656E8"/>
    <w:rsid w:val="00866893"/>
    <w:rsid w:val="00866F02"/>
    <w:rsid w:val="008672C5"/>
    <w:rsid w:val="008678C4"/>
    <w:rsid w:val="00867BE1"/>
    <w:rsid w:val="00867D18"/>
    <w:rsid w:val="00867EE8"/>
    <w:rsid w:val="00870C04"/>
    <w:rsid w:val="0087171D"/>
    <w:rsid w:val="00871DBF"/>
    <w:rsid w:val="00871F9A"/>
    <w:rsid w:val="00871FD5"/>
    <w:rsid w:val="008729FB"/>
    <w:rsid w:val="00872E9C"/>
    <w:rsid w:val="0087418F"/>
    <w:rsid w:val="00874449"/>
    <w:rsid w:val="008746D4"/>
    <w:rsid w:val="00875008"/>
    <w:rsid w:val="0087512B"/>
    <w:rsid w:val="00875B84"/>
    <w:rsid w:val="00875DEA"/>
    <w:rsid w:val="00876A16"/>
    <w:rsid w:val="00876A40"/>
    <w:rsid w:val="00877167"/>
    <w:rsid w:val="00877474"/>
    <w:rsid w:val="00877D39"/>
    <w:rsid w:val="008806E8"/>
    <w:rsid w:val="008807A5"/>
    <w:rsid w:val="00881096"/>
    <w:rsid w:val="0088172E"/>
    <w:rsid w:val="00881EAA"/>
    <w:rsid w:val="00881EFA"/>
    <w:rsid w:val="00881F5E"/>
    <w:rsid w:val="008822A1"/>
    <w:rsid w:val="00882597"/>
    <w:rsid w:val="008831CB"/>
    <w:rsid w:val="008836A8"/>
    <w:rsid w:val="00883D19"/>
    <w:rsid w:val="0088477A"/>
    <w:rsid w:val="00885937"/>
    <w:rsid w:val="008859F2"/>
    <w:rsid w:val="00885C77"/>
    <w:rsid w:val="00885CEB"/>
    <w:rsid w:val="00885F19"/>
    <w:rsid w:val="00886122"/>
    <w:rsid w:val="008867C8"/>
    <w:rsid w:val="00886BBC"/>
    <w:rsid w:val="008873FD"/>
    <w:rsid w:val="008879CB"/>
    <w:rsid w:val="008904E9"/>
    <w:rsid w:val="00890F81"/>
    <w:rsid w:val="008911A1"/>
    <w:rsid w:val="00891884"/>
    <w:rsid w:val="00891BC2"/>
    <w:rsid w:val="0089217D"/>
    <w:rsid w:val="00892C79"/>
    <w:rsid w:val="00893207"/>
    <w:rsid w:val="00893219"/>
    <w:rsid w:val="00893594"/>
    <w:rsid w:val="008937FD"/>
    <w:rsid w:val="00893901"/>
    <w:rsid w:val="00893AF8"/>
    <w:rsid w:val="00893C4A"/>
    <w:rsid w:val="0089412E"/>
    <w:rsid w:val="00894EC1"/>
    <w:rsid w:val="00896B65"/>
    <w:rsid w:val="008974CF"/>
    <w:rsid w:val="00897781"/>
    <w:rsid w:val="008979B1"/>
    <w:rsid w:val="008A0387"/>
    <w:rsid w:val="008A048D"/>
    <w:rsid w:val="008A336B"/>
    <w:rsid w:val="008A35FD"/>
    <w:rsid w:val="008A3626"/>
    <w:rsid w:val="008A400E"/>
    <w:rsid w:val="008A4101"/>
    <w:rsid w:val="008A4115"/>
    <w:rsid w:val="008A4814"/>
    <w:rsid w:val="008A501B"/>
    <w:rsid w:val="008A51DD"/>
    <w:rsid w:val="008A5AF7"/>
    <w:rsid w:val="008A6B25"/>
    <w:rsid w:val="008A6C4F"/>
    <w:rsid w:val="008A7779"/>
    <w:rsid w:val="008A7789"/>
    <w:rsid w:val="008A79E2"/>
    <w:rsid w:val="008B0071"/>
    <w:rsid w:val="008B0174"/>
    <w:rsid w:val="008B1AEA"/>
    <w:rsid w:val="008B25D6"/>
    <w:rsid w:val="008B2A74"/>
    <w:rsid w:val="008B389E"/>
    <w:rsid w:val="008B3C90"/>
    <w:rsid w:val="008B3F05"/>
    <w:rsid w:val="008B41F1"/>
    <w:rsid w:val="008B4947"/>
    <w:rsid w:val="008B4E57"/>
    <w:rsid w:val="008B5157"/>
    <w:rsid w:val="008B62B6"/>
    <w:rsid w:val="008B64E9"/>
    <w:rsid w:val="008B6944"/>
    <w:rsid w:val="008B716F"/>
    <w:rsid w:val="008B7AC9"/>
    <w:rsid w:val="008C0A0C"/>
    <w:rsid w:val="008C1ADD"/>
    <w:rsid w:val="008C1E0F"/>
    <w:rsid w:val="008C2131"/>
    <w:rsid w:val="008C2B27"/>
    <w:rsid w:val="008C353E"/>
    <w:rsid w:val="008C473A"/>
    <w:rsid w:val="008C483B"/>
    <w:rsid w:val="008C4E0A"/>
    <w:rsid w:val="008C5499"/>
    <w:rsid w:val="008C5BA0"/>
    <w:rsid w:val="008C6C31"/>
    <w:rsid w:val="008C7AEC"/>
    <w:rsid w:val="008C7D96"/>
    <w:rsid w:val="008D045E"/>
    <w:rsid w:val="008D0F21"/>
    <w:rsid w:val="008D11BD"/>
    <w:rsid w:val="008D12BF"/>
    <w:rsid w:val="008D13C6"/>
    <w:rsid w:val="008D1AA7"/>
    <w:rsid w:val="008D1D09"/>
    <w:rsid w:val="008D23E8"/>
    <w:rsid w:val="008D36DC"/>
    <w:rsid w:val="008D3A3A"/>
    <w:rsid w:val="008D3E4B"/>
    <w:rsid w:val="008D3F25"/>
    <w:rsid w:val="008D4D82"/>
    <w:rsid w:val="008D4E2B"/>
    <w:rsid w:val="008D5140"/>
    <w:rsid w:val="008D5288"/>
    <w:rsid w:val="008D58E8"/>
    <w:rsid w:val="008D6394"/>
    <w:rsid w:val="008D73B5"/>
    <w:rsid w:val="008D76BD"/>
    <w:rsid w:val="008D7E72"/>
    <w:rsid w:val="008E0135"/>
    <w:rsid w:val="008E0406"/>
    <w:rsid w:val="008E0B0A"/>
    <w:rsid w:val="008E0E46"/>
    <w:rsid w:val="008E0E50"/>
    <w:rsid w:val="008E1653"/>
    <w:rsid w:val="008E2191"/>
    <w:rsid w:val="008E2337"/>
    <w:rsid w:val="008E26AD"/>
    <w:rsid w:val="008E292E"/>
    <w:rsid w:val="008E2C8D"/>
    <w:rsid w:val="008E2F95"/>
    <w:rsid w:val="008E34B9"/>
    <w:rsid w:val="008E3BF4"/>
    <w:rsid w:val="008E42CC"/>
    <w:rsid w:val="008E4581"/>
    <w:rsid w:val="008E4929"/>
    <w:rsid w:val="008E4B3F"/>
    <w:rsid w:val="008E4F31"/>
    <w:rsid w:val="008E504D"/>
    <w:rsid w:val="008E56A6"/>
    <w:rsid w:val="008E58AB"/>
    <w:rsid w:val="008E5C48"/>
    <w:rsid w:val="008E5D9B"/>
    <w:rsid w:val="008E5E0D"/>
    <w:rsid w:val="008E6154"/>
    <w:rsid w:val="008E63AA"/>
    <w:rsid w:val="008E7116"/>
    <w:rsid w:val="008E78C8"/>
    <w:rsid w:val="008E7C07"/>
    <w:rsid w:val="008E7E29"/>
    <w:rsid w:val="008F0000"/>
    <w:rsid w:val="008F0B41"/>
    <w:rsid w:val="008F1160"/>
    <w:rsid w:val="008F143B"/>
    <w:rsid w:val="008F17EC"/>
    <w:rsid w:val="008F1A96"/>
    <w:rsid w:val="008F1D3D"/>
    <w:rsid w:val="008F1F09"/>
    <w:rsid w:val="008F1F69"/>
    <w:rsid w:val="008F24E9"/>
    <w:rsid w:val="008F2685"/>
    <w:rsid w:val="008F2DEF"/>
    <w:rsid w:val="008F2E9A"/>
    <w:rsid w:val="008F3882"/>
    <w:rsid w:val="008F400A"/>
    <w:rsid w:val="008F4A90"/>
    <w:rsid w:val="008F4B7C"/>
    <w:rsid w:val="008F4EF6"/>
    <w:rsid w:val="008F51BA"/>
    <w:rsid w:val="008F675A"/>
    <w:rsid w:val="008F6DB8"/>
    <w:rsid w:val="008F7468"/>
    <w:rsid w:val="00900445"/>
    <w:rsid w:val="00900984"/>
    <w:rsid w:val="00900A0C"/>
    <w:rsid w:val="00900BC3"/>
    <w:rsid w:val="00900C29"/>
    <w:rsid w:val="009013EC"/>
    <w:rsid w:val="00901D30"/>
    <w:rsid w:val="00902338"/>
    <w:rsid w:val="00902A20"/>
    <w:rsid w:val="00903023"/>
    <w:rsid w:val="00903BE2"/>
    <w:rsid w:val="00904258"/>
    <w:rsid w:val="0090494C"/>
    <w:rsid w:val="009062BF"/>
    <w:rsid w:val="00906850"/>
    <w:rsid w:val="00907F50"/>
    <w:rsid w:val="009100B6"/>
    <w:rsid w:val="00910695"/>
    <w:rsid w:val="0091082E"/>
    <w:rsid w:val="00910981"/>
    <w:rsid w:val="00910AC4"/>
    <w:rsid w:val="009117C4"/>
    <w:rsid w:val="009119DD"/>
    <w:rsid w:val="00911D0C"/>
    <w:rsid w:val="0091279A"/>
    <w:rsid w:val="009130BD"/>
    <w:rsid w:val="00913982"/>
    <w:rsid w:val="00913C16"/>
    <w:rsid w:val="0091405A"/>
    <w:rsid w:val="00914E7A"/>
    <w:rsid w:val="009154AF"/>
    <w:rsid w:val="00915648"/>
    <w:rsid w:val="00915813"/>
    <w:rsid w:val="00915B42"/>
    <w:rsid w:val="009163C4"/>
    <w:rsid w:val="009165F6"/>
    <w:rsid w:val="009166E5"/>
    <w:rsid w:val="009172B0"/>
    <w:rsid w:val="009173DA"/>
    <w:rsid w:val="009203E1"/>
    <w:rsid w:val="00920D8D"/>
    <w:rsid w:val="00922C23"/>
    <w:rsid w:val="00924278"/>
    <w:rsid w:val="00925A4C"/>
    <w:rsid w:val="009268C7"/>
    <w:rsid w:val="00926E47"/>
    <w:rsid w:val="00927370"/>
    <w:rsid w:val="0092791F"/>
    <w:rsid w:val="0093058A"/>
    <w:rsid w:val="009305C4"/>
    <w:rsid w:val="00930B8D"/>
    <w:rsid w:val="00930CD0"/>
    <w:rsid w:val="00930F8E"/>
    <w:rsid w:val="00931813"/>
    <w:rsid w:val="00932B94"/>
    <w:rsid w:val="00932EEB"/>
    <w:rsid w:val="00934114"/>
    <w:rsid w:val="00934683"/>
    <w:rsid w:val="00934C66"/>
    <w:rsid w:val="0093525F"/>
    <w:rsid w:val="0093562E"/>
    <w:rsid w:val="00935A97"/>
    <w:rsid w:val="00936CED"/>
    <w:rsid w:val="009373F7"/>
    <w:rsid w:val="0093780A"/>
    <w:rsid w:val="00937A89"/>
    <w:rsid w:val="00937B95"/>
    <w:rsid w:val="00940CFC"/>
    <w:rsid w:val="009413B6"/>
    <w:rsid w:val="009414B9"/>
    <w:rsid w:val="00941DCD"/>
    <w:rsid w:val="009422E0"/>
    <w:rsid w:val="00942E0C"/>
    <w:rsid w:val="00942EED"/>
    <w:rsid w:val="00942FE6"/>
    <w:rsid w:val="00944537"/>
    <w:rsid w:val="00944A8A"/>
    <w:rsid w:val="00944E98"/>
    <w:rsid w:val="00944F1C"/>
    <w:rsid w:val="00945A74"/>
    <w:rsid w:val="00945D29"/>
    <w:rsid w:val="0094641E"/>
    <w:rsid w:val="00946CB9"/>
    <w:rsid w:val="00947162"/>
    <w:rsid w:val="009476B5"/>
    <w:rsid w:val="00947883"/>
    <w:rsid w:val="00950344"/>
    <w:rsid w:val="00950346"/>
    <w:rsid w:val="00950610"/>
    <w:rsid w:val="00950641"/>
    <w:rsid w:val="009510AB"/>
    <w:rsid w:val="009527C4"/>
    <w:rsid w:val="00952E32"/>
    <w:rsid w:val="0095417D"/>
    <w:rsid w:val="009542A2"/>
    <w:rsid w:val="009546C2"/>
    <w:rsid w:val="00954E99"/>
    <w:rsid w:val="009553E7"/>
    <w:rsid w:val="009557E7"/>
    <w:rsid w:val="00955D5F"/>
    <w:rsid w:val="009563D0"/>
    <w:rsid w:val="0095649F"/>
    <w:rsid w:val="009564AC"/>
    <w:rsid w:val="00956F82"/>
    <w:rsid w:val="00957F0C"/>
    <w:rsid w:val="00960868"/>
    <w:rsid w:val="009610D0"/>
    <w:rsid w:val="00961490"/>
    <w:rsid w:val="009625F0"/>
    <w:rsid w:val="0096311F"/>
    <w:rsid w:val="009636FE"/>
    <w:rsid w:val="0096375C"/>
    <w:rsid w:val="00964018"/>
    <w:rsid w:val="009645BE"/>
    <w:rsid w:val="00964CAA"/>
    <w:rsid w:val="00965147"/>
    <w:rsid w:val="00965339"/>
    <w:rsid w:val="00965CE4"/>
    <w:rsid w:val="00965E8F"/>
    <w:rsid w:val="00966141"/>
    <w:rsid w:val="009662E6"/>
    <w:rsid w:val="00966B44"/>
    <w:rsid w:val="00966C7D"/>
    <w:rsid w:val="009672B0"/>
    <w:rsid w:val="009672EF"/>
    <w:rsid w:val="00967DB7"/>
    <w:rsid w:val="0097095E"/>
    <w:rsid w:val="00970BBD"/>
    <w:rsid w:val="00970EAE"/>
    <w:rsid w:val="00970F16"/>
    <w:rsid w:val="00971357"/>
    <w:rsid w:val="009714DB"/>
    <w:rsid w:val="00971DD9"/>
    <w:rsid w:val="0097253F"/>
    <w:rsid w:val="0097282C"/>
    <w:rsid w:val="009728E2"/>
    <w:rsid w:val="00972CB6"/>
    <w:rsid w:val="00972F28"/>
    <w:rsid w:val="009731AC"/>
    <w:rsid w:val="00973723"/>
    <w:rsid w:val="00973B2D"/>
    <w:rsid w:val="00973B87"/>
    <w:rsid w:val="00974DF2"/>
    <w:rsid w:val="00975687"/>
    <w:rsid w:val="009759D3"/>
    <w:rsid w:val="00975F24"/>
    <w:rsid w:val="00976D18"/>
    <w:rsid w:val="009772C4"/>
    <w:rsid w:val="00977BC4"/>
    <w:rsid w:val="0098067D"/>
    <w:rsid w:val="00980870"/>
    <w:rsid w:val="009812DC"/>
    <w:rsid w:val="009819C8"/>
    <w:rsid w:val="00981C8F"/>
    <w:rsid w:val="009822BA"/>
    <w:rsid w:val="00982428"/>
    <w:rsid w:val="00982676"/>
    <w:rsid w:val="00982FB1"/>
    <w:rsid w:val="0098357C"/>
    <w:rsid w:val="009839D3"/>
    <w:rsid w:val="00983A00"/>
    <w:rsid w:val="00983D59"/>
    <w:rsid w:val="0098404F"/>
    <w:rsid w:val="0098480F"/>
    <w:rsid w:val="00984A60"/>
    <w:rsid w:val="00984CCE"/>
    <w:rsid w:val="0098592B"/>
    <w:rsid w:val="00985FC4"/>
    <w:rsid w:val="00986126"/>
    <w:rsid w:val="00986298"/>
    <w:rsid w:val="00987370"/>
    <w:rsid w:val="00987478"/>
    <w:rsid w:val="00987742"/>
    <w:rsid w:val="009879EE"/>
    <w:rsid w:val="00990431"/>
    <w:rsid w:val="00990766"/>
    <w:rsid w:val="00990AA6"/>
    <w:rsid w:val="00991198"/>
    <w:rsid w:val="00991261"/>
    <w:rsid w:val="00991676"/>
    <w:rsid w:val="009916B3"/>
    <w:rsid w:val="00991EA0"/>
    <w:rsid w:val="009935D3"/>
    <w:rsid w:val="009937FE"/>
    <w:rsid w:val="00994DCB"/>
    <w:rsid w:val="0099508E"/>
    <w:rsid w:val="00995D33"/>
    <w:rsid w:val="00995E19"/>
    <w:rsid w:val="009964C4"/>
    <w:rsid w:val="00996DFF"/>
    <w:rsid w:val="00997D4F"/>
    <w:rsid w:val="009A06A7"/>
    <w:rsid w:val="009A14C2"/>
    <w:rsid w:val="009A208C"/>
    <w:rsid w:val="009A3AEC"/>
    <w:rsid w:val="009A5026"/>
    <w:rsid w:val="009A52D3"/>
    <w:rsid w:val="009A53BA"/>
    <w:rsid w:val="009A5B7D"/>
    <w:rsid w:val="009A5F9B"/>
    <w:rsid w:val="009A66BC"/>
    <w:rsid w:val="009A6C15"/>
    <w:rsid w:val="009A7A90"/>
    <w:rsid w:val="009A7B81"/>
    <w:rsid w:val="009B08B5"/>
    <w:rsid w:val="009B10BD"/>
    <w:rsid w:val="009B201C"/>
    <w:rsid w:val="009B30FF"/>
    <w:rsid w:val="009B43D7"/>
    <w:rsid w:val="009B47F1"/>
    <w:rsid w:val="009B7617"/>
    <w:rsid w:val="009B7859"/>
    <w:rsid w:val="009B78F3"/>
    <w:rsid w:val="009C00D2"/>
    <w:rsid w:val="009C0AB5"/>
    <w:rsid w:val="009C0C6C"/>
    <w:rsid w:val="009C0D0C"/>
    <w:rsid w:val="009C10D5"/>
    <w:rsid w:val="009C1484"/>
    <w:rsid w:val="009C172C"/>
    <w:rsid w:val="009C1FDC"/>
    <w:rsid w:val="009C209D"/>
    <w:rsid w:val="009C237B"/>
    <w:rsid w:val="009C25D5"/>
    <w:rsid w:val="009C26FC"/>
    <w:rsid w:val="009C28BB"/>
    <w:rsid w:val="009C2C1F"/>
    <w:rsid w:val="009C2E5B"/>
    <w:rsid w:val="009C2FC8"/>
    <w:rsid w:val="009C3192"/>
    <w:rsid w:val="009C393E"/>
    <w:rsid w:val="009C3D79"/>
    <w:rsid w:val="009C4301"/>
    <w:rsid w:val="009C49B6"/>
    <w:rsid w:val="009C4BE1"/>
    <w:rsid w:val="009C5578"/>
    <w:rsid w:val="009C5CCD"/>
    <w:rsid w:val="009C623B"/>
    <w:rsid w:val="009C6F52"/>
    <w:rsid w:val="009C7C0A"/>
    <w:rsid w:val="009D01C0"/>
    <w:rsid w:val="009D0930"/>
    <w:rsid w:val="009D09A1"/>
    <w:rsid w:val="009D0AB4"/>
    <w:rsid w:val="009D1A13"/>
    <w:rsid w:val="009D266E"/>
    <w:rsid w:val="009D272B"/>
    <w:rsid w:val="009D36E1"/>
    <w:rsid w:val="009D3FDC"/>
    <w:rsid w:val="009D43BC"/>
    <w:rsid w:val="009D47BC"/>
    <w:rsid w:val="009D5933"/>
    <w:rsid w:val="009D5C01"/>
    <w:rsid w:val="009D5E43"/>
    <w:rsid w:val="009D604E"/>
    <w:rsid w:val="009D668C"/>
    <w:rsid w:val="009D6A08"/>
    <w:rsid w:val="009D73FE"/>
    <w:rsid w:val="009D7891"/>
    <w:rsid w:val="009D7B3C"/>
    <w:rsid w:val="009E02B0"/>
    <w:rsid w:val="009E08AD"/>
    <w:rsid w:val="009E0A16"/>
    <w:rsid w:val="009E0DEB"/>
    <w:rsid w:val="009E0EAD"/>
    <w:rsid w:val="009E197F"/>
    <w:rsid w:val="009E1ED1"/>
    <w:rsid w:val="009E26F4"/>
    <w:rsid w:val="009E29FD"/>
    <w:rsid w:val="009E2A75"/>
    <w:rsid w:val="009E302C"/>
    <w:rsid w:val="009E342C"/>
    <w:rsid w:val="009E3505"/>
    <w:rsid w:val="009E4016"/>
    <w:rsid w:val="009E45E7"/>
    <w:rsid w:val="009E494F"/>
    <w:rsid w:val="009E4A13"/>
    <w:rsid w:val="009E4B7F"/>
    <w:rsid w:val="009E56DD"/>
    <w:rsid w:val="009E57D9"/>
    <w:rsid w:val="009E5900"/>
    <w:rsid w:val="009E5E5D"/>
    <w:rsid w:val="009E6594"/>
    <w:rsid w:val="009E6CB7"/>
    <w:rsid w:val="009E7715"/>
    <w:rsid w:val="009E788A"/>
    <w:rsid w:val="009E7970"/>
    <w:rsid w:val="009E7C1D"/>
    <w:rsid w:val="009F0907"/>
    <w:rsid w:val="009F0B3D"/>
    <w:rsid w:val="009F21AD"/>
    <w:rsid w:val="009F25B2"/>
    <w:rsid w:val="009F2EAC"/>
    <w:rsid w:val="009F328D"/>
    <w:rsid w:val="009F32CD"/>
    <w:rsid w:val="009F46DB"/>
    <w:rsid w:val="009F4F1E"/>
    <w:rsid w:val="009F4F59"/>
    <w:rsid w:val="009F51EF"/>
    <w:rsid w:val="009F53AD"/>
    <w:rsid w:val="009F57E3"/>
    <w:rsid w:val="009F65E2"/>
    <w:rsid w:val="009F67B7"/>
    <w:rsid w:val="009F6A7B"/>
    <w:rsid w:val="009F70FB"/>
    <w:rsid w:val="009F7D21"/>
    <w:rsid w:val="009F7F55"/>
    <w:rsid w:val="009F7F92"/>
    <w:rsid w:val="00A00D5A"/>
    <w:rsid w:val="00A00E91"/>
    <w:rsid w:val="00A01A49"/>
    <w:rsid w:val="00A01CD1"/>
    <w:rsid w:val="00A01D01"/>
    <w:rsid w:val="00A01D85"/>
    <w:rsid w:val="00A02329"/>
    <w:rsid w:val="00A025A3"/>
    <w:rsid w:val="00A02CE2"/>
    <w:rsid w:val="00A031F3"/>
    <w:rsid w:val="00A03BF1"/>
    <w:rsid w:val="00A03EE1"/>
    <w:rsid w:val="00A0466A"/>
    <w:rsid w:val="00A04DB3"/>
    <w:rsid w:val="00A05A29"/>
    <w:rsid w:val="00A05C9C"/>
    <w:rsid w:val="00A06258"/>
    <w:rsid w:val="00A062C5"/>
    <w:rsid w:val="00A069E8"/>
    <w:rsid w:val="00A06A31"/>
    <w:rsid w:val="00A070DF"/>
    <w:rsid w:val="00A07172"/>
    <w:rsid w:val="00A07D51"/>
    <w:rsid w:val="00A07E94"/>
    <w:rsid w:val="00A10240"/>
    <w:rsid w:val="00A108B0"/>
    <w:rsid w:val="00A108B7"/>
    <w:rsid w:val="00A10BB3"/>
    <w:rsid w:val="00A10F4F"/>
    <w:rsid w:val="00A11067"/>
    <w:rsid w:val="00A112F8"/>
    <w:rsid w:val="00A116E0"/>
    <w:rsid w:val="00A117C7"/>
    <w:rsid w:val="00A1182E"/>
    <w:rsid w:val="00A11B0E"/>
    <w:rsid w:val="00A120C9"/>
    <w:rsid w:val="00A126C6"/>
    <w:rsid w:val="00A13919"/>
    <w:rsid w:val="00A1431F"/>
    <w:rsid w:val="00A1477B"/>
    <w:rsid w:val="00A14A04"/>
    <w:rsid w:val="00A15097"/>
    <w:rsid w:val="00A15210"/>
    <w:rsid w:val="00A1574B"/>
    <w:rsid w:val="00A15903"/>
    <w:rsid w:val="00A1591F"/>
    <w:rsid w:val="00A169CE"/>
    <w:rsid w:val="00A1704A"/>
    <w:rsid w:val="00A1724D"/>
    <w:rsid w:val="00A17D63"/>
    <w:rsid w:val="00A17D9F"/>
    <w:rsid w:val="00A20200"/>
    <w:rsid w:val="00A20EC1"/>
    <w:rsid w:val="00A211F7"/>
    <w:rsid w:val="00A21BC1"/>
    <w:rsid w:val="00A21D32"/>
    <w:rsid w:val="00A21F89"/>
    <w:rsid w:val="00A2200A"/>
    <w:rsid w:val="00A22B52"/>
    <w:rsid w:val="00A232E3"/>
    <w:rsid w:val="00A234B4"/>
    <w:rsid w:val="00A23A83"/>
    <w:rsid w:val="00A243B5"/>
    <w:rsid w:val="00A245C2"/>
    <w:rsid w:val="00A24608"/>
    <w:rsid w:val="00A24811"/>
    <w:rsid w:val="00A25147"/>
    <w:rsid w:val="00A25312"/>
    <w:rsid w:val="00A259B6"/>
    <w:rsid w:val="00A25D3A"/>
    <w:rsid w:val="00A25DA2"/>
    <w:rsid w:val="00A26980"/>
    <w:rsid w:val="00A26B2C"/>
    <w:rsid w:val="00A26EA2"/>
    <w:rsid w:val="00A27DB5"/>
    <w:rsid w:val="00A27F84"/>
    <w:rsid w:val="00A301E2"/>
    <w:rsid w:val="00A3025E"/>
    <w:rsid w:val="00A30293"/>
    <w:rsid w:val="00A303C9"/>
    <w:rsid w:val="00A309CC"/>
    <w:rsid w:val="00A30EFA"/>
    <w:rsid w:val="00A30FCC"/>
    <w:rsid w:val="00A31CB1"/>
    <w:rsid w:val="00A33CE0"/>
    <w:rsid w:val="00A345CA"/>
    <w:rsid w:val="00A34DD4"/>
    <w:rsid w:val="00A34E27"/>
    <w:rsid w:val="00A35205"/>
    <w:rsid w:val="00A355DB"/>
    <w:rsid w:val="00A35887"/>
    <w:rsid w:val="00A35C0F"/>
    <w:rsid w:val="00A36367"/>
    <w:rsid w:val="00A36EB5"/>
    <w:rsid w:val="00A37672"/>
    <w:rsid w:val="00A37DD1"/>
    <w:rsid w:val="00A40768"/>
    <w:rsid w:val="00A41937"/>
    <w:rsid w:val="00A419A3"/>
    <w:rsid w:val="00A41FD4"/>
    <w:rsid w:val="00A42116"/>
    <w:rsid w:val="00A425EB"/>
    <w:rsid w:val="00A426DD"/>
    <w:rsid w:val="00A436C6"/>
    <w:rsid w:val="00A44DEB"/>
    <w:rsid w:val="00A452AB"/>
    <w:rsid w:val="00A455F3"/>
    <w:rsid w:val="00A464F0"/>
    <w:rsid w:val="00A466BD"/>
    <w:rsid w:val="00A469D3"/>
    <w:rsid w:val="00A46BBE"/>
    <w:rsid w:val="00A46EA8"/>
    <w:rsid w:val="00A47435"/>
    <w:rsid w:val="00A5044F"/>
    <w:rsid w:val="00A506DA"/>
    <w:rsid w:val="00A507E9"/>
    <w:rsid w:val="00A514CA"/>
    <w:rsid w:val="00A51F2A"/>
    <w:rsid w:val="00A52A60"/>
    <w:rsid w:val="00A52B3E"/>
    <w:rsid w:val="00A52F4B"/>
    <w:rsid w:val="00A53469"/>
    <w:rsid w:val="00A53B6F"/>
    <w:rsid w:val="00A53E47"/>
    <w:rsid w:val="00A53E77"/>
    <w:rsid w:val="00A540F3"/>
    <w:rsid w:val="00A54A24"/>
    <w:rsid w:val="00A552BD"/>
    <w:rsid w:val="00A552EF"/>
    <w:rsid w:val="00A5537F"/>
    <w:rsid w:val="00A55FE1"/>
    <w:rsid w:val="00A56485"/>
    <w:rsid w:val="00A5662D"/>
    <w:rsid w:val="00A56EA6"/>
    <w:rsid w:val="00A573A2"/>
    <w:rsid w:val="00A576CA"/>
    <w:rsid w:val="00A6047A"/>
    <w:rsid w:val="00A606BC"/>
    <w:rsid w:val="00A60BF3"/>
    <w:rsid w:val="00A614A5"/>
    <w:rsid w:val="00A6185F"/>
    <w:rsid w:val="00A61B39"/>
    <w:rsid w:val="00A6233A"/>
    <w:rsid w:val="00A62E45"/>
    <w:rsid w:val="00A63490"/>
    <w:rsid w:val="00A638DB"/>
    <w:rsid w:val="00A64433"/>
    <w:rsid w:val="00A6561E"/>
    <w:rsid w:val="00A65A02"/>
    <w:rsid w:val="00A6648B"/>
    <w:rsid w:val="00A664BD"/>
    <w:rsid w:val="00A66C50"/>
    <w:rsid w:val="00A6764C"/>
    <w:rsid w:val="00A704F9"/>
    <w:rsid w:val="00A713D3"/>
    <w:rsid w:val="00A72296"/>
    <w:rsid w:val="00A723A0"/>
    <w:rsid w:val="00A72EA3"/>
    <w:rsid w:val="00A72F22"/>
    <w:rsid w:val="00A733BC"/>
    <w:rsid w:val="00A73841"/>
    <w:rsid w:val="00A73E56"/>
    <w:rsid w:val="00A748A6"/>
    <w:rsid w:val="00A74D0A"/>
    <w:rsid w:val="00A7544A"/>
    <w:rsid w:val="00A75E9D"/>
    <w:rsid w:val="00A763DE"/>
    <w:rsid w:val="00A7640E"/>
    <w:rsid w:val="00A766EC"/>
    <w:rsid w:val="00A76A69"/>
    <w:rsid w:val="00A76BDB"/>
    <w:rsid w:val="00A771A2"/>
    <w:rsid w:val="00A77238"/>
    <w:rsid w:val="00A773B0"/>
    <w:rsid w:val="00A7740D"/>
    <w:rsid w:val="00A77914"/>
    <w:rsid w:val="00A802D5"/>
    <w:rsid w:val="00A80825"/>
    <w:rsid w:val="00A80D55"/>
    <w:rsid w:val="00A8138B"/>
    <w:rsid w:val="00A81475"/>
    <w:rsid w:val="00A814E1"/>
    <w:rsid w:val="00A82900"/>
    <w:rsid w:val="00A829EA"/>
    <w:rsid w:val="00A82B4F"/>
    <w:rsid w:val="00A830D2"/>
    <w:rsid w:val="00A8433D"/>
    <w:rsid w:val="00A8447E"/>
    <w:rsid w:val="00A8449E"/>
    <w:rsid w:val="00A8472D"/>
    <w:rsid w:val="00A84EA8"/>
    <w:rsid w:val="00A8521A"/>
    <w:rsid w:val="00A85696"/>
    <w:rsid w:val="00A858A7"/>
    <w:rsid w:val="00A86686"/>
    <w:rsid w:val="00A866E4"/>
    <w:rsid w:val="00A86713"/>
    <w:rsid w:val="00A86CBF"/>
    <w:rsid w:val="00A875C9"/>
    <w:rsid w:val="00A879A4"/>
    <w:rsid w:val="00A87A83"/>
    <w:rsid w:val="00A908CF"/>
    <w:rsid w:val="00A90B57"/>
    <w:rsid w:val="00A90FFA"/>
    <w:rsid w:val="00A91339"/>
    <w:rsid w:val="00A913C1"/>
    <w:rsid w:val="00A91445"/>
    <w:rsid w:val="00A9197D"/>
    <w:rsid w:val="00A92469"/>
    <w:rsid w:val="00A92A1C"/>
    <w:rsid w:val="00A92B46"/>
    <w:rsid w:val="00A93D8C"/>
    <w:rsid w:val="00A93DC8"/>
    <w:rsid w:val="00A94276"/>
    <w:rsid w:val="00A94961"/>
    <w:rsid w:val="00A95225"/>
    <w:rsid w:val="00A95600"/>
    <w:rsid w:val="00A95699"/>
    <w:rsid w:val="00A966D6"/>
    <w:rsid w:val="00A96713"/>
    <w:rsid w:val="00A96D8F"/>
    <w:rsid w:val="00A97F9B"/>
    <w:rsid w:val="00AA0794"/>
    <w:rsid w:val="00AA0A69"/>
    <w:rsid w:val="00AA0FF8"/>
    <w:rsid w:val="00AA1443"/>
    <w:rsid w:val="00AA1B50"/>
    <w:rsid w:val="00AA1F26"/>
    <w:rsid w:val="00AA27D0"/>
    <w:rsid w:val="00AA2DE8"/>
    <w:rsid w:val="00AA3B81"/>
    <w:rsid w:val="00AA433E"/>
    <w:rsid w:val="00AA4727"/>
    <w:rsid w:val="00AA4914"/>
    <w:rsid w:val="00AA4B8E"/>
    <w:rsid w:val="00AA5047"/>
    <w:rsid w:val="00AA50AD"/>
    <w:rsid w:val="00AA50DD"/>
    <w:rsid w:val="00AA535C"/>
    <w:rsid w:val="00AA56BF"/>
    <w:rsid w:val="00AA6738"/>
    <w:rsid w:val="00AA6A7E"/>
    <w:rsid w:val="00AA6F14"/>
    <w:rsid w:val="00AA7277"/>
    <w:rsid w:val="00AA7BD6"/>
    <w:rsid w:val="00AB0211"/>
    <w:rsid w:val="00AB0841"/>
    <w:rsid w:val="00AB0E90"/>
    <w:rsid w:val="00AB18D0"/>
    <w:rsid w:val="00AB1B2E"/>
    <w:rsid w:val="00AB1C34"/>
    <w:rsid w:val="00AB2056"/>
    <w:rsid w:val="00AB2973"/>
    <w:rsid w:val="00AB2DCC"/>
    <w:rsid w:val="00AB3660"/>
    <w:rsid w:val="00AB37A3"/>
    <w:rsid w:val="00AB4814"/>
    <w:rsid w:val="00AB4F5A"/>
    <w:rsid w:val="00AB5270"/>
    <w:rsid w:val="00AB56F5"/>
    <w:rsid w:val="00AB5A2F"/>
    <w:rsid w:val="00AB5DCD"/>
    <w:rsid w:val="00AB6859"/>
    <w:rsid w:val="00AB68DF"/>
    <w:rsid w:val="00AB6936"/>
    <w:rsid w:val="00AB6CB8"/>
    <w:rsid w:val="00AB7DFC"/>
    <w:rsid w:val="00AC0196"/>
    <w:rsid w:val="00AC06B1"/>
    <w:rsid w:val="00AC0F2C"/>
    <w:rsid w:val="00AC187D"/>
    <w:rsid w:val="00AC1C0E"/>
    <w:rsid w:val="00AC217C"/>
    <w:rsid w:val="00AC39C4"/>
    <w:rsid w:val="00AC40FE"/>
    <w:rsid w:val="00AC4105"/>
    <w:rsid w:val="00AC4C2F"/>
    <w:rsid w:val="00AC4E41"/>
    <w:rsid w:val="00AC502A"/>
    <w:rsid w:val="00AC5555"/>
    <w:rsid w:val="00AC5D51"/>
    <w:rsid w:val="00AC68E4"/>
    <w:rsid w:val="00AC728B"/>
    <w:rsid w:val="00AC733D"/>
    <w:rsid w:val="00AC7521"/>
    <w:rsid w:val="00AC7AEE"/>
    <w:rsid w:val="00AC7B78"/>
    <w:rsid w:val="00AD07FD"/>
    <w:rsid w:val="00AD0A98"/>
    <w:rsid w:val="00AD0B69"/>
    <w:rsid w:val="00AD119C"/>
    <w:rsid w:val="00AD1255"/>
    <w:rsid w:val="00AD1277"/>
    <w:rsid w:val="00AD1AAB"/>
    <w:rsid w:val="00AD295A"/>
    <w:rsid w:val="00AD5624"/>
    <w:rsid w:val="00AD5909"/>
    <w:rsid w:val="00AD63CF"/>
    <w:rsid w:val="00AD6710"/>
    <w:rsid w:val="00AD6CA1"/>
    <w:rsid w:val="00AD6F03"/>
    <w:rsid w:val="00AD6F5D"/>
    <w:rsid w:val="00AD78C2"/>
    <w:rsid w:val="00AE13A1"/>
    <w:rsid w:val="00AE18EA"/>
    <w:rsid w:val="00AE1BAF"/>
    <w:rsid w:val="00AE1D20"/>
    <w:rsid w:val="00AE1DE6"/>
    <w:rsid w:val="00AE2165"/>
    <w:rsid w:val="00AE2694"/>
    <w:rsid w:val="00AE2806"/>
    <w:rsid w:val="00AE3036"/>
    <w:rsid w:val="00AE4311"/>
    <w:rsid w:val="00AE4566"/>
    <w:rsid w:val="00AE457D"/>
    <w:rsid w:val="00AE484E"/>
    <w:rsid w:val="00AE4BBA"/>
    <w:rsid w:val="00AE4C79"/>
    <w:rsid w:val="00AE557B"/>
    <w:rsid w:val="00AE5850"/>
    <w:rsid w:val="00AE60F6"/>
    <w:rsid w:val="00AE661D"/>
    <w:rsid w:val="00AE6F05"/>
    <w:rsid w:val="00AE7D74"/>
    <w:rsid w:val="00AF0938"/>
    <w:rsid w:val="00AF0D3E"/>
    <w:rsid w:val="00AF0FD1"/>
    <w:rsid w:val="00AF1973"/>
    <w:rsid w:val="00AF1A1D"/>
    <w:rsid w:val="00AF1C47"/>
    <w:rsid w:val="00AF1E96"/>
    <w:rsid w:val="00AF1FCD"/>
    <w:rsid w:val="00AF4ABA"/>
    <w:rsid w:val="00AF58C1"/>
    <w:rsid w:val="00AF5B48"/>
    <w:rsid w:val="00AF641B"/>
    <w:rsid w:val="00AF64F2"/>
    <w:rsid w:val="00AF69F2"/>
    <w:rsid w:val="00AF7409"/>
    <w:rsid w:val="00B00D89"/>
    <w:rsid w:val="00B0179E"/>
    <w:rsid w:val="00B01B03"/>
    <w:rsid w:val="00B01B12"/>
    <w:rsid w:val="00B02D47"/>
    <w:rsid w:val="00B031D0"/>
    <w:rsid w:val="00B032CE"/>
    <w:rsid w:val="00B036D4"/>
    <w:rsid w:val="00B04030"/>
    <w:rsid w:val="00B042AA"/>
    <w:rsid w:val="00B04911"/>
    <w:rsid w:val="00B04A3F"/>
    <w:rsid w:val="00B05169"/>
    <w:rsid w:val="00B05551"/>
    <w:rsid w:val="00B06154"/>
    <w:rsid w:val="00B06643"/>
    <w:rsid w:val="00B06E7E"/>
    <w:rsid w:val="00B0768B"/>
    <w:rsid w:val="00B07F05"/>
    <w:rsid w:val="00B1068C"/>
    <w:rsid w:val="00B10D96"/>
    <w:rsid w:val="00B111FF"/>
    <w:rsid w:val="00B1124E"/>
    <w:rsid w:val="00B12491"/>
    <w:rsid w:val="00B126A6"/>
    <w:rsid w:val="00B12A54"/>
    <w:rsid w:val="00B131C2"/>
    <w:rsid w:val="00B13F13"/>
    <w:rsid w:val="00B141B7"/>
    <w:rsid w:val="00B141D5"/>
    <w:rsid w:val="00B147BD"/>
    <w:rsid w:val="00B14F76"/>
    <w:rsid w:val="00B15055"/>
    <w:rsid w:val="00B15100"/>
    <w:rsid w:val="00B15424"/>
    <w:rsid w:val="00B1599C"/>
    <w:rsid w:val="00B15AF2"/>
    <w:rsid w:val="00B15B6E"/>
    <w:rsid w:val="00B15D72"/>
    <w:rsid w:val="00B16472"/>
    <w:rsid w:val="00B1659D"/>
    <w:rsid w:val="00B166B5"/>
    <w:rsid w:val="00B166F2"/>
    <w:rsid w:val="00B1688B"/>
    <w:rsid w:val="00B17D82"/>
    <w:rsid w:val="00B2067B"/>
    <w:rsid w:val="00B20D59"/>
    <w:rsid w:val="00B20E78"/>
    <w:rsid w:val="00B21371"/>
    <w:rsid w:val="00B21FCC"/>
    <w:rsid w:val="00B22192"/>
    <w:rsid w:val="00B230B1"/>
    <w:rsid w:val="00B24335"/>
    <w:rsid w:val="00B25428"/>
    <w:rsid w:val="00B2581B"/>
    <w:rsid w:val="00B25F9B"/>
    <w:rsid w:val="00B266DE"/>
    <w:rsid w:val="00B26E0D"/>
    <w:rsid w:val="00B273D3"/>
    <w:rsid w:val="00B27BE4"/>
    <w:rsid w:val="00B27FF5"/>
    <w:rsid w:val="00B30179"/>
    <w:rsid w:val="00B3058B"/>
    <w:rsid w:val="00B30EF1"/>
    <w:rsid w:val="00B31284"/>
    <w:rsid w:val="00B314C2"/>
    <w:rsid w:val="00B318F9"/>
    <w:rsid w:val="00B31C93"/>
    <w:rsid w:val="00B31F87"/>
    <w:rsid w:val="00B32039"/>
    <w:rsid w:val="00B323B4"/>
    <w:rsid w:val="00B3341D"/>
    <w:rsid w:val="00B3399D"/>
    <w:rsid w:val="00B3409D"/>
    <w:rsid w:val="00B34AFF"/>
    <w:rsid w:val="00B354DE"/>
    <w:rsid w:val="00B35C09"/>
    <w:rsid w:val="00B36116"/>
    <w:rsid w:val="00B3636E"/>
    <w:rsid w:val="00B36E0F"/>
    <w:rsid w:val="00B37392"/>
    <w:rsid w:val="00B374E6"/>
    <w:rsid w:val="00B37B15"/>
    <w:rsid w:val="00B40143"/>
    <w:rsid w:val="00B40F2D"/>
    <w:rsid w:val="00B412FB"/>
    <w:rsid w:val="00B41614"/>
    <w:rsid w:val="00B41678"/>
    <w:rsid w:val="00B425AC"/>
    <w:rsid w:val="00B43B94"/>
    <w:rsid w:val="00B44A16"/>
    <w:rsid w:val="00B45592"/>
    <w:rsid w:val="00B45B13"/>
    <w:rsid w:val="00B45C02"/>
    <w:rsid w:val="00B4625F"/>
    <w:rsid w:val="00B469C1"/>
    <w:rsid w:val="00B46F69"/>
    <w:rsid w:val="00B4731D"/>
    <w:rsid w:val="00B4785C"/>
    <w:rsid w:val="00B47990"/>
    <w:rsid w:val="00B47B69"/>
    <w:rsid w:val="00B50B05"/>
    <w:rsid w:val="00B50E09"/>
    <w:rsid w:val="00B52018"/>
    <w:rsid w:val="00B5244D"/>
    <w:rsid w:val="00B524B5"/>
    <w:rsid w:val="00B52BB6"/>
    <w:rsid w:val="00B52F5F"/>
    <w:rsid w:val="00B53257"/>
    <w:rsid w:val="00B533A8"/>
    <w:rsid w:val="00B5341F"/>
    <w:rsid w:val="00B5347A"/>
    <w:rsid w:val="00B5390C"/>
    <w:rsid w:val="00B5392E"/>
    <w:rsid w:val="00B54272"/>
    <w:rsid w:val="00B54C1B"/>
    <w:rsid w:val="00B54D63"/>
    <w:rsid w:val="00B55CE4"/>
    <w:rsid w:val="00B55F06"/>
    <w:rsid w:val="00B572F3"/>
    <w:rsid w:val="00B57633"/>
    <w:rsid w:val="00B576C8"/>
    <w:rsid w:val="00B57948"/>
    <w:rsid w:val="00B60E62"/>
    <w:rsid w:val="00B6282B"/>
    <w:rsid w:val="00B63839"/>
    <w:rsid w:val="00B63F7E"/>
    <w:rsid w:val="00B646E0"/>
    <w:rsid w:val="00B649B0"/>
    <w:rsid w:val="00B64C19"/>
    <w:rsid w:val="00B64ED9"/>
    <w:rsid w:val="00B65B90"/>
    <w:rsid w:val="00B65BF2"/>
    <w:rsid w:val="00B65F53"/>
    <w:rsid w:val="00B678DC"/>
    <w:rsid w:val="00B71099"/>
    <w:rsid w:val="00B713B3"/>
    <w:rsid w:val="00B713E0"/>
    <w:rsid w:val="00B72168"/>
    <w:rsid w:val="00B725E0"/>
    <w:rsid w:val="00B72A1E"/>
    <w:rsid w:val="00B72F89"/>
    <w:rsid w:val="00B73854"/>
    <w:rsid w:val="00B7386F"/>
    <w:rsid w:val="00B73ED1"/>
    <w:rsid w:val="00B73ED2"/>
    <w:rsid w:val="00B742E6"/>
    <w:rsid w:val="00B747AD"/>
    <w:rsid w:val="00B760B2"/>
    <w:rsid w:val="00B769FA"/>
    <w:rsid w:val="00B76EE9"/>
    <w:rsid w:val="00B77BB5"/>
    <w:rsid w:val="00B77C63"/>
    <w:rsid w:val="00B80043"/>
    <w:rsid w:val="00B8043B"/>
    <w:rsid w:val="00B8080B"/>
    <w:rsid w:val="00B8103B"/>
    <w:rsid w:val="00B81537"/>
    <w:rsid w:val="00B81915"/>
    <w:rsid w:val="00B81A88"/>
    <w:rsid w:val="00B81C11"/>
    <w:rsid w:val="00B81E12"/>
    <w:rsid w:val="00B82026"/>
    <w:rsid w:val="00B8207C"/>
    <w:rsid w:val="00B82601"/>
    <w:rsid w:val="00B83327"/>
    <w:rsid w:val="00B83503"/>
    <w:rsid w:val="00B837D1"/>
    <w:rsid w:val="00B83A3C"/>
    <w:rsid w:val="00B84034"/>
    <w:rsid w:val="00B84118"/>
    <w:rsid w:val="00B8419F"/>
    <w:rsid w:val="00B841E1"/>
    <w:rsid w:val="00B84750"/>
    <w:rsid w:val="00B8477F"/>
    <w:rsid w:val="00B84B46"/>
    <w:rsid w:val="00B84FFA"/>
    <w:rsid w:val="00B850B1"/>
    <w:rsid w:val="00B85CAD"/>
    <w:rsid w:val="00B86449"/>
    <w:rsid w:val="00B866B4"/>
    <w:rsid w:val="00B86B26"/>
    <w:rsid w:val="00B86BC9"/>
    <w:rsid w:val="00B87815"/>
    <w:rsid w:val="00B9011E"/>
    <w:rsid w:val="00B90509"/>
    <w:rsid w:val="00B90FB3"/>
    <w:rsid w:val="00B910B2"/>
    <w:rsid w:val="00B918D5"/>
    <w:rsid w:val="00B92718"/>
    <w:rsid w:val="00B92B21"/>
    <w:rsid w:val="00B92C64"/>
    <w:rsid w:val="00B92D6E"/>
    <w:rsid w:val="00B93CF5"/>
    <w:rsid w:val="00B940C1"/>
    <w:rsid w:val="00B9449C"/>
    <w:rsid w:val="00B94653"/>
    <w:rsid w:val="00B9565F"/>
    <w:rsid w:val="00B95AD2"/>
    <w:rsid w:val="00B95BFB"/>
    <w:rsid w:val="00B961E3"/>
    <w:rsid w:val="00B962D1"/>
    <w:rsid w:val="00B9638D"/>
    <w:rsid w:val="00B96BA8"/>
    <w:rsid w:val="00B975B1"/>
    <w:rsid w:val="00B97C62"/>
    <w:rsid w:val="00B97D7C"/>
    <w:rsid w:val="00BA0102"/>
    <w:rsid w:val="00BA09FB"/>
    <w:rsid w:val="00BA0F24"/>
    <w:rsid w:val="00BA16F2"/>
    <w:rsid w:val="00BA339B"/>
    <w:rsid w:val="00BA351A"/>
    <w:rsid w:val="00BA3625"/>
    <w:rsid w:val="00BA410C"/>
    <w:rsid w:val="00BA525D"/>
    <w:rsid w:val="00BA591E"/>
    <w:rsid w:val="00BA5F89"/>
    <w:rsid w:val="00BA6443"/>
    <w:rsid w:val="00BA65BE"/>
    <w:rsid w:val="00BA6C73"/>
    <w:rsid w:val="00BA6F69"/>
    <w:rsid w:val="00BB0410"/>
    <w:rsid w:val="00BB06E8"/>
    <w:rsid w:val="00BB0B83"/>
    <w:rsid w:val="00BB1EBD"/>
    <w:rsid w:val="00BB2F60"/>
    <w:rsid w:val="00BB2F69"/>
    <w:rsid w:val="00BB3231"/>
    <w:rsid w:val="00BB42A6"/>
    <w:rsid w:val="00BB47FC"/>
    <w:rsid w:val="00BB4BAA"/>
    <w:rsid w:val="00BB4FB8"/>
    <w:rsid w:val="00BB57B1"/>
    <w:rsid w:val="00BB5EA3"/>
    <w:rsid w:val="00BB60C1"/>
    <w:rsid w:val="00BB646F"/>
    <w:rsid w:val="00BB64A8"/>
    <w:rsid w:val="00BB73BB"/>
    <w:rsid w:val="00BB771F"/>
    <w:rsid w:val="00BB7EE4"/>
    <w:rsid w:val="00BC14EF"/>
    <w:rsid w:val="00BC1AEF"/>
    <w:rsid w:val="00BC1E7E"/>
    <w:rsid w:val="00BC29EA"/>
    <w:rsid w:val="00BC2DAE"/>
    <w:rsid w:val="00BC3299"/>
    <w:rsid w:val="00BC3BBA"/>
    <w:rsid w:val="00BC452C"/>
    <w:rsid w:val="00BC538C"/>
    <w:rsid w:val="00BC5407"/>
    <w:rsid w:val="00BC54F9"/>
    <w:rsid w:val="00BC56BE"/>
    <w:rsid w:val="00BC5823"/>
    <w:rsid w:val="00BC658D"/>
    <w:rsid w:val="00BC7327"/>
    <w:rsid w:val="00BC74E9"/>
    <w:rsid w:val="00BC7D8B"/>
    <w:rsid w:val="00BD07FB"/>
    <w:rsid w:val="00BD0C1A"/>
    <w:rsid w:val="00BD0DD2"/>
    <w:rsid w:val="00BD0F0F"/>
    <w:rsid w:val="00BD10CE"/>
    <w:rsid w:val="00BD1D70"/>
    <w:rsid w:val="00BD22DA"/>
    <w:rsid w:val="00BD2C50"/>
    <w:rsid w:val="00BD2E59"/>
    <w:rsid w:val="00BD4614"/>
    <w:rsid w:val="00BD4743"/>
    <w:rsid w:val="00BD4F6C"/>
    <w:rsid w:val="00BD51D4"/>
    <w:rsid w:val="00BD54E1"/>
    <w:rsid w:val="00BD5AA2"/>
    <w:rsid w:val="00BD6660"/>
    <w:rsid w:val="00BD728C"/>
    <w:rsid w:val="00BD74B7"/>
    <w:rsid w:val="00BD774B"/>
    <w:rsid w:val="00BD786F"/>
    <w:rsid w:val="00BE096E"/>
    <w:rsid w:val="00BE0D5A"/>
    <w:rsid w:val="00BE0F2D"/>
    <w:rsid w:val="00BE162A"/>
    <w:rsid w:val="00BE1954"/>
    <w:rsid w:val="00BE19DF"/>
    <w:rsid w:val="00BE2468"/>
    <w:rsid w:val="00BE24C7"/>
    <w:rsid w:val="00BE2B61"/>
    <w:rsid w:val="00BE2C71"/>
    <w:rsid w:val="00BE363E"/>
    <w:rsid w:val="00BE36A9"/>
    <w:rsid w:val="00BE3718"/>
    <w:rsid w:val="00BE3FAC"/>
    <w:rsid w:val="00BE4C7E"/>
    <w:rsid w:val="00BE509C"/>
    <w:rsid w:val="00BE618E"/>
    <w:rsid w:val="00BE6881"/>
    <w:rsid w:val="00BE7620"/>
    <w:rsid w:val="00BE7BEC"/>
    <w:rsid w:val="00BE7F2B"/>
    <w:rsid w:val="00BF00CF"/>
    <w:rsid w:val="00BF01C7"/>
    <w:rsid w:val="00BF0296"/>
    <w:rsid w:val="00BF08CC"/>
    <w:rsid w:val="00BF0A5A"/>
    <w:rsid w:val="00BF0B49"/>
    <w:rsid w:val="00BF0E63"/>
    <w:rsid w:val="00BF11E3"/>
    <w:rsid w:val="00BF11FC"/>
    <w:rsid w:val="00BF128B"/>
    <w:rsid w:val="00BF12A3"/>
    <w:rsid w:val="00BF16D7"/>
    <w:rsid w:val="00BF1806"/>
    <w:rsid w:val="00BF21C2"/>
    <w:rsid w:val="00BF221A"/>
    <w:rsid w:val="00BF2236"/>
    <w:rsid w:val="00BF2373"/>
    <w:rsid w:val="00BF2628"/>
    <w:rsid w:val="00BF3064"/>
    <w:rsid w:val="00BF3141"/>
    <w:rsid w:val="00BF3386"/>
    <w:rsid w:val="00BF3791"/>
    <w:rsid w:val="00BF3B34"/>
    <w:rsid w:val="00BF499C"/>
    <w:rsid w:val="00BF5343"/>
    <w:rsid w:val="00BF5C3B"/>
    <w:rsid w:val="00BF6158"/>
    <w:rsid w:val="00BF6EE9"/>
    <w:rsid w:val="00BF783A"/>
    <w:rsid w:val="00C00745"/>
    <w:rsid w:val="00C00EAF"/>
    <w:rsid w:val="00C010B0"/>
    <w:rsid w:val="00C01134"/>
    <w:rsid w:val="00C0161C"/>
    <w:rsid w:val="00C01C18"/>
    <w:rsid w:val="00C027F2"/>
    <w:rsid w:val="00C02DF2"/>
    <w:rsid w:val="00C04290"/>
    <w:rsid w:val="00C0445B"/>
    <w:rsid w:val="00C044E2"/>
    <w:rsid w:val="00C048CB"/>
    <w:rsid w:val="00C04FF9"/>
    <w:rsid w:val="00C051A9"/>
    <w:rsid w:val="00C058FF"/>
    <w:rsid w:val="00C05C33"/>
    <w:rsid w:val="00C0657C"/>
    <w:rsid w:val="00C066F3"/>
    <w:rsid w:val="00C070BC"/>
    <w:rsid w:val="00C07248"/>
    <w:rsid w:val="00C0762E"/>
    <w:rsid w:val="00C100B9"/>
    <w:rsid w:val="00C10553"/>
    <w:rsid w:val="00C118BB"/>
    <w:rsid w:val="00C11E80"/>
    <w:rsid w:val="00C124AC"/>
    <w:rsid w:val="00C135E8"/>
    <w:rsid w:val="00C13B83"/>
    <w:rsid w:val="00C1525A"/>
    <w:rsid w:val="00C15E68"/>
    <w:rsid w:val="00C162DB"/>
    <w:rsid w:val="00C1659E"/>
    <w:rsid w:val="00C16A15"/>
    <w:rsid w:val="00C1799A"/>
    <w:rsid w:val="00C17B46"/>
    <w:rsid w:val="00C17C1E"/>
    <w:rsid w:val="00C210C1"/>
    <w:rsid w:val="00C21DAF"/>
    <w:rsid w:val="00C22961"/>
    <w:rsid w:val="00C22B6E"/>
    <w:rsid w:val="00C22DC8"/>
    <w:rsid w:val="00C22E0B"/>
    <w:rsid w:val="00C2351A"/>
    <w:rsid w:val="00C23CF0"/>
    <w:rsid w:val="00C23DD3"/>
    <w:rsid w:val="00C24393"/>
    <w:rsid w:val="00C24650"/>
    <w:rsid w:val="00C24F3C"/>
    <w:rsid w:val="00C2545A"/>
    <w:rsid w:val="00C25981"/>
    <w:rsid w:val="00C2656F"/>
    <w:rsid w:val="00C26781"/>
    <w:rsid w:val="00C267CA"/>
    <w:rsid w:val="00C27481"/>
    <w:rsid w:val="00C27635"/>
    <w:rsid w:val="00C27801"/>
    <w:rsid w:val="00C30AE0"/>
    <w:rsid w:val="00C30BBC"/>
    <w:rsid w:val="00C30C67"/>
    <w:rsid w:val="00C30E22"/>
    <w:rsid w:val="00C326D1"/>
    <w:rsid w:val="00C33325"/>
    <w:rsid w:val="00C336C2"/>
    <w:rsid w:val="00C338A9"/>
    <w:rsid w:val="00C33EC2"/>
    <w:rsid w:val="00C34E1A"/>
    <w:rsid w:val="00C364C0"/>
    <w:rsid w:val="00C371AB"/>
    <w:rsid w:val="00C37681"/>
    <w:rsid w:val="00C407E7"/>
    <w:rsid w:val="00C40C0D"/>
    <w:rsid w:val="00C4105A"/>
    <w:rsid w:val="00C41237"/>
    <w:rsid w:val="00C41835"/>
    <w:rsid w:val="00C41B6D"/>
    <w:rsid w:val="00C42A74"/>
    <w:rsid w:val="00C42BBF"/>
    <w:rsid w:val="00C42DD1"/>
    <w:rsid w:val="00C433C2"/>
    <w:rsid w:val="00C43EC3"/>
    <w:rsid w:val="00C440A5"/>
    <w:rsid w:val="00C4422D"/>
    <w:rsid w:val="00C44341"/>
    <w:rsid w:val="00C447D1"/>
    <w:rsid w:val="00C44E59"/>
    <w:rsid w:val="00C45C56"/>
    <w:rsid w:val="00C46006"/>
    <w:rsid w:val="00C460B3"/>
    <w:rsid w:val="00C46399"/>
    <w:rsid w:val="00C463DD"/>
    <w:rsid w:val="00C46452"/>
    <w:rsid w:val="00C4651C"/>
    <w:rsid w:val="00C46752"/>
    <w:rsid w:val="00C46908"/>
    <w:rsid w:val="00C4720A"/>
    <w:rsid w:val="00C47623"/>
    <w:rsid w:val="00C47AE0"/>
    <w:rsid w:val="00C47E91"/>
    <w:rsid w:val="00C50E96"/>
    <w:rsid w:val="00C5107B"/>
    <w:rsid w:val="00C51623"/>
    <w:rsid w:val="00C51EA4"/>
    <w:rsid w:val="00C524D5"/>
    <w:rsid w:val="00C536D7"/>
    <w:rsid w:val="00C53D83"/>
    <w:rsid w:val="00C54B83"/>
    <w:rsid w:val="00C54C85"/>
    <w:rsid w:val="00C556CB"/>
    <w:rsid w:val="00C557A4"/>
    <w:rsid w:val="00C557B1"/>
    <w:rsid w:val="00C56945"/>
    <w:rsid w:val="00C56AD3"/>
    <w:rsid w:val="00C56B84"/>
    <w:rsid w:val="00C57184"/>
    <w:rsid w:val="00C5741B"/>
    <w:rsid w:val="00C577C6"/>
    <w:rsid w:val="00C5783A"/>
    <w:rsid w:val="00C57AA6"/>
    <w:rsid w:val="00C600D6"/>
    <w:rsid w:val="00C60305"/>
    <w:rsid w:val="00C6280D"/>
    <w:rsid w:val="00C62EEA"/>
    <w:rsid w:val="00C6347C"/>
    <w:rsid w:val="00C63541"/>
    <w:rsid w:val="00C63EB4"/>
    <w:rsid w:val="00C63FEA"/>
    <w:rsid w:val="00C6404F"/>
    <w:rsid w:val="00C64AC1"/>
    <w:rsid w:val="00C6501D"/>
    <w:rsid w:val="00C65421"/>
    <w:rsid w:val="00C654C7"/>
    <w:rsid w:val="00C656A7"/>
    <w:rsid w:val="00C65E64"/>
    <w:rsid w:val="00C6701E"/>
    <w:rsid w:val="00C67728"/>
    <w:rsid w:val="00C67C2F"/>
    <w:rsid w:val="00C7035A"/>
    <w:rsid w:val="00C704EA"/>
    <w:rsid w:val="00C70AF1"/>
    <w:rsid w:val="00C7115A"/>
    <w:rsid w:val="00C71862"/>
    <w:rsid w:val="00C71C8B"/>
    <w:rsid w:val="00C71DBD"/>
    <w:rsid w:val="00C71EEB"/>
    <w:rsid w:val="00C7227D"/>
    <w:rsid w:val="00C72EBC"/>
    <w:rsid w:val="00C74006"/>
    <w:rsid w:val="00C745C3"/>
    <w:rsid w:val="00C74B0D"/>
    <w:rsid w:val="00C74C62"/>
    <w:rsid w:val="00C74E12"/>
    <w:rsid w:val="00C753EE"/>
    <w:rsid w:val="00C76382"/>
    <w:rsid w:val="00C763DD"/>
    <w:rsid w:val="00C765D9"/>
    <w:rsid w:val="00C76A5A"/>
    <w:rsid w:val="00C770A0"/>
    <w:rsid w:val="00C77648"/>
    <w:rsid w:val="00C7776A"/>
    <w:rsid w:val="00C77ACE"/>
    <w:rsid w:val="00C77C93"/>
    <w:rsid w:val="00C809F4"/>
    <w:rsid w:val="00C80D96"/>
    <w:rsid w:val="00C815FD"/>
    <w:rsid w:val="00C81664"/>
    <w:rsid w:val="00C81767"/>
    <w:rsid w:val="00C8181D"/>
    <w:rsid w:val="00C8192C"/>
    <w:rsid w:val="00C81C36"/>
    <w:rsid w:val="00C82862"/>
    <w:rsid w:val="00C82C81"/>
    <w:rsid w:val="00C83EF4"/>
    <w:rsid w:val="00C84321"/>
    <w:rsid w:val="00C84BED"/>
    <w:rsid w:val="00C863C1"/>
    <w:rsid w:val="00C86449"/>
    <w:rsid w:val="00C86718"/>
    <w:rsid w:val="00C8710C"/>
    <w:rsid w:val="00C87A84"/>
    <w:rsid w:val="00C9027B"/>
    <w:rsid w:val="00C90CF7"/>
    <w:rsid w:val="00C90CFC"/>
    <w:rsid w:val="00C91C8F"/>
    <w:rsid w:val="00C927BE"/>
    <w:rsid w:val="00C929C6"/>
    <w:rsid w:val="00C92DDC"/>
    <w:rsid w:val="00C92EE3"/>
    <w:rsid w:val="00C930C7"/>
    <w:rsid w:val="00C932BB"/>
    <w:rsid w:val="00C93611"/>
    <w:rsid w:val="00C93FD7"/>
    <w:rsid w:val="00C941AC"/>
    <w:rsid w:val="00C94289"/>
    <w:rsid w:val="00C94CF1"/>
    <w:rsid w:val="00C94E27"/>
    <w:rsid w:val="00C95853"/>
    <w:rsid w:val="00C95CD1"/>
    <w:rsid w:val="00C96395"/>
    <w:rsid w:val="00C97D08"/>
    <w:rsid w:val="00CA04F1"/>
    <w:rsid w:val="00CA0ADA"/>
    <w:rsid w:val="00CA0B2B"/>
    <w:rsid w:val="00CA10EE"/>
    <w:rsid w:val="00CA1611"/>
    <w:rsid w:val="00CA1D10"/>
    <w:rsid w:val="00CA24A4"/>
    <w:rsid w:val="00CA3901"/>
    <w:rsid w:val="00CA3D03"/>
    <w:rsid w:val="00CA3FFB"/>
    <w:rsid w:val="00CA40C8"/>
    <w:rsid w:val="00CA4C12"/>
    <w:rsid w:val="00CA56D1"/>
    <w:rsid w:val="00CA5937"/>
    <w:rsid w:val="00CA5A8F"/>
    <w:rsid w:val="00CA60BA"/>
    <w:rsid w:val="00CA6423"/>
    <w:rsid w:val="00CA653F"/>
    <w:rsid w:val="00CA7776"/>
    <w:rsid w:val="00CA7FF8"/>
    <w:rsid w:val="00CB03F1"/>
    <w:rsid w:val="00CB0AC9"/>
    <w:rsid w:val="00CB147B"/>
    <w:rsid w:val="00CB1858"/>
    <w:rsid w:val="00CB1B42"/>
    <w:rsid w:val="00CB1DEB"/>
    <w:rsid w:val="00CB23DD"/>
    <w:rsid w:val="00CB2DF8"/>
    <w:rsid w:val="00CB348D"/>
    <w:rsid w:val="00CB398F"/>
    <w:rsid w:val="00CB39BB"/>
    <w:rsid w:val="00CB3AE5"/>
    <w:rsid w:val="00CB3D79"/>
    <w:rsid w:val="00CB4603"/>
    <w:rsid w:val="00CB4ADF"/>
    <w:rsid w:val="00CB5A17"/>
    <w:rsid w:val="00CB5DA6"/>
    <w:rsid w:val="00CB5EB6"/>
    <w:rsid w:val="00CB62CF"/>
    <w:rsid w:val="00CB7B76"/>
    <w:rsid w:val="00CC119D"/>
    <w:rsid w:val="00CC1A47"/>
    <w:rsid w:val="00CC1E15"/>
    <w:rsid w:val="00CC2708"/>
    <w:rsid w:val="00CC3703"/>
    <w:rsid w:val="00CC37E5"/>
    <w:rsid w:val="00CC3A32"/>
    <w:rsid w:val="00CC3B46"/>
    <w:rsid w:val="00CC42C7"/>
    <w:rsid w:val="00CC4821"/>
    <w:rsid w:val="00CC4CBE"/>
    <w:rsid w:val="00CC53A6"/>
    <w:rsid w:val="00CC611E"/>
    <w:rsid w:val="00CC641A"/>
    <w:rsid w:val="00CC6695"/>
    <w:rsid w:val="00CC6839"/>
    <w:rsid w:val="00CC702A"/>
    <w:rsid w:val="00CC78BF"/>
    <w:rsid w:val="00CD09C5"/>
    <w:rsid w:val="00CD0A98"/>
    <w:rsid w:val="00CD0C82"/>
    <w:rsid w:val="00CD0CFA"/>
    <w:rsid w:val="00CD14ED"/>
    <w:rsid w:val="00CD1522"/>
    <w:rsid w:val="00CD16F7"/>
    <w:rsid w:val="00CD19E7"/>
    <w:rsid w:val="00CD1B56"/>
    <w:rsid w:val="00CD1DF5"/>
    <w:rsid w:val="00CD227C"/>
    <w:rsid w:val="00CD26D7"/>
    <w:rsid w:val="00CD2AF5"/>
    <w:rsid w:val="00CD2FC4"/>
    <w:rsid w:val="00CD316E"/>
    <w:rsid w:val="00CD3AD8"/>
    <w:rsid w:val="00CD3F48"/>
    <w:rsid w:val="00CD46F5"/>
    <w:rsid w:val="00CD4C58"/>
    <w:rsid w:val="00CD52A3"/>
    <w:rsid w:val="00CD5919"/>
    <w:rsid w:val="00CD5E2A"/>
    <w:rsid w:val="00CD6295"/>
    <w:rsid w:val="00CD6ADE"/>
    <w:rsid w:val="00CD6D35"/>
    <w:rsid w:val="00CD6D83"/>
    <w:rsid w:val="00CD70F8"/>
    <w:rsid w:val="00CD7B4D"/>
    <w:rsid w:val="00CD7FAD"/>
    <w:rsid w:val="00CD7FC2"/>
    <w:rsid w:val="00CE0F9B"/>
    <w:rsid w:val="00CE1748"/>
    <w:rsid w:val="00CE19DA"/>
    <w:rsid w:val="00CE1D25"/>
    <w:rsid w:val="00CE1FD4"/>
    <w:rsid w:val="00CE2850"/>
    <w:rsid w:val="00CE2E0F"/>
    <w:rsid w:val="00CE32ED"/>
    <w:rsid w:val="00CE3CA0"/>
    <w:rsid w:val="00CE442F"/>
    <w:rsid w:val="00CE452A"/>
    <w:rsid w:val="00CE4A8F"/>
    <w:rsid w:val="00CE4DEA"/>
    <w:rsid w:val="00CE4F11"/>
    <w:rsid w:val="00CE5051"/>
    <w:rsid w:val="00CE50FC"/>
    <w:rsid w:val="00CE543E"/>
    <w:rsid w:val="00CE697C"/>
    <w:rsid w:val="00CE768A"/>
    <w:rsid w:val="00CE7EC5"/>
    <w:rsid w:val="00CE7FC2"/>
    <w:rsid w:val="00CF0178"/>
    <w:rsid w:val="00CF071D"/>
    <w:rsid w:val="00CF0F86"/>
    <w:rsid w:val="00CF13EB"/>
    <w:rsid w:val="00CF1FC5"/>
    <w:rsid w:val="00CF26AE"/>
    <w:rsid w:val="00CF3431"/>
    <w:rsid w:val="00CF39BA"/>
    <w:rsid w:val="00CF39D3"/>
    <w:rsid w:val="00CF4664"/>
    <w:rsid w:val="00CF542F"/>
    <w:rsid w:val="00CF5C61"/>
    <w:rsid w:val="00CF5D92"/>
    <w:rsid w:val="00CF637B"/>
    <w:rsid w:val="00CF7909"/>
    <w:rsid w:val="00CF7A6B"/>
    <w:rsid w:val="00CF7D6C"/>
    <w:rsid w:val="00CF7DA5"/>
    <w:rsid w:val="00D00486"/>
    <w:rsid w:val="00D00BF8"/>
    <w:rsid w:val="00D00C8C"/>
    <w:rsid w:val="00D010C9"/>
    <w:rsid w:val="00D0160C"/>
    <w:rsid w:val="00D01622"/>
    <w:rsid w:val="00D02115"/>
    <w:rsid w:val="00D02B27"/>
    <w:rsid w:val="00D02C51"/>
    <w:rsid w:val="00D0349F"/>
    <w:rsid w:val="00D03AB9"/>
    <w:rsid w:val="00D048BE"/>
    <w:rsid w:val="00D048DA"/>
    <w:rsid w:val="00D04AFC"/>
    <w:rsid w:val="00D062E2"/>
    <w:rsid w:val="00D06DED"/>
    <w:rsid w:val="00D06FD3"/>
    <w:rsid w:val="00D07422"/>
    <w:rsid w:val="00D078D8"/>
    <w:rsid w:val="00D07905"/>
    <w:rsid w:val="00D10334"/>
    <w:rsid w:val="00D10F1F"/>
    <w:rsid w:val="00D11726"/>
    <w:rsid w:val="00D128F4"/>
    <w:rsid w:val="00D13359"/>
    <w:rsid w:val="00D1415B"/>
    <w:rsid w:val="00D149B7"/>
    <w:rsid w:val="00D14F2F"/>
    <w:rsid w:val="00D15101"/>
    <w:rsid w:val="00D154FA"/>
    <w:rsid w:val="00D15B04"/>
    <w:rsid w:val="00D15CB0"/>
    <w:rsid w:val="00D15EA1"/>
    <w:rsid w:val="00D15FC5"/>
    <w:rsid w:val="00D16117"/>
    <w:rsid w:val="00D1625B"/>
    <w:rsid w:val="00D163A7"/>
    <w:rsid w:val="00D16A44"/>
    <w:rsid w:val="00D177F4"/>
    <w:rsid w:val="00D17991"/>
    <w:rsid w:val="00D17ED7"/>
    <w:rsid w:val="00D2031B"/>
    <w:rsid w:val="00D20752"/>
    <w:rsid w:val="00D20808"/>
    <w:rsid w:val="00D208B2"/>
    <w:rsid w:val="00D20B05"/>
    <w:rsid w:val="00D21297"/>
    <w:rsid w:val="00D215B5"/>
    <w:rsid w:val="00D220D1"/>
    <w:rsid w:val="00D22234"/>
    <w:rsid w:val="00D2241A"/>
    <w:rsid w:val="00D228BA"/>
    <w:rsid w:val="00D22ADE"/>
    <w:rsid w:val="00D232D5"/>
    <w:rsid w:val="00D23D2C"/>
    <w:rsid w:val="00D243CB"/>
    <w:rsid w:val="00D24664"/>
    <w:rsid w:val="00D24B11"/>
    <w:rsid w:val="00D24E1B"/>
    <w:rsid w:val="00D24FD9"/>
    <w:rsid w:val="00D25289"/>
    <w:rsid w:val="00D25297"/>
    <w:rsid w:val="00D25560"/>
    <w:rsid w:val="00D25FE2"/>
    <w:rsid w:val="00D26A66"/>
    <w:rsid w:val="00D26B97"/>
    <w:rsid w:val="00D26F38"/>
    <w:rsid w:val="00D27655"/>
    <w:rsid w:val="00D30197"/>
    <w:rsid w:val="00D312B9"/>
    <w:rsid w:val="00D31736"/>
    <w:rsid w:val="00D31EF1"/>
    <w:rsid w:val="00D32339"/>
    <w:rsid w:val="00D331C3"/>
    <w:rsid w:val="00D33831"/>
    <w:rsid w:val="00D33A3D"/>
    <w:rsid w:val="00D349D3"/>
    <w:rsid w:val="00D34FA9"/>
    <w:rsid w:val="00D35288"/>
    <w:rsid w:val="00D359A9"/>
    <w:rsid w:val="00D35C8A"/>
    <w:rsid w:val="00D37226"/>
    <w:rsid w:val="00D378B2"/>
    <w:rsid w:val="00D37DA9"/>
    <w:rsid w:val="00D37E91"/>
    <w:rsid w:val="00D403DC"/>
    <w:rsid w:val="00D406A7"/>
    <w:rsid w:val="00D408B4"/>
    <w:rsid w:val="00D40FE6"/>
    <w:rsid w:val="00D41946"/>
    <w:rsid w:val="00D4240E"/>
    <w:rsid w:val="00D42991"/>
    <w:rsid w:val="00D42B2E"/>
    <w:rsid w:val="00D42CB6"/>
    <w:rsid w:val="00D43252"/>
    <w:rsid w:val="00D4476C"/>
    <w:rsid w:val="00D44D4D"/>
    <w:rsid w:val="00D44D86"/>
    <w:rsid w:val="00D455DD"/>
    <w:rsid w:val="00D45622"/>
    <w:rsid w:val="00D45FA0"/>
    <w:rsid w:val="00D465F9"/>
    <w:rsid w:val="00D472B6"/>
    <w:rsid w:val="00D473BF"/>
    <w:rsid w:val="00D474DD"/>
    <w:rsid w:val="00D47993"/>
    <w:rsid w:val="00D47EE2"/>
    <w:rsid w:val="00D50B7D"/>
    <w:rsid w:val="00D51F6E"/>
    <w:rsid w:val="00D51F89"/>
    <w:rsid w:val="00D52012"/>
    <w:rsid w:val="00D52441"/>
    <w:rsid w:val="00D540C0"/>
    <w:rsid w:val="00D546A6"/>
    <w:rsid w:val="00D547D7"/>
    <w:rsid w:val="00D549BB"/>
    <w:rsid w:val="00D54A5D"/>
    <w:rsid w:val="00D54C4F"/>
    <w:rsid w:val="00D54EF0"/>
    <w:rsid w:val="00D551AB"/>
    <w:rsid w:val="00D551E8"/>
    <w:rsid w:val="00D56BCE"/>
    <w:rsid w:val="00D5702E"/>
    <w:rsid w:val="00D57773"/>
    <w:rsid w:val="00D57A90"/>
    <w:rsid w:val="00D604EC"/>
    <w:rsid w:val="00D606F3"/>
    <w:rsid w:val="00D60A37"/>
    <w:rsid w:val="00D60F99"/>
    <w:rsid w:val="00D6151F"/>
    <w:rsid w:val="00D615C0"/>
    <w:rsid w:val="00D61B83"/>
    <w:rsid w:val="00D61BAC"/>
    <w:rsid w:val="00D61C42"/>
    <w:rsid w:val="00D61D67"/>
    <w:rsid w:val="00D61DFE"/>
    <w:rsid w:val="00D620EE"/>
    <w:rsid w:val="00D62370"/>
    <w:rsid w:val="00D628E0"/>
    <w:rsid w:val="00D62E39"/>
    <w:rsid w:val="00D63084"/>
    <w:rsid w:val="00D63412"/>
    <w:rsid w:val="00D63D3A"/>
    <w:rsid w:val="00D64182"/>
    <w:rsid w:val="00D6426D"/>
    <w:rsid w:val="00D642F5"/>
    <w:rsid w:val="00D64460"/>
    <w:rsid w:val="00D647A1"/>
    <w:rsid w:val="00D6499C"/>
    <w:rsid w:val="00D64BE3"/>
    <w:rsid w:val="00D64E0D"/>
    <w:rsid w:val="00D6571E"/>
    <w:rsid w:val="00D6577D"/>
    <w:rsid w:val="00D65B4C"/>
    <w:rsid w:val="00D66087"/>
    <w:rsid w:val="00D662CC"/>
    <w:rsid w:val="00D6672E"/>
    <w:rsid w:val="00D678F7"/>
    <w:rsid w:val="00D678FF"/>
    <w:rsid w:val="00D67C9A"/>
    <w:rsid w:val="00D67F31"/>
    <w:rsid w:val="00D704E5"/>
    <w:rsid w:val="00D707A1"/>
    <w:rsid w:val="00D71312"/>
    <w:rsid w:val="00D718EB"/>
    <w:rsid w:val="00D71F8F"/>
    <w:rsid w:val="00D72335"/>
    <w:rsid w:val="00D72727"/>
    <w:rsid w:val="00D72D75"/>
    <w:rsid w:val="00D7346B"/>
    <w:rsid w:val="00D737D7"/>
    <w:rsid w:val="00D73A19"/>
    <w:rsid w:val="00D73BB6"/>
    <w:rsid w:val="00D73E96"/>
    <w:rsid w:val="00D74719"/>
    <w:rsid w:val="00D75043"/>
    <w:rsid w:val="00D75776"/>
    <w:rsid w:val="00D766A7"/>
    <w:rsid w:val="00D76B43"/>
    <w:rsid w:val="00D76F1A"/>
    <w:rsid w:val="00D773B3"/>
    <w:rsid w:val="00D775BB"/>
    <w:rsid w:val="00D77F9F"/>
    <w:rsid w:val="00D80AAE"/>
    <w:rsid w:val="00D80BDA"/>
    <w:rsid w:val="00D8151B"/>
    <w:rsid w:val="00D81632"/>
    <w:rsid w:val="00D81BC0"/>
    <w:rsid w:val="00D81F5D"/>
    <w:rsid w:val="00D8212B"/>
    <w:rsid w:val="00D82BC9"/>
    <w:rsid w:val="00D8314F"/>
    <w:rsid w:val="00D83A0D"/>
    <w:rsid w:val="00D84855"/>
    <w:rsid w:val="00D84942"/>
    <w:rsid w:val="00D8546F"/>
    <w:rsid w:val="00D85774"/>
    <w:rsid w:val="00D859BA"/>
    <w:rsid w:val="00D8617A"/>
    <w:rsid w:val="00D86462"/>
    <w:rsid w:val="00D86AEB"/>
    <w:rsid w:val="00D87212"/>
    <w:rsid w:val="00D87488"/>
    <w:rsid w:val="00D877E2"/>
    <w:rsid w:val="00D87C88"/>
    <w:rsid w:val="00D87CAC"/>
    <w:rsid w:val="00D87CBD"/>
    <w:rsid w:val="00D904E3"/>
    <w:rsid w:val="00D9050E"/>
    <w:rsid w:val="00D90645"/>
    <w:rsid w:val="00D90CE4"/>
    <w:rsid w:val="00D90D23"/>
    <w:rsid w:val="00D90E03"/>
    <w:rsid w:val="00D91135"/>
    <w:rsid w:val="00D91606"/>
    <w:rsid w:val="00D918CC"/>
    <w:rsid w:val="00D91A59"/>
    <w:rsid w:val="00D91E30"/>
    <w:rsid w:val="00D929AC"/>
    <w:rsid w:val="00D92CDC"/>
    <w:rsid w:val="00D93A06"/>
    <w:rsid w:val="00D93EF3"/>
    <w:rsid w:val="00D944D3"/>
    <w:rsid w:val="00D94A0D"/>
    <w:rsid w:val="00D9552C"/>
    <w:rsid w:val="00D95957"/>
    <w:rsid w:val="00D95E0D"/>
    <w:rsid w:val="00D95F7D"/>
    <w:rsid w:val="00D964F7"/>
    <w:rsid w:val="00D96854"/>
    <w:rsid w:val="00D971FB"/>
    <w:rsid w:val="00D978C6"/>
    <w:rsid w:val="00D978EA"/>
    <w:rsid w:val="00D97957"/>
    <w:rsid w:val="00D97A06"/>
    <w:rsid w:val="00DA0956"/>
    <w:rsid w:val="00DA0A30"/>
    <w:rsid w:val="00DA0B93"/>
    <w:rsid w:val="00DA0FD2"/>
    <w:rsid w:val="00DA270A"/>
    <w:rsid w:val="00DA2FA3"/>
    <w:rsid w:val="00DA33B8"/>
    <w:rsid w:val="00DA34C3"/>
    <w:rsid w:val="00DA357F"/>
    <w:rsid w:val="00DA3E12"/>
    <w:rsid w:val="00DA3F01"/>
    <w:rsid w:val="00DA4622"/>
    <w:rsid w:val="00DA4F61"/>
    <w:rsid w:val="00DA5396"/>
    <w:rsid w:val="00DA6307"/>
    <w:rsid w:val="00DA6358"/>
    <w:rsid w:val="00DA6E0B"/>
    <w:rsid w:val="00DA7376"/>
    <w:rsid w:val="00DA7797"/>
    <w:rsid w:val="00DA7BAF"/>
    <w:rsid w:val="00DB1094"/>
    <w:rsid w:val="00DB203F"/>
    <w:rsid w:val="00DB21DC"/>
    <w:rsid w:val="00DB365D"/>
    <w:rsid w:val="00DB3F06"/>
    <w:rsid w:val="00DB3FDF"/>
    <w:rsid w:val="00DB43FA"/>
    <w:rsid w:val="00DB466D"/>
    <w:rsid w:val="00DB4B53"/>
    <w:rsid w:val="00DB4C69"/>
    <w:rsid w:val="00DB4E71"/>
    <w:rsid w:val="00DB50CD"/>
    <w:rsid w:val="00DB51E2"/>
    <w:rsid w:val="00DB522E"/>
    <w:rsid w:val="00DB605B"/>
    <w:rsid w:val="00DB6969"/>
    <w:rsid w:val="00DB7182"/>
    <w:rsid w:val="00DB7B78"/>
    <w:rsid w:val="00DB7DFC"/>
    <w:rsid w:val="00DB7E0D"/>
    <w:rsid w:val="00DC0535"/>
    <w:rsid w:val="00DC1620"/>
    <w:rsid w:val="00DC18AD"/>
    <w:rsid w:val="00DC40CE"/>
    <w:rsid w:val="00DC4DF4"/>
    <w:rsid w:val="00DC532C"/>
    <w:rsid w:val="00DC566A"/>
    <w:rsid w:val="00DC622F"/>
    <w:rsid w:val="00DC64EB"/>
    <w:rsid w:val="00DC6A5C"/>
    <w:rsid w:val="00DC7C8E"/>
    <w:rsid w:val="00DC7EDE"/>
    <w:rsid w:val="00DD022B"/>
    <w:rsid w:val="00DD0458"/>
    <w:rsid w:val="00DD0AAD"/>
    <w:rsid w:val="00DD0EB2"/>
    <w:rsid w:val="00DD121C"/>
    <w:rsid w:val="00DD1461"/>
    <w:rsid w:val="00DD1652"/>
    <w:rsid w:val="00DD16DB"/>
    <w:rsid w:val="00DD18D4"/>
    <w:rsid w:val="00DD25CB"/>
    <w:rsid w:val="00DD2FE4"/>
    <w:rsid w:val="00DD301B"/>
    <w:rsid w:val="00DD40FD"/>
    <w:rsid w:val="00DD4D81"/>
    <w:rsid w:val="00DD4F31"/>
    <w:rsid w:val="00DD580D"/>
    <w:rsid w:val="00DD6C19"/>
    <w:rsid w:val="00DD6D98"/>
    <w:rsid w:val="00DD70F0"/>
    <w:rsid w:val="00DD7274"/>
    <w:rsid w:val="00DD77BE"/>
    <w:rsid w:val="00DD79BD"/>
    <w:rsid w:val="00DD7CF7"/>
    <w:rsid w:val="00DE0041"/>
    <w:rsid w:val="00DE0159"/>
    <w:rsid w:val="00DE07F6"/>
    <w:rsid w:val="00DE098C"/>
    <w:rsid w:val="00DE0AD8"/>
    <w:rsid w:val="00DE1069"/>
    <w:rsid w:val="00DE131E"/>
    <w:rsid w:val="00DE1849"/>
    <w:rsid w:val="00DE1D96"/>
    <w:rsid w:val="00DE1E69"/>
    <w:rsid w:val="00DE2297"/>
    <w:rsid w:val="00DE2566"/>
    <w:rsid w:val="00DE2FDA"/>
    <w:rsid w:val="00DE369F"/>
    <w:rsid w:val="00DE3DE7"/>
    <w:rsid w:val="00DE4785"/>
    <w:rsid w:val="00DE4CAF"/>
    <w:rsid w:val="00DE4FE7"/>
    <w:rsid w:val="00DE554F"/>
    <w:rsid w:val="00DE5CA1"/>
    <w:rsid w:val="00DE5EFD"/>
    <w:rsid w:val="00DE60D8"/>
    <w:rsid w:val="00DE6431"/>
    <w:rsid w:val="00DE6ED9"/>
    <w:rsid w:val="00DE7746"/>
    <w:rsid w:val="00DE7851"/>
    <w:rsid w:val="00DE7CD9"/>
    <w:rsid w:val="00DF0470"/>
    <w:rsid w:val="00DF06ED"/>
    <w:rsid w:val="00DF1023"/>
    <w:rsid w:val="00DF235E"/>
    <w:rsid w:val="00DF23C6"/>
    <w:rsid w:val="00DF264C"/>
    <w:rsid w:val="00DF2DCE"/>
    <w:rsid w:val="00DF33B8"/>
    <w:rsid w:val="00DF343F"/>
    <w:rsid w:val="00DF34AC"/>
    <w:rsid w:val="00DF3556"/>
    <w:rsid w:val="00DF4A0F"/>
    <w:rsid w:val="00DF4D78"/>
    <w:rsid w:val="00DF5ED3"/>
    <w:rsid w:val="00DF60CA"/>
    <w:rsid w:val="00DF6B55"/>
    <w:rsid w:val="00DF6C47"/>
    <w:rsid w:val="00DF7CAE"/>
    <w:rsid w:val="00E006BA"/>
    <w:rsid w:val="00E00E6A"/>
    <w:rsid w:val="00E02C4B"/>
    <w:rsid w:val="00E03144"/>
    <w:rsid w:val="00E034E1"/>
    <w:rsid w:val="00E05119"/>
    <w:rsid w:val="00E0568D"/>
    <w:rsid w:val="00E0606F"/>
    <w:rsid w:val="00E062ED"/>
    <w:rsid w:val="00E064BE"/>
    <w:rsid w:val="00E06F95"/>
    <w:rsid w:val="00E073C8"/>
    <w:rsid w:val="00E073CE"/>
    <w:rsid w:val="00E0776C"/>
    <w:rsid w:val="00E101AF"/>
    <w:rsid w:val="00E106C1"/>
    <w:rsid w:val="00E10F8E"/>
    <w:rsid w:val="00E11595"/>
    <w:rsid w:val="00E1240D"/>
    <w:rsid w:val="00E127D8"/>
    <w:rsid w:val="00E12909"/>
    <w:rsid w:val="00E1312F"/>
    <w:rsid w:val="00E13388"/>
    <w:rsid w:val="00E14527"/>
    <w:rsid w:val="00E14A15"/>
    <w:rsid w:val="00E1518E"/>
    <w:rsid w:val="00E162B9"/>
    <w:rsid w:val="00E16935"/>
    <w:rsid w:val="00E16FAF"/>
    <w:rsid w:val="00E172E4"/>
    <w:rsid w:val="00E174AF"/>
    <w:rsid w:val="00E17E3C"/>
    <w:rsid w:val="00E20745"/>
    <w:rsid w:val="00E215E4"/>
    <w:rsid w:val="00E217BA"/>
    <w:rsid w:val="00E23A09"/>
    <w:rsid w:val="00E23EDC"/>
    <w:rsid w:val="00E2423D"/>
    <w:rsid w:val="00E24385"/>
    <w:rsid w:val="00E2465B"/>
    <w:rsid w:val="00E246CE"/>
    <w:rsid w:val="00E25011"/>
    <w:rsid w:val="00E251A0"/>
    <w:rsid w:val="00E2528C"/>
    <w:rsid w:val="00E255BD"/>
    <w:rsid w:val="00E25C6C"/>
    <w:rsid w:val="00E2631A"/>
    <w:rsid w:val="00E27457"/>
    <w:rsid w:val="00E27B58"/>
    <w:rsid w:val="00E31057"/>
    <w:rsid w:val="00E3124E"/>
    <w:rsid w:val="00E3125C"/>
    <w:rsid w:val="00E32057"/>
    <w:rsid w:val="00E3281C"/>
    <w:rsid w:val="00E32978"/>
    <w:rsid w:val="00E32A1D"/>
    <w:rsid w:val="00E32FCB"/>
    <w:rsid w:val="00E33678"/>
    <w:rsid w:val="00E339E8"/>
    <w:rsid w:val="00E33B10"/>
    <w:rsid w:val="00E33CFA"/>
    <w:rsid w:val="00E34649"/>
    <w:rsid w:val="00E3531D"/>
    <w:rsid w:val="00E356B5"/>
    <w:rsid w:val="00E36384"/>
    <w:rsid w:val="00E363CD"/>
    <w:rsid w:val="00E36762"/>
    <w:rsid w:val="00E36991"/>
    <w:rsid w:val="00E36C6C"/>
    <w:rsid w:val="00E3714D"/>
    <w:rsid w:val="00E379F9"/>
    <w:rsid w:val="00E4207A"/>
    <w:rsid w:val="00E421C6"/>
    <w:rsid w:val="00E423C0"/>
    <w:rsid w:val="00E427EE"/>
    <w:rsid w:val="00E434AF"/>
    <w:rsid w:val="00E43ED3"/>
    <w:rsid w:val="00E4447F"/>
    <w:rsid w:val="00E45327"/>
    <w:rsid w:val="00E45D5B"/>
    <w:rsid w:val="00E45F97"/>
    <w:rsid w:val="00E46898"/>
    <w:rsid w:val="00E470D5"/>
    <w:rsid w:val="00E4723C"/>
    <w:rsid w:val="00E47E70"/>
    <w:rsid w:val="00E50936"/>
    <w:rsid w:val="00E50D8C"/>
    <w:rsid w:val="00E50F12"/>
    <w:rsid w:val="00E51042"/>
    <w:rsid w:val="00E5197A"/>
    <w:rsid w:val="00E51B18"/>
    <w:rsid w:val="00E52A30"/>
    <w:rsid w:val="00E52FC5"/>
    <w:rsid w:val="00E53706"/>
    <w:rsid w:val="00E539EE"/>
    <w:rsid w:val="00E544FB"/>
    <w:rsid w:val="00E5459E"/>
    <w:rsid w:val="00E54DB8"/>
    <w:rsid w:val="00E55F83"/>
    <w:rsid w:val="00E56618"/>
    <w:rsid w:val="00E56AB1"/>
    <w:rsid w:val="00E56D6E"/>
    <w:rsid w:val="00E57516"/>
    <w:rsid w:val="00E57668"/>
    <w:rsid w:val="00E57C6A"/>
    <w:rsid w:val="00E6001A"/>
    <w:rsid w:val="00E6001C"/>
    <w:rsid w:val="00E60512"/>
    <w:rsid w:val="00E60705"/>
    <w:rsid w:val="00E60A17"/>
    <w:rsid w:val="00E60A5E"/>
    <w:rsid w:val="00E60C2C"/>
    <w:rsid w:val="00E6107F"/>
    <w:rsid w:val="00E61528"/>
    <w:rsid w:val="00E619A5"/>
    <w:rsid w:val="00E6231F"/>
    <w:rsid w:val="00E6242B"/>
    <w:rsid w:val="00E62CDE"/>
    <w:rsid w:val="00E64005"/>
    <w:rsid w:val="00E6414C"/>
    <w:rsid w:val="00E64975"/>
    <w:rsid w:val="00E64F0F"/>
    <w:rsid w:val="00E65316"/>
    <w:rsid w:val="00E659B6"/>
    <w:rsid w:val="00E66D33"/>
    <w:rsid w:val="00E66E86"/>
    <w:rsid w:val="00E670A1"/>
    <w:rsid w:val="00E675E2"/>
    <w:rsid w:val="00E679C8"/>
    <w:rsid w:val="00E67BEE"/>
    <w:rsid w:val="00E7016F"/>
    <w:rsid w:val="00E701AE"/>
    <w:rsid w:val="00E709B4"/>
    <w:rsid w:val="00E70B95"/>
    <w:rsid w:val="00E70E17"/>
    <w:rsid w:val="00E714E9"/>
    <w:rsid w:val="00E717AF"/>
    <w:rsid w:val="00E717C4"/>
    <w:rsid w:val="00E71983"/>
    <w:rsid w:val="00E72186"/>
    <w:rsid w:val="00E724E0"/>
    <w:rsid w:val="00E7260F"/>
    <w:rsid w:val="00E72EF9"/>
    <w:rsid w:val="00E74272"/>
    <w:rsid w:val="00E760E0"/>
    <w:rsid w:val="00E77167"/>
    <w:rsid w:val="00E775A2"/>
    <w:rsid w:val="00E77B22"/>
    <w:rsid w:val="00E77CAB"/>
    <w:rsid w:val="00E77D39"/>
    <w:rsid w:val="00E800BD"/>
    <w:rsid w:val="00E803DF"/>
    <w:rsid w:val="00E80709"/>
    <w:rsid w:val="00E80CB0"/>
    <w:rsid w:val="00E814AC"/>
    <w:rsid w:val="00E81674"/>
    <w:rsid w:val="00E817BE"/>
    <w:rsid w:val="00E8190B"/>
    <w:rsid w:val="00E83390"/>
    <w:rsid w:val="00E83405"/>
    <w:rsid w:val="00E83735"/>
    <w:rsid w:val="00E8405F"/>
    <w:rsid w:val="00E84C18"/>
    <w:rsid w:val="00E84CF9"/>
    <w:rsid w:val="00E84EAE"/>
    <w:rsid w:val="00E85338"/>
    <w:rsid w:val="00E8534F"/>
    <w:rsid w:val="00E854F9"/>
    <w:rsid w:val="00E85DEC"/>
    <w:rsid w:val="00E8702D"/>
    <w:rsid w:val="00E873AC"/>
    <w:rsid w:val="00E87822"/>
    <w:rsid w:val="00E906D3"/>
    <w:rsid w:val="00E914CB"/>
    <w:rsid w:val="00E916A9"/>
    <w:rsid w:val="00E916DE"/>
    <w:rsid w:val="00E91925"/>
    <w:rsid w:val="00E91BED"/>
    <w:rsid w:val="00E91E00"/>
    <w:rsid w:val="00E92492"/>
    <w:rsid w:val="00E925AD"/>
    <w:rsid w:val="00E926A6"/>
    <w:rsid w:val="00E92F24"/>
    <w:rsid w:val="00E9316D"/>
    <w:rsid w:val="00E93730"/>
    <w:rsid w:val="00E9436B"/>
    <w:rsid w:val="00E95839"/>
    <w:rsid w:val="00E95EB5"/>
    <w:rsid w:val="00E95FD8"/>
    <w:rsid w:val="00E96630"/>
    <w:rsid w:val="00E96BDD"/>
    <w:rsid w:val="00E96CE3"/>
    <w:rsid w:val="00E973B2"/>
    <w:rsid w:val="00E97433"/>
    <w:rsid w:val="00E97500"/>
    <w:rsid w:val="00E97CC5"/>
    <w:rsid w:val="00E97FE9"/>
    <w:rsid w:val="00EA04E8"/>
    <w:rsid w:val="00EA0927"/>
    <w:rsid w:val="00EA123A"/>
    <w:rsid w:val="00EA15FE"/>
    <w:rsid w:val="00EA1B06"/>
    <w:rsid w:val="00EA1FAD"/>
    <w:rsid w:val="00EA2386"/>
    <w:rsid w:val="00EA2EA3"/>
    <w:rsid w:val="00EA329E"/>
    <w:rsid w:val="00EA3BD7"/>
    <w:rsid w:val="00EA440E"/>
    <w:rsid w:val="00EA5503"/>
    <w:rsid w:val="00EA591F"/>
    <w:rsid w:val="00EA5978"/>
    <w:rsid w:val="00EA5D02"/>
    <w:rsid w:val="00EA6668"/>
    <w:rsid w:val="00EA6B04"/>
    <w:rsid w:val="00EA6D36"/>
    <w:rsid w:val="00EA7701"/>
    <w:rsid w:val="00EA7D7C"/>
    <w:rsid w:val="00EB033B"/>
    <w:rsid w:val="00EB04FD"/>
    <w:rsid w:val="00EB0828"/>
    <w:rsid w:val="00EB13FA"/>
    <w:rsid w:val="00EB18BF"/>
    <w:rsid w:val="00EB1FC2"/>
    <w:rsid w:val="00EB26C1"/>
    <w:rsid w:val="00EB2786"/>
    <w:rsid w:val="00EB2B3D"/>
    <w:rsid w:val="00EB2BF1"/>
    <w:rsid w:val="00EB2C73"/>
    <w:rsid w:val="00EB2E53"/>
    <w:rsid w:val="00EB35F6"/>
    <w:rsid w:val="00EB37E9"/>
    <w:rsid w:val="00EB381A"/>
    <w:rsid w:val="00EB41E6"/>
    <w:rsid w:val="00EB43D1"/>
    <w:rsid w:val="00EB5CC4"/>
    <w:rsid w:val="00EB5FDF"/>
    <w:rsid w:val="00EB5FEE"/>
    <w:rsid w:val="00EB68DC"/>
    <w:rsid w:val="00EB68E9"/>
    <w:rsid w:val="00EB6D5D"/>
    <w:rsid w:val="00EB72EE"/>
    <w:rsid w:val="00EC0356"/>
    <w:rsid w:val="00EC0454"/>
    <w:rsid w:val="00EC1BA2"/>
    <w:rsid w:val="00EC2B10"/>
    <w:rsid w:val="00EC332D"/>
    <w:rsid w:val="00EC387F"/>
    <w:rsid w:val="00EC4338"/>
    <w:rsid w:val="00EC4860"/>
    <w:rsid w:val="00EC499E"/>
    <w:rsid w:val="00EC49F3"/>
    <w:rsid w:val="00EC4BC2"/>
    <w:rsid w:val="00EC5581"/>
    <w:rsid w:val="00EC55D6"/>
    <w:rsid w:val="00EC59D1"/>
    <w:rsid w:val="00EC5D88"/>
    <w:rsid w:val="00EC5FFB"/>
    <w:rsid w:val="00EC6A0F"/>
    <w:rsid w:val="00EC73FB"/>
    <w:rsid w:val="00EC7848"/>
    <w:rsid w:val="00EC7B92"/>
    <w:rsid w:val="00EC7BBE"/>
    <w:rsid w:val="00ED0167"/>
    <w:rsid w:val="00ED070F"/>
    <w:rsid w:val="00ED0A7B"/>
    <w:rsid w:val="00ED139A"/>
    <w:rsid w:val="00ED18DC"/>
    <w:rsid w:val="00ED1A83"/>
    <w:rsid w:val="00ED201C"/>
    <w:rsid w:val="00ED2402"/>
    <w:rsid w:val="00ED2595"/>
    <w:rsid w:val="00ED31CC"/>
    <w:rsid w:val="00ED3C5F"/>
    <w:rsid w:val="00ED4379"/>
    <w:rsid w:val="00ED5995"/>
    <w:rsid w:val="00ED6160"/>
    <w:rsid w:val="00ED6201"/>
    <w:rsid w:val="00ED65A2"/>
    <w:rsid w:val="00ED793E"/>
    <w:rsid w:val="00ED7A2A"/>
    <w:rsid w:val="00EE00A4"/>
    <w:rsid w:val="00EE28E4"/>
    <w:rsid w:val="00EE4CCD"/>
    <w:rsid w:val="00EE4F3D"/>
    <w:rsid w:val="00EE539A"/>
    <w:rsid w:val="00EE55F3"/>
    <w:rsid w:val="00EE5726"/>
    <w:rsid w:val="00EE636D"/>
    <w:rsid w:val="00EE6AD5"/>
    <w:rsid w:val="00EE6ADF"/>
    <w:rsid w:val="00EE7316"/>
    <w:rsid w:val="00EE7770"/>
    <w:rsid w:val="00EE789E"/>
    <w:rsid w:val="00EF040A"/>
    <w:rsid w:val="00EF06C3"/>
    <w:rsid w:val="00EF07CE"/>
    <w:rsid w:val="00EF09C2"/>
    <w:rsid w:val="00EF0E7F"/>
    <w:rsid w:val="00EF1056"/>
    <w:rsid w:val="00EF1857"/>
    <w:rsid w:val="00EF19A7"/>
    <w:rsid w:val="00EF1D7F"/>
    <w:rsid w:val="00EF2744"/>
    <w:rsid w:val="00EF2A09"/>
    <w:rsid w:val="00EF2B7E"/>
    <w:rsid w:val="00EF306E"/>
    <w:rsid w:val="00EF30B1"/>
    <w:rsid w:val="00EF37E7"/>
    <w:rsid w:val="00EF3A49"/>
    <w:rsid w:val="00EF5577"/>
    <w:rsid w:val="00EF64CE"/>
    <w:rsid w:val="00EF692A"/>
    <w:rsid w:val="00EF6CE4"/>
    <w:rsid w:val="00EF6F9C"/>
    <w:rsid w:val="00EF7454"/>
    <w:rsid w:val="00F0009D"/>
    <w:rsid w:val="00F00D39"/>
    <w:rsid w:val="00F00EAF"/>
    <w:rsid w:val="00F0102D"/>
    <w:rsid w:val="00F0137E"/>
    <w:rsid w:val="00F01881"/>
    <w:rsid w:val="00F01C20"/>
    <w:rsid w:val="00F03219"/>
    <w:rsid w:val="00F038B0"/>
    <w:rsid w:val="00F04826"/>
    <w:rsid w:val="00F04B57"/>
    <w:rsid w:val="00F05370"/>
    <w:rsid w:val="00F05C18"/>
    <w:rsid w:val="00F05E25"/>
    <w:rsid w:val="00F06A34"/>
    <w:rsid w:val="00F06CD4"/>
    <w:rsid w:val="00F07342"/>
    <w:rsid w:val="00F073D5"/>
    <w:rsid w:val="00F074F6"/>
    <w:rsid w:val="00F077F8"/>
    <w:rsid w:val="00F07FCE"/>
    <w:rsid w:val="00F103C2"/>
    <w:rsid w:val="00F104B6"/>
    <w:rsid w:val="00F10B1F"/>
    <w:rsid w:val="00F11246"/>
    <w:rsid w:val="00F1132C"/>
    <w:rsid w:val="00F11A3E"/>
    <w:rsid w:val="00F12296"/>
    <w:rsid w:val="00F129D6"/>
    <w:rsid w:val="00F12A4A"/>
    <w:rsid w:val="00F12E5A"/>
    <w:rsid w:val="00F12EB5"/>
    <w:rsid w:val="00F13304"/>
    <w:rsid w:val="00F13402"/>
    <w:rsid w:val="00F1385F"/>
    <w:rsid w:val="00F13B93"/>
    <w:rsid w:val="00F14016"/>
    <w:rsid w:val="00F156A3"/>
    <w:rsid w:val="00F156C9"/>
    <w:rsid w:val="00F156DD"/>
    <w:rsid w:val="00F1570B"/>
    <w:rsid w:val="00F16213"/>
    <w:rsid w:val="00F1624B"/>
    <w:rsid w:val="00F1756C"/>
    <w:rsid w:val="00F17C1C"/>
    <w:rsid w:val="00F2069D"/>
    <w:rsid w:val="00F21085"/>
    <w:rsid w:val="00F21718"/>
    <w:rsid w:val="00F21786"/>
    <w:rsid w:val="00F21A39"/>
    <w:rsid w:val="00F2206E"/>
    <w:rsid w:val="00F22364"/>
    <w:rsid w:val="00F22882"/>
    <w:rsid w:val="00F22B4D"/>
    <w:rsid w:val="00F22B76"/>
    <w:rsid w:val="00F2320B"/>
    <w:rsid w:val="00F23261"/>
    <w:rsid w:val="00F2362F"/>
    <w:rsid w:val="00F23BEE"/>
    <w:rsid w:val="00F24155"/>
    <w:rsid w:val="00F24333"/>
    <w:rsid w:val="00F24CB0"/>
    <w:rsid w:val="00F24EDE"/>
    <w:rsid w:val="00F26C09"/>
    <w:rsid w:val="00F26E91"/>
    <w:rsid w:val="00F27896"/>
    <w:rsid w:val="00F27906"/>
    <w:rsid w:val="00F31D4C"/>
    <w:rsid w:val="00F324FB"/>
    <w:rsid w:val="00F32759"/>
    <w:rsid w:val="00F32DD6"/>
    <w:rsid w:val="00F34727"/>
    <w:rsid w:val="00F349CF"/>
    <w:rsid w:val="00F34B41"/>
    <w:rsid w:val="00F3560B"/>
    <w:rsid w:val="00F35612"/>
    <w:rsid w:val="00F3632D"/>
    <w:rsid w:val="00F371C7"/>
    <w:rsid w:val="00F3742B"/>
    <w:rsid w:val="00F37FA7"/>
    <w:rsid w:val="00F40BF3"/>
    <w:rsid w:val="00F40FEC"/>
    <w:rsid w:val="00F40FFF"/>
    <w:rsid w:val="00F41224"/>
    <w:rsid w:val="00F419A2"/>
    <w:rsid w:val="00F41FDB"/>
    <w:rsid w:val="00F420CF"/>
    <w:rsid w:val="00F420DE"/>
    <w:rsid w:val="00F42246"/>
    <w:rsid w:val="00F430DC"/>
    <w:rsid w:val="00F43AFA"/>
    <w:rsid w:val="00F43DC9"/>
    <w:rsid w:val="00F43E4A"/>
    <w:rsid w:val="00F4463B"/>
    <w:rsid w:val="00F44BB5"/>
    <w:rsid w:val="00F44C3C"/>
    <w:rsid w:val="00F45B4B"/>
    <w:rsid w:val="00F45D88"/>
    <w:rsid w:val="00F45FD6"/>
    <w:rsid w:val="00F47651"/>
    <w:rsid w:val="00F47E8D"/>
    <w:rsid w:val="00F507EC"/>
    <w:rsid w:val="00F509D8"/>
    <w:rsid w:val="00F5112C"/>
    <w:rsid w:val="00F526C7"/>
    <w:rsid w:val="00F526D4"/>
    <w:rsid w:val="00F52EE4"/>
    <w:rsid w:val="00F53147"/>
    <w:rsid w:val="00F532EB"/>
    <w:rsid w:val="00F53A57"/>
    <w:rsid w:val="00F53BDF"/>
    <w:rsid w:val="00F53FA1"/>
    <w:rsid w:val="00F54925"/>
    <w:rsid w:val="00F55A3C"/>
    <w:rsid w:val="00F55FB5"/>
    <w:rsid w:val="00F56A6B"/>
    <w:rsid w:val="00F56CDB"/>
    <w:rsid w:val="00F56D63"/>
    <w:rsid w:val="00F57115"/>
    <w:rsid w:val="00F57575"/>
    <w:rsid w:val="00F60008"/>
    <w:rsid w:val="00F60045"/>
    <w:rsid w:val="00F600F0"/>
    <w:rsid w:val="00F60603"/>
    <w:rsid w:val="00F609A9"/>
    <w:rsid w:val="00F60EB3"/>
    <w:rsid w:val="00F61203"/>
    <w:rsid w:val="00F6178B"/>
    <w:rsid w:val="00F61E7D"/>
    <w:rsid w:val="00F6200A"/>
    <w:rsid w:val="00F62438"/>
    <w:rsid w:val="00F62668"/>
    <w:rsid w:val="00F627B5"/>
    <w:rsid w:val="00F62910"/>
    <w:rsid w:val="00F63339"/>
    <w:rsid w:val="00F63982"/>
    <w:rsid w:val="00F651A8"/>
    <w:rsid w:val="00F66577"/>
    <w:rsid w:val="00F6757C"/>
    <w:rsid w:val="00F6769C"/>
    <w:rsid w:val="00F67789"/>
    <w:rsid w:val="00F67A8A"/>
    <w:rsid w:val="00F67E95"/>
    <w:rsid w:val="00F7043C"/>
    <w:rsid w:val="00F707AD"/>
    <w:rsid w:val="00F70FCB"/>
    <w:rsid w:val="00F7178A"/>
    <w:rsid w:val="00F718B3"/>
    <w:rsid w:val="00F72D05"/>
    <w:rsid w:val="00F72F9C"/>
    <w:rsid w:val="00F730EE"/>
    <w:rsid w:val="00F73B82"/>
    <w:rsid w:val="00F74951"/>
    <w:rsid w:val="00F74CC4"/>
    <w:rsid w:val="00F75103"/>
    <w:rsid w:val="00F76112"/>
    <w:rsid w:val="00F76215"/>
    <w:rsid w:val="00F768B2"/>
    <w:rsid w:val="00F76F19"/>
    <w:rsid w:val="00F80C99"/>
    <w:rsid w:val="00F80D3C"/>
    <w:rsid w:val="00F8149D"/>
    <w:rsid w:val="00F81C4E"/>
    <w:rsid w:val="00F83187"/>
    <w:rsid w:val="00F835E8"/>
    <w:rsid w:val="00F8487A"/>
    <w:rsid w:val="00F84C84"/>
    <w:rsid w:val="00F85463"/>
    <w:rsid w:val="00F856C8"/>
    <w:rsid w:val="00F856D3"/>
    <w:rsid w:val="00F867EC"/>
    <w:rsid w:val="00F86B5F"/>
    <w:rsid w:val="00F87209"/>
    <w:rsid w:val="00F87427"/>
    <w:rsid w:val="00F879C0"/>
    <w:rsid w:val="00F900A3"/>
    <w:rsid w:val="00F9010C"/>
    <w:rsid w:val="00F908A4"/>
    <w:rsid w:val="00F9099C"/>
    <w:rsid w:val="00F90BC9"/>
    <w:rsid w:val="00F91619"/>
    <w:rsid w:val="00F91761"/>
    <w:rsid w:val="00F91786"/>
    <w:rsid w:val="00F9179E"/>
    <w:rsid w:val="00F91B2B"/>
    <w:rsid w:val="00F91B6B"/>
    <w:rsid w:val="00F91F42"/>
    <w:rsid w:val="00F9214D"/>
    <w:rsid w:val="00F9416A"/>
    <w:rsid w:val="00F946E8"/>
    <w:rsid w:val="00F95427"/>
    <w:rsid w:val="00F95556"/>
    <w:rsid w:val="00F9555E"/>
    <w:rsid w:val="00F96489"/>
    <w:rsid w:val="00F96646"/>
    <w:rsid w:val="00F96824"/>
    <w:rsid w:val="00F96EB8"/>
    <w:rsid w:val="00F970BB"/>
    <w:rsid w:val="00FA011A"/>
    <w:rsid w:val="00FA06B7"/>
    <w:rsid w:val="00FA13D1"/>
    <w:rsid w:val="00FA1D89"/>
    <w:rsid w:val="00FA1F6F"/>
    <w:rsid w:val="00FA2219"/>
    <w:rsid w:val="00FA33FB"/>
    <w:rsid w:val="00FA34F7"/>
    <w:rsid w:val="00FA3AC4"/>
    <w:rsid w:val="00FA3DC0"/>
    <w:rsid w:val="00FA3E6C"/>
    <w:rsid w:val="00FA419D"/>
    <w:rsid w:val="00FA4E7F"/>
    <w:rsid w:val="00FA58D7"/>
    <w:rsid w:val="00FA5BA9"/>
    <w:rsid w:val="00FA6669"/>
    <w:rsid w:val="00FA7551"/>
    <w:rsid w:val="00FB0DF0"/>
    <w:rsid w:val="00FB0E4F"/>
    <w:rsid w:val="00FB1064"/>
    <w:rsid w:val="00FB1A10"/>
    <w:rsid w:val="00FB2858"/>
    <w:rsid w:val="00FB2BDF"/>
    <w:rsid w:val="00FB3D49"/>
    <w:rsid w:val="00FB40D5"/>
    <w:rsid w:val="00FB449A"/>
    <w:rsid w:val="00FB4ADF"/>
    <w:rsid w:val="00FB4B5E"/>
    <w:rsid w:val="00FB53D9"/>
    <w:rsid w:val="00FB77EA"/>
    <w:rsid w:val="00FB78EB"/>
    <w:rsid w:val="00FB7D73"/>
    <w:rsid w:val="00FC0166"/>
    <w:rsid w:val="00FC03CD"/>
    <w:rsid w:val="00FC0519"/>
    <w:rsid w:val="00FC0646"/>
    <w:rsid w:val="00FC0F42"/>
    <w:rsid w:val="00FC0FCB"/>
    <w:rsid w:val="00FC1D28"/>
    <w:rsid w:val="00FC1E3C"/>
    <w:rsid w:val="00FC26B3"/>
    <w:rsid w:val="00FC28AA"/>
    <w:rsid w:val="00FC2A44"/>
    <w:rsid w:val="00FC2ED7"/>
    <w:rsid w:val="00FC3121"/>
    <w:rsid w:val="00FC3217"/>
    <w:rsid w:val="00FC370A"/>
    <w:rsid w:val="00FC4586"/>
    <w:rsid w:val="00FC48B9"/>
    <w:rsid w:val="00FC59E0"/>
    <w:rsid w:val="00FC5AE5"/>
    <w:rsid w:val="00FC6142"/>
    <w:rsid w:val="00FC670F"/>
    <w:rsid w:val="00FC686B"/>
    <w:rsid w:val="00FC68B7"/>
    <w:rsid w:val="00FC6EE3"/>
    <w:rsid w:val="00FC75E3"/>
    <w:rsid w:val="00FD0144"/>
    <w:rsid w:val="00FD02AA"/>
    <w:rsid w:val="00FD0F5D"/>
    <w:rsid w:val="00FD13F0"/>
    <w:rsid w:val="00FD1C2F"/>
    <w:rsid w:val="00FD1CCB"/>
    <w:rsid w:val="00FD1D38"/>
    <w:rsid w:val="00FD27C4"/>
    <w:rsid w:val="00FD34C1"/>
    <w:rsid w:val="00FD3852"/>
    <w:rsid w:val="00FD3CA8"/>
    <w:rsid w:val="00FD3F4B"/>
    <w:rsid w:val="00FD3F4D"/>
    <w:rsid w:val="00FD4AD4"/>
    <w:rsid w:val="00FD4C4B"/>
    <w:rsid w:val="00FD5BFE"/>
    <w:rsid w:val="00FD5DE4"/>
    <w:rsid w:val="00FD6240"/>
    <w:rsid w:val="00FD6796"/>
    <w:rsid w:val="00FD68FF"/>
    <w:rsid w:val="00FD690A"/>
    <w:rsid w:val="00FD6B3E"/>
    <w:rsid w:val="00FD72DB"/>
    <w:rsid w:val="00FD747D"/>
    <w:rsid w:val="00FD7657"/>
    <w:rsid w:val="00FD778D"/>
    <w:rsid w:val="00FD7E87"/>
    <w:rsid w:val="00FE050D"/>
    <w:rsid w:val="00FE079F"/>
    <w:rsid w:val="00FE10DF"/>
    <w:rsid w:val="00FE11EC"/>
    <w:rsid w:val="00FE1578"/>
    <w:rsid w:val="00FE1635"/>
    <w:rsid w:val="00FE1925"/>
    <w:rsid w:val="00FE1ACB"/>
    <w:rsid w:val="00FE1B20"/>
    <w:rsid w:val="00FE1B56"/>
    <w:rsid w:val="00FE1BB7"/>
    <w:rsid w:val="00FE250B"/>
    <w:rsid w:val="00FE266B"/>
    <w:rsid w:val="00FE2CC0"/>
    <w:rsid w:val="00FE317D"/>
    <w:rsid w:val="00FE3254"/>
    <w:rsid w:val="00FE32CB"/>
    <w:rsid w:val="00FE33D6"/>
    <w:rsid w:val="00FE41C3"/>
    <w:rsid w:val="00FE42DE"/>
    <w:rsid w:val="00FE4A99"/>
    <w:rsid w:val="00FE553D"/>
    <w:rsid w:val="00FE5F5C"/>
    <w:rsid w:val="00FE60A0"/>
    <w:rsid w:val="00FE633B"/>
    <w:rsid w:val="00FE6706"/>
    <w:rsid w:val="00FE683C"/>
    <w:rsid w:val="00FE6985"/>
    <w:rsid w:val="00FE6EBA"/>
    <w:rsid w:val="00FE78D0"/>
    <w:rsid w:val="00FE7AAF"/>
    <w:rsid w:val="00FF0769"/>
    <w:rsid w:val="00FF1082"/>
    <w:rsid w:val="00FF1087"/>
    <w:rsid w:val="00FF1AB4"/>
    <w:rsid w:val="00FF1AD6"/>
    <w:rsid w:val="00FF1DBC"/>
    <w:rsid w:val="00FF20FA"/>
    <w:rsid w:val="00FF2660"/>
    <w:rsid w:val="00FF2736"/>
    <w:rsid w:val="00FF2C89"/>
    <w:rsid w:val="00FF3FB2"/>
    <w:rsid w:val="00FF4BC3"/>
    <w:rsid w:val="00FF4D7F"/>
    <w:rsid w:val="00FF587E"/>
    <w:rsid w:val="00FF60AC"/>
    <w:rsid w:val="00FF6659"/>
    <w:rsid w:val="00FF6839"/>
    <w:rsid w:val="00FF6C1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9274B6"/>
  <w15:docId w15:val="{4A6C680E-0012-432D-A5CE-8DDDE2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5F7"/>
    <w:pPr>
      <w:suppressAutoHyphens/>
      <w:spacing w:line="240" w:lineRule="atLeast"/>
    </w:pPr>
    <w:rPr>
      <w:lang w:val="en-GB" w:eastAsia="en-US"/>
    </w:rPr>
  </w:style>
  <w:style w:type="paragraph" w:styleId="Heading1">
    <w:name w:val="heading 1"/>
    <w:basedOn w:val="HChG"/>
    <w:next w:val="Normal"/>
    <w:link w:val="Heading1Char"/>
    <w:uiPriority w:val="9"/>
    <w:qFormat/>
    <w:rsid w:val="00C02DF2"/>
    <w:pPr>
      <w:numPr>
        <w:numId w:val="5"/>
      </w:numPr>
      <w:ind w:right="0"/>
      <w:jc w:val="center"/>
      <w:outlineLvl w:val="0"/>
    </w:pPr>
    <w:rPr>
      <w:lang w:val="x-none"/>
    </w:rPr>
  </w:style>
  <w:style w:type="paragraph" w:styleId="Heading2">
    <w:name w:val="heading 2"/>
    <w:basedOn w:val="HChG"/>
    <w:next w:val="Normal"/>
    <w:link w:val="Heading2Char"/>
    <w:uiPriority w:val="9"/>
    <w:qFormat/>
    <w:rsid w:val="00C02DF2"/>
    <w:pPr>
      <w:numPr>
        <w:ilvl w:val="1"/>
        <w:numId w:val="5"/>
      </w:numPr>
      <w:ind w:right="0"/>
      <w:outlineLvl w:val="1"/>
    </w:pPr>
    <w:rPr>
      <w:lang w:val="x-none"/>
    </w:rPr>
  </w:style>
  <w:style w:type="paragraph" w:styleId="Heading3">
    <w:name w:val="heading 3"/>
    <w:basedOn w:val="Heading2"/>
    <w:next w:val="Normal"/>
    <w:link w:val="Heading3Char"/>
    <w:uiPriority w:val="9"/>
    <w:qFormat/>
    <w:rsid w:val="00C02DF2"/>
    <w:pPr>
      <w:numPr>
        <w:ilvl w:val="2"/>
      </w:numPr>
      <w:outlineLvl w:val="2"/>
    </w:pPr>
    <w:rPr>
      <w:sz w:val="24"/>
      <w:szCs w:val="24"/>
    </w:rPr>
  </w:style>
  <w:style w:type="paragraph" w:styleId="Heading4">
    <w:name w:val="heading 4"/>
    <w:basedOn w:val="Normal"/>
    <w:next w:val="Normal"/>
    <w:link w:val="Heading4Char"/>
    <w:uiPriority w:val="9"/>
    <w:qFormat/>
    <w:rsid w:val="00C02DF2"/>
    <w:pPr>
      <w:spacing w:after="120"/>
      <w:ind w:left="1134" w:right="1134"/>
      <w:jc w:val="both"/>
      <w:outlineLvl w:val="3"/>
    </w:pPr>
    <w:rPr>
      <w:b/>
      <w:i/>
      <w:lang w:val="x-none" w:eastAsia="x-none"/>
    </w:rPr>
  </w:style>
  <w:style w:type="paragraph" w:styleId="Heading5">
    <w:name w:val="heading 5"/>
    <w:basedOn w:val="rednialista2akcent41"/>
    <w:next w:val="Normal"/>
    <w:link w:val="Heading5Char"/>
    <w:uiPriority w:val="9"/>
    <w:qFormat/>
    <w:rsid w:val="00C02DF2"/>
    <w:pPr>
      <w:spacing w:after="120"/>
      <w:ind w:left="1134" w:right="1134"/>
      <w:contextualSpacing/>
      <w:jc w:val="both"/>
      <w:outlineLvl w:val="4"/>
    </w:pPr>
    <w:rPr>
      <w:i/>
      <w:lang w:val="x-none" w:eastAsia="x-none"/>
    </w:r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rPr>
      <w:lang w:val="x-none"/>
    </w:rPr>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customStyle="1" w:styleId="rednialista2akcent41">
    <w:name w:val="Średnia lista 2 — akcent 41"/>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uppressAutoHyphens w:val="0"/>
      <w:spacing w:before="100" w:beforeAutospacing="1" w:after="100" w:afterAutospacing="1" w:line="240" w:lineRule="auto"/>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uppressAutoHyphens w:val="0"/>
      <w:spacing w:before="100" w:beforeAutospacing="1" w:after="100" w:afterAutospacing="1" w:line="240" w:lineRule="auto"/>
    </w:pPr>
    <w:rPr>
      <w:sz w:val="24"/>
      <w:szCs w:val="24"/>
      <w:lang w:val="fr-FR" w:eastAsia="fr-FR"/>
    </w:rPr>
  </w:style>
  <w:style w:type="character" w:customStyle="1" w:styleId="SingleTxtGChar">
    <w:name w:val="_ Single Txt_G Char"/>
    <w:link w:val="SingleTxtG"/>
    <w:uiPriority w:val="99"/>
    <w:locked/>
    <w:rsid w:val="00976D18"/>
    <w:rPr>
      <w:lang w:eastAsia="en-US"/>
    </w:rPr>
  </w:style>
  <w:style w:type="character" w:customStyle="1" w:styleId="FootnoteTextChar">
    <w:name w:val="Footnote Text Char"/>
    <w:aliases w:val="5_G Char"/>
    <w:link w:val="FootnoteText"/>
    <w:uiPriority w:val="99"/>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uppressAutoHyphens w:val="0"/>
      <w:spacing w:before="100" w:beforeAutospacing="1" w:after="100" w:afterAutospacing="1" w:line="240" w:lineRule="auto"/>
    </w:pPr>
    <w:rPr>
      <w:sz w:val="24"/>
      <w:szCs w:val="24"/>
      <w:lang w:eastAsia="en-GB"/>
    </w:rPr>
  </w:style>
  <w:style w:type="paragraph" w:customStyle="1" w:styleId="c19centre">
    <w:name w:val="c19centre"/>
    <w:basedOn w:val="Normal"/>
    <w:rsid w:val="001E1C17"/>
    <w:pPr>
      <w:suppressAutoHyphens w:val="0"/>
      <w:spacing w:before="100" w:beforeAutospacing="1" w:after="100" w:afterAutospacing="1" w:line="240" w:lineRule="auto"/>
    </w:pPr>
    <w:rPr>
      <w:sz w:val="24"/>
      <w:szCs w:val="24"/>
      <w:lang w:eastAsia="en-GB"/>
    </w:rPr>
  </w:style>
  <w:style w:type="paragraph" w:customStyle="1" w:styleId="doc-ti">
    <w:name w:val="doc-ti"/>
    <w:basedOn w:val="Normal"/>
    <w:rsid w:val="00940CFC"/>
    <w:pPr>
      <w:suppressAutoHyphens w:val="0"/>
      <w:spacing w:before="100" w:beforeAutospacing="1" w:after="100" w:afterAutospacing="1" w:line="240" w:lineRule="auto"/>
    </w:pPr>
    <w:rPr>
      <w:sz w:val="24"/>
      <w:szCs w:val="24"/>
      <w:lang w:val="uk-UA" w:eastAsia="uk-UA"/>
    </w:rPr>
  </w:style>
  <w:style w:type="character" w:customStyle="1" w:styleId="Heading1Char">
    <w:name w:val="Heading 1 Char"/>
    <w:link w:val="Heading1"/>
    <w:uiPriority w:val="9"/>
    <w:rsid w:val="00C02DF2"/>
    <w:rPr>
      <w:b/>
      <w:sz w:val="28"/>
      <w:lang w:val="x-none" w:eastAsia="en-US"/>
    </w:rPr>
  </w:style>
  <w:style w:type="character" w:customStyle="1" w:styleId="Heading2Char">
    <w:name w:val="Heading 2 Char"/>
    <w:link w:val="Heading2"/>
    <w:uiPriority w:val="9"/>
    <w:rsid w:val="00C02DF2"/>
    <w:rPr>
      <w:b/>
      <w:sz w:val="28"/>
      <w:lang w:val="x-none" w:eastAsia="en-US"/>
    </w:rPr>
  </w:style>
  <w:style w:type="character" w:customStyle="1" w:styleId="Heading3Char">
    <w:name w:val="Heading 3 Char"/>
    <w:link w:val="Heading3"/>
    <w:uiPriority w:val="9"/>
    <w:rsid w:val="00C02DF2"/>
    <w:rPr>
      <w:b/>
      <w:sz w:val="24"/>
      <w:szCs w:val="24"/>
      <w:lang w:val="x-none" w:eastAsia="en-US"/>
    </w:rPr>
  </w:style>
  <w:style w:type="character" w:customStyle="1" w:styleId="Heading4Char">
    <w:name w:val="Heading 4 Char"/>
    <w:link w:val="Heading4"/>
    <w:uiPriority w:val="9"/>
    <w:rsid w:val="00C02DF2"/>
    <w:rPr>
      <w:b/>
      <w:i/>
    </w:rPr>
  </w:style>
  <w:style w:type="character" w:customStyle="1" w:styleId="Heading5Char">
    <w:name w:val="Heading 5 Char"/>
    <w:link w:val="Heading5"/>
    <w:uiPriority w:val="9"/>
    <w:rsid w:val="00C02DF2"/>
    <w:rPr>
      <w:i/>
    </w:rPr>
  </w:style>
  <w:style w:type="paragraph" w:customStyle="1" w:styleId="ColorfulList-Accent11">
    <w:name w:val="Colorful List - Accent 11"/>
    <w:basedOn w:val="Normal"/>
    <w:uiPriority w:val="1"/>
    <w:qFormat/>
    <w:rsid w:val="00E006BA"/>
    <w:pPr>
      <w:suppressAutoHyphens w:val="0"/>
      <w:spacing w:after="200" w:line="276" w:lineRule="auto"/>
      <w:ind w:left="720"/>
      <w:contextualSpacing/>
    </w:pPr>
    <w:rPr>
      <w:rFonts w:ascii="Calibri" w:eastAsia="Calibri" w:hAnsi="Calibri" w:cs="Arial"/>
      <w:sz w:val="22"/>
      <w:szCs w:val="22"/>
    </w:rPr>
  </w:style>
  <w:style w:type="character" w:customStyle="1" w:styleId="HeaderChar">
    <w:name w:val="Header Char"/>
    <w:aliases w:val="6_G Char"/>
    <w:link w:val="Header"/>
    <w:uiPriority w:val="99"/>
    <w:rPr>
      <w:b/>
      <w:sz w:val="18"/>
      <w:lang w:eastAsia="en-US"/>
    </w:rPr>
  </w:style>
  <w:style w:type="character" w:customStyle="1" w:styleId="FooterChar">
    <w:name w:val="Footer Char"/>
    <w:aliases w:val="3_G Char"/>
    <w:link w:val="Footer"/>
    <w:uiPriority w:val="99"/>
    <w:rPr>
      <w:sz w:val="16"/>
      <w:lang w:eastAsia="en-US"/>
    </w:rPr>
  </w:style>
  <w:style w:type="paragraph" w:customStyle="1" w:styleId="rednialista2akcent21">
    <w:name w:val="Średnia lista 2 — akcent 21"/>
    <w:hidden/>
    <w:uiPriority w:val="71"/>
    <w:rsid w:val="00B83503"/>
    <w:rPr>
      <w:lang w:val="en-GB" w:eastAsia="en-US"/>
    </w:rPr>
  </w:style>
  <w:style w:type="paragraph" w:styleId="ListParagraph">
    <w:name w:val="List Paragraph"/>
    <w:basedOn w:val="Normal"/>
    <w:uiPriority w:val="34"/>
    <w:qFormat/>
    <w:rsid w:val="00133EFB"/>
    <w:pPr>
      <w:ind w:left="720"/>
    </w:pPr>
  </w:style>
  <w:style w:type="paragraph" w:styleId="Revision">
    <w:name w:val="Revision"/>
    <w:hidden/>
    <w:uiPriority w:val="99"/>
    <w:unhideWhenUsed/>
    <w:rsid w:val="002E77FD"/>
    <w:rPr>
      <w:lang w:val="en-GB" w:eastAsia="en-US"/>
    </w:rPr>
  </w:style>
  <w:style w:type="paragraph" w:customStyle="1" w:styleId="MediumList2-Accent41">
    <w:name w:val="Medium List 2 - Accent 41"/>
    <w:basedOn w:val="Normal"/>
    <w:uiPriority w:val="34"/>
    <w:qFormat/>
    <w:rsid w:val="00F70FCB"/>
    <w:pPr>
      <w:ind w:left="720"/>
    </w:pPr>
  </w:style>
  <w:style w:type="paragraph" w:customStyle="1" w:styleId="MediumList2-Accent21">
    <w:name w:val="Medium List 2 - Accent 21"/>
    <w:hidden/>
    <w:uiPriority w:val="71"/>
    <w:rsid w:val="00F70FCB"/>
    <w:rPr>
      <w:lang w:val="en-GB" w:eastAsia="en-US"/>
    </w:rPr>
  </w:style>
  <w:style w:type="paragraph" w:customStyle="1" w:styleId="FootnoteFindings">
    <w:name w:val="FootnoteFindings"/>
    <w:basedOn w:val="FootnoteText"/>
    <w:link w:val="FootnoteFindingsChar"/>
    <w:qFormat/>
    <w:rsid w:val="001665F7"/>
    <w:pPr>
      <w:tabs>
        <w:tab w:val="left" w:pos="567"/>
        <w:tab w:val="left" w:pos="1276"/>
      </w:tabs>
      <w:ind w:right="0" w:firstLine="0"/>
    </w:pPr>
    <w:rPr>
      <w:szCs w:val="18"/>
    </w:rPr>
  </w:style>
  <w:style w:type="character" w:customStyle="1" w:styleId="FootnoteFindingsChar">
    <w:name w:val="FootnoteFindings Char"/>
    <w:basedOn w:val="FootnoteTextChar"/>
    <w:link w:val="FootnoteFindings"/>
    <w:rsid w:val="001665F7"/>
    <w:rPr>
      <w:sz w:val="18"/>
      <w:szCs w:val="18"/>
      <w:lang w:val="x-none" w:eastAsia="en-US"/>
    </w:rPr>
  </w:style>
  <w:style w:type="paragraph" w:customStyle="1" w:styleId="CM3">
    <w:name w:val="CM3"/>
    <w:basedOn w:val="Normal"/>
    <w:next w:val="Normal"/>
    <w:uiPriority w:val="99"/>
    <w:rsid w:val="00AA27D0"/>
    <w:pPr>
      <w:suppressAutoHyphens w:val="0"/>
      <w:autoSpaceDE w:val="0"/>
      <w:autoSpaceDN w:val="0"/>
      <w:adjustRightInd w:val="0"/>
      <w:spacing w:line="240" w:lineRule="auto"/>
    </w:pPr>
    <w:rPr>
      <w:rFonts w:ascii="EUAlbertina" w:eastAsiaTheme="minorHAnsi" w:hAnsi="EUAlbertina" w:cstheme="minorBidi"/>
      <w:sz w:val="24"/>
      <w:szCs w:val="24"/>
      <w:lang w:val="pl-PL"/>
    </w:rPr>
  </w:style>
  <w:style w:type="character" w:customStyle="1" w:styleId="WW8Num1z0">
    <w:name w:val="WW8Num1z0"/>
    <w:rsid w:val="00B1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667">
      <w:bodyDiv w:val="1"/>
      <w:marLeft w:val="0"/>
      <w:marRight w:val="0"/>
      <w:marTop w:val="0"/>
      <w:marBottom w:val="0"/>
      <w:divBdr>
        <w:top w:val="none" w:sz="0" w:space="0" w:color="auto"/>
        <w:left w:val="none" w:sz="0" w:space="0" w:color="auto"/>
        <w:bottom w:val="none" w:sz="0" w:space="0" w:color="auto"/>
        <w:right w:val="none" w:sz="0" w:space="0" w:color="auto"/>
      </w:divBdr>
      <w:divsChild>
        <w:div w:id="87433173">
          <w:marLeft w:val="0"/>
          <w:marRight w:val="0"/>
          <w:marTop w:val="0"/>
          <w:marBottom w:val="0"/>
          <w:divBdr>
            <w:top w:val="none" w:sz="0" w:space="0" w:color="auto"/>
            <w:left w:val="none" w:sz="0" w:space="0" w:color="auto"/>
            <w:bottom w:val="none" w:sz="0" w:space="0" w:color="auto"/>
            <w:right w:val="none" w:sz="0" w:space="0" w:color="auto"/>
          </w:divBdr>
        </w:div>
        <w:div w:id="1381511975">
          <w:marLeft w:val="0"/>
          <w:marRight w:val="0"/>
          <w:marTop w:val="0"/>
          <w:marBottom w:val="0"/>
          <w:divBdr>
            <w:top w:val="none" w:sz="0" w:space="0" w:color="auto"/>
            <w:left w:val="none" w:sz="0" w:space="0" w:color="auto"/>
            <w:bottom w:val="none" w:sz="0" w:space="0" w:color="auto"/>
            <w:right w:val="none" w:sz="0" w:space="0" w:color="auto"/>
          </w:divBdr>
        </w:div>
        <w:div w:id="1703898136">
          <w:marLeft w:val="0"/>
          <w:marRight w:val="0"/>
          <w:marTop w:val="0"/>
          <w:marBottom w:val="0"/>
          <w:divBdr>
            <w:top w:val="none" w:sz="0" w:space="0" w:color="auto"/>
            <w:left w:val="none" w:sz="0" w:space="0" w:color="auto"/>
            <w:bottom w:val="none" w:sz="0" w:space="0" w:color="auto"/>
            <w:right w:val="none" w:sz="0" w:space="0" w:color="auto"/>
          </w:divBdr>
        </w:div>
      </w:divsChild>
    </w:div>
    <w:div w:id="10031127">
      <w:bodyDiv w:val="1"/>
      <w:marLeft w:val="0"/>
      <w:marRight w:val="0"/>
      <w:marTop w:val="0"/>
      <w:marBottom w:val="0"/>
      <w:divBdr>
        <w:top w:val="none" w:sz="0" w:space="0" w:color="auto"/>
        <w:left w:val="none" w:sz="0" w:space="0" w:color="auto"/>
        <w:bottom w:val="none" w:sz="0" w:space="0" w:color="auto"/>
        <w:right w:val="none" w:sz="0" w:space="0" w:color="auto"/>
      </w:divBdr>
      <w:divsChild>
        <w:div w:id="44913693">
          <w:marLeft w:val="0"/>
          <w:marRight w:val="0"/>
          <w:marTop w:val="0"/>
          <w:marBottom w:val="0"/>
          <w:divBdr>
            <w:top w:val="none" w:sz="0" w:space="0" w:color="auto"/>
            <w:left w:val="none" w:sz="0" w:space="0" w:color="auto"/>
            <w:bottom w:val="none" w:sz="0" w:space="0" w:color="auto"/>
            <w:right w:val="none" w:sz="0" w:space="0" w:color="auto"/>
          </w:divBdr>
        </w:div>
        <w:div w:id="62022202">
          <w:marLeft w:val="0"/>
          <w:marRight w:val="0"/>
          <w:marTop w:val="0"/>
          <w:marBottom w:val="0"/>
          <w:divBdr>
            <w:top w:val="none" w:sz="0" w:space="0" w:color="auto"/>
            <w:left w:val="none" w:sz="0" w:space="0" w:color="auto"/>
            <w:bottom w:val="none" w:sz="0" w:space="0" w:color="auto"/>
            <w:right w:val="none" w:sz="0" w:space="0" w:color="auto"/>
          </w:divBdr>
        </w:div>
        <w:div w:id="196696968">
          <w:marLeft w:val="0"/>
          <w:marRight w:val="0"/>
          <w:marTop w:val="0"/>
          <w:marBottom w:val="0"/>
          <w:divBdr>
            <w:top w:val="none" w:sz="0" w:space="0" w:color="auto"/>
            <w:left w:val="none" w:sz="0" w:space="0" w:color="auto"/>
            <w:bottom w:val="none" w:sz="0" w:space="0" w:color="auto"/>
            <w:right w:val="none" w:sz="0" w:space="0" w:color="auto"/>
          </w:divBdr>
        </w:div>
        <w:div w:id="243492751">
          <w:marLeft w:val="0"/>
          <w:marRight w:val="0"/>
          <w:marTop w:val="0"/>
          <w:marBottom w:val="0"/>
          <w:divBdr>
            <w:top w:val="none" w:sz="0" w:space="0" w:color="auto"/>
            <w:left w:val="none" w:sz="0" w:space="0" w:color="auto"/>
            <w:bottom w:val="none" w:sz="0" w:space="0" w:color="auto"/>
            <w:right w:val="none" w:sz="0" w:space="0" w:color="auto"/>
          </w:divBdr>
        </w:div>
        <w:div w:id="845630084">
          <w:marLeft w:val="0"/>
          <w:marRight w:val="0"/>
          <w:marTop w:val="0"/>
          <w:marBottom w:val="0"/>
          <w:divBdr>
            <w:top w:val="none" w:sz="0" w:space="0" w:color="auto"/>
            <w:left w:val="none" w:sz="0" w:space="0" w:color="auto"/>
            <w:bottom w:val="none" w:sz="0" w:space="0" w:color="auto"/>
            <w:right w:val="none" w:sz="0" w:space="0" w:color="auto"/>
          </w:divBdr>
        </w:div>
        <w:div w:id="942347892">
          <w:marLeft w:val="0"/>
          <w:marRight w:val="0"/>
          <w:marTop w:val="0"/>
          <w:marBottom w:val="0"/>
          <w:divBdr>
            <w:top w:val="none" w:sz="0" w:space="0" w:color="auto"/>
            <w:left w:val="none" w:sz="0" w:space="0" w:color="auto"/>
            <w:bottom w:val="none" w:sz="0" w:space="0" w:color="auto"/>
            <w:right w:val="none" w:sz="0" w:space="0" w:color="auto"/>
          </w:divBdr>
        </w:div>
        <w:div w:id="1337995671">
          <w:marLeft w:val="0"/>
          <w:marRight w:val="0"/>
          <w:marTop w:val="0"/>
          <w:marBottom w:val="0"/>
          <w:divBdr>
            <w:top w:val="none" w:sz="0" w:space="0" w:color="auto"/>
            <w:left w:val="none" w:sz="0" w:space="0" w:color="auto"/>
            <w:bottom w:val="none" w:sz="0" w:space="0" w:color="auto"/>
            <w:right w:val="none" w:sz="0" w:space="0" w:color="auto"/>
          </w:divBdr>
        </w:div>
        <w:div w:id="1701932757">
          <w:marLeft w:val="0"/>
          <w:marRight w:val="0"/>
          <w:marTop w:val="0"/>
          <w:marBottom w:val="0"/>
          <w:divBdr>
            <w:top w:val="none" w:sz="0" w:space="0" w:color="auto"/>
            <w:left w:val="none" w:sz="0" w:space="0" w:color="auto"/>
            <w:bottom w:val="none" w:sz="0" w:space="0" w:color="auto"/>
            <w:right w:val="none" w:sz="0" w:space="0" w:color="auto"/>
          </w:divBdr>
        </w:div>
        <w:div w:id="1901864217">
          <w:marLeft w:val="0"/>
          <w:marRight w:val="0"/>
          <w:marTop w:val="0"/>
          <w:marBottom w:val="0"/>
          <w:divBdr>
            <w:top w:val="none" w:sz="0" w:space="0" w:color="auto"/>
            <w:left w:val="none" w:sz="0" w:space="0" w:color="auto"/>
            <w:bottom w:val="none" w:sz="0" w:space="0" w:color="auto"/>
            <w:right w:val="none" w:sz="0" w:space="0" w:color="auto"/>
          </w:divBdr>
        </w:div>
        <w:div w:id="2058309177">
          <w:marLeft w:val="0"/>
          <w:marRight w:val="0"/>
          <w:marTop w:val="0"/>
          <w:marBottom w:val="0"/>
          <w:divBdr>
            <w:top w:val="none" w:sz="0" w:space="0" w:color="auto"/>
            <w:left w:val="none" w:sz="0" w:space="0" w:color="auto"/>
            <w:bottom w:val="none" w:sz="0" w:space="0" w:color="auto"/>
            <w:right w:val="none" w:sz="0" w:space="0" w:color="auto"/>
          </w:divBdr>
        </w:div>
      </w:divsChild>
    </w:div>
    <w:div w:id="11034901">
      <w:bodyDiv w:val="1"/>
      <w:marLeft w:val="0"/>
      <w:marRight w:val="0"/>
      <w:marTop w:val="0"/>
      <w:marBottom w:val="0"/>
      <w:divBdr>
        <w:top w:val="none" w:sz="0" w:space="0" w:color="auto"/>
        <w:left w:val="none" w:sz="0" w:space="0" w:color="auto"/>
        <w:bottom w:val="none" w:sz="0" w:space="0" w:color="auto"/>
        <w:right w:val="none" w:sz="0" w:space="0" w:color="auto"/>
      </w:divBdr>
    </w:div>
    <w:div w:id="15859751">
      <w:bodyDiv w:val="1"/>
      <w:marLeft w:val="0"/>
      <w:marRight w:val="0"/>
      <w:marTop w:val="0"/>
      <w:marBottom w:val="0"/>
      <w:divBdr>
        <w:top w:val="none" w:sz="0" w:space="0" w:color="auto"/>
        <w:left w:val="none" w:sz="0" w:space="0" w:color="auto"/>
        <w:bottom w:val="none" w:sz="0" w:space="0" w:color="auto"/>
        <w:right w:val="none" w:sz="0" w:space="0" w:color="auto"/>
      </w:divBdr>
      <w:divsChild>
        <w:div w:id="641927165">
          <w:marLeft w:val="0"/>
          <w:marRight w:val="0"/>
          <w:marTop w:val="0"/>
          <w:marBottom w:val="0"/>
          <w:divBdr>
            <w:top w:val="none" w:sz="0" w:space="0" w:color="auto"/>
            <w:left w:val="none" w:sz="0" w:space="0" w:color="auto"/>
            <w:bottom w:val="none" w:sz="0" w:space="0" w:color="auto"/>
            <w:right w:val="none" w:sz="0" w:space="0" w:color="auto"/>
          </w:divBdr>
        </w:div>
        <w:div w:id="799029917">
          <w:marLeft w:val="0"/>
          <w:marRight w:val="0"/>
          <w:marTop w:val="0"/>
          <w:marBottom w:val="0"/>
          <w:divBdr>
            <w:top w:val="none" w:sz="0" w:space="0" w:color="auto"/>
            <w:left w:val="none" w:sz="0" w:space="0" w:color="auto"/>
            <w:bottom w:val="none" w:sz="0" w:space="0" w:color="auto"/>
            <w:right w:val="none" w:sz="0" w:space="0" w:color="auto"/>
          </w:divBdr>
        </w:div>
        <w:div w:id="1343123612">
          <w:marLeft w:val="0"/>
          <w:marRight w:val="0"/>
          <w:marTop w:val="0"/>
          <w:marBottom w:val="0"/>
          <w:divBdr>
            <w:top w:val="none" w:sz="0" w:space="0" w:color="auto"/>
            <w:left w:val="none" w:sz="0" w:space="0" w:color="auto"/>
            <w:bottom w:val="none" w:sz="0" w:space="0" w:color="auto"/>
            <w:right w:val="none" w:sz="0" w:space="0" w:color="auto"/>
          </w:divBdr>
        </w:div>
      </w:divsChild>
    </w:div>
    <w:div w:id="22873855">
      <w:bodyDiv w:val="1"/>
      <w:marLeft w:val="0"/>
      <w:marRight w:val="0"/>
      <w:marTop w:val="0"/>
      <w:marBottom w:val="0"/>
      <w:divBdr>
        <w:top w:val="none" w:sz="0" w:space="0" w:color="auto"/>
        <w:left w:val="none" w:sz="0" w:space="0" w:color="auto"/>
        <w:bottom w:val="none" w:sz="0" w:space="0" w:color="auto"/>
        <w:right w:val="none" w:sz="0" w:space="0" w:color="auto"/>
      </w:divBdr>
    </w:div>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6274">
      <w:bodyDiv w:val="1"/>
      <w:marLeft w:val="0"/>
      <w:marRight w:val="0"/>
      <w:marTop w:val="0"/>
      <w:marBottom w:val="0"/>
      <w:divBdr>
        <w:top w:val="none" w:sz="0" w:space="0" w:color="auto"/>
        <w:left w:val="none" w:sz="0" w:space="0" w:color="auto"/>
        <w:bottom w:val="none" w:sz="0" w:space="0" w:color="auto"/>
        <w:right w:val="none" w:sz="0" w:space="0" w:color="auto"/>
      </w:divBdr>
      <w:divsChild>
        <w:div w:id="676661439">
          <w:marLeft w:val="0"/>
          <w:marRight w:val="0"/>
          <w:marTop w:val="0"/>
          <w:marBottom w:val="0"/>
          <w:divBdr>
            <w:top w:val="none" w:sz="0" w:space="0" w:color="auto"/>
            <w:left w:val="none" w:sz="0" w:space="0" w:color="auto"/>
            <w:bottom w:val="none" w:sz="0" w:space="0" w:color="auto"/>
            <w:right w:val="none" w:sz="0" w:space="0" w:color="auto"/>
          </w:divBdr>
        </w:div>
        <w:div w:id="1869218734">
          <w:marLeft w:val="0"/>
          <w:marRight w:val="0"/>
          <w:marTop w:val="0"/>
          <w:marBottom w:val="0"/>
          <w:divBdr>
            <w:top w:val="none" w:sz="0" w:space="0" w:color="auto"/>
            <w:left w:val="none" w:sz="0" w:space="0" w:color="auto"/>
            <w:bottom w:val="none" w:sz="0" w:space="0" w:color="auto"/>
            <w:right w:val="none" w:sz="0" w:space="0" w:color="auto"/>
          </w:divBdr>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137649014">
      <w:bodyDiv w:val="1"/>
      <w:marLeft w:val="0"/>
      <w:marRight w:val="0"/>
      <w:marTop w:val="0"/>
      <w:marBottom w:val="0"/>
      <w:divBdr>
        <w:top w:val="none" w:sz="0" w:space="0" w:color="auto"/>
        <w:left w:val="none" w:sz="0" w:space="0" w:color="auto"/>
        <w:bottom w:val="none" w:sz="0" w:space="0" w:color="auto"/>
        <w:right w:val="none" w:sz="0" w:space="0" w:color="auto"/>
      </w:divBdr>
      <w:divsChild>
        <w:div w:id="165824256">
          <w:marLeft w:val="0"/>
          <w:marRight w:val="0"/>
          <w:marTop w:val="0"/>
          <w:marBottom w:val="0"/>
          <w:divBdr>
            <w:top w:val="none" w:sz="0" w:space="0" w:color="auto"/>
            <w:left w:val="none" w:sz="0" w:space="0" w:color="auto"/>
            <w:bottom w:val="none" w:sz="0" w:space="0" w:color="auto"/>
            <w:right w:val="none" w:sz="0" w:space="0" w:color="auto"/>
          </w:divBdr>
        </w:div>
        <w:div w:id="166022003">
          <w:marLeft w:val="0"/>
          <w:marRight w:val="0"/>
          <w:marTop w:val="0"/>
          <w:marBottom w:val="0"/>
          <w:divBdr>
            <w:top w:val="none" w:sz="0" w:space="0" w:color="auto"/>
            <w:left w:val="none" w:sz="0" w:space="0" w:color="auto"/>
            <w:bottom w:val="none" w:sz="0" w:space="0" w:color="auto"/>
            <w:right w:val="none" w:sz="0" w:space="0" w:color="auto"/>
          </w:divBdr>
        </w:div>
        <w:div w:id="248078943">
          <w:marLeft w:val="0"/>
          <w:marRight w:val="0"/>
          <w:marTop w:val="0"/>
          <w:marBottom w:val="0"/>
          <w:divBdr>
            <w:top w:val="none" w:sz="0" w:space="0" w:color="auto"/>
            <w:left w:val="none" w:sz="0" w:space="0" w:color="auto"/>
            <w:bottom w:val="none" w:sz="0" w:space="0" w:color="auto"/>
            <w:right w:val="none" w:sz="0" w:space="0" w:color="auto"/>
          </w:divBdr>
        </w:div>
        <w:div w:id="277299153">
          <w:marLeft w:val="0"/>
          <w:marRight w:val="0"/>
          <w:marTop w:val="0"/>
          <w:marBottom w:val="0"/>
          <w:divBdr>
            <w:top w:val="none" w:sz="0" w:space="0" w:color="auto"/>
            <w:left w:val="none" w:sz="0" w:space="0" w:color="auto"/>
            <w:bottom w:val="none" w:sz="0" w:space="0" w:color="auto"/>
            <w:right w:val="none" w:sz="0" w:space="0" w:color="auto"/>
          </w:divBdr>
        </w:div>
        <w:div w:id="453256999">
          <w:marLeft w:val="0"/>
          <w:marRight w:val="0"/>
          <w:marTop w:val="0"/>
          <w:marBottom w:val="0"/>
          <w:divBdr>
            <w:top w:val="none" w:sz="0" w:space="0" w:color="auto"/>
            <w:left w:val="none" w:sz="0" w:space="0" w:color="auto"/>
            <w:bottom w:val="none" w:sz="0" w:space="0" w:color="auto"/>
            <w:right w:val="none" w:sz="0" w:space="0" w:color="auto"/>
          </w:divBdr>
        </w:div>
        <w:div w:id="779451566">
          <w:marLeft w:val="0"/>
          <w:marRight w:val="0"/>
          <w:marTop w:val="0"/>
          <w:marBottom w:val="0"/>
          <w:divBdr>
            <w:top w:val="none" w:sz="0" w:space="0" w:color="auto"/>
            <w:left w:val="none" w:sz="0" w:space="0" w:color="auto"/>
            <w:bottom w:val="none" w:sz="0" w:space="0" w:color="auto"/>
            <w:right w:val="none" w:sz="0" w:space="0" w:color="auto"/>
          </w:divBdr>
        </w:div>
        <w:div w:id="1386223205">
          <w:marLeft w:val="0"/>
          <w:marRight w:val="0"/>
          <w:marTop w:val="0"/>
          <w:marBottom w:val="0"/>
          <w:divBdr>
            <w:top w:val="none" w:sz="0" w:space="0" w:color="auto"/>
            <w:left w:val="none" w:sz="0" w:space="0" w:color="auto"/>
            <w:bottom w:val="none" w:sz="0" w:space="0" w:color="auto"/>
            <w:right w:val="none" w:sz="0" w:space="0" w:color="auto"/>
          </w:divBdr>
        </w:div>
        <w:div w:id="1390961170">
          <w:marLeft w:val="0"/>
          <w:marRight w:val="0"/>
          <w:marTop w:val="0"/>
          <w:marBottom w:val="0"/>
          <w:divBdr>
            <w:top w:val="none" w:sz="0" w:space="0" w:color="auto"/>
            <w:left w:val="none" w:sz="0" w:space="0" w:color="auto"/>
            <w:bottom w:val="none" w:sz="0" w:space="0" w:color="auto"/>
            <w:right w:val="none" w:sz="0" w:space="0" w:color="auto"/>
          </w:divBdr>
        </w:div>
        <w:div w:id="1578827852">
          <w:marLeft w:val="0"/>
          <w:marRight w:val="0"/>
          <w:marTop w:val="0"/>
          <w:marBottom w:val="0"/>
          <w:divBdr>
            <w:top w:val="none" w:sz="0" w:space="0" w:color="auto"/>
            <w:left w:val="none" w:sz="0" w:space="0" w:color="auto"/>
            <w:bottom w:val="none" w:sz="0" w:space="0" w:color="auto"/>
            <w:right w:val="none" w:sz="0" w:space="0" w:color="auto"/>
          </w:divBdr>
        </w:div>
        <w:div w:id="1705444813">
          <w:marLeft w:val="0"/>
          <w:marRight w:val="0"/>
          <w:marTop w:val="0"/>
          <w:marBottom w:val="0"/>
          <w:divBdr>
            <w:top w:val="none" w:sz="0" w:space="0" w:color="auto"/>
            <w:left w:val="none" w:sz="0" w:space="0" w:color="auto"/>
            <w:bottom w:val="none" w:sz="0" w:space="0" w:color="auto"/>
            <w:right w:val="none" w:sz="0" w:space="0" w:color="auto"/>
          </w:divBdr>
        </w:div>
        <w:div w:id="1741752504">
          <w:marLeft w:val="0"/>
          <w:marRight w:val="0"/>
          <w:marTop w:val="0"/>
          <w:marBottom w:val="0"/>
          <w:divBdr>
            <w:top w:val="none" w:sz="0" w:space="0" w:color="auto"/>
            <w:left w:val="none" w:sz="0" w:space="0" w:color="auto"/>
            <w:bottom w:val="none" w:sz="0" w:space="0" w:color="auto"/>
            <w:right w:val="none" w:sz="0" w:space="0" w:color="auto"/>
          </w:divBdr>
        </w:div>
      </w:divsChild>
    </w:div>
    <w:div w:id="184752956">
      <w:bodyDiv w:val="1"/>
      <w:marLeft w:val="0"/>
      <w:marRight w:val="0"/>
      <w:marTop w:val="0"/>
      <w:marBottom w:val="0"/>
      <w:divBdr>
        <w:top w:val="none" w:sz="0" w:space="0" w:color="auto"/>
        <w:left w:val="none" w:sz="0" w:space="0" w:color="auto"/>
        <w:bottom w:val="none" w:sz="0" w:space="0" w:color="auto"/>
        <w:right w:val="none" w:sz="0" w:space="0" w:color="auto"/>
      </w:divBdr>
      <w:divsChild>
        <w:div w:id="748116848">
          <w:marLeft w:val="0"/>
          <w:marRight w:val="0"/>
          <w:marTop w:val="0"/>
          <w:marBottom w:val="0"/>
          <w:divBdr>
            <w:top w:val="none" w:sz="0" w:space="0" w:color="auto"/>
            <w:left w:val="none" w:sz="0" w:space="0" w:color="auto"/>
            <w:bottom w:val="none" w:sz="0" w:space="0" w:color="auto"/>
            <w:right w:val="none" w:sz="0" w:space="0" w:color="auto"/>
          </w:divBdr>
          <w:divsChild>
            <w:div w:id="889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952">
      <w:bodyDiv w:val="1"/>
      <w:marLeft w:val="0"/>
      <w:marRight w:val="0"/>
      <w:marTop w:val="0"/>
      <w:marBottom w:val="0"/>
      <w:divBdr>
        <w:top w:val="none" w:sz="0" w:space="0" w:color="auto"/>
        <w:left w:val="none" w:sz="0" w:space="0" w:color="auto"/>
        <w:bottom w:val="none" w:sz="0" w:space="0" w:color="auto"/>
        <w:right w:val="none" w:sz="0" w:space="0" w:color="auto"/>
      </w:divBdr>
      <w:divsChild>
        <w:div w:id="7679117">
          <w:marLeft w:val="0"/>
          <w:marRight w:val="0"/>
          <w:marTop w:val="0"/>
          <w:marBottom w:val="0"/>
          <w:divBdr>
            <w:top w:val="none" w:sz="0" w:space="0" w:color="auto"/>
            <w:left w:val="none" w:sz="0" w:space="0" w:color="auto"/>
            <w:bottom w:val="none" w:sz="0" w:space="0" w:color="auto"/>
            <w:right w:val="none" w:sz="0" w:space="0" w:color="auto"/>
          </w:divBdr>
        </w:div>
        <w:div w:id="175388550">
          <w:marLeft w:val="0"/>
          <w:marRight w:val="0"/>
          <w:marTop w:val="0"/>
          <w:marBottom w:val="0"/>
          <w:divBdr>
            <w:top w:val="none" w:sz="0" w:space="0" w:color="auto"/>
            <w:left w:val="none" w:sz="0" w:space="0" w:color="auto"/>
            <w:bottom w:val="none" w:sz="0" w:space="0" w:color="auto"/>
            <w:right w:val="none" w:sz="0" w:space="0" w:color="auto"/>
          </w:divBdr>
        </w:div>
        <w:div w:id="972519506">
          <w:marLeft w:val="0"/>
          <w:marRight w:val="0"/>
          <w:marTop w:val="0"/>
          <w:marBottom w:val="0"/>
          <w:divBdr>
            <w:top w:val="none" w:sz="0" w:space="0" w:color="auto"/>
            <w:left w:val="none" w:sz="0" w:space="0" w:color="auto"/>
            <w:bottom w:val="none" w:sz="0" w:space="0" w:color="auto"/>
            <w:right w:val="none" w:sz="0" w:space="0" w:color="auto"/>
          </w:divBdr>
        </w:div>
        <w:div w:id="1020549565">
          <w:marLeft w:val="0"/>
          <w:marRight w:val="0"/>
          <w:marTop w:val="0"/>
          <w:marBottom w:val="0"/>
          <w:divBdr>
            <w:top w:val="none" w:sz="0" w:space="0" w:color="auto"/>
            <w:left w:val="none" w:sz="0" w:space="0" w:color="auto"/>
            <w:bottom w:val="none" w:sz="0" w:space="0" w:color="auto"/>
            <w:right w:val="none" w:sz="0" w:space="0" w:color="auto"/>
          </w:divBdr>
        </w:div>
        <w:div w:id="1352802660">
          <w:marLeft w:val="0"/>
          <w:marRight w:val="0"/>
          <w:marTop w:val="0"/>
          <w:marBottom w:val="0"/>
          <w:divBdr>
            <w:top w:val="none" w:sz="0" w:space="0" w:color="auto"/>
            <w:left w:val="none" w:sz="0" w:space="0" w:color="auto"/>
            <w:bottom w:val="none" w:sz="0" w:space="0" w:color="auto"/>
            <w:right w:val="none" w:sz="0" w:space="0" w:color="auto"/>
          </w:divBdr>
        </w:div>
        <w:div w:id="1419984238">
          <w:marLeft w:val="0"/>
          <w:marRight w:val="0"/>
          <w:marTop w:val="0"/>
          <w:marBottom w:val="0"/>
          <w:divBdr>
            <w:top w:val="none" w:sz="0" w:space="0" w:color="auto"/>
            <w:left w:val="none" w:sz="0" w:space="0" w:color="auto"/>
            <w:bottom w:val="none" w:sz="0" w:space="0" w:color="auto"/>
            <w:right w:val="none" w:sz="0" w:space="0" w:color="auto"/>
          </w:divBdr>
        </w:div>
      </w:divsChild>
    </w:div>
    <w:div w:id="265892704">
      <w:bodyDiv w:val="1"/>
      <w:marLeft w:val="0"/>
      <w:marRight w:val="0"/>
      <w:marTop w:val="0"/>
      <w:marBottom w:val="0"/>
      <w:divBdr>
        <w:top w:val="none" w:sz="0" w:space="0" w:color="auto"/>
        <w:left w:val="none" w:sz="0" w:space="0" w:color="auto"/>
        <w:bottom w:val="none" w:sz="0" w:space="0" w:color="auto"/>
        <w:right w:val="none" w:sz="0" w:space="0" w:color="auto"/>
      </w:divBdr>
      <w:divsChild>
        <w:div w:id="88744927">
          <w:marLeft w:val="0"/>
          <w:marRight w:val="0"/>
          <w:marTop w:val="0"/>
          <w:marBottom w:val="0"/>
          <w:divBdr>
            <w:top w:val="none" w:sz="0" w:space="0" w:color="auto"/>
            <w:left w:val="none" w:sz="0" w:space="0" w:color="auto"/>
            <w:bottom w:val="none" w:sz="0" w:space="0" w:color="auto"/>
            <w:right w:val="none" w:sz="0" w:space="0" w:color="auto"/>
          </w:divBdr>
        </w:div>
        <w:div w:id="153379106">
          <w:marLeft w:val="0"/>
          <w:marRight w:val="0"/>
          <w:marTop w:val="0"/>
          <w:marBottom w:val="0"/>
          <w:divBdr>
            <w:top w:val="none" w:sz="0" w:space="0" w:color="auto"/>
            <w:left w:val="none" w:sz="0" w:space="0" w:color="auto"/>
            <w:bottom w:val="none" w:sz="0" w:space="0" w:color="auto"/>
            <w:right w:val="none" w:sz="0" w:space="0" w:color="auto"/>
          </w:divBdr>
        </w:div>
        <w:div w:id="865363394">
          <w:marLeft w:val="0"/>
          <w:marRight w:val="0"/>
          <w:marTop w:val="0"/>
          <w:marBottom w:val="0"/>
          <w:divBdr>
            <w:top w:val="none" w:sz="0" w:space="0" w:color="auto"/>
            <w:left w:val="none" w:sz="0" w:space="0" w:color="auto"/>
            <w:bottom w:val="none" w:sz="0" w:space="0" w:color="auto"/>
            <w:right w:val="none" w:sz="0" w:space="0" w:color="auto"/>
          </w:divBdr>
        </w:div>
        <w:div w:id="877015442">
          <w:marLeft w:val="0"/>
          <w:marRight w:val="0"/>
          <w:marTop w:val="0"/>
          <w:marBottom w:val="0"/>
          <w:divBdr>
            <w:top w:val="none" w:sz="0" w:space="0" w:color="auto"/>
            <w:left w:val="none" w:sz="0" w:space="0" w:color="auto"/>
            <w:bottom w:val="none" w:sz="0" w:space="0" w:color="auto"/>
            <w:right w:val="none" w:sz="0" w:space="0" w:color="auto"/>
          </w:divBdr>
        </w:div>
        <w:div w:id="935403399">
          <w:marLeft w:val="0"/>
          <w:marRight w:val="0"/>
          <w:marTop w:val="0"/>
          <w:marBottom w:val="0"/>
          <w:divBdr>
            <w:top w:val="none" w:sz="0" w:space="0" w:color="auto"/>
            <w:left w:val="none" w:sz="0" w:space="0" w:color="auto"/>
            <w:bottom w:val="none" w:sz="0" w:space="0" w:color="auto"/>
            <w:right w:val="none" w:sz="0" w:space="0" w:color="auto"/>
          </w:divBdr>
        </w:div>
        <w:div w:id="1490832072">
          <w:marLeft w:val="0"/>
          <w:marRight w:val="0"/>
          <w:marTop w:val="0"/>
          <w:marBottom w:val="0"/>
          <w:divBdr>
            <w:top w:val="none" w:sz="0" w:space="0" w:color="auto"/>
            <w:left w:val="none" w:sz="0" w:space="0" w:color="auto"/>
            <w:bottom w:val="none" w:sz="0" w:space="0" w:color="auto"/>
            <w:right w:val="none" w:sz="0" w:space="0" w:color="auto"/>
          </w:divBdr>
        </w:div>
        <w:div w:id="1741751945">
          <w:marLeft w:val="0"/>
          <w:marRight w:val="0"/>
          <w:marTop w:val="0"/>
          <w:marBottom w:val="0"/>
          <w:divBdr>
            <w:top w:val="none" w:sz="0" w:space="0" w:color="auto"/>
            <w:left w:val="none" w:sz="0" w:space="0" w:color="auto"/>
            <w:bottom w:val="none" w:sz="0" w:space="0" w:color="auto"/>
            <w:right w:val="none" w:sz="0" w:space="0" w:color="auto"/>
          </w:divBdr>
        </w:div>
        <w:div w:id="1791238249">
          <w:marLeft w:val="0"/>
          <w:marRight w:val="0"/>
          <w:marTop w:val="0"/>
          <w:marBottom w:val="0"/>
          <w:divBdr>
            <w:top w:val="none" w:sz="0" w:space="0" w:color="auto"/>
            <w:left w:val="none" w:sz="0" w:space="0" w:color="auto"/>
            <w:bottom w:val="none" w:sz="0" w:space="0" w:color="auto"/>
            <w:right w:val="none" w:sz="0" w:space="0" w:color="auto"/>
          </w:divBdr>
        </w:div>
        <w:div w:id="1869486829">
          <w:marLeft w:val="0"/>
          <w:marRight w:val="0"/>
          <w:marTop w:val="0"/>
          <w:marBottom w:val="0"/>
          <w:divBdr>
            <w:top w:val="none" w:sz="0" w:space="0" w:color="auto"/>
            <w:left w:val="none" w:sz="0" w:space="0" w:color="auto"/>
            <w:bottom w:val="none" w:sz="0" w:space="0" w:color="auto"/>
            <w:right w:val="none" w:sz="0" w:space="0" w:color="auto"/>
          </w:divBdr>
        </w:div>
        <w:div w:id="1967006218">
          <w:marLeft w:val="0"/>
          <w:marRight w:val="0"/>
          <w:marTop w:val="0"/>
          <w:marBottom w:val="0"/>
          <w:divBdr>
            <w:top w:val="none" w:sz="0" w:space="0" w:color="auto"/>
            <w:left w:val="none" w:sz="0" w:space="0" w:color="auto"/>
            <w:bottom w:val="none" w:sz="0" w:space="0" w:color="auto"/>
            <w:right w:val="none" w:sz="0" w:space="0" w:color="auto"/>
          </w:divBdr>
        </w:div>
      </w:divsChild>
    </w:div>
    <w:div w:id="271019574">
      <w:bodyDiv w:val="1"/>
      <w:marLeft w:val="0"/>
      <w:marRight w:val="0"/>
      <w:marTop w:val="0"/>
      <w:marBottom w:val="0"/>
      <w:divBdr>
        <w:top w:val="none" w:sz="0" w:space="0" w:color="auto"/>
        <w:left w:val="none" w:sz="0" w:space="0" w:color="auto"/>
        <w:bottom w:val="none" w:sz="0" w:space="0" w:color="auto"/>
        <w:right w:val="none" w:sz="0" w:space="0" w:color="auto"/>
      </w:divBdr>
      <w:divsChild>
        <w:div w:id="141896485">
          <w:marLeft w:val="0"/>
          <w:marRight w:val="0"/>
          <w:marTop w:val="0"/>
          <w:marBottom w:val="0"/>
          <w:divBdr>
            <w:top w:val="none" w:sz="0" w:space="0" w:color="auto"/>
            <w:left w:val="none" w:sz="0" w:space="0" w:color="auto"/>
            <w:bottom w:val="none" w:sz="0" w:space="0" w:color="auto"/>
            <w:right w:val="none" w:sz="0" w:space="0" w:color="auto"/>
          </w:divBdr>
        </w:div>
        <w:div w:id="666175822">
          <w:marLeft w:val="0"/>
          <w:marRight w:val="0"/>
          <w:marTop w:val="0"/>
          <w:marBottom w:val="0"/>
          <w:divBdr>
            <w:top w:val="none" w:sz="0" w:space="0" w:color="auto"/>
            <w:left w:val="none" w:sz="0" w:space="0" w:color="auto"/>
            <w:bottom w:val="none" w:sz="0" w:space="0" w:color="auto"/>
            <w:right w:val="none" w:sz="0" w:space="0" w:color="auto"/>
          </w:divBdr>
        </w:div>
        <w:div w:id="987633896">
          <w:marLeft w:val="0"/>
          <w:marRight w:val="0"/>
          <w:marTop w:val="0"/>
          <w:marBottom w:val="0"/>
          <w:divBdr>
            <w:top w:val="none" w:sz="0" w:space="0" w:color="auto"/>
            <w:left w:val="none" w:sz="0" w:space="0" w:color="auto"/>
            <w:bottom w:val="none" w:sz="0" w:space="0" w:color="auto"/>
            <w:right w:val="none" w:sz="0" w:space="0" w:color="auto"/>
          </w:divBdr>
        </w:div>
        <w:div w:id="1355427332">
          <w:marLeft w:val="0"/>
          <w:marRight w:val="0"/>
          <w:marTop w:val="0"/>
          <w:marBottom w:val="0"/>
          <w:divBdr>
            <w:top w:val="none" w:sz="0" w:space="0" w:color="auto"/>
            <w:left w:val="none" w:sz="0" w:space="0" w:color="auto"/>
            <w:bottom w:val="none" w:sz="0" w:space="0" w:color="auto"/>
            <w:right w:val="none" w:sz="0" w:space="0" w:color="auto"/>
          </w:divBdr>
        </w:div>
        <w:div w:id="1460341817">
          <w:marLeft w:val="0"/>
          <w:marRight w:val="0"/>
          <w:marTop w:val="0"/>
          <w:marBottom w:val="0"/>
          <w:divBdr>
            <w:top w:val="none" w:sz="0" w:space="0" w:color="auto"/>
            <w:left w:val="none" w:sz="0" w:space="0" w:color="auto"/>
            <w:bottom w:val="none" w:sz="0" w:space="0" w:color="auto"/>
            <w:right w:val="none" w:sz="0" w:space="0" w:color="auto"/>
          </w:divBdr>
        </w:div>
        <w:div w:id="1795638736">
          <w:marLeft w:val="0"/>
          <w:marRight w:val="0"/>
          <w:marTop w:val="0"/>
          <w:marBottom w:val="0"/>
          <w:divBdr>
            <w:top w:val="none" w:sz="0" w:space="0" w:color="auto"/>
            <w:left w:val="none" w:sz="0" w:space="0" w:color="auto"/>
            <w:bottom w:val="none" w:sz="0" w:space="0" w:color="auto"/>
            <w:right w:val="none" w:sz="0" w:space="0" w:color="auto"/>
          </w:divBdr>
        </w:div>
        <w:div w:id="1816992429">
          <w:marLeft w:val="0"/>
          <w:marRight w:val="0"/>
          <w:marTop w:val="0"/>
          <w:marBottom w:val="0"/>
          <w:divBdr>
            <w:top w:val="none" w:sz="0" w:space="0" w:color="auto"/>
            <w:left w:val="none" w:sz="0" w:space="0" w:color="auto"/>
            <w:bottom w:val="none" w:sz="0" w:space="0" w:color="auto"/>
            <w:right w:val="none" w:sz="0" w:space="0" w:color="auto"/>
          </w:divBdr>
        </w:div>
        <w:div w:id="1827091107">
          <w:marLeft w:val="0"/>
          <w:marRight w:val="0"/>
          <w:marTop w:val="0"/>
          <w:marBottom w:val="0"/>
          <w:divBdr>
            <w:top w:val="none" w:sz="0" w:space="0" w:color="auto"/>
            <w:left w:val="none" w:sz="0" w:space="0" w:color="auto"/>
            <w:bottom w:val="none" w:sz="0" w:space="0" w:color="auto"/>
            <w:right w:val="none" w:sz="0" w:space="0" w:color="auto"/>
          </w:divBdr>
        </w:div>
        <w:div w:id="2024046249">
          <w:marLeft w:val="0"/>
          <w:marRight w:val="0"/>
          <w:marTop w:val="0"/>
          <w:marBottom w:val="0"/>
          <w:divBdr>
            <w:top w:val="none" w:sz="0" w:space="0" w:color="auto"/>
            <w:left w:val="none" w:sz="0" w:space="0" w:color="auto"/>
            <w:bottom w:val="none" w:sz="0" w:space="0" w:color="auto"/>
            <w:right w:val="none" w:sz="0" w:space="0" w:color="auto"/>
          </w:divBdr>
        </w:div>
      </w:divsChild>
    </w:div>
    <w:div w:id="322976644">
      <w:bodyDiv w:val="1"/>
      <w:marLeft w:val="0"/>
      <w:marRight w:val="0"/>
      <w:marTop w:val="0"/>
      <w:marBottom w:val="0"/>
      <w:divBdr>
        <w:top w:val="none" w:sz="0" w:space="0" w:color="auto"/>
        <w:left w:val="none" w:sz="0" w:space="0" w:color="auto"/>
        <w:bottom w:val="none" w:sz="0" w:space="0" w:color="auto"/>
        <w:right w:val="none" w:sz="0" w:space="0" w:color="auto"/>
      </w:divBdr>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403843127">
      <w:bodyDiv w:val="1"/>
      <w:marLeft w:val="0"/>
      <w:marRight w:val="0"/>
      <w:marTop w:val="0"/>
      <w:marBottom w:val="0"/>
      <w:divBdr>
        <w:top w:val="none" w:sz="0" w:space="0" w:color="auto"/>
        <w:left w:val="none" w:sz="0" w:space="0" w:color="auto"/>
        <w:bottom w:val="none" w:sz="0" w:space="0" w:color="auto"/>
        <w:right w:val="none" w:sz="0" w:space="0" w:color="auto"/>
      </w:divBdr>
      <w:divsChild>
        <w:div w:id="160005117">
          <w:marLeft w:val="0"/>
          <w:marRight w:val="0"/>
          <w:marTop w:val="0"/>
          <w:marBottom w:val="0"/>
          <w:divBdr>
            <w:top w:val="none" w:sz="0" w:space="0" w:color="auto"/>
            <w:left w:val="none" w:sz="0" w:space="0" w:color="auto"/>
            <w:bottom w:val="none" w:sz="0" w:space="0" w:color="auto"/>
            <w:right w:val="none" w:sz="0" w:space="0" w:color="auto"/>
          </w:divBdr>
        </w:div>
        <w:div w:id="740372903">
          <w:marLeft w:val="0"/>
          <w:marRight w:val="0"/>
          <w:marTop w:val="0"/>
          <w:marBottom w:val="0"/>
          <w:divBdr>
            <w:top w:val="none" w:sz="0" w:space="0" w:color="auto"/>
            <w:left w:val="none" w:sz="0" w:space="0" w:color="auto"/>
            <w:bottom w:val="none" w:sz="0" w:space="0" w:color="auto"/>
            <w:right w:val="none" w:sz="0" w:space="0" w:color="auto"/>
          </w:divBdr>
        </w:div>
        <w:div w:id="982152006">
          <w:marLeft w:val="0"/>
          <w:marRight w:val="0"/>
          <w:marTop w:val="0"/>
          <w:marBottom w:val="0"/>
          <w:divBdr>
            <w:top w:val="none" w:sz="0" w:space="0" w:color="auto"/>
            <w:left w:val="none" w:sz="0" w:space="0" w:color="auto"/>
            <w:bottom w:val="none" w:sz="0" w:space="0" w:color="auto"/>
            <w:right w:val="none" w:sz="0" w:space="0" w:color="auto"/>
          </w:divBdr>
        </w:div>
        <w:div w:id="2054381548">
          <w:marLeft w:val="0"/>
          <w:marRight w:val="0"/>
          <w:marTop w:val="0"/>
          <w:marBottom w:val="0"/>
          <w:divBdr>
            <w:top w:val="none" w:sz="0" w:space="0" w:color="auto"/>
            <w:left w:val="none" w:sz="0" w:space="0" w:color="auto"/>
            <w:bottom w:val="none" w:sz="0" w:space="0" w:color="auto"/>
            <w:right w:val="none" w:sz="0" w:space="0" w:color="auto"/>
          </w:divBdr>
        </w:div>
        <w:div w:id="2063553562">
          <w:marLeft w:val="0"/>
          <w:marRight w:val="0"/>
          <w:marTop w:val="0"/>
          <w:marBottom w:val="0"/>
          <w:divBdr>
            <w:top w:val="none" w:sz="0" w:space="0" w:color="auto"/>
            <w:left w:val="none" w:sz="0" w:space="0" w:color="auto"/>
            <w:bottom w:val="none" w:sz="0" w:space="0" w:color="auto"/>
            <w:right w:val="none" w:sz="0" w:space="0" w:color="auto"/>
          </w:divBdr>
        </w:div>
      </w:divsChild>
    </w:div>
    <w:div w:id="445123537">
      <w:bodyDiv w:val="1"/>
      <w:marLeft w:val="0"/>
      <w:marRight w:val="0"/>
      <w:marTop w:val="0"/>
      <w:marBottom w:val="0"/>
      <w:divBdr>
        <w:top w:val="none" w:sz="0" w:space="0" w:color="auto"/>
        <w:left w:val="none" w:sz="0" w:space="0" w:color="auto"/>
        <w:bottom w:val="none" w:sz="0" w:space="0" w:color="auto"/>
        <w:right w:val="none" w:sz="0" w:space="0" w:color="auto"/>
      </w:divBdr>
      <w:divsChild>
        <w:div w:id="773987245">
          <w:marLeft w:val="0"/>
          <w:marRight w:val="0"/>
          <w:marTop w:val="0"/>
          <w:marBottom w:val="0"/>
          <w:divBdr>
            <w:top w:val="none" w:sz="0" w:space="0" w:color="auto"/>
            <w:left w:val="none" w:sz="0" w:space="0" w:color="auto"/>
            <w:bottom w:val="none" w:sz="0" w:space="0" w:color="auto"/>
            <w:right w:val="none" w:sz="0" w:space="0" w:color="auto"/>
          </w:divBdr>
        </w:div>
        <w:div w:id="1213343984">
          <w:marLeft w:val="0"/>
          <w:marRight w:val="0"/>
          <w:marTop w:val="0"/>
          <w:marBottom w:val="0"/>
          <w:divBdr>
            <w:top w:val="none" w:sz="0" w:space="0" w:color="auto"/>
            <w:left w:val="none" w:sz="0" w:space="0" w:color="auto"/>
            <w:bottom w:val="none" w:sz="0" w:space="0" w:color="auto"/>
            <w:right w:val="none" w:sz="0" w:space="0" w:color="auto"/>
          </w:divBdr>
        </w:div>
        <w:div w:id="1403720784">
          <w:marLeft w:val="0"/>
          <w:marRight w:val="0"/>
          <w:marTop w:val="0"/>
          <w:marBottom w:val="0"/>
          <w:divBdr>
            <w:top w:val="none" w:sz="0" w:space="0" w:color="auto"/>
            <w:left w:val="none" w:sz="0" w:space="0" w:color="auto"/>
            <w:bottom w:val="none" w:sz="0" w:space="0" w:color="auto"/>
            <w:right w:val="none" w:sz="0" w:space="0" w:color="auto"/>
          </w:divBdr>
        </w:div>
        <w:div w:id="1482506840">
          <w:marLeft w:val="0"/>
          <w:marRight w:val="0"/>
          <w:marTop w:val="0"/>
          <w:marBottom w:val="0"/>
          <w:divBdr>
            <w:top w:val="none" w:sz="0" w:space="0" w:color="auto"/>
            <w:left w:val="none" w:sz="0" w:space="0" w:color="auto"/>
            <w:bottom w:val="none" w:sz="0" w:space="0" w:color="auto"/>
            <w:right w:val="none" w:sz="0" w:space="0" w:color="auto"/>
          </w:divBdr>
        </w:div>
        <w:div w:id="1592424872">
          <w:marLeft w:val="0"/>
          <w:marRight w:val="0"/>
          <w:marTop w:val="0"/>
          <w:marBottom w:val="0"/>
          <w:divBdr>
            <w:top w:val="none" w:sz="0" w:space="0" w:color="auto"/>
            <w:left w:val="none" w:sz="0" w:space="0" w:color="auto"/>
            <w:bottom w:val="none" w:sz="0" w:space="0" w:color="auto"/>
            <w:right w:val="none" w:sz="0" w:space="0" w:color="auto"/>
          </w:divBdr>
        </w:div>
      </w:divsChild>
    </w:div>
    <w:div w:id="511409496">
      <w:bodyDiv w:val="1"/>
      <w:marLeft w:val="0"/>
      <w:marRight w:val="0"/>
      <w:marTop w:val="0"/>
      <w:marBottom w:val="0"/>
      <w:divBdr>
        <w:top w:val="none" w:sz="0" w:space="0" w:color="auto"/>
        <w:left w:val="none" w:sz="0" w:space="0" w:color="auto"/>
        <w:bottom w:val="none" w:sz="0" w:space="0" w:color="auto"/>
        <w:right w:val="none" w:sz="0" w:space="0" w:color="auto"/>
      </w:divBdr>
    </w:div>
    <w:div w:id="573395587">
      <w:bodyDiv w:val="1"/>
      <w:marLeft w:val="0"/>
      <w:marRight w:val="0"/>
      <w:marTop w:val="0"/>
      <w:marBottom w:val="0"/>
      <w:divBdr>
        <w:top w:val="none" w:sz="0" w:space="0" w:color="auto"/>
        <w:left w:val="none" w:sz="0" w:space="0" w:color="auto"/>
        <w:bottom w:val="none" w:sz="0" w:space="0" w:color="auto"/>
        <w:right w:val="none" w:sz="0" w:space="0" w:color="auto"/>
      </w:divBdr>
      <w:divsChild>
        <w:div w:id="45572099">
          <w:marLeft w:val="0"/>
          <w:marRight w:val="0"/>
          <w:marTop w:val="0"/>
          <w:marBottom w:val="0"/>
          <w:divBdr>
            <w:top w:val="none" w:sz="0" w:space="0" w:color="auto"/>
            <w:left w:val="none" w:sz="0" w:space="0" w:color="auto"/>
            <w:bottom w:val="none" w:sz="0" w:space="0" w:color="auto"/>
            <w:right w:val="none" w:sz="0" w:space="0" w:color="auto"/>
          </w:divBdr>
        </w:div>
        <w:div w:id="233468079">
          <w:marLeft w:val="0"/>
          <w:marRight w:val="0"/>
          <w:marTop w:val="0"/>
          <w:marBottom w:val="0"/>
          <w:divBdr>
            <w:top w:val="none" w:sz="0" w:space="0" w:color="auto"/>
            <w:left w:val="none" w:sz="0" w:space="0" w:color="auto"/>
            <w:bottom w:val="none" w:sz="0" w:space="0" w:color="auto"/>
            <w:right w:val="none" w:sz="0" w:space="0" w:color="auto"/>
          </w:divBdr>
        </w:div>
        <w:div w:id="1118334252">
          <w:marLeft w:val="0"/>
          <w:marRight w:val="0"/>
          <w:marTop w:val="0"/>
          <w:marBottom w:val="0"/>
          <w:divBdr>
            <w:top w:val="none" w:sz="0" w:space="0" w:color="auto"/>
            <w:left w:val="none" w:sz="0" w:space="0" w:color="auto"/>
            <w:bottom w:val="none" w:sz="0" w:space="0" w:color="auto"/>
            <w:right w:val="none" w:sz="0" w:space="0" w:color="auto"/>
          </w:divBdr>
        </w:div>
        <w:div w:id="1318417313">
          <w:marLeft w:val="0"/>
          <w:marRight w:val="0"/>
          <w:marTop w:val="0"/>
          <w:marBottom w:val="0"/>
          <w:divBdr>
            <w:top w:val="none" w:sz="0" w:space="0" w:color="auto"/>
            <w:left w:val="none" w:sz="0" w:space="0" w:color="auto"/>
            <w:bottom w:val="none" w:sz="0" w:space="0" w:color="auto"/>
            <w:right w:val="none" w:sz="0" w:space="0" w:color="auto"/>
          </w:divBdr>
        </w:div>
        <w:div w:id="1323696569">
          <w:marLeft w:val="0"/>
          <w:marRight w:val="0"/>
          <w:marTop w:val="0"/>
          <w:marBottom w:val="0"/>
          <w:divBdr>
            <w:top w:val="none" w:sz="0" w:space="0" w:color="auto"/>
            <w:left w:val="none" w:sz="0" w:space="0" w:color="auto"/>
            <w:bottom w:val="none" w:sz="0" w:space="0" w:color="auto"/>
            <w:right w:val="none" w:sz="0" w:space="0" w:color="auto"/>
          </w:divBdr>
        </w:div>
        <w:div w:id="1974754222">
          <w:marLeft w:val="0"/>
          <w:marRight w:val="0"/>
          <w:marTop w:val="0"/>
          <w:marBottom w:val="0"/>
          <w:divBdr>
            <w:top w:val="none" w:sz="0" w:space="0" w:color="auto"/>
            <w:left w:val="none" w:sz="0" w:space="0" w:color="auto"/>
            <w:bottom w:val="none" w:sz="0" w:space="0" w:color="auto"/>
            <w:right w:val="none" w:sz="0" w:space="0" w:color="auto"/>
          </w:divBdr>
        </w:div>
      </w:divsChild>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62662611">
      <w:bodyDiv w:val="1"/>
      <w:marLeft w:val="0"/>
      <w:marRight w:val="0"/>
      <w:marTop w:val="0"/>
      <w:marBottom w:val="0"/>
      <w:divBdr>
        <w:top w:val="none" w:sz="0" w:space="0" w:color="auto"/>
        <w:left w:val="none" w:sz="0" w:space="0" w:color="auto"/>
        <w:bottom w:val="none" w:sz="0" w:space="0" w:color="auto"/>
        <w:right w:val="none" w:sz="0" w:space="0" w:color="auto"/>
      </w:divBdr>
      <w:divsChild>
        <w:div w:id="80496411">
          <w:marLeft w:val="0"/>
          <w:marRight w:val="0"/>
          <w:marTop w:val="0"/>
          <w:marBottom w:val="0"/>
          <w:divBdr>
            <w:top w:val="none" w:sz="0" w:space="0" w:color="auto"/>
            <w:left w:val="none" w:sz="0" w:space="0" w:color="auto"/>
            <w:bottom w:val="none" w:sz="0" w:space="0" w:color="auto"/>
            <w:right w:val="none" w:sz="0" w:space="0" w:color="auto"/>
          </w:divBdr>
        </w:div>
        <w:div w:id="933630447">
          <w:marLeft w:val="0"/>
          <w:marRight w:val="0"/>
          <w:marTop w:val="0"/>
          <w:marBottom w:val="0"/>
          <w:divBdr>
            <w:top w:val="none" w:sz="0" w:space="0" w:color="auto"/>
            <w:left w:val="none" w:sz="0" w:space="0" w:color="auto"/>
            <w:bottom w:val="none" w:sz="0" w:space="0" w:color="auto"/>
            <w:right w:val="none" w:sz="0" w:space="0" w:color="auto"/>
          </w:divBdr>
        </w:div>
        <w:div w:id="2004509464">
          <w:marLeft w:val="0"/>
          <w:marRight w:val="0"/>
          <w:marTop w:val="0"/>
          <w:marBottom w:val="0"/>
          <w:divBdr>
            <w:top w:val="none" w:sz="0" w:space="0" w:color="auto"/>
            <w:left w:val="none" w:sz="0" w:space="0" w:color="auto"/>
            <w:bottom w:val="none" w:sz="0" w:space="0" w:color="auto"/>
            <w:right w:val="none" w:sz="0" w:space="0" w:color="auto"/>
          </w:divBdr>
        </w:div>
      </w:divsChild>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89185224">
      <w:bodyDiv w:val="1"/>
      <w:marLeft w:val="0"/>
      <w:marRight w:val="0"/>
      <w:marTop w:val="0"/>
      <w:marBottom w:val="0"/>
      <w:divBdr>
        <w:top w:val="none" w:sz="0" w:space="0" w:color="auto"/>
        <w:left w:val="none" w:sz="0" w:space="0" w:color="auto"/>
        <w:bottom w:val="none" w:sz="0" w:space="0" w:color="auto"/>
        <w:right w:val="none" w:sz="0" w:space="0" w:color="auto"/>
      </w:divBdr>
      <w:divsChild>
        <w:div w:id="366759956">
          <w:marLeft w:val="0"/>
          <w:marRight w:val="0"/>
          <w:marTop w:val="0"/>
          <w:marBottom w:val="0"/>
          <w:divBdr>
            <w:top w:val="none" w:sz="0" w:space="0" w:color="auto"/>
            <w:left w:val="none" w:sz="0" w:space="0" w:color="auto"/>
            <w:bottom w:val="none" w:sz="0" w:space="0" w:color="auto"/>
            <w:right w:val="none" w:sz="0" w:space="0" w:color="auto"/>
          </w:divBdr>
        </w:div>
        <w:div w:id="491798345">
          <w:marLeft w:val="0"/>
          <w:marRight w:val="0"/>
          <w:marTop w:val="0"/>
          <w:marBottom w:val="0"/>
          <w:divBdr>
            <w:top w:val="none" w:sz="0" w:space="0" w:color="auto"/>
            <w:left w:val="none" w:sz="0" w:space="0" w:color="auto"/>
            <w:bottom w:val="none" w:sz="0" w:space="0" w:color="auto"/>
            <w:right w:val="none" w:sz="0" w:space="0" w:color="auto"/>
          </w:divBdr>
        </w:div>
        <w:div w:id="621225259">
          <w:marLeft w:val="0"/>
          <w:marRight w:val="0"/>
          <w:marTop w:val="0"/>
          <w:marBottom w:val="0"/>
          <w:divBdr>
            <w:top w:val="none" w:sz="0" w:space="0" w:color="auto"/>
            <w:left w:val="none" w:sz="0" w:space="0" w:color="auto"/>
            <w:bottom w:val="none" w:sz="0" w:space="0" w:color="auto"/>
            <w:right w:val="none" w:sz="0" w:space="0" w:color="auto"/>
          </w:divBdr>
        </w:div>
        <w:div w:id="1666976232">
          <w:marLeft w:val="0"/>
          <w:marRight w:val="0"/>
          <w:marTop w:val="0"/>
          <w:marBottom w:val="0"/>
          <w:divBdr>
            <w:top w:val="none" w:sz="0" w:space="0" w:color="auto"/>
            <w:left w:val="none" w:sz="0" w:space="0" w:color="auto"/>
            <w:bottom w:val="none" w:sz="0" w:space="0" w:color="auto"/>
            <w:right w:val="none" w:sz="0" w:space="0" w:color="auto"/>
          </w:divBdr>
        </w:div>
        <w:div w:id="1700928595">
          <w:marLeft w:val="0"/>
          <w:marRight w:val="0"/>
          <w:marTop w:val="0"/>
          <w:marBottom w:val="0"/>
          <w:divBdr>
            <w:top w:val="none" w:sz="0" w:space="0" w:color="auto"/>
            <w:left w:val="none" w:sz="0" w:space="0" w:color="auto"/>
            <w:bottom w:val="none" w:sz="0" w:space="0" w:color="auto"/>
            <w:right w:val="none" w:sz="0" w:space="0" w:color="auto"/>
          </w:divBdr>
        </w:div>
        <w:div w:id="2076272715">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774986396">
      <w:bodyDiv w:val="1"/>
      <w:marLeft w:val="0"/>
      <w:marRight w:val="0"/>
      <w:marTop w:val="0"/>
      <w:marBottom w:val="0"/>
      <w:divBdr>
        <w:top w:val="none" w:sz="0" w:space="0" w:color="auto"/>
        <w:left w:val="none" w:sz="0" w:space="0" w:color="auto"/>
        <w:bottom w:val="none" w:sz="0" w:space="0" w:color="auto"/>
        <w:right w:val="none" w:sz="0" w:space="0" w:color="auto"/>
      </w:divBdr>
      <w:divsChild>
        <w:div w:id="100271418">
          <w:marLeft w:val="0"/>
          <w:marRight w:val="0"/>
          <w:marTop w:val="0"/>
          <w:marBottom w:val="0"/>
          <w:divBdr>
            <w:top w:val="none" w:sz="0" w:space="0" w:color="auto"/>
            <w:left w:val="none" w:sz="0" w:space="0" w:color="auto"/>
            <w:bottom w:val="none" w:sz="0" w:space="0" w:color="auto"/>
            <w:right w:val="none" w:sz="0" w:space="0" w:color="auto"/>
          </w:divBdr>
        </w:div>
        <w:div w:id="386728198">
          <w:marLeft w:val="0"/>
          <w:marRight w:val="0"/>
          <w:marTop w:val="0"/>
          <w:marBottom w:val="0"/>
          <w:divBdr>
            <w:top w:val="none" w:sz="0" w:space="0" w:color="auto"/>
            <w:left w:val="none" w:sz="0" w:space="0" w:color="auto"/>
            <w:bottom w:val="none" w:sz="0" w:space="0" w:color="auto"/>
            <w:right w:val="none" w:sz="0" w:space="0" w:color="auto"/>
          </w:divBdr>
        </w:div>
        <w:div w:id="1399783665">
          <w:marLeft w:val="0"/>
          <w:marRight w:val="0"/>
          <w:marTop w:val="0"/>
          <w:marBottom w:val="0"/>
          <w:divBdr>
            <w:top w:val="none" w:sz="0" w:space="0" w:color="auto"/>
            <w:left w:val="none" w:sz="0" w:space="0" w:color="auto"/>
            <w:bottom w:val="none" w:sz="0" w:space="0" w:color="auto"/>
            <w:right w:val="none" w:sz="0" w:space="0" w:color="auto"/>
          </w:divBdr>
        </w:div>
        <w:div w:id="1726173343">
          <w:marLeft w:val="0"/>
          <w:marRight w:val="0"/>
          <w:marTop w:val="0"/>
          <w:marBottom w:val="0"/>
          <w:divBdr>
            <w:top w:val="none" w:sz="0" w:space="0" w:color="auto"/>
            <w:left w:val="none" w:sz="0" w:space="0" w:color="auto"/>
            <w:bottom w:val="none" w:sz="0" w:space="0" w:color="auto"/>
            <w:right w:val="none" w:sz="0" w:space="0" w:color="auto"/>
          </w:divBdr>
        </w:div>
      </w:divsChild>
    </w:div>
    <w:div w:id="808740422">
      <w:bodyDiv w:val="1"/>
      <w:marLeft w:val="0"/>
      <w:marRight w:val="0"/>
      <w:marTop w:val="0"/>
      <w:marBottom w:val="0"/>
      <w:divBdr>
        <w:top w:val="none" w:sz="0" w:space="0" w:color="auto"/>
        <w:left w:val="none" w:sz="0" w:space="0" w:color="auto"/>
        <w:bottom w:val="none" w:sz="0" w:space="0" w:color="auto"/>
        <w:right w:val="none" w:sz="0" w:space="0" w:color="auto"/>
      </w:divBdr>
      <w:divsChild>
        <w:div w:id="30963688">
          <w:marLeft w:val="0"/>
          <w:marRight w:val="0"/>
          <w:marTop w:val="0"/>
          <w:marBottom w:val="0"/>
          <w:divBdr>
            <w:top w:val="none" w:sz="0" w:space="0" w:color="auto"/>
            <w:left w:val="none" w:sz="0" w:space="0" w:color="auto"/>
            <w:bottom w:val="none" w:sz="0" w:space="0" w:color="auto"/>
            <w:right w:val="none" w:sz="0" w:space="0" w:color="auto"/>
          </w:divBdr>
        </w:div>
        <w:div w:id="346567718">
          <w:marLeft w:val="0"/>
          <w:marRight w:val="0"/>
          <w:marTop w:val="0"/>
          <w:marBottom w:val="0"/>
          <w:divBdr>
            <w:top w:val="none" w:sz="0" w:space="0" w:color="auto"/>
            <w:left w:val="none" w:sz="0" w:space="0" w:color="auto"/>
            <w:bottom w:val="none" w:sz="0" w:space="0" w:color="auto"/>
            <w:right w:val="none" w:sz="0" w:space="0" w:color="auto"/>
          </w:divBdr>
        </w:div>
        <w:div w:id="741412124">
          <w:marLeft w:val="0"/>
          <w:marRight w:val="0"/>
          <w:marTop w:val="0"/>
          <w:marBottom w:val="0"/>
          <w:divBdr>
            <w:top w:val="none" w:sz="0" w:space="0" w:color="auto"/>
            <w:left w:val="none" w:sz="0" w:space="0" w:color="auto"/>
            <w:bottom w:val="none" w:sz="0" w:space="0" w:color="auto"/>
            <w:right w:val="none" w:sz="0" w:space="0" w:color="auto"/>
          </w:divBdr>
        </w:div>
        <w:div w:id="969478216">
          <w:marLeft w:val="0"/>
          <w:marRight w:val="0"/>
          <w:marTop w:val="0"/>
          <w:marBottom w:val="0"/>
          <w:divBdr>
            <w:top w:val="none" w:sz="0" w:space="0" w:color="auto"/>
            <w:left w:val="none" w:sz="0" w:space="0" w:color="auto"/>
            <w:bottom w:val="none" w:sz="0" w:space="0" w:color="auto"/>
            <w:right w:val="none" w:sz="0" w:space="0" w:color="auto"/>
          </w:divBdr>
        </w:div>
        <w:div w:id="1746611830">
          <w:marLeft w:val="0"/>
          <w:marRight w:val="0"/>
          <w:marTop w:val="0"/>
          <w:marBottom w:val="0"/>
          <w:divBdr>
            <w:top w:val="none" w:sz="0" w:space="0" w:color="auto"/>
            <w:left w:val="none" w:sz="0" w:space="0" w:color="auto"/>
            <w:bottom w:val="none" w:sz="0" w:space="0" w:color="auto"/>
            <w:right w:val="none" w:sz="0" w:space="0" w:color="auto"/>
          </w:divBdr>
        </w:div>
      </w:divsChild>
    </w:div>
    <w:div w:id="840585801">
      <w:bodyDiv w:val="1"/>
      <w:marLeft w:val="0"/>
      <w:marRight w:val="0"/>
      <w:marTop w:val="0"/>
      <w:marBottom w:val="0"/>
      <w:divBdr>
        <w:top w:val="none" w:sz="0" w:space="0" w:color="auto"/>
        <w:left w:val="none" w:sz="0" w:space="0" w:color="auto"/>
        <w:bottom w:val="none" w:sz="0" w:space="0" w:color="auto"/>
        <w:right w:val="none" w:sz="0" w:space="0" w:color="auto"/>
      </w:divBdr>
      <w:divsChild>
        <w:div w:id="386145964">
          <w:marLeft w:val="0"/>
          <w:marRight w:val="0"/>
          <w:marTop w:val="0"/>
          <w:marBottom w:val="0"/>
          <w:divBdr>
            <w:top w:val="none" w:sz="0" w:space="0" w:color="auto"/>
            <w:left w:val="none" w:sz="0" w:space="0" w:color="auto"/>
            <w:bottom w:val="none" w:sz="0" w:space="0" w:color="auto"/>
            <w:right w:val="none" w:sz="0" w:space="0" w:color="auto"/>
          </w:divBdr>
        </w:div>
        <w:div w:id="560362354">
          <w:marLeft w:val="0"/>
          <w:marRight w:val="0"/>
          <w:marTop w:val="0"/>
          <w:marBottom w:val="0"/>
          <w:divBdr>
            <w:top w:val="none" w:sz="0" w:space="0" w:color="auto"/>
            <w:left w:val="none" w:sz="0" w:space="0" w:color="auto"/>
            <w:bottom w:val="none" w:sz="0" w:space="0" w:color="auto"/>
            <w:right w:val="none" w:sz="0" w:space="0" w:color="auto"/>
          </w:divBdr>
        </w:div>
        <w:div w:id="1659574711">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7444">
      <w:bodyDiv w:val="1"/>
      <w:marLeft w:val="0"/>
      <w:marRight w:val="0"/>
      <w:marTop w:val="0"/>
      <w:marBottom w:val="0"/>
      <w:divBdr>
        <w:top w:val="none" w:sz="0" w:space="0" w:color="auto"/>
        <w:left w:val="none" w:sz="0" w:space="0" w:color="auto"/>
        <w:bottom w:val="none" w:sz="0" w:space="0" w:color="auto"/>
        <w:right w:val="none" w:sz="0" w:space="0" w:color="auto"/>
      </w:divBdr>
      <w:divsChild>
        <w:div w:id="468714648">
          <w:marLeft w:val="0"/>
          <w:marRight w:val="0"/>
          <w:marTop w:val="0"/>
          <w:marBottom w:val="0"/>
          <w:divBdr>
            <w:top w:val="none" w:sz="0" w:space="0" w:color="auto"/>
            <w:left w:val="none" w:sz="0" w:space="0" w:color="auto"/>
            <w:bottom w:val="none" w:sz="0" w:space="0" w:color="auto"/>
            <w:right w:val="none" w:sz="0" w:space="0" w:color="auto"/>
          </w:divBdr>
        </w:div>
        <w:div w:id="1183544035">
          <w:marLeft w:val="0"/>
          <w:marRight w:val="0"/>
          <w:marTop w:val="0"/>
          <w:marBottom w:val="0"/>
          <w:divBdr>
            <w:top w:val="none" w:sz="0" w:space="0" w:color="auto"/>
            <w:left w:val="none" w:sz="0" w:space="0" w:color="auto"/>
            <w:bottom w:val="none" w:sz="0" w:space="0" w:color="auto"/>
            <w:right w:val="none" w:sz="0" w:space="0" w:color="auto"/>
          </w:divBdr>
        </w:div>
        <w:div w:id="1248685983">
          <w:marLeft w:val="0"/>
          <w:marRight w:val="0"/>
          <w:marTop w:val="0"/>
          <w:marBottom w:val="0"/>
          <w:divBdr>
            <w:top w:val="none" w:sz="0" w:space="0" w:color="auto"/>
            <w:left w:val="none" w:sz="0" w:space="0" w:color="auto"/>
            <w:bottom w:val="none" w:sz="0" w:space="0" w:color="auto"/>
            <w:right w:val="none" w:sz="0" w:space="0" w:color="auto"/>
          </w:divBdr>
        </w:div>
        <w:div w:id="1358580736">
          <w:marLeft w:val="0"/>
          <w:marRight w:val="0"/>
          <w:marTop w:val="0"/>
          <w:marBottom w:val="0"/>
          <w:divBdr>
            <w:top w:val="none" w:sz="0" w:space="0" w:color="auto"/>
            <w:left w:val="none" w:sz="0" w:space="0" w:color="auto"/>
            <w:bottom w:val="none" w:sz="0" w:space="0" w:color="auto"/>
            <w:right w:val="none" w:sz="0" w:space="0" w:color="auto"/>
          </w:divBdr>
        </w:div>
      </w:divsChild>
    </w:div>
    <w:div w:id="900868724">
      <w:bodyDiv w:val="1"/>
      <w:marLeft w:val="0"/>
      <w:marRight w:val="0"/>
      <w:marTop w:val="0"/>
      <w:marBottom w:val="0"/>
      <w:divBdr>
        <w:top w:val="none" w:sz="0" w:space="0" w:color="auto"/>
        <w:left w:val="none" w:sz="0" w:space="0" w:color="auto"/>
        <w:bottom w:val="none" w:sz="0" w:space="0" w:color="auto"/>
        <w:right w:val="none" w:sz="0" w:space="0" w:color="auto"/>
      </w:divBdr>
    </w:div>
    <w:div w:id="903561209">
      <w:bodyDiv w:val="1"/>
      <w:marLeft w:val="0"/>
      <w:marRight w:val="0"/>
      <w:marTop w:val="0"/>
      <w:marBottom w:val="0"/>
      <w:divBdr>
        <w:top w:val="none" w:sz="0" w:space="0" w:color="auto"/>
        <w:left w:val="none" w:sz="0" w:space="0" w:color="auto"/>
        <w:bottom w:val="none" w:sz="0" w:space="0" w:color="auto"/>
        <w:right w:val="none" w:sz="0" w:space="0" w:color="auto"/>
      </w:divBdr>
      <w:divsChild>
        <w:div w:id="72774602">
          <w:marLeft w:val="0"/>
          <w:marRight w:val="0"/>
          <w:marTop w:val="0"/>
          <w:marBottom w:val="0"/>
          <w:divBdr>
            <w:top w:val="none" w:sz="0" w:space="0" w:color="auto"/>
            <w:left w:val="none" w:sz="0" w:space="0" w:color="auto"/>
            <w:bottom w:val="none" w:sz="0" w:space="0" w:color="auto"/>
            <w:right w:val="none" w:sz="0" w:space="0" w:color="auto"/>
          </w:divBdr>
        </w:div>
        <w:div w:id="179708599">
          <w:marLeft w:val="0"/>
          <w:marRight w:val="0"/>
          <w:marTop w:val="0"/>
          <w:marBottom w:val="0"/>
          <w:divBdr>
            <w:top w:val="none" w:sz="0" w:space="0" w:color="auto"/>
            <w:left w:val="none" w:sz="0" w:space="0" w:color="auto"/>
            <w:bottom w:val="none" w:sz="0" w:space="0" w:color="auto"/>
            <w:right w:val="none" w:sz="0" w:space="0" w:color="auto"/>
          </w:divBdr>
        </w:div>
        <w:div w:id="380403612">
          <w:marLeft w:val="0"/>
          <w:marRight w:val="0"/>
          <w:marTop w:val="0"/>
          <w:marBottom w:val="0"/>
          <w:divBdr>
            <w:top w:val="none" w:sz="0" w:space="0" w:color="auto"/>
            <w:left w:val="none" w:sz="0" w:space="0" w:color="auto"/>
            <w:bottom w:val="none" w:sz="0" w:space="0" w:color="auto"/>
            <w:right w:val="none" w:sz="0" w:space="0" w:color="auto"/>
          </w:divBdr>
        </w:div>
        <w:div w:id="391734597">
          <w:marLeft w:val="0"/>
          <w:marRight w:val="0"/>
          <w:marTop w:val="0"/>
          <w:marBottom w:val="0"/>
          <w:divBdr>
            <w:top w:val="none" w:sz="0" w:space="0" w:color="auto"/>
            <w:left w:val="none" w:sz="0" w:space="0" w:color="auto"/>
            <w:bottom w:val="none" w:sz="0" w:space="0" w:color="auto"/>
            <w:right w:val="none" w:sz="0" w:space="0" w:color="auto"/>
          </w:divBdr>
        </w:div>
        <w:div w:id="541285977">
          <w:marLeft w:val="0"/>
          <w:marRight w:val="0"/>
          <w:marTop w:val="0"/>
          <w:marBottom w:val="0"/>
          <w:divBdr>
            <w:top w:val="none" w:sz="0" w:space="0" w:color="auto"/>
            <w:left w:val="none" w:sz="0" w:space="0" w:color="auto"/>
            <w:bottom w:val="none" w:sz="0" w:space="0" w:color="auto"/>
            <w:right w:val="none" w:sz="0" w:space="0" w:color="auto"/>
          </w:divBdr>
        </w:div>
        <w:div w:id="641466376">
          <w:marLeft w:val="0"/>
          <w:marRight w:val="0"/>
          <w:marTop w:val="0"/>
          <w:marBottom w:val="0"/>
          <w:divBdr>
            <w:top w:val="none" w:sz="0" w:space="0" w:color="auto"/>
            <w:left w:val="none" w:sz="0" w:space="0" w:color="auto"/>
            <w:bottom w:val="none" w:sz="0" w:space="0" w:color="auto"/>
            <w:right w:val="none" w:sz="0" w:space="0" w:color="auto"/>
          </w:divBdr>
        </w:div>
        <w:div w:id="702292417">
          <w:marLeft w:val="0"/>
          <w:marRight w:val="0"/>
          <w:marTop w:val="0"/>
          <w:marBottom w:val="0"/>
          <w:divBdr>
            <w:top w:val="none" w:sz="0" w:space="0" w:color="auto"/>
            <w:left w:val="none" w:sz="0" w:space="0" w:color="auto"/>
            <w:bottom w:val="none" w:sz="0" w:space="0" w:color="auto"/>
            <w:right w:val="none" w:sz="0" w:space="0" w:color="auto"/>
          </w:divBdr>
        </w:div>
        <w:div w:id="704794351">
          <w:marLeft w:val="0"/>
          <w:marRight w:val="0"/>
          <w:marTop w:val="0"/>
          <w:marBottom w:val="0"/>
          <w:divBdr>
            <w:top w:val="none" w:sz="0" w:space="0" w:color="auto"/>
            <w:left w:val="none" w:sz="0" w:space="0" w:color="auto"/>
            <w:bottom w:val="none" w:sz="0" w:space="0" w:color="auto"/>
            <w:right w:val="none" w:sz="0" w:space="0" w:color="auto"/>
          </w:divBdr>
        </w:div>
        <w:div w:id="735084367">
          <w:marLeft w:val="0"/>
          <w:marRight w:val="0"/>
          <w:marTop w:val="0"/>
          <w:marBottom w:val="0"/>
          <w:divBdr>
            <w:top w:val="none" w:sz="0" w:space="0" w:color="auto"/>
            <w:left w:val="none" w:sz="0" w:space="0" w:color="auto"/>
            <w:bottom w:val="none" w:sz="0" w:space="0" w:color="auto"/>
            <w:right w:val="none" w:sz="0" w:space="0" w:color="auto"/>
          </w:divBdr>
        </w:div>
        <w:div w:id="782070053">
          <w:marLeft w:val="0"/>
          <w:marRight w:val="0"/>
          <w:marTop w:val="0"/>
          <w:marBottom w:val="0"/>
          <w:divBdr>
            <w:top w:val="none" w:sz="0" w:space="0" w:color="auto"/>
            <w:left w:val="none" w:sz="0" w:space="0" w:color="auto"/>
            <w:bottom w:val="none" w:sz="0" w:space="0" w:color="auto"/>
            <w:right w:val="none" w:sz="0" w:space="0" w:color="auto"/>
          </w:divBdr>
        </w:div>
        <w:div w:id="792753765">
          <w:marLeft w:val="0"/>
          <w:marRight w:val="0"/>
          <w:marTop w:val="0"/>
          <w:marBottom w:val="0"/>
          <w:divBdr>
            <w:top w:val="none" w:sz="0" w:space="0" w:color="auto"/>
            <w:left w:val="none" w:sz="0" w:space="0" w:color="auto"/>
            <w:bottom w:val="none" w:sz="0" w:space="0" w:color="auto"/>
            <w:right w:val="none" w:sz="0" w:space="0" w:color="auto"/>
          </w:divBdr>
        </w:div>
        <w:div w:id="832063512">
          <w:marLeft w:val="0"/>
          <w:marRight w:val="0"/>
          <w:marTop w:val="0"/>
          <w:marBottom w:val="0"/>
          <w:divBdr>
            <w:top w:val="none" w:sz="0" w:space="0" w:color="auto"/>
            <w:left w:val="none" w:sz="0" w:space="0" w:color="auto"/>
            <w:bottom w:val="none" w:sz="0" w:space="0" w:color="auto"/>
            <w:right w:val="none" w:sz="0" w:space="0" w:color="auto"/>
          </w:divBdr>
        </w:div>
        <w:div w:id="961575550">
          <w:marLeft w:val="0"/>
          <w:marRight w:val="0"/>
          <w:marTop w:val="0"/>
          <w:marBottom w:val="0"/>
          <w:divBdr>
            <w:top w:val="none" w:sz="0" w:space="0" w:color="auto"/>
            <w:left w:val="none" w:sz="0" w:space="0" w:color="auto"/>
            <w:bottom w:val="none" w:sz="0" w:space="0" w:color="auto"/>
            <w:right w:val="none" w:sz="0" w:space="0" w:color="auto"/>
          </w:divBdr>
        </w:div>
        <w:div w:id="990522307">
          <w:marLeft w:val="0"/>
          <w:marRight w:val="0"/>
          <w:marTop w:val="0"/>
          <w:marBottom w:val="0"/>
          <w:divBdr>
            <w:top w:val="none" w:sz="0" w:space="0" w:color="auto"/>
            <w:left w:val="none" w:sz="0" w:space="0" w:color="auto"/>
            <w:bottom w:val="none" w:sz="0" w:space="0" w:color="auto"/>
            <w:right w:val="none" w:sz="0" w:space="0" w:color="auto"/>
          </w:divBdr>
        </w:div>
        <w:div w:id="994800800">
          <w:marLeft w:val="0"/>
          <w:marRight w:val="0"/>
          <w:marTop w:val="0"/>
          <w:marBottom w:val="0"/>
          <w:divBdr>
            <w:top w:val="none" w:sz="0" w:space="0" w:color="auto"/>
            <w:left w:val="none" w:sz="0" w:space="0" w:color="auto"/>
            <w:bottom w:val="none" w:sz="0" w:space="0" w:color="auto"/>
            <w:right w:val="none" w:sz="0" w:space="0" w:color="auto"/>
          </w:divBdr>
        </w:div>
        <w:div w:id="994839239">
          <w:marLeft w:val="0"/>
          <w:marRight w:val="0"/>
          <w:marTop w:val="0"/>
          <w:marBottom w:val="0"/>
          <w:divBdr>
            <w:top w:val="none" w:sz="0" w:space="0" w:color="auto"/>
            <w:left w:val="none" w:sz="0" w:space="0" w:color="auto"/>
            <w:bottom w:val="none" w:sz="0" w:space="0" w:color="auto"/>
            <w:right w:val="none" w:sz="0" w:space="0" w:color="auto"/>
          </w:divBdr>
        </w:div>
        <w:div w:id="999620790">
          <w:marLeft w:val="0"/>
          <w:marRight w:val="0"/>
          <w:marTop w:val="0"/>
          <w:marBottom w:val="0"/>
          <w:divBdr>
            <w:top w:val="none" w:sz="0" w:space="0" w:color="auto"/>
            <w:left w:val="none" w:sz="0" w:space="0" w:color="auto"/>
            <w:bottom w:val="none" w:sz="0" w:space="0" w:color="auto"/>
            <w:right w:val="none" w:sz="0" w:space="0" w:color="auto"/>
          </w:divBdr>
        </w:div>
        <w:div w:id="1046293226">
          <w:marLeft w:val="0"/>
          <w:marRight w:val="0"/>
          <w:marTop w:val="0"/>
          <w:marBottom w:val="0"/>
          <w:divBdr>
            <w:top w:val="none" w:sz="0" w:space="0" w:color="auto"/>
            <w:left w:val="none" w:sz="0" w:space="0" w:color="auto"/>
            <w:bottom w:val="none" w:sz="0" w:space="0" w:color="auto"/>
            <w:right w:val="none" w:sz="0" w:space="0" w:color="auto"/>
          </w:divBdr>
        </w:div>
        <w:div w:id="1147821070">
          <w:marLeft w:val="0"/>
          <w:marRight w:val="0"/>
          <w:marTop w:val="0"/>
          <w:marBottom w:val="0"/>
          <w:divBdr>
            <w:top w:val="none" w:sz="0" w:space="0" w:color="auto"/>
            <w:left w:val="none" w:sz="0" w:space="0" w:color="auto"/>
            <w:bottom w:val="none" w:sz="0" w:space="0" w:color="auto"/>
            <w:right w:val="none" w:sz="0" w:space="0" w:color="auto"/>
          </w:divBdr>
        </w:div>
        <w:div w:id="1242108327">
          <w:marLeft w:val="0"/>
          <w:marRight w:val="0"/>
          <w:marTop w:val="0"/>
          <w:marBottom w:val="0"/>
          <w:divBdr>
            <w:top w:val="none" w:sz="0" w:space="0" w:color="auto"/>
            <w:left w:val="none" w:sz="0" w:space="0" w:color="auto"/>
            <w:bottom w:val="none" w:sz="0" w:space="0" w:color="auto"/>
            <w:right w:val="none" w:sz="0" w:space="0" w:color="auto"/>
          </w:divBdr>
        </w:div>
        <w:div w:id="1299532057">
          <w:marLeft w:val="0"/>
          <w:marRight w:val="0"/>
          <w:marTop w:val="0"/>
          <w:marBottom w:val="0"/>
          <w:divBdr>
            <w:top w:val="none" w:sz="0" w:space="0" w:color="auto"/>
            <w:left w:val="none" w:sz="0" w:space="0" w:color="auto"/>
            <w:bottom w:val="none" w:sz="0" w:space="0" w:color="auto"/>
            <w:right w:val="none" w:sz="0" w:space="0" w:color="auto"/>
          </w:divBdr>
        </w:div>
        <w:div w:id="1425688229">
          <w:marLeft w:val="0"/>
          <w:marRight w:val="0"/>
          <w:marTop w:val="0"/>
          <w:marBottom w:val="0"/>
          <w:divBdr>
            <w:top w:val="none" w:sz="0" w:space="0" w:color="auto"/>
            <w:left w:val="none" w:sz="0" w:space="0" w:color="auto"/>
            <w:bottom w:val="none" w:sz="0" w:space="0" w:color="auto"/>
            <w:right w:val="none" w:sz="0" w:space="0" w:color="auto"/>
          </w:divBdr>
        </w:div>
        <w:div w:id="1461607145">
          <w:marLeft w:val="0"/>
          <w:marRight w:val="0"/>
          <w:marTop w:val="0"/>
          <w:marBottom w:val="0"/>
          <w:divBdr>
            <w:top w:val="none" w:sz="0" w:space="0" w:color="auto"/>
            <w:left w:val="none" w:sz="0" w:space="0" w:color="auto"/>
            <w:bottom w:val="none" w:sz="0" w:space="0" w:color="auto"/>
            <w:right w:val="none" w:sz="0" w:space="0" w:color="auto"/>
          </w:divBdr>
        </w:div>
        <w:div w:id="1507790252">
          <w:marLeft w:val="0"/>
          <w:marRight w:val="0"/>
          <w:marTop w:val="0"/>
          <w:marBottom w:val="0"/>
          <w:divBdr>
            <w:top w:val="none" w:sz="0" w:space="0" w:color="auto"/>
            <w:left w:val="none" w:sz="0" w:space="0" w:color="auto"/>
            <w:bottom w:val="none" w:sz="0" w:space="0" w:color="auto"/>
            <w:right w:val="none" w:sz="0" w:space="0" w:color="auto"/>
          </w:divBdr>
        </w:div>
        <w:div w:id="1578055877">
          <w:marLeft w:val="0"/>
          <w:marRight w:val="0"/>
          <w:marTop w:val="0"/>
          <w:marBottom w:val="0"/>
          <w:divBdr>
            <w:top w:val="none" w:sz="0" w:space="0" w:color="auto"/>
            <w:left w:val="none" w:sz="0" w:space="0" w:color="auto"/>
            <w:bottom w:val="none" w:sz="0" w:space="0" w:color="auto"/>
            <w:right w:val="none" w:sz="0" w:space="0" w:color="auto"/>
          </w:divBdr>
        </w:div>
        <w:div w:id="1580140282">
          <w:marLeft w:val="0"/>
          <w:marRight w:val="0"/>
          <w:marTop w:val="0"/>
          <w:marBottom w:val="0"/>
          <w:divBdr>
            <w:top w:val="none" w:sz="0" w:space="0" w:color="auto"/>
            <w:left w:val="none" w:sz="0" w:space="0" w:color="auto"/>
            <w:bottom w:val="none" w:sz="0" w:space="0" w:color="auto"/>
            <w:right w:val="none" w:sz="0" w:space="0" w:color="auto"/>
          </w:divBdr>
        </w:div>
        <w:div w:id="1648776432">
          <w:marLeft w:val="0"/>
          <w:marRight w:val="0"/>
          <w:marTop w:val="0"/>
          <w:marBottom w:val="0"/>
          <w:divBdr>
            <w:top w:val="none" w:sz="0" w:space="0" w:color="auto"/>
            <w:left w:val="none" w:sz="0" w:space="0" w:color="auto"/>
            <w:bottom w:val="none" w:sz="0" w:space="0" w:color="auto"/>
            <w:right w:val="none" w:sz="0" w:space="0" w:color="auto"/>
          </w:divBdr>
        </w:div>
        <w:div w:id="1671787256">
          <w:marLeft w:val="0"/>
          <w:marRight w:val="0"/>
          <w:marTop w:val="0"/>
          <w:marBottom w:val="0"/>
          <w:divBdr>
            <w:top w:val="none" w:sz="0" w:space="0" w:color="auto"/>
            <w:left w:val="none" w:sz="0" w:space="0" w:color="auto"/>
            <w:bottom w:val="none" w:sz="0" w:space="0" w:color="auto"/>
            <w:right w:val="none" w:sz="0" w:space="0" w:color="auto"/>
          </w:divBdr>
        </w:div>
        <w:div w:id="1863932865">
          <w:marLeft w:val="0"/>
          <w:marRight w:val="0"/>
          <w:marTop w:val="0"/>
          <w:marBottom w:val="0"/>
          <w:divBdr>
            <w:top w:val="none" w:sz="0" w:space="0" w:color="auto"/>
            <w:left w:val="none" w:sz="0" w:space="0" w:color="auto"/>
            <w:bottom w:val="none" w:sz="0" w:space="0" w:color="auto"/>
            <w:right w:val="none" w:sz="0" w:space="0" w:color="auto"/>
          </w:divBdr>
        </w:div>
        <w:div w:id="1894542685">
          <w:marLeft w:val="0"/>
          <w:marRight w:val="0"/>
          <w:marTop w:val="0"/>
          <w:marBottom w:val="0"/>
          <w:divBdr>
            <w:top w:val="none" w:sz="0" w:space="0" w:color="auto"/>
            <w:left w:val="none" w:sz="0" w:space="0" w:color="auto"/>
            <w:bottom w:val="none" w:sz="0" w:space="0" w:color="auto"/>
            <w:right w:val="none" w:sz="0" w:space="0" w:color="auto"/>
          </w:divBdr>
        </w:div>
        <w:div w:id="1984499746">
          <w:marLeft w:val="0"/>
          <w:marRight w:val="0"/>
          <w:marTop w:val="0"/>
          <w:marBottom w:val="0"/>
          <w:divBdr>
            <w:top w:val="none" w:sz="0" w:space="0" w:color="auto"/>
            <w:left w:val="none" w:sz="0" w:space="0" w:color="auto"/>
            <w:bottom w:val="none" w:sz="0" w:space="0" w:color="auto"/>
            <w:right w:val="none" w:sz="0" w:space="0" w:color="auto"/>
          </w:divBdr>
        </w:div>
        <w:div w:id="2037730447">
          <w:marLeft w:val="0"/>
          <w:marRight w:val="0"/>
          <w:marTop w:val="0"/>
          <w:marBottom w:val="0"/>
          <w:divBdr>
            <w:top w:val="none" w:sz="0" w:space="0" w:color="auto"/>
            <w:left w:val="none" w:sz="0" w:space="0" w:color="auto"/>
            <w:bottom w:val="none" w:sz="0" w:space="0" w:color="auto"/>
            <w:right w:val="none" w:sz="0" w:space="0" w:color="auto"/>
          </w:divBdr>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40382166">
      <w:bodyDiv w:val="1"/>
      <w:marLeft w:val="0"/>
      <w:marRight w:val="0"/>
      <w:marTop w:val="0"/>
      <w:marBottom w:val="0"/>
      <w:divBdr>
        <w:top w:val="none" w:sz="0" w:space="0" w:color="auto"/>
        <w:left w:val="none" w:sz="0" w:space="0" w:color="auto"/>
        <w:bottom w:val="none" w:sz="0" w:space="0" w:color="auto"/>
        <w:right w:val="none" w:sz="0" w:space="0" w:color="auto"/>
      </w:divBdr>
    </w:div>
    <w:div w:id="996111069">
      <w:bodyDiv w:val="1"/>
      <w:marLeft w:val="0"/>
      <w:marRight w:val="0"/>
      <w:marTop w:val="0"/>
      <w:marBottom w:val="0"/>
      <w:divBdr>
        <w:top w:val="none" w:sz="0" w:space="0" w:color="auto"/>
        <w:left w:val="none" w:sz="0" w:space="0" w:color="auto"/>
        <w:bottom w:val="none" w:sz="0" w:space="0" w:color="auto"/>
        <w:right w:val="none" w:sz="0" w:space="0" w:color="auto"/>
      </w:divBdr>
      <w:divsChild>
        <w:div w:id="1270817115">
          <w:marLeft w:val="0"/>
          <w:marRight w:val="0"/>
          <w:marTop w:val="0"/>
          <w:marBottom w:val="0"/>
          <w:divBdr>
            <w:top w:val="none" w:sz="0" w:space="0" w:color="auto"/>
            <w:left w:val="none" w:sz="0" w:space="0" w:color="auto"/>
            <w:bottom w:val="none" w:sz="0" w:space="0" w:color="auto"/>
            <w:right w:val="none" w:sz="0" w:space="0" w:color="auto"/>
          </w:divBdr>
        </w:div>
        <w:div w:id="1424064042">
          <w:marLeft w:val="0"/>
          <w:marRight w:val="0"/>
          <w:marTop w:val="0"/>
          <w:marBottom w:val="0"/>
          <w:divBdr>
            <w:top w:val="none" w:sz="0" w:space="0" w:color="auto"/>
            <w:left w:val="none" w:sz="0" w:space="0" w:color="auto"/>
            <w:bottom w:val="none" w:sz="0" w:space="0" w:color="auto"/>
            <w:right w:val="none" w:sz="0" w:space="0" w:color="auto"/>
          </w:divBdr>
        </w:div>
      </w:divsChild>
    </w:div>
    <w:div w:id="999892344">
      <w:bodyDiv w:val="1"/>
      <w:marLeft w:val="0"/>
      <w:marRight w:val="0"/>
      <w:marTop w:val="0"/>
      <w:marBottom w:val="0"/>
      <w:divBdr>
        <w:top w:val="none" w:sz="0" w:space="0" w:color="auto"/>
        <w:left w:val="none" w:sz="0" w:space="0" w:color="auto"/>
        <w:bottom w:val="none" w:sz="0" w:space="0" w:color="auto"/>
        <w:right w:val="none" w:sz="0" w:space="0" w:color="auto"/>
      </w:divBdr>
      <w:divsChild>
        <w:div w:id="53895783">
          <w:marLeft w:val="0"/>
          <w:marRight w:val="0"/>
          <w:marTop w:val="0"/>
          <w:marBottom w:val="0"/>
          <w:divBdr>
            <w:top w:val="none" w:sz="0" w:space="0" w:color="auto"/>
            <w:left w:val="none" w:sz="0" w:space="0" w:color="auto"/>
            <w:bottom w:val="none" w:sz="0" w:space="0" w:color="auto"/>
            <w:right w:val="none" w:sz="0" w:space="0" w:color="auto"/>
          </w:divBdr>
        </w:div>
        <w:div w:id="519584871">
          <w:marLeft w:val="0"/>
          <w:marRight w:val="0"/>
          <w:marTop w:val="0"/>
          <w:marBottom w:val="0"/>
          <w:divBdr>
            <w:top w:val="none" w:sz="0" w:space="0" w:color="auto"/>
            <w:left w:val="none" w:sz="0" w:space="0" w:color="auto"/>
            <w:bottom w:val="none" w:sz="0" w:space="0" w:color="auto"/>
            <w:right w:val="none" w:sz="0" w:space="0" w:color="auto"/>
          </w:divBdr>
        </w:div>
        <w:div w:id="861088091">
          <w:marLeft w:val="0"/>
          <w:marRight w:val="0"/>
          <w:marTop w:val="0"/>
          <w:marBottom w:val="0"/>
          <w:divBdr>
            <w:top w:val="none" w:sz="0" w:space="0" w:color="auto"/>
            <w:left w:val="none" w:sz="0" w:space="0" w:color="auto"/>
            <w:bottom w:val="none" w:sz="0" w:space="0" w:color="auto"/>
            <w:right w:val="none" w:sz="0" w:space="0" w:color="auto"/>
          </w:divBdr>
        </w:div>
        <w:div w:id="1468278159">
          <w:marLeft w:val="0"/>
          <w:marRight w:val="0"/>
          <w:marTop w:val="0"/>
          <w:marBottom w:val="0"/>
          <w:divBdr>
            <w:top w:val="none" w:sz="0" w:space="0" w:color="auto"/>
            <w:left w:val="none" w:sz="0" w:space="0" w:color="auto"/>
            <w:bottom w:val="none" w:sz="0" w:space="0" w:color="auto"/>
            <w:right w:val="none" w:sz="0" w:space="0" w:color="auto"/>
          </w:divBdr>
        </w:div>
        <w:div w:id="1541670558">
          <w:marLeft w:val="0"/>
          <w:marRight w:val="0"/>
          <w:marTop w:val="0"/>
          <w:marBottom w:val="0"/>
          <w:divBdr>
            <w:top w:val="none" w:sz="0" w:space="0" w:color="auto"/>
            <w:left w:val="none" w:sz="0" w:space="0" w:color="auto"/>
            <w:bottom w:val="none" w:sz="0" w:space="0" w:color="auto"/>
            <w:right w:val="none" w:sz="0" w:space="0" w:color="auto"/>
          </w:divBdr>
        </w:div>
      </w:divsChild>
    </w:div>
    <w:div w:id="1001548200">
      <w:bodyDiv w:val="1"/>
      <w:marLeft w:val="0"/>
      <w:marRight w:val="0"/>
      <w:marTop w:val="0"/>
      <w:marBottom w:val="0"/>
      <w:divBdr>
        <w:top w:val="none" w:sz="0" w:space="0" w:color="auto"/>
        <w:left w:val="none" w:sz="0" w:space="0" w:color="auto"/>
        <w:bottom w:val="none" w:sz="0" w:space="0" w:color="auto"/>
        <w:right w:val="none" w:sz="0" w:space="0" w:color="auto"/>
      </w:divBdr>
      <w:divsChild>
        <w:div w:id="479031616">
          <w:marLeft w:val="0"/>
          <w:marRight w:val="0"/>
          <w:marTop w:val="0"/>
          <w:marBottom w:val="0"/>
          <w:divBdr>
            <w:top w:val="none" w:sz="0" w:space="0" w:color="auto"/>
            <w:left w:val="none" w:sz="0" w:space="0" w:color="auto"/>
            <w:bottom w:val="none" w:sz="0" w:space="0" w:color="auto"/>
            <w:right w:val="none" w:sz="0" w:space="0" w:color="auto"/>
          </w:divBdr>
        </w:div>
        <w:div w:id="546841260">
          <w:marLeft w:val="0"/>
          <w:marRight w:val="0"/>
          <w:marTop w:val="0"/>
          <w:marBottom w:val="0"/>
          <w:divBdr>
            <w:top w:val="none" w:sz="0" w:space="0" w:color="auto"/>
            <w:left w:val="none" w:sz="0" w:space="0" w:color="auto"/>
            <w:bottom w:val="none" w:sz="0" w:space="0" w:color="auto"/>
            <w:right w:val="none" w:sz="0" w:space="0" w:color="auto"/>
          </w:divBdr>
        </w:div>
        <w:div w:id="591089135">
          <w:marLeft w:val="0"/>
          <w:marRight w:val="0"/>
          <w:marTop w:val="0"/>
          <w:marBottom w:val="0"/>
          <w:divBdr>
            <w:top w:val="none" w:sz="0" w:space="0" w:color="auto"/>
            <w:left w:val="none" w:sz="0" w:space="0" w:color="auto"/>
            <w:bottom w:val="none" w:sz="0" w:space="0" w:color="auto"/>
            <w:right w:val="none" w:sz="0" w:space="0" w:color="auto"/>
          </w:divBdr>
        </w:div>
        <w:div w:id="611480906">
          <w:marLeft w:val="0"/>
          <w:marRight w:val="0"/>
          <w:marTop w:val="0"/>
          <w:marBottom w:val="0"/>
          <w:divBdr>
            <w:top w:val="none" w:sz="0" w:space="0" w:color="auto"/>
            <w:left w:val="none" w:sz="0" w:space="0" w:color="auto"/>
            <w:bottom w:val="none" w:sz="0" w:space="0" w:color="auto"/>
            <w:right w:val="none" w:sz="0" w:space="0" w:color="auto"/>
          </w:divBdr>
        </w:div>
        <w:div w:id="898202869">
          <w:marLeft w:val="0"/>
          <w:marRight w:val="0"/>
          <w:marTop w:val="0"/>
          <w:marBottom w:val="0"/>
          <w:divBdr>
            <w:top w:val="none" w:sz="0" w:space="0" w:color="auto"/>
            <w:left w:val="none" w:sz="0" w:space="0" w:color="auto"/>
            <w:bottom w:val="none" w:sz="0" w:space="0" w:color="auto"/>
            <w:right w:val="none" w:sz="0" w:space="0" w:color="auto"/>
          </w:divBdr>
        </w:div>
        <w:div w:id="1291204232">
          <w:marLeft w:val="0"/>
          <w:marRight w:val="0"/>
          <w:marTop w:val="0"/>
          <w:marBottom w:val="0"/>
          <w:divBdr>
            <w:top w:val="none" w:sz="0" w:space="0" w:color="auto"/>
            <w:left w:val="none" w:sz="0" w:space="0" w:color="auto"/>
            <w:bottom w:val="none" w:sz="0" w:space="0" w:color="auto"/>
            <w:right w:val="none" w:sz="0" w:space="0" w:color="auto"/>
          </w:divBdr>
        </w:div>
        <w:div w:id="1445151601">
          <w:marLeft w:val="0"/>
          <w:marRight w:val="0"/>
          <w:marTop w:val="0"/>
          <w:marBottom w:val="0"/>
          <w:divBdr>
            <w:top w:val="none" w:sz="0" w:space="0" w:color="auto"/>
            <w:left w:val="none" w:sz="0" w:space="0" w:color="auto"/>
            <w:bottom w:val="none" w:sz="0" w:space="0" w:color="auto"/>
            <w:right w:val="none" w:sz="0" w:space="0" w:color="auto"/>
          </w:divBdr>
        </w:div>
        <w:div w:id="1495223917">
          <w:marLeft w:val="0"/>
          <w:marRight w:val="0"/>
          <w:marTop w:val="0"/>
          <w:marBottom w:val="0"/>
          <w:divBdr>
            <w:top w:val="none" w:sz="0" w:space="0" w:color="auto"/>
            <w:left w:val="none" w:sz="0" w:space="0" w:color="auto"/>
            <w:bottom w:val="none" w:sz="0" w:space="0" w:color="auto"/>
            <w:right w:val="none" w:sz="0" w:space="0" w:color="auto"/>
          </w:divBdr>
        </w:div>
        <w:div w:id="1679381624">
          <w:marLeft w:val="0"/>
          <w:marRight w:val="0"/>
          <w:marTop w:val="0"/>
          <w:marBottom w:val="0"/>
          <w:divBdr>
            <w:top w:val="none" w:sz="0" w:space="0" w:color="auto"/>
            <w:left w:val="none" w:sz="0" w:space="0" w:color="auto"/>
            <w:bottom w:val="none" w:sz="0" w:space="0" w:color="auto"/>
            <w:right w:val="none" w:sz="0" w:space="0" w:color="auto"/>
          </w:divBdr>
        </w:div>
        <w:div w:id="1879968610">
          <w:marLeft w:val="0"/>
          <w:marRight w:val="0"/>
          <w:marTop w:val="0"/>
          <w:marBottom w:val="0"/>
          <w:divBdr>
            <w:top w:val="none" w:sz="0" w:space="0" w:color="auto"/>
            <w:left w:val="none" w:sz="0" w:space="0" w:color="auto"/>
            <w:bottom w:val="none" w:sz="0" w:space="0" w:color="auto"/>
            <w:right w:val="none" w:sz="0" w:space="0" w:color="auto"/>
          </w:divBdr>
        </w:div>
      </w:divsChild>
    </w:div>
    <w:div w:id="115923070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9">
          <w:marLeft w:val="0"/>
          <w:marRight w:val="0"/>
          <w:marTop w:val="0"/>
          <w:marBottom w:val="0"/>
          <w:divBdr>
            <w:top w:val="none" w:sz="0" w:space="0" w:color="auto"/>
            <w:left w:val="none" w:sz="0" w:space="0" w:color="auto"/>
            <w:bottom w:val="none" w:sz="0" w:space="0" w:color="auto"/>
            <w:right w:val="none" w:sz="0" w:space="0" w:color="auto"/>
          </w:divBdr>
        </w:div>
        <w:div w:id="1093622768">
          <w:marLeft w:val="0"/>
          <w:marRight w:val="0"/>
          <w:marTop w:val="0"/>
          <w:marBottom w:val="0"/>
          <w:divBdr>
            <w:top w:val="none" w:sz="0" w:space="0" w:color="auto"/>
            <w:left w:val="none" w:sz="0" w:space="0" w:color="auto"/>
            <w:bottom w:val="none" w:sz="0" w:space="0" w:color="auto"/>
            <w:right w:val="none" w:sz="0" w:space="0" w:color="auto"/>
          </w:divBdr>
        </w:div>
        <w:div w:id="1904682118">
          <w:marLeft w:val="0"/>
          <w:marRight w:val="0"/>
          <w:marTop w:val="0"/>
          <w:marBottom w:val="0"/>
          <w:divBdr>
            <w:top w:val="none" w:sz="0" w:space="0" w:color="auto"/>
            <w:left w:val="none" w:sz="0" w:space="0" w:color="auto"/>
            <w:bottom w:val="none" w:sz="0" w:space="0" w:color="auto"/>
            <w:right w:val="none" w:sz="0" w:space="0" w:color="auto"/>
          </w:divBdr>
        </w:div>
      </w:divsChild>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7590">
      <w:bodyDiv w:val="1"/>
      <w:marLeft w:val="0"/>
      <w:marRight w:val="0"/>
      <w:marTop w:val="0"/>
      <w:marBottom w:val="0"/>
      <w:divBdr>
        <w:top w:val="none" w:sz="0" w:space="0" w:color="auto"/>
        <w:left w:val="none" w:sz="0" w:space="0" w:color="auto"/>
        <w:bottom w:val="none" w:sz="0" w:space="0" w:color="auto"/>
        <w:right w:val="none" w:sz="0" w:space="0" w:color="auto"/>
      </w:divBdr>
      <w:divsChild>
        <w:div w:id="13115446">
          <w:marLeft w:val="0"/>
          <w:marRight w:val="0"/>
          <w:marTop w:val="0"/>
          <w:marBottom w:val="0"/>
          <w:divBdr>
            <w:top w:val="none" w:sz="0" w:space="0" w:color="auto"/>
            <w:left w:val="none" w:sz="0" w:space="0" w:color="auto"/>
            <w:bottom w:val="none" w:sz="0" w:space="0" w:color="auto"/>
            <w:right w:val="none" w:sz="0" w:space="0" w:color="auto"/>
          </w:divBdr>
        </w:div>
        <w:div w:id="165486763">
          <w:marLeft w:val="0"/>
          <w:marRight w:val="0"/>
          <w:marTop w:val="0"/>
          <w:marBottom w:val="0"/>
          <w:divBdr>
            <w:top w:val="none" w:sz="0" w:space="0" w:color="auto"/>
            <w:left w:val="none" w:sz="0" w:space="0" w:color="auto"/>
            <w:bottom w:val="none" w:sz="0" w:space="0" w:color="auto"/>
            <w:right w:val="none" w:sz="0" w:space="0" w:color="auto"/>
          </w:divBdr>
        </w:div>
        <w:div w:id="184488906">
          <w:marLeft w:val="0"/>
          <w:marRight w:val="0"/>
          <w:marTop w:val="0"/>
          <w:marBottom w:val="0"/>
          <w:divBdr>
            <w:top w:val="none" w:sz="0" w:space="0" w:color="auto"/>
            <w:left w:val="none" w:sz="0" w:space="0" w:color="auto"/>
            <w:bottom w:val="none" w:sz="0" w:space="0" w:color="auto"/>
            <w:right w:val="none" w:sz="0" w:space="0" w:color="auto"/>
          </w:divBdr>
        </w:div>
        <w:div w:id="765423099">
          <w:marLeft w:val="0"/>
          <w:marRight w:val="0"/>
          <w:marTop w:val="0"/>
          <w:marBottom w:val="0"/>
          <w:divBdr>
            <w:top w:val="none" w:sz="0" w:space="0" w:color="auto"/>
            <w:left w:val="none" w:sz="0" w:space="0" w:color="auto"/>
            <w:bottom w:val="none" w:sz="0" w:space="0" w:color="auto"/>
            <w:right w:val="none" w:sz="0" w:space="0" w:color="auto"/>
          </w:divBdr>
        </w:div>
        <w:div w:id="905602501">
          <w:marLeft w:val="0"/>
          <w:marRight w:val="0"/>
          <w:marTop w:val="0"/>
          <w:marBottom w:val="0"/>
          <w:divBdr>
            <w:top w:val="none" w:sz="0" w:space="0" w:color="auto"/>
            <w:left w:val="none" w:sz="0" w:space="0" w:color="auto"/>
            <w:bottom w:val="none" w:sz="0" w:space="0" w:color="auto"/>
            <w:right w:val="none" w:sz="0" w:space="0" w:color="auto"/>
          </w:divBdr>
        </w:div>
        <w:div w:id="1010569277">
          <w:marLeft w:val="0"/>
          <w:marRight w:val="0"/>
          <w:marTop w:val="0"/>
          <w:marBottom w:val="0"/>
          <w:divBdr>
            <w:top w:val="none" w:sz="0" w:space="0" w:color="auto"/>
            <w:left w:val="none" w:sz="0" w:space="0" w:color="auto"/>
            <w:bottom w:val="none" w:sz="0" w:space="0" w:color="auto"/>
            <w:right w:val="none" w:sz="0" w:space="0" w:color="auto"/>
          </w:divBdr>
        </w:div>
        <w:div w:id="1457062086">
          <w:marLeft w:val="0"/>
          <w:marRight w:val="0"/>
          <w:marTop w:val="0"/>
          <w:marBottom w:val="0"/>
          <w:divBdr>
            <w:top w:val="none" w:sz="0" w:space="0" w:color="auto"/>
            <w:left w:val="none" w:sz="0" w:space="0" w:color="auto"/>
            <w:bottom w:val="none" w:sz="0" w:space="0" w:color="auto"/>
            <w:right w:val="none" w:sz="0" w:space="0" w:color="auto"/>
          </w:divBdr>
        </w:div>
        <w:div w:id="1606186859">
          <w:marLeft w:val="0"/>
          <w:marRight w:val="0"/>
          <w:marTop w:val="0"/>
          <w:marBottom w:val="0"/>
          <w:divBdr>
            <w:top w:val="none" w:sz="0" w:space="0" w:color="auto"/>
            <w:left w:val="none" w:sz="0" w:space="0" w:color="auto"/>
            <w:bottom w:val="none" w:sz="0" w:space="0" w:color="auto"/>
            <w:right w:val="none" w:sz="0" w:space="0" w:color="auto"/>
          </w:divBdr>
        </w:div>
        <w:div w:id="1729570528">
          <w:marLeft w:val="0"/>
          <w:marRight w:val="0"/>
          <w:marTop w:val="0"/>
          <w:marBottom w:val="0"/>
          <w:divBdr>
            <w:top w:val="none" w:sz="0" w:space="0" w:color="auto"/>
            <w:left w:val="none" w:sz="0" w:space="0" w:color="auto"/>
            <w:bottom w:val="none" w:sz="0" w:space="0" w:color="auto"/>
            <w:right w:val="none" w:sz="0" w:space="0" w:color="auto"/>
          </w:divBdr>
        </w:div>
        <w:div w:id="1791119664">
          <w:marLeft w:val="0"/>
          <w:marRight w:val="0"/>
          <w:marTop w:val="0"/>
          <w:marBottom w:val="0"/>
          <w:divBdr>
            <w:top w:val="none" w:sz="0" w:space="0" w:color="auto"/>
            <w:left w:val="none" w:sz="0" w:space="0" w:color="auto"/>
            <w:bottom w:val="none" w:sz="0" w:space="0" w:color="auto"/>
            <w:right w:val="none" w:sz="0" w:space="0" w:color="auto"/>
          </w:divBdr>
        </w:div>
        <w:div w:id="1906253943">
          <w:marLeft w:val="0"/>
          <w:marRight w:val="0"/>
          <w:marTop w:val="0"/>
          <w:marBottom w:val="0"/>
          <w:divBdr>
            <w:top w:val="none" w:sz="0" w:space="0" w:color="auto"/>
            <w:left w:val="none" w:sz="0" w:space="0" w:color="auto"/>
            <w:bottom w:val="none" w:sz="0" w:space="0" w:color="auto"/>
            <w:right w:val="none" w:sz="0" w:space="0" w:color="auto"/>
          </w:divBdr>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195390960">
      <w:bodyDiv w:val="1"/>
      <w:marLeft w:val="0"/>
      <w:marRight w:val="0"/>
      <w:marTop w:val="0"/>
      <w:marBottom w:val="0"/>
      <w:divBdr>
        <w:top w:val="none" w:sz="0" w:space="0" w:color="auto"/>
        <w:left w:val="none" w:sz="0" w:space="0" w:color="auto"/>
        <w:bottom w:val="none" w:sz="0" w:space="0" w:color="auto"/>
        <w:right w:val="none" w:sz="0" w:space="0" w:color="auto"/>
      </w:divBdr>
      <w:divsChild>
        <w:div w:id="519465360">
          <w:marLeft w:val="0"/>
          <w:marRight w:val="0"/>
          <w:marTop w:val="0"/>
          <w:marBottom w:val="0"/>
          <w:divBdr>
            <w:top w:val="none" w:sz="0" w:space="0" w:color="auto"/>
            <w:left w:val="none" w:sz="0" w:space="0" w:color="auto"/>
            <w:bottom w:val="none" w:sz="0" w:space="0" w:color="auto"/>
            <w:right w:val="none" w:sz="0" w:space="0" w:color="auto"/>
          </w:divBdr>
        </w:div>
        <w:div w:id="1376277629">
          <w:marLeft w:val="0"/>
          <w:marRight w:val="0"/>
          <w:marTop w:val="0"/>
          <w:marBottom w:val="0"/>
          <w:divBdr>
            <w:top w:val="none" w:sz="0" w:space="0" w:color="auto"/>
            <w:left w:val="none" w:sz="0" w:space="0" w:color="auto"/>
            <w:bottom w:val="none" w:sz="0" w:space="0" w:color="auto"/>
            <w:right w:val="none" w:sz="0" w:space="0" w:color="auto"/>
          </w:divBdr>
        </w:div>
        <w:div w:id="1877158930">
          <w:marLeft w:val="0"/>
          <w:marRight w:val="0"/>
          <w:marTop w:val="0"/>
          <w:marBottom w:val="0"/>
          <w:divBdr>
            <w:top w:val="none" w:sz="0" w:space="0" w:color="auto"/>
            <w:left w:val="none" w:sz="0" w:space="0" w:color="auto"/>
            <w:bottom w:val="none" w:sz="0" w:space="0" w:color="auto"/>
            <w:right w:val="none" w:sz="0" w:space="0" w:color="auto"/>
          </w:divBdr>
        </w:div>
      </w:divsChild>
    </w:div>
    <w:div w:id="1235311231">
      <w:bodyDiv w:val="1"/>
      <w:marLeft w:val="0"/>
      <w:marRight w:val="0"/>
      <w:marTop w:val="0"/>
      <w:marBottom w:val="0"/>
      <w:divBdr>
        <w:top w:val="none" w:sz="0" w:space="0" w:color="auto"/>
        <w:left w:val="none" w:sz="0" w:space="0" w:color="auto"/>
        <w:bottom w:val="none" w:sz="0" w:space="0" w:color="auto"/>
        <w:right w:val="none" w:sz="0" w:space="0" w:color="auto"/>
      </w:divBdr>
      <w:divsChild>
        <w:div w:id="456727123">
          <w:marLeft w:val="0"/>
          <w:marRight w:val="0"/>
          <w:marTop w:val="0"/>
          <w:marBottom w:val="0"/>
          <w:divBdr>
            <w:top w:val="none" w:sz="0" w:space="0" w:color="auto"/>
            <w:left w:val="none" w:sz="0" w:space="0" w:color="auto"/>
            <w:bottom w:val="none" w:sz="0" w:space="0" w:color="auto"/>
            <w:right w:val="none" w:sz="0" w:space="0" w:color="auto"/>
          </w:divBdr>
        </w:div>
        <w:div w:id="640111004">
          <w:marLeft w:val="0"/>
          <w:marRight w:val="0"/>
          <w:marTop w:val="0"/>
          <w:marBottom w:val="0"/>
          <w:divBdr>
            <w:top w:val="none" w:sz="0" w:space="0" w:color="auto"/>
            <w:left w:val="none" w:sz="0" w:space="0" w:color="auto"/>
            <w:bottom w:val="none" w:sz="0" w:space="0" w:color="auto"/>
            <w:right w:val="none" w:sz="0" w:space="0" w:color="auto"/>
          </w:divBdr>
        </w:div>
        <w:div w:id="1723095000">
          <w:marLeft w:val="0"/>
          <w:marRight w:val="0"/>
          <w:marTop w:val="0"/>
          <w:marBottom w:val="0"/>
          <w:divBdr>
            <w:top w:val="none" w:sz="0" w:space="0" w:color="auto"/>
            <w:left w:val="none" w:sz="0" w:space="0" w:color="auto"/>
            <w:bottom w:val="none" w:sz="0" w:space="0" w:color="auto"/>
            <w:right w:val="none" w:sz="0" w:space="0" w:color="auto"/>
          </w:divBdr>
        </w:div>
        <w:div w:id="1772161690">
          <w:marLeft w:val="0"/>
          <w:marRight w:val="0"/>
          <w:marTop w:val="0"/>
          <w:marBottom w:val="0"/>
          <w:divBdr>
            <w:top w:val="none" w:sz="0" w:space="0" w:color="auto"/>
            <w:left w:val="none" w:sz="0" w:space="0" w:color="auto"/>
            <w:bottom w:val="none" w:sz="0" w:space="0" w:color="auto"/>
            <w:right w:val="none" w:sz="0" w:space="0" w:color="auto"/>
          </w:divBdr>
        </w:div>
      </w:divsChild>
    </w:div>
    <w:div w:id="1249656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329">
          <w:marLeft w:val="0"/>
          <w:marRight w:val="0"/>
          <w:marTop w:val="0"/>
          <w:marBottom w:val="0"/>
          <w:divBdr>
            <w:top w:val="none" w:sz="0" w:space="0" w:color="auto"/>
            <w:left w:val="none" w:sz="0" w:space="0" w:color="auto"/>
            <w:bottom w:val="none" w:sz="0" w:space="0" w:color="auto"/>
            <w:right w:val="none" w:sz="0" w:space="0" w:color="auto"/>
          </w:divBdr>
        </w:div>
        <w:div w:id="510947666">
          <w:marLeft w:val="0"/>
          <w:marRight w:val="0"/>
          <w:marTop w:val="0"/>
          <w:marBottom w:val="0"/>
          <w:divBdr>
            <w:top w:val="none" w:sz="0" w:space="0" w:color="auto"/>
            <w:left w:val="none" w:sz="0" w:space="0" w:color="auto"/>
            <w:bottom w:val="none" w:sz="0" w:space="0" w:color="auto"/>
            <w:right w:val="none" w:sz="0" w:space="0" w:color="auto"/>
          </w:divBdr>
        </w:div>
      </w:divsChild>
    </w:div>
    <w:div w:id="1266235067">
      <w:bodyDiv w:val="1"/>
      <w:marLeft w:val="0"/>
      <w:marRight w:val="0"/>
      <w:marTop w:val="0"/>
      <w:marBottom w:val="0"/>
      <w:divBdr>
        <w:top w:val="none" w:sz="0" w:space="0" w:color="auto"/>
        <w:left w:val="none" w:sz="0" w:space="0" w:color="auto"/>
        <w:bottom w:val="none" w:sz="0" w:space="0" w:color="auto"/>
        <w:right w:val="none" w:sz="0" w:space="0" w:color="auto"/>
      </w:divBdr>
      <w:divsChild>
        <w:div w:id="803890046">
          <w:marLeft w:val="0"/>
          <w:marRight w:val="0"/>
          <w:marTop w:val="0"/>
          <w:marBottom w:val="0"/>
          <w:divBdr>
            <w:top w:val="none" w:sz="0" w:space="0" w:color="auto"/>
            <w:left w:val="none" w:sz="0" w:space="0" w:color="auto"/>
            <w:bottom w:val="none" w:sz="0" w:space="0" w:color="auto"/>
            <w:right w:val="none" w:sz="0" w:space="0" w:color="auto"/>
          </w:divBdr>
        </w:div>
        <w:div w:id="1362391043">
          <w:marLeft w:val="0"/>
          <w:marRight w:val="0"/>
          <w:marTop w:val="0"/>
          <w:marBottom w:val="0"/>
          <w:divBdr>
            <w:top w:val="none" w:sz="0" w:space="0" w:color="auto"/>
            <w:left w:val="none" w:sz="0" w:space="0" w:color="auto"/>
            <w:bottom w:val="none" w:sz="0" w:space="0" w:color="auto"/>
            <w:right w:val="none" w:sz="0" w:space="0" w:color="auto"/>
          </w:divBdr>
        </w:div>
        <w:div w:id="1395280796">
          <w:marLeft w:val="0"/>
          <w:marRight w:val="0"/>
          <w:marTop w:val="0"/>
          <w:marBottom w:val="0"/>
          <w:divBdr>
            <w:top w:val="none" w:sz="0" w:space="0" w:color="auto"/>
            <w:left w:val="none" w:sz="0" w:space="0" w:color="auto"/>
            <w:bottom w:val="none" w:sz="0" w:space="0" w:color="auto"/>
            <w:right w:val="none" w:sz="0" w:space="0" w:color="auto"/>
          </w:divBdr>
        </w:div>
        <w:div w:id="2057507279">
          <w:marLeft w:val="0"/>
          <w:marRight w:val="0"/>
          <w:marTop w:val="0"/>
          <w:marBottom w:val="0"/>
          <w:divBdr>
            <w:top w:val="none" w:sz="0" w:space="0" w:color="auto"/>
            <w:left w:val="none" w:sz="0" w:space="0" w:color="auto"/>
            <w:bottom w:val="none" w:sz="0" w:space="0" w:color="auto"/>
            <w:right w:val="none" w:sz="0" w:space="0" w:color="auto"/>
          </w:divBdr>
        </w:div>
      </w:divsChild>
    </w:div>
    <w:div w:id="1290281865">
      <w:bodyDiv w:val="1"/>
      <w:marLeft w:val="0"/>
      <w:marRight w:val="0"/>
      <w:marTop w:val="0"/>
      <w:marBottom w:val="0"/>
      <w:divBdr>
        <w:top w:val="none" w:sz="0" w:space="0" w:color="auto"/>
        <w:left w:val="none" w:sz="0" w:space="0" w:color="auto"/>
        <w:bottom w:val="none" w:sz="0" w:space="0" w:color="auto"/>
        <w:right w:val="none" w:sz="0" w:space="0" w:color="auto"/>
      </w:divBdr>
      <w:divsChild>
        <w:div w:id="107631518">
          <w:marLeft w:val="0"/>
          <w:marRight w:val="0"/>
          <w:marTop w:val="0"/>
          <w:marBottom w:val="0"/>
          <w:divBdr>
            <w:top w:val="none" w:sz="0" w:space="0" w:color="auto"/>
            <w:left w:val="none" w:sz="0" w:space="0" w:color="auto"/>
            <w:bottom w:val="none" w:sz="0" w:space="0" w:color="auto"/>
            <w:right w:val="none" w:sz="0" w:space="0" w:color="auto"/>
          </w:divBdr>
        </w:div>
        <w:div w:id="1937782246">
          <w:marLeft w:val="0"/>
          <w:marRight w:val="0"/>
          <w:marTop w:val="0"/>
          <w:marBottom w:val="0"/>
          <w:divBdr>
            <w:top w:val="none" w:sz="0" w:space="0" w:color="auto"/>
            <w:left w:val="none" w:sz="0" w:space="0" w:color="auto"/>
            <w:bottom w:val="none" w:sz="0" w:space="0" w:color="auto"/>
            <w:right w:val="none" w:sz="0" w:space="0" w:color="auto"/>
          </w:divBdr>
        </w:div>
      </w:divsChild>
    </w:div>
    <w:div w:id="1303343763">
      <w:bodyDiv w:val="1"/>
      <w:marLeft w:val="0"/>
      <w:marRight w:val="0"/>
      <w:marTop w:val="0"/>
      <w:marBottom w:val="0"/>
      <w:divBdr>
        <w:top w:val="none" w:sz="0" w:space="0" w:color="auto"/>
        <w:left w:val="none" w:sz="0" w:space="0" w:color="auto"/>
        <w:bottom w:val="none" w:sz="0" w:space="0" w:color="auto"/>
        <w:right w:val="none" w:sz="0" w:space="0" w:color="auto"/>
      </w:divBdr>
      <w:divsChild>
        <w:div w:id="135610228">
          <w:marLeft w:val="0"/>
          <w:marRight w:val="0"/>
          <w:marTop w:val="0"/>
          <w:marBottom w:val="0"/>
          <w:divBdr>
            <w:top w:val="none" w:sz="0" w:space="0" w:color="auto"/>
            <w:left w:val="none" w:sz="0" w:space="0" w:color="auto"/>
            <w:bottom w:val="none" w:sz="0" w:space="0" w:color="auto"/>
            <w:right w:val="none" w:sz="0" w:space="0" w:color="auto"/>
          </w:divBdr>
        </w:div>
        <w:div w:id="593438551">
          <w:marLeft w:val="0"/>
          <w:marRight w:val="0"/>
          <w:marTop w:val="0"/>
          <w:marBottom w:val="0"/>
          <w:divBdr>
            <w:top w:val="none" w:sz="0" w:space="0" w:color="auto"/>
            <w:left w:val="none" w:sz="0" w:space="0" w:color="auto"/>
            <w:bottom w:val="none" w:sz="0" w:space="0" w:color="auto"/>
            <w:right w:val="none" w:sz="0" w:space="0" w:color="auto"/>
          </w:divBdr>
        </w:div>
        <w:div w:id="1013730878">
          <w:marLeft w:val="0"/>
          <w:marRight w:val="0"/>
          <w:marTop w:val="0"/>
          <w:marBottom w:val="0"/>
          <w:divBdr>
            <w:top w:val="none" w:sz="0" w:space="0" w:color="auto"/>
            <w:left w:val="none" w:sz="0" w:space="0" w:color="auto"/>
            <w:bottom w:val="none" w:sz="0" w:space="0" w:color="auto"/>
            <w:right w:val="none" w:sz="0" w:space="0" w:color="auto"/>
          </w:divBdr>
        </w:div>
        <w:div w:id="1345085912">
          <w:marLeft w:val="0"/>
          <w:marRight w:val="0"/>
          <w:marTop w:val="0"/>
          <w:marBottom w:val="0"/>
          <w:divBdr>
            <w:top w:val="none" w:sz="0" w:space="0" w:color="auto"/>
            <w:left w:val="none" w:sz="0" w:space="0" w:color="auto"/>
            <w:bottom w:val="none" w:sz="0" w:space="0" w:color="auto"/>
            <w:right w:val="none" w:sz="0" w:space="0" w:color="auto"/>
          </w:divBdr>
        </w:div>
        <w:div w:id="1351223754">
          <w:marLeft w:val="0"/>
          <w:marRight w:val="0"/>
          <w:marTop w:val="0"/>
          <w:marBottom w:val="0"/>
          <w:divBdr>
            <w:top w:val="none" w:sz="0" w:space="0" w:color="auto"/>
            <w:left w:val="none" w:sz="0" w:space="0" w:color="auto"/>
            <w:bottom w:val="none" w:sz="0" w:space="0" w:color="auto"/>
            <w:right w:val="none" w:sz="0" w:space="0" w:color="auto"/>
          </w:divBdr>
        </w:div>
        <w:div w:id="1745372230">
          <w:marLeft w:val="0"/>
          <w:marRight w:val="0"/>
          <w:marTop w:val="0"/>
          <w:marBottom w:val="0"/>
          <w:divBdr>
            <w:top w:val="none" w:sz="0" w:space="0" w:color="auto"/>
            <w:left w:val="none" w:sz="0" w:space="0" w:color="auto"/>
            <w:bottom w:val="none" w:sz="0" w:space="0" w:color="auto"/>
            <w:right w:val="none" w:sz="0" w:space="0" w:color="auto"/>
          </w:divBdr>
        </w:div>
      </w:divsChild>
    </w:div>
    <w:div w:id="1319724696">
      <w:bodyDiv w:val="1"/>
      <w:marLeft w:val="0"/>
      <w:marRight w:val="0"/>
      <w:marTop w:val="0"/>
      <w:marBottom w:val="0"/>
      <w:divBdr>
        <w:top w:val="none" w:sz="0" w:space="0" w:color="auto"/>
        <w:left w:val="none" w:sz="0" w:space="0" w:color="auto"/>
        <w:bottom w:val="none" w:sz="0" w:space="0" w:color="auto"/>
        <w:right w:val="none" w:sz="0" w:space="0" w:color="auto"/>
      </w:divBdr>
      <w:divsChild>
        <w:div w:id="787047039">
          <w:marLeft w:val="0"/>
          <w:marRight w:val="0"/>
          <w:marTop w:val="0"/>
          <w:marBottom w:val="0"/>
          <w:divBdr>
            <w:top w:val="none" w:sz="0" w:space="0" w:color="auto"/>
            <w:left w:val="none" w:sz="0" w:space="0" w:color="auto"/>
            <w:bottom w:val="none" w:sz="0" w:space="0" w:color="auto"/>
            <w:right w:val="none" w:sz="0" w:space="0" w:color="auto"/>
          </w:divBdr>
        </w:div>
        <w:div w:id="1987121147">
          <w:marLeft w:val="0"/>
          <w:marRight w:val="0"/>
          <w:marTop w:val="0"/>
          <w:marBottom w:val="0"/>
          <w:divBdr>
            <w:top w:val="none" w:sz="0" w:space="0" w:color="auto"/>
            <w:left w:val="none" w:sz="0" w:space="0" w:color="auto"/>
            <w:bottom w:val="none" w:sz="0" w:space="0" w:color="auto"/>
            <w:right w:val="none" w:sz="0" w:space="0" w:color="auto"/>
          </w:divBdr>
        </w:div>
      </w:divsChild>
    </w:div>
    <w:div w:id="1366715526">
      <w:bodyDiv w:val="1"/>
      <w:marLeft w:val="0"/>
      <w:marRight w:val="0"/>
      <w:marTop w:val="0"/>
      <w:marBottom w:val="0"/>
      <w:divBdr>
        <w:top w:val="none" w:sz="0" w:space="0" w:color="auto"/>
        <w:left w:val="none" w:sz="0" w:space="0" w:color="auto"/>
        <w:bottom w:val="none" w:sz="0" w:space="0" w:color="auto"/>
        <w:right w:val="none" w:sz="0" w:space="0" w:color="auto"/>
      </w:divBdr>
      <w:divsChild>
        <w:div w:id="1137379451">
          <w:marLeft w:val="0"/>
          <w:marRight w:val="0"/>
          <w:marTop w:val="0"/>
          <w:marBottom w:val="0"/>
          <w:divBdr>
            <w:top w:val="none" w:sz="0" w:space="0" w:color="auto"/>
            <w:left w:val="none" w:sz="0" w:space="0" w:color="auto"/>
            <w:bottom w:val="none" w:sz="0" w:space="0" w:color="auto"/>
            <w:right w:val="none" w:sz="0" w:space="0" w:color="auto"/>
          </w:divBdr>
        </w:div>
        <w:div w:id="1284992855">
          <w:marLeft w:val="0"/>
          <w:marRight w:val="0"/>
          <w:marTop w:val="0"/>
          <w:marBottom w:val="0"/>
          <w:divBdr>
            <w:top w:val="none" w:sz="0" w:space="0" w:color="auto"/>
            <w:left w:val="none" w:sz="0" w:space="0" w:color="auto"/>
            <w:bottom w:val="none" w:sz="0" w:space="0" w:color="auto"/>
            <w:right w:val="none" w:sz="0" w:space="0" w:color="auto"/>
          </w:divBdr>
        </w:div>
        <w:div w:id="1489438783">
          <w:marLeft w:val="0"/>
          <w:marRight w:val="0"/>
          <w:marTop w:val="0"/>
          <w:marBottom w:val="0"/>
          <w:divBdr>
            <w:top w:val="none" w:sz="0" w:space="0" w:color="auto"/>
            <w:left w:val="none" w:sz="0" w:space="0" w:color="auto"/>
            <w:bottom w:val="none" w:sz="0" w:space="0" w:color="auto"/>
            <w:right w:val="none" w:sz="0" w:space="0" w:color="auto"/>
          </w:divBdr>
        </w:div>
        <w:div w:id="1736972409">
          <w:marLeft w:val="0"/>
          <w:marRight w:val="0"/>
          <w:marTop w:val="0"/>
          <w:marBottom w:val="0"/>
          <w:divBdr>
            <w:top w:val="none" w:sz="0" w:space="0" w:color="auto"/>
            <w:left w:val="none" w:sz="0" w:space="0" w:color="auto"/>
            <w:bottom w:val="none" w:sz="0" w:space="0" w:color="auto"/>
            <w:right w:val="none" w:sz="0" w:space="0" w:color="auto"/>
          </w:divBdr>
        </w:div>
        <w:div w:id="2050763063">
          <w:marLeft w:val="0"/>
          <w:marRight w:val="0"/>
          <w:marTop w:val="0"/>
          <w:marBottom w:val="0"/>
          <w:divBdr>
            <w:top w:val="none" w:sz="0" w:space="0" w:color="auto"/>
            <w:left w:val="none" w:sz="0" w:space="0" w:color="auto"/>
            <w:bottom w:val="none" w:sz="0" w:space="0" w:color="auto"/>
            <w:right w:val="none" w:sz="0" w:space="0" w:color="auto"/>
          </w:divBdr>
        </w:div>
        <w:div w:id="2071609030">
          <w:marLeft w:val="0"/>
          <w:marRight w:val="0"/>
          <w:marTop w:val="0"/>
          <w:marBottom w:val="0"/>
          <w:divBdr>
            <w:top w:val="none" w:sz="0" w:space="0" w:color="auto"/>
            <w:left w:val="none" w:sz="0" w:space="0" w:color="auto"/>
            <w:bottom w:val="none" w:sz="0" w:space="0" w:color="auto"/>
            <w:right w:val="none" w:sz="0" w:space="0" w:color="auto"/>
          </w:divBdr>
        </w:div>
      </w:divsChild>
    </w:div>
    <w:div w:id="1429689661">
      <w:bodyDiv w:val="1"/>
      <w:marLeft w:val="0"/>
      <w:marRight w:val="0"/>
      <w:marTop w:val="0"/>
      <w:marBottom w:val="0"/>
      <w:divBdr>
        <w:top w:val="none" w:sz="0" w:space="0" w:color="auto"/>
        <w:left w:val="none" w:sz="0" w:space="0" w:color="auto"/>
        <w:bottom w:val="none" w:sz="0" w:space="0" w:color="auto"/>
        <w:right w:val="none" w:sz="0" w:space="0" w:color="auto"/>
      </w:divBdr>
      <w:divsChild>
        <w:div w:id="123697846">
          <w:marLeft w:val="0"/>
          <w:marRight w:val="0"/>
          <w:marTop w:val="0"/>
          <w:marBottom w:val="0"/>
          <w:divBdr>
            <w:top w:val="none" w:sz="0" w:space="0" w:color="auto"/>
            <w:left w:val="none" w:sz="0" w:space="0" w:color="auto"/>
            <w:bottom w:val="none" w:sz="0" w:space="0" w:color="auto"/>
            <w:right w:val="none" w:sz="0" w:space="0" w:color="auto"/>
          </w:divBdr>
        </w:div>
        <w:div w:id="1421558207">
          <w:marLeft w:val="0"/>
          <w:marRight w:val="0"/>
          <w:marTop w:val="0"/>
          <w:marBottom w:val="0"/>
          <w:divBdr>
            <w:top w:val="none" w:sz="0" w:space="0" w:color="auto"/>
            <w:left w:val="none" w:sz="0" w:space="0" w:color="auto"/>
            <w:bottom w:val="none" w:sz="0" w:space="0" w:color="auto"/>
            <w:right w:val="none" w:sz="0" w:space="0" w:color="auto"/>
          </w:divBdr>
        </w:div>
      </w:divsChild>
    </w:div>
    <w:div w:id="1447115380">
      <w:bodyDiv w:val="1"/>
      <w:marLeft w:val="0"/>
      <w:marRight w:val="0"/>
      <w:marTop w:val="0"/>
      <w:marBottom w:val="0"/>
      <w:divBdr>
        <w:top w:val="none" w:sz="0" w:space="0" w:color="auto"/>
        <w:left w:val="none" w:sz="0" w:space="0" w:color="auto"/>
        <w:bottom w:val="none" w:sz="0" w:space="0" w:color="auto"/>
        <w:right w:val="none" w:sz="0" w:space="0" w:color="auto"/>
      </w:divBdr>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523201687">
      <w:bodyDiv w:val="1"/>
      <w:marLeft w:val="0"/>
      <w:marRight w:val="0"/>
      <w:marTop w:val="0"/>
      <w:marBottom w:val="0"/>
      <w:divBdr>
        <w:top w:val="none" w:sz="0" w:space="0" w:color="auto"/>
        <w:left w:val="none" w:sz="0" w:space="0" w:color="auto"/>
        <w:bottom w:val="none" w:sz="0" w:space="0" w:color="auto"/>
        <w:right w:val="none" w:sz="0" w:space="0" w:color="auto"/>
      </w:divBdr>
      <w:divsChild>
        <w:div w:id="56318772">
          <w:marLeft w:val="0"/>
          <w:marRight w:val="0"/>
          <w:marTop w:val="0"/>
          <w:marBottom w:val="0"/>
          <w:divBdr>
            <w:top w:val="none" w:sz="0" w:space="0" w:color="auto"/>
            <w:left w:val="none" w:sz="0" w:space="0" w:color="auto"/>
            <w:bottom w:val="none" w:sz="0" w:space="0" w:color="auto"/>
            <w:right w:val="none" w:sz="0" w:space="0" w:color="auto"/>
          </w:divBdr>
        </w:div>
        <w:div w:id="730032887">
          <w:marLeft w:val="0"/>
          <w:marRight w:val="0"/>
          <w:marTop w:val="0"/>
          <w:marBottom w:val="0"/>
          <w:divBdr>
            <w:top w:val="none" w:sz="0" w:space="0" w:color="auto"/>
            <w:left w:val="none" w:sz="0" w:space="0" w:color="auto"/>
            <w:bottom w:val="none" w:sz="0" w:space="0" w:color="auto"/>
            <w:right w:val="none" w:sz="0" w:space="0" w:color="auto"/>
          </w:divBdr>
        </w:div>
        <w:div w:id="740326278">
          <w:marLeft w:val="0"/>
          <w:marRight w:val="0"/>
          <w:marTop w:val="0"/>
          <w:marBottom w:val="0"/>
          <w:divBdr>
            <w:top w:val="none" w:sz="0" w:space="0" w:color="auto"/>
            <w:left w:val="none" w:sz="0" w:space="0" w:color="auto"/>
            <w:bottom w:val="none" w:sz="0" w:space="0" w:color="auto"/>
            <w:right w:val="none" w:sz="0" w:space="0" w:color="auto"/>
          </w:divBdr>
        </w:div>
        <w:div w:id="985595906">
          <w:marLeft w:val="0"/>
          <w:marRight w:val="0"/>
          <w:marTop w:val="0"/>
          <w:marBottom w:val="0"/>
          <w:divBdr>
            <w:top w:val="none" w:sz="0" w:space="0" w:color="auto"/>
            <w:left w:val="none" w:sz="0" w:space="0" w:color="auto"/>
            <w:bottom w:val="none" w:sz="0" w:space="0" w:color="auto"/>
            <w:right w:val="none" w:sz="0" w:space="0" w:color="auto"/>
          </w:divBdr>
        </w:div>
        <w:div w:id="985862244">
          <w:marLeft w:val="0"/>
          <w:marRight w:val="0"/>
          <w:marTop w:val="0"/>
          <w:marBottom w:val="0"/>
          <w:divBdr>
            <w:top w:val="none" w:sz="0" w:space="0" w:color="auto"/>
            <w:left w:val="none" w:sz="0" w:space="0" w:color="auto"/>
            <w:bottom w:val="none" w:sz="0" w:space="0" w:color="auto"/>
            <w:right w:val="none" w:sz="0" w:space="0" w:color="auto"/>
          </w:divBdr>
        </w:div>
        <w:div w:id="1172451590">
          <w:marLeft w:val="0"/>
          <w:marRight w:val="0"/>
          <w:marTop w:val="0"/>
          <w:marBottom w:val="0"/>
          <w:divBdr>
            <w:top w:val="none" w:sz="0" w:space="0" w:color="auto"/>
            <w:left w:val="none" w:sz="0" w:space="0" w:color="auto"/>
            <w:bottom w:val="none" w:sz="0" w:space="0" w:color="auto"/>
            <w:right w:val="none" w:sz="0" w:space="0" w:color="auto"/>
          </w:divBdr>
        </w:div>
        <w:div w:id="1335375467">
          <w:marLeft w:val="0"/>
          <w:marRight w:val="0"/>
          <w:marTop w:val="0"/>
          <w:marBottom w:val="0"/>
          <w:divBdr>
            <w:top w:val="none" w:sz="0" w:space="0" w:color="auto"/>
            <w:left w:val="none" w:sz="0" w:space="0" w:color="auto"/>
            <w:bottom w:val="none" w:sz="0" w:space="0" w:color="auto"/>
            <w:right w:val="none" w:sz="0" w:space="0" w:color="auto"/>
          </w:divBdr>
        </w:div>
        <w:div w:id="1444226365">
          <w:marLeft w:val="0"/>
          <w:marRight w:val="0"/>
          <w:marTop w:val="0"/>
          <w:marBottom w:val="0"/>
          <w:divBdr>
            <w:top w:val="none" w:sz="0" w:space="0" w:color="auto"/>
            <w:left w:val="none" w:sz="0" w:space="0" w:color="auto"/>
            <w:bottom w:val="none" w:sz="0" w:space="0" w:color="auto"/>
            <w:right w:val="none" w:sz="0" w:space="0" w:color="auto"/>
          </w:divBdr>
        </w:div>
        <w:div w:id="1549144532">
          <w:marLeft w:val="0"/>
          <w:marRight w:val="0"/>
          <w:marTop w:val="0"/>
          <w:marBottom w:val="0"/>
          <w:divBdr>
            <w:top w:val="none" w:sz="0" w:space="0" w:color="auto"/>
            <w:left w:val="none" w:sz="0" w:space="0" w:color="auto"/>
            <w:bottom w:val="none" w:sz="0" w:space="0" w:color="auto"/>
            <w:right w:val="none" w:sz="0" w:space="0" w:color="auto"/>
          </w:divBdr>
        </w:div>
        <w:div w:id="1594051658">
          <w:marLeft w:val="0"/>
          <w:marRight w:val="0"/>
          <w:marTop w:val="0"/>
          <w:marBottom w:val="0"/>
          <w:divBdr>
            <w:top w:val="none" w:sz="0" w:space="0" w:color="auto"/>
            <w:left w:val="none" w:sz="0" w:space="0" w:color="auto"/>
            <w:bottom w:val="none" w:sz="0" w:space="0" w:color="auto"/>
            <w:right w:val="none" w:sz="0" w:space="0" w:color="auto"/>
          </w:divBdr>
        </w:div>
        <w:div w:id="1833986424">
          <w:marLeft w:val="0"/>
          <w:marRight w:val="0"/>
          <w:marTop w:val="0"/>
          <w:marBottom w:val="0"/>
          <w:divBdr>
            <w:top w:val="none" w:sz="0" w:space="0" w:color="auto"/>
            <w:left w:val="none" w:sz="0" w:space="0" w:color="auto"/>
            <w:bottom w:val="none" w:sz="0" w:space="0" w:color="auto"/>
            <w:right w:val="none" w:sz="0" w:space="0" w:color="auto"/>
          </w:divBdr>
        </w:div>
        <w:div w:id="1954482283">
          <w:marLeft w:val="0"/>
          <w:marRight w:val="0"/>
          <w:marTop w:val="0"/>
          <w:marBottom w:val="0"/>
          <w:divBdr>
            <w:top w:val="none" w:sz="0" w:space="0" w:color="auto"/>
            <w:left w:val="none" w:sz="0" w:space="0" w:color="auto"/>
            <w:bottom w:val="none" w:sz="0" w:space="0" w:color="auto"/>
            <w:right w:val="none" w:sz="0" w:space="0" w:color="auto"/>
          </w:divBdr>
        </w:div>
        <w:div w:id="2107915854">
          <w:marLeft w:val="0"/>
          <w:marRight w:val="0"/>
          <w:marTop w:val="0"/>
          <w:marBottom w:val="0"/>
          <w:divBdr>
            <w:top w:val="none" w:sz="0" w:space="0" w:color="auto"/>
            <w:left w:val="none" w:sz="0" w:space="0" w:color="auto"/>
            <w:bottom w:val="none" w:sz="0" w:space="0" w:color="auto"/>
            <w:right w:val="none" w:sz="0" w:space="0" w:color="auto"/>
          </w:divBdr>
        </w:div>
        <w:div w:id="2143112474">
          <w:marLeft w:val="0"/>
          <w:marRight w:val="0"/>
          <w:marTop w:val="0"/>
          <w:marBottom w:val="0"/>
          <w:divBdr>
            <w:top w:val="none" w:sz="0" w:space="0" w:color="auto"/>
            <w:left w:val="none" w:sz="0" w:space="0" w:color="auto"/>
            <w:bottom w:val="none" w:sz="0" w:space="0" w:color="auto"/>
            <w:right w:val="none" w:sz="0" w:space="0" w:color="auto"/>
          </w:divBdr>
        </w:div>
      </w:divsChild>
    </w:div>
    <w:div w:id="1525630801">
      <w:bodyDiv w:val="1"/>
      <w:marLeft w:val="0"/>
      <w:marRight w:val="0"/>
      <w:marTop w:val="0"/>
      <w:marBottom w:val="0"/>
      <w:divBdr>
        <w:top w:val="none" w:sz="0" w:space="0" w:color="auto"/>
        <w:left w:val="none" w:sz="0" w:space="0" w:color="auto"/>
        <w:bottom w:val="none" w:sz="0" w:space="0" w:color="auto"/>
        <w:right w:val="none" w:sz="0" w:space="0" w:color="auto"/>
      </w:divBdr>
      <w:divsChild>
        <w:div w:id="1585066580">
          <w:marLeft w:val="0"/>
          <w:marRight w:val="0"/>
          <w:marTop w:val="0"/>
          <w:marBottom w:val="0"/>
          <w:divBdr>
            <w:top w:val="none" w:sz="0" w:space="0" w:color="auto"/>
            <w:left w:val="none" w:sz="0" w:space="0" w:color="auto"/>
            <w:bottom w:val="none" w:sz="0" w:space="0" w:color="auto"/>
            <w:right w:val="none" w:sz="0" w:space="0" w:color="auto"/>
          </w:divBdr>
          <w:divsChild>
            <w:div w:id="376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5697">
      <w:bodyDiv w:val="1"/>
      <w:marLeft w:val="0"/>
      <w:marRight w:val="0"/>
      <w:marTop w:val="0"/>
      <w:marBottom w:val="0"/>
      <w:divBdr>
        <w:top w:val="none" w:sz="0" w:space="0" w:color="auto"/>
        <w:left w:val="none" w:sz="0" w:space="0" w:color="auto"/>
        <w:bottom w:val="none" w:sz="0" w:space="0" w:color="auto"/>
        <w:right w:val="none" w:sz="0" w:space="0" w:color="auto"/>
      </w:divBdr>
      <w:divsChild>
        <w:div w:id="538667907">
          <w:marLeft w:val="0"/>
          <w:marRight w:val="0"/>
          <w:marTop w:val="0"/>
          <w:marBottom w:val="0"/>
          <w:divBdr>
            <w:top w:val="none" w:sz="0" w:space="0" w:color="auto"/>
            <w:left w:val="none" w:sz="0" w:space="0" w:color="auto"/>
            <w:bottom w:val="none" w:sz="0" w:space="0" w:color="auto"/>
            <w:right w:val="none" w:sz="0" w:space="0" w:color="auto"/>
          </w:divBdr>
        </w:div>
        <w:div w:id="918751745">
          <w:marLeft w:val="0"/>
          <w:marRight w:val="0"/>
          <w:marTop w:val="0"/>
          <w:marBottom w:val="0"/>
          <w:divBdr>
            <w:top w:val="none" w:sz="0" w:space="0" w:color="auto"/>
            <w:left w:val="none" w:sz="0" w:space="0" w:color="auto"/>
            <w:bottom w:val="none" w:sz="0" w:space="0" w:color="auto"/>
            <w:right w:val="none" w:sz="0" w:space="0" w:color="auto"/>
          </w:divBdr>
        </w:div>
      </w:divsChild>
    </w:div>
    <w:div w:id="1698890350">
      <w:bodyDiv w:val="1"/>
      <w:marLeft w:val="0"/>
      <w:marRight w:val="0"/>
      <w:marTop w:val="0"/>
      <w:marBottom w:val="0"/>
      <w:divBdr>
        <w:top w:val="none" w:sz="0" w:space="0" w:color="auto"/>
        <w:left w:val="none" w:sz="0" w:space="0" w:color="auto"/>
        <w:bottom w:val="none" w:sz="0" w:space="0" w:color="auto"/>
        <w:right w:val="none" w:sz="0" w:space="0" w:color="auto"/>
      </w:divBdr>
      <w:divsChild>
        <w:div w:id="1392651323">
          <w:marLeft w:val="0"/>
          <w:marRight w:val="0"/>
          <w:marTop w:val="0"/>
          <w:marBottom w:val="0"/>
          <w:divBdr>
            <w:top w:val="none" w:sz="0" w:space="0" w:color="auto"/>
            <w:left w:val="none" w:sz="0" w:space="0" w:color="auto"/>
            <w:bottom w:val="none" w:sz="0" w:space="0" w:color="auto"/>
            <w:right w:val="none" w:sz="0" w:space="0" w:color="auto"/>
          </w:divBdr>
        </w:div>
        <w:div w:id="2120029798">
          <w:marLeft w:val="0"/>
          <w:marRight w:val="0"/>
          <w:marTop w:val="0"/>
          <w:marBottom w:val="0"/>
          <w:divBdr>
            <w:top w:val="none" w:sz="0" w:space="0" w:color="auto"/>
            <w:left w:val="none" w:sz="0" w:space="0" w:color="auto"/>
            <w:bottom w:val="none" w:sz="0" w:space="0" w:color="auto"/>
            <w:right w:val="none" w:sz="0" w:space="0" w:color="auto"/>
          </w:divBdr>
        </w:div>
      </w:divsChild>
    </w:div>
    <w:div w:id="1707287507">
      <w:bodyDiv w:val="1"/>
      <w:marLeft w:val="0"/>
      <w:marRight w:val="0"/>
      <w:marTop w:val="0"/>
      <w:marBottom w:val="0"/>
      <w:divBdr>
        <w:top w:val="none" w:sz="0" w:space="0" w:color="auto"/>
        <w:left w:val="none" w:sz="0" w:space="0" w:color="auto"/>
        <w:bottom w:val="none" w:sz="0" w:space="0" w:color="auto"/>
        <w:right w:val="none" w:sz="0" w:space="0" w:color="auto"/>
      </w:divBdr>
      <w:divsChild>
        <w:div w:id="235090206">
          <w:marLeft w:val="0"/>
          <w:marRight w:val="0"/>
          <w:marTop w:val="0"/>
          <w:marBottom w:val="0"/>
          <w:divBdr>
            <w:top w:val="none" w:sz="0" w:space="0" w:color="auto"/>
            <w:left w:val="none" w:sz="0" w:space="0" w:color="auto"/>
            <w:bottom w:val="none" w:sz="0" w:space="0" w:color="auto"/>
            <w:right w:val="none" w:sz="0" w:space="0" w:color="auto"/>
          </w:divBdr>
        </w:div>
        <w:div w:id="295718616">
          <w:marLeft w:val="0"/>
          <w:marRight w:val="0"/>
          <w:marTop w:val="0"/>
          <w:marBottom w:val="0"/>
          <w:divBdr>
            <w:top w:val="none" w:sz="0" w:space="0" w:color="auto"/>
            <w:left w:val="none" w:sz="0" w:space="0" w:color="auto"/>
            <w:bottom w:val="none" w:sz="0" w:space="0" w:color="auto"/>
            <w:right w:val="none" w:sz="0" w:space="0" w:color="auto"/>
          </w:divBdr>
        </w:div>
        <w:div w:id="1309557190">
          <w:marLeft w:val="0"/>
          <w:marRight w:val="0"/>
          <w:marTop w:val="0"/>
          <w:marBottom w:val="0"/>
          <w:divBdr>
            <w:top w:val="none" w:sz="0" w:space="0" w:color="auto"/>
            <w:left w:val="none" w:sz="0" w:space="0" w:color="auto"/>
            <w:bottom w:val="none" w:sz="0" w:space="0" w:color="auto"/>
            <w:right w:val="none" w:sz="0" w:space="0" w:color="auto"/>
          </w:divBdr>
        </w:div>
        <w:div w:id="1727560359">
          <w:marLeft w:val="0"/>
          <w:marRight w:val="0"/>
          <w:marTop w:val="0"/>
          <w:marBottom w:val="0"/>
          <w:divBdr>
            <w:top w:val="none" w:sz="0" w:space="0" w:color="auto"/>
            <w:left w:val="none" w:sz="0" w:space="0" w:color="auto"/>
            <w:bottom w:val="none" w:sz="0" w:space="0" w:color="auto"/>
            <w:right w:val="none" w:sz="0" w:space="0" w:color="auto"/>
          </w:divBdr>
        </w:div>
        <w:div w:id="1794665126">
          <w:marLeft w:val="0"/>
          <w:marRight w:val="0"/>
          <w:marTop w:val="0"/>
          <w:marBottom w:val="0"/>
          <w:divBdr>
            <w:top w:val="none" w:sz="0" w:space="0" w:color="auto"/>
            <w:left w:val="none" w:sz="0" w:space="0" w:color="auto"/>
            <w:bottom w:val="none" w:sz="0" w:space="0" w:color="auto"/>
            <w:right w:val="none" w:sz="0" w:space="0" w:color="auto"/>
          </w:divBdr>
        </w:div>
        <w:div w:id="2000959801">
          <w:marLeft w:val="0"/>
          <w:marRight w:val="0"/>
          <w:marTop w:val="0"/>
          <w:marBottom w:val="0"/>
          <w:divBdr>
            <w:top w:val="none" w:sz="0" w:space="0" w:color="auto"/>
            <w:left w:val="none" w:sz="0" w:space="0" w:color="auto"/>
            <w:bottom w:val="none" w:sz="0" w:space="0" w:color="auto"/>
            <w:right w:val="none" w:sz="0" w:space="0" w:color="auto"/>
          </w:divBdr>
        </w:div>
      </w:divsChild>
    </w:div>
    <w:div w:id="1710766177">
      <w:bodyDiv w:val="1"/>
      <w:marLeft w:val="0"/>
      <w:marRight w:val="0"/>
      <w:marTop w:val="0"/>
      <w:marBottom w:val="0"/>
      <w:divBdr>
        <w:top w:val="none" w:sz="0" w:space="0" w:color="auto"/>
        <w:left w:val="none" w:sz="0" w:space="0" w:color="auto"/>
        <w:bottom w:val="none" w:sz="0" w:space="0" w:color="auto"/>
        <w:right w:val="none" w:sz="0" w:space="0" w:color="auto"/>
      </w:divBdr>
    </w:div>
    <w:div w:id="1719087691">
      <w:bodyDiv w:val="1"/>
      <w:marLeft w:val="0"/>
      <w:marRight w:val="0"/>
      <w:marTop w:val="0"/>
      <w:marBottom w:val="0"/>
      <w:divBdr>
        <w:top w:val="none" w:sz="0" w:space="0" w:color="auto"/>
        <w:left w:val="none" w:sz="0" w:space="0" w:color="auto"/>
        <w:bottom w:val="none" w:sz="0" w:space="0" w:color="auto"/>
        <w:right w:val="none" w:sz="0" w:space="0" w:color="auto"/>
      </w:divBdr>
      <w:divsChild>
        <w:div w:id="477650056">
          <w:marLeft w:val="0"/>
          <w:marRight w:val="0"/>
          <w:marTop w:val="0"/>
          <w:marBottom w:val="0"/>
          <w:divBdr>
            <w:top w:val="none" w:sz="0" w:space="0" w:color="auto"/>
            <w:left w:val="none" w:sz="0" w:space="0" w:color="auto"/>
            <w:bottom w:val="none" w:sz="0" w:space="0" w:color="auto"/>
            <w:right w:val="none" w:sz="0" w:space="0" w:color="auto"/>
          </w:divBdr>
        </w:div>
        <w:div w:id="2057270666">
          <w:marLeft w:val="0"/>
          <w:marRight w:val="0"/>
          <w:marTop w:val="0"/>
          <w:marBottom w:val="0"/>
          <w:divBdr>
            <w:top w:val="none" w:sz="0" w:space="0" w:color="auto"/>
            <w:left w:val="none" w:sz="0" w:space="0" w:color="auto"/>
            <w:bottom w:val="none" w:sz="0" w:space="0" w:color="auto"/>
            <w:right w:val="none" w:sz="0" w:space="0" w:color="auto"/>
          </w:divBdr>
        </w:div>
      </w:divsChild>
    </w:div>
    <w:div w:id="1739861261">
      <w:bodyDiv w:val="1"/>
      <w:marLeft w:val="0"/>
      <w:marRight w:val="0"/>
      <w:marTop w:val="0"/>
      <w:marBottom w:val="0"/>
      <w:divBdr>
        <w:top w:val="none" w:sz="0" w:space="0" w:color="auto"/>
        <w:left w:val="none" w:sz="0" w:space="0" w:color="auto"/>
        <w:bottom w:val="none" w:sz="0" w:space="0" w:color="auto"/>
        <w:right w:val="none" w:sz="0" w:space="0" w:color="auto"/>
      </w:divBdr>
      <w:divsChild>
        <w:div w:id="577835231">
          <w:marLeft w:val="0"/>
          <w:marRight w:val="0"/>
          <w:marTop w:val="0"/>
          <w:marBottom w:val="0"/>
          <w:divBdr>
            <w:top w:val="none" w:sz="0" w:space="0" w:color="auto"/>
            <w:left w:val="none" w:sz="0" w:space="0" w:color="auto"/>
            <w:bottom w:val="none" w:sz="0" w:space="0" w:color="auto"/>
            <w:right w:val="none" w:sz="0" w:space="0" w:color="auto"/>
          </w:divBdr>
        </w:div>
        <w:div w:id="959339589">
          <w:marLeft w:val="0"/>
          <w:marRight w:val="0"/>
          <w:marTop w:val="0"/>
          <w:marBottom w:val="0"/>
          <w:divBdr>
            <w:top w:val="none" w:sz="0" w:space="0" w:color="auto"/>
            <w:left w:val="none" w:sz="0" w:space="0" w:color="auto"/>
            <w:bottom w:val="none" w:sz="0" w:space="0" w:color="auto"/>
            <w:right w:val="none" w:sz="0" w:space="0" w:color="auto"/>
          </w:divBdr>
        </w:div>
        <w:div w:id="1136987843">
          <w:marLeft w:val="0"/>
          <w:marRight w:val="0"/>
          <w:marTop w:val="0"/>
          <w:marBottom w:val="0"/>
          <w:divBdr>
            <w:top w:val="none" w:sz="0" w:space="0" w:color="auto"/>
            <w:left w:val="none" w:sz="0" w:space="0" w:color="auto"/>
            <w:bottom w:val="none" w:sz="0" w:space="0" w:color="auto"/>
            <w:right w:val="none" w:sz="0" w:space="0" w:color="auto"/>
          </w:divBdr>
        </w:div>
        <w:div w:id="1720394896">
          <w:marLeft w:val="0"/>
          <w:marRight w:val="0"/>
          <w:marTop w:val="0"/>
          <w:marBottom w:val="0"/>
          <w:divBdr>
            <w:top w:val="none" w:sz="0" w:space="0" w:color="auto"/>
            <w:left w:val="none" w:sz="0" w:space="0" w:color="auto"/>
            <w:bottom w:val="none" w:sz="0" w:space="0" w:color="auto"/>
            <w:right w:val="none" w:sz="0" w:space="0" w:color="auto"/>
          </w:divBdr>
        </w:div>
      </w:divsChild>
    </w:div>
    <w:div w:id="1791317551">
      <w:bodyDiv w:val="1"/>
      <w:marLeft w:val="0"/>
      <w:marRight w:val="0"/>
      <w:marTop w:val="0"/>
      <w:marBottom w:val="0"/>
      <w:divBdr>
        <w:top w:val="none" w:sz="0" w:space="0" w:color="auto"/>
        <w:left w:val="none" w:sz="0" w:space="0" w:color="auto"/>
        <w:bottom w:val="none" w:sz="0" w:space="0" w:color="auto"/>
        <w:right w:val="none" w:sz="0" w:space="0" w:color="auto"/>
      </w:divBdr>
      <w:divsChild>
        <w:div w:id="98717786">
          <w:marLeft w:val="0"/>
          <w:marRight w:val="0"/>
          <w:marTop w:val="0"/>
          <w:marBottom w:val="0"/>
          <w:divBdr>
            <w:top w:val="none" w:sz="0" w:space="0" w:color="auto"/>
            <w:left w:val="none" w:sz="0" w:space="0" w:color="auto"/>
            <w:bottom w:val="none" w:sz="0" w:space="0" w:color="auto"/>
            <w:right w:val="none" w:sz="0" w:space="0" w:color="auto"/>
          </w:divBdr>
        </w:div>
        <w:div w:id="210192775">
          <w:marLeft w:val="0"/>
          <w:marRight w:val="0"/>
          <w:marTop w:val="0"/>
          <w:marBottom w:val="0"/>
          <w:divBdr>
            <w:top w:val="none" w:sz="0" w:space="0" w:color="auto"/>
            <w:left w:val="none" w:sz="0" w:space="0" w:color="auto"/>
            <w:bottom w:val="none" w:sz="0" w:space="0" w:color="auto"/>
            <w:right w:val="none" w:sz="0" w:space="0" w:color="auto"/>
          </w:divBdr>
        </w:div>
        <w:div w:id="248121531">
          <w:marLeft w:val="0"/>
          <w:marRight w:val="0"/>
          <w:marTop w:val="0"/>
          <w:marBottom w:val="0"/>
          <w:divBdr>
            <w:top w:val="none" w:sz="0" w:space="0" w:color="auto"/>
            <w:left w:val="none" w:sz="0" w:space="0" w:color="auto"/>
            <w:bottom w:val="none" w:sz="0" w:space="0" w:color="auto"/>
            <w:right w:val="none" w:sz="0" w:space="0" w:color="auto"/>
          </w:divBdr>
        </w:div>
        <w:div w:id="261111041">
          <w:marLeft w:val="0"/>
          <w:marRight w:val="0"/>
          <w:marTop w:val="0"/>
          <w:marBottom w:val="0"/>
          <w:divBdr>
            <w:top w:val="none" w:sz="0" w:space="0" w:color="auto"/>
            <w:left w:val="none" w:sz="0" w:space="0" w:color="auto"/>
            <w:bottom w:val="none" w:sz="0" w:space="0" w:color="auto"/>
            <w:right w:val="none" w:sz="0" w:space="0" w:color="auto"/>
          </w:divBdr>
        </w:div>
        <w:div w:id="294529565">
          <w:marLeft w:val="0"/>
          <w:marRight w:val="0"/>
          <w:marTop w:val="0"/>
          <w:marBottom w:val="0"/>
          <w:divBdr>
            <w:top w:val="none" w:sz="0" w:space="0" w:color="auto"/>
            <w:left w:val="none" w:sz="0" w:space="0" w:color="auto"/>
            <w:bottom w:val="none" w:sz="0" w:space="0" w:color="auto"/>
            <w:right w:val="none" w:sz="0" w:space="0" w:color="auto"/>
          </w:divBdr>
        </w:div>
        <w:div w:id="297495063">
          <w:marLeft w:val="0"/>
          <w:marRight w:val="0"/>
          <w:marTop w:val="0"/>
          <w:marBottom w:val="0"/>
          <w:divBdr>
            <w:top w:val="none" w:sz="0" w:space="0" w:color="auto"/>
            <w:left w:val="none" w:sz="0" w:space="0" w:color="auto"/>
            <w:bottom w:val="none" w:sz="0" w:space="0" w:color="auto"/>
            <w:right w:val="none" w:sz="0" w:space="0" w:color="auto"/>
          </w:divBdr>
        </w:div>
        <w:div w:id="330917671">
          <w:marLeft w:val="0"/>
          <w:marRight w:val="0"/>
          <w:marTop w:val="0"/>
          <w:marBottom w:val="0"/>
          <w:divBdr>
            <w:top w:val="none" w:sz="0" w:space="0" w:color="auto"/>
            <w:left w:val="none" w:sz="0" w:space="0" w:color="auto"/>
            <w:bottom w:val="none" w:sz="0" w:space="0" w:color="auto"/>
            <w:right w:val="none" w:sz="0" w:space="0" w:color="auto"/>
          </w:divBdr>
        </w:div>
        <w:div w:id="392894621">
          <w:marLeft w:val="0"/>
          <w:marRight w:val="0"/>
          <w:marTop w:val="0"/>
          <w:marBottom w:val="0"/>
          <w:divBdr>
            <w:top w:val="none" w:sz="0" w:space="0" w:color="auto"/>
            <w:left w:val="none" w:sz="0" w:space="0" w:color="auto"/>
            <w:bottom w:val="none" w:sz="0" w:space="0" w:color="auto"/>
            <w:right w:val="none" w:sz="0" w:space="0" w:color="auto"/>
          </w:divBdr>
        </w:div>
        <w:div w:id="409274754">
          <w:marLeft w:val="0"/>
          <w:marRight w:val="0"/>
          <w:marTop w:val="0"/>
          <w:marBottom w:val="0"/>
          <w:divBdr>
            <w:top w:val="none" w:sz="0" w:space="0" w:color="auto"/>
            <w:left w:val="none" w:sz="0" w:space="0" w:color="auto"/>
            <w:bottom w:val="none" w:sz="0" w:space="0" w:color="auto"/>
            <w:right w:val="none" w:sz="0" w:space="0" w:color="auto"/>
          </w:divBdr>
        </w:div>
        <w:div w:id="419134932">
          <w:marLeft w:val="0"/>
          <w:marRight w:val="0"/>
          <w:marTop w:val="0"/>
          <w:marBottom w:val="0"/>
          <w:divBdr>
            <w:top w:val="none" w:sz="0" w:space="0" w:color="auto"/>
            <w:left w:val="none" w:sz="0" w:space="0" w:color="auto"/>
            <w:bottom w:val="none" w:sz="0" w:space="0" w:color="auto"/>
            <w:right w:val="none" w:sz="0" w:space="0" w:color="auto"/>
          </w:divBdr>
        </w:div>
        <w:div w:id="611014869">
          <w:marLeft w:val="0"/>
          <w:marRight w:val="0"/>
          <w:marTop w:val="0"/>
          <w:marBottom w:val="0"/>
          <w:divBdr>
            <w:top w:val="none" w:sz="0" w:space="0" w:color="auto"/>
            <w:left w:val="none" w:sz="0" w:space="0" w:color="auto"/>
            <w:bottom w:val="none" w:sz="0" w:space="0" w:color="auto"/>
            <w:right w:val="none" w:sz="0" w:space="0" w:color="auto"/>
          </w:divBdr>
        </w:div>
        <w:div w:id="637954870">
          <w:marLeft w:val="0"/>
          <w:marRight w:val="0"/>
          <w:marTop w:val="0"/>
          <w:marBottom w:val="0"/>
          <w:divBdr>
            <w:top w:val="none" w:sz="0" w:space="0" w:color="auto"/>
            <w:left w:val="none" w:sz="0" w:space="0" w:color="auto"/>
            <w:bottom w:val="none" w:sz="0" w:space="0" w:color="auto"/>
            <w:right w:val="none" w:sz="0" w:space="0" w:color="auto"/>
          </w:divBdr>
        </w:div>
        <w:div w:id="730273110">
          <w:marLeft w:val="0"/>
          <w:marRight w:val="0"/>
          <w:marTop w:val="0"/>
          <w:marBottom w:val="0"/>
          <w:divBdr>
            <w:top w:val="none" w:sz="0" w:space="0" w:color="auto"/>
            <w:left w:val="none" w:sz="0" w:space="0" w:color="auto"/>
            <w:bottom w:val="none" w:sz="0" w:space="0" w:color="auto"/>
            <w:right w:val="none" w:sz="0" w:space="0" w:color="auto"/>
          </w:divBdr>
        </w:div>
        <w:div w:id="814638613">
          <w:marLeft w:val="0"/>
          <w:marRight w:val="0"/>
          <w:marTop w:val="0"/>
          <w:marBottom w:val="0"/>
          <w:divBdr>
            <w:top w:val="none" w:sz="0" w:space="0" w:color="auto"/>
            <w:left w:val="none" w:sz="0" w:space="0" w:color="auto"/>
            <w:bottom w:val="none" w:sz="0" w:space="0" w:color="auto"/>
            <w:right w:val="none" w:sz="0" w:space="0" w:color="auto"/>
          </w:divBdr>
        </w:div>
        <w:div w:id="876283958">
          <w:marLeft w:val="0"/>
          <w:marRight w:val="0"/>
          <w:marTop w:val="0"/>
          <w:marBottom w:val="0"/>
          <w:divBdr>
            <w:top w:val="none" w:sz="0" w:space="0" w:color="auto"/>
            <w:left w:val="none" w:sz="0" w:space="0" w:color="auto"/>
            <w:bottom w:val="none" w:sz="0" w:space="0" w:color="auto"/>
            <w:right w:val="none" w:sz="0" w:space="0" w:color="auto"/>
          </w:divBdr>
        </w:div>
        <w:div w:id="978923134">
          <w:marLeft w:val="0"/>
          <w:marRight w:val="0"/>
          <w:marTop w:val="0"/>
          <w:marBottom w:val="0"/>
          <w:divBdr>
            <w:top w:val="none" w:sz="0" w:space="0" w:color="auto"/>
            <w:left w:val="none" w:sz="0" w:space="0" w:color="auto"/>
            <w:bottom w:val="none" w:sz="0" w:space="0" w:color="auto"/>
            <w:right w:val="none" w:sz="0" w:space="0" w:color="auto"/>
          </w:divBdr>
        </w:div>
        <w:div w:id="1035346648">
          <w:marLeft w:val="0"/>
          <w:marRight w:val="0"/>
          <w:marTop w:val="0"/>
          <w:marBottom w:val="0"/>
          <w:divBdr>
            <w:top w:val="none" w:sz="0" w:space="0" w:color="auto"/>
            <w:left w:val="none" w:sz="0" w:space="0" w:color="auto"/>
            <w:bottom w:val="none" w:sz="0" w:space="0" w:color="auto"/>
            <w:right w:val="none" w:sz="0" w:space="0" w:color="auto"/>
          </w:divBdr>
        </w:div>
        <w:div w:id="1040518760">
          <w:marLeft w:val="0"/>
          <w:marRight w:val="0"/>
          <w:marTop w:val="0"/>
          <w:marBottom w:val="0"/>
          <w:divBdr>
            <w:top w:val="none" w:sz="0" w:space="0" w:color="auto"/>
            <w:left w:val="none" w:sz="0" w:space="0" w:color="auto"/>
            <w:bottom w:val="none" w:sz="0" w:space="0" w:color="auto"/>
            <w:right w:val="none" w:sz="0" w:space="0" w:color="auto"/>
          </w:divBdr>
        </w:div>
        <w:div w:id="1225987912">
          <w:marLeft w:val="0"/>
          <w:marRight w:val="0"/>
          <w:marTop w:val="0"/>
          <w:marBottom w:val="0"/>
          <w:divBdr>
            <w:top w:val="none" w:sz="0" w:space="0" w:color="auto"/>
            <w:left w:val="none" w:sz="0" w:space="0" w:color="auto"/>
            <w:bottom w:val="none" w:sz="0" w:space="0" w:color="auto"/>
            <w:right w:val="none" w:sz="0" w:space="0" w:color="auto"/>
          </w:divBdr>
        </w:div>
        <w:div w:id="1322196247">
          <w:marLeft w:val="0"/>
          <w:marRight w:val="0"/>
          <w:marTop w:val="0"/>
          <w:marBottom w:val="0"/>
          <w:divBdr>
            <w:top w:val="none" w:sz="0" w:space="0" w:color="auto"/>
            <w:left w:val="none" w:sz="0" w:space="0" w:color="auto"/>
            <w:bottom w:val="none" w:sz="0" w:space="0" w:color="auto"/>
            <w:right w:val="none" w:sz="0" w:space="0" w:color="auto"/>
          </w:divBdr>
        </w:div>
        <w:div w:id="1325666524">
          <w:marLeft w:val="0"/>
          <w:marRight w:val="0"/>
          <w:marTop w:val="0"/>
          <w:marBottom w:val="0"/>
          <w:divBdr>
            <w:top w:val="none" w:sz="0" w:space="0" w:color="auto"/>
            <w:left w:val="none" w:sz="0" w:space="0" w:color="auto"/>
            <w:bottom w:val="none" w:sz="0" w:space="0" w:color="auto"/>
            <w:right w:val="none" w:sz="0" w:space="0" w:color="auto"/>
          </w:divBdr>
        </w:div>
        <w:div w:id="1428234406">
          <w:marLeft w:val="0"/>
          <w:marRight w:val="0"/>
          <w:marTop w:val="0"/>
          <w:marBottom w:val="0"/>
          <w:divBdr>
            <w:top w:val="none" w:sz="0" w:space="0" w:color="auto"/>
            <w:left w:val="none" w:sz="0" w:space="0" w:color="auto"/>
            <w:bottom w:val="none" w:sz="0" w:space="0" w:color="auto"/>
            <w:right w:val="none" w:sz="0" w:space="0" w:color="auto"/>
          </w:divBdr>
        </w:div>
        <w:div w:id="1432167773">
          <w:marLeft w:val="0"/>
          <w:marRight w:val="0"/>
          <w:marTop w:val="0"/>
          <w:marBottom w:val="0"/>
          <w:divBdr>
            <w:top w:val="none" w:sz="0" w:space="0" w:color="auto"/>
            <w:left w:val="none" w:sz="0" w:space="0" w:color="auto"/>
            <w:bottom w:val="none" w:sz="0" w:space="0" w:color="auto"/>
            <w:right w:val="none" w:sz="0" w:space="0" w:color="auto"/>
          </w:divBdr>
        </w:div>
        <w:div w:id="1492217248">
          <w:marLeft w:val="0"/>
          <w:marRight w:val="0"/>
          <w:marTop w:val="0"/>
          <w:marBottom w:val="0"/>
          <w:divBdr>
            <w:top w:val="none" w:sz="0" w:space="0" w:color="auto"/>
            <w:left w:val="none" w:sz="0" w:space="0" w:color="auto"/>
            <w:bottom w:val="none" w:sz="0" w:space="0" w:color="auto"/>
            <w:right w:val="none" w:sz="0" w:space="0" w:color="auto"/>
          </w:divBdr>
        </w:div>
        <w:div w:id="1507866331">
          <w:marLeft w:val="0"/>
          <w:marRight w:val="0"/>
          <w:marTop w:val="0"/>
          <w:marBottom w:val="0"/>
          <w:divBdr>
            <w:top w:val="none" w:sz="0" w:space="0" w:color="auto"/>
            <w:left w:val="none" w:sz="0" w:space="0" w:color="auto"/>
            <w:bottom w:val="none" w:sz="0" w:space="0" w:color="auto"/>
            <w:right w:val="none" w:sz="0" w:space="0" w:color="auto"/>
          </w:divBdr>
        </w:div>
        <w:div w:id="1577780487">
          <w:marLeft w:val="0"/>
          <w:marRight w:val="0"/>
          <w:marTop w:val="0"/>
          <w:marBottom w:val="0"/>
          <w:divBdr>
            <w:top w:val="none" w:sz="0" w:space="0" w:color="auto"/>
            <w:left w:val="none" w:sz="0" w:space="0" w:color="auto"/>
            <w:bottom w:val="none" w:sz="0" w:space="0" w:color="auto"/>
            <w:right w:val="none" w:sz="0" w:space="0" w:color="auto"/>
          </w:divBdr>
        </w:div>
        <w:div w:id="1643584117">
          <w:marLeft w:val="0"/>
          <w:marRight w:val="0"/>
          <w:marTop w:val="0"/>
          <w:marBottom w:val="0"/>
          <w:divBdr>
            <w:top w:val="none" w:sz="0" w:space="0" w:color="auto"/>
            <w:left w:val="none" w:sz="0" w:space="0" w:color="auto"/>
            <w:bottom w:val="none" w:sz="0" w:space="0" w:color="auto"/>
            <w:right w:val="none" w:sz="0" w:space="0" w:color="auto"/>
          </w:divBdr>
        </w:div>
        <w:div w:id="1725255449">
          <w:marLeft w:val="0"/>
          <w:marRight w:val="0"/>
          <w:marTop w:val="0"/>
          <w:marBottom w:val="0"/>
          <w:divBdr>
            <w:top w:val="none" w:sz="0" w:space="0" w:color="auto"/>
            <w:left w:val="none" w:sz="0" w:space="0" w:color="auto"/>
            <w:bottom w:val="none" w:sz="0" w:space="0" w:color="auto"/>
            <w:right w:val="none" w:sz="0" w:space="0" w:color="auto"/>
          </w:divBdr>
        </w:div>
        <w:div w:id="1784886939">
          <w:marLeft w:val="0"/>
          <w:marRight w:val="0"/>
          <w:marTop w:val="0"/>
          <w:marBottom w:val="0"/>
          <w:divBdr>
            <w:top w:val="none" w:sz="0" w:space="0" w:color="auto"/>
            <w:left w:val="none" w:sz="0" w:space="0" w:color="auto"/>
            <w:bottom w:val="none" w:sz="0" w:space="0" w:color="auto"/>
            <w:right w:val="none" w:sz="0" w:space="0" w:color="auto"/>
          </w:divBdr>
        </w:div>
        <w:div w:id="1865363992">
          <w:marLeft w:val="0"/>
          <w:marRight w:val="0"/>
          <w:marTop w:val="0"/>
          <w:marBottom w:val="0"/>
          <w:divBdr>
            <w:top w:val="none" w:sz="0" w:space="0" w:color="auto"/>
            <w:left w:val="none" w:sz="0" w:space="0" w:color="auto"/>
            <w:bottom w:val="none" w:sz="0" w:space="0" w:color="auto"/>
            <w:right w:val="none" w:sz="0" w:space="0" w:color="auto"/>
          </w:divBdr>
        </w:div>
        <w:div w:id="1922636599">
          <w:marLeft w:val="0"/>
          <w:marRight w:val="0"/>
          <w:marTop w:val="0"/>
          <w:marBottom w:val="0"/>
          <w:divBdr>
            <w:top w:val="none" w:sz="0" w:space="0" w:color="auto"/>
            <w:left w:val="none" w:sz="0" w:space="0" w:color="auto"/>
            <w:bottom w:val="none" w:sz="0" w:space="0" w:color="auto"/>
            <w:right w:val="none" w:sz="0" w:space="0" w:color="auto"/>
          </w:divBdr>
        </w:div>
        <w:div w:id="2116051570">
          <w:marLeft w:val="0"/>
          <w:marRight w:val="0"/>
          <w:marTop w:val="0"/>
          <w:marBottom w:val="0"/>
          <w:divBdr>
            <w:top w:val="none" w:sz="0" w:space="0" w:color="auto"/>
            <w:left w:val="none" w:sz="0" w:space="0" w:color="auto"/>
            <w:bottom w:val="none" w:sz="0" w:space="0" w:color="auto"/>
            <w:right w:val="none" w:sz="0" w:space="0" w:color="auto"/>
          </w:divBdr>
        </w:div>
      </w:divsChild>
    </w:div>
    <w:div w:id="1803574462">
      <w:bodyDiv w:val="1"/>
      <w:marLeft w:val="0"/>
      <w:marRight w:val="0"/>
      <w:marTop w:val="0"/>
      <w:marBottom w:val="0"/>
      <w:divBdr>
        <w:top w:val="none" w:sz="0" w:space="0" w:color="auto"/>
        <w:left w:val="none" w:sz="0" w:space="0" w:color="auto"/>
        <w:bottom w:val="none" w:sz="0" w:space="0" w:color="auto"/>
        <w:right w:val="none" w:sz="0" w:space="0" w:color="auto"/>
      </w:divBdr>
      <w:divsChild>
        <w:div w:id="510681514">
          <w:marLeft w:val="0"/>
          <w:marRight w:val="0"/>
          <w:marTop w:val="0"/>
          <w:marBottom w:val="0"/>
          <w:divBdr>
            <w:top w:val="none" w:sz="0" w:space="0" w:color="auto"/>
            <w:left w:val="none" w:sz="0" w:space="0" w:color="auto"/>
            <w:bottom w:val="none" w:sz="0" w:space="0" w:color="auto"/>
            <w:right w:val="none" w:sz="0" w:space="0" w:color="auto"/>
          </w:divBdr>
        </w:div>
        <w:div w:id="1816137500">
          <w:marLeft w:val="0"/>
          <w:marRight w:val="0"/>
          <w:marTop w:val="0"/>
          <w:marBottom w:val="0"/>
          <w:divBdr>
            <w:top w:val="none" w:sz="0" w:space="0" w:color="auto"/>
            <w:left w:val="none" w:sz="0" w:space="0" w:color="auto"/>
            <w:bottom w:val="none" w:sz="0" w:space="0" w:color="auto"/>
            <w:right w:val="none" w:sz="0" w:space="0" w:color="auto"/>
          </w:divBdr>
        </w:div>
        <w:div w:id="1983076357">
          <w:marLeft w:val="0"/>
          <w:marRight w:val="0"/>
          <w:marTop w:val="0"/>
          <w:marBottom w:val="0"/>
          <w:divBdr>
            <w:top w:val="none" w:sz="0" w:space="0" w:color="auto"/>
            <w:left w:val="none" w:sz="0" w:space="0" w:color="auto"/>
            <w:bottom w:val="none" w:sz="0" w:space="0" w:color="auto"/>
            <w:right w:val="none" w:sz="0" w:space="0" w:color="auto"/>
          </w:divBdr>
        </w:div>
      </w:divsChild>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87177679">
      <w:bodyDiv w:val="1"/>
      <w:marLeft w:val="0"/>
      <w:marRight w:val="0"/>
      <w:marTop w:val="0"/>
      <w:marBottom w:val="0"/>
      <w:divBdr>
        <w:top w:val="none" w:sz="0" w:space="0" w:color="auto"/>
        <w:left w:val="none" w:sz="0" w:space="0" w:color="auto"/>
        <w:bottom w:val="none" w:sz="0" w:space="0" w:color="auto"/>
        <w:right w:val="none" w:sz="0" w:space="0" w:color="auto"/>
      </w:divBdr>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17997865">
      <w:bodyDiv w:val="1"/>
      <w:marLeft w:val="0"/>
      <w:marRight w:val="0"/>
      <w:marTop w:val="0"/>
      <w:marBottom w:val="0"/>
      <w:divBdr>
        <w:top w:val="none" w:sz="0" w:space="0" w:color="auto"/>
        <w:left w:val="none" w:sz="0" w:space="0" w:color="auto"/>
        <w:bottom w:val="none" w:sz="0" w:space="0" w:color="auto"/>
        <w:right w:val="none" w:sz="0" w:space="0" w:color="auto"/>
      </w:divBdr>
      <w:divsChild>
        <w:div w:id="177082927">
          <w:marLeft w:val="0"/>
          <w:marRight w:val="0"/>
          <w:marTop w:val="0"/>
          <w:marBottom w:val="0"/>
          <w:divBdr>
            <w:top w:val="none" w:sz="0" w:space="0" w:color="auto"/>
            <w:left w:val="none" w:sz="0" w:space="0" w:color="auto"/>
            <w:bottom w:val="none" w:sz="0" w:space="0" w:color="auto"/>
            <w:right w:val="none" w:sz="0" w:space="0" w:color="auto"/>
          </w:divBdr>
        </w:div>
        <w:div w:id="537932406">
          <w:marLeft w:val="0"/>
          <w:marRight w:val="0"/>
          <w:marTop w:val="0"/>
          <w:marBottom w:val="0"/>
          <w:divBdr>
            <w:top w:val="none" w:sz="0" w:space="0" w:color="auto"/>
            <w:left w:val="none" w:sz="0" w:space="0" w:color="auto"/>
            <w:bottom w:val="none" w:sz="0" w:space="0" w:color="auto"/>
            <w:right w:val="none" w:sz="0" w:space="0" w:color="auto"/>
          </w:divBdr>
        </w:div>
      </w:divsChild>
    </w:div>
    <w:div w:id="2034576595">
      <w:bodyDiv w:val="1"/>
      <w:marLeft w:val="0"/>
      <w:marRight w:val="0"/>
      <w:marTop w:val="0"/>
      <w:marBottom w:val="0"/>
      <w:divBdr>
        <w:top w:val="none" w:sz="0" w:space="0" w:color="auto"/>
        <w:left w:val="none" w:sz="0" w:space="0" w:color="auto"/>
        <w:bottom w:val="none" w:sz="0" w:space="0" w:color="auto"/>
        <w:right w:val="none" w:sz="0" w:space="0" w:color="auto"/>
      </w:divBdr>
      <w:divsChild>
        <w:div w:id="85926100">
          <w:marLeft w:val="0"/>
          <w:marRight w:val="0"/>
          <w:marTop w:val="0"/>
          <w:marBottom w:val="0"/>
          <w:divBdr>
            <w:top w:val="none" w:sz="0" w:space="0" w:color="auto"/>
            <w:left w:val="none" w:sz="0" w:space="0" w:color="auto"/>
            <w:bottom w:val="none" w:sz="0" w:space="0" w:color="auto"/>
            <w:right w:val="none" w:sz="0" w:space="0" w:color="auto"/>
          </w:divBdr>
        </w:div>
        <w:div w:id="610355522">
          <w:marLeft w:val="0"/>
          <w:marRight w:val="0"/>
          <w:marTop w:val="0"/>
          <w:marBottom w:val="0"/>
          <w:divBdr>
            <w:top w:val="none" w:sz="0" w:space="0" w:color="auto"/>
            <w:left w:val="none" w:sz="0" w:space="0" w:color="auto"/>
            <w:bottom w:val="none" w:sz="0" w:space="0" w:color="auto"/>
            <w:right w:val="none" w:sz="0" w:space="0" w:color="auto"/>
          </w:divBdr>
        </w:div>
        <w:div w:id="759182916">
          <w:marLeft w:val="0"/>
          <w:marRight w:val="0"/>
          <w:marTop w:val="0"/>
          <w:marBottom w:val="0"/>
          <w:divBdr>
            <w:top w:val="none" w:sz="0" w:space="0" w:color="auto"/>
            <w:left w:val="none" w:sz="0" w:space="0" w:color="auto"/>
            <w:bottom w:val="none" w:sz="0" w:space="0" w:color="auto"/>
            <w:right w:val="none" w:sz="0" w:space="0" w:color="auto"/>
          </w:divBdr>
        </w:div>
        <w:div w:id="1438594711">
          <w:marLeft w:val="0"/>
          <w:marRight w:val="0"/>
          <w:marTop w:val="0"/>
          <w:marBottom w:val="0"/>
          <w:divBdr>
            <w:top w:val="none" w:sz="0" w:space="0" w:color="auto"/>
            <w:left w:val="none" w:sz="0" w:space="0" w:color="auto"/>
            <w:bottom w:val="none" w:sz="0" w:space="0" w:color="auto"/>
            <w:right w:val="none" w:sz="0" w:space="0" w:color="auto"/>
          </w:divBdr>
        </w:div>
        <w:div w:id="1571698559">
          <w:marLeft w:val="0"/>
          <w:marRight w:val="0"/>
          <w:marTop w:val="0"/>
          <w:marBottom w:val="0"/>
          <w:divBdr>
            <w:top w:val="none" w:sz="0" w:space="0" w:color="auto"/>
            <w:left w:val="none" w:sz="0" w:space="0" w:color="auto"/>
            <w:bottom w:val="none" w:sz="0" w:space="0" w:color="auto"/>
            <w:right w:val="none" w:sz="0" w:space="0" w:color="auto"/>
          </w:divBdr>
        </w:div>
        <w:div w:id="1987739560">
          <w:marLeft w:val="0"/>
          <w:marRight w:val="0"/>
          <w:marTop w:val="0"/>
          <w:marBottom w:val="0"/>
          <w:divBdr>
            <w:top w:val="none" w:sz="0" w:space="0" w:color="auto"/>
            <w:left w:val="none" w:sz="0" w:space="0" w:color="auto"/>
            <w:bottom w:val="none" w:sz="0" w:space="0" w:color="auto"/>
            <w:right w:val="none" w:sz="0" w:space="0" w:color="auto"/>
          </w:divBdr>
        </w:div>
        <w:div w:id="2009744094">
          <w:marLeft w:val="0"/>
          <w:marRight w:val="0"/>
          <w:marTop w:val="0"/>
          <w:marBottom w:val="0"/>
          <w:divBdr>
            <w:top w:val="none" w:sz="0" w:space="0" w:color="auto"/>
            <w:left w:val="none" w:sz="0" w:space="0" w:color="auto"/>
            <w:bottom w:val="none" w:sz="0" w:space="0" w:color="auto"/>
            <w:right w:val="none" w:sz="0" w:space="0" w:color="auto"/>
          </w:divBdr>
        </w:div>
        <w:div w:id="2037928910">
          <w:marLeft w:val="0"/>
          <w:marRight w:val="0"/>
          <w:marTop w:val="0"/>
          <w:marBottom w:val="0"/>
          <w:divBdr>
            <w:top w:val="none" w:sz="0" w:space="0" w:color="auto"/>
            <w:left w:val="none" w:sz="0" w:space="0" w:color="auto"/>
            <w:bottom w:val="none" w:sz="0" w:space="0" w:color="auto"/>
            <w:right w:val="none" w:sz="0" w:space="0" w:color="auto"/>
          </w:divBdr>
        </w:div>
        <w:div w:id="2142919066">
          <w:marLeft w:val="0"/>
          <w:marRight w:val="0"/>
          <w:marTop w:val="0"/>
          <w:marBottom w:val="0"/>
          <w:divBdr>
            <w:top w:val="none" w:sz="0" w:space="0" w:color="auto"/>
            <w:left w:val="none" w:sz="0" w:space="0" w:color="auto"/>
            <w:bottom w:val="none" w:sz="0" w:space="0" w:color="auto"/>
            <w:right w:val="none" w:sz="0" w:space="0" w:color="auto"/>
          </w:divBdr>
        </w:div>
      </w:divsChild>
    </w:div>
    <w:div w:id="2054958316">
      <w:bodyDiv w:val="1"/>
      <w:marLeft w:val="0"/>
      <w:marRight w:val="0"/>
      <w:marTop w:val="0"/>
      <w:marBottom w:val="0"/>
      <w:divBdr>
        <w:top w:val="none" w:sz="0" w:space="0" w:color="auto"/>
        <w:left w:val="none" w:sz="0" w:space="0" w:color="auto"/>
        <w:bottom w:val="none" w:sz="0" w:space="0" w:color="auto"/>
        <w:right w:val="none" w:sz="0" w:space="0" w:color="auto"/>
      </w:divBdr>
      <w:divsChild>
        <w:div w:id="452675635">
          <w:marLeft w:val="0"/>
          <w:marRight w:val="0"/>
          <w:marTop w:val="0"/>
          <w:marBottom w:val="0"/>
          <w:divBdr>
            <w:top w:val="none" w:sz="0" w:space="0" w:color="auto"/>
            <w:left w:val="none" w:sz="0" w:space="0" w:color="auto"/>
            <w:bottom w:val="none" w:sz="0" w:space="0" w:color="auto"/>
            <w:right w:val="none" w:sz="0" w:space="0" w:color="auto"/>
          </w:divBdr>
        </w:div>
        <w:div w:id="625236396">
          <w:marLeft w:val="0"/>
          <w:marRight w:val="0"/>
          <w:marTop w:val="0"/>
          <w:marBottom w:val="0"/>
          <w:divBdr>
            <w:top w:val="none" w:sz="0" w:space="0" w:color="auto"/>
            <w:left w:val="none" w:sz="0" w:space="0" w:color="auto"/>
            <w:bottom w:val="none" w:sz="0" w:space="0" w:color="auto"/>
            <w:right w:val="none" w:sz="0" w:space="0" w:color="auto"/>
          </w:divBdr>
        </w:div>
        <w:div w:id="1248225019">
          <w:marLeft w:val="0"/>
          <w:marRight w:val="0"/>
          <w:marTop w:val="0"/>
          <w:marBottom w:val="0"/>
          <w:divBdr>
            <w:top w:val="none" w:sz="0" w:space="0" w:color="auto"/>
            <w:left w:val="none" w:sz="0" w:space="0" w:color="auto"/>
            <w:bottom w:val="none" w:sz="0" w:space="0" w:color="auto"/>
            <w:right w:val="none" w:sz="0" w:space="0" w:color="auto"/>
          </w:divBdr>
        </w:div>
        <w:div w:id="1305499987">
          <w:marLeft w:val="0"/>
          <w:marRight w:val="0"/>
          <w:marTop w:val="0"/>
          <w:marBottom w:val="0"/>
          <w:divBdr>
            <w:top w:val="none" w:sz="0" w:space="0" w:color="auto"/>
            <w:left w:val="none" w:sz="0" w:space="0" w:color="auto"/>
            <w:bottom w:val="none" w:sz="0" w:space="0" w:color="auto"/>
            <w:right w:val="none" w:sz="0" w:space="0" w:color="auto"/>
          </w:divBdr>
        </w:div>
        <w:div w:id="1861317506">
          <w:marLeft w:val="0"/>
          <w:marRight w:val="0"/>
          <w:marTop w:val="0"/>
          <w:marBottom w:val="0"/>
          <w:divBdr>
            <w:top w:val="none" w:sz="0" w:space="0" w:color="auto"/>
            <w:left w:val="none" w:sz="0" w:space="0" w:color="auto"/>
            <w:bottom w:val="none" w:sz="0" w:space="0" w:color="auto"/>
            <w:right w:val="none" w:sz="0" w:space="0" w:color="auto"/>
          </w:divBdr>
        </w:div>
        <w:div w:id="1951932943">
          <w:marLeft w:val="0"/>
          <w:marRight w:val="0"/>
          <w:marTop w:val="0"/>
          <w:marBottom w:val="0"/>
          <w:divBdr>
            <w:top w:val="none" w:sz="0" w:space="0" w:color="auto"/>
            <w:left w:val="none" w:sz="0" w:space="0" w:color="auto"/>
            <w:bottom w:val="none" w:sz="0" w:space="0" w:color="auto"/>
            <w:right w:val="none" w:sz="0" w:space="0" w:color="auto"/>
          </w:divBdr>
        </w:div>
      </w:divsChild>
    </w:div>
    <w:div w:id="2105421580">
      <w:bodyDiv w:val="1"/>
      <w:marLeft w:val="0"/>
      <w:marRight w:val="0"/>
      <w:marTop w:val="0"/>
      <w:marBottom w:val="0"/>
      <w:divBdr>
        <w:top w:val="none" w:sz="0" w:space="0" w:color="auto"/>
        <w:left w:val="none" w:sz="0" w:space="0" w:color="auto"/>
        <w:bottom w:val="none" w:sz="0" w:space="0" w:color="auto"/>
        <w:right w:val="none" w:sz="0" w:space="0" w:color="auto"/>
      </w:divBdr>
      <w:divsChild>
        <w:div w:id="481048865">
          <w:marLeft w:val="0"/>
          <w:marRight w:val="0"/>
          <w:marTop w:val="0"/>
          <w:marBottom w:val="0"/>
          <w:divBdr>
            <w:top w:val="none" w:sz="0" w:space="0" w:color="auto"/>
            <w:left w:val="none" w:sz="0" w:space="0" w:color="auto"/>
            <w:bottom w:val="none" w:sz="0" w:space="0" w:color="auto"/>
            <w:right w:val="none" w:sz="0" w:space="0" w:color="auto"/>
          </w:divBdr>
        </w:div>
        <w:div w:id="112932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env/pp/compliance/C2013-96/Correspondence_Communicant/frCommC96_EU_Ombudsman_decision_19.02.2015.pdf" TargetMode="External"/><Relationship Id="rId1" Type="http://schemas.openxmlformats.org/officeDocument/2006/relationships/hyperlink" Target="http://eur-lex.europa.eu/legal-content/EN/AUTO/?uri=celex:32001R10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3011-35DE-436C-B8D6-3E2181CB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9965</Words>
  <Characters>56807</Characters>
  <Application>Microsoft Office Word</Application>
  <DocSecurity>0</DocSecurity>
  <Lines>473</Lines>
  <Paragraphs>133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United Nations</vt:lpstr>
      <vt:lpstr>United Nations</vt:lpstr>
    </vt:vector>
  </TitlesOfParts>
  <Company>CSD</Company>
  <LinksUpToDate>false</LinksUpToDate>
  <CharactersWithSpaces>66639</CharactersWithSpaces>
  <SharedDoc>false</SharedDoc>
  <HLinks>
    <vt:vector size="18" baseType="variant">
      <vt:variant>
        <vt:i4>3407951</vt:i4>
      </vt:variant>
      <vt:variant>
        <vt:i4>6</vt:i4>
      </vt:variant>
      <vt:variant>
        <vt:i4>0</vt:i4>
      </vt:variant>
      <vt:variant>
        <vt:i4>5</vt:i4>
      </vt:variant>
      <vt:variant>
        <vt:lpwstr>https://www.unece.org/fileadmin/DAM/env/pp/compliance/C2013-96/Correspondence_Communicant/frCommC96_EU_Ombudsman_decision_19.02.2015.pdf</vt:lpwstr>
      </vt:variant>
      <vt:variant>
        <vt:lpwstr/>
      </vt:variant>
      <vt:variant>
        <vt:i4>786512</vt:i4>
      </vt:variant>
      <vt:variant>
        <vt:i4>3</vt:i4>
      </vt:variant>
      <vt:variant>
        <vt:i4>0</vt:i4>
      </vt:variant>
      <vt:variant>
        <vt:i4>5</vt:i4>
      </vt:variant>
      <vt:variant>
        <vt:lpwstr>http://eur-lex.europa.eu/legal-content/EN/AUTO/?uri=celex:32001R1049</vt:lpwstr>
      </vt:variant>
      <vt:variant>
        <vt:lpwstr/>
      </vt:variant>
      <vt:variant>
        <vt:i4>81</vt:i4>
      </vt:variant>
      <vt:variant>
        <vt:i4>0</vt:i4>
      </vt:variant>
      <vt:variant>
        <vt:i4>0</vt:i4>
      </vt:variant>
      <vt:variant>
        <vt:i4>5</vt:i4>
      </vt:variant>
      <vt:variant>
        <vt:lpwstr>http://eur-lex.europa.eu/legal-content/EN/AUTO/?uri=celex:32001R0045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Fiona Marshall</cp:lastModifiedBy>
  <cp:revision>4</cp:revision>
  <cp:lastPrinted>2019-04-26T16:41:00Z</cp:lastPrinted>
  <dcterms:created xsi:type="dcterms:W3CDTF">2020-04-06T18:45:00Z</dcterms:created>
  <dcterms:modified xsi:type="dcterms:W3CDTF">2020-04-06T19:00:00Z</dcterms:modified>
</cp:coreProperties>
</file>