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951C0" w14:textId="1860FD7A" w:rsidR="0048170D" w:rsidRPr="00560578" w:rsidRDefault="00E4159A" w:rsidP="0048170D">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bCs/>
          <w:sz w:val="28"/>
          <w:szCs w:val="20"/>
        </w:rPr>
      </w:pPr>
      <w:r>
        <w:rPr>
          <w:rFonts w:ascii="Times New Roman" w:eastAsia="Times New Roman" w:hAnsi="Times New Roman" w:cs="Times New Roman"/>
          <w:b/>
          <w:sz w:val="28"/>
          <w:szCs w:val="20"/>
        </w:rPr>
        <w:tab/>
      </w:r>
      <w:r w:rsidR="00F559BB">
        <w:rPr>
          <w:rFonts w:ascii="Times New Roman" w:eastAsia="Times New Roman" w:hAnsi="Times New Roman" w:cs="Times New Roman"/>
          <w:b/>
          <w:sz w:val="28"/>
          <w:szCs w:val="20"/>
        </w:rPr>
        <w:tab/>
      </w:r>
      <w:r w:rsidR="0048170D" w:rsidRPr="00560578">
        <w:rPr>
          <w:rFonts w:ascii="Times New Roman" w:eastAsia="Times New Roman" w:hAnsi="Times New Roman" w:cs="Times New Roman"/>
          <w:b/>
          <w:sz w:val="28"/>
          <w:szCs w:val="20"/>
        </w:rPr>
        <w:t>Draft f</w:t>
      </w:r>
      <w:r w:rsidR="0048170D" w:rsidRPr="00560578">
        <w:rPr>
          <w:rFonts w:ascii="Times New Roman" w:eastAsia="Times New Roman" w:hAnsi="Times New Roman" w:cs="Times New Roman"/>
          <w:b/>
          <w:bCs/>
          <w:spacing w:val="-2"/>
          <w:sz w:val="28"/>
          <w:szCs w:val="20"/>
        </w:rPr>
        <w:t>indings and recommendations with regard to communication</w:t>
      </w:r>
      <w:r w:rsidR="0048170D" w:rsidRPr="00560578">
        <w:rPr>
          <w:rFonts w:ascii="Times New Roman" w:eastAsia="Times New Roman" w:hAnsi="Times New Roman" w:cs="Times New Roman"/>
          <w:b/>
          <w:bCs/>
          <w:sz w:val="28"/>
          <w:szCs w:val="20"/>
        </w:rPr>
        <w:t xml:space="preserve"> ACCC/C/2013/92 concerning compliance by Germany</w:t>
      </w:r>
    </w:p>
    <w:p w14:paraId="32B1DFEF" w14:textId="77777777" w:rsidR="0048170D" w:rsidRPr="00560578" w:rsidRDefault="0048170D" w:rsidP="0048170D">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rPr>
      </w:pPr>
      <w:r w:rsidRPr="00560578">
        <w:rPr>
          <w:rFonts w:ascii="Times New Roman" w:eastAsia="Times New Roman" w:hAnsi="Times New Roman" w:cs="Times New Roman"/>
          <w:b/>
          <w:sz w:val="24"/>
          <w:szCs w:val="20"/>
        </w:rPr>
        <w:tab/>
      </w:r>
      <w:r w:rsidRPr="00560578">
        <w:rPr>
          <w:rFonts w:ascii="Times New Roman" w:eastAsia="Times New Roman" w:hAnsi="Times New Roman" w:cs="Times New Roman"/>
          <w:b/>
          <w:sz w:val="24"/>
          <w:szCs w:val="20"/>
        </w:rPr>
        <w:tab/>
        <w:t>Adopted by the Compliance Committee on …</w:t>
      </w:r>
    </w:p>
    <w:p w14:paraId="6CE89B9A" w14:textId="77777777" w:rsidR="0048170D" w:rsidRPr="00560578" w:rsidRDefault="0048170D" w:rsidP="0048170D">
      <w:pPr>
        <w:keepNext/>
        <w:keepLines/>
        <w:numPr>
          <w:ilvl w:val="0"/>
          <w:numId w:val="1"/>
        </w:numPr>
        <w:tabs>
          <w:tab w:val="right" w:pos="851"/>
        </w:tabs>
        <w:suppressAutoHyphens/>
        <w:spacing w:before="360" w:after="240" w:line="300" w:lineRule="exact"/>
        <w:ind w:right="1134"/>
        <w:rPr>
          <w:rFonts w:ascii="Times New Roman" w:eastAsia="Times New Roman" w:hAnsi="Times New Roman" w:cs="Times New Roman"/>
          <w:b/>
          <w:sz w:val="28"/>
          <w:szCs w:val="20"/>
        </w:rPr>
      </w:pPr>
      <w:r w:rsidRPr="00560578">
        <w:rPr>
          <w:rFonts w:ascii="Times New Roman" w:eastAsia="Times New Roman" w:hAnsi="Times New Roman" w:cs="Times New Roman"/>
          <w:b/>
          <w:sz w:val="28"/>
          <w:szCs w:val="20"/>
        </w:rPr>
        <w:t>Introduction</w:t>
      </w:r>
    </w:p>
    <w:p w14:paraId="32A66399" w14:textId="77777777" w:rsidR="0048170D" w:rsidRPr="00560578" w:rsidRDefault="0048170D" w:rsidP="00C9588A">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lang w:val="en-US"/>
        </w:rPr>
      </w:pPr>
      <w:r w:rsidRPr="00560578">
        <w:rPr>
          <w:rFonts w:ascii="Times New Roman" w:eastAsia="Times New Roman" w:hAnsi="Times New Roman" w:cs="Times New Roman"/>
          <w:sz w:val="20"/>
          <w:szCs w:val="20"/>
          <w:lang w:val="en-US"/>
        </w:rPr>
        <w:t xml:space="preserve">On 24 June 2013, </w:t>
      </w:r>
      <w:r w:rsidR="00EB6AA2" w:rsidRPr="00560578">
        <w:rPr>
          <w:rFonts w:ascii="Times New Roman" w:eastAsia="Times New Roman" w:hAnsi="Times New Roman" w:cs="Times New Roman"/>
          <w:sz w:val="20"/>
          <w:szCs w:val="20"/>
          <w:lang w:val="en-US"/>
        </w:rPr>
        <w:t>a member of the public, Ms.</w:t>
      </w:r>
      <w:r w:rsidRPr="00560578">
        <w:rPr>
          <w:rFonts w:ascii="Times New Roman" w:eastAsia="Times New Roman" w:hAnsi="Times New Roman" w:cs="Times New Roman"/>
          <w:sz w:val="20"/>
          <w:szCs w:val="20"/>
          <w:lang w:val="en-US"/>
        </w:rPr>
        <w:t xml:space="preserve"> Brigitte </w:t>
      </w:r>
      <w:proofErr w:type="spellStart"/>
      <w:r w:rsidRPr="00560578">
        <w:rPr>
          <w:rFonts w:ascii="Times New Roman" w:eastAsia="Times New Roman" w:hAnsi="Times New Roman" w:cs="Times New Roman"/>
          <w:sz w:val="20"/>
          <w:szCs w:val="20"/>
          <w:lang w:val="en-US"/>
        </w:rPr>
        <w:t>Artmann</w:t>
      </w:r>
      <w:proofErr w:type="spellEnd"/>
      <w:r w:rsidRPr="00560578">
        <w:rPr>
          <w:rFonts w:ascii="Times New Roman" w:eastAsia="Times New Roman" w:hAnsi="Times New Roman" w:cs="Times New Roman"/>
          <w:sz w:val="20"/>
          <w:szCs w:val="20"/>
          <w:lang w:val="en-US"/>
        </w:rPr>
        <w:t xml:space="preserve"> (the communicant)</w:t>
      </w:r>
      <w:r w:rsidR="00EB6AA2" w:rsidRPr="00560578">
        <w:rPr>
          <w:rFonts w:ascii="Times New Roman" w:eastAsia="Times New Roman" w:hAnsi="Times New Roman" w:cs="Times New Roman"/>
          <w:sz w:val="20"/>
          <w:szCs w:val="20"/>
          <w:lang w:val="en-US"/>
        </w:rPr>
        <w:t>,</w:t>
      </w:r>
      <w:r w:rsidRPr="00560578">
        <w:rPr>
          <w:rFonts w:ascii="Times New Roman" w:eastAsia="Times New Roman" w:hAnsi="Times New Roman" w:cs="Times New Roman"/>
          <w:sz w:val="20"/>
          <w:szCs w:val="20"/>
          <w:lang w:val="en-US"/>
        </w:rPr>
        <w:t xml:space="preserve"> submitted a communication to the Compliance Committee under the Convention on Access to Information </w:t>
      </w:r>
      <w:r w:rsidRPr="00560578">
        <w:rPr>
          <w:rFonts w:ascii="Times New Roman" w:eastAsia="Times New Roman" w:hAnsi="Times New Roman" w:cs="Times New Roman"/>
          <w:sz w:val="20"/>
          <w:szCs w:val="20"/>
        </w:rPr>
        <w:t xml:space="preserve">Public Participation in Decision-making and Access to Justice in Environmental Matters (Aarhus Convention) alleging the failure of Germany to comply with </w:t>
      </w:r>
      <w:r w:rsidR="007422F4" w:rsidRPr="00560578">
        <w:rPr>
          <w:rFonts w:ascii="Times New Roman" w:eastAsia="Times New Roman" w:hAnsi="Times New Roman" w:cs="Times New Roman"/>
          <w:sz w:val="20"/>
          <w:szCs w:val="20"/>
        </w:rPr>
        <w:t>its obligations under articles 1, 3, 4 and 6 of the Convention</w:t>
      </w:r>
      <w:r w:rsidR="00EB6AA2" w:rsidRPr="00560578">
        <w:rPr>
          <w:rFonts w:ascii="Times New Roman" w:eastAsia="Times New Roman" w:hAnsi="Times New Roman" w:cs="Times New Roman"/>
          <w:sz w:val="20"/>
          <w:szCs w:val="20"/>
        </w:rPr>
        <w:t xml:space="preserve"> with respect to</w:t>
      </w:r>
      <w:r w:rsidRPr="00560578">
        <w:rPr>
          <w:rFonts w:ascii="Times New Roman" w:eastAsia="Times New Roman" w:hAnsi="Times New Roman" w:cs="Times New Roman"/>
          <w:sz w:val="20"/>
          <w:szCs w:val="20"/>
          <w:lang w:val="en-US"/>
        </w:rPr>
        <w:t xml:space="preserve"> </w:t>
      </w:r>
      <w:r w:rsidR="00EB6AA2" w:rsidRPr="00560578">
        <w:rPr>
          <w:rFonts w:ascii="Times New Roman" w:eastAsia="Times New Roman" w:hAnsi="Times New Roman" w:cs="Times New Roman"/>
          <w:sz w:val="20"/>
          <w:szCs w:val="20"/>
          <w:lang w:val="en-US"/>
        </w:rPr>
        <w:t xml:space="preserve">the </w:t>
      </w:r>
      <w:r w:rsidRPr="00560578">
        <w:rPr>
          <w:rFonts w:ascii="Times New Roman" w:eastAsia="Times New Roman" w:hAnsi="Times New Roman" w:cs="Times New Roman"/>
          <w:sz w:val="20"/>
          <w:szCs w:val="20"/>
          <w:lang w:val="en-US"/>
        </w:rPr>
        <w:t xml:space="preserve">opportunities </w:t>
      </w:r>
      <w:r w:rsidR="00EB6AA2" w:rsidRPr="00560578">
        <w:rPr>
          <w:rFonts w:ascii="Times New Roman" w:eastAsia="Times New Roman" w:hAnsi="Times New Roman" w:cs="Times New Roman"/>
          <w:sz w:val="20"/>
          <w:szCs w:val="20"/>
          <w:lang w:val="en-US"/>
        </w:rPr>
        <w:t xml:space="preserve">provided to the public in Germany </w:t>
      </w:r>
      <w:r w:rsidRPr="00560578">
        <w:rPr>
          <w:rFonts w:ascii="Times New Roman" w:eastAsia="Times New Roman" w:hAnsi="Times New Roman" w:cs="Times New Roman"/>
          <w:sz w:val="20"/>
          <w:szCs w:val="20"/>
          <w:lang w:val="en-US"/>
        </w:rPr>
        <w:t>to participate in a transboundary environmental impact assessment (EIA) procedure concerning the propose</w:t>
      </w:r>
      <w:r w:rsidR="00356927" w:rsidRPr="00560578">
        <w:rPr>
          <w:rFonts w:ascii="Times New Roman" w:eastAsia="Times New Roman" w:hAnsi="Times New Roman" w:cs="Times New Roman"/>
          <w:sz w:val="20"/>
          <w:szCs w:val="20"/>
          <w:lang w:val="en-US"/>
        </w:rPr>
        <w:t>d</w:t>
      </w:r>
      <w:r w:rsidRPr="00560578">
        <w:rPr>
          <w:rFonts w:ascii="Times New Roman" w:eastAsia="Times New Roman" w:hAnsi="Times New Roman" w:cs="Times New Roman"/>
          <w:sz w:val="20"/>
          <w:szCs w:val="20"/>
          <w:lang w:val="en-US"/>
        </w:rPr>
        <w:t xml:space="preserve"> construction of two third generation nuclear reactors at </w:t>
      </w:r>
      <w:proofErr w:type="spellStart"/>
      <w:r w:rsidRPr="00560578">
        <w:rPr>
          <w:rFonts w:ascii="Times New Roman" w:eastAsia="Times New Roman" w:hAnsi="Times New Roman" w:cs="Times New Roman"/>
          <w:sz w:val="20"/>
          <w:szCs w:val="20"/>
          <w:lang w:val="en-US"/>
        </w:rPr>
        <w:t>Hinkley</w:t>
      </w:r>
      <w:proofErr w:type="spellEnd"/>
      <w:r w:rsidRPr="00560578">
        <w:rPr>
          <w:rFonts w:ascii="Times New Roman" w:eastAsia="Times New Roman" w:hAnsi="Times New Roman" w:cs="Times New Roman"/>
          <w:sz w:val="20"/>
          <w:szCs w:val="20"/>
          <w:lang w:val="en-US"/>
        </w:rPr>
        <w:t xml:space="preserve"> Point C. </w:t>
      </w:r>
    </w:p>
    <w:p w14:paraId="3447B9C7" w14:textId="77777777" w:rsidR="0048170D" w:rsidRPr="00560578" w:rsidRDefault="0048170D" w:rsidP="00C45B4F">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lang w:val="en-US"/>
        </w:rPr>
      </w:pPr>
      <w:r w:rsidRPr="00560578">
        <w:rPr>
          <w:rFonts w:ascii="Times New Roman" w:eastAsia="Times New Roman" w:hAnsi="Times New Roman" w:cs="Times New Roman"/>
          <w:sz w:val="20"/>
          <w:szCs w:val="20"/>
          <w:lang w:val="en-US"/>
        </w:rPr>
        <w:t>At its forty-second meeting (24-27 September 2013), the Committee determined on a preliminary basis that the communication was admissible.</w:t>
      </w:r>
    </w:p>
    <w:p w14:paraId="3EAECEED" w14:textId="77777777" w:rsidR="0048170D" w:rsidRPr="00560578" w:rsidRDefault="0048170D" w:rsidP="00C45B4F">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Pursuant to paragraph 22 of the annex to decision </w:t>
      </w:r>
      <w:proofErr w:type="gramStart"/>
      <w:r w:rsidRPr="00560578">
        <w:rPr>
          <w:rFonts w:ascii="Times New Roman" w:eastAsia="Times New Roman" w:hAnsi="Times New Roman" w:cs="Times New Roman"/>
          <w:sz w:val="20"/>
          <w:szCs w:val="20"/>
        </w:rPr>
        <w:t>I/7</w:t>
      </w:r>
      <w:proofErr w:type="gramEnd"/>
      <w:r w:rsidRPr="00560578">
        <w:rPr>
          <w:rFonts w:ascii="Times New Roman" w:eastAsia="Times New Roman" w:hAnsi="Times New Roman" w:cs="Times New Roman"/>
          <w:sz w:val="20"/>
          <w:szCs w:val="20"/>
        </w:rPr>
        <w:t xml:space="preserve"> of the Meeting of the Parties to the Convention, the communication was forwarded to the Party concerned on 17 December 2013.</w:t>
      </w:r>
    </w:p>
    <w:p w14:paraId="53452673" w14:textId="77777777" w:rsidR="0048170D" w:rsidRPr="00560578" w:rsidRDefault="0048170D" w:rsidP="00C45B4F">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The Party concerned responded to the allegations on </w:t>
      </w:r>
      <w:r w:rsidR="003103F4" w:rsidRPr="00560578">
        <w:rPr>
          <w:rFonts w:ascii="Times New Roman" w:eastAsia="Times New Roman" w:hAnsi="Times New Roman" w:cs="Times New Roman"/>
          <w:sz w:val="20"/>
          <w:szCs w:val="20"/>
        </w:rPr>
        <w:t>15</w:t>
      </w:r>
      <w:r w:rsidRPr="00560578">
        <w:rPr>
          <w:rFonts w:ascii="Times New Roman" w:eastAsia="Times New Roman" w:hAnsi="Times New Roman" w:cs="Times New Roman"/>
          <w:sz w:val="20"/>
          <w:szCs w:val="20"/>
        </w:rPr>
        <w:t xml:space="preserve"> May 2014.</w:t>
      </w:r>
    </w:p>
    <w:p w14:paraId="1EE0E724" w14:textId="77777777" w:rsidR="0048170D" w:rsidRPr="00560578" w:rsidRDefault="0048170D" w:rsidP="00C45B4F">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The Committee discussed the communication at its forty-sixth meeting, with the participation of representatives of the communicant and the Party concerned. At the same meeting, the Committee confirmed the admissibility of the communication. During the discussion, the Committee put a number of questions to both the communicant and the Party concerned and invited them to respond in writing after the meeting.</w:t>
      </w:r>
    </w:p>
    <w:p w14:paraId="35100FFE" w14:textId="77777777" w:rsidR="0048170D" w:rsidRPr="00560578" w:rsidRDefault="0048170D" w:rsidP="00C45B4F">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The communicant and the Party concerned submitted their </w:t>
      </w:r>
      <w:r w:rsidR="00721CA2" w:rsidRPr="00560578">
        <w:rPr>
          <w:rFonts w:ascii="Times New Roman" w:eastAsia="Times New Roman" w:hAnsi="Times New Roman" w:cs="Times New Roman"/>
          <w:sz w:val="20"/>
          <w:szCs w:val="20"/>
        </w:rPr>
        <w:t>replies to the Committee’s questions</w:t>
      </w:r>
      <w:r w:rsidRPr="00560578">
        <w:rPr>
          <w:rFonts w:ascii="Times New Roman" w:eastAsia="Times New Roman" w:hAnsi="Times New Roman" w:cs="Times New Roman"/>
          <w:sz w:val="20"/>
          <w:szCs w:val="20"/>
        </w:rPr>
        <w:t xml:space="preserve"> on </w:t>
      </w:r>
      <w:r w:rsidR="00721CA2" w:rsidRPr="00560578">
        <w:rPr>
          <w:rFonts w:ascii="Times New Roman" w:eastAsia="Times New Roman" w:hAnsi="Times New Roman" w:cs="Times New Roman"/>
          <w:sz w:val="20"/>
          <w:szCs w:val="20"/>
        </w:rPr>
        <w:t xml:space="preserve">4 December 2014 </w:t>
      </w:r>
      <w:r w:rsidRPr="00560578">
        <w:rPr>
          <w:rFonts w:ascii="Times New Roman" w:eastAsia="Times New Roman" w:hAnsi="Times New Roman" w:cs="Times New Roman"/>
          <w:sz w:val="20"/>
          <w:szCs w:val="20"/>
        </w:rPr>
        <w:t xml:space="preserve">and </w:t>
      </w:r>
      <w:r w:rsidR="00721CA2" w:rsidRPr="00560578">
        <w:rPr>
          <w:rFonts w:ascii="Times New Roman" w:eastAsia="Times New Roman" w:hAnsi="Times New Roman" w:cs="Times New Roman"/>
          <w:sz w:val="20"/>
          <w:szCs w:val="20"/>
        </w:rPr>
        <w:t xml:space="preserve">27 January 2015, </w:t>
      </w:r>
      <w:r w:rsidRPr="00560578">
        <w:rPr>
          <w:rFonts w:ascii="Times New Roman" w:eastAsia="Times New Roman" w:hAnsi="Times New Roman" w:cs="Times New Roman"/>
          <w:sz w:val="20"/>
          <w:szCs w:val="20"/>
        </w:rPr>
        <w:t>respectively.</w:t>
      </w:r>
      <w:r w:rsidR="00721CA2" w:rsidRPr="00560578">
        <w:rPr>
          <w:rFonts w:ascii="Times New Roman" w:eastAsia="Times New Roman" w:hAnsi="Times New Roman" w:cs="Times New Roman"/>
          <w:sz w:val="20"/>
          <w:szCs w:val="20"/>
        </w:rPr>
        <w:t xml:space="preserve"> On 14 February 2015, the communicant provided comments on the Party </w:t>
      </w:r>
      <w:proofErr w:type="spellStart"/>
      <w:r w:rsidR="00721CA2" w:rsidRPr="00560578">
        <w:rPr>
          <w:rFonts w:ascii="Times New Roman" w:eastAsia="Times New Roman" w:hAnsi="Times New Roman" w:cs="Times New Roman"/>
          <w:sz w:val="20"/>
          <w:szCs w:val="20"/>
        </w:rPr>
        <w:t>concerned’s</w:t>
      </w:r>
      <w:proofErr w:type="spellEnd"/>
      <w:r w:rsidR="00721CA2" w:rsidRPr="00560578">
        <w:rPr>
          <w:rFonts w:ascii="Times New Roman" w:eastAsia="Times New Roman" w:hAnsi="Times New Roman" w:cs="Times New Roman"/>
          <w:sz w:val="20"/>
          <w:szCs w:val="20"/>
        </w:rPr>
        <w:t xml:space="preserve"> replies to the Committee’s questions, and on 5 March 2015 the Party concerned commented on the communicant’s comments.</w:t>
      </w:r>
    </w:p>
    <w:p w14:paraId="44425ACA" w14:textId="5384F24B" w:rsidR="0048170D" w:rsidRPr="00560578" w:rsidRDefault="0048170D" w:rsidP="00C45B4F">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The Committee </w:t>
      </w:r>
      <w:r w:rsidR="00831BA5" w:rsidRPr="00560578">
        <w:rPr>
          <w:rFonts w:ascii="Times New Roman" w:eastAsia="Times New Roman" w:hAnsi="Times New Roman" w:cs="Times New Roman"/>
          <w:sz w:val="20"/>
          <w:szCs w:val="20"/>
        </w:rPr>
        <w:t xml:space="preserve">agreed its </w:t>
      </w:r>
      <w:r w:rsidRPr="00560578">
        <w:rPr>
          <w:rFonts w:ascii="Times New Roman" w:eastAsia="Times New Roman" w:hAnsi="Times New Roman" w:cs="Times New Roman"/>
          <w:sz w:val="20"/>
          <w:szCs w:val="20"/>
        </w:rPr>
        <w:t xml:space="preserve">draft findings </w:t>
      </w:r>
      <w:r w:rsidR="00831BA5" w:rsidRPr="00560578">
        <w:rPr>
          <w:rFonts w:ascii="Times New Roman" w:eastAsia="Times New Roman" w:hAnsi="Times New Roman" w:cs="Times New Roman"/>
          <w:sz w:val="20"/>
          <w:szCs w:val="20"/>
        </w:rPr>
        <w:t>at its virtual meeting on 13 September 2016</w:t>
      </w:r>
      <w:r w:rsidRPr="00560578">
        <w:rPr>
          <w:rFonts w:ascii="Times New Roman" w:eastAsia="Times New Roman" w:hAnsi="Times New Roman" w:cs="Times New Roman"/>
          <w:sz w:val="20"/>
          <w:szCs w:val="20"/>
        </w:rPr>
        <w:t>, completing the draft through its electronic decision-making procedure</w:t>
      </w:r>
      <w:r w:rsidR="00560578">
        <w:rPr>
          <w:rFonts w:ascii="Times New Roman" w:eastAsia="Times New Roman" w:hAnsi="Times New Roman" w:cs="Times New Roman"/>
          <w:sz w:val="20"/>
          <w:szCs w:val="20"/>
        </w:rPr>
        <w:t xml:space="preserve"> on 18 November 2016</w:t>
      </w:r>
      <w:r w:rsidRPr="00560578">
        <w:rPr>
          <w:rFonts w:ascii="Times New Roman" w:eastAsia="Times New Roman" w:hAnsi="Times New Roman" w:cs="Times New Roman"/>
          <w:sz w:val="20"/>
          <w:szCs w:val="20"/>
        </w:rPr>
        <w:t xml:space="preserve">. In accordance with paragraph 34 of the annex to decision </w:t>
      </w:r>
      <w:proofErr w:type="gramStart"/>
      <w:r w:rsidRPr="00560578">
        <w:rPr>
          <w:rFonts w:ascii="Times New Roman" w:eastAsia="Times New Roman" w:hAnsi="Times New Roman" w:cs="Times New Roman"/>
          <w:sz w:val="20"/>
          <w:szCs w:val="20"/>
        </w:rPr>
        <w:t>I/7</w:t>
      </w:r>
      <w:proofErr w:type="gramEnd"/>
      <w:r w:rsidRPr="00560578">
        <w:rPr>
          <w:rFonts w:ascii="Times New Roman" w:eastAsia="Times New Roman" w:hAnsi="Times New Roman" w:cs="Times New Roman"/>
          <w:sz w:val="20"/>
          <w:szCs w:val="20"/>
        </w:rPr>
        <w:t xml:space="preserve">, the draft findings were then forwarded for comments to the Party concerned and the communicant on </w:t>
      </w:r>
      <w:r w:rsidR="00560578">
        <w:rPr>
          <w:rFonts w:ascii="Times New Roman" w:eastAsia="Times New Roman" w:hAnsi="Times New Roman" w:cs="Times New Roman"/>
          <w:sz w:val="20"/>
          <w:szCs w:val="20"/>
        </w:rPr>
        <w:t>18 November 2016</w:t>
      </w:r>
      <w:r w:rsidRPr="00560578">
        <w:rPr>
          <w:rFonts w:ascii="Times New Roman" w:eastAsia="Times New Roman" w:hAnsi="Times New Roman" w:cs="Times New Roman"/>
          <w:sz w:val="20"/>
          <w:szCs w:val="20"/>
        </w:rPr>
        <w:t xml:space="preserve">. Both were invited to provide comments by </w:t>
      </w:r>
      <w:r w:rsidR="00560578">
        <w:rPr>
          <w:rFonts w:ascii="Times New Roman" w:eastAsia="Times New Roman" w:hAnsi="Times New Roman" w:cs="Times New Roman"/>
          <w:sz w:val="20"/>
          <w:szCs w:val="20"/>
        </w:rPr>
        <w:t>16 November 2016</w:t>
      </w:r>
      <w:r w:rsidRPr="00560578">
        <w:rPr>
          <w:rFonts w:ascii="Times New Roman" w:eastAsia="Times New Roman" w:hAnsi="Times New Roman" w:cs="Times New Roman"/>
          <w:sz w:val="20"/>
          <w:szCs w:val="20"/>
        </w:rPr>
        <w:t>.</w:t>
      </w:r>
    </w:p>
    <w:p w14:paraId="40A1D737" w14:textId="77777777" w:rsidR="0048170D" w:rsidRPr="00560578" w:rsidRDefault="0048170D" w:rsidP="00C45B4F">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The Party concerned and the communicant provided comments on […] and […], respectively.</w:t>
      </w:r>
    </w:p>
    <w:p w14:paraId="1BCA3F09" w14:textId="77777777" w:rsidR="0048170D" w:rsidRPr="00560578" w:rsidRDefault="0048170D" w:rsidP="00C45B4F">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At its […] meeting, the Committee proceeded to finalize its findings in closed session, taking account of the comments received. The Committee then adopted its findings and agreed that they should be published as a formal pre-session document to its […] meeting. It requested the secretariat to send the findings to the Party concerned and the communicant.</w:t>
      </w:r>
    </w:p>
    <w:p w14:paraId="38E0FEE2" w14:textId="77777777" w:rsidR="0048170D" w:rsidRPr="00560578" w:rsidRDefault="0048170D" w:rsidP="009F682A">
      <w:pPr>
        <w:keepNext/>
        <w:keepLines/>
        <w:numPr>
          <w:ilvl w:val="0"/>
          <w:numId w:val="1"/>
        </w:numPr>
        <w:tabs>
          <w:tab w:val="right" w:pos="851"/>
        </w:tabs>
        <w:suppressAutoHyphens/>
        <w:spacing w:before="360" w:after="240" w:line="300" w:lineRule="exact"/>
        <w:ind w:right="1134" w:hanging="261"/>
        <w:rPr>
          <w:rFonts w:ascii="Times New Roman" w:eastAsia="Times New Roman" w:hAnsi="Times New Roman" w:cs="Times New Roman"/>
          <w:b/>
          <w:sz w:val="28"/>
          <w:szCs w:val="20"/>
        </w:rPr>
      </w:pPr>
      <w:r w:rsidRPr="00560578">
        <w:rPr>
          <w:rFonts w:ascii="Times New Roman" w:eastAsia="Times New Roman" w:hAnsi="Times New Roman" w:cs="Times New Roman"/>
          <w:b/>
          <w:sz w:val="28"/>
          <w:szCs w:val="20"/>
        </w:rPr>
        <w:lastRenderedPageBreak/>
        <w:t>Summary of facts, evidence and issues</w:t>
      </w:r>
      <w:r w:rsidRPr="00560578">
        <w:rPr>
          <w:rFonts w:ascii="Times New Roman" w:eastAsia="Times New Roman" w:hAnsi="Times New Roman" w:cs="Times New Roman"/>
          <w:b/>
          <w:sz w:val="18"/>
          <w:szCs w:val="20"/>
          <w:vertAlign w:val="superscript"/>
        </w:rPr>
        <w:footnoteReference w:id="2"/>
      </w:r>
    </w:p>
    <w:p w14:paraId="2A9EE9F0" w14:textId="77777777" w:rsidR="0048170D" w:rsidRPr="00560578" w:rsidRDefault="0048170D" w:rsidP="009F682A">
      <w:pPr>
        <w:keepNext/>
        <w:keepLines/>
        <w:numPr>
          <w:ilvl w:val="0"/>
          <w:numId w:val="3"/>
        </w:numPr>
        <w:tabs>
          <w:tab w:val="right" w:pos="851"/>
        </w:tabs>
        <w:suppressAutoHyphens/>
        <w:spacing w:before="360" w:after="240" w:line="270" w:lineRule="exact"/>
        <w:ind w:left="1202" w:right="1134" w:hanging="68"/>
        <w:rPr>
          <w:rFonts w:ascii="Times New Roman" w:eastAsia="Times New Roman" w:hAnsi="Times New Roman" w:cs="Times New Roman"/>
          <w:b/>
          <w:sz w:val="24"/>
          <w:szCs w:val="20"/>
        </w:rPr>
      </w:pPr>
      <w:r w:rsidRPr="00560578">
        <w:rPr>
          <w:rFonts w:ascii="Times New Roman" w:eastAsia="Times New Roman" w:hAnsi="Times New Roman" w:cs="Times New Roman"/>
          <w:b/>
          <w:sz w:val="24"/>
          <w:szCs w:val="20"/>
        </w:rPr>
        <w:t xml:space="preserve">Legal framework </w:t>
      </w:r>
    </w:p>
    <w:p w14:paraId="2D815AC1" w14:textId="77777777" w:rsidR="0048170D" w:rsidRPr="00560578" w:rsidRDefault="0048170D" w:rsidP="009F682A">
      <w:pPr>
        <w:keepNext/>
        <w:keepLines/>
        <w:tabs>
          <w:tab w:val="right" w:pos="851"/>
        </w:tabs>
        <w:suppressAutoHyphens/>
        <w:spacing w:before="120" w:after="0" w:line="270" w:lineRule="exact"/>
        <w:ind w:left="1134" w:right="1134"/>
        <w:rPr>
          <w:rFonts w:ascii="Times New Roman" w:eastAsia="Times New Roman" w:hAnsi="Times New Roman" w:cs="Times New Roman"/>
          <w:i/>
          <w:sz w:val="20"/>
          <w:szCs w:val="20"/>
        </w:rPr>
      </w:pPr>
      <w:r w:rsidRPr="00560578">
        <w:rPr>
          <w:rFonts w:ascii="Times New Roman" w:eastAsia="Times New Roman" w:hAnsi="Times New Roman" w:cs="Times New Roman"/>
          <w:i/>
          <w:sz w:val="20"/>
          <w:szCs w:val="20"/>
        </w:rPr>
        <w:t xml:space="preserve">International and European </w:t>
      </w:r>
      <w:r w:rsidR="00356927" w:rsidRPr="00560578">
        <w:rPr>
          <w:rFonts w:ascii="Times New Roman" w:eastAsia="Times New Roman" w:hAnsi="Times New Roman" w:cs="Times New Roman"/>
          <w:i/>
          <w:sz w:val="20"/>
          <w:szCs w:val="20"/>
        </w:rPr>
        <w:t>l</w:t>
      </w:r>
      <w:r w:rsidRPr="00560578">
        <w:rPr>
          <w:rFonts w:ascii="Times New Roman" w:eastAsia="Times New Roman" w:hAnsi="Times New Roman" w:cs="Times New Roman"/>
          <w:i/>
          <w:sz w:val="20"/>
          <w:szCs w:val="20"/>
        </w:rPr>
        <w:t xml:space="preserve">egal </w:t>
      </w:r>
      <w:r w:rsidR="00356927" w:rsidRPr="00560578">
        <w:rPr>
          <w:rFonts w:ascii="Times New Roman" w:eastAsia="Times New Roman" w:hAnsi="Times New Roman" w:cs="Times New Roman"/>
          <w:i/>
          <w:sz w:val="20"/>
          <w:szCs w:val="20"/>
        </w:rPr>
        <w:t>f</w:t>
      </w:r>
      <w:r w:rsidRPr="00560578">
        <w:rPr>
          <w:rFonts w:ascii="Times New Roman" w:eastAsia="Times New Roman" w:hAnsi="Times New Roman" w:cs="Times New Roman"/>
          <w:i/>
          <w:sz w:val="20"/>
          <w:szCs w:val="20"/>
        </w:rPr>
        <w:t>ramework</w:t>
      </w:r>
      <w:r w:rsidR="00356927" w:rsidRPr="00560578">
        <w:rPr>
          <w:rFonts w:ascii="Times New Roman" w:eastAsia="Times New Roman" w:hAnsi="Times New Roman" w:cs="Times New Roman"/>
          <w:i/>
          <w:sz w:val="20"/>
          <w:szCs w:val="20"/>
        </w:rPr>
        <w:br/>
      </w:r>
    </w:p>
    <w:p w14:paraId="56836B4A" w14:textId="77777777" w:rsidR="00B34C99" w:rsidRPr="00560578" w:rsidRDefault="00721CA2" w:rsidP="009F682A">
      <w:pPr>
        <w:numPr>
          <w:ilvl w:val="0"/>
          <w:numId w:val="2"/>
        </w:numPr>
        <w:tabs>
          <w:tab w:val="clear" w:pos="1002"/>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T</w:t>
      </w:r>
      <w:r w:rsidR="00B34C99" w:rsidRPr="00560578">
        <w:rPr>
          <w:rFonts w:ascii="Times New Roman" w:eastAsia="Times New Roman" w:hAnsi="Times New Roman" w:cs="Times New Roman"/>
          <w:sz w:val="20"/>
          <w:szCs w:val="20"/>
        </w:rPr>
        <w:t>he Espoo Convention and European Union Directive 2011/92/EU (EU EIA Directive) govern the conduct of transboundary EIAs</w:t>
      </w:r>
      <w:r w:rsidRPr="00560578">
        <w:rPr>
          <w:rFonts w:ascii="Times New Roman" w:eastAsia="Times New Roman" w:hAnsi="Times New Roman" w:cs="Times New Roman"/>
          <w:sz w:val="20"/>
          <w:szCs w:val="20"/>
        </w:rPr>
        <w:t xml:space="preserve"> for the Party concerned</w:t>
      </w:r>
      <w:r w:rsidR="00B34C99" w:rsidRPr="00560578">
        <w:rPr>
          <w:rFonts w:ascii="Times New Roman" w:eastAsia="Times New Roman" w:hAnsi="Times New Roman" w:cs="Times New Roman"/>
          <w:sz w:val="20"/>
          <w:szCs w:val="20"/>
        </w:rPr>
        <w:t>.</w:t>
      </w:r>
    </w:p>
    <w:p w14:paraId="0AB7D32C" w14:textId="77777777" w:rsidR="00B34C99" w:rsidRPr="00560578" w:rsidRDefault="00721CA2" w:rsidP="009F682A">
      <w:pPr>
        <w:numPr>
          <w:ilvl w:val="0"/>
          <w:numId w:val="2"/>
        </w:numPr>
        <w:tabs>
          <w:tab w:val="clear" w:pos="1002"/>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Article 3(1) of t</w:t>
      </w:r>
      <w:r w:rsidR="00B34C99" w:rsidRPr="00560578">
        <w:rPr>
          <w:rFonts w:ascii="Times New Roman" w:eastAsia="Times New Roman" w:hAnsi="Times New Roman" w:cs="Times New Roman"/>
          <w:sz w:val="20"/>
          <w:szCs w:val="20"/>
        </w:rPr>
        <w:t xml:space="preserve">he Espoo Convention establishes the obligation on the Party of origin to conduct a transboundary EIA: </w:t>
      </w:r>
    </w:p>
    <w:p w14:paraId="492CF7EE" w14:textId="77777777" w:rsidR="00B34C99" w:rsidRPr="00560578" w:rsidRDefault="00B34C99" w:rsidP="009F682A">
      <w:pPr>
        <w:suppressAutoHyphens/>
        <w:spacing w:after="120" w:line="240" w:lineRule="atLeast"/>
        <w:ind w:left="1701" w:right="1134"/>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‘For a proposed activity listed in Appendix I that is likely to cause a significant adverse transboundary impact, the Party of origin shall, for the purposes of ensuring adequate and effective consultations under Article 5, notify any Party which it considers may be an affected Party as early as possible and no later than when informing its own public about that proposed activity.’</w:t>
      </w:r>
    </w:p>
    <w:p w14:paraId="5D304119" w14:textId="77777777" w:rsidR="00B34C99" w:rsidRPr="00560578" w:rsidRDefault="004847A6" w:rsidP="009F682A">
      <w:pPr>
        <w:numPr>
          <w:ilvl w:val="0"/>
          <w:numId w:val="2"/>
        </w:numPr>
        <w:tabs>
          <w:tab w:val="clear" w:pos="1002"/>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Article 3(7) of the Espoo Convention </w:t>
      </w:r>
      <w:r w:rsidR="00B34C99" w:rsidRPr="00560578">
        <w:rPr>
          <w:rFonts w:ascii="Times New Roman" w:eastAsia="Times New Roman" w:hAnsi="Times New Roman" w:cs="Times New Roman"/>
          <w:sz w:val="20"/>
          <w:szCs w:val="20"/>
        </w:rPr>
        <w:t xml:space="preserve">governs the rights of a potentially affected Party when no notification has taken place: </w:t>
      </w:r>
    </w:p>
    <w:p w14:paraId="1F3E3B8B" w14:textId="5229881C" w:rsidR="00B34C99" w:rsidRPr="00560578" w:rsidRDefault="00B34C99" w:rsidP="009F682A">
      <w:pPr>
        <w:tabs>
          <w:tab w:val="left" w:pos="1701"/>
        </w:tabs>
        <w:suppressAutoHyphens/>
        <w:spacing w:after="120" w:line="240" w:lineRule="atLeast"/>
        <w:ind w:left="1701" w:right="1134"/>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‘When a Party considers that it would be affected by a significant adverse transboundary impact of a proposed activity listed in Appendix I, and when no notification has taken place in accordance with paragraph 1 of this Article, the concerned Parties shall, at the request of the affected Party, exchange sufficient information for the purposes of holding discussions on whether there is likely to be a significant adverse transboundary impact. If those Parties agree that there is likely to be a significant adverse transboundary impact, the provisions of this Convention shall apply accordingly. If those Parties cannot agree whether there is likely to be a significant adverse transboundary impact, any such Party may submit that question to an inquiry commission in accordance with the provisions of Appendix IV to advise on the likelihood of significant adverse transboundary impact, unless they agree on another method of settling this question.’</w:t>
      </w:r>
    </w:p>
    <w:p w14:paraId="317F06B5" w14:textId="77777777" w:rsidR="00B34C99" w:rsidRPr="00560578" w:rsidRDefault="004847A6" w:rsidP="009F682A">
      <w:pPr>
        <w:numPr>
          <w:ilvl w:val="0"/>
          <w:numId w:val="2"/>
        </w:numPr>
        <w:tabs>
          <w:tab w:val="clear" w:pos="1002"/>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Articles 2(6) and 3(8) of the Espoo Convention address </w:t>
      </w:r>
      <w:r w:rsidR="00B34C99" w:rsidRPr="00560578">
        <w:rPr>
          <w:rFonts w:ascii="Times New Roman" w:eastAsia="Times New Roman" w:hAnsi="Times New Roman" w:cs="Times New Roman"/>
          <w:sz w:val="20"/>
          <w:szCs w:val="20"/>
        </w:rPr>
        <w:t>public participation in the transboundary EIA procedure</w:t>
      </w:r>
      <w:r w:rsidRPr="00560578">
        <w:rPr>
          <w:rFonts w:ascii="Times New Roman" w:eastAsia="Times New Roman" w:hAnsi="Times New Roman" w:cs="Times New Roman"/>
          <w:sz w:val="20"/>
          <w:szCs w:val="20"/>
        </w:rPr>
        <w:t>. A</w:t>
      </w:r>
      <w:r w:rsidR="00B34C99" w:rsidRPr="00560578">
        <w:rPr>
          <w:rFonts w:ascii="Times New Roman" w:eastAsia="Times New Roman" w:hAnsi="Times New Roman" w:cs="Times New Roman"/>
          <w:sz w:val="20"/>
          <w:szCs w:val="20"/>
        </w:rPr>
        <w:t>rticle 2(6) states that:</w:t>
      </w:r>
    </w:p>
    <w:p w14:paraId="713124F8" w14:textId="77777777" w:rsidR="00B34C99" w:rsidRPr="00560578" w:rsidRDefault="00B34C99" w:rsidP="009F682A">
      <w:pPr>
        <w:pStyle w:val="ListParagraph"/>
        <w:suppressAutoHyphens/>
        <w:spacing w:after="120" w:line="240" w:lineRule="atLeast"/>
        <w:ind w:left="1701" w:right="1134"/>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“The Party of origin shall provide, in accordance with the provisions of this Convention, an opportunity to the public in the areas likely to be affected to participate in relevant environmental impact assessment procedures regarding proposed activities and shall ensure that the opportunity provided to the public of the affected Party is equivalent to that provided to the public of the Party of origin.”</w:t>
      </w:r>
    </w:p>
    <w:p w14:paraId="0564286C" w14:textId="77777777" w:rsidR="00AC0776" w:rsidRPr="00560578" w:rsidRDefault="00AC0776" w:rsidP="009F682A">
      <w:pPr>
        <w:pStyle w:val="ListParagraph"/>
        <w:suppressAutoHyphens/>
        <w:spacing w:after="120" w:line="240" w:lineRule="atLeast"/>
        <w:ind w:left="1134" w:right="1134"/>
        <w:jc w:val="both"/>
        <w:rPr>
          <w:rFonts w:ascii="Times New Roman" w:eastAsia="Times New Roman" w:hAnsi="Times New Roman" w:cs="Times New Roman"/>
          <w:sz w:val="20"/>
          <w:szCs w:val="20"/>
        </w:rPr>
      </w:pPr>
    </w:p>
    <w:p w14:paraId="6E6F611E" w14:textId="77777777" w:rsidR="00AC0776" w:rsidRPr="00560578" w:rsidRDefault="004847A6" w:rsidP="009F682A">
      <w:pPr>
        <w:pStyle w:val="ListParagraph"/>
        <w:suppressAutoHyphens/>
        <w:spacing w:after="120" w:line="240" w:lineRule="atLeast"/>
        <w:ind w:left="1134" w:right="1134"/>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A</w:t>
      </w:r>
      <w:r w:rsidR="00AC0776" w:rsidRPr="00560578">
        <w:rPr>
          <w:rFonts w:ascii="Times New Roman" w:eastAsia="Times New Roman" w:hAnsi="Times New Roman" w:cs="Times New Roman"/>
          <w:sz w:val="20"/>
          <w:szCs w:val="20"/>
        </w:rPr>
        <w:t>rticle 3 (8) states that:</w:t>
      </w:r>
    </w:p>
    <w:p w14:paraId="41EDAA58" w14:textId="77777777" w:rsidR="00AC0776" w:rsidRPr="00560578" w:rsidRDefault="00AC0776" w:rsidP="009F682A">
      <w:pPr>
        <w:autoSpaceDE w:val="0"/>
        <w:autoSpaceDN w:val="0"/>
        <w:adjustRightInd w:val="0"/>
        <w:spacing w:after="0" w:line="240" w:lineRule="auto"/>
        <w:ind w:left="1701" w:right="1088"/>
        <w:jc w:val="both"/>
        <w:rPr>
          <w:rFonts w:ascii="Times New Roman" w:eastAsia="Times New Roman" w:hAnsi="Times New Roman" w:cs="Times New Roman"/>
          <w:sz w:val="20"/>
          <w:szCs w:val="20"/>
        </w:rPr>
      </w:pPr>
      <w:r w:rsidRPr="00560578">
        <w:rPr>
          <w:rFonts w:ascii="TimesNewRoman" w:hAnsi="TimesNewRoman" w:cs="TimesNewRoman"/>
          <w:sz w:val="23"/>
          <w:szCs w:val="23"/>
        </w:rPr>
        <w:t>“</w:t>
      </w:r>
      <w:r w:rsidRPr="00560578">
        <w:rPr>
          <w:rFonts w:ascii="Times New Roman" w:eastAsia="Times New Roman" w:hAnsi="Times New Roman" w:cs="Times New Roman"/>
          <w:sz w:val="20"/>
          <w:szCs w:val="20"/>
        </w:rPr>
        <w:t>The concerned Parties shall ensure that the public of the affected Party in the areas likely to be affected be informed of, and be provided with possibilities for making comments or objections on, the proposed activity, and for the transmittal of these comments or objections to the competent authority of the Party of origin, either directly to this authority or, where appropriate, through the Party of origin.”</w:t>
      </w:r>
    </w:p>
    <w:p w14:paraId="55ACC1EB" w14:textId="77777777" w:rsidR="008449F2" w:rsidRPr="00560578" w:rsidRDefault="008449F2" w:rsidP="009F682A">
      <w:pPr>
        <w:autoSpaceDE w:val="0"/>
        <w:autoSpaceDN w:val="0"/>
        <w:adjustRightInd w:val="0"/>
        <w:spacing w:after="0" w:line="240" w:lineRule="auto"/>
        <w:ind w:left="1134" w:right="1088"/>
        <w:jc w:val="both"/>
        <w:rPr>
          <w:rFonts w:ascii="Times New Roman" w:eastAsia="Times New Roman" w:hAnsi="Times New Roman" w:cs="Times New Roman"/>
          <w:sz w:val="20"/>
          <w:szCs w:val="20"/>
        </w:rPr>
      </w:pPr>
    </w:p>
    <w:p w14:paraId="5F9826F1" w14:textId="1ED1BF6A" w:rsidR="00E266A9" w:rsidRPr="00560578" w:rsidRDefault="00B34C99" w:rsidP="009F682A">
      <w:pPr>
        <w:numPr>
          <w:ilvl w:val="0"/>
          <w:numId w:val="2"/>
        </w:numPr>
        <w:tabs>
          <w:tab w:val="clear" w:pos="1002"/>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A similar approach is taken in Article 7 of the EIA Directive</w:t>
      </w:r>
      <w:r w:rsidR="009F682A">
        <w:rPr>
          <w:rFonts w:ascii="Times New Roman" w:eastAsia="Times New Roman" w:hAnsi="Times New Roman" w:cs="Times New Roman"/>
          <w:sz w:val="20"/>
          <w:szCs w:val="20"/>
        </w:rPr>
        <w:t>.</w:t>
      </w:r>
      <w:r w:rsidRPr="00560578">
        <w:rPr>
          <w:rStyle w:val="FootnoteReference"/>
        </w:rPr>
        <w:footnoteReference w:id="3"/>
      </w:r>
    </w:p>
    <w:p w14:paraId="6B1ACBD5" w14:textId="5B6323CA" w:rsidR="00B34C99" w:rsidRPr="00560578" w:rsidRDefault="00B34C99" w:rsidP="00A333A1">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lastRenderedPageBreak/>
        <w:t xml:space="preserve">Article 37 of the </w:t>
      </w:r>
      <w:proofErr w:type="spellStart"/>
      <w:r w:rsidRPr="00560578">
        <w:rPr>
          <w:rFonts w:ascii="Times New Roman" w:eastAsia="Times New Roman" w:hAnsi="Times New Roman" w:cs="Times New Roman"/>
          <w:sz w:val="20"/>
          <w:szCs w:val="20"/>
        </w:rPr>
        <w:t>Euratom</w:t>
      </w:r>
      <w:proofErr w:type="spellEnd"/>
      <w:r w:rsidRPr="00560578">
        <w:rPr>
          <w:rFonts w:ascii="Times New Roman" w:eastAsia="Times New Roman" w:hAnsi="Times New Roman" w:cs="Times New Roman"/>
          <w:sz w:val="20"/>
          <w:szCs w:val="20"/>
        </w:rPr>
        <w:t xml:space="preserve"> Treaty states that every member of the European Union is required to inform the European Commission of plans to dispose of radioactive substances. </w:t>
      </w:r>
    </w:p>
    <w:p w14:paraId="7E0A93E0" w14:textId="77777777" w:rsidR="0048170D" w:rsidRPr="00560578" w:rsidRDefault="0048170D" w:rsidP="009F682A">
      <w:pPr>
        <w:suppressAutoHyphens/>
        <w:spacing w:after="0" w:line="240" w:lineRule="atLeast"/>
        <w:ind w:left="1134" w:right="1134"/>
        <w:jc w:val="both"/>
        <w:rPr>
          <w:rFonts w:ascii="Times New Roman" w:eastAsia="Times New Roman" w:hAnsi="Times New Roman" w:cs="Times New Roman"/>
          <w:i/>
          <w:sz w:val="20"/>
          <w:szCs w:val="20"/>
        </w:rPr>
      </w:pPr>
      <w:r w:rsidRPr="00560578">
        <w:rPr>
          <w:rFonts w:ascii="Times New Roman" w:eastAsia="Times New Roman" w:hAnsi="Times New Roman" w:cs="Times New Roman"/>
          <w:i/>
          <w:sz w:val="20"/>
          <w:szCs w:val="20"/>
        </w:rPr>
        <w:t xml:space="preserve">National </w:t>
      </w:r>
      <w:r w:rsidR="00356927" w:rsidRPr="00560578">
        <w:rPr>
          <w:rFonts w:ascii="Times New Roman" w:eastAsia="Times New Roman" w:hAnsi="Times New Roman" w:cs="Times New Roman"/>
          <w:i/>
          <w:sz w:val="20"/>
          <w:szCs w:val="20"/>
        </w:rPr>
        <w:t>l</w:t>
      </w:r>
      <w:r w:rsidRPr="00560578">
        <w:rPr>
          <w:rFonts w:ascii="Times New Roman" w:eastAsia="Times New Roman" w:hAnsi="Times New Roman" w:cs="Times New Roman"/>
          <w:i/>
          <w:sz w:val="20"/>
          <w:szCs w:val="20"/>
        </w:rPr>
        <w:t>egal framework</w:t>
      </w:r>
    </w:p>
    <w:p w14:paraId="76D7EEFC" w14:textId="77777777" w:rsidR="00A333A1" w:rsidRPr="00560578" w:rsidRDefault="00A333A1" w:rsidP="00A333A1">
      <w:pPr>
        <w:suppressAutoHyphens/>
        <w:spacing w:after="0" w:line="240" w:lineRule="atLeast"/>
        <w:ind w:left="675" w:right="1134"/>
        <w:jc w:val="both"/>
        <w:rPr>
          <w:rFonts w:ascii="Times New Roman" w:eastAsia="Times New Roman" w:hAnsi="Times New Roman" w:cs="Times New Roman"/>
          <w:i/>
          <w:sz w:val="20"/>
          <w:szCs w:val="20"/>
        </w:rPr>
      </w:pPr>
    </w:p>
    <w:p w14:paraId="54F82811" w14:textId="77777777" w:rsidR="0048170D" w:rsidRPr="00560578" w:rsidRDefault="009F7B8A" w:rsidP="00C36579">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In </w:t>
      </w:r>
      <w:r w:rsidR="00B34C99" w:rsidRPr="00560578">
        <w:rPr>
          <w:rFonts w:ascii="Times New Roman" w:eastAsia="Times New Roman" w:hAnsi="Times New Roman" w:cs="Times New Roman"/>
          <w:sz w:val="20"/>
          <w:szCs w:val="20"/>
        </w:rPr>
        <w:t>the Party concerned</w:t>
      </w:r>
      <w:r w:rsidRPr="00560578">
        <w:rPr>
          <w:rFonts w:ascii="Times New Roman" w:eastAsia="Times New Roman" w:hAnsi="Times New Roman" w:cs="Times New Roman"/>
          <w:sz w:val="20"/>
          <w:szCs w:val="20"/>
        </w:rPr>
        <w:t xml:space="preserve">, </w:t>
      </w:r>
      <w:r w:rsidR="00B34C99" w:rsidRPr="00560578">
        <w:rPr>
          <w:rFonts w:ascii="Times New Roman" w:eastAsia="Times New Roman" w:hAnsi="Times New Roman" w:cs="Times New Roman"/>
          <w:sz w:val="20"/>
          <w:szCs w:val="20"/>
        </w:rPr>
        <w:t xml:space="preserve">the above </w:t>
      </w:r>
      <w:r w:rsidRPr="00560578">
        <w:rPr>
          <w:rFonts w:ascii="Times New Roman" w:eastAsia="Times New Roman" w:hAnsi="Times New Roman" w:cs="Times New Roman"/>
          <w:sz w:val="20"/>
          <w:szCs w:val="20"/>
        </w:rPr>
        <w:t xml:space="preserve">international and European requirements are implemented </w:t>
      </w:r>
      <w:r w:rsidR="00B34C99" w:rsidRPr="00560578">
        <w:rPr>
          <w:rFonts w:ascii="Times New Roman" w:eastAsia="Times New Roman" w:hAnsi="Times New Roman" w:cs="Times New Roman"/>
          <w:sz w:val="20"/>
          <w:szCs w:val="20"/>
        </w:rPr>
        <w:t xml:space="preserve">through </w:t>
      </w:r>
      <w:r w:rsidRPr="00560578">
        <w:rPr>
          <w:rFonts w:ascii="Times New Roman" w:eastAsia="Times New Roman" w:hAnsi="Times New Roman" w:cs="Times New Roman"/>
          <w:sz w:val="20"/>
          <w:szCs w:val="20"/>
        </w:rPr>
        <w:t>the Environmental Impact Assessment Act (EIA</w:t>
      </w:r>
      <w:r w:rsidR="00D170ED" w:rsidRPr="00560578">
        <w:rPr>
          <w:rFonts w:ascii="Times New Roman" w:eastAsia="Times New Roman" w:hAnsi="Times New Roman" w:cs="Times New Roman"/>
          <w:sz w:val="20"/>
          <w:szCs w:val="20"/>
        </w:rPr>
        <w:t xml:space="preserve"> Act</w:t>
      </w:r>
      <w:r w:rsidRPr="00560578">
        <w:rPr>
          <w:rFonts w:ascii="Times New Roman" w:eastAsia="Times New Roman" w:hAnsi="Times New Roman" w:cs="Times New Roman"/>
          <w:sz w:val="20"/>
          <w:szCs w:val="20"/>
        </w:rPr>
        <w:t>). Section 9(b)</w:t>
      </w:r>
      <w:r w:rsidR="00A83C4C" w:rsidRPr="00560578">
        <w:rPr>
          <w:rFonts w:ascii="Times New Roman" w:eastAsia="Times New Roman" w:hAnsi="Times New Roman" w:cs="Times New Roman"/>
          <w:sz w:val="20"/>
          <w:szCs w:val="20"/>
        </w:rPr>
        <w:t xml:space="preserve"> of the EIA</w:t>
      </w:r>
      <w:r w:rsidRPr="00560578">
        <w:rPr>
          <w:rFonts w:ascii="Times New Roman" w:eastAsia="Times New Roman" w:hAnsi="Times New Roman" w:cs="Times New Roman"/>
          <w:sz w:val="20"/>
          <w:szCs w:val="20"/>
        </w:rPr>
        <w:t xml:space="preserve"> </w:t>
      </w:r>
      <w:r w:rsidR="00D170ED" w:rsidRPr="00560578">
        <w:rPr>
          <w:rFonts w:ascii="Times New Roman" w:eastAsia="Times New Roman" w:hAnsi="Times New Roman" w:cs="Times New Roman"/>
          <w:sz w:val="20"/>
          <w:szCs w:val="20"/>
        </w:rPr>
        <w:t xml:space="preserve">Act addresses the Party </w:t>
      </w:r>
      <w:proofErr w:type="spellStart"/>
      <w:r w:rsidR="00D170ED" w:rsidRPr="00560578">
        <w:rPr>
          <w:rFonts w:ascii="Times New Roman" w:eastAsia="Times New Roman" w:hAnsi="Times New Roman" w:cs="Times New Roman"/>
          <w:sz w:val="20"/>
          <w:szCs w:val="20"/>
        </w:rPr>
        <w:t>concerned’s</w:t>
      </w:r>
      <w:proofErr w:type="spellEnd"/>
      <w:r w:rsidR="00D170ED" w:rsidRPr="00560578">
        <w:rPr>
          <w:rFonts w:ascii="Times New Roman" w:eastAsia="Times New Roman" w:hAnsi="Times New Roman" w:cs="Times New Roman"/>
          <w:sz w:val="20"/>
          <w:szCs w:val="20"/>
        </w:rPr>
        <w:t xml:space="preserve"> </w:t>
      </w:r>
      <w:r w:rsidRPr="00560578">
        <w:rPr>
          <w:rFonts w:ascii="Times New Roman" w:eastAsia="Times New Roman" w:hAnsi="Times New Roman" w:cs="Times New Roman"/>
          <w:sz w:val="20"/>
          <w:szCs w:val="20"/>
        </w:rPr>
        <w:t xml:space="preserve">participation in </w:t>
      </w:r>
      <w:proofErr w:type="spellStart"/>
      <w:r w:rsidRPr="00560578">
        <w:rPr>
          <w:rFonts w:ascii="Times New Roman" w:eastAsia="Times New Roman" w:hAnsi="Times New Roman" w:cs="Times New Roman"/>
          <w:sz w:val="20"/>
          <w:szCs w:val="20"/>
        </w:rPr>
        <w:t>transboundary</w:t>
      </w:r>
      <w:proofErr w:type="spellEnd"/>
      <w:r w:rsidRPr="00560578">
        <w:rPr>
          <w:rFonts w:ascii="Times New Roman" w:eastAsia="Times New Roman" w:hAnsi="Times New Roman" w:cs="Times New Roman"/>
          <w:sz w:val="20"/>
          <w:szCs w:val="20"/>
        </w:rPr>
        <w:t xml:space="preserve"> EIAs </w:t>
      </w:r>
      <w:r w:rsidR="00B34C99" w:rsidRPr="00560578">
        <w:rPr>
          <w:rFonts w:ascii="Times New Roman" w:eastAsia="Times New Roman" w:hAnsi="Times New Roman" w:cs="Times New Roman"/>
          <w:sz w:val="20"/>
          <w:szCs w:val="20"/>
        </w:rPr>
        <w:t xml:space="preserve">for </w:t>
      </w:r>
      <w:r w:rsidRPr="00560578">
        <w:rPr>
          <w:rFonts w:ascii="Times New Roman" w:eastAsia="Times New Roman" w:hAnsi="Times New Roman" w:cs="Times New Roman"/>
          <w:sz w:val="20"/>
          <w:szCs w:val="20"/>
        </w:rPr>
        <w:t xml:space="preserve">foreign projects. In the case of </w:t>
      </w:r>
      <w:r w:rsidR="00B34C99" w:rsidRPr="00560578">
        <w:rPr>
          <w:rFonts w:ascii="Times New Roman" w:eastAsia="Times New Roman" w:hAnsi="Times New Roman" w:cs="Times New Roman"/>
          <w:sz w:val="20"/>
          <w:szCs w:val="20"/>
        </w:rPr>
        <w:t xml:space="preserve">a </w:t>
      </w:r>
      <w:r w:rsidRPr="00560578">
        <w:rPr>
          <w:rFonts w:ascii="Times New Roman" w:eastAsia="Times New Roman" w:hAnsi="Times New Roman" w:cs="Times New Roman"/>
          <w:sz w:val="20"/>
          <w:szCs w:val="20"/>
        </w:rPr>
        <w:t xml:space="preserve">transboundary EIA, the responsible German authority </w:t>
      </w:r>
      <w:r w:rsidR="00B34C99" w:rsidRPr="00560578">
        <w:rPr>
          <w:rFonts w:ascii="Times New Roman" w:eastAsia="Times New Roman" w:hAnsi="Times New Roman" w:cs="Times New Roman"/>
          <w:sz w:val="20"/>
          <w:szCs w:val="20"/>
        </w:rPr>
        <w:t>shall</w:t>
      </w:r>
      <w:r w:rsidR="00F610F6" w:rsidRPr="00560578">
        <w:rPr>
          <w:rFonts w:ascii="Times New Roman" w:eastAsia="Times New Roman" w:hAnsi="Times New Roman" w:cs="Times New Roman"/>
          <w:sz w:val="20"/>
          <w:szCs w:val="20"/>
        </w:rPr>
        <w:t>, after receiving notification,</w:t>
      </w:r>
      <w:r w:rsidR="00B34C99" w:rsidRPr="00560578">
        <w:rPr>
          <w:rFonts w:ascii="Times New Roman" w:eastAsia="Times New Roman" w:hAnsi="Times New Roman" w:cs="Times New Roman"/>
          <w:sz w:val="20"/>
          <w:szCs w:val="20"/>
        </w:rPr>
        <w:t xml:space="preserve"> </w:t>
      </w:r>
      <w:r w:rsidRPr="00560578">
        <w:rPr>
          <w:rFonts w:ascii="Times New Roman" w:eastAsia="Times New Roman" w:hAnsi="Times New Roman" w:cs="Times New Roman"/>
          <w:sz w:val="20"/>
          <w:szCs w:val="20"/>
        </w:rPr>
        <w:t>evaluate whether Germany’s participation in the approval procedure in the Party of origin is necessary</w:t>
      </w:r>
      <w:r w:rsidR="00C5452F" w:rsidRPr="00560578">
        <w:rPr>
          <w:rFonts w:ascii="Times New Roman" w:eastAsia="Times New Roman" w:hAnsi="Times New Roman" w:cs="Times New Roman"/>
          <w:sz w:val="20"/>
          <w:szCs w:val="20"/>
        </w:rPr>
        <w:t>. The German authority may request an EIA procedure if Germany, as a Party potentially affected by a project in another country, was not previously involved</w:t>
      </w:r>
      <w:r w:rsidR="0048170D" w:rsidRPr="00560578">
        <w:rPr>
          <w:rFonts w:ascii="Times New Roman" w:eastAsia="Times New Roman" w:hAnsi="Times New Roman" w:cs="Times New Roman"/>
          <w:sz w:val="20"/>
          <w:szCs w:val="20"/>
        </w:rPr>
        <w:t>.</w:t>
      </w:r>
    </w:p>
    <w:p w14:paraId="4F25EB04" w14:textId="77777777" w:rsidR="0048170D" w:rsidRPr="00560578" w:rsidRDefault="0048170D" w:rsidP="009F682A">
      <w:pPr>
        <w:keepNext/>
        <w:keepLines/>
        <w:numPr>
          <w:ilvl w:val="0"/>
          <w:numId w:val="3"/>
        </w:numPr>
        <w:tabs>
          <w:tab w:val="right" w:pos="851"/>
        </w:tabs>
        <w:suppressAutoHyphens/>
        <w:spacing w:before="360" w:after="240" w:line="270" w:lineRule="exact"/>
        <w:ind w:left="1202" w:right="1134" w:hanging="68"/>
        <w:rPr>
          <w:rFonts w:ascii="Times New Roman" w:eastAsia="Times New Roman" w:hAnsi="Times New Roman" w:cs="Times New Roman"/>
          <w:b/>
          <w:sz w:val="24"/>
          <w:szCs w:val="20"/>
        </w:rPr>
      </w:pPr>
      <w:r w:rsidRPr="00560578">
        <w:rPr>
          <w:rFonts w:ascii="Times New Roman" w:eastAsia="Times New Roman" w:hAnsi="Times New Roman" w:cs="Times New Roman"/>
          <w:b/>
          <w:sz w:val="24"/>
          <w:szCs w:val="20"/>
        </w:rPr>
        <w:t xml:space="preserve">Facts </w:t>
      </w:r>
    </w:p>
    <w:p w14:paraId="7CB5E64B" w14:textId="702015C1" w:rsidR="0048170D" w:rsidRPr="00560578" w:rsidRDefault="009A4A49" w:rsidP="00C36579">
      <w:pPr>
        <w:numPr>
          <w:ilvl w:val="0"/>
          <w:numId w:val="2"/>
        </w:numPr>
        <w:tabs>
          <w:tab w:val="num" w:pos="1710"/>
        </w:tabs>
        <w:suppressAutoHyphens/>
        <w:spacing w:before="120" w:after="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The United Kingdom plans to build and operate t</w:t>
      </w:r>
      <w:r w:rsidR="00356927" w:rsidRPr="00560578">
        <w:rPr>
          <w:rFonts w:ascii="Times New Roman" w:eastAsia="Times New Roman" w:hAnsi="Times New Roman" w:cs="Times New Roman"/>
          <w:sz w:val="20"/>
          <w:szCs w:val="20"/>
        </w:rPr>
        <w:t>w</w:t>
      </w:r>
      <w:r w:rsidRPr="00560578">
        <w:rPr>
          <w:rFonts w:ascii="Times New Roman" w:eastAsia="Times New Roman" w:hAnsi="Times New Roman" w:cs="Times New Roman"/>
          <w:sz w:val="20"/>
          <w:szCs w:val="20"/>
        </w:rPr>
        <w:t>o new</w:t>
      </w:r>
      <w:r w:rsidR="00894869" w:rsidRPr="00560578">
        <w:rPr>
          <w:rFonts w:ascii="Times New Roman" w:eastAsia="Times New Roman" w:hAnsi="Times New Roman" w:cs="Times New Roman"/>
          <w:sz w:val="20"/>
          <w:szCs w:val="20"/>
        </w:rPr>
        <w:t xml:space="preserve"> nuclear</w:t>
      </w:r>
      <w:r w:rsidR="00356927" w:rsidRPr="00560578">
        <w:rPr>
          <w:rFonts w:ascii="Times New Roman" w:eastAsia="Times New Roman" w:hAnsi="Times New Roman" w:cs="Times New Roman"/>
          <w:sz w:val="20"/>
          <w:szCs w:val="20"/>
        </w:rPr>
        <w:t xml:space="preserve"> </w:t>
      </w:r>
      <w:r w:rsidRPr="00560578">
        <w:rPr>
          <w:rFonts w:ascii="Times New Roman" w:eastAsia="Times New Roman" w:hAnsi="Times New Roman" w:cs="Times New Roman"/>
          <w:sz w:val="20"/>
          <w:szCs w:val="20"/>
        </w:rPr>
        <w:t xml:space="preserve">reactors of the European Pressurized Reactors type at </w:t>
      </w:r>
      <w:proofErr w:type="spellStart"/>
      <w:r w:rsidR="00831BA5" w:rsidRPr="00560578">
        <w:rPr>
          <w:rFonts w:ascii="Times New Roman" w:eastAsia="Times New Roman" w:hAnsi="Times New Roman" w:cs="Times New Roman"/>
          <w:sz w:val="20"/>
          <w:szCs w:val="20"/>
        </w:rPr>
        <w:t>Hinkley</w:t>
      </w:r>
      <w:proofErr w:type="spellEnd"/>
      <w:r w:rsidR="00831BA5" w:rsidRPr="00560578">
        <w:rPr>
          <w:rFonts w:ascii="Times New Roman" w:eastAsia="Times New Roman" w:hAnsi="Times New Roman" w:cs="Times New Roman"/>
          <w:sz w:val="20"/>
          <w:szCs w:val="20"/>
        </w:rPr>
        <w:t xml:space="preserve"> Point, </w:t>
      </w:r>
      <w:r w:rsidR="00F77AB4" w:rsidRPr="00560578">
        <w:rPr>
          <w:rFonts w:ascii="Times New Roman" w:eastAsia="Times New Roman" w:hAnsi="Times New Roman" w:cs="Times New Roman"/>
          <w:sz w:val="20"/>
          <w:szCs w:val="20"/>
        </w:rPr>
        <w:t xml:space="preserve">a coastal headland </w:t>
      </w:r>
      <w:r w:rsidR="00E266A9" w:rsidRPr="00560578">
        <w:rPr>
          <w:rFonts w:ascii="Times New Roman" w:eastAsia="Times New Roman" w:hAnsi="Times New Roman" w:cs="Times New Roman"/>
          <w:sz w:val="20"/>
          <w:szCs w:val="20"/>
        </w:rPr>
        <w:t>in Somerset, south-west England</w:t>
      </w:r>
      <w:r w:rsidR="00F610F6" w:rsidRPr="00560578">
        <w:rPr>
          <w:rFonts w:ascii="Times New Roman" w:eastAsia="Times New Roman" w:hAnsi="Times New Roman" w:cs="Times New Roman"/>
          <w:sz w:val="20"/>
          <w:szCs w:val="20"/>
        </w:rPr>
        <w:t xml:space="preserve"> </w:t>
      </w:r>
      <w:r w:rsidR="00831BA5" w:rsidRPr="00560578">
        <w:rPr>
          <w:rFonts w:ascii="Times New Roman" w:eastAsia="Times New Roman" w:hAnsi="Times New Roman" w:cs="Times New Roman"/>
          <w:sz w:val="20"/>
          <w:szCs w:val="20"/>
        </w:rPr>
        <w:t xml:space="preserve">and the location of an existing nuclear power plant. The project to build the new reactors is </w:t>
      </w:r>
      <w:r w:rsidR="00E266A9" w:rsidRPr="00560578">
        <w:rPr>
          <w:rFonts w:ascii="Times New Roman" w:eastAsia="Times New Roman" w:hAnsi="Times New Roman" w:cs="Times New Roman"/>
          <w:sz w:val="20"/>
          <w:szCs w:val="20"/>
        </w:rPr>
        <w:t xml:space="preserve">known as </w:t>
      </w:r>
      <w:proofErr w:type="spellStart"/>
      <w:r w:rsidR="00F610F6" w:rsidRPr="00560578">
        <w:rPr>
          <w:rFonts w:ascii="Times New Roman" w:eastAsia="Times New Roman" w:hAnsi="Times New Roman" w:cs="Times New Roman"/>
          <w:sz w:val="20"/>
          <w:szCs w:val="20"/>
        </w:rPr>
        <w:t>Hinkley</w:t>
      </w:r>
      <w:proofErr w:type="spellEnd"/>
      <w:r w:rsidR="00F610F6" w:rsidRPr="00560578">
        <w:rPr>
          <w:rFonts w:ascii="Times New Roman" w:eastAsia="Times New Roman" w:hAnsi="Times New Roman" w:cs="Times New Roman"/>
          <w:sz w:val="20"/>
          <w:szCs w:val="20"/>
        </w:rPr>
        <w:t xml:space="preserve"> Point C</w:t>
      </w:r>
      <w:r w:rsidRPr="00560578">
        <w:rPr>
          <w:rFonts w:ascii="Times New Roman" w:eastAsia="Times New Roman" w:hAnsi="Times New Roman" w:cs="Times New Roman"/>
          <w:sz w:val="20"/>
          <w:szCs w:val="20"/>
        </w:rPr>
        <w:t xml:space="preserve">. </w:t>
      </w:r>
      <w:r w:rsidR="00742F76" w:rsidRPr="00560578">
        <w:rPr>
          <w:rFonts w:ascii="Times New Roman" w:eastAsia="Times New Roman" w:hAnsi="Times New Roman" w:cs="Times New Roman"/>
          <w:sz w:val="20"/>
          <w:szCs w:val="20"/>
        </w:rPr>
        <w:t xml:space="preserve">The two new reactors are to </w:t>
      </w:r>
      <w:r w:rsidR="00831BA5" w:rsidRPr="00560578">
        <w:rPr>
          <w:rFonts w:ascii="Times New Roman" w:eastAsia="Times New Roman" w:hAnsi="Times New Roman" w:cs="Times New Roman"/>
          <w:sz w:val="20"/>
          <w:szCs w:val="20"/>
        </w:rPr>
        <w:t xml:space="preserve">be </w:t>
      </w:r>
      <w:r w:rsidR="00742F76" w:rsidRPr="00560578">
        <w:rPr>
          <w:rFonts w:ascii="Times New Roman" w:eastAsia="Times New Roman" w:hAnsi="Times New Roman" w:cs="Times New Roman"/>
          <w:sz w:val="20"/>
          <w:szCs w:val="20"/>
        </w:rPr>
        <w:t>built and operated by NNB Generation Company Limited.</w:t>
      </w:r>
      <w:r w:rsidRPr="00560578">
        <w:rPr>
          <w:rFonts w:ascii="Times New Roman" w:eastAsia="Times New Roman" w:hAnsi="Times New Roman" w:cs="Times New Roman"/>
          <w:sz w:val="20"/>
          <w:szCs w:val="20"/>
        </w:rPr>
        <w:t xml:space="preserve">  </w:t>
      </w:r>
    </w:p>
    <w:p w14:paraId="6950D663" w14:textId="77777777" w:rsidR="0048170D" w:rsidRPr="00560578" w:rsidRDefault="0048170D" w:rsidP="00C36579">
      <w:pPr>
        <w:numPr>
          <w:ilvl w:val="0"/>
          <w:numId w:val="2"/>
        </w:numPr>
        <w:tabs>
          <w:tab w:val="num" w:pos="1710"/>
        </w:tabs>
        <w:suppressAutoHyphens/>
        <w:spacing w:before="120" w:after="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 </w:t>
      </w:r>
      <w:r w:rsidR="009A4A49" w:rsidRPr="00560578">
        <w:rPr>
          <w:rFonts w:ascii="Times New Roman" w:eastAsia="Times New Roman" w:hAnsi="Times New Roman" w:cs="Times New Roman"/>
          <w:sz w:val="20"/>
          <w:szCs w:val="20"/>
        </w:rPr>
        <w:t>The United Kingdom conducted an assessment as to whether th</w:t>
      </w:r>
      <w:r w:rsidR="00F610F6" w:rsidRPr="00560578">
        <w:rPr>
          <w:rFonts w:ascii="Times New Roman" w:eastAsia="Times New Roman" w:hAnsi="Times New Roman" w:cs="Times New Roman"/>
          <w:sz w:val="20"/>
          <w:szCs w:val="20"/>
        </w:rPr>
        <w:t>e</w:t>
      </w:r>
      <w:r w:rsidR="009A4A49" w:rsidRPr="00560578">
        <w:rPr>
          <w:rFonts w:ascii="Times New Roman" w:eastAsia="Times New Roman" w:hAnsi="Times New Roman" w:cs="Times New Roman"/>
          <w:sz w:val="20"/>
          <w:szCs w:val="20"/>
        </w:rPr>
        <w:t xml:space="preserve"> project required </w:t>
      </w:r>
      <w:r w:rsidR="002B0151" w:rsidRPr="00560578">
        <w:rPr>
          <w:rFonts w:ascii="Times New Roman" w:eastAsia="Times New Roman" w:hAnsi="Times New Roman" w:cs="Times New Roman"/>
          <w:sz w:val="20"/>
          <w:szCs w:val="20"/>
        </w:rPr>
        <w:t>a transboundary EIA in accordance with the Espoo Convention and article 7 of the Directive 2011/92/EU. On 11 April</w:t>
      </w:r>
      <w:r w:rsidRPr="00560578">
        <w:rPr>
          <w:rFonts w:ascii="Times New Roman" w:eastAsia="Times New Roman" w:hAnsi="Times New Roman" w:cs="Times New Roman"/>
          <w:sz w:val="20"/>
          <w:szCs w:val="20"/>
        </w:rPr>
        <w:t xml:space="preserve"> 2011, </w:t>
      </w:r>
      <w:r w:rsidR="002B0151" w:rsidRPr="00560578">
        <w:rPr>
          <w:rFonts w:ascii="Times New Roman" w:eastAsia="Times New Roman" w:hAnsi="Times New Roman" w:cs="Times New Roman"/>
          <w:sz w:val="20"/>
          <w:szCs w:val="20"/>
        </w:rPr>
        <w:t xml:space="preserve">the United Kingdom </w:t>
      </w:r>
      <w:r w:rsidR="00F610F6" w:rsidRPr="00560578">
        <w:rPr>
          <w:rFonts w:ascii="Times New Roman" w:eastAsia="Times New Roman" w:hAnsi="Times New Roman" w:cs="Times New Roman"/>
          <w:sz w:val="20"/>
          <w:szCs w:val="20"/>
        </w:rPr>
        <w:t xml:space="preserve">concluded </w:t>
      </w:r>
      <w:r w:rsidR="002B0151" w:rsidRPr="00560578">
        <w:rPr>
          <w:rFonts w:ascii="Times New Roman" w:eastAsia="Times New Roman" w:hAnsi="Times New Roman" w:cs="Times New Roman"/>
          <w:sz w:val="20"/>
          <w:szCs w:val="20"/>
        </w:rPr>
        <w:t>that the ‘proposed development is not likely to have a significant effect on the environment in another EEA State’.</w:t>
      </w:r>
      <w:r w:rsidR="002B0151" w:rsidRPr="00560578">
        <w:rPr>
          <w:rStyle w:val="FootnoteReference"/>
          <w:rFonts w:eastAsia="Times New Roman"/>
          <w:szCs w:val="20"/>
        </w:rPr>
        <w:footnoteReference w:id="4"/>
      </w:r>
      <w:r w:rsidR="00B540AA" w:rsidRPr="00560578">
        <w:rPr>
          <w:rFonts w:ascii="Times New Roman" w:eastAsia="Times New Roman" w:hAnsi="Times New Roman" w:cs="Times New Roman"/>
          <w:sz w:val="20"/>
          <w:szCs w:val="20"/>
        </w:rPr>
        <w:t xml:space="preserve"> </w:t>
      </w:r>
      <w:r w:rsidR="00C161C0" w:rsidRPr="00560578">
        <w:rPr>
          <w:rFonts w:ascii="Times New Roman" w:eastAsia="Times New Roman" w:hAnsi="Times New Roman" w:cs="Times New Roman"/>
          <w:sz w:val="20"/>
          <w:szCs w:val="20"/>
        </w:rPr>
        <w:t>Prior to taking the decision to approve the construction, the United Kingdom’s authorities carried out a national-level EIA, but in line with the above assessment n</w:t>
      </w:r>
      <w:r w:rsidR="00F610F6" w:rsidRPr="00560578">
        <w:rPr>
          <w:rFonts w:ascii="Times New Roman" w:eastAsia="Times New Roman" w:hAnsi="Times New Roman" w:cs="Times New Roman"/>
          <w:sz w:val="20"/>
          <w:szCs w:val="20"/>
        </w:rPr>
        <w:t xml:space="preserve">o </w:t>
      </w:r>
      <w:r w:rsidR="00B540AA" w:rsidRPr="00560578">
        <w:rPr>
          <w:rFonts w:ascii="Times New Roman" w:eastAsia="Times New Roman" w:hAnsi="Times New Roman" w:cs="Times New Roman"/>
          <w:sz w:val="20"/>
          <w:szCs w:val="20"/>
        </w:rPr>
        <w:t xml:space="preserve">transboundary EIA process </w:t>
      </w:r>
      <w:r w:rsidR="00F610F6" w:rsidRPr="00560578">
        <w:rPr>
          <w:rFonts w:ascii="Times New Roman" w:eastAsia="Times New Roman" w:hAnsi="Times New Roman" w:cs="Times New Roman"/>
          <w:sz w:val="20"/>
          <w:szCs w:val="20"/>
        </w:rPr>
        <w:t xml:space="preserve">was </w:t>
      </w:r>
      <w:r w:rsidR="00B540AA" w:rsidRPr="00560578">
        <w:rPr>
          <w:rFonts w:ascii="Times New Roman" w:eastAsia="Times New Roman" w:hAnsi="Times New Roman" w:cs="Times New Roman"/>
          <w:sz w:val="20"/>
          <w:szCs w:val="20"/>
        </w:rPr>
        <w:t xml:space="preserve">carried out. </w:t>
      </w:r>
    </w:p>
    <w:p w14:paraId="5D3D79A4" w14:textId="77777777" w:rsidR="00E44EA6" w:rsidRPr="00560578" w:rsidRDefault="003929AA" w:rsidP="007165AD">
      <w:pPr>
        <w:numPr>
          <w:ilvl w:val="0"/>
          <w:numId w:val="2"/>
        </w:numPr>
        <w:tabs>
          <w:tab w:val="num" w:pos="1710"/>
        </w:tabs>
        <w:suppressAutoHyphens/>
        <w:spacing w:before="120" w:after="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On 9 August 2011, in accordance with article 37 of the </w:t>
      </w:r>
      <w:proofErr w:type="spellStart"/>
      <w:r w:rsidRPr="00560578">
        <w:rPr>
          <w:rFonts w:ascii="Times New Roman" w:eastAsia="Times New Roman" w:hAnsi="Times New Roman" w:cs="Times New Roman"/>
          <w:sz w:val="20"/>
          <w:szCs w:val="20"/>
        </w:rPr>
        <w:t>Euratom</w:t>
      </w:r>
      <w:proofErr w:type="spellEnd"/>
      <w:r w:rsidRPr="00560578">
        <w:rPr>
          <w:rFonts w:ascii="Times New Roman" w:eastAsia="Times New Roman" w:hAnsi="Times New Roman" w:cs="Times New Roman"/>
          <w:sz w:val="20"/>
          <w:szCs w:val="20"/>
        </w:rPr>
        <w:t xml:space="preserve"> Treaty, the United Kingdom submitted to the European Commission “general data” relating to the plan for the disposal of radioactive waste arising from the two reactors proposed for </w:t>
      </w:r>
      <w:proofErr w:type="spellStart"/>
      <w:r w:rsidRPr="00560578">
        <w:rPr>
          <w:rFonts w:ascii="Times New Roman" w:eastAsia="Times New Roman" w:hAnsi="Times New Roman" w:cs="Times New Roman"/>
          <w:sz w:val="20"/>
          <w:szCs w:val="20"/>
        </w:rPr>
        <w:t>Hinkley</w:t>
      </w:r>
      <w:proofErr w:type="spellEnd"/>
      <w:r w:rsidRPr="00560578">
        <w:rPr>
          <w:rFonts w:ascii="Times New Roman" w:eastAsia="Times New Roman" w:hAnsi="Times New Roman" w:cs="Times New Roman"/>
          <w:sz w:val="20"/>
          <w:szCs w:val="20"/>
        </w:rPr>
        <w:t xml:space="preserve"> Point C. </w:t>
      </w:r>
      <w:r w:rsidR="00E44EA6" w:rsidRPr="00560578">
        <w:rPr>
          <w:rFonts w:ascii="Times New Roman" w:eastAsia="Times New Roman" w:hAnsi="Times New Roman" w:cs="Times New Roman"/>
          <w:sz w:val="20"/>
          <w:szCs w:val="20"/>
        </w:rPr>
        <w:t xml:space="preserve">On 3 February 2012, the European Commission </w:t>
      </w:r>
      <w:r w:rsidRPr="00560578">
        <w:rPr>
          <w:rFonts w:ascii="Times New Roman" w:eastAsia="Times New Roman" w:hAnsi="Times New Roman" w:cs="Times New Roman"/>
          <w:sz w:val="20"/>
          <w:szCs w:val="20"/>
        </w:rPr>
        <w:t xml:space="preserve">issued </w:t>
      </w:r>
      <w:r w:rsidR="00E44EA6" w:rsidRPr="00560578">
        <w:rPr>
          <w:rFonts w:ascii="Times New Roman" w:eastAsia="Times New Roman" w:hAnsi="Times New Roman" w:cs="Times New Roman"/>
          <w:sz w:val="20"/>
          <w:szCs w:val="20"/>
        </w:rPr>
        <w:t xml:space="preserve">its opinion </w:t>
      </w:r>
      <w:r w:rsidR="00F610F6" w:rsidRPr="00560578">
        <w:rPr>
          <w:rFonts w:ascii="Times New Roman" w:eastAsia="Times New Roman" w:hAnsi="Times New Roman" w:cs="Times New Roman"/>
          <w:sz w:val="20"/>
          <w:szCs w:val="20"/>
        </w:rPr>
        <w:t xml:space="preserve">under Article 37 of the </w:t>
      </w:r>
      <w:proofErr w:type="spellStart"/>
      <w:r w:rsidR="00F610F6" w:rsidRPr="00560578">
        <w:rPr>
          <w:rFonts w:ascii="Times New Roman" w:eastAsia="Times New Roman" w:hAnsi="Times New Roman" w:cs="Times New Roman"/>
          <w:sz w:val="20"/>
          <w:szCs w:val="20"/>
        </w:rPr>
        <w:t>Euratom</w:t>
      </w:r>
      <w:proofErr w:type="spellEnd"/>
      <w:r w:rsidR="00F610F6" w:rsidRPr="00560578">
        <w:rPr>
          <w:rFonts w:ascii="Times New Roman" w:eastAsia="Times New Roman" w:hAnsi="Times New Roman" w:cs="Times New Roman"/>
          <w:sz w:val="20"/>
          <w:szCs w:val="20"/>
        </w:rPr>
        <w:t xml:space="preserve"> Treaty</w:t>
      </w:r>
      <w:r w:rsidR="00E44EA6" w:rsidRPr="00560578">
        <w:rPr>
          <w:rFonts w:ascii="Times New Roman" w:eastAsia="Times New Roman" w:hAnsi="Times New Roman" w:cs="Times New Roman"/>
          <w:sz w:val="20"/>
          <w:szCs w:val="20"/>
        </w:rPr>
        <w:t xml:space="preserve">. It </w:t>
      </w:r>
      <w:r w:rsidR="00F610F6" w:rsidRPr="00560578">
        <w:rPr>
          <w:rFonts w:ascii="Times New Roman" w:eastAsia="Times New Roman" w:hAnsi="Times New Roman" w:cs="Times New Roman"/>
          <w:sz w:val="20"/>
          <w:szCs w:val="20"/>
        </w:rPr>
        <w:t xml:space="preserve">concluded </w:t>
      </w:r>
      <w:r w:rsidR="00E44EA6" w:rsidRPr="00560578">
        <w:rPr>
          <w:rFonts w:ascii="Times New Roman" w:eastAsia="Times New Roman" w:hAnsi="Times New Roman" w:cs="Times New Roman"/>
          <w:sz w:val="20"/>
          <w:szCs w:val="20"/>
        </w:rPr>
        <w:t>that the implementation of the plan for the disposal of radioactive waste was not liable to result in a radioactive contamination of the water, so</w:t>
      </w:r>
      <w:r w:rsidR="00356927" w:rsidRPr="00560578">
        <w:rPr>
          <w:rFonts w:ascii="Times New Roman" w:eastAsia="Times New Roman" w:hAnsi="Times New Roman" w:cs="Times New Roman"/>
          <w:sz w:val="20"/>
          <w:szCs w:val="20"/>
        </w:rPr>
        <w:t>i</w:t>
      </w:r>
      <w:r w:rsidR="00E44EA6" w:rsidRPr="00560578">
        <w:rPr>
          <w:rFonts w:ascii="Times New Roman" w:eastAsia="Times New Roman" w:hAnsi="Times New Roman" w:cs="Times New Roman"/>
          <w:sz w:val="20"/>
          <w:szCs w:val="20"/>
        </w:rPr>
        <w:t>l or airspace of another member state that would be significant from the point of view of health.</w:t>
      </w:r>
    </w:p>
    <w:p w14:paraId="1A707514" w14:textId="77777777" w:rsidR="0048170D" w:rsidRPr="00560578" w:rsidRDefault="0046123F" w:rsidP="00C36579">
      <w:pPr>
        <w:numPr>
          <w:ilvl w:val="0"/>
          <w:numId w:val="2"/>
        </w:numPr>
        <w:tabs>
          <w:tab w:val="num" w:pos="1710"/>
        </w:tabs>
        <w:suppressAutoHyphens/>
        <w:spacing w:before="120" w:after="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In letters </w:t>
      </w:r>
      <w:r w:rsidR="00356927" w:rsidRPr="00560578">
        <w:rPr>
          <w:rFonts w:ascii="Times New Roman" w:eastAsia="Times New Roman" w:hAnsi="Times New Roman" w:cs="Times New Roman"/>
          <w:sz w:val="20"/>
          <w:szCs w:val="20"/>
        </w:rPr>
        <w:t xml:space="preserve">of </w:t>
      </w:r>
      <w:r w:rsidRPr="00560578">
        <w:rPr>
          <w:rFonts w:ascii="Times New Roman" w:eastAsia="Times New Roman" w:hAnsi="Times New Roman" w:cs="Times New Roman"/>
          <w:sz w:val="20"/>
          <w:szCs w:val="20"/>
        </w:rPr>
        <w:t xml:space="preserve">October and November 2012, the United Kingdom granted Austria the opportunity to comment on the proposed activity. The opportunity was granted upon request from the Austrian government after the </w:t>
      </w:r>
      <w:r w:rsidR="00356927" w:rsidRPr="00560578">
        <w:rPr>
          <w:rFonts w:ascii="Times New Roman" w:eastAsia="Times New Roman" w:hAnsi="Times New Roman" w:cs="Times New Roman"/>
          <w:sz w:val="20"/>
          <w:szCs w:val="20"/>
        </w:rPr>
        <w:t xml:space="preserve">United Kingdom’s </w:t>
      </w:r>
      <w:r w:rsidRPr="00560578">
        <w:rPr>
          <w:rFonts w:ascii="Times New Roman" w:eastAsia="Times New Roman" w:hAnsi="Times New Roman" w:cs="Times New Roman"/>
          <w:sz w:val="20"/>
          <w:szCs w:val="20"/>
        </w:rPr>
        <w:t xml:space="preserve">national EIA process had been completed. These letters were made available by Austria to Germany upon request in February 2013. </w:t>
      </w:r>
    </w:p>
    <w:p w14:paraId="67483457" w14:textId="77777777" w:rsidR="0046123F" w:rsidRPr="00560578" w:rsidRDefault="0046123F" w:rsidP="00C36579">
      <w:pPr>
        <w:numPr>
          <w:ilvl w:val="0"/>
          <w:numId w:val="2"/>
        </w:numPr>
        <w:tabs>
          <w:tab w:val="num" w:pos="1710"/>
        </w:tabs>
        <w:suppressAutoHyphens/>
        <w:spacing w:before="120" w:after="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In February 2013, the public </w:t>
      </w:r>
      <w:r w:rsidR="00C161C0" w:rsidRPr="00560578">
        <w:rPr>
          <w:rFonts w:ascii="Times New Roman" w:eastAsia="Times New Roman" w:hAnsi="Times New Roman" w:cs="Times New Roman"/>
          <w:sz w:val="20"/>
          <w:szCs w:val="20"/>
        </w:rPr>
        <w:t xml:space="preserve">in Germany </w:t>
      </w:r>
      <w:r w:rsidRPr="00560578">
        <w:rPr>
          <w:rFonts w:ascii="Times New Roman" w:eastAsia="Times New Roman" w:hAnsi="Times New Roman" w:cs="Times New Roman"/>
          <w:sz w:val="20"/>
          <w:szCs w:val="20"/>
        </w:rPr>
        <w:t xml:space="preserve">was informed by </w:t>
      </w:r>
      <w:r w:rsidR="00A83C4C" w:rsidRPr="00560578">
        <w:rPr>
          <w:rFonts w:ascii="Times New Roman" w:eastAsia="Times New Roman" w:hAnsi="Times New Roman" w:cs="Times New Roman"/>
          <w:sz w:val="20"/>
          <w:szCs w:val="20"/>
        </w:rPr>
        <w:t>members of</w:t>
      </w:r>
      <w:r w:rsidRPr="00560578">
        <w:rPr>
          <w:rFonts w:ascii="Times New Roman" w:eastAsia="Times New Roman" w:hAnsi="Times New Roman" w:cs="Times New Roman"/>
          <w:sz w:val="20"/>
          <w:szCs w:val="20"/>
        </w:rPr>
        <w:t xml:space="preserve"> the public </w:t>
      </w:r>
      <w:r w:rsidR="00C161C0" w:rsidRPr="00560578">
        <w:rPr>
          <w:rFonts w:ascii="Times New Roman" w:eastAsia="Times New Roman" w:hAnsi="Times New Roman" w:cs="Times New Roman"/>
          <w:sz w:val="20"/>
          <w:szCs w:val="20"/>
        </w:rPr>
        <w:t xml:space="preserve">in Austria </w:t>
      </w:r>
      <w:r w:rsidRPr="00560578">
        <w:rPr>
          <w:rFonts w:ascii="Times New Roman" w:eastAsia="Times New Roman" w:hAnsi="Times New Roman" w:cs="Times New Roman"/>
          <w:sz w:val="20"/>
          <w:szCs w:val="20"/>
        </w:rPr>
        <w:t xml:space="preserve">of the existence of </w:t>
      </w:r>
      <w:r w:rsidR="00A83C4C" w:rsidRPr="00560578">
        <w:rPr>
          <w:rFonts w:ascii="Times New Roman" w:eastAsia="Times New Roman" w:hAnsi="Times New Roman" w:cs="Times New Roman"/>
          <w:sz w:val="20"/>
          <w:szCs w:val="20"/>
        </w:rPr>
        <w:t xml:space="preserve">the </w:t>
      </w:r>
      <w:r w:rsidRPr="00560578">
        <w:rPr>
          <w:rFonts w:ascii="Times New Roman" w:eastAsia="Times New Roman" w:hAnsi="Times New Roman" w:cs="Times New Roman"/>
          <w:sz w:val="20"/>
          <w:szCs w:val="20"/>
        </w:rPr>
        <w:t xml:space="preserve">EIA procedure for </w:t>
      </w:r>
      <w:proofErr w:type="spellStart"/>
      <w:r w:rsidR="00A83C4C" w:rsidRPr="00560578">
        <w:rPr>
          <w:rFonts w:ascii="Times New Roman" w:eastAsia="Times New Roman" w:hAnsi="Times New Roman" w:cs="Times New Roman"/>
          <w:sz w:val="20"/>
          <w:szCs w:val="20"/>
        </w:rPr>
        <w:t>Hinkley</w:t>
      </w:r>
      <w:proofErr w:type="spellEnd"/>
      <w:r w:rsidR="00A83C4C" w:rsidRPr="00560578">
        <w:rPr>
          <w:rFonts w:ascii="Times New Roman" w:eastAsia="Times New Roman" w:hAnsi="Times New Roman" w:cs="Times New Roman"/>
          <w:sz w:val="20"/>
          <w:szCs w:val="20"/>
        </w:rPr>
        <w:t xml:space="preserve"> Point C</w:t>
      </w:r>
      <w:r w:rsidRPr="00560578">
        <w:rPr>
          <w:rFonts w:ascii="Times New Roman" w:eastAsia="Times New Roman" w:hAnsi="Times New Roman" w:cs="Times New Roman"/>
          <w:sz w:val="20"/>
          <w:szCs w:val="20"/>
        </w:rPr>
        <w:t>.</w:t>
      </w:r>
    </w:p>
    <w:p w14:paraId="580CD0A9" w14:textId="77777777" w:rsidR="0048170D" w:rsidRPr="00560578" w:rsidRDefault="00E44EA6" w:rsidP="00C36579">
      <w:pPr>
        <w:numPr>
          <w:ilvl w:val="0"/>
          <w:numId w:val="2"/>
        </w:numPr>
        <w:tabs>
          <w:tab w:val="num" w:pos="1710"/>
        </w:tabs>
        <w:suppressAutoHyphens/>
        <w:spacing w:before="120" w:after="0" w:line="240" w:lineRule="atLeast"/>
        <w:ind w:left="1134" w:right="1134" w:firstLine="0"/>
        <w:jc w:val="both"/>
        <w:rPr>
          <w:rFonts w:ascii="Times New Roman" w:eastAsia="Times New Roman" w:hAnsi="Times New Roman" w:cs="Times New Roman"/>
          <w:sz w:val="20"/>
          <w:szCs w:val="20"/>
        </w:rPr>
      </w:pPr>
      <w:bookmarkStart w:id="0" w:name="_Ref434323795"/>
      <w:r w:rsidRPr="00560578">
        <w:rPr>
          <w:rFonts w:ascii="Times New Roman" w:eastAsia="Times New Roman" w:hAnsi="Times New Roman" w:cs="Times New Roman"/>
          <w:sz w:val="20"/>
          <w:szCs w:val="20"/>
        </w:rPr>
        <w:t xml:space="preserve">On 25 February 2013, </w:t>
      </w:r>
      <w:r w:rsidR="00742F76" w:rsidRPr="00560578">
        <w:rPr>
          <w:rFonts w:ascii="Times New Roman" w:eastAsia="Times New Roman" w:hAnsi="Times New Roman" w:cs="Times New Roman"/>
          <w:sz w:val="20"/>
          <w:szCs w:val="20"/>
        </w:rPr>
        <w:t xml:space="preserve">a petition was sent by </w:t>
      </w:r>
      <w:r w:rsidR="00DC4F05" w:rsidRPr="00560578">
        <w:rPr>
          <w:rFonts w:ascii="Times New Roman" w:eastAsia="Times New Roman" w:hAnsi="Times New Roman" w:cs="Times New Roman"/>
          <w:sz w:val="20"/>
          <w:szCs w:val="20"/>
        </w:rPr>
        <w:t xml:space="preserve">the communicant and other </w:t>
      </w:r>
      <w:r w:rsidR="00A83C4C" w:rsidRPr="00560578">
        <w:rPr>
          <w:rFonts w:ascii="Times New Roman" w:eastAsia="Times New Roman" w:hAnsi="Times New Roman" w:cs="Times New Roman"/>
          <w:sz w:val="20"/>
          <w:szCs w:val="20"/>
        </w:rPr>
        <w:t xml:space="preserve">members of </w:t>
      </w:r>
      <w:r w:rsidRPr="00560578">
        <w:rPr>
          <w:rFonts w:ascii="Times New Roman" w:eastAsia="Times New Roman" w:hAnsi="Times New Roman" w:cs="Times New Roman"/>
          <w:sz w:val="20"/>
          <w:szCs w:val="20"/>
        </w:rPr>
        <w:t xml:space="preserve">the public </w:t>
      </w:r>
      <w:r w:rsidR="00C161C0" w:rsidRPr="00560578">
        <w:rPr>
          <w:rFonts w:ascii="Times New Roman" w:eastAsia="Times New Roman" w:hAnsi="Times New Roman" w:cs="Times New Roman"/>
          <w:sz w:val="20"/>
          <w:szCs w:val="20"/>
        </w:rPr>
        <w:t xml:space="preserve">in Germany </w:t>
      </w:r>
      <w:r w:rsidR="00742F76" w:rsidRPr="00560578">
        <w:rPr>
          <w:rFonts w:ascii="Times New Roman" w:eastAsia="Times New Roman" w:hAnsi="Times New Roman" w:cs="Times New Roman"/>
          <w:sz w:val="20"/>
          <w:szCs w:val="20"/>
        </w:rPr>
        <w:t>jointly to</w:t>
      </w:r>
      <w:r w:rsidR="00C161C0" w:rsidRPr="00560578">
        <w:rPr>
          <w:rFonts w:ascii="Times New Roman" w:eastAsia="Times New Roman" w:hAnsi="Times New Roman" w:cs="Times New Roman"/>
          <w:sz w:val="20"/>
          <w:szCs w:val="20"/>
        </w:rPr>
        <w:t xml:space="preserve"> the </w:t>
      </w:r>
      <w:r w:rsidR="00742F76" w:rsidRPr="00560578">
        <w:rPr>
          <w:rFonts w:ascii="Times New Roman" w:eastAsia="Times New Roman" w:hAnsi="Times New Roman" w:cs="Times New Roman"/>
          <w:sz w:val="20"/>
          <w:szCs w:val="20"/>
        </w:rPr>
        <w:t xml:space="preserve">NNB Generation Company Limited, the European Commission Directorate-General Environment and Mr. Peter </w:t>
      </w:r>
      <w:proofErr w:type="spellStart"/>
      <w:r w:rsidR="00742F76" w:rsidRPr="00560578">
        <w:rPr>
          <w:rFonts w:ascii="Times New Roman" w:eastAsia="Times New Roman" w:hAnsi="Times New Roman" w:cs="Times New Roman"/>
          <w:sz w:val="20"/>
          <w:szCs w:val="20"/>
        </w:rPr>
        <w:t>Altmeier</w:t>
      </w:r>
      <w:proofErr w:type="spellEnd"/>
      <w:r w:rsidR="00742F76" w:rsidRPr="00560578">
        <w:rPr>
          <w:rFonts w:ascii="Times New Roman" w:eastAsia="Times New Roman" w:hAnsi="Times New Roman" w:cs="Times New Roman"/>
          <w:sz w:val="20"/>
          <w:szCs w:val="20"/>
        </w:rPr>
        <w:t>, Federal Minister of the Environment for Germany</w:t>
      </w:r>
      <w:r w:rsidR="00F22A6E" w:rsidRPr="00560578">
        <w:rPr>
          <w:rFonts w:ascii="Times New Roman" w:eastAsia="Times New Roman" w:hAnsi="Times New Roman" w:cs="Times New Roman"/>
          <w:sz w:val="20"/>
          <w:szCs w:val="20"/>
        </w:rPr>
        <w:t>,</w:t>
      </w:r>
      <w:r w:rsidR="00C161C0" w:rsidRPr="00560578">
        <w:rPr>
          <w:rFonts w:ascii="Times New Roman" w:eastAsia="Times New Roman" w:hAnsi="Times New Roman" w:cs="Times New Roman"/>
          <w:sz w:val="20"/>
          <w:szCs w:val="20"/>
        </w:rPr>
        <w:t xml:space="preserve"> </w:t>
      </w:r>
      <w:r w:rsidR="00742F76" w:rsidRPr="00560578">
        <w:rPr>
          <w:rFonts w:ascii="Times New Roman" w:eastAsia="Times New Roman" w:hAnsi="Times New Roman" w:cs="Times New Roman"/>
          <w:sz w:val="20"/>
          <w:szCs w:val="20"/>
        </w:rPr>
        <w:t xml:space="preserve">protesting against the </w:t>
      </w:r>
      <w:r w:rsidR="00D44E84" w:rsidRPr="00560578">
        <w:rPr>
          <w:rFonts w:ascii="Times New Roman" w:eastAsia="Times New Roman" w:hAnsi="Times New Roman" w:cs="Times New Roman"/>
          <w:sz w:val="20"/>
          <w:szCs w:val="20"/>
        </w:rPr>
        <w:t xml:space="preserve">proposed construction of the two new reactors at </w:t>
      </w:r>
      <w:proofErr w:type="spellStart"/>
      <w:r w:rsidR="00D44E84" w:rsidRPr="00560578">
        <w:rPr>
          <w:rFonts w:ascii="Times New Roman" w:eastAsia="Times New Roman" w:hAnsi="Times New Roman" w:cs="Times New Roman"/>
          <w:sz w:val="20"/>
          <w:szCs w:val="20"/>
        </w:rPr>
        <w:t>Hinkley</w:t>
      </w:r>
      <w:proofErr w:type="spellEnd"/>
      <w:r w:rsidR="00D44E84" w:rsidRPr="00560578">
        <w:rPr>
          <w:rFonts w:ascii="Times New Roman" w:eastAsia="Times New Roman" w:hAnsi="Times New Roman" w:cs="Times New Roman"/>
          <w:sz w:val="20"/>
          <w:szCs w:val="20"/>
        </w:rPr>
        <w:t xml:space="preserve"> Point C and </w:t>
      </w:r>
      <w:r w:rsidR="00C161C0" w:rsidRPr="00560578">
        <w:rPr>
          <w:rFonts w:ascii="Times New Roman" w:eastAsia="Times New Roman" w:hAnsi="Times New Roman" w:cs="Times New Roman"/>
          <w:sz w:val="20"/>
          <w:szCs w:val="20"/>
        </w:rPr>
        <w:t xml:space="preserve">requesting </w:t>
      </w:r>
      <w:r w:rsidRPr="00560578">
        <w:rPr>
          <w:rFonts w:ascii="Times New Roman" w:eastAsia="Times New Roman" w:hAnsi="Times New Roman" w:cs="Times New Roman"/>
          <w:sz w:val="20"/>
          <w:szCs w:val="20"/>
        </w:rPr>
        <w:t xml:space="preserve">to participate in the EIA process on the basis of the </w:t>
      </w:r>
      <w:r w:rsidR="00D44E84" w:rsidRPr="00560578">
        <w:rPr>
          <w:rFonts w:ascii="Times New Roman" w:eastAsia="Times New Roman" w:hAnsi="Times New Roman" w:cs="Times New Roman"/>
          <w:sz w:val="20"/>
          <w:szCs w:val="20"/>
        </w:rPr>
        <w:t>Aarhus and</w:t>
      </w:r>
      <w:r w:rsidRPr="00560578">
        <w:rPr>
          <w:rFonts w:ascii="Times New Roman" w:eastAsia="Times New Roman" w:hAnsi="Times New Roman" w:cs="Times New Roman"/>
          <w:sz w:val="20"/>
          <w:szCs w:val="20"/>
        </w:rPr>
        <w:t xml:space="preserve"> Espoo Convention</w:t>
      </w:r>
      <w:r w:rsidR="00D44E84" w:rsidRPr="00560578">
        <w:rPr>
          <w:rFonts w:ascii="Times New Roman" w:eastAsia="Times New Roman" w:hAnsi="Times New Roman" w:cs="Times New Roman"/>
          <w:sz w:val="20"/>
          <w:szCs w:val="20"/>
        </w:rPr>
        <w:t>s and the EIA Directive</w:t>
      </w:r>
      <w:r w:rsidRPr="00560578">
        <w:rPr>
          <w:rFonts w:ascii="Times New Roman" w:eastAsia="Times New Roman" w:hAnsi="Times New Roman" w:cs="Times New Roman"/>
          <w:sz w:val="20"/>
          <w:szCs w:val="20"/>
        </w:rPr>
        <w:t>.</w:t>
      </w:r>
      <w:bookmarkEnd w:id="0"/>
      <w:r w:rsidRPr="00560578">
        <w:rPr>
          <w:rFonts w:ascii="Times New Roman" w:eastAsia="Times New Roman" w:hAnsi="Times New Roman" w:cs="Times New Roman"/>
          <w:sz w:val="20"/>
          <w:szCs w:val="20"/>
        </w:rPr>
        <w:t xml:space="preserve"> </w:t>
      </w:r>
    </w:p>
    <w:p w14:paraId="7EADC22D" w14:textId="77777777" w:rsidR="00D44E84" w:rsidRPr="00560578" w:rsidRDefault="0048170D" w:rsidP="00C36579">
      <w:pPr>
        <w:numPr>
          <w:ilvl w:val="0"/>
          <w:numId w:val="2"/>
        </w:numPr>
        <w:tabs>
          <w:tab w:val="num" w:pos="1710"/>
        </w:tabs>
        <w:suppressAutoHyphens/>
        <w:spacing w:before="120" w:after="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On </w:t>
      </w:r>
      <w:r w:rsidR="001A1F8F" w:rsidRPr="00560578">
        <w:rPr>
          <w:rFonts w:ascii="Times New Roman" w:eastAsia="Times New Roman" w:hAnsi="Times New Roman" w:cs="Times New Roman"/>
          <w:sz w:val="20"/>
          <w:szCs w:val="20"/>
        </w:rPr>
        <w:t xml:space="preserve">28 February 2013, the </w:t>
      </w:r>
      <w:r w:rsidR="00A83C4C" w:rsidRPr="00560578">
        <w:rPr>
          <w:rFonts w:ascii="Times New Roman" w:eastAsia="Times New Roman" w:hAnsi="Times New Roman" w:cs="Times New Roman"/>
          <w:sz w:val="20"/>
          <w:szCs w:val="20"/>
        </w:rPr>
        <w:t>c</w:t>
      </w:r>
      <w:r w:rsidR="001A1F8F" w:rsidRPr="00560578">
        <w:rPr>
          <w:rFonts w:ascii="Times New Roman" w:eastAsia="Times New Roman" w:hAnsi="Times New Roman" w:cs="Times New Roman"/>
          <w:sz w:val="20"/>
          <w:szCs w:val="20"/>
        </w:rPr>
        <w:t xml:space="preserve">ommunicant sent a letter to the </w:t>
      </w:r>
      <w:r w:rsidR="00D44E84" w:rsidRPr="00560578">
        <w:rPr>
          <w:rFonts w:ascii="Times New Roman" w:eastAsia="Times New Roman" w:hAnsi="Times New Roman" w:cs="Times New Roman"/>
          <w:sz w:val="20"/>
          <w:szCs w:val="20"/>
        </w:rPr>
        <w:t>Federal Minister of the Environment for Germany</w:t>
      </w:r>
      <w:r w:rsidR="00A56355" w:rsidRPr="00560578">
        <w:rPr>
          <w:rFonts w:ascii="Times New Roman" w:eastAsia="Times New Roman" w:hAnsi="Times New Roman" w:cs="Times New Roman"/>
          <w:sz w:val="20"/>
          <w:szCs w:val="20"/>
        </w:rPr>
        <w:t xml:space="preserve"> </w:t>
      </w:r>
      <w:r w:rsidR="001A1F8F" w:rsidRPr="00560578">
        <w:rPr>
          <w:rFonts w:ascii="Times New Roman" w:eastAsia="Times New Roman" w:hAnsi="Times New Roman" w:cs="Times New Roman"/>
          <w:sz w:val="20"/>
          <w:szCs w:val="20"/>
        </w:rPr>
        <w:t xml:space="preserve">requesting the public </w:t>
      </w:r>
      <w:r w:rsidR="00D44E84" w:rsidRPr="00560578">
        <w:rPr>
          <w:rFonts w:ascii="Times New Roman" w:eastAsia="Times New Roman" w:hAnsi="Times New Roman" w:cs="Times New Roman"/>
          <w:sz w:val="20"/>
          <w:szCs w:val="20"/>
        </w:rPr>
        <w:t xml:space="preserve">of Germany </w:t>
      </w:r>
      <w:r w:rsidR="00F22A6E" w:rsidRPr="00560578">
        <w:rPr>
          <w:rFonts w:ascii="Times New Roman" w:eastAsia="Times New Roman" w:hAnsi="Times New Roman" w:cs="Times New Roman"/>
          <w:sz w:val="20"/>
          <w:szCs w:val="20"/>
        </w:rPr>
        <w:t xml:space="preserve">be given the opportunity to participate </w:t>
      </w:r>
      <w:r w:rsidR="001A1F8F" w:rsidRPr="00560578">
        <w:rPr>
          <w:rFonts w:ascii="Times New Roman" w:eastAsia="Times New Roman" w:hAnsi="Times New Roman" w:cs="Times New Roman"/>
          <w:sz w:val="20"/>
          <w:szCs w:val="20"/>
        </w:rPr>
        <w:t xml:space="preserve">in an EIA on </w:t>
      </w:r>
      <w:proofErr w:type="spellStart"/>
      <w:r w:rsidR="00A83C4C" w:rsidRPr="00560578">
        <w:rPr>
          <w:rFonts w:ascii="Times New Roman" w:eastAsia="Times New Roman" w:hAnsi="Times New Roman" w:cs="Times New Roman"/>
          <w:sz w:val="20"/>
          <w:szCs w:val="20"/>
        </w:rPr>
        <w:t>Hinkley</w:t>
      </w:r>
      <w:proofErr w:type="spellEnd"/>
      <w:r w:rsidR="00A83C4C" w:rsidRPr="00560578">
        <w:rPr>
          <w:rFonts w:ascii="Times New Roman" w:eastAsia="Times New Roman" w:hAnsi="Times New Roman" w:cs="Times New Roman"/>
          <w:sz w:val="20"/>
          <w:szCs w:val="20"/>
        </w:rPr>
        <w:t xml:space="preserve"> Point C</w:t>
      </w:r>
      <w:r w:rsidR="00D44E84" w:rsidRPr="00560578">
        <w:rPr>
          <w:rFonts w:ascii="Times New Roman" w:eastAsia="Times New Roman" w:hAnsi="Times New Roman" w:cs="Times New Roman"/>
          <w:sz w:val="20"/>
          <w:szCs w:val="20"/>
        </w:rPr>
        <w:t xml:space="preserve"> in the same manner as the public of the United Kingdom</w:t>
      </w:r>
      <w:r w:rsidR="00DC4F05" w:rsidRPr="00560578">
        <w:rPr>
          <w:rFonts w:ascii="Times New Roman" w:eastAsia="Times New Roman" w:hAnsi="Times New Roman" w:cs="Times New Roman"/>
          <w:sz w:val="20"/>
          <w:szCs w:val="20"/>
        </w:rPr>
        <w:t xml:space="preserve"> on the basis that</w:t>
      </w:r>
      <w:r w:rsidR="00D44E84" w:rsidRPr="00560578">
        <w:rPr>
          <w:rFonts w:ascii="Times New Roman" w:eastAsia="Times New Roman" w:hAnsi="Times New Roman" w:cs="Times New Roman"/>
          <w:sz w:val="20"/>
          <w:szCs w:val="20"/>
        </w:rPr>
        <w:t xml:space="preserve"> the public in Germany would likewise be affected in the case of a nuclear accident at the plant</w:t>
      </w:r>
      <w:r w:rsidR="001A1F8F" w:rsidRPr="00560578">
        <w:rPr>
          <w:rFonts w:ascii="Times New Roman" w:eastAsia="Times New Roman" w:hAnsi="Times New Roman" w:cs="Times New Roman"/>
          <w:sz w:val="20"/>
          <w:szCs w:val="20"/>
        </w:rPr>
        <w:t>.</w:t>
      </w:r>
      <w:r w:rsidR="000710F3" w:rsidRPr="00560578">
        <w:rPr>
          <w:rFonts w:ascii="Times New Roman" w:eastAsia="Times New Roman" w:hAnsi="Times New Roman" w:cs="Times New Roman"/>
          <w:sz w:val="20"/>
          <w:szCs w:val="20"/>
        </w:rPr>
        <w:t xml:space="preserve"> </w:t>
      </w:r>
    </w:p>
    <w:p w14:paraId="6AFF2FEE" w14:textId="77777777" w:rsidR="0048170D" w:rsidRPr="00560578" w:rsidRDefault="00D44E84" w:rsidP="00C36579">
      <w:pPr>
        <w:numPr>
          <w:ilvl w:val="0"/>
          <w:numId w:val="2"/>
        </w:numPr>
        <w:tabs>
          <w:tab w:val="num" w:pos="1710"/>
        </w:tabs>
        <w:suppressAutoHyphens/>
        <w:spacing w:before="120" w:after="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On 27 March 2013, the </w:t>
      </w:r>
      <w:r w:rsidR="00DC4F05" w:rsidRPr="00560578">
        <w:rPr>
          <w:rFonts w:ascii="Times New Roman" w:eastAsia="Times New Roman" w:hAnsi="Times New Roman" w:cs="Times New Roman"/>
          <w:sz w:val="20"/>
          <w:szCs w:val="20"/>
        </w:rPr>
        <w:t>Federal Ministry for the Environment (BMU) replied to the communicant</w:t>
      </w:r>
      <w:r w:rsidR="00894869" w:rsidRPr="00560578">
        <w:rPr>
          <w:rFonts w:ascii="Times New Roman" w:eastAsia="Times New Roman" w:hAnsi="Times New Roman" w:cs="Times New Roman"/>
          <w:sz w:val="20"/>
          <w:szCs w:val="20"/>
        </w:rPr>
        <w:t>,</w:t>
      </w:r>
      <w:r w:rsidR="00DC4F05" w:rsidRPr="00560578">
        <w:rPr>
          <w:rFonts w:ascii="Times New Roman" w:eastAsia="Times New Roman" w:hAnsi="Times New Roman" w:cs="Times New Roman"/>
          <w:sz w:val="20"/>
          <w:szCs w:val="20"/>
        </w:rPr>
        <w:t xml:space="preserve"> refusing the communicant’s request on the basis that both the United Kingdom and the European Commission had concluded that the </w:t>
      </w:r>
      <w:proofErr w:type="spellStart"/>
      <w:r w:rsidR="00DC4F05" w:rsidRPr="00560578">
        <w:rPr>
          <w:rFonts w:ascii="Times New Roman" w:eastAsia="Times New Roman" w:hAnsi="Times New Roman" w:cs="Times New Roman"/>
          <w:sz w:val="20"/>
          <w:szCs w:val="20"/>
        </w:rPr>
        <w:t>Hinkley</w:t>
      </w:r>
      <w:proofErr w:type="spellEnd"/>
      <w:r w:rsidR="00DC4F05" w:rsidRPr="00560578">
        <w:rPr>
          <w:rFonts w:ascii="Times New Roman" w:eastAsia="Times New Roman" w:hAnsi="Times New Roman" w:cs="Times New Roman"/>
          <w:sz w:val="20"/>
          <w:szCs w:val="20"/>
        </w:rPr>
        <w:t xml:space="preserve"> Point C project would have no serious impact on neighbouring states and that Germany saw no reason to doubt their evaluations. </w:t>
      </w:r>
    </w:p>
    <w:p w14:paraId="5ADEB9C4" w14:textId="77777777" w:rsidR="000710F3" w:rsidRPr="00560578" w:rsidRDefault="00DC4F05" w:rsidP="00C36579">
      <w:pPr>
        <w:numPr>
          <w:ilvl w:val="0"/>
          <w:numId w:val="2"/>
        </w:numPr>
        <w:tabs>
          <w:tab w:val="num" w:pos="1710"/>
        </w:tabs>
        <w:suppressAutoHyphens/>
        <w:spacing w:before="120" w:after="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As a result of a request by </w:t>
      </w:r>
      <w:r w:rsidR="000710F3" w:rsidRPr="00560578">
        <w:rPr>
          <w:rFonts w:ascii="Times New Roman" w:eastAsia="Times New Roman" w:hAnsi="Times New Roman" w:cs="Times New Roman"/>
          <w:sz w:val="20"/>
          <w:szCs w:val="20"/>
        </w:rPr>
        <w:t xml:space="preserve">Austria </w:t>
      </w:r>
      <w:r w:rsidRPr="00560578">
        <w:rPr>
          <w:rFonts w:ascii="Times New Roman" w:eastAsia="Times New Roman" w:hAnsi="Times New Roman" w:cs="Times New Roman"/>
          <w:sz w:val="20"/>
          <w:szCs w:val="20"/>
        </w:rPr>
        <w:t xml:space="preserve">under </w:t>
      </w:r>
      <w:r w:rsidR="000710F3" w:rsidRPr="00560578">
        <w:rPr>
          <w:rFonts w:ascii="Times New Roman" w:eastAsia="Times New Roman" w:hAnsi="Times New Roman" w:cs="Times New Roman"/>
          <w:sz w:val="20"/>
          <w:szCs w:val="20"/>
        </w:rPr>
        <w:t>the Espoo Convention</w:t>
      </w:r>
      <w:r w:rsidRPr="00560578">
        <w:rPr>
          <w:rFonts w:ascii="Times New Roman" w:eastAsia="Times New Roman" w:hAnsi="Times New Roman" w:cs="Times New Roman"/>
          <w:sz w:val="20"/>
          <w:szCs w:val="20"/>
        </w:rPr>
        <w:t xml:space="preserve">, </w:t>
      </w:r>
      <w:r w:rsidR="00842645" w:rsidRPr="00560578">
        <w:rPr>
          <w:rFonts w:ascii="Times New Roman" w:eastAsia="Times New Roman" w:hAnsi="Times New Roman" w:cs="Times New Roman"/>
          <w:sz w:val="20"/>
          <w:szCs w:val="20"/>
        </w:rPr>
        <w:t xml:space="preserve">by letters of October and November 2012, </w:t>
      </w:r>
      <w:r w:rsidRPr="00560578">
        <w:rPr>
          <w:rFonts w:ascii="Times New Roman" w:eastAsia="Times New Roman" w:hAnsi="Times New Roman" w:cs="Times New Roman"/>
          <w:sz w:val="20"/>
          <w:szCs w:val="20"/>
        </w:rPr>
        <w:t xml:space="preserve">the public in Austria was given until 3 March 2013 to participate in the decision-making on </w:t>
      </w:r>
      <w:proofErr w:type="spellStart"/>
      <w:r w:rsidRPr="00560578">
        <w:rPr>
          <w:rFonts w:ascii="Times New Roman" w:eastAsia="Times New Roman" w:hAnsi="Times New Roman" w:cs="Times New Roman"/>
          <w:sz w:val="20"/>
          <w:szCs w:val="20"/>
        </w:rPr>
        <w:t>Hinkley</w:t>
      </w:r>
      <w:proofErr w:type="spellEnd"/>
      <w:r w:rsidRPr="00560578">
        <w:rPr>
          <w:rFonts w:ascii="Times New Roman" w:eastAsia="Times New Roman" w:hAnsi="Times New Roman" w:cs="Times New Roman"/>
          <w:sz w:val="20"/>
          <w:szCs w:val="20"/>
        </w:rPr>
        <w:t xml:space="preserve"> Point C</w:t>
      </w:r>
      <w:r w:rsidR="000710F3" w:rsidRPr="00560578">
        <w:rPr>
          <w:rFonts w:ascii="Times New Roman" w:eastAsia="Times New Roman" w:hAnsi="Times New Roman" w:cs="Times New Roman"/>
          <w:sz w:val="20"/>
          <w:szCs w:val="20"/>
        </w:rPr>
        <w:t xml:space="preserve">. </w:t>
      </w:r>
      <w:r w:rsidR="00842645" w:rsidRPr="00560578">
        <w:rPr>
          <w:rFonts w:ascii="Times New Roman" w:eastAsia="Times New Roman" w:hAnsi="Times New Roman" w:cs="Times New Roman"/>
          <w:sz w:val="20"/>
          <w:szCs w:val="20"/>
        </w:rPr>
        <w:t>This was after the national EIA process was completed</w:t>
      </w:r>
      <w:r w:rsidR="00675FD4" w:rsidRPr="00560578">
        <w:rPr>
          <w:rFonts w:ascii="Times New Roman" w:eastAsia="Times New Roman" w:hAnsi="Times New Roman" w:cs="Times New Roman"/>
          <w:sz w:val="20"/>
          <w:szCs w:val="20"/>
        </w:rPr>
        <w:t xml:space="preserve"> by the United Kingdom</w:t>
      </w:r>
      <w:r w:rsidR="00842645" w:rsidRPr="00560578">
        <w:rPr>
          <w:rFonts w:ascii="Times New Roman" w:eastAsia="Times New Roman" w:hAnsi="Times New Roman" w:cs="Times New Roman"/>
          <w:sz w:val="20"/>
          <w:szCs w:val="20"/>
        </w:rPr>
        <w:t>.</w:t>
      </w:r>
    </w:p>
    <w:p w14:paraId="2D897B3B" w14:textId="77777777" w:rsidR="006279BA" w:rsidRPr="00560578" w:rsidRDefault="006279BA" w:rsidP="00C36579">
      <w:pPr>
        <w:numPr>
          <w:ilvl w:val="0"/>
          <w:numId w:val="2"/>
        </w:numPr>
        <w:tabs>
          <w:tab w:val="num" w:pos="1710"/>
        </w:tabs>
        <w:suppressAutoHyphens/>
        <w:spacing w:before="120" w:after="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On 19 March 2013, </w:t>
      </w:r>
      <w:r w:rsidR="00F22A6E" w:rsidRPr="00560578">
        <w:rPr>
          <w:rFonts w:ascii="Times New Roman" w:eastAsia="Times New Roman" w:hAnsi="Times New Roman" w:cs="Times New Roman"/>
          <w:sz w:val="20"/>
          <w:szCs w:val="20"/>
        </w:rPr>
        <w:t xml:space="preserve">the decision approving </w:t>
      </w:r>
      <w:r w:rsidRPr="00560578">
        <w:rPr>
          <w:rFonts w:ascii="Times New Roman" w:eastAsia="Times New Roman" w:hAnsi="Times New Roman" w:cs="Times New Roman"/>
          <w:sz w:val="20"/>
          <w:szCs w:val="20"/>
        </w:rPr>
        <w:t xml:space="preserve">the proposed </w:t>
      </w:r>
      <w:r w:rsidR="00F22A6E" w:rsidRPr="00560578">
        <w:rPr>
          <w:rFonts w:ascii="Times New Roman" w:eastAsia="Times New Roman" w:hAnsi="Times New Roman" w:cs="Times New Roman"/>
          <w:sz w:val="20"/>
          <w:szCs w:val="20"/>
        </w:rPr>
        <w:t xml:space="preserve">construction of </w:t>
      </w:r>
      <w:proofErr w:type="spellStart"/>
      <w:r w:rsidR="00F22A6E" w:rsidRPr="00560578">
        <w:rPr>
          <w:rFonts w:ascii="Times New Roman" w:eastAsia="Times New Roman" w:hAnsi="Times New Roman" w:cs="Times New Roman"/>
          <w:sz w:val="20"/>
          <w:szCs w:val="20"/>
        </w:rPr>
        <w:t>Hinkley</w:t>
      </w:r>
      <w:proofErr w:type="spellEnd"/>
      <w:r w:rsidR="00F22A6E" w:rsidRPr="00560578">
        <w:rPr>
          <w:rFonts w:ascii="Times New Roman" w:eastAsia="Times New Roman" w:hAnsi="Times New Roman" w:cs="Times New Roman"/>
          <w:sz w:val="20"/>
          <w:szCs w:val="20"/>
        </w:rPr>
        <w:t xml:space="preserve"> Point C </w:t>
      </w:r>
      <w:r w:rsidRPr="00560578">
        <w:rPr>
          <w:rFonts w:ascii="Times New Roman" w:eastAsia="Times New Roman" w:hAnsi="Times New Roman" w:cs="Times New Roman"/>
          <w:sz w:val="20"/>
          <w:szCs w:val="20"/>
        </w:rPr>
        <w:t xml:space="preserve">was </w:t>
      </w:r>
      <w:r w:rsidR="00F22A6E" w:rsidRPr="00560578">
        <w:rPr>
          <w:rFonts w:ascii="Times New Roman" w:eastAsia="Times New Roman" w:hAnsi="Times New Roman" w:cs="Times New Roman"/>
          <w:sz w:val="20"/>
          <w:szCs w:val="20"/>
        </w:rPr>
        <w:t>taken</w:t>
      </w:r>
      <w:r w:rsidRPr="00560578">
        <w:rPr>
          <w:rFonts w:ascii="Times New Roman" w:eastAsia="Times New Roman" w:hAnsi="Times New Roman" w:cs="Times New Roman"/>
          <w:sz w:val="20"/>
          <w:szCs w:val="20"/>
        </w:rPr>
        <w:t xml:space="preserve">. </w:t>
      </w:r>
    </w:p>
    <w:p w14:paraId="0E4956E9" w14:textId="77777777" w:rsidR="000710F3" w:rsidRPr="00560578" w:rsidRDefault="002B57F9" w:rsidP="00C36579">
      <w:pPr>
        <w:numPr>
          <w:ilvl w:val="0"/>
          <w:numId w:val="2"/>
        </w:numPr>
        <w:tabs>
          <w:tab w:val="num" w:pos="1710"/>
        </w:tabs>
        <w:suppressAutoHyphens/>
        <w:spacing w:before="120" w:after="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On 10 April 2013, the European Commission </w:t>
      </w:r>
      <w:r w:rsidR="00675FD4" w:rsidRPr="00560578">
        <w:rPr>
          <w:rFonts w:ascii="Times New Roman" w:eastAsia="Times New Roman" w:hAnsi="Times New Roman" w:cs="Times New Roman"/>
          <w:sz w:val="20"/>
          <w:szCs w:val="20"/>
        </w:rPr>
        <w:t xml:space="preserve">informed the communicant and others that </w:t>
      </w:r>
      <w:r w:rsidR="00DC4F05" w:rsidRPr="00560578">
        <w:rPr>
          <w:rFonts w:ascii="Times New Roman" w:eastAsia="Times New Roman" w:hAnsi="Times New Roman" w:cs="Times New Roman"/>
          <w:sz w:val="20"/>
          <w:szCs w:val="20"/>
        </w:rPr>
        <w:t>the</w:t>
      </w:r>
      <w:r w:rsidR="00675FD4" w:rsidRPr="00560578">
        <w:rPr>
          <w:rFonts w:ascii="Times New Roman" w:eastAsia="Times New Roman" w:hAnsi="Times New Roman" w:cs="Times New Roman"/>
          <w:sz w:val="20"/>
          <w:szCs w:val="20"/>
        </w:rPr>
        <w:t>ir</w:t>
      </w:r>
      <w:r w:rsidR="00DC4F05" w:rsidRPr="00560578">
        <w:rPr>
          <w:rFonts w:ascii="Times New Roman" w:eastAsia="Times New Roman" w:hAnsi="Times New Roman" w:cs="Times New Roman"/>
          <w:sz w:val="20"/>
          <w:szCs w:val="20"/>
        </w:rPr>
        <w:t xml:space="preserve"> petition </w:t>
      </w:r>
      <w:r w:rsidRPr="00560578">
        <w:rPr>
          <w:rFonts w:ascii="Times New Roman" w:eastAsia="Times New Roman" w:hAnsi="Times New Roman" w:cs="Times New Roman"/>
          <w:sz w:val="20"/>
          <w:szCs w:val="20"/>
        </w:rPr>
        <w:t>on 25 February 2013</w:t>
      </w:r>
      <w:r w:rsidR="00DC4F05" w:rsidRPr="00560578">
        <w:rPr>
          <w:rFonts w:ascii="Times New Roman" w:eastAsia="Times New Roman" w:hAnsi="Times New Roman" w:cs="Times New Roman"/>
          <w:sz w:val="20"/>
          <w:szCs w:val="20"/>
        </w:rPr>
        <w:t xml:space="preserve"> (see para. </w:t>
      </w:r>
      <w:r w:rsidR="00DC4F05" w:rsidRPr="00560578">
        <w:rPr>
          <w:rFonts w:ascii="Times New Roman" w:eastAsia="Times New Roman" w:hAnsi="Times New Roman" w:cs="Times New Roman"/>
          <w:sz w:val="20"/>
          <w:szCs w:val="20"/>
        </w:rPr>
        <w:fldChar w:fldCharType="begin"/>
      </w:r>
      <w:r w:rsidR="00DC4F05" w:rsidRPr="00560578">
        <w:rPr>
          <w:rFonts w:ascii="Times New Roman" w:eastAsia="Times New Roman" w:hAnsi="Times New Roman" w:cs="Times New Roman"/>
          <w:sz w:val="20"/>
          <w:szCs w:val="20"/>
        </w:rPr>
        <w:instrText xml:space="preserve"> REF _Ref434323795 \r \h  \* MERGEFORMAT </w:instrText>
      </w:r>
      <w:r w:rsidR="00DC4F05" w:rsidRPr="00560578">
        <w:rPr>
          <w:rFonts w:ascii="Times New Roman" w:eastAsia="Times New Roman" w:hAnsi="Times New Roman" w:cs="Times New Roman"/>
          <w:sz w:val="20"/>
          <w:szCs w:val="20"/>
        </w:rPr>
      </w:r>
      <w:r w:rsidR="00DC4F05" w:rsidRPr="00560578">
        <w:rPr>
          <w:rFonts w:ascii="Times New Roman" w:eastAsia="Times New Roman" w:hAnsi="Times New Roman" w:cs="Times New Roman"/>
          <w:sz w:val="20"/>
          <w:szCs w:val="20"/>
        </w:rPr>
        <w:fldChar w:fldCharType="separate"/>
      </w:r>
      <w:r w:rsidR="00DC4F05" w:rsidRPr="00560578">
        <w:rPr>
          <w:rFonts w:ascii="Times New Roman" w:eastAsia="Times New Roman" w:hAnsi="Times New Roman" w:cs="Times New Roman"/>
          <w:sz w:val="20"/>
          <w:szCs w:val="20"/>
        </w:rPr>
        <w:t>23</w:t>
      </w:r>
      <w:r w:rsidR="00DC4F05" w:rsidRPr="00560578">
        <w:rPr>
          <w:rFonts w:ascii="Times New Roman" w:eastAsia="Times New Roman" w:hAnsi="Times New Roman" w:cs="Times New Roman"/>
          <w:sz w:val="20"/>
          <w:szCs w:val="20"/>
        </w:rPr>
        <w:fldChar w:fldCharType="end"/>
      </w:r>
      <w:r w:rsidR="00DC4F05" w:rsidRPr="00560578">
        <w:rPr>
          <w:rFonts w:ascii="Times New Roman" w:eastAsia="Times New Roman" w:hAnsi="Times New Roman" w:cs="Times New Roman"/>
          <w:sz w:val="20"/>
          <w:szCs w:val="20"/>
        </w:rPr>
        <w:t xml:space="preserve"> above)</w:t>
      </w:r>
      <w:r w:rsidR="00613C9C" w:rsidRPr="00560578">
        <w:rPr>
          <w:rFonts w:ascii="Times New Roman" w:eastAsia="Times New Roman" w:hAnsi="Times New Roman" w:cs="Times New Roman"/>
          <w:sz w:val="20"/>
          <w:szCs w:val="20"/>
        </w:rPr>
        <w:t xml:space="preserve"> had been registered as a formal complaint</w:t>
      </w:r>
      <w:r w:rsidRPr="00560578">
        <w:rPr>
          <w:rFonts w:ascii="Times New Roman" w:eastAsia="Times New Roman" w:hAnsi="Times New Roman" w:cs="Times New Roman"/>
          <w:sz w:val="20"/>
          <w:szCs w:val="20"/>
        </w:rPr>
        <w:t>.</w:t>
      </w:r>
    </w:p>
    <w:p w14:paraId="2E97DF45" w14:textId="77777777" w:rsidR="00593FE9" w:rsidRPr="00560578" w:rsidRDefault="00593FE9" w:rsidP="00C36579">
      <w:pPr>
        <w:numPr>
          <w:ilvl w:val="0"/>
          <w:numId w:val="2"/>
        </w:numPr>
        <w:tabs>
          <w:tab w:val="num" w:pos="1710"/>
        </w:tabs>
        <w:suppressAutoHyphens/>
        <w:spacing w:before="120" w:after="0" w:line="240" w:lineRule="atLeast"/>
        <w:ind w:left="1134" w:right="1134" w:firstLine="0"/>
        <w:jc w:val="both"/>
        <w:rPr>
          <w:rFonts w:ascii="Times New Roman" w:eastAsia="Times New Roman" w:hAnsi="Times New Roman" w:cs="Times New Roman"/>
          <w:sz w:val="20"/>
          <w:szCs w:val="20"/>
        </w:rPr>
      </w:pPr>
      <w:bookmarkStart w:id="1" w:name="_Ref433996191"/>
      <w:r w:rsidRPr="00560578">
        <w:rPr>
          <w:rFonts w:ascii="Times New Roman" w:eastAsia="Times New Roman" w:hAnsi="Times New Roman" w:cs="Times New Roman"/>
          <w:sz w:val="20"/>
          <w:szCs w:val="20"/>
        </w:rPr>
        <w:t xml:space="preserve">On 24 April 2013, the </w:t>
      </w:r>
      <w:r w:rsidR="00A83C4C" w:rsidRPr="00560578">
        <w:rPr>
          <w:rFonts w:ascii="Times New Roman" w:eastAsia="Times New Roman" w:hAnsi="Times New Roman" w:cs="Times New Roman"/>
          <w:sz w:val="20"/>
          <w:szCs w:val="20"/>
        </w:rPr>
        <w:t>c</w:t>
      </w:r>
      <w:r w:rsidRPr="00560578">
        <w:rPr>
          <w:rFonts w:ascii="Times New Roman" w:eastAsia="Times New Roman" w:hAnsi="Times New Roman" w:cs="Times New Roman"/>
          <w:sz w:val="20"/>
          <w:szCs w:val="20"/>
        </w:rPr>
        <w:t xml:space="preserve">ommunicant </w:t>
      </w:r>
      <w:r w:rsidR="00F22A6E" w:rsidRPr="00560578">
        <w:rPr>
          <w:rFonts w:ascii="Times New Roman" w:eastAsia="Times New Roman" w:hAnsi="Times New Roman" w:cs="Times New Roman"/>
          <w:sz w:val="20"/>
          <w:szCs w:val="20"/>
        </w:rPr>
        <w:t xml:space="preserve">wrote </w:t>
      </w:r>
      <w:r w:rsidRPr="00560578">
        <w:rPr>
          <w:rFonts w:ascii="Times New Roman" w:eastAsia="Times New Roman" w:hAnsi="Times New Roman" w:cs="Times New Roman"/>
          <w:sz w:val="20"/>
          <w:szCs w:val="20"/>
        </w:rPr>
        <w:t xml:space="preserve">to the European Commission </w:t>
      </w:r>
      <w:r w:rsidR="00F22A6E" w:rsidRPr="00560578">
        <w:rPr>
          <w:rFonts w:ascii="Times New Roman" w:eastAsia="Times New Roman" w:hAnsi="Times New Roman" w:cs="Times New Roman"/>
          <w:sz w:val="20"/>
          <w:szCs w:val="20"/>
        </w:rPr>
        <w:t>claiming</w:t>
      </w:r>
      <w:r w:rsidRPr="00560578">
        <w:rPr>
          <w:rFonts w:ascii="Times New Roman" w:eastAsia="Times New Roman" w:hAnsi="Times New Roman" w:cs="Times New Roman"/>
          <w:sz w:val="20"/>
          <w:szCs w:val="20"/>
        </w:rPr>
        <w:t xml:space="preserve"> that</w:t>
      </w:r>
      <w:r w:rsidR="00613C9C" w:rsidRPr="00560578">
        <w:rPr>
          <w:rFonts w:ascii="Times New Roman" w:eastAsia="Times New Roman" w:hAnsi="Times New Roman" w:cs="Times New Roman"/>
          <w:sz w:val="20"/>
          <w:szCs w:val="20"/>
        </w:rPr>
        <w:t xml:space="preserve">, by failing to ensure opportunities for the public in Germany to participate in the decision-making on </w:t>
      </w:r>
      <w:proofErr w:type="spellStart"/>
      <w:r w:rsidR="00613C9C" w:rsidRPr="00560578">
        <w:rPr>
          <w:rFonts w:ascii="Times New Roman" w:eastAsia="Times New Roman" w:hAnsi="Times New Roman" w:cs="Times New Roman"/>
          <w:sz w:val="20"/>
          <w:szCs w:val="20"/>
        </w:rPr>
        <w:t>Hinkley</w:t>
      </w:r>
      <w:proofErr w:type="spellEnd"/>
      <w:r w:rsidR="00613C9C" w:rsidRPr="00560578">
        <w:rPr>
          <w:rFonts w:ascii="Times New Roman" w:eastAsia="Times New Roman" w:hAnsi="Times New Roman" w:cs="Times New Roman"/>
          <w:sz w:val="20"/>
          <w:szCs w:val="20"/>
        </w:rPr>
        <w:t xml:space="preserve"> Point C,</w:t>
      </w:r>
      <w:r w:rsidRPr="00560578">
        <w:rPr>
          <w:rFonts w:ascii="Times New Roman" w:eastAsia="Times New Roman" w:hAnsi="Times New Roman" w:cs="Times New Roman"/>
          <w:sz w:val="20"/>
          <w:szCs w:val="20"/>
        </w:rPr>
        <w:t xml:space="preserve"> the </w:t>
      </w:r>
      <w:r w:rsidR="00F22A6E" w:rsidRPr="00560578">
        <w:rPr>
          <w:rFonts w:ascii="Times New Roman" w:eastAsia="Times New Roman" w:hAnsi="Times New Roman" w:cs="Times New Roman"/>
          <w:sz w:val="20"/>
          <w:szCs w:val="20"/>
        </w:rPr>
        <w:t xml:space="preserve">United Kingdom </w:t>
      </w:r>
      <w:r w:rsidRPr="00560578">
        <w:rPr>
          <w:rFonts w:ascii="Times New Roman" w:eastAsia="Times New Roman" w:hAnsi="Times New Roman" w:cs="Times New Roman"/>
          <w:sz w:val="20"/>
          <w:szCs w:val="20"/>
        </w:rPr>
        <w:t>and German</w:t>
      </w:r>
      <w:r w:rsidR="00F22A6E" w:rsidRPr="00560578">
        <w:rPr>
          <w:rFonts w:ascii="Times New Roman" w:eastAsia="Times New Roman" w:hAnsi="Times New Roman" w:cs="Times New Roman"/>
          <w:sz w:val="20"/>
          <w:szCs w:val="20"/>
        </w:rPr>
        <w:t>y</w:t>
      </w:r>
      <w:r w:rsidR="00675FD4" w:rsidRPr="00560578">
        <w:rPr>
          <w:rFonts w:ascii="Times New Roman" w:eastAsia="Times New Roman" w:hAnsi="Times New Roman" w:cs="Times New Roman"/>
          <w:sz w:val="20"/>
          <w:szCs w:val="20"/>
        </w:rPr>
        <w:t xml:space="preserve"> </w:t>
      </w:r>
      <w:r w:rsidR="00F22A6E" w:rsidRPr="00560578">
        <w:rPr>
          <w:rFonts w:ascii="Times New Roman" w:eastAsia="Times New Roman" w:hAnsi="Times New Roman" w:cs="Times New Roman"/>
          <w:sz w:val="20"/>
          <w:szCs w:val="20"/>
        </w:rPr>
        <w:t xml:space="preserve">had </w:t>
      </w:r>
      <w:r w:rsidRPr="00560578">
        <w:rPr>
          <w:rFonts w:ascii="Times New Roman" w:eastAsia="Times New Roman" w:hAnsi="Times New Roman" w:cs="Times New Roman"/>
          <w:sz w:val="20"/>
          <w:szCs w:val="20"/>
        </w:rPr>
        <w:t xml:space="preserve">violated the Aarhus </w:t>
      </w:r>
      <w:r w:rsidR="00613C9C" w:rsidRPr="00560578">
        <w:rPr>
          <w:rFonts w:ascii="Times New Roman" w:eastAsia="Times New Roman" w:hAnsi="Times New Roman" w:cs="Times New Roman"/>
          <w:sz w:val="20"/>
          <w:szCs w:val="20"/>
        </w:rPr>
        <w:t xml:space="preserve">and Espoo </w:t>
      </w:r>
      <w:r w:rsidRPr="00560578">
        <w:rPr>
          <w:rFonts w:ascii="Times New Roman" w:eastAsia="Times New Roman" w:hAnsi="Times New Roman" w:cs="Times New Roman"/>
          <w:sz w:val="20"/>
          <w:szCs w:val="20"/>
        </w:rPr>
        <w:t>Convention</w:t>
      </w:r>
      <w:r w:rsidR="00613C9C" w:rsidRPr="00560578">
        <w:rPr>
          <w:rFonts w:ascii="Times New Roman" w:eastAsia="Times New Roman" w:hAnsi="Times New Roman" w:cs="Times New Roman"/>
          <w:sz w:val="20"/>
          <w:szCs w:val="20"/>
        </w:rPr>
        <w:t>s</w:t>
      </w:r>
      <w:r w:rsidRPr="00560578">
        <w:rPr>
          <w:rFonts w:ascii="Times New Roman" w:eastAsia="Times New Roman" w:hAnsi="Times New Roman" w:cs="Times New Roman"/>
          <w:sz w:val="20"/>
          <w:szCs w:val="20"/>
        </w:rPr>
        <w:t xml:space="preserve"> and the </w:t>
      </w:r>
      <w:r w:rsidR="00613C9C" w:rsidRPr="00560578">
        <w:rPr>
          <w:rFonts w:ascii="Times New Roman" w:eastAsia="Times New Roman" w:hAnsi="Times New Roman" w:cs="Times New Roman"/>
          <w:sz w:val="20"/>
          <w:szCs w:val="20"/>
        </w:rPr>
        <w:t xml:space="preserve">EIA </w:t>
      </w:r>
      <w:r w:rsidRPr="00560578">
        <w:rPr>
          <w:rFonts w:ascii="Times New Roman" w:eastAsia="Times New Roman" w:hAnsi="Times New Roman" w:cs="Times New Roman"/>
          <w:sz w:val="20"/>
          <w:szCs w:val="20"/>
        </w:rPr>
        <w:t>Directives.</w:t>
      </w:r>
      <w:bookmarkEnd w:id="1"/>
      <w:r w:rsidRPr="00560578">
        <w:rPr>
          <w:rFonts w:ascii="Times New Roman" w:eastAsia="Times New Roman" w:hAnsi="Times New Roman" w:cs="Times New Roman"/>
          <w:sz w:val="20"/>
          <w:szCs w:val="20"/>
        </w:rPr>
        <w:t xml:space="preserve"> </w:t>
      </w:r>
    </w:p>
    <w:p w14:paraId="135D1D81" w14:textId="77777777" w:rsidR="00BE67BA" w:rsidRPr="00560578" w:rsidRDefault="00BE67BA" w:rsidP="00C36579">
      <w:pPr>
        <w:numPr>
          <w:ilvl w:val="0"/>
          <w:numId w:val="2"/>
        </w:numPr>
        <w:tabs>
          <w:tab w:val="num" w:pos="1710"/>
        </w:tabs>
        <w:suppressAutoHyphens/>
        <w:spacing w:before="120" w:after="0" w:line="240" w:lineRule="atLeast"/>
        <w:ind w:left="1134" w:right="1134" w:firstLine="0"/>
        <w:jc w:val="both"/>
        <w:rPr>
          <w:rFonts w:ascii="Times New Roman" w:eastAsia="Times New Roman" w:hAnsi="Times New Roman" w:cs="Times New Roman"/>
          <w:sz w:val="20"/>
          <w:szCs w:val="20"/>
        </w:rPr>
      </w:pPr>
      <w:bookmarkStart w:id="2" w:name="_Ref433996196"/>
      <w:r w:rsidRPr="00560578">
        <w:rPr>
          <w:rFonts w:ascii="Times New Roman" w:eastAsia="Times New Roman" w:hAnsi="Times New Roman" w:cs="Times New Roman"/>
          <w:sz w:val="20"/>
          <w:szCs w:val="20"/>
        </w:rPr>
        <w:t xml:space="preserve">On 31 May 2013, the European Commission </w:t>
      </w:r>
      <w:r w:rsidR="00613C9C" w:rsidRPr="00560578">
        <w:rPr>
          <w:rFonts w:ascii="Times New Roman" w:eastAsia="Times New Roman" w:hAnsi="Times New Roman" w:cs="Times New Roman"/>
          <w:sz w:val="20"/>
          <w:szCs w:val="20"/>
        </w:rPr>
        <w:t xml:space="preserve">wrote to the communicant to inform her that it saw no grounds on which to open an infringement action against the United Kingdom and Germany as she had requested and </w:t>
      </w:r>
      <w:r w:rsidRPr="00560578">
        <w:rPr>
          <w:rFonts w:ascii="Times New Roman" w:eastAsia="Times New Roman" w:hAnsi="Times New Roman" w:cs="Times New Roman"/>
          <w:sz w:val="20"/>
          <w:szCs w:val="20"/>
        </w:rPr>
        <w:t xml:space="preserve">that it </w:t>
      </w:r>
      <w:r w:rsidR="00613C9C" w:rsidRPr="00560578">
        <w:rPr>
          <w:rFonts w:ascii="Times New Roman" w:eastAsia="Times New Roman" w:hAnsi="Times New Roman" w:cs="Times New Roman"/>
          <w:sz w:val="20"/>
          <w:szCs w:val="20"/>
        </w:rPr>
        <w:t xml:space="preserve">therefore </w:t>
      </w:r>
      <w:r w:rsidR="00F22A6E" w:rsidRPr="00560578">
        <w:rPr>
          <w:rFonts w:ascii="Times New Roman" w:eastAsia="Times New Roman" w:hAnsi="Times New Roman" w:cs="Times New Roman"/>
          <w:sz w:val="20"/>
          <w:szCs w:val="20"/>
        </w:rPr>
        <w:t xml:space="preserve">proposed to close </w:t>
      </w:r>
      <w:r w:rsidR="00675FD4" w:rsidRPr="00560578">
        <w:rPr>
          <w:rFonts w:ascii="Times New Roman" w:eastAsia="Times New Roman" w:hAnsi="Times New Roman" w:cs="Times New Roman"/>
          <w:sz w:val="20"/>
          <w:szCs w:val="20"/>
        </w:rPr>
        <w:t>her</w:t>
      </w:r>
      <w:r w:rsidR="00F22A6E" w:rsidRPr="00560578">
        <w:rPr>
          <w:rFonts w:ascii="Times New Roman" w:eastAsia="Times New Roman" w:hAnsi="Times New Roman" w:cs="Times New Roman"/>
          <w:sz w:val="20"/>
          <w:szCs w:val="20"/>
        </w:rPr>
        <w:t xml:space="preserve"> complaint</w:t>
      </w:r>
      <w:r w:rsidRPr="00560578">
        <w:rPr>
          <w:rFonts w:ascii="Times New Roman" w:eastAsia="Times New Roman" w:hAnsi="Times New Roman" w:cs="Times New Roman"/>
          <w:sz w:val="20"/>
          <w:szCs w:val="20"/>
        </w:rPr>
        <w:t>.</w:t>
      </w:r>
      <w:bookmarkEnd w:id="2"/>
    </w:p>
    <w:p w14:paraId="7641A39E" w14:textId="77777777" w:rsidR="0048170D" w:rsidRPr="00560578" w:rsidRDefault="0048170D" w:rsidP="0048170D">
      <w:pPr>
        <w:keepNext/>
        <w:keepLines/>
        <w:numPr>
          <w:ilvl w:val="0"/>
          <w:numId w:val="3"/>
        </w:numPr>
        <w:tabs>
          <w:tab w:val="right" w:pos="851"/>
        </w:tabs>
        <w:suppressAutoHyphens/>
        <w:spacing w:before="360" w:after="120" w:line="270" w:lineRule="exact"/>
        <w:ind w:right="1134"/>
        <w:rPr>
          <w:rFonts w:ascii="Times New Roman" w:eastAsia="Times New Roman" w:hAnsi="Times New Roman" w:cs="Times New Roman"/>
          <w:b/>
          <w:sz w:val="24"/>
          <w:szCs w:val="20"/>
        </w:rPr>
      </w:pPr>
      <w:r w:rsidRPr="00560578">
        <w:rPr>
          <w:rFonts w:ascii="Times New Roman" w:eastAsia="Times New Roman" w:hAnsi="Times New Roman" w:cs="Times New Roman"/>
          <w:b/>
          <w:sz w:val="24"/>
          <w:szCs w:val="20"/>
        </w:rPr>
        <w:t>Domestic remedies</w:t>
      </w:r>
    </w:p>
    <w:p w14:paraId="4F2EE8B9" w14:textId="77777777" w:rsidR="0048170D" w:rsidRPr="00560578" w:rsidRDefault="00C36579" w:rsidP="002935AE">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No domestic remedies were used</w:t>
      </w:r>
      <w:r w:rsidR="002935AE" w:rsidRPr="00560578">
        <w:rPr>
          <w:rFonts w:ascii="Times New Roman" w:eastAsia="Times New Roman" w:hAnsi="Times New Roman" w:cs="Times New Roman"/>
          <w:sz w:val="20"/>
          <w:szCs w:val="20"/>
        </w:rPr>
        <w:t xml:space="preserve"> by the communicant</w:t>
      </w:r>
      <w:r w:rsidRPr="00560578">
        <w:rPr>
          <w:rFonts w:ascii="Times New Roman" w:eastAsia="Times New Roman" w:hAnsi="Times New Roman" w:cs="Times New Roman"/>
          <w:sz w:val="20"/>
          <w:szCs w:val="20"/>
        </w:rPr>
        <w:t>.</w:t>
      </w:r>
      <w:r w:rsidRPr="00560578">
        <w:rPr>
          <w:rStyle w:val="FootnoteReference"/>
          <w:rFonts w:eastAsia="Times New Roman"/>
          <w:szCs w:val="20"/>
        </w:rPr>
        <w:footnoteReference w:id="5"/>
      </w:r>
      <w:r w:rsidRPr="00560578">
        <w:rPr>
          <w:rFonts w:ascii="Times New Roman" w:eastAsia="Times New Roman" w:hAnsi="Times New Roman" w:cs="Times New Roman"/>
          <w:sz w:val="20"/>
          <w:szCs w:val="20"/>
        </w:rPr>
        <w:t xml:space="preserve"> </w:t>
      </w:r>
      <w:r w:rsidR="002935AE" w:rsidRPr="00560578">
        <w:rPr>
          <w:rFonts w:ascii="Times New Roman" w:eastAsia="Times New Roman" w:hAnsi="Times New Roman" w:cs="Times New Roman"/>
          <w:sz w:val="20"/>
          <w:szCs w:val="20"/>
        </w:rPr>
        <w:t>She did</w:t>
      </w:r>
      <w:r w:rsidRPr="00560578">
        <w:rPr>
          <w:rFonts w:ascii="Times New Roman" w:eastAsia="Times New Roman" w:hAnsi="Times New Roman" w:cs="Times New Roman"/>
          <w:sz w:val="20"/>
          <w:szCs w:val="20"/>
        </w:rPr>
        <w:t xml:space="preserve"> however </w:t>
      </w:r>
      <w:r w:rsidR="002935AE" w:rsidRPr="00560578">
        <w:rPr>
          <w:rFonts w:ascii="Times New Roman" w:eastAsia="Times New Roman" w:hAnsi="Times New Roman" w:cs="Times New Roman"/>
          <w:sz w:val="20"/>
          <w:szCs w:val="20"/>
        </w:rPr>
        <w:t xml:space="preserve">complain </w:t>
      </w:r>
      <w:r w:rsidR="00CE080B" w:rsidRPr="00560578">
        <w:rPr>
          <w:rFonts w:ascii="Times New Roman" w:eastAsia="Times New Roman" w:hAnsi="Times New Roman" w:cs="Times New Roman"/>
          <w:sz w:val="20"/>
          <w:szCs w:val="20"/>
        </w:rPr>
        <w:t xml:space="preserve">to </w:t>
      </w:r>
      <w:r w:rsidRPr="00560578">
        <w:rPr>
          <w:rFonts w:ascii="Times New Roman" w:eastAsia="Times New Roman" w:hAnsi="Times New Roman" w:cs="Times New Roman"/>
          <w:sz w:val="20"/>
          <w:szCs w:val="20"/>
        </w:rPr>
        <w:t>the European Commission</w:t>
      </w:r>
      <w:r w:rsidR="00E021C4" w:rsidRPr="00560578">
        <w:rPr>
          <w:rFonts w:ascii="Times New Roman" w:eastAsia="Times New Roman" w:hAnsi="Times New Roman" w:cs="Times New Roman"/>
          <w:sz w:val="20"/>
          <w:szCs w:val="20"/>
        </w:rPr>
        <w:t xml:space="preserve"> on 24 April 2013</w:t>
      </w:r>
      <w:r w:rsidRPr="00560578">
        <w:rPr>
          <w:rFonts w:ascii="Times New Roman" w:eastAsia="Times New Roman" w:hAnsi="Times New Roman" w:cs="Times New Roman"/>
          <w:sz w:val="20"/>
          <w:szCs w:val="20"/>
        </w:rPr>
        <w:t>. This complaint was dismissed</w:t>
      </w:r>
      <w:r w:rsidR="00E021C4" w:rsidRPr="00560578">
        <w:rPr>
          <w:rFonts w:ascii="Times New Roman" w:eastAsia="Times New Roman" w:hAnsi="Times New Roman" w:cs="Times New Roman"/>
          <w:sz w:val="20"/>
          <w:szCs w:val="20"/>
        </w:rPr>
        <w:t xml:space="preserve"> by letter of 31 May 2013 (see paras. </w:t>
      </w:r>
      <w:r w:rsidR="002935AE" w:rsidRPr="00560578">
        <w:rPr>
          <w:rFonts w:ascii="Times New Roman" w:eastAsia="Times New Roman" w:hAnsi="Times New Roman" w:cs="Times New Roman"/>
          <w:sz w:val="20"/>
          <w:szCs w:val="20"/>
        </w:rPr>
        <w:fldChar w:fldCharType="begin"/>
      </w:r>
      <w:r w:rsidR="002935AE" w:rsidRPr="00560578">
        <w:rPr>
          <w:rFonts w:ascii="Times New Roman" w:eastAsia="Times New Roman" w:hAnsi="Times New Roman" w:cs="Times New Roman"/>
          <w:sz w:val="20"/>
          <w:szCs w:val="20"/>
        </w:rPr>
        <w:instrText xml:space="preserve"> REF _Ref433996191 \r \h  \* MERGEFORMAT </w:instrText>
      </w:r>
      <w:r w:rsidR="002935AE" w:rsidRPr="00560578">
        <w:rPr>
          <w:rFonts w:ascii="Times New Roman" w:eastAsia="Times New Roman" w:hAnsi="Times New Roman" w:cs="Times New Roman"/>
          <w:sz w:val="20"/>
          <w:szCs w:val="20"/>
        </w:rPr>
      </w:r>
      <w:r w:rsidR="002935AE" w:rsidRPr="00560578">
        <w:rPr>
          <w:rFonts w:ascii="Times New Roman" w:eastAsia="Times New Roman" w:hAnsi="Times New Roman" w:cs="Times New Roman"/>
          <w:sz w:val="20"/>
          <w:szCs w:val="20"/>
        </w:rPr>
        <w:fldChar w:fldCharType="separate"/>
      </w:r>
      <w:r w:rsidR="00675FD4" w:rsidRPr="00560578">
        <w:rPr>
          <w:rFonts w:ascii="Times New Roman" w:eastAsia="Times New Roman" w:hAnsi="Times New Roman" w:cs="Times New Roman"/>
          <w:sz w:val="20"/>
          <w:szCs w:val="20"/>
        </w:rPr>
        <w:t>28</w:t>
      </w:r>
      <w:r w:rsidR="002935AE" w:rsidRPr="00560578">
        <w:rPr>
          <w:rFonts w:ascii="Times New Roman" w:eastAsia="Times New Roman" w:hAnsi="Times New Roman" w:cs="Times New Roman"/>
          <w:sz w:val="20"/>
          <w:szCs w:val="20"/>
        </w:rPr>
        <w:fldChar w:fldCharType="end"/>
      </w:r>
      <w:r w:rsidR="00E021C4" w:rsidRPr="00560578">
        <w:rPr>
          <w:rFonts w:ascii="Times New Roman" w:eastAsia="Times New Roman" w:hAnsi="Times New Roman" w:cs="Times New Roman"/>
          <w:sz w:val="20"/>
          <w:szCs w:val="20"/>
        </w:rPr>
        <w:t xml:space="preserve"> and </w:t>
      </w:r>
      <w:r w:rsidR="002935AE" w:rsidRPr="00560578">
        <w:rPr>
          <w:rFonts w:ascii="Times New Roman" w:eastAsia="Times New Roman" w:hAnsi="Times New Roman" w:cs="Times New Roman"/>
          <w:sz w:val="20"/>
          <w:szCs w:val="20"/>
        </w:rPr>
        <w:fldChar w:fldCharType="begin"/>
      </w:r>
      <w:r w:rsidR="002935AE" w:rsidRPr="00560578">
        <w:rPr>
          <w:rFonts w:ascii="Times New Roman" w:eastAsia="Times New Roman" w:hAnsi="Times New Roman" w:cs="Times New Roman"/>
          <w:sz w:val="20"/>
          <w:szCs w:val="20"/>
        </w:rPr>
        <w:instrText xml:space="preserve"> REF _Ref433996196 \r \h  \* MERGEFORMAT </w:instrText>
      </w:r>
      <w:r w:rsidR="002935AE" w:rsidRPr="00560578">
        <w:rPr>
          <w:rFonts w:ascii="Times New Roman" w:eastAsia="Times New Roman" w:hAnsi="Times New Roman" w:cs="Times New Roman"/>
          <w:sz w:val="20"/>
          <w:szCs w:val="20"/>
        </w:rPr>
      </w:r>
      <w:r w:rsidR="002935AE" w:rsidRPr="00560578">
        <w:rPr>
          <w:rFonts w:ascii="Times New Roman" w:eastAsia="Times New Roman" w:hAnsi="Times New Roman" w:cs="Times New Roman"/>
          <w:sz w:val="20"/>
          <w:szCs w:val="20"/>
        </w:rPr>
        <w:fldChar w:fldCharType="separate"/>
      </w:r>
      <w:r w:rsidR="00675FD4" w:rsidRPr="00560578">
        <w:rPr>
          <w:rFonts w:ascii="Times New Roman" w:eastAsia="Times New Roman" w:hAnsi="Times New Roman" w:cs="Times New Roman"/>
          <w:sz w:val="20"/>
          <w:szCs w:val="20"/>
        </w:rPr>
        <w:t>29</w:t>
      </w:r>
      <w:r w:rsidR="002935AE" w:rsidRPr="00560578">
        <w:rPr>
          <w:rFonts w:ascii="Times New Roman" w:eastAsia="Times New Roman" w:hAnsi="Times New Roman" w:cs="Times New Roman"/>
          <w:sz w:val="20"/>
          <w:szCs w:val="20"/>
        </w:rPr>
        <w:fldChar w:fldCharType="end"/>
      </w:r>
      <w:r w:rsidR="00E021C4" w:rsidRPr="00560578">
        <w:rPr>
          <w:rFonts w:ascii="Times New Roman" w:eastAsia="Times New Roman" w:hAnsi="Times New Roman" w:cs="Times New Roman"/>
          <w:sz w:val="20"/>
          <w:szCs w:val="20"/>
        </w:rPr>
        <w:t xml:space="preserve"> above)</w:t>
      </w:r>
      <w:r w:rsidRPr="00560578">
        <w:rPr>
          <w:rFonts w:ascii="Times New Roman" w:eastAsia="Times New Roman" w:hAnsi="Times New Roman" w:cs="Times New Roman"/>
          <w:sz w:val="20"/>
          <w:szCs w:val="20"/>
        </w:rPr>
        <w:t xml:space="preserve">. </w:t>
      </w:r>
    </w:p>
    <w:p w14:paraId="55A2D2A7" w14:textId="77777777" w:rsidR="0048170D" w:rsidRPr="00560578" w:rsidRDefault="0048170D" w:rsidP="0048170D">
      <w:pPr>
        <w:keepNext/>
        <w:keepLines/>
        <w:numPr>
          <w:ilvl w:val="0"/>
          <w:numId w:val="3"/>
        </w:numPr>
        <w:tabs>
          <w:tab w:val="right" w:pos="851"/>
        </w:tabs>
        <w:suppressAutoHyphens/>
        <w:spacing w:before="360" w:after="120" w:line="270" w:lineRule="exact"/>
        <w:ind w:right="1134"/>
        <w:rPr>
          <w:rFonts w:ascii="Times New Roman" w:eastAsia="Times New Roman" w:hAnsi="Times New Roman" w:cs="Times New Roman"/>
          <w:b/>
          <w:sz w:val="24"/>
          <w:szCs w:val="20"/>
        </w:rPr>
      </w:pPr>
      <w:r w:rsidRPr="00560578">
        <w:rPr>
          <w:rFonts w:ascii="Times New Roman" w:eastAsia="Times New Roman" w:hAnsi="Times New Roman" w:cs="Times New Roman"/>
          <w:b/>
          <w:sz w:val="24"/>
          <w:szCs w:val="20"/>
        </w:rPr>
        <w:t>Substantive issues</w:t>
      </w:r>
    </w:p>
    <w:p w14:paraId="62783B84" w14:textId="77777777" w:rsidR="00C45B4F" w:rsidRPr="00560578" w:rsidRDefault="0048170D" w:rsidP="00C9588A">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The </w:t>
      </w:r>
      <w:r w:rsidR="00A83C4C" w:rsidRPr="00560578">
        <w:rPr>
          <w:rFonts w:ascii="Times New Roman" w:eastAsia="Times New Roman" w:hAnsi="Times New Roman" w:cs="Times New Roman"/>
          <w:sz w:val="20"/>
          <w:szCs w:val="20"/>
        </w:rPr>
        <w:t>c</w:t>
      </w:r>
      <w:r w:rsidRPr="00560578">
        <w:rPr>
          <w:rFonts w:ascii="Times New Roman" w:eastAsia="Times New Roman" w:hAnsi="Times New Roman" w:cs="Times New Roman"/>
          <w:sz w:val="20"/>
          <w:szCs w:val="20"/>
        </w:rPr>
        <w:t xml:space="preserve">ommunicant alleges that the Party concerned </w:t>
      </w:r>
      <w:r w:rsidR="00D462BB" w:rsidRPr="00560578">
        <w:rPr>
          <w:rFonts w:ascii="Times New Roman" w:eastAsia="Times New Roman" w:hAnsi="Times New Roman" w:cs="Times New Roman"/>
          <w:sz w:val="20"/>
          <w:szCs w:val="20"/>
        </w:rPr>
        <w:t xml:space="preserve">failed to identify the public </w:t>
      </w:r>
      <w:r w:rsidR="002935AE" w:rsidRPr="00560578">
        <w:rPr>
          <w:rFonts w:ascii="Times New Roman" w:eastAsia="Times New Roman" w:hAnsi="Times New Roman" w:cs="Times New Roman"/>
          <w:sz w:val="20"/>
          <w:szCs w:val="20"/>
        </w:rPr>
        <w:t xml:space="preserve">in Germany </w:t>
      </w:r>
      <w:r w:rsidR="00D462BB" w:rsidRPr="00560578">
        <w:rPr>
          <w:rFonts w:ascii="Times New Roman" w:eastAsia="Times New Roman" w:hAnsi="Times New Roman" w:cs="Times New Roman"/>
          <w:sz w:val="20"/>
          <w:szCs w:val="20"/>
        </w:rPr>
        <w:t xml:space="preserve">as </w:t>
      </w:r>
      <w:r w:rsidR="007A2A3C" w:rsidRPr="00560578">
        <w:rPr>
          <w:rFonts w:ascii="Times New Roman" w:eastAsia="Times New Roman" w:hAnsi="Times New Roman" w:cs="Times New Roman"/>
          <w:sz w:val="20"/>
          <w:szCs w:val="20"/>
        </w:rPr>
        <w:t>being among</w:t>
      </w:r>
      <w:r w:rsidR="00E021C4" w:rsidRPr="00560578">
        <w:rPr>
          <w:rFonts w:ascii="Times New Roman" w:eastAsia="Times New Roman" w:hAnsi="Times New Roman" w:cs="Times New Roman"/>
          <w:sz w:val="20"/>
          <w:szCs w:val="20"/>
        </w:rPr>
        <w:t xml:space="preserve"> the</w:t>
      </w:r>
      <w:r w:rsidR="00D462BB" w:rsidRPr="00560578">
        <w:rPr>
          <w:rFonts w:ascii="Times New Roman" w:eastAsia="Times New Roman" w:hAnsi="Times New Roman" w:cs="Times New Roman"/>
          <w:sz w:val="20"/>
          <w:szCs w:val="20"/>
        </w:rPr>
        <w:t xml:space="preserve"> public </w:t>
      </w:r>
      <w:r w:rsidR="00E021C4" w:rsidRPr="00560578">
        <w:rPr>
          <w:rFonts w:ascii="Times New Roman" w:eastAsia="Times New Roman" w:hAnsi="Times New Roman" w:cs="Times New Roman"/>
          <w:sz w:val="20"/>
          <w:szCs w:val="20"/>
        </w:rPr>
        <w:t xml:space="preserve">concerned </w:t>
      </w:r>
      <w:r w:rsidR="00D462BB" w:rsidRPr="00560578">
        <w:rPr>
          <w:rFonts w:ascii="Times New Roman" w:eastAsia="Times New Roman" w:hAnsi="Times New Roman" w:cs="Times New Roman"/>
          <w:sz w:val="20"/>
          <w:szCs w:val="20"/>
        </w:rPr>
        <w:t>and therefore did</w:t>
      </w:r>
      <w:r w:rsidRPr="00560578">
        <w:rPr>
          <w:rFonts w:ascii="Times New Roman" w:eastAsia="Times New Roman" w:hAnsi="Times New Roman" w:cs="Times New Roman"/>
          <w:sz w:val="20"/>
          <w:szCs w:val="20"/>
        </w:rPr>
        <w:t xml:space="preserve"> not </w:t>
      </w:r>
      <w:r w:rsidR="00D462BB" w:rsidRPr="00560578">
        <w:rPr>
          <w:rFonts w:ascii="Times New Roman" w:eastAsia="Times New Roman" w:hAnsi="Times New Roman" w:cs="Times New Roman"/>
          <w:sz w:val="20"/>
          <w:szCs w:val="20"/>
        </w:rPr>
        <w:t xml:space="preserve">provide it with opportunities to participate in a transboundary environmental impact assessment procedure concerning the proposed construction of two nuclear reactors at </w:t>
      </w:r>
      <w:proofErr w:type="spellStart"/>
      <w:r w:rsidR="00D462BB" w:rsidRPr="00560578">
        <w:rPr>
          <w:rFonts w:ascii="Times New Roman" w:eastAsia="Times New Roman" w:hAnsi="Times New Roman" w:cs="Times New Roman"/>
          <w:sz w:val="20"/>
          <w:szCs w:val="20"/>
        </w:rPr>
        <w:t>Hinkley</w:t>
      </w:r>
      <w:proofErr w:type="spellEnd"/>
      <w:r w:rsidR="00D462BB" w:rsidRPr="00560578">
        <w:rPr>
          <w:rFonts w:ascii="Times New Roman" w:eastAsia="Times New Roman" w:hAnsi="Times New Roman" w:cs="Times New Roman"/>
          <w:sz w:val="20"/>
          <w:szCs w:val="20"/>
        </w:rPr>
        <w:t xml:space="preserve"> Point C. </w:t>
      </w:r>
      <w:r w:rsidR="00CC3624" w:rsidRPr="00560578">
        <w:rPr>
          <w:rFonts w:ascii="Times New Roman" w:eastAsia="Times New Roman" w:hAnsi="Times New Roman" w:cs="Times New Roman"/>
          <w:sz w:val="20"/>
          <w:szCs w:val="20"/>
        </w:rPr>
        <w:t xml:space="preserve">For these reasons the Communicant </w:t>
      </w:r>
      <w:r w:rsidR="00C45B4F" w:rsidRPr="00560578">
        <w:rPr>
          <w:rFonts w:ascii="Times New Roman" w:eastAsia="Times New Roman" w:hAnsi="Times New Roman" w:cs="Times New Roman"/>
          <w:sz w:val="20"/>
          <w:szCs w:val="20"/>
        </w:rPr>
        <w:t xml:space="preserve">alleges that the Party concerned fails to comply with article 1, 3, 4, 6 of the Convention. </w:t>
      </w:r>
    </w:p>
    <w:p w14:paraId="3990118B" w14:textId="77777777" w:rsidR="00121DAD" w:rsidRPr="00560578" w:rsidRDefault="00B34B90" w:rsidP="00C9588A">
      <w:pPr>
        <w:suppressAutoHyphens/>
        <w:spacing w:after="120" w:line="240" w:lineRule="atLeast"/>
        <w:ind w:left="414" w:right="1134" w:firstLine="720"/>
        <w:jc w:val="both"/>
        <w:rPr>
          <w:rFonts w:ascii="Times New Roman" w:eastAsia="Times New Roman" w:hAnsi="Times New Roman" w:cs="Times New Roman"/>
          <w:b/>
          <w:i/>
          <w:sz w:val="20"/>
          <w:szCs w:val="20"/>
        </w:rPr>
      </w:pPr>
      <w:r w:rsidRPr="00560578">
        <w:rPr>
          <w:rFonts w:ascii="Times New Roman" w:eastAsia="Times New Roman" w:hAnsi="Times New Roman" w:cs="Times New Roman"/>
          <w:b/>
          <w:i/>
          <w:sz w:val="20"/>
          <w:szCs w:val="20"/>
        </w:rPr>
        <w:t>Admissibility</w:t>
      </w:r>
    </w:p>
    <w:p w14:paraId="66FDCC1F" w14:textId="77777777" w:rsidR="00B34B90" w:rsidRPr="00560578" w:rsidRDefault="0098240C" w:rsidP="00E14652">
      <w:pPr>
        <w:pStyle w:val="ListParagraph"/>
        <w:numPr>
          <w:ilvl w:val="0"/>
          <w:numId w:val="2"/>
        </w:numPr>
        <w:spacing w:after="120" w:line="240" w:lineRule="atLeast"/>
        <w:ind w:left="1134" w:right="1134" w:firstLine="0"/>
        <w:contextualSpacing w:val="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The Party concerned </w:t>
      </w:r>
      <w:r w:rsidR="0069351B" w:rsidRPr="00560578">
        <w:rPr>
          <w:rFonts w:ascii="Times New Roman" w:eastAsia="Times New Roman" w:hAnsi="Times New Roman" w:cs="Times New Roman"/>
          <w:sz w:val="20"/>
          <w:szCs w:val="20"/>
        </w:rPr>
        <w:t xml:space="preserve">submits </w:t>
      </w:r>
      <w:r w:rsidR="00B34B90" w:rsidRPr="00560578">
        <w:rPr>
          <w:rFonts w:ascii="Times New Roman" w:eastAsia="Times New Roman" w:hAnsi="Times New Roman" w:cs="Times New Roman"/>
          <w:sz w:val="20"/>
          <w:szCs w:val="20"/>
        </w:rPr>
        <w:t xml:space="preserve">the communication should be considered to be inadmissible on the grounds of being manifestly unreasonable under paragraph 20 of the annex to decision </w:t>
      </w:r>
      <w:proofErr w:type="gramStart"/>
      <w:r w:rsidR="00B34B90" w:rsidRPr="00560578">
        <w:rPr>
          <w:rFonts w:ascii="Times New Roman" w:eastAsia="Times New Roman" w:hAnsi="Times New Roman" w:cs="Times New Roman"/>
          <w:sz w:val="20"/>
          <w:szCs w:val="20"/>
        </w:rPr>
        <w:t>I/7</w:t>
      </w:r>
      <w:proofErr w:type="gramEnd"/>
      <w:r w:rsidR="00B34B90" w:rsidRPr="00560578">
        <w:rPr>
          <w:rFonts w:ascii="Times New Roman" w:eastAsia="Times New Roman" w:hAnsi="Times New Roman" w:cs="Times New Roman"/>
          <w:sz w:val="20"/>
          <w:szCs w:val="20"/>
        </w:rPr>
        <w:t xml:space="preserve">. </w:t>
      </w:r>
    </w:p>
    <w:p w14:paraId="318CBE2B" w14:textId="135E2D02" w:rsidR="0069351B" w:rsidRPr="00560578" w:rsidRDefault="00B34B90" w:rsidP="00E14652">
      <w:pPr>
        <w:pStyle w:val="ListParagraph"/>
        <w:numPr>
          <w:ilvl w:val="0"/>
          <w:numId w:val="2"/>
        </w:numPr>
        <w:spacing w:after="120" w:line="240" w:lineRule="atLeast"/>
        <w:ind w:left="1134" w:right="1134" w:firstLine="0"/>
        <w:contextualSpacing w:val="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The Party </w:t>
      </w:r>
      <w:r w:rsidR="007A2A3C" w:rsidRPr="00560578">
        <w:rPr>
          <w:rFonts w:ascii="Times New Roman" w:eastAsia="Times New Roman" w:hAnsi="Times New Roman" w:cs="Times New Roman"/>
          <w:sz w:val="20"/>
          <w:szCs w:val="20"/>
        </w:rPr>
        <w:t xml:space="preserve">concerned asserts that </w:t>
      </w:r>
      <w:r w:rsidR="0069351B" w:rsidRPr="00560578">
        <w:rPr>
          <w:rFonts w:ascii="Times New Roman" w:eastAsia="Times New Roman" w:hAnsi="Times New Roman" w:cs="Times New Roman"/>
          <w:sz w:val="20"/>
          <w:szCs w:val="20"/>
        </w:rPr>
        <w:t>it has not violated any of its obligations resulting from the Aarhus Convention. The matter deals with a decision-making process that did not take place in Germany and in which German authorities were not to make any decisions concerning the approval of the proposed activity. The Party concerned did not influence or limit the participation of the German public in the participation procedure in the United Kingdom in any way.</w:t>
      </w:r>
      <w:r w:rsidR="00F2227B" w:rsidRPr="00560578">
        <w:rPr>
          <w:rStyle w:val="FootnoteReference"/>
          <w:rFonts w:eastAsia="Times New Roman"/>
          <w:szCs w:val="20"/>
        </w:rPr>
        <w:footnoteReference w:id="6"/>
      </w:r>
    </w:p>
    <w:p w14:paraId="7F684997" w14:textId="77777777" w:rsidR="0069351B" w:rsidRPr="00560578" w:rsidRDefault="007A2A3C" w:rsidP="00E14652">
      <w:pPr>
        <w:pStyle w:val="ListParagraph"/>
        <w:numPr>
          <w:ilvl w:val="0"/>
          <w:numId w:val="2"/>
        </w:numPr>
        <w:spacing w:after="120" w:line="240" w:lineRule="atLeast"/>
        <w:ind w:left="1134" w:right="1134" w:firstLine="0"/>
        <w:contextualSpacing w:val="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The Party concerned submits that t</w:t>
      </w:r>
      <w:r w:rsidR="0069351B" w:rsidRPr="00560578">
        <w:rPr>
          <w:rFonts w:ascii="Times New Roman" w:eastAsia="Times New Roman" w:hAnsi="Times New Roman" w:cs="Times New Roman"/>
          <w:sz w:val="20"/>
          <w:szCs w:val="20"/>
        </w:rPr>
        <w:t xml:space="preserve">o the extent that the core issue is whether the German authorities should have demanded the United Kingdom carry out a transboundary EIA procedure, only the provisions of the Espoo Convention are relevant to that decision. In this regard, the Espoo Convention, as the dedicated convention on transboundary EIAs takes precedence over the Aarhus Convention. For the decision in question, the Implementation Committee of the Espoo Convention </w:t>
      </w:r>
      <w:r w:rsidR="00A763A9" w:rsidRPr="00560578">
        <w:rPr>
          <w:rFonts w:ascii="Times New Roman" w:eastAsia="Times New Roman" w:hAnsi="Times New Roman" w:cs="Times New Roman"/>
          <w:sz w:val="20"/>
          <w:szCs w:val="20"/>
        </w:rPr>
        <w:t>wa</w:t>
      </w:r>
      <w:r w:rsidR="0069351B" w:rsidRPr="00560578">
        <w:rPr>
          <w:rFonts w:ascii="Times New Roman" w:eastAsia="Times New Roman" w:hAnsi="Times New Roman" w:cs="Times New Roman"/>
          <w:sz w:val="20"/>
          <w:szCs w:val="20"/>
        </w:rPr>
        <w:t>s thus responsible.</w:t>
      </w:r>
    </w:p>
    <w:p w14:paraId="5EDC1B1E" w14:textId="77777777" w:rsidR="0069351B" w:rsidRPr="00560578" w:rsidRDefault="0069351B" w:rsidP="00C9588A">
      <w:pPr>
        <w:suppressAutoHyphens/>
        <w:spacing w:after="120" w:line="240" w:lineRule="atLeast"/>
        <w:ind w:left="414" w:right="1134" w:firstLine="720"/>
        <w:jc w:val="both"/>
        <w:rPr>
          <w:rFonts w:ascii="Times New Roman" w:eastAsia="Times New Roman" w:hAnsi="Times New Roman" w:cs="Times New Roman"/>
          <w:b/>
          <w:i/>
          <w:sz w:val="20"/>
          <w:szCs w:val="20"/>
        </w:rPr>
      </w:pPr>
      <w:r w:rsidRPr="00560578">
        <w:rPr>
          <w:rFonts w:ascii="Times New Roman" w:eastAsia="Times New Roman" w:hAnsi="Times New Roman" w:cs="Times New Roman"/>
          <w:b/>
          <w:i/>
          <w:sz w:val="20"/>
          <w:szCs w:val="20"/>
        </w:rPr>
        <w:t>Substantive allegations</w:t>
      </w:r>
    </w:p>
    <w:p w14:paraId="3D093214" w14:textId="77777777" w:rsidR="0098240C" w:rsidRPr="00560578" w:rsidRDefault="0069351B" w:rsidP="00E14652">
      <w:pPr>
        <w:pStyle w:val="ListParagraph"/>
        <w:numPr>
          <w:ilvl w:val="0"/>
          <w:numId w:val="2"/>
        </w:numPr>
        <w:spacing w:after="120" w:line="240" w:lineRule="atLeast"/>
        <w:ind w:left="1134" w:right="1134" w:firstLine="0"/>
        <w:contextualSpacing w:val="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As a preliminary point, the Party concerned submits that </w:t>
      </w:r>
      <w:r w:rsidR="0098240C" w:rsidRPr="00560578">
        <w:rPr>
          <w:rFonts w:ascii="Times New Roman" w:eastAsia="Times New Roman" w:hAnsi="Times New Roman" w:cs="Times New Roman"/>
          <w:sz w:val="20"/>
          <w:szCs w:val="20"/>
        </w:rPr>
        <w:t xml:space="preserve">there </w:t>
      </w:r>
      <w:r w:rsidR="00E021C4" w:rsidRPr="00560578">
        <w:rPr>
          <w:rFonts w:ascii="Times New Roman" w:eastAsia="Times New Roman" w:hAnsi="Times New Roman" w:cs="Times New Roman"/>
          <w:sz w:val="20"/>
          <w:szCs w:val="20"/>
        </w:rPr>
        <w:t xml:space="preserve">can be </w:t>
      </w:r>
      <w:r w:rsidR="0098240C" w:rsidRPr="00560578">
        <w:rPr>
          <w:rFonts w:ascii="Times New Roman" w:eastAsia="Times New Roman" w:hAnsi="Times New Roman" w:cs="Times New Roman"/>
          <w:sz w:val="20"/>
          <w:szCs w:val="20"/>
        </w:rPr>
        <w:t xml:space="preserve">no violation of the Aarhus Convention by failure to demand a transboundary EIA process. The Party concerned considers that if neither the Party of origin nor the potentially affected </w:t>
      </w:r>
      <w:r w:rsidR="00A83C4C" w:rsidRPr="00560578">
        <w:rPr>
          <w:rFonts w:ascii="Times New Roman" w:eastAsia="Times New Roman" w:hAnsi="Times New Roman" w:cs="Times New Roman"/>
          <w:sz w:val="20"/>
          <w:szCs w:val="20"/>
        </w:rPr>
        <w:t>P</w:t>
      </w:r>
      <w:r w:rsidR="0098240C" w:rsidRPr="00560578">
        <w:rPr>
          <w:rFonts w:ascii="Times New Roman" w:eastAsia="Times New Roman" w:hAnsi="Times New Roman" w:cs="Times New Roman"/>
          <w:sz w:val="20"/>
          <w:szCs w:val="20"/>
        </w:rPr>
        <w:t>arty deem that a specifi</w:t>
      </w:r>
      <w:r w:rsidR="00A83C4C" w:rsidRPr="00560578">
        <w:rPr>
          <w:rFonts w:ascii="Times New Roman" w:eastAsia="Times New Roman" w:hAnsi="Times New Roman" w:cs="Times New Roman"/>
          <w:sz w:val="20"/>
          <w:szCs w:val="20"/>
        </w:rPr>
        <w:t>c</w:t>
      </w:r>
      <w:r w:rsidR="0098240C" w:rsidRPr="00560578">
        <w:rPr>
          <w:rFonts w:ascii="Times New Roman" w:eastAsia="Times New Roman" w:hAnsi="Times New Roman" w:cs="Times New Roman"/>
          <w:sz w:val="20"/>
          <w:szCs w:val="20"/>
        </w:rPr>
        <w:t xml:space="preserve"> case requires the implementation of a transboundary EIA, </w:t>
      </w:r>
      <w:r w:rsidR="00E021C4" w:rsidRPr="00560578">
        <w:rPr>
          <w:rFonts w:ascii="Times New Roman" w:eastAsia="Times New Roman" w:hAnsi="Times New Roman" w:cs="Times New Roman"/>
          <w:sz w:val="20"/>
          <w:szCs w:val="20"/>
        </w:rPr>
        <w:t>this is an inter</w:t>
      </w:r>
      <w:r w:rsidR="007A2A3C" w:rsidRPr="00560578">
        <w:rPr>
          <w:rFonts w:ascii="Times New Roman" w:eastAsia="Times New Roman" w:hAnsi="Times New Roman" w:cs="Times New Roman"/>
          <w:sz w:val="20"/>
          <w:szCs w:val="20"/>
        </w:rPr>
        <w:t>-</w:t>
      </w:r>
      <w:r w:rsidR="00E021C4" w:rsidRPr="00560578">
        <w:rPr>
          <w:rFonts w:ascii="Times New Roman" w:eastAsia="Times New Roman" w:hAnsi="Times New Roman" w:cs="Times New Roman"/>
          <w:sz w:val="20"/>
          <w:szCs w:val="20"/>
        </w:rPr>
        <w:t xml:space="preserve">state process governed by the Espoo Convention and </w:t>
      </w:r>
      <w:r w:rsidR="0098240C" w:rsidRPr="00560578">
        <w:rPr>
          <w:rFonts w:ascii="Times New Roman" w:eastAsia="Times New Roman" w:hAnsi="Times New Roman" w:cs="Times New Roman"/>
          <w:sz w:val="20"/>
          <w:szCs w:val="20"/>
        </w:rPr>
        <w:t>there is no ground to apply the provisions of the Aarhus Convention to this inter</w:t>
      </w:r>
      <w:r w:rsidR="007A2A3C" w:rsidRPr="00560578">
        <w:rPr>
          <w:rFonts w:ascii="Times New Roman" w:eastAsia="Times New Roman" w:hAnsi="Times New Roman" w:cs="Times New Roman"/>
          <w:sz w:val="20"/>
          <w:szCs w:val="20"/>
        </w:rPr>
        <w:t>-</w:t>
      </w:r>
      <w:r w:rsidR="0098240C" w:rsidRPr="00560578">
        <w:rPr>
          <w:rFonts w:ascii="Times New Roman" w:eastAsia="Times New Roman" w:hAnsi="Times New Roman" w:cs="Times New Roman"/>
          <w:sz w:val="20"/>
          <w:szCs w:val="20"/>
        </w:rPr>
        <w:t>state process.</w:t>
      </w:r>
      <w:r w:rsidR="0098240C" w:rsidRPr="00560578">
        <w:rPr>
          <w:rStyle w:val="FootnoteReference"/>
          <w:rFonts w:eastAsia="Times New Roman"/>
          <w:szCs w:val="20"/>
        </w:rPr>
        <w:footnoteReference w:id="7"/>
      </w:r>
      <w:r w:rsidR="0084351B" w:rsidRPr="00560578">
        <w:rPr>
          <w:rFonts w:ascii="Times New Roman" w:eastAsia="Times New Roman" w:hAnsi="Times New Roman" w:cs="Times New Roman"/>
          <w:sz w:val="20"/>
          <w:szCs w:val="20"/>
        </w:rPr>
        <w:t xml:space="preserve"> If a specific case requires the implementation of a transboundary EIA under the Espoo Convention, then both the Espoo Convention and the procedural guarantees of the Aarhus Convention apply. However, if neither the Party of origin nor the potentially affected Party deem that a specific case requires the implementation of a transboundary EIA, there are no grounds to apply the provisions of the Aarhus Conve</w:t>
      </w:r>
      <w:r w:rsidR="007A2A3C" w:rsidRPr="00560578">
        <w:rPr>
          <w:rFonts w:ascii="Times New Roman" w:eastAsia="Times New Roman" w:hAnsi="Times New Roman" w:cs="Times New Roman"/>
          <w:sz w:val="20"/>
          <w:szCs w:val="20"/>
        </w:rPr>
        <w:t>n</w:t>
      </w:r>
      <w:r w:rsidR="0084351B" w:rsidRPr="00560578">
        <w:rPr>
          <w:rFonts w:ascii="Times New Roman" w:eastAsia="Times New Roman" w:hAnsi="Times New Roman" w:cs="Times New Roman"/>
          <w:sz w:val="20"/>
          <w:szCs w:val="20"/>
        </w:rPr>
        <w:t>tion to this inter-state process governed by the Espoo Convention.</w:t>
      </w:r>
    </w:p>
    <w:p w14:paraId="24D2FD7D" w14:textId="77777777" w:rsidR="00DE42E1" w:rsidRPr="00560578" w:rsidRDefault="00DE42E1" w:rsidP="0098240C">
      <w:pPr>
        <w:pStyle w:val="ListParagraph"/>
        <w:numPr>
          <w:ilvl w:val="0"/>
          <w:numId w:val="2"/>
        </w:numPr>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In support of its allegations, the Party </w:t>
      </w:r>
      <w:r w:rsidR="007A2A3C" w:rsidRPr="00560578">
        <w:rPr>
          <w:rFonts w:ascii="Times New Roman" w:eastAsia="Times New Roman" w:hAnsi="Times New Roman" w:cs="Times New Roman"/>
          <w:sz w:val="20"/>
          <w:szCs w:val="20"/>
        </w:rPr>
        <w:t xml:space="preserve">concerned </w:t>
      </w:r>
      <w:r w:rsidRPr="00560578">
        <w:rPr>
          <w:rFonts w:ascii="Times New Roman" w:eastAsia="Times New Roman" w:hAnsi="Times New Roman" w:cs="Times New Roman"/>
          <w:sz w:val="20"/>
          <w:szCs w:val="20"/>
        </w:rPr>
        <w:t>refers to the</w:t>
      </w:r>
      <w:r w:rsidR="0084351B" w:rsidRPr="00560578">
        <w:rPr>
          <w:rFonts w:ascii="Times New Roman" w:eastAsia="Times New Roman" w:hAnsi="Times New Roman" w:cs="Times New Roman"/>
          <w:sz w:val="20"/>
          <w:szCs w:val="20"/>
        </w:rPr>
        <w:t xml:space="preserve"> Aarhus Convention Implementation Guide</w:t>
      </w:r>
      <w:r w:rsidR="007A2A3C" w:rsidRPr="00560578">
        <w:rPr>
          <w:rStyle w:val="FootnoteReference"/>
          <w:rFonts w:eastAsia="Times New Roman"/>
          <w:szCs w:val="20"/>
        </w:rPr>
        <w:footnoteReference w:id="8"/>
      </w:r>
      <w:r w:rsidR="00A763A9" w:rsidRPr="00560578">
        <w:rPr>
          <w:rFonts w:ascii="Times New Roman" w:eastAsia="Times New Roman" w:hAnsi="Times New Roman" w:cs="Times New Roman"/>
          <w:sz w:val="20"/>
          <w:szCs w:val="20"/>
        </w:rPr>
        <w:t xml:space="preserve"> </w:t>
      </w:r>
      <w:r w:rsidR="0084351B" w:rsidRPr="00560578">
        <w:rPr>
          <w:rFonts w:ascii="Times New Roman" w:eastAsia="Times New Roman" w:hAnsi="Times New Roman" w:cs="Times New Roman"/>
          <w:sz w:val="20"/>
          <w:szCs w:val="20"/>
        </w:rPr>
        <w:t>and the</w:t>
      </w:r>
      <w:r w:rsidRPr="00560578">
        <w:rPr>
          <w:rFonts w:ascii="Times New Roman" w:eastAsia="Times New Roman" w:hAnsi="Times New Roman" w:cs="Times New Roman"/>
          <w:sz w:val="20"/>
          <w:szCs w:val="20"/>
        </w:rPr>
        <w:t xml:space="preserve"> </w:t>
      </w:r>
      <w:r w:rsidR="00E021C4" w:rsidRPr="00560578">
        <w:rPr>
          <w:rFonts w:ascii="Times New Roman" w:eastAsia="Times New Roman" w:hAnsi="Times New Roman" w:cs="Times New Roman"/>
          <w:sz w:val="20"/>
          <w:szCs w:val="20"/>
        </w:rPr>
        <w:t xml:space="preserve">Committee’s </w:t>
      </w:r>
      <w:r w:rsidR="00A83C4C" w:rsidRPr="00560578">
        <w:rPr>
          <w:rFonts w:ascii="Times New Roman" w:eastAsia="Times New Roman" w:hAnsi="Times New Roman" w:cs="Times New Roman"/>
          <w:sz w:val="20"/>
          <w:szCs w:val="20"/>
        </w:rPr>
        <w:t xml:space="preserve">findings on communication </w:t>
      </w:r>
      <w:r w:rsidRPr="00560578">
        <w:rPr>
          <w:rFonts w:ascii="Times New Roman" w:eastAsia="Times New Roman" w:hAnsi="Times New Roman" w:cs="Times New Roman"/>
          <w:sz w:val="20"/>
          <w:szCs w:val="20"/>
        </w:rPr>
        <w:t xml:space="preserve">ACCC/C/2008/24 concerning Spain in which the Committee </w:t>
      </w:r>
      <w:r w:rsidR="00A83C4C" w:rsidRPr="00560578">
        <w:rPr>
          <w:rFonts w:ascii="Times New Roman" w:eastAsia="Times New Roman" w:hAnsi="Times New Roman" w:cs="Times New Roman"/>
          <w:sz w:val="20"/>
          <w:szCs w:val="20"/>
        </w:rPr>
        <w:t xml:space="preserve">found </w:t>
      </w:r>
      <w:r w:rsidRPr="00560578">
        <w:rPr>
          <w:rFonts w:ascii="Times New Roman" w:eastAsia="Times New Roman" w:hAnsi="Times New Roman" w:cs="Times New Roman"/>
          <w:sz w:val="20"/>
          <w:szCs w:val="20"/>
        </w:rPr>
        <w:t xml:space="preserve">that the decision by a contracting Party for or against the necessity of an EIA cannot be considered a failure to </w:t>
      </w:r>
      <w:r w:rsidR="00A83C4C" w:rsidRPr="00560578">
        <w:rPr>
          <w:rFonts w:ascii="Times New Roman" w:eastAsia="Times New Roman" w:hAnsi="Times New Roman" w:cs="Times New Roman"/>
          <w:sz w:val="20"/>
          <w:szCs w:val="20"/>
        </w:rPr>
        <w:t xml:space="preserve">comply </w:t>
      </w:r>
      <w:r w:rsidRPr="00560578">
        <w:rPr>
          <w:rFonts w:ascii="Times New Roman" w:eastAsia="Times New Roman" w:hAnsi="Times New Roman" w:cs="Times New Roman"/>
          <w:sz w:val="20"/>
          <w:szCs w:val="20"/>
        </w:rPr>
        <w:t>with article 6 of the Convention.</w:t>
      </w:r>
      <w:r w:rsidRPr="00560578">
        <w:rPr>
          <w:rStyle w:val="FootnoteReference"/>
          <w:rFonts w:eastAsia="Times New Roman"/>
          <w:szCs w:val="20"/>
        </w:rPr>
        <w:footnoteReference w:id="9"/>
      </w:r>
    </w:p>
    <w:p w14:paraId="4D535E2E" w14:textId="77777777" w:rsidR="00C45B4F" w:rsidRPr="00560578" w:rsidRDefault="00C45B4F" w:rsidP="00C9588A">
      <w:pPr>
        <w:suppressAutoHyphens/>
        <w:spacing w:after="120" w:line="240" w:lineRule="atLeast"/>
        <w:ind w:left="414" w:right="1134" w:firstLine="720"/>
        <w:jc w:val="both"/>
        <w:rPr>
          <w:rFonts w:ascii="Times New Roman" w:eastAsia="Times New Roman" w:hAnsi="Times New Roman" w:cs="Times New Roman"/>
          <w:b/>
          <w:i/>
          <w:sz w:val="20"/>
          <w:szCs w:val="20"/>
        </w:rPr>
      </w:pPr>
      <w:r w:rsidRPr="00560578">
        <w:rPr>
          <w:rFonts w:ascii="Times New Roman" w:eastAsia="Times New Roman" w:hAnsi="Times New Roman" w:cs="Times New Roman"/>
          <w:b/>
          <w:i/>
          <w:sz w:val="20"/>
          <w:szCs w:val="20"/>
        </w:rPr>
        <w:t>Article 1</w:t>
      </w:r>
    </w:p>
    <w:p w14:paraId="1250E647" w14:textId="77777777" w:rsidR="00C45B4F" w:rsidRPr="00560578" w:rsidRDefault="00BA6427" w:rsidP="00D85D09">
      <w:pPr>
        <w:pStyle w:val="ListParagraph"/>
        <w:numPr>
          <w:ilvl w:val="0"/>
          <w:numId w:val="2"/>
        </w:numPr>
        <w:spacing w:after="120" w:line="240" w:lineRule="atLeast"/>
        <w:ind w:left="1134" w:right="1134" w:firstLine="0"/>
        <w:contextualSpacing w:val="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The </w:t>
      </w:r>
      <w:r w:rsidR="007323E7" w:rsidRPr="00560578">
        <w:rPr>
          <w:rFonts w:ascii="Times New Roman" w:eastAsia="Times New Roman" w:hAnsi="Times New Roman" w:cs="Times New Roman"/>
          <w:sz w:val="20"/>
          <w:szCs w:val="20"/>
        </w:rPr>
        <w:t>c</w:t>
      </w:r>
      <w:r w:rsidRPr="00560578">
        <w:rPr>
          <w:rFonts w:ascii="Times New Roman" w:eastAsia="Times New Roman" w:hAnsi="Times New Roman" w:cs="Times New Roman"/>
          <w:sz w:val="20"/>
          <w:szCs w:val="20"/>
        </w:rPr>
        <w:t xml:space="preserve">ommunicant alleges that the lack of inclusion of the </w:t>
      </w:r>
      <w:r w:rsidR="007A2A3C" w:rsidRPr="00560578">
        <w:rPr>
          <w:rFonts w:ascii="Times New Roman" w:eastAsia="Times New Roman" w:hAnsi="Times New Roman" w:cs="Times New Roman"/>
          <w:sz w:val="20"/>
          <w:szCs w:val="20"/>
        </w:rPr>
        <w:t xml:space="preserve">public of Germany </w:t>
      </w:r>
      <w:r w:rsidR="0029299C" w:rsidRPr="00560578">
        <w:rPr>
          <w:rFonts w:ascii="Times New Roman" w:eastAsia="Times New Roman" w:hAnsi="Times New Roman" w:cs="Times New Roman"/>
          <w:sz w:val="20"/>
          <w:szCs w:val="20"/>
        </w:rPr>
        <w:t xml:space="preserve">in the decision-making on </w:t>
      </w:r>
      <w:proofErr w:type="spellStart"/>
      <w:r w:rsidR="0029299C" w:rsidRPr="00560578">
        <w:rPr>
          <w:rFonts w:ascii="Times New Roman" w:eastAsia="Times New Roman" w:hAnsi="Times New Roman" w:cs="Times New Roman"/>
          <w:sz w:val="20"/>
          <w:szCs w:val="20"/>
        </w:rPr>
        <w:t>Hinkley</w:t>
      </w:r>
      <w:proofErr w:type="spellEnd"/>
      <w:r w:rsidR="0029299C" w:rsidRPr="00560578">
        <w:rPr>
          <w:rFonts w:ascii="Times New Roman" w:eastAsia="Times New Roman" w:hAnsi="Times New Roman" w:cs="Times New Roman"/>
          <w:sz w:val="20"/>
          <w:szCs w:val="20"/>
        </w:rPr>
        <w:t xml:space="preserve"> Point C </w:t>
      </w:r>
      <w:r w:rsidR="00D85D09" w:rsidRPr="00560578">
        <w:rPr>
          <w:rFonts w:ascii="Times New Roman" w:eastAsia="Times New Roman" w:hAnsi="Times New Roman" w:cs="Times New Roman"/>
          <w:sz w:val="20"/>
          <w:szCs w:val="20"/>
        </w:rPr>
        <w:t>infringes a</w:t>
      </w:r>
      <w:r w:rsidRPr="00560578">
        <w:rPr>
          <w:rFonts w:ascii="Times New Roman" w:eastAsia="Times New Roman" w:hAnsi="Times New Roman" w:cs="Times New Roman"/>
          <w:sz w:val="20"/>
          <w:szCs w:val="20"/>
        </w:rPr>
        <w:t>rticle 1</w:t>
      </w:r>
      <w:r w:rsidR="007A2A3C" w:rsidRPr="00560578">
        <w:rPr>
          <w:rFonts w:ascii="Times New Roman" w:eastAsia="Times New Roman" w:hAnsi="Times New Roman" w:cs="Times New Roman"/>
          <w:sz w:val="20"/>
          <w:szCs w:val="20"/>
        </w:rPr>
        <w:t xml:space="preserve"> of the Convention</w:t>
      </w:r>
      <w:r w:rsidRPr="00560578">
        <w:rPr>
          <w:rFonts w:ascii="Times New Roman" w:eastAsia="Times New Roman" w:hAnsi="Times New Roman" w:cs="Times New Roman"/>
          <w:sz w:val="20"/>
          <w:szCs w:val="20"/>
        </w:rPr>
        <w:t>.</w:t>
      </w:r>
      <w:r w:rsidRPr="00560578">
        <w:rPr>
          <w:rStyle w:val="FootnoteReference"/>
          <w:rFonts w:eastAsia="Times New Roman"/>
          <w:szCs w:val="20"/>
        </w:rPr>
        <w:footnoteReference w:id="10"/>
      </w:r>
      <w:r w:rsidRPr="00560578">
        <w:rPr>
          <w:rFonts w:ascii="Times New Roman" w:eastAsia="Times New Roman" w:hAnsi="Times New Roman" w:cs="Times New Roman"/>
          <w:sz w:val="20"/>
          <w:szCs w:val="20"/>
        </w:rPr>
        <w:t xml:space="preserve"> </w:t>
      </w:r>
    </w:p>
    <w:p w14:paraId="449EE3EC" w14:textId="77777777" w:rsidR="00D85D09" w:rsidRPr="00560578" w:rsidRDefault="00EF52E5" w:rsidP="00D85D09">
      <w:pPr>
        <w:pStyle w:val="ListParagraph"/>
        <w:numPr>
          <w:ilvl w:val="0"/>
          <w:numId w:val="2"/>
        </w:numPr>
        <w:spacing w:after="120" w:line="240" w:lineRule="atLeast"/>
        <w:ind w:left="1134" w:right="1134" w:firstLine="0"/>
        <w:contextualSpacing w:val="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The P</w:t>
      </w:r>
      <w:r w:rsidR="00D85D09" w:rsidRPr="00560578">
        <w:rPr>
          <w:rFonts w:ascii="Times New Roman" w:eastAsia="Times New Roman" w:hAnsi="Times New Roman" w:cs="Times New Roman"/>
          <w:sz w:val="20"/>
          <w:szCs w:val="20"/>
        </w:rPr>
        <w:t xml:space="preserve">arty concerned </w:t>
      </w:r>
      <w:r w:rsidR="0098240C" w:rsidRPr="00560578">
        <w:rPr>
          <w:rFonts w:ascii="Times New Roman" w:eastAsia="Times New Roman" w:hAnsi="Times New Roman" w:cs="Times New Roman"/>
          <w:sz w:val="20"/>
          <w:szCs w:val="20"/>
        </w:rPr>
        <w:t xml:space="preserve">refutes the </w:t>
      </w:r>
      <w:r w:rsidR="007323E7" w:rsidRPr="00560578">
        <w:rPr>
          <w:rFonts w:ascii="Times New Roman" w:eastAsia="Times New Roman" w:hAnsi="Times New Roman" w:cs="Times New Roman"/>
          <w:sz w:val="20"/>
          <w:szCs w:val="20"/>
        </w:rPr>
        <w:t>c</w:t>
      </w:r>
      <w:r w:rsidR="00D85D09" w:rsidRPr="00560578">
        <w:rPr>
          <w:rFonts w:ascii="Times New Roman" w:eastAsia="Times New Roman" w:hAnsi="Times New Roman" w:cs="Times New Roman"/>
          <w:sz w:val="20"/>
          <w:szCs w:val="20"/>
        </w:rPr>
        <w:t xml:space="preserve">ommunicant’s allegations. It submits that article 1 lays out the basic goals of the </w:t>
      </w:r>
      <w:r w:rsidR="00E021C4" w:rsidRPr="00560578">
        <w:rPr>
          <w:rFonts w:ascii="Times New Roman" w:eastAsia="Times New Roman" w:hAnsi="Times New Roman" w:cs="Times New Roman"/>
          <w:sz w:val="20"/>
          <w:szCs w:val="20"/>
        </w:rPr>
        <w:t>C</w:t>
      </w:r>
      <w:r w:rsidR="00D85D09" w:rsidRPr="00560578">
        <w:rPr>
          <w:rFonts w:ascii="Times New Roman" w:eastAsia="Times New Roman" w:hAnsi="Times New Roman" w:cs="Times New Roman"/>
          <w:sz w:val="20"/>
          <w:szCs w:val="20"/>
        </w:rPr>
        <w:t xml:space="preserve">onvention and that a right to the implementation of public participation in a specific case cannot be derived </w:t>
      </w:r>
      <w:r w:rsidR="00E021C4" w:rsidRPr="00560578">
        <w:rPr>
          <w:rFonts w:ascii="Times New Roman" w:eastAsia="Times New Roman" w:hAnsi="Times New Roman" w:cs="Times New Roman"/>
          <w:sz w:val="20"/>
          <w:szCs w:val="20"/>
        </w:rPr>
        <w:t xml:space="preserve">in isolation </w:t>
      </w:r>
      <w:r w:rsidR="00D85D09" w:rsidRPr="00560578">
        <w:rPr>
          <w:rFonts w:ascii="Times New Roman" w:eastAsia="Times New Roman" w:hAnsi="Times New Roman" w:cs="Times New Roman"/>
          <w:sz w:val="20"/>
          <w:szCs w:val="20"/>
        </w:rPr>
        <w:t>from this provision.</w:t>
      </w:r>
      <w:r w:rsidR="00D85D09" w:rsidRPr="00560578">
        <w:rPr>
          <w:rStyle w:val="FootnoteReference"/>
          <w:rFonts w:eastAsia="Times New Roman"/>
          <w:szCs w:val="20"/>
        </w:rPr>
        <w:footnoteReference w:id="11"/>
      </w:r>
      <w:r w:rsidR="00D85D09" w:rsidRPr="00560578">
        <w:rPr>
          <w:rFonts w:ascii="Times New Roman" w:eastAsia="Times New Roman" w:hAnsi="Times New Roman" w:cs="Times New Roman"/>
          <w:sz w:val="20"/>
          <w:szCs w:val="20"/>
        </w:rPr>
        <w:t xml:space="preserve"> </w:t>
      </w:r>
    </w:p>
    <w:p w14:paraId="54C3D7F3" w14:textId="77777777" w:rsidR="00560578" w:rsidRDefault="00560578" w:rsidP="00C9588A">
      <w:pPr>
        <w:suppressAutoHyphens/>
        <w:spacing w:after="120" w:line="240" w:lineRule="atLeast"/>
        <w:ind w:left="414" w:right="1134" w:firstLine="720"/>
        <w:jc w:val="both"/>
        <w:rPr>
          <w:rFonts w:ascii="Times New Roman" w:eastAsia="Times New Roman" w:hAnsi="Times New Roman" w:cs="Times New Roman"/>
          <w:b/>
          <w:i/>
          <w:sz w:val="20"/>
          <w:szCs w:val="20"/>
        </w:rPr>
      </w:pPr>
    </w:p>
    <w:p w14:paraId="7840578C" w14:textId="77777777" w:rsidR="00560578" w:rsidRDefault="00560578" w:rsidP="00C9588A">
      <w:pPr>
        <w:suppressAutoHyphens/>
        <w:spacing w:after="120" w:line="240" w:lineRule="atLeast"/>
        <w:ind w:left="414" w:right="1134" w:firstLine="720"/>
        <w:jc w:val="both"/>
        <w:rPr>
          <w:rFonts w:ascii="Times New Roman" w:eastAsia="Times New Roman" w:hAnsi="Times New Roman" w:cs="Times New Roman"/>
          <w:b/>
          <w:i/>
          <w:sz w:val="20"/>
          <w:szCs w:val="20"/>
        </w:rPr>
      </w:pPr>
    </w:p>
    <w:p w14:paraId="576B80A2" w14:textId="77777777" w:rsidR="00560578" w:rsidRDefault="00560578" w:rsidP="00C9588A">
      <w:pPr>
        <w:suppressAutoHyphens/>
        <w:spacing w:after="120" w:line="240" w:lineRule="atLeast"/>
        <w:ind w:left="414" w:right="1134" w:firstLine="720"/>
        <w:jc w:val="both"/>
        <w:rPr>
          <w:rFonts w:ascii="Times New Roman" w:eastAsia="Times New Roman" w:hAnsi="Times New Roman" w:cs="Times New Roman"/>
          <w:b/>
          <w:i/>
          <w:sz w:val="20"/>
          <w:szCs w:val="20"/>
        </w:rPr>
      </w:pPr>
    </w:p>
    <w:p w14:paraId="1E9A9C12" w14:textId="77777777" w:rsidR="00EF52E5" w:rsidRPr="00560578" w:rsidRDefault="00EF52E5" w:rsidP="00C9588A">
      <w:pPr>
        <w:suppressAutoHyphens/>
        <w:spacing w:after="120" w:line="240" w:lineRule="atLeast"/>
        <w:ind w:left="414" w:right="1134" w:firstLine="720"/>
        <w:jc w:val="both"/>
        <w:rPr>
          <w:rFonts w:ascii="Times New Roman" w:eastAsia="Times New Roman" w:hAnsi="Times New Roman" w:cs="Times New Roman"/>
          <w:b/>
          <w:i/>
          <w:sz w:val="20"/>
          <w:szCs w:val="20"/>
        </w:rPr>
      </w:pPr>
      <w:r w:rsidRPr="00560578">
        <w:rPr>
          <w:rFonts w:ascii="Times New Roman" w:eastAsia="Times New Roman" w:hAnsi="Times New Roman" w:cs="Times New Roman"/>
          <w:b/>
          <w:i/>
          <w:sz w:val="20"/>
          <w:szCs w:val="20"/>
        </w:rPr>
        <w:t>Article 3</w:t>
      </w:r>
      <w:r w:rsidR="007323E7" w:rsidRPr="00560578">
        <w:rPr>
          <w:rFonts w:ascii="Times New Roman" w:eastAsia="Times New Roman" w:hAnsi="Times New Roman" w:cs="Times New Roman"/>
          <w:b/>
          <w:i/>
          <w:sz w:val="20"/>
          <w:szCs w:val="20"/>
        </w:rPr>
        <w:t xml:space="preserve">, paragraph </w:t>
      </w:r>
      <w:r w:rsidRPr="00560578">
        <w:rPr>
          <w:rFonts w:ascii="Times New Roman" w:eastAsia="Times New Roman" w:hAnsi="Times New Roman" w:cs="Times New Roman"/>
          <w:b/>
          <w:i/>
          <w:sz w:val="20"/>
          <w:szCs w:val="20"/>
        </w:rPr>
        <w:t>1</w:t>
      </w:r>
    </w:p>
    <w:p w14:paraId="2C620F05" w14:textId="77777777" w:rsidR="00EF52E5" w:rsidRPr="00560578" w:rsidRDefault="00EF52E5" w:rsidP="00EF52E5">
      <w:pPr>
        <w:pStyle w:val="ListParagraph"/>
        <w:numPr>
          <w:ilvl w:val="0"/>
          <w:numId w:val="2"/>
        </w:numPr>
        <w:spacing w:after="120" w:line="240" w:lineRule="atLeast"/>
        <w:ind w:left="1134" w:right="1134" w:firstLine="0"/>
        <w:contextualSpacing w:val="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The </w:t>
      </w:r>
      <w:r w:rsidR="007323E7" w:rsidRPr="00560578">
        <w:rPr>
          <w:rFonts w:ascii="Times New Roman" w:eastAsia="Times New Roman" w:hAnsi="Times New Roman" w:cs="Times New Roman"/>
          <w:sz w:val="20"/>
          <w:szCs w:val="20"/>
        </w:rPr>
        <w:t>c</w:t>
      </w:r>
      <w:r w:rsidRPr="00560578">
        <w:rPr>
          <w:rFonts w:ascii="Times New Roman" w:eastAsia="Times New Roman" w:hAnsi="Times New Roman" w:cs="Times New Roman"/>
          <w:sz w:val="20"/>
          <w:szCs w:val="20"/>
        </w:rPr>
        <w:t>ommunicant alleges that the Party concerned is in breach of article 3, par</w:t>
      </w:r>
      <w:r w:rsidR="007323E7" w:rsidRPr="00560578">
        <w:rPr>
          <w:rFonts w:ascii="Times New Roman" w:eastAsia="Times New Roman" w:hAnsi="Times New Roman" w:cs="Times New Roman"/>
          <w:sz w:val="20"/>
          <w:szCs w:val="20"/>
        </w:rPr>
        <w:t xml:space="preserve">agraph </w:t>
      </w:r>
      <w:r w:rsidRPr="00560578">
        <w:rPr>
          <w:rFonts w:ascii="Times New Roman" w:eastAsia="Times New Roman" w:hAnsi="Times New Roman" w:cs="Times New Roman"/>
          <w:sz w:val="20"/>
          <w:szCs w:val="20"/>
        </w:rPr>
        <w:t>1</w:t>
      </w:r>
      <w:r w:rsidR="00A56355" w:rsidRPr="00560578">
        <w:rPr>
          <w:rFonts w:ascii="Times New Roman" w:eastAsia="Times New Roman" w:hAnsi="Times New Roman" w:cs="Times New Roman"/>
          <w:sz w:val="20"/>
          <w:szCs w:val="20"/>
        </w:rPr>
        <w:t xml:space="preserve"> of the Convention</w:t>
      </w:r>
      <w:r w:rsidR="00E021C4" w:rsidRPr="00560578">
        <w:rPr>
          <w:rFonts w:ascii="Times New Roman" w:eastAsia="Times New Roman" w:hAnsi="Times New Roman" w:cs="Times New Roman"/>
          <w:sz w:val="20"/>
          <w:szCs w:val="20"/>
        </w:rPr>
        <w:t xml:space="preserve"> by failing to take the “necessary measures” and “proper enforcement measures” required by that provision</w:t>
      </w:r>
      <w:r w:rsidRPr="00560578">
        <w:rPr>
          <w:rFonts w:ascii="Times New Roman" w:eastAsia="Times New Roman" w:hAnsi="Times New Roman" w:cs="Times New Roman"/>
          <w:sz w:val="20"/>
          <w:szCs w:val="20"/>
        </w:rPr>
        <w:t>.</w:t>
      </w:r>
    </w:p>
    <w:p w14:paraId="48E6FA4C" w14:textId="77777777" w:rsidR="00EF52E5" w:rsidRPr="00560578" w:rsidRDefault="00EF52E5" w:rsidP="00A56355">
      <w:pPr>
        <w:pStyle w:val="ListParagraph"/>
        <w:numPr>
          <w:ilvl w:val="0"/>
          <w:numId w:val="2"/>
        </w:numPr>
        <w:spacing w:after="120" w:line="240" w:lineRule="atLeast"/>
        <w:ind w:left="1134" w:right="1134" w:firstLine="0"/>
        <w:contextualSpacing w:val="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The Party concerned refutes the communicant’s allegations. It asserts that </w:t>
      </w:r>
      <w:r w:rsidR="00A56355" w:rsidRPr="00560578">
        <w:rPr>
          <w:rFonts w:ascii="Times New Roman" w:eastAsia="Times New Roman" w:hAnsi="Times New Roman" w:cs="Times New Roman"/>
          <w:sz w:val="20"/>
          <w:szCs w:val="20"/>
        </w:rPr>
        <w:t xml:space="preserve">it </w:t>
      </w:r>
      <w:r w:rsidRPr="00560578">
        <w:rPr>
          <w:rFonts w:ascii="Times New Roman" w:eastAsia="Times New Roman" w:hAnsi="Times New Roman" w:cs="Times New Roman"/>
          <w:sz w:val="20"/>
          <w:szCs w:val="20"/>
        </w:rPr>
        <w:t xml:space="preserve">has implemented the requirements of the Convention in </w:t>
      </w:r>
      <w:r w:rsidR="007323E7" w:rsidRPr="00560578">
        <w:rPr>
          <w:rFonts w:ascii="Times New Roman" w:eastAsia="Times New Roman" w:hAnsi="Times New Roman" w:cs="Times New Roman"/>
          <w:sz w:val="20"/>
          <w:szCs w:val="20"/>
        </w:rPr>
        <w:t xml:space="preserve">its </w:t>
      </w:r>
      <w:r w:rsidRPr="00560578">
        <w:rPr>
          <w:rFonts w:ascii="Times New Roman" w:eastAsia="Times New Roman" w:hAnsi="Times New Roman" w:cs="Times New Roman"/>
          <w:sz w:val="20"/>
          <w:szCs w:val="20"/>
        </w:rPr>
        <w:t>national law and applies them.</w:t>
      </w:r>
      <w:r w:rsidRPr="00560578">
        <w:rPr>
          <w:rStyle w:val="FootnoteReference"/>
          <w:rFonts w:eastAsia="Times New Roman"/>
          <w:szCs w:val="20"/>
        </w:rPr>
        <w:footnoteReference w:id="12"/>
      </w:r>
      <w:r w:rsidRPr="00560578">
        <w:rPr>
          <w:rFonts w:ascii="Times New Roman" w:eastAsia="Times New Roman" w:hAnsi="Times New Roman" w:cs="Times New Roman"/>
          <w:sz w:val="20"/>
          <w:szCs w:val="20"/>
        </w:rPr>
        <w:t xml:space="preserve"> In support of its allegations, the Party refers to </w:t>
      </w:r>
      <w:r w:rsidR="007323E7" w:rsidRPr="00560578">
        <w:rPr>
          <w:rFonts w:ascii="Times New Roman" w:eastAsia="Times New Roman" w:hAnsi="Times New Roman" w:cs="Times New Roman"/>
          <w:sz w:val="20"/>
          <w:szCs w:val="20"/>
        </w:rPr>
        <w:t xml:space="preserve">the Committee to its </w:t>
      </w:r>
      <w:r w:rsidRPr="00560578">
        <w:rPr>
          <w:rFonts w:ascii="Times New Roman" w:eastAsia="Times New Roman" w:hAnsi="Times New Roman" w:cs="Times New Roman"/>
          <w:sz w:val="20"/>
          <w:szCs w:val="20"/>
        </w:rPr>
        <w:t xml:space="preserve">national implantation report which was submitted to the </w:t>
      </w:r>
      <w:r w:rsidR="00A56355" w:rsidRPr="00560578">
        <w:rPr>
          <w:rFonts w:ascii="Times New Roman" w:eastAsia="Times New Roman" w:hAnsi="Times New Roman" w:cs="Times New Roman"/>
          <w:sz w:val="20"/>
          <w:szCs w:val="20"/>
        </w:rPr>
        <w:t>s</w:t>
      </w:r>
      <w:r w:rsidRPr="00560578">
        <w:rPr>
          <w:rFonts w:ascii="Times New Roman" w:eastAsia="Times New Roman" w:hAnsi="Times New Roman" w:cs="Times New Roman"/>
          <w:sz w:val="20"/>
          <w:szCs w:val="20"/>
        </w:rPr>
        <w:t>ecretariat of the Convention in December 2013.</w:t>
      </w:r>
    </w:p>
    <w:p w14:paraId="601D1A63" w14:textId="77777777" w:rsidR="00D85D09" w:rsidRPr="00560578" w:rsidRDefault="00513122" w:rsidP="00C9588A">
      <w:pPr>
        <w:suppressAutoHyphens/>
        <w:spacing w:after="120" w:line="240" w:lineRule="atLeast"/>
        <w:ind w:left="414" w:right="1134" w:firstLine="720"/>
        <w:jc w:val="both"/>
        <w:rPr>
          <w:rFonts w:ascii="Times New Roman" w:eastAsia="Times New Roman" w:hAnsi="Times New Roman" w:cs="Times New Roman"/>
          <w:b/>
          <w:i/>
          <w:sz w:val="20"/>
          <w:szCs w:val="20"/>
        </w:rPr>
      </w:pPr>
      <w:r w:rsidRPr="00560578">
        <w:rPr>
          <w:rFonts w:ascii="Times New Roman" w:eastAsia="Times New Roman" w:hAnsi="Times New Roman" w:cs="Times New Roman"/>
          <w:b/>
          <w:i/>
          <w:sz w:val="20"/>
          <w:szCs w:val="20"/>
        </w:rPr>
        <w:t>Article 3</w:t>
      </w:r>
      <w:r w:rsidR="007323E7" w:rsidRPr="00560578">
        <w:rPr>
          <w:rFonts w:ascii="Times New Roman" w:eastAsia="Times New Roman" w:hAnsi="Times New Roman" w:cs="Times New Roman"/>
          <w:b/>
          <w:i/>
          <w:sz w:val="20"/>
          <w:szCs w:val="20"/>
        </w:rPr>
        <w:t xml:space="preserve">, paragraph </w:t>
      </w:r>
      <w:r w:rsidRPr="00560578">
        <w:rPr>
          <w:rFonts w:ascii="Times New Roman" w:eastAsia="Times New Roman" w:hAnsi="Times New Roman" w:cs="Times New Roman"/>
          <w:b/>
          <w:i/>
          <w:sz w:val="20"/>
          <w:szCs w:val="20"/>
        </w:rPr>
        <w:t xml:space="preserve">2 </w:t>
      </w:r>
    </w:p>
    <w:p w14:paraId="578A2D91" w14:textId="77777777" w:rsidR="00513122" w:rsidRPr="00560578" w:rsidRDefault="00513122" w:rsidP="005C33AB">
      <w:pPr>
        <w:pStyle w:val="ListParagraph"/>
        <w:numPr>
          <w:ilvl w:val="0"/>
          <w:numId w:val="2"/>
        </w:numPr>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The </w:t>
      </w:r>
      <w:r w:rsidR="007323E7" w:rsidRPr="00560578">
        <w:rPr>
          <w:rFonts w:ascii="Times New Roman" w:eastAsia="Times New Roman" w:hAnsi="Times New Roman" w:cs="Times New Roman"/>
          <w:sz w:val="20"/>
          <w:szCs w:val="20"/>
        </w:rPr>
        <w:t>c</w:t>
      </w:r>
      <w:r w:rsidRPr="00560578">
        <w:rPr>
          <w:rFonts w:ascii="Times New Roman" w:eastAsia="Times New Roman" w:hAnsi="Times New Roman" w:cs="Times New Roman"/>
          <w:sz w:val="20"/>
          <w:szCs w:val="20"/>
        </w:rPr>
        <w:t>ommunicant alleges that the Party concerned is in breach of article 3, par</w:t>
      </w:r>
      <w:r w:rsidR="007323E7" w:rsidRPr="00560578">
        <w:rPr>
          <w:rFonts w:ascii="Times New Roman" w:eastAsia="Times New Roman" w:hAnsi="Times New Roman" w:cs="Times New Roman"/>
          <w:sz w:val="20"/>
          <w:szCs w:val="20"/>
        </w:rPr>
        <w:t xml:space="preserve">agraph </w:t>
      </w:r>
      <w:r w:rsidRPr="00560578">
        <w:rPr>
          <w:rFonts w:ascii="Times New Roman" w:eastAsia="Times New Roman" w:hAnsi="Times New Roman" w:cs="Times New Roman"/>
          <w:sz w:val="20"/>
          <w:szCs w:val="20"/>
        </w:rPr>
        <w:t>2</w:t>
      </w:r>
      <w:r w:rsidR="00E021C4" w:rsidRPr="00560578">
        <w:rPr>
          <w:rFonts w:ascii="Times New Roman" w:eastAsia="Times New Roman" w:hAnsi="Times New Roman" w:cs="Times New Roman"/>
          <w:sz w:val="20"/>
          <w:szCs w:val="20"/>
        </w:rPr>
        <w:t>, of the Convention for failing to “facilitate participation” as required by that provision</w:t>
      </w:r>
      <w:r w:rsidRPr="00560578">
        <w:rPr>
          <w:rFonts w:ascii="Times New Roman" w:eastAsia="Times New Roman" w:hAnsi="Times New Roman" w:cs="Times New Roman"/>
          <w:sz w:val="20"/>
          <w:szCs w:val="20"/>
        </w:rPr>
        <w:t>.</w:t>
      </w:r>
    </w:p>
    <w:p w14:paraId="6B02F934" w14:textId="77777777" w:rsidR="00CC3624" w:rsidRPr="00560578" w:rsidRDefault="00513122" w:rsidP="005C33AB">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The Party concerned refutes the communicant’s allegations. It questions whether this </w:t>
      </w:r>
      <w:r w:rsidR="00E021C4" w:rsidRPr="00560578">
        <w:rPr>
          <w:rFonts w:ascii="Times New Roman" w:eastAsia="Times New Roman" w:hAnsi="Times New Roman" w:cs="Times New Roman"/>
          <w:sz w:val="20"/>
          <w:szCs w:val="20"/>
        </w:rPr>
        <w:t xml:space="preserve">provision </w:t>
      </w:r>
      <w:r w:rsidRPr="00560578">
        <w:rPr>
          <w:rFonts w:ascii="Times New Roman" w:eastAsia="Times New Roman" w:hAnsi="Times New Roman" w:cs="Times New Roman"/>
          <w:sz w:val="20"/>
          <w:szCs w:val="20"/>
        </w:rPr>
        <w:t xml:space="preserve">can apply in the </w:t>
      </w:r>
      <w:r w:rsidR="00E021C4" w:rsidRPr="00560578">
        <w:rPr>
          <w:rFonts w:ascii="Times New Roman" w:eastAsia="Times New Roman" w:hAnsi="Times New Roman" w:cs="Times New Roman"/>
          <w:sz w:val="20"/>
          <w:szCs w:val="20"/>
        </w:rPr>
        <w:t xml:space="preserve">present </w:t>
      </w:r>
      <w:r w:rsidRPr="00560578">
        <w:rPr>
          <w:rFonts w:ascii="Times New Roman" w:eastAsia="Times New Roman" w:hAnsi="Times New Roman" w:cs="Times New Roman"/>
          <w:sz w:val="20"/>
          <w:szCs w:val="20"/>
        </w:rPr>
        <w:t xml:space="preserve">case </w:t>
      </w:r>
      <w:r w:rsidR="00E021C4" w:rsidRPr="00560578">
        <w:rPr>
          <w:rFonts w:ascii="Times New Roman" w:eastAsia="Times New Roman" w:hAnsi="Times New Roman" w:cs="Times New Roman"/>
          <w:sz w:val="20"/>
          <w:szCs w:val="20"/>
        </w:rPr>
        <w:t>which</w:t>
      </w:r>
      <w:r w:rsidRPr="00560578">
        <w:rPr>
          <w:rFonts w:ascii="Times New Roman" w:eastAsia="Times New Roman" w:hAnsi="Times New Roman" w:cs="Times New Roman"/>
          <w:sz w:val="20"/>
          <w:szCs w:val="20"/>
        </w:rPr>
        <w:t xml:space="preserve"> is not a decision-making procedure for which the </w:t>
      </w:r>
      <w:r w:rsidR="00A56355" w:rsidRPr="00560578">
        <w:rPr>
          <w:rFonts w:ascii="Times New Roman" w:eastAsia="Times New Roman" w:hAnsi="Times New Roman" w:cs="Times New Roman"/>
          <w:sz w:val="20"/>
          <w:szCs w:val="20"/>
        </w:rPr>
        <w:t xml:space="preserve">German </w:t>
      </w:r>
      <w:r w:rsidRPr="00560578">
        <w:rPr>
          <w:rFonts w:ascii="Times New Roman" w:eastAsia="Times New Roman" w:hAnsi="Times New Roman" w:cs="Times New Roman"/>
          <w:sz w:val="20"/>
          <w:szCs w:val="20"/>
        </w:rPr>
        <w:t>authorities were responsible and thus would have been obligated to provide support and guidance. It notes that the com</w:t>
      </w:r>
      <w:r w:rsidR="007323E7" w:rsidRPr="00560578">
        <w:rPr>
          <w:rFonts w:ascii="Times New Roman" w:eastAsia="Times New Roman" w:hAnsi="Times New Roman" w:cs="Times New Roman"/>
          <w:sz w:val="20"/>
          <w:szCs w:val="20"/>
        </w:rPr>
        <w:t>municant</w:t>
      </w:r>
      <w:r w:rsidRPr="00560578">
        <w:rPr>
          <w:rFonts w:ascii="Times New Roman" w:eastAsia="Times New Roman" w:hAnsi="Times New Roman" w:cs="Times New Roman"/>
          <w:sz w:val="20"/>
          <w:szCs w:val="20"/>
        </w:rPr>
        <w:t xml:space="preserve">’s request </w:t>
      </w:r>
      <w:r w:rsidR="00E021C4" w:rsidRPr="00560578">
        <w:rPr>
          <w:rFonts w:ascii="Times New Roman" w:eastAsia="Times New Roman" w:hAnsi="Times New Roman" w:cs="Times New Roman"/>
          <w:sz w:val="20"/>
          <w:szCs w:val="20"/>
        </w:rPr>
        <w:t xml:space="preserve">to the BMU of 28 February 2013 for the opportunity to participate </w:t>
      </w:r>
      <w:r w:rsidRPr="00560578">
        <w:rPr>
          <w:rFonts w:ascii="Times New Roman" w:eastAsia="Times New Roman" w:hAnsi="Times New Roman" w:cs="Times New Roman"/>
          <w:sz w:val="20"/>
          <w:szCs w:val="20"/>
        </w:rPr>
        <w:t xml:space="preserve">was not fulfilled, but that </w:t>
      </w:r>
      <w:r w:rsidR="00A56355" w:rsidRPr="00560578">
        <w:rPr>
          <w:rFonts w:ascii="Times New Roman" w:eastAsia="Times New Roman" w:hAnsi="Times New Roman" w:cs="Times New Roman"/>
          <w:sz w:val="20"/>
          <w:szCs w:val="20"/>
        </w:rPr>
        <w:t>BMU</w:t>
      </w:r>
      <w:r w:rsidR="00E021C4" w:rsidRPr="00560578">
        <w:rPr>
          <w:rFonts w:ascii="Times New Roman" w:eastAsia="Times New Roman" w:hAnsi="Times New Roman" w:cs="Times New Roman"/>
          <w:sz w:val="20"/>
          <w:szCs w:val="20"/>
        </w:rPr>
        <w:t xml:space="preserve">’s </w:t>
      </w:r>
      <w:r w:rsidRPr="00560578">
        <w:rPr>
          <w:rFonts w:ascii="Times New Roman" w:eastAsia="Times New Roman" w:hAnsi="Times New Roman" w:cs="Times New Roman"/>
          <w:sz w:val="20"/>
          <w:szCs w:val="20"/>
        </w:rPr>
        <w:t>response was clear and comprehensible, proving adequate support and guidance.</w:t>
      </w:r>
      <w:r w:rsidRPr="00560578">
        <w:rPr>
          <w:rStyle w:val="FootnoteReference"/>
          <w:rFonts w:eastAsia="Times New Roman"/>
          <w:szCs w:val="20"/>
        </w:rPr>
        <w:footnoteReference w:id="13"/>
      </w:r>
      <w:r w:rsidRPr="00560578">
        <w:rPr>
          <w:rFonts w:ascii="Times New Roman" w:eastAsia="Times New Roman" w:hAnsi="Times New Roman" w:cs="Times New Roman"/>
          <w:sz w:val="20"/>
          <w:szCs w:val="20"/>
        </w:rPr>
        <w:t xml:space="preserve"> </w:t>
      </w:r>
    </w:p>
    <w:p w14:paraId="6C1F1E73" w14:textId="77777777" w:rsidR="00642521" w:rsidRPr="00560578" w:rsidRDefault="00642521" w:rsidP="00C9588A">
      <w:pPr>
        <w:suppressAutoHyphens/>
        <w:spacing w:after="120" w:line="240" w:lineRule="atLeast"/>
        <w:ind w:left="414" w:right="1134" w:firstLine="720"/>
        <w:jc w:val="both"/>
        <w:rPr>
          <w:rFonts w:ascii="Times New Roman" w:eastAsia="Times New Roman" w:hAnsi="Times New Roman" w:cs="Times New Roman"/>
          <w:i/>
          <w:sz w:val="20"/>
          <w:szCs w:val="20"/>
        </w:rPr>
      </w:pPr>
      <w:r w:rsidRPr="00560578">
        <w:rPr>
          <w:rFonts w:ascii="Times New Roman" w:eastAsia="Times New Roman" w:hAnsi="Times New Roman" w:cs="Times New Roman"/>
          <w:b/>
          <w:i/>
          <w:sz w:val="20"/>
          <w:szCs w:val="20"/>
        </w:rPr>
        <w:t>Article 3</w:t>
      </w:r>
      <w:r w:rsidR="007323E7" w:rsidRPr="00560578">
        <w:rPr>
          <w:rFonts w:ascii="Times New Roman" w:eastAsia="Times New Roman" w:hAnsi="Times New Roman" w:cs="Times New Roman"/>
          <w:b/>
          <w:i/>
          <w:sz w:val="20"/>
          <w:szCs w:val="20"/>
        </w:rPr>
        <w:t xml:space="preserve">, paragraph </w:t>
      </w:r>
      <w:r w:rsidRPr="00560578">
        <w:rPr>
          <w:rFonts w:ascii="Times New Roman" w:eastAsia="Times New Roman" w:hAnsi="Times New Roman" w:cs="Times New Roman"/>
          <w:b/>
          <w:i/>
          <w:sz w:val="20"/>
          <w:szCs w:val="20"/>
        </w:rPr>
        <w:t>9</w:t>
      </w:r>
    </w:p>
    <w:p w14:paraId="00E0049D" w14:textId="77777777" w:rsidR="00513122" w:rsidRPr="00560578" w:rsidRDefault="00642521" w:rsidP="005C33AB">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The </w:t>
      </w:r>
      <w:r w:rsidR="007323E7" w:rsidRPr="00560578">
        <w:rPr>
          <w:rFonts w:ascii="Times New Roman" w:eastAsia="Times New Roman" w:hAnsi="Times New Roman" w:cs="Times New Roman"/>
          <w:sz w:val="20"/>
          <w:szCs w:val="20"/>
        </w:rPr>
        <w:t>c</w:t>
      </w:r>
      <w:r w:rsidRPr="00560578">
        <w:rPr>
          <w:rFonts w:ascii="Times New Roman" w:eastAsia="Times New Roman" w:hAnsi="Times New Roman" w:cs="Times New Roman"/>
          <w:sz w:val="20"/>
          <w:szCs w:val="20"/>
        </w:rPr>
        <w:t xml:space="preserve">ommunicant alleges that the public </w:t>
      </w:r>
      <w:r w:rsidR="00A56355" w:rsidRPr="00560578">
        <w:rPr>
          <w:rFonts w:ascii="Times New Roman" w:eastAsia="Times New Roman" w:hAnsi="Times New Roman" w:cs="Times New Roman"/>
          <w:sz w:val="20"/>
          <w:szCs w:val="20"/>
        </w:rPr>
        <w:t xml:space="preserve">in Germany </w:t>
      </w:r>
      <w:r w:rsidRPr="00560578">
        <w:rPr>
          <w:rFonts w:ascii="Times New Roman" w:eastAsia="Times New Roman" w:hAnsi="Times New Roman" w:cs="Times New Roman"/>
          <w:sz w:val="20"/>
          <w:szCs w:val="20"/>
        </w:rPr>
        <w:t xml:space="preserve">was not identified </w:t>
      </w:r>
      <w:r w:rsidR="00B34B90" w:rsidRPr="00560578">
        <w:rPr>
          <w:rFonts w:ascii="Times New Roman" w:eastAsia="Times New Roman" w:hAnsi="Times New Roman" w:cs="Times New Roman"/>
          <w:sz w:val="20"/>
          <w:szCs w:val="20"/>
        </w:rPr>
        <w:t xml:space="preserve">by the relevant authorities of the United Kingdom and the Party concerned </w:t>
      </w:r>
      <w:r w:rsidRPr="00560578">
        <w:rPr>
          <w:rFonts w:ascii="Times New Roman" w:eastAsia="Times New Roman" w:hAnsi="Times New Roman" w:cs="Times New Roman"/>
          <w:sz w:val="20"/>
          <w:szCs w:val="20"/>
        </w:rPr>
        <w:t xml:space="preserve">as </w:t>
      </w:r>
      <w:r w:rsidR="00B34B90" w:rsidRPr="00560578">
        <w:rPr>
          <w:rFonts w:ascii="Times New Roman" w:eastAsia="Times New Roman" w:hAnsi="Times New Roman" w:cs="Times New Roman"/>
          <w:sz w:val="20"/>
          <w:szCs w:val="20"/>
        </w:rPr>
        <w:t xml:space="preserve">being among </w:t>
      </w:r>
      <w:r w:rsidR="007323E7" w:rsidRPr="00560578">
        <w:rPr>
          <w:rFonts w:ascii="Times New Roman" w:eastAsia="Times New Roman" w:hAnsi="Times New Roman" w:cs="Times New Roman"/>
          <w:sz w:val="20"/>
          <w:szCs w:val="20"/>
        </w:rPr>
        <w:t xml:space="preserve">the </w:t>
      </w:r>
      <w:r w:rsidRPr="00560578">
        <w:rPr>
          <w:rFonts w:ascii="Times New Roman" w:eastAsia="Times New Roman" w:hAnsi="Times New Roman" w:cs="Times New Roman"/>
          <w:sz w:val="20"/>
          <w:szCs w:val="20"/>
        </w:rPr>
        <w:t xml:space="preserve">public concerned in </w:t>
      </w:r>
      <w:r w:rsidR="00B34B90" w:rsidRPr="00560578">
        <w:rPr>
          <w:rFonts w:ascii="Times New Roman" w:eastAsia="Times New Roman" w:hAnsi="Times New Roman" w:cs="Times New Roman"/>
          <w:sz w:val="20"/>
          <w:szCs w:val="20"/>
        </w:rPr>
        <w:t xml:space="preserve">the </w:t>
      </w:r>
      <w:r w:rsidRPr="00560578">
        <w:rPr>
          <w:rFonts w:ascii="Times New Roman" w:eastAsia="Times New Roman" w:hAnsi="Times New Roman" w:cs="Times New Roman"/>
          <w:sz w:val="20"/>
          <w:szCs w:val="20"/>
        </w:rPr>
        <w:t xml:space="preserve">case of a Beyond Design </w:t>
      </w:r>
      <w:r w:rsidR="007323E7" w:rsidRPr="00560578">
        <w:rPr>
          <w:rFonts w:ascii="Times New Roman" w:eastAsia="Times New Roman" w:hAnsi="Times New Roman" w:cs="Times New Roman"/>
          <w:sz w:val="20"/>
          <w:szCs w:val="20"/>
        </w:rPr>
        <w:t xml:space="preserve">Base </w:t>
      </w:r>
      <w:r w:rsidRPr="00560578">
        <w:rPr>
          <w:rFonts w:ascii="Times New Roman" w:eastAsia="Times New Roman" w:hAnsi="Times New Roman" w:cs="Times New Roman"/>
          <w:sz w:val="20"/>
          <w:szCs w:val="20"/>
        </w:rPr>
        <w:t xml:space="preserve">Accident and </w:t>
      </w:r>
      <w:r w:rsidR="00B34B90" w:rsidRPr="00560578">
        <w:rPr>
          <w:rFonts w:ascii="Times New Roman" w:eastAsia="Times New Roman" w:hAnsi="Times New Roman" w:cs="Times New Roman"/>
          <w:sz w:val="20"/>
          <w:szCs w:val="20"/>
        </w:rPr>
        <w:t xml:space="preserve">was therefore </w:t>
      </w:r>
      <w:r w:rsidRPr="00560578">
        <w:rPr>
          <w:rFonts w:ascii="Times New Roman" w:eastAsia="Times New Roman" w:hAnsi="Times New Roman" w:cs="Times New Roman"/>
          <w:sz w:val="20"/>
          <w:szCs w:val="20"/>
        </w:rPr>
        <w:t>discriminated</w:t>
      </w:r>
      <w:r w:rsidR="007323E7" w:rsidRPr="00560578">
        <w:rPr>
          <w:rFonts w:ascii="Times New Roman" w:eastAsia="Times New Roman" w:hAnsi="Times New Roman" w:cs="Times New Roman"/>
          <w:sz w:val="20"/>
          <w:szCs w:val="20"/>
        </w:rPr>
        <w:t xml:space="preserve"> against</w:t>
      </w:r>
      <w:r w:rsidRPr="00560578">
        <w:rPr>
          <w:rFonts w:ascii="Times New Roman" w:eastAsia="Times New Roman" w:hAnsi="Times New Roman" w:cs="Times New Roman"/>
          <w:sz w:val="20"/>
          <w:szCs w:val="20"/>
        </w:rPr>
        <w:t>.</w:t>
      </w:r>
      <w:r w:rsidRPr="00560578">
        <w:rPr>
          <w:rStyle w:val="FootnoteReference"/>
          <w:rFonts w:eastAsia="Times New Roman"/>
          <w:szCs w:val="20"/>
        </w:rPr>
        <w:footnoteReference w:id="14"/>
      </w:r>
      <w:r w:rsidR="004D2631" w:rsidRPr="00560578">
        <w:rPr>
          <w:rFonts w:ascii="Times New Roman" w:eastAsia="Times New Roman" w:hAnsi="Times New Roman" w:cs="Times New Roman"/>
          <w:sz w:val="20"/>
          <w:szCs w:val="20"/>
        </w:rPr>
        <w:t xml:space="preserve"> For these reasons, the </w:t>
      </w:r>
      <w:r w:rsidR="007323E7" w:rsidRPr="00560578">
        <w:rPr>
          <w:rFonts w:ascii="Times New Roman" w:eastAsia="Times New Roman" w:hAnsi="Times New Roman" w:cs="Times New Roman"/>
          <w:sz w:val="20"/>
          <w:szCs w:val="20"/>
        </w:rPr>
        <w:t>c</w:t>
      </w:r>
      <w:r w:rsidR="004D2631" w:rsidRPr="00560578">
        <w:rPr>
          <w:rFonts w:ascii="Times New Roman" w:eastAsia="Times New Roman" w:hAnsi="Times New Roman" w:cs="Times New Roman"/>
          <w:sz w:val="20"/>
          <w:szCs w:val="20"/>
        </w:rPr>
        <w:t>ommunicant alleges that the Party concerned fails to comply with article 3, par</w:t>
      </w:r>
      <w:r w:rsidR="007323E7" w:rsidRPr="00560578">
        <w:rPr>
          <w:rFonts w:ascii="Times New Roman" w:eastAsia="Times New Roman" w:hAnsi="Times New Roman" w:cs="Times New Roman"/>
          <w:sz w:val="20"/>
          <w:szCs w:val="20"/>
        </w:rPr>
        <w:t xml:space="preserve">agraph </w:t>
      </w:r>
      <w:r w:rsidR="004D2631" w:rsidRPr="00560578">
        <w:rPr>
          <w:rFonts w:ascii="Times New Roman" w:eastAsia="Times New Roman" w:hAnsi="Times New Roman" w:cs="Times New Roman"/>
          <w:sz w:val="20"/>
          <w:szCs w:val="20"/>
        </w:rPr>
        <w:t>9</w:t>
      </w:r>
      <w:r w:rsidR="00A56355" w:rsidRPr="00560578">
        <w:rPr>
          <w:rFonts w:ascii="Times New Roman" w:eastAsia="Times New Roman" w:hAnsi="Times New Roman" w:cs="Times New Roman"/>
          <w:sz w:val="20"/>
          <w:szCs w:val="20"/>
        </w:rPr>
        <w:t xml:space="preserve"> of the Convention</w:t>
      </w:r>
      <w:r w:rsidR="004D2631" w:rsidRPr="00560578">
        <w:rPr>
          <w:rFonts w:ascii="Times New Roman" w:eastAsia="Times New Roman" w:hAnsi="Times New Roman" w:cs="Times New Roman"/>
          <w:sz w:val="20"/>
          <w:szCs w:val="20"/>
        </w:rPr>
        <w:t>.</w:t>
      </w:r>
    </w:p>
    <w:p w14:paraId="2D1D9EA1" w14:textId="77777777" w:rsidR="005C33AB" w:rsidRPr="00560578" w:rsidRDefault="0049285F" w:rsidP="005C33AB">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The Party concerned refutes the communicant’s allegations. It states that the</w:t>
      </w:r>
      <w:r w:rsidR="00630F6B" w:rsidRPr="00560578">
        <w:rPr>
          <w:rFonts w:ascii="Times New Roman" w:eastAsia="Times New Roman" w:hAnsi="Times New Roman" w:cs="Times New Roman"/>
          <w:sz w:val="20"/>
          <w:szCs w:val="20"/>
        </w:rPr>
        <w:t xml:space="preserve"> process of public participation took place in the United Kingdom. The</w:t>
      </w:r>
      <w:r w:rsidRPr="00560578">
        <w:rPr>
          <w:rFonts w:ascii="Times New Roman" w:eastAsia="Times New Roman" w:hAnsi="Times New Roman" w:cs="Times New Roman"/>
          <w:sz w:val="20"/>
          <w:szCs w:val="20"/>
        </w:rPr>
        <w:t xml:space="preserve"> fact that the public in Austria was involved in addition to the public of the U</w:t>
      </w:r>
      <w:r w:rsidR="007323E7" w:rsidRPr="00560578">
        <w:rPr>
          <w:rFonts w:ascii="Times New Roman" w:eastAsia="Times New Roman" w:hAnsi="Times New Roman" w:cs="Times New Roman"/>
          <w:sz w:val="20"/>
          <w:szCs w:val="20"/>
        </w:rPr>
        <w:t xml:space="preserve">nited </w:t>
      </w:r>
      <w:r w:rsidRPr="00560578">
        <w:rPr>
          <w:rFonts w:ascii="Times New Roman" w:eastAsia="Times New Roman" w:hAnsi="Times New Roman" w:cs="Times New Roman"/>
          <w:sz w:val="20"/>
          <w:szCs w:val="20"/>
        </w:rPr>
        <w:t>K</w:t>
      </w:r>
      <w:r w:rsidR="007323E7" w:rsidRPr="00560578">
        <w:rPr>
          <w:rFonts w:ascii="Times New Roman" w:eastAsia="Times New Roman" w:hAnsi="Times New Roman" w:cs="Times New Roman"/>
          <w:sz w:val="20"/>
          <w:szCs w:val="20"/>
        </w:rPr>
        <w:t>ingdom</w:t>
      </w:r>
      <w:r w:rsidRPr="00560578">
        <w:rPr>
          <w:rFonts w:ascii="Times New Roman" w:eastAsia="Times New Roman" w:hAnsi="Times New Roman" w:cs="Times New Roman"/>
          <w:sz w:val="20"/>
          <w:szCs w:val="20"/>
        </w:rPr>
        <w:t xml:space="preserve"> is due to a separate request for participation by Austria. As Germany did not request it, the Party considers that it cannot be accountable for it in any way.</w:t>
      </w:r>
      <w:r w:rsidRPr="00560578">
        <w:rPr>
          <w:rStyle w:val="FootnoteReference"/>
          <w:rFonts w:eastAsia="Times New Roman"/>
          <w:szCs w:val="20"/>
        </w:rPr>
        <w:footnoteReference w:id="15"/>
      </w:r>
    </w:p>
    <w:p w14:paraId="645B44AE" w14:textId="77777777" w:rsidR="00A17A9C" w:rsidRPr="00560578" w:rsidRDefault="00A17A9C" w:rsidP="00C9588A">
      <w:pPr>
        <w:suppressAutoHyphens/>
        <w:spacing w:after="120" w:line="240" w:lineRule="atLeast"/>
        <w:ind w:left="414" w:right="1134" w:firstLine="720"/>
        <w:jc w:val="both"/>
        <w:rPr>
          <w:rFonts w:ascii="Times New Roman" w:eastAsia="Times New Roman" w:hAnsi="Times New Roman" w:cs="Times New Roman"/>
          <w:b/>
          <w:i/>
          <w:sz w:val="20"/>
          <w:szCs w:val="20"/>
        </w:rPr>
      </w:pPr>
      <w:r w:rsidRPr="00560578">
        <w:rPr>
          <w:rFonts w:ascii="Times New Roman" w:eastAsia="Times New Roman" w:hAnsi="Times New Roman" w:cs="Times New Roman"/>
          <w:b/>
          <w:i/>
          <w:sz w:val="20"/>
          <w:szCs w:val="20"/>
        </w:rPr>
        <w:t>Article 4</w:t>
      </w:r>
      <w:r w:rsidR="007323E7" w:rsidRPr="00560578">
        <w:rPr>
          <w:rFonts w:ascii="Times New Roman" w:eastAsia="Times New Roman" w:hAnsi="Times New Roman" w:cs="Times New Roman"/>
          <w:b/>
          <w:i/>
          <w:sz w:val="20"/>
          <w:szCs w:val="20"/>
        </w:rPr>
        <w:t>, par</w:t>
      </w:r>
      <w:r w:rsidR="00A56355" w:rsidRPr="00560578">
        <w:rPr>
          <w:rFonts w:ascii="Times New Roman" w:eastAsia="Times New Roman" w:hAnsi="Times New Roman" w:cs="Times New Roman"/>
          <w:b/>
          <w:i/>
          <w:sz w:val="20"/>
          <w:szCs w:val="20"/>
        </w:rPr>
        <w:t>a</w:t>
      </w:r>
      <w:r w:rsidR="007323E7" w:rsidRPr="00560578">
        <w:rPr>
          <w:rFonts w:ascii="Times New Roman" w:eastAsia="Times New Roman" w:hAnsi="Times New Roman" w:cs="Times New Roman"/>
          <w:b/>
          <w:i/>
          <w:sz w:val="20"/>
          <w:szCs w:val="20"/>
        </w:rPr>
        <w:t>graph 7</w:t>
      </w:r>
    </w:p>
    <w:p w14:paraId="1C66A36A" w14:textId="77777777" w:rsidR="00A17A9C" w:rsidRPr="00560578" w:rsidRDefault="00E934F5" w:rsidP="005C33AB">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The </w:t>
      </w:r>
      <w:r w:rsidR="007323E7" w:rsidRPr="00560578">
        <w:rPr>
          <w:rFonts w:ascii="Times New Roman" w:eastAsia="Times New Roman" w:hAnsi="Times New Roman" w:cs="Times New Roman"/>
          <w:sz w:val="20"/>
          <w:szCs w:val="20"/>
        </w:rPr>
        <w:t>c</w:t>
      </w:r>
      <w:r w:rsidRPr="00560578">
        <w:rPr>
          <w:rFonts w:ascii="Times New Roman" w:eastAsia="Times New Roman" w:hAnsi="Times New Roman" w:cs="Times New Roman"/>
          <w:sz w:val="20"/>
          <w:szCs w:val="20"/>
        </w:rPr>
        <w:t xml:space="preserve">ommunicant alleges that the </w:t>
      </w:r>
      <w:r w:rsidR="00630F6B" w:rsidRPr="00560578">
        <w:rPr>
          <w:rFonts w:ascii="Times New Roman" w:eastAsia="Times New Roman" w:hAnsi="Times New Roman" w:cs="Times New Roman"/>
          <w:sz w:val="20"/>
          <w:szCs w:val="20"/>
        </w:rPr>
        <w:t xml:space="preserve">United Kingdom’s </w:t>
      </w:r>
      <w:r w:rsidRPr="00560578">
        <w:rPr>
          <w:rFonts w:ascii="Times New Roman" w:eastAsia="Times New Roman" w:hAnsi="Times New Roman" w:cs="Times New Roman"/>
          <w:sz w:val="20"/>
          <w:szCs w:val="20"/>
        </w:rPr>
        <w:t>Ministry should have told the public and the natural persons who signed the submission lists, in written form, why their submissions were refused. For these reasons it alleges a violation of article 4, par</w:t>
      </w:r>
      <w:r w:rsidR="007323E7" w:rsidRPr="00560578">
        <w:rPr>
          <w:rFonts w:ascii="Times New Roman" w:eastAsia="Times New Roman" w:hAnsi="Times New Roman" w:cs="Times New Roman"/>
          <w:sz w:val="20"/>
          <w:szCs w:val="20"/>
        </w:rPr>
        <w:t>agraph</w:t>
      </w:r>
      <w:r w:rsidRPr="00560578">
        <w:rPr>
          <w:rFonts w:ascii="Times New Roman" w:eastAsia="Times New Roman" w:hAnsi="Times New Roman" w:cs="Times New Roman"/>
          <w:sz w:val="20"/>
          <w:szCs w:val="20"/>
        </w:rPr>
        <w:t>7.</w:t>
      </w:r>
      <w:r w:rsidRPr="00560578">
        <w:rPr>
          <w:rStyle w:val="FootnoteReference"/>
          <w:rFonts w:eastAsia="Times New Roman"/>
          <w:szCs w:val="20"/>
        </w:rPr>
        <w:footnoteReference w:id="16"/>
      </w:r>
    </w:p>
    <w:p w14:paraId="2897CD5C" w14:textId="77777777" w:rsidR="00E934F5" w:rsidRPr="00560578" w:rsidRDefault="00E934F5" w:rsidP="005C33AB">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The Party concerned refutes the communicant’s allegations. First, it questions whether this allegation is also directed against Germany, as the communication does not make that clear.</w:t>
      </w:r>
    </w:p>
    <w:p w14:paraId="62AE1092" w14:textId="77777777" w:rsidR="00E934F5" w:rsidRPr="00560578" w:rsidRDefault="00E934F5" w:rsidP="005C33AB">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Moreover, the Party submits that in the letter sent to the Federal Environmental Minister on 28 February 2013, the </w:t>
      </w:r>
      <w:r w:rsidR="007323E7" w:rsidRPr="00560578">
        <w:rPr>
          <w:rFonts w:ascii="Times New Roman" w:eastAsia="Times New Roman" w:hAnsi="Times New Roman" w:cs="Times New Roman"/>
          <w:sz w:val="20"/>
          <w:szCs w:val="20"/>
        </w:rPr>
        <w:t>c</w:t>
      </w:r>
      <w:r w:rsidRPr="00560578">
        <w:rPr>
          <w:rFonts w:ascii="Times New Roman" w:eastAsia="Times New Roman" w:hAnsi="Times New Roman" w:cs="Times New Roman"/>
          <w:sz w:val="20"/>
          <w:szCs w:val="20"/>
        </w:rPr>
        <w:t xml:space="preserve">ommunicant did not request access to environmental information available to Germany, as provided for by article 4. The Party asserts that the </w:t>
      </w:r>
      <w:r w:rsidR="007323E7" w:rsidRPr="00560578">
        <w:rPr>
          <w:rFonts w:ascii="Times New Roman" w:eastAsia="Times New Roman" w:hAnsi="Times New Roman" w:cs="Times New Roman"/>
          <w:sz w:val="20"/>
          <w:szCs w:val="20"/>
        </w:rPr>
        <w:t>c</w:t>
      </w:r>
      <w:r w:rsidRPr="00560578">
        <w:rPr>
          <w:rFonts w:ascii="Times New Roman" w:eastAsia="Times New Roman" w:hAnsi="Times New Roman" w:cs="Times New Roman"/>
          <w:sz w:val="20"/>
          <w:szCs w:val="20"/>
        </w:rPr>
        <w:t>ommunicant only re</w:t>
      </w:r>
      <w:r w:rsidR="00981450" w:rsidRPr="00560578">
        <w:rPr>
          <w:rFonts w:ascii="Times New Roman" w:eastAsia="Times New Roman" w:hAnsi="Times New Roman" w:cs="Times New Roman"/>
          <w:sz w:val="20"/>
          <w:szCs w:val="20"/>
        </w:rPr>
        <w:t xml:space="preserve">quested the Federal Government </w:t>
      </w:r>
      <w:r w:rsidRPr="00560578">
        <w:rPr>
          <w:rFonts w:ascii="Times New Roman" w:eastAsia="Times New Roman" w:hAnsi="Times New Roman" w:cs="Times New Roman"/>
          <w:sz w:val="20"/>
          <w:szCs w:val="20"/>
        </w:rPr>
        <w:t>to ensure that the U</w:t>
      </w:r>
      <w:r w:rsidR="007323E7" w:rsidRPr="00560578">
        <w:rPr>
          <w:rFonts w:ascii="Times New Roman" w:eastAsia="Times New Roman" w:hAnsi="Times New Roman" w:cs="Times New Roman"/>
          <w:sz w:val="20"/>
          <w:szCs w:val="20"/>
        </w:rPr>
        <w:t>nited Kingdom</w:t>
      </w:r>
      <w:r w:rsidRPr="00560578">
        <w:rPr>
          <w:rFonts w:ascii="Times New Roman" w:eastAsia="Times New Roman" w:hAnsi="Times New Roman" w:cs="Times New Roman"/>
          <w:sz w:val="20"/>
          <w:szCs w:val="20"/>
        </w:rPr>
        <w:t xml:space="preserve"> conduct a transboundary EIA in which the German public could be involved</w:t>
      </w:r>
      <w:r w:rsidR="00E874BA" w:rsidRPr="00560578">
        <w:rPr>
          <w:rFonts w:ascii="Times New Roman" w:eastAsia="Times New Roman" w:hAnsi="Times New Roman" w:cs="Times New Roman"/>
          <w:sz w:val="20"/>
          <w:szCs w:val="20"/>
        </w:rPr>
        <w:t xml:space="preserve"> and</w:t>
      </w:r>
      <w:r w:rsidRPr="00560578">
        <w:rPr>
          <w:rStyle w:val="FootnoteReference"/>
          <w:rFonts w:eastAsia="Times New Roman"/>
          <w:szCs w:val="20"/>
        </w:rPr>
        <w:footnoteReference w:id="17"/>
      </w:r>
      <w:r w:rsidR="00630F6B" w:rsidRPr="00560578">
        <w:rPr>
          <w:rFonts w:ascii="Times New Roman" w:eastAsia="Times New Roman" w:hAnsi="Times New Roman" w:cs="Times New Roman"/>
          <w:sz w:val="20"/>
          <w:szCs w:val="20"/>
        </w:rPr>
        <w:t xml:space="preserve"> </w:t>
      </w:r>
      <w:r w:rsidR="00E874BA" w:rsidRPr="00560578">
        <w:rPr>
          <w:rFonts w:ascii="Times New Roman" w:eastAsia="Times New Roman" w:hAnsi="Times New Roman" w:cs="Times New Roman"/>
          <w:sz w:val="20"/>
          <w:szCs w:val="20"/>
        </w:rPr>
        <w:t>t</w:t>
      </w:r>
      <w:r w:rsidR="00630F6B" w:rsidRPr="00560578">
        <w:rPr>
          <w:rFonts w:ascii="Times New Roman" w:eastAsia="Times New Roman" w:hAnsi="Times New Roman" w:cs="Times New Roman"/>
          <w:sz w:val="20"/>
          <w:szCs w:val="20"/>
        </w:rPr>
        <w:t xml:space="preserve">he </w:t>
      </w:r>
      <w:r w:rsidR="00A56355" w:rsidRPr="00560578">
        <w:rPr>
          <w:rFonts w:ascii="Times New Roman" w:eastAsia="Times New Roman" w:hAnsi="Times New Roman" w:cs="Times New Roman"/>
          <w:sz w:val="20"/>
          <w:szCs w:val="20"/>
        </w:rPr>
        <w:t>BMU</w:t>
      </w:r>
      <w:r w:rsidR="00630F6B" w:rsidRPr="00560578">
        <w:rPr>
          <w:rFonts w:ascii="Times New Roman" w:eastAsia="Times New Roman" w:hAnsi="Times New Roman" w:cs="Times New Roman"/>
          <w:sz w:val="20"/>
          <w:szCs w:val="20"/>
        </w:rPr>
        <w:t xml:space="preserve"> responded to this request on 27 March 2013. The Party submits no potential violation of article </w:t>
      </w:r>
      <w:proofErr w:type="gramStart"/>
      <w:r w:rsidR="00630F6B" w:rsidRPr="00560578">
        <w:rPr>
          <w:rFonts w:ascii="Times New Roman" w:eastAsia="Times New Roman" w:hAnsi="Times New Roman" w:cs="Times New Roman"/>
          <w:sz w:val="20"/>
          <w:szCs w:val="20"/>
        </w:rPr>
        <w:t>4,</w:t>
      </w:r>
      <w:proofErr w:type="gramEnd"/>
      <w:r w:rsidR="00630F6B" w:rsidRPr="00560578">
        <w:rPr>
          <w:rFonts w:ascii="Times New Roman" w:eastAsia="Times New Roman" w:hAnsi="Times New Roman" w:cs="Times New Roman"/>
          <w:sz w:val="20"/>
          <w:szCs w:val="20"/>
        </w:rPr>
        <w:t xml:space="preserve"> paragraph 7 of the Convention has been presented by the communicant.</w:t>
      </w:r>
    </w:p>
    <w:p w14:paraId="4ABE9C30" w14:textId="77777777" w:rsidR="00981450" w:rsidRPr="00560578" w:rsidRDefault="00981450" w:rsidP="00C9588A">
      <w:pPr>
        <w:suppressAutoHyphens/>
        <w:spacing w:after="120" w:line="240" w:lineRule="atLeast"/>
        <w:ind w:left="414" w:right="1134" w:firstLine="720"/>
        <w:jc w:val="both"/>
        <w:rPr>
          <w:rFonts w:ascii="Times New Roman" w:eastAsia="Times New Roman" w:hAnsi="Times New Roman" w:cs="Times New Roman"/>
          <w:b/>
          <w:i/>
          <w:sz w:val="20"/>
          <w:szCs w:val="20"/>
        </w:rPr>
      </w:pPr>
      <w:r w:rsidRPr="00560578">
        <w:rPr>
          <w:rFonts w:ascii="Times New Roman" w:eastAsia="Times New Roman" w:hAnsi="Times New Roman" w:cs="Times New Roman"/>
          <w:b/>
          <w:i/>
          <w:sz w:val="20"/>
          <w:szCs w:val="20"/>
        </w:rPr>
        <w:t>Article 6</w:t>
      </w:r>
    </w:p>
    <w:p w14:paraId="0D7AAD8A" w14:textId="77777777" w:rsidR="00981450" w:rsidRPr="00560578" w:rsidRDefault="00981450" w:rsidP="00981450">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The </w:t>
      </w:r>
      <w:r w:rsidR="007323E7" w:rsidRPr="00560578">
        <w:rPr>
          <w:rFonts w:ascii="Times New Roman" w:eastAsia="Times New Roman" w:hAnsi="Times New Roman" w:cs="Times New Roman"/>
          <w:sz w:val="20"/>
          <w:szCs w:val="20"/>
        </w:rPr>
        <w:t>c</w:t>
      </w:r>
      <w:r w:rsidRPr="00560578">
        <w:rPr>
          <w:rFonts w:ascii="Times New Roman" w:eastAsia="Times New Roman" w:hAnsi="Times New Roman" w:cs="Times New Roman"/>
          <w:sz w:val="20"/>
          <w:szCs w:val="20"/>
        </w:rPr>
        <w:t>ommunicant alleges that the Party concerned did not provide the public</w:t>
      </w:r>
      <w:r w:rsidR="00E874BA" w:rsidRPr="00560578">
        <w:rPr>
          <w:rFonts w:ascii="Times New Roman" w:eastAsia="Times New Roman" w:hAnsi="Times New Roman" w:cs="Times New Roman"/>
          <w:sz w:val="20"/>
          <w:szCs w:val="20"/>
        </w:rPr>
        <w:t xml:space="preserve"> concerned in Germany</w:t>
      </w:r>
      <w:r w:rsidRPr="00560578">
        <w:rPr>
          <w:rFonts w:ascii="Times New Roman" w:eastAsia="Times New Roman" w:hAnsi="Times New Roman" w:cs="Times New Roman"/>
          <w:sz w:val="20"/>
          <w:szCs w:val="20"/>
        </w:rPr>
        <w:t xml:space="preserve"> with opportunities to participate in a transboundary </w:t>
      </w:r>
      <w:r w:rsidR="00E874BA" w:rsidRPr="00560578">
        <w:rPr>
          <w:rFonts w:ascii="Times New Roman" w:eastAsia="Times New Roman" w:hAnsi="Times New Roman" w:cs="Times New Roman"/>
          <w:sz w:val="20"/>
          <w:szCs w:val="20"/>
        </w:rPr>
        <w:t>EIA</w:t>
      </w:r>
      <w:r w:rsidRPr="00560578">
        <w:rPr>
          <w:rFonts w:ascii="Times New Roman" w:eastAsia="Times New Roman" w:hAnsi="Times New Roman" w:cs="Times New Roman"/>
          <w:sz w:val="20"/>
          <w:szCs w:val="20"/>
        </w:rPr>
        <w:t xml:space="preserve"> procedure. For this reasons, it alleges that the Party fails to comply with article 6, par</w:t>
      </w:r>
      <w:r w:rsidR="007323E7" w:rsidRPr="00560578">
        <w:rPr>
          <w:rFonts w:ascii="Times New Roman" w:eastAsia="Times New Roman" w:hAnsi="Times New Roman" w:cs="Times New Roman"/>
          <w:sz w:val="20"/>
          <w:szCs w:val="20"/>
        </w:rPr>
        <w:t>agraphs</w:t>
      </w:r>
      <w:r w:rsidRPr="00560578">
        <w:rPr>
          <w:rFonts w:ascii="Times New Roman" w:eastAsia="Times New Roman" w:hAnsi="Times New Roman" w:cs="Times New Roman"/>
          <w:sz w:val="20"/>
          <w:szCs w:val="20"/>
        </w:rPr>
        <w:t>1, 2, 4, 5, 6 and 7</w:t>
      </w:r>
      <w:r w:rsidR="00E874BA" w:rsidRPr="00560578">
        <w:rPr>
          <w:rFonts w:ascii="Times New Roman" w:eastAsia="Times New Roman" w:hAnsi="Times New Roman" w:cs="Times New Roman"/>
          <w:sz w:val="20"/>
          <w:szCs w:val="20"/>
        </w:rPr>
        <w:t xml:space="preserve"> of the Convention</w:t>
      </w:r>
      <w:r w:rsidRPr="00560578">
        <w:rPr>
          <w:rFonts w:ascii="Times New Roman" w:eastAsia="Times New Roman" w:hAnsi="Times New Roman" w:cs="Times New Roman"/>
          <w:sz w:val="20"/>
          <w:szCs w:val="20"/>
        </w:rPr>
        <w:t xml:space="preserve">. </w:t>
      </w:r>
    </w:p>
    <w:p w14:paraId="36604147" w14:textId="77777777" w:rsidR="00981450" w:rsidRPr="00560578" w:rsidRDefault="00981450" w:rsidP="00C9588A">
      <w:pPr>
        <w:suppressAutoHyphens/>
        <w:spacing w:after="120" w:line="240" w:lineRule="atLeast"/>
        <w:ind w:left="414" w:right="1134" w:firstLine="720"/>
        <w:jc w:val="both"/>
        <w:rPr>
          <w:rFonts w:ascii="Times New Roman" w:eastAsia="Times New Roman" w:hAnsi="Times New Roman" w:cs="Times New Roman"/>
          <w:b/>
          <w:i/>
          <w:sz w:val="20"/>
          <w:szCs w:val="20"/>
        </w:rPr>
      </w:pPr>
      <w:r w:rsidRPr="00560578">
        <w:rPr>
          <w:rFonts w:ascii="Times New Roman" w:eastAsia="Times New Roman" w:hAnsi="Times New Roman" w:cs="Times New Roman"/>
          <w:b/>
          <w:i/>
          <w:sz w:val="20"/>
          <w:szCs w:val="20"/>
        </w:rPr>
        <w:t>Article 6</w:t>
      </w:r>
      <w:r w:rsidR="007323E7" w:rsidRPr="00560578">
        <w:rPr>
          <w:rFonts w:ascii="Times New Roman" w:eastAsia="Times New Roman" w:hAnsi="Times New Roman" w:cs="Times New Roman"/>
          <w:b/>
          <w:i/>
          <w:sz w:val="20"/>
          <w:szCs w:val="20"/>
        </w:rPr>
        <w:t xml:space="preserve">, paragraph </w:t>
      </w:r>
      <w:r w:rsidRPr="00560578">
        <w:rPr>
          <w:rFonts w:ascii="Times New Roman" w:eastAsia="Times New Roman" w:hAnsi="Times New Roman" w:cs="Times New Roman"/>
          <w:b/>
          <w:i/>
          <w:sz w:val="20"/>
          <w:szCs w:val="20"/>
        </w:rPr>
        <w:t>1</w:t>
      </w:r>
    </w:p>
    <w:p w14:paraId="25B518D6" w14:textId="77777777" w:rsidR="00981450" w:rsidRPr="00560578" w:rsidRDefault="00981450" w:rsidP="00981450">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The Party concerned refutes the </w:t>
      </w:r>
      <w:r w:rsidR="007323E7" w:rsidRPr="00560578">
        <w:rPr>
          <w:rFonts w:ascii="Times New Roman" w:eastAsia="Times New Roman" w:hAnsi="Times New Roman" w:cs="Times New Roman"/>
          <w:sz w:val="20"/>
          <w:szCs w:val="20"/>
        </w:rPr>
        <w:t>c</w:t>
      </w:r>
      <w:r w:rsidRPr="00560578">
        <w:rPr>
          <w:rFonts w:ascii="Times New Roman" w:eastAsia="Times New Roman" w:hAnsi="Times New Roman" w:cs="Times New Roman"/>
          <w:sz w:val="20"/>
          <w:szCs w:val="20"/>
        </w:rPr>
        <w:t xml:space="preserve">ommunicant’s allegation </w:t>
      </w:r>
      <w:r w:rsidR="005D5232" w:rsidRPr="00560578">
        <w:rPr>
          <w:rFonts w:ascii="Times New Roman" w:eastAsia="Times New Roman" w:hAnsi="Times New Roman" w:cs="Times New Roman"/>
          <w:sz w:val="20"/>
          <w:szCs w:val="20"/>
        </w:rPr>
        <w:t xml:space="preserve">that it has breached its obligations under </w:t>
      </w:r>
      <w:r w:rsidRPr="00560578">
        <w:rPr>
          <w:rFonts w:ascii="Times New Roman" w:eastAsia="Times New Roman" w:hAnsi="Times New Roman" w:cs="Times New Roman"/>
          <w:sz w:val="20"/>
          <w:szCs w:val="20"/>
        </w:rPr>
        <w:t>article 6, par</w:t>
      </w:r>
      <w:r w:rsidR="007323E7" w:rsidRPr="00560578">
        <w:rPr>
          <w:rFonts w:ascii="Times New Roman" w:eastAsia="Times New Roman" w:hAnsi="Times New Roman" w:cs="Times New Roman"/>
          <w:sz w:val="20"/>
          <w:szCs w:val="20"/>
        </w:rPr>
        <w:t xml:space="preserve">agraph </w:t>
      </w:r>
      <w:r w:rsidRPr="00560578">
        <w:rPr>
          <w:rFonts w:ascii="Times New Roman" w:eastAsia="Times New Roman" w:hAnsi="Times New Roman" w:cs="Times New Roman"/>
          <w:sz w:val="20"/>
          <w:szCs w:val="20"/>
        </w:rPr>
        <w:t xml:space="preserve">1. It asserts that article </w:t>
      </w:r>
      <w:proofErr w:type="gramStart"/>
      <w:r w:rsidRPr="00560578">
        <w:rPr>
          <w:rFonts w:ascii="Times New Roman" w:eastAsia="Times New Roman" w:hAnsi="Times New Roman" w:cs="Times New Roman"/>
          <w:sz w:val="20"/>
          <w:szCs w:val="20"/>
        </w:rPr>
        <w:t>6,</w:t>
      </w:r>
      <w:proofErr w:type="gramEnd"/>
      <w:r w:rsidRPr="00560578">
        <w:rPr>
          <w:rFonts w:ascii="Times New Roman" w:eastAsia="Times New Roman" w:hAnsi="Times New Roman" w:cs="Times New Roman"/>
          <w:sz w:val="20"/>
          <w:szCs w:val="20"/>
        </w:rPr>
        <w:t xml:space="preserve"> par</w:t>
      </w:r>
      <w:r w:rsidR="007323E7" w:rsidRPr="00560578">
        <w:rPr>
          <w:rFonts w:ascii="Times New Roman" w:eastAsia="Times New Roman" w:hAnsi="Times New Roman" w:cs="Times New Roman"/>
          <w:sz w:val="20"/>
          <w:szCs w:val="20"/>
        </w:rPr>
        <w:t xml:space="preserve">agraph </w:t>
      </w:r>
      <w:r w:rsidRPr="00560578">
        <w:rPr>
          <w:rFonts w:ascii="Times New Roman" w:eastAsia="Times New Roman" w:hAnsi="Times New Roman" w:cs="Times New Roman"/>
          <w:sz w:val="20"/>
          <w:szCs w:val="20"/>
        </w:rPr>
        <w:t xml:space="preserve">1 does not apply </w:t>
      </w:r>
      <w:r w:rsidR="00630F6B" w:rsidRPr="00560578">
        <w:rPr>
          <w:rFonts w:ascii="Times New Roman" w:eastAsia="Times New Roman" w:hAnsi="Times New Roman" w:cs="Times New Roman"/>
          <w:sz w:val="20"/>
          <w:szCs w:val="20"/>
        </w:rPr>
        <w:t xml:space="preserve">in </w:t>
      </w:r>
      <w:r w:rsidRPr="00560578">
        <w:rPr>
          <w:rFonts w:ascii="Times New Roman" w:eastAsia="Times New Roman" w:hAnsi="Times New Roman" w:cs="Times New Roman"/>
          <w:sz w:val="20"/>
          <w:szCs w:val="20"/>
        </w:rPr>
        <w:t xml:space="preserve">the current case because </w:t>
      </w:r>
      <w:r w:rsidR="00E874BA" w:rsidRPr="00560578">
        <w:rPr>
          <w:rFonts w:ascii="Times New Roman" w:eastAsia="Times New Roman" w:hAnsi="Times New Roman" w:cs="Times New Roman"/>
          <w:sz w:val="20"/>
          <w:szCs w:val="20"/>
        </w:rPr>
        <w:t xml:space="preserve">there </w:t>
      </w:r>
      <w:r w:rsidR="005D5232" w:rsidRPr="00560578">
        <w:rPr>
          <w:rFonts w:ascii="Times New Roman" w:eastAsia="Times New Roman" w:hAnsi="Times New Roman" w:cs="Times New Roman"/>
          <w:sz w:val="20"/>
          <w:szCs w:val="20"/>
        </w:rPr>
        <w:t xml:space="preserve">was </w:t>
      </w:r>
      <w:r w:rsidR="00E874BA" w:rsidRPr="00560578">
        <w:rPr>
          <w:rFonts w:ascii="Times New Roman" w:eastAsia="Times New Roman" w:hAnsi="Times New Roman" w:cs="Times New Roman"/>
          <w:sz w:val="20"/>
          <w:szCs w:val="20"/>
        </w:rPr>
        <w:t xml:space="preserve">no </w:t>
      </w:r>
      <w:r w:rsidRPr="00560578">
        <w:rPr>
          <w:rFonts w:ascii="Times New Roman" w:eastAsia="Times New Roman" w:hAnsi="Times New Roman" w:cs="Times New Roman"/>
          <w:sz w:val="20"/>
          <w:szCs w:val="20"/>
        </w:rPr>
        <w:t xml:space="preserve">decision-making procedure </w:t>
      </w:r>
      <w:r w:rsidR="00630F6B" w:rsidRPr="00560578">
        <w:rPr>
          <w:rFonts w:ascii="Times New Roman" w:eastAsia="Times New Roman" w:hAnsi="Times New Roman" w:cs="Times New Roman"/>
          <w:sz w:val="20"/>
          <w:szCs w:val="20"/>
        </w:rPr>
        <w:t>in which German authorities would have had to decide on the approval of a concrete project</w:t>
      </w:r>
      <w:r w:rsidR="00630F6B" w:rsidRPr="00560578" w:rsidDel="00630F6B">
        <w:rPr>
          <w:rFonts w:ascii="Times New Roman" w:eastAsia="Times New Roman" w:hAnsi="Times New Roman" w:cs="Times New Roman"/>
          <w:sz w:val="20"/>
          <w:szCs w:val="20"/>
        </w:rPr>
        <w:t xml:space="preserve"> </w:t>
      </w:r>
      <w:r w:rsidRPr="00560578">
        <w:rPr>
          <w:rFonts w:ascii="Times New Roman" w:eastAsia="Times New Roman" w:hAnsi="Times New Roman" w:cs="Times New Roman"/>
          <w:sz w:val="20"/>
          <w:szCs w:val="20"/>
        </w:rPr>
        <w:t>at issue.</w:t>
      </w:r>
      <w:r w:rsidRPr="00560578">
        <w:rPr>
          <w:rStyle w:val="FootnoteReference"/>
          <w:rFonts w:eastAsia="Times New Roman"/>
          <w:szCs w:val="20"/>
        </w:rPr>
        <w:footnoteReference w:id="18"/>
      </w:r>
      <w:r w:rsidRPr="00560578">
        <w:rPr>
          <w:rFonts w:ascii="Times New Roman" w:eastAsia="Times New Roman" w:hAnsi="Times New Roman" w:cs="Times New Roman"/>
          <w:sz w:val="20"/>
          <w:szCs w:val="20"/>
        </w:rPr>
        <w:t xml:space="preserve"> </w:t>
      </w:r>
    </w:p>
    <w:p w14:paraId="2F868DA1" w14:textId="77777777" w:rsidR="00981450" w:rsidRPr="00560578" w:rsidRDefault="00981450" w:rsidP="00C9588A">
      <w:pPr>
        <w:suppressAutoHyphens/>
        <w:spacing w:after="120" w:line="240" w:lineRule="atLeast"/>
        <w:ind w:left="414" w:right="1134" w:firstLine="720"/>
        <w:jc w:val="both"/>
        <w:rPr>
          <w:rFonts w:ascii="Times New Roman" w:eastAsia="Times New Roman" w:hAnsi="Times New Roman" w:cs="Times New Roman"/>
          <w:b/>
          <w:i/>
          <w:sz w:val="20"/>
          <w:szCs w:val="20"/>
        </w:rPr>
      </w:pPr>
      <w:r w:rsidRPr="00560578">
        <w:rPr>
          <w:rFonts w:ascii="Times New Roman" w:eastAsia="Times New Roman" w:hAnsi="Times New Roman" w:cs="Times New Roman"/>
          <w:b/>
          <w:i/>
          <w:sz w:val="20"/>
          <w:szCs w:val="20"/>
        </w:rPr>
        <w:t>Article 6</w:t>
      </w:r>
      <w:r w:rsidR="009C7296" w:rsidRPr="00560578">
        <w:rPr>
          <w:rFonts w:ascii="Times New Roman" w:eastAsia="Times New Roman" w:hAnsi="Times New Roman" w:cs="Times New Roman"/>
          <w:b/>
          <w:i/>
          <w:sz w:val="20"/>
          <w:szCs w:val="20"/>
        </w:rPr>
        <w:t xml:space="preserve">, paragraph </w:t>
      </w:r>
      <w:r w:rsidRPr="00560578">
        <w:rPr>
          <w:rFonts w:ascii="Times New Roman" w:eastAsia="Times New Roman" w:hAnsi="Times New Roman" w:cs="Times New Roman"/>
          <w:b/>
          <w:i/>
          <w:sz w:val="20"/>
          <w:szCs w:val="20"/>
        </w:rPr>
        <w:t>2</w:t>
      </w:r>
    </w:p>
    <w:p w14:paraId="57F422B1" w14:textId="77777777" w:rsidR="00981450" w:rsidRPr="00560578" w:rsidRDefault="00981450" w:rsidP="00981450">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The </w:t>
      </w:r>
      <w:r w:rsidR="009C7296" w:rsidRPr="00560578">
        <w:rPr>
          <w:rFonts w:ascii="Times New Roman" w:eastAsia="Times New Roman" w:hAnsi="Times New Roman" w:cs="Times New Roman"/>
          <w:sz w:val="20"/>
          <w:szCs w:val="20"/>
        </w:rPr>
        <w:t>c</w:t>
      </w:r>
      <w:r w:rsidRPr="00560578">
        <w:rPr>
          <w:rFonts w:ascii="Times New Roman" w:eastAsia="Times New Roman" w:hAnsi="Times New Roman" w:cs="Times New Roman"/>
          <w:sz w:val="20"/>
          <w:szCs w:val="20"/>
        </w:rPr>
        <w:t xml:space="preserve">ommunicant alleges that BMU should have requested from the </w:t>
      </w:r>
      <w:r w:rsidR="00630F6B" w:rsidRPr="00560578">
        <w:rPr>
          <w:rFonts w:ascii="Times New Roman" w:eastAsia="Times New Roman" w:hAnsi="Times New Roman" w:cs="Times New Roman"/>
          <w:sz w:val="20"/>
          <w:szCs w:val="20"/>
        </w:rPr>
        <w:t xml:space="preserve">United Kingdom </w:t>
      </w:r>
      <w:r w:rsidRPr="00560578">
        <w:rPr>
          <w:rFonts w:ascii="Times New Roman" w:eastAsia="Times New Roman" w:hAnsi="Times New Roman" w:cs="Times New Roman"/>
          <w:sz w:val="20"/>
          <w:szCs w:val="20"/>
        </w:rPr>
        <w:t>authorities relevant information and made it available to the public</w:t>
      </w:r>
      <w:r w:rsidR="00E874BA" w:rsidRPr="00560578">
        <w:rPr>
          <w:rFonts w:ascii="Times New Roman" w:eastAsia="Times New Roman" w:hAnsi="Times New Roman" w:cs="Times New Roman"/>
          <w:sz w:val="20"/>
          <w:szCs w:val="20"/>
        </w:rPr>
        <w:t xml:space="preserve"> concerned in Germany</w:t>
      </w:r>
      <w:r w:rsidRPr="00560578">
        <w:rPr>
          <w:rFonts w:ascii="Times New Roman" w:eastAsia="Times New Roman" w:hAnsi="Times New Roman" w:cs="Times New Roman"/>
          <w:sz w:val="20"/>
          <w:szCs w:val="20"/>
        </w:rPr>
        <w:t>.</w:t>
      </w:r>
      <w:r w:rsidRPr="00560578">
        <w:rPr>
          <w:rStyle w:val="FootnoteReference"/>
          <w:rFonts w:eastAsia="Times New Roman"/>
          <w:szCs w:val="20"/>
        </w:rPr>
        <w:footnoteReference w:id="19"/>
      </w:r>
      <w:r w:rsidRPr="00560578">
        <w:rPr>
          <w:rFonts w:ascii="Times New Roman" w:eastAsia="Times New Roman" w:hAnsi="Times New Roman" w:cs="Times New Roman"/>
          <w:sz w:val="20"/>
          <w:szCs w:val="20"/>
        </w:rPr>
        <w:t xml:space="preserve"> </w:t>
      </w:r>
      <w:r w:rsidR="00E874BA" w:rsidRPr="00560578">
        <w:rPr>
          <w:rFonts w:ascii="Times New Roman" w:eastAsia="Times New Roman" w:hAnsi="Times New Roman" w:cs="Times New Roman"/>
          <w:sz w:val="20"/>
          <w:szCs w:val="20"/>
        </w:rPr>
        <w:t>T</w:t>
      </w:r>
      <w:r w:rsidRPr="00560578">
        <w:rPr>
          <w:rFonts w:ascii="Times New Roman" w:eastAsia="Times New Roman" w:hAnsi="Times New Roman" w:cs="Times New Roman"/>
          <w:sz w:val="20"/>
          <w:szCs w:val="20"/>
        </w:rPr>
        <w:t xml:space="preserve">he </w:t>
      </w:r>
      <w:r w:rsidR="00E874BA" w:rsidRPr="00560578">
        <w:rPr>
          <w:rFonts w:ascii="Times New Roman" w:eastAsia="Times New Roman" w:hAnsi="Times New Roman" w:cs="Times New Roman"/>
          <w:sz w:val="20"/>
          <w:szCs w:val="20"/>
        </w:rPr>
        <w:t>c</w:t>
      </w:r>
      <w:r w:rsidRPr="00560578">
        <w:rPr>
          <w:rFonts w:ascii="Times New Roman" w:eastAsia="Times New Roman" w:hAnsi="Times New Roman" w:cs="Times New Roman"/>
          <w:sz w:val="20"/>
          <w:szCs w:val="20"/>
        </w:rPr>
        <w:t xml:space="preserve">ommunicant alleges that the Party concerned </w:t>
      </w:r>
      <w:r w:rsidR="00E874BA" w:rsidRPr="00560578">
        <w:rPr>
          <w:rFonts w:ascii="Times New Roman" w:eastAsia="Times New Roman" w:hAnsi="Times New Roman" w:cs="Times New Roman"/>
          <w:sz w:val="20"/>
          <w:szCs w:val="20"/>
        </w:rPr>
        <w:t xml:space="preserve">therefore </w:t>
      </w:r>
      <w:r w:rsidRPr="00560578">
        <w:rPr>
          <w:rFonts w:ascii="Times New Roman" w:eastAsia="Times New Roman" w:hAnsi="Times New Roman" w:cs="Times New Roman"/>
          <w:sz w:val="20"/>
          <w:szCs w:val="20"/>
        </w:rPr>
        <w:t>fails to comply with article 6, par</w:t>
      </w:r>
      <w:r w:rsidR="00CE080B" w:rsidRPr="00560578">
        <w:rPr>
          <w:rFonts w:ascii="Times New Roman" w:eastAsia="Times New Roman" w:hAnsi="Times New Roman" w:cs="Times New Roman"/>
          <w:sz w:val="20"/>
          <w:szCs w:val="20"/>
        </w:rPr>
        <w:t>a</w:t>
      </w:r>
      <w:r w:rsidR="00E874BA" w:rsidRPr="00560578">
        <w:rPr>
          <w:rFonts w:ascii="Times New Roman" w:eastAsia="Times New Roman" w:hAnsi="Times New Roman" w:cs="Times New Roman"/>
          <w:sz w:val="20"/>
          <w:szCs w:val="20"/>
        </w:rPr>
        <w:t xml:space="preserve">graph </w:t>
      </w:r>
      <w:r w:rsidRPr="00560578">
        <w:rPr>
          <w:rFonts w:ascii="Times New Roman" w:eastAsia="Times New Roman" w:hAnsi="Times New Roman" w:cs="Times New Roman"/>
          <w:sz w:val="20"/>
          <w:szCs w:val="20"/>
        </w:rPr>
        <w:t>2</w:t>
      </w:r>
      <w:r w:rsidR="00E874BA" w:rsidRPr="00560578">
        <w:rPr>
          <w:rFonts w:ascii="Times New Roman" w:eastAsia="Times New Roman" w:hAnsi="Times New Roman" w:cs="Times New Roman"/>
          <w:sz w:val="20"/>
          <w:szCs w:val="20"/>
        </w:rPr>
        <w:t xml:space="preserve"> of the Convention</w:t>
      </w:r>
      <w:r w:rsidRPr="00560578">
        <w:rPr>
          <w:rFonts w:ascii="Times New Roman" w:eastAsia="Times New Roman" w:hAnsi="Times New Roman" w:cs="Times New Roman"/>
          <w:sz w:val="20"/>
          <w:szCs w:val="20"/>
        </w:rPr>
        <w:t>.</w:t>
      </w:r>
    </w:p>
    <w:p w14:paraId="4BE3CBE6" w14:textId="77777777" w:rsidR="00981450" w:rsidRPr="00560578" w:rsidRDefault="00981450" w:rsidP="00981450">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The </w:t>
      </w:r>
      <w:r w:rsidR="00F2182B" w:rsidRPr="00560578">
        <w:rPr>
          <w:rFonts w:ascii="Times New Roman" w:eastAsia="Times New Roman" w:hAnsi="Times New Roman" w:cs="Times New Roman"/>
          <w:sz w:val="20"/>
          <w:szCs w:val="20"/>
        </w:rPr>
        <w:t>P</w:t>
      </w:r>
      <w:r w:rsidRPr="00560578">
        <w:rPr>
          <w:rFonts w:ascii="Times New Roman" w:eastAsia="Times New Roman" w:hAnsi="Times New Roman" w:cs="Times New Roman"/>
          <w:sz w:val="20"/>
          <w:szCs w:val="20"/>
        </w:rPr>
        <w:t xml:space="preserve">arty concerned refutes the </w:t>
      </w:r>
      <w:r w:rsidR="00E874BA" w:rsidRPr="00560578">
        <w:rPr>
          <w:rFonts w:ascii="Times New Roman" w:eastAsia="Times New Roman" w:hAnsi="Times New Roman" w:cs="Times New Roman"/>
          <w:sz w:val="20"/>
          <w:szCs w:val="20"/>
        </w:rPr>
        <w:t>c</w:t>
      </w:r>
      <w:r w:rsidRPr="00560578">
        <w:rPr>
          <w:rFonts w:ascii="Times New Roman" w:eastAsia="Times New Roman" w:hAnsi="Times New Roman" w:cs="Times New Roman"/>
          <w:sz w:val="20"/>
          <w:szCs w:val="20"/>
        </w:rPr>
        <w:t>ommunicant’s allegations. It asserts that article 6, par</w:t>
      </w:r>
      <w:r w:rsidR="00CE080B" w:rsidRPr="00560578">
        <w:rPr>
          <w:rFonts w:ascii="Times New Roman" w:eastAsia="Times New Roman" w:hAnsi="Times New Roman" w:cs="Times New Roman"/>
          <w:sz w:val="20"/>
          <w:szCs w:val="20"/>
        </w:rPr>
        <w:t>a</w:t>
      </w:r>
      <w:r w:rsidR="00E874BA" w:rsidRPr="00560578">
        <w:rPr>
          <w:rFonts w:ascii="Times New Roman" w:eastAsia="Times New Roman" w:hAnsi="Times New Roman" w:cs="Times New Roman"/>
          <w:sz w:val="20"/>
          <w:szCs w:val="20"/>
        </w:rPr>
        <w:t xml:space="preserve">graph </w:t>
      </w:r>
      <w:r w:rsidRPr="00560578">
        <w:rPr>
          <w:rFonts w:ascii="Times New Roman" w:eastAsia="Times New Roman" w:hAnsi="Times New Roman" w:cs="Times New Roman"/>
          <w:sz w:val="20"/>
          <w:szCs w:val="20"/>
        </w:rPr>
        <w:t>2 is based on article 6, par</w:t>
      </w:r>
      <w:r w:rsidR="00CE080B" w:rsidRPr="00560578">
        <w:rPr>
          <w:rFonts w:ascii="Times New Roman" w:eastAsia="Times New Roman" w:hAnsi="Times New Roman" w:cs="Times New Roman"/>
          <w:sz w:val="20"/>
          <w:szCs w:val="20"/>
        </w:rPr>
        <w:t>a</w:t>
      </w:r>
      <w:r w:rsidR="00E874BA" w:rsidRPr="00560578">
        <w:rPr>
          <w:rFonts w:ascii="Times New Roman" w:eastAsia="Times New Roman" w:hAnsi="Times New Roman" w:cs="Times New Roman"/>
          <w:sz w:val="20"/>
          <w:szCs w:val="20"/>
        </w:rPr>
        <w:t xml:space="preserve">graph </w:t>
      </w:r>
      <w:r w:rsidRPr="00560578">
        <w:rPr>
          <w:rFonts w:ascii="Times New Roman" w:eastAsia="Times New Roman" w:hAnsi="Times New Roman" w:cs="Times New Roman"/>
          <w:sz w:val="20"/>
          <w:szCs w:val="20"/>
        </w:rPr>
        <w:t>1 and that if no decision-making procedure within the meaning of article 6, par</w:t>
      </w:r>
      <w:r w:rsidR="00CE080B" w:rsidRPr="00560578">
        <w:rPr>
          <w:rFonts w:ascii="Times New Roman" w:eastAsia="Times New Roman" w:hAnsi="Times New Roman" w:cs="Times New Roman"/>
          <w:sz w:val="20"/>
          <w:szCs w:val="20"/>
        </w:rPr>
        <w:t>a</w:t>
      </w:r>
      <w:r w:rsidR="00E874BA" w:rsidRPr="00560578">
        <w:rPr>
          <w:rFonts w:ascii="Times New Roman" w:eastAsia="Times New Roman" w:hAnsi="Times New Roman" w:cs="Times New Roman"/>
          <w:sz w:val="20"/>
          <w:szCs w:val="20"/>
        </w:rPr>
        <w:t xml:space="preserve">graph </w:t>
      </w:r>
      <w:r w:rsidRPr="00560578">
        <w:rPr>
          <w:rFonts w:ascii="Times New Roman" w:eastAsia="Times New Roman" w:hAnsi="Times New Roman" w:cs="Times New Roman"/>
          <w:sz w:val="20"/>
          <w:szCs w:val="20"/>
        </w:rPr>
        <w:t xml:space="preserve">1 is </w:t>
      </w:r>
      <w:r w:rsidR="00E874BA" w:rsidRPr="00560578">
        <w:rPr>
          <w:rFonts w:ascii="Times New Roman" w:eastAsia="Times New Roman" w:hAnsi="Times New Roman" w:cs="Times New Roman"/>
          <w:sz w:val="20"/>
          <w:szCs w:val="20"/>
        </w:rPr>
        <w:t xml:space="preserve">being </w:t>
      </w:r>
      <w:r w:rsidRPr="00560578">
        <w:rPr>
          <w:rFonts w:ascii="Times New Roman" w:eastAsia="Times New Roman" w:hAnsi="Times New Roman" w:cs="Times New Roman"/>
          <w:sz w:val="20"/>
          <w:szCs w:val="20"/>
        </w:rPr>
        <w:t>impl</w:t>
      </w:r>
      <w:r w:rsidR="00F2182B" w:rsidRPr="00560578">
        <w:rPr>
          <w:rFonts w:ascii="Times New Roman" w:eastAsia="Times New Roman" w:hAnsi="Times New Roman" w:cs="Times New Roman"/>
          <w:sz w:val="20"/>
          <w:szCs w:val="20"/>
        </w:rPr>
        <w:t>eme</w:t>
      </w:r>
      <w:r w:rsidRPr="00560578">
        <w:rPr>
          <w:rFonts w:ascii="Times New Roman" w:eastAsia="Times New Roman" w:hAnsi="Times New Roman" w:cs="Times New Roman"/>
          <w:sz w:val="20"/>
          <w:szCs w:val="20"/>
        </w:rPr>
        <w:t>nted in Germany there can be no violation of article 6, par</w:t>
      </w:r>
      <w:r w:rsidR="00F2182B" w:rsidRPr="00560578">
        <w:rPr>
          <w:rFonts w:ascii="Times New Roman" w:eastAsia="Times New Roman" w:hAnsi="Times New Roman" w:cs="Times New Roman"/>
          <w:sz w:val="20"/>
          <w:szCs w:val="20"/>
        </w:rPr>
        <w:t>a</w:t>
      </w:r>
      <w:r w:rsidR="00E874BA" w:rsidRPr="00560578">
        <w:rPr>
          <w:rFonts w:ascii="Times New Roman" w:eastAsia="Times New Roman" w:hAnsi="Times New Roman" w:cs="Times New Roman"/>
          <w:sz w:val="20"/>
          <w:szCs w:val="20"/>
        </w:rPr>
        <w:t xml:space="preserve">graph </w:t>
      </w:r>
      <w:r w:rsidRPr="00560578">
        <w:rPr>
          <w:rFonts w:ascii="Times New Roman" w:eastAsia="Times New Roman" w:hAnsi="Times New Roman" w:cs="Times New Roman"/>
          <w:sz w:val="20"/>
          <w:szCs w:val="20"/>
        </w:rPr>
        <w:t>2.</w:t>
      </w:r>
      <w:r w:rsidRPr="00560578">
        <w:rPr>
          <w:rStyle w:val="FootnoteReference"/>
          <w:rFonts w:eastAsia="Times New Roman"/>
          <w:szCs w:val="20"/>
        </w:rPr>
        <w:footnoteReference w:id="20"/>
      </w:r>
    </w:p>
    <w:p w14:paraId="7D120A19" w14:textId="77777777" w:rsidR="00981450" w:rsidRPr="00560578" w:rsidRDefault="00981450" w:rsidP="00C9588A">
      <w:pPr>
        <w:suppressAutoHyphens/>
        <w:spacing w:after="120" w:line="240" w:lineRule="atLeast"/>
        <w:ind w:left="414" w:right="1134" w:firstLine="720"/>
        <w:jc w:val="both"/>
        <w:rPr>
          <w:rFonts w:ascii="Times New Roman" w:eastAsia="Times New Roman" w:hAnsi="Times New Roman" w:cs="Times New Roman"/>
          <w:i/>
          <w:sz w:val="20"/>
          <w:szCs w:val="20"/>
        </w:rPr>
      </w:pPr>
      <w:r w:rsidRPr="00560578">
        <w:rPr>
          <w:rFonts w:ascii="Times New Roman" w:eastAsia="Times New Roman" w:hAnsi="Times New Roman" w:cs="Times New Roman"/>
          <w:b/>
          <w:i/>
          <w:sz w:val="20"/>
          <w:szCs w:val="20"/>
        </w:rPr>
        <w:t>Article 6</w:t>
      </w:r>
      <w:r w:rsidR="00CE080B" w:rsidRPr="00560578">
        <w:rPr>
          <w:rFonts w:ascii="Times New Roman" w:eastAsia="Times New Roman" w:hAnsi="Times New Roman" w:cs="Times New Roman"/>
          <w:b/>
          <w:i/>
          <w:sz w:val="20"/>
          <w:szCs w:val="20"/>
        </w:rPr>
        <w:t>, paragraph 4</w:t>
      </w:r>
    </w:p>
    <w:p w14:paraId="381A4F3A" w14:textId="77777777" w:rsidR="00981450" w:rsidRPr="00560578" w:rsidRDefault="00F2227B" w:rsidP="00981450">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The communicant alleges that the Party concerned failed to ensure public participation when all options were option as required by article 6, paragraph 4. </w:t>
      </w:r>
      <w:r w:rsidR="00981450" w:rsidRPr="00560578">
        <w:rPr>
          <w:rFonts w:ascii="Times New Roman" w:eastAsia="Times New Roman" w:hAnsi="Times New Roman" w:cs="Times New Roman"/>
          <w:sz w:val="20"/>
          <w:szCs w:val="20"/>
        </w:rPr>
        <w:t xml:space="preserve">The Party concerned refutes </w:t>
      </w:r>
      <w:r w:rsidRPr="00560578">
        <w:rPr>
          <w:rFonts w:ascii="Times New Roman" w:eastAsia="Times New Roman" w:hAnsi="Times New Roman" w:cs="Times New Roman"/>
          <w:sz w:val="20"/>
          <w:szCs w:val="20"/>
        </w:rPr>
        <w:t>this allegation</w:t>
      </w:r>
      <w:r w:rsidR="00981450" w:rsidRPr="00560578">
        <w:rPr>
          <w:rFonts w:ascii="Times New Roman" w:eastAsia="Times New Roman" w:hAnsi="Times New Roman" w:cs="Times New Roman"/>
          <w:sz w:val="20"/>
          <w:szCs w:val="20"/>
        </w:rPr>
        <w:t xml:space="preserve">. The Party submits that </w:t>
      </w:r>
      <w:r w:rsidR="00F2182B" w:rsidRPr="00560578">
        <w:rPr>
          <w:rFonts w:ascii="Times New Roman" w:eastAsia="Times New Roman" w:hAnsi="Times New Roman" w:cs="Times New Roman"/>
          <w:sz w:val="20"/>
          <w:szCs w:val="20"/>
        </w:rPr>
        <w:t>since there was no</w:t>
      </w:r>
      <w:r w:rsidR="00981450" w:rsidRPr="00560578">
        <w:rPr>
          <w:rFonts w:ascii="Times New Roman" w:eastAsia="Times New Roman" w:hAnsi="Times New Roman" w:cs="Times New Roman"/>
          <w:sz w:val="20"/>
          <w:szCs w:val="20"/>
        </w:rPr>
        <w:t xml:space="preserve"> decision-making procedure within the meaning of article 6, par</w:t>
      </w:r>
      <w:r w:rsidR="00CE080B" w:rsidRPr="00560578">
        <w:rPr>
          <w:rFonts w:ascii="Times New Roman" w:eastAsia="Times New Roman" w:hAnsi="Times New Roman" w:cs="Times New Roman"/>
          <w:sz w:val="20"/>
          <w:szCs w:val="20"/>
        </w:rPr>
        <w:t>a</w:t>
      </w:r>
      <w:r w:rsidR="00762CA7" w:rsidRPr="00560578">
        <w:rPr>
          <w:rFonts w:ascii="Times New Roman" w:eastAsia="Times New Roman" w:hAnsi="Times New Roman" w:cs="Times New Roman"/>
          <w:sz w:val="20"/>
          <w:szCs w:val="20"/>
        </w:rPr>
        <w:t xml:space="preserve">graph </w:t>
      </w:r>
      <w:r w:rsidR="00981450" w:rsidRPr="00560578">
        <w:rPr>
          <w:rFonts w:ascii="Times New Roman" w:eastAsia="Times New Roman" w:hAnsi="Times New Roman" w:cs="Times New Roman"/>
          <w:sz w:val="20"/>
          <w:szCs w:val="20"/>
        </w:rPr>
        <w:t>1 in Germany</w:t>
      </w:r>
      <w:r w:rsidR="00F2182B" w:rsidRPr="00560578">
        <w:rPr>
          <w:rFonts w:ascii="Times New Roman" w:eastAsia="Times New Roman" w:hAnsi="Times New Roman" w:cs="Times New Roman"/>
          <w:sz w:val="20"/>
          <w:szCs w:val="20"/>
        </w:rPr>
        <w:t xml:space="preserve"> in this case</w:t>
      </w:r>
      <w:r w:rsidR="00981450" w:rsidRPr="00560578">
        <w:rPr>
          <w:rFonts w:ascii="Times New Roman" w:eastAsia="Times New Roman" w:hAnsi="Times New Roman" w:cs="Times New Roman"/>
          <w:sz w:val="20"/>
          <w:szCs w:val="20"/>
        </w:rPr>
        <w:t>, there can be no violation of article 6, par</w:t>
      </w:r>
      <w:r w:rsidR="00CE080B" w:rsidRPr="00560578">
        <w:rPr>
          <w:rFonts w:ascii="Times New Roman" w:eastAsia="Times New Roman" w:hAnsi="Times New Roman" w:cs="Times New Roman"/>
          <w:sz w:val="20"/>
          <w:szCs w:val="20"/>
        </w:rPr>
        <w:t>a</w:t>
      </w:r>
      <w:r w:rsidR="00762CA7" w:rsidRPr="00560578">
        <w:rPr>
          <w:rFonts w:ascii="Times New Roman" w:eastAsia="Times New Roman" w:hAnsi="Times New Roman" w:cs="Times New Roman"/>
          <w:sz w:val="20"/>
          <w:szCs w:val="20"/>
        </w:rPr>
        <w:t xml:space="preserve">graph </w:t>
      </w:r>
      <w:r w:rsidR="00981450" w:rsidRPr="00560578">
        <w:rPr>
          <w:rFonts w:ascii="Times New Roman" w:eastAsia="Times New Roman" w:hAnsi="Times New Roman" w:cs="Times New Roman"/>
          <w:sz w:val="20"/>
          <w:szCs w:val="20"/>
        </w:rPr>
        <w:t>4.</w:t>
      </w:r>
      <w:r w:rsidR="00981450" w:rsidRPr="00560578">
        <w:rPr>
          <w:rStyle w:val="FootnoteReference"/>
          <w:rFonts w:eastAsia="Times New Roman"/>
          <w:szCs w:val="20"/>
        </w:rPr>
        <w:footnoteReference w:id="21"/>
      </w:r>
    </w:p>
    <w:p w14:paraId="645E3E82" w14:textId="77777777" w:rsidR="00981450" w:rsidRPr="00560578" w:rsidRDefault="00981450" w:rsidP="00C9588A">
      <w:pPr>
        <w:suppressAutoHyphens/>
        <w:spacing w:after="120" w:line="240" w:lineRule="atLeast"/>
        <w:ind w:left="414" w:right="1134" w:firstLine="720"/>
        <w:jc w:val="both"/>
        <w:rPr>
          <w:rFonts w:ascii="Times New Roman" w:eastAsia="Times New Roman" w:hAnsi="Times New Roman" w:cs="Times New Roman"/>
          <w:b/>
          <w:i/>
          <w:sz w:val="20"/>
          <w:szCs w:val="20"/>
        </w:rPr>
      </w:pPr>
      <w:r w:rsidRPr="00560578">
        <w:rPr>
          <w:rFonts w:ascii="Times New Roman" w:eastAsia="Times New Roman" w:hAnsi="Times New Roman" w:cs="Times New Roman"/>
          <w:b/>
          <w:i/>
          <w:sz w:val="20"/>
          <w:szCs w:val="20"/>
        </w:rPr>
        <w:t>Article 6</w:t>
      </w:r>
      <w:r w:rsidR="00CE080B" w:rsidRPr="00560578">
        <w:rPr>
          <w:rFonts w:ascii="Times New Roman" w:eastAsia="Times New Roman" w:hAnsi="Times New Roman" w:cs="Times New Roman"/>
          <w:b/>
          <w:i/>
          <w:sz w:val="20"/>
          <w:szCs w:val="20"/>
        </w:rPr>
        <w:t>, paragraph 5</w:t>
      </w:r>
    </w:p>
    <w:p w14:paraId="0E90E449" w14:textId="77777777" w:rsidR="00981450" w:rsidRPr="00560578" w:rsidRDefault="00981450" w:rsidP="00981450">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The </w:t>
      </w:r>
      <w:r w:rsidR="00F2182B" w:rsidRPr="00560578">
        <w:rPr>
          <w:rFonts w:ascii="Times New Roman" w:eastAsia="Times New Roman" w:hAnsi="Times New Roman" w:cs="Times New Roman"/>
          <w:sz w:val="20"/>
          <w:szCs w:val="20"/>
        </w:rPr>
        <w:t>c</w:t>
      </w:r>
      <w:r w:rsidRPr="00560578">
        <w:rPr>
          <w:rFonts w:ascii="Times New Roman" w:eastAsia="Times New Roman" w:hAnsi="Times New Roman" w:cs="Times New Roman"/>
          <w:sz w:val="20"/>
          <w:szCs w:val="20"/>
        </w:rPr>
        <w:t xml:space="preserve">ommunicant alleges that the Party concerned should have encouraged the prospective applicants (e.g. </w:t>
      </w:r>
      <w:r w:rsidR="00F2227B" w:rsidRPr="00560578">
        <w:rPr>
          <w:rFonts w:ascii="Times New Roman" w:eastAsia="Times New Roman" w:hAnsi="Times New Roman" w:cs="Times New Roman"/>
          <w:sz w:val="20"/>
          <w:szCs w:val="20"/>
        </w:rPr>
        <w:t>NNB Generation Company Limited</w:t>
      </w:r>
      <w:r w:rsidRPr="00560578">
        <w:rPr>
          <w:rFonts w:ascii="Times New Roman" w:eastAsia="Times New Roman" w:hAnsi="Times New Roman" w:cs="Times New Roman"/>
          <w:sz w:val="20"/>
          <w:szCs w:val="20"/>
        </w:rPr>
        <w:t xml:space="preserve"> and the </w:t>
      </w:r>
      <w:r w:rsidR="00F2227B" w:rsidRPr="00560578">
        <w:rPr>
          <w:rFonts w:ascii="Times New Roman" w:eastAsia="Times New Roman" w:hAnsi="Times New Roman" w:cs="Times New Roman"/>
          <w:sz w:val="20"/>
          <w:szCs w:val="20"/>
        </w:rPr>
        <w:t xml:space="preserve">United Kingdom </w:t>
      </w:r>
      <w:r w:rsidRPr="00560578">
        <w:rPr>
          <w:rFonts w:ascii="Times New Roman" w:eastAsia="Times New Roman" w:hAnsi="Times New Roman" w:cs="Times New Roman"/>
          <w:sz w:val="20"/>
          <w:szCs w:val="20"/>
        </w:rPr>
        <w:t xml:space="preserve">government) to identify the public concerned, including the public that may be affected in case of a beyond design accident. For this reason, the </w:t>
      </w:r>
      <w:r w:rsidR="00762CA7" w:rsidRPr="00560578">
        <w:rPr>
          <w:rFonts w:ascii="Times New Roman" w:eastAsia="Times New Roman" w:hAnsi="Times New Roman" w:cs="Times New Roman"/>
          <w:sz w:val="20"/>
          <w:szCs w:val="20"/>
        </w:rPr>
        <w:t>c</w:t>
      </w:r>
      <w:r w:rsidRPr="00560578">
        <w:rPr>
          <w:rFonts w:ascii="Times New Roman" w:eastAsia="Times New Roman" w:hAnsi="Times New Roman" w:cs="Times New Roman"/>
          <w:sz w:val="20"/>
          <w:szCs w:val="20"/>
        </w:rPr>
        <w:t>ommunicant alleges that the Party concerned fails to comply with article 6, par</w:t>
      </w:r>
      <w:r w:rsidR="00F2182B" w:rsidRPr="00560578">
        <w:rPr>
          <w:rFonts w:ascii="Times New Roman" w:eastAsia="Times New Roman" w:hAnsi="Times New Roman" w:cs="Times New Roman"/>
          <w:sz w:val="20"/>
          <w:szCs w:val="20"/>
        </w:rPr>
        <w:t>a</w:t>
      </w:r>
      <w:r w:rsidR="00762CA7" w:rsidRPr="00560578">
        <w:rPr>
          <w:rFonts w:ascii="Times New Roman" w:eastAsia="Times New Roman" w:hAnsi="Times New Roman" w:cs="Times New Roman"/>
          <w:sz w:val="20"/>
          <w:szCs w:val="20"/>
        </w:rPr>
        <w:t xml:space="preserve">graph </w:t>
      </w:r>
      <w:r w:rsidRPr="00560578">
        <w:rPr>
          <w:rFonts w:ascii="Times New Roman" w:eastAsia="Times New Roman" w:hAnsi="Times New Roman" w:cs="Times New Roman"/>
          <w:sz w:val="20"/>
          <w:szCs w:val="20"/>
        </w:rPr>
        <w:t>5</w:t>
      </w:r>
      <w:r w:rsidR="00762CA7" w:rsidRPr="00560578">
        <w:rPr>
          <w:rFonts w:ascii="Times New Roman" w:eastAsia="Times New Roman" w:hAnsi="Times New Roman" w:cs="Times New Roman"/>
          <w:sz w:val="20"/>
          <w:szCs w:val="20"/>
        </w:rPr>
        <w:t xml:space="preserve"> of the Convention</w:t>
      </w:r>
      <w:r w:rsidRPr="00560578">
        <w:rPr>
          <w:rFonts w:ascii="Times New Roman" w:eastAsia="Times New Roman" w:hAnsi="Times New Roman" w:cs="Times New Roman"/>
          <w:sz w:val="20"/>
          <w:szCs w:val="20"/>
        </w:rPr>
        <w:t>.</w:t>
      </w:r>
    </w:p>
    <w:p w14:paraId="67927CF0" w14:textId="77777777" w:rsidR="00981450" w:rsidRPr="00560578" w:rsidRDefault="00981450" w:rsidP="00981450">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The Party concerned refutes the </w:t>
      </w:r>
      <w:r w:rsidR="00F2182B" w:rsidRPr="00560578">
        <w:rPr>
          <w:rFonts w:ascii="Times New Roman" w:eastAsia="Times New Roman" w:hAnsi="Times New Roman" w:cs="Times New Roman"/>
          <w:sz w:val="20"/>
          <w:szCs w:val="20"/>
        </w:rPr>
        <w:t>c</w:t>
      </w:r>
      <w:r w:rsidRPr="00560578">
        <w:rPr>
          <w:rFonts w:ascii="Times New Roman" w:eastAsia="Times New Roman" w:hAnsi="Times New Roman" w:cs="Times New Roman"/>
          <w:sz w:val="20"/>
          <w:szCs w:val="20"/>
        </w:rPr>
        <w:t xml:space="preserve">ommunicant’s allegations. It asserts that this article expressly refers to prospective applicant and considers that it cannot have violated this regulation because at the time of the </w:t>
      </w:r>
      <w:r w:rsidR="00F2182B" w:rsidRPr="00560578">
        <w:rPr>
          <w:rFonts w:ascii="Times New Roman" w:eastAsia="Times New Roman" w:hAnsi="Times New Roman" w:cs="Times New Roman"/>
          <w:sz w:val="20"/>
          <w:szCs w:val="20"/>
        </w:rPr>
        <w:t>c</w:t>
      </w:r>
      <w:r w:rsidRPr="00560578">
        <w:rPr>
          <w:rFonts w:ascii="Times New Roman" w:eastAsia="Times New Roman" w:hAnsi="Times New Roman" w:cs="Times New Roman"/>
          <w:sz w:val="20"/>
          <w:szCs w:val="20"/>
        </w:rPr>
        <w:t xml:space="preserve">ommunicant’s letter </w:t>
      </w:r>
      <w:r w:rsidR="00F2227B" w:rsidRPr="00560578">
        <w:rPr>
          <w:rFonts w:ascii="Times New Roman" w:eastAsia="Times New Roman" w:hAnsi="Times New Roman" w:cs="Times New Roman"/>
          <w:sz w:val="20"/>
          <w:szCs w:val="20"/>
        </w:rPr>
        <w:t xml:space="preserve">of 28 February 2013 </w:t>
      </w:r>
      <w:r w:rsidRPr="00560578">
        <w:rPr>
          <w:rFonts w:ascii="Times New Roman" w:eastAsia="Times New Roman" w:hAnsi="Times New Roman" w:cs="Times New Roman"/>
          <w:sz w:val="20"/>
          <w:szCs w:val="20"/>
        </w:rPr>
        <w:t>it was no longer a question of a prospective authorisation procedure</w:t>
      </w:r>
      <w:r w:rsidR="00304E56" w:rsidRPr="00560578">
        <w:rPr>
          <w:rFonts w:ascii="Times New Roman" w:eastAsia="Times New Roman" w:hAnsi="Times New Roman" w:cs="Times New Roman"/>
          <w:sz w:val="20"/>
          <w:szCs w:val="20"/>
        </w:rPr>
        <w:t>, rather the authorisation process in the United Kingdom was already very advanced and completed shortly thereafter</w:t>
      </w:r>
      <w:r w:rsidRPr="00560578">
        <w:rPr>
          <w:rFonts w:ascii="Times New Roman" w:eastAsia="Times New Roman" w:hAnsi="Times New Roman" w:cs="Times New Roman"/>
          <w:sz w:val="20"/>
          <w:szCs w:val="20"/>
        </w:rPr>
        <w:t>.</w:t>
      </w:r>
      <w:r w:rsidR="00CE4BB2" w:rsidRPr="00560578">
        <w:rPr>
          <w:rStyle w:val="FootnoteReference"/>
          <w:rFonts w:eastAsia="Times New Roman"/>
          <w:szCs w:val="20"/>
        </w:rPr>
        <w:footnoteReference w:id="22"/>
      </w:r>
      <w:r w:rsidRPr="00560578">
        <w:rPr>
          <w:rFonts w:ascii="Times New Roman" w:eastAsia="Times New Roman" w:hAnsi="Times New Roman" w:cs="Times New Roman"/>
          <w:sz w:val="20"/>
          <w:szCs w:val="20"/>
        </w:rPr>
        <w:t xml:space="preserve"> </w:t>
      </w:r>
    </w:p>
    <w:p w14:paraId="79CFFAC5" w14:textId="77777777" w:rsidR="00981450" w:rsidRPr="00560578" w:rsidRDefault="00152442" w:rsidP="005C33AB">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Moreover, the Party submits that as there was no German decision-making process within the meaning of article 6, par</w:t>
      </w:r>
      <w:r w:rsidR="00CE080B" w:rsidRPr="00560578">
        <w:rPr>
          <w:rFonts w:ascii="Times New Roman" w:eastAsia="Times New Roman" w:hAnsi="Times New Roman" w:cs="Times New Roman"/>
          <w:sz w:val="20"/>
          <w:szCs w:val="20"/>
        </w:rPr>
        <w:t>a</w:t>
      </w:r>
      <w:r w:rsidR="00762CA7" w:rsidRPr="00560578">
        <w:rPr>
          <w:rFonts w:ascii="Times New Roman" w:eastAsia="Times New Roman" w:hAnsi="Times New Roman" w:cs="Times New Roman"/>
          <w:sz w:val="20"/>
          <w:szCs w:val="20"/>
        </w:rPr>
        <w:t xml:space="preserve">graph </w:t>
      </w:r>
      <w:r w:rsidRPr="00560578">
        <w:rPr>
          <w:rFonts w:ascii="Times New Roman" w:eastAsia="Times New Roman" w:hAnsi="Times New Roman" w:cs="Times New Roman"/>
          <w:sz w:val="20"/>
          <w:szCs w:val="20"/>
        </w:rPr>
        <w:t>1, there can be no violation of article 6, par</w:t>
      </w:r>
      <w:r w:rsidR="00CE080B" w:rsidRPr="00560578">
        <w:rPr>
          <w:rFonts w:ascii="Times New Roman" w:eastAsia="Times New Roman" w:hAnsi="Times New Roman" w:cs="Times New Roman"/>
          <w:sz w:val="20"/>
          <w:szCs w:val="20"/>
        </w:rPr>
        <w:t>a</w:t>
      </w:r>
      <w:r w:rsidR="00762CA7" w:rsidRPr="00560578">
        <w:rPr>
          <w:rFonts w:ascii="Times New Roman" w:eastAsia="Times New Roman" w:hAnsi="Times New Roman" w:cs="Times New Roman"/>
          <w:sz w:val="20"/>
          <w:szCs w:val="20"/>
        </w:rPr>
        <w:t xml:space="preserve">graph </w:t>
      </w:r>
      <w:r w:rsidRPr="00560578">
        <w:rPr>
          <w:rFonts w:ascii="Times New Roman" w:eastAsia="Times New Roman" w:hAnsi="Times New Roman" w:cs="Times New Roman"/>
          <w:sz w:val="20"/>
          <w:szCs w:val="20"/>
        </w:rPr>
        <w:t>5.</w:t>
      </w:r>
      <w:r w:rsidR="00CE4BB2" w:rsidRPr="00560578">
        <w:rPr>
          <w:rStyle w:val="FootnoteReference"/>
          <w:rFonts w:eastAsia="Times New Roman"/>
          <w:szCs w:val="20"/>
        </w:rPr>
        <w:footnoteReference w:id="23"/>
      </w:r>
    </w:p>
    <w:p w14:paraId="3AD453E0" w14:textId="77777777" w:rsidR="00CE4BB2" w:rsidRPr="00560578" w:rsidRDefault="00CE4BB2" w:rsidP="00C9588A">
      <w:pPr>
        <w:suppressAutoHyphens/>
        <w:spacing w:after="120" w:line="240" w:lineRule="atLeast"/>
        <w:ind w:left="414" w:right="1134" w:firstLine="720"/>
        <w:jc w:val="both"/>
        <w:rPr>
          <w:rFonts w:ascii="Times New Roman" w:eastAsia="Times New Roman" w:hAnsi="Times New Roman" w:cs="Times New Roman"/>
          <w:b/>
          <w:i/>
          <w:sz w:val="20"/>
          <w:szCs w:val="20"/>
        </w:rPr>
      </w:pPr>
      <w:r w:rsidRPr="00560578">
        <w:rPr>
          <w:rFonts w:ascii="Times New Roman" w:eastAsia="Times New Roman" w:hAnsi="Times New Roman" w:cs="Times New Roman"/>
          <w:b/>
          <w:i/>
          <w:sz w:val="20"/>
          <w:szCs w:val="20"/>
        </w:rPr>
        <w:t>Article 6</w:t>
      </w:r>
      <w:r w:rsidR="00CE080B" w:rsidRPr="00560578">
        <w:rPr>
          <w:rFonts w:ascii="Times New Roman" w:eastAsia="Times New Roman" w:hAnsi="Times New Roman" w:cs="Times New Roman"/>
          <w:b/>
          <w:i/>
          <w:sz w:val="20"/>
          <w:szCs w:val="20"/>
        </w:rPr>
        <w:t>, paragraph 6</w:t>
      </w:r>
    </w:p>
    <w:p w14:paraId="7EA27909" w14:textId="77777777" w:rsidR="00CE4BB2" w:rsidRPr="00560578" w:rsidRDefault="00CE4BB2" w:rsidP="005C33AB">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The </w:t>
      </w:r>
      <w:r w:rsidR="00F2182B" w:rsidRPr="00560578">
        <w:rPr>
          <w:rFonts w:ascii="Times New Roman" w:eastAsia="Times New Roman" w:hAnsi="Times New Roman" w:cs="Times New Roman"/>
          <w:sz w:val="20"/>
          <w:szCs w:val="20"/>
        </w:rPr>
        <w:t>c</w:t>
      </w:r>
      <w:r w:rsidRPr="00560578">
        <w:rPr>
          <w:rFonts w:ascii="Times New Roman" w:eastAsia="Times New Roman" w:hAnsi="Times New Roman" w:cs="Times New Roman"/>
          <w:sz w:val="20"/>
          <w:szCs w:val="20"/>
        </w:rPr>
        <w:t xml:space="preserve">ommunicant alleges that </w:t>
      </w:r>
      <w:r w:rsidR="003C003D" w:rsidRPr="00560578">
        <w:rPr>
          <w:rFonts w:ascii="Times New Roman" w:eastAsia="Times New Roman" w:hAnsi="Times New Roman" w:cs="Times New Roman"/>
          <w:sz w:val="20"/>
          <w:szCs w:val="20"/>
        </w:rPr>
        <w:t xml:space="preserve">by its refusal to call on the Espoo Convention and </w:t>
      </w:r>
      <w:r w:rsidR="00762CA7" w:rsidRPr="00560578">
        <w:rPr>
          <w:rFonts w:ascii="Times New Roman" w:eastAsia="Times New Roman" w:hAnsi="Times New Roman" w:cs="Times New Roman"/>
          <w:sz w:val="20"/>
          <w:szCs w:val="20"/>
        </w:rPr>
        <w:t xml:space="preserve">to require </w:t>
      </w:r>
      <w:r w:rsidR="003C003D" w:rsidRPr="00560578">
        <w:rPr>
          <w:rFonts w:ascii="Times New Roman" w:eastAsia="Times New Roman" w:hAnsi="Times New Roman" w:cs="Times New Roman"/>
          <w:sz w:val="20"/>
          <w:szCs w:val="20"/>
        </w:rPr>
        <w:t xml:space="preserve">a transboundary EIA, the German authorities </w:t>
      </w:r>
      <w:r w:rsidR="003C003D" w:rsidRPr="00560578">
        <w:rPr>
          <w:rFonts w:ascii="Times New Roman" w:eastAsia="Times New Roman" w:hAnsi="Times New Roman" w:cs="Times New Roman"/>
          <w:i/>
          <w:sz w:val="20"/>
          <w:szCs w:val="20"/>
        </w:rPr>
        <w:t>de facto</w:t>
      </w:r>
      <w:r w:rsidR="003C003D" w:rsidRPr="00560578">
        <w:rPr>
          <w:rFonts w:ascii="Times New Roman" w:eastAsia="Times New Roman" w:hAnsi="Times New Roman" w:cs="Times New Roman"/>
          <w:sz w:val="20"/>
          <w:szCs w:val="20"/>
        </w:rPr>
        <w:t xml:space="preserve"> </w:t>
      </w:r>
      <w:r w:rsidR="00F2182B" w:rsidRPr="00560578">
        <w:rPr>
          <w:rFonts w:ascii="Times New Roman" w:eastAsia="Times New Roman" w:hAnsi="Times New Roman" w:cs="Times New Roman"/>
          <w:sz w:val="20"/>
          <w:szCs w:val="20"/>
        </w:rPr>
        <w:t xml:space="preserve">refused </w:t>
      </w:r>
      <w:r w:rsidR="003C003D" w:rsidRPr="00560578">
        <w:rPr>
          <w:rFonts w:ascii="Times New Roman" w:eastAsia="Times New Roman" w:hAnsi="Times New Roman" w:cs="Times New Roman"/>
          <w:sz w:val="20"/>
          <w:szCs w:val="20"/>
        </w:rPr>
        <w:t>access to all information relevant to the decision-making.</w:t>
      </w:r>
      <w:r w:rsidR="00E14652" w:rsidRPr="00560578">
        <w:rPr>
          <w:rStyle w:val="FootnoteReference"/>
          <w:rFonts w:eastAsia="Times New Roman"/>
          <w:szCs w:val="20"/>
        </w:rPr>
        <w:footnoteReference w:id="24"/>
      </w:r>
      <w:r w:rsidR="003C003D" w:rsidRPr="00560578">
        <w:rPr>
          <w:rFonts w:ascii="Times New Roman" w:eastAsia="Times New Roman" w:hAnsi="Times New Roman" w:cs="Times New Roman"/>
          <w:sz w:val="20"/>
          <w:szCs w:val="20"/>
        </w:rPr>
        <w:t xml:space="preserve"> For these reasons, the </w:t>
      </w:r>
      <w:r w:rsidR="00762CA7" w:rsidRPr="00560578">
        <w:rPr>
          <w:rFonts w:ascii="Times New Roman" w:eastAsia="Times New Roman" w:hAnsi="Times New Roman" w:cs="Times New Roman"/>
          <w:sz w:val="20"/>
          <w:szCs w:val="20"/>
        </w:rPr>
        <w:t>c</w:t>
      </w:r>
      <w:r w:rsidR="003C003D" w:rsidRPr="00560578">
        <w:rPr>
          <w:rFonts w:ascii="Times New Roman" w:eastAsia="Times New Roman" w:hAnsi="Times New Roman" w:cs="Times New Roman"/>
          <w:sz w:val="20"/>
          <w:szCs w:val="20"/>
        </w:rPr>
        <w:t>ommunicant alleges that the Party concerned failed to comply with article 6, par</w:t>
      </w:r>
      <w:r w:rsidR="00CE080B" w:rsidRPr="00560578">
        <w:rPr>
          <w:rFonts w:ascii="Times New Roman" w:eastAsia="Times New Roman" w:hAnsi="Times New Roman" w:cs="Times New Roman"/>
          <w:sz w:val="20"/>
          <w:szCs w:val="20"/>
        </w:rPr>
        <w:t>a</w:t>
      </w:r>
      <w:r w:rsidR="00762CA7" w:rsidRPr="00560578">
        <w:rPr>
          <w:rFonts w:ascii="Times New Roman" w:eastAsia="Times New Roman" w:hAnsi="Times New Roman" w:cs="Times New Roman"/>
          <w:sz w:val="20"/>
          <w:szCs w:val="20"/>
        </w:rPr>
        <w:t xml:space="preserve">graph </w:t>
      </w:r>
      <w:r w:rsidR="003C003D" w:rsidRPr="00560578">
        <w:rPr>
          <w:rFonts w:ascii="Times New Roman" w:eastAsia="Times New Roman" w:hAnsi="Times New Roman" w:cs="Times New Roman"/>
          <w:sz w:val="20"/>
          <w:szCs w:val="20"/>
        </w:rPr>
        <w:t>6 of the Convention.</w:t>
      </w:r>
    </w:p>
    <w:p w14:paraId="3A0A451B" w14:textId="77777777" w:rsidR="00045679" w:rsidRPr="00560578" w:rsidRDefault="00045679" w:rsidP="00762CA7">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The Party concerned refutes the </w:t>
      </w:r>
      <w:r w:rsidR="00F2182B" w:rsidRPr="00560578">
        <w:rPr>
          <w:rFonts w:ascii="Times New Roman" w:eastAsia="Times New Roman" w:hAnsi="Times New Roman" w:cs="Times New Roman"/>
          <w:sz w:val="20"/>
          <w:szCs w:val="20"/>
        </w:rPr>
        <w:t>c</w:t>
      </w:r>
      <w:r w:rsidRPr="00560578">
        <w:rPr>
          <w:rFonts w:ascii="Times New Roman" w:eastAsia="Times New Roman" w:hAnsi="Times New Roman" w:cs="Times New Roman"/>
          <w:sz w:val="20"/>
          <w:szCs w:val="20"/>
        </w:rPr>
        <w:t>ommunicant’s allegations. First, it states that German authorities had no documents to provide.</w:t>
      </w:r>
      <w:r w:rsidR="00566CA4" w:rsidRPr="00560578">
        <w:rPr>
          <w:rStyle w:val="FootnoteReference"/>
          <w:rFonts w:eastAsia="Times New Roman"/>
          <w:szCs w:val="20"/>
        </w:rPr>
        <w:footnoteReference w:id="25"/>
      </w:r>
      <w:r w:rsidRPr="00560578">
        <w:rPr>
          <w:rFonts w:ascii="Times New Roman" w:eastAsia="Times New Roman" w:hAnsi="Times New Roman" w:cs="Times New Roman"/>
          <w:sz w:val="20"/>
          <w:szCs w:val="20"/>
        </w:rPr>
        <w:t xml:space="preserve"> Secondly, the Party </w:t>
      </w:r>
      <w:r w:rsidR="00762CA7" w:rsidRPr="00560578">
        <w:rPr>
          <w:rFonts w:ascii="Times New Roman" w:eastAsia="Times New Roman" w:hAnsi="Times New Roman" w:cs="Times New Roman"/>
          <w:sz w:val="20"/>
          <w:szCs w:val="20"/>
        </w:rPr>
        <w:t xml:space="preserve">concerned submits </w:t>
      </w:r>
      <w:r w:rsidRPr="00560578">
        <w:rPr>
          <w:rFonts w:ascii="Times New Roman" w:eastAsia="Times New Roman" w:hAnsi="Times New Roman" w:cs="Times New Roman"/>
          <w:sz w:val="20"/>
          <w:szCs w:val="20"/>
        </w:rPr>
        <w:t>that because there was no German decision-making process within the meaning of article 6, par</w:t>
      </w:r>
      <w:r w:rsidR="00F2182B" w:rsidRPr="00560578">
        <w:rPr>
          <w:rFonts w:ascii="Times New Roman" w:eastAsia="Times New Roman" w:hAnsi="Times New Roman" w:cs="Times New Roman"/>
          <w:sz w:val="20"/>
          <w:szCs w:val="20"/>
        </w:rPr>
        <w:t>a</w:t>
      </w:r>
      <w:r w:rsidR="00762CA7" w:rsidRPr="00560578">
        <w:rPr>
          <w:rFonts w:ascii="Times New Roman" w:eastAsia="Times New Roman" w:hAnsi="Times New Roman" w:cs="Times New Roman"/>
          <w:sz w:val="20"/>
          <w:szCs w:val="20"/>
        </w:rPr>
        <w:t xml:space="preserve">graph </w:t>
      </w:r>
      <w:r w:rsidRPr="00560578">
        <w:rPr>
          <w:rFonts w:ascii="Times New Roman" w:eastAsia="Times New Roman" w:hAnsi="Times New Roman" w:cs="Times New Roman"/>
          <w:sz w:val="20"/>
          <w:szCs w:val="20"/>
        </w:rPr>
        <w:t>1, there can be no violation of article 6, par</w:t>
      </w:r>
      <w:r w:rsidR="00CE080B" w:rsidRPr="00560578">
        <w:rPr>
          <w:rFonts w:ascii="Times New Roman" w:eastAsia="Times New Roman" w:hAnsi="Times New Roman" w:cs="Times New Roman"/>
          <w:sz w:val="20"/>
          <w:szCs w:val="20"/>
        </w:rPr>
        <w:t>a</w:t>
      </w:r>
      <w:r w:rsidR="00762CA7" w:rsidRPr="00560578">
        <w:rPr>
          <w:rFonts w:ascii="Times New Roman" w:eastAsia="Times New Roman" w:hAnsi="Times New Roman" w:cs="Times New Roman"/>
          <w:sz w:val="20"/>
          <w:szCs w:val="20"/>
        </w:rPr>
        <w:t xml:space="preserve">graph </w:t>
      </w:r>
      <w:r w:rsidRPr="00560578">
        <w:rPr>
          <w:rFonts w:ascii="Times New Roman" w:eastAsia="Times New Roman" w:hAnsi="Times New Roman" w:cs="Times New Roman"/>
          <w:sz w:val="20"/>
          <w:szCs w:val="20"/>
        </w:rPr>
        <w:t>6.</w:t>
      </w:r>
      <w:r w:rsidR="00566CA4" w:rsidRPr="00560578">
        <w:rPr>
          <w:rStyle w:val="FootnoteReference"/>
          <w:rFonts w:eastAsia="Times New Roman"/>
          <w:szCs w:val="20"/>
        </w:rPr>
        <w:footnoteReference w:id="26"/>
      </w:r>
    </w:p>
    <w:p w14:paraId="3709F9F2" w14:textId="77777777" w:rsidR="00566CA4" w:rsidRPr="00560578" w:rsidRDefault="00566CA4" w:rsidP="00C9588A">
      <w:pPr>
        <w:suppressAutoHyphens/>
        <w:spacing w:after="120" w:line="240" w:lineRule="atLeast"/>
        <w:ind w:left="414" w:right="1134" w:firstLine="720"/>
        <w:jc w:val="both"/>
        <w:rPr>
          <w:rFonts w:ascii="Times New Roman" w:eastAsia="Times New Roman" w:hAnsi="Times New Roman" w:cs="Times New Roman"/>
          <w:b/>
          <w:i/>
          <w:sz w:val="20"/>
          <w:szCs w:val="20"/>
        </w:rPr>
      </w:pPr>
      <w:r w:rsidRPr="00560578">
        <w:rPr>
          <w:rFonts w:ascii="Times New Roman" w:eastAsia="Times New Roman" w:hAnsi="Times New Roman" w:cs="Times New Roman"/>
          <w:b/>
          <w:i/>
          <w:sz w:val="20"/>
          <w:szCs w:val="20"/>
        </w:rPr>
        <w:t>Article 6</w:t>
      </w:r>
      <w:r w:rsidR="00F610F6" w:rsidRPr="00560578">
        <w:rPr>
          <w:rFonts w:ascii="Times New Roman" w:eastAsia="Times New Roman" w:hAnsi="Times New Roman" w:cs="Times New Roman"/>
          <w:b/>
          <w:i/>
          <w:sz w:val="20"/>
          <w:szCs w:val="20"/>
        </w:rPr>
        <w:t>, paragraph 7</w:t>
      </w:r>
    </w:p>
    <w:p w14:paraId="14C68A4A" w14:textId="77777777" w:rsidR="00566CA4" w:rsidRPr="00560578" w:rsidRDefault="00566CA4" w:rsidP="005C33AB">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The </w:t>
      </w:r>
      <w:r w:rsidR="00F2182B" w:rsidRPr="00560578">
        <w:rPr>
          <w:rFonts w:ascii="Times New Roman" w:eastAsia="Times New Roman" w:hAnsi="Times New Roman" w:cs="Times New Roman"/>
          <w:sz w:val="20"/>
          <w:szCs w:val="20"/>
        </w:rPr>
        <w:t>c</w:t>
      </w:r>
      <w:r w:rsidRPr="00560578">
        <w:rPr>
          <w:rFonts w:ascii="Times New Roman" w:eastAsia="Times New Roman" w:hAnsi="Times New Roman" w:cs="Times New Roman"/>
          <w:sz w:val="20"/>
          <w:szCs w:val="20"/>
        </w:rPr>
        <w:t xml:space="preserve">ommunicant alleges that by its refusal to call on the Espoo Convention and </w:t>
      </w:r>
      <w:r w:rsidR="00762CA7" w:rsidRPr="00560578">
        <w:rPr>
          <w:rFonts w:ascii="Times New Roman" w:eastAsia="Times New Roman" w:hAnsi="Times New Roman" w:cs="Times New Roman"/>
          <w:sz w:val="20"/>
          <w:szCs w:val="20"/>
        </w:rPr>
        <w:t xml:space="preserve">to require </w:t>
      </w:r>
      <w:r w:rsidRPr="00560578">
        <w:rPr>
          <w:rFonts w:ascii="Times New Roman" w:eastAsia="Times New Roman" w:hAnsi="Times New Roman" w:cs="Times New Roman"/>
          <w:sz w:val="20"/>
          <w:szCs w:val="20"/>
        </w:rPr>
        <w:t>a transboundary EIA, the German authorities blocked the possibilities for the public concerned to submit its comments, information, analyses and opinions.</w:t>
      </w:r>
      <w:r w:rsidR="00E14652" w:rsidRPr="00560578">
        <w:rPr>
          <w:rStyle w:val="FootnoteReference"/>
          <w:rFonts w:eastAsia="Times New Roman"/>
          <w:szCs w:val="20"/>
        </w:rPr>
        <w:footnoteReference w:id="27"/>
      </w:r>
      <w:r w:rsidR="002A529F" w:rsidRPr="00560578">
        <w:rPr>
          <w:rFonts w:ascii="Times New Roman" w:eastAsia="Times New Roman" w:hAnsi="Times New Roman" w:cs="Times New Roman"/>
          <w:sz w:val="20"/>
          <w:szCs w:val="20"/>
        </w:rPr>
        <w:t xml:space="preserve"> For these reasons, the </w:t>
      </w:r>
      <w:r w:rsidR="00F2182B" w:rsidRPr="00560578">
        <w:rPr>
          <w:rFonts w:ascii="Times New Roman" w:eastAsia="Times New Roman" w:hAnsi="Times New Roman" w:cs="Times New Roman"/>
          <w:sz w:val="20"/>
          <w:szCs w:val="20"/>
        </w:rPr>
        <w:t>c</w:t>
      </w:r>
      <w:r w:rsidR="002A529F" w:rsidRPr="00560578">
        <w:rPr>
          <w:rFonts w:ascii="Times New Roman" w:eastAsia="Times New Roman" w:hAnsi="Times New Roman" w:cs="Times New Roman"/>
          <w:sz w:val="20"/>
          <w:szCs w:val="20"/>
        </w:rPr>
        <w:t>ommunicant alleges that the Party concerned fails to comply with article 6, par</w:t>
      </w:r>
      <w:r w:rsidR="00F610F6" w:rsidRPr="00560578">
        <w:rPr>
          <w:rFonts w:ascii="Times New Roman" w:eastAsia="Times New Roman" w:hAnsi="Times New Roman" w:cs="Times New Roman"/>
          <w:sz w:val="20"/>
          <w:szCs w:val="20"/>
        </w:rPr>
        <w:t>a</w:t>
      </w:r>
      <w:r w:rsidR="00762CA7" w:rsidRPr="00560578">
        <w:rPr>
          <w:rFonts w:ascii="Times New Roman" w:eastAsia="Times New Roman" w:hAnsi="Times New Roman" w:cs="Times New Roman"/>
          <w:sz w:val="20"/>
          <w:szCs w:val="20"/>
        </w:rPr>
        <w:t xml:space="preserve">graph </w:t>
      </w:r>
      <w:r w:rsidR="002A529F" w:rsidRPr="00560578">
        <w:rPr>
          <w:rFonts w:ascii="Times New Roman" w:eastAsia="Times New Roman" w:hAnsi="Times New Roman" w:cs="Times New Roman"/>
          <w:sz w:val="20"/>
          <w:szCs w:val="20"/>
        </w:rPr>
        <w:t>7</w:t>
      </w:r>
      <w:r w:rsidR="00762CA7" w:rsidRPr="00560578">
        <w:rPr>
          <w:rFonts w:ascii="Times New Roman" w:eastAsia="Times New Roman" w:hAnsi="Times New Roman" w:cs="Times New Roman"/>
          <w:sz w:val="20"/>
          <w:szCs w:val="20"/>
        </w:rPr>
        <w:t xml:space="preserve"> of the Convention</w:t>
      </w:r>
      <w:r w:rsidR="002A529F" w:rsidRPr="00560578">
        <w:rPr>
          <w:rFonts w:ascii="Times New Roman" w:eastAsia="Times New Roman" w:hAnsi="Times New Roman" w:cs="Times New Roman"/>
          <w:sz w:val="20"/>
          <w:szCs w:val="20"/>
        </w:rPr>
        <w:t>.</w:t>
      </w:r>
    </w:p>
    <w:p w14:paraId="1FB3F667" w14:textId="77777777" w:rsidR="002A529F" w:rsidRPr="00560578" w:rsidRDefault="002A529F" w:rsidP="005C33AB">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The Party concerned refutes the </w:t>
      </w:r>
      <w:r w:rsidR="00F2182B" w:rsidRPr="00560578">
        <w:rPr>
          <w:rFonts w:ascii="Times New Roman" w:eastAsia="Times New Roman" w:hAnsi="Times New Roman" w:cs="Times New Roman"/>
          <w:sz w:val="20"/>
          <w:szCs w:val="20"/>
        </w:rPr>
        <w:t>c</w:t>
      </w:r>
      <w:r w:rsidRPr="00560578">
        <w:rPr>
          <w:rFonts w:ascii="Times New Roman" w:eastAsia="Times New Roman" w:hAnsi="Times New Roman" w:cs="Times New Roman"/>
          <w:sz w:val="20"/>
          <w:szCs w:val="20"/>
        </w:rPr>
        <w:t xml:space="preserve">ommunicant’s allegations. First, the Party concerned </w:t>
      </w:r>
      <w:proofErr w:type="gramStart"/>
      <w:r w:rsidRPr="00560578">
        <w:rPr>
          <w:rFonts w:ascii="Times New Roman" w:eastAsia="Times New Roman" w:hAnsi="Times New Roman" w:cs="Times New Roman"/>
          <w:sz w:val="20"/>
          <w:szCs w:val="20"/>
        </w:rPr>
        <w:t xml:space="preserve">notes that the </w:t>
      </w:r>
      <w:r w:rsidR="00F2182B" w:rsidRPr="00560578">
        <w:rPr>
          <w:rFonts w:ascii="Times New Roman" w:eastAsia="Times New Roman" w:hAnsi="Times New Roman" w:cs="Times New Roman"/>
          <w:sz w:val="20"/>
          <w:szCs w:val="20"/>
        </w:rPr>
        <w:t>c</w:t>
      </w:r>
      <w:r w:rsidRPr="00560578">
        <w:rPr>
          <w:rFonts w:ascii="Times New Roman" w:eastAsia="Times New Roman" w:hAnsi="Times New Roman" w:cs="Times New Roman"/>
          <w:sz w:val="20"/>
          <w:szCs w:val="20"/>
        </w:rPr>
        <w:t>ommunicant does not charge Germany with a direct violation of article 6, par</w:t>
      </w:r>
      <w:r w:rsidR="00F610F6" w:rsidRPr="00560578">
        <w:rPr>
          <w:rFonts w:ascii="Times New Roman" w:eastAsia="Times New Roman" w:hAnsi="Times New Roman" w:cs="Times New Roman"/>
          <w:sz w:val="20"/>
          <w:szCs w:val="20"/>
        </w:rPr>
        <w:t>a</w:t>
      </w:r>
      <w:r w:rsidR="00762CA7" w:rsidRPr="00560578">
        <w:rPr>
          <w:rFonts w:ascii="Times New Roman" w:eastAsia="Times New Roman" w:hAnsi="Times New Roman" w:cs="Times New Roman"/>
          <w:sz w:val="20"/>
          <w:szCs w:val="20"/>
        </w:rPr>
        <w:t xml:space="preserve">graph </w:t>
      </w:r>
      <w:r w:rsidRPr="00560578">
        <w:rPr>
          <w:rFonts w:ascii="Times New Roman" w:eastAsia="Times New Roman" w:hAnsi="Times New Roman" w:cs="Times New Roman"/>
          <w:sz w:val="20"/>
          <w:szCs w:val="20"/>
        </w:rPr>
        <w:t>7, but rather solely criti</w:t>
      </w:r>
      <w:r w:rsidR="00762CA7" w:rsidRPr="00560578">
        <w:rPr>
          <w:rFonts w:ascii="Times New Roman" w:eastAsia="Times New Roman" w:hAnsi="Times New Roman" w:cs="Times New Roman"/>
          <w:sz w:val="20"/>
          <w:szCs w:val="20"/>
        </w:rPr>
        <w:t>que</w:t>
      </w:r>
      <w:r w:rsidRPr="00560578">
        <w:rPr>
          <w:rFonts w:ascii="Times New Roman" w:eastAsia="Times New Roman" w:hAnsi="Times New Roman" w:cs="Times New Roman"/>
          <w:sz w:val="20"/>
          <w:szCs w:val="20"/>
        </w:rPr>
        <w:t>s</w:t>
      </w:r>
      <w:proofErr w:type="gramEnd"/>
      <w:r w:rsidRPr="00560578">
        <w:rPr>
          <w:rFonts w:ascii="Times New Roman" w:eastAsia="Times New Roman" w:hAnsi="Times New Roman" w:cs="Times New Roman"/>
          <w:sz w:val="20"/>
          <w:szCs w:val="20"/>
        </w:rPr>
        <w:t xml:space="preserve"> </w:t>
      </w:r>
      <w:r w:rsidR="00762CA7" w:rsidRPr="00560578">
        <w:rPr>
          <w:rFonts w:ascii="Times New Roman" w:eastAsia="Times New Roman" w:hAnsi="Times New Roman" w:cs="Times New Roman"/>
          <w:sz w:val="20"/>
          <w:szCs w:val="20"/>
        </w:rPr>
        <w:t xml:space="preserve">Germany’s </w:t>
      </w:r>
      <w:r w:rsidRPr="00560578">
        <w:rPr>
          <w:rFonts w:ascii="Times New Roman" w:eastAsia="Times New Roman" w:hAnsi="Times New Roman" w:cs="Times New Roman"/>
          <w:sz w:val="20"/>
          <w:szCs w:val="20"/>
        </w:rPr>
        <w:t xml:space="preserve">failure to take advantage of </w:t>
      </w:r>
      <w:r w:rsidR="00762CA7" w:rsidRPr="00560578">
        <w:rPr>
          <w:rFonts w:ascii="Times New Roman" w:eastAsia="Times New Roman" w:hAnsi="Times New Roman" w:cs="Times New Roman"/>
          <w:sz w:val="20"/>
          <w:szCs w:val="20"/>
        </w:rPr>
        <w:t xml:space="preserve">its </w:t>
      </w:r>
      <w:r w:rsidRPr="00560578">
        <w:rPr>
          <w:rFonts w:ascii="Times New Roman" w:eastAsia="Times New Roman" w:hAnsi="Times New Roman" w:cs="Times New Roman"/>
          <w:sz w:val="20"/>
          <w:szCs w:val="20"/>
        </w:rPr>
        <w:t>rights resulting from the Espoo Convention. The Party considers therefore that the allegation of a violation of the Aarhus Convention would be only a</w:t>
      </w:r>
      <w:r w:rsidR="00F32177" w:rsidRPr="00560578">
        <w:rPr>
          <w:rFonts w:ascii="Times New Roman" w:eastAsia="Times New Roman" w:hAnsi="Times New Roman" w:cs="Times New Roman"/>
          <w:sz w:val="20"/>
          <w:szCs w:val="20"/>
        </w:rPr>
        <w:t>n</w:t>
      </w:r>
      <w:r w:rsidRPr="00560578">
        <w:rPr>
          <w:rFonts w:ascii="Times New Roman" w:eastAsia="Times New Roman" w:hAnsi="Times New Roman" w:cs="Times New Roman"/>
          <w:sz w:val="20"/>
          <w:szCs w:val="20"/>
        </w:rPr>
        <w:t xml:space="preserve"> indirect consequence.</w:t>
      </w:r>
      <w:r w:rsidRPr="00560578">
        <w:rPr>
          <w:rStyle w:val="FootnoteReference"/>
          <w:rFonts w:eastAsia="Times New Roman"/>
          <w:szCs w:val="20"/>
        </w:rPr>
        <w:footnoteReference w:id="28"/>
      </w:r>
      <w:r w:rsidRPr="00560578">
        <w:rPr>
          <w:rFonts w:ascii="Times New Roman" w:eastAsia="Times New Roman" w:hAnsi="Times New Roman" w:cs="Times New Roman"/>
          <w:sz w:val="20"/>
          <w:szCs w:val="20"/>
        </w:rPr>
        <w:t xml:space="preserve"> </w:t>
      </w:r>
    </w:p>
    <w:p w14:paraId="560085C3" w14:textId="77777777" w:rsidR="00CE4BB2" w:rsidRPr="00560578" w:rsidRDefault="00F32177" w:rsidP="00F32177">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Furthermore, the Party concerned asserts that the population of a country potentially affected by the project</w:t>
      </w:r>
      <w:r w:rsidR="005E4800" w:rsidRPr="00560578">
        <w:rPr>
          <w:rFonts w:ascii="Times New Roman" w:eastAsia="Times New Roman" w:hAnsi="Times New Roman" w:cs="Times New Roman"/>
          <w:sz w:val="20"/>
          <w:szCs w:val="20"/>
        </w:rPr>
        <w:t xml:space="preserve"> </w:t>
      </w:r>
      <w:r w:rsidRPr="00560578">
        <w:rPr>
          <w:rFonts w:ascii="Times New Roman" w:eastAsia="Times New Roman" w:hAnsi="Times New Roman" w:cs="Times New Roman"/>
          <w:sz w:val="20"/>
          <w:szCs w:val="20"/>
        </w:rPr>
        <w:t>may be entitled to participation rights under the Aarhus Convention concerning the decision-making process in the foreign country itself</w:t>
      </w:r>
      <w:r w:rsidR="005E4800" w:rsidRPr="00560578">
        <w:rPr>
          <w:rFonts w:ascii="Times New Roman" w:eastAsia="Times New Roman" w:hAnsi="Times New Roman" w:cs="Times New Roman"/>
          <w:sz w:val="20"/>
          <w:szCs w:val="20"/>
        </w:rPr>
        <w:t>, regardless of the implementation of a transboundary EIA as provided for by the Espoo Convention</w:t>
      </w:r>
      <w:r w:rsidRPr="00560578">
        <w:rPr>
          <w:rFonts w:ascii="Times New Roman" w:eastAsia="Times New Roman" w:hAnsi="Times New Roman" w:cs="Times New Roman"/>
          <w:sz w:val="20"/>
          <w:szCs w:val="20"/>
        </w:rPr>
        <w:t xml:space="preserve">. The Party considers those rights </w:t>
      </w:r>
      <w:r w:rsidR="005E4800" w:rsidRPr="00560578">
        <w:rPr>
          <w:rFonts w:ascii="Times New Roman" w:eastAsia="Times New Roman" w:hAnsi="Times New Roman" w:cs="Times New Roman"/>
          <w:sz w:val="20"/>
          <w:szCs w:val="20"/>
        </w:rPr>
        <w:t>are not</w:t>
      </w:r>
      <w:r w:rsidRPr="00560578">
        <w:rPr>
          <w:rFonts w:ascii="Times New Roman" w:eastAsia="Times New Roman" w:hAnsi="Times New Roman" w:cs="Times New Roman"/>
          <w:sz w:val="20"/>
          <w:szCs w:val="20"/>
        </w:rPr>
        <w:t xml:space="preserve"> affected </w:t>
      </w:r>
      <w:r w:rsidR="005E4800" w:rsidRPr="00560578">
        <w:rPr>
          <w:rFonts w:ascii="Times New Roman" w:eastAsia="Times New Roman" w:hAnsi="Times New Roman" w:cs="Times New Roman"/>
          <w:sz w:val="20"/>
          <w:szCs w:val="20"/>
        </w:rPr>
        <w:t xml:space="preserve">by </w:t>
      </w:r>
      <w:r w:rsidRPr="00560578">
        <w:rPr>
          <w:rFonts w:ascii="Times New Roman" w:eastAsia="Times New Roman" w:hAnsi="Times New Roman" w:cs="Times New Roman"/>
          <w:sz w:val="20"/>
          <w:szCs w:val="20"/>
        </w:rPr>
        <w:t>whether the potentially affected country calls for a transboundary EIA</w:t>
      </w:r>
      <w:r w:rsidR="005E4800" w:rsidRPr="00560578">
        <w:rPr>
          <w:rFonts w:ascii="Times New Roman" w:eastAsia="Times New Roman" w:hAnsi="Times New Roman" w:cs="Times New Roman"/>
          <w:sz w:val="20"/>
          <w:szCs w:val="20"/>
        </w:rPr>
        <w:t xml:space="preserve"> or not</w:t>
      </w:r>
      <w:r w:rsidRPr="00560578">
        <w:rPr>
          <w:rFonts w:ascii="Times New Roman" w:eastAsia="Times New Roman" w:hAnsi="Times New Roman" w:cs="Times New Roman"/>
          <w:sz w:val="20"/>
          <w:szCs w:val="20"/>
        </w:rPr>
        <w:t>.</w:t>
      </w:r>
      <w:r w:rsidR="00E14652" w:rsidRPr="00560578">
        <w:rPr>
          <w:rStyle w:val="FootnoteReference"/>
          <w:rFonts w:eastAsia="Times New Roman"/>
          <w:szCs w:val="20"/>
        </w:rPr>
        <w:footnoteReference w:id="29"/>
      </w:r>
    </w:p>
    <w:p w14:paraId="6D187A74" w14:textId="77777777" w:rsidR="0048170D" w:rsidRPr="00560578" w:rsidRDefault="0048170D" w:rsidP="0048170D">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rPr>
      </w:pPr>
      <w:r w:rsidRPr="00560578">
        <w:rPr>
          <w:rFonts w:ascii="Times New Roman" w:eastAsia="Times New Roman" w:hAnsi="Times New Roman" w:cs="Times New Roman"/>
          <w:b/>
          <w:sz w:val="28"/>
          <w:szCs w:val="20"/>
        </w:rPr>
        <w:tab/>
        <w:t>III.</w:t>
      </w:r>
      <w:r w:rsidRPr="00560578">
        <w:rPr>
          <w:rFonts w:ascii="Times New Roman" w:eastAsia="Times New Roman" w:hAnsi="Times New Roman" w:cs="Times New Roman"/>
          <w:b/>
          <w:sz w:val="28"/>
          <w:szCs w:val="20"/>
        </w:rPr>
        <w:tab/>
        <w:t>Consideration and evaluation by the Committee</w:t>
      </w:r>
    </w:p>
    <w:p w14:paraId="5F1EB491" w14:textId="77777777" w:rsidR="0048170D" w:rsidRPr="00560578" w:rsidRDefault="00DC25CF" w:rsidP="00DC25CF">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lang w:val="en-US"/>
        </w:rPr>
        <w:t xml:space="preserve">Germany deposited its instrument of ratification of the Convention on 15 January 2007, meaning that the Convention entered into force for Germany on 15 April 2007, i.e. ninety days after the date of deposit of the instrument of ratification. </w:t>
      </w:r>
    </w:p>
    <w:p w14:paraId="396AE444" w14:textId="77777777" w:rsidR="00560578" w:rsidRDefault="00560578" w:rsidP="00C9588A">
      <w:pPr>
        <w:spacing w:after="120" w:line="240" w:lineRule="atLeast"/>
        <w:ind w:left="414" w:right="1134" w:firstLine="720"/>
        <w:jc w:val="both"/>
        <w:rPr>
          <w:rFonts w:ascii="Times New Roman" w:eastAsia="Times New Roman" w:hAnsi="Times New Roman" w:cs="Times New Roman"/>
          <w:b/>
          <w:i/>
          <w:sz w:val="20"/>
          <w:szCs w:val="20"/>
        </w:rPr>
      </w:pPr>
    </w:p>
    <w:p w14:paraId="38020567" w14:textId="77777777" w:rsidR="00325E16" w:rsidRPr="00560578" w:rsidRDefault="00325E16" w:rsidP="00C9588A">
      <w:pPr>
        <w:spacing w:after="120" w:line="240" w:lineRule="atLeast"/>
        <w:ind w:left="414" w:right="1134" w:firstLine="720"/>
        <w:jc w:val="both"/>
        <w:rPr>
          <w:rFonts w:ascii="Times New Roman" w:eastAsia="Times New Roman" w:hAnsi="Times New Roman" w:cs="Times New Roman"/>
          <w:b/>
          <w:i/>
          <w:sz w:val="20"/>
          <w:szCs w:val="20"/>
        </w:rPr>
      </w:pPr>
      <w:r w:rsidRPr="00560578">
        <w:rPr>
          <w:rFonts w:ascii="Times New Roman" w:eastAsia="Times New Roman" w:hAnsi="Times New Roman" w:cs="Times New Roman"/>
          <w:b/>
          <w:i/>
          <w:sz w:val="20"/>
          <w:szCs w:val="20"/>
        </w:rPr>
        <w:t>Admissibility</w:t>
      </w:r>
    </w:p>
    <w:p w14:paraId="40961B62" w14:textId="77777777" w:rsidR="008D576A" w:rsidRPr="00560578" w:rsidRDefault="00325E16" w:rsidP="00325E16">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The Party concerned submits the communication should be considered to be inadmissible on the grounds of being manifestly unreasonable under paragraph 20 of the annex to decision I/7 because it deals with a decision-making process that did not take place in Germany and in which German authorities were not to make any decisions concerning the approval of the proposed activity. The Committee observes that the </w:t>
      </w:r>
      <w:r w:rsidR="00A3299D" w:rsidRPr="00560578">
        <w:rPr>
          <w:rFonts w:ascii="Times New Roman" w:eastAsia="Times New Roman" w:hAnsi="Times New Roman" w:cs="Times New Roman"/>
          <w:sz w:val="20"/>
          <w:szCs w:val="20"/>
        </w:rPr>
        <w:t xml:space="preserve">allegations made in the </w:t>
      </w:r>
      <w:r w:rsidRPr="00560578">
        <w:rPr>
          <w:rFonts w:ascii="Times New Roman" w:eastAsia="Times New Roman" w:hAnsi="Times New Roman" w:cs="Times New Roman"/>
          <w:sz w:val="20"/>
          <w:szCs w:val="20"/>
        </w:rPr>
        <w:t xml:space="preserve">communication </w:t>
      </w:r>
      <w:r w:rsidR="00A3299D" w:rsidRPr="00560578">
        <w:rPr>
          <w:rFonts w:ascii="Times New Roman" w:eastAsia="Times New Roman" w:hAnsi="Times New Roman" w:cs="Times New Roman"/>
          <w:sz w:val="20"/>
          <w:szCs w:val="20"/>
        </w:rPr>
        <w:t xml:space="preserve">concern not </w:t>
      </w:r>
      <w:r w:rsidRPr="00560578">
        <w:rPr>
          <w:rFonts w:ascii="Times New Roman" w:eastAsia="Times New Roman" w:hAnsi="Times New Roman" w:cs="Times New Roman"/>
          <w:sz w:val="20"/>
          <w:szCs w:val="20"/>
        </w:rPr>
        <w:t xml:space="preserve">only article 6 </w:t>
      </w:r>
      <w:r w:rsidR="00A3299D" w:rsidRPr="00560578">
        <w:rPr>
          <w:rFonts w:ascii="Times New Roman" w:eastAsia="Times New Roman" w:hAnsi="Times New Roman" w:cs="Times New Roman"/>
          <w:sz w:val="20"/>
          <w:szCs w:val="20"/>
        </w:rPr>
        <w:t xml:space="preserve">of the Convention </w:t>
      </w:r>
      <w:r w:rsidRPr="00560578">
        <w:rPr>
          <w:rFonts w:ascii="Times New Roman" w:eastAsia="Times New Roman" w:hAnsi="Times New Roman" w:cs="Times New Roman"/>
          <w:sz w:val="20"/>
          <w:szCs w:val="20"/>
        </w:rPr>
        <w:t xml:space="preserve">but also </w:t>
      </w:r>
      <w:r w:rsidR="00A3299D" w:rsidRPr="00560578">
        <w:rPr>
          <w:rFonts w:ascii="Times New Roman" w:eastAsia="Times New Roman" w:hAnsi="Times New Roman" w:cs="Times New Roman"/>
          <w:sz w:val="20"/>
          <w:szCs w:val="20"/>
        </w:rPr>
        <w:t>provisions of article 3 and 4 of the Convention</w:t>
      </w:r>
      <w:r w:rsidRPr="00560578">
        <w:rPr>
          <w:rFonts w:ascii="Times New Roman" w:eastAsia="Times New Roman" w:hAnsi="Times New Roman" w:cs="Times New Roman"/>
          <w:sz w:val="20"/>
          <w:szCs w:val="20"/>
        </w:rPr>
        <w:t xml:space="preserve">. Bearing in mind </w:t>
      </w:r>
      <w:r w:rsidR="00A3299D" w:rsidRPr="00560578">
        <w:rPr>
          <w:rFonts w:ascii="Times New Roman" w:eastAsia="Times New Roman" w:hAnsi="Times New Roman" w:cs="Times New Roman"/>
          <w:sz w:val="20"/>
          <w:szCs w:val="20"/>
        </w:rPr>
        <w:t xml:space="preserve">the </w:t>
      </w:r>
      <w:r w:rsidRPr="00560578">
        <w:rPr>
          <w:rFonts w:ascii="Times New Roman" w:eastAsia="Times New Roman" w:hAnsi="Times New Roman" w:cs="Times New Roman"/>
          <w:sz w:val="20"/>
          <w:szCs w:val="20"/>
        </w:rPr>
        <w:t xml:space="preserve">wide scope of the obligations </w:t>
      </w:r>
      <w:r w:rsidR="00A3299D" w:rsidRPr="00560578">
        <w:rPr>
          <w:rFonts w:ascii="Times New Roman" w:eastAsia="Times New Roman" w:hAnsi="Times New Roman" w:cs="Times New Roman"/>
          <w:sz w:val="20"/>
          <w:szCs w:val="20"/>
        </w:rPr>
        <w:t xml:space="preserve">contained in </w:t>
      </w:r>
      <w:r w:rsidRPr="00560578">
        <w:rPr>
          <w:rFonts w:ascii="Times New Roman" w:eastAsia="Times New Roman" w:hAnsi="Times New Roman" w:cs="Times New Roman"/>
          <w:sz w:val="20"/>
          <w:szCs w:val="20"/>
        </w:rPr>
        <w:t xml:space="preserve">these provisions the Committee does not consider the communication to be manifestly unreasonable under paragraph 20 of the annex to decision </w:t>
      </w:r>
      <w:proofErr w:type="gramStart"/>
      <w:r w:rsidRPr="00560578">
        <w:rPr>
          <w:rFonts w:ascii="Times New Roman" w:eastAsia="Times New Roman" w:hAnsi="Times New Roman" w:cs="Times New Roman"/>
          <w:sz w:val="20"/>
          <w:szCs w:val="20"/>
        </w:rPr>
        <w:t>I/7</w:t>
      </w:r>
      <w:proofErr w:type="gramEnd"/>
      <w:r w:rsidRPr="00560578">
        <w:rPr>
          <w:rFonts w:ascii="Times New Roman" w:eastAsia="Times New Roman" w:hAnsi="Times New Roman" w:cs="Times New Roman"/>
          <w:sz w:val="20"/>
          <w:szCs w:val="20"/>
        </w:rPr>
        <w:t>.</w:t>
      </w:r>
    </w:p>
    <w:p w14:paraId="59A545B5" w14:textId="77777777" w:rsidR="00544E1B" w:rsidRPr="00560578" w:rsidRDefault="00544E1B" w:rsidP="00C169FF">
      <w:pPr>
        <w:tabs>
          <w:tab w:val="num" w:pos="1710"/>
        </w:tabs>
        <w:suppressAutoHyphens/>
        <w:spacing w:after="120" w:line="240" w:lineRule="atLeast"/>
        <w:ind w:left="1134" w:right="1134"/>
        <w:jc w:val="both"/>
        <w:rPr>
          <w:rFonts w:ascii="Times New Roman" w:eastAsia="Times New Roman" w:hAnsi="Times New Roman" w:cs="Times New Roman"/>
          <w:b/>
          <w:i/>
          <w:sz w:val="20"/>
          <w:szCs w:val="20"/>
        </w:rPr>
      </w:pPr>
    </w:p>
    <w:p w14:paraId="3470190E" w14:textId="77777777" w:rsidR="0092435A" w:rsidRPr="00560578" w:rsidRDefault="0092435A" w:rsidP="00C169FF">
      <w:pPr>
        <w:tabs>
          <w:tab w:val="num" w:pos="1710"/>
        </w:tabs>
        <w:suppressAutoHyphens/>
        <w:spacing w:after="120" w:line="240" w:lineRule="atLeast"/>
        <w:ind w:left="1134" w:right="1134"/>
        <w:jc w:val="both"/>
        <w:rPr>
          <w:rFonts w:ascii="Times New Roman" w:eastAsia="Times New Roman" w:hAnsi="Times New Roman" w:cs="Times New Roman"/>
          <w:b/>
          <w:i/>
          <w:sz w:val="20"/>
          <w:szCs w:val="20"/>
        </w:rPr>
      </w:pPr>
      <w:r w:rsidRPr="00560578">
        <w:rPr>
          <w:rFonts w:ascii="Times New Roman" w:eastAsia="Times New Roman" w:hAnsi="Times New Roman" w:cs="Times New Roman"/>
          <w:b/>
          <w:i/>
          <w:sz w:val="20"/>
          <w:szCs w:val="20"/>
        </w:rPr>
        <w:t>Article 6</w:t>
      </w:r>
    </w:p>
    <w:p w14:paraId="4B7E01EE" w14:textId="77777777" w:rsidR="00762CA7" w:rsidRPr="00560578" w:rsidRDefault="007071F1" w:rsidP="00762CA7">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Given that the main allegations in the communication concern article 6 of the Convention, the Committee examines compliance with that provision first. </w:t>
      </w:r>
      <w:r w:rsidR="00A3299D" w:rsidRPr="00560578">
        <w:rPr>
          <w:rFonts w:ascii="Times New Roman" w:eastAsia="Times New Roman" w:hAnsi="Times New Roman" w:cs="Times New Roman"/>
          <w:sz w:val="20"/>
          <w:szCs w:val="20"/>
        </w:rPr>
        <w:t xml:space="preserve">As a preliminary point, the Committee notes that </w:t>
      </w:r>
      <w:r w:rsidR="0005451E" w:rsidRPr="00560578">
        <w:rPr>
          <w:rFonts w:ascii="Times New Roman" w:eastAsia="Times New Roman" w:hAnsi="Times New Roman" w:cs="Times New Roman"/>
          <w:sz w:val="20"/>
          <w:szCs w:val="20"/>
        </w:rPr>
        <w:t xml:space="preserve">a </w:t>
      </w:r>
      <w:r w:rsidR="00A3299D" w:rsidRPr="00560578">
        <w:rPr>
          <w:rFonts w:ascii="Times New Roman" w:eastAsia="Times New Roman" w:hAnsi="Times New Roman" w:cs="Times New Roman"/>
          <w:sz w:val="20"/>
          <w:szCs w:val="20"/>
        </w:rPr>
        <w:t>nuclear power station</w:t>
      </w:r>
      <w:r w:rsidR="0005451E" w:rsidRPr="00560578">
        <w:rPr>
          <w:rFonts w:ascii="Times New Roman" w:eastAsia="Times New Roman" w:hAnsi="Times New Roman" w:cs="Times New Roman"/>
          <w:sz w:val="20"/>
          <w:szCs w:val="20"/>
        </w:rPr>
        <w:t xml:space="preserve"> is </w:t>
      </w:r>
      <w:r w:rsidR="00762CA7" w:rsidRPr="00560578">
        <w:rPr>
          <w:rFonts w:ascii="Times New Roman" w:eastAsia="Times New Roman" w:hAnsi="Times New Roman" w:cs="Times New Roman"/>
          <w:sz w:val="20"/>
          <w:szCs w:val="20"/>
        </w:rPr>
        <w:t xml:space="preserve">an activity referred to in item 1 of Annex 1 to the Convention </w:t>
      </w:r>
      <w:r w:rsidR="00A3299D" w:rsidRPr="00560578">
        <w:rPr>
          <w:rFonts w:ascii="Times New Roman" w:eastAsia="Times New Roman" w:hAnsi="Times New Roman" w:cs="Times New Roman"/>
          <w:sz w:val="20"/>
          <w:szCs w:val="20"/>
        </w:rPr>
        <w:t xml:space="preserve">and </w:t>
      </w:r>
      <w:r w:rsidR="00762CA7" w:rsidRPr="00560578">
        <w:rPr>
          <w:rFonts w:ascii="Times New Roman" w:eastAsia="Times New Roman" w:hAnsi="Times New Roman" w:cs="Times New Roman"/>
          <w:sz w:val="20"/>
          <w:szCs w:val="20"/>
        </w:rPr>
        <w:t xml:space="preserve">therefore </w:t>
      </w:r>
      <w:r w:rsidR="00A3299D" w:rsidRPr="00560578">
        <w:rPr>
          <w:rFonts w:ascii="Times New Roman" w:eastAsia="Times New Roman" w:hAnsi="Times New Roman" w:cs="Times New Roman"/>
          <w:sz w:val="20"/>
          <w:szCs w:val="20"/>
        </w:rPr>
        <w:t xml:space="preserve">the </w:t>
      </w:r>
      <w:r w:rsidR="00762CA7" w:rsidRPr="00560578">
        <w:rPr>
          <w:rFonts w:ascii="Times New Roman" w:eastAsia="Times New Roman" w:hAnsi="Times New Roman" w:cs="Times New Roman"/>
          <w:sz w:val="20"/>
          <w:szCs w:val="20"/>
        </w:rPr>
        <w:t xml:space="preserve">requirements of article 6 apply to </w:t>
      </w:r>
      <w:r w:rsidR="00A3299D" w:rsidRPr="00560578">
        <w:rPr>
          <w:rFonts w:ascii="Times New Roman" w:eastAsia="Times New Roman" w:hAnsi="Times New Roman" w:cs="Times New Roman"/>
          <w:sz w:val="20"/>
          <w:szCs w:val="20"/>
        </w:rPr>
        <w:t xml:space="preserve">the decision-making to permit the </w:t>
      </w:r>
      <w:r w:rsidR="0005451E" w:rsidRPr="00560578">
        <w:rPr>
          <w:rFonts w:ascii="Times New Roman" w:eastAsia="Times New Roman" w:hAnsi="Times New Roman" w:cs="Times New Roman"/>
          <w:sz w:val="20"/>
          <w:szCs w:val="20"/>
        </w:rPr>
        <w:t xml:space="preserve">construction of the two new nuclear reactors at </w:t>
      </w:r>
      <w:proofErr w:type="spellStart"/>
      <w:r w:rsidR="00762CA7" w:rsidRPr="00560578">
        <w:rPr>
          <w:rFonts w:ascii="Times New Roman" w:eastAsia="Times New Roman" w:hAnsi="Times New Roman" w:cs="Times New Roman"/>
          <w:sz w:val="20"/>
          <w:szCs w:val="20"/>
        </w:rPr>
        <w:t>Hinkley</w:t>
      </w:r>
      <w:proofErr w:type="spellEnd"/>
      <w:r w:rsidR="00762CA7" w:rsidRPr="00560578">
        <w:rPr>
          <w:rFonts w:ascii="Times New Roman" w:eastAsia="Times New Roman" w:hAnsi="Times New Roman" w:cs="Times New Roman"/>
          <w:sz w:val="20"/>
          <w:szCs w:val="20"/>
        </w:rPr>
        <w:t xml:space="preserve"> Point C.</w:t>
      </w:r>
    </w:p>
    <w:p w14:paraId="3C1CEB1E" w14:textId="7A3210F8" w:rsidR="00AF6472" w:rsidRPr="00560578" w:rsidRDefault="0005451E" w:rsidP="00325E16">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The next question the </w:t>
      </w:r>
      <w:r w:rsidR="006032D8" w:rsidRPr="00560578">
        <w:rPr>
          <w:rFonts w:ascii="Times New Roman" w:eastAsia="Times New Roman" w:hAnsi="Times New Roman" w:cs="Times New Roman"/>
          <w:sz w:val="20"/>
          <w:szCs w:val="20"/>
        </w:rPr>
        <w:t xml:space="preserve">Committee will consider </w:t>
      </w:r>
      <w:r w:rsidRPr="00560578">
        <w:rPr>
          <w:rFonts w:ascii="Times New Roman" w:eastAsia="Times New Roman" w:hAnsi="Times New Roman" w:cs="Times New Roman"/>
          <w:sz w:val="20"/>
          <w:szCs w:val="20"/>
        </w:rPr>
        <w:t xml:space="preserve">is </w:t>
      </w:r>
      <w:r w:rsidR="006032D8" w:rsidRPr="00560578">
        <w:rPr>
          <w:rFonts w:ascii="Times New Roman" w:eastAsia="Times New Roman" w:hAnsi="Times New Roman" w:cs="Times New Roman"/>
          <w:sz w:val="20"/>
          <w:szCs w:val="20"/>
        </w:rPr>
        <w:t>whether</w:t>
      </w:r>
      <w:r w:rsidRPr="00560578">
        <w:rPr>
          <w:rFonts w:ascii="Times New Roman" w:eastAsia="Times New Roman" w:hAnsi="Times New Roman" w:cs="Times New Roman"/>
          <w:sz w:val="20"/>
          <w:szCs w:val="20"/>
        </w:rPr>
        <w:t xml:space="preserve">, with respect to the decision-making to permit </w:t>
      </w:r>
      <w:proofErr w:type="spellStart"/>
      <w:r w:rsidRPr="00560578">
        <w:rPr>
          <w:rFonts w:ascii="Times New Roman" w:eastAsia="Times New Roman" w:hAnsi="Times New Roman" w:cs="Times New Roman"/>
          <w:sz w:val="20"/>
          <w:szCs w:val="20"/>
        </w:rPr>
        <w:t>Hinkley</w:t>
      </w:r>
      <w:proofErr w:type="spellEnd"/>
      <w:r w:rsidRPr="00560578">
        <w:rPr>
          <w:rFonts w:ascii="Times New Roman" w:eastAsia="Times New Roman" w:hAnsi="Times New Roman" w:cs="Times New Roman"/>
          <w:sz w:val="20"/>
          <w:szCs w:val="20"/>
        </w:rPr>
        <w:t xml:space="preserve"> Point C,</w:t>
      </w:r>
      <w:r w:rsidR="006032D8" w:rsidRPr="00560578">
        <w:rPr>
          <w:rFonts w:ascii="Times New Roman" w:eastAsia="Times New Roman" w:hAnsi="Times New Roman" w:cs="Times New Roman"/>
          <w:sz w:val="20"/>
          <w:szCs w:val="20"/>
        </w:rPr>
        <w:t xml:space="preserve"> </w:t>
      </w:r>
      <w:r w:rsidR="000553BC" w:rsidRPr="00560578">
        <w:rPr>
          <w:rFonts w:ascii="Times New Roman" w:eastAsia="Times New Roman" w:hAnsi="Times New Roman" w:cs="Times New Roman"/>
          <w:sz w:val="20"/>
          <w:szCs w:val="20"/>
        </w:rPr>
        <w:t xml:space="preserve">article 6 </w:t>
      </w:r>
      <w:r w:rsidRPr="00560578">
        <w:rPr>
          <w:rFonts w:ascii="Times New Roman" w:eastAsia="Times New Roman" w:hAnsi="Times New Roman" w:cs="Times New Roman"/>
          <w:sz w:val="20"/>
          <w:szCs w:val="20"/>
        </w:rPr>
        <w:t>bestow</w:t>
      </w:r>
      <w:r w:rsidR="00304E56" w:rsidRPr="00560578">
        <w:rPr>
          <w:rFonts w:ascii="Times New Roman" w:eastAsia="Times New Roman" w:hAnsi="Times New Roman" w:cs="Times New Roman"/>
          <w:sz w:val="20"/>
          <w:szCs w:val="20"/>
        </w:rPr>
        <w:t>s</w:t>
      </w:r>
      <w:r w:rsidRPr="00560578">
        <w:rPr>
          <w:rFonts w:ascii="Times New Roman" w:eastAsia="Times New Roman" w:hAnsi="Times New Roman" w:cs="Times New Roman"/>
          <w:sz w:val="20"/>
          <w:szCs w:val="20"/>
        </w:rPr>
        <w:t xml:space="preserve"> obligations on the German authorities</w:t>
      </w:r>
      <w:r w:rsidR="006F6F3E" w:rsidRPr="00560578">
        <w:rPr>
          <w:rFonts w:ascii="Times New Roman" w:hAnsi="Times New Roman" w:cs="Times New Roman"/>
          <w:sz w:val="20"/>
          <w:szCs w:val="20"/>
        </w:rPr>
        <w:t xml:space="preserve">. </w:t>
      </w:r>
      <w:r w:rsidRPr="00560578">
        <w:rPr>
          <w:rFonts w:ascii="Times New Roman" w:hAnsi="Times New Roman" w:cs="Times New Roman"/>
          <w:sz w:val="20"/>
          <w:szCs w:val="20"/>
        </w:rPr>
        <w:t>On this point,</w:t>
      </w:r>
      <w:r w:rsidR="006F6F3E" w:rsidRPr="00560578">
        <w:rPr>
          <w:rFonts w:ascii="Times New Roman" w:hAnsi="Times New Roman" w:cs="Times New Roman"/>
          <w:sz w:val="20"/>
          <w:szCs w:val="20"/>
        </w:rPr>
        <w:t xml:space="preserve"> the Committee recalls its findings </w:t>
      </w:r>
      <w:r w:rsidRPr="00560578">
        <w:rPr>
          <w:rFonts w:ascii="Times New Roman" w:hAnsi="Times New Roman" w:cs="Times New Roman"/>
          <w:sz w:val="20"/>
          <w:szCs w:val="20"/>
        </w:rPr>
        <w:t>on communication ACCC/C/20</w:t>
      </w:r>
      <w:r w:rsidR="00865EF0" w:rsidRPr="00560578">
        <w:rPr>
          <w:rFonts w:ascii="Times New Roman" w:hAnsi="Times New Roman" w:cs="Times New Roman"/>
          <w:sz w:val="20"/>
          <w:szCs w:val="20"/>
        </w:rPr>
        <w:t>12</w:t>
      </w:r>
      <w:r w:rsidRPr="00560578">
        <w:rPr>
          <w:rFonts w:ascii="Times New Roman" w:hAnsi="Times New Roman" w:cs="Times New Roman"/>
          <w:sz w:val="20"/>
          <w:szCs w:val="20"/>
        </w:rPr>
        <w:t xml:space="preserve">/71 (Czech Republic) </w:t>
      </w:r>
      <w:r w:rsidR="006F6F3E" w:rsidRPr="00560578">
        <w:rPr>
          <w:rFonts w:ascii="Times New Roman" w:hAnsi="Times New Roman" w:cs="Times New Roman"/>
          <w:sz w:val="20"/>
          <w:szCs w:val="20"/>
        </w:rPr>
        <w:t>in which it stressed that “</w:t>
      </w:r>
      <w:r w:rsidR="006F6F3E" w:rsidRPr="00560578">
        <w:rPr>
          <w:rFonts w:ascii="Times New Roman" w:hAnsi="Times New Roman" w:cs="Times New Roman"/>
          <w:sz w:val="20"/>
          <w:szCs w:val="20"/>
          <w:lang w:val="en-US" w:eastAsia="ru-RU"/>
        </w:rPr>
        <w:t xml:space="preserve">whether in a domestic or transboundary context, the </w:t>
      </w:r>
      <w:r w:rsidR="00544E1B" w:rsidRPr="00560578">
        <w:rPr>
          <w:rFonts w:ascii="Times New Roman" w:hAnsi="Times New Roman" w:cs="Times New Roman"/>
          <w:sz w:val="20"/>
          <w:szCs w:val="20"/>
          <w:lang w:val="en-US" w:eastAsia="ru-RU"/>
        </w:rPr>
        <w:t xml:space="preserve">ultimate </w:t>
      </w:r>
      <w:r w:rsidR="006F6F3E" w:rsidRPr="00560578">
        <w:rPr>
          <w:rFonts w:ascii="Times New Roman" w:hAnsi="Times New Roman" w:cs="Times New Roman"/>
          <w:sz w:val="20"/>
          <w:szCs w:val="20"/>
          <w:lang w:val="en-US" w:eastAsia="ru-RU"/>
        </w:rPr>
        <w:t xml:space="preserve">responsibility for ensuring that the public participation procedure complies with the </w:t>
      </w:r>
      <w:r w:rsidR="00544E1B" w:rsidRPr="00560578">
        <w:rPr>
          <w:rFonts w:ascii="Times New Roman" w:hAnsi="Times New Roman" w:cs="Times New Roman"/>
          <w:sz w:val="20"/>
          <w:szCs w:val="20"/>
          <w:lang w:val="en-US" w:eastAsia="ru-RU"/>
        </w:rPr>
        <w:t xml:space="preserve">Convention’s </w:t>
      </w:r>
      <w:r w:rsidR="006F6F3E" w:rsidRPr="00560578">
        <w:rPr>
          <w:rFonts w:ascii="Times New Roman" w:hAnsi="Times New Roman" w:cs="Times New Roman"/>
          <w:sz w:val="20"/>
          <w:szCs w:val="20"/>
          <w:lang w:val="en-US" w:eastAsia="ru-RU"/>
        </w:rPr>
        <w:t>requirements lies with the competent authorities of the Party concerned”.</w:t>
      </w:r>
      <w:r w:rsidRPr="00560578">
        <w:rPr>
          <w:rStyle w:val="FootnoteReference"/>
          <w:szCs w:val="20"/>
          <w:lang w:val="en-US" w:eastAsia="ru-RU"/>
        </w:rPr>
        <w:footnoteReference w:id="30"/>
      </w:r>
    </w:p>
    <w:p w14:paraId="3C74A7B4" w14:textId="77777777" w:rsidR="006032D8" w:rsidRPr="00560578" w:rsidRDefault="006F6F3E" w:rsidP="00325E16">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hAnsi="Times New Roman" w:cs="Times New Roman"/>
          <w:sz w:val="20"/>
          <w:szCs w:val="20"/>
          <w:lang w:val="en-US" w:eastAsia="ru-RU"/>
        </w:rPr>
        <w:t xml:space="preserve">It </w:t>
      </w:r>
      <w:r w:rsidR="002322BA" w:rsidRPr="00560578">
        <w:rPr>
          <w:rFonts w:ascii="Times New Roman" w:hAnsi="Times New Roman" w:cs="Times New Roman"/>
          <w:sz w:val="20"/>
          <w:szCs w:val="20"/>
          <w:lang w:val="en-US" w:eastAsia="ru-RU"/>
        </w:rPr>
        <w:t xml:space="preserve">is common ground </w:t>
      </w:r>
      <w:r w:rsidR="006F0083" w:rsidRPr="00560578">
        <w:rPr>
          <w:rFonts w:ascii="Times New Roman" w:hAnsi="Times New Roman" w:cs="Times New Roman"/>
          <w:sz w:val="20"/>
          <w:szCs w:val="20"/>
          <w:lang w:val="en-US" w:eastAsia="ru-RU"/>
        </w:rPr>
        <w:t xml:space="preserve">between the Party concerned and communicant </w:t>
      </w:r>
      <w:r w:rsidR="002322BA" w:rsidRPr="00560578">
        <w:rPr>
          <w:rFonts w:ascii="Times New Roman" w:hAnsi="Times New Roman" w:cs="Times New Roman"/>
          <w:sz w:val="20"/>
          <w:szCs w:val="20"/>
          <w:lang w:val="en-US" w:eastAsia="ru-RU"/>
        </w:rPr>
        <w:t>t</w:t>
      </w:r>
      <w:r w:rsidRPr="00560578">
        <w:rPr>
          <w:rFonts w:ascii="Times New Roman" w:hAnsi="Times New Roman" w:cs="Times New Roman"/>
          <w:sz w:val="20"/>
          <w:szCs w:val="20"/>
          <w:lang w:val="en-US" w:eastAsia="ru-RU"/>
        </w:rPr>
        <w:t>hat th</w:t>
      </w:r>
      <w:r w:rsidR="002322BA" w:rsidRPr="00560578">
        <w:rPr>
          <w:rFonts w:ascii="Times New Roman" w:hAnsi="Times New Roman" w:cs="Times New Roman"/>
          <w:sz w:val="20"/>
          <w:szCs w:val="20"/>
          <w:lang w:val="en-US" w:eastAsia="ru-RU"/>
        </w:rPr>
        <w:t xml:space="preserve">e authorities </w:t>
      </w:r>
      <w:r w:rsidRPr="00560578">
        <w:rPr>
          <w:rFonts w:ascii="Times New Roman" w:hAnsi="Times New Roman" w:cs="Times New Roman"/>
          <w:sz w:val="20"/>
          <w:szCs w:val="20"/>
          <w:lang w:val="en-US" w:eastAsia="ru-RU"/>
        </w:rPr>
        <w:t xml:space="preserve">competent to </w:t>
      </w:r>
      <w:r w:rsidR="002322BA" w:rsidRPr="00560578">
        <w:rPr>
          <w:rFonts w:ascii="Times New Roman" w:hAnsi="Times New Roman" w:cs="Times New Roman"/>
          <w:sz w:val="20"/>
          <w:szCs w:val="20"/>
        </w:rPr>
        <w:t xml:space="preserve">take the decision </w:t>
      </w:r>
      <w:r w:rsidRPr="00560578">
        <w:rPr>
          <w:rFonts w:ascii="Times New Roman" w:eastAsia="Times New Roman" w:hAnsi="Times New Roman" w:cs="Times New Roman"/>
          <w:sz w:val="20"/>
          <w:szCs w:val="20"/>
        </w:rPr>
        <w:t xml:space="preserve">to permit the </w:t>
      </w:r>
      <w:proofErr w:type="spellStart"/>
      <w:r w:rsidRPr="00560578">
        <w:rPr>
          <w:rFonts w:ascii="Times New Roman" w:eastAsia="Times New Roman" w:hAnsi="Times New Roman" w:cs="Times New Roman"/>
          <w:sz w:val="20"/>
          <w:szCs w:val="20"/>
        </w:rPr>
        <w:t>Hinkley</w:t>
      </w:r>
      <w:proofErr w:type="spellEnd"/>
      <w:r w:rsidRPr="00560578">
        <w:rPr>
          <w:rFonts w:ascii="Times New Roman" w:eastAsia="Times New Roman" w:hAnsi="Times New Roman" w:cs="Times New Roman"/>
          <w:sz w:val="20"/>
          <w:szCs w:val="20"/>
        </w:rPr>
        <w:t xml:space="preserve"> Point C</w:t>
      </w:r>
      <w:r w:rsidRPr="00560578">
        <w:rPr>
          <w:rFonts w:ascii="Times New Roman" w:hAnsi="Times New Roman" w:cs="Times New Roman"/>
          <w:sz w:val="20"/>
          <w:szCs w:val="20"/>
        </w:rPr>
        <w:t xml:space="preserve"> NPP</w:t>
      </w:r>
      <w:r w:rsidR="002322BA" w:rsidRPr="00560578">
        <w:rPr>
          <w:rFonts w:ascii="Times New Roman" w:hAnsi="Times New Roman" w:cs="Times New Roman"/>
          <w:sz w:val="20"/>
          <w:szCs w:val="20"/>
        </w:rPr>
        <w:t xml:space="preserve"> are </w:t>
      </w:r>
      <w:r w:rsidR="00865EF0" w:rsidRPr="00560578">
        <w:rPr>
          <w:rFonts w:ascii="Times New Roman" w:hAnsi="Times New Roman" w:cs="Times New Roman"/>
          <w:sz w:val="20"/>
          <w:szCs w:val="20"/>
        </w:rPr>
        <w:t>those of the United Kingdom</w:t>
      </w:r>
      <w:r w:rsidR="002322BA" w:rsidRPr="00560578">
        <w:rPr>
          <w:rFonts w:ascii="Times New Roman" w:hAnsi="Times New Roman" w:cs="Times New Roman"/>
          <w:sz w:val="20"/>
          <w:szCs w:val="20"/>
        </w:rPr>
        <w:t xml:space="preserve"> </w:t>
      </w:r>
      <w:r w:rsidR="00AF6472" w:rsidRPr="00560578">
        <w:rPr>
          <w:rFonts w:ascii="Times New Roman" w:hAnsi="Times New Roman" w:cs="Times New Roman"/>
          <w:sz w:val="20"/>
          <w:szCs w:val="20"/>
        </w:rPr>
        <w:t xml:space="preserve">and </w:t>
      </w:r>
      <w:r w:rsidR="002A5345" w:rsidRPr="00560578">
        <w:rPr>
          <w:rFonts w:ascii="Times New Roman" w:hAnsi="Times New Roman" w:cs="Times New Roman"/>
          <w:sz w:val="20"/>
          <w:szCs w:val="20"/>
        </w:rPr>
        <w:t xml:space="preserve">not </w:t>
      </w:r>
      <w:r w:rsidR="00865EF0" w:rsidRPr="00560578">
        <w:rPr>
          <w:rFonts w:ascii="Times New Roman" w:hAnsi="Times New Roman" w:cs="Times New Roman"/>
          <w:sz w:val="20"/>
          <w:szCs w:val="20"/>
        </w:rPr>
        <w:t>Germany</w:t>
      </w:r>
      <w:r w:rsidR="002A5345" w:rsidRPr="00560578">
        <w:rPr>
          <w:rFonts w:ascii="Times New Roman" w:hAnsi="Times New Roman" w:cs="Times New Roman"/>
          <w:sz w:val="20"/>
          <w:szCs w:val="20"/>
        </w:rPr>
        <w:t xml:space="preserve">. Furthermore, there was </w:t>
      </w:r>
      <w:r w:rsidR="0092435A" w:rsidRPr="00560578">
        <w:rPr>
          <w:rFonts w:ascii="Times New Roman" w:hAnsi="Times New Roman" w:cs="Times New Roman"/>
          <w:sz w:val="20"/>
          <w:szCs w:val="20"/>
        </w:rPr>
        <w:t xml:space="preserve">no </w:t>
      </w:r>
      <w:r w:rsidR="002A5345" w:rsidRPr="00560578">
        <w:rPr>
          <w:rFonts w:ascii="Times New Roman" w:hAnsi="Times New Roman" w:cs="Times New Roman"/>
          <w:sz w:val="20"/>
          <w:szCs w:val="20"/>
        </w:rPr>
        <w:t xml:space="preserve">transboundary procedure </w:t>
      </w:r>
      <w:r w:rsidR="00304E56" w:rsidRPr="00560578">
        <w:rPr>
          <w:rFonts w:ascii="Times New Roman" w:eastAsia="Times New Roman" w:hAnsi="Times New Roman" w:cs="Times New Roman"/>
          <w:sz w:val="20"/>
          <w:szCs w:val="20"/>
        </w:rPr>
        <w:t>under the Espoo Convention or EIA Directive</w:t>
      </w:r>
      <w:r w:rsidR="00304E56" w:rsidRPr="00560578">
        <w:rPr>
          <w:rFonts w:ascii="Times New Roman" w:hAnsi="Times New Roman" w:cs="Times New Roman"/>
          <w:sz w:val="20"/>
          <w:szCs w:val="20"/>
        </w:rPr>
        <w:t xml:space="preserve"> </w:t>
      </w:r>
      <w:r w:rsidR="002A5345" w:rsidRPr="00560578">
        <w:rPr>
          <w:rFonts w:ascii="Times New Roman" w:hAnsi="Times New Roman" w:cs="Times New Roman"/>
          <w:sz w:val="20"/>
          <w:szCs w:val="20"/>
        </w:rPr>
        <w:t xml:space="preserve">within which </w:t>
      </w:r>
      <w:r w:rsidR="00304E56" w:rsidRPr="00560578">
        <w:rPr>
          <w:rFonts w:ascii="Times New Roman" w:hAnsi="Times New Roman" w:cs="Times New Roman"/>
          <w:sz w:val="20"/>
          <w:szCs w:val="20"/>
        </w:rPr>
        <w:t xml:space="preserve">the </w:t>
      </w:r>
      <w:r w:rsidR="002A5345" w:rsidRPr="00560578">
        <w:rPr>
          <w:rFonts w:ascii="Times New Roman" w:hAnsi="Times New Roman" w:cs="Times New Roman"/>
          <w:sz w:val="20"/>
          <w:szCs w:val="20"/>
        </w:rPr>
        <w:t xml:space="preserve">German authorities </w:t>
      </w:r>
      <w:r w:rsidR="00865EF0" w:rsidRPr="00560578">
        <w:rPr>
          <w:rFonts w:ascii="Times New Roman" w:hAnsi="Times New Roman" w:cs="Times New Roman"/>
          <w:sz w:val="20"/>
          <w:szCs w:val="20"/>
        </w:rPr>
        <w:t xml:space="preserve">were required to carry out tasks </w:t>
      </w:r>
      <w:r w:rsidR="002A5345" w:rsidRPr="00560578">
        <w:rPr>
          <w:rFonts w:ascii="Times New Roman" w:hAnsi="Times New Roman" w:cs="Times New Roman"/>
          <w:sz w:val="20"/>
          <w:szCs w:val="20"/>
        </w:rPr>
        <w:t>under the joint responsibility</w:t>
      </w:r>
      <w:r w:rsidR="000553BC" w:rsidRPr="00560578">
        <w:rPr>
          <w:rFonts w:ascii="Times New Roman" w:eastAsia="Times New Roman" w:hAnsi="Times New Roman" w:cs="Times New Roman"/>
          <w:sz w:val="20"/>
          <w:szCs w:val="20"/>
        </w:rPr>
        <w:t xml:space="preserve"> </w:t>
      </w:r>
      <w:r w:rsidR="0092435A" w:rsidRPr="00560578">
        <w:rPr>
          <w:rFonts w:ascii="Times New Roman" w:eastAsia="Times New Roman" w:hAnsi="Times New Roman" w:cs="Times New Roman"/>
          <w:sz w:val="20"/>
          <w:szCs w:val="20"/>
        </w:rPr>
        <w:t xml:space="preserve">of the </w:t>
      </w:r>
      <w:r w:rsidR="00304E56" w:rsidRPr="00560578">
        <w:rPr>
          <w:rFonts w:ascii="Times New Roman" w:eastAsia="Times New Roman" w:hAnsi="Times New Roman" w:cs="Times New Roman"/>
          <w:sz w:val="20"/>
          <w:szCs w:val="20"/>
        </w:rPr>
        <w:t>“</w:t>
      </w:r>
      <w:r w:rsidR="0092435A" w:rsidRPr="00560578">
        <w:rPr>
          <w:rFonts w:ascii="Times New Roman" w:eastAsia="Times New Roman" w:hAnsi="Times New Roman" w:cs="Times New Roman"/>
          <w:sz w:val="20"/>
          <w:szCs w:val="20"/>
        </w:rPr>
        <w:t>concerned Parties</w:t>
      </w:r>
      <w:r w:rsidR="00304E56" w:rsidRPr="00560578">
        <w:rPr>
          <w:rFonts w:ascii="Times New Roman" w:eastAsia="Times New Roman" w:hAnsi="Times New Roman" w:cs="Times New Roman"/>
          <w:sz w:val="20"/>
          <w:szCs w:val="20"/>
        </w:rPr>
        <w:t>”</w:t>
      </w:r>
      <w:r w:rsidR="0092435A" w:rsidRPr="00560578">
        <w:rPr>
          <w:rFonts w:ascii="Times New Roman" w:eastAsia="Times New Roman" w:hAnsi="Times New Roman" w:cs="Times New Roman"/>
          <w:sz w:val="20"/>
          <w:szCs w:val="20"/>
        </w:rPr>
        <w:t xml:space="preserve"> </w:t>
      </w:r>
      <w:r w:rsidR="00811CA6" w:rsidRPr="00560578">
        <w:rPr>
          <w:rFonts w:ascii="Times New Roman" w:eastAsia="Times New Roman" w:hAnsi="Times New Roman" w:cs="Times New Roman"/>
          <w:sz w:val="20"/>
          <w:szCs w:val="20"/>
        </w:rPr>
        <w:t>(</w:t>
      </w:r>
      <w:r w:rsidR="00304E56" w:rsidRPr="00560578">
        <w:rPr>
          <w:rFonts w:ascii="Times New Roman" w:eastAsia="Times New Roman" w:hAnsi="Times New Roman" w:cs="Times New Roman"/>
          <w:sz w:val="20"/>
          <w:szCs w:val="20"/>
        </w:rPr>
        <w:t xml:space="preserve">i.e., </w:t>
      </w:r>
      <w:r w:rsidR="00811CA6" w:rsidRPr="00560578">
        <w:rPr>
          <w:rFonts w:ascii="Times New Roman" w:eastAsia="Times New Roman" w:hAnsi="Times New Roman" w:cs="Times New Roman"/>
          <w:sz w:val="20"/>
          <w:szCs w:val="20"/>
        </w:rPr>
        <w:t>the Party of origin and the affected Party)</w:t>
      </w:r>
      <w:r w:rsidR="0092435A" w:rsidRPr="00560578">
        <w:rPr>
          <w:rFonts w:ascii="Times New Roman" w:eastAsia="Times New Roman" w:hAnsi="Times New Roman" w:cs="Times New Roman"/>
          <w:sz w:val="20"/>
          <w:szCs w:val="20"/>
        </w:rPr>
        <w:t xml:space="preserve">. </w:t>
      </w:r>
    </w:p>
    <w:p w14:paraId="62527B02" w14:textId="19300B98" w:rsidR="0092435A" w:rsidRPr="00560578" w:rsidRDefault="00304E56" w:rsidP="00357F06">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In the light of the above, the Committee finds that </w:t>
      </w:r>
      <w:r w:rsidR="007071F1" w:rsidRPr="00560578">
        <w:rPr>
          <w:rFonts w:ascii="Times New Roman" w:eastAsia="Times New Roman" w:hAnsi="Times New Roman" w:cs="Times New Roman"/>
          <w:sz w:val="20"/>
          <w:szCs w:val="20"/>
        </w:rPr>
        <w:t xml:space="preserve">article 6 </w:t>
      </w:r>
      <w:r w:rsidR="00707D90" w:rsidRPr="00560578">
        <w:rPr>
          <w:rFonts w:ascii="Times New Roman" w:eastAsia="Times New Roman" w:hAnsi="Times New Roman" w:cs="Times New Roman"/>
          <w:sz w:val="20"/>
          <w:szCs w:val="20"/>
        </w:rPr>
        <w:t xml:space="preserve">does not </w:t>
      </w:r>
      <w:r w:rsidRPr="00560578">
        <w:rPr>
          <w:rFonts w:ascii="Times New Roman" w:eastAsia="Times New Roman" w:hAnsi="Times New Roman" w:cs="Times New Roman"/>
          <w:sz w:val="20"/>
          <w:szCs w:val="20"/>
        </w:rPr>
        <w:t xml:space="preserve">impose any obligations on the </w:t>
      </w:r>
      <w:r w:rsidR="00707D90" w:rsidRPr="00560578">
        <w:rPr>
          <w:rFonts w:ascii="Times New Roman" w:eastAsia="Times New Roman" w:hAnsi="Times New Roman" w:cs="Times New Roman"/>
          <w:sz w:val="20"/>
          <w:szCs w:val="20"/>
        </w:rPr>
        <w:t xml:space="preserve">German authorities </w:t>
      </w:r>
      <w:r w:rsidRPr="00560578">
        <w:rPr>
          <w:rFonts w:ascii="Times New Roman" w:eastAsia="Times New Roman" w:hAnsi="Times New Roman" w:cs="Times New Roman"/>
          <w:sz w:val="20"/>
          <w:szCs w:val="20"/>
        </w:rPr>
        <w:t xml:space="preserve">with respect to the decision-making whether to permit the </w:t>
      </w:r>
      <w:proofErr w:type="spellStart"/>
      <w:r w:rsidRPr="00560578">
        <w:rPr>
          <w:rFonts w:ascii="Times New Roman" w:eastAsia="Times New Roman" w:hAnsi="Times New Roman" w:cs="Times New Roman"/>
          <w:sz w:val="20"/>
          <w:szCs w:val="20"/>
        </w:rPr>
        <w:t>Hinkley</w:t>
      </w:r>
      <w:proofErr w:type="spellEnd"/>
      <w:r w:rsidRPr="00560578">
        <w:rPr>
          <w:rFonts w:ascii="Times New Roman" w:eastAsia="Times New Roman" w:hAnsi="Times New Roman" w:cs="Times New Roman"/>
          <w:sz w:val="20"/>
          <w:szCs w:val="20"/>
        </w:rPr>
        <w:t xml:space="preserve"> Point C</w:t>
      </w:r>
      <w:r w:rsidRPr="00560578">
        <w:rPr>
          <w:rFonts w:ascii="Times New Roman" w:hAnsi="Times New Roman" w:cs="Times New Roman"/>
          <w:sz w:val="20"/>
          <w:szCs w:val="20"/>
        </w:rPr>
        <w:t xml:space="preserve"> NPP. </w:t>
      </w:r>
      <w:r w:rsidRPr="00560578">
        <w:rPr>
          <w:rFonts w:ascii="Times New Roman" w:eastAsia="Times New Roman" w:hAnsi="Times New Roman" w:cs="Times New Roman"/>
          <w:sz w:val="20"/>
          <w:szCs w:val="20"/>
        </w:rPr>
        <w:t xml:space="preserve">The </w:t>
      </w:r>
      <w:r w:rsidR="00707D90" w:rsidRPr="00560578">
        <w:rPr>
          <w:rFonts w:ascii="Times New Roman" w:eastAsia="Times New Roman" w:hAnsi="Times New Roman" w:cs="Times New Roman"/>
          <w:sz w:val="20"/>
          <w:szCs w:val="20"/>
        </w:rPr>
        <w:t xml:space="preserve">Committee </w:t>
      </w:r>
      <w:r w:rsidRPr="00560578">
        <w:rPr>
          <w:rFonts w:ascii="Times New Roman" w:eastAsia="Times New Roman" w:hAnsi="Times New Roman" w:cs="Times New Roman"/>
          <w:sz w:val="20"/>
          <w:szCs w:val="20"/>
        </w:rPr>
        <w:t xml:space="preserve">therefore </w:t>
      </w:r>
      <w:r w:rsidR="00894869" w:rsidRPr="00560578">
        <w:rPr>
          <w:rFonts w:ascii="Times New Roman" w:eastAsia="Times New Roman" w:hAnsi="Times New Roman" w:cs="Times New Roman"/>
          <w:sz w:val="20"/>
          <w:szCs w:val="20"/>
        </w:rPr>
        <w:t>finds that the Party concerned did not fail to comply with article 6 of the Convention.</w:t>
      </w:r>
    </w:p>
    <w:p w14:paraId="1145D4AB" w14:textId="77777777" w:rsidR="0029299C" w:rsidRPr="00560578" w:rsidRDefault="0029299C" w:rsidP="00C9588A">
      <w:pPr>
        <w:pStyle w:val="ListParagraph"/>
        <w:tabs>
          <w:tab w:val="num" w:pos="1710"/>
        </w:tabs>
        <w:suppressAutoHyphens/>
        <w:spacing w:after="120" w:line="240" w:lineRule="atLeast"/>
        <w:ind w:left="1134" w:right="1134"/>
        <w:jc w:val="both"/>
        <w:rPr>
          <w:rFonts w:ascii="Times New Roman" w:eastAsia="Times New Roman" w:hAnsi="Times New Roman" w:cs="Times New Roman"/>
          <w:b/>
          <w:i/>
          <w:sz w:val="20"/>
          <w:szCs w:val="20"/>
        </w:rPr>
      </w:pPr>
    </w:p>
    <w:p w14:paraId="3EFC6EE6" w14:textId="77777777" w:rsidR="0029299C" w:rsidRPr="00560578" w:rsidRDefault="0029299C" w:rsidP="00C9588A">
      <w:pPr>
        <w:pStyle w:val="ListParagraph"/>
        <w:tabs>
          <w:tab w:val="num" w:pos="1710"/>
        </w:tabs>
        <w:suppressAutoHyphens/>
        <w:spacing w:after="120" w:line="240" w:lineRule="atLeast"/>
        <w:ind w:left="1134" w:right="1134"/>
        <w:jc w:val="both"/>
        <w:rPr>
          <w:rFonts w:ascii="Times New Roman" w:eastAsia="Times New Roman" w:hAnsi="Times New Roman" w:cs="Times New Roman"/>
          <w:b/>
          <w:i/>
          <w:sz w:val="20"/>
          <w:szCs w:val="20"/>
        </w:rPr>
      </w:pPr>
      <w:r w:rsidRPr="00560578">
        <w:rPr>
          <w:rFonts w:ascii="Times New Roman" w:eastAsia="Times New Roman" w:hAnsi="Times New Roman" w:cs="Times New Roman"/>
          <w:b/>
          <w:i/>
          <w:sz w:val="20"/>
          <w:szCs w:val="20"/>
        </w:rPr>
        <w:t>Article 1</w:t>
      </w:r>
    </w:p>
    <w:p w14:paraId="75375208" w14:textId="77777777" w:rsidR="0029299C" w:rsidRPr="00560578" w:rsidRDefault="0029299C" w:rsidP="00C9588A">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With respect to the communicant’s allegation that the </w:t>
      </w:r>
      <w:r w:rsidR="00227765" w:rsidRPr="00560578">
        <w:rPr>
          <w:rFonts w:ascii="Times New Roman" w:eastAsia="Times New Roman" w:hAnsi="Times New Roman" w:cs="Times New Roman"/>
          <w:sz w:val="20"/>
          <w:szCs w:val="20"/>
        </w:rPr>
        <w:t xml:space="preserve">lack of inclusion of the public in Germany on the decision-making to permit </w:t>
      </w:r>
      <w:proofErr w:type="spellStart"/>
      <w:r w:rsidR="00227765" w:rsidRPr="00560578">
        <w:rPr>
          <w:rFonts w:ascii="Times New Roman" w:eastAsia="Times New Roman" w:hAnsi="Times New Roman" w:cs="Times New Roman"/>
          <w:sz w:val="20"/>
          <w:szCs w:val="20"/>
        </w:rPr>
        <w:t>Hinkley</w:t>
      </w:r>
      <w:proofErr w:type="spellEnd"/>
      <w:r w:rsidR="00227765" w:rsidRPr="00560578">
        <w:rPr>
          <w:rFonts w:ascii="Times New Roman" w:eastAsia="Times New Roman" w:hAnsi="Times New Roman" w:cs="Times New Roman"/>
          <w:sz w:val="20"/>
          <w:szCs w:val="20"/>
        </w:rPr>
        <w:t xml:space="preserve"> Point C</w:t>
      </w:r>
      <w:r w:rsidRPr="00560578">
        <w:rPr>
          <w:rFonts w:ascii="Times New Roman" w:eastAsia="Times New Roman" w:hAnsi="Times New Roman" w:cs="Times New Roman"/>
          <w:sz w:val="20"/>
          <w:szCs w:val="20"/>
        </w:rPr>
        <w:t xml:space="preserve"> </w:t>
      </w:r>
      <w:r w:rsidR="00227765" w:rsidRPr="00560578">
        <w:rPr>
          <w:rFonts w:ascii="Times New Roman" w:eastAsia="Times New Roman" w:hAnsi="Times New Roman" w:cs="Times New Roman"/>
          <w:sz w:val="20"/>
          <w:szCs w:val="20"/>
        </w:rPr>
        <w:t>amounts to a breach of article 1 by the Party concerned</w:t>
      </w:r>
      <w:r w:rsidRPr="00560578">
        <w:rPr>
          <w:rFonts w:ascii="Times New Roman" w:eastAsia="Times New Roman" w:hAnsi="Times New Roman" w:cs="Times New Roman"/>
          <w:sz w:val="20"/>
          <w:szCs w:val="20"/>
        </w:rPr>
        <w:t xml:space="preserve">, the Committee concurs with the Party </w:t>
      </w:r>
      <w:proofErr w:type="spellStart"/>
      <w:r w:rsidRPr="00560578">
        <w:rPr>
          <w:rFonts w:ascii="Times New Roman" w:eastAsia="Times New Roman" w:hAnsi="Times New Roman" w:cs="Times New Roman"/>
          <w:sz w:val="20"/>
          <w:szCs w:val="20"/>
        </w:rPr>
        <w:t>concerned’s</w:t>
      </w:r>
      <w:proofErr w:type="spellEnd"/>
      <w:r w:rsidRPr="00560578">
        <w:rPr>
          <w:rFonts w:ascii="Times New Roman" w:eastAsia="Times New Roman" w:hAnsi="Times New Roman" w:cs="Times New Roman"/>
          <w:sz w:val="20"/>
          <w:szCs w:val="20"/>
        </w:rPr>
        <w:t xml:space="preserve"> </w:t>
      </w:r>
      <w:r w:rsidR="00227765" w:rsidRPr="00560578">
        <w:rPr>
          <w:rFonts w:ascii="Times New Roman" w:eastAsia="Times New Roman" w:hAnsi="Times New Roman" w:cs="Times New Roman"/>
          <w:sz w:val="20"/>
          <w:szCs w:val="20"/>
        </w:rPr>
        <w:t xml:space="preserve">submission that </w:t>
      </w:r>
      <w:r w:rsidRPr="00560578">
        <w:rPr>
          <w:rFonts w:ascii="Times New Roman" w:eastAsia="Times New Roman" w:hAnsi="Times New Roman" w:cs="Times New Roman"/>
          <w:sz w:val="20"/>
          <w:szCs w:val="20"/>
        </w:rPr>
        <w:t xml:space="preserve">a right to public participation in </w:t>
      </w:r>
      <w:r w:rsidR="00227765" w:rsidRPr="00560578">
        <w:rPr>
          <w:rFonts w:ascii="Times New Roman" w:eastAsia="Times New Roman" w:hAnsi="Times New Roman" w:cs="Times New Roman"/>
          <w:sz w:val="20"/>
          <w:szCs w:val="20"/>
        </w:rPr>
        <w:t xml:space="preserve">the decision-making to permit the specific activity of </w:t>
      </w:r>
      <w:proofErr w:type="spellStart"/>
      <w:r w:rsidR="00227765" w:rsidRPr="00560578">
        <w:rPr>
          <w:rFonts w:ascii="Times New Roman" w:eastAsia="Times New Roman" w:hAnsi="Times New Roman" w:cs="Times New Roman"/>
          <w:sz w:val="20"/>
          <w:szCs w:val="20"/>
        </w:rPr>
        <w:t>Hinkley</w:t>
      </w:r>
      <w:proofErr w:type="spellEnd"/>
      <w:r w:rsidR="00227765" w:rsidRPr="00560578">
        <w:rPr>
          <w:rFonts w:ascii="Times New Roman" w:eastAsia="Times New Roman" w:hAnsi="Times New Roman" w:cs="Times New Roman"/>
          <w:sz w:val="20"/>
          <w:szCs w:val="20"/>
        </w:rPr>
        <w:t xml:space="preserve"> Point C</w:t>
      </w:r>
      <w:r w:rsidRPr="00560578">
        <w:rPr>
          <w:rFonts w:ascii="Times New Roman" w:eastAsia="Times New Roman" w:hAnsi="Times New Roman" w:cs="Times New Roman"/>
          <w:sz w:val="20"/>
          <w:szCs w:val="20"/>
        </w:rPr>
        <w:t xml:space="preserve"> cannot be derived in isolation from </w:t>
      </w:r>
      <w:r w:rsidR="00227765" w:rsidRPr="00560578">
        <w:rPr>
          <w:rFonts w:ascii="Times New Roman" w:eastAsia="Times New Roman" w:hAnsi="Times New Roman" w:cs="Times New Roman"/>
          <w:sz w:val="20"/>
          <w:szCs w:val="20"/>
        </w:rPr>
        <w:t>article 1 of the Convention. The Committee thus finds this allegation to be unsubstantiated.</w:t>
      </w:r>
    </w:p>
    <w:p w14:paraId="6652ECFF" w14:textId="77777777" w:rsidR="00227765" w:rsidRPr="00560578" w:rsidRDefault="00227765" w:rsidP="00C9588A">
      <w:pPr>
        <w:pStyle w:val="ListParagraph"/>
        <w:tabs>
          <w:tab w:val="num" w:pos="1710"/>
        </w:tabs>
        <w:suppressAutoHyphens/>
        <w:spacing w:after="120" w:line="240" w:lineRule="atLeast"/>
        <w:ind w:left="1134" w:right="1134"/>
        <w:jc w:val="both"/>
        <w:rPr>
          <w:rFonts w:ascii="Times New Roman" w:eastAsia="Times New Roman" w:hAnsi="Times New Roman" w:cs="Times New Roman"/>
          <w:b/>
          <w:sz w:val="20"/>
          <w:szCs w:val="20"/>
        </w:rPr>
      </w:pPr>
    </w:p>
    <w:p w14:paraId="165AE8A7" w14:textId="77777777" w:rsidR="0029299C" w:rsidRPr="00560578" w:rsidRDefault="0029299C" w:rsidP="00C9588A">
      <w:pPr>
        <w:pStyle w:val="ListParagraph"/>
        <w:tabs>
          <w:tab w:val="num" w:pos="1710"/>
        </w:tabs>
        <w:suppressAutoHyphens/>
        <w:spacing w:after="120" w:line="240" w:lineRule="atLeast"/>
        <w:ind w:left="1134" w:right="1134"/>
        <w:jc w:val="both"/>
        <w:rPr>
          <w:rFonts w:ascii="Times New Roman" w:eastAsia="Times New Roman" w:hAnsi="Times New Roman" w:cs="Times New Roman"/>
          <w:b/>
          <w:i/>
          <w:sz w:val="20"/>
          <w:szCs w:val="20"/>
        </w:rPr>
      </w:pPr>
      <w:r w:rsidRPr="00560578">
        <w:rPr>
          <w:rFonts w:ascii="Times New Roman" w:eastAsia="Times New Roman" w:hAnsi="Times New Roman" w:cs="Times New Roman"/>
          <w:b/>
          <w:i/>
          <w:sz w:val="20"/>
          <w:szCs w:val="20"/>
        </w:rPr>
        <w:t>Article 3, paragraph 1</w:t>
      </w:r>
    </w:p>
    <w:p w14:paraId="389C055E" w14:textId="77777777" w:rsidR="00227765" w:rsidRPr="00560578" w:rsidRDefault="00227765" w:rsidP="00C9588A">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Regarding the communicant’s allegation that the Party concerned is in breach of article 3, paragraph 1 of the Convention by failing to take the “necessary measures” and “proper enforcement measures” required by that provision, the Committee finds that the communicant has not provided sufficient evidence to substantiate her allegation.</w:t>
      </w:r>
    </w:p>
    <w:p w14:paraId="5486B18D" w14:textId="77777777" w:rsidR="00227765" w:rsidRPr="00560578" w:rsidRDefault="00227765" w:rsidP="00C9588A">
      <w:pPr>
        <w:pStyle w:val="ListParagraph"/>
        <w:tabs>
          <w:tab w:val="num" w:pos="1710"/>
        </w:tabs>
        <w:suppressAutoHyphens/>
        <w:spacing w:after="120" w:line="240" w:lineRule="atLeast"/>
        <w:ind w:left="1134" w:right="1134"/>
        <w:jc w:val="both"/>
        <w:rPr>
          <w:rFonts w:ascii="Times New Roman" w:eastAsia="Times New Roman" w:hAnsi="Times New Roman" w:cs="Times New Roman"/>
          <w:b/>
          <w:i/>
          <w:sz w:val="20"/>
          <w:szCs w:val="20"/>
        </w:rPr>
      </w:pPr>
    </w:p>
    <w:p w14:paraId="4E565639" w14:textId="701543E7" w:rsidR="005441D3" w:rsidRPr="00560578" w:rsidRDefault="007071F1" w:rsidP="00C9588A">
      <w:pPr>
        <w:pStyle w:val="ListParagraph"/>
        <w:tabs>
          <w:tab w:val="num" w:pos="1710"/>
        </w:tabs>
        <w:suppressAutoHyphens/>
        <w:spacing w:after="120" w:line="240" w:lineRule="atLeast"/>
        <w:ind w:left="1134" w:right="1134"/>
        <w:jc w:val="both"/>
        <w:rPr>
          <w:rFonts w:ascii="Times New Roman" w:eastAsia="Times New Roman" w:hAnsi="Times New Roman" w:cs="Times New Roman"/>
          <w:b/>
          <w:i/>
          <w:sz w:val="20"/>
          <w:szCs w:val="20"/>
        </w:rPr>
      </w:pPr>
      <w:r w:rsidRPr="00560578">
        <w:rPr>
          <w:rFonts w:ascii="Times New Roman" w:eastAsia="Times New Roman" w:hAnsi="Times New Roman" w:cs="Times New Roman"/>
          <w:b/>
          <w:i/>
          <w:sz w:val="20"/>
          <w:szCs w:val="20"/>
        </w:rPr>
        <w:t>Article 3, paragraph 2</w:t>
      </w:r>
    </w:p>
    <w:p w14:paraId="6136A70A" w14:textId="77777777" w:rsidR="005441D3" w:rsidRPr="00560578" w:rsidRDefault="00B83363" w:rsidP="00C169FF">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With respect to the communicant’s allegation under article 3, paragraph 2 of the Convention,</w:t>
      </w:r>
      <w:r w:rsidR="005441D3" w:rsidRPr="00560578">
        <w:rPr>
          <w:rFonts w:ascii="Times New Roman" w:eastAsia="Times New Roman" w:hAnsi="Times New Roman" w:cs="Times New Roman"/>
          <w:sz w:val="20"/>
          <w:szCs w:val="20"/>
        </w:rPr>
        <w:t xml:space="preserve"> the Committee must first </w:t>
      </w:r>
      <w:r w:rsidRPr="00560578">
        <w:rPr>
          <w:rFonts w:ascii="Times New Roman" w:eastAsia="Times New Roman" w:hAnsi="Times New Roman" w:cs="Times New Roman"/>
          <w:sz w:val="20"/>
          <w:szCs w:val="20"/>
        </w:rPr>
        <w:t>determine</w:t>
      </w:r>
      <w:r w:rsidR="005441D3" w:rsidRPr="00560578">
        <w:rPr>
          <w:rFonts w:ascii="Times New Roman" w:eastAsia="Times New Roman" w:hAnsi="Times New Roman" w:cs="Times New Roman"/>
          <w:sz w:val="20"/>
          <w:szCs w:val="20"/>
        </w:rPr>
        <w:t xml:space="preserve"> whether </w:t>
      </w:r>
      <w:r w:rsidRPr="00560578">
        <w:rPr>
          <w:rFonts w:ascii="Times New Roman" w:eastAsia="Times New Roman" w:hAnsi="Times New Roman" w:cs="Times New Roman"/>
          <w:sz w:val="20"/>
          <w:szCs w:val="20"/>
        </w:rPr>
        <w:t xml:space="preserve">the obligations contained in that provision, and </w:t>
      </w:r>
      <w:r w:rsidR="005441D3" w:rsidRPr="00560578">
        <w:rPr>
          <w:rFonts w:ascii="Times New Roman" w:eastAsia="Times New Roman" w:hAnsi="Times New Roman" w:cs="Times New Roman"/>
          <w:sz w:val="20"/>
          <w:szCs w:val="20"/>
        </w:rPr>
        <w:t xml:space="preserve">in particular the obligation to </w:t>
      </w:r>
      <w:r w:rsidR="000572B4" w:rsidRPr="00560578">
        <w:rPr>
          <w:rFonts w:ascii="Times New Roman" w:eastAsia="Times New Roman" w:hAnsi="Times New Roman" w:cs="Times New Roman"/>
          <w:sz w:val="20"/>
          <w:szCs w:val="20"/>
        </w:rPr>
        <w:t>“</w:t>
      </w:r>
      <w:r w:rsidR="005441D3" w:rsidRPr="00560578">
        <w:rPr>
          <w:rFonts w:ascii="Times New Roman" w:hAnsi="Times New Roman" w:cs="Times New Roman"/>
          <w:sz w:val="20"/>
          <w:szCs w:val="20"/>
          <w:lang w:val="en-US"/>
        </w:rPr>
        <w:t>assist and provide guidance to the public</w:t>
      </w:r>
      <w:r w:rsidR="000572B4" w:rsidRPr="00560578">
        <w:rPr>
          <w:rFonts w:ascii="Times New Roman" w:hAnsi="Times New Roman" w:cs="Times New Roman"/>
          <w:sz w:val="20"/>
          <w:szCs w:val="20"/>
          <w:lang w:val="en-US"/>
        </w:rPr>
        <w:t>...</w:t>
      </w:r>
      <w:r w:rsidR="005441D3" w:rsidRPr="00560578">
        <w:rPr>
          <w:rFonts w:ascii="Times New Roman" w:hAnsi="Times New Roman" w:cs="Times New Roman"/>
          <w:sz w:val="20"/>
          <w:szCs w:val="20"/>
          <w:lang w:val="en-US"/>
        </w:rPr>
        <w:t>in facilitating participation in decision-making</w:t>
      </w:r>
      <w:r w:rsidR="000572B4" w:rsidRPr="00560578">
        <w:rPr>
          <w:rFonts w:ascii="Times New Roman" w:hAnsi="Times New Roman" w:cs="Times New Roman"/>
          <w:sz w:val="20"/>
          <w:szCs w:val="20"/>
          <w:lang w:val="en-US"/>
        </w:rPr>
        <w:t xml:space="preserve">” apply also to decision-making procedures outside Germany </w:t>
      </w:r>
      <w:r w:rsidRPr="00560578">
        <w:rPr>
          <w:rFonts w:ascii="Times New Roman" w:hAnsi="Times New Roman" w:cs="Times New Roman"/>
          <w:sz w:val="20"/>
          <w:szCs w:val="20"/>
          <w:lang w:val="en-US"/>
        </w:rPr>
        <w:t xml:space="preserve">and for which </w:t>
      </w:r>
      <w:r w:rsidR="000572B4" w:rsidRPr="00560578">
        <w:rPr>
          <w:rFonts w:ascii="Times New Roman" w:hAnsi="Times New Roman" w:cs="Times New Roman"/>
          <w:sz w:val="20"/>
          <w:szCs w:val="20"/>
          <w:lang w:val="en-US"/>
        </w:rPr>
        <w:t xml:space="preserve">German authorities are not competent to </w:t>
      </w:r>
      <w:r w:rsidR="00B814C4" w:rsidRPr="00560578">
        <w:rPr>
          <w:rFonts w:ascii="Times New Roman" w:hAnsi="Times New Roman" w:cs="Times New Roman"/>
          <w:sz w:val="20"/>
          <w:szCs w:val="20"/>
          <w:lang w:val="en-US"/>
        </w:rPr>
        <w:t xml:space="preserve">take </w:t>
      </w:r>
      <w:r w:rsidR="000572B4" w:rsidRPr="00560578">
        <w:rPr>
          <w:rFonts w:ascii="Times New Roman" w:hAnsi="Times New Roman" w:cs="Times New Roman"/>
          <w:sz w:val="20"/>
          <w:szCs w:val="20"/>
          <w:lang w:val="en-US"/>
        </w:rPr>
        <w:t>decisions.</w:t>
      </w:r>
      <w:r w:rsidR="005441D3" w:rsidRPr="00560578">
        <w:rPr>
          <w:rFonts w:ascii="Times New Roman" w:eastAsia="Times New Roman" w:hAnsi="Times New Roman" w:cs="Times New Roman"/>
          <w:sz w:val="20"/>
          <w:szCs w:val="20"/>
        </w:rPr>
        <w:t xml:space="preserve"> </w:t>
      </w:r>
    </w:p>
    <w:p w14:paraId="08B31EC6" w14:textId="77777777" w:rsidR="007D250E" w:rsidRPr="00560578" w:rsidRDefault="00357F06" w:rsidP="00357F06">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There is</w:t>
      </w:r>
      <w:r w:rsidR="00B83363" w:rsidRPr="00560578">
        <w:rPr>
          <w:rFonts w:ascii="Times New Roman" w:eastAsia="Times New Roman" w:hAnsi="Times New Roman" w:cs="Times New Roman"/>
          <w:sz w:val="20"/>
          <w:szCs w:val="20"/>
        </w:rPr>
        <w:t xml:space="preserve"> nothing </w:t>
      </w:r>
      <w:r w:rsidR="0039489D" w:rsidRPr="00560578">
        <w:rPr>
          <w:rFonts w:ascii="Times New Roman" w:eastAsia="Times New Roman" w:hAnsi="Times New Roman" w:cs="Times New Roman"/>
          <w:sz w:val="20"/>
          <w:szCs w:val="20"/>
        </w:rPr>
        <w:t xml:space="preserve">in the wording of article 3, paragraph 2 </w:t>
      </w:r>
      <w:r w:rsidR="00AA3D03" w:rsidRPr="00560578">
        <w:rPr>
          <w:rFonts w:ascii="Times New Roman" w:eastAsia="Times New Roman" w:hAnsi="Times New Roman" w:cs="Times New Roman"/>
          <w:sz w:val="20"/>
          <w:szCs w:val="20"/>
        </w:rPr>
        <w:t xml:space="preserve">or elsewhere in the Convention </w:t>
      </w:r>
      <w:r w:rsidR="0039489D" w:rsidRPr="00560578">
        <w:rPr>
          <w:rFonts w:ascii="Times New Roman" w:eastAsia="Times New Roman" w:hAnsi="Times New Roman" w:cs="Times New Roman"/>
          <w:sz w:val="20"/>
          <w:szCs w:val="20"/>
        </w:rPr>
        <w:t xml:space="preserve">to imply </w:t>
      </w:r>
      <w:r w:rsidR="00B83363" w:rsidRPr="00560578">
        <w:rPr>
          <w:rFonts w:ascii="Times New Roman" w:eastAsia="Times New Roman" w:hAnsi="Times New Roman" w:cs="Times New Roman"/>
          <w:sz w:val="20"/>
          <w:szCs w:val="20"/>
        </w:rPr>
        <w:t>that</w:t>
      </w:r>
      <w:r w:rsidR="006B05C7" w:rsidRPr="00560578">
        <w:rPr>
          <w:rFonts w:ascii="Times New Roman" w:eastAsia="Times New Roman" w:hAnsi="Times New Roman" w:cs="Times New Roman"/>
          <w:sz w:val="20"/>
          <w:szCs w:val="20"/>
        </w:rPr>
        <w:t xml:space="preserve"> the obligations </w:t>
      </w:r>
      <w:r w:rsidR="0039489D" w:rsidRPr="00560578">
        <w:rPr>
          <w:rFonts w:ascii="Times New Roman" w:eastAsia="Times New Roman" w:hAnsi="Times New Roman" w:cs="Times New Roman"/>
          <w:sz w:val="20"/>
          <w:szCs w:val="20"/>
        </w:rPr>
        <w:t>contained in that provision</w:t>
      </w:r>
      <w:r w:rsidR="006B05C7" w:rsidRPr="00560578">
        <w:rPr>
          <w:rFonts w:ascii="Times New Roman" w:eastAsia="Times New Roman" w:hAnsi="Times New Roman" w:cs="Times New Roman"/>
          <w:sz w:val="20"/>
          <w:szCs w:val="20"/>
        </w:rPr>
        <w:t>, in particular the obligation to “</w:t>
      </w:r>
      <w:r w:rsidR="006B05C7" w:rsidRPr="00560578">
        <w:rPr>
          <w:rFonts w:ascii="Times New Roman" w:hAnsi="Times New Roman" w:cs="Times New Roman"/>
          <w:sz w:val="20"/>
          <w:szCs w:val="20"/>
          <w:lang w:val="en-US"/>
        </w:rPr>
        <w:t>assist and provide guidance to the public”</w:t>
      </w:r>
      <w:r w:rsidR="006B05C7" w:rsidRPr="00560578">
        <w:rPr>
          <w:rFonts w:ascii="Times New Roman" w:eastAsia="Times New Roman" w:hAnsi="Times New Roman" w:cs="Times New Roman"/>
          <w:sz w:val="20"/>
          <w:szCs w:val="20"/>
        </w:rPr>
        <w:t xml:space="preserve"> </w:t>
      </w:r>
      <w:r w:rsidR="00AA3D03" w:rsidRPr="00560578">
        <w:rPr>
          <w:rFonts w:ascii="Times New Roman" w:eastAsia="Times New Roman" w:hAnsi="Times New Roman" w:cs="Times New Roman"/>
          <w:sz w:val="20"/>
          <w:szCs w:val="20"/>
        </w:rPr>
        <w:t xml:space="preserve">apply only </w:t>
      </w:r>
      <w:r w:rsidRPr="00560578">
        <w:rPr>
          <w:rFonts w:ascii="Times New Roman" w:eastAsia="Times New Roman" w:hAnsi="Times New Roman" w:cs="Times New Roman"/>
          <w:sz w:val="20"/>
          <w:szCs w:val="20"/>
        </w:rPr>
        <w:t xml:space="preserve">with respect to </w:t>
      </w:r>
      <w:r w:rsidR="00AA3D03" w:rsidRPr="00560578">
        <w:rPr>
          <w:rFonts w:ascii="Times New Roman" w:eastAsia="Times New Roman" w:hAnsi="Times New Roman" w:cs="Times New Roman"/>
          <w:sz w:val="20"/>
          <w:szCs w:val="20"/>
        </w:rPr>
        <w:t>the authorities competent to take a decision under article 6, 7 or 8 of the Convention</w:t>
      </w:r>
      <w:r w:rsidR="00A46A10" w:rsidRPr="00560578">
        <w:rPr>
          <w:rFonts w:ascii="Times New Roman" w:eastAsia="Times New Roman" w:hAnsi="Times New Roman" w:cs="Times New Roman"/>
          <w:sz w:val="20"/>
          <w:szCs w:val="20"/>
        </w:rPr>
        <w:t xml:space="preserve">. </w:t>
      </w:r>
      <w:r w:rsidR="00AA3D03" w:rsidRPr="00560578">
        <w:rPr>
          <w:rFonts w:ascii="Times New Roman" w:eastAsia="Times New Roman" w:hAnsi="Times New Roman" w:cs="Times New Roman"/>
          <w:sz w:val="20"/>
          <w:szCs w:val="20"/>
        </w:rPr>
        <w:t>In fact</w:t>
      </w:r>
      <w:r w:rsidR="00A46A10" w:rsidRPr="00560578">
        <w:rPr>
          <w:rFonts w:ascii="Times New Roman" w:eastAsia="Times New Roman" w:hAnsi="Times New Roman" w:cs="Times New Roman"/>
          <w:sz w:val="20"/>
          <w:szCs w:val="20"/>
        </w:rPr>
        <w:t>, in the light of the eight</w:t>
      </w:r>
      <w:r w:rsidR="0065605F" w:rsidRPr="00560578">
        <w:rPr>
          <w:rFonts w:ascii="Times New Roman" w:eastAsia="Times New Roman" w:hAnsi="Times New Roman" w:cs="Times New Roman"/>
          <w:sz w:val="20"/>
          <w:szCs w:val="20"/>
        </w:rPr>
        <w:t>h</w:t>
      </w:r>
      <w:r w:rsidR="00A46A10" w:rsidRPr="00560578">
        <w:rPr>
          <w:rFonts w:ascii="Times New Roman" w:eastAsia="Times New Roman" w:hAnsi="Times New Roman" w:cs="Times New Roman"/>
          <w:sz w:val="20"/>
          <w:szCs w:val="20"/>
        </w:rPr>
        <w:t xml:space="preserve"> </w:t>
      </w:r>
      <w:r w:rsidR="00AA3D03" w:rsidRPr="00560578">
        <w:rPr>
          <w:rFonts w:ascii="Times New Roman" w:eastAsia="Times New Roman" w:hAnsi="Times New Roman" w:cs="Times New Roman"/>
          <w:sz w:val="20"/>
          <w:szCs w:val="20"/>
        </w:rPr>
        <w:t>r</w:t>
      </w:r>
      <w:r w:rsidR="00A46A10" w:rsidRPr="00560578">
        <w:rPr>
          <w:rFonts w:ascii="Times New Roman" w:eastAsia="Times New Roman" w:hAnsi="Times New Roman" w:cs="Times New Roman"/>
          <w:sz w:val="20"/>
          <w:szCs w:val="20"/>
        </w:rPr>
        <w:t xml:space="preserve">ecital in the </w:t>
      </w:r>
      <w:r w:rsidR="00770B3B" w:rsidRPr="00560578">
        <w:rPr>
          <w:rFonts w:ascii="Times New Roman" w:eastAsia="Times New Roman" w:hAnsi="Times New Roman" w:cs="Times New Roman"/>
          <w:sz w:val="20"/>
          <w:szCs w:val="20"/>
        </w:rPr>
        <w:t>p</w:t>
      </w:r>
      <w:r w:rsidR="00A46A10" w:rsidRPr="00560578">
        <w:rPr>
          <w:rFonts w:ascii="Times New Roman" w:eastAsia="Times New Roman" w:hAnsi="Times New Roman" w:cs="Times New Roman"/>
          <w:sz w:val="20"/>
          <w:szCs w:val="20"/>
        </w:rPr>
        <w:t xml:space="preserve">reamble to the Convention which was invoked by the Party concerned  in its </w:t>
      </w:r>
      <w:r w:rsidR="00770B3B" w:rsidRPr="00560578">
        <w:rPr>
          <w:rFonts w:ascii="Times New Roman" w:eastAsia="Times New Roman" w:hAnsi="Times New Roman" w:cs="Times New Roman"/>
          <w:sz w:val="20"/>
          <w:szCs w:val="20"/>
        </w:rPr>
        <w:t>c</w:t>
      </w:r>
      <w:r w:rsidR="00A46A10" w:rsidRPr="00560578">
        <w:rPr>
          <w:rFonts w:ascii="Times New Roman" w:eastAsia="Times New Roman" w:hAnsi="Times New Roman" w:cs="Times New Roman"/>
          <w:sz w:val="20"/>
          <w:szCs w:val="20"/>
        </w:rPr>
        <w:t>omments of 15 April 2014, this obligation must be seen in the context of rights of the public</w:t>
      </w:r>
      <w:r w:rsidR="00154CEF" w:rsidRPr="00560578">
        <w:rPr>
          <w:rFonts w:ascii="Times New Roman" w:eastAsia="Times New Roman" w:hAnsi="Times New Roman" w:cs="Times New Roman"/>
          <w:sz w:val="20"/>
          <w:szCs w:val="20"/>
        </w:rPr>
        <w:t xml:space="preserve"> under the Convention generally</w:t>
      </w:r>
      <w:r w:rsidR="0031373B" w:rsidRPr="00560578">
        <w:rPr>
          <w:rFonts w:ascii="Times New Roman" w:eastAsia="Times New Roman" w:hAnsi="Times New Roman" w:cs="Times New Roman"/>
          <w:sz w:val="20"/>
          <w:szCs w:val="20"/>
        </w:rPr>
        <w:t>.</w:t>
      </w:r>
    </w:p>
    <w:p w14:paraId="5AB05A3C" w14:textId="77777777" w:rsidR="00552CDF" w:rsidRPr="00560578" w:rsidRDefault="00552CDF" w:rsidP="00C169FF">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The right to participat</w:t>
      </w:r>
      <w:r w:rsidRPr="00560578">
        <w:rPr>
          <w:rFonts w:ascii="Times New Roman" w:hAnsi="Times New Roman" w:cs="Times New Roman"/>
          <w:sz w:val="20"/>
          <w:szCs w:val="20"/>
        </w:rPr>
        <w:t xml:space="preserve">e </w:t>
      </w:r>
      <w:r w:rsidRPr="00560578">
        <w:rPr>
          <w:rFonts w:ascii="Times New Roman" w:hAnsi="Times New Roman" w:cs="Times New Roman"/>
          <w:sz w:val="20"/>
          <w:szCs w:val="20"/>
          <w:lang w:val="en-US"/>
        </w:rPr>
        <w:t xml:space="preserve">in decision-making </w:t>
      </w:r>
      <w:r w:rsidRPr="00560578">
        <w:rPr>
          <w:rFonts w:ascii="Times New Roman" w:hAnsi="Times New Roman" w:cs="Times New Roman"/>
          <w:sz w:val="20"/>
          <w:szCs w:val="20"/>
        </w:rPr>
        <w:t>is granted</w:t>
      </w:r>
      <w:r w:rsidRPr="00560578">
        <w:rPr>
          <w:rFonts w:ascii="Times New Roman" w:hAnsi="Times New Roman" w:cs="Times New Roman"/>
          <w:sz w:val="20"/>
          <w:szCs w:val="20"/>
          <w:lang w:val="en-US"/>
        </w:rPr>
        <w:t xml:space="preserve"> without discrimination as to citizenship, nationality or domicile and is related to environmental impacts of activities subject to the Convention. Such impact,</w:t>
      </w:r>
      <w:r w:rsidR="0065605F" w:rsidRPr="00560578">
        <w:rPr>
          <w:rFonts w:ascii="Times New Roman" w:hAnsi="Times New Roman" w:cs="Times New Roman"/>
          <w:sz w:val="20"/>
          <w:szCs w:val="20"/>
          <w:lang w:val="en-US"/>
        </w:rPr>
        <w:t xml:space="preserve"> </w:t>
      </w:r>
      <w:r w:rsidRPr="00560578">
        <w:rPr>
          <w:rFonts w:ascii="Times New Roman" w:hAnsi="Times New Roman" w:cs="Times New Roman"/>
          <w:sz w:val="20"/>
          <w:szCs w:val="20"/>
        </w:rPr>
        <w:t xml:space="preserve">as </w:t>
      </w:r>
      <w:r w:rsidR="00726AF4" w:rsidRPr="00560578">
        <w:rPr>
          <w:rFonts w:ascii="Times New Roman" w:hAnsi="Times New Roman" w:cs="Times New Roman"/>
          <w:sz w:val="20"/>
          <w:szCs w:val="20"/>
        </w:rPr>
        <w:t xml:space="preserve">recognized </w:t>
      </w:r>
      <w:r w:rsidRPr="00560578">
        <w:rPr>
          <w:rFonts w:ascii="Times New Roman" w:hAnsi="Times New Roman" w:cs="Times New Roman"/>
          <w:sz w:val="20"/>
          <w:szCs w:val="20"/>
        </w:rPr>
        <w:t>in the 2014 Maastricht Recommendations on Promoting Effective Public Participation in Decision-making in Environmental Matters</w:t>
      </w:r>
      <w:r w:rsidRPr="00560578">
        <w:rPr>
          <w:rStyle w:val="FootnoteReference"/>
          <w:sz w:val="20"/>
          <w:szCs w:val="20"/>
        </w:rPr>
        <w:footnoteReference w:id="31"/>
      </w:r>
      <w:r w:rsidRPr="00560578">
        <w:rPr>
          <w:rFonts w:ascii="Times New Roman" w:hAnsi="Times New Roman" w:cs="Times New Roman"/>
          <w:sz w:val="20"/>
          <w:szCs w:val="20"/>
        </w:rPr>
        <w:t xml:space="preserve">, </w:t>
      </w:r>
      <w:r w:rsidRPr="00560578">
        <w:rPr>
          <w:rFonts w:ascii="Times New Roman" w:hAnsi="Times New Roman" w:cs="Times New Roman"/>
          <w:sz w:val="20"/>
          <w:szCs w:val="20"/>
          <w:lang w:val="en-US"/>
        </w:rPr>
        <w:t>may occur across</w:t>
      </w:r>
      <w:r w:rsidRPr="00560578">
        <w:rPr>
          <w:rFonts w:ascii="Times New Roman" w:eastAsia="Times New Roman" w:hAnsi="Times New Roman" w:cs="Times New Roman"/>
          <w:sz w:val="20"/>
          <w:szCs w:val="20"/>
        </w:rPr>
        <w:t xml:space="preserve"> </w:t>
      </w:r>
      <w:r w:rsidRPr="00560578">
        <w:rPr>
          <w:rFonts w:ascii="Times New Roman" w:hAnsi="Times New Roman" w:cs="Times New Roman"/>
          <w:sz w:val="20"/>
          <w:szCs w:val="20"/>
          <w:lang w:val="en-US"/>
        </w:rPr>
        <w:t xml:space="preserve">national borders. </w:t>
      </w:r>
    </w:p>
    <w:p w14:paraId="3A829480" w14:textId="77777777" w:rsidR="00552CDF" w:rsidRPr="00560578" w:rsidRDefault="00552CDF" w:rsidP="00552CDF">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Thus, the obligation </w:t>
      </w:r>
      <w:r w:rsidR="0065605F" w:rsidRPr="00560578">
        <w:rPr>
          <w:rFonts w:ascii="Times New Roman" w:eastAsia="Times New Roman" w:hAnsi="Times New Roman" w:cs="Times New Roman"/>
          <w:sz w:val="20"/>
          <w:szCs w:val="20"/>
        </w:rPr>
        <w:t xml:space="preserve">on the Party concerned </w:t>
      </w:r>
      <w:r w:rsidR="00EB7A13" w:rsidRPr="00560578">
        <w:rPr>
          <w:rFonts w:ascii="Times New Roman" w:eastAsia="Times New Roman" w:hAnsi="Times New Roman" w:cs="Times New Roman"/>
          <w:sz w:val="20"/>
          <w:szCs w:val="20"/>
        </w:rPr>
        <w:t xml:space="preserve">to </w:t>
      </w:r>
      <w:r w:rsidRPr="00560578">
        <w:rPr>
          <w:rFonts w:ascii="Times New Roman" w:eastAsia="Times New Roman" w:hAnsi="Times New Roman" w:cs="Times New Roman"/>
          <w:sz w:val="20"/>
          <w:szCs w:val="20"/>
        </w:rPr>
        <w:t>“</w:t>
      </w:r>
      <w:r w:rsidRPr="00560578">
        <w:rPr>
          <w:rFonts w:ascii="Times New Roman" w:hAnsi="Times New Roman" w:cs="Times New Roman"/>
          <w:sz w:val="20"/>
          <w:szCs w:val="20"/>
          <w:lang w:val="en-US"/>
        </w:rPr>
        <w:t>assist and pro</w:t>
      </w:r>
      <w:r w:rsidR="0065605F" w:rsidRPr="00560578">
        <w:rPr>
          <w:rFonts w:ascii="Times New Roman" w:hAnsi="Times New Roman" w:cs="Times New Roman"/>
          <w:sz w:val="20"/>
          <w:szCs w:val="20"/>
          <w:lang w:val="en-US"/>
        </w:rPr>
        <w:t>vide guidance to the public...</w:t>
      </w:r>
      <w:r w:rsidRPr="00560578">
        <w:rPr>
          <w:rFonts w:ascii="Times New Roman" w:hAnsi="Times New Roman" w:cs="Times New Roman"/>
          <w:sz w:val="20"/>
          <w:szCs w:val="20"/>
          <w:lang w:val="en-US"/>
        </w:rPr>
        <w:t xml:space="preserve">in facilitating participation in decision-making” applies </w:t>
      </w:r>
      <w:r w:rsidR="00726AF4" w:rsidRPr="00560578">
        <w:rPr>
          <w:rFonts w:ascii="Times New Roman" w:hAnsi="Times New Roman" w:cs="Times New Roman"/>
          <w:sz w:val="20"/>
          <w:szCs w:val="20"/>
          <w:lang w:val="en-US"/>
        </w:rPr>
        <w:t xml:space="preserve">also </w:t>
      </w:r>
      <w:r w:rsidR="00D901AF" w:rsidRPr="00560578">
        <w:rPr>
          <w:rFonts w:ascii="Times New Roman" w:hAnsi="Times New Roman" w:cs="Times New Roman"/>
          <w:sz w:val="20"/>
          <w:szCs w:val="20"/>
          <w:lang w:val="en-US"/>
        </w:rPr>
        <w:t xml:space="preserve">to </w:t>
      </w:r>
      <w:r w:rsidRPr="00560578">
        <w:rPr>
          <w:rFonts w:ascii="Times New Roman" w:hAnsi="Times New Roman" w:cs="Times New Roman"/>
          <w:sz w:val="20"/>
          <w:szCs w:val="20"/>
          <w:lang w:val="en-US"/>
        </w:rPr>
        <w:t>decision-making procedures outside Germany where Ge</w:t>
      </w:r>
      <w:r w:rsidR="0065605F" w:rsidRPr="00560578">
        <w:rPr>
          <w:rFonts w:ascii="Times New Roman" w:hAnsi="Times New Roman" w:cs="Times New Roman"/>
          <w:sz w:val="20"/>
          <w:szCs w:val="20"/>
          <w:lang w:val="en-US"/>
        </w:rPr>
        <w:t xml:space="preserve">rman </w:t>
      </w:r>
      <w:r w:rsidRPr="00560578">
        <w:rPr>
          <w:rFonts w:ascii="Times New Roman" w:hAnsi="Times New Roman" w:cs="Times New Roman"/>
          <w:sz w:val="20"/>
          <w:szCs w:val="20"/>
          <w:lang w:val="en-US"/>
        </w:rPr>
        <w:t>authorities are not competent to take decisions.</w:t>
      </w:r>
      <w:r w:rsidRPr="00560578">
        <w:rPr>
          <w:rFonts w:ascii="Times New Roman" w:eastAsia="Times New Roman" w:hAnsi="Times New Roman" w:cs="Times New Roman"/>
          <w:sz w:val="20"/>
          <w:szCs w:val="20"/>
        </w:rPr>
        <w:t xml:space="preserve"> </w:t>
      </w:r>
    </w:p>
    <w:p w14:paraId="3E87D123" w14:textId="77777777" w:rsidR="007968DA" w:rsidRPr="00560578" w:rsidRDefault="007968DA" w:rsidP="00552CDF">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In this context, the Committee stresses that article 3, paragraph 6 of the Convention relates to the rights of the public and not the rights of the Parties under any international </w:t>
      </w:r>
      <w:proofErr w:type="gramStart"/>
      <w:r w:rsidRPr="00560578">
        <w:rPr>
          <w:rFonts w:ascii="Times New Roman" w:eastAsia="Times New Roman" w:hAnsi="Times New Roman" w:cs="Times New Roman"/>
          <w:sz w:val="20"/>
          <w:szCs w:val="20"/>
        </w:rPr>
        <w:t>agreements,</w:t>
      </w:r>
      <w:proofErr w:type="gramEnd"/>
      <w:r w:rsidRPr="00560578">
        <w:rPr>
          <w:rFonts w:ascii="Times New Roman" w:eastAsia="Times New Roman" w:hAnsi="Times New Roman" w:cs="Times New Roman"/>
          <w:sz w:val="20"/>
          <w:szCs w:val="20"/>
        </w:rPr>
        <w:t xml:space="preserve"> therefore it cannot be interpreted</w:t>
      </w:r>
      <w:r w:rsidR="00093520" w:rsidRPr="00560578">
        <w:rPr>
          <w:rFonts w:ascii="Times New Roman" w:eastAsia="Times New Roman" w:hAnsi="Times New Roman" w:cs="Times New Roman"/>
          <w:sz w:val="20"/>
          <w:szCs w:val="20"/>
        </w:rPr>
        <w:t xml:space="preserve"> as submitted by the Party concerned</w:t>
      </w:r>
      <w:r w:rsidRPr="00560578">
        <w:rPr>
          <w:rFonts w:ascii="Times New Roman" w:eastAsia="Times New Roman" w:hAnsi="Times New Roman" w:cs="Times New Roman"/>
          <w:sz w:val="20"/>
          <w:szCs w:val="20"/>
        </w:rPr>
        <w:t>,</w:t>
      </w:r>
      <w:r w:rsidR="00093520" w:rsidRPr="00560578">
        <w:rPr>
          <w:rStyle w:val="FootnoteReference"/>
          <w:rFonts w:eastAsia="Times New Roman"/>
          <w:szCs w:val="20"/>
        </w:rPr>
        <w:footnoteReference w:id="32"/>
      </w:r>
      <w:r w:rsidRPr="00560578">
        <w:rPr>
          <w:rFonts w:ascii="Times New Roman" w:eastAsia="Times New Roman" w:hAnsi="Times New Roman" w:cs="Times New Roman"/>
          <w:sz w:val="20"/>
          <w:szCs w:val="20"/>
        </w:rPr>
        <w:t xml:space="preserve"> as giving precedence to the Espoo Convention over the Aarhus Convention</w:t>
      </w:r>
      <w:r w:rsidR="00093520" w:rsidRPr="00560578">
        <w:rPr>
          <w:rFonts w:ascii="Times New Roman" w:eastAsia="Times New Roman" w:hAnsi="Times New Roman" w:cs="Times New Roman"/>
          <w:sz w:val="20"/>
          <w:szCs w:val="20"/>
        </w:rPr>
        <w:t xml:space="preserve"> in this respect</w:t>
      </w:r>
      <w:r w:rsidRPr="00560578">
        <w:rPr>
          <w:rFonts w:ascii="Times New Roman" w:eastAsia="Times New Roman" w:hAnsi="Times New Roman" w:cs="Times New Roman"/>
          <w:sz w:val="20"/>
          <w:szCs w:val="20"/>
        </w:rPr>
        <w:t>.</w:t>
      </w:r>
    </w:p>
    <w:p w14:paraId="7B6EEEFF" w14:textId="312C1A3F" w:rsidR="001D38A1" w:rsidRPr="00560578" w:rsidRDefault="0065605F" w:rsidP="00C169FF">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Article 3, paragraph 2 of the Convention requires </w:t>
      </w:r>
      <w:r w:rsidR="001D38A1" w:rsidRPr="00560578">
        <w:rPr>
          <w:rFonts w:ascii="Times New Roman" w:eastAsia="Times New Roman" w:hAnsi="Times New Roman" w:cs="Times New Roman"/>
          <w:sz w:val="20"/>
          <w:szCs w:val="20"/>
        </w:rPr>
        <w:t>that “</w:t>
      </w:r>
      <w:r w:rsidR="001D38A1" w:rsidRPr="00560578">
        <w:rPr>
          <w:rFonts w:ascii="Times New Roman" w:hAnsi="Times New Roman" w:cs="Times New Roman"/>
          <w:sz w:val="20"/>
          <w:szCs w:val="20"/>
          <w:lang w:val="en-US"/>
        </w:rPr>
        <w:t xml:space="preserve">Each Party shall </w:t>
      </w:r>
      <w:proofErr w:type="spellStart"/>
      <w:r w:rsidR="001D38A1" w:rsidRPr="00560578">
        <w:rPr>
          <w:rFonts w:ascii="Times New Roman" w:hAnsi="Times New Roman" w:cs="Times New Roman"/>
          <w:i/>
          <w:sz w:val="20"/>
          <w:szCs w:val="20"/>
          <w:lang w:val="en-US"/>
        </w:rPr>
        <w:t>endeavour</w:t>
      </w:r>
      <w:proofErr w:type="spellEnd"/>
      <w:r w:rsidR="001D38A1" w:rsidRPr="00560578">
        <w:rPr>
          <w:rFonts w:ascii="Times New Roman" w:hAnsi="Times New Roman" w:cs="Times New Roman"/>
          <w:sz w:val="20"/>
          <w:szCs w:val="20"/>
          <w:lang w:val="en-US"/>
        </w:rPr>
        <w:t xml:space="preserve"> to ensure that officials and authorities</w:t>
      </w:r>
      <w:r w:rsidR="001D38A1" w:rsidRPr="00560578">
        <w:rPr>
          <w:rFonts w:ascii="Times New Roman" w:eastAsia="Times New Roman" w:hAnsi="Times New Roman" w:cs="Times New Roman"/>
          <w:sz w:val="20"/>
          <w:szCs w:val="20"/>
        </w:rPr>
        <w:t xml:space="preserve"> </w:t>
      </w:r>
      <w:r w:rsidR="001D38A1" w:rsidRPr="00560578">
        <w:rPr>
          <w:rFonts w:ascii="Times New Roman" w:hAnsi="Times New Roman" w:cs="Times New Roman"/>
          <w:sz w:val="20"/>
          <w:szCs w:val="20"/>
          <w:lang w:val="en-US"/>
        </w:rPr>
        <w:t>assist and p</w:t>
      </w:r>
      <w:r w:rsidRPr="00560578">
        <w:rPr>
          <w:rFonts w:ascii="Times New Roman" w:hAnsi="Times New Roman" w:cs="Times New Roman"/>
          <w:sz w:val="20"/>
          <w:szCs w:val="20"/>
          <w:lang w:val="en-US"/>
        </w:rPr>
        <w:t>rovide guidance to the public...</w:t>
      </w:r>
      <w:r w:rsidR="001D38A1" w:rsidRPr="00560578">
        <w:rPr>
          <w:rFonts w:ascii="Times New Roman" w:hAnsi="Times New Roman" w:cs="Times New Roman"/>
          <w:sz w:val="20"/>
          <w:szCs w:val="20"/>
          <w:lang w:val="en-US"/>
        </w:rPr>
        <w:t>in</w:t>
      </w:r>
      <w:r w:rsidR="001D38A1" w:rsidRPr="00560578">
        <w:rPr>
          <w:rFonts w:ascii="Times New Roman" w:eastAsia="Times New Roman" w:hAnsi="Times New Roman" w:cs="Times New Roman"/>
          <w:sz w:val="20"/>
          <w:szCs w:val="20"/>
        </w:rPr>
        <w:t xml:space="preserve"> </w:t>
      </w:r>
      <w:r w:rsidR="001D38A1" w:rsidRPr="00560578">
        <w:rPr>
          <w:rFonts w:ascii="Times New Roman" w:hAnsi="Times New Roman" w:cs="Times New Roman"/>
          <w:sz w:val="20"/>
          <w:szCs w:val="20"/>
          <w:lang w:val="en-US"/>
        </w:rPr>
        <w:t>facilitating participation in decision-making”</w:t>
      </w:r>
      <w:r w:rsidR="00894869" w:rsidRPr="00560578">
        <w:rPr>
          <w:rFonts w:ascii="Times New Roman" w:hAnsi="Times New Roman" w:cs="Times New Roman"/>
          <w:sz w:val="20"/>
          <w:szCs w:val="20"/>
          <w:lang w:val="en-US"/>
        </w:rPr>
        <w:t xml:space="preserve"> (italics added)</w:t>
      </w:r>
      <w:r w:rsidR="001D38A1" w:rsidRPr="00560578">
        <w:rPr>
          <w:rFonts w:ascii="Times New Roman" w:hAnsi="Times New Roman" w:cs="Times New Roman"/>
          <w:sz w:val="20"/>
          <w:szCs w:val="20"/>
          <w:lang w:val="en-US"/>
        </w:rPr>
        <w:t xml:space="preserve">. </w:t>
      </w:r>
      <w:r w:rsidR="009E133E" w:rsidRPr="00560578">
        <w:rPr>
          <w:rFonts w:ascii="Times New Roman" w:hAnsi="Times New Roman" w:cs="Times New Roman"/>
          <w:sz w:val="20"/>
          <w:szCs w:val="20"/>
          <w:lang w:val="en-US"/>
        </w:rPr>
        <w:t xml:space="preserve">While this is an </w:t>
      </w:r>
      <w:r w:rsidR="001D38A1" w:rsidRPr="00560578">
        <w:rPr>
          <w:rFonts w:ascii="Times New Roman" w:hAnsi="Times New Roman" w:cs="Times New Roman"/>
          <w:sz w:val="20"/>
          <w:szCs w:val="20"/>
          <w:lang w:val="en-US"/>
        </w:rPr>
        <w:t>obligation of effort</w:t>
      </w:r>
      <w:r w:rsidR="009E133E" w:rsidRPr="00560578">
        <w:rPr>
          <w:rFonts w:ascii="Times New Roman" w:hAnsi="Times New Roman" w:cs="Times New Roman"/>
          <w:sz w:val="20"/>
          <w:szCs w:val="20"/>
          <w:lang w:val="en-US"/>
        </w:rPr>
        <w:t>,</w:t>
      </w:r>
      <w:r w:rsidR="001D38A1" w:rsidRPr="00560578">
        <w:rPr>
          <w:rFonts w:ascii="Times New Roman" w:hAnsi="Times New Roman" w:cs="Times New Roman"/>
          <w:sz w:val="20"/>
          <w:szCs w:val="20"/>
          <w:lang w:val="en-US"/>
        </w:rPr>
        <w:t xml:space="preserve"> </w:t>
      </w:r>
      <w:r w:rsidR="009E133E" w:rsidRPr="00560578">
        <w:rPr>
          <w:rFonts w:ascii="Times New Roman" w:hAnsi="Times New Roman" w:cs="Times New Roman"/>
          <w:sz w:val="20"/>
          <w:szCs w:val="20"/>
          <w:lang w:val="en-US"/>
        </w:rPr>
        <w:t xml:space="preserve">rather than of </w:t>
      </w:r>
      <w:r w:rsidR="001D38A1" w:rsidRPr="00560578">
        <w:rPr>
          <w:rFonts w:ascii="Times New Roman" w:hAnsi="Times New Roman" w:cs="Times New Roman"/>
          <w:sz w:val="20"/>
          <w:szCs w:val="20"/>
          <w:lang w:val="en-US"/>
        </w:rPr>
        <w:t xml:space="preserve">the result, nevertheless the efforts </w:t>
      </w:r>
      <w:r w:rsidR="009E133E" w:rsidRPr="00560578">
        <w:rPr>
          <w:rFonts w:ascii="Times New Roman" w:hAnsi="Times New Roman" w:cs="Times New Roman"/>
          <w:sz w:val="20"/>
          <w:szCs w:val="20"/>
          <w:lang w:val="en-US"/>
        </w:rPr>
        <w:t xml:space="preserve">taken may </w:t>
      </w:r>
      <w:r w:rsidR="000858F3" w:rsidRPr="00560578">
        <w:rPr>
          <w:rFonts w:ascii="Times New Roman" w:hAnsi="Times New Roman" w:cs="Times New Roman"/>
          <w:sz w:val="20"/>
          <w:szCs w:val="20"/>
          <w:lang w:val="en-US"/>
        </w:rPr>
        <w:t>be subject to due diligence scrutiny.</w:t>
      </w:r>
    </w:p>
    <w:p w14:paraId="69D3B12F" w14:textId="63A92324" w:rsidR="00FF7CA5" w:rsidRPr="00560578" w:rsidRDefault="00602E98" w:rsidP="00C169FF">
      <w:pPr>
        <w:pStyle w:val="SingleTxtG"/>
        <w:numPr>
          <w:ilvl w:val="0"/>
          <w:numId w:val="2"/>
        </w:numPr>
        <w:tabs>
          <w:tab w:val="num" w:pos="1710"/>
        </w:tabs>
        <w:spacing w:before="240"/>
        <w:ind w:left="1134" w:firstLine="0"/>
      </w:pPr>
      <w:r w:rsidRPr="00560578">
        <w:rPr>
          <w:lang w:val="en-US"/>
        </w:rPr>
        <w:t>In the case of decision-making on ultra-hazardous activities</w:t>
      </w:r>
      <w:r w:rsidRPr="00560578">
        <w:rPr>
          <w:rStyle w:val="FootnoteReference"/>
          <w:sz w:val="20"/>
          <w:lang w:val="en-US"/>
        </w:rPr>
        <w:footnoteReference w:id="33"/>
      </w:r>
      <w:r w:rsidRPr="00560578">
        <w:rPr>
          <w:lang w:val="en-US"/>
        </w:rPr>
        <w:t xml:space="preserve"> like a NPP, being activities invariably of wide public concern, the Committee is convinced that the obligation to take efforts to facilitate the public’s participation in decision-making must be given particular weight. </w:t>
      </w:r>
      <w:r w:rsidR="00682779" w:rsidRPr="00560578">
        <w:rPr>
          <w:lang w:val="en-US"/>
        </w:rPr>
        <w:t xml:space="preserve">It is moreover </w:t>
      </w:r>
      <w:r w:rsidR="00682779" w:rsidRPr="00560578">
        <w:t xml:space="preserve">clear to the Committee that with respect to NPPs, the possible adverse effects in case of an accident can reach </w:t>
      </w:r>
      <w:r w:rsidR="004A22D7" w:rsidRPr="00560578">
        <w:t>far</w:t>
      </w:r>
      <w:r w:rsidR="00682779" w:rsidRPr="00560578">
        <w:t xml:space="preserve"> beyond state borders and over vast areas and regions (see Committee’s findings on ACCC/C/2011/71</w:t>
      </w:r>
      <w:r w:rsidR="00663908" w:rsidRPr="00560578">
        <w:t xml:space="preserve"> (Czech Republic)</w:t>
      </w:r>
      <w:r w:rsidR="00682779" w:rsidRPr="00560578">
        <w:t>, para.71).</w:t>
      </w:r>
    </w:p>
    <w:p w14:paraId="79413E59" w14:textId="075A7C9B" w:rsidR="001D38A1" w:rsidRPr="00560578" w:rsidRDefault="00602E98" w:rsidP="00C169FF">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In the light of the above, t</w:t>
      </w:r>
      <w:r w:rsidR="000858F3" w:rsidRPr="00560578">
        <w:rPr>
          <w:rFonts w:ascii="Times New Roman" w:eastAsia="Times New Roman" w:hAnsi="Times New Roman" w:cs="Times New Roman"/>
          <w:sz w:val="20"/>
          <w:szCs w:val="20"/>
        </w:rPr>
        <w:t xml:space="preserve">he Committee is not convinced that </w:t>
      </w:r>
      <w:r w:rsidR="00D360FF" w:rsidRPr="00560578">
        <w:rPr>
          <w:rFonts w:ascii="Times New Roman" w:eastAsia="Times New Roman" w:hAnsi="Times New Roman" w:cs="Times New Roman"/>
          <w:sz w:val="20"/>
          <w:szCs w:val="20"/>
        </w:rPr>
        <w:t xml:space="preserve">the Ministry’s negative </w:t>
      </w:r>
      <w:r w:rsidR="00D901AF" w:rsidRPr="00560578">
        <w:rPr>
          <w:rFonts w:ascii="Times New Roman" w:eastAsia="Times New Roman" w:hAnsi="Times New Roman" w:cs="Times New Roman"/>
          <w:sz w:val="20"/>
          <w:szCs w:val="20"/>
        </w:rPr>
        <w:t xml:space="preserve">response </w:t>
      </w:r>
      <w:r w:rsidR="000858F3" w:rsidRPr="00560578">
        <w:rPr>
          <w:rFonts w:ascii="Times New Roman" w:eastAsia="Times New Roman" w:hAnsi="Times New Roman" w:cs="Times New Roman"/>
          <w:sz w:val="20"/>
          <w:szCs w:val="20"/>
        </w:rPr>
        <w:t xml:space="preserve">to </w:t>
      </w:r>
      <w:r w:rsidR="0065605F" w:rsidRPr="00560578">
        <w:rPr>
          <w:rFonts w:ascii="Times New Roman" w:eastAsia="Times New Roman" w:hAnsi="Times New Roman" w:cs="Times New Roman"/>
          <w:sz w:val="20"/>
          <w:szCs w:val="20"/>
        </w:rPr>
        <w:t xml:space="preserve">a </w:t>
      </w:r>
      <w:r w:rsidR="000858F3" w:rsidRPr="00560578">
        <w:rPr>
          <w:rFonts w:ascii="Times New Roman" w:eastAsia="Times New Roman" w:hAnsi="Times New Roman" w:cs="Times New Roman"/>
          <w:sz w:val="20"/>
          <w:szCs w:val="20"/>
        </w:rPr>
        <w:t xml:space="preserve">request </w:t>
      </w:r>
      <w:r w:rsidR="00D901AF" w:rsidRPr="00560578">
        <w:rPr>
          <w:rFonts w:ascii="Times New Roman" w:eastAsia="Times New Roman" w:hAnsi="Times New Roman" w:cs="Times New Roman"/>
          <w:sz w:val="20"/>
          <w:szCs w:val="20"/>
        </w:rPr>
        <w:t>by a member of the public</w:t>
      </w:r>
      <w:r w:rsidR="00D360FF" w:rsidRPr="00560578">
        <w:rPr>
          <w:rFonts w:ascii="Times New Roman" w:eastAsia="Times New Roman" w:hAnsi="Times New Roman" w:cs="Times New Roman"/>
          <w:sz w:val="20"/>
          <w:szCs w:val="20"/>
        </w:rPr>
        <w:t xml:space="preserve"> that Germany require a </w:t>
      </w:r>
      <w:proofErr w:type="spellStart"/>
      <w:r w:rsidR="00D360FF" w:rsidRPr="00560578">
        <w:rPr>
          <w:rFonts w:ascii="Times New Roman" w:eastAsia="Times New Roman" w:hAnsi="Times New Roman" w:cs="Times New Roman"/>
          <w:sz w:val="20"/>
          <w:szCs w:val="20"/>
        </w:rPr>
        <w:t>transboundary</w:t>
      </w:r>
      <w:proofErr w:type="spellEnd"/>
      <w:r w:rsidR="00D360FF" w:rsidRPr="00560578">
        <w:rPr>
          <w:rFonts w:ascii="Times New Roman" w:eastAsia="Times New Roman" w:hAnsi="Times New Roman" w:cs="Times New Roman"/>
          <w:sz w:val="20"/>
          <w:szCs w:val="20"/>
        </w:rPr>
        <w:t xml:space="preserve"> procedure with public participation, </w:t>
      </w:r>
      <w:r w:rsidR="00663908" w:rsidRPr="00560578">
        <w:rPr>
          <w:rFonts w:ascii="Times New Roman" w:eastAsia="Times New Roman" w:hAnsi="Times New Roman" w:cs="Times New Roman"/>
          <w:sz w:val="20"/>
          <w:szCs w:val="20"/>
        </w:rPr>
        <w:t xml:space="preserve">accompanied by </w:t>
      </w:r>
      <w:r w:rsidR="00D901AF" w:rsidRPr="00560578">
        <w:rPr>
          <w:rFonts w:ascii="Times New Roman" w:eastAsia="Times New Roman" w:hAnsi="Times New Roman" w:cs="Times New Roman"/>
          <w:sz w:val="20"/>
          <w:szCs w:val="20"/>
        </w:rPr>
        <w:t>a brief explanation</w:t>
      </w:r>
      <w:r w:rsidR="00D360FF" w:rsidRPr="00560578">
        <w:rPr>
          <w:rFonts w:ascii="Times New Roman" w:eastAsia="Times New Roman" w:hAnsi="Times New Roman" w:cs="Times New Roman"/>
          <w:sz w:val="20"/>
          <w:szCs w:val="20"/>
        </w:rPr>
        <w:t>,</w:t>
      </w:r>
      <w:r w:rsidR="00E03F04" w:rsidRPr="00560578">
        <w:rPr>
          <w:rStyle w:val="FootnoteReference"/>
          <w:rFonts w:eastAsia="Times New Roman"/>
          <w:szCs w:val="20"/>
        </w:rPr>
        <w:footnoteReference w:id="34"/>
      </w:r>
      <w:r w:rsidR="000858F3" w:rsidRPr="00560578">
        <w:rPr>
          <w:rFonts w:ascii="Times New Roman" w:eastAsia="Times New Roman" w:hAnsi="Times New Roman" w:cs="Times New Roman"/>
          <w:sz w:val="20"/>
          <w:szCs w:val="20"/>
        </w:rPr>
        <w:t xml:space="preserve"> amounts to “providing adequate support and guidance”</w:t>
      </w:r>
      <w:r w:rsidR="004C79E7" w:rsidRPr="00560578">
        <w:rPr>
          <w:rFonts w:ascii="Times New Roman" w:eastAsia="Times New Roman" w:hAnsi="Times New Roman" w:cs="Times New Roman"/>
          <w:sz w:val="20"/>
          <w:szCs w:val="20"/>
        </w:rPr>
        <w:t xml:space="preserve"> in </w:t>
      </w:r>
      <w:r w:rsidR="0065605F" w:rsidRPr="00560578">
        <w:rPr>
          <w:rFonts w:ascii="Times New Roman" w:eastAsia="Times New Roman" w:hAnsi="Times New Roman" w:cs="Times New Roman"/>
          <w:sz w:val="20"/>
          <w:szCs w:val="20"/>
        </w:rPr>
        <w:t xml:space="preserve">a </w:t>
      </w:r>
      <w:r w:rsidR="004C79E7" w:rsidRPr="00560578">
        <w:rPr>
          <w:rFonts w:ascii="Times New Roman" w:eastAsia="Times New Roman" w:hAnsi="Times New Roman" w:cs="Times New Roman"/>
          <w:sz w:val="20"/>
          <w:szCs w:val="20"/>
        </w:rPr>
        <w:t>situation where the Party concerned could have avail</w:t>
      </w:r>
      <w:r w:rsidR="007F7FF3" w:rsidRPr="00560578">
        <w:rPr>
          <w:rFonts w:ascii="Times New Roman" w:eastAsia="Times New Roman" w:hAnsi="Times New Roman" w:cs="Times New Roman"/>
          <w:sz w:val="20"/>
          <w:szCs w:val="20"/>
        </w:rPr>
        <w:t>ed</w:t>
      </w:r>
      <w:r w:rsidR="004C79E7" w:rsidRPr="00560578">
        <w:rPr>
          <w:rFonts w:ascii="Times New Roman" w:eastAsia="Times New Roman" w:hAnsi="Times New Roman" w:cs="Times New Roman"/>
          <w:sz w:val="20"/>
          <w:szCs w:val="20"/>
        </w:rPr>
        <w:t xml:space="preserve"> itself of its right granted under the Espoo Convention and EIA Directive to request </w:t>
      </w:r>
      <w:r w:rsidR="0065605F" w:rsidRPr="00560578">
        <w:rPr>
          <w:rFonts w:ascii="Times New Roman" w:eastAsia="Times New Roman" w:hAnsi="Times New Roman" w:cs="Times New Roman"/>
          <w:sz w:val="20"/>
          <w:szCs w:val="20"/>
        </w:rPr>
        <w:t xml:space="preserve">the </w:t>
      </w:r>
      <w:r w:rsidR="004C79E7" w:rsidRPr="00560578">
        <w:rPr>
          <w:rFonts w:ascii="Times New Roman" w:eastAsia="Times New Roman" w:hAnsi="Times New Roman" w:cs="Times New Roman"/>
          <w:sz w:val="20"/>
          <w:szCs w:val="20"/>
        </w:rPr>
        <w:t xml:space="preserve">carrying out </w:t>
      </w:r>
      <w:r w:rsidR="0065605F" w:rsidRPr="00560578">
        <w:rPr>
          <w:rFonts w:ascii="Times New Roman" w:eastAsia="Times New Roman" w:hAnsi="Times New Roman" w:cs="Times New Roman"/>
          <w:sz w:val="20"/>
          <w:szCs w:val="20"/>
        </w:rPr>
        <w:t xml:space="preserve">of a </w:t>
      </w:r>
      <w:r w:rsidR="004C79E7" w:rsidRPr="00560578">
        <w:rPr>
          <w:rFonts w:ascii="Times New Roman" w:eastAsia="Times New Roman" w:hAnsi="Times New Roman" w:cs="Times New Roman"/>
          <w:sz w:val="20"/>
          <w:szCs w:val="20"/>
        </w:rPr>
        <w:t xml:space="preserve">transboundary procedure in which the public </w:t>
      </w:r>
      <w:r w:rsidR="0065605F" w:rsidRPr="00560578">
        <w:rPr>
          <w:rFonts w:ascii="Times New Roman" w:eastAsia="Times New Roman" w:hAnsi="Times New Roman" w:cs="Times New Roman"/>
          <w:sz w:val="20"/>
          <w:szCs w:val="20"/>
        </w:rPr>
        <w:t xml:space="preserve">in Germany </w:t>
      </w:r>
      <w:r w:rsidR="004C79E7" w:rsidRPr="00560578">
        <w:rPr>
          <w:rFonts w:ascii="Times New Roman" w:eastAsia="Times New Roman" w:hAnsi="Times New Roman" w:cs="Times New Roman"/>
          <w:sz w:val="20"/>
          <w:szCs w:val="20"/>
        </w:rPr>
        <w:t xml:space="preserve">could participate. </w:t>
      </w:r>
    </w:p>
    <w:p w14:paraId="5701DA36" w14:textId="77777777" w:rsidR="00080A09" w:rsidRPr="00560578" w:rsidRDefault="00602E98" w:rsidP="00C169FF">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While the Committee considers that t</w:t>
      </w:r>
      <w:r w:rsidR="0065605F" w:rsidRPr="00560578">
        <w:rPr>
          <w:rFonts w:ascii="Times New Roman" w:eastAsia="Times New Roman" w:hAnsi="Times New Roman" w:cs="Times New Roman"/>
          <w:sz w:val="20"/>
          <w:szCs w:val="20"/>
        </w:rPr>
        <w:t xml:space="preserve">he obligation </w:t>
      </w:r>
      <w:r w:rsidR="00E03F04" w:rsidRPr="00560578">
        <w:rPr>
          <w:rFonts w:ascii="Times New Roman" w:eastAsia="Times New Roman" w:hAnsi="Times New Roman" w:cs="Times New Roman"/>
          <w:sz w:val="20"/>
          <w:szCs w:val="20"/>
        </w:rPr>
        <w:t xml:space="preserve">in </w:t>
      </w:r>
      <w:r w:rsidR="0065605F" w:rsidRPr="00560578">
        <w:rPr>
          <w:rFonts w:ascii="Times New Roman" w:eastAsia="Times New Roman" w:hAnsi="Times New Roman" w:cs="Times New Roman"/>
          <w:sz w:val="20"/>
          <w:szCs w:val="20"/>
        </w:rPr>
        <w:t>article 3, paragraph 2</w:t>
      </w:r>
      <w:r w:rsidR="00185426" w:rsidRPr="00560578">
        <w:rPr>
          <w:rFonts w:ascii="Times New Roman" w:eastAsia="Times New Roman" w:hAnsi="Times New Roman" w:cs="Times New Roman"/>
          <w:sz w:val="20"/>
          <w:szCs w:val="20"/>
        </w:rPr>
        <w:t xml:space="preserve"> of the Aarhus Convention </w:t>
      </w:r>
      <w:r w:rsidR="00E03F04" w:rsidRPr="00560578">
        <w:rPr>
          <w:rFonts w:ascii="Times New Roman" w:eastAsia="Times New Roman" w:hAnsi="Times New Roman" w:cs="Times New Roman"/>
          <w:sz w:val="20"/>
          <w:szCs w:val="20"/>
        </w:rPr>
        <w:t>to “</w:t>
      </w:r>
      <w:r w:rsidR="00E03F04" w:rsidRPr="00560578">
        <w:rPr>
          <w:rFonts w:ascii="Times New Roman" w:hAnsi="Times New Roman" w:cs="Times New Roman"/>
          <w:sz w:val="20"/>
          <w:szCs w:val="20"/>
          <w:lang w:val="en-US"/>
        </w:rPr>
        <w:t>assist and pro</w:t>
      </w:r>
      <w:r w:rsidR="00101E85" w:rsidRPr="00560578">
        <w:rPr>
          <w:rFonts w:ascii="Times New Roman" w:hAnsi="Times New Roman" w:cs="Times New Roman"/>
          <w:sz w:val="20"/>
          <w:szCs w:val="20"/>
          <w:lang w:val="en-US"/>
        </w:rPr>
        <w:t>vide guidance to the public...</w:t>
      </w:r>
      <w:r w:rsidR="00E03F04" w:rsidRPr="00560578">
        <w:rPr>
          <w:rFonts w:ascii="Times New Roman" w:hAnsi="Times New Roman" w:cs="Times New Roman"/>
          <w:sz w:val="20"/>
          <w:szCs w:val="20"/>
          <w:lang w:val="en-US"/>
        </w:rPr>
        <w:t xml:space="preserve">in facilitating participation in decision-making” </w:t>
      </w:r>
      <w:r w:rsidR="00185426" w:rsidRPr="00560578">
        <w:rPr>
          <w:rFonts w:ascii="Times New Roman" w:eastAsia="Times New Roman" w:hAnsi="Times New Roman" w:cs="Times New Roman"/>
          <w:sz w:val="20"/>
          <w:szCs w:val="20"/>
        </w:rPr>
        <w:t xml:space="preserve">should not be </w:t>
      </w:r>
      <w:r w:rsidR="00E03F04" w:rsidRPr="00560578">
        <w:rPr>
          <w:rFonts w:ascii="Times New Roman" w:eastAsia="Times New Roman" w:hAnsi="Times New Roman" w:cs="Times New Roman"/>
          <w:sz w:val="20"/>
          <w:szCs w:val="20"/>
        </w:rPr>
        <w:t xml:space="preserve">interpreted as requiring a Party </w:t>
      </w:r>
      <w:r w:rsidR="00185426" w:rsidRPr="00560578">
        <w:rPr>
          <w:rFonts w:ascii="Times New Roman" w:eastAsia="Times New Roman" w:hAnsi="Times New Roman" w:cs="Times New Roman"/>
          <w:sz w:val="20"/>
          <w:szCs w:val="20"/>
        </w:rPr>
        <w:t xml:space="preserve">to </w:t>
      </w:r>
      <w:r w:rsidR="00E03F04" w:rsidRPr="00560578">
        <w:rPr>
          <w:rFonts w:ascii="Times New Roman" w:eastAsia="Times New Roman" w:hAnsi="Times New Roman" w:cs="Times New Roman"/>
          <w:sz w:val="20"/>
          <w:szCs w:val="20"/>
        </w:rPr>
        <w:t xml:space="preserve">necessarily </w:t>
      </w:r>
      <w:r w:rsidR="00185426" w:rsidRPr="00560578">
        <w:rPr>
          <w:rFonts w:ascii="Times New Roman" w:eastAsia="Times New Roman" w:hAnsi="Times New Roman" w:cs="Times New Roman"/>
          <w:sz w:val="20"/>
          <w:szCs w:val="20"/>
        </w:rPr>
        <w:t xml:space="preserve">always use all of the rights and competences that </w:t>
      </w:r>
      <w:r w:rsidR="00E03F04" w:rsidRPr="00560578">
        <w:rPr>
          <w:rFonts w:ascii="Times New Roman" w:eastAsia="Times New Roman" w:hAnsi="Times New Roman" w:cs="Times New Roman"/>
          <w:sz w:val="20"/>
          <w:szCs w:val="20"/>
        </w:rPr>
        <w:t xml:space="preserve">it has under </w:t>
      </w:r>
      <w:r w:rsidR="00185426" w:rsidRPr="00560578">
        <w:rPr>
          <w:rFonts w:ascii="Times New Roman" w:eastAsia="Times New Roman" w:hAnsi="Times New Roman" w:cs="Times New Roman"/>
          <w:sz w:val="20"/>
          <w:szCs w:val="20"/>
        </w:rPr>
        <w:t>int</w:t>
      </w:r>
      <w:r w:rsidR="00827DFC" w:rsidRPr="00560578">
        <w:rPr>
          <w:rFonts w:ascii="Times New Roman" w:eastAsia="Times New Roman" w:hAnsi="Times New Roman" w:cs="Times New Roman"/>
          <w:sz w:val="20"/>
          <w:szCs w:val="20"/>
        </w:rPr>
        <w:t xml:space="preserve">ernational or national law </w:t>
      </w:r>
      <w:r w:rsidR="00E03F04" w:rsidRPr="00560578">
        <w:rPr>
          <w:rFonts w:ascii="Times New Roman" w:eastAsia="Times New Roman" w:hAnsi="Times New Roman" w:cs="Times New Roman"/>
          <w:sz w:val="20"/>
          <w:szCs w:val="20"/>
        </w:rPr>
        <w:t>with respect to a decision-making procedure in another country</w:t>
      </w:r>
      <w:r w:rsidR="00101E85" w:rsidRPr="00560578">
        <w:rPr>
          <w:rFonts w:ascii="Times New Roman" w:eastAsia="Times New Roman" w:hAnsi="Times New Roman" w:cs="Times New Roman"/>
          <w:sz w:val="20"/>
          <w:szCs w:val="20"/>
        </w:rPr>
        <w:t>, a level of effort appropriate to the actions open to it in the particular context is required</w:t>
      </w:r>
      <w:r w:rsidR="00820C1F" w:rsidRPr="00560578">
        <w:rPr>
          <w:rFonts w:ascii="Times New Roman" w:hAnsi="Times New Roman" w:cs="Times New Roman"/>
          <w:sz w:val="20"/>
          <w:szCs w:val="20"/>
          <w:lang w:val="en-US"/>
        </w:rPr>
        <w:t>.</w:t>
      </w:r>
      <w:r w:rsidR="0089313A" w:rsidRPr="00560578">
        <w:rPr>
          <w:rFonts w:ascii="Times New Roman" w:hAnsi="Times New Roman" w:cs="Times New Roman"/>
          <w:sz w:val="20"/>
          <w:szCs w:val="20"/>
          <w:lang w:val="en-US"/>
        </w:rPr>
        <w:t xml:space="preserve"> </w:t>
      </w:r>
      <w:r w:rsidR="00E03F04" w:rsidRPr="00560578">
        <w:rPr>
          <w:rFonts w:ascii="Times New Roman" w:hAnsi="Times New Roman" w:cs="Times New Roman"/>
          <w:sz w:val="20"/>
          <w:szCs w:val="20"/>
          <w:lang w:val="en-US"/>
        </w:rPr>
        <w:t xml:space="preserve">For instance, </w:t>
      </w:r>
      <w:r w:rsidR="00204C3F" w:rsidRPr="00560578">
        <w:rPr>
          <w:rFonts w:ascii="Times New Roman" w:hAnsi="Times New Roman" w:cs="Times New Roman"/>
          <w:sz w:val="20"/>
          <w:szCs w:val="20"/>
          <w:lang w:val="en-US"/>
        </w:rPr>
        <w:t xml:space="preserve">whether or not a Party should facilitate </w:t>
      </w:r>
      <w:r w:rsidR="00E0775D" w:rsidRPr="00560578">
        <w:rPr>
          <w:rFonts w:ascii="Times New Roman" w:hAnsi="Times New Roman" w:cs="Times New Roman"/>
          <w:sz w:val="20"/>
          <w:szCs w:val="20"/>
          <w:lang w:val="en-US"/>
        </w:rPr>
        <w:t xml:space="preserve">the participation of its public, if its public so requests, by </w:t>
      </w:r>
      <w:r w:rsidR="00204C3F" w:rsidRPr="00560578">
        <w:rPr>
          <w:rFonts w:ascii="Times New Roman" w:hAnsi="Times New Roman" w:cs="Times New Roman"/>
          <w:sz w:val="20"/>
          <w:szCs w:val="20"/>
          <w:lang w:val="en-US"/>
        </w:rPr>
        <w:t xml:space="preserve">itself requesting to </w:t>
      </w:r>
      <w:r w:rsidR="00204C3F" w:rsidRPr="00560578">
        <w:rPr>
          <w:rFonts w:ascii="Times New Roman" w:eastAsia="Times New Roman" w:hAnsi="Times New Roman" w:cs="Times New Roman"/>
          <w:sz w:val="20"/>
          <w:szCs w:val="20"/>
        </w:rPr>
        <w:t>enter</w:t>
      </w:r>
      <w:r w:rsidR="002E4F13" w:rsidRPr="00560578">
        <w:rPr>
          <w:rFonts w:ascii="Times New Roman" w:eastAsia="Times New Roman" w:hAnsi="Times New Roman" w:cs="Times New Roman"/>
          <w:sz w:val="20"/>
          <w:szCs w:val="20"/>
        </w:rPr>
        <w:t xml:space="preserve"> </w:t>
      </w:r>
      <w:r w:rsidR="00080A09" w:rsidRPr="00560578">
        <w:rPr>
          <w:rFonts w:ascii="Times New Roman" w:eastAsia="Times New Roman" w:hAnsi="Times New Roman" w:cs="Times New Roman"/>
          <w:sz w:val="20"/>
          <w:szCs w:val="20"/>
        </w:rPr>
        <w:t xml:space="preserve">into a transboundary procedure under the Espoo Convention and EIA Directive </w:t>
      </w:r>
      <w:r w:rsidR="00E03F04" w:rsidRPr="00560578">
        <w:rPr>
          <w:rFonts w:ascii="Times New Roman" w:eastAsia="Times New Roman" w:hAnsi="Times New Roman" w:cs="Times New Roman"/>
          <w:sz w:val="20"/>
          <w:szCs w:val="20"/>
        </w:rPr>
        <w:t xml:space="preserve">may differ depending on whether the Party was </w:t>
      </w:r>
      <w:r w:rsidR="00080A09" w:rsidRPr="00560578">
        <w:rPr>
          <w:rFonts w:ascii="Times New Roman" w:eastAsia="Times New Roman" w:hAnsi="Times New Roman" w:cs="Times New Roman"/>
          <w:sz w:val="20"/>
          <w:szCs w:val="20"/>
        </w:rPr>
        <w:t>formal</w:t>
      </w:r>
      <w:r w:rsidR="00E03F04" w:rsidRPr="00560578">
        <w:rPr>
          <w:rFonts w:ascii="Times New Roman" w:eastAsia="Times New Roman" w:hAnsi="Times New Roman" w:cs="Times New Roman"/>
          <w:sz w:val="20"/>
          <w:szCs w:val="20"/>
        </w:rPr>
        <w:t>ly notified or not</w:t>
      </w:r>
      <w:r w:rsidR="00080A09" w:rsidRPr="00560578">
        <w:rPr>
          <w:rFonts w:ascii="Times New Roman" w:eastAsia="Times New Roman" w:hAnsi="Times New Roman" w:cs="Times New Roman"/>
          <w:sz w:val="20"/>
          <w:szCs w:val="20"/>
        </w:rPr>
        <w:t>.</w:t>
      </w:r>
    </w:p>
    <w:p w14:paraId="7D1D2972" w14:textId="66842897" w:rsidR="00080A09" w:rsidRPr="00560578" w:rsidRDefault="002E4F13" w:rsidP="00C169FF">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In the case of a formal notification</w:t>
      </w:r>
      <w:r w:rsidR="00EF6AB3" w:rsidRPr="00560578">
        <w:rPr>
          <w:rFonts w:ascii="Times New Roman" w:eastAsia="Times New Roman" w:hAnsi="Times New Roman" w:cs="Times New Roman"/>
          <w:sz w:val="20"/>
          <w:szCs w:val="20"/>
        </w:rPr>
        <w:t xml:space="preserve"> from another country</w:t>
      </w:r>
      <w:r w:rsidRPr="00560578">
        <w:rPr>
          <w:rFonts w:ascii="Times New Roman" w:eastAsia="Times New Roman" w:hAnsi="Times New Roman" w:cs="Times New Roman"/>
          <w:sz w:val="20"/>
          <w:szCs w:val="20"/>
        </w:rPr>
        <w:t>, t</w:t>
      </w:r>
      <w:r w:rsidR="00080A09" w:rsidRPr="00560578">
        <w:rPr>
          <w:rFonts w:ascii="Times New Roman" w:eastAsia="Times New Roman" w:hAnsi="Times New Roman" w:cs="Times New Roman"/>
          <w:sz w:val="20"/>
          <w:szCs w:val="20"/>
          <w:lang w:val="en-US"/>
        </w:rPr>
        <w:t xml:space="preserve">he Committee </w:t>
      </w:r>
      <w:r w:rsidRPr="00560578">
        <w:rPr>
          <w:rFonts w:ascii="Times New Roman" w:eastAsia="Times New Roman" w:hAnsi="Times New Roman" w:cs="Times New Roman"/>
          <w:sz w:val="20"/>
          <w:szCs w:val="20"/>
          <w:lang w:val="en-US"/>
        </w:rPr>
        <w:t xml:space="preserve">considers that when deciding whether </w:t>
      </w:r>
      <w:r w:rsidR="00080A09" w:rsidRPr="00560578">
        <w:rPr>
          <w:rFonts w:ascii="Times New Roman" w:eastAsia="Times New Roman" w:hAnsi="Times New Roman" w:cs="Times New Roman"/>
          <w:sz w:val="20"/>
          <w:szCs w:val="20"/>
          <w:lang w:val="en-US"/>
        </w:rPr>
        <w:t xml:space="preserve">to enter into a transboundary procedure under the Espoo Convention and EIA Directive, </w:t>
      </w:r>
      <w:r w:rsidRPr="00560578">
        <w:rPr>
          <w:rFonts w:ascii="Times New Roman" w:eastAsia="Times New Roman" w:hAnsi="Times New Roman" w:cs="Times New Roman"/>
          <w:sz w:val="20"/>
          <w:szCs w:val="20"/>
          <w:lang w:val="en-US"/>
        </w:rPr>
        <w:t xml:space="preserve">a </w:t>
      </w:r>
      <w:r w:rsidR="00080A09" w:rsidRPr="00560578">
        <w:rPr>
          <w:rFonts w:ascii="Times New Roman" w:eastAsia="Times New Roman" w:hAnsi="Times New Roman" w:cs="Times New Roman"/>
          <w:sz w:val="20"/>
          <w:szCs w:val="20"/>
          <w:lang w:val="en-US"/>
        </w:rPr>
        <w:t xml:space="preserve">mere awareness </w:t>
      </w:r>
      <w:r w:rsidRPr="00560578">
        <w:rPr>
          <w:rFonts w:ascii="Times New Roman" w:eastAsia="Times New Roman" w:hAnsi="Times New Roman" w:cs="Times New Roman"/>
          <w:sz w:val="20"/>
          <w:szCs w:val="20"/>
          <w:lang w:val="en-US"/>
        </w:rPr>
        <w:t xml:space="preserve">by the Party </w:t>
      </w:r>
      <w:r w:rsidR="00080A09" w:rsidRPr="00560578">
        <w:rPr>
          <w:rFonts w:ascii="Times New Roman" w:eastAsia="Times New Roman" w:hAnsi="Times New Roman" w:cs="Times New Roman"/>
          <w:sz w:val="20"/>
          <w:szCs w:val="20"/>
          <w:lang w:val="en-US"/>
        </w:rPr>
        <w:t xml:space="preserve">of </w:t>
      </w:r>
      <w:r w:rsidR="00204C3F" w:rsidRPr="00560578">
        <w:rPr>
          <w:rFonts w:ascii="Times New Roman" w:eastAsia="Times New Roman" w:hAnsi="Times New Roman" w:cs="Times New Roman"/>
          <w:sz w:val="20"/>
          <w:szCs w:val="20"/>
          <w:lang w:val="en-US"/>
        </w:rPr>
        <w:t xml:space="preserve">a </w:t>
      </w:r>
      <w:r w:rsidR="00080A09" w:rsidRPr="00560578">
        <w:rPr>
          <w:rFonts w:ascii="Times New Roman" w:eastAsia="Times New Roman" w:hAnsi="Times New Roman" w:cs="Times New Roman"/>
          <w:sz w:val="20"/>
          <w:szCs w:val="20"/>
          <w:lang w:val="en-US"/>
        </w:rPr>
        <w:t xml:space="preserve">strong interest </w:t>
      </w:r>
      <w:r w:rsidRPr="00560578">
        <w:rPr>
          <w:rFonts w:ascii="Times New Roman" w:eastAsia="Times New Roman" w:hAnsi="Times New Roman" w:cs="Times New Roman"/>
          <w:sz w:val="20"/>
          <w:szCs w:val="20"/>
          <w:lang w:val="en-US"/>
        </w:rPr>
        <w:t>by</w:t>
      </w:r>
      <w:r w:rsidR="00080A09" w:rsidRPr="00560578">
        <w:rPr>
          <w:rFonts w:ascii="Times New Roman" w:eastAsia="Times New Roman" w:hAnsi="Times New Roman" w:cs="Times New Roman"/>
          <w:sz w:val="20"/>
          <w:szCs w:val="20"/>
          <w:lang w:val="en-US"/>
        </w:rPr>
        <w:t xml:space="preserve"> its own public in the outcome of the decision-making </w:t>
      </w:r>
      <w:r w:rsidRPr="00560578">
        <w:rPr>
          <w:rFonts w:ascii="Times New Roman" w:eastAsia="Times New Roman" w:hAnsi="Times New Roman" w:cs="Times New Roman"/>
          <w:sz w:val="20"/>
          <w:szCs w:val="20"/>
          <w:lang w:val="en-US"/>
        </w:rPr>
        <w:t xml:space="preserve">subject to the EIA procedure </w:t>
      </w:r>
      <w:r w:rsidR="00EF6AB3" w:rsidRPr="00560578">
        <w:rPr>
          <w:rFonts w:ascii="Times New Roman" w:eastAsia="Times New Roman" w:hAnsi="Times New Roman" w:cs="Times New Roman"/>
          <w:sz w:val="20"/>
          <w:szCs w:val="20"/>
          <w:lang w:val="en-US"/>
        </w:rPr>
        <w:t>[is a strong indication that the Party should</w:t>
      </w:r>
      <w:r w:rsidR="00080A09" w:rsidRPr="00560578">
        <w:rPr>
          <w:rFonts w:ascii="Times New Roman" w:eastAsia="Times New Roman" w:hAnsi="Times New Roman" w:cs="Times New Roman"/>
          <w:sz w:val="20"/>
          <w:szCs w:val="20"/>
          <w:lang w:val="en-US"/>
        </w:rPr>
        <w:t xml:space="preserve"> call, even without a clear request from </w:t>
      </w:r>
      <w:r w:rsidRPr="00560578">
        <w:rPr>
          <w:rFonts w:ascii="Times New Roman" w:eastAsia="Times New Roman" w:hAnsi="Times New Roman" w:cs="Times New Roman"/>
          <w:sz w:val="20"/>
          <w:szCs w:val="20"/>
          <w:lang w:val="en-US"/>
        </w:rPr>
        <w:t>its</w:t>
      </w:r>
      <w:r w:rsidR="00080A09" w:rsidRPr="00560578">
        <w:rPr>
          <w:rFonts w:ascii="Times New Roman" w:eastAsia="Times New Roman" w:hAnsi="Times New Roman" w:cs="Times New Roman"/>
          <w:sz w:val="20"/>
          <w:szCs w:val="20"/>
          <w:lang w:val="en-US"/>
        </w:rPr>
        <w:t xml:space="preserve"> public, for entering into the transboundary procedure in order to </w:t>
      </w:r>
      <w:r w:rsidRPr="00560578">
        <w:rPr>
          <w:rFonts w:ascii="Times New Roman" w:eastAsia="Times New Roman" w:hAnsi="Times New Roman" w:cs="Times New Roman"/>
          <w:sz w:val="20"/>
          <w:szCs w:val="20"/>
          <w:lang w:val="en-US"/>
        </w:rPr>
        <w:t>facilitate</w:t>
      </w:r>
      <w:r w:rsidR="00080A09" w:rsidRPr="00560578">
        <w:rPr>
          <w:rFonts w:ascii="Times New Roman" w:eastAsia="Times New Roman" w:hAnsi="Times New Roman" w:cs="Times New Roman"/>
          <w:sz w:val="20"/>
          <w:szCs w:val="20"/>
          <w:lang w:val="en-US"/>
        </w:rPr>
        <w:t xml:space="preserve"> </w:t>
      </w:r>
      <w:r w:rsidR="00101E85" w:rsidRPr="00560578">
        <w:rPr>
          <w:rFonts w:ascii="Times New Roman" w:eastAsia="Times New Roman" w:hAnsi="Times New Roman" w:cs="Times New Roman"/>
          <w:sz w:val="20"/>
          <w:szCs w:val="20"/>
          <w:lang w:val="en-US"/>
        </w:rPr>
        <w:t xml:space="preserve">the </w:t>
      </w:r>
      <w:r w:rsidRPr="00560578">
        <w:rPr>
          <w:rFonts w:ascii="Times New Roman" w:eastAsia="Times New Roman" w:hAnsi="Times New Roman" w:cs="Times New Roman"/>
          <w:sz w:val="20"/>
          <w:szCs w:val="20"/>
          <w:lang w:val="en-US"/>
        </w:rPr>
        <w:t>participation</w:t>
      </w:r>
      <w:r w:rsidR="00080A09" w:rsidRPr="00560578">
        <w:rPr>
          <w:rFonts w:ascii="Times New Roman" w:eastAsia="Times New Roman" w:hAnsi="Times New Roman" w:cs="Times New Roman"/>
          <w:sz w:val="20"/>
          <w:szCs w:val="20"/>
          <w:lang w:val="en-US"/>
        </w:rPr>
        <w:t xml:space="preserve"> </w:t>
      </w:r>
      <w:r w:rsidR="00101E85" w:rsidRPr="00560578">
        <w:rPr>
          <w:rFonts w:ascii="Times New Roman" w:eastAsia="Times New Roman" w:hAnsi="Times New Roman" w:cs="Times New Roman"/>
          <w:sz w:val="20"/>
          <w:szCs w:val="20"/>
          <w:lang w:val="en-US"/>
        </w:rPr>
        <w:t xml:space="preserve">of its public </w:t>
      </w:r>
      <w:r w:rsidRPr="00560578">
        <w:rPr>
          <w:rFonts w:ascii="Times New Roman" w:eastAsia="Times New Roman" w:hAnsi="Times New Roman" w:cs="Times New Roman"/>
          <w:sz w:val="20"/>
          <w:szCs w:val="20"/>
          <w:lang w:val="en-US"/>
        </w:rPr>
        <w:t xml:space="preserve">in that </w:t>
      </w:r>
      <w:r w:rsidR="00080A09" w:rsidRPr="00560578">
        <w:rPr>
          <w:rFonts w:ascii="Times New Roman" w:eastAsia="Times New Roman" w:hAnsi="Times New Roman" w:cs="Times New Roman"/>
          <w:sz w:val="20"/>
          <w:szCs w:val="20"/>
          <w:lang w:val="en-US"/>
        </w:rPr>
        <w:t>decision-making.</w:t>
      </w:r>
    </w:p>
    <w:p w14:paraId="62CC06D4" w14:textId="77162216" w:rsidR="00C06949" w:rsidRPr="00560578" w:rsidRDefault="00080A09" w:rsidP="00951282">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In the present case, the Party concerned was not notified by the United Kingdom about the decision-making for </w:t>
      </w:r>
      <w:proofErr w:type="spellStart"/>
      <w:r w:rsidRPr="00560578">
        <w:rPr>
          <w:rFonts w:ascii="Times New Roman" w:eastAsia="Times New Roman" w:hAnsi="Times New Roman" w:cs="Times New Roman"/>
          <w:sz w:val="20"/>
          <w:szCs w:val="20"/>
        </w:rPr>
        <w:t>Hinkley</w:t>
      </w:r>
      <w:proofErr w:type="spellEnd"/>
      <w:r w:rsidRPr="00560578">
        <w:rPr>
          <w:rFonts w:ascii="Times New Roman" w:eastAsia="Times New Roman" w:hAnsi="Times New Roman" w:cs="Times New Roman"/>
          <w:sz w:val="20"/>
          <w:szCs w:val="20"/>
        </w:rPr>
        <w:t xml:space="preserve"> Point C</w:t>
      </w:r>
      <w:r w:rsidR="002E4F13" w:rsidRPr="00560578">
        <w:rPr>
          <w:rFonts w:ascii="Times New Roman" w:eastAsia="Times New Roman" w:hAnsi="Times New Roman" w:cs="Times New Roman"/>
          <w:sz w:val="20"/>
          <w:szCs w:val="20"/>
        </w:rPr>
        <w:t>. Moreover, it</w:t>
      </w:r>
      <w:r w:rsidRPr="00560578">
        <w:rPr>
          <w:rFonts w:ascii="Times New Roman" w:hAnsi="Times New Roman" w:cs="Times New Roman"/>
          <w:sz w:val="20"/>
          <w:szCs w:val="20"/>
        </w:rPr>
        <w:t xml:space="preserve"> was requested by the public to initiate </w:t>
      </w:r>
      <w:r w:rsidR="00101E85" w:rsidRPr="00560578">
        <w:rPr>
          <w:rFonts w:ascii="Times New Roman" w:hAnsi="Times New Roman" w:cs="Times New Roman"/>
          <w:sz w:val="20"/>
          <w:szCs w:val="20"/>
        </w:rPr>
        <w:t>a</w:t>
      </w:r>
      <w:r w:rsidRPr="00560578">
        <w:rPr>
          <w:rFonts w:ascii="Times New Roman" w:hAnsi="Times New Roman" w:cs="Times New Roman"/>
          <w:sz w:val="20"/>
          <w:szCs w:val="20"/>
        </w:rPr>
        <w:t xml:space="preserve"> transboundary procedure </w:t>
      </w:r>
      <w:r w:rsidR="00101E85" w:rsidRPr="00560578">
        <w:rPr>
          <w:rFonts w:ascii="Times New Roman" w:hAnsi="Times New Roman" w:cs="Times New Roman"/>
          <w:sz w:val="20"/>
          <w:szCs w:val="20"/>
        </w:rPr>
        <w:t xml:space="preserve">only </w:t>
      </w:r>
      <w:r w:rsidRPr="00560578">
        <w:rPr>
          <w:rFonts w:ascii="Times New Roman" w:hAnsi="Times New Roman" w:cs="Times New Roman"/>
          <w:sz w:val="20"/>
          <w:szCs w:val="20"/>
        </w:rPr>
        <w:t xml:space="preserve">in February 2013 when the domestic EIA procedure in the United Kingdom was completed and the decision was due to be taken in March 2013. </w:t>
      </w:r>
      <w:r w:rsidR="00951282" w:rsidRPr="00560578">
        <w:rPr>
          <w:rFonts w:ascii="Times New Roman" w:hAnsi="Times New Roman" w:cs="Times New Roman"/>
          <w:sz w:val="20"/>
          <w:szCs w:val="20"/>
          <w:lang w:val="en-US"/>
        </w:rPr>
        <w:t xml:space="preserve">Nevertheless some </w:t>
      </w:r>
      <w:r w:rsidR="0089313A" w:rsidRPr="00560578">
        <w:rPr>
          <w:rFonts w:ascii="Times New Roman" w:hAnsi="Times New Roman" w:cs="Times New Roman"/>
          <w:sz w:val="20"/>
          <w:szCs w:val="20"/>
          <w:lang w:val="en-US"/>
        </w:rPr>
        <w:t xml:space="preserve">efforts </w:t>
      </w:r>
      <w:r w:rsidRPr="00560578">
        <w:rPr>
          <w:rFonts w:ascii="Times New Roman" w:hAnsi="Times New Roman" w:cs="Times New Roman"/>
          <w:sz w:val="20"/>
          <w:szCs w:val="20"/>
          <w:lang w:val="en-US"/>
        </w:rPr>
        <w:t xml:space="preserve">could and </w:t>
      </w:r>
      <w:r w:rsidR="00FF339E" w:rsidRPr="00560578">
        <w:rPr>
          <w:rFonts w:ascii="Times New Roman" w:hAnsi="Times New Roman" w:cs="Times New Roman"/>
          <w:sz w:val="20"/>
          <w:szCs w:val="20"/>
          <w:lang w:val="en-US"/>
        </w:rPr>
        <w:t xml:space="preserve">should </w:t>
      </w:r>
      <w:r w:rsidR="00951282" w:rsidRPr="00560578">
        <w:rPr>
          <w:rFonts w:ascii="Times New Roman" w:hAnsi="Times New Roman" w:cs="Times New Roman"/>
          <w:sz w:val="20"/>
          <w:szCs w:val="20"/>
          <w:lang w:val="en-US"/>
        </w:rPr>
        <w:t xml:space="preserve">have </w:t>
      </w:r>
      <w:r w:rsidR="00FF339E" w:rsidRPr="00560578">
        <w:rPr>
          <w:rFonts w:ascii="Times New Roman" w:hAnsi="Times New Roman" w:cs="Times New Roman"/>
          <w:sz w:val="20"/>
          <w:szCs w:val="20"/>
          <w:lang w:val="en-US"/>
        </w:rPr>
        <w:t>be</w:t>
      </w:r>
      <w:r w:rsidR="00951282" w:rsidRPr="00560578">
        <w:rPr>
          <w:rFonts w:ascii="Times New Roman" w:hAnsi="Times New Roman" w:cs="Times New Roman"/>
          <w:sz w:val="20"/>
          <w:szCs w:val="20"/>
          <w:lang w:val="en-US"/>
        </w:rPr>
        <w:t>en</w:t>
      </w:r>
      <w:r w:rsidR="00FF339E" w:rsidRPr="00560578">
        <w:rPr>
          <w:rFonts w:ascii="Times New Roman" w:hAnsi="Times New Roman" w:cs="Times New Roman"/>
          <w:sz w:val="20"/>
          <w:szCs w:val="20"/>
          <w:lang w:val="en-US"/>
        </w:rPr>
        <w:t xml:space="preserve"> undertaken, whether formal or informal, to at least inquire </w:t>
      </w:r>
      <w:r w:rsidR="002E4F13" w:rsidRPr="00560578">
        <w:rPr>
          <w:rFonts w:ascii="Times New Roman" w:hAnsi="Times New Roman" w:cs="Times New Roman"/>
          <w:sz w:val="20"/>
          <w:szCs w:val="20"/>
          <w:lang w:val="en-US"/>
        </w:rPr>
        <w:t>with the United King</w:t>
      </w:r>
      <w:r w:rsidR="00895982" w:rsidRPr="00560578">
        <w:rPr>
          <w:rFonts w:ascii="Times New Roman" w:hAnsi="Times New Roman" w:cs="Times New Roman"/>
          <w:sz w:val="20"/>
          <w:szCs w:val="20"/>
          <w:lang w:val="en-US"/>
        </w:rPr>
        <w:t>d</w:t>
      </w:r>
      <w:r w:rsidR="002E4F13" w:rsidRPr="00560578">
        <w:rPr>
          <w:rFonts w:ascii="Times New Roman" w:hAnsi="Times New Roman" w:cs="Times New Roman"/>
          <w:sz w:val="20"/>
          <w:szCs w:val="20"/>
          <w:lang w:val="en-US"/>
        </w:rPr>
        <w:t xml:space="preserve">om </w:t>
      </w:r>
      <w:r w:rsidR="00FF339E" w:rsidRPr="00560578">
        <w:rPr>
          <w:rFonts w:ascii="Times New Roman" w:hAnsi="Times New Roman" w:cs="Times New Roman"/>
          <w:sz w:val="20"/>
          <w:szCs w:val="20"/>
          <w:lang w:val="en-US"/>
        </w:rPr>
        <w:t xml:space="preserve">what </w:t>
      </w:r>
      <w:r w:rsidR="00895982" w:rsidRPr="00560578">
        <w:rPr>
          <w:rFonts w:ascii="Times New Roman" w:hAnsi="Times New Roman" w:cs="Times New Roman"/>
          <w:sz w:val="20"/>
          <w:szCs w:val="20"/>
          <w:lang w:val="en-US"/>
        </w:rPr>
        <w:t xml:space="preserve">could </w:t>
      </w:r>
      <w:r w:rsidR="00FF339E" w:rsidRPr="00560578">
        <w:rPr>
          <w:rFonts w:ascii="Times New Roman" w:hAnsi="Times New Roman" w:cs="Times New Roman"/>
          <w:sz w:val="20"/>
          <w:szCs w:val="20"/>
          <w:lang w:val="en-US"/>
        </w:rPr>
        <w:t>be done</w:t>
      </w:r>
      <w:r w:rsidR="007A0F12" w:rsidRPr="00560578">
        <w:rPr>
          <w:rFonts w:ascii="Times New Roman" w:hAnsi="Times New Roman" w:cs="Times New Roman"/>
          <w:sz w:val="20"/>
          <w:szCs w:val="20"/>
          <w:lang w:val="en-US"/>
        </w:rPr>
        <w:t xml:space="preserve"> to facilitate </w:t>
      </w:r>
      <w:r w:rsidR="002E4F13" w:rsidRPr="00560578">
        <w:rPr>
          <w:rFonts w:ascii="Times New Roman" w:hAnsi="Times New Roman" w:cs="Times New Roman"/>
          <w:sz w:val="20"/>
          <w:szCs w:val="20"/>
          <w:lang w:val="en-US"/>
        </w:rPr>
        <w:t xml:space="preserve">the </w:t>
      </w:r>
      <w:r w:rsidR="007A0F12" w:rsidRPr="00560578">
        <w:rPr>
          <w:rFonts w:ascii="Times New Roman" w:hAnsi="Times New Roman" w:cs="Times New Roman"/>
          <w:sz w:val="20"/>
          <w:szCs w:val="20"/>
          <w:lang w:val="en-US"/>
        </w:rPr>
        <w:t>participation</w:t>
      </w:r>
      <w:r w:rsidR="002E4F13" w:rsidRPr="00560578">
        <w:rPr>
          <w:rFonts w:ascii="Times New Roman" w:hAnsi="Times New Roman" w:cs="Times New Roman"/>
          <w:sz w:val="20"/>
          <w:szCs w:val="20"/>
          <w:lang w:val="en-US"/>
        </w:rPr>
        <w:t xml:space="preserve"> of the </w:t>
      </w:r>
      <w:r w:rsidR="00101E85" w:rsidRPr="00560578">
        <w:rPr>
          <w:rFonts w:ascii="Times New Roman" w:hAnsi="Times New Roman" w:cs="Times New Roman"/>
          <w:sz w:val="20"/>
          <w:szCs w:val="20"/>
          <w:lang w:val="en-US"/>
        </w:rPr>
        <w:t xml:space="preserve">German </w:t>
      </w:r>
      <w:r w:rsidR="002E4F13" w:rsidRPr="00560578">
        <w:rPr>
          <w:rFonts w:ascii="Times New Roman" w:hAnsi="Times New Roman" w:cs="Times New Roman"/>
          <w:sz w:val="20"/>
          <w:szCs w:val="20"/>
          <w:lang w:val="en-US"/>
        </w:rPr>
        <w:t>public</w:t>
      </w:r>
      <w:r w:rsidR="007A0F12" w:rsidRPr="00560578">
        <w:rPr>
          <w:rFonts w:ascii="Times New Roman" w:hAnsi="Times New Roman" w:cs="Times New Roman"/>
          <w:sz w:val="20"/>
          <w:szCs w:val="20"/>
          <w:lang w:val="en-US"/>
        </w:rPr>
        <w:t xml:space="preserve">. </w:t>
      </w:r>
      <w:r w:rsidR="00895982" w:rsidRPr="00560578">
        <w:rPr>
          <w:rFonts w:ascii="Times New Roman" w:hAnsi="Times New Roman" w:cs="Times New Roman"/>
          <w:sz w:val="20"/>
          <w:szCs w:val="20"/>
          <w:lang w:val="en-US"/>
        </w:rPr>
        <w:t>If, as a result of those efforts, it ultimately became clear that nothing further to facilitate the participation of the German public could be done</w:t>
      </w:r>
      <w:r w:rsidR="007A0F12" w:rsidRPr="00560578">
        <w:rPr>
          <w:rFonts w:ascii="Times New Roman" w:hAnsi="Times New Roman" w:cs="Times New Roman"/>
          <w:sz w:val="20"/>
          <w:szCs w:val="20"/>
          <w:lang w:val="en-US"/>
        </w:rPr>
        <w:t>, t</w:t>
      </w:r>
      <w:r w:rsidR="00C06949" w:rsidRPr="00560578">
        <w:rPr>
          <w:rFonts w:ascii="Times New Roman" w:hAnsi="Times New Roman" w:cs="Times New Roman"/>
          <w:sz w:val="20"/>
          <w:szCs w:val="20"/>
          <w:lang w:val="en-US"/>
        </w:rPr>
        <w:t xml:space="preserve">he </w:t>
      </w:r>
      <w:r w:rsidR="00101E85" w:rsidRPr="00560578">
        <w:rPr>
          <w:rFonts w:ascii="Times New Roman" w:hAnsi="Times New Roman" w:cs="Times New Roman"/>
          <w:sz w:val="20"/>
          <w:szCs w:val="20"/>
          <w:lang w:val="en-US"/>
        </w:rPr>
        <w:t xml:space="preserve">Party </w:t>
      </w:r>
      <w:proofErr w:type="spellStart"/>
      <w:r w:rsidR="00101E85" w:rsidRPr="00560578">
        <w:rPr>
          <w:rFonts w:ascii="Times New Roman" w:hAnsi="Times New Roman" w:cs="Times New Roman"/>
          <w:sz w:val="20"/>
          <w:szCs w:val="20"/>
          <w:lang w:val="en-US"/>
        </w:rPr>
        <w:t>concerned’s</w:t>
      </w:r>
      <w:proofErr w:type="spellEnd"/>
      <w:r w:rsidR="00101E85" w:rsidRPr="00560578">
        <w:rPr>
          <w:rFonts w:ascii="Times New Roman" w:hAnsi="Times New Roman" w:cs="Times New Roman"/>
          <w:sz w:val="20"/>
          <w:szCs w:val="20"/>
          <w:lang w:val="en-US"/>
        </w:rPr>
        <w:t xml:space="preserve"> refusal of </w:t>
      </w:r>
      <w:r w:rsidR="002E4F13" w:rsidRPr="00560578">
        <w:rPr>
          <w:rFonts w:ascii="Times New Roman" w:hAnsi="Times New Roman" w:cs="Times New Roman"/>
          <w:sz w:val="20"/>
          <w:szCs w:val="20"/>
          <w:lang w:val="en-US"/>
        </w:rPr>
        <w:t xml:space="preserve">Ms. </w:t>
      </w:r>
      <w:proofErr w:type="spellStart"/>
      <w:r w:rsidR="002E4F13" w:rsidRPr="00560578">
        <w:rPr>
          <w:rFonts w:ascii="Times New Roman" w:hAnsi="Times New Roman" w:cs="Times New Roman"/>
          <w:sz w:val="20"/>
          <w:szCs w:val="20"/>
          <w:lang w:val="en-US"/>
        </w:rPr>
        <w:t>Artmann’s</w:t>
      </w:r>
      <w:proofErr w:type="spellEnd"/>
      <w:r w:rsidR="002E4F13" w:rsidRPr="00560578">
        <w:rPr>
          <w:rFonts w:ascii="Times New Roman" w:hAnsi="Times New Roman" w:cs="Times New Roman"/>
          <w:sz w:val="20"/>
          <w:szCs w:val="20"/>
          <w:lang w:val="en-US"/>
        </w:rPr>
        <w:t xml:space="preserve"> </w:t>
      </w:r>
      <w:r w:rsidR="00C06949" w:rsidRPr="00560578">
        <w:rPr>
          <w:rFonts w:ascii="Times New Roman" w:hAnsi="Times New Roman" w:cs="Times New Roman"/>
          <w:sz w:val="20"/>
          <w:szCs w:val="20"/>
          <w:lang w:val="en-US"/>
        </w:rPr>
        <w:t xml:space="preserve">request should </w:t>
      </w:r>
      <w:r w:rsidR="00895982" w:rsidRPr="00560578">
        <w:rPr>
          <w:rFonts w:ascii="Times New Roman" w:hAnsi="Times New Roman" w:cs="Times New Roman"/>
          <w:sz w:val="20"/>
          <w:szCs w:val="20"/>
          <w:lang w:val="en-US"/>
        </w:rPr>
        <w:t xml:space="preserve">have </w:t>
      </w:r>
      <w:r w:rsidR="00C06949" w:rsidRPr="00560578">
        <w:rPr>
          <w:rFonts w:ascii="Times New Roman" w:hAnsi="Times New Roman" w:cs="Times New Roman"/>
          <w:sz w:val="20"/>
          <w:szCs w:val="20"/>
          <w:lang w:val="en-US"/>
        </w:rPr>
        <w:t>be</w:t>
      </w:r>
      <w:r w:rsidR="00895982" w:rsidRPr="00560578">
        <w:rPr>
          <w:rFonts w:ascii="Times New Roman" w:hAnsi="Times New Roman" w:cs="Times New Roman"/>
          <w:sz w:val="20"/>
          <w:szCs w:val="20"/>
          <w:lang w:val="en-US"/>
        </w:rPr>
        <w:t>en</w:t>
      </w:r>
      <w:r w:rsidR="00C06949" w:rsidRPr="00560578">
        <w:rPr>
          <w:rFonts w:ascii="Times New Roman" w:hAnsi="Times New Roman" w:cs="Times New Roman"/>
          <w:sz w:val="20"/>
          <w:szCs w:val="20"/>
          <w:lang w:val="en-US"/>
        </w:rPr>
        <w:t xml:space="preserve"> well </w:t>
      </w:r>
      <w:r w:rsidR="009403E3" w:rsidRPr="00560578">
        <w:rPr>
          <w:rFonts w:ascii="Times New Roman" w:hAnsi="Times New Roman" w:cs="Times New Roman"/>
          <w:sz w:val="20"/>
          <w:szCs w:val="20"/>
          <w:lang w:val="en-US"/>
        </w:rPr>
        <w:t xml:space="preserve">reasoned </w:t>
      </w:r>
      <w:r w:rsidR="00C06949" w:rsidRPr="00560578">
        <w:rPr>
          <w:rFonts w:ascii="Times New Roman" w:hAnsi="Times New Roman" w:cs="Times New Roman"/>
          <w:sz w:val="20"/>
          <w:szCs w:val="20"/>
          <w:lang w:val="en-US"/>
        </w:rPr>
        <w:t xml:space="preserve">and </w:t>
      </w:r>
      <w:r w:rsidR="00895982" w:rsidRPr="00560578">
        <w:rPr>
          <w:rFonts w:ascii="Times New Roman" w:hAnsi="Times New Roman" w:cs="Times New Roman"/>
          <w:sz w:val="20"/>
          <w:szCs w:val="20"/>
          <w:lang w:val="en-US"/>
        </w:rPr>
        <w:t xml:space="preserve">clearly demonstrated that </w:t>
      </w:r>
      <w:r w:rsidR="006B2BCC" w:rsidRPr="00560578">
        <w:rPr>
          <w:rFonts w:ascii="Times New Roman" w:hAnsi="Times New Roman" w:cs="Times New Roman"/>
          <w:sz w:val="20"/>
          <w:szCs w:val="20"/>
          <w:lang w:val="en-US"/>
        </w:rPr>
        <w:t xml:space="preserve">due account </w:t>
      </w:r>
      <w:r w:rsidR="0065605F" w:rsidRPr="00560578">
        <w:rPr>
          <w:rFonts w:ascii="Times New Roman" w:hAnsi="Times New Roman" w:cs="Times New Roman"/>
          <w:sz w:val="20"/>
          <w:szCs w:val="20"/>
          <w:lang w:val="en-US"/>
        </w:rPr>
        <w:t>ha</w:t>
      </w:r>
      <w:r w:rsidR="00895982" w:rsidRPr="00560578">
        <w:rPr>
          <w:rFonts w:ascii="Times New Roman" w:hAnsi="Times New Roman" w:cs="Times New Roman"/>
          <w:sz w:val="20"/>
          <w:szCs w:val="20"/>
          <w:lang w:val="en-US"/>
        </w:rPr>
        <w:t>d</w:t>
      </w:r>
      <w:r w:rsidR="0065605F" w:rsidRPr="00560578">
        <w:rPr>
          <w:rFonts w:ascii="Times New Roman" w:hAnsi="Times New Roman" w:cs="Times New Roman"/>
          <w:sz w:val="20"/>
          <w:szCs w:val="20"/>
          <w:lang w:val="en-US"/>
        </w:rPr>
        <w:t xml:space="preserve"> been </w:t>
      </w:r>
      <w:r w:rsidR="006B2BCC" w:rsidRPr="00560578">
        <w:rPr>
          <w:rFonts w:ascii="Times New Roman" w:hAnsi="Times New Roman" w:cs="Times New Roman"/>
          <w:sz w:val="20"/>
          <w:szCs w:val="20"/>
          <w:lang w:val="en-US"/>
        </w:rPr>
        <w:t xml:space="preserve">taken of </w:t>
      </w:r>
      <w:r w:rsidR="00895982" w:rsidRPr="00560578">
        <w:rPr>
          <w:rFonts w:ascii="Times New Roman" w:hAnsi="Times New Roman" w:cs="Times New Roman"/>
          <w:sz w:val="20"/>
          <w:szCs w:val="20"/>
          <w:lang w:val="en-US"/>
        </w:rPr>
        <w:t xml:space="preserve">her </w:t>
      </w:r>
      <w:r w:rsidR="006B2BCC" w:rsidRPr="00560578">
        <w:rPr>
          <w:rFonts w:ascii="Times New Roman" w:hAnsi="Times New Roman" w:cs="Times New Roman"/>
          <w:sz w:val="20"/>
          <w:szCs w:val="20"/>
          <w:lang w:val="en-US"/>
        </w:rPr>
        <w:t xml:space="preserve">concerns and not only of the views of the authorities. </w:t>
      </w:r>
    </w:p>
    <w:p w14:paraId="482EDC24" w14:textId="77777777" w:rsidR="00BD45EE" w:rsidRPr="00560578" w:rsidRDefault="00895982" w:rsidP="00366DC0">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In this regard, t</w:t>
      </w:r>
      <w:r w:rsidR="00080A09" w:rsidRPr="00560578">
        <w:rPr>
          <w:rFonts w:ascii="Times New Roman" w:eastAsia="Times New Roman" w:hAnsi="Times New Roman" w:cs="Times New Roman"/>
          <w:sz w:val="20"/>
          <w:szCs w:val="20"/>
        </w:rPr>
        <w:t xml:space="preserve">he </w:t>
      </w:r>
      <w:r w:rsidRPr="00560578">
        <w:rPr>
          <w:rFonts w:ascii="Times New Roman" w:eastAsia="Times New Roman" w:hAnsi="Times New Roman" w:cs="Times New Roman"/>
          <w:sz w:val="20"/>
          <w:szCs w:val="20"/>
        </w:rPr>
        <w:t xml:space="preserve">Party concerned has not provided the </w:t>
      </w:r>
      <w:r w:rsidR="00080A09" w:rsidRPr="00560578">
        <w:rPr>
          <w:rFonts w:ascii="Times New Roman" w:eastAsia="Times New Roman" w:hAnsi="Times New Roman" w:cs="Times New Roman"/>
          <w:sz w:val="20"/>
          <w:szCs w:val="20"/>
        </w:rPr>
        <w:t xml:space="preserve">Committee with </w:t>
      </w:r>
      <w:r w:rsidR="007A0F12" w:rsidRPr="00560578">
        <w:rPr>
          <w:rFonts w:ascii="Times New Roman" w:eastAsia="Times New Roman" w:hAnsi="Times New Roman" w:cs="Times New Roman"/>
          <w:sz w:val="20"/>
          <w:szCs w:val="20"/>
        </w:rPr>
        <w:t xml:space="preserve">any evidence </w:t>
      </w:r>
      <w:r w:rsidRPr="00560578">
        <w:rPr>
          <w:rFonts w:ascii="Times New Roman" w:eastAsia="Times New Roman" w:hAnsi="Times New Roman" w:cs="Times New Roman"/>
          <w:sz w:val="20"/>
          <w:szCs w:val="20"/>
        </w:rPr>
        <w:t xml:space="preserve">that it took </w:t>
      </w:r>
      <w:r w:rsidR="00494589" w:rsidRPr="00560578">
        <w:rPr>
          <w:rFonts w:ascii="Times New Roman" w:eastAsia="Times New Roman" w:hAnsi="Times New Roman" w:cs="Times New Roman"/>
          <w:sz w:val="20"/>
          <w:szCs w:val="20"/>
        </w:rPr>
        <w:t xml:space="preserve">efforts, </w:t>
      </w:r>
      <w:r w:rsidR="00494589" w:rsidRPr="00560578">
        <w:rPr>
          <w:rFonts w:ascii="Times New Roman" w:hAnsi="Times New Roman" w:cs="Times New Roman"/>
          <w:sz w:val="20"/>
          <w:szCs w:val="20"/>
          <w:lang w:val="en-US"/>
        </w:rPr>
        <w:t xml:space="preserve">whether formal or informal, to </w:t>
      </w:r>
      <w:r w:rsidR="00101E85" w:rsidRPr="00560578">
        <w:rPr>
          <w:rFonts w:ascii="Times New Roman" w:hAnsi="Times New Roman" w:cs="Times New Roman"/>
          <w:sz w:val="20"/>
          <w:szCs w:val="20"/>
          <w:lang w:val="en-US"/>
        </w:rPr>
        <w:t>facilitate</w:t>
      </w:r>
      <w:r w:rsidRPr="00560578">
        <w:rPr>
          <w:rFonts w:ascii="Times New Roman" w:hAnsi="Times New Roman" w:cs="Times New Roman"/>
          <w:sz w:val="20"/>
          <w:szCs w:val="20"/>
          <w:lang w:val="en-US"/>
        </w:rPr>
        <w:t xml:space="preserve"> Ms. </w:t>
      </w:r>
      <w:proofErr w:type="spellStart"/>
      <w:r w:rsidRPr="00560578">
        <w:rPr>
          <w:rFonts w:ascii="Times New Roman" w:hAnsi="Times New Roman" w:cs="Times New Roman"/>
          <w:sz w:val="20"/>
          <w:szCs w:val="20"/>
          <w:lang w:val="en-US"/>
        </w:rPr>
        <w:t>Artmann’s</w:t>
      </w:r>
      <w:proofErr w:type="spellEnd"/>
      <w:r w:rsidRPr="00560578">
        <w:rPr>
          <w:rFonts w:ascii="Times New Roman" w:hAnsi="Times New Roman" w:cs="Times New Roman"/>
          <w:sz w:val="20"/>
          <w:szCs w:val="20"/>
          <w:lang w:val="en-US"/>
        </w:rPr>
        <w:t xml:space="preserve"> </w:t>
      </w:r>
      <w:r w:rsidR="00494589" w:rsidRPr="00560578">
        <w:rPr>
          <w:rFonts w:ascii="Times New Roman" w:hAnsi="Times New Roman" w:cs="Times New Roman"/>
          <w:sz w:val="20"/>
          <w:szCs w:val="20"/>
          <w:lang w:val="en-US"/>
        </w:rPr>
        <w:t xml:space="preserve">request </w:t>
      </w:r>
      <w:r w:rsidR="00101E85" w:rsidRPr="00560578">
        <w:rPr>
          <w:rFonts w:ascii="Times New Roman" w:hAnsi="Times New Roman" w:cs="Times New Roman"/>
          <w:sz w:val="20"/>
          <w:szCs w:val="20"/>
          <w:lang w:val="en-US"/>
        </w:rPr>
        <w:t xml:space="preserve">to participate, e.g. </w:t>
      </w:r>
      <w:r w:rsidRPr="00560578">
        <w:rPr>
          <w:rFonts w:ascii="Times New Roman" w:hAnsi="Times New Roman" w:cs="Times New Roman"/>
          <w:sz w:val="20"/>
          <w:szCs w:val="20"/>
          <w:lang w:val="en-US"/>
        </w:rPr>
        <w:t xml:space="preserve">to </w:t>
      </w:r>
      <w:r w:rsidR="00494589" w:rsidRPr="00560578">
        <w:rPr>
          <w:rFonts w:ascii="Times New Roman" w:hAnsi="Times New Roman" w:cs="Times New Roman"/>
          <w:sz w:val="20"/>
          <w:szCs w:val="20"/>
          <w:lang w:val="en-US"/>
        </w:rPr>
        <w:t xml:space="preserve">inquire with the competent authorities in the </w:t>
      </w:r>
      <w:r w:rsidR="00494589" w:rsidRPr="00560578">
        <w:rPr>
          <w:rFonts w:ascii="Times New Roman" w:eastAsia="Times New Roman" w:hAnsi="Times New Roman" w:cs="Times New Roman"/>
          <w:sz w:val="20"/>
          <w:szCs w:val="20"/>
        </w:rPr>
        <w:t xml:space="preserve">United Kingdom </w:t>
      </w:r>
      <w:r w:rsidR="00494589" w:rsidRPr="00560578">
        <w:rPr>
          <w:rFonts w:ascii="Times New Roman" w:hAnsi="Times New Roman" w:cs="Times New Roman"/>
          <w:sz w:val="20"/>
          <w:szCs w:val="20"/>
          <w:lang w:val="en-US"/>
        </w:rPr>
        <w:t xml:space="preserve">how the German public </w:t>
      </w:r>
      <w:r w:rsidRPr="00560578">
        <w:rPr>
          <w:rFonts w:ascii="Times New Roman" w:hAnsi="Times New Roman" w:cs="Times New Roman"/>
          <w:sz w:val="20"/>
          <w:szCs w:val="20"/>
          <w:lang w:val="en-US"/>
        </w:rPr>
        <w:t xml:space="preserve">might </w:t>
      </w:r>
      <w:r w:rsidR="00494589" w:rsidRPr="00560578">
        <w:rPr>
          <w:rFonts w:ascii="Times New Roman" w:hAnsi="Times New Roman" w:cs="Times New Roman"/>
          <w:sz w:val="20"/>
          <w:szCs w:val="20"/>
          <w:lang w:val="en-US"/>
        </w:rPr>
        <w:t xml:space="preserve">participate in the </w:t>
      </w:r>
      <w:r w:rsidR="00867CD3" w:rsidRPr="00560578">
        <w:rPr>
          <w:rFonts w:ascii="Times New Roman" w:eastAsia="Times New Roman" w:hAnsi="Times New Roman" w:cs="Times New Roman"/>
          <w:sz w:val="20"/>
          <w:szCs w:val="20"/>
        </w:rPr>
        <w:t xml:space="preserve">decision-making </w:t>
      </w:r>
      <w:r w:rsidRPr="00560578">
        <w:rPr>
          <w:rFonts w:ascii="Times New Roman" w:eastAsia="Times New Roman" w:hAnsi="Times New Roman" w:cs="Times New Roman"/>
          <w:sz w:val="20"/>
          <w:szCs w:val="20"/>
        </w:rPr>
        <w:t xml:space="preserve">on </w:t>
      </w:r>
      <w:proofErr w:type="spellStart"/>
      <w:r w:rsidR="00867CD3" w:rsidRPr="00560578">
        <w:rPr>
          <w:rFonts w:ascii="Times New Roman" w:eastAsia="Times New Roman" w:hAnsi="Times New Roman" w:cs="Times New Roman"/>
          <w:sz w:val="20"/>
          <w:szCs w:val="20"/>
        </w:rPr>
        <w:t>Hinkley</w:t>
      </w:r>
      <w:proofErr w:type="spellEnd"/>
      <w:r w:rsidR="00867CD3" w:rsidRPr="00560578">
        <w:rPr>
          <w:rFonts w:ascii="Times New Roman" w:eastAsia="Times New Roman" w:hAnsi="Times New Roman" w:cs="Times New Roman"/>
          <w:sz w:val="20"/>
          <w:szCs w:val="20"/>
        </w:rPr>
        <w:t xml:space="preserve"> Point C</w:t>
      </w:r>
      <w:r w:rsidR="00494589" w:rsidRPr="00560578">
        <w:rPr>
          <w:rFonts w:ascii="Times New Roman" w:hAnsi="Times New Roman" w:cs="Times New Roman"/>
          <w:sz w:val="20"/>
          <w:szCs w:val="20"/>
        </w:rPr>
        <w:t xml:space="preserve">. Furthermore, </w:t>
      </w:r>
      <w:r w:rsidR="00494589" w:rsidRPr="00560578">
        <w:rPr>
          <w:rFonts w:ascii="Times New Roman" w:eastAsia="Times New Roman" w:hAnsi="Times New Roman" w:cs="Times New Roman"/>
          <w:sz w:val="20"/>
          <w:szCs w:val="20"/>
        </w:rPr>
        <w:t xml:space="preserve">the Party concerned has not presented any evidence </w:t>
      </w:r>
      <w:r w:rsidRPr="00560578">
        <w:rPr>
          <w:rFonts w:ascii="Times New Roman" w:eastAsia="Times New Roman" w:hAnsi="Times New Roman" w:cs="Times New Roman"/>
          <w:sz w:val="20"/>
          <w:szCs w:val="20"/>
        </w:rPr>
        <w:t xml:space="preserve">that it </w:t>
      </w:r>
      <w:r w:rsidR="004E54E9" w:rsidRPr="00560578">
        <w:rPr>
          <w:rFonts w:ascii="Times New Roman" w:eastAsia="Times New Roman" w:hAnsi="Times New Roman" w:cs="Times New Roman"/>
          <w:sz w:val="20"/>
          <w:szCs w:val="20"/>
        </w:rPr>
        <w:t xml:space="preserve">even </w:t>
      </w:r>
      <w:r w:rsidR="00494589" w:rsidRPr="00560578">
        <w:rPr>
          <w:rFonts w:ascii="Times New Roman" w:eastAsia="Times New Roman" w:hAnsi="Times New Roman" w:cs="Times New Roman"/>
          <w:sz w:val="20"/>
          <w:szCs w:val="20"/>
        </w:rPr>
        <w:t>consider</w:t>
      </w:r>
      <w:r w:rsidRPr="00560578">
        <w:rPr>
          <w:rFonts w:ascii="Times New Roman" w:eastAsia="Times New Roman" w:hAnsi="Times New Roman" w:cs="Times New Roman"/>
          <w:sz w:val="20"/>
          <w:szCs w:val="20"/>
        </w:rPr>
        <w:t xml:space="preserve">ed </w:t>
      </w:r>
      <w:r w:rsidR="00494589" w:rsidRPr="00560578">
        <w:rPr>
          <w:rFonts w:ascii="Times New Roman" w:eastAsia="Times New Roman" w:hAnsi="Times New Roman" w:cs="Times New Roman"/>
          <w:sz w:val="20"/>
          <w:szCs w:val="20"/>
        </w:rPr>
        <w:t>undertaking such efforts</w:t>
      </w:r>
      <w:r w:rsidR="002849BD" w:rsidRPr="00560578">
        <w:rPr>
          <w:rFonts w:ascii="Times New Roman" w:eastAsia="Times New Roman" w:hAnsi="Times New Roman" w:cs="Times New Roman"/>
          <w:sz w:val="20"/>
          <w:szCs w:val="20"/>
        </w:rPr>
        <w:t xml:space="preserve">. </w:t>
      </w:r>
      <w:r w:rsidR="00101E85" w:rsidRPr="00560578">
        <w:rPr>
          <w:rFonts w:ascii="Times New Roman" w:eastAsia="Times New Roman" w:hAnsi="Times New Roman" w:cs="Times New Roman"/>
          <w:sz w:val="20"/>
          <w:szCs w:val="20"/>
        </w:rPr>
        <w:t>In this regard</w:t>
      </w:r>
      <w:r w:rsidR="002849BD" w:rsidRPr="00560578">
        <w:rPr>
          <w:rFonts w:ascii="Times New Roman" w:eastAsia="Times New Roman" w:hAnsi="Times New Roman" w:cs="Times New Roman"/>
          <w:sz w:val="20"/>
          <w:szCs w:val="20"/>
        </w:rPr>
        <w:t>,</w:t>
      </w:r>
      <w:r w:rsidR="00494589" w:rsidRPr="00560578">
        <w:rPr>
          <w:rFonts w:ascii="Times New Roman" w:eastAsia="Times New Roman" w:hAnsi="Times New Roman" w:cs="Times New Roman"/>
          <w:sz w:val="20"/>
          <w:szCs w:val="20"/>
        </w:rPr>
        <w:t xml:space="preserve"> </w:t>
      </w:r>
      <w:r w:rsidR="00BD45EE" w:rsidRPr="00560578">
        <w:rPr>
          <w:rFonts w:ascii="Times New Roman" w:hAnsi="Times New Roman" w:cs="Times New Roman"/>
          <w:sz w:val="20"/>
          <w:szCs w:val="20"/>
          <w:lang w:val="en-US"/>
        </w:rPr>
        <w:t xml:space="preserve">BMU’s letter of 27 March 2013 </w:t>
      </w:r>
      <w:r w:rsidR="00494589" w:rsidRPr="00560578">
        <w:rPr>
          <w:rFonts w:ascii="Times New Roman" w:hAnsi="Times New Roman" w:cs="Times New Roman"/>
          <w:sz w:val="20"/>
          <w:szCs w:val="20"/>
          <w:lang w:val="en-US"/>
        </w:rPr>
        <w:t>refus</w:t>
      </w:r>
      <w:r w:rsidR="00BD45EE" w:rsidRPr="00560578">
        <w:rPr>
          <w:rFonts w:ascii="Times New Roman" w:hAnsi="Times New Roman" w:cs="Times New Roman"/>
          <w:sz w:val="20"/>
          <w:szCs w:val="20"/>
          <w:lang w:val="en-US"/>
        </w:rPr>
        <w:t>ing</w:t>
      </w:r>
      <w:r w:rsidR="00494589" w:rsidRPr="00560578">
        <w:rPr>
          <w:rFonts w:ascii="Times New Roman" w:hAnsi="Times New Roman" w:cs="Times New Roman"/>
          <w:sz w:val="20"/>
          <w:szCs w:val="20"/>
          <w:lang w:val="en-US"/>
        </w:rPr>
        <w:t xml:space="preserve"> </w:t>
      </w:r>
      <w:r w:rsidRPr="00560578">
        <w:rPr>
          <w:rFonts w:ascii="Times New Roman" w:hAnsi="Times New Roman" w:cs="Times New Roman"/>
          <w:sz w:val="20"/>
          <w:szCs w:val="20"/>
          <w:lang w:val="en-US"/>
        </w:rPr>
        <w:t xml:space="preserve">Ms. </w:t>
      </w:r>
      <w:proofErr w:type="spellStart"/>
      <w:r w:rsidRPr="00560578">
        <w:rPr>
          <w:rFonts w:ascii="Times New Roman" w:hAnsi="Times New Roman" w:cs="Times New Roman"/>
          <w:sz w:val="20"/>
          <w:szCs w:val="20"/>
          <w:lang w:val="en-US"/>
        </w:rPr>
        <w:t>Artmann’s</w:t>
      </w:r>
      <w:proofErr w:type="spellEnd"/>
      <w:r w:rsidRPr="00560578">
        <w:rPr>
          <w:rFonts w:ascii="Times New Roman" w:hAnsi="Times New Roman" w:cs="Times New Roman"/>
          <w:sz w:val="20"/>
          <w:szCs w:val="20"/>
          <w:lang w:val="en-US"/>
        </w:rPr>
        <w:t xml:space="preserve"> </w:t>
      </w:r>
      <w:r w:rsidR="00494589" w:rsidRPr="00560578">
        <w:rPr>
          <w:rFonts w:ascii="Times New Roman" w:hAnsi="Times New Roman" w:cs="Times New Roman"/>
          <w:sz w:val="20"/>
          <w:szCs w:val="20"/>
          <w:lang w:val="en-US"/>
        </w:rPr>
        <w:t>req</w:t>
      </w:r>
      <w:r w:rsidR="002849BD" w:rsidRPr="00560578">
        <w:rPr>
          <w:rFonts w:ascii="Times New Roman" w:hAnsi="Times New Roman" w:cs="Times New Roman"/>
          <w:sz w:val="20"/>
          <w:szCs w:val="20"/>
          <w:lang w:val="en-US"/>
        </w:rPr>
        <w:t xml:space="preserve">uest did not include any </w:t>
      </w:r>
      <w:r w:rsidRPr="00560578">
        <w:rPr>
          <w:rFonts w:ascii="Times New Roman" w:hAnsi="Times New Roman" w:cs="Times New Roman"/>
          <w:sz w:val="20"/>
          <w:szCs w:val="20"/>
          <w:lang w:val="en-US"/>
        </w:rPr>
        <w:t xml:space="preserve">evidence </w:t>
      </w:r>
      <w:r w:rsidR="002849BD" w:rsidRPr="00560578">
        <w:rPr>
          <w:rFonts w:ascii="Times New Roman" w:hAnsi="Times New Roman" w:cs="Times New Roman"/>
          <w:sz w:val="20"/>
          <w:szCs w:val="20"/>
          <w:lang w:val="en-US"/>
        </w:rPr>
        <w:t>of taking due account</w:t>
      </w:r>
      <w:r w:rsidR="00494589" w:rsidRPr="00560578">
        <w:rPr>
          <w:rFonts w:ascii="Times New Roman" w:hAnsi="Times New Roman" w:cs="Times New Roman"/>
          <w:sz w:val="20"/>
          <w:szCs w:val="20"/>
          <w:lang w:val="en-US"/>
        </w:rPr>
        <w:t xml:space="preserve"> of </w:t>
      </w:r>
      <w:r w:rsidRPr="00560578">
        <w:rPr>
          <w:rFonts w:ascii="Times New Roman" w:hAnsi="Times New Roman" w:cs="Times New Roman"/>
          <w:sz w:val="20"/>
          <w:szCs w:val="20"/>
          <w:lang w:val="en-US"/>
        </w:rPr>
        <w:t xml:space="preserve">her </w:t>
      </w:r>
      <w:r w:rsidR="00494589" w:rsidRPr="00560578">
        <w:rPr>
          <w:rFonts w:ascii="Times New Roman" w:hAnsi="Times New Roman" w:cs="Times New Roman"/>
          <w:sz w:val="20"/>
          <w:szCs w:val="20"/>
          <w:lang w:val="en-US"/>
        </w:rPr>
        <w:t xml:space="preserve">concerns </w:t>
      </w:r>
      <w:r w:rsidRPr="00560578">
        <w:rPr>
          <w:rFonts w:ascii="Times New Roman" w:hAnsi="Times New Roman" w:cs="Times New Roman"/>
          <w:sz w:val="20"/>
          <w:szCs w:val="20"/>
          <w:lang w:val="en-US"/>
        </w:rPr>
        <w:t xml:space="preserve">but rather referred only to </w:t>
      </w:r>
      <w:r w:rsidR="00494589" w:rsidRPr="00560578">
        <w:rPr>
          <w:rFonts w:ascii="Times New Roman" w:hAnsi="Times New Roman" w:cs="Times New Roman"/>
          <w:sz w:val="20"/>
          <w:szCs w:val="20"/>
          <w:lang w:val="en-US"/>
        </w:rPr>
        <w:t>the views of the authorities.</w:t>
      </w:r>
      <w:r w:rsidR="00BD45EE" w:rsidRPr="00560578">
        <w:rPr>
          <w:rFonts w:ascii="Times New Roman" w:hAnsi="Times New Roman" w:cs="Times New Roman"/>
          <w:sz w:val="20"/>
          <w:szCs w:val="20"/>
          <w:lang w:val="en-US"/>
        </w:rPr>
        <w:t xml:space="preserve"> </w:t>
      </w:r>
    </w:p>
    <w:p w14:paraId="48C024D9" w14:textId="2726A226" w:rsidR="00806B77" w:rsidRPr="00560578" w:rsidRDefault="00BA4C9F" w:rsidP="00D32246">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hAnsi="Times New Roman" w:cs="Times New Roman"/>
          <w:sz w:val="20"/>
          <w:szCs w:val="20"/>
        </w:rPr>
        <w:t>I</w:t>
      </w:r>
      <w:r w:rsidR="00894869" w:rsidRPr="00560578">
        <w:rPr>
          <w:rFonts w:ascii="Times New Roman" w:hAnsi="Times New Roman" w:cs="Times New Roman"/>
          <w:sz w:val="20"/>
          <w:szCs w:val="20"/>
        </w:rPr>
        <w:t>n this context, w</w:t>
      </w:r>
      <w:r w:rsidR="009403E3" w:rsidRPr="00560578">
        <w:rPr>
          <w:rFonts w:ascii="Times New Roman" w:hAnsi="Times New Roman" w:cs="Times New Roman"/>
          <w:sz w:val="20"/>
          <w:szCs w:val="20"/>
        </w:rPr>
        <w:t xml:space="preserve">ithout making a </w:t>
      </w:r>
      <w:r w:rsidR="00894869" w:rsidRPr="00560578">
        <w:rPr>
          <w:rFonts w:ascii="Times New Roman" w:hAnsi="Times New Roman" w:cs="Times New Roman"/>
          <w:sz w:val="20"/>
          <w:szCs w:val="20"/>
        </w:rPr>
        <w:t xml:space="preserve">specific </w:t>
      </w:r>
      <w:r w:rsidR="009403E3" w:rsidRPr="00560578">
        <w:rPr>
          <w:rFonts w:ascii="Times New Roman" w:hAnsi="Times New Roman" w:cs="Times New Roman"/>
          <w:sz w:val="20"/>
          <w:szCs w:val="20"/>
        </w:rPr>
        <w:t xml:space="preserve">finding on this point, </w:t>
      </w:r>
      <w:r w:rsidR="00663908" w:rsidRPr="00560578">
        <w:rPr>
          <w:rFonts w:ascii="Times New Roman" w:hAnsi="Times New Roman" w:cs="Times New Roman"/>
          <w:sz w:val="20"/>
          <w:szCs w:val="20"/>
        </w:rPr>
        <w:t>the Committee notes that</w:t>
      </w:r>
      <w:r w:rsidR="00A12358" w:rsidRPr="00560578">
        <w:rPr>
          <w:rFonts w:ascii="Times New Roman" w:hAnsi="Times New Roman" w:cs="Times New Roman"/>
          <w:sz w:val="20"/>
          <w:szCs w:val="20"/>
        </w:rPr>
        <w:t xml:space="preserve"> article </w:t>
      </w:r>
      <w:proofErr w:type="gramStart"/>
      <w:r w:rsidR="00A12358" w:rsidRPr="00560578">
        <w:rPr>
          <w:rFonts w:ascii="Times New Roman" w:hAnsi="Times New Roman" w:cs="Times New Roman"/>
          <w:sz w:val="20"/>
          <w:szCs w:val="20"/>
        </w:rPr>
        <w:t>5,</w:t>
      </w:r>
      <w:proofErr w:type="gramEnd"/>
      <w:r w:rsidR="00A12358" w:rsidRPr="00560578">
        <w:rPr>
          <w:rFonts w:ascii="Times New Roman" w:hAnsi="Times New Roman" w:cs="Times New Roman"/>
          <w:sz w:val="20"/>
          <w:szCs w:val="20"/>
        </w:rPr>
        <w:t xml:space="preserve"> paragraph 5(c) requires each Party to take measures within the framework of its legislation for the purpose of disseminating significant international documents on environmental issues</w:t>
      </w:r>
      <w:r w:rsidR="00806B77" w:rsidRPr="00560578">
        <w:rPr>
          <w:rFonts w:ascii="Times New Roman" w:hAnsi="Times New Roman" w:cs="Times New Roman"/>
          <w:sz w:val="20"/>
          <w:szCs w:val="20"/>
        </w:rPr>
        <w:t xml:space="preserve">. The Committee considers that such documents </w:t>
      </w:r>
      <w:r w:rsidR="00736DE4" w:rsidRPr="00560578">
        <w:rPr>
          <w:rFonts w:ascii="Times New Roman" w:hAnsi="Times New Roman" w:cs="Times New Roman"/>
          <w:sz w:val="20"/>
          <w:szCs w:val="20"/>
        </w:rPr>
        <w:t xml:space="preserve">clearly </w:t>
      </w:r>
      <w:r w:rsidR="00806B77" w:rsidRPr="00560578">
        <w:rPr>
          <w:rFonts w:ascii="Times New Roman" w:hAnsi="Times New Roman" w:cs="Times New Roman"/>
          <w:sz w:val="20"/>
          <w:szCs w:val="20"/>
        </w:rPr>
        <w:t>include significant documents concerning decision-making in environmental matters outside the jurisdiction of the Party concerned</w:t>
      </w:r>
      <w:r w:rsidR="00736DE4" w:rsidRPr="00560578">
        <w:rPr>
          <w:rFonts w:ascii="Times New Roman" w:hAnsi="Times New Roman" w:cs="Times New Roman"/>
          <w:sz w:val="20"/>
          <w:szCs w:val="20"/>
        </w:rPr>
        <w:t>, such as notifications, opinions (e.g. the European Commission’s opinion of 3 February 2012) or other relevant information</w:t>
      </w:r>
      <w:r w:rsidR="00806B77" w:rsidRPr="00560578">
        <w:rPr>
          <w:rFonts w:ascii="Times New Roman" w:hAnsi="Times New Roman" w:cs="Times New Roman"/>
          <w:sz w:val="20"/>
          <w:szCs w:val="20"/>
        </w:rPr>
        <w:t xml:space="preserve"> received pursuant to the Espoo Convention</w:t>
      </w:r>
      <w:r w:rsidR="00736DE4" w:rsidRPr="00560578">
        <w:rPr>
          <w:rFonts w:ascii="Times New Roman" w:hAnsi="Times New Roman" w:cs="Times New Roman"/>
          <w:sz w:val="20"/>
          <w:szCs w:val="20"/>
        </w:rPr>
        <w:t xml:space="preserve"> or applicable EU legislation. </w:t>
      </w:r>
      <w:r w:rsidR="00A12358" w:rsidRPr="00560578">
        <w:rPr>
          <w:rFonts w:ascii="Times New Roman" w:hAnsi="Times New Roman" w:cs="Times New Roman"/>
          <w:sz w:val="20"/>
          <w:szCs w:val="20"/>
          <w:lang w:val="en-US"/>
        </w:rPr>
        <w:t>T</w:t>
      </w:r>
      <w:r w:rsidR="005E0660" w:rsidRPr="00560578">
        <w:rPr>
          <w:rFonts w:ascii="Times New Roman" w:hAnsi="Times New Roman" w:cs="Times New Roman"/>
          <w:sz w:val="20"/>
          <w:szCs w:val="20"/>
          <w:lang w:val="en-US"/>
        </w:rPr>
        <w:t xml:space="preserve">he Committee has not been provided with any information regarding </w:t>
      </w:r>
      <w:r w:rsidR="00204C3F" w:rsidRPr="00560578">
        <w:rPr>
          <w:rFonts w:ascii="Times New Roman" w:hAnsi="Times New Roman" w:cs="Times New Roman"/>
          <w:sz w:val="20"/>
          <w:szCs w:val="20"/>
          <w:lang w:val="en-US"/>
        </w:rPr>
        <w:t xml:space="preserve">the </w:t>
      </w:r>
      <w:r w:rsidR="005E0660" w:rsidRPr="00560578">
        <w:rPr>
          <w:rFonts w:ascii="Times New Roman" w:hAnsi="Times New Roman" w:cs="Times New Roman"/>
          <w:sz w:val="20"/>
          <w:szCs w:val="20"/>
          <w:lang w:val="en-US"/>
        </w:rPr>
        <w:t xml:space="preserve">existence of any routines or procedures in the Party concerned </w:t>
      </w:r>
      <w:r w:rsidR="00D32246" w:rsidRPr="00560578">
        <w:rPr>
          <w:rFonts w:ascii="Times New Roman" w:hAnsi="Times New Roman" w:cs="Times New Roman"/>
          <w:sz w:val="20"/>
          <w:szCs w:val="20"/>
          <w:lang w:val="en-US"/>
        </w:rPr>
        <w:t xml:space="preserve">intended </w:t>
      </w:r>
      <w:r w:rsidR="005E0660" w:rsidRPr="00560578">
        <w:rPr>
          <w:rFonts w:ascii="Times New Roman" w:hAnsi="Times New Roman" w:cs="Times New Roman"/>
          <w:sz w:val="20"/>
          <w:szCs w:val="20"/>
          <w:lang w:val="en-US"/>
        </w:rPr>
        <w:t xml:space="preserve">to </w:t>
      </w:r>
      <w:r w:rsidR="00D32246" w:rsidRPr="00560578">
        <w:rPr>
          <w:rFonts w:ascii="Times New Roman" w:hAnsi="Times New Roman" w:cs="Times New Roman"/>
          <w:sz w:val="20"/>
          <w:szCs w:val="20"/>
          <w:lang w:val="en-US"/>
        </w:rPr>
        <w:t xml:space="preserve">ensure that </w:t>
      </w:r>
      <w:r w:rsidR="00576724" w:rsidRPr="00560578">
        <w:rPr>
          <w:rFonts w:ascii="Times New Roman" w:hAnsi="Times New Roman" w:cs="Times New Roman"/>
          <w:sz w:val="20"/>
          <w:szCs w:val="20"/>
          <w:lang w:val="en-US"/>
        </w:rPr>
        <w:t xml:space="preserve">such documents are </w:t>
      </w:r>
      <w:r w:rsidR="005E0660" w:rsidRPr="00560578">
        <w:rPr>
          <w:rFonts w:ascii="Times New Roman" w:hAnsi="Times New Roman" w:cs="Times New Roman"/>
          <w:sz w:val="20"/>
          <w:szCs w:val="20"/>
          <w:lang w:val="en-US" w:eastAsia="pl-PL"/>
        </w:rPr>
        <w:t>disseminate</w:t>
      </w:r>
      <w:r w:rsidR="00576724" w:rsidRPr="00560578">
        <w:rPr>
          <w:rFonts w:ascii="Times New Roman" w:hAnsi="Times New Roman" w:cs="Times New Roman"/>
          <w:sz w:val="20"/>
          <w:szCs w:val="20"/>
          <w:lang w:val="en-US" w:eastAsia="pl-PL"/>
        </w:rPr>
        <w:t>d</w:t>
      </w:r>
      <w:r w:rsidR="005E0660" w:rsidRPr="00560578">
        <w:rPr>
          <w:rFonts w:ascii="Times New Roman" w:hAnsi="Times New Roman" w:cs="Times New Roman"/>
          <w:sz w:val="20"/>
          <w:szCs w:val="20"/>
          <w:lang w:val="en-US" w:eastAsia="pl-PL"/>
        </w:rPr>
        <w:t xml:space="preserve"> </w:t>
      </w:r>
      <w:r w:rsidR="00576724" w:rsidRPr="00560578">
        <w:rPr>
          <w:rFonts w:ascii="Times New Roman" w:hAnsi="Times New Roman" w:cs="Times New Roman"/>
          <w:sz w:val="20"/>
          <w:szCs w:val="20"/>
          <w:lang w:val="en-US" w:eastAsia="pl-PL"/>
        </w:rPr>
        <w:t>to the public</w:t>
      </w:r>
      <w:r w:rsidR="005E0660" w:rsidRPr="00560578">
        <w:rPr>
          <w:rFonts w:ascii="Times New Roman" w:hAnsi="Times New Roman" w:cs="Times New Roman"/>
          <w:sz w:val="20"/>
          <w:szCs w:val="20"/>
          <w:lang w:val="en-US" w:eastAsia="pl-PL"/>
        </w:rPr>
        <w:t xml:space="preserve"> </w:t>
      </w:r>
      <w:r w:rsidR="00576724" w:rsidRPr="00560578">
        <w:rPr>
          <w:rFonts w:ascii="Times New Roman" w:hAnsi="Times New Roman" w:cs="Times New Roman"/>
          <w:sz w:val="20"/>
          <w:szCs w:val="20"/>
          <w:lang w:val="en-US" w:eastAsia="pl-PL"/>
        </w:rPr>
        <w:t xml:space="preserve">(e.g. by </w:t>
      </w:r>
      <w:r w:rsidR="005E0660" w:rsidRPr="00560578">
        <w:rPr>
          <w:rFonts w:ascii="Times New Roman" w:hAnsi="Times New Roman" w:cs="Times New Roman"/>
          <w:sz w:val="20"/>
          <w:szCs w:val="20"/>
          <w:lang w:val="en-US" w:eastAsia="pl-PL"/>
        </w:rPr>
        <w:t>posting on relevant websites)</w:t>
      </w:r>
      <w:r w:rsidR="00CA5E48" w:rsidRPr="00560578">
        <w:rPr>
          <w:rFonts w:ascii="Times New Roman" w:hAnsi="Times New Roman" w:cs="Times New Roman"/>
          <w:sz w:val="20"/>
          <w:szCs w:val="20"/>
          <w:lang w:val="en-US" w:eastAsia="pl-PL"/>
        </w:rPr>
        <w:t xml:space="preserve"> in accordance with article 5, paragraph 5 (c) of the Convention</w:t>
      </w:r>
      <w:r w:rsidR="005E0660" w:rsidRPr="00560578">
        <w:rPr>
          <w:rFonts w:ascii="Times New Roman" w:hAnsi="Times New Roman" w:cs="Times New Roman"/>
          <w:color w:val="000000"/>
          <w:sz w:val="20"/>
          <w:szCs w:val="20"/>
          <w:lang w:val="en-US" w:eastAsia="pl-PL"/>
        </w:rPr>
        <w:t xml:space="preserve">. </w:t>
      </w:r>
    </w:p>
    <w:p w14:paraId="0E527586" w14:textId="67A19DB1" w:rsidR="00867CD3" w:rsidRPr="00560578" w:rsidRDefault="00894869" w:rsidP="00736DE4">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hAnsi="Times New Roman" w:cs="Times New Roman"/>
          <w:sz w:val="20"/>
          <w:szCs w:val="20"/>
          <w:lang w:val="en-US"/>
        </w:rPr>
        <w:t>As regards article 3, paragraph 2, of the Convention, b</w:t>
      </w:r>
      <w:r w:rsidR="00366DC0" w:rsidRPr="00560578">
        <w:rPr>
          <w:rFonts w:ascii="Times New Roman" w:hAnsi="Times New Roman" w:cs="Times New Roman"/>
          <w:sz w:val="20"/>
          <w:szCs w:val="20"/>
          <w:lang w:val="en-US"/>
        </w:rPr>
        <w:t xml:space="preserve">earing in mind </w:t>
      </w:r>
      <w:r w:rsidR="00867CD3" w:rsidRPr="00560578">
        <w:rPr>
          <w:rFonts w:ascii="Times New Roman" w:hAnsi="Times New Roman" w:cs="Times New Roman"/>
          <w:sz w:val="20"/>
          <w:szCs w:val="20"/>
          <w:lang w:val="en-US"/>
        </w:rPr>
        <w:t xml:space="preserve">that the interest of the </w:t>
      </w:r>
      <w:r w:rsidR="00101E85" w:rsidRPr="00560578">
        <w:rPr>
          <w:rFonts w:ascii="Times New Roman" w:hAnsi="Times New Roman" w:cs="Times New Roman"/>
          <w:sz w:val="20"/>
          <w:szCs w:val="20"/>
          <w:lang w:val="en-US"/>
        </w:rPr>
        <w:t xml:space="preserve">German </w:t>
      </w:r>
      <w:r w:rsidR="00867CD3" w:rsidRPr="00560578">
        <w:rPr>
          <w:rFonts w:ascii="Times New Roman" w:hAnsi="Times New Roman" w:cs="Times New Roman"/>
          <w:sz w:val="20"/>
          <w:szCs w:val="20"/>
          <w:lang w:val="en-US"/>
        </w:rPr>
        <w:t>public in decision-making regarding construction of nuclear power plant</w:t>
      </w:r>
      <w:r w:rsidR="00101E85" w:rsidRPr="00560578">
        <w:rPr>
          <w:rFonts w:ascii="Times New Roman" w:hAnsi="Times New Roman" w:cs="Times New Roman"/>
          <w:sz w:val="20"/>
          <w:szCs w:val="20"/>
          <w:lang w:val="en-US"/>
        </w:rPr>
        <w:t>s</w:t>
      </w:r>
      <w:r w:rsidR="00867CD3" w:rsidRPr="00560578">
        <w:rPr>
          <w:rFonts w:ascii="Times New Roman" w:hAnsi="Times New Roman" w:cs="Times New Roman"/>
          <w:sz w:val="20"/>
          <w:szCs w:val="20"/>
          <w:lang w:val="en-US"/>
        </w:rPr>
        <w:t xml:space="preserve">, in particular in such proximity to Germany as </w:t>
      </w:r>
      <w:proofErr w:type="spellStart"/>
      <w:r w:rsidR="00867CD3" w:rsidRPr="00560578">
        <w:rPr>
          <w:rFonts w:ascii="Times New Roman" w:eastAsia="Times New Roman" w:hAnsi="Times New Roman" w:cs="Times New Roman"/>
          <w:sz w:val="20"/>
          <w:szCs w:val="20"/>
        </w:rPr>
        <w:t>Hinkley</w:t>
      </w:r>
      <w:proofErr w:type="spellEnd"/>
      <w:r w:rsidR="00867CD3" w:rsidRPr="00560578">
        <w:rPr>
          <w:rFonts w:ascii="Times New Roman" w:eastAsia="Times New Roman" w:hAnsi="Times New Roman" w:cs="Times New Roman"/>
          <w:sz w:val="20"/>
          <w:szCs w:val="20"/>
        </w:rPr>
        <w:t xml:space="preserve"> Point C</w:t>
      </w:r>
      <w:r w:rsidR="00867CD3" w:rsidRPr="00560578">
        <w:rPr>
          <w:rFonts w:ascii="Times New Roman" w:hAnsi="Times New Roman" w:cs="Times New Roman"/>
          <w:sz w:val="20"/>
          <w:szCs w:val="20"/>
        </w:rPr>
        <w:t xml:space="preserve">, </w:t>
      </w:r>
      <w:r w:rsidR="00657EE0" w:rsidRPr="00560578">
        <w:rPr>
          <w:rFonts w:ascii="Times New Roman" w:hAnsi="Times New Roman" w:cs="Times New Roman"/>
          <w:sz w:val="20"/>
          <w:szCs w:val="20"/>
        </w:rPr>
        <w:t>was</w:t>
      </w:r>
      <w:r w:rsidR="00867CD3" w:rsidRPr="00560578">
        <w:rPr>
          <w:rFonts w:ascii="Times New Roman" w:hAnsi="Times New Roman" w:cs="Times New Roman"/>
          <w:sz w:val="20"/>
          <w:szCs w:val="20"/>
        </w:rPr>
        <w:t xml:space="preserve"> well known to the German authorities</w:t>
      </w:r>
      <w:r w:rsidR="00366DC0" w:rsidRPr="00560578">
        <w:rPr>
          <w:rFonts w:ascii="Times New Roman" w:hAnsi="Times New Roman" w:cs="Times New Roman"/>
          <w:sz w:val="20"/>
          <w:szCs w:val="20"/>
        </w:rPr>
        <w:t xml:space="preserve">, the Committee considers that </w:t>
      </w:r>
      <w:r w:rsidR="00101E85" w:rsidRPr="00560578">
        <w:rPr>
          <w:rFonts w:ascii="Times New Roman" w:hAnsi="Times New Roman" w:cs="Times New Roman"/>
          <w:sz w:val="20"/>
          <w:szCs w:val="20"/>
        </w:rPr>
        <w:t xml:space="preserve">the Party </w:t>
      </w:r>
      <w:proofErr w:type="spellStart"/>
      <w:r w:rsidR="00101E85" w:rsidRPr="00560578">
        <w:rPr>
          <w:rFonts w:ascii="Times New Roman" w:hAnsi="Times New Roman" w:cs="Times New Roman"/>
          <w:sz w:val="20"/>
          <w:szCs w:val="20"/>
        </w:rPr>
        <w:t>concerned</w:t>
      </w:r>
      <w:r w:rsidR="00366DC0" w:rsidRPr="00560578">
        <w:rPr>
          <w:rFonts w:ascii="Times New Roman" w:hAnsi="Times New Roman" w:cs="Times New Roman"/>
          <w:sz w:val="20"/>
          <w:szCs w:val="20"/>
        </w:rPr>
        <w:t>’s</w:t>
      </w:r>
      <w:proofErr w:type="spellEnd"/>
      <w:r w:rsidR="00366DC0" w:rsidRPr="00560578">
        <w:rPr>
          <w:rFonts w:ascii="Times New Roman" w:hAnsi="Times New Roman" w:cs="Times New Roman"/>
          <w:sz w:val="20"/>
          <w:szCs w:val="20"/>
        </w:rPr>
        <w:t xml:space="preserve"> </w:t>
      </w:r>
      <w:r w:rsidR="007337B0" w:rsidRPr="00560578">
        <w:rPr>
          <w:rFonts w:ascii="Times New Roman" w:hAnsi="Times New Roman" w:cs="Times New Roman"/>
          <w:sz w:val="20"/>
          <w:szCs w:val="20"/>
        </w:rPr>
        <w:t>failu</w:t>
      </w:r>
      <w:r w:rsidR="00101E85" w:rsidRPr="00560578">
        <w:rPr>
          <w:rFonts w:ascii="Times New Roman" w:hAnsi="Times New Roman" w:cs="Times New Roman"/>
          <w:sz w:val="20"/>
          <w:szCs w:val="20"/>
        </w:rPr>
        <w:t xml:space="preserve">re to take </w:t>
      </w:r>
      <w:r w:rsidR="00366DC0" w:rsidRPr="00560578">
        <w:rPr>
          <w:rFonts w:ascii="Times New Roman" w:hAnsi="Times New Roman" w:cs="Times New Roman"/>
          <w:sz w:val="20"/>
          <w:szCs w:val="20"/>
        </w:rPr>
        <w:t xml:space="preserve">any </w:t>
      </w:r>
      <w:r w:rsidR="00091D22" w:rsidRPr="00560578">
        <w:rPr>
          <w:rFonts w:ascii="Times New Roman" w:hAnsi="Times New Roman" w:cs="Times New Roman"/>
          <w:sz w:val="20"/>
          <w:szCs w:val="20"/>
        </w:rPr>
        <w:t>actions</w:t>
      </w:r>
      <w:r w:rsidR="00101E85" w:rsidRPr="00560578">
        <w:rPr>
          <w:rFonts w:ascii="Times New Roman" w:hAnsi="Times New Roman" w:cs="Times New Roman"/>
          <w:sz w:val="20"/>
          <w:szCs w:val="20"/>
        </w:rPr>
        <w:t xml:space="preserve"> </w:t>
      </w:r>
      <w:r w:rsidR="00366DC0" w:rsidRPr="00560578">
        <w:rPr>
          <w:rFonts w:ascii="Times New Roman" w:hAnsi="Times New Roman" w:cs="Times New Roman"/>
          <w:sz w:val="20"/>
          <w:szCs w:val="20"/>
        </w:rPr>
        <w:t xml:space="preserve">in response to </w:t>
      </w:r>
      <w:r w:rsidR="00366DC0" w:rsidRPr="00560578">
        <w:rPr>
          <w:rFonts w:ascii="Times New Roman" w:hAnsi="Times New Roman" w:cs="Times New Roman"/>
          <w:sz w:val="20"/>
          <w:szCs w:val="20"/>
          <w:lang w:val="en-US"/>
        </w:rPr>
        <w:t xml:space="preserve">Ms. </w:t>
      </w:r>
      <w:proofErr w:type="spellStart"/>
      <w:r w:rsidR="00366DC0" w:rsidRPr="00560578">
        <w:rPr>
          <w:rFonts w:ascii="Times New Roman" w:hAnsi="Times New Roman" w:cs="Times New Roman"/>
          <w:sz w:val="20"/>
          <w:szCs w:val="20"/>
          <w:lang w:val="en-US"/>
        </w:rPr>
        <w:t>Artmann’s</w:t>
      </w:r>
      <w:proofErr w:type="spellEnd"/>
      <w:r w:rsidR="00366DC0" w:rsidRPr="00560578">
        <w:rPr>
          <w:rFonts w:ascii="Times New Roman" w:hAnsi="Times New Roman" w:cs="Times New Roman"/>
          <w:sz w:val="20"/>
          <w:szCs w:val="20"/>
          <w:lang w:val="en-US"/>
        </w:rPr>
        <w:t xml:space="preserve"> request to facilitate the participation of its public was below the level of effort required from Parties</w:t>
      </w:r>
      <w:r w:rsidR="00BA4C9F" w:rsidRPr="00560578">
        <w:rPr>
          <w:rFonts w:ascii="Times New Roman" w:hAnsi="Times New Roman" w:cs="Times New Roman"/>
          <w:sz w:val="20"/>
          <w:szCs w:val="20"/>
          <w:lang w:val="en-US"/>
        </w:rPr>
        <w:t xml:space="preserve"> under that provision</w:t>
      </w:r>
      <w:r w:rsidR="00867CD3" w:rsidRPr="00560578">
        <w:rPr>
          <w:rFonts w:ascii="Times New Roman" w:eastAsia="Times New Roman" w:hAnsi="Times New Roman" w:cs="Times New Roman"/>
          <w:sz w:val="20"/>
          <w:szCs w:val="20"/>
        </w:rPr>
        <w:t xml:space="preserve">. </w:t>
      </w:r>
      <w:r w:rsidR="0071091C" w:rsidRPr="00560578">
        <w:rPr>
          <w:rFonts w:ascii="Times New Roman" w:eastAsia="Times New Roman" w:hAnsi="Times New Roman" w:cs="Times New Roman"/>
          <w:sz w:val="20"/>
          <w:szCs w:val="20"/>
        </w:rPr>
        <w:t>Therefore</w:t>
      </w:r>
      <w:r w:rsidR="00770B3B" w:rsidRPr="00560578">
        <w:rPr>
          <w:rFonts w:ascii="Times New Roman" w:eastAsia="Times New Roman" w:hAnsi="Times New Roman" w:cs="Times New Roman"/>
          <w:sz w:val="20"/>
          <w:szCs w:val="20"/>
        </w:rPr>
        <w:t>,</w:t>
      </w:r>
      <w:r w:rsidR="00867CD3" w:rsidRPr="00560578">
        <w:rPr>
          <w:rFonts w:ascii="Times New Roman" w:hAnsi="Times New Roman" w:cs="Times New Roman"/>
          <w:sz w:val="20"/>
          <w:szCs w:val="20"/>
          <w:lang w:val="en-US"/>
        </w:rPr>
        <w:t xml:space="preserve"> the Committee</w:t>
      </w:r>
      <w:r w:rsidR="0071091C" w:rsidRPr="00560578">
        <w:rPr>
          <w:rFonts w:ascii="Times New Roman" w:hAnsi="Times New Roman" w:cs="Times New Roman"/>
          <w:sz w:val="20"/>
          <w:szCs w:val="20"/>
          <w:lang w:val="en-US"/>
        </w:rPr>
        <w:t xml:space="preserve"> finds that</w:t>
      </w:r>
      <w:r w:rsidR="00366DC0" w:rsidRPr="00560578">
        <w:rPr>
          <w:rFonts w:ascii="Times New Roman" w:hAnsi="Times New Roman" w:cs="Times New Roman"/>
          <w:sz w:val="20"/>
          <w:szCs w:val="20"/>
          <w:lang w:val="en-US"/>
        </w:rPr>
        <w:t>,</w:t>
      </w:r>
      <w:r w:rsidR="0071091C" w:rsidRPr="00560578">
        <w:rPr>
          <w:rFonts w:ascii="Times New Roman" w:hAnsi="Times New Roman" w:cs="Times New Roman"/>
          <w:sz w:val="20"/>
          <w:szCs w:val="20"/>
          <w:lang w:val="en-US"/>
        </w:rPr>
        <w:t xml:space="preserve"> by not undertaking any efforts to facilitate </w:t>
      </w:r>
      <w:r w:rsidR="00BD45EE" w:rsidRPr="00560578">
        <w:rPr>
          <w:rFonts w:ascii="Times New Roman" w:hAnsi="Times New Roman" w:cs="Times New Roman"/>
          <w:sz w:val="20"/>
          <w:szCs w:val="20"/>
          <w:lang w:val="en-US"/>
        </w:rPr>
        <w:t xml:space="preserve">the </w:t>
      </w:r>
      <w:r w:rsidR="0071091C" w:rsidRPr="00560578">
        <w:rPr>
          <w:rFonts w:ascii="Times New Roman" w:hAnsi="Times New Roman" w:cs="Times New Roman"/>
          <w:sz w:val="20"/>
          <w:szCs w:val="20"/>
          <w:lang w:val="en-US"/>
        </w:rPr>
        <w:t xml:space="preserve">participation of the </w:t>
      </w:r>
      <w:r w:rsidR="00366DC0" w:rsidRPr="00560578">
        <w:rPr>
          <w:rFonts w:ascii="Times New Roman" w:hAnsi="Times New Roman" w:cs="Times New Roman"/>
          <w:sz w:val="20"/>
          <w:szCs w:val="20"/>
          <w:lang w:val="en-US"/>
        </w:rPr>
        <w:t xml:space="preserve">German </w:t>
      </w:r>
      <w:r w:rsidR="0071091C" w:rsidRPr="00560578">
        <w:rPr>
          <w:rFonts w:ascii="Times New Roman" w:hAnsi="Times New Roman" w:cs="Times New Roman"/>
          <w:sz w:val="20"/>
          <w:szCs w:val="20"/>
          <w:lang w:val="en-US"/>
        </w:rPr>
        <w:t xml:space="preserve">public in the decision-making procedure regarding </w:t>
      </w:r>
      <w:proofErr w:type="spellStart"/>
      <w:r w:rsidR="0071091C" w:rsidRPr="00560578">
        <w:rPr>
          <w:rFonts w:ascii="Times New Roman" w:eastAsia="Times New Roman" w:hAnsi="Times New Roman" w:cs="Times New Roman"/>
          <w:sz w:val="20"/>
          <w:szCs w:val="20"/>
        </w:rPr>
        <w:t>Hinkley</w:t>
      </w:r>
      <w:proofErr w:type="spellEnd"/>
      <w:r w:rsidR="0071091C" w:rsidRPr="00560578">
        <w:rPr>
          <w:rFonts w:ascii="Times New Roman" w:eastAsia="Times New Roman" w:hAnsi="Times New Roman" w:cs="Times New Roman"/>
          <w:sz w:val="20"/>
          <w:szCs w:val="20"/>
        </w:rPr>
        <w:t xml:space="preserve"> Point C</w:t>
      </w:r>
      <w:r w:rsidR="00BD45EE" w:rsidRPr="00560578">
        <w:rPr>
          <w:rFonts w:ascii="Times New Roman" w:eastAsia="Times New Roman" w:hAnsi="Times New Roman" w:cs="Times New Roman"/>
          <w:sz w:val="20"/>
          <w:szCs w:val="20"/>
        </w:rPr>
        <w:t xml:space="preserve"> in the face of a </w:t>
      </w:r>
      <w:r w:rsidR="00366DC0" w:rsidRPr="00560578">
        <w:rPr>
          <w:rFonts w:ascii="Times New Roman" w:eastAsia="Times New Roman" w:hAnsi="Times New Roman" w:cs="Times New Roman"/>
          <w:sz w:val="20"/>
          <w:szCs w:val="20"/>
        </w:rPr>
        <w:t xml:space="preserve">clear </w:t>
      </w:r>
      <w:r w:rsidR="00BD45EE" w:rsidRPr="00560578">
        <w:rPr>
          <w:rFonts w:ascii="Times New Roman" w:eastAsia="Times New Roman" w:hAnsi="Times New Roman" w:cs="Times New Roman"/>
          <w:sz w:val="20"/>
          <w:szCs w:val="20"/>
        </w:rPr>
        <w:t xml:space="preserve">request from </w:t>
      </w:r>
      <w:r w:rsidR="00366DC0" w:rsidRPr="00560578">
        <w:rPr>
          <w:rFonts w:ascii="Times New Roman" w:eastAsia="Times New Roman" w:hAnsi="Times New Roman" w:cs="Times New Roman"/>
          <w:sz w:val="20"/>
          <w:szCs w:val="20"/>
        </w:rPr>
        <w:t>its</w:t>
      </w:r>
      <w:r w:rsidR="00BD45EE" w:rsidRPr="00560578">
        <w:rPr>
          <w:rFonts w:ascii="Times New Roman" w:eastAsia="Times New Roman" w:hAnsi="Times New Roman" w:cs="Times New Roman"/>
          <w:sz w:val="20"/>
          <w:szCs w:val="20"/>
        </w:rPr>
        <w:t xml:space="preserve"> public to do so</w:t>
      </w:r>
      <w:r w:rsidR="0071091C" w:rsidRPr="00560578">
        <w:rPr>
          <w:rFonts w:ascii="Times New Roman" w:hAnsi="Times New Roman" w:cs="Times New Roman"/>
          <w:sz w:val="20"/>
          <w:szCs w:val="20"/>
        </w:rPr>
        <w:t>,</w:t>
      </w:r>
      <w:r w:rsidR="00F51281" w:rsidRPr="00560578">
        <w:rPr>
          <w:rFonts w:ascii="Times New Roman" w:hAnsi="Times New Roman" w:cs="Times New Roman"/>
          <w:sz w:val="20"/>
          <w:szCs w:val="20"/>
        </w:rPr>
        <w:t xml:space="preserve"> the Party concerned failed to comply with </w:t>
      </w:r>
      <w:r w:rsidR="00867CD3" w:rsidRPr="00560578">
        <w:rPr>
          <w:rFonts w:ascii="Times New Roman" w:hAnsi="Times New Roman" w:cs="Times New Roman"/>
          <w:sz w:val="20"/>
          <w:szCs w:val="20"/>
        </w:rPr>
        <w:t>article 3</w:t>
      </w:r>
      <w:r w:rsidR="00F86A2E" w:rsidRPr="00560578">
        <w:rPr>
          <w:rFonts w:ascii="Times New Roman" w:hAnsi="Times New Roman" w:cs="Times New Roman"/>
          <w:sz w:val="20"/>
          <w:szCs w:val="20"/>
        </w:rPr>
        <w:t>, paragraph 2 of the Convention</w:t>
      </w:r>
      <w:r w:rsidR="00867CD3" w:rsidRPr="00560578">
        <w:rPr>
          <w:rFonts w:ascii="Times New Roman" w:hAnsi="Times New Roman" w:cs="Times New Roman"/>
          <w:sz w:val="20"/>
          <w:szCs w:val="20"/>
        </w:rPr>
        <w:t>.</w:t>
      </w:r>
    </w:p>
    <w:p w14:paraId="0C733D3F" w14:textId="77777777" w:rsidR="00F86A2E" w:rsidRPr="00560578" w:rsidRDefault="00F86A2E" w:rsidP="00C9588A">
      <w:pPr>
        <w:pStyle w:val="ListParagraph"/>
        <w:tabs>
          <w:tab w:val="num" w:pos="1710"/>
        </w:tabs>
        <w:suppressAutoHyphens/>
        <w:spacing w:after="120" w:line="240" w:lineRule="atLeast"/>
        <w:ind w:left="1134" w:right="1134"/>
        <w:jc w:val="both"/>
        <w:rPr>
          <w:rFonts w:ascii="Times New Roman" w:eastAsia="Times New Roman" w:hAnsi="Times New Roman" w:cs="Times New Roman"/>
          <w:b/>
          <w:i/>
          <w:sz w:val="20"/>
          <w:szCs w:val="20"/>
        </w:rPr>
      </w:pPr>
    </w:p>
    <w:p w14:paraId="3C0149C4" w14:textId="77777777" w:rsidR="005C7716" w:rsidRPr="00560578" w:rsidRDefault="005C7716" w:rsidP="00C9588A">
      <w:pPr>
        <w:pStyle w:val="ListParagraph"/>
        <w:tabs>
          <w:tab w:val="num" w:pos="1710"/>
        </w:tabs>
        <w:suppressAutoHyphens/>
        <w:spacing w:after="120" w:line="240" w:lineRule="atLeast"/>
        <w:ind w:left="1134" w:right="1134"/>
        <w:jc w:val="both"/>
        <w:rPr>
          <w:rFonts w:ascii="Times New Roman" w:eastAsia="Times New Roman" w:hAnsi="Times New Roman" w:cs="Times New Roman"/>
          <w:b/>
          <w:i/>
          <w:sz w:val="20"/>
          <w:szCs w:val="20"/>
        </w:rPr>
      </w:pPr>
      <w:r w:rsidRPr="00560578">
        <w:rPr>
          <w:rFonts w:ascii="Times New Roman" w:eastAsia="Times New Roman" w:hAnsi="Times New Roman" w:cs="Times New Roman"/>
          <w:b/>
          <w:i/>
          <w:sz w:val="20"/>
          <w:szCs w:val="20"/>
        </w:rPr>
        <w:t>Article 3</w:t>
      </w:r>
      <w:r w:rsidR="00C53553" w:rsidRPr="00560578">
        <w:rPr>
          <w:rFonts w:ascii="Times New Roman" w:eastAsia="Times New Roman" w:hAnsi="Times New Roman" w:cs="Times New Roman"/>
          <w:b/>
          <w:i/>
          <w:sz w:val="20"/>
          <w:szCs w:val="20"/>
        </w:rPr>
        <w:t>, paragraph 9</w:t>
      </w:r>
    </w:p>
    <w:p w14:paraId="1877C0AB" w14:textId="77777777" w:rsidR="006B2BCC" w:rsidRPr="00560578" w:rsidRDefault="001149C9" w:rsidP="00C45AF4">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The communicant alleges that the </w:t>
      </w:r>
      <w:r w:rsidR="00F84874" w:rsidRPr="00560578">
        <w:rPr>
          <w:rFonts w:ascii="Times New Roman" w:eastAsia="Times New Roman" w:hAnsi="Times New Roman" w:cs="Times New Roman"/>
          <w:sz w:val="20"/>
          <w:szCs w:val="20"/>
        </w:rPr>
        <w:t xml:space="preserve">Party concerned discriminated against the public in </w:t>
      </w:r>
      <w:r w:rsidR="00AD10CE" w:rsidRPr="00560578">
        <w:rPr>
          <w:rFonts w:ascii="Times New Roman" w:eastAsia="Times New Roman" w:hAnsi="Times New Roman" w:cs="Times New Roman"/>
          <w:sz w:val="20"/>
          <w:szCs w:val="20"/>
        </w:rPr>
        <w:t xml:space="preserve">Germany </w:t>
      </w:r>
      <w:r w:rsidR="007142B6" w:rsidRPr="00560578">
        <w:rPr>
          <w:rFonts w:ascii="Times New Roman" w:eastAsia="Times New Roman" w:hAnsi="Times New Roman" w:cs="Times New Roman"/>
          <w:sz w:val="20"/>
          <w:szCs w:val="20"/>
        </w:rPr>
        <w:t>under</w:t>
      </w:r>
      <w:r w:rsidR="00AD10CE" w:rsidRPr="00560578">
        <w:rPr>
          <w:rFonts w:ascii="Times New Roman" w:eastAsia="Times New Roman" w:hAnsi="Times New Roman" w:cs="Times New Roman"/>
          <w:sz w:val="20"/>
          <w:szCs w:val="20"/>
        </w:rPr>
        <w:t xml:space="preserve"> article 3, paragraph 9 of the Convention because the public in Germany was not identified by the relevant authorities of the United Kingdom and the Party concerned as being among the public concerned in the case of a Beyond Design Base Accident</w:t>
      </w:r>
      <w:r w:rsidRPr="00560578">
        <w:rPr>
          <w:rFonts w:ascii="Times New Roman" w:eastAsia="Times New Roman" w:hAnsi="Times New Roman" w:cs="Times New Roman"/>
          <w:sz w:val="20"/>
          <w:szCs w:val="20"/>
        </w:rPr>
        <w:t>.</w:t>
      </w:r>
      <w:r w:rsidR="00AD10CE" w:rsidRPr="00560578">
        <w:rPr>
          <w:rStyle w:val="FootnoteReference"/>
          <w:rFonts w:eastAsia="Times New Roman"/>
          <w:szCs w:val="20"/>
        </w:rPr>
        <w:footnoteReference w:id="35"/>
      </w:r>
      <w:r w:rsidR="00AD10CE" w:rsidRPr="00560578">
        <w:rPr>
          <w:rFonts w:ascii="Times New Roman" w:eastAsia="Times New Roman" w:hAnsi="Times New Roman" w:cs="Times New Roman"/>
          <w:sz w:val="20"/>
          <w:szCs w:val="20"/>
        </w:rPr>
        <w:t xml:space="preserve"> </w:t>
      </w:r>
      <w:r w:rsidRPr="00560578">
        <w:rPr>
          <w:rFonts w:ascii="Times New Roman" w:eastAsia="Times New Roman" w:hAnsi="Times New Roman" w:cs="Times New Roman"/>
          <w:sz w:val="20"/>
          <w:szCs w:val="20"/>
        </w:rPr>
        <w:t xml:space="preserve">The communicant bases her allegation on the fact that, in contrast to the public in Germany, the public in Austria were entitled to participate in the decision-making on </w:t>
      </w:r>
      <w:proofErr w:type="spellStart"/>
      <w:r w:rsidRPr="00560578">
        <w:rPr>
          <w:rFonts w:ascii="Times New Roman" w:eastAsia="Times New Roman" w:hAnsi="Times New Roman" w:cs="Times New Roman"/>
          <w:sz w:val="20"/>
          <w:szCs w:val="20"/>
        </w:rPr>
        <w:t>Hinkley</w:t>
      </w:r>
      <w:proofErr w:type="spellEnd"/>
      <w:r w:rsidRPr="00560578">
        <w:rPr>
          <w:rFonts w:ascii="Times New Roman" w:eastAsia="Times New Roman" w:hAnsi="Times New Roman" w:cs="Times New Roman"/>
          <w:sz w:val="20"/>
          <w:szCs w:val="20"/>
        </w:rPr>
        <w:t xml:space="preserve"> Point C. </w:t>
      </w:r>
      <w:r w:rsidR="00060523" w:rsidRPr="00560578">
        <w:rPr>
          <w:rFonts w:ascii="Times New Roman" w:eastAsia="Times New Roman" w:hAnsi="Times New Roman" w:cs="Times New Roman"/>
          <w:sz w:val="20"/>
          <w:szCs w:val="20"/>
        </w:rPr>
        <w:t xml:space="preserve">The Committee considers that the communicant </w:t>
      </w:r>
      <w:r w:rsidR="00BE38C3" w:rsidRPr="00560578">
        <w:rPr>
          <w:rFonts w:ascii="Times New Roman" w:eastAsia="Times New Roman" w:hAnsi="Times New Roman" w:cs="Times New Roman"/>
          <w:sz w:val="20"/>
          <w:szCs w:val="20"/>
        </w:rPr>
        <w:t xml:space="preserve">has not shown how the fact that the public concerned in Austria was entitled to participate </w:t>
      </w:r>
      <w:r w:rsidR="00060523" w:rsidRPr="00560578">
        <w:rPr>
          <w:rFonts w:ascii="Times New Roman" w:eastAsia="Times New Roman" w:hAnsi="Times New Roman" w:cs="Times New Roman"/>
          <w:sz w:val="20"/>
          <w:szCs w:val="20"/>
        </w:rPr>
        <w:t xml:space="preserve">in a decision-making procedure carried out by United Kingdom authorities </w:t>
      </w:r>
      <w:r w:rsidR="00BE38C3" w:rsidRPr="00560578">
        <w:rPr>
          <w:rFonts w:ascii="Times New Roman" w:eastAsia="Times New Roman" w:hAnsi="Times New Roman" w:cs="Times New Roman"/>
          <w:sz w:val="20"/>
          <w:szCs w:val="20"/>
        </w:rPr>
        <w:t xml:space="preserve">can amount to discrimination by Germany. </w:t>
      </w:r>
      <w:r w:rsidR="00C00F46" w:rsidRPr="00560578">
        <w:rPr>
          <w:rFonts w:ascii="Times New Roman" w:eastAsia="Times New Roman" w:hAnsi="Times New Roman" w:cs="Times New Roman"/>
          <w:sz w:val="20"/>
          <w:szCs w:val="20"/>
        </w:rPr>
        <w:t xml:space="preserve">The Committee notes that the involvement of the public in Austria was due to a request from Austria to the United Kingdom. </w:t>
      </w:r>
      <w:r w:rsidR="006B2BCC" w:rsidRPr="00560578">
        <w:rPr>
          <w:rFonts w:ascii="Times New Roman" w:eastAsia="Times New Roman" w:hAnsi="Times New Roman" w:cs="Times New Roman"/>
          <w:sz w:val="20"/>
          <w:szCs w:val="20"/>
        </w:rPr>
        <w:t xml:space="preserve">The fact that </w:t>
      </w:r>
      <w:r w:rsidR="00C00F46" w:rsidRPr="00560578">
        <w:rPr>
          <w:rFonts w:ascii="Times New Roman" w:eastAsia="Times New Roman" w:hAnsi="Times New Roman" w:cs="Times New Roman"/>
          <w:sz w:val="20"/>
          <w:szCs w:val="20"/>
        </w:rPr>
        <w:t xml:space="preserve">the </w:t>
      </w:r>
      <w:r w:rsidR="005C7716" w:rsidRPr="00560578">
        <w:rPr>
          <w:rFonts w:ascii="Times New Roman" w:eastAsia="Times New Roman" w:hAnsi="Times New Roman" w:cs="Times New Roman"/>
          <w:sz w:val="20"/>
          <w:szCs w:val="20"/>
        </w:rPr>
        <w:t>public</w:t>
      </w:r>
      <w:r w:rsidR="00C00F46" w:rsidRPr="00560578">
        <w:rPr>
          <w:rFonts w:ascii="Times New Roman" w:eastAsia="Times New Roman" w:hAnsi="Times New Roman" w:cs="Times New Roman"/>
          <w:sz w:val="20"/>
          <w:szCs w:val="20"/>
        </w:rPr>
        <w:t xml:space="preserve"> in Germany</w:t>
      </w:r>
      <w:r w:rsidR="005C7716" w:rsidRPr="00560578">
        <w:rPr>
          <w:rFonts w:ascii="Times New Roman" w:eastAsia="Times New Roman" w:hAnsi="Times New Roman" w:cs="Times New Roman"/>
          <w:sz w:val="20"/>
          <w:szCs w:val="20"/>
        </w:rPr>
        <w:t xml:space="preserve">, as opposed to </w:t>
      </w:r>
      <w:r w:rsidR="00C00F46" w:rsidRPr="00560578">
        <w:rPr>
          <w:rFonts w:ascii="Times New Roman" w:eastAsia="Times New Roman" w:hAnsi="Times New Roman" w:cs="Times New Roman"/>
          <w:sz w:val="20"/>
          <w:szCs w:val="20"/>
        </w:rPr>
        <w:t>the</w:t>
      </w:r>
      <w:r w:rsidR="005C7716" w:rsidRPr="00560578">
        <w:rPr>
          <w:rFonts w:ascii="Times New Roman" w:eastAsia="Times New Roman" w:hAnsi="Times New Roman" w:cs="Times New Roman"/>
          <w:sz w:val="20"/>
          <w:szCs w:val="20"/>
        </w:rPr>
        <w:t xml:space="preserve"> public </w:t>
      </w:r>
      <w:r w:rsidR="00C00F46" w:rsidRPr="00560578">
        <w:rPr>
          <w:rFonts w:ascii="Times New Roman" w:eastAsia="Times New Roman" w:hAnsi="Times New Roman" w:cs="Times New Roman"/>
          <w:sz w:val="20"/>
          <w:szCs w:val="20"/>
        </w:rPr>
        <w:t>in Austria</w:t>
      </w:r>
      <w:r w:rsidR="005C6F4C" w:rsidRPr="00560578">
        <w:rPr>
          <w:rFonts w:ascii="Times New Roman" w:eastAsia="Times New Roman" w:hAnsi="Times New Roman" w:cs="Times New Roman"/>
          <w:sz w:val="20"/>
          <w:szCs w:val="20"/>
        </w:rPr>
        <w:t>,</w:t>
      </w:r>
      <w:r w:rsidR="00C00F46" w:rsidRPr="00560578">
        <w:rPr>
          <w:rFonts w:ascii="Times New Roman" w:eastAsia="Times New Roman" w:hAnsi="Times New Roman" w:cs="Times New Roman"/>
          <w:sz w:val="20"/>
          <w:szCs w:val="20"/>
        </w:rPr>
        <w:t xml:space="preserve"> </w:t>
      </w:r>
      <w:r w:rsidR="005C7716" w:rsidRPr="00560578">
        <w:rPr>
          <w:rFonts w:ascii="Times New Roman" w:eastAsia="Times New Roman" w:hAnsi="Times New Roman" w:cs="Times New Roman"/>
          <w:sz w:val="20"/>
          <w:szCs w:val="20"/>
        </w:rPr>
        <w:t xml:space="preserve">did not </w:t>
      </w:r>
      <w:r w:rsidR="005C6F4C" w:rsidRPr="00560578">
        <w:rPr>
          <w:rFonts w:ascii="Times New Roman" w:eastAsia="Times New Roman" w:hAnsi="Times New Roman" w:cs="Times New Roman"/>
          <w:sz w:val="20"/>
          <w:szCs w:val="20"/>
        </w:rPr>
        <w:t xml:space="preserve">therefore </w:t>
      </w:r>
      <w:r w:rsidR="005C7716" w:rsidRPr="00560578">
        <w:rPr>
          <w:rFonts w:ascii="Times New Roman" w:eastAsia="Times New Roman" w:hAnsi="Times New Roman" w:cs="Times New Roman"/>
          <w:sz w:val="20"/>
          <w:szCs w:val="20"/>
        </w:rPr>
        <w:t xml:space="preserve">have </w:t>
      </w:r>
      <w:r w:rsidR="005C6F4C" w:rsidRPr="00560578">
        <w:rPr>
          <w:rFonts w:ascii="Times New Roman" w:eastAsia="Times New Roman" w:hAnsi="Times New Roman" w:cs="Times New Roman"/>
          <w:sz w:val="20"/>
          <w:szCs w:val="20"/>
        </w:rPr>
        <w:t xml:space="preserve">the </w:t>
      </w:r>
      <w:r w:rsidR="005C7716" w:rsidRPr="00560578">
        <w:rPr>
          <w:rFonts w:ascii="Times New Roman" w:eastAsia="Times New Roman" w:hAnsi="Times New Roman" w:cs="Times New Roman"/>
          <w:sz w:val="20"/>
          <w:szCs w:val="20"/>
        </w:rPr>
        <w:t xml:space="preserve">possibility to participate in the decision-making regarding </w:t>
      </w:r>
      <w:proofErr w:type="spellStart"/>
      <w:r w:rsidR="00C97DAB" w:rsidRPr="00560578">
        <w:rPr>
          <w:rFonts w:ascii="Times New Roman" w:eastAsia="Times New Roman" w:hAnsi="Times New Roman" w:cs="Times New Roman"/>
          <w:sz w:val="20"/>
          <w:szCs w:val="20"/>
        </w:rPr>
        <w:t>Hinkley</w:t>
      </w:r>
      <w:proofErr w:type="spellEnd"/>
      <w:r w:rsidR="00C97DAB" w:rsidRPr="00560578">
        <w:rPr>
          <w:rFonts w:ascii="Times New Roman" w:eastAsia="Times New Roman" w:hAnsi="Times New Roman" w:cs="Times New Roman"/>
          <w:sz w:val="20"/>
          <w:szCs w:val="20"/>
        </w:rPr>
        <w:t xml:space="preserve"> Point C</w:t>
      </w:r>
      <w:r w:rsidR="00C97DAB" w:rsidRPr="00560578">
        <w:rPr>
          <w:rFonts w:ascii="Times New Roman" w:hAnsi="Times New Roman" w:cs="Times New Roman"/>
          <w:sz w:val="20"/>
          <w:szCs w:val="20"/>
        </w:rPr>
        <w:t xml:space="preserve">, and that </w:t>
      </w:r>
      <w:r w:rsidR="00C00F46" w:rsidRPr="00560578">
        <w:rPr>
          <w:rFonts w:ascii="Times New Roman" w:hAnsi="Times New Roman" w:cs="Times New Roman"/>
          <w:sz w:val="20"/>
          <w:szCs w:val="20"/>
        </w:rPr>
        <w:t>the</w:t>
      </w:r>
      <w:r w:rsidR="00C97DAB" w:rsidRPr="00560578">
        <w:rPr>
          <w:rFonts w:ascii="Times New Roman" w:eastAsia="Times New Roman" w:hAnsi="Times New Roman" w:cs="Times New Roman"/>
          <w:sz w:val="20"/>
          <w:szCs w:val="20"/>
        </w:rPr>
        <w:t xml:space="preserve"> </w:t>
      </w:r>
      <w:r w:rsidR="006B2BCC" w:rsidRPr="00560578">
        <w:rPr>
          <w:rFonts w:ascii="Times New Roman" w:eastAsia="Times New Roman" w:hAnsi="Times New Roman" w:cs="Times New Roman"/>
          <w:sz w:val="20"/>
          <w:szCs w:val="20"/>
        </w:rPr>
        <w:t>German authorities</w:t>
      </w:r>
      <w:r w:rsidR="005C7716" w:rsidRPr="00560578">
        <w:rPr>
          <w:rFonts w:ascii="Times New Roman" w:eastAsia="Times New Roman" w:hAnsi="Times New Roman" w:cs="Times New Roman"/>
          <w:sz w:val="20"/>
          <w:szCs w:val="20"/>
        </w:rPr>
        <w:t xml:space="preserve">, as opposed to </w:t>
      </w:r>
      <w:r w:rsidR="00C00F46" w:rsidRPr="00560578">
        <w:rPr>
          <w:rFonts w:ascii="Times New Roman" w:eastAsia="Times New Roman" w:hAnsi="Times New Roman" w:cs="Times New Roman"/>
          <w:sz w:val="20"/>
          <w:szCs w:val="20"/>
        </w:rPr>
        <w:t xml:space="preserve">the </w:t>
      </w:r>
      <w:r w:rsidR="005C7716" w:rsidRPr="00560578">
        <w:rPr>
          <w:rFonts w:ascii="Times New Roman" w:eastAsia="Times New Roman" w:hAnsi="Times New Roman" w:cs="Times New Roman"/>
          <w:sz w:val="20"/>
          <w:szCs w:val="20"/>
        </w:rPr>
        <w:t>Austrian authorities, did not make use of their right to initiate the transboundary procedure under the Espoo Convention</w:t>
      </w:r>
      <w:r w:rsidR="005C6F4C" w:rsidRPr="00560578">
        <w:rPr>
          <w:rFonts w:ascii="Times New Roman" w:eastAsia="Times New Roman" w:hAnsi="Times New Roman" w:cs="Times New Roman"/>
          <w:sz w:val="20"/>
          <w:szCs w:val="20"/>
        </w:rPr>
        <w:t xml:space="preserve"> or otherwise</w:t>
      </w:r>
      <w:r w:rsidR="00C00F46" w:rsidRPr="00560578">
        <w:rPr>
          <w:rFonts w:ascii="Times New Roman" w:eastAsia="Times New Roman" w:hAnsi="Times New Roman" w:cs="Times New Roman"/>
          <w:sz w:val="20"/>
          <w:szCs w:val="20"/>
        </w:rPr>
        <w:t>,</w:t>
      </w:r>
      <w:r w:rsidR="005C7716" w:rsidRPr="00560578">
        <w:rPr>
          <w:rFonts w:ascii="Times New Roman" w:eastAsia="Times New Roman" w:hAnsi="Times New Roman" w:cs="Times New Roman"/>
          <w:sz w:val="20"/>
          <w:szCs w:val="20"/>
        </w:rPr>
        <w:t xml:space="preserve"> </w:t>
      </w:r>
      <w:r w:rsidR="005C6F4C" w:rsidRPr="00560578">
        <w:rPr>
          <w:rFonts w:ascii="Times New Roman" w:eastAsia="Times New Roman" w:hAnsi="Times New Roman" w:cs="Times New Roman"/>
          <w:sz w:val="20"/>
          <w:szCs w:val="20"/>
        </w:rPr>
        <w:t>does not amount to</w:t>
      </w:r>
      <w:r w:rsidR="005C7716" w:rsidRPr="00560578">
        <w:rPr>
          <w:rFonts w:ascii="Times New Roman" w:eastAsia="Times New Roman" w:hAnsi="Times New Roman" w:cs="Times New Roman"/>
          <w:sz w:val="20"/>
          <w:szCs w:val="20"/>
        </w:rPr>
        <w:t xml:space="preserve"> discrimination </w:t>
      </w:r>
      <w:r w:rsidR="005C6F4C" w:rsidRPr="00560578">
        <w:rPr>
          <w:rFonts w:ascii="Times New Roman" w:eastAsia="Times New Roman" w:hAnsi="Times New Roman" w:cs="Times New Roman"/>
          <w:sz w:val="20"/>
          <w:szCs w:val="20"/>
        </w:rPr>
        <w:t>by the German authorities</w:t>
      </w:r>
      <w:r w:rsidR="00C00F46" w:rsidRPr="00560578">
        <w:rPr>
          <w:rFonts w:ascii="Times New Roman" w:eastAsia="Times New Roman" w:hAnsi="Times New Roman" w:cs="Times New Roman"/>
          <w:sz w:val="20"/>
          <w:szCs w:val="20"/>
        </w:rPr>
        <w:t xml:space="preserve"> against the public in Germany</w:t>
      </w:r>
      <w:r w:rsidR="00C53553" w:rsidRPr="00560578">
        <w:rPr>
          <w:rFonts w:ascii="Times New Roman" w:eastAsia="Times New Roman" w:hAnsi="Times New Roman" w:cs="Times New Roman"/>
          <w:sz w:val="20"/>
          <w:szCs w:val="20"/>
        </w:rPr>
        <w:t xml:space="preserve"> </w:t>
      </w:r>
      <w:r w:rsidR="00C00F46" w:rsidRPr="00560578">
        <w:rPr>
          <w:rFonts w:ascii="Times New Roman" w:eastAsia="Times New Roman" w:hAnsi="Times New Roman" w:cs="Times New Roman"/>
          <w:sz w:val="20"/>
          <w:szCs w:val="20"/>
        </w:rPr>
        <w:t>in favour of the public in Austria</w:t>
      </w:r>
      <w:r w:rsidR="005C7716" w:rsidRPr="00560578">
        <w:rPr>
          <w:rFonts w:ascii="Times New Roman" w:eastAsia="Times New Roman" w:hAnsi="Times New Roman" w:cs="Times New Roman"/>
          <w:sz w:val="20"/>
          <w:szCs w:val="20"/>
        </w:rPr>
        <w:t>.</w:t>
      </w:r>
      <w:r w:rsidR="005C6F4C" w:rsidRPr="00560578">
        <w:rPr>
          <w:rFonts w:ascii="Times New Roman" w:eastAsia="Times New Roman" w:hAnsi="Times New Roman" w:cs="Times New Roman"/>
          <w:sz w:val="20"/>
          <w:szCs w:val="20"/>
        </w:rPr>
        <w:t xml:space="preserve"> The Committee thus finds that the Party concerned is not in non-compliance with article 3, paragraph 9 of the Convention in this case.</w:t>
      </w:r>
    </w:p>
    <w:p w14:paraId="45271924" w14:textId="77777777" w:rsidR="00914AF1" w:rsidRPr="00560578" w:rsidRDefault="00F84874" w:rsidP="00914AF1">
      <w:pPr>
        <w:tabs>
          <w:tab w:val="num" w:pos="1710"/>
        </w:tabs>
        <w:suppressAutoHyphens/>
        <w:spacing w:after="120" w:line="240" w:lineRule="atLeast"/>
        <w:ind w:left="1134" w:right="1134"/>
        <w:jc w:val="both"/>
        <w:rPr>
          <w:rFonts w:ascii="Times New Roman" w:eastAsia="Times New Roman" w:hAnsi="Times New Roman" w:cs="Times New Roman"/>
          <w:b/>
          <w:i/>
          <w:sz w:val="20"/>
          <w:szCs w:val="20"/>
        </w:rPr>
      </w:pPr>
      <w:r w:rsidRPr="00560578">
        <w:rPr>
          <w:rFonts w:ascii="Times New Roman" w:eastAsia="Times New Roman" w:hAnsi="Times New Roman" w:cs="Times New Roman"/>
          <w:b/>
          <w:i/>
          <w:sz w:val="20"/>
          <w:szCs w:val="20"/>
        </w:rPr>
        <w:t>Article 4, paragraph 7</w:t>
      </w:r>
    </w:p>
    <w:p w14:paraId="07FC5CB0" w14:textId="77777777" w:rsidR="00F84874" w:rsidRPr="00560578" w:rsidRDefault="00F84874" w:rsidP="00F84874">
      <w:pPr>
        <w:numPr>
          <w:ilvl w:val="0"/>
          <w:numId w:val="2"/>
        </w:numPr>
        <w:tabs>
          <w:tab w:val="num" w:pos="1710"/>
        </w:tabs>
        <w:suppressAutoHyphens/>
        <w:spacing w:after="120" w:line="240" w:lineRule="atLeast"/>
        <w:ind w:left="1134"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Regarding the communicant’s allegation that the Party concerned breached article 4, paragraph 7 of the Convention because the United Kingdom should have told the public and the natural persons who signed the submission lists, in written form, why their submissions were refused, the Committee </w:t>
      </w:r>
      <w:r w:rsidR="005C6F4C" w:rsidRPr="00560578">
        <w:rPr>
          <w:rFonts w:ascii="Times New Roman" w:eastAsia="Times New Roman" w:hAnsi="Times New Roman" w:cs="Times New Roman"/>
          <w:sz w:val="20"/>
          <w:szCs w:val="20"/>
        </w:rPr>
        <w:t>notes that the communicant’s allegation is expressly made against the United Kingdom, which is not a party to the communication.</w:t>
      </w:r>
      <w:r w:rsidR="005C6F4C" w:rsidRPr="00560578">
        <w:rPr>
          <w:rStyle w:val="FootnoteReference"/>
          <w:rFonts w:eastAsia="Times New Roman"/>
          <w:szCs w:val="20"/>
        </w:rPr>
        <w:footnoteReference w:id="36"/>
      </w:r>
      <w:r w:rsidR="005C6F4C" w:rsidRPr="00560578">
        <w:rPr>
          <w:rFonts w:ascii="Times New Roman" w:eastAsia="Times New Roman" w:hAnsi="Times New Roman" w:cs="Times New Roman"/>
          <w:sz w:val="20"/>
          <w:szCs w:val="20"/>
        </w:rPr>
        <w:t xml:space="preserve"> T</w:t>
      </w:r>
      <w:r w:rsidRPr="00560578">
        <w:rPr>
          <w:rFonts w:ascii="Times New Roman" w:eastAsia="Times New Roman" w:hAnsi="Times New Roman" w:cs="Times New Roman"/>
          <w:sz w:val="20"/>
          <w:szCs w:val="20"/>
        </w:rPr>
        <w:t xml:space="preserve">he communicant has provided no evidence that she </w:t>
      </w:r>
      <w:r w:rsidR="005C6F4C" w:rsidRPr="00560578">
        <w:rPr>
          <w:rFonts w:ascii="Times New Roman" w:eastAsia="Times New Roman" w:hAnsi="Times New Roman" w:cs="Times New Roman"/>
          <w:sz w:val="20"/>
          <w:szCs w:val="20"/>
        </w:rPr>
        <w:t xml:space="preserve">at any time </w:t>
      </w:r>
      <w:r w:rsidRPr="00560578">
        <w:rPr>
          <w:rFonts w:ascii="Times New Roman" w:eastAsia="Times New Roman" w:hAnsi="Times New Roman" w:cs="Times New Roman"/>
          <w:sz w:val="20"/>
          <w:szCs w:val="20"/>
        </w:rPr>
        <w:t>requested this information from the Party concerned.</w:t>
      </w:r>
      <w:r w:rsidRPr="00560578">
        <w:rPr>
          <w:rStyle w:val="FootnoteReference"/>
          <w:rFonts w:eastAsia="Times New Roman"/>
          <w:szCs w:val="20"/>
        </w:rPr>
        <w:footnoteReference w:id="37"/>
      </w:r>
      <w:r w:rsidR="00C20AB7" w:rsidRPr="00560578">
        <w:rPr>
          <w:rFonts w:ascii="Times New Roman" w:eastAsia="Times New Roman" w:hAnsi="Times New Roman" w:cs="Times New Roman"/>
          <w:sz w:val="20"/>
          <w:szCs w:val="20"/>
        </w:rPr>
        <w:t xml:space="preserve"> The Committee thus finds the allegation concerning article 4, paragraph 7 of the Convention to be unsubstantiated.</w:t>
      </w:r>
    </w:p>
    <w:p w14:paraId="777C80E9" w14:textId="77777777" w:rsidR="00914AF1" w:rsidRPr="00560578" w:rsidRDefault="00914AF1" w:rsidP="00C169FF">
      <w:pPr>
        <w:tabs>
          <w:tab w:val="num" w:pos="1710"/>
        </w:tabs>
        <w:suppressAutoHyphens/>
        <w:spacing w:after="120" w:line="240" w:lineRule="atLeast"/>
        <w:ind w:right="1134"/>
        <w:jc w:val="both"/>
      </w:pPr>
    </w:p>
    <w:p w14:paraId="7E6A5497" w14:textId="77777777" w:rsidR="00914AF1" w:rsidRPr="00560578" w:rsidRDefault="00914AF1" w:rsidP="00C169FF">
      <w:pPr>
        <w:tabs>
          <w:tab w:val="num" w:pos="1710"/>
        </w:tabs>
        <w:suppressAutoHyphens/>
        <w:spacing w:after="120" w:line="240" w:lineRule="atLeast"/>
        <w:ind w:left="1134" w:right="1134"/>
        <w:jc w:val="both"/>
      </w:pPr>
    </w:p>
    <w:p w14:paraId="503C1F10" w14:textId="77777777" w:rsidR="0048170D" w:rsidRPr="00560578" w:rsidRDefault="0048170D" w:rsidP="0048170D">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rPr>
      </w:pPr>
      <w:r w:rsidRPr="00560578">
        <w:rPr>
          <w:rFonts w:ascii="Times New Roman" w:eastAsia="Times New Roman" w:hAnsi="Times New Roman" w:cs="Times New Roman"/>
          <w:b/>
          <w:sz w:val="28"/>
          <w:szCs w:val="20"/>
        </w:rPr>
        <w:tab/>
        <w:t>IV.</w:t>
      </w:r>
      <w:r w:rsidRPr="00560578">
        <w:rPr>
          <w:rFonts w:ascii="Times New Roman" w:eastAsia="Times New Roman" w:hAnsi="Times New Roman" w:cs="Times New Roman"/>
          <w:b/>
          <w:sz w:val="28"/>
          <w:szCs w:val="20"/>
        </w:rPr>
        <w:tab/>
        <w:t>C</w:t>
      </w:r>
      <w:r w:rsidR="001F51A1" w:rsidRPr="00560578">
        <w:rPr>
          <w:rFonts w:ascii="Times New Roman" w:eastAsia="Times New Roman" w:hAnsi="Times New Roman" w:cs="Times New Roman"/>
          <w:b/>
          <w:sz w:val="28"/>
          <w:szCs w:val="20"/>
        </w:rPr>
        <w:t>onclusions and recommendations</w:t>
      </w:r>
    </w:p>
    <w:p w14:paraId="2D808C8B" w14:textId="77777777" w:rsidR="0048170D" w:rsidRPr="00560578" w:rsidRDefault="0048170D" w:rsidP="001F51A1">
      <w:pPr>
        <w:numPr>
          <w:ilvl w:val="0"/>
          <w:numId w:val="2"/>
        </w:numPr>
        <w:tabs>
          <w:tab w:val="clear" w:pos="1002"/>
          <w:tab w:val="num" w:pos="426"/>
          <w:tab w:val="num" w:pos="709"/>
        </w:tabs>
        <w:suppressAutoHyphens/>
        <w:spacing w:after="120" w:line="240" w:lineRule="atLeast"/>
        <w:ind w:left="426"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Having considered the above, the Committee adopts the findings and recommendations set out in the following paragraphs.</w:t>
      </w:r>
    </w:p>
    <w:p w14:paraId="379C8145" w14:textId="77777777" w:rsidR="00A15C88" w:rsidRPr="00560578" w:rsidRDefault="00A15C88" w:rsidP="001F51A1">
      <w:pPr>
        <w:tabs>
          <w:tab w:val="num" w:pos="1710"/>
        </w:tabs>
        <w:suppressAutoHyphens/>
        <w:spacing w:after="120" w:line="240" w:lineRule="atLeast"/>
        <w:ind w:right="1134"/>
        <w:jc w:val="both"/>
        <w:rPr>
          <w:rFonts w:ascii="Times New Roman" w:eastAsia="Times New Roman" w:hAnsi="Times New Roman" w:cs="Times New Roman"/>
          <w:sz w:val="20"/>
          <w:szCs w:val="20"/>
        </w:rPr>
      </w:pPr>
    </w:p>
    <w:p w14:paraId="0A180691" w14:textId="676E5E33" w:rsidR="00A15C88" w:rsidRPr="00560578" w:rsidRDefault="00A15C88" w:rsidP="00560578">
      <w:pPr>
        <w:numPr>
          <w:ilvl w:val="0"/>
          <w:numId w:val="19"/>
        </w:numPr>
        <w:tabs>
          <w:tab w:val="right" w:pos="851"/>
        </w:tabs>
        <w:suppressAutoHyphens/>
        <w:spacing w:after="120" w:line="240" w:lineRule="atLeast"/>
        <w:ind w:right="1134"/>
        <w:jc w:val="both"/>
        <w:rPr>
          <w:rFonts w:ascii="Times New Roman" w:eastAsia="Times New Roman" w:hAnsi="Times New Roman" w:cs="Times New Roman"/>
          <w:b/>
          <w:sz w:val="24"/>
          <w:szCs w:val="24"/>
        </w:rPr>
      </w:pPr>
      <w:r w:rsidRPr="00560578">
        <w:rPr>
          <w:rFonts w:ascii="Times New Roman" w:eastAsia="Times New Roman" w:hAnsi="Times New Roman" w:cs="Times New Roman"/>
          <w:b/>
          <w:sz w:val="24"/>
          <w:szCs w:val="24"/>
        </w:rPr>
        <w:t>Main findings with regard to non-compliance</w:t>
      </w:r>
    </w:p>
    <w:p w14:paraId="361F36BF" w14:textId="77777777" w:rsidR="00145C86" w:rsidRPr="00560578" w:rsidRDefault="00F51281" w:rsidP="00357F06">
      <w:pPr>
        <w:numPr>
          <w:ilvl w:val="0"/>
          <w:numId w:val="2"/>
        </w:numPr>
        <w:tabs>
          <w:tab w:val="clear" w:pos="1002"/>
          <w:tab w:val="num" w:pos="426"/>
          <w:tab w:val="num" w:pos="851"/>
        </w:tabs>
        <w:suppressAutoHyphens/>
        <w:spacing w:after="120" w:line="240" w:lineRule="atLeast"/>
        <w:ind w:left="426" w:right="1134" w:firstLine="0"/>
        <w:jc w:val="both"/>
        <w:rPr>
          <w:rFonts w:ascii="Times New Roman" w:eastAsia="Times New Roman" w:hAnsi="Times New Roman" w:cs="Times New Roman"/>
          <w:sz w:val="20"/>
          <w:szCs w:val="20"/>
        </w:rPr>
      </w:pPr>
      <w:r w:rsidRPr="00560578">
        <w:rPr>
          <w:rFonts w:ascii="Times New Roman" w:eastAsia="Times New Roman" w:hAnsi="Times New Roman" w:cs="Times New Roman"/>
          <w:sz w:val="20"/>
          <w:szCs w:val="20"/>
        </w:rPr>
        <w:t xml:space="preserve">The Committee finds that </w:t>
      </w:r>
      <w:r w:rsidR="00091D22" w:rsidRPr="00560578">
        <w:rPr>
          <w:rFonts w:ascii="Times New Roman" w:hAnsi="Times New Roman" w:cs="Times New Roman"/>
          <w:sz w:val="20"/>
          <w:szCs w:val="20"/>
          <w:lang w:val="en-US"/>
        </w:rPr>
        <w:t xml:space="preserve">by not undertaking any efforts to facilitate the participation of the German public in the decision-making procedure regarding </w:t>
      </w:r>
      <w:proofErr w:type="spellStart"/>
      <w:r w:rsidR="00091D22" w:rsidRPr="00560578">
        <w:rPr>
          <w:rFonts w:ascii="Times New Roman" w:eastAsia="Times New Roman" w:hAnsi="Times New Roman" w:cs="Times New Roman"/>
          <w:sz w:val="20"/>
          <w:szCs w:val="20"/>
        </w:rPr>
        <w:t>Hinkley</w:t>
      </w:r>
      <w:proofErr w:type="spellEnd"/>
      <w:r w:rsidR="00091D22" w:rsidRPr="00560578">
        <w:rPr>
          <w:rFonts w:ascii="Times New Roman" w:eastAsia="Times New Roman" w:hAnsi="Times New Roman" w:cs="Times New Roman"/>
          <w:sz w:val="20"/>
          <w:szCs w:val="20"/>
        </w:rPr>
        <w:t xml:space="preserve"> Point C in the face of a clear request from its public to do so</w:t>
      </w:r>
      <w:r w:rsidR="00091D22" w:rsidRPr="00560578">
        <w:rPr>
          <w:rFonts w:ascii="Times New Roman" w:hAnsi="Times New Roman" w:cs="Times New Roman"/>
          <w:sz w:val="20"/>
          <w:szCs w:val="20"/>
        </w:rPr>
        <w:t>, the Party concerned failed to comply with article 3, paragraph 2 of the Convention.</w:t>
      </w:r>
    </w:p>
    <w:p w14:paraId="5C0CF1F7" w14:textId="77777777" w:rsidR="00560578" w:rsidRPr="00560578" w:rsidRDefault="00560578" w:rsidP="00560578">
      <w:pPr>
        <w:tabs>
          <w:tab w:val="num" w:pos="1002"/>
        </w:tabs>
        <w:suppressAutoHyphens/>
        <w:spacing w:after="120" w:line="240" w:lineRule="atLeast"/>
        <w:ind w:left="426" w:right="1134"/>
        <w:jc w:val="both"/>
        <w:rPr>
          <w:rFonts w:ascii="Times New Roman" w:eastAsia="Times New Roman" w:hAnsi="Times New Roman" w:cs="Times New Roman"/>
          <w:sz w:val="20"/>
          <w:szCs w:val="20"/>
        </w:rPr>
      </w:pPr>
    </w:p>
    <w:p w14:paraId="66840D42" w14:textId="75D08861" w:rsidR="0048170D" w:rsidRPr="00560578" w:rsidRDefault="0048170D" w:rsidP="00560578">
      <w:pPr>
        <w:numPr>
          <w:ilvl w:val="0"/>
          <w:numId w:val="19"/>
        </w:numPr>
        <w:tabs>
          <w:tab w:val="right" w:pos="851"/>
        </w:tabs>
        <w:suppressAutoHyphens/>
        <w:spacing w:after="120" w:line="240" w:lineRule="atLeast"/>
        <w:ind w:right="1134"/>
        <w:jc w:val="both"/>
        <w:rPr>
          <w:rFonts w:ascii="Times New Roman" w:eastAsia="Times New Roman" w:hAnsi="Times New Roman" w:cs="Times New Roman"/>
          <w:b/>
          <w:sz w:val="24"/>
          <w:szCs w:val="20"/>
        </w:rPr>
      </w:pPr>
      <w:r w:rsidRPr="00560578">
        <w:rPr>
          <w:rFonts w:ascii="Times New Roman" w:eastAsia="Times New Roman" w:hAnsi="Times New Roman" w:cs="Times New Roman"/>
          <w:b/>
          <w:sz w:val="24"/>
          <w:szCs w:val="24"/>
        </w:rPr>
        <w:t>Recommendations</w:t>
      </w:r>
    </w:p>
    <w:p w14:paraId="046197F5" w14:textId="77777777" w:rsidR="00A6763E" w:rsidRPr="00560578" w:rsidRDefault="00A15C88" w:rsidP="001F51A1">
      <w:pPr>
        <w:pStyle w:val="SingleTxtG"/>
        <w:numPr>
          <w:ilvl w:val="0"/>
          <w:numId w:val="2"/>
        </w:numPr>
        <w:tabs>
          <w:tab w:val="clear" w:pos="1002"/>
          <w:tab w:val="num" w:pos="426"/>
        </w:tabs>
        <w:suppressAutoHyphens w:val="0"/>
        <w:autoSpaceDE w:val="0"/>
        <w:autoSpaceDN w:val="0"/>
        <w:adjustRightInd w:val="0"/>
        <w:spacing w:line="240" w:lineRule="auto"/>
        <w:ind w:left="426" w:firstLine="0"/>
      </w:pPr>
      <w:r w:rsidRPr="00560578">
        <w:t xml:space="preserve">The Committee pursuant to paragraph 36 (b) of the annex to decision I/7 of the Meeting of the Parties, [and noting the agreement of the Party concerned that the Committee take the measures request in paragraph 37 (b) of the annex to decision I/7,] recommends that the Party concerned: </w:t>
      </w:r>
    </w:p>
    <w:p w14:paraId="7A33B6F8" w14:textId="2FAE26AF" w:rsidR="00FE1F77" w:rsidRPr="00560578" w:rsidRDefault="00A15C88" w:rsidP="00560578">
      <w:pPr>
        <w:pStyle w:val="SingleTxtG"/>
        <w:numPr>
          <w:ilvl w:val="1"/>
          <w:numId w:val="18"/>
        </w:numPr>
        <w:tabs>
          <w:tab w:val="clear" w:pos="2574"/>
          <w:tab w:val="num" w:pos="1134"/>
        </w:tabs>
        <w:ind w:left="1134" w:hanging="425"/>
        <w:rPr>
          <w:lang w:val="en-US" w:eastAsia="pl-PL"/>
        </w:rPr>
      </w:pPr>
      <w:r w:rsidRPr="00560578">
        <w:rPr>
          <w:color w:val="000000"/>
          <w:lang w:val="en-US" w:eastAsia="pl-PL"/>
        </w:rPr>
        <w:t>Establish routines or procedures to facilitate members of the public</w:t>
      </w:r>
      <w:r w:rsidR="00BE4B28" w:rsidRPr="00560578">
        <w:rPr>
          <w:color w:val="000000"/>
          <w:lang w:val="en-US" w:eastAsia="pl-PL"/>
        </w:rPr>
        <w:t xml:space="preserve"> in Germany</w:t>
      </w:r>
      <w:r w:rsidR="006018CD" w:rsidRPr="00560578">
        <w:rPr>
          <w:color w:val="000000"/>
          <w:lang w:val="en-US" w:eastAsia="pl-PL"/>
        </w:rPr>
        <w:t xml:space="preserve">, </w:t>
      </w:r>
      <w:r w:rsidRPr="00560578">
        <w:rPr>
          <w:color w:val="000000"/>
          <w:lang w:val="en-US" w:eastAsia="pl-PL"/>
        </w:rPr>
        <w:t xml:space="preserve">to participate in decision-making in environmental matters outside the jurisdiction of the Party concerned, </w:t>
      </w:r>
      <w:proofErr w:type="spellStart"/>
      <w:r w:rsidRPr="00560578">
        <w:rPr>
          <w:color w:val="000000"/>
          <w:lang w:val="en-US" w:eastAsia="pl-PL"/>
        </w:rPr>
        <w:t>eg</w:t>
      </w:r>
      <w:proofErr w:type="spellEnd"/>
      <w:r w:rsidRPr="00560578">
        <w:rPr>
          <w:color w:val="000000"/>
          <w:lang w:val="en-US" w:eastAsia="pl-PL"/>
        </w:rPr>
        <w:t xml:space="preserve"> thr</w:t>
      </w:r>
      <w:bookmarkStart w:id="3" w:name="_GoBack"/>
      <w:bookmarkEnd w:id="3"/>
      <w:r w:rsidRPr="00560578">
        <w:rPr>
          <w:color w:val="000000"/>
          <w:lang w:val="en-US" w:eastAsia="pl-PL"/>
        </w:rPr>
        <w:t>ough existing systems under the Espoo Convention</w:t>
      </w:r>
      <w:r w:rsidR="006018CD" w:rsidRPr="00560578">
        <w:rPr>
          <w:color w:val="000000"/>
          <w:lang w:val="en-US" w:eastAsia="pl-PL"/>
        </w:rPr>
        <w:t>, another international agreement</w:t>
      </w:r>
      <w:r w:rsidRPr="00560578">
        <w:rPr>
          <w:color w:val="000000"/>
          <w:lang w:val="en-US" w:eastAsia="pl-PL"/>
        </w:rPr>
        <w:t xml:space="preserve"> or applicable EU legislation</w:t>
      </w:r>
      <w:r w:rsidR="00A22122" w:rsidRPr="00560578">
        <w:rPr>
          <w:color w:val="000000"/>
          <w:lang w:val="en-US" w:eastAsia="pl-PL"/>
        </w:rPr>
        <w:t>.</w:t>
      </w:r>
    </w:p>
    <w:p w14:paraId="2CFF4B25" w14:textId="77777777" w:rsidR="00FE1F77" w:rsidRPr="00560578" w:rsidRDefault="00FE1F77" w:rsidP="00560578">
      <w:pPr>
        <w:pStyle w:val="SingleTxtG"/>
        <w:numPr>
          <w:ilvl w:val="1"/>
          <w:numId w:val="18"/>
        </w:numPr>
        <w:tabs>
          <w:tab w:val="clear" w:pos="2574"/>
          <w:tab w:val="num" w:pos="1134"/>
        </w:tabs>
        <w:ind w:left="1134" w:hanging="425"/>
        <w:rPr>
          <w:lang w:val="en-US" w:eastAsia="pl-PL"/>
        </w:rPr>
      </w:pPr>
      <w:r w:rsidRPr="00560578">
        <w:rPr>
          <w:color w:val="000000"/>
          <w:lang w:val="en-US" w:eastAsia="pl-PL"/>
        </w:rPr>
        <w:t xml:space="preserve">Establish routines or procedures to ensure that </w:t>
      </w:r>
      <w:r w:rsidRPr="00560578">
        <w:rPr>
          <w:lang w:val="en-US"/>
        </w:rPr>
        <w:t>when deciding</w:t>
      </w:r>
      <w:r w:rsidR="00320417" w:rsidRPr="00560578">
        <w:rPr>
          <w:lang w:val="en-US"/>
        </w:rPr>
        <w:t xml:space="preserve"> whether</w:t>
      </w:r>
      <w:r w:rsidRPr="00560578">
        <w:rPr>
          <w:lang w:val="en-US"/>
        </w:rPr>
        <w:t xml:space="preserve">, </w:t>
      </w:r>
      <w:r w:rsidR="00E9288B" w:rsidRPr="00560578">
        <w:rPr>
          <w:lang w:val="en-US"/>
        </w:rPr>
        <w:t xml:space="preserve">either </w:t>
      </w:r>
      <w:r w:rsidRPr="00560578">
        <w:rPr>
          <w:lang w:val="en-US"/>
        </w:rPr>
        <w:t>following a notification</w:t>
      </w:r>
      <w:r w:rsidR="00E9288B" w:rsidRPr="00560578">
        <w:rPr>
          <w:lang w:val="en-US"/>
        </w:rPr>
        <w:t xml:space="preserve"> or otherwise</w:t>
      </w:r>
      <w:r w:rsidRPr="00560578">
        <w:rPr>
          <w:lang w:val="en-US"/>
        </w:rPr>
        <w:t xml:space="preserve">, to </w:t>
      </w:r>
      <w:r w:rsidR="00A22122" w:rsidRPr="00560578">
        <w:rPr>
          <w:lang w:val="en-US"/>
        </w:rPr>
        <w:t xml:space="preserve">request to </w:t>
      </w:r>
      <w:r w:rsidRPr="00560578">
        <w:rPr>
          <w:lang w:val="en-US"/>
        </w:rPr>
        <w:t>enter into a transboundary procedure under the Espoo Convention</w:t>
      </w:r>
      <w:r w:rsidR="00A22122" w:rsidRPr="00560578">
        <w:rPr>
          <w:lang w:val="en-US"/>
        </w:rPr>
        <w:t>, another international agreement or applicable EU legislation</w:t>
      </w:r>
      <w:r w:rsidRPr="00560578">
        <w:rPr>
          <w:lang w:val="en-US"/>
        </w:rPr>
        <w:t xml:space="preserve">, the possible interest of the public in Germany to participate in </w:t>
      </w:r>
      <w:r w:rsidR="00A22122" w:rsidRPr="00560578">
        <w:rPr>
          <w:lang w:val="en-US"/>
        </w:rPr>
        <w:t xml:space="preserve">the </w:t>
      </w:r>
      <w:r w:rsidRPr="00560578">
        <w:rPr>
          <w:lang w:val="en-US"/>
        </w:rPr>
        <w:t xml:space="preserve">respective decision-making is duly taken into account. </w:t>
      </w:r>
    </w:p>
    <w:p w14:paraId="7F13E5FC" w14:textId="77777777" w:rsidR="00560578" w:rsidRPr="00560578" w:rsidRDefault="00560578" w:rsidP="00560578">
      <w:pPr>
        <w:pStyle w:val="SingleTxtG"/>
        <w:rPr>
          <w:lang w:val="en-US" w:eastAsia="pl-PL"/>
        </w:rPr>
      </w:pPr>
    </w:p>
    <w:p w14:paraId="58F29871" w14:textId="6D4805D0" w:rsidR="00A15C88" w:rsidRPr="00C9485E" w:rsidRDefault="00560578" w:rsidP="00560578">
      <w:pPr>
        <w:ind w:left="426"/>
        <w:jc w:val="center"/>
        <w:rPr>
          <w:color w:val="000000"/>
          <w:lang w:val="en-US" w:eastAsia="pl-PL"/>
        </w:rPr>
      </w:pPr>
      <w:r w:rsidRPr="00560578">
        <w:rPr>
          <w:color w:val="000000"/>
          <w:lang w:val="en-US" w:eastAsia="pl-PL"/>
        </w:rPr>
        <w:t>_____________</w:t>
      </w:r>
    </w:p>
    <w:p w14:paraId="6DCF0442" w14:textId="77777777" w:rsidR="00510624" w:rsidRPr="00950201" w:rsidRDefault="00510624">
      <w:pPr>
        <w:rPr>
          <w:lang w:val="en-US"/>
        </w:rPr>
      </w:pPr>
    </w:p>
    <w:sectPr w:rsidR="00510624" w:rsidRPr="00950201" w:rsidSect="00AD10C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E1C65" w14:textId="77777777" w:rsidR="00DB7DCD" w:rsidRDefault="00DB7DCD" w:rsidP="0048170D">
      <w:pPr>
        <w:spacing w:after="0" w:line="240" w:lineRule="auto"/>
      </w:pPr>
      <w:r>
        <w:separator/>
      </w:r>
    </w:p>
  </w:endnote>
  <w:endnote w:type="continuationSeparator" w:id="0">
    <w:p w14:paraId="7C0E77B6" w14:textId="77777777" w:rsidR="00DB7DCD" w:rsidRDefault="00DB7DCD" w:rsidP="0048170D">
      <w:pPr>
        <w:spacing w:after="0" w:line="240" w:lineRule="auto"/>
      </w:pPr>
      <w:r>
        <w:continuationSeparator/>
      </w:r>
    </w:p>
  </w:endnote>
  <w:endnote w:type="continuationNotice" w:id="1">
    <w:p w14:paraId="52746B9A" w14:textId="77777777" w:rsidR="00DB7DCD" w:rsidRDefault="00DB7D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59255" w14:textId="77777777" w:rsidR="00E32CFA" w:rsidRDefault="00E32C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E0D2" w14:textId="77777777" w:rsidR="00E32CFA" w:rsidRDefault="00E32C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D6B6B" w14:textId="77777777" w:rsidR="00E32CFA" w:rsidRDefault="00E32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58EA3" w14:textId="77777777" w:rsidR="00DB7DCD" w:rsidRDefault="00DB7DCD" w:rsidP="0048170D">
      <w:pPr>
        <w:spacing w:after="0" w:line="240" w:lineRule="auto"/>
      </w:pPr>
      <w:r>
        <w:separator/>
      </w:r>
    </w:p>
  </w:footnote>
  <w:footnote w:type="continuationSeparator" w:id="0">
    <w:p w14:paraId="68768F07" w14:textId="77777777" w:rsidR="00DB7DCD" w:rsidRDefault="00DB7DCD" w:rsidP="0048170D">
      <w:pPr>
        <w:spacing w:after="0" w:line="240" w:lineRule="auto"/>
      </w:pPr>
      <w:r>
        <w:continuationSeparator/>
      </w:r>
    </w:p>
  </w:footnote>
  <w:footnote w:type="continuationNotice" w:id="1">
    <w:p w14:paraId="3FB87676" w14:textId="77777777" w:rsidR="00DB7DCD" w:rsidRDefault="00DB7DCD">
      <w:pPr>
        <w:spacing w:after="0" w:line="240" w:lineRule="auto"/>
      </w:pPr>
    </w:p>
  </w:footnote>
  <w:footnote w:id="2">
    <w:p w14:paraId="657DFCD4" w14:textId="77777777" w:rsidR="00C47173" w:rsidRPr="00091D22" w:rsidRDefault="00C47173" w:rsidP="00091D22">
      <w:pPr>
        <w:pStyle w:val="FootnoteText"/>
        <w:ind w:left="1134" w:right="1134"/>
        <w:rPr>
          <w:rFonts w:ascii="Times New Roman" w:hAnsi="Times New Roman" w:cs="Times New Roman"/>
        </w:rPr>
      </w:pPr>
      <w:r w:rsidRPr="00091D22">
        <w:rPr>
          <w:rStyle w:val="FootnoteReference"/>
          <w:sz w:val="20"/>
        </w:rPr>
        <w:footnoteRef/>
      </w:r>
      <w:r w:rsidRPr="00091D22">
        <w:rPr>
          <w:rFonts w:ascii="Times New Roman" w:hAnsi="Times New Roman" w:cs="Times New Roman"/>
        </w:rPr>
        <w:t>This section summarizes only the main facts, evidence and issues considered to be relevant to the question of compliance, as presented to and considered by the Committee.</w:t>
      </w:r>
    </w:p>
  </w:footnote>
  <w:footnote w:id="3">
    <w:p w14:paraId="2D59448E" w14:textId="77777777" w:rsidR="00C47173" w:rsidRPr="00091D22" w:rsidRDefault="00C47173" w:rsidP="00091D22">
      <w:pPr>
        <w:pStyle w:val="FootnoteText"/>
        <w:ind w:left="1134" w:right="1134"/>
        <w:rPr>
          <w:rFonts w:ascii="Times New Roman" w:hAnsi="Times New Roman" w:cs="Times New Roman"/>
        </w:rPr>
      </w:pPr>
      <w:r w:rsidRPr="00091D22">
        <w:rPr>
          <w:rStyle w:val="FootnoteReference"/>
          <w:sz w:val="20"/>
        </w:rPr>
        <w:footnoteRef/>
      </w:r>
      <w:r w:rsidRPr="00091D22">
        <w:rPr>
          <w:rFonts w:ascii="Times New Roman" w:hAnsi="Times New Roman" w:cs="Times New Roman"/>
        </w:rPr>
        <w:t xml:space="preserve"> Directive 85/337/EC now consolidated as Directive 8011/92/EU, amended by Directive 2014/52/EU.</w:t>
      </w:r>
    </w:p>
  </w:footnote>
  <w:footnote w:id="4">
    <w:p w14:paraId="64269F6D" w14:textId="473DD7B5" w:rsidR="00C47173" w:rsidRPr="00091D22" w:rsidRDefault="00C47173" w:rsidP="00091D22">
      <w:pPr>
        <w:pStyle w:val="FootnoteText"/>
        <w:ind w:left="1134" w:right="1134"/>
        <w:rPr>
          <w:rFonts w:ascii="Times New Roman" w:hAnsi="Times New Roman" w:cs="Times New Roman"/>
        </w:rPr>
      </w:pPr>
      <w:r w:rsidRPr="00091D22">
        <w:rPr>
          <w:rStyle w:val="FootnoteReference"/>
          <w:sz w:val="20"/>
        </w:rPr>
        <w:footnoteRef/>
      </w:r>
      <w:r w:rsidRPr="00091D22">
        <w:rPr>
          <w:rFonts w:ascii="Times New Roman" w:hAnsi="Times New Roman" w:cs="Times New Roman"/>
        </w:rPr>
        <w:t xml:space="preserve"> See Annex 1 of the </w:t>
      </w:r>
      <w:r w:rsidR="009F682A">
        <w:rPr>
          <w:rFonts w:ascii="Times New Roman" w:hAnsi="Times New Roman" w:cs="Times New Roman"/>
        </w:rPr>
        <w:t>Response to the communication</w:t>
      </w:r>
      <w:r w:rsidRPr="00091D22">
        <w:rPr>
          <w:rFonts w:ascii="Times New Roman" w:hAnsi="Times New Roman" w:cs="Times New Roman"/>
        </w:rPr>
        <w:t xml:space="preserve">. </w:t>
      </w:r>
    </w:p>
  </w:footnote>
  <w:footnote w:id="5">
    <w:p w14:paraId="38BEF80F" w14:textId="77777777" w:rsidR="00C47173" w:rsidRPr="00091D22" w:rsidRDefault="00C47173" w:rsidP="00091D22">
      <w:pPr>
        <w:pStyle w:val="FootnoteText"/>
        <w:ind w:left="1134" w:right="1134"/>
        <w:rPr>
          <w:rFonts w:ascii="Times New Roman" w:hAnsi="Times New Roman" w:cs="Times New Roman"/>
          <w:lang w:val="fr-CH"/>
        </w:rPr>
      </w:pPr>
      <w:r w:rsidRPr="00091D22">
        <w:rPr>
          <w:rStyle w:val="FootnoteReference"/>
          <w:sz w:val="20"/>
        </w:rPr>
        <w:footnoteRef/>
      </w:r>
      <w:r w:rsidRPr="00091D22">
        <w:rPr>
          <w:rFonts w:ascii="Times New Roman" w:hAnsi="Times New Roman" w:cs="Times New Roman"/>
          <w:lang w:val="fr-CH"/>
        </w:rPr>
        <w:t xml:space="preserve"> Communication, page 2.</w:t>
      </w:r>
    </w:p>
  </w:footnote>
  <w:footnote w:id="6">
    <w:p w14:paraId="113F1AAA" w14:textId="77777777" w:rsidR="00C47173" w:rsidRPr="00091D22" w:rsidRDefault="00C47173" w:rsidP="00091D22">
      <w:pPr>
        <w:pStyle w:val="FootnoteText"/>
        <w:ind w:left="1134"/>
        <w:rPr>
          <w:rFonts w:ascii="Times New Roman" w:hAnsi="Times New Roman" w:cs="Times New Roman"/>
          <w:lang w:val="fr-CH"/>
        </w:rPr>
      </w:pPr>
      <w:r w:rsidRPr="00091D22">
        <w:rPr>
          <w:rStyle w:val="FootnoteReference"/>
          <w:sz w:val="20"/>
        </w:rPr>
        <w:footnoteRef/>
      </w:r>
      <w:r w:rsidRPr="00091D22">
        <w:rPr>
          <w:rFonts w:ascii="Times New Roman" w:hAnsi="Times New Roman" w:cs="Times New Roman"/>
          <w:lang w:val="fr-CH"/>
        </w:rPr>
        <w:t xml:space="preserve"> Response to communication, page 6.</w:t>
      </w:r>
    </w:p>
  </w:footnote>
  <w:footnote w:id="7">
    <w:p w14:paraId="3CEE9C9D" w14:textId="6A63204F" w:rsidR="00C47173" w:rsidRPr="00091D22" w:rsidRDefault="00C47173" w:rsidP="00091D22">
      <w:pPr>
        <w:pStyle w:val="FootnoteText"/>
        <w:ind w:left="1134" w:right="1134"/>
        <w:rPr>
          <w:rFonts w:ascii="Times New Roman" w:hAnsi="Times New Roman" w:cs="Times New Roman"/>
        </w:rPr>
      </w:pPr>
      <w:r w:rsidRPr="00091D22">
        <w:rPr>
          <w:rStyle w:val="FootnoteReference"/>
          <w:sz w:val="20"/>
        </w:rPr>
        <w:footnoteRef/>
      </w:r>
      <w:r w:rsidRPr="00091D22">
        <w:rPr>
          <w:rFonts w:ascii="Times New Roman" w:hAnsi="Times New Roman" w:cs="Times New Roman"/>
        </w:rPr>
        <w:t xml:space="preserve"> </w:t>
      </w:r>
      <w:r w:rsidR="009F682A">
        <w:rPr>
          <w:rFonts w:ascii="Times New Roman" w:hAnsi="Times New Roman" w:cs="Times New Roman"/>
        </w:rPr>
        <w:t>Response to the communication</w:t>
      </w:r>
      <w:r w:rsidRPr="00091D22">
        <w:rPr>
          <w:rFonts w:ascii="Times New Roman" w:hAnsi="Times New Roman" w:cs="Times New Roman"/>
        </w:rPr>
        <w:t>, page 10, with reference to: The Aarhus Convention, An Implementation Guide, second edition, 2014, United Nations, page 118.</w:t>
      </w:r>
    </w:p>
  </w:footnote>
  <w:footnote w:id="8">
    <w:p w14:paraId="28FAF6FF" w14:textId="77777777" w:rsidR="00C47173" w:rsidRPr="00091D22" w:rsidRDefault="00C47173" w:rsidP="00091D22">
      <w:pPr>
        <w:pStyle w:val="FootnoteText"/>
        <w:ind w:left="1134"/>
        <w:rPr>
          <w:rFonts w:ascii="Times New Roman" w:hAnsi="Times New Roman" w:cs="Times New Roman"/>
          <w:lang w:val="fr-CH"/>
        </w:rPr>
      </w:pPr>
      <w:r w:rsidRPr="00091D22">
        <w:rPr>
          <w:rStyle w:val="FootnoteReference"/>
          <w:sz w:val="20"/>
        </w:rPr>
        <w:footnoteRef/>
      </w:r>
      <w:r w:rsidRPr="00091D22">
        <w:rPr>
          <w:rFonts w:ascii="Times New Roman" w:hAnsi="Times New Roman" w:cs="Times New Roman"/>
          <w:lang w:val="fr-CH"/>
        </w:rPr>
        <w:t xml:space="preserve"> </w:t>
      </w:r>
      <w:r w:rsidRPr="00091D22">
        <w:rPr>
          <w:rFonts w:ascii="Times New Roman" w:eastAsia="Times New Roman" w:hAnsi="Times New Roman" w:cs="Times New Roman"/>
          <w:lang w:val="fr-CH"/>
        </w:rPr>
        <w:t>Aarhus Convention Implementation Guide, second edition, page 118.</w:t>
      </w:r>
    </w:p>
  </w:footnote>
  <w:footnote w:id="9">
    <w:p w14:paraId="3EE264CF" w14:textId="351A9F62" w:rsidR="00C47173" w:rsidRPr="00091D22" w:rsidRDefault="00C47173" w:rsidP="00091D22">
      <w:pPr>
        <w:pStyle w:val="FootnoteText"/>
        <w:ind w:left="1134" w:right="1134"/>
        <w:rPr>
          <w:rFonts w:ascii="Times New Roman" w:hAnsi="Times New Roman" w:cs="Times New Roman"/>
        </w:rPr>
      </w:pPr>
      <w:r w:rsidRPr="00091D22">
        <w:rPr>
          <w:rStyle w:val="FootnoteReference"/>
          <w:sz w:val="20"/>
        </w:rPr>
        <w:footnoteRef/>
      </w:r>
      <w:r w:rsidRPr="00091D22">
        <w:rPr>
          <w:rFonts w:ascii="Times New Roman" w:hAnsi="Times New Roman" w:cs="Times New Roman"/>
        </w:rPr>
        <w:t xml:space="preserve"> See </w:t>
      </w:r>
      <w:r w:rsidR="009F682A">
        <w:rPr>
          <w:rFonts w:ascii="Times New Roman" w:hAnsi="Times New Roman" w:cs="Times New Roman"/>
        </w:rPr>
        <w:t>Response to the communication</w:t>
      </w:r>
      <w:r w:rsidRPr="00091D22">
        <w:rPr>
          <w:rFonts w:ascii="Times New Roman" w:hAnsi="Times New Roman" w:cs="Times New Roman"/>
        </w:rPr>
        <w:t>, page 10, with reference to: ECE/MP.PP/C.1/2009/8/Add.1, para. 82.</w:t>
      </w:r>
    </w:p>
  </w:footnote>
  <w:footnote w:id="10">
    <w:p w14:paraId="0E4240AE" w14:textId="77777777" w:rsidR="00C47173" w:rsidRPr="00091D22" w:rsidRDefault="00C47173" w:rsidP="00091D22">
      <w:pPr>
        <w:pStyle w:val="FootnoteText"/>
        <w:ind w:left="1134" w:right="1134"/>
        <w:rPr>
          <w:rFonts w:ascii="Times New Roman" w:hAnsi="Times New Roman" w:cs="Times New Roman"/>
        </w:rPr>
      </w:pPr>
      <w:r w:rsidRPr="00091D22">
        <w:rPr>
          <w:rStyle w:val="FootnoteReference"/>
          <w:sz w:val="20"/>
        </w:rPr>
        <w:footnoteRef/>
      </w:r>
      <w:r w:rsidRPr="00091D22">
        <w:rPr>
          <w:rFonts w:ascii="Times New Roman" w:hAnsi="Times New Roman" w:cs="Times New Roman"/>
        </w:rPr>
        <w:t xml:space="preserve"> See communication, page 3.</w:t>
      </w:r>
    </w:p>
  </w:footnote>
  <w:footnote w:id="11">
    <w:p w14:paraId="1EB800C5" w14:textId="00FE47EC" w:rsidR="00C47173" w:rsidRPr="00091D22" w:rsidRDefault="00C47173" w:rsidP="00091D22">
      <w:pPr>
        <w:pStyle w:val="FootnoteText"/>
        <w:ind w:left="1134" w:right="1134"/>
        <w:rPr>
          <w:rFonts w:ascii="Times New Roman" w:hAnsi="Times New Roman" w:cs="Times New Roman"/>
        </w:rPr>
      </w:pPr>
      <w:r w:rsidRPr="00091D22">
        <w:rPr>
          <w:rStyle w:val="FootnoteReference"/>
          <w:sz w:val="20"/>
        </w:rPr>
        <w:footnoteRef/>
      </w:r>
      <w:r w:rsidRPr="00091D22">
        <w:rPr>
          <w:rFonts w:ascii="Times New Roman" w:hAnsi="Times New Roman" w:cs="Times New Roman"/>
        </w:rPr>
        <w:t xml:space="preserve"> See </w:t>
      </w:r>
      <w:r w:rsidR="009F682A">
        <w:rPr>
          <w:rFonts w:ascii="Times New Roman" w:hAnsi="Times New Roman" w:cs="Times New Roman"/>
        </w:rPr>
        <w:t>Response to the communication</w:t>
      </w:r>
      <w:r w:rsidRPr="00091D22">
        <w:rPr>
          <w:rFonts w:ascii="Times New Roman" w:hAnsi="Times New Roman" w:cs="Times New Roman"/>
        </w:rPr>
        <w:t>, page 11, pt.3.a.</w:t>
      </w:r>
    </w:p>
  </w:footnote>
  <w:footnote w:id="12">
    <w:p w14:paraId="140249D4" w14:textId="185E5E16" w:rsidR="00C47173" w:rsidRPr="00091D22" w:rsidRDefault="00C47173" w:rsidP="002665BE">
      <w:pPr>
        <w:pStyle w:val="FootnoteText"/>
        <w:ind w:left="1134"/>
        <w:rPr>
          <w:rFonts w:ascii="Times New Roman" w:hAnsi="Times New Roman" w:cs="Times New Roman"/>
        </w:rPr>
      </w:pPr>
      <w:r w:rsidRPr="00091D22">
        <w:rPr>
          <w:rStyle w:val="FootnoteReference"/>
          <w:sz w:val="20"/>
        </w:rPr>
        <w:footnoteRef/>
      </w:r>
      <w:r w:rsidRPr="00091D22">
        <w:rPr>
          <w:rFonts w:ascii="Times New Roman" w:hAnsi="Times New Roman" w:cs="Times New Roman"/>
        </w:rPr>
        <w:t xml:space="preserve"> See </w:t>
      </w:r>
      <w:r w:rsidR="009F682A">
        <w:rPr>
          <w:rFonts w:ascii="Times New Roman" w:hAnsi="Times New Roman" w:cs="Times New Roman"/>
        </w:rPr>
        <w:t>Response to the communication</w:t>
      </w:r>
      <w:r w:rsidRPr="00091D22">
        <w:rPr>
          <w:rFonts w:ascii="Times New Roman" w:hAnsi="Times New Roman" w:cs="Times New Roman"/>
        </w:rPr>
        <w:t xml:space="preserve">, page 12, </w:t>
      </w:r>
      <w:proofErr w:type="spellStart"/>
      <w:r w:rsidRPr="00091D22">
        <w:rPr>
          <w:rFonts w:ascii="Times New Roman" w:hAnsi="Times New Roman" w:cs="Times New Roman"/>
        </w:rPr>
        <w:t>pt.aa</w:t>
      </w:r>
      <w:proofErr w:type="spellEnd"/>
      <w:r w:rsidRPr="00091D22">
        <w:rPr>
          <w:rFonts w:ascii="Times New Roman" w:hAnsi="Times New Roman" w:cs="Times New Roman"/>
        </w:rPr>
        <w:t>.</w:t>
      </w:r>
    </w:p>
  </w:footnote>
  <w:footnote w:id="13">
    <w:p w14:paraId="36D70FB3" w14:textId="42AD3714" w:rsidR="00C47173" w:rsidRPr="00091D22" w:rsidRDefault="00C47173" w:rsidP="00091D22">
      <w:pPr>
        <w:pStyle w:val="FootnoteText"/>
        <w:ind w:left="1134" w:right="1134"/>
        <w:rPr>
          <w:rFonts w:ascii="Times New Roman" w:hAnsi="Times New Roman" w:cs="Times New Roman"/>
        </w:rPr>
      </w:pPr>
      <w:r w:rsidRPr="00091D22">
        <w:rPr>
          <w:rStyle w:val="FootnoteReference"/>
          <w:sz w:val="20"/>
        </w:rPr>
        <w:footnoteRef/>
      </w:r>
      <w:r w:rsidRPr="00091D22">
        <w:rPr>
          <w:rFonts w:ascii="Times New Roman" w:hAnsi="Times New Roman" w:cs="Times New Roman"/>
        </w:rPr>
        <w:t xml:space="preserve"> See </w:t>
      </w:r>
      <w:r w:rsidR="009F682A">
        <w:rPr>
          <w:rFonts w:ascii="Times New Roman" w:hAnsi="Times New Roman" w:cs="Times New Roman"/>
        </w:rPr>
        <w:t>Response to the communication</w:t>
      </w:r>
      <w:r w:rsidRPr="00091D22">
        <w:rPr>
          <w:rFonts w:ascii="Times New Roman" w:hAnsi="Times New Roman" w:cs="Times New Roman"/>
        </w:rPr>
        <w:t>, page 12-13, pt.bb.</w:t>
      </w:r>
    </w:p>
  </w:footnote>
  <w:footnote w:id="14">
    <w:p w14:paraId="73821D04" w14:textId="77777777" w:rsidR="00C47173" w:rsidRPr="00091D22" w:rsidRDefault="00C47173" w:rsidP="00091D22">
      <w:pPr>
        <w:pStyle w:val="FootnoteText"/>
        <w:ind w:left="1134" w:right="1134"/>
        <w:rPr>
          <w:rFonts w:ascii="Times New Roman" w:hAnsi="Times New Roman" w:cs="Times New Roman"/>
        </w:rPr>
      </w:pPr>
      <w:r w:rsidRPr="00091D22">
        <w:rPr>
          <w:rStyle w:val="FootnoteReference"/>
          <w:sz w:val="20"/>
        </w:rPr>
        <w:footnoteRef/>
      </w:r>
      <w:r w:rsidRPr="00091D22">
        <w:rPr>
          <w:rFonts w:ascii="Times New Roman" w:hAnsi="Times New Roman" w:cs="Times New Roman"/>
        </w:rPr>
        <w:t xml:space="preserve"> See Communication, page 5</w:t>
      </w:r>
    </w:p>
  </w:footnote>
  <w:footnote w:id="15">
    <w:p w14:paraId="61A01E3C" w14:textId="112D8442" w:rsidR="00C47173" w:rsidRPr="00091D22" w:rsidRDefault="00C47173" w:rsidP="00091D22">
      <w:pPr>
        <w:pStyle w:val="FootnoteText"/>
        <w:ind w:left="1134" w:right="1134"/>
        <w:rPr>
          <w:rFonts w:ascii="Times New Roman" w:hAnsi="Times New Roman" w:cs="Times New Roman"/>
        </w:rPr>
      </w:pPr>
      <w:r w:rsidRPr="00091D22">
        <w:rPr>
          <w:rStyle w:val="FootnoteReference"/>
          <w:sz w:val="20"/>
        </w:rPr>
        <w:footnoteRef/>
      </w:r>
      <w:r w:rsidRPr="00091D22">
        <w:rPr>
          <w:rFonts w:ascii="Times New Roman" w:hAnsi="Times New Roman" w:cs="Times New Roman"/>
        </w:rPr>
        <w:t xml:space="preserve"> See </w:t>
      </w:r>
      <w:r w:rsidR="009F682A">
        <w:rPr>
          <w:rFonts w:ascii="Times New Roman" w:hAnsi="Times New Roman" w:cs="Times New Roman"/>
        </w:rPr>
        <w:t>Response to the communication</w:t>
      </w:r>
      <w:r w:rsidRPr="00091D22">
        <w:rPr>
          <w:rFonts w:ascii="Times New Roman" w:hAnsi="Times New Roman" w:cs="Times New Roman"/>
        </w:rPr>
        <w:t>, page 14, pt.cc.</w:t>
      </w:r>
    </w:p>
  </w:footnote>
  <w:footnote w:id="16">
    <w:p w14:paraId="56B4C055" w14:textId="77777777" w:rsidR="00C47173" w:rsidRPr="00091D22" w:rsidRDefault="00C47173" w:rsidP="00091D22">
      <w:pPr>
        <w:pStyle w:val="FootnoteText"/>
        <w:ind w:left="1134" w:right="1134"/>
        <w:rPr>
          <w:rFonts w:ascii="Times New Roman" w:hAnsi="Times New Roman" w:cs="Times New Roman"/>
        </w:rPr>
      </w:pPr>
      <w:r w:rsidRPr="00091D22">
        <w:rPr>
          <w:rStyle w:val="FootnoteReference"/>
          <w:sz w:val="20"/>
        </w:rPr>
        <w:footnoteRef/>
      </w:r>
      <w:r w:rsidRPr="00091D22">
        <w:rPr>
          <w:rFonts w:ascii="Times New Roman" w:hAnsi="Times New Roman" w:cs="Times New Roman"/>
        </w:rPr>
        <w:t xml:space="preserve"> See Communication, page 4</w:t>
      </w:r>
    </w:p>
  </w:footnote>
  <w:footnote w:id="17">
    <w:p w14:paraId="6F43633A" w14:textId="5E4445F3" w:rsidR="00C47173" w:rsidRPr="00091D22" w:rsidRDefault="00C47173" w:rsidP="00091D22">
      <w:pPr>
        <w:pStyle w:val="FootnoteText"/>
        <w:ind w:left="1134" w:right="1134"/>
        <w:rPr>
          <w:rFonts w:ascii="Times New Roman" w:hAnsi="Times New Roman" w:cs="Times New Roman"/>
        </w:rPr>
      </w:pPr>
      <w:r w:rsidRPr="00091D22">
        <w:rPr>
          <w:rStyle w:val="FootnoteReference"/>
          <w:sz w:val="20"/>
        </w:rPr>
        <w:footnoteRef/>
      </w:r>
      <w:r w:rsidRPr="00091D22">
        <w:rPr>
          <w:rFonts w:ascii="Times New Roman" w:hAnsi="Times New Roman" w:cs="Times New Roman"/>
        </w:rPr>
        <w:t xml:space="preserve"> See </w:t>
      </w:r>
      <w:r w:rsidR="009F682A">
        <w:rPr>
          <w:rFonts w:ascii="Times New Roman" w:hAnsi="Times New Roman" w:cs="Times New Roman"/>
        </w:rPr>
        <w:t>Response to the communication</w:t>
      </w:r>
      <w:r w:rsidRPr="00091D22">
        <w:rPr>
          <w:rFonts w:ascii="Times New Roman" w:hAnsi="Times New Roman" w:cs="Times New Roman"/>
        </w:rPr>
        <w:t xml:space="preserve">, page 14, </w:t>
      </w:r>
      <w:proofErr w:type="spellStart"/>
      <w:r w:rsidRPr="00091D22">
        <w:rPr>
          <w:rFonts w:ascii="Times New Roman" w:hAnsi="Times New Roman" w:cs="Times New Roman"/>
        </w:rPr>
        <w:t>pt.c</w:t>
      </w:r>
      <w:proofErr w:type="spellEnd"/>
      <w:r w:rsidRPr="00091D22">
        <w:rPr>
          <w:rFonts w:ascii="Times New Roman" w:hAnsi="Times New Roman" w:cs="Times New Roman"/>
        </w:rPr>
        <w:t>.</w:t>
      </w:r>
    </w:p>
  </w:footnote>
  <w:footnote w:id="18">
    <w:p w14:paraId="0742ACEC" w14:textId="36B336DB" w:rsidR="00C47173" w:rsidRPr="00091D22" w:rsidRDefault="00C47173" w:rsidP="00091D22">
      <w:pPr>
        <w:pStyle w:val="FootnoteText"/>
        <w:ind w:left="1134" w:right="1134"/>
        <w:rPr>
          <w:rFonts w:ascii="Times New Roman" w:hAnsi="Times New Roman" w:cs="Times New Roman"/>
        </w:rPr>
      </w:pPr>
      <w:r w:rsidRPr="00091D22">
        <w:rPr>
          <w:rStyle w:val="FootnoteReference"/>
          <w:sz w:val="20"/>
        </w:rPr>
        <w:footnoteRef/>
      </w:r>
      <w:r w:rsidRPr="00091D22">
        <w:rPr>
          <w:rFonts w:ascii="Times New Roman" w:hAnsi="Times New Roman" w:cs="Times New Roman"/>
        </w:rPr>
        <w:t xml:space="preserve"> See </w:t>
      </w:r>
      <w:r w:rsidR="009F682A">
        <w:rPr>
          <w:rFonts w:ascii="Times New Roman" w:hAnsi="Times New Roman" w:cs="Times New Roman"/>
        </w:rPr>
        <w:t>Response to the communication</w:t>
      </w:r>
      <w:r w:rsidRPr="00091D22">
        <w:rPr>
          <w:rFonts w:ascii="Times New Roman" w:hAnsi="Times New Roman" w:cs="Times New Roman"/>
        </w:rPr>
        <w:t xml:space="preserve">, page 15, pt. </w:t>
      </w:r>
      <w:proofErr w:type="gramStart"/>
      <w:r w:rsidRPr="00091D22">
        <w:rPr>
          <w:rFonts w:ascii="Times New Roman" w:hAnsi="Times New Roman" w:cs="Times New Roman"/>
        </w:rPr>
        <w:t>aa</w:t>
      </w:r>
      <w:proofErr w:type="gramEnd"/>
      <w:r w:rsidRPr="00091D22">
        <w:rPr>
          <w:rFonts w:ascii="Times New Roman" w:hAnsi="Times New Roman" w:cs="Times New Roman"/>
        </w:rPr>
        <w:t>.</w:t>
      </w:r>
    </w:p>
  </w:footnote>
  <w:footnote w:id="19">
    <w:p w14:paraId="23F08F29" w14:textId="77777777" w:rsidR="00C47173" w:rsidRPr="00091D22" w:rsidRDefault="00C47173" w:rsidP="00091D22">
      <w:pPr>
        <w:pStyle w:val="FootnoteText"/>
        <w:ind w:left="1134" w:right="1134"/>
        <w:rPr>
          <w:rFonts w:ascii="Times New Roman" w:hAnsi="Times New Roman" w:cs="Times New Roman"/>
        </w:rPr>
      </w:pPr>
      <w:r w:rsidRPr="00091D22">
        <w:rPr>
          <w:rStyle w:val="FootnoteReference"/>
          <w:sz w:val="20"/>
        </w:rPr>
        <w:footnoteRef/>
      </w:r>
      <w:r w:rsidRPr="00091D22">
        <w:rPr>
          <w:rFonts w:ascii="Times New Roman" w:hAnsi="Times New Roman" w:cs="Times New Roman"/>
        </w:rPr>
        <w:t xml:space="preserve"> See Communication, page 1-2</w:t>
      </w:r>
    </w:p>
  </w:footnote>
  <w:footnote w:id="20">
    <w:p w14:paraId="5EB0DEED" w14:textId="4EEA913E" w:rsidR="00C47173" w:rsidRPr="00091D22" w:rsidRDefault="00C47173" w:rsidP="00091D22">
      <w:pPr>
        <w:pStyle w:val="FootnoteText"/>
        <w:ind w:left="1134" w:right="1134"/>
        <w:rPr>
          <w:rFonts w:ascii="Times New Roman" w:hAnsi="Times New Roman" w:cs="Times New Roman"/>
        </w:rPr>
      </w:pPr>
      <w:r w:rsidRPr="00091D22">
        <w:rPr>
          <w:rStyle w:val="FootnoteReference"/>
          <w:sz w:val="20"/>
        </w:rPr>
        <w:footnoteRef/>
      </w:r>
      <w:r w:rsidRPr="00091D22">
        <w:rPr>
          <w:rFonts w:ascii="Times New Roman" w:hAnsi="Times New Roman" w:cs="Times New Roman"/>
        </w:rPr>
        <w:t xml:space="preserve"> See </w:t>
      </w:r>
      <w:r w:rsidR="009F682A">
        <w:rPr>
          <w:rFonts w:ascii="Times New Roman" w:hAnsi="Times New Roman" w:cs="Times New Roman"/>
        </w:rPr>
        <w:t>Response to the communication</w:t>
      </w:r>
      <w:r w:rsidRPr="00091D22">
        <w:rPr>
          <w:rFonts w:ascii="Times New Roman" w:hAnsi="Times New Roman" w:cs="Times New Roman"/>
        </w:rPr>
        <w:t>, page 16, pt.bb.</w:t>
      </w:r>
    </w:p>
  </w:footnote>
  <w:footnote w:id="21">
    <w:p w14:paraId="42650B6E" w14:textId="0D77714E" w:rsidR="00C47173" w:rsidRPr="00091D22" w:rsidRDefault="00C47173" w:rsidP="00091D22">
      <w:pPr>
        <w:pStyle w:val="FootnoteText"/>
        <w:ind w:left="1134" w:right="1134"/>
        <w:rPr>
          <w:rFonts w:ascii="Times New Roman" w:hAnsi="Times New Roman" w:cs="Times New Roman"/>
        </w:rPr>
      </w:pPr>
      <w:r w:rsidRPr="00091D22">
        <w:rPr>
          <w:rStyle w:val="FootnoteReference"/>
          <w:sz w:val="20"/>
        </w:rPr>
        <w:footnoteRef/>
      </w:r>
      <w:r w:rsidRPr="00091D22">
        <w:rPr>
          <w:rFonts w:ascii="Times New Roman" w:hAnsi="Times New Roman" w:cs="Times New Roman"/>
        </w:rPr>
        <w:t xml:space="preserve"> See </w:t>
      </w:r>
      <w:r w:rsidR="009F682A">
        <w:rPr>
          <w:rFonts w:ascii="Times New Roman" w:hAnsi="Times New Roman" w:cs="Times New Roman"/>
        </w:rPr>
        <w:t>Response to the communication</w:t>
      </w:r>
      <w:r w:rsidRPr="00091D22">
        <w:rPr>
          <w:rFonts w:ascii="Times New Roman" w:hAnsi="Times New Roman" w:cs="Times New Roman"/>
        </w:rPr>
        <w:t>, page 16, pt.cc.</w:t>
      </w:r>
    </w:p>
  </w:footnote>
  <w:footnote w:id="22">
    <w:p w14:paraId="397452ED" w14:textId="23F415F5" w:rsidR="00C47173" w:rsidRPr="00091D22" w:rsidRDefault="00C47173" w:rsidP="00091D22">
      <w:pPr>
        <w:pStyle w:val="FootnoteText"/>
        <w:ind w:left="1134" w:right="1134"/>
        <w:rPr>
          <w:rFonts w:ascii="Times New Roman" w:hAnsi="Times New Roman" w:cs="Times New Roman"/>
        </w:rPr>
      </w:pPr>
      <w:r w:rsidRPr="00091D22">
        <w:rPr>
          <w:rStyle w:val="FootnoteReference"/>
          <w:sz w:val="20"/>
        </w:rPr>
        <w:footnoteRef/>
      </w:r>
      <w:r w:rsidRPr="00091D22">
        <w:rPr>
          <w:rFonts w:ascii="Times New Roman" w:hAnsi="Times New Roman" w:cs="Times New Roman"/>
        </w:rPr>
        <w:t xml:space="preserve"> See </w:t>
      </w:r>
      <w:r w:rsidR="009F682A">
        <w:rPr>
          <w:rFonts w:ascii="Times New Roman" w:hAnsi="Times New Roman" w:cs="Times New Roman"/>
        </w:rPr>
        <w:t>Response to the communication</w:t>
      </w:r>
      <w:r w:rsidRPr="00091D22">
        <w:rPr>
          <w:rFonts w:ascii="Times New Roman" w:hAnsi="Times New Roman" w:cs="Times New Roman"/>
        </w:rPr>
        <w:t xml:space="preserve">, page 16, </w:t>
      </w:r>
      <w:proofErr w:type="gramStart"/>
      <w:r w:rsidRPr="00091D22">
        <w:rPr>
          <w:rFonts w:ascii="Times New Roman" w:hAnsi="Times New Roman" w:cs="Times New Roman"/>
        </w:rPr>
        <w:t>17 pt.dd</w:t>
      </w:r>
      <w:proofErr w:type="gramEnd"/>
      <w:r w:rsidRPr="00091D22">
        <w:rPr>
          <w:rFonts w:ascii="Times New Roman" w:hAnsi="Times New Roman" w:cs="Times New Roman"/>
        </w:rPr>
        <w:t>.</w:t>
      </w:r>
    </w:p>
  </w:footnote>
  <w:footnote w:id="23">
    <w:p w14:paraId="3E9E3161" w14:textId="6EB45428" w:rsidR="00C47173" w:rsidRPr="00091D22" w:rsidRDefault="00C47173" w:rsidP="00091D22">
      <w:pPr>
        <w:pStyle w:val="FootnoteText"/>
        <w:ind w:left="1134" w:right="1134"/>
        <w:rPr>
          <w:rFonts w:ascii="Times New Roman" w:hAnsi="Times New Roman" w:cs="Times New Roman"/>
        </w:rPr>
      </w:pPr>
      <w:r w:rsidRPr="00091D22">
        <w:rPr>
          <w:rStyle w:val="FootnoteReference"/>
          <w:sz w:val="20"/>
        </w:rPr>
        <w:footnoteRef/>
      </w:r>
      <w:r w:rsidRPr="00091D22">
        <w:rPr>
          <w:rFonts w:ascii="Times New Roman" w:hAnsi="Times New Roman" w:cs="Times New Roman"/>
        </w:rPr>
        <w:t xml:space="preserve"> See </w:t>
      </w:r>
      <w:r w:rsidR="009F682A">
        <w:rPr>
          <w:rFonts w:ascii="Times New Roman" w:hAnsi="Times New Roman" w:cs="Times New Roman"/>
        </w:rPr>
        <w:t>Response to the communication</w:t>
      </w:r>
      <w:r w:rsidRPr="00091D22">
        <w:rPr>
          <w:rFonts w:ascii="Times New Roman" w:hAnsi="Times New Roman" w:cs="Times New Roman"/>
        </w:rPr>
        <w:t>, page 17, pt.dd.</w:t>
      </w:r>
    </w:p>
  </w:footnote>
  <w:footnote w:id="24">
    <w:p w14:paraId="55D92390" w14:textId="77777777" w:rsidR="00C47173" w:rsidRPr="00091D22" w:rsidRDefault="00C47173" w:rsidP="00091D22">
      <w:pPr>
        <w:pStyle w:val="FootnoteText"/>
        <w:ind w:left="1134" w:right="1134"/>
        <w:rPr>
          <w:rFonts w:ascii="Times New Roman" w:hAnsi="Times New Roman" w:cs="Times New Roman"/>
        </w:rPr>
      </w:pPr>
      <w:r w:rsidRPr="00091D22">
        <w:rPr>
          <w:rStyle w:val="FootnoteReference"/>
          <w:sz w:val="20"/>
        </w:rPr>
        <w:footnoteRef/>
      </w:r>
      <w:r w:rsidRPr="00091D22">
        <w:rPr>
          <w:rFonts w:ascii="Times New Roman" w:hAnsi="Times New Roman" w:cs="Times New Roman"/>
        </w:rPr>
        <w:t xml:space="preserve"> See Communication, page 2.</w:t>
      </w:r>
    </w:p>
  </w:footnote>
  <w:footnote w:id="25">
    <w:p w14:paraId="0636368A" w14:textId="7CFE30CC" w:rsidR="00C47173" w:rsidRPr="00091D22" w:rsidRDefault="00C47173" w:rsidP="00091D22">
      <w:pPr>
        <w:pStyle w:val="FootnoteText"/>
        <w:ind w:left="1134" w:right="1134"/>
        <w:rPr>
          <w:rFonts w:ascii="Times New Roman" w:hAnsi="Times New Roman" w:cs="Times New Roman"/>
        </w:rPr>
      </w:pPr>
      <w:r w:rsidRPr="00091D22">
        <w:rPr>
          <w:rStyle w:val="FootnoteReference"/>
          <w:sz w:val="20"/>
        </w:rPr>
        <w:footnoteRef/>
      </w:r>
      <w:r w:rsidRPr="00091D22">
        <w:rPr>
          <w:rFonts w:ascii="Times New Roman" w:hAnsi="Times New Roman" w:cs="Times New Roman"/>
        </w:rPr>
        <w:t xml:space="preserve"> See </w:t>
      </w:r>
      <w:r w:rsidR="009F682A">
        <w:rPr>
          <w:rFonts w:ascii="Times New Roman" w:hAnsi="Times New Roman" w:cs="Times New Roman"/>
        </w:rPr>
        <w:t>Response to the communication</w:t>
      </w:r>
      <w:r w:rsidRPr="00091D22">
        <w:rPr>
          <w:rFonts w:ascii="Times New Roman" w:hAnsi="Times New Roman" w:cs="Times New Roman"/>
        </w:rPr>
        <w:t>, page 17, pt.ee.</w:t>
      </w:r>
    </w:p>
  </w:footnote>
  <w:footnote w:id="26">
    <w:p w14:paraId="68D6FCD6" w14:textId="0F7F9EAC" w:rsidR="00C47173" w:rsidRPr="00091D22" w:rsidRDefault="00C47173" w:rsidP="00091D22">
      <w:pPr>
        <w:pStyle w:val="FootnoteText"/>
        <w:ind w:left="1134" w:right="1134"/>
        <w:rPr>
          <w:rFonts w:ascii="Times New Roman" w:hAnsi="Times New Roman" w:cs="Times New Roman"/>
        </w:rPr>
      </w:pPr>
      <w:r w:rsidRPr="00091D22">
        <w:rPr>
          <w:rStyle w:val="FootnoteReference"/>
          <w:sz w:val="20"/>
        </w:rPr>
        <w:footnoteRef/>
      </w:r>
      <w:r w:rsidRPr="00091D22">
        <w:rPr>
          <w:rFonts w:ascii="Times New Roman" w:hAnsi="Times New Roman" w:cs="Times New Roman"/>
        </w:rPr>
        <w:t xml:space="preserve"> See </w:t>
      </w:r>
      <w:r w:rsidR="009F682A">
        <w:rPr>
          <w:rFonts w:ascii="Times New Roman" w:hAnsi="Times New Roman" w:cs="Times New Roman"/>
        </w:rPr>
        <w:t>Response to the communication</w:t>
      </w:r>
      <w:r w:rsidRPr="00091D22">
        <w:rPr>
          <w:rFonts w:ascii="Times New Roman" w:hAnsi="Times New Roman" w:cs="Times New Roman"/>
        </w:rPr>
        <w:t>, page 17, pt.ee.</w:t>
      </w:r>
    </w:p>
  </w:footnote>
  <w:footnote w:id="27">
    <w:p w14:paraId="1AAE7A22" w14:textId="77777777" w:rsidR="00C47173" w:rsidRPr="00091D22" w:rsidRDefault="00C47173" w:rsidP="002665BE">
      <w:pPr>
        <w:pStyle w:val="FootnoteText"/>
        <w:ind w:left="1134"/>
        <w:rPr>
          <w:rFonts w:ascii="Times New Roman" w:hAnsi="Times New Roman" w:cs="Times New Roman"/>
        </w:rPr>
      </w:pPr>
      <w:r w:rsidRPr="00091D22">
        <w:rPr>
          <w:rStyle w:val="FootnoteReference"/>
          <w:sz w:val="20"/>
        </w:rPr>
        <w:footnoteRef/>
      </w:r>
      <w:r w:rsidRPr="00091D22">
        <w:rPr>
          <w:rFonts w:ascii="Times New Roman" w:hAnsi="Times New Roman" w:cs="Times New Roman"/>
        </w:rPr>
        <w:t xml:space="preserve"> See Communication, page 2.</w:t>
      </w:r>
    </w:p>
  </w:footnote>
  <w:footnote w:id="28">
    <w:p w14:paraId="32901C68" w14:textId="72345AF6" w:rsidR="00C47173" w:rsidRPr="00091D22" w:rsidRDefault="00C47173" w:rsidP="002665BE">
      <w:pPr>
        <w:pStyle w:val="FootnoteText"/>
        <w:ind w:left="1134"/>
        <w:rPr>
          <w:rFonts w:ascii="Times New Roman" w:hAnsi="Times New Roman" w:cs="Times New Roman"/>
        </w:rPr>
      </w:pPr>
      <w:r w:rsidRPr="00091D22">
        <w:rPr>
          <w:rStyle w:val="FootnoteReference"/>
          <w:sz w:val="20"/>
        </w:rPr>
        <w:footnoteRef/>
      </w:r>
      <w:r w:rsidRPr="00091D22">
        <w:rPr>
          <w:rFonts w:ascii="Times New Roman" w:hAnsi="Times New Roman" w:cs="Times New Roman"/>
        </w:rPr>
        <w:t xml:space="preserve"> See </w:t>
      </w:r>
      <w:r w:rsidR="009F682A">
        <w:rPr>
          <w:rFonts w:ascii="Times New Roman" w:hAnsi="Times New Roman" w:cs="Times New Roman"/>
        </w:rPr>
        <w:t>Response to the communication</w:t>
      </w:r>
      <w:r w:rsidRPr="00091D22">
        <w:rPr>
          <w:rFonts w:ascii="Times New Roman" w:hAnsi="Times New Roman" w:cs="Times New Roman"/>
        </w:rPr>
        <w:t xml:space="preserve">, page 17, </w:t>
      </w:r>
      <w:proofErr w:type="spellStart"/>
      <w:r w:rsidRPr="00091D22">
        <w:rPr>
          <w:rFonts w:ascii="Times New Roman" w:hAnsi="Times New Roman" w:cs="Times New Roman"/>
        </w:rPr>
        <w:t>pt.ff</w:t>
      </w:r>
      <w:proofErr w:type="spellEnd"/>
      <w:r w:rsidRPr="00091D22">
        <w:rPr>
          <w:rFonts w:ascii="Times New Roman" w:hAnsi="Times New Roman" w:cs="Times New Roman"/>
        </w:rPr>
        <w:t>.</w:t>
      </w:r>
    </w:p>
  </w:footnote>
  <w:footnote w:id="29">
    <w:p w14:paraId="5D9E8225" w14:textId="57282D6A" w:rsidR="00C47173" w:rsidRPr="00091D22" w:rsidRDefault="00C47173" w:rsidP="002665BE">
      <w:pPr>
        <w:pStyle w:val="FootnoteText"/>
        <w:ind w:left="1134"/>
        <w:rPr>
          <w:rFonts w:ascii="Times New Roman" w:hAnsi="Times New Roman" w:cs="Times New Roman"/>
        </w:rPr>
      </w:pPr>
      <w:r w:rsidRPr="00091D22">
        <w:rPr>
          <w:rStyle w:val="FootnoteReference"/>
          <w:sz w:val="20"/>
        </w:rPr>
        <w:footnoteRef/>
      </w:r>
      <w:r w:rsidRPr="00091D22">
        <w:rPr>
          <w:rFonts w:ascii="Times New Roman" w:hAnsi="Times New Roman" w:cs="Times New Roman"/>
        </w:rPr>
        <w:t xml:space="preserve"> See </w:t>
      </w:r>
      <w:r w:rsidR="009F682A">
        <w:rPr>
          <w:rFonts w:ascii="Times New Roman" w:hAnsi="Times New Roman" w:cs="Times New Roman"/>
        </w:rPr>
        <w:t>Response to the communication</w:t>
      </w:r>
      <w:r w:rsidRPr="00091D22">
        <w:rPr>
          <w:rFonts w:ascii="Times New Roman" w:hAnsi="Times New Roman" w:cs="Times New Roman"/>
        </w:rPr>
        <w:t xml:space="preserve">, page 17, </w:t>
      </w:r>
      <w:proofErr w:type="spellStart"/>
      <w:r w:rsidRPr="00091D22">
        <w:rPr>
          <w:rFonts w:ascii="Times New Roman" w:hAnsi="Times New Roman" w:cs="Times New Roman"/>
        </w:rPr>
        <w:t>pt.ff</w:t>
      </w:r>
      <w:proofErr w:type="spellEnd"/>
      <w:r w:rsidRPr="00091D22">
        <w:rPr>
          <w:rFonts w:ascii="Times New Roman" w:hAnsi="Times New Roman" w:cs="Times New Roman"/>
        </w:rPr>
        <w:t>.</w:t>
      </w:r>
    </w:p>
  </w:footnote>
  <w:footnote w:id="30">
    <w:p w14:paraId="24F3A068" w14:textId="77777777" w:rsidR="00C47173" w:rsidRPr="004A1E88" w:rsidRDefault="00C47173" w:rsidP="00091D22">
      <w:pPr>
        <w:pStyle w:val="FootnoteText"/>
        <w:ind w:left="1134"/>
        <w:rPr>
          <w:rFonts w:ascii="Times New Roman" w:hAnsi="Times New Roman" w:cs="Times New Roman"/>
        </w:rPr>
      </w:pPr>
      <w:r w:rsidRPr="00091D22">
        <w:rPr>
          <w:rStyle w:val="FootnoteReference"/>
          <w:sz w:val="20"/>
        </w:rPr>
        <w:footnoteRef/>
      </w:r>
      <w:r w:rsidRPr="00091D22">
        <w:rPr>
          <w:rFonts w:ascii="Times New Roman" w:hAnsi="Times New Roman" w:cs="Times New Roman"/>
        </w:rPr>
        <w:t xml:space="preserve"> </w:t>
      </w:r>
      <w:proofErr w:type="gramStart"/>
      <w:r w:rsidRPr="00091D22">
        <w:rPr>
          <w:rFonts w:ascii="Times New Roman" w:hAnsi="Times New Roman" w:cs="Times New Roman"/>
        </w:rPr>
        <w:t>Findings on communication ACCC/C/2012/71 (Czech Republic), para.</w:t>
      </w:r>
      <w:proofErr w:type="gramEnd"/>
      <w:r w:rsidRPr="00091D22">
        <w:rPr>
          <w:rFonts w:ascii="Times New Roman" w:hAnsi="Times New Roman" w:cs="Times New Roman"/>
        </w:rPr>
        <w:t xml:space="preserve"> </w:t>
      </w:r>
      <w:r w:rsidRPr="004A1E88">
        <w:rPr>
          <w:rFonts w:ascii="Times New Roman" w:hAnsi="Times New Roman" w:cs="Times New Roman"/>
        </w:rPr>
        <w:t xml:space="preserve">69. </w:t>
      </w:r>
    </w:p>
  </w:footnote>
  <w:footnote w:id="31">
    <w:p w14:paraId="315D7CE4" w14:textId="77777777" w:rsidR="00C47173" w:rsidRPr="004A1E88" w:rsidRDefault="00C47173" w:rsidP="00091D22">
      <w:pPr>
        <w:pStyle w:val="FootnoteText"/>
        <w:ind w:left="1134"/>
        <w:rPr>
          <w:rFonts w:ascii="Times New Roman" w:hAnsi="Times New Roman" w:cs="Times New Roman"/>
        </w:rPr>
      </w:pPr>
      <w:r w:rsidRPr="00091D22">
        <w:rPr>
          <w:rStyle w:val="FootnoteReference"/>
          <w:sz w:val="20"/>
        </w:rPr>
        <w:footnoteRef/>
      </w:r>
      <w:r w:rsidRPr="004A1E88">
        <w:rPr>
          <w:rFonts w:ascii="Times New Roman" w:hAnsi="Times New Roman" w:cs="Times New Roman"/>
        </w:rPr>
        <w:t xml:space="preserve"> </w:t>
      </w:r>
      <w:proofErr w:type="gramStart"/>
      <w:r w:rsidRPr="004A1E88">
        <w:rPr>
          <w:rFonts w:ascii="Times New Roman" w:hAnsi="Times New Roman" w:cs="Times New Roman"/>
        </w:rPr>
        <w:t>Paras.</w:t>
      </w:r>
      <w:proofErr w:type="gramEnd"/>
      <w:r w:rsidRPr="004A1E88">
        <w:rPr>
          <w:rFonts w:ascii="Times New Roman" w:hAnsi="Times New Roman" w:cs="Times New Roman"/>
        </w:rPr>
        <w:t xml:space="preserve"> 23-26.</w:t>
      </w:r>
    </w:p>
  </w:footnote>
  <w:footnote w:id="32">
    <w:p w14:paraId="6A8CF8C3" w14:textId="77777777" w:rsidR="00C47173" w:rsidRPr="002665BE" w:rsidRDefault="00C47173" w:rsidP="002665BE">
      <w:pPr>
        <w:pStyle w:val="FootnoteText"/>
        <w:ind w:left="1134"/>
        <w:rPr>
          <w:rFonts w:ascii="Times New Roman" w:hAnsi="Times New Roman" w:cs="Times New Roman"/>
        </w:rPr>
      </w:pPr>
      <w:r w:rsidRPr="002665BE">
        <w:rPr>
          <w:rStyle w:val="FootnoteReference"/>
          <w:sz w:val="20"/>
        </w:rPr>
        <w:footnoteRef/>
      </w:r>
      <w:r w:rsidRPr="002665BE">
        <w:rPr>
          <w:rFonts w:ascii="Times New Roman" w:hAnsi="Times New Roman" w:cs="Times New Roman"/>
        </w:rPr>
        <w:t xml:space="preserve"> Party </w:t>
      </w:r>
      <w:proofErr w:type="spellStart"/>
      <w:r w:rsidRPr="002665BE">
        <w:rPr>
          <w:rFonts w:ascii="Times New Roman" w:hAnsi="Times New Roman" w:cs="Times New Roman"/>
        </w:rPr>
        <w:t>concerned’s</w:t>
      </w:r>
      <w:proofErr w:type="spellEnd"/>
      <w:r w:rsidRPr="002665BE">
        <w:rPr>
          <w:rFonts w:ascii="Times New Roman" w:hAnsi="Times New Roman" w:cs="Times New Roman"/>
        </w:rPr>
        <w:t xml:space="preserve"> response to communication, page 6.</w:t>
      </w:r>
    </w:p>
  </w:footnote>
  <w:footnote w:id="33">
    <w:p w14:paraId="3D304B0C" w14:textId="77777777" w:rsidR="00C47173" w:rsidRPr="002665BE" w:rsidRDefault="00C47173" w:rsidP="002665BE">
      <w:pPr>
        <w:pStyle w:val="FootnoteText"/>
        <w:ind w:left="1134"/>
        <w:rPr>
          <w:rFonts w:ascii="Times New Roman" w:hAnsi="Times New Roman" w:cs="Times New Roman"/>
        </w:rPr>
      </w:pPr>
      <w:r w:rsidRPr="002665BE">
        <w:rPr>
          <w:rStyle w:val="FootnoteReference"/>
          <w:sz w:val="20"/>
        </w:rPr>
        <w:footnoteRef/>
      </w:r>
      <w:r w:rsidRPr="002665BE">
        <w:rPr>
          <w:rFonts w:ascii="Times New Roman" w:hAnsi="Times New Roman" w:cs="Times New Roman"/>
        </w:rPr>
        <w:t xml:space="preserve"> “An activity with a danger that is rarely expected to materialize but might assume, on that rare </w:t>
      </w:r>
      <w:proofErr w:type="spellStart"/>
      <w:r w:rsidRPr="002665BE">
        <w:rPr>
          <w:rFonts w:ascii="Times New Roman" w:hAnsi="Times New Roman" w:cs="Times New Roman"/>
        </w:rPr>
        <w:t>occasiion</w:t>
      </w:r>
      <w:proofErr w:type="spellEnd"/>
      <w:r w:rsidRPr="002665BE">
        <w:rPr>
          <w:rFonts w:ascii="Times New Roman" w:hAnsi="Times New Roman" w:cs="Times New Roman"/>
        </w:rPr>
        <w:t xml:space="preserve">, grave (more than significant, serious or substantial) proportions”, International Law Commission Draft Articles on Prevention of Transboundary Harm from Hazardous </w:t>
      </w:r>
      <w:proofErr w:type="spellStart"/>
      <w:r w:rsidRPr="002665BE">
        <w:rPr>
          <w:rFonts w:ascii="Times New Roman" w:hAnsi="Times New Roman" w:cs="Times New Roman"/>
        </w:rPr>
        <w:t>Activitis</w:t>
      </w:r>
      <w:proofErr w:type="spellEnd"/>
      <w:r w:rsidRPr="002665BE">
        <w:rPr>
          <w:rFonts w:ascii="Times New Roman" w:hAnsi="Times New Roman" w:cs="Times New Roman"/>
        </w:rPr>
        <w:t xml:space="preserve"> with commentaries, 2001, in Yearbook of the International Law Commission (2001-II), Part 2, commentary to article 1, para. 2.</w:t>
      </w:r>
    </w:p>
  </w:footnote>
  <w:footnote w:id="34">
    <w:p w14:paraId="00BBEF05" w14:textId="77777777" w:rsidR="00C47173" w:rsidRPr="002665BE" w:rsidRDefault="00C47173" w:rsidP="002665BE">
      <w:pPr>
        <w:pStyle w:val="FootnoteText"/>
        <w:ind w:left="1134"/>
        <w:rPr>
          <w:rFonts w:ascii="Times New Roman" w:hAnsi="Times New Roman" w:cs="Times New Roman"/>
        </w:rPr>
      </w:pPr>
      <w:r w:rsidRPr="002665BE">
        <w:rPr>
          <w:rStyle w:val="FootnoteReference"/>
          <w:sz w:val="20"/>
        </w:rPr>
        <w:footnoteRef/>
      </w:r>
      <w:r w:rsidRPr="002665BE">
        <w:rPr>
          <w:rFonts w:ascii="Times New Roman" w:hAnsi="Times New Roman" w:cs="Times New Roman"/>
        </w:rPr>
        <w:t xml:space="preserve"> Letter from BMU to Ms. </w:t>
      </w:r>
      <w:proofErr w:type="spellStart"/>
      <w:r w:rsidRPr="002665BE">
        <w:rPr>
          <w:rFonts w:ascii="Times New Roman" w:hAnsi="Times New Roman" w:cs="Times New Roman"/>
        </w:rPr>
        <w:t>Artmann</w:t>
      </w:r>
      <w:proofErr w:type="spellEnd"/>
      <w:r w:rsidRPr="002665BE">
        <w:rPr>
          <w:rFonts w:ascii="Times New Roman" w:hAnsi="Times New Roman" w:cs="Times New Roman"/>
        </w:rPr>
        <w:t xml:space="preserve"> dated 27.03.2013.</w:t>
      </w:r>
    </w:p>
  </w:footnote>
  <w:footnote w:id="35">
    <w:p w14:paraId="44CD3642" w14:textId="77777777" w:rsidR="00C47173" w:rsidRPr="00091D22" w:rsidRDefault="00C47173" w:rsidP="00091D22">
      <w:pPr>
        <w:pStyle w:val="FootnoteText"/>
        <w:ind w:left="1134" w:right="1134"/>
        <w:rPr>
          <w:rFonts w:ascii="Times New Roman" w:hAnsi="Times New Roman" w:cs="Times New Roman"/>
          <w:lang w:val="fr-CH"/>
        </w:rPr>
      </w:pPr>
      <w:r w:rsidRPr="00091D22">
        <w:rPr>
          <w:rStyle w:val="FootnoteReference"/>
          <w:sz w:val="20"/>
        </w:rPr>
        <w:footnoteRef/>
      </w:r>
      <w:r w:rsidRPr="00091D22">
        <w:rPr>
          <w:rFonts w:ascii="Times New Roman" w:hAnsi="Times New Roman" w:cs="Times New Roman"/>
          <w:lang w:val="fr-CH"/>
        </w:rPr>
        <w:t xml:space="preserve"> Communication, page 5.</w:t>
      </w:r>
    </w:p>
  </w:footnote>
  <w:footnote w:id="36">
    <w:p w14:paraId="0FA75899" w14:textId="77777777" w:rsidR="00C47173" w:rsidRPr="00091D22" w:rsidRDefault="00C47173" w:rsidP="00091D22">
      <w:pPr>
        <w:pStyle w:val="FootnoteText"/>
        <w:ind w:left="1134"/>
        <w:rPr>
          <w:rFonts w:ascii="Times New Roman" w:hAnsi="Times New Roman" w:cs="Times New Roman"/>
          <w:lang w:val="fr-CH"/>
        </w:rPr>
      </w:pPr>
      <w:r w:rsidRPr="00091D22">
        <w:rPr>
          <w:rStyle w:val="FootnoteReference"/>
          <w:sz w:val="20"/>
        </w:rPr>
        <w:footnoteRef/>
      </w:r>
      <w:r w:rsidRPr="00091D22">
        <w:rPr>
          <w:rFonts w:ascii="Times New Roman" w:hAnsi="Times New Roman" w:cs="Times New Roman"/>
          <w:lang w:val="fr-CH"/>
        </w:rPr>
        <w:t xml:space="preserve"> Communication, page 4.</w:t>
      </w:r>
    </w:p>
  </w:footnote>
  <w:footnote w:id="37">
    <w:p w14:paraId="21FEA3A0" w14:textId="77777777" w:rsidR="00C47173" w:rsidRPr="00091D22" w:rsidRDefault="00C47173" w:rsidP="00091D22">
      <w:pPr>
        <w:pStyle w:val="FootnoteText"/>
        <w:ind w:left="1134" w:right="1134"/>
        <w:rPr>
          <w:rFonts w:ascii="Times New Roman" w:hAnsi="Times New Roman" w:cs="Times New Roman"/>
          <w:lang w:val="fr-CH"/>
        </w:rPr>
      </w:pPr>
      <w:r w:rsidRPr="00091D22">
        <w:rPr>
          <w:rStyle w:val="FootnoteReference"/>
          <w:sz w:val="20"/>
        </w:rPr>
        <w:footnoteRef/>
      </w:r>
      <w:r w:rsidRPr="00091D22">
        <w:rPr>
          <w:rFonts w:ascii="Times New Roman" w:hAnsi="Times New Roman" w:cs="Times New Roman"/>
          <w:lang w:val="fr-CH"/>
        </w:rPr>
        <w:t xml:space="preserve"> Communication, page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09A5D" w14:textId="77777777" w:rsidR="00E32CFA" w:rsidRDefault="00E32C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7F3E3" w14:textId="3D3121C2" w:rsidR="00C47173" w:rsidRPr="009F682A" w:rsidRDefault="00E32CFA" w:rsidP="00AD10CE">
    <w:pPr>
      <w:pStyle w:val="Header"/>
      <w:jc w:val="right"/>
      <w:rPr>
        <w:rFonts w:ascii="Times New Roman" w:hAnsi="Times New Roman" w:cs="Times New Roman"/>
        <w:sz w:val="20"/>
        <w:szCs w:val="20"/>
      </w:rPr>
    </w:pPr>
    <w:sdt>
      <w:sdtPr>
        <w:rPr>
          <w:rFonts w:ascii="Times New Roman" w:hAnsi="Times New Roman" w:cs="Times New Roman"/>
          <w:sz w:val="20"/>
          <w:szCs w:val="20"/>
        </w:rPr>
        <w:id w:val="-905602420"/>
        <w:docPartObj>
          <w:docPartGallery w:val="Watermarks"/>
          <w:docPartUnique/>
        </w:docPartObj>
      </w:sdtPr>
      <w:sdtContent>
        <w:r w:rsidRPr="00E32CFA">
          <w:rPr>
            <w:rFonts w:ascii="Times New Roman" w:hAnsi="Times New Roman" w:cs="Times New Roman"/>
            <w:noProof/>
            <w:sz w:val="20"/>
            <w:szCs w:val="20"/>
            <w:lang w:val="en-US" w:eastAsia="zh-TW"/>
          </w:rPr>
          <w:pict w14:anchorId="78CEB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60578" w:rsidRPr="009F682A">
      <w:rPr>
        <w:rFonts w:ascii="Times New Roman" w:hAnsi="Times New Roman" w:cs="Times New Roman"/>
        <w:sz w:val="20"/>
        <w:szCs w:val="20"/>
      </w:rPr>
      <w:t>ACCC/C/2013/</w:t>
    </w:r>
    <w:r w:rsidR="00C47173" w:rsidRPr="009F682A">
      <w:rPr>
        <w:rFonts w:ascii="Times New Roman" w:hAnsi="Times New Roman" w:cs="Times New Roman"/>
        <w:sz w:val="20"/>
        <w:szCs w:val="20"/>
      </w:rPr>
      <w:t>92 Germany</w:t>
    </w:r>
  </w:p>
  <w:p w14:paraId="37B41F3C" w14:textId="2673F41A" w:rsidR="00C47173" w:rsidRPr="009F682A" w:rsidRDefault="00C47173" w:rsidP="002B09E4">
    <w:pPr>
      <w:pStyle w:val="Header"/>
      <w:jc w:val="right"/>
      <w:rPr>
        <w:rFonts w:ascii="Times New Roman" w:hAnsi="Times New Roman" w:cs="Times New Roman"/>
        <w:sz w:val="20"/>
        <w:szCs w:val="20"/>
      </w:rPr>
    </w:pPr>
    <w:r w:rsidRPr="009F682A">
      <w:rPr>
        <w:rFonts w:ascii="Times New Roman" w:hAnsi="Times New Roman" w:cs="Times New Roman"/>
        <w:sz w:val="20"/>
        <w:szCs w:val="20"/>
      </w:rPr>
      <w:t xml:space="preserve">Draft findings </w:t>
    </w:r>
    <w:r w:rsidR="00560578" w:rsidRPr="009F682A">
      <w:rPr>
        <w:rFonts w:ascii="Times New Roman" w:hAnsi="Times New Roman" w:cs="Times New Roman"/>
        <w:sz w:val="20"/>
        <w:szCs w:val="20"/>
      </w:rPr>
      <w:t>for comment by parties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5973B" w14:textId="77777777" w:rsidR="00E32CFA" w:rsidRDefault="00E32C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13B9"/>
    <w:multiLevelType w:val="hybridMultilevel"/>
    <w:tmpl w:val="6EF2A17A"/>
    <w:lvl w:ilvl="0" w:tplc="64662302">
      <w:start w:val="37"/>
      <w:numFmt w:val="bullet"/>
      <w:lvlText w:val="-"/>
      <w:lvlJc w:val="left"/>
      <w:pPr>
        <w:ind w:left="1211" w:hanging="360"/>
      </w:pPr>
      <w:rPr>
        <w:rFonts w:ascii="Times New Roman" w:eastAsia="Times New Roman"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nsid w:val="0E0208E4"/>
    <w:multiLevelType w:val="hybridMultilevel"/>
    <w:tmpl w:val="078ABC6E"/>
    <w:lvl w:ilvl="0" w:tplc="2A92AFB8">
      <w:start w:val="1"/>
      <w:numFmt w:val="decimal"/>
      <w:lvlText w:val="%1."/>
      <w:lvlJc w:val="left"/>
      <w:pPr>
        <w:tabs>
          <w:tab w:val="num" w:pos="1002"/>
        </w:tabs>
        <w:ind w:left="1002" w:hanging="576"/>
      </w:pPr>
      <w:rPr>
        <w:color w:val="auto"/>
        <w:lang w:val="en-US"/>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2">
    <w:nsid w:val="1020500E"/>
    <w:multiLevelType w:val="hybridMultilevel"/>
    <w:tmpl w:val="6C324978"/>
    <w:lvl w:ilvl="0" w:tplc="67E899E4">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18064196"/>
    <w:multiLevelType w:val="hybridMultilevel"/>
    <w:tmpl w:val="7E9A65D0"/>
    <w:lvl w:ilvl="0" w:tplc="2A92AFB8">
      <w:start w:val="1"/>
      <w:numFmt w:val="decimal"/>
      <w:lvlText w:val="%1."/>
      <w:lvlJc w:val="left"/>
      <w:pPr>
        <w:tabs>
          <w:tab w:val="num" w:pos="1002"/>
        </w:tabs>
        <w:ind w:left="1002" w:hanging="576"/>
      </w:pPr>
      <w:rPr>
        <w:color w:val="auto"/>
        <w:lang w:val="en-US"/>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4">
    <w:nsid w:val="18D60CFE"/>
    <w:multiLevelType w:val="hybridMultilevel"/>
    <w:tmpl w:val="3AE48EC8"/>
    <w:lvl w:ilvl="0" w:tplc="2A92AFB8">
      <w:start w:val="1"/>
      <w:numFmt w:val="decimal"/>
      <w:lvlText w:val="%1."/>
      <w:lvlJc w:val="left"/>
      <w:pPr>
        <w:tabs>
          <w:tab w:val="num" w:pos="1002"/>
        </w:tabs>
        <w:ind w:left="1002" w:hanging="576"/>
      </w:pPr>
      <w:rPr>
        <w:color w:val="auto"/>
        <w:lang w:val="en-US"/>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5">
    <w:nsid w:val="29C82B4B"/>
    <w:multiLevelType w:val="hybridMultilevel"/>
    <w:tmpl w:val="078ABC6E"/>
    <w:lvl w:ilvl="0" w:tplc="2A92AFB8">
      <w:start w:val="1"/>
      <w:numFmt w:val="decimal"/>
      <w:lvlText w:val="%1."/>
      <w:lvlJc w:val="left"/>
      <w:pPr>
        <w:tabs>
          <w:tab w:val="num" w:pos="1002"/>
        </w:tabs>
        <w:ind w:left="1002" w:hanging="576"/>
      </w:pPr>
      <w:rPr>
        <w:color w:val="auto"/>
        <w:lang w:val="en-US"/>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6">
    <w:nsid w:val="341B3AD6"/>
    <w:multiLevelType w:val="hybridMultilevel"/>
    <w:tmpl w:val="078ABC6E"/>
    <w:lvl w:ilvl="0" w:tplc="2A92AFB8">
      <w:start w:val="1"/>
      <w:numFmt w:val="decimal"/>
      <w:lvlText w:val="%1."/>
      <w:lvlJc w:val="left"/>
      <w:pPr>
        <w:tabs>
          <w:tab w:val="num" w:pos="1002"/>
        </w:tabs>
        <w:ind w:left="1002" w:hanging="576"/>
      </w:pPr>
      <w:rPr>
        <w:color w:val="auto"/>
        <w:lang w:val="en-US"/>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7">
    <w:nsid w:val="386E1414"/>
    <w:multiLevelType w:val="hybridMultilevel"/>
    <w:tmpl w:val="5B08DE46"/>
    <w:lvl w:ilvl="0" w:tplc="C73E0F46">
      <w:start w:val="1"/>
      <w:numFmt w:val="upperLetter"/>
      <w:lvlText w:val="%1."/>
      <w:lvlJc w:val="left"/>
      <w:pPr>
        <w:ind w:left="1128" w:hanging="504"/>
      </w:pPr>
    </w:lvl>
    <w:lvl w:ilvl="1" w:tplc="08090019">
      <w:start w:val="1"/>
      <w:numFmt w:val="lowerLetter"/>
      <w:lvlText w:val="%2."/>
      <w:lvlJc w:val="left"/>
      <w:pPr>
        <w:ind w:left="1704" w:hanging="360"/>
      </w:pPr>
    </w:lvl>
    <w:lvl w:ilvl="2" w:tplc="0809001B">
      <w:start w:val="1"/>
      <w:numFmt w:val="lowerRoman"/>
      <w:lvlText w:val="%3."/>
      <w:lvlJc w:val="right"/>
      <w:pPr>
        <w:ind w:left="2424" w:hanging="180"/>
      </w:pPr>
    </w:lvl>
    <w:lvl w:ilvl="3" w:tplc="0809000F">
      <w:start w:val="1"/>
      <w:numFmt w:val="decimal"/>
      <w:lvlText w:val="%4."/>
      <w:lvlJc w:val="left"/>
      <w:pPr>
        <w:ind w:left="3144" w:hanging="360"/>
      </w:pPr>
    </w:lvl>
    <w:lvl w:ilvl="4" w:tplc="08090019">
      <w:start w:val="1"/>
      <w:numFmt w:val="lowerLetter"/>
      <w:lvlText w:val="%5."/>
      <w:lvlJc w:val="left"/>
      <w:pPr>
        <w:ind w:left="3864" w:hanging="360"/>
      </w:pPr>
    </w:lvl>
    <w:lvl w:ilvl="5" w:tplc="0809001B">
      <w:start w:val="1"/>
      <w:numFmt w:val="lowerRoman"/>
      <w:lvlText w:val="%6."/>
      <w:lvlJc w:val="right"/>
      <w:pPr>
        <w:ind w:left="4584" w:hanging="180"/>
      </w:pPr>
    </w:lvl>
    <w:lvl w:ilvl="6" w:tplc="0809000F">
      <w:start w:val="1"/>
      <w:numFmt w:val="decimal"/>
      <w:lvlText w:val="%7."/>
      <w:lvlJc w:val="left"/>
      <w:pPr>
        <w:ind w:left="5304" w:hanging="360"/>
      </w:pPr>
    </w:lvl>
    <w:lvl w:ilvl="7" w:tplc="08090019">
      <w:start w:val="1"/>
      <w:numFmt w:val="lowerLetter"/>
      <w:lvlText w:val="%8."/>
      <w:lvlJc w:val="left"/>
      <w:pPr>
        <w:ind w:left="6024" w:hanging="360"/>
      </w:pPr>
    </w:lvl>
    <w:lvl w:ilvl="8" w:tplc="0809001B">
      <w:start w:val="1"/>
      <w:numFmt w:val="lowerRoman"/>
      <w:lvlText w:val="%9."/>
      <w:lvlJc w:val="right"/>
      <w:pPr>
        <w:ind w:left="6744" w:hanging="180"/>
      </w:pPr>
    </w:lvl>
  </w:abstractNum>
  <w:abstractNum w:abstractNumId="8">
    <w:nsid w:val="388757E8"/>
    <w:multiLevelType w:val="hybridMultilevel"/>
    <w:tmpl w:val="078ABC6E"/>
    <w:lvl w:ilvl="0" w:tplc="2A92AFB8">
      <w:start w:val="1"/>
      <w:numFmt w:val="decimal"/>
      <w:lvlText w:val="%1."/>
      <w:lvlJc w:val="left"/>
      <w:pPr>
        <w:tabs>
          <w:tab w:val="num" w:pos="1002"/>
        </w:tabs>
        <w:ind w:left="1002" w:hanging="576"/>
      </w:pPr>
      <w:rPr>
        <w:color w:val="auto"/>
        <w:lang w:val="en-US"/>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9">
    <w:nsid w:val="51B560C1"/>
    <w:multiLevelType w:val="hybridMultilevel"/>
    <w:tmpl w:val="3AE48EC8"/>
    <w:lvl w:ilvl="0" w:tplc="2A92AFB8">
      <w:start w:val="1"/>
      <w:numFmt w:val="decimal"/>
      <w:lvlText w:val="%1."/>
      <w:lvlJc w:val="left"/>
      <w:pPr>
        <w:tabs>
          <w:tab w:val="num" w:pos="1002"/>
        </w:tabs>
        <w:ind w:left="1002" w:hanging="576"/>
      </w:pPr>
      <w:rPr>
        <w:color w:val="auto"/>
        <w:lang w:val="en-US"/>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10">
    <w:nsid w:val="54435171"/>
    <w:multiLevelType w:val="hybridMultilevel"/>
    <w:tmpl w:val="078ABC6E"/>
    <w:lvl w:ilvl="0" w:tplc="2A92AFB8">
      <w:start w:val="1"/>
      <w:numFmt w:val="decimal"/>
      <w:lvlText w:val="%1."/>
      <w:lvlJc w:val="left"/>
      <w:pPr>
        <w:tabs>
          <w:tab w:val="num" w:pos="1002"/>
        </w:tabs>
        <w:ind w:left="1002" w:hanging="576"/>
      </w:pPr>
      <w:rPr>
        <w:color w:val="auto"/>
        <w:lang w:val="en-US"/>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11">
    <w:nsid w:val="5A595C9A"/>
    <w:multiLevelType w:val="hybridMultilevel"/>
    <w:tmpl w:val="5A54AA68"/>
    <w:lvl w:ilvl="0" w:tplc="34F89090">
      <w:start w:val="1"/>
      <w:numFmt w:val="upperLetter"/>
      <w:lvlText w:val="%1."/>
      <w:lvlJc w:val="left"/>
      <w:pPr>
        <w:tabs>
          <w:tab w:val="num" w:pos="1200"/>
        </w:tabs>
        <w:ind w:left="1200" w:hanging="525"/>
      </w:pPr>
    </w:lvl>
    <w:lvl w:ilvl="1" w:tplc="04090019">
      <w:start w:val="1"/>
      <w:numFmt w:val="lowerLetter"/>
      <w:lvlText w:val="%2."/>
      <w:lvlJc w:val="left"/>
      <w:pPr>
        <w:tabs>
          <w:tab w:val="num" w:pos="1755"/>
        </w:tabs>
        <w:ind w:left="1755" w:hanging="360"/>
      </w:pPr>
    </w:lvl>
    <w:lvl w:ilvl="2" w:tplc="0409001B">
      <w:start w:val="1"/>
      <w:numFmt w:val="lowerRoman"/>
      <w:lvlText w:val="%3."/>
      <w:lvlJc w:val="right"/>
      <w:pPr>
        <w:tabs>
          <w:tab w:val="num" w:pos="2475"/>
        </w:tabs>
        <w:ind w:left="2475" w:hanging="180"/>
      </w:pPr>
    </w:lvl>
    <w:lvl w:ilvl="3" w:tplc="0409000F">
      <w:start w:val="1"/>
      <w:numFmt w:val="decimal"/>
      <w:lvlText w:val="%4."/>
      <w:lvlJc w:val="left"/>
      <w:pPr>
        <w:tabs>
          <w:tab w:val="num" w:pos="3195"/>
        </w:tabs>
        <w:ind w:left="3195" w:hanging="360"/>
      </w:pPr>
    </w:lvl>
    <w:lvl w:ilvl="4" w:tplc="04090019">
      <w:start w:val="1"/>
      <w:numFmt w:val="lowerLetter"/>
      <w:lvlText w:val="%5."/>
      <w:lvlJc w:val="left"/>
      <w:pPr>
        <w:tabs>
          <w:tab w:val="num" w:pos="3915"/>
        </w:tabs>
        <w:ind w:left="3915" w:hanging="360"/>
      </w:pPr>
    </w:lvl>
    <w:lvl w:ilvl="5" w:tplc="0409001B">
      <w:start w:val="1"/>
      <w:numFmt w:val="lowerRoman"/>
      <w:lvlText w:val="%6."/>
      <w:lvlJc w:val="right"/>
      <w:pPr>
        <w:tabs>
          <w:tab w:val="num" w:pos="4635"/>
        </w:tabs>
        <w:ind w:left="4635" w:hanging="180"/>
      </w:pPr>
    </w:lvl>
    <w:lvl w:ilvl="6" w:tplc="0409000F">
      <w:start w:val="1"/>
      <w:numFmt w:val="decimal"/>
      <w:lvlText w:val="%7."/>
      <w:lvlJc w:val="left"/>
      <w:pPr>
        <w:tabs>
          <w:tab w:val="num" w:pos="5355"/>
        </w:tabs>
        <w:ind w:left="5355" w:hanging="360"/>
      </w:pPr>
    </w:lvl>
    <w:lvl w:ilvl="7" w:tplc="04090019">
      <w:start w:val="1"/>
      <w:numFmt w:val="lowerLetter"/>
      <w:lvlText w:val="%8."/>
      <w:lvlJc w:val="left"/>
      <w:pPr>
        <w:tabs>
          <w:tab w:val="num" w:pos="6075"/>
        </w:tabs>
        <w:ind w:left="6075" w:hanging="360"/>
      </w:pPr>
    </w:lvl>
    <w:lvl w:ilvl="8" w:tplc="0409001B">
      <w:start w:val="1"/>
      <w:numFmt w:val="lowerRoman"/>
      <w:lvlText w:val="%9."/>
      <w:lvlJc w:val="right"/>
      <w:pPr>
        <w:tabs>
          <w:tab w:val="num" w:pos="6795"/>
        </w:tabs>
        <w:ind w:left="6795" w:hanging="180"/>
      </w:pPr>
    </w:lvl>
  </w:abstractNum>
  <w:abstractNum w:abstractNumId="12">
    <w:nsid w:val="5E732D6A"/>
    <w:multiLevelType w:val="hybridMultilevel"/>
    <w:tmpl w:val="3AE48EC8"/>
    <w:lvl w:ilvl="0" w:tplc="2A92AFB8">
      <w:start w:val="1"/>
      <w:numFmt w:val="decimal"/>
      <w:lvlText w:val="%1."/>
      <w:lvlJc w:val="left"/>
      <w:pPr>
        <w:tabs>
          <w:tab w:val="num" w:pos="1002"/>
        </w:tabs>
        <w:ind w:left="1002" w:hanging="576"/>
      </w:pPr>
      <w:rPr>
        <w:color w:val="auto"/>
        <w:lang w:val="en-US"/>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13">
    <w:nsid w:val="6048724A"/>
    <w:multiLevelType w:val="hybridMultilevel"/>
    <w:tmpl w:val="927C2F4A"/>
    <w:lvl w:ilvl="0" w:tplc="2A92AFB8">
      <w:start w:val="1"/>
      <w:numFmt w:val="decimal"/>
      <w:lvlText w:val="%1."/>
      <w:lvlJc w:val="left"/>
      <w:pPr>
        <w:tabs>
          <w:tab w:val="num" w:pos="1002"/>
        </w:tabs>
        <w:ind w:left="1002" w:hanging="576"/>
      </w:pPr>
      <w:rPr>
        <w:color w:val="auto"/>
        <w:lang w:val="en-US"/>
      </w:rPr>
    </w:lvl>
    <w:lvl w:ilvl="1" w:tplc="08090019">
      <w:start w:val="1"/>
      <w:numFmt w:val="lowerLetter"/>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14">
    <w:nsid w:val="62EE0F20"/>
    <w:multiLevelType w:val="hybridMultilevel"/>
    <w:tmpl w:val="C1265272"/>
    <w:lvl w:ilvl="0" w:tplc="43DA6E66">
      <w:start w:val="1"/>
      <w:numFmt w:val="upperRoman"/>
      <w:lvlText w:val="%1."/>
      <w:lvlJc w:val="left"/>
      <w:pPr>
        <w:ind w:left="1395" w:hanging="720"/>
      </w:pPr>
    </w:lvl>
    <w:lvl w:ilvl="1" w:tplc="08090019">
      <w:start w:val="1"/>
      <w:numFmt w:val="lowerLetter"/>
      <w:lvlText w:val="%2."/>
      <w:lvlJc w:val="left"/>
      <w:pPr>
        <w:ind w:left="1755" w:hanging="360"/>
      </w:pPr>
    </w:lvl>
    <w:lvl w:ilvl="2" w:tplc="0809001B">
      <w:start w:val="1"/>
      <w:numFmt w:val="lowerRoman"/>
      <w:lvlText w:val="%3."/>
      <w:lvlJc w:val="right"/>
      <w:pPr>
        <w:ind w:left="2475" w:hanging="180"/>
      </w:pPr>
    </w:lvl>
    <w:lvl w:ilvl="3" w:tplc="0809000F">
      <w:start w:val="1"/>
      <w:numFmt w:val="decimal"/>
      <w:lvlText w:val="%4."/>
      <w:lvlJc w:val="left"/>
      <w:pPr>
        <w:ind w:left="3195" w:hanging="360"/>
      </w:pPr>
    </w:lvl>
    <w:lvl w:ilvl="4" w:tplc="08090019">
      <w:start w:val="1"/>
      <w:numFmt w:val="lowerLetter"/>
      <w:lvlText w:val="%5."/>
      <w:lvlJc w:val="left"/>
      <w:pPr>
        <w:ind w:left="3915" w:hanging="360"/>
      </w:pPr>
    </w:lvl>
    <w:lvl w:ilvl="5" w:tplc="0809001B">
      <w:start w:val="1"/>
      <w:numFmt w:val="lowerRoman"/>
      <w:lvlText w:val="%6."/>
      <w:lvlJc w:val="right"/>
      <w:pPr>
        <w:ind w:left="4635" w:hanging="180"/>
      </w:pPr>
    </w:lvl>
    <w:lvl w:ilvl="6" w:tplc="0809000F">
      <w:start w:val="1"/>
      <w:numFmt w:val="decimal"/>
      <w:lvlText w:val="%7."/>
      <w:lvlJc w:val="left"/>
      <w:pPr>
        <w:ind w:left="5355" w:hanging="360"/>
      </w:pPr>
    </w:lvl>
    <w:lvl w:ilvl="7" w:tplc="08090019">
      <w:start w:val="1"/>
      <w:numFmt w:val="lowerLetter"/>
      <w:lvlText w:val="%8."/>
      <w:lvlJc w:val="left"/>
      <w:pPr>
        <w:ind w:left="6075" w:hanging="360"/>
      </w:pPr>
    </w:lvl>
    <w:lvl w:ilvl="8" w:tplc="0809001B">
      <w:start w:val="1"/>
      <w:numFmt w:val="lowerRoman"/>
      <w:lvlText w:val="%9."/>
      <w:lvlJc w:val="right"/>
      <w:pPr>
        <w:ind w:left="6795" w:hanging="180"/>
      </w:pPr>
    </w:lvl>
  </w:abstractNum>
  <w:abstractNum w:abstractNumId="15">
    <w:nsid w:val="6FFE23E8"/>
    <w:multiLevelType w:val="hybridMultilevel"/>
    <w:tmpl w:val="8E1C3BE6"/>
    <w:lvl w:ilvl="0" w:tplc="2A92AFB8">
      <w:start w:val="1"/>
      <w:numFmt w:val="decimal"/>
      <w:lvlText w:val="%1."/>
      <w:lvlJc w:val="left"/>
      <w:pPr>
        <w:tabs>
          <w:tab w:val="num" w:pos="1002"/>
        </w:tabs>
        <w:ind w:left="1002" w:hanging="576"/>
      </w:pPr>
      <w:rPr>
        <w:color w:val="auto"/>
        <w:lang w:val="en-US"/>
      </w:rPr>
    </w:lvl>
    <w:lvl w:ilvl="1" w:tplc="48CE6A7A">
      <w:start w:val="1"/>
      <w:numFmt w:val="lowerLetter"/>
      <w:lvlText w:val="(%2)"/>
      <w:lvlJc w:val="left"/>
      <w:pPr>
        <w:tabs>
          <w:tab w:val="num" w:pos="2574"/>
        </w:tabs>
        <w:ind w:left="2574" w:hanging="720"/>
      </w:pPr>
      <w:rPr>
        <w:rFonts w:ascii="Times New Roman" w:eastAsia="Times New Roman" w:hAnsi="Times New Roman" w:cs="Times New Roman"/>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16">
    <w:nsid w:val="706E7E0F"/>
    <w:multiLevelType w:val="hybridMultilevel"/>
    <w:tmpl w:val="078ABC6E"/>
    <w:lvl w:ilvl="0" w:tplc="2A92AFB8">
      <w:start w:val="1"/>
      <w:numFmt w:val="decimal"/>
      <w:lvlText w:val="%1."/>
      <w:lvlJc w:val="left"/>
      <w:pPr>
        <w:tabs>
          <w:tab w:val="num" w:pos="1002"/>
        </w:tabs>
        <w:ind w:left="1002" w:hanging="576"/>
      </w:pPr>
      <w:rPr>
        <w:color w:val="auto"/>
        <w:lang w:val="en-US"/>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17">
    <w:nsid w:val="74220372"/>
    <w:multiLevelType w:val="hybridMultilevel"/>
    <w:tmpl w:val="3AE48EC8"/>
    <w:lvl w:ilvl="0" w:tplc="2A92AFB8">
      <w:start w:val="1"/>
      <w:numFmt w:val="decimal"/>
      <w:lvlText w:val="%1."/>
      <w:lvlJc w:val="left"/>
      <w:pPr>
        <w:tabs>
          <w:tab w:val="num" w:pos="1002"/>
        </w:tabs>
        <w:ind w:left="1002" w:hanging="576"/>
      </w:pPr>
      <w:rPr>
        <w:color w:val="auto"/>
        <w:lang w:val="en-US"/>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5"/>
  </w:num>
  <w:num w:numId="10">
    <w:abstractNumId w:val="8"/>
  </w:num>
  <w:num w:numId="11">
    <w:abstractNumId w:val="6"/>
  </w:num>
  <w:num w:numId="12">
    <w:abstractNumId w:val="16"/>
  </w:num>
  <w:num w:numId="13">
    <w:abstractNumId w:val="10"/>
  </w:num>
  <w:num w:numId="14">
    <w:abstractNumId w:val="17"/>
  </w:num>
  <w:num w:numId="15">
    <w:abstractNumId w:val="9"/>
  </w:num>
  <w:num w:numId="16">
    <w:abstractNumId w:val="4"/>
  </w:num>
  <w:num w:numId="17">
    <w:abstractNumId w:val="13"/>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20"/>
  <w:hyphenationZone w:val="425"/>
  <w:characterSpacingControl w:val="doNotCompress"/>
  <w:hdrShapeDefaults>
    <o:shapedefaults v:ext="edit" spidmax="4098"/>
    <o:shapelayout v:ext="edit">
      <o:idmap v:ext="edit" data="4"/>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170D"/>
    <w:rsid w:val="00036F10"/>
    <w:rsid w:val="00045679"/>
    <w:rsid w:val="0005451E"/>
    <w:rsid w:val="000553BC"/>
    <w:rsid w:val="000572B4"/>
    <w:rsid w:val="00060523"/>
    <w:rsid w:val="000626EC"/>
    <w:rsid w:val="00065E47"/>
    <w:rsid w:val="000674B5"/>
    <w:rsid w:val="000710F3"/>
    <w:rsid w:val="00080A09"/>
    <w:rsid w:val="00082DDD"/>
    <w:rsid w:val="000858F3"/>
    <w:rsid w:val="00091D22"/>
    <w:rsid w:val="00093520"/>
    <w:rsid w:val="000D3227"/>
    <w:rsid w:val="000D7B8A"/>
    <w:rsid w:val="00101E85"/>
    <w:rsid w:val="001149C9"/>
    <w:rsid w:val="0012019B"/>
    <w:rsid w:val="00121DAD"/>
    <w:rsid w:val="001220CC"/>
    <w:rsid w:val="00126C70"/>
    <w:rsid w:val="00145C86"/>
    <w:rsid w:val="00152442"/>
    <w:rsid w:val="00154CEF"/>
    <w:rsid w:val="00185426"/>
    <w:rsid w:val="00186B63"/>
    <w:rsid w:val="00187F41"/>
    <w:rsid w:val="001959DB"/>
    <w:rsid w:val="001A1F8F"/>
    <w:rsid w:val="001A78FB"/>
    <w:rsid w:val="001C2CC2"/>
    <w:rsid w:val="001D38A1"/>
    <w:rsid w:val="001F51A1"/>
    <w:rsid w:val="00204C3F"/>
    <w:rsid w:val="002214C7"/>
    <w:rsid w:val="00224C9F"/>
    <w:rsid w:val="00227765"/>
    <w:rsid w:val="002322BA"/>
    <w:rsid w:val="0024592C"/>
    <w:rsid w:val="0025798A"/>
    <w:rsid w:val="00262054"/>
    <w:rsid w:val="00265999"/>
    <w:rsid w:val="002665BE"/>
    <w:rsid w:val="002849BD"/>
    <w:rsid w:val="0029299C"/>
    <w:rsid w:val="002935AE"/>
    <w:rsid w:val="002A529F"/>
    <w:rsid w:val="002A5345"/>
    <w:rsid w:val="002B0151"/>
    <w:rsid w:val="002B09E4"/>
    <w:rsid w:val="002B57F9"/>
    <w:rsid w:val="002C79DA"/>
    <w:rsid w:val="002D0D3D"/>
    <w:rsid w:val="002E4F13"/>
    <w:rsid w:val="002E6ECB"/>
    <w:rsid w:val="003028EB"/>
    <w:rsid w:val="00302B90"/>
    <w:rsid w:val="00304E56"/>
    <w:rsid w:val="003103F4"/>
    <w:rsid w:val="0031373B"/>
    <w:rsid w:val="00314AC0"/>
    <w:rsid w:val="00320417"/>
    <w:rsid w:val="00325E16"/>
    <w:rsid w:val="0032696F"/>
    <w:rsid w:val="003272BC"/>
    <w:rsid w:val="003344A2"/>
    <w:rsid w:val="0034712E"/>
    <w:rsid w:val="00350FE4"/>
    <w:rsid w:val="0035497E"/>
    <w:rsid w:val="00356927"/>
    <w:rsid w:val="00357F06"/>
    <w:rsid w:val="00366DC0"/>
    <w:rsid w:val="003743D3"/>
    <w:rsid w:val="003861A8"/>
    <w:rsid w:val="003929AA"/>
    <w:rsid w:val="0039489D"/>
    <w:rsid w:val="003C003D"/>
    <w:rsid w:val="003E7256"/>
    <w:rsid w:val="003E76C0"/>
    <w:rsid w:val="0040680C"/>
    <w:rsid w:val="004164B8"/>
    <w:rsid w:val="00416E3A"/>
    <w:rsid w:val="00431BDD"/>
    <w:rsid w:val="0043390C"/>
    <w:rsid w:val="0043539B"/>
    <w:rsid w:val="00450B9A"/>
    <w:rsid w:val="0046123F"/>
    <w:rsid w:val="00472664"/>
    <w:rsid w:val="00474DB4"/>
    <w:rsid w:val="0048170D"/>
    <w:rsid w:val="004847A6"/>
    <w:rsid w:val="0049285F"/>
    <w:rsid w:val="004931A5"/>
    <w:rsid w:val="00494589"/>
    <w:rsid w:val="004A1E88"/>
    <w:rsid w:val="004A22D7"/>
    <w:rsid w:val="004C79E7"/>
    <w:rsid w:val="004D2631"/>
    <w:rsid w:val="004E54E9"/>
    <w:rsid w:val="004F4268"/>
    <w:rsid w:val="00510624"/>
    <w:rsid w:val="00513122"/>
    <w:rsid w:val="00535FAF"/>
    <w:rsid w:val="005441D3"/>
    <w:rsid w:val="00544E1B"/>
    <w:rsid w:val="00552CDF"/>
    <w:rsid w:val="00557D27"/>
    <w:rsid w:val="00560578"/>
    <w:rsid w:val="00566CA4"/>
    <w:rsid w:val="00576724"/>
    <w:rsid w:val="00593FE9"/>
    <w:rsid w:val="00594DB3"/>
    <w:rsid w:val="005A4593"/>
    <w:rsid w:val="005A52C4"/>
    <w:rsid w:val="005C33AB"/>
    <w:rsid w:val="005C6F4C"/>
    <w:rsid w:val="005C7716"/>
    <w:rsid w:val="005D509A"/>
    <w:rsid w:val="005D5232"/>
    <w:rsid w:val="005E0660"/>
    <w:rsid w:val="005E4800"/>
    <w:rsid w:val="006018CD"/>
    <w:rsid w:val="00602E98"/>
    <w:rsid w:val="006032D8"/>
    <w:rsid w:val="00613C9C"/>
    <w:rsid w:val="006279BA"/>
    <w:rsid w:val="0063016C"/>
    <w:rsid w:val="00630F6B"/>
    <w:rsid w:val="0064218F"/>
    <w:rsid w:val="00642521"/>
    <w:rsid w:val="0065605F"/>
    <w:rsid w:val="00657EE0"/>
    <w:rsid w:val="00663908"/>
    <w:rsid w:val="0066509C"/>
    <w:rsid w:val="006720C6"/>
    <w:rsid w:val="00675FD4"/>
    <w:rsid w:val="00682779"/>
    <w:rsid w:val="0069351B"/>
    <w:rsid w:val="006B05C7"/>
    <w:rsid w:val="006B2BCC"/>
    <w:rsid w:val="006B75A3"/>
    <w:rsid w:val="006F0083"/>
    <w:rsid w:val="006F6F3E"/>
    <w:rsid w:val="007071F1"/>
    <w:rsid w:val="00707D90"/>
    <w:rsid w:val="0071091C"/>
    <w:rsid w:val="007142B6"/>
    <w:rsid w:val="007165AD"/>
    <w:rsid w:val="00721CA2"/>
    <w:rsid w:val="00726AF4"/>
    <w:rsid w:val="007323E7"/>
    <w:rsid w:val="007337B0"/>
    <w:rsid w:val="00736DE4"/>
    <w:rsid w:val="007422F4"/>
    <w:rsid w:val="00742F76"/>
    <w:rsid w:val="00756C8E"/>
    <w:rsid w:val="00762CA7"/>
    <w:rsid w:val="0077021B"/>
    <w:rsid w:val="00770B3B"/>
    <w:rsid w:val="0077374C"/>
    <w:rsid w:val="007759F9"/>
    <w:rsid w:val="0078462D"/>
    <w:rsid w:val="007968DA"/>
    <w:rsid w:val="00796F4A"/>
    <w:rsid w:val="007A0F12"/>
    <w:rsid w:val="007A2A3C"/>
    <w:rsid w:val="007D250E"/>
    <w:rsid w:val="007D2AE1"/>
    <w:rsid w:val="007D7844"/>
    <w:rsid w:val="007F7A5C"/>
    <w:rsid w:val="007F7FF3"/>
    <w:rsid w:val="00806B77"/>
    <w:rsid w:val="00811CA6"/>
    <w:rsid w:val="00820C1F"/>
    <w:rsid w:val="00827DFC"/>
    <w:rsid w:val="00831BA5"/>
    <w:rsid w:val="00841340"/>
    <w:rsid w:val="008420D0"/>
    <w:rsid w:val="00842645"/>
    <w:rsid w:val="00842C34"/>
    <w:rsid w:val="0084351B"/>
    <w:rsid w:val="008449F2"/>
    <w:rsid w:val="00853CD4"/>
    <w:rsid w:val="00865EF0"/>
    <w:rsid w:val="00867CD3"/>
    <w:rsid w:val="0089313A"/>
    <w:rsid w:val="00894869"/>
    <w:rsid w:val="00895982"/>
    <w:rsid w:val="008D576A"/>
    <w:rsid w:val="008F178C"/>
    <w:rsid w:val="00914238"/>
    <w:rsid w:val="00914AF1"/>
    <w:rsid w:val="0092435A"/>
    <w:rsid w:val="0093548C"/>
    <w:rsid w:val="0093652E"/>
    <w:rsid w:val="009403E3"/>
    <w:rsid w:val="00942408"/>
    <w:rsid w:val="00945BAE"/>
    <w:rsid w:val="00950201"/>
    <w:rsid w:val="00951282"/>
    <w:rsid w:val="00976983"/>
    <w:rsid w:val="00981450"/>
    <w:rsid w:val="0098240C"/>
    <w:rsid w:val="00993E09"/>
    <w:rsid w:val="009A319B"/>
    <w:rsid w:val="009A4A49"/>
    <w:rsid w:val="009C1E7A"/>
    <w:rsid w:val="009C24F5"/>
    <w:rsid w:val="009C2E22"/>
    <w:rsid w:val="009C7296"/>
    <w:rsid w:val="009D2302"/>
    <w:rsid w:val="009E133E"/>
    <w:rsid w:val="009F682A"/>
    <w:rsid w:val="009F7B8A"/>
    <w:rsid w:val="00A0096D"/>
    <w:rsid w:val="00A107C0"/>
    <w:rsid w:val="00A12358"/>
    <w:rsid w:val="00A15C88"/>
    <w:rsid w:val="00A17A9C"/>
    <w:rsid w:val="00A22122"/>
    <w:rsid w:val="00A26764"/>
    <w:rsid w:val="00A30FBB"/>
    <w:rsid w:val="00A3299D"/>
    <w:rsid w:val="00A333A1"/>
    <w:rsid w:val="00A40E4E"/>
    <w:rsid w:val="00A460E8"/>
    <w:rsid w:val="00A46A10"/>
    <w:rsid w:val="00A56355"/>
    <w:rsid w:val="00A60934"/>
    <w:rsid w:val="00A64680"/>
    <w:rsid w:val="00A6763E"/>
    <w:rsid w:val="00A763A9"/>
    <w:rsid w:val="00A83C4C"/>
    <w:rsid w:val="00A8470D"/>
    <w:rsid w:val="00A9131C"/>
    <w:rsid w:val="00AA3D03"/>
    <w:rsid w:val="00AC0776"/>
    <w:rsid w:val="00AC46F3"/>
    <w:rsid w:val="00AD10CE"/>
    <w:rsid w:val="00AE049C"/>
    <w:rsid w:val="00AE2842"/>
    <w:rsid w:val="00AF1ABA"/>
    <w:rsid w:val="00AF6472"/>
    <w:rsid w:val="00AF6843"/>
    <w:rsid w:val="00B220CB"/>
    <w:rsid w:val="00B22E2D"/>
    <w:rsid w:val="00B338CA"/>
    <w:rsid w:val="00B34B90"/>
    <w:rsid w:val="00B34C99"/>
    <w:rsid w:val="00B50F2E"/>
    <w:rsid w:val="00B540AA"/>
    <w:rsid w:val="00B62B1E"/>
    <w:rsid w:val="00B814C4"/>
    <w:rsid w:val="00B83363"/>
    <w:rsid w:val="00B8406E"/>
    <w:rsid w:val="00BA1D56"/>
    <w:rsid w:val="00BA4C9F"/>
    <w:rsid w:val="00BA5FD3"/>
    <w:rsid w:val="00BA6427"/>
    <w:rsid w:val="00BC2859"/>
    <w:rsid w:val="00BD06F3"/>
    <w:rsid w:val="00BD3D59"/>
    <w:rsid w:val="00BD45EE"/>
    <w:rsid w:val="00BD5F98"/>
    <w:rsid w:val="00BD7BD1"/>
    <w:rsid w:val="00BE38C3"/>
    <w:rsid w:val="00BE4B28"/>
    <w:rsid w:val="00BE67BA"/>
    <w:rsid w:val="00BF08B4"/>
    <w:rsid w:val="00C00F46"/>
    <w:rsid w:val="00C02AC3"/>
    <w:rsid w:val="00C068F1"/>
    <w:rsid w:val="00C06949"/>
    <w:rsid w:val="00C161C0"/>
    <w:rsid w:val="00C169FF"/>
    <w:rsid w:val="00C20AB7"/>
    <w:rsid w:val="00C21A94"/>
    <w:rsid w:val="00C27328"/>
    <w:rsid w:val="00C32ECD"/>
    <w:rsid w:val="00C36579"/>
    <w:rsid w:val="00C43E79"/>
    <w:rsid w:val="00C45AF4"/>
    <w:rsid w:val="00C45B4F"/>
    <w:rsid w:val="00C47173"/>
    <w:rsid w:val="00C53553"/>
    <w:rsid w:val="00C5452F"/>
    <w:rsid w:val="00C60B1A"/>
    <w:rsid w:val="00C72612"/>
    <w:rsid w:val="00C75A78"/>
    <w:rsid w:val="00C77693"/>
    <w:rsid w:val="00C91CF6"/>
    <w:rsid w:val="00C9485E"/>
    <w:rsid w:val="00C9588A"/>
    <w:rsid w:val="00C97DAB"/>
    <w:rsid w:val="00CA4006"/>
    <w:rsid w:val="00CA5E48"/>
    <w:rsid w:val="00CC3624"/>
    <w:rsid w:val="00CC4674"/>
    <w:rsid w:val="00CD4874"/>
    <w:rsid w:val="00CE080B"/>
    <w:rsid w:val="00CE4BB2"/>
    <w:rsid w:val="00CF3D77"/>
    <w:rsid w:val="00D170ED"/>
    <w:rsid w:val="00D22A18"/>
    <w:rsid w:val="00D32246"/>
    <w:rsid w:val="00D360FF"/>
    <w:rsid w:val="00D4432B"/>
    <w:rsid w:val="00D44E84"/>
    <w:rsid w:val="00D462BB"/>
    <w:rsid w:val="00D85D09"/>
    <w:rsid w:val="00D901AF"/>
    <w:rsid w:val="00DA7BDE"/>
    <w:rsid w:val="00DB7DCD"/>
    <w:rsid w:val="00DC25CF"/>
    <w:rsid w:val="00DC4F05"/>
    <w:rsid w:val="00DC6526"/>
    <w:rsid w:val="00DE42E1"/>
    <w:rsid w:val="00E021C4"/>
    <w:rsid w:val="00E03F04"/>
    <w:rsid w:val="00E0502B"/>
    <w:rsid w:val="00E0775D"/>
    <w:rsid w:val="00E14652"/>
    <w:rsid w:val="00E25AD7"/>
    <w:rsid w:val="00E266A9"/>
    <w:rsid w:val="00E32CFA"/>
    <w:rsid w:val="00E35E03"/>
    <w:rsid w:val="00E4159A"/>
    <w:rsid w:val="00E44EA6"/>
    <w:rsid w:val="00E5133D"/>
    <w:rsid w:val="00E546B9"/>
    <w:rsid w:val="00E7236D"/>
    <w:rsid w:val="00E874BA"/>
    <w:rsid w:val="00E9288B"/>
    <w:rsid w:val="00E934F5"/>
    <w:rsid w:val="00EB6AA2"/>
    <w:rsid w:val="00EB7A13"/>
    <w:rsid w:val="00EC6346"/>
    <w:rsid w:val="00EE1A33"/>
    <w:rsid w:val="00EF52E5"/>
    <w:rsid w:val="00EF6AB3"/>
    <w:rsid w:val="00F02913"/>
    <w:rsid w:val="00F2182B"/>
    <w:rsid w:val="00F2227B"/>
    <w:rsid w:val="00F22A6E"/>
    <w:rsid w:val="00F30755"/>
    <w:rsid w:val="00F32177"/>
    <w:rsid w:val="00F40E70"/>
    <w:rsid w:val="00F46823"/>
    <w:rsid w:val="00F47110"/>
    <w:rsid w:val="00F51281"/>
    <w:rsid w:val="00F559BB"/>
    <w:rsid w:val="00F57F0D"/>
    <w:rsid w:val="00F610F6"/>
    <w:rsid w:val="00F65A65"/>
    <w:rsid w:val="00F67F73"/>
    <w:rsid w:val="00F72A09"/>
    <w:rsid w:val="00F72E8C"/>
    <w:rsid w:val="00F736C4"/>
    <w:rsid w:val="00F771A8"/>
    <w:rsid w:val="00F77AB4"/>
    <w:rsid w:val="00F84874"/>
    <w:rsid w:val="00F86A2E"/>
    <w:rsid w:val="00FB500E"/>
    <w:rsid w:val="00FD52CC"/>
    <w:rsid w:val="00FE1F77"/>
    <w:rsid w:val="00FF339E"/>
    <w:rsid w:val="00FF7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7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70D"/>
  </w:style>
  <w:style w:type="paragraph" w:styleId="FootnoteText">
    <w:name w:val="footnote text"/>
    <w:aliases w:val="5_G"/>
    <w:basedOn w:val="Normal"/>
    <w:link w:val="FootnoteTextChar"/>
    <w:unhideWhenUsed/>
    <w:rsid w:val="0048170D"/>
    <w:pPr>
      <w:spacing w:after="0" w:line="240" w:lineRule="auto"/>
    </w:pPr>
    <w:rPr>
      <w:sz w:val="20"/>
      <w:szCs w:val="20"/>
    </w:rPr>
  </w:style>
  <w:style w:type="character" w:customStyle="1" w:styleId="FootnoteTextChar">
    <w:name w:val="Footnote Text Char"/>
    <w:aliases w:val="5_G Char"/>
    <w:link w:val="FootnoteText"/>
    <w:rsid w:val="0048170D"/>
    <w:rPr>
      <w:sz w:val="20"/>
      <w:szCs w:val="20"/>
    </w:rPr>
  </w:style>
  <w:style w:type="character" w:styleId="FootnoteReference">
    <w:name w:val="footnote reference"/>
    <w:aliases w:val="4_G,text pozn. pod čarou,Footnote symbol"/>
    <w:unhideWhenUsed/>
    <w:rsid w:val="0048170D"/>
    <w:rPr>
      <w:rFonts w:ascii="Times New Roman" w:hAnsi="Times New Roman" w:cs="Times New Roman" w:hint="default"/>
      <w:sz w:val="18"/>
      <w:vertAlign w:val="superscript"/>
    </w:rPr>
  </w:style>
  <w:style w:type="paragraph" w:styleId="Footer">
    <w:name w:val="footer"/>
    <w:basedOn w:val="Normal"/>
    <w:link w:val="FooterChar"/>
    <w:uiPriority w:val="99"/>
    <w:unhideWhenUsed/>
    <w:rsid w:val="004817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70D"/>
  </w:style>
  <w:style w:type="character" w:styleId="Hyperlink">
    <w:name w:val="Hyperlink"/>
    <w:uiPriority w:val="99"/>
    <w:unhideWhenUsed/>
    <w:rsid w:val="00AE049C"/>
    <w:rPr>
      <w:color w:val="0000FF"/>
      <w:u w:val="single"/>
    </w:rPr>
  </w:style>
  <w:style w:type="paragraph" w:styleId="ListParagraph">
    <w:name w:val="List Paragraph"/>
    <w:basedOn w:val="Normal"/>
    <w:uiPriority w:val="34"/>
    <w:qFormat/>
    <w:rsid w:val="00CF3D77"/>
    <w:pPr>
      <w:ind w:left="720"/>
      <w:contextualSpacing/>
    </w:pPr>
  </w:style>
  <w:style w:type="paragraph" w:styleId="BalloonText">
    <w:name w:val="Balloon Text"/>
    <w:basedOn w:val="Normal"/>
    <w:link w:val="BalloonTextChar"/>
    <w:uiPriority w:val="99"/>
    <w:semiHidden/>
    <w:unhideWhenUsed/>
    <w:rsid w:val="00A83C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3C4C"/>
    <w:rPr>
      <w:rFonts w:ascii="Tahoma" w:hAnsi="Tahoma" w:cs="Tahoma"/>
      <w:sz w:val="16"/>
      <w:szCs w:val="16"/>
    </w:rPr>
  </w:style>
  <w:style w:type="character" w:styleId="CommentReference">
    <w:name w:val="annotation reference"/>
    <w:uiPriority w:val="99"/>
    <w:semiHidden/>
    <w:unhideWhenUsed/>
    <w:rsid w:val="00A83C4C"/>
    <w:rPr>
      <w:sz w:val="16"/>
      <w:szCs w:val="16"/>
    </w:rPr>
  </w:style>
  <w:style w:type="paragraph" w:styleId="CommentText">
    <w:name w:val="annotation text"/>
    <w:basedOn w:val="Normal"/>
    <w:link w:val="CommentTextChar"/>
    <w:uiPriority w:val="99"/>
    <w:unhideWhenUsed/>
    <w:rsid w:val="00A83C4C"/>
    <w:pPr>
      <w:spacing w:line="240" w:lineRule="auto"/>
    </w:pPr>
    <w:rPr>
      <w:sz w:val="20"/>
      <w:szCs w:val="20"/>
    </w:rPr>
  </w:style>
  <w:style w:type="character" w:customStyle="1" w:styleId="CommentTextChar">
    <w:name w:val="Comment Text Char"/>
    <w:link w:val="CommentText"/>
    <w:uiPriority w:val="99"/>
    <w:rsid w:val="00A83C4C"/>
    <w:rPr>
      <w:sz w:val="20"/>
      <w:szCs w:val="20"/>
    </w:rPr>
  </w:style>
  <w:style w:type="paragraph" w:styleId="CommentSubject">
    <w:name w:val="annotation subject"/>
    <w:basedOn w:val="CommentText"/>
    <w:next w:val="CommentText"/>
    <w:link w:val="CommentSubjectChar"/>
    <w:uiPriority w:val="99"/>
    <w:semiHidden/>
    <w:unhideWhenUsed/>
    <w:rsid w:val="00A83C4C"/>
    <w:rPr>
      <w:b/>
      <w:bCs/>
    </w:rPr>
  </w:style>
  <w:style w:type="character" w:customStyle="1" w:styleId="CommentSubjectChar">
    <w:name w:val="Comment Subject Char"/>
    <w:link w:val="CommentSubject"/>
    <w:uiPriority w:val="99"/>
    <w:semiHidden/>
    <w:rsid w:val="00A83C4C"/>
    <w:rPr>
      <w:b/>
      <w:bCs/>
      <w:sz w:val="20"/>
      <w:szCs w:val="20"/>
    </w:rPr>
  </w:style>
  <w:style w:type="paragraph" w:styleId="NoSpacing">
    <w:name w:val="No Spacing"/>
    <w:uiPriority w:val="1"/>
    <w:qFormat/>
    <w:rsid w:val="00E266A9"/>
    <w:rPr>
      <w:sz w:val="22"/>
      <w:szCs w:val="22"/>
      <w:lang w:eastAsia="en-US"/>
    </w:rPr>
  </w:style>
  <w:style w:type="paragraph" w:styleId="Revision">
    <w:name w:val="Revision"/>
    <w:hidden/>
    <w:uiPriority w:val="99"/>
    <w:semiHidden/>
    <w:rsid w:val="00B50F2E"/>
    <w:rPr>
      <w:sz w:val="22"/>
      <w:szCs w:val="22"/>
      <w:lang w:eastAsia="en-US"/>
    </w:rPr>
  </w:style>
  <w:style w:type="paragraph" w:customStyle="1" w:styleId="SingleTxtG">
    <w:name w:val="_ Single Txt_G"/>
    <w:basedOn w:val="Normal"/>
    <w:rsid w:val="007D250E"/>
    <w:pPr>
      <w:suppressAutoHyphens/>
      <w:spacing w:after="120" w:line="240" w:lineRule="atLeast"/>
      <w:ind w:left="1134" w:right="1134"/>
      <w:jc w:val="both"/>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7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70D"/>
  </w:style>
  <w:style w:type="paragraph" w:styleId="FootnoteText">
    <w:name w:val="footnote text"/>
    <w:aliases w:val="5_G"/>
    <w:basedOn w:val="Normal"/>
    <w:link w:val="FootnoteTextChar"/>
    <w:unhideWhenUsed/>
    <w:rsid w:val="0048170D"/>
    <w:pPr>
      <w:spacing w:after="0" w:line="240" w:lineRule="auto"/>
    </w:pPr>
    <w:rPr>
      <w:sz w:val="20"/>
      <w:szCs w:val="20"/>
    </w:rPr>
  </w:style>
  <w:style w:type="character" w:customStyle="1" w:styleId="FootnoteTextChar">
    <w:name w:val="Footnote Text Char"/>
    <w:aliases w:val="5_G Char"/>
    <w:link w:val="FootnoteText"/>
    <w:rsid w:val="0048170D"/>
    <w:rPr>
      <w:sz w:val="20"/>
      <w:szCs w:val="20"/>
    </w:rPr>
  </w:style>
  <w:style w:type="character" w:styleId="FootnoteReference">
    <w:name w:val="footnote reference"/>
    <w:aliases w:val="4_G,text pozn. pod čarou,Footnote symbol"/>
    <w:unhideWhenUsed/>
    <w:rsid w:val="0048170D"/>
    <w:rPr>
      <w:rFonts w:ascii="Times New Roman" w:hAnsi="Times New Roman" w:cs="Times New Roman" w:hint="default"/>
      <w:sz w:val="18"/>
      <w:vertAlign w:val="superscript"/>
    </w:rPr>
  </w:style>
  <w:style w:type="paragraph" w:styleId="Footer">
    <w:name w:val="footer"/>
    <w:basedOn w:val="Normal"/>
    <w:link w:val="FooterChar"/>
    <w:uiPriority w:val="99"/>
    <w:unhideWhenUsed/>
    <w:rsid w:val="004817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70D"/>
  </w:style>
  <w:style w:type="character" w:styleId="Hyperlink">
    <w:name w:val="Hyperlink"/>
    <w:uiPriority w:val="99"/>
    <w:unhideWhenUsed/>
    <w:rsid w:val="00AE049C"/>
    <w:rPr>
      <w:color w:val="0000FF"/>
      <w:u w:val="single"/>
    </w:rPr>
  </w:style>
  <w:style w:type="paragraph" w:styleId="ListParagraph">
    <w:name w:val="List Paragraph"/>
    <w:basedOn w:val="Normal"/>
    <w:uiPriority w:val="34"/>
    <w:qFormat/>
    <w:rsid w:val="00CF3D77"/>
    <w:pPr>
      <w:ind w:left="720"/>
      <w:contextualSpacing/>
    </w:pPr>
  </w:style>
  <w:style w:type="paragraph" w:styleId="BalloonText">
    <w:name w:val="Balloon Text"/>
    <w:basedOn w:val="Normal"/>
    <w:link w:val="BalloonTextChar"/>
    <w:uiPriority w:val="99"/>
    <w:semiHidden/>
    <w:unhideWhenUsed/>
    <w:rsid w:val="00A83C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3C4C"/>
    <w:rPr>
      <w:rFonts w:ascii="Tahoma" w:hAnsi="Tahoma" w:cs="Tahoma"/>
      <w:sz w:val="16"/>
      <w:szCs w:val="16"/>
    </w:rPr>
  </w:style>
  <w:style w:type="character" w:styleId="CommentReference">
    <w:name w:val="annotation reference"/>
    <w:uiPriority w:val="99"/>
    <w:semiHidden/>
    <w:unhideWhenUsed/>
    <w:rsid w:val="00A83C4C"/>
    <w:rPr>
      <w:sz w:val="16"/>
      <w:szCs w:val="16"/>
    </w:rPr>
  </w:style>
  <w:style w:type="paragraph" w:styleId="CommentText">
    <w:name w:val="annotation text"/>
    <w:basedOn w:val="Normal"/>
    <w:link w:val="CommentTextChar"/>
    <w:uiPriority w:val="99"/>
    <w:unhideWhenUsed/>
    <w:rsid w:val="00A83C4C"/>
    <w:pPr>
      <w:spacing w:line="240" w:lineRule="auto"/>
    </w:pPr>
    <w:rPr>
      <w:sz w:val="20"/>
      <w:szCs w:val="20"/>
    </w:rPr>
  </w:style>
  <w:style w:type="character" w:customStyle="1" w:styleId="CommentTextChar">
    <w:name w:val="Comment Text Char"/>
    <w:link w:val="CommentText"/>
    <w:uiPriority w:val="99"/>
    <w:rsid w:val="00A83C4C"/>
    <w:rPr>
      <w:sz w:val="20"/>
      <w:szCs w:val="20"/>
    </w:rPr>
  </w:style>
  <w:style w:type="paragraph" w:styleId="CommentSubject">
    <w:name w:val="annotation subject"/>
    <w:basedOn w:val="CommentText"/>
    <w:next w:val="CommentText"/>
    <w:link w:val="CommentSubjectChar"/>
    <w:uiPriority w:val="99"/>
    <w:semiHidden/>
    <w:unhideWhenUsed/>
    <w:rsid w:val="00A83C4C"/>
    <w:rPr>
      <w:b/>
      <w:bCs/>
    </w:rPr>
  </w:style>
  <w:style w:type="character" w:customStyle="1" w:styleId="CommentSubjectChar">
    <w:name w:val="Comment Subject Char"/>
    <w:link w:val="CommentSubject"/>
    <w:uiPriority w:val="99"/>
    <w:semiHidden/>
    <w:rsid w:val="00A83C4C"/>
    <w:rPr>
      <w:b/>
      <w:bCs/>
      <w:sz w:val="20"/>
      <w:szCs w:val="20"/>
    </w:rPr>
  </w:style>
  <w:style w:type="paragraph" w:styleId="NoSpacing">
    <w:name w:val="No Spacing"/>
    <w:uiPriority w:val="1"/>
    <w:qFormat/>
    <w:rsid w:val="00E266A9"/>
    <w:rPr>
      <w:sz w:val="22"/>
      <w:szCs w:val="22"/>
      <w:lang w:eastAsia="en-US"/>
    </w:rPr>
  </w:style>
  <w:style w:type="paragraph" w:styleId="Revision">
    <w:name w:val="Revision"/>
    <w:hidden/>
    <w:uiPriority w:val="99"/>
    <w:semiHidden/>
    <w:rsid w:val="00B50F2E"/>
    <w:rPr>
      <w:sz w:val="22"/>
      <w:szCs w:val="22"/>
      <w:lang w:eastAsia="en-US"/>
    </w:rPr>
  </w:style>
  <w:style w:type="paragraph" w:customStyle="1" w:styleId="SingleTxtG">
    <w:name w:val="_ Single Txt_G"/>
    <w:basedOn w:val="Normal"/>
    <w:rsid w:val="007D250E"/>
    <w:pPr>
      <w:suppressAutoHyphens/>
      <w:spacing w:after="120" w:line="240" w:lineRule="atLeast"/>
      <w:ind w:left="1134" w:right="1134"/>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2747">
      <w:bodyDiv w:val="1"/>
      <w:marLeft w:val="0"/>
      <w:marRight w:val="0"/>
      <w:marTop w:val="0"/>
      <w:marBottom w:val="0"/>
      <w:divBdr>
        <w:top w:val="none" w:sz="0" w:space="0" w:color="auto"/>
        <w:left w:val="none" w:sz="0" w:space="0" w:color="auto"/>
        <w:bottom w:val="none" w:sz="0" w:space="0" w:color="auto"/>
        <w:right w:val="none" w:sz="0" w:space="0" w:color="auto"/>
      </w:divBdr>
      <w:divsChild>
        <w:div w:id="609430798">
          <w:marLeft w:val="0"/>
          <w:marRight w:val="0"/>
          <w:marTop w:val="0"/>
          <w:marBottom w:val="0"/>
          <w:divBdr>
            <w:top w:val="none" w:sz="0" w:space="0" w:color="auto"/>
            <w:left w:val="none" w:sz="0" w:space="0" w:color="auto"/>
            <w:bottom w:val="none" w:sz="0" w:space="0" w:color="auto"/>
            <w:right w:val="none" w:sz="0" w:space="0" w:color="auto"/>
          </w:divBdr>
        </w:div>
        <w:div w:id="1850364384">
          <w:marLeft w:val="0"/>
          <w:marRight w:val="0"/>
          <w:marTop w:val="0"/>
          <w:marBottom w:val="0"/>
          <w:divBdr>
            <w:top w:val="none" w:sz="0" w:space="0" w:color="auto"/>
            <w:left w:val="none" w:sz="0" w:space="0" w:color="auto"/>
            <w:bottom w:val="none" w:sz="0" w:space="0" w:color="auto"/>
            <w:right w:val="none" w:sz="0" w:space="0" w:color="auto"/>
          </w:divBdr>
        </w:div>
      </w:divsChild>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sChild>
        <w:div w:id="614365478">
          <w:marLeft w:val="0"/>
          <w:marRight w:val="0"/>
          <w:marTop w:val="0"/>
          <w:marBottom w:val="0"/>
          <w:divBdr>
            <w:top w:val="none" w:sz="0" w:space="0" w:color="auto"/>
            <w:left w:val="none" w:sz="0" w:space="0" w:color="auto"/>
            <w:bottom w:val="none" w:sz="0" w:space="0" w:color="auto"/>
            <w:right w:val="none" w:sz="0" w:space="0" w:color="auto"/>
          </w:divBdr>
          <w:divsChild>
            <w:div w:id="1028944318">
              <w:marLeft w:val="0"/>
              <w:marRight w:val="0"/>
              <w:marTop w:val="0"/>
              <w:marBottom w:val="0"/>
              <w:divBdr>
                <w:top w:val="none" w:sz="0" w:space="0" w:color="auto"/>
                <w:left w:val="none" w:sz="0" w:space="0" w:color="auto"/>
                <w:bottom w:val="none" w:sz="0" w:space="0" w:color="auto"/>
                <w:right w:val="none" w:sz="0" w:space="0" w:color="auto"/>
              </w:divBdr>
            </w:div>
            <w:div w:id="11181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5FAA-37E4-419F-98ED-79746E0B0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6233</Words>
  <Characters>32226</Characters>
  <Application>Microsoft Office Word</Application>
  <DocSecurity>0</DocSecurity>
  <Lines>511</Lines>
  <Paragraphs>154</Paragraphs>
  <ScaleCrop>false</ScaleCrop>
  <HeadingPairs>
    <vt:vector size="6" baseType="variant">
      <vt:variant>
        <vt:lpstr>Title</vt:lpstr>
      </vt:variant>
      <vt:variant>
        <vt:i4>1</vt:i4>
      </vt:variant>
      <vt:variant>
        <vt:lpstr>Rubrik</vt:lpstr>
      </vt:variant>
      <vt:variant>
        <vt:i4>1</vt:i4>
      </vt:variant>
      <vt:variant>
        <vt:lpstr>Tytuł</vt:lpstr>
      </vt:variant>
      <vt:variant>
        <vt:i4>1</vt:i4>
      </vt:variant>
    </vt:vector>
  </HeadingPairs>
  <TitlesOfParts>
    <vt:vector size="3" baseType="lpstr">
      <vt:lpstr/>
      <vt:lpstr/>
      <vt:lpstr/>
    </vt:vector>
  </TitlesOfParts>
  <Company>ECE-ISU</Company>
  <LinksUpToDate>false</LinksUpToDate>
  <CharactersWithSpaces>38305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Bichet</dc:creator>
  <cp:lastModifiedBy>marshall</cp:lastModifiedBy>
  <cp:revision>5</cp:revision>
  <cp:lastPrinted>2015-10-08T07:23:00Z</cp:lastPrinted>
  <dcterms:created xsi:type="dcterms:W3CDTF">2016-11-18T18:50:00Z</dcterms:created>
  <dcterms:modified xsi:type="dcterms:W3CDTF">2016-11-18T19:01:00Z</dcterms:modified>
</cp:coreProperties>
</file>