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D4A6A81" w14:textId="77777777" w:rsidR="00FC1568" w:rsidRPr="001D767D" w:rsidRDefault="00FC1568" w:rsidP="006D13E9">
      <w:pPr>
        <w:pStyle w:val="Heading1"/>
        <w:tabs>
          <w:tab w:val="clear" w:pos="851"/>
        </w:tabs>
        <w:ind w:left="567" w:right="-1"/>
        <w:jc w:val="left"/>
        <w:rPr>
          <w:sz w:val="24"/>
          <w:szCs w:val="24"/>
        </w:rPr>
      </w:pPr>
      <w:r w:rsidRPr="001D767D">
        <w:rPr>
          <w:sz w:val="24"/>
          <w:szCs w:val="24"/>
        </w:rPr>
        <w:t>Draft f</w:t>
      </w:r>
      <w:r w:rsidRPr="001D767D">
        <w:rPr>
          <w:spacing w:val="-2"/>
          <w:sz w:val="24"/>
          <w:szCs w:val="24"/>
        </w:rPr>
        <w:t xml:space="preserve">indings and recommendations </w:t>
      </w:r>
      <w:proofErr w:type="gramStart"/>
      <w:r w:rsidRPr="001D767D">
        <w:rPr>
          <w:spacing w:val="-2"/>
          <w:sz w:val="24"/>
          <w:szCs w:val="24"/>
        </w:rPr>
        <w:t>with regard to</w:t>
      </w:r>
      <w:proofErr w:type="gramEnd"/>
      <w:r w:rsidRPr="001D767D">
        <w:rPr>
          <w:spacing w:val="-2"/>
          <w:sz w:val="24"/>
          <w:szCs w:val="24"/>
        </w:rPr>
        <w:t xml:space="preserve"> communication</w:t>
      </w:r>
      <w:r w:rsidRPr="001D767D">
        <w:rPr>
          <w:sz w:val="24"/>
          <w:szCs w:val="24"/>
        </w:rPr>
        <w:t xml:space="preserve"> ACCC/C/2013/107 concerning compliance by Ireland</w:t>
      </w:r>
    </w:p>
    <w:p w14:paraId="1AE4AE4F" w14:textId="77777777" w:rsidR="00FC1568" w:rsidRPr="001D767D" w:rsidRDefault="00FC1568" w:rsidP="006D13E9">
      <w:pPr>
        <w:pStyle w:val="Heading1"/>
        <w:tabs>
          <w:tab w:val="clear" w:pos="851"/>
        </w:tabs>
        <w:ind w:left="567" w:right="-1"/>
        <w:jc w:val="left"/>
        <w:rPr>
          <w:sz w:val="24"/>
        </w:rPr>
      </w:pPr>
      <w:r w:rsidRPr="001D767D">
        <w:rPr>
          <w:sz w:val="24"/>
        </w:rPr>
        <w:t>Adopted by the Compliance Committee on …</w:t>
      </w:r>
    </w:p>
    <w:p w14:paraId="51FFBF33" w14:textId="77777777" w:rsidR="00FC1568" w:rsidRPr="001D767D" w:rsidRDefault="00FC1568" w:rsidP="00DA6BBB">
      <w:pPr>
        <w:pStyle w:val="Heading2"/>
        <w:tabs>
          <w:tab w:val="right" w:pos="567"/>
        </w:tabs>
        <w:ind w:right="-1" w:hanging="141"/>
        <w:rPr>
          <w:sz w:val="24"/>
        </w:rPr>
      </w:pPr>
      <w:r w:rsidRPr="001D767D">
        <w:rPr>
          <w:sz w:val="24"/>
        </w:rPr>
        <w:t>Introduction</w:t>
      </w:r>
    </w:p>
    <w:p w14:paraId="5B56F1B3" w14:textId="77777777" w:rsidR="00FC1568" w:rsidRPr="001D767D" w:rsidRDefault="00FC1568" w:rsidP="00784840">
      <w:pPr>
        <w:numPr>
          <w:ilvl w:val="0"/>
          <w:numId w:val="2"/>
        </w:numPr>
        <w:tabs>
          <w:tab w:val="right" w:pos="993"/>
          <w:tab w:val="left" w:pos="1080"/>
        </w:tabs>
        <w:spacing w:after="120" w:line="240" w:lineRule="atLeast"/>
        <w:ind w:left="540" w:right="-1" w:firstLine="0"/>
        <w:jc w:val="both"/>
        <w:rPr>
          <w:rFonts w:ascii="Times New Roman" w:eastAsia="Times New Roman" w:hAnsi="Times New Roman" w:cs="Times New Roman"/>
          <w:sz w:val="20"/>
          <w:szCs w:val="20"/>
          <w:lang w:val="en-US"/>
        </w:rPr>
      </w:pPr>
      <w:r w:rsidRPr="001D767D">
        <w:rPr>
          <w:rFonts w:ascii="Times New Roman" w:eastAsia="Times New Roman" w:hAnsi="Times New Roman" w:cs="Times New Roman"/>
          <w:sz w:val="20"/>
          <w:szCs w:val="20"/>
          <w:lang w:val="en-US"/>
        </w:rPr>
        <w:t xml:space="preserve">On 11 November 2013, Mr. Kieran Cummins, a member of the public, submitted a communication to the Compliance Committee under the Convention on Access to Information, </w:t>
      </w:r>
      <w:r w:rsidRPr="001D767D">
        <w:rPr>
          <w:rFonts w:ascii="Times New Roman" w:eastAsia="Times New Roman" w:hAnsi="Times New Roman" w:cs="Times New Roman"/>
          <w:sz w:val="20"/>
          <w:szCs w:val="20"/>
        </w:rPr>
        <w:t xml:space="preserve">Public Participation in Decision-making and Access to Justice in Environmental Matters (Aarhus Convention) alleging the failure of </w:t>
      </w:r>
      <w:r w:rsidRPr="001D767D">
        <w:rPr>
          <w:rFonts w:ascii="Times New Roman" w:eastAsia="Times New Roman" w:hAnsi="Times New Roman" w:cs="Times New Roman"/>
          <w:bCs/>
          <w:sz w:val="20"/>
          <w:szCs w:val="20"/>
        </w:rPr>
        <w:t xml:space="preserve">Ireland </w:t>
      </w:r>
      <w:r w:rsidRPr="001D767D">
        <w:rPr>
          <w:rFonts w:ascii="Times New Roman" w:eastAsia="Times New Roman" w:hAnsi="Times New Roman" w:cs="Times New Roman"/>
          <w:sz w:val="20"/>
          <w:szCs w:val="20"/>
        </w:rPr>
        <w:t>to comply with its obligations under articles 6 and 7 of the Convention.</w:t>
      </w:r>
      <w:r w:rsidRPr="001D767D">
        <w:rPr>
          <w:rStyle w:val="FootnoteCharacters"/>
          <w:sz w:val="20"/>
          <w:szCs w:val="20"/>
          <w:lang w:eastAsia="ar-SA"/>
        </w:rPr>
        <w:footnoteReference w:id="2"/>
      </w:r>
    </w:p>
    <w:p w14:paraId="318348A1" w14:textId="33D48925" w:rsidR="00FC1568" w:rsidRPr="001D767D" w:rsidRDefault="00FC1568" w:rsidP="00784840">
      <w:pPr>
        <w:numPr>
          <w:ilvl w:val="0"/>
          <w:numId w:val="2"/>
        </w:numPr>
        <w:tabs>
          <w:tab w:val="right" w:pos="993"/>
          <w:tab w:val="left" w:pos="1080"/>
        </w:tabs>
        <w:spacing w:after="120" w:line="240" w:lineRule="atLeast"/>
        <w:ind w:left="540" w:right="-1" w:firstLine="0"/>
        <w:jc w:val="both"/>
        <w:rPr>
          <w:rFonts w:ascii="Times New Roman" w:eastAsia="Times New Roman" w:hAnsi="Times New Roman" w:cs="Times New Roman"/>
          <w:sz w:val="20"/>
          <w:szCs w:val="20"/>
          <w:lang w:val="en-US"/>
        </w:rPr>
      </w:pPr>
      <w:r w:rsidRPr="001D767D">
        <w:rPr>
          <w:rFonts w:ascii="Times New Roman" w:eastAsia="Times New Roman" w:hAnsi="Times New Roman" w:cs="Times New Roman"/>
          <w:sz w:val="20"/>
          <w:szCs w:val="20"/>
          <w:lang w:val="en-US"/>
        </w:rPr>
        <w:t xml:space="preserve">Specifically, the communicant alleges that the Party concerned has failed to comply with articles 6 and 7 of the Convention by failing to </w:t>
      </w:r>
      <w:r w:rsidRPr="001D767D">
        <w:rPr>
          <w:rFonts w:ascii="Times New Roman" w:eastAsia="Times New Roman" w:hAnsi="Times New Roman" w:cs="Times New Roman"/>
          <w:sz w:val="20"/>
          <w:szCs w:val="20"/>
        </w:rPr>
        <w:t xml:space="preserve">ensure public participation </w:t>
      </w:r>
      <w:r w:rsidRPr="001D767D">
        <w:rPr>
          <w:rFonts w:ascii="Times New Roman" w:eastAsia="Times New Roman" w:hAnsi="Times New Roman" w:cs="Times New Roman"/>
          <w:bCs/>
          <w:sz w:val="20"/>
          <w:szCs w:val="20"/>
        </w:rPr>
        <w:t xml:space="preserve">in </w:t>
      </w:r>
      <w:r w:rsidR="0083162D" w:rsidRPr="001D767D">
        <w:rPr>
          <w:rFonts w:ascii="Times New Roman" w:eastAsia="Times New Roman" w:hAnsi="Times New Roman" w:cs="Times New Roman"/>
          <w:bCs/>
          <w:sz w:val="20"/>
          <w:szCs w:val="20"/>
        </w:rPr>
        <w:t xml:space="preserve">a </w:t>
      </w:r>
      <w:r w:rsidRPr="001D767D">
        <w:rPr>
          <w:rFonts w:ascii="Times New Roman" w:eastAsia="Times New Roman" w:hAnsi="Times New Roman" w:cs="Times New Roman"/>
          <w:bCs/>
          <w:sz w:val="20"/>
          <w:szCs w:val="20"/>
        </w:rPr>
        <w:t>decision-making</w:t>
      </w:r>
      <w:r w:rsidR="00DA59E4" w:rsidRPr="001D767D">
        <w:rPr>
          <w:rFonts w:ascii="Times New Roman" w:eastAsia="Times New Roman" w:hAnsi="Times New Roman" w:cs="Times New Roman"/>
          <w:bCs/>
          <w:sz w:val="20"/>
          <w:szCs w:val="20"/>
        </w:rPr>
        <w:t xml:space="preserve"> procedure</w:t>
      </w:r>
      <w:r w:rsidRPr="001D767D">
        <w:rPr>
          <w:rFonts w:ascii="Times New Roman" w:eastAsia="Times New Roman" w:hAnsi="Times New Roman" w:cs="Times New Roman"/>
          <w:bCs/>
          <w:sz w:val="20"/>
          <w:szCs w:val="20"/>
        </w:rPr>
        <w:t xml:space="preserve"> </w:t>
      </w:r>
      <w:r w:rsidR="0083162D" w:rsidRPr="001D767D">
        <w:rPr>
          <w:rFonts w:ascii="Times New Roman" w:eastAsia="Times New Roman" w:hAnsi="Times New Roman" w:cs="Times New Roman"/>
          <w:bCs/>
          <w:sz w:val="20"/>
          <w:szCs w:val="20"/>
        </w:rPr>
        <w:t>to extend</w:t>
      </w:r>
      <w:r w:rsidRPr="001D767D">
        <w:rPr>
          <w:rFonts w:ascii="Times New Roman" w:eastAsia="Times New Roman" w:hAnsi="Times New Roman" w:cs="Times New Roman"/>
          <w:bCs/>
          <w:sz w:val="20"/>
          <w:szCs w:val="20"/>
        </w:rPr>
        <w:t xml:space="preserve"> the duration of a quarry.</w:t>
      </w:r>
      <w:r w:rsidRPr="001D767D">
        <w:rPr>
          <w:rStyle w:val="FootnoteCharacters"/>
          <w:rFonts w:eastAsia="Times New Roman"/>
          <w:sz w:val="20"/>
          <w:szCs w:val="20"/>
        </w:rPr>
        <w:footnoteReference w:id="3"/>
      </w:r>
    </w:p>
    <w:p w14:paraId="148611D9" w14:textId="128ADC5D" w:rsidR="009110DC" w:rsidRPr="001D767D" w:rsidRDefault="009110DC" w:rsidP="00784840">
      <w:pPr>
        <w:numPr>
          <w:ilvl w:val="0"/>
          <w:numId w:val="2"/>
        </w:numPr>
        <w:tabs>
          <w:tab w:val="right" w:pos="993"/>
          <w:tab w:val="left" w:pos="1080"/>
        </w:tabs>
        <w:spacing w:after="120" w:line="240" w:lineRule="atLeast"/>
        <w:ind w:left="540" w:right="-1" w:firstLine="0"/>
        <w:jc w:val="both"/>
        <w:rPr>
          <w:rFonts w:ascii="Times New Roman" w:hAnsi="Times New Roman" w:cs="Times New Roman"/>
          <w:sz w:val="20"/>
          <w:szCs w:val="20"/>
        </w:rPr>
      </w:pPr>
      <w:r w:rsidRPr="001D767D">
        <w:rPr>
          <w:rFonts w:ascii="Times New Roman" w:eastAsia="Times New Roman" w:hAnsi="Times New Roman" w:cs="Times New Roman"/>
          <w:sz w:val="20"/>
          <w:szCs w:val="20"/>
        </w:rPr>
        <w:t>On 17 February 2014, the communicant provided additional information.</w:t>
      </w:r>
    </w:p>
    <w:p w14:paraId="76675EA3" w14:textId="77777777" w:rsidR="009F6B23" w:rsidRPr="001D767D" w:rsidRDefault="009F6B23" w:rsidP="00784840">
      <w:pPr>
        <w:numPr>
          <w:ilvl w:val="0"/>
          <w:numId w:val="2"/>
        </w:numPr>
        <w:tabs>
          <w:tab w:val="right" w:pos="993"/>
          <w:tab w:val="left" w:pos="1080"/>
        </w:tabs>
        <w:spacing w:after="120" w:line="240" w:lineRule="atLeast"/>
        <w:ind w:left="540" w:right="-1" w:firstLine="0"/>
        <w:jc w:val="both"/>
        <w:rPr>
          <w:rFonts w:ascii="Times New Roman" w:hAnsi="Times New Roman" w:cs="Times New Roman"/>
          <w:sz w:val="20"/>
          <w:szCs w:val="20"/>
        </w:rPr>
      </w:pPr>
      <w:r w:rsidRPr="001D767D">
        <w:rPr>
          <w:rFonts w:ascii="Times New Roman" w:eastAsia="Times New Roman" w:hAnsi="Times New Roman" w:cs="Times New Roman"/>
          <w:sz w:val="20"/>
          <w:szCs w:val="20"/>
          <w:lang w:val="en-US"/>
        </w:rPr>
        <w:t xml:space="preserve">On 21 November 2014, the Committee sent questions to the communicant. The communicant provided his replies to the Committee’s questions on 19 December 2014. </w:t>
      </w:r>
    </w:p>
    <w:p w14:paraId="76A684E1" w14:textId="77777777" w:rsidR="00FC1568" w:rsidRPr="001D767D" w:rsidRDefault="00FC1568" w:rsidP="00784840">
      <w:pPr>
        <w:numPr>
          <w:ilvl w:val="0"/>
          <w:numId w:val="2"/>
        </w:numPr>
        <w:tabs>
          <w:tab w:val="right" w:pos="993"/>
          <w:tab w:val="left" w:pos="1080"/>
        </w:tabs>
        <w:spacing w:after="120" w:line="240" w:lineRule="atLeast"/>
        <w:ind w:left="540" w:right="-1" w:firstLine="0"/>
        <w:jc w:val="both"/>
        <w:rPr>
          <w:rFonts w:ascii="Times New Roman" w:hAnsi="Times New Roman" w:cs="Times New Roman"/>
          <w:sz w:val="20"/>
          <w:szCs w:val="20"/>
        </w:rPr>
      </w:pPr>
      <w:r w:rsidRPr="001D767D">
        <w:rPr>
          <w:rFonts w:ascii="Times New Roman" w:eastAsia="Times New Roman" w:hAnsi="Times New Roman" w:cs="Times New Roman"/>
          <w:sz w:val="20"/>
          <w:szCs w:val="20"/>
          <w:lang w:val="en-US"/>
        </w:rPr>
        <w:t>At its forty-eighth meeting (</w:t>
      </w:r>
      <w:r w:rsidRPr="001D767D">
        <w:rPr>
          <w:rFonts w:ascii="Times New Roman" w:eastAsia="Times New Roman" w:hAnsi="Times New Roman" w:cs="Times New Roman"/>
          <w:sz w:val="20"/>
          <w:szCs w:val="20"/>
        </w:rPr>
        <w:t>Geneva, 24-27 March 2015</w:t>
      </w:r>
      <w:r w:rsidRPr="001D767D">
        <w:rPr>
          <w:rFonts w:ascii="Times New Roman" w:eastAsia="Times New Roman" w:hAnsi="Times New Roman" w:cs="Times New Roman"/>
          <w:sz w:val="20"/>
          <w:szCs w:val="20"/>
          <w:lang w:val="en-US"/>
        </w:rPr>
        <w:t>), the Committee determined on a preliminary basis that the communication was admissible.</w:t>
      </w:r>
    </w:p>
    <w:p w14:paraId="6D449AB4" w14:textId="743488D0" w:rsidR="00FC1568" w:rsidRPr="001D767D" w:rsidRDefault="00FC1568" w:rsidP="00784840">
      <w:pPr>
        <w:numPr>
          <w:ilvl w:val="0"/>
          <w:numId w:val="2"/>
        </w:numPr>
        <w:tabs>
          <w:tab w:val="right" w:pos="993"/>
          <w:tab w:val="left" w:pos="1080"/>
        </w:tabs>
        <w:spacing w:after="120" w:line="240" w:lineRule="atLeast"/>
        <w:ind w:left="540" w:right="-1" w:firstLine="0"/>
        <w:jc w:val="both"/>
        <w:rPr>
          <w:rFonts w:ascii="Times New Roman" w:eastAsia="Times New Roman" w:hAnsi="Times New Roman" w:cs="Times New Roman"/>
          <w:sz w:val="20"/>
          <w:szCs w:val="20"/>
        </w:rPr>
      </w:pPr>
      <w:r w:rsidRPr="001D767D">
        <w:rPr>
          <w:rFonts w:ascii="Times New Roman" w:eastAsia="Times New Roman" w:hAnsi="Times New Roman" w:cs="Times New Roman"/>
          <w:sz w:val="20"/>
          <w:szCs w:val="20"/>
        </w:rPr>
        <w:t xml:space="preserve">Pursuant to paragraph 22 of the annex to decision I/7 of the Meeting of the Parties to the Convention, the communication was forwarded to the Party concerned on </w:t>
      </w:r>
      <w:r w:rsidR="009F6B23" w:rsidRPr="001D767D">
        <w:rPr>
          <w:rFonts w:ascii="Times New Roman" w:eastAsia="Times New Roman" w:hAnsi="Times New Roman" w:cs="Times New Roman"/>
          <w:sz w:val="20"/>
          <w:szCs w:val="20"/>
        </w:rPr>
        <w:t xml:space="preserve">29 June </w:t>
      </w:r>
      <w:r w:rsidRPr="001D767D">
        <w:rPr>
          <w:rFonts w:ascii="Times New Roman" w:eastAsia="Times New Roman" w:hAnsi="Times New Roman" w:cs="Times New Roman"/>
          <w:sz w:val="20"/>
          <w:szCs w:val="20"/>
        </w:rPr>
        <w:t>2015</w:t>
      </w:r>
      <w:r w:rsidR="009F6B23" w:rsidRPr="001D767D">
        <w:rPr>
          <w:rFonts w:ascii="Times New Roman" w:eastAsia="Times New Roman" w:hAnsi="Times New Roman" w:cs="Times New Roman"/>
          <w:sz w:val="20"/>
          <w:szCs w:val="20"/>
        </w:rPr>
        <w:t xml:space="preserve"> for its response</w:t>
      </w:r>
      <w:r w:rsidRPr="001D767D">
        <w:rPr>
          <w:rFonts w:ascii="Times New Roman" w:eastAsia="Times New Roman" w:hAnsi="Times New Roman" w:cs="Times New Roman"/>
          <w:sz w:val="20"/>
          <w:szCs w:val="20"/>
        </w:rPr>
        <w:t>.</w:t>
      </w:r>
    </w:p>
    <w:p w14:paraId="7BEFEC0A" w14:textId="77777777" w:rsidR="00FC1568" w:rsidRPr="001D767D" w:rsidRDefault="00FC1568" w:rsidP="00784840">
      <w:pPr>
        <w:numPr>
          <w:ilvl w:val="0"/>
          <w:numId w:val="2"/>
        </w:numPr>
        <w:tabs>
          <w:tab w:val="right" w:pos="993"/>
          <w:tab w:val="left" w:pos="1080"/>
        </w:tabs>
        <w:spacing w:after="120" w:line="240" w:lineRule="atLeast"/>
        <w:ind w:left="540" w:right="-1" w:firstLine="0"/>
        <w:jc w:val="both"/>
        <w:rPr>
          <w:rFonts w:ascii="Times New Roman" w:hAnsi="Times New Roman" w:cs="Times New Roman"/>
          <w:sz w:val="20"/>
          <w:szCs w:val="20"/>
        </w:rPr>
      </w:pPr>
      <w:r w:rsidRPr="001D767D">
        <w:rPr>
          <w:rFonts w:ascii="Times New Roman" w:eastAsia="Times New Roman" w:hAnsi="Times New Roman" w:cs="Times New Roman"/>
          <w:sz w:val="20"/>
          <w:szCs w:val="20"/>
        </w:rPr>
        <w:t xml:space="preserve">The Party concerned </w:t>
      </w:r>
      <w:r w:rsidR="009110DC" w:rsidRPr="001D767D">
        <w:rPr>
          <w:rFonts w:ascii="Times New Roman" w:eastAsia="Times New Roman" w:hAnsi="Times New Roman" w:cs="Times New Roman"/>
          <w:sz w:val="20"/>
          <w:szCs w:val="20"/>
        </w:rPr>
        <w:t>provided its response to the communication</w:t>
      </w:r>
      <w:r w:rsidRPr="001D767D">
        <w:rPr>
          <w:rFonts w:ascii="Times New Roman" w:eastAsia="Times New Roman" w:hAnsi="Times New Roman" w:cs="Times New Roman"/>
          <w:sz w:val="20"/>
          <w:szCs w:val="20"/>
        </w:rPr>
        <w:t xml:space="preserve"> on 27 November 2015.</w:t>
      </w:r>
    </w:p>
    <w:p w14:paraId="3E3F3731" w14:textId="77777777" w:rsidR="009F6B23" w:rsidRPr="001D767D" w:rsidRDefault="009F6B23" w:rsidP="00784840">
      <w:pPr>
        <w:numPr>
          <w:ilvl w:val="0"/>
          <w:numId w:val="2"/>
        </w:numPr>
        <w:tabs>
          <w:tab w:val="right" w:pos="993"/>
          <w:tab w:val="left" w:pos="1080"/>
        </w:tabs>
        <w:spacing w:after="120" w:line="240" w:lineRule="atLeast"/>
        <w:ind w:left="540" w:right="-1" w:firstLine="0"/>
        <w:jc w:val="both"/>
        <w:rPr>
          <w:rFonts w:ascii="Times New Roman" w:hAnsi="Times New Roman" w:cs="Times New Roman"/>
          <w:sz w:val="20"/>
          <w:szCs w:val="20"/>
        </w:rPr>
      </w:pPr>
      <w:r w:rsidRPr="001D767D">
        <w:rPr>
          <w:rFonts w:ascii="Times New Roman" w:hAnsi="Times New Roman" w:cs="Times New Roman"/>
          <w:sz w:val="20"/>
          <w:szCs w:val="20"/>
        </w:rPr>
        <w:t xml:space="preserve">On 14 December 2015, the communicant provided comments on the Party </w:t>
      </w:r>
      <w:proofErr w:type="spellStart"/>
      <w:r w:rsidRPr="001D767D">
        <w:rPr>
          <w:rFonts w:ascii="Times New Roman" w:hAnsi="Times New Roman" w:cs="Times New Roman"/>
          <w:sz w:val="20"/>
          <w:szCs w:val="20"/>
        </w:rPr>
        <w:t>concerned’s</w:t>
      </w:r>
      <w:proofErr w:type="spellEnd"/>
      <w:r w:rsidRPr="001D767D">
        <w:rPr>
          <w:rFonts w:ascii="Times New Roman" w:hAnsi="Times New Roman" w:cs="Times New Roman"/>
          <w:sz w:val="20"/>
          <w:szCs w:val="20"/>
        </w:rPr>
        <w:t xml:space="preserve"> response.</w:t>
      </w:r>
    </w:p>
    <w:p w14:paraId="1A351A83" w14:textId="57ADA8F2" w:rsidR="00FC1568" w:rsidRPr="001D767D" w:rsidRDefault="00FC1568" w:rsidP="00784840">
      <w:pPr>
        <w:numPr>
          <w:ilvl w:val="0"/>
          <w:numId w:val="2"/>
        </w:numPr>
        <w:tabs>
          <w:tab w:val="right" w:pos="993"/>
          <w:tab w:val="left" w:pos="1080"/>
        </w:tabs>
        <w:spacing w:after="120" w:line="240" w:lineRule="atLeast"/>
        <w:ind w:left="540" w:right="-1" w:firstLine="0"/>
        <w:jc w:val="both"/>
        <w:rPr>
          <w:rFonts w:ascii="Times New Roman" w:hAnsi="Times New Roman" w:cs="Times New Roman"/>
          <w:sz w:val="20"/>
          <w:szCs w:val="20"/>
        </w:rPr>
      </w:pPr>
      <w:r w:rsidRPr="001D767D">
        <w:rPr>
          <w:rFonts w:ascii="Times New Roman" w:eastAsia="Times New Roman" w:hAnsi="Times New Roman" w:cs="Times New Roman"/>
          <w:sz w:val="20"/>
          <w:szCs w:val="20"/>
        </w:rPr>
        <w:t xml:space="preserve">The Committee held </w:t>
      </w:r>
      <w:r w:rsidR="0083162D" w:rsidRPr="001D767D">
        <w:rPr>
          <w:rFonts w:ascii="Times New Roman" w:eastAsia="Times New Roman" w:hAnsi="Times New Roman" w:cs="Times New Roman"/>
          <w:sz w:val="20"/>
          <w:szCs w:val="20"/>
        </w:rPr>
        <w:t xml:space="preserve">a </w:t>
      </w:r>
      <w:r w:rsidRPr="001D767D">
        <w:rPr>
          <w:rFonts w:ascii="Times New Roman" w:eastAsia="Times New Roman" w:hAnsi="Times New Roman" w:cs="Times New Roman"/>
          <w:sz w:val="20"/>
          <w:szCs w:val="20"/>
        </w:rPr>
        <w:t xml:space="preserve">hearing </w:t>
      </w:r>
      <w:r w:rsidR="0083162D" w:rsidRPr="001D767D">
        <w:rPr>
          <w:rFonts w:ascii="Times New Roman" w:eastAsia="Times New Roman" w:hAnsi="Times New Roman" w:cs="Times New Roman"/>
          <w:sz w:val="20"/>
          <w:szCs w:val="20"/>
        </w:rPr>
        <w:t xml:space="preserve">to discuss the substance </w:t>
      </w:r>
      <w:r w:rsidRPr="001D767D">
        <w:rPr>
          <w:rFonts w:ascii="Times New Roman" w:eastAsia="Times New Roman" w:hAnsi="Times New Roman" w:cs="Times New Roman"/>
          <w:sz w:val="20"/>
          <w:szCs w:val="20"/>
        </w:rPr>
        <w:t>of the communication at its fifty-second meeting (Geneva, 8-11 March 2016), with the participation of the communicant and representative</w:t>
      </w:r>
      <w:r w:rsidR="008B3609" w:rsidRPr="001D767D">
        <w:rPr>
          <w:rFonts w:ascii="Times New Roman" w:eastAsia="Times New Roman" w:hAnsi="Times New Roman" w:cs="Times New Roman"/>
          <w:sz w:val="20"/>
          <w:szCs w:val="20"/>
        </w:rPr>
        <w:t>s</w:t>
      </w:r>
      <w:r w:rsidRPr="001D767D">
        <w:rPr>
          <w:rFonts w:ascii="Times New Roman" w:eastAsia="Times New Roman" w:hAnsi="Times New Roman" w:cs="Times New Roman"/>
          <w:sz w:val="20"/>
          <w:szCs w:val="20"/>
        </w:rPr>
        <w:t xml:space="preserve"> of the Party concerned. </w:t>
      </w:r>
    </w:p>
    <w:p w14:paraId="0246C08D" w14:textId="77777777" w:rsidR="00FC1568" w:rsidRPr="001D767D" w:rsidRDefault="00FC1568" w:rsidP="00784840">
      <w:pPr>
        <w:numPr>
          <w:ilvl w:val="0"/>
          <w:numId w:val="2"/>
        </w:numPr>
        <w:tabs>
          <w:tab w:val="right" w:pos="993"/>
          <w:tab w:val="left" w:pos="1080"/>
        </w:tabs>
        <w:spacing w:after="120" w:line="240" w:lineRule="atLeast"/>
        <w:ind w:left="540" w:right="-1" w:firstLine="0"/>
        <w:jc w:val="both"/>
        <w:rPr>
          <w:rFonts w:ascii="Times New Roman" w:hAnsi="Times New Roman" w:cs="Times New Roman"/>
          <w:sz w:val="20"/>
          <w:szCs w:val="20"/>
        </w:rPr>
      </w:pPr>
      <w:r w:rsidRPr="001D767D">
        <w:rPr>
          <w:rFonts w:ascii="Times New Roman" w:eastAsia="Times New Roman" w:hAnsi="Times New Roman" w:cs="Times New Roman"/>
          <w:sz w:val="20"/>
          <w:szCs w:val="20"/>
        </w:rPr>
        <w:t xml:space="preserve">During the hearing at its fifty-second meeting, the Committee confirmed that communication ACCC/C/2013/107 was admissible. </w:t>
      </w:r>
    </w:p>
    <w:p w14:paraId="6F559419" w14:textId="329A8486" w:rsidR="00FC1568" w:rsidRPr="001D767D" w:rsidRDefault="00FC1568" w:rsidP="00784840">
      <w:pPr>
        <w:numPr>
          <w:ilvl w:val="0"/>
          <w:numId w:val="2"/>
        </w:numPr>
        <w:tabs>
          <w:tab w:val="right" w:pos="993"/>
          <w:tab w:val="left" w:pos="1080"/>
        </w:tabs>
        <w:spacing w:after="120" w:line="240" w:lineRule="atLeast"/>
        <w:ind w:left="540" w:right="-1" w:firstLine="0"/>
        <w:jc w:val="both"/>
        <w:rPr>
          <w:rFonts w:ascii="Times New Roman" w:hAnsi="Times New Roman" w:cs="Times New Roman"/>
          <w:sz w:val="20"/>
          <w:szCs w:val="20"/>
        </w:rPr>
      </w:pPr>
      <w:r w:rsidRPr="001D767D">
        <w:rPr>
          <w:rFonts w:ascii="Times New Roman" w:eastAsia="Times New Roman" w:hAnsi="Times New Roman" w:cs="Times New Roman"/>
          <w:sz w:val="20"/>
          <w:szCs w:val="20"/>
        </w:rPr>
        <w:t xml:space="preserve">On 13 September 2016, </w:t>
      </w:r>
      <w:r w:rsidR="003B06F4" w:rsidRPr="001D767D">
        <w:rPr>
          <w:rFonts w:ascii="Times New Roman" w:eastAsia="Times New Roman" w:hAnsi="Times New Roman" w:cs="Times New Roman"/>
          <w:sz w:val="20"/>
          <w:szCs w:val="20"/>
        </w:rPr>
        <w:t>the</w:t>
      </w:r>
      <w:r w:rsidR="0055798A" w:rsidRPr="001D767D">
        <w:rPr>
          <w:rFonts w:ascii="Times New Roman" w:eastAsia="Times New Roman" w:hAnsi="Times New Roman" w:cs="Times New Roman"/>
          <w:sz w:val="20"/>
          <w:szCs w:val="20"/>
        </w:rPr>
        <w:t xml:space="preserve"> </w:t>
      </w:r>
      <w:r w:rsidR="009110DC" w:rsidRPr="001D767D">
        <w:rPr>
          <w:rFonts w:ascii="Times New Roman" w:hAnsi="Times New Roman"/>
          <w:sz w:val="20"/>
        </w:rPr>
        <w:t>Environmental Pillar,</w:t>
      </w:r>
      <w:r w:rsidR="009F6B23" w:rsidRPr="001D767D">
        <w:rPr>
          <w:rFonts w:ascii="Times New Roman" w:hAnsi="Times New Roman"/>
          <w:sz w:val="20"/>
        </w:rPr>
        <w:t xml:space="preserve"> a </w:t>
      </w:r>
      <w:r w:rsidR="00B43006" w:rsidRPr="001D767D">
        <w:rPr>
          <w:rFonts w:ascii="Times New Roman" w:hAnsi="Times New Roman"/>
          <w:sz w:val="20"/>
        </w:rPr>
        <w:t xml:space="preserve">network of Irish national environmental </w:t>
      </w:r>
      <w:r w:rsidR="009F6B23" w:rsidRPr="001D767D">
        <w:rPr>
          <w:rFonts w:ascii="Times New Roman" w:hAnsi="Times New Roman"/>
          <w:sz w:val="20"/>
        </w:rPr>
        <w:t>non-governmental organization</w:t>
      </w:r>
      <w:r w:rsidR="004F4C13" w:rsidRPr="001D767D">
        <w:rPr>
          <w:rFonts w:ascii="Times New Roman" w:hAnsi="Times New Roman"/>
          <w:sz w:val="20"/>
        </w:rPr>
        <w:t>s</w:t>
      </w:r>
      <w:r w:rsidR="009F6B23" w:rsidRPr="001D767D">
        <w:rPr>
          <w:rFonts w:ascii="Times New Roman" w:hAnsi="Times New Roman"/>
          <w:sz w:val="20"/>
        </w:rPr>
        <w:t>,</w:t>
      </w:r>
      <w:r w:rsidR="009110DC" w:rsidRPr="001D767D">
        <w:rPr>
          <w:rFonts w:ascii="Times New Roman" w:hAnsi="Times New Roman"/>
          <w:sz w:val="20"/>
        </w:rPr>
        <w:t xml:space="preserve"> </w:t>
      </w:r>
      <w:r w:rsidRPr="001D767D">
        <w:rPr>
          <w:rFonts w:ascii="Times New Roman" w:hAnsi="Times New Roman"/>
          <w:sz w:val="20"/>
        </w:rPr>
        <w:t xml:space="preserve">submitted </w:t>
      </w:r>
      <w:r w:rsidR="0083162D" w:rsidRPr="001D767D">
        <w:rPr>
          <w:rFonts w:ascii="Times New Roman" w:hAnsi="Times New Roman"/>
          <w:sz w:val="20"/>
        </w:rPr>
        <w:t>a statement as an observer</w:t>
      </w:r>
      <w:r w:rsidRPr="001D767D">
        <w:rPr>
          <w:rFonts w:ascii="Times New Roman" w:hAnsi="Times New Roman"/>
          <w:sz w:val="20"/>
        </w:rPr>
        <w:t>.</w:t>
      </w:r>
    </w:p>
    <w:p w14:paraId="411F69BD" w14:textId="180F32F3" w:rsidR="00FC1568" w:rsidRPr="001D767D" w:rsidRDefault="0095588B" w:rsidP="00784840">
      <w:pPr>
        <w:numPr>
          <w:ilvl w:val="0"/>
          <w:numId w:val="2"/>
        </w:numPr>
        <w:tabs>
          <w:tab w:val="right" w:pos="993"/>
          <w:tab w:val="left" w:pos="1080"/>
        </w:tabs>
        <w:spacing w:after="120" w:line="240" w:lineRule="atLeast"/>
        <w:ind w:left="540" w:right="-1" w:firstLine="0"/>
        <w:jc w:val="both"/>
        <w:rPr>
          <w:rFonts w:ascii="Times New Roman" w:hAnsi="Times New Roman" w:cs="Times New Roman"/>
          <w:sz w:val="20"/>
          <w:szCs w:val="20"/>
        </w:rPr>
      </w:pPr>
      <w:r w:rsidRPr="001D767D">
        <w:rPr>
          <w:rFonts w:ascii="Times New Roman" w:eastAsia="Times New Roman" w:hAnsi="Times New Roman" w:cs="Times New Roman"/>
          <w:sz w:val="20"/>
          <w:szCs w:val="20"/>
        </w:rPr>
        <w:t>On</w:t>
      </w:r>
      <w:r w:rsidR="00FC1568" w:rsidRPr="001D767D">
        <w:rPr>
          <w:rFonts w:ascii="Times New Roman" w:eastAsia="Times New Roman" w:hAnsi="Times New Roman" w:cs="Times New Roman"/>
          <w:sz w:val="20"/>
          <w:szCs w:val="20"/>
        </w:rPr>
        <w:t xml:space="preserve"> 28 October 2016</w:t>
      </w:r>
      <w:r w:rsidRPr="001D767D">
        <w:rPr>
          <w:rFonts w:ascii="Times New Roman" w:eastAsia="Times New Roman" w:hAnsi="Times New Roman" w:cs="Times New Roman"/>
          <w:sz w:val="20"/>
          <w:szCs w:val="20"/>
        </w:rPr>
        <w:t xml:space="preserve">, the Committee sent </w:t>
      </w:r>
      <w:r w:rsidR="00FC1568" w:rsidRPr="001D767D">
        <w:rPr>
          <w:rFonts w:ascii="Times New Roman" w:eastAsia="Times New Roman" w:hAnsi="Times New Roman" w:cs="Times New Roman"/>
          <w:sz w:val="20"/>
          <w:szCs w:val="20"/>
        </w:rPr>
        <w:t xml:space="preserve">questions to the communicant and the Party concerned </w:t>
      </w:r>
      <w:r w:rsidRPr="001D767D">
        <w:rPr>
          <w:rFonts w:ascii="Times New Roman" w:eastAsia="Times New Roman" w:hAnsi="Times New Roman" w:cs="Times New Roman"/>
          <w:sz w:val="20"/>
          <w:szCs w:val="20"/>
        </w:rPr>
        <w:t>for their reply</w:t>
      </w:r>
      <w:r w:rsidR="00FC1568" w:rsidRPr="001D767D">
        <w:rPr>
          <w:rFonts w:ascii="Times New Roman" w:eastAsia="Times New Roman" w:hAnsi="Times New Roman" w:cs="Times New Roman"/>
          <w:sz w:val="20"/>
          <w:szCs w:val="20"/>
        </w:rPr>
        <w:t xml:space="preserve"> by </w:t>
      </w:r>
      <w:r w:rsidRPr="001D767D">
        <w:rPr>
          <w:rFonts w:ascii="Times New Roman" w:eastAsia="Times New Roman" w:hAnsi="Times New Roman" w:cs="Times New Roman"/>
          <w:sz w:val="20"/>
          <w:szCs w:val="20"/>
        </w:rPr>
        <w:t xml:space="preserve">18 </w:t>
      </w:r>
      <w:r w:rsidR="00FC1568" w:rsidRPr="001D767D">
        <w:rPr>
          <w:rFonts w:ascii="Times New Roman" w:eastAsia="Times New Roman" w:hAnsi="Times New Roman" w:cs="Times New Roman"/>
          <w:sz w:val="20"/>
          <w:szCs w:val="20"/>
        </w:rPr>
        <w:t>November 2016.</w:t>
      </w:r>
    </w:p>
    <w:p w14:paraId="6D283C5E" w14:textId="77777777" w:rsidR="00FC1568" w:rsidRPr="001D767D" w:rsidRDefault="00FC1568" w:rsidP="00784840">
      <w:pPr>
        <w:numPr>
          <w:ilvl w:val="0"/>
          <w:numId w:val="2"/>
        </w:numPr>
        <w:tabs>
          <w:tab w:val="right" w:pos="993"/>
          <w:tab w:val="left" w:pos="1080"/>
        </w:tabs>
        <w:spacing w:after="120" w:line="240" w:lineRule="atLeast"/>
        <w:ind w:left="540" w:right="-1" w:firstLine="0"/>
        <w:jc w:val="both"/>
        <w:rPr>
          <w:rFonts w:ascii="Times New Roman" w:hAnsi="Times New Roman" w:cs="Times New Roman"/>
          <w:sz w:val="20"/>
          <w:szCs w:val="20"/>
        </w:rPr>
      </w:pPr>
      <w:r w:rsidRPr="001D767D">
        <w:rPr>
          <w:rFonts w:ascii="Times New Roman" w:eastAsia="Times New Roman" w:hAnsi="Times New Roman" w:cs="Times New Roman"/>
          <w:sz w:val="20"/>
          <w:szCs w:val="20"/>
        </w:rPr>
        <w:t xml:space="preserve">The communicant and the Party concerned </w:t>
      </w:r>
      <w:r w:rsidR="0083162D" w:rsidRPr="001D767D">
        <w:rPr>
          <w:rFonts w:ascii="Times New Roman" w:eastAsia="Times New Roman" w:hAnsi="Times New Roman" w:cs="Times New Roman"/>
          <w:sz w:val="20"/>
          <w:szCs w:val="20"/>
        </w:rPr>
        <w:t xml:space="preserve">both provided their replies to the Committee’s questions </w:t>
      </w:r>
      <w:r w:rsidRPr="001D767D">
        <w:rPr>
          <w:rFonts w:ascii="Times New Roman" w:eastAsia="Times New Roman" w:hAnsi="Times New Roman" w:cs="Times New Roman"/>
          <w:sz w:val="20"/>
          <w:szCs w:val="20"/>
        </w:rPr>
        <w:t xml:space="preserve">on 18 November 2016. </w:t>
      </w:r>
    </w:p>
    <w:p w14:paraId="3BA0D1A4" w14:textId="57810B79" w:rsidR="00EC2C72" w:rsidRPr="001D767D" w:rsidRDefault="00FC1568" w:rsidP="00784840">
      <w:pPr>
        <w:numPr>
          <w:ilvl w:val="0"/>
          <w:numId w:val="2"/>
        </w:numPr>
        <w:tabs>
          <w:tab w:val="right" w:pos="993"/>
          <w:tab w:val="left" w:pos="1080"/>
        </w:tabs>
        <w:spacing w:after="120" w:line="240" w:lineRule="atLeast"/>
        <w:ind w:left="540" w:right="-1" w:firstLine="0"/>
        <w:jc w:val="both"/>
        <w:rPr>
          <w:rFonts w:ascii="Times New Roman" w:hAnsi="Times New Roman" w:cs="Times New Roman"/>
          <w:sz w:val="20"/>
          <w:szCs w:val="20"/>
        </w:rPr>
      </w:pPr>
      <w:r w:rsidRPr="001D767D">
        <w:rPr>
          <w:rFonts w:ascii="Times New Roman" w:eastAsia="Times New Roman" w:hAnsi="Times New Roman" w:cs="Times New Roman"/>
          <w:sz w:val="20"/>
          <w:szCs w:val="20"/>
        </w:rPr>
        <w:t xml:space="preserve">On 28 November 2016, </w:t>
      </w:r>
      <w:r w:rsidR="0083162D" w:rsidRPr="001D767D">
        <w:rPr>
          <w:rFonts w:ascii="Times New Roman" w:eastAsia="Times New Roman" w:hAnsi="Times New Roman" w:cs="Times New Roman"/>
          <w:sz w:val="20"/>
          <w:szCs w:val="20"/>
        </w:rPr>
        <w:t>each party provided comments on the other’s reply to the Committee’s questions</w:t>
      </w:r>
      <w:r w:rsidRPr="001D767D">
        <w:rPr>
          <w:rFonts w:ascii="Times New Roman" w:eastAsia="Times New Roman" w:hAnsi="Times New Roman" w:cs="Times New Roman"/>
          <w:sz w:val="20"/>
          <w:szCs w:val="20"/>
        </w:rPr>
        <w:t xml:space="preserve">. </w:t>
      </w:r>
      <w:r w:rsidR="00EC2C72" w:rsidRPr="001D767D">
        <w:rPr>
          <w:rFonts w:ascii="Times New Roman" w:eastAsia="Times New Roman" w:hAnsi="Times New Roman" w:cs="Times New Roman"/>
          <w:sz w:val="20"/>
          <w:szCs w:val="20"/>
        </w:rPr>
        <w:t>O</w:t>
      </w:r>
      <w:r w:rsidRPr="001D767D">
        <w:rPr>
          <w:rFonts w:ascii="Times New Roman" w:eastAsia="Times New Roman" w:hAnsi="Times New Roman" w:cs="Times New Roman"/>
          <w:sz w:val="20"/>
          <w:szCs w:val="20"/>
        </w:rPr>
        <w:t>n the same day, the observer</w:t>
      </w:r>
      <w:r w:rsidR="003B06F4" w:rsidRPr="001D767D">
        <w:rPr>
          <w:rFonts w:ascii="Times New Roman" w:eastAsia="Times New Roman" w:hAnsi="Times New Roman" w:cs="Times New Roman"/>
          <w:sz w:val="20"/>
          <w:szCs w:val="20"/>
        </w:rPr>
        <w:t>,</w:t>
      </w:r>
      <w:r w:rsidRPr="001D767D">
        <w:rPr>
          <w:rFonts w:ascii="Times New Roman" w:eastAsia="Times New Roman" w:hAnsi="Times New Roman" w:cs="Times New Roman"/>
          <w:sz w:val="20"/>
          <w:szCs w:val="20"/>
        </w:rPr>
        <w:t xml:space="preserve"> </w:t>
      </w:r>
      <w:r w:rsidR="003B06F4" w:rsidRPr="001D767D">
        <w:rPr>
          <w:rFonts w:ascii="Times New Roman" w:eastAsia="Times New Roman" w:hAnsi="Times New Roman" w:cs="Times New Roman"/>
          <w:sz w:val="20"/>
          <w:szCs w:val="20"/>
        </w:rPr>
        <w:t>the</w:t>
      </w:r>
      <w:r w:rsidR="0055798A" w:rsidRPr="001D767D">
        <w:rPr>
          <w:rFonts w:ascii="Times New Roman" w:eastAsia="Times New Roman" w:hAnsi="Times New Roman" w:cs="Times New Roman"/>
          <w:sz w:val="20"/>
          <w:szCs w:val="20"/>
        </w:rPr>
        <w:t xml:space="preserve"> </w:t>
      </w:r>
      <w:r w:rsidRPr="001D767D">
        <w:rPr>
          <w:rFonts w:ascii="Times New Roman" w:eastAsia="Times New Roman" w:hAnsi="Times New Roman" w:cs="Times New Roman"/>
          <w:sz w:val="20"/>
          <w:szCs w:val="20"/>
        </w:rPr>
        <w:t>Environmental Pillar</w:t>
      </w:r>
      <w:r w:rsidR="003B06F4" w:rsidRPr="001D767D">
        <w:rPr>
          <w:rFonts w:ascii="Times New Roman" w:eastAsia="Times New Roman" w:hAnsi="Times New Roman" w:cs="Times New Roman"/>
          <w:sz w:val="20"/>
          <w:szCs w:val="20"/>
        </w:rPr>
        <w:t>,</w:t>
      </w:r>
      <w:r w:rsidR="009F6B23" w:rsidRPr="001D767D">
        <w:rPr>
          <w:rFonts w:ascii="Times New Roman" w:eastAsia="Times New Roman" w:hAnsi="Times New Roman" w:cs="Times New Roman"/>
          <w:sz w:val="20"/>
          <w:szCs w:val="20"/>
        </w:rPr>
        <w:t xml:space="preserve"> </w:t>
      </w:r>
      <w:r w:rsidRPr="001D767D">
        <w:rPr>
          <w:rFonts w:ascii="Times New Roman" w:eastAsia="Times New Roman" w:hAnsi="Times New Roman" w:cs="Times New Roman"/>
          <w:sz w:val="20"/>
          <w:szCs w:val="20"/>
        </w:rPr>
        <w:t xml:space="preserve">provided comments on the </w:t>
      </w:r>
      <w:r w:rsidR="0083162D" w:rsidRPr="001D767D">
        <w:rPr>
          <w:rFonts w:ascii="Times New Roman" w:eastAsia="Times New Roman" w:hAnsi="Times New Roman" w:cs="Times New Roman"/>
          <w:sz w:val="20"/>
          <w:szCs w:val="20"/>
        </w:rPr>
        <w:t xml:space="preserve">parties’ </w:t>
      </w:r>
      <w:r w:rsidRPr="001D767D">
        <w:rPr>
          <w:rFonts w:ascii="Times New Roman" w:eastAsia="Times New Roman" w:hAnsi="Times New Roman" w:cs="Times New Roman"/>
          <w:sz w:val="20"/>
          <w:szCs w:val="20"/>
        </w:rPr>
        <w:t xml:space="preserve">replies to the questions. </w:t>
      </w:r>
    </w:p>
    <w:p w14:paraId="021279ED" w14:textId="6E4D3C59" w:rsidR="0083162D" w:rsidRPr="001D767D" w:rsidRDefault="0083162D" w:rsidP="00784840">
      <w:pPr>
        <w:numPr>
          <w:ilvl w:val="0"/>
          <w:numId w:val="2"/>
        </w:numPr>
        <w:tabs>
          <w:tab w:val="right" w:pos="993"/>
          <w:tab w:val="left" w:pos="1080"/>
        </w:tabs>
        <w:spacing w:after="120" w:line="240" w:lineRule="atLeast"/>
        <w:ind w:left="540" w:right="-1" w:firstLine="0"/>
        <w:jc w:val="both"/>
        <w:rPr>
          <w:rFonts w:ascii="Times New Roman" w:hAnsi="Times New Roman" w:cs="Times New Roman"/>
          <w:sz w:val="20"/>
          <w:szCs w:val="20"/>
        </w:rPr>
      </w:pPr>
      <w:r w:rsidRPr="001D767D">
        <w:rPr>
          <w:rFonts w:ascii="Times New Roman" w:eastAsia="Times New Roman" w:hAnsi="Times New Roman" w:cs="Times New Roman"/>
          <w:sz w:val="20"/>
          <w:szCs w:val="20"/>
        </w:rPr>
        <w:lastRenderedPageBreak/>
        <w:t>On 1 December 2016, the communicant provided comments on the</w:t>
      </w:r>
      <w:r w:rsidR="0095588B" w:rsidRPr="001D767D">
        <w:rPr>
          <w:rFonts w:ascii="Times New Roman" w:eastAsia="Times New Roman" w:hAnsi="Times New Roman" w:cs="Times New Roman"/>
          <w:sz w:val="20"/>
          <w:szCs w:val="20"/>
        </w:rPr>
        <w:t xml:space="preserve"> comments </w:t>
      </w:r>
      <w:r w:rsidR="003B06F4" w:rsidRPr="001D767D">
        <w:rPr>
          <w:rFonts w:ascii="Times New Roman" w:eastAsia="Times New Roman" w:hAnsi="Times New Roman" w:cs="Times New Roman"/>
          <w:sz w:val="20"/>
          <w:szCs w:val="20"/>
        </w:rPr>
        <w:t xml:space="preserve">submitted </w:t>
      </w:r>
      <w:r w:rsidR="0095588B" w:rsidRPr="001D767D">
        <w:rPr>
          <w:rFonts w:ascii="Times New Roman" w:eastAsia="Times New Roman" w:hAnsi="Times New Roman" w:cs="Times New Roman"/>
          <w:sz w:val="20"/>
          <w:szCs w:val="20"/>
        </w:rPr>
        <w:t>by the</w:t>
      </w:r>
      <w:r w:rsidRPr="001D767D">
        <w:rPr>
          <w:rFonts w:ascii="Times New Roman" w:eastAsia="Times New Roman" w:hAnsi="Times New Roman" w:cs="Times New Roman"/>
          <w:sz w:val="20"/>
          <w:szCs w:val="20"/>
        </w:rPr>
        <w:t xml:space="preserve"> Party concerned</w:t>
      </w:r>
      <w:r w:rsidR="0095588B" w:rsidRPr="001D767D">
        <w:rPr>
          <w:rFonts w:ascii="Times New Roman" w:eastAsia="Times New Roman" w:hAnsi="Times New Roman" w:cs="Times New Roman"/>
          <w:sz w:val="20"/>
          <w:szCs w:val="20"/>
        </w:rPr>
        <w:t xml:space="preserve"> of </w:t>
      </w:r>
      <w:r w:rsidRPr="001D767D">
        <w:rPr>
          <w:rFonts w:ascii="Times New Roman" w:eastAsia="Times New Roman" w:hAnsi="Times New Roman" w:cs="Times New Roman"/>
          <w:sz w:val="20"/>
          <w:szCs w:val="20"/>
        </w:rPr>
        <w:t>28 November 2016.</w:t>
      </w:r>
    </w:p>
    <w:p w14:paraId="2BE3B4E4" w14:textId="5180F678" w:rsidR="009110DC" w:rsidRPr="001D767D" w:rsidRDefault="009110DC" w:rsidP="00784840">
      <w:pPr>
        <w:numPr>
          <w:ilvl w:val="0"/>
          <w:numId w:val="2"/>
        </w:numPr>
        <w:tabs>
          <w:tab w:val="right" w:pos="993"/>
          <w:tab w:val="left" w:pos="1080"/>
        </w:tabs>
        <w:spacing w:after="120" w:line="240" w:lineRule="atLeast"/>
        <w:ind w:left="540" w:right="-1" w:firstLine="0"/>
        <w:jc w:val="both"/>
        <w:rPr>
          <w:rFonts w:ascii="Times New Roman" w:hAnsi="Times New Roman" w:cs="Times New Roman"/>
          <w:sz w:val="20"/>
          <w:szCs w:val="20"/>
        </w:rPr>
      </w:pPr>
      <w:r w:rsidRPr="001D767D">
        <w:rPr>
          <w:rFonts w:ascii="Times New Roman" w:eastAsia="Times New Roman" w:hAnsi="Times New Roman" w:cs="Times New Roman"/>
          <w:sz w:val="20"/>
          <w:szCs w:val="20"/>
        </w:rPr>
        <w:t>On 1 December 2017, the communicant provided information on recent developments relevant to his communication.</w:t>
      </w:r>
    </w:p>
    <w:p w14:paraId="599F6931" w14:textId="24110AC9" w:rsidR="009F6B23" w:rsidRPr="001D767D" w:rsidRDefault="009F6B23" w:rsidP="00784840">
      <w:pPr>
        <w:numPr>
          <w:ilvl w:val="0"/>
          <w:numId w:val="2"/>
        </w:numPr>
        <w:tabs>
          <w:tab w:val="right" w:pos="993"/>
          <w:tab w:val="left" w:pos="1080"/>
        </w:tabs>
        <w:spacing w:after="120" w:line="240" w:lineRule="atLeast"/>
        <w:ind w:left="540" w:right="-1" w:firstLine="0"/>
        <w:jc w:val="both"/>
        <w:rPr>
          <w:rFonts w:ascii="Times New Roman" w:hAnsi="Times New Roman" w:cs="Times New Roman"/>
          <w:sz w:val="20"/>
          <w:szCs w:val="20"/>
        </w:rPr>
      </w:pPr>
      <w:r w:rsidRPr="001D767D">
        <w:rPr>
          <w:rFonts w:ascii="Times New Roman" w:hAnsi="Times New Roman" w:cs="Times New Roman"/>
          <w:sz w:val="20"/>
          <w:szCs w:val="20"/>
        </w:rPr>
        <w:t>On 8 November 2018, the Committee requested additional information from the Party concerned, which the Party concerned provided on 27 November 2018.</w:t>
      </w:r>
    </w:p>
    <w:p w14:paraId="539358E3" w14:textId="52B3458D" w:rsidR="00FC1568" w:rsidRPr="001D767D" w:rsidRDefault="00FC1568" w:rsidP="00784840">
      <w:pPr>
        <w:numPr>
          <w:ilvl w:val="0"/>
          <w:numId w:val="2"/>
        </w:numPr>
        <w:tabs>
          <w:tab w:val="right" w:pos="993"/>
          <w:tab w:val="left" w:pos="1080"/>
        </w:tabs>
        <w:spacing w:after="120" w:line="240" w:lineRule="atLeast"/>
        <w:ind w:left="540" w:right="-1" w:firstLine="0"/>
        <w:jc w:val="both"/>
        <w:rPr>
          <w:rFonts w:ascii="Times New Roman" w:hAnsi="Times New Roman" w:cs="Times New Roman"/>
          <w:iCs/>
          <w:sz w:val="20"/>
          <w:szCs w:val="20"/>
        </w:rPr>
      </w:pPr>
      <w:r w:rsidRPr="001D767D">
        <w:rPr>
          <w:rFonts w:ascii="Times New Roman" w:eastAsia="Times New Roman" w:hAnsi="Times New Roman" w:cs="Times New Roman"/>
          <w:iCs/>
          <w:sz w:val="20"/>
          <w:szCs w:val="20"/>
        </w:rPr>
        <w:t xml:space="preserve">The Committee </w:t>
      </w:r>
      <w:r w:rsidR="00EC2C72" w:rsidRPr="001D767D">
        <w:rPr>
          <w:rFonts w:ascii="Times New Roman" w:eastAsia="Times New Roman" w:hAnsi="Times New Roman" w:cs="Times New Roman"/>
          <w:iCs/>
          <w:sz w:val="20"/>
          <w:szCs w:val="20"/>
        </w:rPr>
        <w:t xml:space="preserve">completed its </w:t>
      </w:r>
      <w:r w:rsidRPr="001D767D">
        <w:rPr>
          <w:rFonts w:ascii="Times New Roman" w:eastAsia="Times New Roman" w:hAnsi="Times New Roman" w:cs="Times New Roman"/>
          <w:iCs/>
          <w:sz w:val="20"/>
          <w:szCs w:val="20"/>
        </w:rPr>
        <w:t>draft findings</w:t>
      </w:r>
      <w:r w:rsidR="001D767D" w:rsidRPr="001D767D">
        <w:rPr>
          <w:rFonts w:ascii="Times New Roman" w:eastAsia="Times New Roman" w:hAnsi="Times New Roman" w:cs="Times New Roman"/>
          <w:iCs/>
          <w:sz w:val="20"/>
          <w:szCs w:val="20"/>
        </w:rPr>
        <w:t xml:space="preserve"> </w:t>
      </w:r>
      <w:r w:rsidRPr="001D767D">
        <w:rPr>
          <w:rFonts w:ascii="Times New Roman" w:eastAsia="Times New Roman" w:hAnsi="Times New Roman" w:cs="Times New Roman"/>
          <w:iCs/>
          <w:sz w:val="20"/>
          <w:szCs w:val="20"/>
        </w:rPr>
        <w:t>through its electronic decision-making procedure</w:t>
      </w:r>
      <w:r w:rsidR="00EC2C72" w:rsidRPr="001D767D">
        <w:rPr>
          <w:rFonts w:ascii="Times New Roman" w:eastAsia="Times New Roman" w:hAnsi="Times New Roman" w:cs="Times New Roman"/>
          <w:iCs/>
          <w:sz w:val="20"/>
          <w:szCs w:val="20"/>
        </w:rPr>
        <w:t xml:space="preserve"> on</w:t>
      </w:r>
      <w:r w:rsidR="001D767D" w:rsidRPr="001D767D">
        <w:rPr>
          <w:rFonts w:ascii="Times New Roman" w:eastAsia="Times New Roman" w:hAnsi="Times New Roman" w:cs="Times New Roman"/>
          <w:iCs/>
          <w:sz w:val="20"/>
          <w:szCs w:val="20"/>
        </w:rPr>
        <w:t xml:space="preserve"> 2</w:t>
      </w:r>
      <w:r w:rsidR="009E7902">
        <w:rPr>
          <w:rFonts w:ascii="Times New Roman" w:eastAsia="Times New Roman" w:hAnsi="Times New Roman" w:cs="Times New Roman"/>
          <w:iCs/>
          <w:sz w:val="20"/>
          <w:szCs w:val="20"/>
        </w:rPr>
        <w:t>6</w:t>
      </w:r>
      <w:bookmarkStart w:id="0" w:name="_GoBack"/>
      <w:bookmarkEnd w:id="0"/>
      <w:r w:rsidR="001D767D" w:rsidRPr="001D767D">
        <w:rPr>
          <w:rFonts w:ascii="Times New Roman" w:eastAsia="Times New Roman" w:hAnsi="Times New Roman" w:cs="Times New Roman"/>
          <w:iCs/>
          <w:sz w:val="20"/>
          <w:szCs w:val="20"/>
        </w:rPr>
        <w:t xml:space="preserve"> June 2019.</w:t>
      </w:r>
    </w:p>
    <w:p w14:paraId="56C5DF5E" w14:textId="56192DD7" w:rsidR="00C62184" w:rsidRPr="001D767D" w:rsidRDefault="00C62184" w:rsidP="001D767D">
      <w:pPr>
        <w:numPr>
          <w:ilvl w:val="0"/>
          <w:numId w:val="2"/>
        </w:numPr>
        <w:tabs>
          <w:tab w:val="right" w:pos="993"/>
          <w:tab w:val="left" w:pos="1080"/>
        </w:tabs>
        <w:spacing w:after="120" w:line="240" w:lineRule="atLeast"/>
        <w:ind w:left="540" w:right="-1" w:firstLine="0"/>
        <w:jc w:val="both"/>
        <w:rPr>
          <w:rFonts w:ascii="Times New Roman" w:hAnsi="Times New Roman" w:cs="Times New Roman"/>
          <w:iCs/>
          <w:sz w:val="20"/>
          <w:szCs w:val="20"/>
        </w:rPr>
      </w:pPr>
      <w:r w:rsidRPr="001D767D">
        <w:rPr>
          <w:rFonts w:ascii="Times New Roman" w:eastAsia="Times New Roman" w:hAnsi="Times New Roman" w:cs="Times New Roman"/>
          <w:iCs/>
          <w:sz w:val="20"/>
          <w:szCs w:val="20"/>
        </w:rPr>
        <w:t xml:space="preserve">In accordance with paragraph 34 of the annex to decision I/7, the draft findings were then forwarded for comments to the Party concerned and the communicants on </w:t>
      </w:r>
      <w:r w:rsidR="001D767D" w:rsidRPr="001D767D">
        <w:rPr>
          <w:rFonts w:ascii="Times New Roman" w:eastAsia="Times New Roman" w:hAnsi="Times New Roman" w:cs="Times New Roman"/>
          <w:iCs/>
          <w:sz w:val="20"/>
          <w:szCs w:val="20"/>
        </w:rPr>
        <w:t>3 July 2019</w:t>
      </w:r>
      <w:r w:rsidRPr="001D767D">
        <w:rPr>
          <w:rFonts w:ascii="Times New Roman" w:eastAsia="Times New Roman" w:hAnsi="Times New Roman" w:cs="Times New Roman"/>
          <w:iCs/>
          <w:sz w:val="20"/>
          <w:szCs w:val="20"/>
        </w:rPr>
        <w:t xml:space="preserve">. Both were invited to provide comments by </w:t>
      </w:r>
      <w:r w:rsidR="001D767D" w:rsidRPr="001D767D">
        <w:rPr>
          <w:rFonts w:ascii="Times New Roman" w:eastAsia="Times New Roman" w:hAnsi="Times New Roman" w:cs="Times New Roman"/>
          <w:iCs/>
          <w:sz w:val="20"/>
          <w:szCs w:val="20"/>
        </w:rPr>
        <w:t>14 August 2019</w:t>
      </w:r>
      <w:r w:rsidRPr="001D767D">
        <w:rPr>
          <w:rFonts w:ascii="Times New Roman" w:eastAsia="Times New Roman" w:hAnsi="Times New Roman" w:cs="Times New Roman"/>
          <w:iCs/>
          <w:sz w:val="20"/>
          <w:szCs w:val="20"/>
        </w:rPr>
        <w:t>.</w:t>
      </w:r>
    </w:p>
    <w:p w14:paraId="0017105D" w14:textId="77777777" w:rsidR="00FC1568" w:rsidRPr="001D767D" w:rsidRDefault="00FC1568" w:rsidP="00784840">
      <w:pPr>
        <w:numPr>
          <w:ilvl w:val="0"/>
          <w:numId w:val="2"/>
        </w:numPr>
        <w:tabs>
          <w:tab w:val="right" w:pos="993"/>
          <w:tab w:val="left" w:pos="1080"/>
        </w:tabs>
        <w:spacing w:after="120" w:line="240" w:lineRule="atLeast"/>
        <w:ind w:left="540" w:right="-1" w:firstLine="0"/>
        <w:jc w:val="both"/>
        <w:rPr>
          <w:rFonts w:ascii="Times New Roman" w:hAnsi="Times New Roman" w:cs="Times New Roman"/>
          <w:i/>
          <w:sz w:val="20"/>
          <w:szCs w:val="20"/>
        </w:rPr>
      </w:pPr>
      <w:r w:rsidRPr="001D767D">
        <w:rPr>
          <w:rFonts w:ascii="Times New Roman" w:eastAsia="Times New Roman" w:hAnsi="Times New Roman" w:cs="Times New Roman"/>
          <w:i/>
          <w:sz w:val="20"/>
          <w:szCs w:val="20"/>
        </w:rPr>
        <w:t xml:space="preserve">The Party </w:t>
      </w:r>
      <w:proofErr w:type="gramStart"/>
      <w:r w:rsidRPr="001D767D">
        <w:rPr>
          <w:rFonts w:ascii="Times New Roman" w:eastAsia="Times New Roman" w:hAnsi="Times New Roman" w:cs="Times New Roman"/>
          <w:i/>
          <w:sz w:val="20"/>
          <w:szCs w:val="20"/>
        </w:rPr>
        <w:t>concerned</w:t>
      </w:r>
      <w:proofErr w:type="gramEnd"/>
      <w:r w:rsidRPr="001D767D">
        <w:rPr>
          <w:rFonts w:ascii="Times New Roman" w:eastAsia="Times New Roman" w:hAnsi="Times New Roman" w:cs="Times New Roman"/>
          <w:i/>
          <w:sz w:val="20"/>
          <w:szCs w:val="20"/>
        </w:rPr>
        <w:t xml:space="preserve"> and the communicants provided comments on […] and […], respectively.</w:t>
      </w:r>
    </w:p>
    <w:p w14:paraId="0FDB72E4" w14:textId="77777777" w:rsidR="00FC1568" w:rsidRPr="001D767D" w:rsidRDefault="00FC1568" w:rsidP="00784840">
      <w:pPr>
        <w:numPr>
          <w:ilvl w:val="0"/>
          <w:numId w:val="2"/>
        </w:numPr>
        <w:tabs>
          <w:tab w:val="right" w:pos="993"/>
          <w:tab w:val="left" w:pos="1080"/>
        </w:tabs>
        <w:spacing w:after="120" w:line="240" w:lineRule="atLeast"/>
        <w:ind w:left="540" w:right="-1" w:firstLine="0"/>
        <w:jc w:val="both"/>
        <w:rPr>
          <w:rFonts w:ascii="Times New Roman" w:hAnsi="Times New Roman" w:cs="Times New Roman"/>
          <w:i/>
          <w:sz w:val="20"/>
          <w:szCs w:val="20"/>
        </w:rPr>
      </w:pPr>
      <w:r w:rsidRPr="001D767D">
        <w:rPr>
          <w:rFonts w:ascii="Times New Roman" w:eastAsia="Times New Roman" w:hAnsi="Times New Roman" w:cs="Times New Roman"/>
          <w:i/>
          <w:sz w:val="20"/>
          <w:szCs w:val="20"/>
        </w:rPr>
        <w:t>At its […] meeting, the Committee proceeded to finalize its findings in closed session, taking account of the comments received. The Committee then adopted its findings and agreed that they should be published as a formal pre-session document to its […] meeting. It requested the secretariat to send the findings to the Party concerned and the communicant.</w:t>
      </w:r>
    </w:p>
    <w:p w14:paraId="70D343A8" w14:textId="77777777" w:rsidR="00FC1568" w:rsidRPr="001D767D" w:rsidRDefault="00FC1568" w:rsidP="00DA6BBB">
      <w:pPr>
        <w:pStyle w:val="Heading2"/>
        <w:tabs>
          <w:tab w:val="right" w:pos="567"/>
        </w:tabs>
        <w:ind w:right="-1" w:hanging="141"/>
        <w:rPr>
          <w:szCs w:val="28"/>
        </w:rPr>
      </w:pPr>
      <w:r w:rsidRPr="001D767D">
        <w:rPr>
          <w:szCs w:val="28"/>
        </w:rPr>
        <w:t>Summary of facts, evidence and issues</w:t>
      </w:r>
      <w:r w:rsidRPr="001D767D">
        <w:rPr>
          <w:rStyle w:val="FootnoteCharacters"/>
          <w:sz w:val="28"/>
        </w:rPr>
        <w:footnoteReference w:id="4"/>
      </w:r>
    </w:p>
    <w:p w14:paraId="73D77FAE" w14:textId="77777777" w:rsidR="00FC1568" w:rsidRPr="001D767D" w:rsidRDefault="00FC1568" w:rsidP="00DA6BBB">
      <w:pPr>
        <w:pStyle w:val="Heading3"/>
        <w:tabs>
          <w:tab w:val="right" w:pos="567"/>
        </w:tabs>
        <w:ind w:right="-1"/>
      </w:pPr>
      <w:r w:rsidRPr="001D767D">
        <w:t>Legal framework</w:t>
      </w:r>
    </w:p>
    <w:p w14:paraId="2D4A2362" w14:textId="4A660DF8" w:rsidR="00FC1568" w:rsidRPr="001D767D" w:rsidRDefault="00FC1568" w:rsidP="006D13E9">
      <w:pPr>
        <w:keepNext/>
        <w:keepLines/>
        <w:tabs>
          <w:tab w:val="right" w:pos="993"/>
        </w:tabs>
        <w:spacing w:before="240" w:after="120" w:line="270" w:lineRule="exact"/>
        <w:ind w:left="567"/>
        <w:rPr>
          <w:rFonts w:ascii="Times New Roman" w:hAnsi="Times New Roman"/>
          <w:sz w:val="20"/>
        </w:rPr>
      </w:pPr>
      <w:r w:rsidRPr="001D767D">
        <w:rPr>
          <w:rFonts w:ascii="Times New Roman" w:eastAsia="Times New Roman" w:hAnsi="Times New Roman" w:cs="Times New Roman"/>
          <w:i/>
          <w:iCs/>
          <w:sz w:val="20"/>
          <w:szCs w:val="20"/>
        </w:rPr>
        <w:t xml:space="preserve">European Union </w:t>
      </w:r>
      <w:r w:rsidR="00507106" w:rsidRPr="001D767D">
        <w:rPr>
          <w:rFonts w:ascii="Times New Roman" w:eastAsia="Times New Roman" w:hAnsi="Times New Roman" w:cs="Times New Roman"/>
          <w:i/>
          <w:iCs/>
          <w:sz w:val="20"/>
          <w:szCs w:val="20"/>
        </w:rPr>
        <w:t>legislation</w:t>
      </w:r>
    </w:p>
    <w:p w14:paraId="103C331B" w14:textId="527EC594" w:rsidR="00FC1568" w:rsidRPr="001D767D" w:rsidRDefault="00FC1568" w:rsidP="00784840">
      <w:pPr>
        <w:numPr>
          <w:ilvl w:val="0"/>
          <w:numId w:val="2"/>
        </w:numPr>
        <w:tabs>
          <w:tab w:val="right" w:pos="993"/>
          <w:tab w:val="left" w:pos="1080"/>
        </w:tabs>
        <w:spacing w:after="120" w:line="240" w:lineRule="atLeast"/>
        <w:ind w:left="540" w:right="-1" w:firstLine="0"/>
        <w:jc w:val="both"/>
        <w:rPr>
          <w:rFonts w:ascii="Times New Roman" w:eastAsia="Times New Roman" w:hAnsi="Times New Roman" w:cs="Times New Roman"/>
          <w:sz w:val="20"/>
          <w:szCs w:val="20"/>
        </w:rPr>
      </w:pPr>
      <w:bookmarkStart w:id="1" w:name="_Ref3062392"/>
      <w:r w:rsidRPr="001D767D">
        <w:rPr>
          <w:rFonts w:ascii="Times New Roman" w:eastAsia="Times New Roman" w:hAnsi="Times New Roman" w:cs="Times New Roman"/>
          <w:sz w:val="20"/>
          <w:szCs w:val="20"/>
        </w:rPr>
        <w:t xml:space="preserve">Under the </w:t>
      </w:r>
      <w:r w:rsidR="00740D04" w:rsidRPr="001D767D">
        <w:rPr>
          <w:rFonts w:ascii="Times New Roman" w:eastAsia="Times New Roman" w:hAnsi="Times New Roman" w:cs="Times New Roman"/>
          <w:sz w:val="20"/>
          <w:szCs w:val="20"/>
        </w:rPr>
        <w:t xml:space="preserve">European Union’s </w:t>
      </w:r>
      <w:r w:rsidR="004F4C13" w:rsidRPr="001D767D">
        <w:rPr>
          <w:rFonts w:ascii="Times New Roman" w:eastAsia="Times New Roman" w:hAnsi="Times New Roman" w:cs="Times New Roman"/>
          <w:sz w:val="20"/>
          <w:szCs w:val="20"/>
        </w:rPr>
        <w:t>Environmental Impact Assessment (</w:t>
      </w:r>
      <w:r w:rsidR="003A373A" w:rsidRPr="001D767D">
        <w:rPr>
          <w:rFonts w:ascii="Times New Roman" w:eastAsia="Times New Roman" w:hAnsi="Times New Roman" w:cs="Times New Roman"/>
          <w:sz w:val="20"/>
          <w:szCs w:val="20"/>
        </w:rPr>
        <w:t>EIA</w:t>
      </w:r>
      <w:r w:rsidR="004F4C13" w:rsidRPr="001D767D">
        <w:rPr>
          <w:rFonts w:ascii="Times New Roman" w:eastAsia="Times New Roman" w:hAnsi="Times New Roman" w:cs="Times New Roman"/>
          <w:sz w:val="20"/>
          <w:szCs w:val="20"/>
        </w:rPr>
        <w:t>)</w:t>
      </w:r>
      <w:r w:rsidR="003A373A" w:rsidRPr="001D767D">
        <w:rPr>
          <w:rFonts w:ascii="Times New Roman" w:eastAsia="Times New Roman" w:hAnsi="Times New Roman" w:cs="Times New Roman"/>
          <w:sz w:val="20"/>
          <w:szCs w:val="20"/>
        </w:rPr>
        <w:t xml:space="preserve"> </w:t>
      </w:r>
      <w:r w:rsidR="00740D04" w:rsidRPr="001D767D">
        <w:rPr>
          <w:rFonts w:ascii="Times New Roman" w:eastAsia="Times New Roman" w:hAnsi="Times New Roman" w:cs="Times New Roman"/>
          <w:sz w:val="20"/>
          <w:szCs w:val="20"/>
        </w:rPr>
        <w:t>Directive</w:t>
      </w:r>
      <w:r w:rsidRPr="001D767D">
        <w:rPr>
          <w:rFonts w:ascii="Times New Roman" w:eastAsia="Times New Roman" w:hAnsi="Times New Roman" w:cs="Times New Roman"/>
          <w:sz w:val="20"/>
          <w:szCs w:val="20"/>
        </w:rPr>
        <w:t>,</w:t>
      </w:r>
      <w:r w:rsidR="00740D04" w:rsidRPr="001D767D">
        <w:rPr>
          <w:rFonts w:ascii="Times New Roman" w:hAnsi="Times New Roman"/>
          <w:sz w:val="20"/>
          <w:vertAlign w:val="superscript"/>
        </w:rPr>
        <w:footnoteReference w:id="5"/>
      </w:r>
      <w:r w:rsidRPr="001D767D">
        <w:rPr>
          <w:rFonts w:ascii="Times New Roman" w:eastAsia="Times New Roman" w:hAnsi="Times New Roman" w:cs="Times New Roman"/>
          <w:sz w:val="20"/>
          <w:szCs w:val="20"/>
        </w:rPr>
        <w:t xml:space="preserve"> a quarrying activity may fall within the scope of Annex I, paragraph 19 of the Directive: </w:t>
      </w:r>
      <w:r w:rsidR="0095588B" w:rsidRPr="001D767D">
        <w:rPr>
          <w:rFonts w:ascii="Times New Roman" w:eastAsia="Times New Roman" w:hAnsi="Times New Roman" w:cs="Times New Roman"/>
          <w:sz w:val="20"/>
          <w:szCs w:val="20"/>
        </w:rPr>
        <w:t>“</w:t>
      </w:r>
      <w:r w:rsidRPr="001D767D">
        <w:rPr>
          <w:rFonts w:ascii="Times New Roman" w:eastAsia="Times New Roman" w:hAnsi="Times New Roman" w:cs="Times New Roman"/>
          <w:sz w:val="20"/>
          <w:szCs w:val="20"/>
        </w:rPr>
        <w:t>Quarries and open-cast mining where the surface of the site exceeds 25 hectares</w:t>
      </w:r>
      <w:r w:rsidR="0095588B" w:rsidRPr="001D767D">
        <w:rPr>
          <w:rFonts w:ascii="Times New Roman" w:eastAsia="Times New Roman" w:hAnsi="Times New Roman" w:cs="Times New Roman"/>
          <w:sz w:val="20"/>
          <w:szCs w:val="20"/>
        </w:rPr>
        <w:t>”</w:t>
      </w:r>
      <w:r w:rsidRPr="001D767D">
        <w:rPr>
          <w:rFonts w:ascii="Times New Roman" w:eastAsia="Times New Roman" w:hAnsi="Times New Roman" w:cs="Times New Roman"/>
          <w:sz w:val="20"/>
          <w:szCs w:val="20"/>
        </w:rPr>
        <w:t xml:space="preserve">, or Annex II, paragraph 2 (a) of the Directive: </w:t>
      </w:r>
      <w:r w:rsidR="0095588B" w:rsidRPr="001D767D">
        <w:rPr>
          <w:rFonts w:ascii="Times New Roman" w:eastAsia="Times New Roman" w:hAnsi="Times New Roman" w:cs="Times New Roman"/>
          <w:sz w:val="20"/>
          <w:szCs w:val="20"/>
        </w:rPr>
        <w:t>“</w:t>
      </w:r>
      <w:r w:rsidRPr="001D767D">
        <w:rPr>
          <w:rFonts w:ascii="Times New Roman" w:eastAsia="Times New Roman" w:hAnsi="Times New Roman" w:cs="Times New Roman"/>
          <w:sz w:val="20"/>
          <w:szCs w:val="20"/>
        </w:rPr>
        <w:t>Quarries, open-cast mining and peat extraction (projects not included in Annex I)</w:t>
      </w:r>
      <w:r w:rsidR="0095588B" w:rsidRPr="001D767D">
        <w:rPr>
          <w:rFonts w:ascii="Times New Roman" w:eastAsia="Times New Roman" w:hAnsi="Times New Roman" w:cs="Times New Roman"/>
          <w:sz w:val="20"/>
          <w:szCs w:val="20"/>
        </w:rPr>
        <w:t>”</w:t>
      </w:r>
      <w:r w:rsidRPr="001D767D">
        <w:rPr>
          <w:rFonts w:ascii="Times New Roman" w:eastAsia="Times New Roman" w:hAnsi="Times New Roman" w:cs="Times New Roman"/>
          <w:sz w:val="20"/>
          <w:szCs w:val="20"/>
        </w:rPr>
        <w:t>.</w:t>
      </w:r>
      <w:bookmarkEnd w:id="1"/>
      <w:r w:rsidRPr="001D767D">
        <w:rPr>
          <w:rFonts w:ascii="Times New Roman" w:hAnsi="Times New Roman" w:cs="Times New Roman"/>
          <w:sz w:val="20"/>
          <w:szCs w:val="20"/>
        </w:rPr>
        <w:t xml:space="preserve"> </w:t>
      </w:r>
    </w:p>
    <w:p w14:paraId="2D0FF20F" w14:textId="4832BCA2" w:rsidR="00FC1568" w:rsidRPr="001D767D" w:rsidRDefault="00507106" w:rsidP="00E94738">
      <w:pPr>
        <w:tabs>
          <w:tab w:val="left" w:pos="540"/>
          <w:tab w:val="right" w:pos="993"/>
        </w:tabs>
        <w:spacing w:after="120" w:line="240" w:lineRule="atLeast"/>
        <w:ind w:left="540" w:right="-1"/>
        <w:jc w:val="both"/>
        <w:rPr>
          <w:rFonts w:ascii="Times New Roman" w:hAnsi="Times New Roman" w:cs="Times New Roman"/>
          <w:sz w:val="20"/>
          <w:szCs w:val="20"/>
        </w:rPr>
      </w:pPr>
      <w:r w:rsidRPr="001D767D">
        <w:rPr>
          <w:rStyle w:val="FootnoteCharacters"/>
          <w:rFonts w:eastAsia="Times New Roman"/>
          <w:bCs/>
          <w:i/>
          <w:iCs/>
          <w:sz w:val="20"/>
          <w:szCs w:val="20"/>
          <w:vertAlign w:val="baseline"/>
        </w:rPr>
        <w:t xml:space="preserve">Legislation </w:t>
      </w:r>
      <w:r w:rsidR="00E94738" w:rsidRPr="001D767D">
        <w:rPr>
          <w:rStyle w:val="FootnoteCharacters"/>
          <w:rFonts w:eastAsia="Times New Roman"/>
          <w:bCs/>
          <w:i/>
          <w:iCs/>
          <w:sz w:val="20"/>
          <w:szCs w:val="20"/>
          <w:vertAlign w:val="baseline"/>
        </w:rPr>
        <w:t>of the Party concerned</w:t>
      </w:r>
    </w:p>
    <w:p w14:paraId="5B754E70" w14:textId="3E7472E7" w:rsidR="000E6F6B" w:rsidRPr="001D767D" w:rsidRDefault="000E6F6B" w:rsidP="0083444E">
      <w:pPr>
        <w:numPr>
          <w:ilvl w:val="0"/>
          <w:numId w:val="2"/>
        </w:numPr>
        <w:tabs>
          <w:tab w:val="right" w:pos="993"/>
          <w:tab w:val="left" w:pos="1080"/>
        </w:tabs>
        <w:spacing w:after="120" w:line="240" w:lineRule="atLeast"/>
        <w:ind w:left="540" w:right="-1" w:firstLine="0"/>
        <w:jc w:val="both"/>
        <w:rPr>
          <w:rFonts w:ascii="Times New Roman" w:eastAsia="Times New Roman" w:hAnsi="Times New Roman" w:cs="Times New Roman"/>
          <w:sz w:val="20"/>
          <w:szCs w:val="20"/>
        </w:rPr>
      </w:pPr>
      <w:bookmarkStart w:id="2" w:name="_Ref8247904"/>
      <w:bookmarkStart w:id="3" w:name="_Ref11855721"/>
      <w:bookmarkStart w:id="4" w:name="_Ref3062395"/>
      <w:r w:rsidRPr="001D767D">
        <w:rPr>
          <w:rFonts w:ascii="Times New Roman" w:hAnsi="Times New Roman" w:cs="Times New Roman"/>
          <w:sz w:val="20"/>
          <w:szCs w:val="20"/>
        </w:rPr>
        <w:t xml:space="preserve">At the time </w:t>
      </w:r>
      <w:r w:rsidR="00EC35B2" w:rsidRPr="001D767D">
        <w:rPr>
          <w:rFonts w:ascii="Times New Roman" w:hAnsi="Times New Roman" w:cs="Times New Roman"/>
          <w:sz w:val="20"/>
          <w:szCs w:val="20"/>
        </w:rPr>
        <w:t>the quarry was originally permitted in 199</w:t>
      </w:r>
      <w:r w:rsidR="003167D6" w:rsidRPr="001D767D">
        <w:rPr>
          <w:rFonts w:ascii="Times New Roman" w:hAnsi="Times New Roman" w:cs="Times New Roman"/>
          <w:sz w:val="20"/>
          <w:szCs w:val="20"/>
        </w:rPr>
        <w:t>8</w:t>
      </w:r>
      <w:r w:rsidR="00EC35B2" w:rsidRPr="001D767D">
        <w:rPr>
          <w:rFonts w:ascii="Times New Roman" w:hAnsi="Times New Roman" w:cs="Times New Roman"/>
          <w:sz w:val="20"/>
          <w:szCs w:val="20"/>
        </w:rPr>
        <w:t xml:space="preserve">, Schedule 1, Part 2, section 2(d) of the </w:t>
      </w:r>
      <w:r w:rsidRPr="001D767D">
        <w:rPr>
          <w:rFonts w:ascii="Times New Roman" w:hAnsi="Times New Roman" w:cs="Times New Roman"/>
          <w:sz w:val="20"/>
          <w:szCs w:val="20"/>
        </w:rPr>
        <w:t>European Communities (Environmental Impact Assessment) Regulations</w:t>
      </w:r>
      <w:r w:rsidR="00EC35B2" w:rsidRPr="001D767D">
        <w:rPr>
          <w:rFonts w:ascii="Times New Roman" w:hAnsi="Times New Roman" w:cs="Times New Roman"/>
          <w:sz w:val="20"/>
          <w:szCs w:val="20"/>
        </w:rPr>
        <w:t xml:space="preserve"> </w:t>
      </w:r>
      <w:r w:rsidR="00FD7A50" w:rsidRPr="001D767D">
        <w:rPr>
          <w:rFonts w:ascii="Times New Roman" w:hAnsi="Times New Roman" w:cs="Times New Roman"/>
          <w:sz w:val="20"/>
          <w:szCs w:val="20"/>
        </w:rPr>
        <w:t xml:space="preserve">1989 </w:t>
      </w:r>
      <w:r w:rsidR="00EC35B2" w:rsidRPr="001D767D">
        <w:rPr>
          <w:rFonts w:ascii="Times New Roman" w:hAnsi="Times New Roman" w:cs="Times New Roman"/>
          <w:sz w:val="20"/>
          <w:szCs w:val="20"/>
        </w:rPr>
        <w:t xml:space="preserve">required </w:t>
      </w:r>
      <w:r w:rsidR="0083444E" w:rsidRPr="001D767D">
        <w:rPr>
          <w:rFonts w:ascii="Times New Roman" w:hAnsi="Times New Roman" w:cs="Times New Roman"/>
          <w:sz w:val="20"/>
          <w:szCs w:val="20"/>
        </w:rPr>
        <w:t xml:space="preserve">that </w:t>
      </w:r>
      <w:r w:rsidR="00EC35B2" w:rsidRPr="001D767D">
        <w:rPr>
          <w:rFonts w:ascii="Times New Roman" w:hAnsi="Times New Roman" w:cs="Times New Roman"/>
          <w:sz w:val="20"/>
          <w:szCs w:val="20"/>
        </w:rPr>
        <w:t>an environmental impact assessment be carried out for “e</w:t>
      </w:r>
      <w:r w:rsidRPr="001D767D">
        <w:rPr>
          <w:rFonts w:ascii="Times New Roman" w:hAnsi="Times New Roman" w:cs="Times New Roman"/>
          <w:sz w:val="20"/>
          <w:szCs w:val="20"/>
        </w:rPr>
        <w:t>xtraction of stone, gravel, sand or clay, where the area involved would be greater than 5 hectares.”</w:t>
      </w:r>
      <w:bookmarkEnd w:id="2"/>
      <w:r w:rsidR="006173B9" w:rsidRPr="001D767D">
        <w:rPr>
          <w:rStyle w:val="FootnoteReference"/>
          <w:rFonts w:ascii="Times New Roman" w:hAnsi="Times New Roman" w:cs="Times New Roman"/>
          <w:sz w:val="20"/>
          <w:szCs w:val="20"/>
        </w:rPr>
        <w:footnoteReference w:id="6"/>
      </w:r>
      <w:bookmarkEnd w:id="3"/>
      <w:r w:rsidRPr="001D767D">
        <w:rPr>
          <w:rFonts w:ascii="Times New Roman" w:hAnsi="Times New Roman" w:cs="Times New Roman"/>
          <w:sz w:val="20"/>
          <w:szCs w:val="20"/>
        </w:rPr>
        <w:t xml:space="preserve"> </w:t>
      </w:r>
    </w:p>
    <w:p w14:paraId="57C601CA" w14:textId="59378854" w:rsidR="00FC1568" w:rsidRPr="001D767D" w:rsidRDefault="00FD7A50" w:rsidP="00CA3343">
      <w:pPr>
        <w:numPr>
          <w:ilvl w:val="0"/>
          <w:numId w:val="2"/>
        </w:numPr>
        <w:tabs>
          <w:tab w:val="right" w:pos="993"/>
          <w:tab w:val="left" w:pos="1080"/>
        </w:tabs>
        <w:spacing w:after="120" w:line="240" w:lineRule="atLeast"/>
        <w:ind w:left="540" w:right="-1" w:firstLine="0"/>
        <w:jc w:val="both"/>
        <w:rPr>
          <w:rFonts w:ascii="Times New Roman" w:eastAsia="Times New Roman" w:hAnsi="Times New Roman" w:cs="Times New Roman"/>
          <w:sz w:val="20"/>
          <w:szCs w:val="20"/>
        </w:rPr>
      </w:pPr>
      <w:bookmarkStart w:id="5" w:name="_Ref8247906"/>
      <w:r w:rsidRPr="001D767D">
        <w:rPr>
          <w:rFonts w:ascii="Times New Roman" w:eastAsia="Times New Roman" w:hAnsi="Times New Roman" w:cs="Times New Roman"/>
          <w:sz w:val="20"/>
          <w:szCs w:val="20"/>
        </w:rPr>
        <w:t xml:space="preserve">At the time of the </w:t>
      </w:r>
      <w:r w:rsidRPr="001D767D">
        <w:rPr>
          <w:rFonts w:ascii="Times New Roman" w:hAnsi="Times New Roman"/>
          <w:sz w:val="20"/>
        </w:rPr>
        <w:t>permits</w:t>
      </w:r>
      <w:r w:rsidRPr="001D767D">
        <w:rPr>
          <w:rFonts w:ascii="Times New Roman" w:eastAsia="Times New Roman" w:hAnsi="Times New Roman" w:cs="Times New Roman"/>
          <w:sz w:val="20"/>
          <w:szCs w:val="20"/>
        </w:rPr>
        <w:t xml:space="preserve"> </w:t>
      </w:r>
      <w:r w:rsidR="006173B9" w:rsidRPr="001D767D">
        <w:rPr>
          <w:rFonts w:ascii="Times New Roman" w:eastAsia="Times New Roman" w:hAnsi="Times New Roman" w:cs="Times New Roman"/>
          <w:sz w:val="20"/>
          <w:szCs w:val="20"/>
        </w:rPr>
        <w:t xml:space="preserve">granted in 2004 and 2010 </w:t>
      </w:r>
      <w:r w:rsidR="00AE616E" w:rsidRPr="001D767D">
        <w:rPr>
          <w:rFonts w:ascii="Times New Roman" w:eastAsia="Times New Roman" w:hAnsi="Times New Roman" w:cs="Times New Roman"/>
          <w:sz w:val="20"/>
          <w:szCs w:val="20"/>
        </w:rPr>
        <w:t>and</w:t>
      </w:r>
      <w:r w:rsidR="006173B9" w:rsidRPr="001D767D">
        <w:rPr>
          <w:rFonts w:ascii="Times New Roman" w:eastAsia="Times New Roman" w:hAnsi="Times New Roman" w:cs="Times New Roman"/>
          <w:sz w:val="20"/>
          <w:szCs w:val="20"/>
        </w:rPr>
        <w:t xml:space="preserve"> the permit extensions granted in 2013</w:t>
      </w:r>
      <w:r w:rsidR="00FC1568" w:rsidRPr="001D767D">
        <w:rPr>
          <w:rFonts w:ascii="Times New Roman" w:eastAsia="Times New Roman" w:hAnsi="Times New Roman" w:cs="Times New Roman"/>
          <w:sz w:val="20"/>
          <w:szCs w:val="20"/>
        </w:rPr>
        <w:t xml:space="preserve">, </w:t>
      </w:r>
      <w:r w:rsidR="00E94738" w:rsidRPr="001D767D">
        <w:rPr>
          <w:rFonts w:ascii="Times New Roman" w:eastAsia="Times New Roman" w:hAnsi="Times New Roman" w:cs="Times New Roman"/>
          <w:sz w:val="20"/>
          <w:szCs w:val="20"/>
        </w:rPr>
        <w:t xml:space="preserve">Schedule 5, Part II, section 2 (b) of the </w:t>
      </w:r>
      <w:r w:rsidR="00FC1568" w:rsidRPr="001D767D">
        <w:rPr>
          <w:rFonts w:ascii="Times New Roman" w:eastAsia="Times New Roman" w:hAnsi="Times New Roman" w:cs="Times New Roman"/>
          <w:sz w:val="20"/>
          <w:szCs w:val="20"/>
        </w:rPr>
        <w:t>Local Government (Planning and Development) Regulations 2000</w:t>
      </w:r>
      <w:r w:rsidR="0041689B" w:rsidRPr="001D767D">
        <w:rPr>
          <w:rFonts w:ascii="Times New Roman" w:eastAsia="Times New Roman" w:hAnsi="Times New Roman" w:cs="Times New Roman"/>
          <w:sz w:val="20"/>
          <w:szCs w:val="20"/>
        </w:rPr>
        <w:t xml:space="preserve"> (as amended)</w:t>
      </w:r>
      <w:r w:rsidR="00FC1568" w:rsidRPr="001D767D">
        <w:rPr>
          <w:rFonts w:ascii="Times New Roman" w:eastAsia="Times New Roman" w:hAnsi="Times New Roman" w:cs="Times New Roman"/>
          <w:sz w:val="20"/>
          <w:szCs w:val="20"/>
        </w:rPr>
        <w:t xml:space="preserve"> </w:t>
      </w:r>
      <w:r w:rsidR="0041689B" w:rsidRPr="001D767D">
        <w:rPr>
          <w:rFonts w:ascii="Times New Roman" w:eastAsia="Times New Roman" w:hAnsi="Times New Roman" w:cs="Times New Roman"/>
          <w:sz w:val="20"/>
          <w:szCs w:val="20"/>
        </w:rPr>
        <w:t>provided</w:t>
      </w:r>
      <w:r w:rsidR="00E94738" w:rsidRPr="001D767D">
        <w:rPr>
          <w:rFonts w:ascii="Times New Roman" w:eastAsia="Times New Roman" w:hAnsi="Times New Roman" w:cs="Times New Roman"/>
          <w:sz w:val="20"/>
          <w:szCs w:val="20"/>
        </w:rPr>
        <w:t xml:space="preserve"> that “</w:t>
      </w:r>
      <w:r w:rsidR="00C62184" w:rsidRPr="001D767D">
        <w:rPr>
          <w:rFonts w:ascii="Times New Roman" w:eastAsia="Times New Roman" w:hAnsi="Times New Roman" w:cs="Times New Roman"/>
          <w:sz w:val="20"/>
          <w:szCs w:val="20"/>
        </w:rPr>
        <w:t>e</w:t>
      </w:r>
      <w:r w:rsidR="00FC1568" w:rsidRPr="001D767D">
        <w:rPr>
          <w:rFonts w:ascii="Times New Roman" w:eastAsia="Times New Roman" w:hAnsi="Times New Roman" w:cs="Times New Roman"/>
          <w:sz w:val="20"/>
          <w:szCs w:val="20"/>
        </w:rPr>
        <w:t>xtraction of stone, gravel, sand or clay, where the area of extraction w</w:t>
      </w:r>
      <w:r w:rsidR="00E94738" w:rsidRPr="001D767D">
        <w:rPr>
          <w:rFonts w:ascii="Times New Roman" w:eastAsia="Times New Roman" w:hAnsi="Times New Roman" w:cs="Times New Roman"/>
          <w:sz w:val="20"/>
          <w:szCs w:val="20"/>
        </w:rPr>
        <w:t>ould be greater than 5 hectares” i</w:t>
      </w:r>
      <w:r w:rsidR="00FC1568" w:rsidRPr="001D767D">
        <w:rPr>
          <w:rFonts w:ascii="Times New Roman" w:eastAsia="Times New Roman" w:hAnsi="Times New Roman" w:cs="Times New Roman"/>
          <w:sz w:val="20"/>
          <w:szCs w:val="20"/>
        </w:rPr>
        <w:t>s an activity requiring an environment impact statement</w:t>
      </w:r>
      <w:r w:rsidR="005C5637" w:rsidRPr="001D767D">
        <w:rPr>
          <w:rFonts w:ascii="Times New Roman" w:eastAsia="Times New Roman" w:hAnsi="Times New Roman" w:cs="Times New Roman"/>
          <w:sz w:val="20"/>
          <w:szCs w:val="20"/>
        </w:rPr>
        <w:t xml:space="preserve"> (EIS)</w:t>
      </w:r>
      <w:r w:rsidR="00FC1568" w:rsidRPr="001D767D">
        <w:rPr>
          <w:rFonts w:ascii="Times New Roman" w:eastAsia="Times New Roman" w:hAnsi="Times New Roman" w:cs="Times New Roman"/>
          <w:sz w:val="20"/>
          <w:szCs w:val="20"/>
        </w:rPr>
        <w:t>.</w:t>
      </w:r>
      <w:r w:rsidR="00FC1568" w:rsidRPr="001D767D">
        <w:rPr>
          <w:rFonts w:ascii="Times New Roman" w:eastAsia="Times New Roman" w:hAnsi="Times New Roman" w:cs="Times New Roman"/>
          <w:sz w:val="20"/>
          <w:szCs w:val="20"/>
          <w:vertAlign w:val="superscript"/>
        </w:rPr>
        <w:footnoteReference w:id="7"/>
      </w:r>
      <w:bookmarkEnd w:id="4"/>
      <w:bookmarkEnd w:id="5"/>
    </w:p>
    <w:p w14:paraId="7390D514" w14:textId="6323925F" w:rsidR="005C5637" w:rsidRPr="001D767D" w:rsidRDefault="005C5637" w:rsidP="00CA3343">
      <w:pPr>
        <w:numPr>
          <w:ilvl w:val="0"/>
          <w:numId w:val="2"/>
        </w:numPr>
        <w:tabs>
          <w:tab w:val="right" w:pos="993"/>
          <w:tab w:val="left" w:pos="1080"/>
        </w:tabs>
        <w:spacing w:after="120" w:line="240" w:lineRule="atLeast"/>
        <w:ind w:left="540" w:right="-1" w:firstLine="0"/>
        <w:jc w:val="both"/>
        <w:rPr>
          <w:rFonts w:ascii="Times New Roman" w:eastAsia="Times New Roman" w:hAnsi="Times New Roman" w:cs="Times New Roman"/>
          <w:sz w:val="20"/>
          <w:szCs w:val="20"/>
        </w:rPr>
      </w:pPr>
      <w:bookmarkStart w:id="6" w:name="_Ref11855405"/>
      <w:r w:rsidRPr="001D767D">
        <w:rPr>
          <w:rFonts w:ascii="Times New Roman" w:eastAsia="Times New Roman" w:hAnsi="Times New Roman" w:cs="Times New Roman"/>
          <w:sz w:val="20"/>
          <w:szCs w:val="20"/>
        </w:rPr>
        <w:t xml:space="preserve">With respect to areas of extraction of less than 5 hectares, at the time of the </w:t>
      </w:r>
      <w:r w:rsidRPr="001D767D">
        <w:rPr>
          <w:rFonts w:ascii="Times New Roman" w:hAnsi="Times New Roman"/>
          <w:sz w:val="20"/>
        </w:rPr>
        <w:t>2010 permit</w:t>
      </w:r>
      <w:r w:rsidRPr="001D767D">
        <w:rPr>
          <w:rFonts w:ascii="Times New Roman" w:eastAsia="Times New Roman" w:hAnsi="Times New Roman" w:cs="Times New Roman"/>
          <w:sz w:val="20"/>
          <w:szCs w:val="20"/>
        </w:rPr>
        <w:t xml:space="preserve">, article 102 of the Planning and Development Regulations 2001, as amended, provided that: “Where a planning application for sub-threshold development is </w:t>
      </w:r>
      <w:r w:rsidRPr="001D767D">
        <w:rPr>
          <w:rFonts w:ascii="Times New Roman" w:eastAsia="Times New Roman" w:hAnsi="Times New Roman" w:cs="Times New Roman"/>
          <w:sz w:val="20"/>
          <w:szCs w:val="20"/>
        </w:rPr>
        <w:lastRenderedPageBreak/>
        <w:t>accompanied by an EIS, the application shall be dealt with as if the EIS had been submitted in accordance with section 172(1) of the Act.”</w:t>
      </w:r>
      <w:r w:rsidRPr="001D767D">
        <w:rPr>
          <w:rStyle w:val="FootnoteReference"/>
          <w:rFonts w:ascii="Times New Roman" w:eastAsia="Times New Roman" w:hAnsi="Times New Roman" w:cs="Times New Roman"/>
          <w:sz w:val="20"/>
          <w:szCs w:val="20"/>
        </w:rPr>
        <w:footnoteReference w:id="8"/>
      </w:r>
      <w:r w:rsidRPr="001D767D">
        <w:rPr>
          <w:rFonts w:ascii="Times New Roman" w:eastAsia="Times New Roman" w:hAnsi="Times New Roman" w:cs="Times New Roman"/>
          <w:sz w:val="20"/>
          <w:szCs w:val="20"/>
        </w:rPr>
        <w:t xml:space="preserve"> Article 172(1) of the Planning and Development Act 2000 requires planning applications within its scope to be accompanied by an EIS.</w:t>
      </w:r>
      <w:bookmarkEnd w:id="6"/>
    </w:p>
    <w:p w14:paraId="623F8224" w14:textId="74500E89" w:rsidR="00FC1568" w:rsidRPr="001D767D" w:rsidRDefault="00FC1568" w:rsidP="00784840">
      <w:pPr>
        <w:numPr>
          <w:ilvl w:val="0"/>
          <w:numId w:val="2"/>
        </w:numPr>
        <w:tabs>
          <w:tab w:val="right" w:pos="993"/>
          <w:tab w:val="left" w:pos="1080"/>
        </w:tabs>
        <w:spacing w:after="120" w:line="240" w:lineRule="atLeast"/>
        <w:ind w:left="540" w:right="-1" w:firstLine="0"/>
        <w:jc w:val="both"/>
        <w:rPr>
          <w:rFonts w:ascii="Times New Roman" w:eastAsia="Times New Roman" w:hAnsi="Times New Roman" w:cs="Times New Roman"/>
          <w:sz w:val="20"/>
          <w:szCs w:val="20"/>
        </w:rPr>
      </w:pPr>
      <w:bookmarkStart w:id="7" w:name="_Hlk3112749"/>
      <w:r w:rsidRPr="001D767D">
        <w:rPr>
          <w:rFonts w:ascii="Times New Roman" w:eastAsia="Times New Roman" w:hAnsi="Times New Roman" w:cs="Times New Roman"/>
          <w:sz w:val="20"/>
          <w:szCs w:val="20"/>
        </w:rPr>
        <w:t>Section 42</w:t>
      </w:r>
      <w:r w:rsidR="002372CA" w:rsidRPr="001D767D">
        <w:rPr>
          <w:rFonts w:ascii="Times New Roman" w:eastAsia="Times New Roman" w:hAnsi="Times New Roman" w:cs="Times New Roman"/>
          <w:sz w:val="20"/>
          <w:szCs w:val="20"/>
        </w:rPr>
        <w:t xml:space="preserve"> (1) (a)</w:t>
      </w:r>
      <w:r w:rsidRPr="001D767D">
        <w:rPr>
          <w:rFonts w:ascii="Times New Roman" w:eastAsia="Times New Roman" w:hAnsi="Times New Roman" w:cs="Times New Roman"/>
          <w:sz w:val="20"/>
          <w:szCs w:val="20"/>
        </w:rPr>
        <w:t xml:space="preserve"> of the Planning </w:t>
      </w:r>
      <w:r w:rsidR="00740D04" w:rsidRPr="001D767D">
        <w:rPr>
          <w:rFonts w:ascii="Times New Roman" w:eastAsia="Times New Roman" w:hAnsi="Times New Roman" w:cs="Times New Roman"/>
          <w:sz w:val="20"/>
          <w:szCs w:val="20"/>
        </w:rPr>
        <w:t xml:space="preserve">and </w:t>
      </w:r>
      <w:r w:rsidRPr="001D767D">
        <w:rPr>
          <w:rFonts w:ascii="Times New Roman" w:eastAsia="Times New Roman" w:hAnsi="Times New Roman" w:cs="Times New Roman"/>
          <w:sz w:val="20"/>
          <w:szCs w:val="20"/>
        </w:rPr>
        <w:t>Development Act 2000</w:t>
      </w:r>
      <w:r w:rsidR="00881569" w:rsidRPr="001D767D">
        <w:rPr>
          <w:rFonts w:ascii="Times New Roman" w:eastAsia="Times New Roman" w:hAnsi="Times New Roman" w:cs="Times New Roman"/>
          <w:sz w:val="20"/>
          <w:szCs w:val="20"/>
        </w:rPr>
        <w:t xml:space="preserve">, as in force at the time of the granting of the </w:t>
      </w:r>
      <w:r w:rsidR="00881569" w:rsidRPr="001D767D">
        <w:rPr>
          <w:rFonts w:ascii="Times New Roman" w:hAnsi="Times New Roman"/>
          <w:sz w:val="20"/>
        </w:rPr>
        <w:t>permit</w:t>
      </w:r>
      <w:r w:rsidR="00881569" w:rsidRPr="001D767D">
        <w:rPr>
          <w:rFonts w:ascii="Times New Roman" w:eastAsia="Times New Roman" w:hAnsi="Times New Roman" w:cs="Times New Roman"/>
          <w:sz w:val="20"/>
          <w:szCs w:val="20"/>
        </w:rPr>
        <w:t xml:space="preserve"> extensions at issue in this case,</w:t>
      </w:r>
      <w:r w:rsidR="002372CA" w:rsidRPr="001D767D">
        <w:rPr>
          <w:rFonts w:ascii="Times New Roman" w:eastAsia="Times New Roman" w:hAnsi="Times New Roman" w:cs="Times New Roman"/>
          <w:sz w:val="20"/>
          <w:szCs w:val="20"/>
        </w:rPr>
        <w:t xml:space="preserve"> </w:t>
      </w:r>
      <w:r w:rsidRPr="001D767D">
        <w:rPr>
          <w:rFonts w:ascii="Times New Roman" w:eastAsia="Times New Roman" w:hAnsi="Times New Roman" w:cs="Times New Roman"/>
          <w:sz w:val="20"/>
          <w:szCs w:val="20"/>
        </w:rPr>
        <w:t>stipulates two alternative conditions under which the extension of durat</w:t>
      </w:r>
      <w:r w:rsidR="00E94738" w:rsidRPr="001D767D">
        <w:rPr>
          <w:rFonts w:ascii="Times New Roman" w:eastAsia="Times New Roman" w:hAnsi="Times New Roman" w:cs="Times New Roman"/>
          <w:sz w:val="20"/>
          <w:szCs w:val="20"/>
        </w:rPr>
        <w:t xml:space="preserve">ion of a </w:t>
      </w:r>
      <w:r w:rsidR="00600977" w:rsidRPr="001D767D">
        <w:rPr>
          <w:rFonts w:ascii="Times New Roman" w:hAnsi="Times New Roman"/>
          <w:sz w:val="20"/>
        </w:rPr>
        <w:t>permit</w:t>
      </w:r>
      <w:r w:rsidR="00600977" w:rsidRPr="001D767D">
        <w:rPr>
          <w:rFonts w:ascii="Times New Roman" w:eastAsia="Times New Roman" w:hAnsi="Times New Roman" w:cs="Times New Roman"/>
          <w:sz w:val="20"/>
          <w:szCs w:val="20"/>
        </w:rPr>
        <w:t xml:space="preserve"> </w:t>
      </w:r>
      <w:r w:rsidR="002372CA" w:rsidRPr="001D767D">
        <w:rPr>
          <w:rFonts w:ascii="Times New Roman" w:eastAsia="Times New Roman" w:hAnsi="Times New Roman" w:cs="Times New Roman"/>
          <w:sz w:val="20"/>
          <w:szCs w:val="20"/>
        </w:rPr>
        <w:t>shall apply:</w:t>
      </w:r>
    </w:p>
    <w:p w14:paraId="39707E2A" w14:textId="77777777" w:rsidR="002372CA" w:rsidRPr="001D767D" w:rsidRDefault="001B77F4" w:rsidP="000A2F6D">
      <w:pPr>
        <w:pStyle w:val="NormalWeb"/>
        <w:shd w:val="clear" w:color="auto" w:fill="FFFFFF"/>
        <w:tabs>
          <w:tab w:val="left" w:pos="540"/>
        </w:tabs>
        <w:spacing w:before="0" w:beforeAutospacing="0" w:after="0" w:afterAutospacing="0"/>
        <w:ind w:left="990"/>
        <w:jc w:val="both"/>
        <w:rPr>
          <w:sz w:val="20"/>
          <w:szCs w:val="20"/>
        </w:rPr>
      </w:pPr>
      <w:proofErr w:type="gramStart"/>
      <w:r w:rsidRPr="001D767D">
        <w:rPr>
          <w:sz w:val="20"/>
          <w:szCs w:val="20"/>
        </w:rPr>
        <w:t>“</w:t>
      </w:r>
      <w:r w:rsidR="002372CA" w:rsidRPr="001D767D">
        <w:rPr>
          <w:rStyle w:val="change"/>
          <w:sz w:val="20"/>
          <w:szCs w:val="20"/>
        </w:rPr>
        <w:t xml:space="preserve"> On</w:t>
      </w:r>
      <w:proofErr w:type="gramEnd"/>
      <w:r w:rsidR="002372CA" w:rsidRPr="001D767D">
        <w:rPr>
          <w:rStyle w:val="change"/>
          <w:sz w:val="20"/>
          <w:szCs w:val="20"/>
        </w:rPr>
        <w:t xml:space="preserve"> application to it</w:t>
      </w:r>
      <w:r w:rsidRPr="001D767D">
        <w:rPr>
          <w:rStyle w:val="change"/>
          <w:sz w:val="20"/>
          <w:szCs w:val="20"/>
        </w:rPr>
        <w:t>…</w:t>
      </w:r>
      <w:r w:rsidR="002372CA" w:rsidRPr="001D767D">
        <w:rPr>
          <w:rStyle w:val="change"/>
          <w:sz w:val="20"/>
          <w:szCs w:val="20"/>
        </w:rPr>
        <w:t>a planning authority shall, as regards a particular permission, extend the appropriate period by such additional period not exceeding 5 years as the authority considers requisite to enable the development to which the permission relates to be completed provided that each of the following requirements is complied with:</w:t>
      </w:r>
    </w:p>
    <w:p w14:paraId="2BA4D7FE" w14:textId="77777777" w:rsidR="001B77F4" w:rsidRPr="001D767D" w:rsidRDefault="001B77F4" w:rsidP="000A2F6D">
      <w:pPr>
        <w:pStyle w:val="NormalWeb"/>
        <w:shd w:val="clear" w:color="auto" w:fill="FFFFFF"/>
        <w:tabs>
          <w:tab w:val="left" w:pos="540"/>
        </w:tabs>
        <w:spacing w:before="0" w:beforeAutospacing="0" w:after="0" w:afterAutospacing="0"/>
        <w:ind w:left="990"/>
        <w:jc w:val="both"/>
        <w:rPr>
          <w:rStyle w:val="change"/>
          <w:sz w:val="20"/>
          <w:szCs w:val="20"/>
        </w:rPr>
      </w:pPr>
    </w:p>
    <w:p w14:paraId="6DFEF0BB" w14:textId="77777777" w:rsidR="002372CA" w:rsidRPr="001D767D" w:rsidRDefault="002372CA" w:rsidP="000A2F6D">
      <w:pPr>
        <w:pStyle w:val="NormalWeb"/>
        <w:shd w:val="clear" w:color="auto" w:fill="FFFFFF"/>
        <w:tabs>
          <w:tab w:val="left" w:pos="540"/>
        </w:tabs>
        <w:spacing w:before="0" w:beforeAutospacing="0" w:after="0" w:afterAutospacing="0"/>
        <w:ind w:left="990"/>
        <w:jc w:val="both"/>
        <w:rPr>
          <w:sz w:val="20"/>
          <w:szCs w:val="20"/>
        </w:rPr>
      </w:pPr>
      <w:r w:rsidRPr="001D767D">
        <w:rPr>
          <w:rStyle w:val="change"/>
          <w:sz w:val="20"/>
          <w:szCs w:val="20"/>
        </w:rPr>
        <w:t>(</w:t>
      </w:r>
      <w:r w:rsidRPr="001D767D">
        <w:rPr>
          <w:rStyle w:val="change"/>
          <w:i/>
          <w:iCs/>
          <w:sz w:val="20"/>
          <w:szCs w:val="20"/>
        </w:rPr>
        <w:t>a</w:t>
      </w:r>
      <w:r w:rsidRPr="001D767D">
        <w:rPr>
          <w:rStyle w:val="change"/>
          <w:sz w:val="20"/>
          <w:szCs w:val="20"/>
        </w:rPr>
        <w:t>) either —</w:t>
      </w:r>
    </w:p>
    <w:p w14:paraId="68661E62" w14:textId="77777777" w:rsidR="001B77F4" w:rsidRPr="001D767D" w:rsidRDefault="001B77F4" w:rsidP="000A2F6D">
      <w:pPr>
        <w:pStyle w:val="NormalWeb"/>
        <w:shd w:val="clear" w:color="auto" w:fill="FFFFFF"/>
        <w:tabs>
          <w:tab w:val="left" w:pos="540"/>
        </w:tabs>
        <w:spacing w:before="0" w:beforeAutospacing="0" w:after="0" w:afterAutospacing="0"/>
        <w:ind w:left="990"/>
        <w:jc w:val="both"/>
        <w:rPr>
          <w:rStyle w:val="change"/>
          <w:sz w:val="20"/>
          <w:szCs w:val="20"/>
        </w:rPr>
      </w:pPr>
    </w:p>
    <w:p w14:paraId="30A87789" w14:textId="77777777" w:rsidR="002372CA" w:rsidRPr="001D767D" w:rsidRDefault="002372CA" w:rsidP="000A2F6D">
      <w:pPr>
        <w:pStyle w:val="NormalWeb"/>
        <w:shd w:val="clear" w:color="auto" w:fill="FFFFFF"/>
        <w:tabs>
          <w:tab w:val="left" w:pos="540"/>
        </w:tabs>
        <w:spacing w:before="0" w:beforeAutospacing="0" w:after="0" w:afterAutospacing="0"/>
        <w:ind w:left="990"/>
        <w:jc w:val="both"/>
        <w:rPr>
          <w:sz w:val="20"/>
          <w:szCs w:val="20"/>
        </w:rPr>
      </w:pPr>
      <w:r w:rsidRPr="001D767D">
        <w:rPr>
          <w:rStyle w:val="change"/>
          <w:sz w:val="20"/>
          <w:szCs w:val="20"/>
        </w:rPr>
        <w:t>(</w:t>
      </w:r>
      <w:proofErr w:type="spellStart"/>
      <w:r w:rsidRPr="001D767D">
        <w:rPr>
          <w:rStyle w:val="change"/>
          <w:sz w:val="20"/>
          <w:szCs w:val="20"/>
        </w:rPr>
        <w:t>i</w:t>
      </w:r>
      <w:proofErr w:type="spellEnd"/>
      <w:r w:rsidRPr="001D767D">
        <w:rPr>
          <w:rStyle w:val="change"/>
          <w:sz w:val="20"/>
          <w:szCs w:val="20"/>
        </w:rPr>
        <w:t>) the authority is satisfied that —</w:t>
      </w:r>
    </w:p>
    <w:p w14:paraId="49FE85C1" w14:textId="77777777" w:rsidR="001B77F4" w:rsidRPr="001D767D" w:rsidRDefault="001B77F4" w:rsidP="000A2F6D">
      <w:pPr>
        <w:pStyle w:val="NormalWeb"/>
        <w:shd w:val="clear" w:color="auto" w:fill="FFFFFF"/>
        <w:tabs>
          <w:tab w:val="left" w:pos="540"/>
        </w:tabs>
        <w:spacing w:before="0" w:beforeAutospacing="0" w:after="0" w:afterAutospacing="0"/>
        <w:ind w:left="990"/>
        <w:jc w:val="both"/>
        <w:rPr>
          <w:rStyle w:val="change"/>
          <w:sz w:val="20"/>
          <w:szCs w:val="20"/>
        </w:rPr>
      </w:pPr>
    </w:p>
    <w:p w14:paraId="445E25CA" w14:textId="77777777" w:rsidR="002372CA" w:rsidRPr="001D767D" w:rsidRDefault="002372CA" w:rsidP="000A2F6D">
      <w:pPr>
        <w:pStyle w:val="NormalWeb"/>
        <w:shd w:val="clear" w:color="auto" w:fill="FFFFFF"/>
        <w:tabs>
          <w:tab w:val="left" w:pos="540"/>
        </w:tabs>
        <w:spacing w:before="0" w:beforeAutospacing="0" w:after="0" w:afterAutospacing="0"/>
        <w:ind w:left="990"/>
        <w:jc w:val="both"/>
        <w:rPr>
          <w:sz w:val="20"/>
          <w:szCs w:val="20"/>
        </w:rPr>
      </w:pPr>
      <w:r w:rsidRPr="001D767D">
        <w:rPr>
          <w:rStyle w:val="change"/>
          <w:sz w:val="20"/>
          <w:szCs w:val="20"/>
        </w:rPr>
        <w:t>(I) the development to which the permission relates was commenced before the expiration of the appropriate period sought to be extended,</w:t>
      </w:r>
    </w:p>
    <w:p w14:paraId="6ADC86B4" w14:textId="77777777" w:rsidR="001B77F4" w:rsidRPr="001D767D" w:rsidRDefault="001B77F4" w:rsidP="000A2F6D">
      <w:pPr>
        <w:pStyle w:val="NormalWeb"/>
        <w:shd w:val="clear" w:color="auto" w:fill="FFFFFF"/>
        <w:tabs>
          <w:tab w:val="left" w:pos="540"/>
        </w:tabs>
        <w:spacing w:before="0" w:beforeAutospacing="0" w:after="0" w:afterAutospacing="0"/>
        <w:ind w:left="990"/>
        <w:jc w:val="both"/>
        <w:rPr>
          <w:rStyle w:val="change"/>
          <w:sz w:val="20"/>
          <w:szCs w:val="20"/>
        </w:rPr>
      </w:pPr>
    </w:p>
    <w:p w14:paraId="29289CCE" w14:textId="77777777" w:rsidR="001B77F4" w:rsidRPr="001D767D" w:rsidRDefault="002372CA" w:rsidP="000A2F6D">
      <w:pPr>
        <w:pStyle w:val="NormalWeb"/>
        <w:shd w:val="clear" w:color="auto" w:fill="FFFFFF"/>
        <w:tabs>
          <w:tab w:val="left" w:pos="540"/>
        </w:tabs>
        <w:spacing w:before="0" w:beforeAutospacing="0" w:after="0" w:afterAutospacing="0"/>
        <w:ind w:left="990"/>
        <w:jc w:val="both"/>
        <w:rPr>
          <w:rStyle w:val="change"/>
          <w:sz w:val="20"/>
          <w:szCs w:val="20"/>
        </w:rPr>
      </w:pPr>
      <w:r w:rsidRPr="001D767D">
        <w:rPr>
          <w:rStyle w:val="change"/>
          <w:sz w:val="20"/>
          <w:szCs w:val="20"/>
        </w:rPr>
        <w:t>(II) substantial works were carried out pursuant to the permission during that period, and</w:t>
      </w:r>
    </w:p>
    <w:p w14:paraId="16145697" w14:textId="77777777" w:rsidR="001B77F4" w:rsidRPr="001D767D" w:rsidRDefault="001B77F4" w:rsidP="000A2F6D">
      <w:pPr>
        <w:pStyle w:val="NormalWeb"/>
        <w:shd w:val="clear" w:color="auto" w:fill="FFFFFF"/>
        <w:tabs>
          <w:tab w:val="left" w:pos="540"/>
        </w:tabs>
        <w:spacing w:before="0" w:beforeAutospacing="0" w:after="0" w:afterAutospacing="0"/>
        <w:ind w:left="990"/>
        <w:jc w:val="both"/>
        <w:rPr>
          <w:rStyle w:val="change"/>
          <w:sz w:val="20"/>
          <w:szCs w:val="20"/>
        </w:rPr>
      </w:pPr>
    </w:p>
    <w:p w14:paraId="254AAAD6" w14:textId="77777777" w:rsidR="002372CA" w:rsidRPr="001D767D" w:rsidRDefault="002372CA" w:rsidP="000A2F6D">
      <w:pPr>
        <w:pStyle w:val="NormalWeb"/>
        <w:shd w:val="clear" w:color="auto" w:fill="FFFFFF"/>
        <w:tabs>
          <w:tab w:val="left" w:pos="540"/>
        </w:tabs>
        <w:spacing w:before="0" w:beforeAutospacing="0" w:after="0" w:afterAutospacing="0"/>
        <w:ind w:left="990"/>
        <w:jc w:val="both"/>
        <w:rPr>
          <w:sz w:val="20"/>
          <w:szCs w:val="20"/>
        </w:rPr>
      </w:pPr>
      <w:r w:rsidRPr="001D767D">
        <w:rPr>
          <w:rStyle w:val="change"/>
          <w:sz w:val="20"/>
          <w:szCs w:val="20"/>
        </w:rPr>
        <w:t>(III) the development will be completed within a reasonable time,</w:t>
      </w:r>
    </w:p>
    <w:p w14:paraId="3C888E43" w14:textId="77777777" w:rsidR="001B77F4" w:rsidRPr="001D767D" w:rsidRDefault="001B77F4" w:rsidP="000A2F6D">
      <w:pPr>
        <w:pStyle w:val="NormalWeb"/>
        <w:shd w:val="clear" w:color="auto" w:fill="FFFFFF"/>
        <w:tabs>
          <w:tab w:val="left" w:pos="540"/>
        </w:tabs>
        <w:spacing w:before="0" w:beforeAutospacing="0" w:after="0" w:afterAutospacing="0"/>
        <w:ind w:left="990"/>
        <w:jc w:val="both"/>
        <w:rPr>
          <w:rStyle w:val="change"/>
          <w:sz w:val="20"/>
          <w:szCs w:val="20"/>
        </w:rPr>
      </w:pPr>
    </w:p>
    <w:p w14:paraId="5DC674DC" w14:textId="77777777" w:rsidR="002372CA" w:rsidRPr="001D767D" w:rsidRDefault="002372CA" w:rsidP="000A2F6D">
      <w:pPr>
        <w:pStyle w:val="NormalWeb"/>
        <w:shd w:val="clear" w:color="auto" w:fill="FFFFFF"/>
        <w:tabs>
          <w:tab w:val="left" w:pos="540"/>
        </w:tabs>
        <w:spacing w:before="0" w:beforeAutospacing="0" w:after="0" w:afterAutospacing="0"/>
        <w:ind w:left="990"/>
        <w:jc w:val="both"/>
        <w:rPr>
          <w:sz w:val="20"/>
          <w:szCs w:val="20"/>
        </w:rPr>
      </w:pPr>
      <w:r w:rsidRPr="001D767D">
        <w:rPr>
          <w:rStyle w:val="change"/>
          <w:sz w:val="20"/>
          <w:szCs w:val="20"/>
        </w:rPr>
        <w:t>or</w:t>
      </w:r>
    </w:p>
    <w:p w14:paraId="217DF191" w14:textId="77777777" w:rsidR="001B77F4" w:rsidRPr="001D767D" w:rsidRDefault="001B77F4" w:rsidP="000A2F6D">
      <w:pPr>
        <w:pStyle w:val="NormalWeb"/>
        <w:shd w:val="clear" w:color="auto" w:fill="FFFFFF"/>
        <w:tabs>
          <w:tab w:val="left" w:pos="540"/>
        </w:tabs>
        <w:spacing w:before="0" w:beforeAutospacing="0" w:after="0" w:afterAutospacing="0"/>
        <w:ind w:left="990"/>
        <w:jc w:val="both"/>
        <w:rPr>
          <w:rStyle w:val="change"/>
          <w:sz w:val="20"/>
          <w:szCs w:val="20"/>
        </w:rPr>
      </w:pPr>
    </w:p>
    <w:p w14:paraId="77A912C0" w14:textId="77777777" w:rsidR="002372CA" w:rsidRPr="001D767D" w:rsidRDefault="002372CA" w:rsidP="000A2F6D">
      <w:pPr>
        <w:pStyle w:val="NormalWeb"/>
        <w:shd w:val="clear" w:color="auto" w:fill="FFFFFF"/>
        <w:tabs>
          <w:tab w:val="left" w:pos="540"/>
        </w:tabs>
        <w:spacing w:before="0" w:beforeAutospacing="0" w:after="0" w:afterAutospacing="0"/>
        <w:ind w:left="990"/>
        <w:jc w:val="both"/>
        <w:rPr>
          <w:sz w:val="20"/>
          <w:szCs w:val="20"/>
        </w:rPr>
      </w:pPr>
      <w:r w:rsidRPr="001D767D">
        <w:rPr>
          <w:rStyle w:val="change"/>
          <w:sz w:val="20"/>
          <w:szCs w:val="20"/>
        </w:rPr>
        <w:t>(ii) the authority is satisfied —</w:t>
      </w:r>
    </w:p>
    <w:p w14:paraId="2C41501B" w14:textId="77777777" w:rsidR="001B77F4" w:rsidRPr="001D767D" w:rsidRDefault="001B77F4" w:rsidP="000A2F6D">
      <w:pPr>
        <w:pStyle w:val="NormalWeb"/>
        <w:shd w:val="clear" w:color="auto" w:fill="FFFFFF"/>
        <w:tabs>
          <w:tab w:val="left" w:pos="540"/>
        </w:tabs>
        <w:spacing w:before="0" w:beforeAutospacing="0" w:after="0" w:afterAutospacing="0"/>
        <w:ind w:left="990"/>
        <w:jc w:val="both"/>
        <w:rPr>
          <w:rStyle w:val="change"/>
          <w:sz w:val="20"/>
          <w:szCs w:val="20"/>
        </w:rPr>
      </w:pPr>
    </w:p>
    <w:p w14:paraId="60AAD521" w14:textId="77777777" w:rsidR="002372CA" w:rsidRPr="001D767D" w:rsidRDefault="002372CA" w:rsidP="000A2F6D">
      <w:pPr>
        <w:pStyle w:val="NormalWeb"/>
        <w:shd w:val="clear" w:color="auto" w:fill="FFFFFF"/>
        <w:tabs>
          <w:tab w:val="left" w:pos="540"/>
        </w:tabs>
        <w:spacing w:before="0" w:beforeAutospacing="0" w:after="0" w:afterAutospacing="0"/>
        <w:ind w:left="990"/>
        <w:jc w:val="both"/>
        <w:rPr>
          <w:sz w:val="20"/>
          <w:szCs w:val="20"/>
        </w:rPr>
      </w:pPr>
      <w:r w:rsidRPr="001D767D">
        <w:rPr>
          <w:rStyle w:val="change"/>
          <w:sz w:val="20"/>
          <w:szCs w:val="20"/>
        </w:rPr>
        <w:t>(I) that there were considerations of a commercial, economic or technical nature beyond the control of the applicant which substantially militated against either the commencement of development or the carrying out of substantial works pursuant to the planning permission,</w:t>
      </w:r>
    </w:p>
    <w:p w14:paraId="14BF2B1B" w14:textId="77777777" w:rsidR="001B77F4" w:rsidRPr="001D767D" w:rsidRDefault="001B77F4" w:rsidP="000A2F6D">
      <w:pPr>
        <w:pStyle w:val="NormalWeb"/>
        <w:shd w:val="clear" w:color="auto" w:fill="FFFFFF"/>
        <w:tabs>
          <w:tab w:val="left" w:pos="540"/>
        </w:tabs>
        <w:spacing w:before="0" w:beforeAutospacing="0" w:after="0" w:afterAutospacing="0"/>
        <w:ind w:left="990"/>
        <w:jc w:val="both"/>
        <w:rPr>
          <w:rStyle w:val="change"/>
          <w:sz w:val="20"/>
          <w:szCs w:val="20"/>
        </w:rPr>
      </w:pPr>
    </w:p>
    <w:p w14:paraId="04E575AA" w14:textId="75848E3F" w:rsidR="002372CA" w:rsidRPr="001D767D" w:rsidRDefault="002372CA" w:rsidP="000A2F6D">
      <w:pPr>
        <w:pStyle w:val="NormalWeb"/>
        <w:shd w:val="clear" w:color="auto" w:fill="FFFFFF"/>
        <w:tabs>
          <w:tab w:val="left" w:pos="540"/>
        </w:tabs>
        <w:spacing w:before="0" w:beforeAutospacing="0" w:after="0" w:afterAutospacing="0"/>
        <w:ind w:left="990"/>
        <w:jc w:val="both"/>
        <w:rPr>
          <w:sz w:val="20"/>
          <w:szCs w:val="20"/>
        </w:rPr>
      </w:pPr>
      <w:r w:rsidRPr="001D767D">
        <w:rPr>
          <w:rStyle w:val="change"/>
          <w:sz w:val="20"/>
          <w:szCs w:val="20"/>
        </w:rPr>
        <w:t xml:space="preserve">(II) that there have been no significant changes in the development objectives in the development plan or in regional development objectives in </w:t>
      </w:r>
      <w:proofErr w:type="gramStart"/>
      <w:r w:rsidRPr="001D767D">
        <w:rPr>
          <w:rStyle w:val="change"/>
          <w:sz w:val="20"/>
          <w:szCs w:val="20"/>
        </w:rPr>
        <w:t>the </w:t>
      </w:r>
      <w:r w:rsidR="00640C77" w:rsidRPr="001D767D" w:rsidDel="00640C77">
        <w:rPr>
          <w:rStyle w:val="commentary-reference"/>
          <w:sz w:val="20"/>
          <w:szCs w:val="20"/>
        </w:rPr>
        <w:t xml:space="preserve"> </w:t>
      </w:r>
      <w:r w:rsidRPr="001D767D">
        <w:rPr>
          <w:rStyle w:val="change"/>
          <w:sz w:val="20"/>
          <w:szCs w:val="20"/>
        </w:rPr>
        <w:t>regional</w:t>
      </w:r>
      <w:proofErr w:type="gramEnd"/>
      <w:r w:rsidRPr="001D767D">
        <w:rPr>
          <w:rStyle w:val="change"/>
          <w:sz w:val="20"/>
          <w:szCs w:val="20"/>
        </w:rPr>
        <w:t xml:space="preserve"> spatial and economic strategy</w:t>
      </w:r>
      <w:r w:rsidRPr="001D767D">
        <w:rPr>
          <w:sz w:val="20"/>
          <w:szCs w:val="20"/>
        </w:rPr>
        <w:t> </w:t>
      </w:r>
      <w:r w:rsidRPr="001D767D">
        <w:rPr>
          <w:rStyle w:val="change"/>
          <w:sz w:val="20"/>
          <w:szCs w:val="20"/>
        </w:rPr>
        <w:t>for the area of the planning authority since the date of the permission such that the development would no longer be consistent with the proper planning and sustainable development of the area,</w:t>
      </w:r>
    </w:p>
    <w:p w14:paraId="71DFBFD7" w14:textId="7951EA8A" w:rsidR="002372CA" w:rsidRPr="001D767D" w:rsidRDefault="002372CA" w:rsidP="000A2F6D">
      <w:pPr>
        <w:pStyle w:val="NormalWeb"/>
        <w:shd w:val="clear" w:color="auto" w:fill="FFFFFF"/>
        <w:tabs>
          <w:tab w:val="left" w:pos="540"/>
        </w:tabs>
        <w:spacing w:before="240" w:beforeAutospacing="0" w:after="0" w:afterAutospacing="0"/>
        <w:ind w:left="990"/>
        <w:jc w:val="both"/>
        <w:rPr>
          <w:rStyle w:val="change"/>
          <w:sz w:val="20"/>
          <w:szCs w:val="20"/>
        </w:rPr>
      </w:pPr>
      <w:r w:rsidRPr="001D767D">
        <w:rPr>
          <w:rStyle w:val="change"/>
          <w:sz w:val="20"/>
          <w:szCs w:val="20"/>
        </w:rPr>
        <w:t>(III) that the development would not be inconsistent with the proper planning and sustainable development of the area having regard to any guidelines issued by the Minister under </w:t>
      </w:r>
      <w:r w:rsidRPr="001D767D">
        <w:rPr>
          <w:rStyle w:val="change"/>
          <w:sz w:val="20"/>
        </w:rPr>
        <w:t>section 28</w:t>
      </w:r>
      <w:r w:rsidRPr="001D767D">
        <w:rPr>
          <w:rStyle w:val="change"/>
          <w:sz w:val="20"/>
          <w:szCs w:val="20"/>
        </w:rPr>
        <w:t>, notwithstanding that they were so issued after the date of the grant of permission in relation to which an application is made under this section, and</w:t>
      </w:r>
    </w:p>
    <w:p w14:paraId="2FCF8714" w14:textId="44DB4068" w:rsidR="00FC1568" w:rsidRPr="001D767D" w:rsidRDefault="001B77F4" w:rsidP="000A2F6D">
      <w:pPr>
        <w:pStyle w:val="NormalWeb"/>
        <w:shd w:val="clear" w:color="auto" w:fill="FFFFFF"/>
        <w:tabs>
          <w:tab w:val="left" w:pos="540"/>
        </w:tabs>
        <w:spacing w:before="0" w:beforeAutospacing="0" w:after="0" w:afterAutospacing="0"/>
        <w:ind w:left="990"/>
        <w:jc w:val="both"/>
        <w:rPr>
          <w:rStyle w:val="change"/>
          <w:sz w:val="20"/>
        </w:rPr>
      </w:pPr>
      <w:r w:rsidRPr="001D767D">
        <w:rPr>
          <w:rStyle w:val="change"/>
          <w:sz w:val="20"/>
          <w:szCs w:val="20"/>
        </w:rPr>
        <w:br/>
      </w:r>
      <w:r w:rsidR="002372CA" w:rsidRPr="001D767D">
        <w:rPr>
          <w:rStyle w:val="change"/>
          <w:sz w:val="20"/>
          <w:szCs w:val="20"/>
        </w:rPr>
        <w:t>(IV) where the development has not commenced, that an environmental impact assessment, or an appropriate assessment, or both of those assessments, if required, was or were carried out before the permission was granted.</w:t>
      </w:r>
      <w:r w:rsidR="00FC1568" w:rsidRPr="001D767D">
        <w:rPr>
          <w:rStyle w:val="FootnoteCharacters"/>
          <w:sz w:val="20"/>
          <w:szCs w:val="20"/>
        </w:rPr>
        <w:footnoteReference w:id="9"/>
      </w:r>
    </w:p>
    <w:bookmarkEnd w:id="7"/>
    <w:p w14:paraId="68AE7691" w14:textId="77777777" w:rsidR="00881569" w:rsidRPr="001D767D" w:rsidRDefault="00881569" w:rsidP="001B77F4">
      <w:pPr>
        <w:pStyle w:val="NormalWeb"/>
        <w:shd w:val="clear" w:color="auto" w:fill="FFFFFF"/>
        <w:tabs>
          <w:tab w:val="left" w:pos="540"/>
        </w:tabs>
        <w:spacing w:before="0" w:beforeAutospacing="0" w:after="0" w:afterAutospacing="0"/>
        <w:ind w:left="990"/>
        <w:jc w:val="both"/>
        <w:rPr>
          <w:sz w:val="20"/>
          <w:szCs w:val="20"/>
        </w:rPr>
      </w:pPr>
    </w:p>
    <w:p w14:paraId="3ADD490E" w14:textId="3A5F0AA2" w:rsidR="000B764E" w:rsidRPr="001D767D" w:rsidRDefault="008A51CA" w:rsidP="00784840">
      <w:pPr>
        <w:numPr>
          <w:ilvl w:val="0"/>
          <w:numId w:val="2"/>
        </w:numPr>
        <w:tabs>
          <w:tab w:val="right" w:pos="993"/>
          <w:tab w:val="left" w:pos="1080"/>
        </w:tabs>
        <w:spacing w:after="120" w:line="240" w:lineRule="atLeast"/>
        <w:ind w:left="540" w:right="-1" w:firstLine="0"/>
        <w:jc w:val="both"/>
        <w:rPr>
          <w:rFonts w:ascii="Times New Roman" w:eastAsia="Times New Roman" w:hAnsi="Times New Roman" w:cs="Times New Roman"/>
          <w:sz w:val="20"/>
          <w:szCs w:val="20"/>
        </w:rPr>
      </w:pPr>
      <w:r w:rsidRPr="001D767D">
        <w:rPr>
          <w:rFonts w:ascii="Times New Roman" w:eastAsia="Times New Roman" w:hAnsi="Times New Roman" w:cs="Times New Roman"/>
          <w:sz w:val="20"/>
          <w:szCs w:val="20"/>
        </w:rPr>
        <w:t xml:space="preserve">Section 57 of the Planning and Development (Amendment) Act 2018, which came into force on its enactment on 19 July 2018, amends section 28(1) of the Planning and Development (Housing) and Residential Tenancies Act 2016, which amends section 42(1)(a) of the Planning and Development Act 2000. </w:t>
      </w:r>
      <w:r w:rsidR="007E2EBD" w:rsidRPr="001D767D">
        <w:rPr>
          <w:rFonts w:ascii="Times New Roman" w:eastAsia="Times New Roman" w:hAnsi="Times New Roman" w:cs="Times New Roman"/>
          <w:sz w:val="20"/>
          <w:szCs w:val="20"/>
        </w:rPr>
        <w:t xml:space="preserve">The amendment, inter alia, will insert an </w:t>
      </w:r>
      <w:r w:rsidR="007E2EBD" w:rsidRPr="001D767D">
        <w:rPr>
          <w:rFonts w:ascii="Times New Roman" w:eastAsia="Times New Roman" w:hAnsi="Times New Roman" w:cs="Times New Roman"/>
          <w:sz w:val="20"/>
          <w:szCs w:val="20"/>
        </w:rPr>
        <w:lastRenderedPageBreak/>
        <w:t>additional criterion to criteria (I)-(III) in section 42 (1)(a)(</w:t>
      </w:r>
      <w:proofErr w:type="spellStart"/>
      <w:r w:rsidR="007E2EBD" w:rsidRPr="001D767D">
        <w:rPr>
          <w:rFonts w:ascii="Times New Roman" w:eastAsia="Times New Roman" w:hAnsi="Times New Roman" w:cs="Times New Roman"/>
          <w:sz w:val="20"/>
          <w:szCs w:val="20"/>
        </w:rPr>
        <w:t>i</w:t>
      </w:r>
      <w:proofErr w:type="spellEnd"/>
      <w:r w:rsidR="007E2EBD" w:rsidRPr="001D767D">
        <w:rPr>
          <w:rFonts w:ascii="Times New Roman" w:eastAsia="Times New Roman" w:hAnsi="Times New Roman" w:cs="Times New Roman"/>
          <w:sz w:val="20"/>
          <w:szCs w:val="20"/>
        </w:rPr>
        <w:t>) above</w:t>
      </w:r>
      <w:r w:rsidR="00507106" w:rsidRPr="001D767D">
        <w:rPr>
          <w:rFonts w:ascii="Times New Roman" w:eastAsia="Times New Roman" w:hAnsi="Times New Roman" w:cs="Times New Roman"/>
          <w:sz w:val="20"/>
          <w:szCs w:val="20"/>
        </w:rPr>
        <w:t xml:space="preserve">, namely that </w:t>
      </w:r>
      <w:r w:rsidR="007E2EBD" w:rsidRPr="001D767D">
        <w:rPr>
          <w:rFonts w:ascii="Times New Roman" w:eastAsia="Times New Roman" w:hAnsi="Times New Roman" w:cs="Times New Roman"/>
          <w:sz w:val="20"/>
          <w:szCs w:val="20"/>
        </w:rPr>
        <w:t>“an environmental impact assessment or an appropriate assessment, or both of those assessments, was or were not required before the permission was granted”.</w:t>
      </w:r>
      <w:r w:rsidR="007E2EBD" w:rsidRPr="001D767D">
        <w:rPr>
          <w:rStyle w:val="FootnoteReference"/>
          <w:rFonts w:ascii="Times New Roman" w:eastAsia="Times New Roman" w:hAnsi="Times New Roman" w:cs="Times New Roman"/>
          <w:sz w:val="20"/>
          <w:szCs w:val="20"/>
        </w:rPr>
        <w:footnoteReference w:id="10"/>
      </w:r>
    </w:p>
    <w:p w14:paraId="477DDA5D" w14:textId="27CCA64C" w:rsidR="00FC1568" w:rsidRPr="001D767D" w:rsidRDefault="008A51CA" w:rsidP="00784840">
      <w:pPr>
        <w:numPr>
          <w:ilvl w:val="0"/>
          <w:numId w:val="2"/>
        </w:numPr>
        <w:tabs>
          <w:tab w:val="right" w:pos="993"/>
          <w:tab w:val="left" w:pos="1080"/>
        </w:tabs>
        <w:spacing w:after="120" w:line="240" w:lineRule="atLeast"/>
        <w:ind w:left="540" w:right="-1" w:firstLine="0"/>
        <w:jc w:val="both"/>
        <w:rPr>
          <w:rFonts w:ascii="Times New Roman" w:eastAsia="Times New Roman" w:hAnsi="Times New Roman" w:cs="Times New Roman"/>
          <w:sz w:val="20"/>
          <w:szCs w:val="20"/>
        </w:rPr>
      </w:pPr>
      <w:r w:rsidRPr="001D767D">
        <w:rPr>
          <w:rFonts w:ascii="Times New Roman" w:eastAsia="Times New Roman" w:hAnsi="Times New Roman" w:cs="Times New Roman"/>
          <w:sz w:val="20"/>
          <w:szCs w:val="20"/>
        </w:rPr>
        <w:t>The changes to section 42(1)(a) of the 2000 Act will not take effect until section 28(1) of the 2016 Act has been commenced</w:t>
      </w:r>
      <w:r w:rsidR="007E2EBD" w:rsidRPr="001D767D">
        <w:rPr>
          <w:rFonts w:ascii="Times New Roman" w:eastAsia="Times New Roman" w:hAnsi="Times New Roman" w:cs="Times New Roman"/>
          <w:sz w:val="20"/>
          <w:szCs w:val="20"/>
        </w:rPr>
        <w:t>.</w:t>
      </w:r>
      <w:r w:rsidR="007E2EBD" w:rsidRPr="001D767D">
        <w:rPr>
          <w:rStyle w:val="FootnoteReference"/>
          <w:rFonts w:ascii="Times New Roman" w:eastAsia="Times New Roman" w:hAnsi="Times New Roman" w:cs="Times New Roman"/>
          <w:sz w:val="20"/>
          <w:szCs w:val="20"/>
        </w:rPr>
        <w:footnoteReference w:id="11"/>
      </w:r>
      <w:r w:rsidRPr="001D767D">
        <w:rPr>
          <w:rFonts w:ascii="Times New Roman" w:eastAsia="Times New Roman" w:hAnsi="Times New Roman" w:cs="Times New Roman"/>
          <w:sz w:val="20"/>
          <w:szCs w:val="20"/>
        </w:rPr>
        <w:t xml:space="preserve"> </w:t>
      </w:r>
    </w:p>
    <w:p w14:paraId="422F024B" w14:textId="77777777" w:rsidR="00FC1568" w:rsidRPr="001D767D" w:rsidRDefault="00FC1568" w:rsidP="00DA6BBB">
      <w:pPr>
        <w:pStyle w:val="Heading3"/>
        <w:tabs>
          <w:tab w:val="right" w:pos="709"/>
        </w:tabs>
        <w:ind w:right="-1" w:hanging="283"/>
      </w:pPr>
      <w:r w:rsidRPr="001D767D">
        <w:t xml:space="preserve">Facts </w:t>
      </w:r>
    </w:p>
    <w:p w14:paraId="2077CF4A" w14:textId="5262BFB1" w:rsidR="00FC1568" w:rsidRPr="001D767D" w:rsidRDefault="00772F1B" w:rsidP="00784840">
      <w:pPr>
        <w:numPr>
          <w:ilvl w:val="0"/>
          <w:numId w:val="2"/>
        </w:numPr>
        <w:tabs>
          <w:tab w:val="right" w:pos="993"/>
          <w:tab w:val="left" w:pos="1080"/>
        </w:tabs>
        <w:spacing w:after="120" w:line="240" w:lineRule="atLeast"/>
        <w:ind w:left="540" w:right="-1" w:firstLine="0"/>
        <w:jc w:val="both"/>
        <w:rPr>
          <w:rFonts w:ascii="Times New Roman" w:eastAsia="Times New Roman" w:hAnsi="Times New Roman" w:cs="Times New Roman"/>
          <w:sz w:val="20"/>
          <w:szCs w:val="20"/>
        </w:rPr>
      </w:pPr>
      <w:bookmarkStart w:id="8" w:name="_Ref11855747"/>
      <w:r w:rsidRPr="001D767D">
        <w:rPr>
          <w:rFonts w:ascii="Times New Roman" w:eastAsia="Times New Roman" w:hAnsi="Times New Roman" w:cs="Times New Roman"/>
          <w:sz w:val="20"/>
          <w:szCs w:val="20"/>
        </w:rPr>
        <w:t xml:space="preserve">On 23 December 1997, </w:t>
      </w:r>
      <w:r w:rsidR="00FC1568" w:rsidRPr="001D767D">
        <w:rPr>
          <w:rFonts w:ascii="Times New Roman" w:eastAsia="Times New Roman" w:hAnsi="Times New Roman" w:cs="Times New Roman"/>
          <w:sz w:val="20"/>
          <w:szCs w:val="20"/>
        </w:rPr>
        <w:t xml:space="preserve">the public was informed </w:t>
      </w:r>
      <w:r w:rsidRPr="001D767D">
        <w:rPr>
          <w:rFonts w:ascii="Times New Roman" w:eastAsia="Times New Roman" w:hAnsi="Times New Roman" w:cs="Times New Roman"/>
          <w:sz w:val="20"/>
          <w:szCs w:val="20"/>
        </w:rPr>
        <w:t xml:space="preserve">through a notice in the local newspaper and a notice posted at the site </w:t>
      </w:r>
      <w:r w:rsidR="00FC1568" w:rsidRPr="001D767D">
        <w:rPr>
          <w:rFonts w:ascii="Times New Roman" w:eastAsia="Times New Roman" w:hAnsi="Times New Roman" w:cs="Times New Roman"/>
          <w:sz w:val="20"/>
          <w:szCs w:val="20"/>
        </w:rPr>
        <w:t xml:space="preserve">that </w:t>
      </w:r>
      <w:bookmarkStart w:id="9" w:name="_Ref476749198"/>
      <w:r w:rsidR="00FC1568" w:rsidRPr="001D767D">
        <w:rPr>
          <w:rFonts w:ascii="Times New Roman" w:eastAsia="Times New Roman" w:hAnsi="Times New Roman" w:cs="Times New Roman"/>
          <w:sz w:val="20"/>
          <w:szCs w:val="20"/>
        </w:rPr>
        <w:t xml:space="preserve">Keegan Quarries Limited </w:t>
      </w:r>
      <w:r w:rsidR="00FC1568" w:rsidRPr="001D767D">
        <w:rPr>
          <w:rFonts w:ascii="Times New Roman" w:hAnsi="Times New Roman"/>
          <w:sz w:val="20"/>
        </w:rPr>
        <w:t>(“the developer”)</w:t>
      </w:r>
      <w:r w:rsidR="00FC1568" w:rsidRPr="001D767D">
        <w:rPr>
          <w:rFonts w:ascii="Times New Roman" w:eastAsia="Times New Roman" w:hAnsi="Times New Roman" w:cs="Times New Roman"/>
          <w:sz w:val="20"/>
          <w:szCs w:val="20"/>
        </w:rPr>
        <w:t xml:space="preserve"> </w:t>
      </w:r>
      <w:r w:rsidRPr="001D767D">
        <w:rPr>
          <w:rFonts w:ascii="Times New Roman" w:eastAsia="Times New Roman" w:hAnsi="Times New Roman" w:cs="Times New Roman"/>
          <w:sz w:val="20"/>
          <w:szCs w:val="20"/>
        </w:rPr>
        <w:t xml:space="preserve">had </w:t>
      </w:r>
      <w:r w:rsidR="00FC1568" w:rsidRPr="001D767D">
        <w:rPr>
          <w:rFonts w:ascii="Times New Roman" w:eastAsia="Times New Roman" w:hAnsi="Times New Roman" w:cs="Times New Roman"/>
          <w:sz w:val="20"/>
          <w:szCs w:val="20"/>
        </w:rPr>
        <w:t>applied to develop a new quarry at a then</w:t>
      </w:r>
      <w:r w:rsidRPr="001D767D">
        <w:rPr>
          <w:rFonts w:ascii="Times New Roman" w:eastAsia="Times New Roman" w:hAnsi="Times New Roman" w:cs="Times New Roman"/>
          <w:sz w:val="20"/>
          <w:szCs w:val="20"/>
        </w:rPr>
        <w:t>-</w:t>
      </w:r>
      <w:r w:rsidR="00FC1568" w:rsidRPr="001D767D">
        <w:rPr>
          <w:rFonts w:ascii="Times New Roman" w:eastAsia="Times New Roman" w:hAnsi="Times New Roman" w:cs="Times New Roman"/>
          <w:sz w:val="20"/>
          <w:szCs w:val="20"/>
        </w:rPr>
        <w:t xml:space="preserve">greenfield site situated at </w:t>
      </w:r>
      <w:proofErr w:type="spellStart"/>
      <w:r w:rsidR="00FC1568" w:rsidRPr="001D767D">
        <w:rPr>
          <w:rFonts w:ascii="Times New Roman" w:eastAsia="Times New Roman" w:hAnsi="Times New Roman" w:cs="Times New Roman"/>
          <w:sz w:val="20"/>
          <w:szCs w:val="20"/>
        </w:rPr>
        <w:t>Trammon</w:t>
      </w:r>
      <w:proofErr w:type="spellEnd"/>
      <w:r w:rsidR="00FC1568" w:rsidRPr="001D767D">
        <w:rPr>
          <w:rFonts w:ascii="Times New Roman" w:eastAsia="Times New Roman" w:hAnsi="Times New Roman" w:cs="Times New Roman"/>
          <w:sz w:val="20"/>
          <w:szCs w:val="20"/>
        </w:rPr>
        <w:t xml:space="preserve">, </w:t>
      </w:r>
      <w:proofErr w:type="spellStart"/>
      <w:r w:rsidR="00FC1568" w:rsidRPr="001D767D">
        <w:rPr>
          <w:rFonts w:ascii="Times New Roman" w:eastAsia="Times New Roman" w:hAnsi="Times New Roman" w:cs="Times New Roman"/>
          <w:sz w:val="20"/>
          <w:szCs w:val="20"/>
        </w:rPr>
        <w:t>Rathmolyon</w:t>
      </w:r>
      <w:proofErr w:type="spellEnd"/>
      <w:r w:rsidR="00FC1568" w:rsidRPr="001D767D">
        <w:rPr>
          <w:rFonts w:ascii="Times New Roman" w:eastAsia="Times New Roman" w:hAnsi="Times New Roman" w:cs="Times New Roman"/>
          <w:sz w:val="20"/>
          <w:szCs w:val="20"/>
        </w:rPr>
        <w:t xml:space="preserve">, County Meath (planning </w:t>
      </w:r>
      <w:r w:rsidRPr="001D767D">
        <w:rPr>
          <w:rFonts w:ascii="Times New Roman" w:eastAsia="Times New Roman" w:hAnsi="Times New Roman" w:cs="Times New Roman"/>
          <w:sz w:val="20"/>
          <w:szCs w:val="20"/>
        </w:rPr>
        <w:t xml:space="preserve">permit </w:t>
      </w:r>
      <w:r w:rsidR="00FC1568" w:rsidRPr="001D767D">
        <w:rPr>
          <w:rFonts w:ascii="Times New Roman" w:eastAsia="Times New Roman" w:hAnsi="Times New Roman" w:cs="Times New Roman"/>
          <w:sz w:val="20"/>
          <w:szCs w:val="20"/>
        </w:rPr>
        <w:t>reference no. 97/1868)</w:t>
      </w:r>
      <w:r w:rsidR="005C5637" w:rsidRPr="001D767D">
        <w:rPr>
          <w:rFonts w:ascii="Times New Roman" w:eastAsia="Times New Roman" w:hAnsi="Times New Roman" w:cs="Times New Roman"/>
          <w:sz w:val="20"/>
          <w:szCs w:val="20"/>
        </w:rPr>
        <w:t xml:space="preserve"> and that the application would be accompanied by an environmental impact statement</w:t>
      </w:r>
      <w:r w:rsidR="00FC1568" w:rsidRPr="001D767D">
        <w:rPr>
          <w:rFonts w:ascii="Times New Roman" w:eastAsia="Times New Roman" w:hAnsi="Times New Roman" w:cs="Times New Roman"/>
          <w:sz w:val="20"/>
          <w:szCs w:val="20"/>
        </w:rPr>
        <w:t>.</w:t>
      </w:r>
      <w:r w:rsidR="00FC1568" w:rsidRPr="001D767D">
        <w:rPr>
          <w:rFonts w:ascii="Times New Roman" w:eastAsia="Times New Roman" w:hAnsi="Times New Roman" w:cs="Times New Roman"/>
          <w:sz w:val="20"/>
          <w:szCs w:val="20"/>
          <w:vertAlign w:val="superscript"/>
        </w:rPr>
        <w:footnoteReference w:id="12"/>
      </w:r>
      <w:r w:rsidR="00FC1568" w:rsidRPr="001D767D">
        <w:rPr>
          <w:rFonts w:ascii="Times New Roman" w:eastAsia="Times New Roman" w:hAnsi="Times New Roman" w:cs="Times New Roman"/>
          <w:sz w:val="20"/>
          <w:szCs w:val="20"/>
        </w:rPr>
        <w:t xml:space="preserve"> </w:t>
      </w:r>
      <w:bookmarkEnd w:id="9"/>
      <w:r w:rsidR="00FC1568" w:rsidRPr="001D767D">
        <w:rPr>
          <w:rFonts w:ascii="Times New Roman" w:eastAsia="Times New Roman" w:hAnsi="Times New Roman" w:cs="Times New Roman"/>
          <w:sz w:val="20"/>
          <w:szCs w:val="20"/>
        </w:rPr>
        <w:t xml:space="preserve">On 30 October 1998, the planning authority, Meath County Council, granted </w:t>
      </w:r>
      <w:r w:rsidR="00252BAD" w:rsidRPr="001D767D">
        <w:rPr>
          <w:rFonts w:ascii="Times New Roman" w:eastAsia="Times New Roman" w:hAnsi="Times New Roman" w:cs="Times New Roman"/>
          <w:sz w:val="20"/>
          <w:szCs w:val="20"/>
        </w:rPr>
        <w:t>a permit</w:t>
      </w:r>
      <w:r w:rsidR="00FC1568" w:rsidRPr="001D767D">
        <w:rPr>
          <w:rFonts w:ascii="Times New Roman" w:eastAsia="Times New Roman" w:hAnsi="Times New Roman" w:cs="Times New Roman"/>
          <w:sz w:val="20"/>
          <w:szCs w:val="20"/>
        </w:rPr>
        <w:t xml:space="preserve"> </w:t>
      </w:r>
      <w:r w:rsidRPr="001D767D">
        <w:rPr>
          <w:rFonts w:ascii="Times New Roman" w:eastAsia="Times New Roman" w:hAnsi="Times New Roman" w:cs="Times New Roman"/>
          <w:sz w:val="20"/>
          <w:szCs w:val="20"/>
        </w:rPr>
        <w:t>for</w:t>
      </w:r>
      <w:r w:rsidR="00FC1568" w:rsidRPr="001D767D">
        <w:rPr>
          <w:rFonts w:ascii="Times New Roman" w:eastAsia="Times New Roman" w:hAnsi="Times New Roman" w:cs="Times New Roman"/>
          <w:sz w:val="20"/>
          <w:szCs w:val="20"/>
        </w:rPr>
        <w:t xml:space="preserve"> </w:t>
      </w:r>
      <w:r w:rsidR="000E4C5B" w:rsidRPr="001D767D">
        <w:rPr>
          <w:rFonts w:ascii="Times New Roman" w:eastAsia="Times New Roman" w:hAnsi="Times New Roman" w:cs="Times New Roman"/>
          <w:sz w:val="20"/>
          <w:szCs w:val="20"/>
        </w:rPr>
        <w:t xml:space="preserve">a </w:t>
      </w:r>
      <w:r w:rsidR="00FC1568" w:rsidRPr="001D767D">
        <w:rPr>
          <w:rFonts w:ascii="Times New Roman" w:eastAsia="Times New Roman" w:hAnsi="Times New Roman" w:cs="Times New Roman"/>
          <w:sz w:val="20"/>
          <w:szCs w:val="20"/>
        </w:rPr>
        <w:t>quarry</w:t>
      </w:r>
      <w:r w:rsidR="000E4C5B" w:rsidRPr="001D767D">
        <w:rPr>
          <w:rFonts w:ascii="Times New Roman" w:eastAsia="Times New Roman" w:hAnsi="Times New Roman" w:cs="Times New Roman"/>
          <w:sz w:val="20"/>
          <w:szCs w:val="20"/>
        </w:rPr>
        <w:t xml:space="preserve"> of 8.5 hectares</w:t>
      </w:r>
      <w:r w:rsidR="004204AD" w:rsidRPr="001D767D">
        <w:rPr>
          <w:rFonts w:ascii="Times New Roman" w:eastAsia="Times New Roman" w:hAnsi="Times New Roman" w:cs="Times New Roman"/>
          <w:sz w:val="20"/>
          <w:szCs w:val="20"/>
        </w:rPr>
        <w:t xml:space="preserve"> (the </w:t>
      </w:r>
      <w:proofErr w:type="spellStart"/>
      <w:r w:rsidR="004204AD" w:rsidRPr="001D767D">
        <w:rPr>
          <w:rFonts w:ascii="Times New Roman" w:eastAsia="Times New Roman" w:hAnsi="Times New Roman" w:cs="Times New Roman"/>
          <w:sz w:val="20"/>
          <w:szCs w:val="20"/>
        </w:rPr>
        <w:t>Trammon</w:t>
      </w:r>
      <w:proofErr w:type="spellEnd"/>
      <w:r w:rsidR="004204AD" w:rsidRPr="001D767D">
        <w:rPr>
          <w:rFonts w:ascii="Times New Roman" w:eastAsia="Times New Roman" w:hAnsi="Times New Roman" w:cs="Times New Roman"/>
          <w:sz w:val="20"/>
          <w:szCs w:val="20"/>
        </w:rPr>
        <w:t xml:space="preserve"> quarry)</w:t>
      </w:r>
      <w:r w:rsidR="00FC1568" w:rsidRPr="001D767D">
        <w:rPr>
          <w:rFonts w:ascii="Times New Roman" w:eastAsia="Times New Roman" w:hAnsi="Times New Roman" w:cs="Times New Roman"/>
          <w:sz w:val="20"/>
          <w:szCs w:val="20"/>
        </w:rPr>
        <w:t>.</w:t>
      </w:r>
      <w:r w:rsidR="000E4C5B" w:rsidRPr="001D767D">
        <w:rPr>
          <w:rStyle w:val="FootnoteReference"/>
          <w:rFonts w:ascii="Times New Roman" w:eastAsia="Times New Roman" w:hAnsi="Times New Roman" w:cs="Times New Roman"/>
          <w:sz w:val="20"/>
          <w:szCs w:val="20"/>
        </w:rPr>
        <w:footnoteReference w:id="13"/>
      </w:r>
      <w:bookmarkEnd w:id="8"/>
    </w:p>
    <w:p w14:paraId="2F580DC5" w14:textId="07E09521" w:rsidR="00FC1568" w:rsidRPr="001D767D" w:rsidRDefault="00FC1568" w:rsidP="00784840">
      <w:pPr>
        <w:numPr>
          <w:ilvl w:val="0"/>
          <w:numId w:val="2"/>
        </w:numPr>
        <w:tabs>
          <w:tab w:val="right" w:pos="993"/>
          <w:tab w:val="left" w:pos="1080"/>
        </w:tabs>
        <w:spacing w:after="120" w:line="240" w:lineRule="atLeast"/>
        <w:ind w:left="540" w:right="-1" w:firstLine="0"/>
        <w:jc w:val="both"/>
        <w:rPr>
          <w:rFonts w:ascii="Times New Roman" w:eastAsia="Times New Roman" w:hAnsi="Times New Roman" w:cs="Times New Roman"/>
          <w:sz w:val="20"/>
          <w:szCs w:val="20"/>
        </w:rPr>
      </w:pPr>
      <w:bookmarkStart w:id="10" w:name="_Ref476749200"/>
      <w:r w:rsidRPr="001D767D">
        <w:rPr>
          <w:rFonts w:ascii="Times New Roman" w:eastAsia="Times New Roman" w:hAnsi="Times New Roman" w:cs="Times New Roman"/>
          <w:sz w:val="20"/>
          <w:szCs w:val="20"/>
        </w:rPr>
        <w:t>On 7 July 2003, Meath County Council issued an enforcement notice for non-compliance with planning permit reference no. 97/1868.</w:t>
      </w:r>
      <w:r w:rsidRPr="001D767D">
        <w:rPr>
          <w:rFonts w:ascii="Times New Roman" w:hAnsi="Times New Roman" w:cs="Times New Roman"/>
          <w:sz w:val="20"/>
          <w:szCs w:val="20"/>
          <w:vertAlign w:val="superscript"/>
        </w:rPr>
        <w:footnoteReference w:id="14"/>
      </w:r>
      <w:r w:rsidRPr="001D767D">
        <w:rPr>
          <w:rFonts w:ascii="Times New Roman" w:eastAsia="Times New Roman" w:hAnsi="Times New Roman" w:cs="Times New Roman"/>
          <w:sz w:val="20"/>
          <w:szCs w:val="20"/>
        </w:rPr>
        <w:t xml:space="preserve"> </w:t>
      </w:r>
      <w:r w:rsidR="00772F1B" w:rsidRPr="001D767D">
        <w:rPr>
          <w:rFonts w:ascii="Times New Roman" w:eastAsia="Times New Roman" w:hAnsi="Times New Roman" w:cs="Times New Roman"/>
          <w:sz w:val="20"/>
          <w:szCs w:val="20"/>
        </w:rPr>
        <w:t>By</w:t>
      </w:r>
      <w:r w:rsidRPr="001D767D">
        <w:rPr>
          <w:rFonts w:ascii="Times New Roman" w:eastAsia="Times New Roman" w:hAnsi="Times New Roman" w:cs="Times New Roman"/>
          <w:sz w:val="20"/>
          <w:szCs w:val="20"/>
        </w:rPr>
        <w:t xml:space="preserve"> notice in the </w:t>
      </w:r>
      <w:r w:rsidR="00772F1B" w:rsidRPr="001D767D">
        <w:rPr>
          <w:rFonts w:ascii="Times New Roman" w:eastAsia="Times New Roman" w:hAnsi="Times New Roman" w:cs="Times New Roman"/>
          <w:sz w:val="20"/>
          <w:szCs w:val="20"/>
        </w:rPr>
        <w:t xml:space="preserve">local </w:t>
      </w:r>
      <w:r w:rsidRPr="001D767D">
        <w:rPr>
          <w:rFonts w:ascii="Times New Roman" w:eastAsia="Times New Roman" w:hAnsi="Times New Roman" w:cs="Times New Roman"/>
          <w:sz w:val="20"/>
          <w:szCs w:val="20"/>
        </w:rPr>
        <w:t xml:space="preserve">newspaper dated 25 August 2003 and a site notice </w:t>
      </w:r>
      <w:r w:rsidR="00DA59E4" w:rsidRPr="001D767D">
        <w:rPr>
          <w:rFonts w:ascii="Times New Roman" w:eastAsia="Times New Roman" w:hAnsi="Times New Roman" w:cs="Times New Roman"/>
          <w:sz w:val="20"/>
          <w:szCs w:val="20"/>
        </w:rPr>
        <w:t>erected</w:t>
      </w:r>
      <w:r w:rsidRPr="001D767D">
        <w:rPr>
          <w:rFonts w:ascii="Times New Roman" w:eastAsia="Times New Roman" w:hAnsi="Times New Roman" w:cs="Times New Roman"/>
          <w:sz w:val="20"/>
          <w:szCs w:val="20"/>
        </w:rPr>
        <w:t xml:space="preserve"> on 4 September 2003, the public was informed that the </w:t>
      </w:r>
      <w:r w:rsidR="00252BAD" w:rsidRPr="001D767D">
        <w:rPr>
          <w:rFonts w:ascii="Times New Roman" w:hAnsi="Times New Roman"/>
          <w:sz w:val="20"/>
        </w:rPr>
        <w:t>developer</w:t>
      </w:r>
      <w:r w:rsidR="00252BAD" w:rsidRPr="001D767D">
        <w:rPr>
          <w:rFonts w:ascii="Times New Roman" w:eastAsia="Times New Roman" w:hAnsi="Times New Roman" w:cs="Times New Roman"/>
          <w:sz w:val="20"/>
          <w:szCs w:val="20"/>
        </w:rPr>
        <w:t xml:space="preserve"> </w:t>
      </w:r>
      <w:r w:rsidR="00772F1B" w:rsidRPr="001D767D">
        <w:rPr>
          <w:rFonts w:ascii="Times New Roman" w:eastAsia="Times New Roman" w:hAnsi="Times New Roman" w:cs="Times New Roman"/>
          <w:sz w:val="20"/>
          <w:szCs w:val="20"/>
        </w:rPr>
        <w:t>had</w:t>
      </w:r>
      <w:r w:rsidRPr="001D767D">
        <w:rPr>
          <w:rFonts w:ascii="Times New Roman" w:eastAsia="Times New Roman" w:hAnsi="Times New Roman" w:cs="Times New Roman"/>
          <w:sz w:val="20"/>
          <w:szCs w:val="20"/>
        </w:rPr>
        <w:t xml:space="preserve"> appl</w:t>
      </w:r>
      <w:r w:rsidR="00772F1B" w:rsidRPr="001D767D">
        <w:rPr>
          <w:rFonts w:ascii="Times New Roman" w:eastAsia="Times New Roman" w:hAnsi="Times New Roman" w:cs="Times New Roman"/>
          <w:sz w:val="20"/>
          <w:szCs w:val="20"/>
        </w:rPr>
        <w:t>ied</w:t>
      </w:r>
      <w:r w:rsidRPr="001D767D">
        <w:rPr>
          <w:rFonts w:ascii="Times New Roman" w:eastAsia="Times New Roman" w:hAnsi="Times New Roman" w:cs="Times New Roman"/>
          <w:sz w:val="20"/>
          <w:szCs w:val="20"/>
        </w:rPr>
        <w:t xml:space="preserve"> for retention, extension and partial modification of the quarry</w:t>
      </w:r>
      <w:r w:rsidR="005C5637" w:rsidRPr="001D767D">
        <w:rPr>
          <w:rFonts w:ascii="Times New Roman" w:eastAsia="Times New Roman" w:hAnsi="Times New Roman" w:cs="Times New Roman"/>
          <w:sz w:val="20"/>
          <w:szCs w:val="20"/>
        </w:rPr>
        <w:t>, that the application was accompanied by an environmental impact statement</w:t>
      </w:r>
      <w:r w:rsidRPr="001D767D">
        <w:rPr>
          <w:rFonts w:ascii="Times New Roman" w:eastAsia="Times New Roman" w:hAnsi="Times New Roman" w:cs="Times New Roman"/>
          <w:sz w:val="20"/>
          <w:szCs w:val="20"/>
        </w:rPr>
        <w:t xml:space="preserve"> and that </w:t>
      </w:r>
      <w:r w:rsidR="00DA59E4" w:rsidRPr="001D767D">
        <w:rPr>
          <w:rFonts w:ascii="Times New Roman" w:eastAsia="Times New Roman" w:hAnsi="Times New Roman" w:cs="Times New Roman"/>
          <w:sz w:val="20"/>
          <w:szCs w:val="20"/>
        </w:rPr>
        <w:t>the public</w:t>
      </w:r>
      <w:r w:rsidRPr="001D767D">
        <w:rPr>
          <w:rFonts w:ascii="Times New Roman" w:eastAsia="Times New Roman" w:hAnsi="Times New Roman" w:cs="Times New Roman"/>
          <w:sz w:val="20"/>
          <w:szCs w:val="20"/>
        </w:rPr>
        <w:t xml:space="preserve"> could submit comments </w:t>
      </w:r>
      <w:r w:rsidR="005C5637" w:rsidRPr="001D767D">
        <w:rPr>
          <w:rFonts w:ascii="Times New Roman" w:eastAsia="Times New Roman" w:hAnsi="Times New Roman" w:cs="Times New Roman"/>
          <w:sz w:val="20"/>
          <w:szCs w:val="20"/>
        </w:rPr>
        <w:t xml:space="preserve">on the application </w:t>
      </w:r>
      <w:r w:rsidR="00A1630D" w:rsidRPr="001D767D">
        <w:rPr>
          <w:rFonts w:ascii="Times New Roman" w:eastAsia="Times New Roman" w:hAnsi="Times New Roman" w:cs="Times New Roman"/>
          <w:sz w:val="20"/>
          <w:szCs w:val="20"/>
        </w:rPr>
        <w:t xml:space="preserve">on payment of </w:t>
      </w:r>
      <w:r w:rsidRPr="001D767D">
        <w:rPr>
          <w:rFonts w:ascii="Times New Roman" w:eastAsia="Times New Roman" w:hAnsi="Times New Roman" w:cs="Times New Roman"/>
          <w:sz w:val="20"/>
          <w:szCs w:val="20"/>
        </w:rPr>
        <w:t xml:space="preserve">a fee of </w:t>
      </w:r>
      <w:r w:rsidR="00640C77" w:rsidRPr="001D767D">
        <w:rPr>
          <w:rFonts w:ascii="Times New Roman" w:eastAsia="Times New Roman" w:hAnsi="Times New Roman" w:cs="Times New Roman"/>
          <w:sz w:val="20"/>
          <w:szCs w:val="20"/>
        </w:rPr>
        <w:t>€</w:t>
      </w:r>
      <w:r w:rsidRPr="001D767D">
        <w:rPr>
          <w:rFonts w:ascii="Times New Roman" w:eastAsia="Times New Roman" w:hAnsi="Times New Roman" w:cs="Times New Roman"/>
          <w:sz w:val="20"/>
          <w:szCs w:val="20"/>
        </w:rPr>
        <w:t>20.</w:t>
      </w:r>
      <w:r w:rsidRPr="001D767D">
        <w:rPr>
          <w:rFonts w:ascii="Times New Roman" w:hAnsi="Times New Roman" w:cs="Times New Roman"/>
          <w:sz w:val="20"/>
          <w:szCs w:val="20"/>
          <w:vertAlign w:val="superscript"/>
        </w:rPr>
        <w:footnoteReference w:id="15"/>
      </w:r>
      <w:r w:rsidRPr="001D767D">
        <w:rPr>
          <w:rFonts w:ascii="Times New Roman" w:eastAsia="Times New Roman" w:hAnsi="Times New Roman" w:cs="Times New Roman"/>
          <w:sz w:val="20"/>
          <w:szCs w:val="20"/>
          <w:vertAlign w:val="superscript"/>
        </w:rPr>
        <w:t xml:space="preserve"> </w:t>
      </w:r>
      <w:r w:rsidRPr="001D767D">
        <w:rPr>
          <w:rFonts w:ascii="Times New Roman" w:eastAsia="Times New Roman" w:hAnsi="Times New Roman" w:cs="Times New Roman"/>
          <w:sz w:val="20"/>
          <w:szCs w:val="20"/>
        </w:rPr>
        <w:t xml:space="preserve">On 5 March 2004, Meath County Council granted a </w:t>
      </w:r>
      <w:r w:rsidR="00252BAD" w:rsidRPr="001D767D">
        <w:rPr>
          <w:rFonts w:ascii="Times New Roman" w:hAnsi="Times New Roman"/>
          <w:sz w:val="20"/>
        </w:rPr>
        <w:t>permit</w:t>
      </w:r>
      <w:r w:rsidRPr="001D767D">
        <w:rPr>
          <w:rFonts w:ascii="Times New Roman" w:eastAsia="Times New Roman" w:hAnsi="Times New Roman" w:cs="Times New Roman"/>
          <w:sz w:val="20"/>
          <w:szCs w:val="20"/>
        </w:rPr>
        <w:t xml:space="preserve"> to the developer (planning reference no. TA/30334) </w:t>
      </w:r>
      <w:r w:rsidR="000E4C5B" w:rsidRPr="001D767D">
        <w:rPr>
          <w:rFonts w:ascii="Times New Roman" w:eastAsia="Times New Roman" w:hAnsi="Times New Roman" w:cs="Times New Roman"/>
          <w:sz w:val="20"/>
          <w:szCs w:val="20"/>
        </w:rPr>
        <w:t xml:space="preserve">extending </w:t>
      </w:r>
      <w:proofErr w:type="spellStart"/>
      <w:r w:rsidR="00190C75" w:rsidRPr="001D767D">
        <w:rPr>
          <w:rFonts w:ascii="Times New Roman" w:eastAsia="Times New Roman" w:hAnsi="Times New Roman" w:cs="Times New Roman"/>
          <w:sz w:val="20"/>
          <w:szCs w:val="20"/>
        </w:rPr>
        <w:t>Trammon</w:t>
      </w:r>
      <w:proofErr w:type="spellEnd"/>
      <w:r w:rsidR="00190C75" w:rsidRPr="001D767D">
        <w:rPr>
          <w:rFonts w:ascii="Times New Roman" w:eastAsia="Times New Roman" w:hAnsi="Times New Roman" w:cs="Times New Roman"/>
          <w:sz w:val="20"/>
          <w:szCs w:val="20"/>
        </w:rPr>
        <w:t xml:space="preserve"> </w:t>
      </w:r>
      <w:r w:rsidR="000E4C5B" w:rsidRPr="001D767D">
        <w:rPr>
          <w:rFonts w:ascii="Times New Roman" w:eastAsia="Times New Roman" w:hAnsi="Times New Roman" w:cs="Times New Roman"/>
          <w:sz w:val="20"/>
          <w:szCs w:val="20"/>
        </w:rPr>
        <w:t>quarry size to a total of 15.88 hectares</w:t>
      </w:r>
      <w:r w:rsidR="000E4C5B" w:rsidRPr="001D767D">
        <w:rPr>
          <w:rStyle w:val="FootnoteReference"/>
          <w:rFonts w:ascii="Times New Roman" w:eastAsia="Times New Roman" w:hAnsi="Times New Roman" w:cs="Times New Roman"/>
          <w:sz w:val="20"/>
          <w:szCs w:val="20"/>
        </w:rPr>
        <w:footnoteReference w:id="16"/>
      </w:r>
      <w:r w:rsidR="000E4C5B" w:rsidRPr="001D767D">
        <w:rPr>
          <w:rFonts w:ascii="Times New Roman" w:eastAsia="Times New Roman" w:hAnsi="Times New Roman" w:cs="Times New Roman"/>
          <w:sz w:val="20"/>
          <w:szCs w:val="20"/>
        </w:rPr>
        <w:t xml:space="preserve"> and </w:t>
      </w:r>
      <w:r w:rsidRPr="001D767D">
        <w:rPr>
          <w:rFonts w:ascii="Times New Roman" w:eastAsia="Times New Roman" w:hAnsi="Times New Roman" w:cs="Times New Roman"/>
          <w:sz w:val="20"/>
          <w:szCs w:val="20"/>
        </w:rPr>
        <w:t xml:space="preserve">permitting significantly deeper excavation and stipulating that </w:t>
      </w:r>
      <w:r w:rsidR="00772F1B" w:rsidRPr="001D767D">
        <w:rPr>
          <w:rFonts w:ascii="Times New Roman" w:eastAsia="Times New Roman" w:hAnsi="Times New Roman" w:cs="Times New Roman"/>
          <w:sz w:val="20"/>
          <w:szCs w:val="20"/>
        </w:rPr>
        <w:t xml:space="preserve">the </w:t>
      </w:r>
      <w:r w:rsidR="00600977" w:rsidRPr="001D767D">
        <w:rPr>
          <w:rFonts w:ascii="Times New Roman" w:eastAsia="Times New Roman" w:hAnsi="Times New Roman" w:cs="Times New Roman"/>
          <w:sz w:val="20"/>
          <w:szCs w:val="20"/>
        </w:rPr>
        <w:t xml:space="preserve">permit </w:t>
      </w:r>
      <w:r w:rsidR="00772F1B" w:rsidRPr="001D767D">
        <w:rPr>
          <w:rFonts w:ascii="Times New Roman" w:eastAsia="Times New Roman" w:hAnsi="Times New Roman" w:cs="Times New Roman"/>
          <w:sz w:val="20"/>
          <w:szCs w:val="20"/>
        </w:rPr>
        <w:t>w</w:t>
      </w:r>
      <w:r w:rsidRPr="001D767D">
        <w:rPr>
          <w:rFonts w:ascii="Times New Roman" w:eastAsia="Times New Roman" w:hAnsi="Times New Roman" w:cs="Times New Roman"/>
          <w:sz w:val="20"/>
          <w:szCs w:val="20"/>
        </w:rPr>
        <w:t xml:space="preserve">ould </w:t>
      </w:r>
      <w:r w:rsidR="00A1630D" w:rsidRPr="001D767D">
        <w:rPr>
          <w:rFonts w:ascii="Times New Roman" w:eastAsia="Times New Roman" w:hAnsi="Times New Roman" w:cs="Times New Roman"/>
          <w:sz w:val="20"/>
          <w:szCs w:val="20"/>
        </w:rPr>
        <w:t xml:space="preserve">expire </w:t>
      </w:r>
      <w:r w:rsidRPr="001D767D">
        <w:rPr>
          <w:rFonts w:ascii="Times New Roman" w:eastAsia="Times New Roman" w:hAnsi="Times New Roman" w:cs="Times New Roman"/>
          <w:sz w:val="20"/>
          <w:szCs w:val="20"/>
        </w:rPr>
        <w:t xml:space="preserve">on 5 August 2013. An appeal </w:t>
      </w:r>
      <w:r w:rsidR="00517310" w:rsidRPr="001D767D">
        <w:rPr>
          <w:rFonts w:ascii="Times New Roman" w:eastAsia="Times New Roman" w:hAnsi="Times New Roman" w:cs="Times New Roman"/>
          <w:sz w:val="20"/>
          <w:szCs w:val="20"/>
        </w:rPr>
        <w:t xml:space="preserve">by </w:t>
      </w:r>
      <w:r w:rsidR="00B64249" w:rsidRPr="001D767D">
        <w:rPr>
          <w:rFonts w:ascii="Times New Roman" w:eastAsia="Times New Roman" w:hAnsi="Times New Roman" w:cs="Times New Roman"/>
          <w:sz w:val="20"/>
          <w:szCs w:val="20"/>
        </w:rPr>
        <w:t>an adjacent</w:t>
      </w:r>
      <w:r w:rsidR="00517310" w:rsidRPr="001D767D">
        <w:rPr>
          <w:rFonts w:ascii="Times New Roman" w:eastAsia="Times New Roman" w:hAnsi="Times New Roman" w:cs="Times New Roman"/>
          <w:sz w:val="20"/>
          <w:szCs w:val="20"/>
        </w:rPr>
        <w:t xml:space="preserve"> quarry operator</w:t>
      </w:r>
      <w:r w:rsidR="00B64249" w:rsidRPr="001D767D">
        <w:rPr>
          <w:rFonts w:ascii="Times New Roman" w:eastAsia="Times New Roman" w:hAnsi="Times New Roman" w:cs="Times New Roman"/>
          <w:sz w:val="20"/>
          <w:szCs w:val="20"/>
        </w:rPr>
        <w:t xml:space="preserve"> (</w:t>
      </w:r>
      <w:proofErr w:type="spellStart"/>
      <w:r w:rsidR="00B64249" w:rsidRPr="001D767D">
        <w:rPr>
          <w:rFonts w:ascii="Times New Roman" w:eastAsia="Times New Roman" w:hAnsi="Times New Roman" w:cs="Times New Roman"/>
          <w:sz w:val="20"/>
          <w:szCs w:val="20"/>
        </w:rPr>
        <w:t>Kilsaran</w:t>
      </w:r>
      <w:proofErr w:type="spellEnd"/>
      <w:r w:rsidR="00B64249" w:rsidRPr="001D767D">
        <w:rPr>
          <w:rFonts w:ascii="Times New Roman" w:eastAsia="Times New Roman" w:hAnsi="Times New Roman" w:cs="Times New Roman"/>
          <w:sz w:val="20"/>
          <w:szCs w:val="20"/>
        </w:rPr>
        <w:t xml:space="preserve"> Concrete Ltd)</w:t>
      </w:r>
      <w:r w:rsidR="00517310" w:rsidRPr="001D767D">
        <w:rPr>
          <w:rFonts w:ascii="Times New Roman" w:eastAsia="Times New Roman" w:hAnsi="Times New Roman" w:cs="Times New Roman"/>
          <w:sz w:val="20"/>
          <w:szCs w:val="20"/>
        </w:rPr>
        <w:t xml:space="preserve"> </w:t>
      </w:r>
      <w:r w:rsidRPr="001D767D">
        <w:rPr>
          <w:rFonts w:ascii="Times New Roman" w:eastAsia="Times New Roman" w:hAnsi="Times New Roman" w:cs="Times New Roman"/>
          <w:sz w:val="20"/>
          <w:szCs w:val="20"/>
        </w:rPr>
        <w:t xml:space="preserve">to </w:t>
      </w:r>
      <w:proofErr w:type="gramStart"/>
      <w:r w:rsidRPr="001D767D">
        <w:rPr>
          <w:rFonts w:ascii="Times New Roman" w:eastAsia="Times New Roman" w:hAnsi="Times New Roman" w:cs="Times New Roman"/>
          <w:sz w:val="20"/>
          <w:szCs w:val="20"/>
        </w:rPr>
        <w:t>An</w:t>
      </w:r>
      <w:proofErr w:type="gramEnd"/>
      <w:r w:rsidRPr="001D767D">
        <w:rPr>
          <w:rFonts w:ascii="Times New Roman" w:eastAsia="Times New Roman" w:hAnsi="Times New Roman" w:cs="Times New Roman"/>
          <w:sz w:val="20"/>
          <w:szCs w:val="20"/>
        </w:rPr>
        <w:t xml:space="preserve"> </w:t>
      </w:r>
      <w:proofErr w:type="spellStart"/>
      <w:r w:rsidRPr="001D767D">
        <w:rPr>
          <w:rFonts w:ascii="Times New Roman" w:eastAsia="Times New Roman" w:hAnsi="Times New Roman" w:cs="Times New Roman"/>
          <w:sz w:val="20"/>
          <w:szCs w:val="20"/>
        </w:rPr>
        <w:t>Bord</w:t>
      </w:r>
      <w:proofErr w:type="spellEnd"/>
      <w:r w:rsidRPr="001D767D">
        <w:rPr>
          <w:rFonts w:ascii="Times New Roman" w:eastAsia="Times New Roman" w:hAnsi="Times New Roman" w:cs="Times New Roman"/>
          <w:sz w:val="20"/>
          <w:szCs w:val="20"/>
        </w:rPr>
        <w:t xml:space="preserve"> </w:t>
      </w:r>
      <w:proofErr w:type="spellStart"/>
      <w:r w:rsidRPr="001D767D">
        <w:rPr>
          <w:rFonts w:ascii="Times New Roman" w:eastAsia="Times New Roman" w:hAnsi="Times New Roman" w:cs="Times New Roman"/>
          <w:sz w:val="20"/>
          <w:szCs w:val="20"/>
        </w:rPr>
        <w:t>Pleanála</w:t>
      </w:r>
      <w:proofErr w:type="spellEnd"/>
      <w:r w:rsidR="00DA59E4" w:rsidRPr="001D767D">
        <w:rPr>
          <w:rFonts w:ascii="Times New Roman" w:eastAsia="Times New Roman" w:hAnsi="Times New Roman" w:cs="Times New Roman"/>
          <w:sz w:val="20"/>
          <w:szCs w:val="20"/>
        </w:rPr>
        <w:t xml:space="preserve"> (reference no. PL17.206702)</w:t>
      </w:r>
      <w:r w:rsidRPr="001D767D">
        <w:rPr>
          <w:rFonts w:ascii="Times New Roman" w:eastAsia="Times New Roman" w:hAnsi="Times New Roman" w:cs="Times New Roman"/>
          <w:sz w:val="20"/>
          <w:szCs w:val="20"/>
        </w:rPr>
        <w:t>, a quasi-judicial body deciding on appeals against planning decisions, was rejected on 5 August 2004.</w:t>
      </w:r>
      <w:r w:rsidRPr="001D767D">
        <w:rPr>
          <w:rFonts w:ascii="Times New Roman" w:hAnsi="Times New Roman" w:cs="Times New Roman"/>
          <w:sz w:val="20"/>
          <w:szCs w:val="20"/>
          <w:vertAlign w:val="superscript"/>
        </w:rPr>
        <w:footnoteReference w:id="17"/>
      </w:r>
      <w:bookmarkEnd w:id="10"/>
      <w:r w:rsidRPr="001D767D">
        <w:rPr>
          <w:rFonts w:ascii="Times New Roman" w:hAnsi="Times New Roman" w:cs="Times New Roman"/>
          <w:sz w:val="20"/>
          <w:szCs w:val="20"/>
          <w:vertAlign w:val="superscript"/>
        </w:rPr>
        <w:t xml:space="preserve"> </w:t>
      </w:r>
    </w:p>
    <w:p w14:paraId="601507C5" w14:textId="4665E287" w:rsidR="00FC1568" w:rsidRPr="001D767D" w:rsidRDefault="00FC1568" w:rsidP="00784840">
      <w:pPr>
        <w:numPr>
          <w:ilvl w:val="0"/>
          <w:numId w:val="2"/>
        </w:numPr>
        <w:tabs>
          <w:tab w:val="right" w:pos="993"/>
          <w:tab w:val="left" w:pos="1080"/>
        </w:tabs>
        <w:spacing w:after="120" w:line="240" w:lineRule="atLeast"/>
        <w:ind w:left="540" w:right="-1" w:firstLine="0"/>
        <w:jc w:val="both"/>
        <w:rPr>
          <w:rFonts w:ascii="Times New Roman" w:eastAsia="Times New Roman" w:hAnsi="Times New Roman" w:cs="Times New Roman"/>
          <w:sz w:val="20"/>
          <w:szCs w:val="20"/>
        </w:rPr>
      </w:pPr>
      <w:bookmarkStart w:id="11" w:name="_Ref476762639"/>
      <w:r w:rsidRPr="001D767D">
        <w:rPr>
          <w:rFonts w:ascii="Times New Roman" w:eastAsia="Times New Roman" w:hAnsi="Times New Roman" w:cs="Times New Roman"/>
          <w:sz w:val="20"/>
          <w:szCs w:val="20"/>
        </w:rPr>
        <w:t xml:space="preserve">On 13 November 2007, Meath County Council granted </w:t>
      </w:r>
      <w:r w:rsidR="00600977" w:rsidRPr="001D767D">
        <w:rPr>
          <w:rFonts w:ascii="Times New Roman" w:eastAsia="Times New Roman" w:hAnsi="Times New Roman" w:cs="Times New Roman"/>
          <w:sz w:val="20"/>
          <w:szCs w:val="20"/>
        </w:rPr>
        <w:t>a further permit</w:t>
      </w:r>
      <w:r w:rsidRPr="001D767D">
        <w:rPr>
          <w:rFonts w:ascii="Times New Roman" w:eastAsia="Times New Roman" w:hAnsi="Times New Roman" w:cs="Times New Roman"/>
          <w:sz w:val="20"/>
          <w:szCs w:val="20"/>
        </w:rPr>
        <w:t xml:space="preserve"> to the developer (planning reference no. TA/60629) including an extension of the quarry area. An appeal to </w:t>
      </w:r>
      <w:proofErr w:type="gramStart"/>
      <w:r w:rsidRPr="001D767D">
        <w:rPr>
          <w:rFonts w:ascii="Times New Roman" w:eastAsia="Times New Roman" w:hAnsi="Times New Roman" w:cs="Times New Roman"/>
          <w:sz w:val="20"/>
          <w:szCs w:val="20"/>
        </w:rPr>
        <w:t>An</w:t>
      </w:r>
      <w:proofErr w:type="gramEnd"/>
      <w:r w:rsidRPr="001D767D">
        <w:rPr>
          <w:rFonts w:ascii="Times New Roman" w:eastAsia="Times New Roman" w:hAnsi="Times New Roman" w:cs="Times New Roman"/>
          <w:sz w:val="20"/>
          <w:szCs w:val="20"/>
        </w:rPr>
        <w:t xml:space="preserve"> </w:t>
      </w:r>
      <w:proofErr w:type="spellStart"/>
      <w:r w:rsidRPr="001D767D">
        <w:rPr>
          <w:rFonts w:ascii="Times New Roman" w:eastAsia="Times New Roman" w:hAnsi="Times New Roman" w:cs="Times New Roman"/>
          <w:sz w:val="20"/>
          <w:szCs w:val="20"/>
        </w:rPr>
        <w:t>Bord</w:t>
      </w:r>
      <w:proofErr w:type="spellEnd"/>
      <w:r w:rsidRPr="001D767D">
        <w:rPr>
          <w:rFonts w:ascii="Times New Roman" w:eastAsia="Times New Roman" w:hAnsi="Times New Roman" w:cs="Times New Roman"/>
          <w:sz w:val="20"/>
          <w:szCs w:val="20"/>
        </w:rPr>
        <w:t xml:space="preserve"> </w:t>
      </w:r>
      <w:proofErr w:type="spellStart"/>
      <w:r w:rsidRPr="001D767D">
        <w:rPr>
          <w:rFonts w:ascii="Times New Roman" w:eastAsia="Times New Roman" w:hAnsi="Times New Roman" w:cs="Times New Roman"/>
          <w:sz w:val="20"/>
          <w:szCs w:val="20"/>
        </w:rPr>
        <w:t>Pleanála</w:t>
      </w:r>
      <w:proofErr w:type="spellEnd"/>
      <w:r w:rsidRPr="001D767D">
        <w:rPr>
          <w:rFonts w:ascii="Times New Roman" w:eastAsia="Times New Roman" w:hAnsi="Times New Roman" w:cs="Times New Roman"/>
          <w:sz w:val="20"/>
          <w:szCs w:val="20"/>
        </w:rPr>
        <w:t xml:space="preserve"> (reference no. PL17.226884) was upheld on 16 January 2009 and the </w:t>
      </w:r>
      <w:r w:rsidR="00600977" w:rsidRPr="001D767D">
        <w:rPr>
          <w:rFonts w:ascii="Times New Roman" w:eastAsia="Times New Roman" w:hAnsi="Times New Roman" w:cs="Times New Roman"/>
          <w:sz w:val="20"/>
          <w:szCs w:val="20"/>
        </w:rPr>
        <w:t>permit</w:t>
      </w:r>
      <w:r w:rsidRPr="001D767D">
        <w:rPr>
          <w:rFonts w:ascii="Times New Roman" w:eastAsia="Times New Roman" w:hAnsi="Times New Roman" w:cs="Times New Roman"/>
          <w:sz w:val="20"/>
          <w:szCs w:val="20"/>
        </w:rPr>
        <w:t xml:space="preserve"> was </w:t>
      </w:r>
      <w:r w:rsidR="000D5D67" w:rsidRPr="001D767D">
        <w:rPr>
          <w:rFonts w:ascii="Times New Roman" w:eastAsia="Times New Roman" w:hAnsi="Times New Roman" w:cs="Times New Roman"/>
          <w:sz w:val="20"/>
          <w:szCs w:val="20"/>
        </w:rPr>
        <w:t xml:space="preserve">accordingly </w:t>
      </w:r>
      <w:r w:rsidRPr="001D767D">
        <w:rPr>
          <w:rFonts w:ascii="Times New Roman" w:eastAsia="Times New Roman" w:hAnsi="Times New Roman" w:cs="Times New Roman"/>
          <w:sz w:val="20"/>
          <w:szCs w:val="20"/>
        </w:rPr>
        <w:t>refused.</w:t>
      </w:r>
      <w:bookmarkEnd w:id="11"/>
      <w:r w:rsidR="00517310" w:rsidRPr="001D767D">
        <w:rPr>
          <w:rFonts w:ascii="Times New Roman" w:hAnsi="Times New Roman" w:cs="Times New Roman"/>
          <w:sz w:val="20"/>
          <w:szCs w:val="20"/>
          <w:vertAlign w:val="superscript"/>
        </w:rPr>
        <w:t xml:space="preserve"> </w:t>
      </w:r>
      <w:r w:rsidR="00517310" w:rsidRPr="001D767D">
        <w:rPr>
          <w:rFonts w:ascii="Times New Roman" w:hAnsi="Times New Roman" w:cs="Times New Roman"/>
          <w:sz w:val="20"/>
          <w:szCs w:val="20"/>
          <w:vertAlign w:val="superscript"/>
        </w:rPr>
        <w:footnoteReference w:id="18"/>
      </w:r>
    </w:p>
    <w:p w14:paraId="21D7FC2A" w14:textId="1E1A9FC0" w:rsidR="009D36B0" w:rsidRPr="001D767D" w:rsidRDefault="000D5D67" w:rsidP="00CA3343">
      <w:pPr>
        <w:numPr>
          <w:ilvl w:val="0"/>
          <w:numId w:val="2"/>
        </w:numPr>
        <w:tabs>
          <w:tab w:val="right" w:pos="993"/>
          <w:tab w:val="left" w:pos="1080"/>
        </w:tabs>
        <w:spacing w:after="120" w:line="240" w:lineRule="atLeast"/>
        <w:ind w:left="540" w:right="-1" w:firstLine="0"/>
        <w:jc w:val="both"/>
        <w:rPr>
          <w:rFonts w:ascii="Times New Roman" w:eastAsia="Times New Roman" w:hAnsi="Times New Roman" w:cs="Times New Roman"/>
          <w:sz w:val="20"/>
          <w:szCs w:val="20"/>
        </w:rPr>
      </w:pPr>
      <w:r w:rsidRPr="001D767D">
        <w:rPr>
          <w:rFonts w:ascii="Times New Roman" w:eastAsia="Times New Roman" w:hAnsi="Times New Roman" w:cs="Times New Roman"/>
          <w:sz w:val="20"/>
          <w:szCs w:val="20"/>
        </w:rPr>
        <w:t>By</w:t>
      </w:r>
      <w:r w:rsidR="00FC1568" w:rsidRPr="001D767D">
        <w:rPr>
          <w:rFonts w:ascii="Times New Roman" w:eastAsia="Times New Roman" w:hAnsi="Times New Roman" w:cs="Times New Roman"/>
          <w:sz w:val="20"/>
          <w:szCs w:val="20"/>
        </w:rPr>
        <w:t xml:space="preserve"> notice in the </w:t>
      </w:r>
      <w:r w:rsidRPr="001D767D">
        <w:rPr>
          <w:rFonts w:ascii="Times New Roman" w:eastAsia="Times New Roman" w:hAnsi="Times New Roman" w:cs="Times New Roman"/>
          <w:sz w:val="20"/>
          <w:szCs w:val="20"/>
        </w:rPr>
        <w:t xml:space="preserve">local </w:t>
      </w:r>
      <w:r w:rsidR="00FC1568" w:rsidRPr="001D767D">
        <w:rPr>
          <w:rFonts w:ascii="Times New Roman" w:eastAsia="Times New Roman" w:hAnsi="Times New Roman" w:cs="Times New Roman"/>
          <w:sz w:val="20"/>
          <w:szCs w:val="20"/>
        </w:rPr>
        <w:t xml:space="preserve">newspaper </w:t>
      </w:r>
      <w:r w:rsidRPr="001D767D">
        <w:rPr>
          <w:rFonts w:ascii="Times New Roman" w:eastAsia="Times New Roman" w:hAnsi="Times New Roman" w:cs="Times New Roman"/>
          <w:sz w:val="20"/>
          <w:szCs w:val="20"/>
        </w:rPr>
        <w:t>dated</w:t>
      </w:r>
      <w:r w:rsidR="00FC1568" w:rsidRPr="001D767D">
        <w:rPr>
          <w:rFonts w:ascii="Times New Roman" w:eastAsia="Times New Roman" w:hAnsi="Times New Roman" w:cs="Times New Roman"/>
          <w:sz w:val="20"/>
          <w:szCs w:val="20"/>
        </w:rPr>
        <w:t xml:space="preserve"> 17 June 2009 and a site notice erected on the same day, the public was informed that </w:t>
      </w:r>
      <w:r w:rsidR="00FC1568" w:rsidRPr="001D767D">
        <w:rPr>
          <w:rFonts w:ascii="Times New Roman" w:hAnsi="Times New Roman"/>
          <w:sz w:val="20"/>
        </w:rPr>
        <w:t xml:space="preserve">the </w:t>
      </w:r>
      <w:r w:rsidR="00252BAD" w:rsidRPr="001D767D">
        <w:rPr>
          <w:rFonts w:ascii="Times New Roman" w:hAnsi="Times New Roman"/>
          <w:sz w:val="20"/>
        </w:rPr>
        <w:t>developer</w:t>
      </w:r>
      <w:r w:rsidR="00252BAD" w:rsidRPr="001D767D">
        <w:rPr>
          <w:rFonts w:ascii="Times New Roman" w:eastAsia="Times New Roman" w:hAnsi="Times New Roman" w:cs="Times New Roman"/>
          <w:sz w:val="20"/>
          <w:szCs w:val="20"/>
        </w:rPr>
        <w:t xml:space="preserve"> </w:t>
      </w:r>
      <w:r w:rsidRPr="001D767D">
        <w:rPr>
          <w:rFonts w:ascii="Times New Roman" w:eastAsia="Times New Roman" w:hAnsi="Times New Roman" w:cs="Times New Roman"/>
          <w:sz w:val="20"/>
          <w:szCs w:val="20"/>
        </w:rPr>
        <w:t xml:space="preserve">had </w:t>
      </w:r>
      <w:r w:rsidR="00FC1568" w:rsidRPr="001D767D">
        <w:rPr>
          <w:rFonts w:ascii="Times New Roman" w:eastAsia="Times New Roman" w:hAnsi="Times New Roman" w:cs="Times New Roman"/>
          <w:sz w:val="20"/>
          <w:szCs w:val="20"/>
        </w:rPr>
        <w:t>appl</w:t>
      </w:r>
      <w:r w:rsidRPr="001D767D">
        <w:rPr>
          <w:rFonts w:ascii="Times New Roman" w:eastAsia="Times New Roman" w:hAnsi="Times New Roman" w:cs="Times New Roman"/>
          <w:sz w:val="20"/>
          <w:szCs w:val="20"/>
        </w:rPr>
        <w:t>ied</w:t>
      </w:r>
      <w:r w:rsidR="00FC1568" w:rsidRPr="001D767D">
        <w:rPr>
          <w:rFonts w:ascii="Times New Roman" w:eastAsia="Times New Roman" w:hAnsi="Times New Roman" w:cs="Times New Roman"/>
          <w:sz w:val="20"/>
          <w:szCs w:val="20"/>
        </w:rPr>
        <w:t xml:space="preserve"> for an extension of the quarry by 4.274 hectares and associated works, and that </w:t>
      </w:r>
      <w:r w:rsidR="00DA59E4" w:rsidRPr="001D767D">
        <w:rPr>
          <w:rFonts w:ascii="Times New Roman" w:eastAsia="Times New Roman" w:hAnsi="Times New Roman" w:cs="Times New Roman"/>
          <w:sz w:val="20"/>
          <w:szCs w:val="20"/>
        </w:rPr>
        <w:t>the public</w:t>
      </w:r>
      <w:r w:rsidR="00FC1568" w:rsidRPr="001D767D">
        <w:rPr>
          <w:rFonts w:ascii="Times New Roman" w:eastAsia="Times New Roman" w:hAnsi="Times New Roman" w:cs="Times New Roman"/>
          <w:sz w:val="20"/>
          <w:szCs w:val="20"/>
        </w:rPr>
        <w:t xml:space="preserve"> could s</w:t>
      </w:r>
      <w:r w:rsidR="007C5386" w:rsidRPr="001D767D">
        <w:rPr>
          <w:rFonts w:ascii="Times New Roman" w:eastAsia="Times New Roman" w:hAnsi="Times New Roman" w:cs="Times New Roman"/>
          <w:sz w:val="20"/>
          <w:szCs w:val="20"/>
        </w:rPr>
        <w:t xml:space="preserve">ubmit comments </w:t>
      </w:r>
      <w:r w:rsidR="004F4C13" w:rsidRPr="001D767D">
        <w:rPr>
          <w:rFonts w:ascii="Times New Roman" w:eastAsia="Times New Roman" w:hAnsi="Times New Roman" w:cs="Times New Roman"/>
          <w:sz w:val="20"/>
          <w:szCs w:val="20"/>
        </w:rPr>
        <w:t xml:space="preserve">on payment </w:t>
      </w:r>
      <w:r w:rsidR="007C5386" w:rsidRPr="001D767D">
        <w:rPr>
          <w:rFonts w:ascii="Times New Roman" w:eastAsia="Times New Roman" w:hAnsi="Times New Roman" w:cs="Times New Roman"/>
          <w:sz w:val="20"/>
          <w:szCs w:val="20"/>
        </w:rPr>
        <w:t>of</w:t>
      </w:r>
      <w:r w:rsidR="00590426" w:rsidRPr="001D767D">
        <w:rPr>
          <w:rFonts w:ascii="Times New Roman" w:eastAsia="Times New Roman" w:hAnsi="Times New Roman" w:cs="Times New Roman"/>
          <w:sz w:val="20"/>
          <w:szCs w:val="20"/>
        </w:rPr>
        <w:t xml:space="preserve"> </w:t>
      </w:r>
      <w:r w:rsidR="00590426" w:rsidRPr="001D767D">
        <w:rPr>
          <w:rFonts w:ascii="Times New Roman" w:hAnsi="Times New Roman"/>
          <w:sz w:val="20"/>
        </w:rPr>
        <w:t>a fee of</w:t>
      </w:r>
      <w:r w:rsidR="007C5386" w:rsidRPr="001D767D">
        <w:rPr>
          <w:rFonts w:ascii="Times New Roman" w:eastAsia="Times New Roman" w:hAnsi="Times New Roman" w:cs="Times New Roman"/>
          <w:sz w:val="20"/>
          <w:szCs w:val="20"/>
        </w:rPr>
        <w:t xml:space="preserve"> </w:t>
      </w:r>
      <w:r w:rsidR="00517310" w:rsidRPr="001D767D">
        <w:rPr>
          <w:rFonts w:ascii="Times New Roman" w:eastAsia="Times New Roman" w:hAnsi="Times New Roman" w:cs="Times New Roman"/>
          <w:sz w:val="20"/>
          <w:szCs w:val="20"/>
        </w:rPr>
        <w:t>€</w:t>
      </w:r>
      <w:r w:rsidR="007C5386" w:rsidRPr="001D767D">
        <w:rPr>
          <w:rFonts w:ascii="Times New Roman" w:eastAsia="Times New Roman" w:hAnsi="Times New Roman" w:cs="Times New Roman"/>
          <w:sz w:val="20"/>
          <w:szCs w:val="20"/>
        </w:rPr>
        <w:t>20</w:t>
      </w:r>
      <w:r w:rsidR="00A0460E" w:rsidRPr="001D767D">
        <w:rPr>
          <w:rFonts w:ascii="Times New Roman" w:eastAsia="Times New Roman" w:hAnsi="Times New Roman" w:cs="Times New Roman"/>
          <w:sz w:val="20"/>
          <w:szCs w:val="20"/>
        </w:rPr>
        <w:t>.</w:t>
      </w:r>
      <w:r w:rsidR="00FC1568" w:rsidRPr="001D767D">
        <w:rPr>
          <w:rFonts w:ascii="Times New Roman" w:hAnsi="Times New Roman" w:cs="Times New Roman"/>
          <w:sz w:val="20"/>
          <w:szCs w:val="20"/>
          <w:vertAlign w:val="superscript"/>
        </w:rPr>
        <w:footnoteReference w:id="19"/>
      </w:r>
      <w:r w:rsidR="00FC1568" w:rsidRPr="001D767D">
        <w:rPr>
          <w:rFonts w:ascii="Times New Roman" w:eastAsia="Times New Roman" w:hAnsi="Times New Roman" w:cs="Times New Roman"/>
          <w:sz w:val="20"/>
          <w:szCs w:val="20"/>
        </w:rPr>
        <w:t xml:space="preserve"> </w:t>
      </w:r>
      <w:bookmarkStart w:id="12" w:name="_Ref476749204"/>
      <w:r w:rsidR="000E4C5B" w:rsidRPr="001D767D">
        <w:rPr>
          <w:rFonts w:ascii="Times New Roman" w:eastAsia="Times New Roman" w:hAnsi="Times New Roman" w:cs="Times New Roman"/>
          <w:sz w:val="20"/>
          <w:szCs w:val="20"/>
        </w:rPr>
        <w:t>An environmental impact statement was included with the application.</w:t>
      </w:r>
      <w:r w:rsidR="000E4C5B" w:rsidRPr="001D767D">
        <w:rPr>
          <w:rStyle w:val="FootnoteReference"/>
          <w:rFonts w:ascii="Times New Roman" w:eastAsia="Times New Roman" w:hAnsi="Times New Roman" w:cs="Times New Roman"/>
          <w:sz w:val="20"/>
          <w:szCs w:val="20"/>
        </w:rPr>
        <w:footnoteReference w:id="20"/>
      </w:r>
      <w:r w:rsidR="000E4C5B" w:rsidRPr="001D767D">
        <w:rPr>
          <w:rFonts w:ascii="Times New Roman" w:eastAsia="Times New Roman" w:hAnsi="Times New Roman" w:cs="Times New Roman"/>
          <w:sz w:val="20"/>
          <w:szCs w:val="20"/>
        </w:rPr>
        <w:t xml:space="preserve"> </w:t>
      </w:r>
      <w:r w:rsidR="00FC1568" w:rsidRPr="001D767D">
        <w:rPr>
          <w:rFonts w:ascii="Times New Roman" w:eastAsia="Times New Roman" w:hAnsi="Times New Roman" w:cs="Times New Roman"/>
          <w:sz w:val="20"/>
          <w:szCs w:val="20"/>
        </w:rPr>
        <w:t xml:space="preserve">On 7 January 2010, Meath County Council granted </w:t>
      </w:r>
      <w:r w:rsidR="00600977" w:rsidRPr="001D767D">
        <w:rPr>
          <w:rFonts w:ascii="Times New Roman" w:hAnsi="Times New Roman"/>
          <w:sz w:val="20"/>
        </w:rPr>
        <w:t>a permit</w:t>
      </w:r>
      <w:r w:rsidR="00FC1568" w:rsidRPr="001D767D">
        <w:rPr>
          <w:rFonts w:ascii="Times New Roman" w:eastAsia="Times New Roman" w:hAnsi="Times New Roman" w:cs="Times New Roman"/>
          <w:sz w:val="20"/>
          <w:szCs w:val="20"/>
        </w:rPr>
        <w:t xml:space="preserve"> to the developer permitting the extension of the quarry by 4.274 hectares (planning reference no. TA/900976). An appeal against </w:t>
      </w:r>
      <w:r w:rsidR="00FC1568" w:rsidRPr="001D767D">
        <w:rPr>
          <w:rFonts w:ascii="Times New Roman" w:hAnsi="Times New Roman"/>
          <w:sz w:val="20"/>
        </w:rPr>
        <w:t xml:space="preserve">the </w:t>
      </w:r>
      <w:r w:rsidR="00600977" w:rsidRPr="001D767D">
        <w:rPr>
          <w:rFonts w:ascii="Times New Roman" w:hAnsi="Times New Roman"/>
          <w:sz w:val="20"/>
        </w:rPr>
        <w:t>permit</w:t>
      </w:r>
      <w:r w:rsidR="00A1630D" w:rsidRPr="001D767D">
        <w:rPr>
          <w:rFonts w:ascii="Times New Roman" w:eastAsia="Times New Roman" w:hAnsi="Times New Roman" w:cs="Times New Roman"/>
          <w:sz w:val="20"/>
          <w:szCs w:val="20"/>
        </w:rPr>
        <w:t xml:space="preserve"> </w:t>
      </w:r>
      <w:r w:rsidR="00FC1568" w:rsidRPr="001D767D">
        <w:rPr>
          <w:rFonts w:ascii="Times New Roman" w:eastAsia="Times New Roman" w:hAnsi="Times New Roman" w:cs="Times New Roman"/>
          <w:sz w:val="20"/>
          <w:szCs w:val="20"/>
        </w:rPr>
        <w:t xml:space="preserve">was rejected by </w:t>
      </w:r>
      <w:proofErr w:type="gramStart"/>
      <w:r w:rsidR="00FC1568" w:rsidRPr="001D767D">
        <w:rPr>
          <w:rFonts w:ascii="Times New Roman" w:eastAsia="Times New Roman" w:hAnsi="Times New Roman" w:cs="Times New Roman"/>
          <w:sz w:val="20"/>
          <w:szCs w:val="20"/>
        </w:rPr>
        <w:t>An</w:t>
      </w:r>
      <w:proofErr w:type="gramEnd"/>
      <w:r w:rsidR="00FC1568" w:rsidRPr="001D767D">
        <w:rPr>
          <w:rFonts w:ascii="Times New Roman" w:eastAsia="Times New Roman" w:hAnsi="Times New Roman" w:cs="Times New Roman"/>
          <w:sz w:val="20"/>
          <w:szCs w:val="20"/>
        </w:rPr>
        <w:t xml:space="preserve"> </w:t>
      </w:r>
      <w:proofErr w:type="spellStart"/>
      <w:r w:rsidR="00FC1568" w:rsidRPr="001D767D">
        <w:rPr>
          <w:rFonts w:ascii="Times New Roman" w:eastAsia="Times New Roman" w:hAnsi="Times New Roman" w:cs="Times New Roman"/>
          <w:sz w:val="20"/>
          <w:szCs w:val="20"/>
        </w:rPr>
        <w:t>Bord</w:t>
      </w:r>
      <w:proofErr w:type="spellEnd"/>
      <w:r w:rsidR="00FC1568" w:rsidRPr="001D767D">
        <w:rPr>
          <w:rFonts w:ascii="Times New Roman" w:eastAsia="Times New Roman" w:hAnsi="Times New Roman" w:cs="Times New Roman"/>
          <w:sz w:val="20"/>
          <w:szCs w:val="20"/>
        </w:rPr>
        <w:t xml:space="preserve"> </w:t>
      </w:r>
      <w:proofErr w:type="spellStart"/>
      <w:r w:rsidR="00FC1568" w:rsidRPr="001D767D">
        <w:rPr>
          <w:rFonts w:ascii="Times New Roman" w:eastAsia="Times New Roman" w:hAnsi="Times New Roman" w:cs="Times New Roman"/>
          <w:sz w:val="20"/>
          <w:szCs w:val="20"/>
        </w:rPr>
        <w:t>Pleanála</w:t>
      </w:r>
      <w:proofErr w:type="spellEnd"/>
      <w:r w:rsidR="00FC1568" w:rsidRPr="001D767D">
        <w:rPr>
          <w:rFonts w:ascii="Times New Roman" w:eastAsia="Times New Roman" w:hAnsi="Times New Roman" w:cs="Times New Roman"/>
          <w:sz w:val="20"/>
          <w:szCs w:val="20"/>
        </w:rPr>
        <w:t xml:space="preserve"> on 3 August </w:t>
      </w:r>
      <w:r w:rsidR="00FC1568" w:rsidRPr="001D767D">
        <w:rPr>
          <w:rFonts w:ascii="Times New Roman" w:eastAsia="Times New Roman" w:hAnsi="Times New Roman" w:cs="Times New Roman"/>
          <w:sz w:val="20"/>
          <w:szCs w:val="20"/>
        </w:rPr>
        <w:lastRenderedPageBreak/>
        <w:t>2010 (reference no. PL 17.235960)</w:t>
      </w:r>
      <w:r w:rsidR="00551615" w:rsidRPr="001D767D">
        <w:rPr>
          <w:rFonts w:ascii="Times New Roman" w:eastAsia="Times New Roman" w:hAnsi="Times New Roman" w:cs="Times New Roman"/>
          <w:sz w:val="20"/>
          <w:szCs w:val="20"/>
        </w:rPr>
        <w:t xml:space="preserve">. </w:t>
      </w:r>
      <w:proofErr w:type="gramStart"/>
      <w:r w:rsidR="00551615" w:rsidRPr="001D767D">
        <w:rPr>
          <w:rFonts w:ascii="Times New Roman" w:eastAsia="Times New Roman" w:hAnsi="Times New Roman" w:cs="Times New Roman"/>
          <w:sz w:val="20"/>
          <w:szCs w:val="20"/>
        </w:rPr>
        <w:t>An</w:t>
      </w:r>
      <w:proofErr w:type="gramEnd"/>
      <w:r w:rsidR="00551615" w:rsidRPr="001D767D">
        <w:rPr>
          <w:rFonts w:ascii="Times New Roman" w:eastAsia="Times New Roman" w:hAnsi="Times New Roman" w:cs="Times New Roman"/>
          <w:sz w:val="20"/>
          <w:szCs w:val="20"/>
        </w:rPr>
        <w:t xml:space="preserve"> </w:t>
      </w:r>
      <w:proofErr w:type="spellStart"/>
      <w:r w:rsidR="00551615" w:rsidRPr="001D767D">
        <w:rPr>
          <w:rFonts w:ascii="Times New Roman" w:eastAsia="Times New Roman" w:hAnsi="Times New Roman" w:cs="Times New Roman"/>
          <w:sz w:val="20"/>
          <w:szCs w:val="20"/>
        </w:rPr>
        <w:t>Bord</w:t>
      </w:r>
      <w:proofErr w:type="spellEnd"/>
      <w:r w:rsidR="00551615" w:rsidRPr="001D767D">
        <w:rPr>
          <w:rFonts w:ascii="Times New Roman" w:eastAsia="Times New Roman" w:hAnsi="Times New Roman" w:cs="Times New Roman"/>
          <w:sz w:val="20"/>
          <w:szCs w:val="20"/>
        </w:rPr>
        <w:t xml:space="preserve"> </w:t>
      </w:r>
      <w:proofErr w:type="spellStart"/>
      <w:r w:rsidR="00551615" w:rsidRPr="001D767D">
        <w:rPr>
          <w:rFonts w:ascii="Times New Roman" w:eastAsia="Times New Roman" w:hAnsi="Times New Roman" w:cs="Times New Roman"/>
          <w:sz w:val="20"/>
          <w:szCs w:val="20"/>
        </w:rPr>
        <w:t>Pleanála</w:t>
      </w:r>
      <w:proofErr w:type="spellEnd"/>
      <w:r w:rsidR="00551615" w:rsidRPr="001D767D">
        <w:rPr>
          <w:rFonts w:ascii="Times New Roman" w:eastAsia="Times New Roman" w:hAnsi="Times New Roman" w:cs="Times New Roman"/>
          <w:sz w:val="20"/>
          <w:szCs w:val="20"/>
        </w:rPr>
        <w:t xml:space="preserve"> set </w:t>
      </w:r>
      <w:r w:rsidR="00FC1568" w:rsidRPr="001D767D">
        <w:rPr>
          <w:rFonts w:ascii="Times New Roman" w:hAnsi="Times New Roman"/>
          <w:sz w:val="20"/>
        </w:rPr>
        <w:t xml:space="preserve">5 August 2013 as the date when </w:t>
      </w:r>
      <w:r w:rsidR="00551615" w:rsidRPr="001D767D">
        <w:rPr>
          <w:rFonts w:ascii="Times New Roman" w:hAnsi="Times New Roman"/>
          <w:sz w:val="20"/>
        </w:rPr>
        <w:t xml:space="preserve">the permit </w:t>
      </w:r>
      <w:r w:rsidRPr="001D767D">
        <w:rPr>
          <w:rFonts w:ascii="Times New Roman" w:hAnsi="Times New Roman"/>
          <w:sz w:val="20"/>
        </w:rPr>
        <w:t>was to</w:t>
      </w:r>
      <w:r w:rsidR="00FC1568" w:rsidRPr="001D767D">
        <w:rPr>
          <w:rFonts w:ascii="Times New Roman" w:hAnsi="Times New Roman"/>
          <w:sz w:val="20"/>
        </w:rPr>
        <w:t xml:space="preserve"> </w:t>
      </w:r>
      <w:r w:rsidR="00A1630D" w:rsidRPr="001D767D">
        <w:rPr>
          <w:rFonts w:ascii="Times New Roman" w:eastAsia="Times New Roman" w:hAnsi="Times New Roman" w:cs="Times New Roman"/>
          <w:sz w:val="20"/>
          <w:szCs w:val="20"/>
        </w:rPr>
        <w:t>expire</w:t>
      </w:r>
      <w:r w:rsidR="00FC1568" w:rsidRPr="001D767D">
        <w:rPr>
          <w:rFonts w:ascii="Times New Roman" w:eastAsia="Times New Roman" w:hAnsi="Times New Roman" w:cs="Times New Roman"/>
          <w:sz w:val="20"/>
          <w:szCs w:val="20"/>
        </w:rPr>
        <w:t>.</w:t>
      </w:r>
      <w:r w:rsidR="00FC1568" w:rsidRPr="001D767D">
        <w:rPr>
          <w:rFonts w:ascii="Times New Roman" w:hAnsi="Times New Roman" w:cs="Times New Roman"/>
          <w:sz w:val="20"/>
          <w:szCs w:val="20"/>
          <w:vertAlign w:val="superscript"/>
        </w:rPr>
        <w:footnoteReference w:id="21"/>
      </w:r>
      <w:bookmarkEnd w:id="12"/>
    </w:p>
    <w:p w14:paraId="75F1AACD" w14:textId="3D400E51" w:rsidR="00FC1568" w:rsidRPr="001D767D" w:rsidRDefault="00FC1568" w:rsidP="00CA3343">
      <w:pPr>
        <w:numPr>
          <w:ilvl w:val="0"/>
          <w:numId w:val="2"/>
        </w:numPr>
        <w:tabs>
          <w:tab w:val="right" w:pos="993"/>
          <w:tab w:val="left" w:pos="1080"/>
        </w:tabs>
        <w:spacing w:after="120" w:line="240" w:lineRule="atLeast"/>
        <w:ind w:left="540" w:right="-1" w:firstLine="0"/>
        <w:jc w:val="both"/>
        <w:rPr>
          <w:rFonts w:ascii="Times New Roman" w:eastAsia="Times New Roman" w:hAnsi="Times New Roman" w:cs="Times New Roman"/>
          <w:sz w:val="20"/>
          <w:szCs w:val="20"/>
        </w:rPr>
      </w:pPr>
      <w:r w:rsidRPr="001D767D">
        <w:rPr>
          <w:rFonts w:ascii="Times New Roman" w:eastAsia="Times New Roman" w:hAnsi="Times New Roman" w:cs="Times New Roman"/>
          <w:sz w:val="20"/>
          <w:szCs w:val="20"/>
        </w:rPr>
        <w:t xml:space="preserve">On 30 May 2013, the developer submitted applications to extend the duration of the three </w:t>
      </w:r>
      <w:r w:rsidR="00551615" w:rsidRPr="001D767D">
        <w:rPr>
          <w:rFonts w:ascii="Times New Roman" w:eastAsia="Times New Roman" w:hAnsi="Times New Roman" w:cs="Times New Roman"/>
          <w:sz w:val="20"/>
          <w:szCs w:val="20"/>
        </w:rPr>
        <w:t xml:space="preserve">permits </w:t>
      </w:r>
      <w:r w:rsidRPr="001D767D">
        <w:rPr>
          <w:rFonts w:ascii="Times New Roman" w:eastAsia="Times New Roman" w:hAnsi="Times New Roman" w:cs="Times New Roman"/>
          <w:sz w:val="20"/>
          <w:szCs w:val="20"/>
        </w:rPr>
        <w:t xml:space="preserve">granted in </w:t>
      </w:r>
      <w:r w:rsidR="003167D6" w:rsidRPr="001D767D">
        <w:rPr>
          <w:rFonts w:ascii="Times New Roman" w:eastAsia="Times New Roman" w:hAnsi="Times New Roman" w:cs="Times New Roman"/>
          <w:sz w:val="20"/>
          <w:szCs w:val="20"/>
        </w:rPr>
        <w:t>1998</w:t>
      </w:r>
      <w:r w:rsidRPr="001D767D">
        <w:rPr>
          <w:rFonts w:ascii="Times New Roman" w:eastAsia="Times New Roman" w:hAnsi="Times New Roman" w:cs="Times New Roman"/>
          <w:sz w:val="20"/>
          <w:szCs w:val="20"/>
        </w:rPr>
        <w:t>, 2004 and 2010 (reference nos. 97/1868, TA/30334 and TA/900976).</w:t>
      </w:r>
      <w:r w:rsidRPr="001D767D">
        <w:rPr>
          <w:rFonts w:ascii="Times New Roman" w:hAnsi="Times New Roman" w:cs="Times New Roman"/>
          <w:sz w:val="20"/>
          <w:szCs w:val="20"/>
          <w:vertAlign w:val="superscript"/>
        </w:rPr>
        <w:footnoteReference w:id="22"/>
      </w:r>
      <w:r w:rsidRPr="001D767D">
        <w:rPr>
          <w:rFonts w:ascii="Times New Roman" w:eastAsia="Times New Roman" w:hAnsi="Times New Roman" w:cs="Times New Roman"/>
          <w:sz w:val="20"/>
          <w:szCs w:val="20"/>
          <w:vertAlign w:val="superscript"/>
        </w:rPr>
        <w:t xml:space="preserve"> </w:t>
      </w:r>
      <w:r w:rsidRPr="001D767D">
        <w:rPr>
          <w:rFonts w:ascii="Times New Roman" w:hAnsi="Times New Roman"/>
          <w:sz w:val="20"/>
        </w:rPr>
        <w:t>The</w:t>
      </w:r>
      <w:r w:rsidR="00AE616E" w:rsidRPr="001D767D">
        <w:rPr>
          <w:rFonts w:ascii="Times New Roman" w:hAnsi="Times New Roman"/>
          <w:sz w:val="20"/>
        </w:rPr>
        <w:t xml:space="preserve"> public was not notified of these </w:t>
      </w:r>
      <w:r w:rsidRPr="001D767D">
        <w:rPr>
          <w:rFonts w:ascii="Times New Roman" w:hAnsi="Times New Roman"/>
          <w:sz w:val="20"/>
        </w:rPr>
        <w:t>applications.</w:t>
      </w:r>
    </w:p>
    <w:p w14:paraId="5332689E" w14:textId="7B96722A" w:rsidR="00FC1568" w:rsidRPr="001D767D" w:rsidRDefault="00FC1568" w:rsidP="00784840">
      <w:pPr>
        <w:numPr>
          <w:ilvl w:val="0"/>
          <w:numId w:val="2"/>
        </w:numPr>
        <w:tabs>
          <w:tab w:val="right" w:pos="993"/>
          <w:tab w:val="left" w:pos="1080"/>
        </w:tabs>
        <w:spacing w:after="120" w:line="240" w:lineRule="atLeast"/>
        <w:ind w:left="540" w:right="-1" w:firstLine="0"/>
        <w:jc w:val="both"/>
        <w:rPr>
          <w:rFonts w:ascii="Times New Roman" w:eastAsia="Times New Roman" w:hAnsi="Times New Roman" w:cs="Times New Roman"/>
          <w:sz w:val="20"/>
          <w:szCs w:val="20"/>
        </w:rPr>
      </w:pPr>
      <w:bookmarkStart w:id="13" w:name="_Ref476738223"/>
      <w:r w:rsidRPr="001D767D">
        <w:rPr>
          <w:rFonts w:ascii="Times New Roman" w:eastAsia="Times New Roman" w:hAnsi="Times New Roman" w:cs="Times New Roman"/>
          <w:sz w:val="20"/>
          <w:szCs w:val="20"/>
        </w:rPr>
        <w:t>On 24 July 2013</w:t>
      </w:r>
      <w:r w:rsidR="000D5D67" w:rsidRPr="001D767D">
        <w:rPr>
          <w:rFonts w:ascii="Times New Roman" w:eastAsia="Times New Roman" w:hAnsi="Times New Roman" w:cs="Times New Roman"/>
          <w:sz w:val="20"/>
          <w:szCs w:val="20"/>
        </w:rPr>
        <w:t>,</w:t>
      </w:r>
      <w:r w:rsidRPr="001D767D">
        <w:rPr>
          <w:rFonts w:ascii="Times New Roman" w:eastAsia="Times New Roman" w:hAnsi="Times New Roman" w:cs="Times New Roman"/>
          <w:sz w:val="20"/>
          <w:szCs w:val="20"/>
        </w:rPr>
        <w:t xml:space="preserve"> </w:t>
      </w:r>
      <w:r w:rsidR="007C5386" w:rsidRPr="001D767D">
        <w:rPr>
          <w:rFonts w:ascii="Times New Roman" w:eastAsia="Times New Roman" w:hAnsi="Times New Roman" w:cs="Times New Roman"/>
          <w:sz w:val="20"/>
          <w:szCs w:val="20"/>
        </w:rPr>
        <w:t xml:space="preserve">Meath County Council granted </w:t>
      </w:r>
      <w:r w:rsidR="00551615" w:rsidRPr="001D767D">
        <w:rPr>
          <w:rFonts w:ascii="Times New Roman" w:eastAsia="Times New Roman" w:hAnsi="Times New Roman" w:cs="Times New Roman"/>
          <w:sz w:val="20"/>
          <w:szCs w:val="20"/>
        </w:rPr>
        <w:t xml:space="preserve">permits </w:t>
      </w:r>
      <w:r w:rsidR="000D5D67" w:rsidRPr="001D767D">
        <w:rPr>
          <w:rFonts w:ascii="Times New Roman" w:eastAsia="Times New Roman" w:hAnsi="Times New Roman" w:cs="Times New Roman"/>
          <w:sz w:val="20"/>
          <w:szCs w:val="20"/>
        </w:rPr>
        <w:t xml:space="preserve">to extend the duration of </w:t>
      </w:r>
      <w:r w:rsidR="00AE616E" w:rsidRPr="001D767D">
        <w:rPr>
          <w:rFonts w:ascii="Times New Roman" w:eastAsia="Times New Roman" w:hAnsi="Times New Roman" w:cs="Times New Roman"/>
          <w:sz w:val="20"/>
          <w:szCs w:val="20"/>
        </w:rPr>
        <w:t>the 1998 and 2004</w:t>
      </w:r>
      <w:r w:rsidRPr="001D767D">
        <w:rPr>
          <w:rFonts w:ascii="Times New Roman" w:eastAsia="Times New Roman" w:hAnsi="Times New Roman" w:cs="Times New Roman"/>
          <w:sz w:val="20"/>
          <w:szCs w:val="20"/>
        </w:rPr>
        <w:t xml:space="preserve"> </w:t>
      </w:r>
      <w:r w:rsidRPr="001D767D">
        <w:rPr>
          <w:rFonts w:ascii="Times New Roman" w:hAnsi="Times New Roman"/>
          <w:sz w:val="20"/>
        </w:rPr>
        <w:t>permits</w:t>
      </w:r>
      <w:r w:rsidRPr="001D767D">
        <w:rPr>
          <w:rFonts w:ascii="Times New Roman" w:eastAsia="Times New Roman" w:hAnsi="Times New Roman" w:cs="Times New Roman"/>
          <w:sz w:val="20"/>
          <w:szCs w:val="20"/>
        </w:rPr>
        <w:t xml:space="preserve"> (reference nos. 97/1868 and TA/30334) under section 42(1)(a)(</w:t>
      </w:r>
      <w:proofErr w:type="spellStart"/>
      <w:r w:rsidRPr="001D767D">
        <w:rPr>
          <w:rFonts w:ascii="Times New Roman" w:eastAsia="Times New Roman" w:hAnsi="Times New Roman" w:cs="Times New Roman"/>
          <w:sz w:val="20"/>
          <w:szCs w:val="20"/>
        </w:rPr>
        <w:t>i</w:t>
      </w:r>
      <w:proofErr w:type="spellEnd"/>
      <w:r w:rsidRPr="001D767D">
        <w:rPr>
          <w:rFonts w:ascii="Times New Roman" w:eastAsia="Times New Roman" w:hAnsi="Times New Roman" w:cs="Times New Roman"/>
          <w:sz w:val="20"/>
          <w:szCs w:val="20"/>
        </w:rPr>
        <w:t xml:space="preserve">) of the Planning </w:t>
      </w:r>
      <w:r w:rsidR="000D5D67" w:rsidRPr="001D767D">
        <w:rPr>
          <w:rFonts w:ascii="Times New Roman" w:eastAsia="Times New Roman" w:hAnsi="Times New Roman" w:cs="Times New Roman"/>
          <w:sz w:val="20"/>
          <w:szCs w:val="20"/>
        </w:rPr>
        <w:t xml:space="preserve">and </w:t>
      </w:r>
      <w:r w:rsidRPr="001D767D">
        <w:rPr>
          <w:rFonts w:ascii="Times New Roman" w:eastAsia="Times New Roman" w:hAnsi="Times New Roman" w:cs="Times New Roman"/>
          <w:sz w:val="20"/>
          <w:szCs w:val="20"/>
        </w:rPr>
        <w:t>Development Act 2000 (extension of duration reference nos. TA/130399 and TA/130400).</w:t>
      </w:r>
      <w:r w:rsidRPr="001D767D">
        <w:rPr>
          <w:rFonts w:ascii="Times New Roman" w:hAnsi="Times New Roman" w:cs="Times New Roman"/>
          <w:sz w:val="20"/>
          <w:szCs w:val="20"/>
          <w:vertAlign w:val="superscript"/>
        </w:rPr>
        <w:footnoteReference w:id="23"/>
      </w:r>
      <w:r w:rsidRPr="001D767D">
        <w:rPr>
          <w:rFonts w:ascii="Times New Roman" w:eastAsia="Times New Roman" w:hAnsi="Times New Roman" w:cs="Times New Roman"/>
          <w:sz w:val="20"/>
          <w:szCs w:val="20"/>
        </w:rPr>
        <w:t xml:space="preserve"> The expiry of the extension date was listed as 5 August 2018. On the same day, the </w:t>
      </w:r>
      <w:r w:rsidR="000D5D67" w:rsidRPr="001D767D">
        <w:rPr>
          <w:rFonts w:ascii="Times New Roman" w:eastAsia="Times New Roman" w:hAnsi="Times New Roman" w:cs="Times New Roman"/>
          <w:sz w:val="20"/>
          <w:szCs w:val="20"/>
        </w:rPr>
        <w:t>request to extend</w:t>
      </w:r>
      <w:r w:rsidRPr="001D767D">
        <w:rPr>
          <w:rFonts w:ascii="Times New Roman" w:eastAsia="Times New Roman" w:hAnsi="Times New Roman" w:cs="Times New Roman"/>
          <w:sz w:val="20"/>
          <w:szCs w:val="20"/>
        </w:rPr>
        <w:t xml:space="preserve"> </w:t>
      </w:r>
      <w:r w:rsidR="000D5D67" w:rsidRPr="001D767D">
        <w:rPr>
          <w:rFonts w:ascii="Times New Roman" w:eastAsia="Times New Roman" w:hAnsi="Times New Roman" w:cs="Times New Roman"/>
          <w:sz w:val="20"/>
          <w:szCs w:val="20"/>
        </w:rPr>
        <w:t xml:space="preserve">the duration </w:t>
      </w:r>
      <w:r w:rsidRPr="001D767D">
        <w:rPr>
          <w:rFonts w:ascii="Times New Roman" w:eastAsia="Times New Roman" w:hAnsi="Times New Roman" w:cs="Times New Roman"/>
          <w:sz w:val="20"/>
          <w:szCs w:val="20"/>
        </w:rPr>
        <w:t>of permit TA/900976 was refused (extension of duration reference no. TA/130401) because the applicant did not demonstrate that significant works had been carried out.</w:t>
      </w:r>
      <w:bookmarkEnd w:id="13"/>
      <w:r w:rsidRPr="001D767D">
        <w:rPr>
          <w:rFonts w:ascii="Times New Roman" w:hAnsi="Times New Roman" w:cs="Times New Roman"/>
          <w:sz w:val="20"/>
          <w:szCs w:val="20"/>
          <w:vertAlign w:val="superscript"/>
        </w:rPr>
        <w:footnoteReference w:id="24"/>
      </w:r>
    </w:p>
    <w:p w14:paraId="4FE44FD6" w14:textId="4A8816CD" w:rsidR="00FC1568" w:rsidRPr="001D767D" w:rsidRDefault="00FC1568" w:rsidP="00784840">
      <w:pPr>
        <w:numPr>
          <w:ilvl w:val="0"/>
          <w:numId w:val="2"/>
        </w:numPr>
        <w:tabs>
          <w:tab w:val="right" w:pos="993"/>
          <w:tab w:val="left" w:pos="1080"/>
        </w:tabs>
        <w:spacing w:after="120" w:line="240" w:lineRule="atLeast"/>
        <w:ind w:left="540" w:right="-1" w:firstLine="0"/>
        <w:jc w:val="both"/>
        <w:rPr>
          <w:rFonts w:ascii="Times New Roman" w:eastAsia="Times New Roman" w:hAnsi="Times New Roman" w:cs="Times New Roman"/>
          <w:sz w:val="20"/>
          <w:szCs w:val="20"/>
        </w:rPr>
      </w:pPr>
      <w:r w:rsidRPr="001D767D">
        <w:rPr>
          <w:rFonts w:ascii="Times New Roman" w:eastAsia="Times New Roman" w:hAnsi="Times New Roman" w:cs="Times New Roman"/>
          <w:sz w:val="20"/>
          <w:szCs w:val="20"/>
        </w:rPr>
        <w:t xml:space="preserve">On 13 September 2013, while searching the website of the planning authority for an unrelated file, the communicant became aware of the </w:t>
      </w:r>
      <w:r w:rsidR="00551615" w:rsidRPr="001D767D">
        <w:rPr>
          <w:rFonts w:ascii="Times New Roman" w:eastAsia="Times New Roman" w:hAnsi="Times New Roman" w:cs="Times New Roman"/>
          <w:sz w:val="20"/>
          <w:szCs w:val="20"/>
        </w:rPr>
        <w:t>permit extensions</w:t>
      </w:r>
      <w:r w:rsidRPr="001D767D">
        <w:rPr>
          <w:rFonts w:ascii="Times New Roman" w:eastAsia="Times New Roman" w:hAnsi="Times New Roman" w:cs="Times New Roman"/>
          <w:sz w:val="20"/>
          <w:szCs w:val="20"/>
        </w:rPr>
        <w:t>.</w:t>
      </w:r>
    </w:p>
    <w:p w14:paraId="04D7A7CD" w14:textId="16DFF876" w:rsidR="00FC1568" w:rsidRPr="001D767D" w:rsidRDefault="00FC1568" w:rsidP="00784840">
      <w:pPr>
        <w:numPr>
          <w:ilvl w:val="0"/>
          <w:numId w:val="2"/>
        </w:numPr>
        <w:tabs>
          <w:tab w:val="right" w:pos="993"/>
          <w:tab w:val="left" w:pos="1080"/>
        </w:tabs>
        <w:spacing w:after="120" w:line="240" w:lineRule="atLeast"/>
        <w:ind w:left="540" w:right="-1" w:firstLine="0"/>
        <w:jc w:val="both"/>
        <w:rPr>
          <w:rFonts w:ascii="Times New Roman" w:eastAsia="Times New Roman" w:hAnsi="Times New Roman" w:cs="Times New Roman"/>
          <w:sz w:val="20"/>
          <w:szCs w:val="20"/>
        </w:rPr>
      </w:pPr>
      <w:bookmarkStart w:id="14" w:name="_Ref476738224"/>
      <w:r w:rsidRPr="001D767D">
        <w:rPr>
          <w:rFonts w:ascii="Times New Roman" w:eastAsia="Times New Roman" w:hAnsi="Times New Roman" w:cs="Times New Roman"/>
          <w:sz w:val="20"/>
          <w:szCs w:val="20"/>
        </w:rPr>
        <w:t xml:space="preserve">On 5 November 2013, </w:t>
      </w:r>
      <w:r w:rsidR="00551615" w:rsidRPr="001D767D">
        <w:rPr>
          <w:rFonts w:ascii="Times New Roman" w:eastAsia="Times New Roman" w:hAnsi="Times New Roman" w:cs="Times New Roman"/>
          <w:sz w:val="20"/>
          <w:szCs w:val="20"/>
        </w:rPr>
        <w:t>a permit extension</w:t>
      </w:r>
      <w:r w:rsidRPr="001D767D">
        <w:rPr>
          <w:rFonts w:ascii="Times New Roman" w:eastAsia="Times New Roman" w:hAnsi="Times New Roman" w:cs="Times New Roman"/>
          <w:sz w:val="20"/>
          <w:szCs w:val="20"/>
        </w:rPr>
        <w:t xml:space="preserve"> was granted for the </w:t>
      </w:r>
      <w:r w:rsidR="00AE616E" w:rsidRPr="001D767D">
        <w:rPr>
          <w:rFonts w:ascii="Times New Roman" w:eastAsia="Times New Roman" w:hAnsi="Times New Roman" w:cs="Times New Roman"/>
          <w:sz w:val="20"/>
          <w:szCs w:val="20"/>
        </w:rPr>
        <w:t xml:space="preserve">2010 </w:t>
      </w:r>
      <w:r w:rsidRPr="001D767D">
        <w:rPr>
          <w:rFonts w:ascii="Times New Roman" w:hAnsi="Times New Roman"/>
          <w:sz w:val="20"/>
        </w:rPr>
        <w:t>permit</w:t>
      </w:r>
      <w:r w:rsidRPr="001D767D">
        <w:rPr>
          <w:rFonts w:ascii="Times New Roman" w:eastAsia="Times New Roman" w:hAnsi="Times New Roman" w:cs="Times New Roman"/>
          <w:sz w:val="20"/>
          <w:szCs w:val="20"/>
        </w:rPr>
        <w:t xml:space="preserve"> TA/900976 under section 42(1)(a)(ii) instead (extension of duration reference no. TA/130581).</w:t>
      </w:r>
      <w:r w:rsidRPr="001D767D">
        <w:rPr>
          <w:rFonts w:ascii="Times New Roman" w:hAnsi="Times New Roman" w:cs="Times New Roman"/>
          <w:sz w:val="20"/>
          <w:szCs w:val="20"/>
          <w:vertAlign w:val="superscript"/>
        </w:rPr>
        <w:footnoteReference w:id="25"/>
      </w:r>
      <w:r w:rsidRPr="001D767D">
        <w:rPr>
          <w:rFonts w:ascii="Times New Roman" w:eastAsia="Times New Roman" w:hAnsi="Times New Roman" w:cs="Times New Roman"/>
          <w:sz w:val="20"/>
          <w:szCs w:val="20"/>
        </w:rPr>
        <w:t xml:space="preserve"> The expiry date</w:t>
      </w:r>
      <w:r w:rsidR="00551615" w:rsidRPr="001D767D">
        <w:rPr>
          <w:rFonts w:ascii="Times New Roman" w:eastAsia="Times New Roman" w:hAnsi="Times New Roman" w:cs="Times New Roman"/>
          <w:sz w:val="20"/>
          <w:szCs w:val="20"/>
        </w:rPr>
        <w:t xml:space="preserve"> of the extension</w:t>
      </w:r>
      <w:r w:rsidRPr="001D767D">
        <w:rPr>
          <w:rFonts w:ascii="Times New Roman" w:eastAsia="Times New Roman" w:hAnsi="Times New Roman" w:cs="Times New Roman"/>
          <w:sz w:val="20"/>
          <w:szCs w:val="20"/>
        </w:rPr>
        <w:t xml:space="preserve"> was listed as 5 August 2018.</w:t>
      </w:r>
      <w:bookmarkEnd w:id="14"/>
    </w:p>
    <w:p w14:paraId="604D1BE4" w14:textId="77777777" w:rsidR="00FC1568" w:rsidRPr="001D767D" w:rsidRDefault="00FC1568" w:rsidP="006D13E9">
      <w:pPr>
        <w:pStyle w:val="Heading3"/>
        <w:spacing w:after="120"/>
      </w:pPr>
      <w:r w:rsidRPr="001D767D">
        <w:t>Domestic remedies</w:t>
      </w:r>
    </w:p>
    <w:p w14:paraId="0933F16B" w14:textId="0DF28839" w:rsidR="00DA59E4" w:rsidRPr="001D767D" w:rsidRDefault="00DA59E4" w:rsidP="00784840">
      <w:pPr>
        <w:numPr>
          <w:ilvl w:val="0"/>
          <w:numId w:val="2"/>
        </w:numPr>
        <w:tabs>
          <w:tab w:val="right" w:pos="993"/>
          <w:tab w:val="left" w:pos="1080"/>
        </w:tabs>
        <w:spacing w:after="120" w:line="240" w:lineRule="atLeast"/>
        <w:ind w:left="540" w:right="-1" w:firstLine="0"/>
        <w:jc w:val="both"/>
        <w:rPr>
          <w:rFonts w:ascii="Times New Roman" w:eastAsia="Times New Roman" w:hAnsi="Times New Roman" w:cs="Times New Roman"/>
          <w:sz w:val="20"/>
          <w:szCs w:val="20"/>
        </w:rPr>
      </w:pPr>
      <w:r w:rsidRPr="001D767D">
        <w:rPr>
          <w:rFonts w:ascii="Times New Roman" w:eastAsia="Times New Roman" w:hAnsi="Times New Roman" w:cs="Times New Roman"/>
          <w:sz w:val="20"/>
          <w:szCs w:val="20"/>
        </w:rPr>
        <w:t>The communicant submits that judicial review is not in practice accessible to the public</w:t>
      </w:r>
      <w:r w:rsidR="001C5B26" w:rsidRPr="001D767D">
        <w:rPr>
          <w:rFonts w:ascii="Times New Roman" w:eastAsia="Times New Roman" w:hAnsi="Times New Roman" w:cs="Times New Roman"/>
          <w:sz w:val="20"/>
          <w:szCs w:val="20"/>
        </w:rPr>
        <w:t xml:space="preserve"> in the Party concerned</w:t>
      </w:r>
      <w:r w:rsidRPr="001D767D">
        <w:rPr>
          <w:rFonts w:ascii="Times New Roman" w:eastAsia="Times New Roman" w:hAnsi="Times New Roman" w:cs="Times New Roman"/>
          <w:sz w:val="20"/>
          <w:szCs w:val="20"/>
        </w:rPr>
        <w:t xml:space="preserve">, as such proceedings require large financial resources in the region of hundreds of thousands of </w:t>
      </w:r>
      <w:r w:rsidR="001C5B26" w:rsidRPr="001D767D">
        <w:rPr>
          <w:rFonts w:ascii="Times New Roman" w:eastAsia="Times New Roman" w:hAnsi="Times New Roman" w:cs="Times New Roman"/>
          <w:sz w:val="20"/>
          <w:szCs w:val="20"/>
        </w:rPr>
        <w:t>e</w:t>
      </w:r>
      <w:r w:rsidRPr="001D767D">
        <w:rPr>
          <w:rFonts w:ascii="Times New Roman" w:eastAsia="Times New Roman" w:hAnsi="Times New Roman" w:cs="Times New Roman"/>
          <w:sz w:val="20"/>
          <w:szCs w:val="20"/>
        </w:rPr>
        <w:t>uros and thus cannot be considered as a real remedy.</w:t>
      </w:r>
      <w:r w:rsidRPr="001D767D">
        <w:rPr>
          <w:rFonts w:ascii="Times New Roman" w:hAnsi="Times New Roman" w:cs="Times New Roman"/>
          <w:sz w:val="20"/>
          <w:szCs w:val="20"/>
          <w:vertAlign w:val="superscript"/>
        </w:rPr>
        <w:footnoteReference w:id="26"/>
      </w:r>
      <w:r w:rsidRPr="001D767D">
        <w:rPr>
          <w:rFonts w:ascii="Times New Roman" w:eastAsia="Times New Roman" w:hAnsi="Times New Roman" w:cs="Times New Roman"/>
          <w:sz w:val="20"/>
          <w:szCs w:val="20"/>
        </w:rPr>
        <w:t xml:space="preserve"> </w:t>
      </w:r>
      <w:r w:rsidR="0055798A" w:rsidRPr="001D767D">
        <w:rPr>
          <w:rFonts w:ascii="Times New Roman" w:eastAsia="Times New Roman" w:hAnsi="Times New Roman" w:cs="Times New Roman"/>
          <w:sz w:val="20"/>
          <w:szCs w:val="20"/>
        </w:rPr>
        <w:t>The</w:t>
      </w:r>
      <w:r w:rsidRPr="001D767D">
        <w:rPr>
          <w:rFonts w:ascii="Times New Roman" w:eastAsia="Times New Roman" w:hAnsi="Times New Roman" w:cs="Times New Roman"/>
          <w:sz w:val="20"/>
          <w:szCs w:val="20"/>
        </w:rPr>
        <w:t xml:space="preserve"> communicant supported </w:t>
      </w:r>
      <w:r w:rsidR="0055798A" w:rsidRPr="001D767D">
        <w:rPr>
          <w:rFonts w:ascii="Times New Roman" w:eastAsia="Times New Roman" w:hAnsi="Times New Roman" w:cs="Times New Roman"/>
          <w:sz w:val="20"/>
          <w:szCs w:val="20"/>
        </w:rPr>
        <w:t>his submission</w:t>
      </w:r>
      <w:r w:rsidRPr="001D767D">
        <w:rPr>
          <w:rFonts w:ascii="Times New Roman" w:eastAsia="Times New Roman" w:hAnsi="Times New Roman" w:cs="Times New Roman"/>
          <w:sz w:val="20"/>
          <w:szCs w:val="20"/>
        </w:rPr>
        <w:t xml:space="preserve"> with </w:t>
      </w:r>
      <w:r w:rsidR="0055798A" w:rsidRPr="001D767D">
        <w:rPr>
          <w:rFonts w:ascii="Times New Roman" w:eastAsia="Times New Roman" w:hAnsi="Times New Roman" w:cs="Times New Roman"/>
          <w:sz w:val="20"/>
          <w:szCs w:val="20"/>
        </w:rPr>
        <w:t>several examples, including from his own experience</w:t>
      </w:r>
      <w:r w:rsidRPr="001D767D">
        <w:rPr>
          <w:rFonts w:ascii="Times New Roman" w:eastAsia="Times New Roman" w:hAnsi="Times New Roman" w:cs="Times New Roman"/>
          <w:sz w:val="20"/>
          <w:szCs w:val="20"/>
        </w:rPr>
        <w:t>.</w:t>
      </w:r>
      <w:r w:rsidRPr="001D767D">
        <w:rPr>
          <w:rFonts w:ascii="Times New Roman" w:hAnsi="Times New Roman" w:cs="Times New Roman"/>
          <w:sz w:val="20"/>
          <w:szCs w:val="20"/>
          <w:vertAlign w:val="superscript"/>
        </w:rPr>
        <w:footnoteReference w:id="27"/>
      </w:r>
      <w:r w:rsidRPr="001D767D">
        <w:rPr>
          <w:rFonts w:ascii="Times New Roman" w:eastAsia="Times New Roman" w:hAnsi="Times New Roman" w:cs="Times New Roman"/>
          <w:sz w:val="20"/>
          <w:szCs w:val="20"/>
        </w:rPr>
        <w:t xml:space="preserve"> </w:t>
      </w:r>
      <w:r w:rsidR="00557803" w:rsidRPr="001D767D">
        <w:rPr>
          <w:rFonts w:ascii="Times New Roman" w:eastAsia="Times New Roman" w:hAnsi="Times New Roman" w:cs="Times New Roman"/>
          <w:sz w:val="20"/>
          <w:szCs w:val="20"/>
        </w:rPr>
        <w:t>The observer</w:t>
      </w:r>
      <w:r w:rsidR="00A1630D" w:rsidRPr="001D767D">
        <w:rPr>
          <w:rFonts w:ascii="Times New Roman" w:eastAsia="Times New Roman" w:hAnsi="Times New Roman" w:cs="Times New Roman"/>
          <w:sz w:val="20"/>
          <w:szCs w:val="20"/>
        </w:rPr>
        <w:t xml:space="preserve"> the </w:t>
      </w:r>
      <w:r w:rsidRPr="001D767D">
        <w:rPr>
          <w:rFonts w:ascii="Times New Roman" w:eastAsia="Times New Roman" w:hAnsi="Times New Roman" w:cs="Times New Roman"/>
          <w:sz w:val="20"/>
          <w:szCs w:val="20"/>
        </w:rPr>
        <w:t>Environmental Pillar</w:t>
      </w:r>
      <w:r w:rsidR="0055798A" w:rsidRPr="001D767D">
        <w:rPr>
          <w:rFonts w:ascii="Times New Roman" w:eastAsia="Times New Roman" w:hAnsi="Times New Roman" w:cs="Times New Roman"/>
          <w:sz w:val="20"/>
          <w:szCs w:val="20"/>
        </w:rPr>
        <w:t xml:space="preserve"> provided a lengthy submission in support of his assessment</w:t>
      </w:r>
      <w:r w:rsidRPr="001D767D">
        <w:rPr>
          <w:rFonts w:ascii="Times New Roman" w:eastAsia="Times New Roman" w:hAnsi="Times New Roman" w:cs="Times New Roman"/>
          <w:sz w:val="20"/>
          <w:szCs w:val="20"/>
        </w:rPr>
        <w:t>.</w:t>
      </w:r>
      <w:r w:rsidRPr="001D767D">
        <w:rPr>
          <w:rFonts w:ascii="Times New Roman" w:hAnsi="Times New Roman" w:cs="Times New Roman"/>
          <w:sz w:val="20"/>
          <w:szCs w:val="20"/>
          <w:vertAlign w:val="superscript"/>
        </w:rPr>
        <w:footnoteReference w:id="28"/>
      </w:r>
    </w:p>
    <w:p w14:paraId="28C14574" w14:textId="5C24A341" w:rsidR="00A46A77" w:rsidRPr="001D767D" w:rsidRDefault="00A46A77" w:rsidP="00784840">
      <w:pPr>
        <w:numPr>
          <w:ilvl w:val="0"/>
          <w:numId w:val="2"/>
        </w:numPr>
        <w:tabs>
          <w:tab w:val="right" w:pos="993"/>
          <w:tab w:val="left" w:pos="1080"/>
        </w:tabs>
        <w:spacing w:after="120" w:line="240" w:lineRule="atLeast"/>
        <w:ind w:left="540" w:right="-1" w:firstLine="0"/>
        <w:jc w:val="both"/>
        <w:rPr>
          <w:rFonts w:ascii="Times New Roman" w:eastAsia="Times New Roman" w:hAnsi="Times New Roman" w:cs="Times New Roman"/>
          <w:sz w:val="20"/>
          <w:szCs w:val="20"/>
        </w:rPr>
      </w:pPr>
      <w:r w:rsidRPr="001D767D">
        <w:rPr>
          <w:rFonts w:ascii="Times New Roman" w:eastAsia="Times New Roman" w:hAnsi="Times New Roman" w:cs="Times New Roman"/>
          <w:sz w:val="20"/>
          <w:szCs w:val="20"/>
        </w:rPr>
        <w:t>The communicant further submits that</w:t>
      </w:r>
      <w:r w:rsidR="0055798A" w:rsidRPr="001D767D">
        <w:rPr>
          <w:rFonts w:ascii="Times New Roman" w:eastAsia="Times New Roman" w:hAnsi="Times New Roman" w:cs="Times New Roman"/>
          <w:sz w:val="20"/>
          <w:szCs w:val="20"/>
        </w:rPr>
        <w:t>, as a private citizen,</w:t>
      </w:r>
      <w:r w:rsidRPr="001D767D">
        <w:rPr>
          <w:rFonts w:ascii="Times New Roman" w:eastAsia="Times New Roman" w:hAnsi="Times New Roman" w:cs="Times New Roman"/>
          <w:sz w:val="20"/>
          <w:szCs w:val="20"/>
        </w:rPr>
        <w:t xml:space="preserve"> he would have been unlikely to have been granted standing by the court </w:t>
      </w:r>
      <w:r w:rsidR="00D924E7" w:rsidRPr="001D767D">
        <w:rPr>
          <w:rFonts w:ascii="Times New Roman" w:eastAsia="Times New Roman" w:hAnsi="Times New Roman" w:cs="Times New Roman"/>
          <w:sz w:val="20"/>
          <w:szCs w:val="20"/>
        </w:rPr>
        <w:t xml:space="preserve">to bring judicial review of the permit extensions </w:t>
      </w:r>
      <w:r w:rsidRPr="001D767D">
        <w:rPr>
          <w:rFonts w:ascii="Times New Roman" w:eastAsia="Times New Roman" w:hAnsi="Times New Roman" w:cs="Times New Roman"/>
          <w:sz w:val="20"/>
          <w:szCs w:val="20"/>
        </w:rPr>
        <w:t>because he</w:t>
      </w:r>
      <w:r w:rsidR="0055798A" w:rsidRPr="001D767D">
        <w:rPr>
          <w:rFonts w:ascii="Times New Roman" w:eastAsia="Times New Roman" w:hAnsi="Times New Roman" w:cs="Times New Roman"/>
          <w:sz w:val="20"/>
          <w:szCs w:val="20"/>
        </w:rPr>
        <w:t xml:space="preserve">, as a member of the public, </w:t>
      </w:r>
      <w:r w:rsidRPr="001D767D">
        <w:rPr>
          <w:rFonts w:ascii="Times New Roman" w:eastAsia="Times New Roman" w:hAnsi="Times New Roman" w:cs="Times New Roman"/>
          <w:sz w:val="20"/>
          <w:szCs w:val="20"/>
        </w:rPr>
        <w:t>was not a party to the decision</w:t>
      </w:r>
      <w:r w:rsidR="00D924E7" w:rsidRPr="001D767D">
        <w:rPr>
          <w:rFonts w:ascii="Times New Roman" w:eastAsia="Times New Roman" w:hAnsi="Times New Roman" w:cs="Times New Roman"/>
          <w:sz w:val="20"/>
          <w:szCs w:val="20"/>
        </w:rPr>
        <w:t>s</w:t>
      </w:r>
      <w:r w:rsidRPr="001D767D">
        <w:rPr>
          <w:rFonts w:ascii="Times New Roman" w:eastAsia="Times New Roman" w:hAnsi="Times New Roman" w:cs="Times New Roman"/>
          <w:sz w:val="20"/>
          <w:szCs w:val="20"/>
        </w:rPr>
        <w:t xml:space="preserve"> </w:t>
      </w:r>
      <w:r w:rsidR="00771F03" w:rsidRPr="001D767D">
        <w:rPr>
          <w:rFonts w:ascii="Times New Roman" w:eastAsia="Times New Roman" w:hAnsi="Times New Roman" w:cs="Times New Roman"/>
          <w:sz w:val="20"/>
          <w:szCs w:val="20"/>
        </w:rPr>
        <w:t>or planning application</w:t>
      </w:r>
      <w:r w:rsidR="00D924E7" w:rsidRPr="001D767D">
        <w:rPr>
          <w:rFonts w:ascii="Times New Roman" w:eastAsia="Times New Roman" w:hAnsi="Times New Roman" w:cs="Times New Roman"/>
          <w:sz w:val="20"/>
          <w:szCs w:val="20"/>
        </w:rPr>
        <w:t>s</w:t>
      </w:r>
      <w:r w:rsidRPr="001D767D">
        <w:rPr>
          <w:rFonts w:ascii="Times New Roman" w:eastAsia="Times New Roman" w:hAnsi="Times New Roman" w:cs="Times New Roman"/>
          <w:sz w:val="20"/>
          <w:szCs w:val="20"/>
        </w:rPr>
        <w:t>.</w:t>
      </w:r>
      <w:r w:rsidRPr="001D767D">
        <w:rPr>
          <w:rFonts w:ascii="Times New Roman" w:hAnsi="Times New Roman" w:cs="Times New Roman"/>
          <w:sz w:val="20"/>
          <w:szCs w:val="20"/>
          <w:vertAlign w:val="superscript"/>
        </w:rPr>
        <w:footnoteReference w:id="29"/>
      </w:r>
      <w:r w:rsidRPr="001D767D">
        <w:rPr>
          <w:rFonts w:ascii="Times New Roman" w:eastAsia="Times New Roman" w:hAnsi="Times New Roman" w:cs="Times New Roman"/>
          <w:sz w:val="20"/>
          <w:szCs w:val="20"/>
        </w:rPr>
        <w:t xml:space="preserve"> </w:t>
      </w:r>
      <w:r w:rsidR="002E3B83" w:rsidRPr="001D767D">
        <w:rPr>
          <w:rFonts w:ascii="Times New Roman" w:eastAsia="Times New Roman" w:hAnsi="Times New Roman" w:cs="Times New Roman"/>
          <w:sz w:val="20"/>
          <w:szCs w:val="20"/>
        </w:rPr>
        <w:t xml:space="preserve">Moreover, the court is bound by legislation, </w:t>
      </w:r>
      <w:r w:rsidR="00D924E7" w:rsidRPr="001D767D">
        <w:rPr>
          <w:rFonts w:ascii="Times New Roman" w:eastAsia="Times New Roman" w:hAnsi="Times New Roman" w:cs="Times New Roman"/>
          <w:sz w:val="20"/>
          <w:szCs w:val="20"/>
        </w:rPr>
        <w:t xml:space="preserve">in this case the Planning and Development Act 2000, </w:t>
      </w:r>
      <w:r w:rsidR="002E3B83" w:rsidRPr="001D767D">
        <w:rPr>
          <w:rFonts w:ascii="Times New Roman" w:eastAsia="Times New Roman" w:hAnsi="Times New Roman" w:cs="Times New Roman"/>
          <w:sz w:val="20"/>
          <w:szCs w:val="20"/>
        </w:rPr>
        <w:t xml:space="preserve">and it is almost certain that the courts would not have been in a position to overturn the permit extensions in this case as they </w:t>
      </w:r>
      <w:r w:rsidR="00D924E7" w:rsidRPr="001D767D">
        <w:rPr>
          <w:rFonts w:ascii="Times New Roman" w:eastAsia="Times New Roman" w:hAnsi="Times New Roman" w:cs="Times New Roman"/>
          <w:sz w:val="20"/>
          <w:szCs w:val="20"/>
        </w:rPr>
        <w:t xml:space="preserve">were rooted in that </w:t>
      </w:r>
      <w:r w:rsidR="002E3B83" w:rsidRPr="001D767D">
        <w:rPr>
          <w:rFonts w:ascii="Times New Roman" w:eastAsia="Times New Roman" w:hAnsi="Times New Roman" w:cs="Times New Roman"/>
          <w:sz w:val="20"/>
          <w:szCs w:val="20"/>
        </w:rPr>
        <w:t>legislation. T</w:t>
      </w:r>
      <w:r w:rsidR="00D924E7" w:rsidRPr="001D767D">
        <w:rPr>
          <w:rFonts w:ascii="Times New Roman" w:eastAsia="Times New Roman" w:hAnsi="Times New Roman" w:cs="Times New Roman"/>
          <w:sz w:val="20"/>
          <w:szCs w:val="20"/>
        </w:rPr>
        <w:t xml:space="preserve">hus, he would have had to challenge the legislation itself, which would </w:t>
      </w:r>
      <w:r w:rsidRPr="001D767D">
        <w:rPr>
          <w:rFonts w:ascii="Times New Roman" w:eastAsia="Times New Roman" w:hAnsi="Times New Roman" w:cs="Times New Roman"/>
          <w:sz w:val="20"/>
          <w:szCs w:val="20"/>
        </w:rPr>
        <w:t xml:space="preserve">likely </w:t>
      </w:r>
      <w:r w:rsidR="008861F9" w:rsidRPr="001D767D">
        <w:rPr>
          <w:rFonts w:ascii="Times New Roman" w:eastAsia="Times New Roman" w:hAnsi="Times New Roman" w:cs="Times New Roman"/>
          <w:sz w:val="20"/>
          <w:szCs w:val="20"/>
        </w:rPr>
        <w:t xml:space="preserve">have </w:t>
      </w:r>
      <w:r w:rsidRPr="001D767D">
        <w:rPr>
          <w:rFonts w:ascii="Times New Roman" w:eastAsia="Times New Roman" w:hAnsi="Times New Roman" w:cs="Times New Roman"/>
          <w:sz w:val="20"/>
          <w:szCs w:val="20"/>
        </w:rPr>
        <w:t xml:space="preserve">required a challenge to the Supreme Court, which is unreasonable to expect from a </w:t>
      </w:r>
      <w:r w:rsidR="0055798A" w:rsidRPr="001D767D">
        <w:rPr>
          <w:rFonts w:ascii="Times New Roman" w:eastAsia="Times New Roman" w:hAnsi="Times New Roman" w:cs="Times New Roman"/>
          <w:sz w:val="20"/>
          <w:szCs w:val="20"/>
        </w:rPr>
        <w:t xml:space="preserve">private </w:t>
      </w:r>
      <w:r w:rsidRPr="001D767D">
        <w:rPr>
          <w:rFonts w:ascii="Times New Roman" w:eastAsia="Times New Roman" w:hAnsi="Times New Roman" w:cs="Times New Roman"/>
          <w:sz w:val="20"/>
          <w:szCs w:val="20"/>
        </w:rPr>
        <w:t>citizen.</w:t>
      </w:r>
      <w:r w:rsidRPr="001D767D">
        <w:rPr>
          <w:rFonts w:ascii="Times New Roman" w:hAnsi="Times New Roman" w:cs="Times New Roman"/>
          <w:sz w:val="20"/>
          <w:szCs w:val="20"/>
          <w:vertAlign w:val="superscript"/>
        </w:rPr>
        <w:footnoteReference w:id="30"/>
      </w:r>
    </w:p>
    <w:p w14:paraId="199233BB" w14:textId="50541C02" w:rsidR="00A46A77" w:rsidRPr="001D767D" w:rsidRDefault="00A46A77" w:rsidP="002E3B83">
      <w:pPr>
        <w:numPr>
          <w:ilvl w:val="0"/>
          <w:numId w:val="2"/>
        </w:numPr>
        <w:tabs>
          <w:tab w:val="right" w:pos="993"/>
          <w:tab w:val="left" w:pos="1080"/>
        </w:tabs>
        <w:spacing w:after="120" w:line="240" w:lineRule="atLeast"/>
        <w:ind w:left="540" w:right="-1" w:firstLine="0"/>
        <w:jc w:val="both"/>
        <w:rPr>
          <w:rFonts w:ascii="Times New Roman" w:eastAsia="Times New Roman" w:hAnsi="Times New Roman" w:cs="Times New Roman"/>
          <w:sz w:val="20"/>
          <w:szCs w:val="20"/>
        </w:rPr>
      </w:pPr>
      <w:r w:rsidRPr="001D767D">
        <w:rPr>
          <w:rFonts w:ascii="Times New Roman" w:eastAsia="Times New Roman" w:hAnsi="Times New Roman" w:cs="Times New Roman"/>
          <w:sz w:val="20"/>
          <w:szCs w:val="20"/>
        </w:rPr>
        <w:t xml:space="preserve">The communicant also submits that, even if the foregoing hurdles </w:t>
      </w:r>
      <w:r w:rsidR="0055798A" w:rsidRPr="001D767D">
        <w:rPr>
          <w:rFonts w:ascii="Times New Roman" w:eastAsia="Times New Roman" w:hAnsi="Times New Roman" w:cs="Times New Roman"/>
          <w:sz w:val="20"/>
          <w:szCs w:val="20"/>
        </w:rPr>
        <w:t xml:space="preserve">would be </w:t>
      </w:r>
      <w:r w:rsidRPr="001D767D">
        <w:rPr>
          <w:rFonts w:ascii="Times New Roman" w:eastAsia="Times New Roman" w:hAnsi="Times New Roman" w:cs="Times New Roman"/>
          <w:sz w:val="20"/>
          <w:szCs w:val="20"/>
        </w:rPr>
        <w:t>overcome</w:t>
      </w:r>
      <w:r w:rsidR="00D924E7" w:rsidRPr="001D767D">
        <w:rPr>
          <w:rFonts w:ascii="Times New Roman" w:eastAsia="Times New Roman" w:hAnsi="Times New Roman" w:cs="Times New Roman"/>
          <w:sz w:val="20"/>
          <w:szCs w:val="20"/>
        </w:rPr>
        <w:t xml:space="preserve"> and he was able to bring successful judicial review proceedings</w:t>
      </w:r>
      <w:r w:rsidRPr="001D767D">
        <w:rPr>
          <w:rFonts w:ascii="Times New Roman" w:eastAsia="Times New Roman" w:hAnsi="Times New Roman" w:cs="Times New Roman"/>
          <w:sz w:val="20"/>
          <w:szCs w:val="20"/>
        </w:rPr>
        <w:t xml:space="preserve">, there </w:t>
      </w:r>
      <w:r w:rsidR="0055798A" w:rsidRPr="001D767D">
        <w:rPr>
          <w:rFonts w:ascii="Times New Roman" w:eastAsia="Times New Roman" w:hAnsi="Times New Roman" w:cs="Times New Roman"/>
          <w:sz w:val="20"/>
          <w:szCs w:val="20"/>
        </w:rPr>
        <w:t xml:space="preserve">was no </w:t>
      </w:r>
      <w:r w:rsidRPr="001D767D">
        <w:rPr>
          <w:rFonts w:ascii="Times New Roman" w:eastAsia="Times New Roman" w:hAnsi="Times New Roman" w:cs="Times New Roman"/>
          <w:sz w:val="20"/>
          <w:szCs w:val="20"/>
        </w:rPr>
        <w:t xml:space="preserve">guarantee </w:t>
      </w:r>
      <w:r w:rsidR="0055798A" w:rsidRPr="001D767D">
        <w:rPr>
          <w:rFonts w:ascii="Times New Roman" w:eastAsia="Times New Roman" w:hAnsi="Times New Roman" w:cs="Times New Roman"/>
          <w:sz w:val="20"/>
          <w:szCs w:val="20"/>
        </w:rPr>
        <w:t>of</w:t>
      </w:r>
      <w:r w:rsidRPr="001D767D">
        <w:rPr>
          <w:rFonts w:ascii="Times New Roman" w:eastAsia="Times New Roman" w:hAnsi="Times New Roman" w:cs="Times New Roman"/>
          <w:sz w:val="20"/>
          <w:szCs w:val="20"/>
        </w:rPr>
        <w:t xml:space="preserve"> an adequate remedy because the </w:t>
      </w:r>
      <w:r w:rsidR="00190C75" w:rsidRPr="001D767D">
        <w:rPr>
          <w:rFonts w:ascii="Times New Roman" w:eastAsia="Times New Roman" w:hAnsi="Times New Roman" w:cs="Times New Roman"/>
          <w:sz w:val="20"/>
          <w:szCs w:val="20"/>
        </w:rPr>
        <w:t xml:space="preserve">matter would simply be sent back to the </w:t>
      </w:r>
      <w:r w:rsidR="00190C75" w:rsidRPr="001D767D">
        <w:rPr>
          <w:rFonts w:ascii="Times New Roman" w:hAnsi="Times New Roman"/>
          <w:sz w:val="20"/>
        </w:rPr>
        <w:t xml:space="preserve">planning </w:t>
      </w:r>
      <w:r w:rsidRPr="001D767D">
        <w:rPr>
          <w:rFonts w:ascii="Times New Roman" w:hAnsi="Times New Roman"/>
          <w:sz w:val="20"/>
        </w:rPr>
        <w:t>authority</w:t>
      </w:r>
      <w:r w:rsidR="00190C75" w:rsidRPr="001D767D">
        <w:rPr>
          <w:rFonts w:ascii="Times New Roman" w:hAnsi="Times New Roman"/>
          <w:sz w:val="20"/>
        </w:rPr>
        <w:t>, whereupon the developer would fil</w:t>
      </w:r>
      <w:r w:rsidR="002E3B83" w:rsidRPr="001D767D">
        <w:rPr>
          <w:rFonts w:ascii="Times New Roman" w:hAnsi="Times New Roman"/>
          <w:sz w:val="20"/>
        </w:rPr>
        <w:t>e a new planning application, this time with the required public participation</w:t>
      </w:r>
      <w:r w:rsidR="00D924E7" w:rsidRPr="001D767D">
        <w:rPr>
          <w:rFonts w:ascii="Times New Roman" w:hAnsi="Times New Roman"/>
          <w:sz w:val="20"/>
        </w:rPr>
        <w:t xml:space="preserve">, during which the planning authority would </w:t>
      </w:r>
      <w:r w:rsidR="00D924E7" w:rsidRPr="001D767D">
        <w:rPr>
          <w:rFonts w:ascii="Times New Roman" w:eastAsia="Times New Roman" w:hAnsi="Times New Roman" w:cs="Times New Roman"/>
          <w:sz w:val="20"/>
          <w:szCs w:val="20"/>
        </w:rPr>
        <w:t xml:space="preserve">merely </w:t>
      </w:r>
      <w:r w:rsidR="0055798A" w:rsidRPr="001D767D">
        <w:rPr>
          <w:rFonts w:ascii="Times New Roman" w:eastAsia="Times New Roman" w:hAnsi="Times New Roman" w:cs="Times New Roman"/>
          <w:sz w:val="20"/>
          <w:szCs w:val="20"/>
        </w:rPr>
        <w:t>have</w:t>
      </w:r>
      <w:r w:rsidRPr="001D767D">
        <w:rPr>
          <w:rFonts w:ascii="Times New Roman" w:eastAsia="Times New Roman" w:hAnsi="Times New Roman" w:cs="Times New Roman"/>
          <w:sz w:val="20"/>
          <w:szCs w:val="20"/>
        </w:rPr>
        <w:t xml:space="preserve"> to </w:t>
      </w:r>
      <w:r w:rsidRPr="001D767D">
        <w:rPr>
          <w:rFonts w:ascii="Times New Roman" w:hAnsi="Times New Roman"/>
          <w:sz w:val="20"/>
        </w:rPr>
        <w:t>“</w:t>
      </w:r>
      <w:r w:rsidRPr="001D767D">
        <w:rPr>
          <w:rFonts w:ascii="Times New Roman" w:eastAsia="Times New Roman" w:hAnsi="Times New Roman" w:cs="Times New Roman"/>
          <w:sz w:val="20"/>
          <w:szCs w:val="20"/>
        </w:rPr>
        <w:t xml:space="preserve">have regard </w:t>
      </w:r>
      <w:r w:rsidRPr="001D767D">
        <w:rPr>
          <w:rFonts w:ascii="Times New Roman" w:eastAsia="Times New Roman" w:hAnsi="Times New Roman" w:cs="Times New Roman"/>
          <w:sz w:val="20"/>
          <w:szCs w:val="20"/>
        </w:rPr>
        <w:lastRenderedPageBreak/>
        <w:t>to</w:t>
      </w:r>
      <w:r w:rsidR="00771F03" w:rsidRPr="001D767D">
        <w:rPr>
          <w:rFonts w:ascii="Times New Roman" w:eastAsia="Times New Roman" w:hAnsi="Times New Roman" w:cs="Times New Roman"/>
          <w:sz w:val="20"/>
          <w:szCs w:val="20"/>
        </w:rPr>
        <w:t>”</w:t>
      </w:r>
      <w:r w:rsidR="00557803" w:rsidRPr="001D767D">
        <w:rPr>
          <w:rFonts w:ascii="Times New Roman" w:eastAsia="Times New Roman" w:hAnsi="Times New Roman" w:cs="Times New Roman"/>
          <w:sz w:val="20"/>
          <w:szCs w:val="20"/>
        </w:rPr>
        <w:t xml:space="preserve"> </w:t>
      </w:r>
      <w:r w:rsidR="00614434" w:rsidRPr="001D767D">
        <w:rPr>
          <w:rFonts w:ascii="Times New Roman" w:eastAsia="Times New Roman" w:hAnsi="Times New Roman" w:cs="Times New Roman"/>
          <w:sz w:val="20"/>
          <w:szCs w:val="20"/>
        </w:rPr>
        <w:t>the submissions received.</w:t>
      </w:r>
      <w:r w:rsidR="00614434" w:rsidRPr="001D767D">
        <w:rPr>
          <w:rFonts w:ascii="Times New Roman" w:hAnsi="Times New Roman" w:cs="Times New Roman"/>
          <w:sz w:val="20"/>
          <w:szCs w:val="20"/>
          <w:vertAlign w:val="superscript"/>
        </w:rPr>
        <w:footnoteReference w:id="31"/>
      </w:r>
      <w:r w:rsidR="00EA1821" w:rsidRPr="001D767D">
        <w:rPr>
          <w:rFonts w:ascii="Times New Roman" w:eastAsia="Times New Roman" w:hAnsi="Times New Roman" w:cs="Times New Roman"/>
          <w:sz w:val="20"/>
          <w:szCs w:val="20"/>
        </w:rPr>
        <w:t xml:space="preserve"> He submits that it is not reasonable to expect a private citizen to risk one’s personal assets by engaging in risky and costly court proceedings just so that he or she could have his or her say.</w:t>
      </w:r>
    </w:p>
    <w:p w14:paraId="18D75671" w14:textId="0437F962" w:rsidR="00DA59E4" w:rsidRPr="001D767D" w:rsidRDefault="00DA59E4" w:rsidP="00784840">
      <w:pPr>
        <w:numPr>
          <w:ilvl w:val="0"/>
          <w:numId w:val="2"/>
        </w:numPr>
        <w:tabs>
          <w:tab w:val="right" w:pos="993"/>
          <w:tab w:val="left" w:pos="1080"/>
        </w:tabs>
        <w:spacing w:after="120" w:line="240" w:lineRule="atLeast"/>
        <w:ind w:left="540" w:right="-1" w:firstLine="0"/>
        <w:jc w:val="both"/>
        <w:rPr>
          <w:rFonts w:ascii="Times New Roman" w:eastAsia="Times New Roman" w:hAnsi="Times New Roman" w:cs="Times New Roman"/>
          <w:sz w:val="20"/>
          <w:szCs w:val="20"/>
        </w:rPr>
      </w:pPr>
      <w:r w:rsidRPr="001D767D">
        <w:rPr>
          <w:rFonts w:ascii="Times New Roman" w:hAnsi="Times New Roman" w:cs="Times New Roman"/>
          <w:sz w:val="20"/>
          <w:szCs w:val="20"/>
        </w:rPr>
        <w:t xml:space="preserve">The communicant </w:t>
      </w:r>
      <w:r w:rsidR="005279FC" w:rsidRPr="001D767D">
        <w:rPr>
          <w:rFonts w:ascii="Times New Roman" w:hAnsi="Times New Roman" w:cs="Times New Roman"/>
          <w:sz w:val="20"/>
          <w:szCs w:val="20"/>
        </w:rPr>
        <w:t>states</w:t>
      </w:r>
      <w:r w:rsidRPr="001D767D">
        <w:rPr>
          <w:rFonts w:ascii="Times New Roman" w:hAnsi="Times New Roman" w:cs="Times New Roman"/>
          <w:sz w:val="20"/>
          <w:szCs w:val="20"/>
        </w:rPr>
        <w:t xml:space="preserve"> that references by the Party concerned to </w:t>
      </w:r>
      <w:r w:rsidR="005279FC" w:rsidRPr="001D767D">
        <w:rPr>
          <w:rFonts w:ascii="Times New Roman" w:hAnsi="Times New Roman" w:cs="Times New Roman"/>
          <w:sz w:val="20"/>
          <w:szCs w:val="20"/>
        </w:rPr>
        <w:t xml:space="preserve">earlier </w:t>
      </w:r>
      <w:r w:rsidRPr="001D767D">
        <w:rPr>
          <w:rFonts w:ascii="Times New Roman" w:hAnsi="Times New Roman" w:cs="Times New Roman"/>
          <w:sz w:val="20"/>
          <w:szCs w:val="20"/>
        </w:rPr>
        <w:t>opportuniti</w:t>
      </w:r>
      <w:r w:rsidR="005279FC" w:rsidRPr="001D767D">
        <w:rPr>
          <w:rFonts w:ascii="Times New Roman" w:hAnsi="Times New Roman" w:cs="Times New Roman"/>
          <w:sz w:val="20"/>
          <w:szCs w:val="20"/>
        </w:rPr>
        <w:t xml:space="preserve">es to participate (see para. </w:t>
      </w:r>
      <w:r w:rsidR="00906B2B" w:rsidRPr="001D767D">
        <w:rPr>
          <w:rFonts w:ascii="Times New Roman" w:hAnsi="Times New Roman" w:cs="Times New Roman"/>
          <w:sz w:val="20"/>
          <w:szCs w:val="20"/>
        </w:rPr>
        <w:fldChar w:fldCharType="begin"/>
      </w:r>
      <w:r w:rsidR="00906B2B" w:rsidRPr="001D767D">
        <w:rPr>
          <w:rFonts w:ascii="Times New Roman" w:hAnsi="Times New Roman" w:cs="Times New Roman"/>
          <w:sz w:val="20"/>
          <w:szCs w:val="20"/>
        </w:rPr>
        <w:instrText xml:space="preserve"> REF _Ref500432516 \r \h </w:instrText>
      </w:r>
      <w:r w:rsidR="00F76A33" w:rsidRPr="001D767D">
        <w:rPr>
          <w:rFonts w:ascii="Times New Roman" w:hAnsi="Times New Roman" w:cs="Times New Roman"/>
          <w:sz w:val="20"/>
          <w:szCs w:val="20"/>
        </w:rPr>
        <w:instrText xml:space="preserve"> \* MERGEFORMAT </w:instrText>
      </w:r>
      <w:r w:rsidR="00906B2B" w:rsidRPr="001D767D">
        <w:rPr>
          <w:rFonts w:ascii="Times New Roman" w:hAnsi="Times New Roman" w:cs="Times New Roman"/>
          <w:sz w:val="20"/>
          <w:szCs w:val="20"/>
        </w:rPr>
      </w:r>
      <w:r w:rsidR="00906B2B" w:rsidRPr="001D767D">
        <w:rPr>
          <w:rFonts w:ascii="Times New Roman" w:hAnsi="Times New Roman" w:cs="Times New Roman"/>
          <w:sz w:val="20"/>
          <w:szCs w:val="20"/>
        </w:rPr>
        <w:fldChar w:fldCharType="separate"/>
      </w:r>
      <w:r w:rsidR="001D767D" w:rsidRPr="001D767D">
        <w:rPr>
          <w:rFonts w:ascii="Times New Roman" w:hAnsi="Times New Roman" w:cs="Times New Roman"/>
          <w:sz w:val="20"/>
          <w:szCs w:val="20"/>
          <w:cs/>
        </w:rPr>
        <w:t>‎</w:t>
      </w:r>
      <w:r w:rsidR="001D767D" w:rsidRPr="001D767D">
        <w:rPr>
          <w:rFonts w:ascii="Times New Roman" w:hAnsi="Times New Roman" w:cs="Times New Roman"/>
          <w:sz w:val="20"/>
          <w:szCs w:val="20"/>
        </w:rPr>
        <w:t>46</w:t>
      </w:r>
      <w:r w:rsidR="00906B2B" w:rsidRPr="001D767D">
        <w:rPr>
          <w:rFonts w:ascii="Times New Roman" w:hAnsi="Times New Roman" w:cs="Times New Roman"/>
          <w:sz w:val="20"/>
          <w:szCs w:val="20"/>
        </w:rPr>
        <w:fldChar w:fldCharType="end"/>
      </w:r>
      <w:r w:rsidR="00906B2B" w:rsidRPr="001D767D">
        <w:rPr>
          <w:rFonts w:ascii="Times New Roman" w:hAnsi="Times New Roman" w:cs="Times New Roman"/>
          <w:sz w:val="20"/>
          <w:szCs w:val="20"/>
        </w:rPr>
        <w:t xml:space="preserve"> </w:t>
      </w:r>
      <w:r w:rsidR="00117094" w:rsidRPr="001D767D">
        <w:rPr>
          <w:rFonts w:ascii="Times New Roman" w:hAnsi="Times New Roman" w:cs="Times New Roman"/>
          <w:sz w:val="20"/>
          <w:szCs w:val="20"/>
        </w:rPr>
        <w:t>below</w:t>
      </w:r>
      <w:r w:rsidRPr="001D767D">
        <w:rPr>
          <w:rFonts w:ascii="Times New Roman" w:hAnsi="Times New Roman" w:cs="Times New Roman"/>
          <w:sz w:val="20"/>
          <w:szCs w:val="20"/>
        </w:rPr>
        <w:t xml:space="preserve">) relate to an entirely different planning process and </w:t>
      </w:r>
      <w:r w:rsidR="00D44319" w:rsidRPr="001D767D">
        <w:rPr>
          <w:rFonts w:ascii="Times New Roman" w:hAnsi="Times New Roman" w:cs="Times New Roman"/>
          <w:sz w:val="20"/>
          <w:szCs w:val="20"/>
        </w:rPr>
        <w:t>are</w:t>
      </w:r>
      <w:r w:rsidRPr="001D767D">
        <w:rPr>
          <w:rFonts w:ascii="Times New Roman" w:hAnsi="Times New Roman" w:cs="Times New Roman"/>
          <w:sz w:val="20"/>
          <w:szCs w:val="20"/>
        </w:rPr>
        <w:t xml:space="preserve"> therefore irrelevant</w:t>
      </w:r>
      <w:r w:rsidR="00D44319" w:rsidRPr="001D767D">
        <w:rPr>
          <w:rFonts w:ascii="Times New Roman" w:hAnsi="Times New Roman" w:cs="Times New Roman"/>
          <w:sz w:val="20"/>
          <w:szCs w:val="20"/>
        </w:rPr>
        <w:t>. He also states</w:t>
      </w:r>
      <w:r w:rsidRPr="001D767D">
        <w:rPr>
          <w:rFonts w:ascii="Times New Roman" w:hAnsi="Times New Roman" w:cs="Times New Roman"/>
          <w:sz w:val="20"/>
          <w:szCs w:val="20"/>
        </w:rPr>
        <w:t xml:space="preserve"> that there were issues </w:t>
      </w:r>
      <w:r w:rsidR="00D44319" w:rsidRPr="001D767D">
        <w:rPr>
          <w:rFonts w:ascii="Times New Roman" w:hAnsi="Times New Roman" w:cs="Times New Roman"/>
          <w:sz w:val="20"/>
          <w:szCs w:val="20"/>
        </w:rPr>
        <w:t xml:space="preserve">with the granting of the </w:t>
      </w:r>
      <w:r w:rsidR="00771F03" w:rsidRPr="001D767D">
        <w:rPr>
          <w:rFonts w:ascii="Times New Roman" w:hAnsi="Times New Roman"/>
          <w:sz w:val="20"/>
        </w:rPr>
        <w:t>2004</w:t>
      </w:r>
      <w:r w:rsidR="00771F03" w:rsidRPr="001D767D">
        <w:rPr>
          <w:rFonts w:ascii="Times New Roman" w:hAnsi="Times New Roman" w:cs="Times New Roman"/>
          <w:sz w:val="20"/>
          <w:szCs w:val="20"/>
        </w:rPr>
        <w:t xml:space="preserve"> </w:t>
      </w:r>
      <w:r w:rsidR="00D44319" w:rsidRPr="001D767D">
        <w:rPr>
          <w:rFonts w:ascii="Times New Roman" w:hAnsi="Times New Roman" w:cs="Times New Roman"/>
          <w:sz w:val="20"/>
          <w:szCs w:val="20"/>
        </w:rPr>
        <w:t>permit</w:t>
      </w:r>
      <w:r w:rsidRPr="001D767D">
        <w:rPr>
          <w:rFonts w:ascii="Times New Roman" w:hAnsi="Times New Roman" w:cs="Times New Roman"/>
          <w:sz w:val="20"/>
          <w:szCs w:val="20"/>
        </w:rPr>
        <w:t>, which contradict</w:t>
      </w:r>
      <w:r w:rsidR="00D44319" w:rsidRPr="001D767D">
        <w:rPr>
          <w:rFonts w:ascii="Times New Roman" w:hAnsi="Times New Roman" w:cs="Times New Roman"/>
          <w:sz w:val="20"/>
          <w:szCs w:val="20"/>
        </w:rPr>
        <w:t>ed</w:t>
      </w:r>
      <w:r w:rsidRPr="001D767D">
        <w:rPr>
          <w:rFonts w:ascii="Times New Roman" w:hAnsi="Times New Roman" w:cs="Times New Roman"/>
          <w:sz w:val="20"/>
          <w:szCs w:val="20"/>
        </w:rPr>
        <w:t xml:space="preserve"> the</w:t>
      </w:r>
      <w:r w:rsidR="00D44319" w:rsidRPr="001D767D">
        <w:rPr>
          <w:rFonts w:ascii="Times New Roman" w:hAnsi="Times New Roman" w:cs="Times New Roman"/>
          <w:sz w:val="20"/>
          <w:szCs w:val="20"/>
        </w:rPr>
        <w:t xml:space="preserve"> Party </w:t>
      </w:r>
      <w:proofErr w:type="spellStart"/>
      <w:r w:rsidR="00D44319" w:rsidRPr="001D767D">
        <w:rPr>
          <w:rFonts w:ascii="Times New Roman" w:hAnsi="Times New Roman" w:cs="Times New Roman"/>
          <w:sz w:val="20"/>
          <w:szCs w:val="20"/>
        </w:rPr>
        <w:t>concerned’s</w:t>
      </w:r>
      <w:proofErr w:type="spellEnd"/>
      <w:r w:rsidR="00D44319" w:rsidRPr="001D767D">
        <w:rPr>
          <w:rFonts w:ascii="Times New Roman" w:hAnsi="Times New Roman" w:cs="Times New Roman"/>
          <w:sz w:val="20"/>
          <w:szCs w:val="20"/>
        </w:rPr>
        <w:t xml:space="preserve"> assertion</w:t>
      </w:r>
      <w:r w:rsidRPr="001D767D">
        <w:rPr>
          <w:rFonts w:ascii="Times New Roman" w:hAnsi="Times New Roman" w:cs="Times New Roman"/>
          <w:sz w:val="20"/>
          <w:szCs w:val="20"/>
        </w:rPr>
        <w:t xml:space="preserve"> that extensive opportunities to participate were provided.</w:t>
      </w:r>
      <w:r w:rsidRPr="001D767D">
        <w:rPr>
          <w:rFonts w:ascii="Times New Roman" w:hAnsi="Times New Roman" w:cs="Times New Roman"/>
          <w:sz w:val="20"/>
          <w:szCs w:val="20"/>
          <w:vertAlign w:val="superscript"/>
        </w:rPr>
        <w:footnoteReference w:id="32"/>
      </w:r>
    </w:p>
    <w:p w14:paraId="181BE7CC" w14:textId="4D838D7F" w:rsidR="00557803" w:rsidRPr="001D767D" w:rsidRDefault="00557803" w:rsidP="00784840">
      <w:pPr>
        <w:numPr>
          <w:ilvl w:val="0"/>
          <w:numId w:val="2"/>
        </w:numPr>
        <w:tabs>
          <w:tab w:val="right" w:pos="993"/>
          <w:tab w:val="left" w:pos="1080"/>
        </w:tabs>
        <w:spacing w:after="120" w:line="240" w:lineRule="atLeast"/>
        <w:ind w:left="540" w:right="-1" w:firstLine="0"/>
        <w:jc w:val="both"/>
        <w:rPr>
          <w:rFonts w:ascii="Times New Roman" w:eastAsia="Times New Roman" w:hAnsi="Times New Roman" w:cs="Times New Roman"/>
          <w:sz w:val="20"/>
          <w:szCs w:val="20"/>
        </w:rPr>
      </w:pPr>
      <w:r w:rsidRPr="001D767D">
        <w:rPr>
          <w:rFonts w:ascii="Times New Roman" w:eastAsia="Times New Roman" w:hAnsi="Times New Roman" w:cs="Times New Roman"/>
          <w:sz w:val="20"/>
          <w:szCs w:val="20"/>
        </w:rPr>
        <w:t>In his update of 1 December 2017, the communicant referred the Committee to the</w:t>
      </w:r>
      <w:r w:rsidR="002C2EF9" w:rsidRPr="001D767D">
        <w:rPr>
          <w:rFonts w:ascii="Times New Roman" w:eastAsia="Times New Roman" w:hAnsi="Times New Roman" w:cs="Times New Roman"/>
          <w:sz w:val="20"/>
          <w:szCs w:val="20"/>
        </w:rPr>
        <w:t xml:space="preserve"> </w:t>
      </w:r>
      <w:r w:rsidRPr="001D767D">
        <w:rPr>
          <w:rFonts w:ascii="Times New Roman" w:eastAsia="Times New Roman" w:hAnsi="Times New Roman" w:cs="Times New Roman"/>
          <w:sz w:val="20"/>
          <w:szCs w:val="20"/>
        </w:rPr>
        <w:t xml:space="preserve">High Court judgment in </w:t>
      </w:r>
      <w:r w:rsidR="004F4C13" w:rsidRPr="001D767D">
        <w:rPr>
          <w:rFonts w:ascii="Times New Roman" w:eastAsia="Times New Roman" w:hAnsi="Times New Roman" w:cs="Times New Roman"/>
          <w:i/>
          <w:sz w:val="20"/>
          <w:szCs w:val="20"/>
        </w:rPr>
        <w:t xml:space="preserve">Merriman and </w:t>
      </w:r>
      <w:r w:rsidR="00C23B71" w:rsidRPr="001D767D">
        <w:rPr>
          <w:rFonts w:ascii="Times New Roman" w:eastAsia="Times New Roman" w:hAnsi="Times New Roman" w:cs="Times New Roman"/>
          <w:i/>
          <w:sz w:val="20"/>
          <w:szCs w:val="20"/>
        </w:rPr>
        <w:t>o</w:t>
      </w:r>
      <w:r w:rsidR="004F4C13" w:rsidRPr="001D767D">
        <w:rPr>
          <w:rFonts w:ascii="Times New Roman" w:eastAsia="Times New Roman" w:hAnsi="Times New Roman" w:cs="Times New Roman"/>
          <w:i/>
          <w:sz w:val="20"/>
          <w:szCs w:val="20"/>
        </w:rPr>
        <w:t>thers v</w:t>
      </w:r>
      <w:r w:rsidR="00C23B71" w:rsidRPr="001D767D">
        <w:rPr>
          <w:rFonts w:ascii="Times New Roman" w:eastAsia="Times New Roman" w:hAnsi="Times New Roman" w:cs="Times New Roman"/>
          <w:i/>
          <w:sz w:val="20"/>
          <w:szCs w:val="20"/>
        </w:rPr>
        <w:t>.</w:t>
      </w:r>
      <w:r w:rsidR="004F4C13" w:rsidRPr="001D767D">
        <w:rPr>
          <w:rFonts w:ascii="Times New Roman" w:eastAsia="Times New Roman" w:hAnsi="Times New Roman" w:cs="Times New Roman"/>
          <w:i/>
          <w:sz w:val="20"/>
          <w:szCs w:val="20"/>
        </w:rPr>
        <w:t xml:space="preserve"> Fingal County Council</w:t>
      </w:r>
      <w:r w:rsidR="004F4C13" w:rsidRPr="001D767D">
        <w:rPr>
          <w:rFonts w:ascii="Times New Roman" w:eastAsia="Times New Roman" w:hAnsi="Times New Roman" w:cs="Times New Roman"/>
          <w:sz w:val="20"/>
          <w:szCs w:val="20"/>
        </w:rPr>
        <w:t xml:space="preserve">; </w:t>
      </w:r>
      <w:r w:rsidRPr="001D767D">
        <w:rPr>
          <w:rFonts w:ascii="Times New Roman" w:hAnsi="Times New Roman" w:cs="Times New Roman"/>
          <w:i/>
          <w:iCs/>
          <w:sz w:val="20"/>
          <w:szCs w:val="20"/>
        </w:rPr>
        <w:t>Friends of the Irish Environment v. Fingal County Council</w:t>
      </w:r>
      <w:r w:rsidR="004F4C13" w:rsidRPr="001D767D">
        <w:rPr>
          <w:rStyle w:val="FootnoteReference"/>
          <w:rFonts w:ascii="Times New Roman" w:hAnsi="Times New Roman" w:cs="Times New Roman"/>
          <w:iCs/>
          <w:sz w:val="20"/>
          <w:szCs w:val="20"/>
        </w:rPr>
        <w:footnoteReference w:id="33"/>
      </w:r>
      <w:r w:rsidRPr="001D767D">
        <w:rPr>
          <w:rFonts w:ascii="Times New Roman" w:hAnsi="Times New Roman" w:cs="Times New Roman"/>
          <w:sz w:val="20"/>
          <w:szCs w:val="20"/>
        </w:rPr>
        <w:t xml:space="preserve"> dated 21 November 2017. He submits that this judgment</w:t>
      </w:r>
      <w:r w:rsidR="00E22CB9" w:rsidRPr="001D767D">
        <w:rPr>
          <w:rFonts w:ascii="Times New Roman" w:hAnsi="Times New Roman" w:cs="Times New Roman"/>
          <w:sz w:val="20"/>
          <w:szCs w:val="20"/>
        </w:rPr>
        <w:t>,</w:t>
      </w:r>
      <w:r w:rsidRPr="001D767D">
        <w:rPr>
          <w:rFonts w:ascii="Times New Roman" w:hAnsi="Times New Roman" w:cs="Times New Roman"/>
          <w:sz w:val="20"/>
          <w:szCs w:val="20"/>
        </w:rPr>
        <w:t xml:space="preserve"> inter alia</w:t>
      </w:r>
      <w:r w:rsidR="00E22CB9" w:rsidRPr="001D767D">
        <w:rPr>
          <w:rFonts w:ascii="Times New Roman" w:hAnsi="Times New Roman" w:cs="Times New Roman"/>
          <w:sz w:val="20"/>
          <w:szCs w:val="20"/>
        </w:rPr>
        <w:t>,</w:t>
      </w:r>
      <w:r w:rsidRPr="001D767D">
        <w:rPr>
          <w:rFonts w:ascii="Times New Roman" w:hAnsi="Times New Roman" w:cs="Times New Roman"/>
          <w:sz w:val="20"/>
          <w:szCs w:val="20"/>
        </w:rPr>
        <w:t xml:space="preserve"> made clear that</w:t>
      </w:r>
      <w:r w:rsidR="00E22CB9" w:rsidRPr="001D767D">
        <w:rPr>
          <w:rFonts w:ascii="Times New Roman" w:hAnsi="Times New Roman" w:cs="Times New Roman"/>
          <w:sz w:val="20"/>
          <w:szCs w:val="20"/>
        </w:rPr>
        <w:t>, in the view of the Irish courts,</w:t>
      </w:r>
      <w:r w:rsidRPr="001D767D">
        <w:rPr>
          <w:rFonts w:ascii="Times New Roman" w:hAnsi="Times New Roman" w:cs="Times New Roman"/>
          <w:sz w:val="20"/>
          <w:szCs w:val="20"/>
        </w:rPr>
        <w:t xml:space="preserve"> decisions under section 42 do not come within the scope of article 6 of the Convention</w:t>
      </w:r>
      <w:r w:rsidR="00E22CB9" w:rsidRPr="001D767D">
        <w:rPr>
          <w:rFonts w:ascii="Times New Roman" w:hAnsi="Times New Roman" w:cs="Times New Roman"/>
          <w:sz w:val="20"/>
          <w:szCs w:val="20"/>
        </w:rPr>
        <w:t>. It also made clear</w:t>
      </w:r>
      <w:r w:rsidRPr="001D767D">
        <w:rPr>
          <w:rFonts w:ascii="Times New Roman" w:hAnsi="Times New Roman" w:cs="Times New Roman"/>
          <w:sz w:val="20"/>
          <w:szCs w:val="20"/>
        </w:rPr>
        <w:t xml:space="preserve"> that the </w:t>
      </w:r>
      <w:r w:rsidR="00DC18CD" w:rsidRPr="001D767D">
        <w:rPr>
          <w:rFonts w:ascii="Times New Roman" w:hAnsi="Times New Roman" w:cs="Times New Roman"/>
          <w:sz w:val="20"/>
          <w:szCs w:val="20"/>
        </w:rPr>
        <w:t>possibility</w:t>
      </w:r>
      <w:r w:rsidRPr="001D767D">
        <w:rPr>
          <w:rFonts w:ascii="Times New Roman" w:hAnsi="Times New Roman" w:cs="Times New Roman"/>
          <w:sz w:val="20"/>
          <w:szCs w:val="20"/>
        </w:rPr>
        <w:t xml:space="preserve"> of judicial review is severely constrained by standing issues and by an extremely narrow </w:t>
      </w:r>
      <w:r w:rsidR="00DC18CD" w:rsidRPr="001D767D">
        <w:rPr>
          <w:rFonts w:ascii="Times New Roman" w:hAnsi="Times New Roman" w:cs="Times New Roman"/>
          <w:sz w:val="20"/>
          <w:szCs w:val="20"/>
        </w:rPr>
        <w:t xml:space="preserve">scope for </w:t>
      </w:r>
      <w:r w:rsidRPr="001D767D">
        <w:rPr>
          <w:rFonts w:ascii="Times New Roman" w:hAnsi="Times New Roman" w:cs="Times New Roman"/>
          <w:sz w:val="20"/>
          <w:szCs w:val="20"/>
        </w:rPr>
        <w:t xml:space="preserve">judicial review </w:t>
      </w:r>
      <w:r w:rsidR="00DC18CD" w:rsidRPr="001D767D">
        <w:rPr>
          <w:rFonts w:ascii="Times New Roman" w:hAnsi="Times New Roman" w:cs="Times New Roman"/>
          <w:sz w:val="20"/>
          <w:szCs w:val="20"/>
        </w:rPr>
        <w:t>given</w:t>
      </w:r>
      <w:r w:rsidRPr="001D767D">
        <w:rPr>
          <w:rFonts w:ascii="Times New Roman" w:hAnsi="Times New Roman" w:cs="Times New Roman"/>
          <w:sz w:val="20"/>
          <w:szCs w:val="20"/>
        </w:rPr>
        <w:t xml:space="preserve"> the “limited prescribed discretion” of the public authority decision maker.</w:t>
      </w:r>
      <w:r w:rsidR="002C2EF9" w:rsidRPr="001D767D">
        <w:rPr>
          <w:rStyle w:val="FootnoteReference"/>
          <w:rFonts w:ascii="Times New Roman" w:hAnsi="Times New Roman" w:cs="Times New Roman"/>
          <w:sz w:val="20"/>
          <w:szCs w:val="20"/>
        </w:rPr>
        <w:footnoteReference w:id="34"/>
      </w:r>
    </w:p>
    <w:p w14:paraId="0198402D" w14:textId="32F9B856" w:rsidR="005279FC" w:rsidRPr="001D767D" w:rsidRDefault="005279FC" w:rsidP="00784840">
      <w:pPr>
        <w:numPr>
          <w:ilvl w:val="0"/>
          <w:numId w:val="2"/>
        </w:numPr>
        <w:tabs>
          <w:tab w:val="right" w:pos="993"/>
          <w:tab w:val="left" w:pos="1080"/>
        </w:tabs>
        <w:spacing w:after="120" w:line="240" w:lineRule="atLeast"/>
        <w:ind w:left="540" w:right="-1" w:firstLine="0"/>
        <w:jc w:val="both"/>
        <w:rPr>
          <w:rFonts w:ascii="Times New Roman" w:hAnsi="Times New Roman" w:cs="Times New Roman"/>
          <w:sz w:val="20"/>
          <w:szCs w:val="20"/>
        </w:rPr>
      </w:pPr>
      <w:r w:rsidRPr="001D767D">
        <w:rPr>
          <w:rFonts w:ascii="Times New Roman" w:eastAsia="Times New Roman" w:hAnsi="Times New Roman" w:cs="Times New Roman"/>
          <w:sz w:val="20"/>
          <w:szCs w:val="20"/>
        </w:rPr>
        <w:t>The observer</w:t>
      </w:r>
      <w:r w:rsidR="00E05A94" w:rsidRPr="001D767D">
        <w:rPr>
          <w:rFonts w:ascii="Times New Roman" w:eastAsia="Times New Roman" w:hAnsi="Times New Roman" w:cs="Times New Roman"/>
          <w:sz w:val="20"/>
          <w:szCs w:val="20"/>
        </w:rPr>
        <w:t xml:space="preserve"> </w:t>
      </w:r>
      <w:r w:rsidR="00000309" w:rsidRPr="001D767D">
        <w:rPr>
          <w:rFonts w:ascii="Times New Roman" w:eastAsia="Times New Roman" w:hAnsi="Times New Roman" w:cs="Times New Roman"/>
          <w:sz w:val="20"/>
          <w:szCs w:val="20"/>
        </w:rPr>
        <w:t xml:space="preserve">the </w:t>
      </w:r>
      <w:r w:rsidRPr="001D767D">
        <w:rPr>
          <w:rFonts w:ascii="Times New Roman" w:eastAsia="Times New Roman" w:hAnsi="Times New Roman" w:cs="Times New Roman"/>
          <w:sz w:val="20"/>
          <w:szCs w:val="20"/>
        </w:rPr>
        <w:t xml:space="preserve">Environmental Pillar points out that the public was not informed of the decisions to extend the permits at issue in this case or </w:t>
      </w:r>
      <w:r w:rsidR="00000309" w:rsidRPr="001D767D">
        <w:rPr>
          <w:rFonts w:ascii="Times New Roman" w:eastAsia="Times New Roman" w:hAnsi="Times New Roman" w:cs="Times New Roman"/>
          <w:sz w:val="20"/>
          <w:szCs w:val="20"/>
        </w:rPr>
        <w:t xml:space="preserve">of </w:t>
      </w:r>
      <w:r w:rsidRPr="001D767D">
        <w:rPr>
          <w:rFonts w:ascii="Times New Roman" w:eastAsia="Times New Roman" w:hAnsi="Times New Roman" w:cs="Times New Roman"/>
          <w:sz w:val="20"/>
          <w:szCs w:val="20"/>
        </w:rPr>
        <w:t>the possibilit</w:t>
      </w:r>
      <w:r w:rsidR="00000309" w:rsidRPr="001D767D">
        <w:rPr>
          <w:rFonts w:ascii="Times New Roman" w:eastAsia="Times New Roman" w:hAnsi="Times New Roman" w:cs="Times New Roman"/>
          <w:sz w:val="20"/>
          <w:szCs w:val="20"/>
        </w:rPr>
        <w:t xml:space="preserve">y to </w:t>
      </w:r>
      <w:r w:rsidRPr="001D767D">
        <w:rPr>
          <w:rFonts w:ascii="Times New Roman" w:eastAsia="Times New Roman" w:hAnsi="Times New Roman" w:cs="Times New Roman"/>
          <w:sz w:val="20"/>
          <w:szCs w:val="20"/>
        </w:rPr>
        <w:t>appeal</w:t>
      </w:r>
      <w:r w:rsidR="00000309" w:rsidRPr="001D767D">
        <w:rPr>
          <w:rFonts w:ascii="Times New Roman" w:eastAsia="Times New Roman" w:hAnsi="Times New Roman" w:cs="Times New Roman"/>
          <w:sz w:val="20"/>
          <w:szCs w:val="20"/>
        </w:rPr>
        <w:t xml:space="preserve"> to </w:t>
      </w:r>
      <w:proofErr w:type="gramStart"/>
      <w:r w:rsidR="00000309" w:rsidRPr="001D767D">
        <w:rPr>
          <w:rFonts w:ascii="Times New Roman" w:eastAsia="Times New Roman" w:hAnsi="Times New Roman" w:cs="Times New Roman"/>
          <w:sz w:val="20"/>
          <w:szCs w:val="20"/>
        </w:rPr>
        <w:t>An</w:t>
      </w:r>
      <w:proofErr w:type="gramEnd"/>
      <w:r w:rsidR="00000309" w:rsidRPr="001D767D">
        <w:rPr>
          <w:rFonts w:ascii="Times New Roman" w:eastAsia="Times New Roman" w:hAnsi="Times New Roman" w:cs="Times New Roman"/>
          <w:sz w:val="20"/>
          <w:szCs w:val="20"/>
        </w:rPr>
        <w:t xml:space="preserve"> </w:t>
      </w:r>
      <w:proofErr w:type="spellStart"/>
      <w:r w:rsidR="00000309" w:rsidRPr="001D767D">
        <w:rPr>
          <w:rFonts w:ascii="Times New Roman" w:eastAsia="Times New Roman" w:hAnsi="Times New Roman" w:cs="Times New Roman"/>
          <w:sz w:val="20"/>
          <w:szCs w:val="20"/>
        </w:rPr>
        <w:t>Bord</w:t>
      </w:r>
      <w:proofErr w:type="spellEnd"/>
      <w:r w:rsidR="00000309" w:rsidRPr="001D767D">
        <w:rPr>
          <w:rFonts w:ascii="Times New Roman" w:eastAsia="Times New Roman" w:hAnsi="Times New Roman" w:cs="Times New Roman"/>
          <w:sz w:val="20"/>
          <w:szCs w:val="20"/>
        </w:rPr>
        <w:t xml:space="preserve"> </w:t>
      </w:r>
      <w:proofErr w:type="spellStart"/>
      <w:r w:rsidR="00000309" w:rsidRPr="001D767D">
        <w:rPr>
          <w:rFonts w:ascii="Times New Roman" w:eastAsia="Times New Roman" w:hAnsi="Times New Roman" w:cs="Times New Roman"/>
          <w:sz w:val="20"/>
          <w:szCs w:val="20"/>
        </w:rPr>
        <w:t>Pleanála</w:t>
      </w:r>
      <w:proofErr w:type="spellEnd"/>
      <w:r w:rsidRPr="001D767D">
        <w:rPr>
          <w:rFonts w:ascii="Times New Roman" w:eastAsia="Times New Roman" w:hAnsi="Times New Roman" w:cs="Times New Roman"/>
          <w:sz w:val="20"/>
          <w:szCs w:val="20"/>
        </w:rPr>
        <w:t>.</w:t>
      </w:r>
      <w:r w:rsidRPr="001D767D">
        <w:rPr>
          <w:rFonts w:ascii="Times New Roman" w:hAnsi="Times New Roman" w:cs="Times New Roman"/>
          <w:sz w:val="20"/>
          <w:szCs w:val="20"/>
          <w:vertAlign w:val="superscript"/>
        </w:rPr>
        <w:footnoteReference w:id="35"/>
      </w:r>
    </w:p>
    <w:p w14:paraId="48E2A144" w14:textId="6B352D7D" w:rsidR="00FC1568" w:rsidRPr="001D767D" w:rsidRDefault="00FC1568" w:rsidP="00CA3343">
      <w:pPr>
        <w:numPr>
          <w:ilvl w:val="0"/>
          <w:numId w:val="2"/>
        </w:numPr>
        <w:tabs>
          <w:tab w:val="right" w:pos="993"/>
          <w:tab w:val="left" w:pos="1080"/>
        </w:tabs>
        <w:spacing w:after="120" w:line="240" w:lineRule="atLeast"/>
        <w:ind w:left="540" w:right="-1" w:firstLine="0"/>
        <w:jc w:val="both"/>
        <w:rPr>
          <w:rFonts w:ascii="Times New Roman" w:eastAsia="Times New Roman" w:hAnsi="Times New Roman" w:cs="Times New Roman"/>
          <w:sz w:val="20"/>
          <w:szCs w:val="20"/>
        </w:rPr>
      </w:pPr>
      <w:bookmarkStart w:id="15" w:name="_Ref500431861"/>
      <w:r w:rsidRPr="001D767D">
        <w:rPr>
          <w:rFonts w:ascii="Times New Roman" w:eastAsia="Times New Roman" w:hAnsi="Times New Roman" w:cs="Times New Roman"/>
          <w:sz w:val="20"/>
          <w:szCs w:val="20"/>
        </w:rPr>
        <w:t xml:space="preserve">The Party concerned submits that the communicant has failed to exhaust domestic remedies and the communication should therefore be found inadmissible in accordance with paragraph 21 of the annex to decision I/7. It contends that a </w:t>
      </w:r>
      <w:r w:rsidR="00685D0E" w:rsidRPr="001D767D">
        <w:rPr>
          <w:rFonts w:ascii="Times New Roman" w:eastAsia="Times New Roman" w:hAnsi="Times New Roman" w:cs="Times New Roman"/>
          <w:sz w:val="20"/>
          <w:szCs w:val="20"/>
        </w:rPr>
        <w:t xml:space="preserve">permit </w:t>
      </w:r>
      <w:r w:rsidR="005279FC" w:rsidRPr="001D767D">
        <w:rPr>
          <w:rFonts w:ascii="Times New Roman" w:eastAsia="Times New Roman" w:hAnsi="Times New Roman" w:cs="Times New Roman"/>
          <w:sz w:val="20"/>
          <w:szCs w:val="20"/>
        </w:rPr>
        <w:t xml:space="preserve">for a quarry </w:t>
      </w:r>
      <w:r w:rsidRPr="001D767D">
        <w:rPr>
          <w:rFonts w:ascii="Times New Roman" w:eastAsia="Times New Roman" w:hAnsi="Times New Roman" w:cs="Times New Roman"/>
          <w:sz w:val="20"/>
          <w:szCs w:val="20"/>
        </w:rPr>
        <w:t xml:space="preserve">was granted in 2004, to expire in 2013, and a </w:t>
      </w:r>
      <w:r w:rsidR="00685D0E" w:rsidRPr="001D767D">
        <w:rPr>
          <w:rFonts w:ascii="Times New Roman" w:eastAsia="Times New Roman" w:hAnsi="Times New Roman" w:cs="Times New Roman"/>
          <w:sz w:val="20"/>
          <w:szCs w:val="20"/>
        </w:rPr>
        <w:t xml:space="preserve">permit </w:t>
      </w:r>
      <w:r w:rsidRPr="001D767D">
        <w:rPr>
          <w:rFonts w:ascii="Times New Roman" w:eastAsia="Times New Roman" w:hAnsi="Times New Roman" w:cs="Times New Roman"/>
          <w:sz w:val="20"/>
          <w:szCs w:val="20"/>
        </w:rPr>
        <w:t xml:space="preserve">for an extension to the quarry was granted in 2010, also to expire in 2013. </w:t>
      </w:r>
      <w:r w:rsidR="00117094" w:rsidRPr="001D767D">
        <w:rPr>
          <w:rFonts w:ascii="Times New Roman" w:eastAsia="Times New Roman" w:hAnsi="Times New Roman" w:cs="Times New Roman"/>
          <w:sz w:val="20"/>
          <w:szCs w:val="20"/>
        </w:rPr>
        <w:t>According to the Party concerned, b</w:t>
      </w:r>
      <w:r w:rsidRPr="001D767D">
        <w:rPr>
          <w:rFonts w:ascii="Times New Roman" w:eastAsia="Times New Roman" w:hAnsi="Times New Roman" w:cs="Times New Roman"/>
          <w:sz w:val="20"/>
          <w:szCs w:val="20"/>
        </w:rPr>
        <w:t xml:space="preserve">oth </w:t>
      </w:r>
      <w:r w:rsidR="00685D0E" w:rsidRPr="001D767D">
        <w:rPr>
          <w:rFonts w:ascii="Times New Roman" w:eastAsia="Times New Roman" w:hAnsi="Times New Roman" w:cs="Times New Roman"/>
          <w:sz w:val="20"/>
          <w:szCs w:val="20"/>
        </w:rPr>
        <w:t xml:space="preserve">permits </w:t>
      </w:r>
      <w:r w:rsidRPr="001D767D">
        <w:rPr>
          <w:rFonts w:ascii="Times New Roman" w:eastAsia="Times New Roman" w:hAnsi="Times New Roman" w:cs="Times New Roman"/>
          <w:sz w:val="20"/>
          <w:szCs w:val="20"/>
        </w:rPr>
        <w:t>were the subject of</w:t>
      </w:r>
      <w:r w:rsidR="00685D0E" w:rsidRPr="001D767D">
        <w:rPr>
          <w:rFonts w:ascii="Times New Roman" w:eastAsia="Times New Roman" w:hAnsi="Times New Roman" w:cs="Times New Roman"/>
          <w:sz w:val="20"/>
          <w:szCs w:val="20"/>
        </w:rPr>
        <w:t xml:space="preserve"> environmental impact assessment</w:t>
      </w:r>
      <w:r w:rsidRPr="001D767D">
        <w:rPr>
          <w:rFonts w:ascii="Times New Roman" w:eastAsia="Times New Roman" w:hAnsi="Times New Roman" w:cs="Times New Roman"/>
          <w:sz w:val="20"/>
          <w:szCs w:val="20"/>
        </w:rPr>
        <w:t xml:space="preserve"> </w:t>
      </w:r>
      <w:r w:rsidR="00D52A17" w:rsidRPr="001D767D">
        <w:rPr>
          <w:rFonts w:ascii="Times New Roman" w:eastAsia="Times New Roman" w:hAnsi="Times New Roman" w:cs="Times New Roman"/>
          <w:sz w:val="20"/>
          <w:szCs w:val="20"/>
        </w:rPr>
        <w:t xml:space="preserve">procedures </w:t>
      </w:r>
      <w:r w:rsidRPr="001D767D">
        <w:rPr>
          <w:rFonts w:ascii="Times New Roman" w:eastAsia="Times New Roman" w:hAnsi="Times New Roman" w:cs="Times New Roman"/>
          <w:sz w:val="20"/>
          <w:szCs w:val="20"/>
        </w:rPr>
        <w:t xml:space="preserve">and full public consultation, a right to appeal to </w:t>
      </w:r>
      <w:proofErr w:type="gramStart"/>
      <w:r w:rsidRPr="001D767D">
        <w:rPr>
          <w:rFonts w:ascii="Times New Roman" w:eastAsia="Times New Roman" w:hAnsi="Times New Roman" w:cs="Times New Roman"/>
          <w:sz w:val="20"/>
          <w:szCs w:val="20"/>
        </w:rPr>
        <w:t>An</w:t>
      </w:r>
      <w:proofErr w:type="gramEnd"/>
      <w:r w:rsidRPr="001D767D">
        <w:rPr>
          <w:rFonts w:ascii="Times New Roman" w:eastAsia="Times New Roman" w:hAnsi="Times New Roman" w:cs="Times New Roman"/>
          <w:sz w:val="20"/>
          <w:szCs w:val="20"/>
        </w:rPr>
        <w:t xml:space="preserve"> </w:t>
      </w:r>
      <w:proofErr w:type="spellStart"/>
      <w:r w:rsidRPr="001D767D">
        <w:rPr>
          <w:rFonts w:ascii="Times New Roman" w:eastAsia="Times New Roman" w:hAnsi="Times New Roman" w:cs="Times New Roman"/>
          <w:sz w:val="20"/>
          <w:szCs w:val="20"/>
        </w:rPr>
        <w:t>Bord</w:t>
      </w:r>
      <w:proofErr w:type="spellEnd"/>
      <w:r w:rsidRPr="001D767D">
        <w:rPr>
          <w:rFonts w:ascii="Times New Roman" w:eastAsia="Times New Roman" w:hAnsi="Times New Roman" w:cs="Times New Roman"/>
          <w:sz w:val="20"/>
          <w:szCs w:val="20"/>
        </w:rPr>
        <w:t xml:space="preserve"> </w:t>
      </w:r>
      <w:proofErr w:type="spellStart"/>
      <w:r w:rsidRPr="001D767D">
        <w:rPr>
          <w:rFonts w:ascii="Times New Roman" w:eastAsia="Times New Roman" w:hAnsi="Times New Roman" w:cs="Times New Roman"/>
          <w:sz w:val="20"/>
          <w:szCs w:val="20"/>
        </w:rPr>
        <w:t>Pleanála</w:t>
      </w:r>
      <w:proofErr w:type="spellEnd"/>
      <w:r w:rsidRPr="001D767D">
        <w:rPr>
          <w:rFonts w:ascii="Times New Roman" w:eastAsia="Times New Roman" w:hAnsi="Times New Roman" w:cs="Times New Roman"/>
          <w:sz w:val="20"/>
          <w:szCs w:val="20"/>
        </w:rPr>
        <w:t>, and the right to seek access to justice by means of a judicial review to the High Court to challenge the substantive or procedural legality of the decisions</w:t>
      </w:r>
      <w:r w:rsidR="002077CB" w:rsidRPr="001D767D">
        <w:rPr>
          <w:rFonts w:ascii="Times New Roman" w:eastAsia="Times New Roman" w:hAnsi="Times New Roman" w:cs="Times New Roman"/>
          <w:sz w:val="20"/>
          <w:szCs w:val="20"/>
        </w:rPr>
        <w:t>. However,</w:t>
      </w:r>
      <w:r w:rsidR="00117094" w:rsidRPr="001D767D">
        <w:rPr>
          <w:rFonts w:ascii="Times New Roman" w:eastAsia="Times New Roman" w:hAnsi="Times New Roman" w:cs="Times New Roman"/>
          <w:sz w:val="20"/>
          <w:szCs w:val="20"/>
        </w:rPr>
        <w:t xml:space="preserve"> n</w:t>
      </w:r>
      <w:r w:rsidRPr="001D767D">
        <w:rPr>
          <w:rFonts w:ascii="Times New Roman" w:eastAsia="Times New Roman" w:hAnsi="Times New Roman" w:cs="Times New Roman"/>
          <w:sz w:val="20"/>
          <w:szCs w:val="20"/>
        </w:rPr>
        <w:t xml:space="preserve">o such judicial review </w:t>
      </w:r>
      <w:r w:rsidR="00117094" w:rsidRPr="001D767D">
        <w:rPr>
          <w:rFonts w:ascii="Times New Roman" w:eastAsia="Times New Roman" w:hAnsi="Times New Roman" w:cs="Times New Roman"/>
          <w:sz w:val="20"/>
          <w:szCs w:val="20"/>
        </w:rPr>
        <w:t>was initiated</w:t>
      </w:r>
      <w:r w:rsidRPr="001D767D">
        <w:rPr>
          <w:rFonts w:ascii="Times New Roman" w:eastAsia="Times New Roman" w:hAnsi="Times New Roman" w:cs="Times New Roman"/>
          <w:sz w:val="20"/>
          <w:szCs w:val="20"/>
        </w:rPr>
        <w:t>.</w:t>
      </w:r>
      <w:r w:rsidRPr="001D767D">
        <w:rPr>
          <w:rFonts w:ascii="Times New Roman" w:hAnsi="Times New Roman" w:cs="Times New Roman"/>
          <w:sz w:val="20"/>
          <w:szCs w:val="20"/>
          <w:vertAlign w:val="superscript"/>
        </w:rPr>
        <w:footnoteReference w:id="36"/>
      </w:r>
      <w:bookmarkEnd w:id="15"/>
    </w:p>
    <w:p w14:paraId="395179E8" w14:textId="30E777F9" w:rsidR="00FC1568" w:rsidRPr="001D767D" w:rsidRDefault="005279FC" w:rsidP="00CA3343">
      <w:pPr>
        <w:numPr>
          <w:ilvl w:val="0"/>
          <w:numId w:val="2"/>
        </w:numPr>
        <w:tabs>
          <w:tab w:val="right" w:pos="993"/>
          <w:tab w:val="left" w:pos="1080"/>
        </w:tabs>
        <w:spacing w:after="120" w:line="240" w:lineRule="atLeast"/>
        <w:ind w:left="540" w:right="-1" w:firstLine="0"/>
        <w:jc w:val="both"/>
        <w:rPr>
          <w:rFonts w:ascii="Times New Roman" w:eastAsia="Times New Roman" w:hAnsi="Times New Roman" w:cs="Times New Roman"/>
          <w:sz w:val="20"/>
          <w:szCs w:val="20"/>
        </w:rPr>
      </w:pPr>
      <w:bookmarkStart w:id="16" w:name="_Ref476659049"/>
      <w:r w:rsidRPr="001D767D">
        <w:rPr>
          <w:rFonts w:ascii="Times New Roman" w:eastAsia="Times New Roman" w:hAnsi="Times New Roman" w:cs="Times New Roman"/>
          <w:sz w:val="20"/>
          <w:szCs w:val="20"/>
        </w:rPr>
        <w:t xml:space="preserve">The Party concerned moreover </w:t>
      </w:r>
      <w:r w:rsidR="00FC1568" w:rsidRPr="001D767D">
        <w:rPr>
          <w:rFonts w:ascii="Times New Roman" w:eastAsia="Times New Roman" w:hAnsi="Times New Roman" w:cs="Times New Roman"/>
          <w:sz w:val="20"/>
          <w:szCs w:val="20"/>
        </w:rPr>
        <w:t>contends that</w:t>
      </w:r>
      <w:r w:rsidRPr="001D767D">
        <w:rPr>
          <w:rFonts w:ascii="Times New Roman" w:eastAsia="Times New Roman" w:hAnsi="Times New Roman" w:cs="Times New Roman"/>
          <w:sz w:val="20"/>
          <w:szCs w:val="20"/>
        </w:rPr>
        <w:t>,</w:t>
      </w:r>
      <w:r w:rsidR="00FC1568" w:rsidRPr="001D767D">
        <w:rPr>
          <w:rFonts w:ascii="Times New Roman" w:eastAsia="Times New Roman" w:hAnsi="Times New Roman" w:cs="Times New Roman"/>
          <w:sz w:val="20"/>
          <w:szCs w:val="20"/>
        </w:rPr>
        <w:t xml:space="preserve"> </w:t>
      </w:r>
      <w:r w:rsidRPr="001D767D">
        <w:rPr>
          <w:rFonts w:ascii="Times New Roman" w:eastAsia="Times New Roman" w:hAnsi="Times New Roman" w:cs="Times New Roman"/>
          <w:sz w:val="20"/>
          <w:szCs w:val="20"/>
        </w:rPr>
        <w:t xml:space="preserve">while not subject to an appeal before </w:t>
      </w:r>
      <w:proofErr w:type="gramStart"/>
      <w:r w:rsidRPr="001D767D">
        <w:rPr>
          <w:rFonts w:ascii="Times New Roman" w:eastAsia="Times New Roman" w:hAnsi="Times New Roman" w:cs="Times New Roman"/>
          <w:sz w:val="20"/>
          <w:szCs w:val="20"/>
        </w:rPr>
        <w:t>An</w:t>
      </w:r>
      <w:proofErr w:type="gramEnd"/>
      <w:r w:rsidRPr="001D767D">
        <w:rPr>
          <w:rFonts w:ascii="Times New Roman" w:eastAsia="Times New Roman" w:hAnsi="Times New Roman" w:cs="Times New Roman"/>
          <w:sz w:val="20"/>
          <w:szCs w:val="20"/>
        </w:rPr>
        <w:t xml:space="preserve"> </w:t>
      </w:r>
      <w:proofErr w:type="spellStart"/>
      <w:r w:rsidRPr="001D767D">
        <w:rPr>
          <w:rFonts w:ascii="Times New Roman" w:eastAsia="Times New Roman" w:hAnsi="Times New Roman" w:cs="Times New Roman"/>
          <w:sz w:val="20"/>
          <w:szCs w:val="20"/>
        </w:rPr>
        <w:t>Bord</w:t>
      </w:r>
      <w:proofErr w:type="spellEnd"/>
      <w:r w:rsidRPr="001D767D">
        <w:rPr>
          <w:rFonts w:ascii="Times New Roman" w:eastAsia="Times New Roman" w:hAnsi="Times New Roman" w:cs="Times New Roman"/>
          <w:sz w:val="20"/>
          <w:szCs w:val="20"/>
        </w:rPr>
        <w:t xml:space="preserve"> </w:t>
      </w:r>
      <w:proofErr w:type="spellStart"/>
      <w:r w:rsidRPr="001D767D">
        <w:rPr>
          <w:rFonts w:ascii="Times New Roman" w:eastAsia="Times New Roman" w:hAnsi="Times New Roman" w:cs="Times New Roman"/>
          <w:sz w:val="20"/>
          <w:szCs w:val="20"/>
        </w:rPr>
        <w:t>Pleanála</w:t>
      </w:r>
      <w:proofErr w:type="spellEnd"/>
      <w:r w:rsidRPr="001D767D">
        <w:rPr>
          <w:rFonts w:ascii="Times New Roman" w:eastAsia="Times New Roman" w:hAnsi="Times New Roman" w:cs="Times New Roman"/>
          <w:sz w:val="20"/>
          <w:szCs w:val="20"/>
        </w:rPr>
        <w:t>,</w:t>
      </w:r>
      <w:r w:rsidRPr="001D767D">
        <w:rPr>
          <w:rFonts w:ascii="Times New Roman" w:hAnsi="Times New Roman" w:cs="Times New Roman"/>
          <w:sz w:val="20"/>
          <w:szCs w:val="20"/>
          <w:vertAlign w:val="superscript"/>
        </w:rPr>
        <w:footnoteReference w:id="37"/>
      </w:r>
      <w:r w:rsidRPr="001D767D">
        <w:rPr>
          <w:rFonts w:ascii="Times New Roman" w:eastAsia="Times New Roman" w:hAnsi="Times New Roman" w:cs="Times New Roman"/>
          <w:sz w:val="20"/>
          <w:szCs w:val="20"/>
        </w:rPr>
        <w:t xml:space="preserve"> </w:t>
      </w:r>
      <w:r w:rsidR="00FC1568" w:rsidRPr="001D767D">
        <w:rPr>
          <w:rFonts w:ascii="Times New Roman" w:eastAsia="Times New Roman" w:hAnsi="Times New Roman" w:cs="Times New Roman"/>
          <w:sz w:val="20"/>
          <w:szCs w:val="20"/>
        </w:rPr>
        <w:t xml:space="preserve">the </w:t>
      </w:r>
      <w:r w:rsidRPr="001D767D">
        <w:rPr>
          <w:rFonts w:ascii="Times New Roman" w:eastAsia="Times New Roman" w:hAnsi="Times New Roman" w:cs="Times New Roman"/>
          <w:sz w:val="20"/>
          <w:szCs w:val="20"/>
        </w:rPr>
        <w:t xml:space="preserve">2013 </w:t>
      </w:r>
      <w:r w:rsidR="00FC1568" w:rsidRPr="001D767D">
        <w:rPr>
          <w:rFonts w:ascii="Times New Roman" w:eastAsia="Times New Roman" w:hAnsi="Times New Roman" w:cs="Times New Roman"/>
          <w:sz w:val="20"/>
          <w:szCs w:val="20"/>
        </w:rPr>
        <w:t xml:space="preserve">decisions to extend the duration of these </w:t>
      </w:r>
      <w:r w:rsidR="00551615" w:rsidRPr="001D767D">
        <w:rPr>
          <w:rFonts w:ascii="Times New Roman" w:eastAsia="Times New Roman" w:hAnsi="Times New Roman" w:cs="Times New Roman"/>
          <w:sz w:val="20"/>
          <w:szCs w:val="20"/>
        </w:rPr>
        <w:t xml:space="preserve">permits </w:t>
      </w:r>
      <w:r w:rsidR="00FC1568" w:rsidRPr="001D767D">
        <w:rPr>
          <w:rFonts w:ascii="Times New Roman" w:eastAsia="Times New Roman" w:hAnsi="Times New Roman" w:cs="Times New Roman"/>
          <w:sz w:val="20"/>
          <w:szCs w:val="20"/>
        </w:rPr>
        <w:t xml:space="preserve">by </w:t>
      </w:r>
      <w:r w:rsidR="00000BFB" w:rsidRPr="001D767D">
        <w:rPr>
          <w:rFonts w:ascii="Times New Roman" w:eastAsia="Times New Roman" w:hAnsi="Times New Roman" w:cs="Times New Roman"/>
          <w:sz w:val="20"/>
          <w:szCs w:val="20"/>
        </w:rPr>
        <w:t xml:space="preserve">five </w:t>
      </w:r>
      <w:r w:rsidR="00FC1568" w:rsidRPr="001D767D">
        <w:rPr>
          <w:rFonts w:ascii="Times New Roman" w:eastAsia="Times New Roman" w:hAnsi="Times New Roman" w:cs="Times New Roman"/>
          <w:sz w:val="20"/>
          <w:szCs w:val="20"/>
        </w:rPr>
        <w:t>years, up to 2018 (see para</w:t>
      </w:r>
      <w:r w:rsidR="00A5788F" w:rsidRPr="001D767D">
        <w:rPr>
          <w:rFonts w:ascii="Times New Roman" w:eastAsia="Times New Roman" w:hAnsi="Times New Roman" w:cs="Times New Roman"/>
          <w:sz w:val="20"/>
          <w:szCs w:val="20"/>
        </w:rPr>
        <w:t>s</w:t>
      </w:r>
      <w:r w:rsidRPr="001D767D">
        <w:rPr>
          <w:rFonts w:ascii="Times New Roman" w:eastAsia="Times New Roman" w:hAnsi="Times New Roman" w:cs="Times New Roman"/>
          <w:sz w:val="20"/>
          <w:szCs w:val="20"/>
        </w:rPr>
        <w:t xml:space="preserve">. </w:t>
      </w:r>
      <w:r w:rsidR="00FC1568" w:rsidRPr="001D767D">
        <w:rPr>
          <w:rFonts w:ascii="Times New Roman" w:eastAsia="Times New Roman" w:hAnsi="Times New Roman" w:cs="Times New Roman"/>
          <w:sz w:val="20"/>
          <w:szCs w:val="20"/>
        </w:rPr>
        <w:fldChar w:fldCharType="begin"/>
      </w:r>
      <w:r w:rsidR="00FC1568" w:rsidRPr="001D767D">
        <w:rPr>
          <w:rFonts w:ascii="Times New Roman" w:eastAsia="Times New Roman" w:hAnsi="Times New Roman" w:cs="Times New Roman"/>
          <w:sz w:val="20"/>
          <w:szCs w:val="20"/>
        </w:rPr>
        <w:instrText xml:space="preserve"> REF _Ref476738223 \r \h </w:instrText>
      </w:r>
      <w:r w:rsidR="00064AA0" w:rsidRPr="001D767D">
        <w:rPr>
          <w:rFonts w:ascii="Times New Roman" w:eastAsia="Times New Roman" w:hAnsi="Times New Roman" w:cs="Times New Roman"/>
          <w:sz w:val="20"/>
          <w:szCs w:val="20"/>
        </w:rPr>
        <w:instrText xml:space="preserve"> \* MERGEFORMAT </w:instrText>
      </w:r>
      <w:r w:rsidR="00FC1568" w:rsidRPr="001D767D">
        <w:rPr>
          <w:rFonts w:ascii="Times New Roman" w:eastAsia="Times New Roman" w:hAnsi="Times New Roman" w:cs="Times New Roman"/>
          <w:sz w:val="20"/>
          <w:szCs w:val="20"/>
        </w:rPr>
      </w:r>
      <w:r w:rsidR="00FC1568" w:rsidRPr="001D767D">
        <w:rPr>
          <w:rFonts w:ascii="Times New Roman" w:eastAsia="Times New Roman" w:hAnsi="Times New Roman" w:cs="Times New Roman"/>
          <w:sz w:val="20"/>
          <w:szCs w:val="20"/>
        </w:rPr>
        <w:fldChar w:fldCharType="separate"/>
      </w:r>
      <w:r w:rsidR="001D767D" w:rsidRPr="001D767D">
        <w:rPr>
          <w:rFonts w:ascii="Times New Roman" w:eastAsia="Times New Roman" w:hAnsi="Times New Roman" w:cs="Times New Roman"/>
          <w:sz w:val="20"/>
          <w:szCs w:val="20"/>
          <w:cs/>
        </w:rPr>
        <w:t>‎</w:t>
      </w:r>
      <w:r w:rsidR="001D767D" w:rsidRPr="001D767D">
        <w:rPr>
          <w:rFonts w:ascii="Times New Roman" w:eastAsia="Times New Roman" w:hAnsi="Times New Roman" w:cs="Times New Roman"/>
          <w:sz w:val="20"/>
          <w:szCs w:val="20"/>
        </w:rPr>
        <w:t>34</w:t>
      </w:r>
      <w:r w:rsidR="00FC1568" w:rsidRPr="001D767D">
        <w:rPr>
          <w:rFonts w:ascii="Times New Roman" w:eastAsia="Times New Roman" w:hAnsi="Times New Roman" w:cs="Times New Roman"/>
          <w:sz w:val="20"/>
          <w:szCs w:val="20"/>
        </w:rPr>
        <w:fldChar w:fldCharType="end"/>
      </w:r>
      <w:r w:rsidR="00FC1568" w:rsidRPr="001D767D">
        <w:rPr>
          <w:rFonts w:ascii="Times New Roman" w:eastAsia="Times New Roman" w:hAnsi="Times New Roman" w:cs="Times New Roman"/>
          <w:sz w:val="20"/>
          <w:szCs w:val="20"/>
        </w:rPr>
        <w:t xml:space="preserve"> and </w:t>
      </w:r>
      <w:r w:rsidR="00FC1568" w:rsidRPr="001D767D">
        <w:rPr>
          <w:rFonts w:ascii="Times New Roman" w:eastAsia="Times New Roman" w:hAnsi="Times New Roman" w:cs="Times New Roman"/>
          <w:sz w:val="20"/>
          <w:szCs w:val="20"/>
        </w:rPr>
        <w:fldChar w:fldCharType="begin"/>
      </w:r>
      <w:r w:rsidR="00FC1568" w:rsidRPr="001D767D">
        <w:rPr>
          <w:rFonts w:ascii="Times New Roman" w:eastAsia="Times New Roman" w:hAnsi="Times New Roman" w:cs="Times New Roman"/>
          <w:sz w:val="20"/>
          <w:szCs w:val="20"/>
        </w:rPr>
        <w:instrText xml:space="preserve"> REF _Ref476738224 \r \h </w:instrText>
      </w:r>
      <w:r w:rsidR="00064AA0" w:rsidRPr="001D767D">
        <w:rPr>
          <w:rFonts w:ascii="Times New Roman" w:eastAsia="Times New Roman" w:hAnsi="Times New Roman" w:cs="Times New Roman"/>
          <w:sz w:val="20"/>
          <w:szCs w:val="20"/>
        </w:rPr>
        <w:instrText xml:space="preserve"> \* MERGEFORMAT </w:instrText>
      </w:r>
      <w:r w:rsidR="00FC1568" w:rsidRPr="001D767D">
        <w:rPr>
          <w:rFonts w:ascii="Times New Roman" w:eastAsia="Times New Roman" w:hAnsi="Times New Roman" w:cs="Times New Roman"/>
          <w:sz w:val="20"/>
          <w:szCs w:val="20"/>
        </w:rPr>
      </w:r>
      <w:r w:rsidR="00FC1568" w:rsidRPr="001D767D">
        <w:rPr>
          <w:rFonts w:ascii="Times New Roman" w:eastAsia="Times New Roman" w:hAnsi="Times New Roman" w:cs="Times New Roman"/>
          <w:sz w:val="20"/>
          <w:szCs w:val="20"/>
        </w:rPr>
        <w:fldChar w:fldCharType="separate"/>
      </w:r>
      <w:r w:rsidR="001D767D" w:rsidRPr="001D767D">
        <w:rPr>
          <w:rFonts w:ascii="Times New Roman" w:eastAsia="Times New Roman" w:hAnsi="Times New Roman" w:cs="Times New Roman"/>
          <w:sz w:val="20"/>
          <w:szCs w:val="20"/>
          <w:cs/>
        </w:rPr>
        <w:t>‎</w:t>
      </w:r>
      <w:r w:rsidR="001D767D" w:rsidRPr="001D767D">
        <w:rPr>
          <w:rFonts w:ascii="Times New Roman" w:eastAsia="Times New Roman" w:hAnsi="Times New Roman" w:cs="Times New Roman"/>
          <w:sz w:val="20"/>
          <w:szCs w:val="20"/>
        </w:rPr>
        <w:t>36</w:t>
      </w:r>
      <w:r w:rsidR="00FC1568" w:rsidRPr="001D767D">
        <w:rPr>
          <w:rFonts w:ascii="Times New Roman" w:eastAsia="Times New Roman" w:hAnsi="Times New Roman" w:cs="Times New Roman"/>
          <w:sz w:val="20"/>
          <w:szCs w:val="20"/>
        </w:rPr>
        <w:fldChar w:fldCharType="end"/>
      </w:r>
      <w:r w:rsidR="00FC1568" w:rsidRPr="001D767D">
        <w:rPr>
          <w:rFonts w:ascii="Times New Roman" w:eastAsia="Times New Roman" w:hAnsi="Times New Roman" w:cs="Times New Roman"/>
          <w:sz w:val="20"/>
          <w:szCs w:val="20"/>
        </w:rPr>
        <w:t xml:space="preserve"> above)</w:t>
      </w:r>
      <w:r w:rsidRPr="001D767D">
        <w:rPr>
          <w:rFonts w:ascii="Times New Roman" w:eastAsia="Times New Roman" w:hAnsi="Times New Roman" w:cs="Times New Roman"/>
          <w:sz w:val="20"/>
          <w:szCs w:val="20"/>
        </w:rPr>
        <w:t xml:space="preserve"> could have been subjected to </w:t>
      </w:r>
      <w:r w:rsidR="00FC1568" w:rsidRPr="001D767D">
        <w:rPr>
          <w:rFonts w:ascii="Times New Roman" w:eastAsia="Times New Roman" w:hAnsi="Times New Roman" w:cs="Times New Roman"/>
          <w:sz w:val="20"/>
          <w:szCs w:val="20"/>
        </w:rPr>
        <w:t>judicial review</w:t>
      </w:r>
      <w:r w:rsidRPr="001D767D">
        <w:rPr>
          <w:rFonts w:ascii="Times New Roman" w:eastAsia="Times New Roman" w:hAnsi="Times New Roman" w:cs="Times New Roman"/>
          <w:sz w:val="20"/>
          <w:szCs w:val="20"/>
        </w:rPr>
        <w:t xml:space="preserve"> before the High Court but the communicant failed to do so</w:t>
      </w:r>
      <w:r w:rsidR="00FC1568" w:rsidRPr="001D767D">
        <w:rPr>
          <w:rFonts w:ascii="Times New Roman" w:eastAsia="Times New Roman" w:hAnsi="Times New Roman" w:cs="Times New Roman"/>
          <w:sz w:val="20"/>
          <w:szCs w:val="20"/>
        </w:rPr>
        <w:t>.</w:t>
      </w:r>
      <w:r w:rsidR="00722050" w:rsidRPr="001D767D">
        <w:rPr>
          <w:rFonts w:ascii="Times New Roman" w:hAnsi="Times New Roman" w:cs="Times New Roman"/>
          <w:sz w:val="20"/>
          <w:szCs w:val="20"/>
          <w:vertAlign w:val="superscript"/>
        </w:rPr>
        <w:footnoteReference w:id="38"/>
      </w:r>
      <w:r w:rsidR="00FC1568" w:rsidRPr="001D767D">
        <w:rPr>
          <w:rFonts w:ascii="Times New Roman" w:eastAsia="Times New Roman" w:hAnsi="Times New Roman" w:cs="Times New Roman"/>
          <w:sz w:val="20"/>
          <w:szCs w:val="20"/>
        </w:rPr>
        <w:t xml:space="preserve"> The Party concerned </w:t>
      </w:r>
      <w:bookmarkStart w:id="17" w:name="_Hlk3120500"/>
      <w:r w:rsidRPr="001D767D">
        <w:rPr>
          <w:rFonts w:ascii="Times New Roman" w:eastAsia="Times New Roman" w:hAnsi="Times New Roman" w:cs="Times New Roman"/>
          <w:sz w:val="20"/>
          <w:szCs w:val="20"/>
        </w:rPr>
        <w:t>states</w:t>
      </w:r>
      <w:r w:rsidR="00FC1568" w:rsidRPr="001D767D">
        <w:rPr>
          <w:rFonts w:ascii="Times New Roman" w:eastAsia="Times New Roman" w:hAnsi="Times New Roman" w:cs="Times New Roman"/>
          <w:sz w:val="20"/>
          <w:szCs w:val="20"/>
        </w:rPr>
        <w:t xml:space="preserve"> that this review before the High Court would have been limited to assess</w:t>
      </w:r>
      <w:r w:rsidR="00000309" w:rsidRPr="001D767D">
        <w:rPr>
          <w:rFonts w:ascii="Times New Roman" w:eastAsia="Times New Roman" w:hAnsi="Times New Roman" w:cs="Times New Roman"/>
          <w:sz w:val="20"/>
          <w:szCs w:val="20"/>
        </w:rPr>
        <w:t>ing</w:t>
      </w:r>
      <w:r w:rsidR="00FC1568" w:rsidRPr="001D767D">
        <w:rPr>
          <w:rFonts w:ascii="Times New Roman" w:eastAsia="Times New Roman" w:hAnsi="Times New Roman" w:cs="Times New Roman"/>
          <w:sz w:val="20"/>
          <w:szCs w:val="20"/>
        </w:rPr>
        <w:t xml:space="preserve"> whether the </w:t>
      </w:r>
      <w:r w:rsidR="00252EE9" w:rsidRPr="001D767D">
        <w:rPr>
          <w:rFonts w:ascii="Times New Roman" w:hAnsi="Times New Roman"/>
          <w:sz w:val="20"/>
        </w:rPr>
        <w:t xml:space="preserve">developer </w:t>
      </w:r>
      <w:r w:rsidR="00FC1568" w:rsidRPr="001D767D">
        <w:rPr>
          <w:rFonts w:ascii="Times New Roman" w:eastAsia="Times New Roman" w:hAnsi="Times New Roman" w:cs="Times New Roman"/>
          <w:sz w:val="20"/>
          <w:szCs w:val="20"/>
        </w:rPr>
        <w:t xml:space="preserve">has complied with the strict and technical statutory conditions for the grant of an extension of </w:t>
      </w:r>
      <w:r w:rsidR="00252EE9" w:rsidRPr="001D767D">
        <w:rPr>
          <w:rFonts w:ascii="Times New Roman" w:hAnsi="Times New Roman"/>
          <w:sz w:val="20"/>
        </w:rPr>
        <w:t xml:space="preserve">the </w:t>
      </w:r>
      <w:r w:rsidR="00000309" w:rsidRPr="001D767D">
        <w:rPr>
          <w:rFonts w:ascii="Times New Roman" w:eastAsia="Times New Roman" w:hAnsi="Times New Roman" w:cs="Times New Roman"/>
          <w:sz w:val="20"/>
          <w:szCs w:val="20"/>
        </w:rPr>
        <w:t xml:space="preserve">duration of the </w:t>
      </w:r>
      <w:r w:rsidR="00252EE9" w:rsidRPr="001D767D">
        <w:rPr>
          <w:rFonts w:ascii="Times New Roman" w:eastAsia="Times New Roman" w:hAnsi="Times New Roman" w:cs="Times New Roman"/>
          <w:sz w:val="20"/>
          <w:szCs w:val="20"/>
        </w:rPr>
        <w:t>permit</w:t>
      </w:r>
      <w:r w:rsidR="00FC1568" w:rsidRPr="001D767D">
        <w:rPr>
          <w:rFonts w:ascii="Times New Roman" w:hAnsi="Times New Roman" w:cs="Times New Roman"/>
          <w:sz w:val="20"/>
          <w:szCs w:val="20"/>
          <w:vertAlign w:val="superscript"/>
        </w:rPr>
        <w:footnoteReference w:id="39"/>
      </w:r>
      <w:r w:rsidR="00FC1568" w:rsidRPr="001D767D">
        <w:rPr>
          <w:rFonts w:ascii="Times New Roman" w:eastAsia="Times New Roman" w:hAnsi="Times New Roman" w:cs="Times New Roman"/>
          <w:sz w:val="20"/>
          <w:szCs w:val="20"/>
        </w:rPr>
        <w:t xml:space="preserve"> </w:t>
      </w:r>
      <w:r w:rsidRPr="001D767D">
        <w:rPr>
          <w:rFonts w:ascii="Times New Roman" w:eastAsia="Times New Roman" w:hAnsi="Times New Roman" w:cs="Times New Roman"/>
          <w:sz w:val="20"/>
          <w:szCs w:val="20"/>
        </w:rPr>
        <w:t>and to assess</w:t>
      </w:r>
      <w:r w:rsidR="00FC1568" w:rsidRPr="001D767D">
        <w:rPr>
          <w:rFonts w:ascii="Times New Roman" w:eastAsia="Times New Roman" w:hAnsi="Times New Roman" w:cs="Times New Roman"/>
          <w:sz w:val="20"/>
          <w:szCs w:val="20"/>
        </w:rPr>
        <w:t xml:space="preserve"> whether the </w:t>
      </w:r>
      <w:r w:rsidR="00D44319" w:rsidRPr="001D767D">
        <w:rPr>
          <w:rFonts w:ascii="Times New Roman" w:eastAsia="Times New Roman" w:hAnsi="Times New Roman" w:cs="Times New Roman"/>
          <w:sz w:val="20"/>
          <w:szCs w:val="20"/>
        </w:rPr>
        <w:t>decision-</w:t>
      </w:r>
      <w:r w:rsidR="00FC1568" w:rsidRPr="001D767D">
        <w:rPr>
          <w:rFonts w:ascii="Times New Roman" w:eastAsia="Times New Roman" w:hAnsi="Times New Roman" w:cs="Times New Roman"/>
          <w:sz w:val="20"/>
          <w:szCs w:val="20"/>
        </w:rPr>
        <w:t>maker acted reasonably and rationally on the basis of the evidence before it.</w:t>
      </w:r>
      <w:r w:rsidR="00FC1568" w:rsidRPr="001D767D">
        <w:rPr>
          <w:rFonts w:ascii="Times New Roman" w:hAnsi="Times New Roman" w:cs="Times New Roman"/>
          <w:sz w:val="20"/>
          <w:szCs w:val="20"/>
          <w:vertAlign w:val="superscript"/>
        </w:rPr>
        <w:footnoteReference w:id="40"/>
      </w:r>
      <w:r w:rsidR="00FC1568" w:rsidRPr="001D767D">
        <w:rPr>
          <w:rFonts w:ascii="Times New Roman" w:eastAsia="Times New Roman" w:hAnsi="Times New Roman" w:cs="Times New Roman"/>
          <w:sz w:val="20"/>
          <w:szCs w:val="20"/>
        </w:rPr>
        <w:t xml:space="preserve"> </w:t>
      </w:r>
      <w:bookmarkEnd w:id="16"/>
      <w:bookmarkEnd w:id="17"/>
    </w:p>
    <w:p w14:paraId="05BE942C" w14:textId="792109BE" w:rsidR="00FC1568" w:rsidRPr="001D767D" w:rsidRDefault="005279FC" w:rsidP="00784840">
      <w:pPr>
        <w:numPr>
          <w:ilvl w:val="0"/>
          <w:numId w:val="2"/>
        </w:numPr>
        <w:tabs>
          <w:tab w:val="right" w:pos="993"/>
          <w:tab w:val="left" w:pos="1080"/>
        </w:tabs>
        <w:spacing w:after="120" w:line="240" w:lineRule="atLeast"/>
        <w:ind w:left="540" w:right="-1" w:firstLine="0"/>
        <w:jc w:val="both"/>
        <w:rPr>
          <w:rFonts w:ascii="Times New Roman" w:eastAsia="Times New Roman" w:hAnsi="Times New Roman" w:cs="Times New Roman"/>
          <w:sz w:val="20"/>
          <w:szCs w:val="20"/>
        </w:rPr>
      </w:pPr>
      <w:r w:rsidRPr="001D767D">
        <w:rPr>
          <w:rFonts w:ascii="Times New Roman" w:eastAsia="Times New Roman" w:hAnsi="Times New Roman" w:cs="Times New Roman"/>
          <w:sz w:val="20"/>
          <w:szCs w:val="20"/>
        </w:rPr>
        <w:t>The Party concerned</w:t>
      </w:r>
      <w:r w:rsidR="00FC1568" w:rsidRPr="001D767D">
        <w:rPr>
          <w:rFonts w:ascii="Times New Roman" w:eastAsia="Times New Roman" w:hAnsi="Times New Roman" w:cs="Times New Roman"/>
          <w:sz w:val="20"/>
          <w:szCs w:val="20"/>
        </w:rPr>
        <w:t xml:space="preserve"> submits that the communicant’s claim that a challenge </w:t>
      </w:r>
      <w:r w:rsidR="00000309" w:rsidRPr="001D767D">
        <w:rPr>
          <w:rFonts w:ascii="Times New Roman" w:eastAsia="Times New Roman" w:hAnsi="Times New Roman" w:cs="Times New Roman"/>
          <w:sz w:val="20"/>
          <w:szCs w:val="20"/>
        </w:rPr>
        <w:t>in</w:t>
      </w:r>
      <w:r w:rsidR="00FC1568" w:rsidRPr="001D767D">
        <w:rPr>
          <w:rFonts w:ascii="Times New Roman" w:eastAsia="Times New Roman" w:hAnsi="Times New Roman" w:cs="Times New Roman"/>
          <w:sz w:val="20"/>
          <w:szCs w:val="20"/>
        </w:rPr>
        <w:t xml:space="preserve"> the High Court would </w:t>
      </w:r>
      <w:r w:rsidRPr="001D767D">
        <w:rPr>
          <w:rFonts w:ascii="Times New Roman" w:eastAsia="Times New Roman" w:hAnsi="Times New Roman" w:cs="Times New Roman"/>
          <w:sz w:val="20"/>
          <w:szCs w:val="20"/>
        </w:rPr>
        <w:t>have been</w:t>
      </w:r>
      <w:r w:rsidR="00FC1568" w:rsidRPr="001D767D">
        <w:rPr>
          <w:rFonts w:ascii="Times New Roman" w:eastAsia="Times New Roman" w:hAnsi="Times New Roman" w:cs="Times New Roman"/>
          <w:sz w:val="20"/>
          <w:szCs w:val="20"/>
        </w:rPr>
        <w:t xml:space="preserve"> beyond his financial capability </w:t>
      </w:r>
      <w:r w:rsidR="00906B2B" w:rsidRPr="001D767D">
        <w:rPr>
          <w:rFonts w:ascii="Times New Roman" w:eastAsia="Times New Roman" w:hAnsi="Times New Roman" w:cs="Times New Roman"/>
          <w:sz w:val="20"/>
          <w:szCs w:val="20"/>
        </w:rPr>
        <w:t xml:space="preserve">is </w:t>
      </w:r>
      <w:r w:rsidR="00FC1568" w:rsidRPr="001D767D">
        <w:rPr>
          <w:rFonts w:ascii="Times New Roman" w:eastAsia="Times New Roman" w:hAnsi="Times New Roman" w:cs="Times New Roman"/>
          <w:sz w:val="20"/>
          <w:szCs w:val="20"/>
        </w:rPr>
        <w:t xml:space="preserve">an argument introduced at a late stage, not adequately grounded and no defence against a failure to exhaust </w:t>
      </w:r>
      <w:r w:rsidR="00000309" w:rsidRPr="001D767D">
        <w:rPr>
          <w:rFonts w:ascii="Times New Roman" w:eastAsia="Times New Roman" w:hAnsi="Times New Roman" w:cs="Times New Roman"/>
          <w:sz w:val="20"/>
          <w:szCs w:val="20"/>
        </w:rPr>
        <w:t xml:space="preserve">domestic </w:t>
      </w:r>
      <w:r w:rsidR="00FC1568" w:rsidRPr="001D767D">
        <w:rPr>
          <w:rFonts w:ascii="Times New Roman" w:eastAsia="Times New Roman" w:hAnsi="Times New Roman" w:cs="Times New Roman"/>
          <w:sz w:val="20"/>
          <w:szCs w:val="20"/>
        </w:rPr>
        <w:t>remedies.</w:t>
      </w:r>
      <w:r w:rsidR="00FC1568" w:rsidRPr="001D767D">
        <w:rPr>
          <w:rFonts w:ascii="Times New Roman" w:hAnsi="Times New Roman" w:cs="Times New Roman"/>
          <w:sz w:val="20"/>
          <w:szCs w:val="20"/>
          <w:vertAlign w:val="superscript"/>
        </w:rPr>
        <w:footnoteReference w:id="41"/>
      </w:r>
      <w:r w:rsidR="00FC1568" w:rsidRPr="001D767D">
        <w:rPr>
          <w:rFonts w:ascii="Times New Roman" w:eastAsia="Times New Roman" w:hAnsi="Times New Roman" w:cs="Times New Roman"/>
          <w:sz w:val="20"/>
          <w:szCs w:val="20"/>
        </w:rPr>
        <w:t xml:space="preserve"> </w:t>
      </w:r>
      <w:r w:rsidR="00906B2B" w:rsidRPr="001D767D">
        <w:rPr>
          <w:rFonts w:ascii="Times New Roman" w:eastAsia="Times New Roman" w:hAnsi="Times New Roman" w:cs="Times New Roman"/>
          <w:sz w:val="20"/>
          <w:szCs w:val="20"/>
        </w:rPr>
        <w:t xml:space="preserve">It also submits that this claim is not the basis of the </w:t>
      </w:r>
      <w:r w:rsidR="00000309" w:rsidRPr="001D767D">
        <w:rPr>
          <w:rFonts w:ascii="Times New Roman" w:eastAsia="Times New Roman" w:hAnsi="Times New Roman" w:cs="Times New Roman"/>
          <w:sz w:val="20"/>
          <w:szCs w:val="20"/>
        </w:rPr>
        <w:t xml:space="preserve">present </w:t>
      </w:r>
      <w:r w:rsidR="00906B2B" w:rsidRPr="001D767D">
        <w:rPr>
          <w:rFonts w:ascii="Times New Roman" w:eastAsia="Times New Roman" w:hAnsi="Times New Roman" w:cs="Times New Roman"/>
          <w:sz w:val="20"/>
          <w:szCs w:val="20"/>
        </w:rPr>
        <w:t>communication. The Party concerned</w:t>
      </w:r>
      <w:r w:rsidR="00FC1568" w:rsidRPr="001D767D">
        <w:rPr>
          <w:rFonts w:ascii="Times New Roman" w:eastAsia="Times New Roman" w:hAnsi="Times New Roman" w:cs="Times New Roman"/>
          <w:sz w:val="20"/>
          <w:szCs w:val="20"/>
        </w:rPr>
        <w:t xml:space="preserve"> </w:t>
      </w:r>
      <w:r w:rsidR="00906B2B" w:rsidRPr="001D767D">
        <w:rPr>
          <w:rFonts w:ascii="Times New Roman" w:eastAsia="Times New Roman" w:hAnsi="Times New Roman" w:cs="Times New Roman"/>
          <w:sz w:val="20"/>
          <w:szCs w:val="20"/>
        </w:rPr>
        <w:t xml:space="preserve">provides </w:t>
      </w:r>
      <w:r w:rsidR="00FC1568" w:rsidRPr="001D767D">
        <w:rPr>
          <w:rFonts w:ascii="Times New Roman" w:eastAsia="Times New Roman" w:hAnsi="Times New Roman" w:cs="Times New Roman"/>
          <w:sz w:val="20"/>
          <w:szCs w:val="20"/>
        </w:rPr>
        <w:t xml:space="preserve">an assessment of </w:t>
      </w:r>
      <w:r w:rsidR="00EB6306" w:rsidRPr="001D767D">
        <w:rPr>
          <w:rFonts w:ascii="Times New Roman" w:eastAsia="Times New Roman" w:hAnsi="Times New Roman" w:cs="Times New Roman"/>
          <w:sz w:val="20"/>
          <w:szCs w:val="20"/>
        </w:rPr>
        <w:t xml:space="preserve">factors to be </w:t>
      </w:r>
      <w:proofErr w:type="gramStart"/>
      <w:r w:rsidR="00EB6306" w:rsidRPr="001D767D">
        <w:rPr>
          <w:rFonts w:ascii="Times New Roman" w:eastAsia="Times New Roman" w:hAnsi="Times New Roman" w:cs="Times New Roman"/>
          <w:sz w:val="20"/>
          <w:szCs w:val="20"/>
        </w:rPr>
        <w:t>taken into account</w:t>
      </w:r>
      <w:proofErr w:type="gramEnd"/>
      <w:r w:rsidR="00EB6306" w:rsidRPr="001D767D">
        <w:rPr>
          <w:rFonts w:ascii="Times New Roman" w:eastAsia="Times New Roman" w:hAnsi="Times New Roman" w:cs="Times New Roman"/>
          <w:sz w:val="20"/>
          <w:szCs w:val="20"/>
        </w:rPr>
        <w:t xml:space="preserve"> when calculating </w:t>
      </w:r>
      <w:r w:rsidR="00EB6306" w:rsidRPr="001D767D">
        <w:rPr>
          <w:rFonts w:ascii="Times New Roman" w:eastAsia="Times New Roman" w:hAnsi="Times New Roman" w:cs="Times New Roman"/>
          <w:sz w:val="20"/>
          <w:szCs w:val="20"/>
        </w:rPr>
        <w:lastRenderedPageBreak/>
        <w:t>the</w:t>
      </w:r>
      <w:r w:rsidR="00FC1568" w:rsidRPr="001D767D">
        <w:rPr>
          <w:rFonts w:ascii="Times New Roman" w:eastAsia="Times New Roman" w:hAnsi="Times New Roman" w:cs="Times New Roman"/>
          <w:sz w:val="20"/>
          <w:szCs w:val="20"/>
        </w:rPr>
        <w:t xml:space="preserve"> costs </w:t>
      </w:r>
      <w:r w:rsidR="00906B2B" w:rsidRPr="001D767D">
        <w:rPr>
          <w:rFonts w:ascii="Times New Roman" w:eastAsia="Times New Roman" w:hAnsi="Times New Roman" w:cs="Times New Roman"/>
          <w:sz w:val="20"/>
          <w:szCs w:val="20"/>
        </w:rPr>
        <w:t xml:space="preserve">of judicial review proceedings </w:t>
      </w:r>
      <w:r w:rsidR="004C638E" w:rsidRPr="001D767D">
        <w:rPr>
          <w:rFonts w:ascii="Times New Roman" w:eastAsia="Times New Roman" w:hAnsi="Times New Roman" w:cs="Times New Roman"/>
          <w:sz w:val="20"/>
          <w:szCs w:val="20"/>
        </w:rPr>
        <w:t>noting, however, that any concrete figure would necessarily be arbitrary</w:t>
      </w:r>
      <w:r w:rsidR="00906B2B" w:rsidRPr="001D767D">
        <w:rPr>
          <w:rFonts w:ascii="Times New Roman" w:eastAsia="Times New Roman" w:hAnsi="Times New Roman" w:cs="Times New Roman"/>
          <w:sz w:val="20"/>
          <w:szCs w:val="20"/>
        </w:rPr>
        <w:t xml:space="preserve"> and hypothetical</w:t>
      </w:r>
      <w:r w:rsidR="004C638E" w:rsidRPr="001D767D">
        <w:rPr>
          <w:rFonts w:ascii="Times New Roman" w:eastAsia="Times New Roman" w:hAnsi="Times New Roman" w:cs="Times New Roman"/>
          <w:sz w:val="20"/>
          <w:szCs w:val="20"/>
        </w:rPr>
        <w:t>.</w:t>
      </w:r>
      <w:r w:rsidR="00EB6306" w:rsidRPr="001D767D">
        <w:rPr>
          <w:rFonts w:ascii="Times New Roman" w:hAnsi="Times New Roman" w:cs="Times New Roman"/>
          <w:sz w:val="20"/>
          <w:szCs w:val="20"/>
          <w:vertAlign w:val="superscript"/>
        </w:rPr>
        <w:footnoteReference w:id="42"/>
      </w:r>
      <w:r w:rsidR="00FC1568" w:rsidRPr="001D767D">
        <w:rPr>
          <w:rFonts w:ascii="Times New Roman" w:eastAsia="Times New Roman" w:hAnsi="Times New Roman" w:cs="Times New Roman"/>
          <w:sz w:val="20"/>
          <w:szCs w:val="20"/>
        </w:rPr>
        <w:t xml:space="preserve"> </w:t>
      </w:r>
    </w:p>
    <w:p w14:paraId="7B471C1F" w14:textId="08EA5E93" w:rsidR="00FC1568" w:rsidRPr="001D767D" w:rsidRDefault="00FC1568" w:rsidP="00784840">
      <w:pPr>
        <w:numPr>
          <w:ilvl w:val="0"/>
          <w:numId w:val="2"/>
        </w:numPr>
        <w:tabs>
          <w:tab w:val="right" w:pos="993"/>
          <w:tab w:val="left" w:pos="1080"/>
        </w:tabs>
        <w:spacing w:after="120" w:line="240" w:lineRule="atLeast"/>
        <w:ind w:left="540" w:right="-1" w:firstLine="0"/>
        <w:jc w:val="both"/>
        <w:rPr>
          <w:rFonts w:ascii="Times New Roman" w:eastAsia="Times New Roman" w:hAnsi="Times New Roman" w:cs="Times New Roman"/>
          <w:sz w:val="20"/>
          <w:szCs w:val="20"/>
        </w:rPr>
      </w:pPr>
      <w:bookmarkStart w:id="18" w:name="_Ref500432516"/>
      <w:r w:rsidRPr="001D767D">
        <w:rPr>
          <w:rFonts w:ascii="Times New Roman" w:hAnsi="Times New Roman"/>
          <w:sz w:val="20"/>
        </w:rPr>
        <w:t>The P</w:t>
      </w:r>
      <w:r w:rsidR="00906B2B" w:rsidRPr="001D767D">
        <w:rPr>
          <w:rFonts w:ascii="Times New Roman" w:hAnsi="Times New Roman"/>
          <w:sz w:val="20"/>
        </w:rPr>
        <w:t>arty concerned further submits</w:t>
      </w:r>
      <w:r w:rsidRPr="001D767D">
        <w:rPr>
          <w:rFonts w:ascii="Times New Roman" w:eastAsia="Times New Roman" w:hAnsi="Times New Roman" w:cs="Times New Roman"/>
          <w:sz w:val="20"/>
          <w:szCs w:val="20"/>
        </w:rPr>
        <w:t xml:space="preserve"> that extensive opportunities were afforded to members of the public to participate in statutory consultations and appeals with regard to </w:t>
      </w:r>
      <w:r w:rsidR="00252EE9" w:rsidRPr="001D767D">
        <w:rPr>
          <w:rFonts w:ascii="Times New Roman" w:hAnsi="Times New Roman"/>
          <w:sz w:val="20"/>
        </w:rPr>
        <w:t xml:space="preserve">the </w:t>
      </w:r>
      <w:r w:rsidR="00252EE9" w:rsidRPr="001D767D">
        <w:rPr>
          <w:rFonts w:ascii="Times New Roman" w:eastAsia="Times New Roman" w:hAnsi="Times New Roman" w:cs="Times New Roman"/>
          <w:sz w:val="20"/>
          <w:szCs w:val="20"/>
        </w:rPr>
        <w:t xml:space="preserve">1998-2010 </w:t>
      </w:r>
      <w:r w:rsidR="00252EE9" w:rsidRPr="001D767D">
        <w:rPr>
          <w:rFonts w:ascii="Times New Roman" w:hAnsi="Times New Roman"/>
          <w:sz w:val="20"/>
        </w:rPr>
        <w:t xml:space="preserve">permitting procedures regarding the quarry </w:t>
      </w:r>
      <w:r w:rsidRPr="001D767D">
        <w:rPr>
          <w:rFonts w:ascii="Times New Roman" w:eastAsia="Times New Roman" w:hAnsi="Times New Roman" w:cs="Times New Roman"/>
          <w:sz w:val="20"/>
          <w:szCs w:val="20"/>
        </w:rPr>
        <w:t xml:space="preserve">and that on three occasions members of the public </w:t>
      </w:r>
      <w:r w:rsidR="004F27A2" w:rsidRPr="001D767D">
        <w:rPr>
          <w:rFonts w:ascii="Times New Roman" w:eastAsia="Times New Roman" w:hAnsi="Times New Roman" w:cs="Times New Roman"/>
          <w:sz w:val="20"/>
          <w:szCs w:val="20"/>
        </w:rPr>
        <w:t xml:space="preserve">had </w:t>
      </w:r>
      <w:r w:rsidRPr="001D767D">
        <w:rPr>
          <w:rFonts w:ascii="Times New Roman" w:eastAsia="Times New Roman" w:hAnsi="Times New Roman" w:cs="Times New Roman"/>
          <w:sz w:val="20"/>
          <w:szCs w:val="20"/>
        </w:rPr>
        <w:t xml:space="preserve">appealed to </w:t>
      </w:r>
      <w:proofErr w:type="gramStart"/>
      <w:r w:rsidRPr="001D767D">
        <w:rPr>
          <w:rFonts w:ascii="Times New Roman" w:eastAsia="Times New Roman" w:hAnsi="Times New Roman" w:cs="Times New Roman"/>
          <w:sz w:val="20"/>
          <w:szCs w:val="20"/>
        </w:rPr>
        <w:t>An</w:t>
      </w:r>
      <w:proofErr w:type="gramEnd"/>
      <w:r w:rsidRPr="001D767D">
        <w:rPr>
          <w:rFonts w:ascii="Times New Roman" w:eastAsia="Times New Roman" w:hAnsi="Times New Roman" w:cs="Times New Roman"/>
          <w:sz w:val="20"/>
          <w:szCs w:val="20"/>
        </w:rPr>
        <w:t xml:space="preserve"> </w:t>
      </w:r>
      <w:proofErr w:type="spellStart"/>
      <w:r w:rsidRPr="001D767D">
        <w:rPr>
          <w:rFonts w:ascii="Times New Roman" w:eastAsia="Times New Roman" w:hAnsi="Times New Roman" w:cs="Times New Roman"/>
          <w:sz w:val="20"/>
          <w:szCs w:val="20"/>
        </w:rPr>
        <w:t>Bord</w:t>
      </w:r>
      <w:proofErr w:type="spellEnd"/>
      <w:r w:rsidRPr="001D767D">
        <w:rPr>
          <w:rFonts w:ascii="Times New Roman" w:eastAsia="Times New Roman" w:hAnsi="Times New Roman" w:cs="Times New Roman"/>
          <w:sz w:val="20"/>
          <w:szCs w:val="20"/>
        </w:rPr>
        <w:t xml:space="preserve"> </w:t>
      </w:r>
      <w:proofErr w:type="spellStart"/>
      <w:r w:rsidRPr="001D767D">
        <w:rPr>
          <w:rFonts w:ascii="Times New Roman" w:eastAsia="Times New Roman" w:hAnsi="Times New Roman" w:cs="Times New Roman"/>
          <w:sz w:val="20"/>
          <w:szCs w:val="20"/>
        </w:rPr>
        <w:t>Pleanála</w:t>
      </w:r>
      <w:proofErr w:type="spellEnd"/>
      <w:r w:rsidRPr="001D767D">
        <w:rPr>
          <w:rFonts w:ascii="Times New Roman" w:eastAsia="Times New Roman" w:hAnsi="Times New Roman" w:cs="Times New Roman"/>
          <w:sz w:val="20"/>
          <w:szCs w:val="20"/>
        </w:rPr>
        <w:t xml:space="preserve"> with regard to these</w:t>
      </w:r>
      <w:r w:rsidR="00252EE9" w:rsidRPr="001D767D">
        <w:rPr>
          <w:rFonts w:ascii="Times New Roman" w:eastAsia="Times New Roman" w:hAnsi="Times New Roman" w:cs="Times New Roman"/>
          <w:sz w:val="20"/>
          <w:szCs w:val="20"/>
        </w:rPr>
        <w:t xml:space="preserve"> procedures</w:t>
      </w:r>
      <w:r w:rsidRPr="001D767D">
        <w:rPr>
          <w:rFonts w:ascii="Times New Roman" w:eastAsia="Times New Roman" w:hAnsi="Times New Roman" w:cs="Times New Roman"/>
          <w:sz w:val="20"/>
          <w:szCs w:val="20"/>
        </w:rPr>
        <w:t>.</w:t>
      </w:r>
      <w:r w:rsidRPr="001D767D">
        <w:rPr>
          <w:rFonts w:ascii="Times New Roman" w:eastAsia="Times New Roman" w:hAnsi="Times New Roman" w:cs="Times New Roman"/>
          <w:sz w:val="20"/>
          <w:szCs w:val="20"/>
          <w:vertAlign w:val="superscript"/>
        </w:rPr>
        <w:footnoteReference w:id="43"/>
      </w:r>
      <w:bookmarkEnd w:id="18"/>
    </w:p>
    <w:p w14:paraId="720EBDAE" w14:textId="77777777" w:rsidR="00FC1568" w:rsidRPr="001D767D" w:rsidRDefault="00FC1568" w:rsidP="00BE4450">
      <w:pPr>
        <w:pStyle w:val="Heading3"/>
        <w:tabs>
          <w:tab w:val="right" w:pos="993"/>
        </w:tabs>
        <w:ind w:right="-1" w:hanging="27"/>
      </w:pPr>
      <w:r w:rsidRPr="001D767D">
        <w:t>Substantive issues</w:t>
      </w:r>
    </w:p>
    <w:p w14:paraId="3A8FB61F" w14:textId="00797CB4" w:rsidR="00FC1568" w:rsidRPr="001D767D" w:rsidRDefault="00FC1568" w:rsidP="00C62184">
      <w:pPr>
        <w:tabs>
          <w:tab w:val="right" w:pos="993"/>
        </w:tabs>
        <w:spacing w:after="120" w:line="240" w:lineRule="atLeast"/>
        <w:ind w:left="567" w:right="-1"/>
        <w:jc w:val="both"/>
        <w:rPr>
          <w:rFonts w:ascii="Times New Roman" w:hAnsi="Times New Roman"/>
          <w:b/>
          <w:sz w:val="20"/>
        </w:rPr>
      </w:pPr>
      <w:r w:rsidRPr="001D767D">
        <w:rPr>
          <w:rFonts w:ascii="Times New Roman" w:eastAsia="Times New Roman" w:hAnsi="Times New Roman" w:cs="Times New Roman"/>
          <w:b/>
          <w:sz w:val="20"/>
          <w:szCs w:val="20"/>
        </w:rPr>
        <w:t>Applicability of article 6</w:t>
      </w:r>
      <w:r w:rsidR="002077CB" w:rsidRPr="001D767D">
        <w:rPr>
          <w:rFonts w:ascii="Times New Roman" w:eastAsia="Times New Roman" w:hAnsi="Times New Roman" w:cs="Times New Roman"/>
          <w:b/>
          <w:sz w:val="20"/>
          <w:szCs w:val="20"/>
        </w:rPr>
        <w:t>(</w:t>
      </w:r>
      <w:r w:rsidR="0076189A" w:rsidRPr="001D767D">
        <w:rPr>
          <w:rFonts w:ascii="Times New Roman" w:eastAsia="Times New Roman" w:hAnsi="Times New Roman" w:cs="Times New Roman"/>
          <w:b/>
          <w:sz w:val="20"/>
          <w:szCs w:val="20"/>
        </w:rPr>
        <w:t>1</w:t>
      </w:r>
      <w:r w:rsidR="002077CB" w:rsidRPr="001D767D">
        <w:rPr>
          <w:rFonts w:ascii="Times New Roman" w:eastAsia="Times New Roman" w:hAnsi="Times New Roman" w:cs="Times New Roman"/>
          <w:b/>
          <w:sz w:val="20"/>
          <w:szCs w:val="20"/>
        </w:rPr>
        <w:t>)</w:t>
      </w:r>
      <w:r w:rsidR="0076189A" w:rsidRPr="001D767D">
        <w:rPr>
          <w:rFonts w:ascii="Times New Roman" w:eastAsia="Times New Roman" w:hAnsi="Times New Roman" w:cs="Times New Roman"/>
          <w:b/>
          <w:sz w:val="20"/>
          <w:szCs w:val="20"/>
        </w:rPr>
        <w:t>(a)</w:t>
      </w:r>
      <w:r w:rsidRPr="001D767D">
        <w:rPr>
          <w:rFonts w:ascii="Times New Roman" w:eastAsia="Times New Roman" w:hAnsi="Times New Roman" w:cs="Times New Roman"/>
          <w:b/>
          <w:sz w:val="20"/>
          <w:szCs w:val="20"/>
        </w:rPr>
        <w:t xml:space="preserve"> of the Convention</w:t>
      </w:r>
    </w:p>
    <w:p w14:paraId="364A8B1E" w14:textId="77777777" w:rsidR="00FC1568" w:rsidRPr="001D767D" w:rsidRDefault="00FC1568" w:rsidP="00C62184">
      <w:pPr>
        <w:tabs>
          <w:tab w:val="right" w:pos="993"/>
        </w:tabs>
        <w:spacing w:after="120" w:line="240" w:lineRule="atLeast"/>
        <w:ind w:left="567" w:right="-1"/>
        <w:jc w:val="both"/>
        <w:rPr>
          <w:rFonts w:ascii="Times New Roman" w:hAnsi="Times New Roman"/>
          <w:sz w:val="20"/>
        </w:rPr>
      </w:pPr>
      <w:r w:rsidRPr="001D767D">
        <w:rPr>
          <w:rFonts w:ascii="Times New Roman" w:eastAsia="Times New Roman" w:hAnsi="Times New Roman" w:cs="Times New Roman"/>
          <w:i/>
          <w:sz w:val="20"/>
          <w:szCs w:val="20"/>
        </w:rPr>
        <w:t>Paragraph 16 of Annex I</w:t>
      </w:r>
      <w:r w:rsidR="00A87136" w:rsidRPr="001D767D">
        <w:rPr>
          <w:rFonts w:ascii="Times New Roman" w:eastAsia="Times New Roman" w:hAnsi="Times New Roman" w:cs="Times New Roman"/>
          <w:i/>
          <w:sz w:val="20"/>
          <w:szCs w:val="20"/>
        </w:rPr>
        <w:t xml:space="preserve"> of the Convention</w:t>
      </w:r>
    </w:p>
    <w:p w14:paraId="64C7DF27" w14:textId="0882E5E2" w:rsidR="00FC1568" w:rsidRPr="001D767D" w:rsidRDefault="00FC1568" w:rsidP="00784840">
      <w:pPr>
        <w:numPr>
          <w:ilvl w:val="0"/>
          <w:numId w:val="2"/>
        </w:numPr>
        <w:tabs>
          <w:tab w:val="right" w:pos="993"/>
          <w:tab w:val="left" w:pos="1080"/>
        </w:tabs>
        <w:spacing w:after="120" w:line="240" w:lineRule="atLeast"/>
        <w:ind w:left="540" w:right="-1" w:firstLine="0"/>
        <w:jc w:val="both"/>
        <w:rPr>
          <w:rFonts w:ascii="Times New Roman" w:eastAsia="Times New Roman" w:hAnsi="Times New Roman" w:cs="Times New Roman"/>
          <w:sz w:val="20"/>
          <w:szCs w:val="20"/>
        </w:rPr>
      </w:pPr>
      <w:r w:rsidRPr="001D767D">
        <w:rPr>
          <w:rFonts w:ascii="Times New Roman" w:eastAsia="Times New Roman" w:hAnsi="Times New Roman" w:cs="Times New Roman"/>
          <w:sz w:val="20"/>
          <w:szCs w:val="20"/>
        </w:rPr>
        <w:t xml:space="preserve">The communicant submits that the </w:t>
      </w:r>
      <w:r w:rsidR="00BE4450" w:rsidRPr="001D767D">
        <w:rPr>
          <w:rFonts w:ascii="Times New Roman" w:eastAsia="Times New Roman" w:hAnsi="Times New Roman" w:cs="Times New Roman"/>
          <w:sz w:val="20"/>
          <w:szCs w:val="20"/>
        </w:rPr>
        <w:t xml:space="preserve">area of the quarry at issue in this case </w:t>
      </w:r>
      <w:r w:rsidRPr="001D767D">
        <w:rPr>
          <w:rFonts w:ascii="Times New Roman" w:eastAsia="Times New Roman" w:hAnsi="Times New Roman" w:cs="Times New Roman"/>
          <w:sz w:val="20"/>
          <w:szCs w:val="20"/>
        </w:rPr>
        <w:t xml:space="preserve">is well in excess of the threshold </w:t>
      </w:r>
      <w:r w:rsidR="000311E7" w:rsidRPr="001D767D">
        <w:rPr>
          <w:rFonts w:ascii="Times New Roman" w:eastAsia="Times New Roman" w:hAnsi="Times New Roman" w:cs="Times New Roman"/>
          <w:sz w:val="20"/>
          <w:szCs w:val="20"/>
        </w:rPr>
        <w:t xml:space="preserve">of 25 hectares set out </w:t>
      </w:r>
      <w:r w:rsidRPr="001D767D">
        <w:rPr>
          <w:rFonts w:ascii="Times New Roman" w:eastAsia="Times New Roman" w:hAnsi="Times New Roman" w:cs="Times New Roman"/>
          <w:sz w:val="20"/>
          <w:szCs w:val="20"/>
        </w:rPr>
        <w:t xml:space="preserve">in paragraph 16 of Annex I to the </w:t>
      </w:r>
      <w:proofErr w:type="gramStart"/>
      <w:r w:rsidRPr="001D767D">
        <w:rPr>
          <w:rFonts w:ascii="Times New Roman" w:eastAsia="Times New Roman" w:hAnsi="Times New Roman" w:cs="Times New Roman"/>
          <w:sz w:val="20"/>
          <w:szCs w:val="20"/>
        </w:rPr>
        <w:t>Convention, and</w:t>
      </w:r>
      <w:proofErr w:type="gramEnd"/>
      <w:r w:rsidRPr="001D767D">
        <w:rPr>
          <w:rFonts w:ascii="Times New Roman" w:eastAsia="Times New Roman" w:hAnsi="Times New Roman" w:cs="Times New Roman"/>
          <w:sz w:val="20"/>
          <w:szCs w:val="20"/>
        </w:rPr>
        <w:t xml:space="preserve"> is thus subject to article 6</w:t>
      </w:r>
      <w:r w:rsidR="002077CB" w:rsidRPr="001D767D">
        <w:rPr>
          <w:rFonts w:ascii="Times New Roman" w:eastAsia="Times New Roman" w:hAnsi="Times New Roman" w:cs="Times New Roman"/>
          <w:sz w:val="20"/>
          <w:szCs w:val="20"/>
        </w:rPr>
        <w:t>(</w:t>
      </w:r>
      <w:r w:rsidRPr="001D767D">
        <w:rPr>
          <w:rFonts w:ascii="Times New Roman" w:eastAsia="Times New Roman" w:hAnsi="Times New Roman" w:cs="Times New Roman"/>
          <w:sz w:val="20"/>
          <w:szCs w:val="20"/>
        </w:rPr>
        <w:t>1</w:t>
      </w:r>
      <w:r w:rsidR="002077CB" w:rsidRPr="001D767D">
        <w:rPr>
          <w:rFonts w:ascii="Times New Roman" w:eastAsia="Times New Roman" w:hAnsi="Times New Roman" w:cs="Times New Roman"/>
          <w:sz w:val="20"/>
          <w:szCs w:val="20"/>
        </w:rPr>
        <w:t>)</w:t>
      </w:r>
      <w:r w:rsidRPr="001D767D">
        <w:rPr>
          <w:rFonts w:ascii="Times New Roman" w:eastAsia="Times New Roman" w:hAnsi="Times New Roman" w:cs="Times New Roman"/>
          <w:sz w:val="20"/>
          <w:szCs w:val="20"/>
        </w:rPr>
        <w:t>(a) of the Convention. He submits that</w:t>
      </w:r>
      <w:r w:rsidR="0076189A" w:rsidRPr="001D767D">
        <w:rPr>
          <w:rFonts w:ascii="Times New Roman" w:eastAsia="Times New Roman" w:hAnsi="Times New Roman" w:cs="Times New Roman"/>
          <w:sz w:val="20"/>
          <w:szCs w:val="20"/>
        </w:rPr>
        <w:t>,</w:t>
      </w:r>
      <w:r w:rsidR="000311E7" w:rsidRPr="001D767D">
        <w:rPr>
          <w:rFonts w:ascii="Times New Roman" w:eastAsia="Times New Roman" w:hAnsi="Times New Roman" w:cs="Times New Roman"/>
          <w:sz w:val="20"/>
          <w:szCs w:val="20"/>
        </w:rPr>
        <w:t xml:space="preserve"> while</w:t>
      </w:r>
      <w:r w:rsidRPr="001D767D">
        <w:rPr>
          <w:rFonts w:ascii="Times New Roman" w:eastAsia="Times New Roman" w:hAnsi="Times New Roman" w:cs="Times New Roman"/>
          <w:sz w:val="20"/>
          <w:szCs w:val="20"/>
        </w:rPr>
        <w:t xml:space="preserve"> the active quarry-related land is approximately 22 hectares</w:t>
      </w:r>
      <w:r w:rsidR="000311E7" w:rsidRPr="001D767D">
        <w:rPr>
          <w:rFonts w:ascii="Times New Roman" w:eastAsia="Times New Roman" w:hAnsi="Times New Roman" w:cs="Times New Roman"/>
          <w:sz w:val="20"/>
          <w:szCs w:val="20"/>
        </w:rPr>
        <w:t xml:space="preserve">, </w:t>
      </w:r>
      <w:r w:rsidRPr="001D767D">
        <w:rPr>
          <w:rFonts w:ascii="Times New Roman" w:eastAsia="Times New Roman" w:hAnsi="Times New Roman" w:cs="Times New Roman"/>
          <w:sz w:val="20"/>
          <w:szCs w:val="20"/>
        </w:rPr>
        <w:t xml:space="preserve">the land being used to stockpile waste spoil and adjoining lands under the ownership and control of the </w:t>
      </w:r>
      <w:r w:rsidR="00252BAD" w:rsidRPr="001D767D">
        <w:rPr>
          <w:rFonts w:ascii="Times New Roman" w:hAnsi="Times New Roman"/>
          <w:sz w:val="20"/>
        </w:rPr>
        <w:t>developer</w:t>
      </w:r>
      <w:r w:rsidR="00252BAD" w:rsidRPr="001D767D">
        <w:rPr>
          <w:rFonts w:ascii="Times New Roman" w:eastAsia="Times New Roman" w:hAnsi="Times New Roman" w:cs="Times New Roman"/>
          <w:sz w:val="20"/>
          <w:szCs w:val="20"/>
        </w:rPr>
        <w:t xml:space="preserve"> </w:t>
      </w:r>
      <w:r w:rsidR="000311E7" w:rsidRPr="001D767D">
        <w:rPr>
          <w:rFonts w:ascii="Times New Roman" w:eastAsia="Times New Roman" w:hAnsi="Times New Roman" w:cs="Times New Roman"/>
          <w:sz w:val="20"/>
          <w:szCs w:val="20"/>
        </w:rPr>
        <w:t xml:space="preserve">brings the total area to </w:t>
      </w:r>
      <w:r w:rsidRPr="001D767D">
        <w:rPr>
          <w:rFonts w:ascii="Times New Roman" w:eastAsia="Times New Roman" w:hAnsi="Times New Roman" w:cs="Times New Roman"/>
          <w:sz w:val="20"/>
          <w:szCs w:val="20"/>
        </w:rPr>
        <w:t xml:space="preserve">37.773 hectares. He further </w:t>
      </w:r>
      <w:r w:rsidR="000311E7" w:rsidRPr="001D767D">
        <w:rPr>
          <w:rFonts w:ascii="Times New Roman" w:eastAsia="Times New Roman" w:hAnsi="Times New Roman" w:cs="Times New Roman"/>
          <w:sz w:val="20"/>
          <w:szCs w:val="20"/>
        </w:rPr>
        <w:t xml:space="preserve">notes </w:t>
      </w:r>
      <w:r w:rsidRPr="001D767D">
        <w:rPr>
          <w:rFonts w:ascii="Times New Roman" w:eastAsia="Times New Roman" w:hAnsi="Times New Roman" w:cs="Times New Roman"/>
          <w:sz w:val="20"/>
          <w:szCs w:val="20"/>
        </w:rPr>
        <w:t>that there is another quarry on adjoining lands and operated by a different entity (</w:t>
      </w:r>
      <w:proofErr w:type="spellStart"/>
      <w:r w:rsidRPr="001D767D">
        <w:rPr>
          <w:rFonts w:ascii="Times New Roman" w:eastAsia="Times New Roman" w:hAnsi="Times New Roman" w:cs="Times New Roman"/>
          <w:sz w:val="20"/>
          <w:szCs w:val="20"/>
        </w:rPr>
        <w:t>Kilsaran</w:t>
      </w:r>
      <w:proofErr w:type="spellEnd"/>
      <w:r w:rsidRPr="001D767D">
        <w:rPr>
          <w:rFonts w:ascii="Times New Roman" w:eastAsia="Times New Roman" w:hAnsi="Times New Roman" w:cs="Times New Roman"/>
          <w:sz w:val="20"/>
          <w:szCs w:val="20"/>
        </w:rPr>
        <w:t xml:space="preserve"> Concrete</w:t>
      </w:r>
      <w:r w:rsidR="00B64249" w:rsidRPr="001D767D">
        <w:rPr>
          <w:rFonts w:ascii="Times New Roman" w:eastAsia="Times New Roman" w:hAnsi="Times New Roman" w:cs="Times New Roman"/>
          <w:sz w:val="20"/>
          <w:szCs w:val="20"/>
        </w:rPr>
        <w:t xml:space="preserve"> Ltd.</w:t>
      </w:r>
      <w:r w:rsidR="00C274D1" w:rsidRPr="001D767D">
        <w:rPr>
          <w:rFonts w:ascii="Times New Roman" w:eastAsia="Times New Roman" w:hAnsi="Times New Roman" w:cs="Times New Roman"/>
          <w:sz w:val="20"/>
          <w:szCs w:val="20"/>
        </w:rPr>
        <w:t xml:space="preserve">, see para. </w:t>
      </w:r>
      <w:r w:rsidR="00C274D1" w:rsidRPr="001D767D">
        <w:rPr>
          <w:rFonts w:ascii="Times New Roman" w:eastAsia="Times New Roman" w:hAnsi="Times New Roman" w:cs="Times New Roman"/>
          <w:sz w:val="20"/>
          <w:szCs w:val="20"/>
        </w:rPr>
        <w:fldChar w:fldCharType="begin"/>
      </w:r>
      <w:r w:rsidR="00C274D1" w:rsidRPr="001D767D">
        <w:rPr>
          <w:rFonts w:ascii="Times New Roman" w:eastAsia="Times New Roman" w:hAnsi="Times New Roman" w:cs="Times New Roman"/>
          <w:sz w:val="20"/>
          <w:szCs w:val="20"/>
        </w:rPr>
        <w:instrText xml:space="preserve"> REF _Ref476749200 \r \h </w:instrText>
      </w:r>
      <w:r w:rsidR="00D84508" w:rsidRPr="001D767D">
        <w:rPr>
          <w:rFonts w:ascii="Times New Roman" w:eastAsia="Times New Roman" w:hAnsi="Times New Roman" w:cs="Times New Roman"/>
          <w:sz w:val="20"/>
          <w:szCs w:val="20"/>
        </w:rPr>
        <w:instrText xml:space="preserve"> \* MERGEFORMAT </w:instrText>
      </w:r>
      <w:r w:rsidR="00C274D1" w:rsidRPr="001D767D">
        <w:rPr>
          <w:rFonts w:ascii="Times New Roman" w:eastAsia="Times New Roman" w:hAnsi="Times New Roman" w:cs="Times New Roman"/>
          <w:sz w:val="20"/>
          <w:szCs w:val="20"/>
        </w:rPr>
      </w:r>
      <w:r w:rsidR="00C274D1" w:rsidRPr="001D767D">
        <w:rPr>
          <w:rFonts w:ascii="Times New Roman" w:eastAsia="Times New Roman" w:hAnsi="Times New Roman" w:cs="Times New Roman"/>
          <w:sz w:val="20"/>
          <w:szCs w:val="20"/>
        </w:rPr>
        <w:fldChar w:fldCharType="separate"/>
      </w:r>
      <w:r w:rsidR="001D767D" w:rsidRPr="001D767D">
        <w:rPr>
          <w:rFonts w:ascii="Times New Roman" w:eastAsia="Times New Roman" w:hAnsi="Times New Roman" w:cs="Times New Roman"/>
          <w:sz w:val="20"/>
          <w:szCs w:val="20"/>
          <w:cs/>
        </w:rPr>
        <w:t>‎</w:t>
      </w:r>
      <w:r w:rsidR="001D767D" w:rsidRPr="001D767D">
        <w:rPr>
          <w:rFonts w:ascii="Times New Roman" w:eastAsia="Times New Roman" w:hAnsi="Times New Roman" w:cs="Times New Roman"/>
          <w:sz w:val="20"/>
          <w:szCs w:val="20"/>
        </w:rPr>
        <w:t>30</w:t>
      </w:r>
      <w:r w:rsidR="00C274D1" w:rsidRPr="001D767D">
        <w:rPr>
          <w:rFonts w:ascii="Times New Roman" w:eastAsia="Times New Roman" w:hAnsi="Times New Roman" w:cs="Times New Roman"/>
          <w:sz w:val="20"/>
          <w:szCs w:val="20"/>
        </w:rPr>
        <w:fldChar w:fldCharType="end"/>
      </w:r>
      <w:r w:rsidR="00C274D1" w:rsidRPr="001D767D">
        <w:rPr>
          <w:rFonts w:ascii="Times New Roman" w:eastAsia="Times New Roman" w:hAnsi="Times New Roman" w:cs="Times New Roman"/>
          <w:sz w:val="20"/>
          <w:szCs w:val="20"/>
        </w:rPr>
        <w:t xml:space="preserve"> above</w:t>
      </w:r>
      <w:r w:rsidRPr="001D767D">
        <w:rPr>
          <w:rFonts w:ascii="Times New Roman" w:eastAsia="Times New Roman" w:hAnsi="Times New Roman" w:cs="Times New Roman"/>
          <w:sz w:val="20"/>
          <w:szCs w:val="20"/>
        </w:rPr>
        <w:t xml:space="preserve">) with a surface area of 43.4 hectares. </w:t>
      </w:r>
      <w:r w:rsidR="0076189A" w:rsidRPr="001D767D">
        <w:rPr>
          <w:rFonts w:ascii="Times New Roman" w:eastAsia="Times New Roman" w:hAnsi="Times New Roman" w:cs="Times New Roman"/>
          <w:sz w:val="20"/>
          <w:szCs w:val="20"/>
        </w:rPr>
        <w:t>He</w:t>
      </w:r>
      <w:r w:rsidRPr="001D767D">
        <w:rPr>
          <w:rFonts w:ascii="Times New Roman" w:eastAsia="Times New Roman" w:hAnsi="Times New Roman" w:cs="Times New Roman"/>
          <w:sz w:val="20"/>
          <w:szCs w:val="20"/>
        </w:rPr>
        <w:t xml:space="preserve"> submits that the two quarries </w:t>
      </w:r>
      <w:r w:rsidR="000311E7" w:rsidRPr="001D767D">
        <w:rPr>
          <w:rFonts w:ascii="Times New Roman" w:eastAsia="Times New Roman" w:hAnsi="Times New Roman" w:cs="Times New Roman"/>
          <w:sz w:val="20"/>
          <w:szCs w:val="20"/>
        </w:rPr>
        <w:t xml:space="preserve">should </w:t>
      </w:r>
      <w:r w:rsidRPr="001D767D">
        <w:rPr>
          <w:rFonts w:ascii="Times New Roman" w:eastAsia="Times New Roman" w:hAnsi="Times New Roman" w:cs="Times New Roman"/>
          <w:sz w:val="20"/>
          <w:szCs w:val="20"/>
        </w:rPr>
        <w:t>not be considered in isolation and that, cumulatively, the quarries consist of approximately 65 hectares.</w:t>
      </w:r>
      <w:r w:rsidR="004C638E" w:rsidRPr="001D767D">
        <w:rPr>
          <w:rFonts w:ascii="Times New Roman" w:hAnsi="Times New Roman" w:cs="Times New Roman"/>
          <w:sz w:val="20"/>
          <w:szCs w:val="20"/>
          <w:vertAlign w:val="superscript"/>
        </w:rPr>
        <w:footnoteReference w:id="44"/>
      </w:r>
    </w:p>
    <w:p w14:paraId="62C8D287" w14:textId="65D4BF4E" w:rsidR="00FC1568" w:rsidRPr="001D767D" w:rsidRDefault="00FC1568" w:rsidP="00784840">
      <w:pPr>
        <w:numPr>
          <w:ilvl w:val="0"/>
          <w:numId w:val="2"/>
        </w:numPr>
        <w:tabs>
          <w:tab w:val="right" w:pos="993"/>
          <w:tab w:val="left" w:pos="1080"/>
        </w:tabs>
        <w:spacing w:after="120" w:line="240" w:lineRule="atLeast"/>
        <w:ind w:left="540" w:right="-1" w:firstLine="0"/>
        <w:jc w:val="both"/>
        <w:rPr>
          <w:rFonts w:ascii="Times New Roman" w:eastAsia="Times New Roman" w:hAnsi="Times New Roman" w:cs="Times New Roman"/>
          <w:sz w:val="20"/>
          <w:szCs w:val="20"/>
        </w:rPr>
      </w:pPr>
      <w:r w:rsidRPr="001D767D">
        <w:rPr>
          <w:rFonts w:ascii="Times New Roman" w:eastAsia="Times New Roman" w:hAnsi="Times New Roman" w:cs="Times New Roman"/>
          <w:sz w:val="20"/>
          <w:szCs w:val="20"/>
        </w:rPr>
        <w:t>The Party concerned claims that none of the development activities referenced in the communication (i</w:t>
      </w:r>
      <w:r w:rsidR="00344CD1" w:rsidRPr="001D767D">
        <w:rPr>
          <w:rFonts w:ascii="Times New Roman" w:eastAsia="Times New Roman" w:hAnsi="Times New Roman" w:cs="Times New Roman"/>
          <w:sz w:val="20"/>
          <w:szCs w:val="20"/>
        </w:rPr>
        <w:t>.</w:t>
      </w:r>
      <w:r w:rsidRPr="001D767D">
        <w:rPr>
          <w:rFonts w:ascii="Times New Roman" w:eastAsia="Times New Roman" w:hAnsi="Times New Roman" w:cs="Times New Roman"/>
          <w:sz w:val="20"/>
          <w:szCs w:val="20"/>
        </w:rPr>
        <w:t>e</w:t>
      </w:r>
      <w:r w:rsidR="00344CD1" w:rsidRPr="001D767D">
        <w:rPr>
          <w:rFonts w:ascii="Times New Roman" w:eastAsia="Times New Roman" w:hAnsi="Times New Roman" w:cs="Times New Roman"/>
          <w:sz w:val="20"/>
          <w:szCs w:val="20"/>
        </w:rPr>
        <w:t>.</w:t>
      </w:r>
      <w:r w:rsidRPr="001D767D">
        <w:rPr>
          <w:rFonts w:ascii="Times New Roman" w:eastAsia="Times New Roman" w:hAnsi="Times New Roman" w:cs="Times New Roman"/>
          <w:sz w:val="20"/>
          <w:szCs w:val="20"/>
        </w:rPr>
        <w:t xml:space="preserve"> Meath County Council planning reference numbers: 97/1868, TA/30334 and TA/900976) come within article 6</w:t>
      </w:r>
      <w:r w:rsidR="002077CB" w:rsidRPr="001D767D">
        <w:rPr>
          <w:rFonts w:ascii="Times New Roman" w:eastAsia="Times New Roman" w:hAnsi="Times New Roman" w:cs="Times New Roman"/>
          <w:sz w:val="20"/>
          <w:szCs w:val="20"/>
        </w:rPr>
        <w:t>(</w:t>
      </w:r>
      <w:r w:rsidRPr="001D767D">
        <w:rPr>
          <w:rFonts w:ascii="Times New Roman" w:eastAsia="Times New Roman" w:hAnsi="Times New Roman" w:cs="Times New Roman"/>
          <w:sz w:val="20"/>
          <w:szCs w:val="20"/>
        </w:rPr>
        <w:t>1</w:t>
      </w:r>
      <w:r w:rsidR="002077CB" w:rsidRPr="001D767D">
        <w:rPr>
          <w:rFonts w:ascii="Times New Roman" w:eastAsia="Times New Roman" w:hAnsi="Times New Roman" w:cs="Times New Roman"/>
          <w:sz w:val="20"/>
          <w:szCs w:val="20"/>
        </w:rPr>
        <w:t>)</w:t>
      </w:r>
      <w:r w:rsidRPr="001D767D">
        <w:rPr>
          <w:rFonts w:ascii="Times New Roman" w:eastAsia="Times New Roman" w:hAnsi="Times New Roman" w:cs="Times New Roman"/>
          <w:sz w:val="20"/>
          <w:szCs w:val="20"/>
        </w:rPr>
        <w:t>(a) of the Convention because they do not concern quarries where the surface of the site exceed</w:t>
      </w:r>
      <w:r w:rsidR="000311E7" w:rsidRPr="001D767D">
        <w:rPr>
          <w:rFonts w:ascii="Times New Roman" w:eastAsia="Times New Roman" w:hAnsi="Times New Roman" w:cs="Times New Roman"/>
          <w:sz w:val="20"/>
          <w:szCs w:val="20"/>
        </w:rPr>
        <w:t>s</w:t>
      </w:r>
      <w:r w:rsidRPr="001D767D">
        <w:rPr>
          <w:rFonts w:ascii="Times New Roman" w:eastAsia="Times New Roman" w:hAnsi="Times New Roman" w:cs="Times New Roman"/>
          <w:sz w:val="20"/>
          <w:szCs w:val="20"/>
        </w:rPr>
        <w:t xml:space="preserve"> the threshold of 25 hectares </w:t>
      </w:r>
      <w:r w:rsidR="000311E7" w:rsidRPr="001D767D">
        <w:rPr>
          <w:rFonts w:ascii="Times New Roman" w:eastAsia="Times New Roman" w:hAnsi="Times New Roman" w:cs="Times New Roman"/>
          <w:sz w:val="20"/>
          <w:szCs w:val="20"/>
        </w:rPr>
        <w:t xml:space="preserve">set </w:t>
      </w:r>
      <w:r w:rsidRPr="001D767D">
        <w:rPr>
          <w:rFonts w:ascii="Times New Roman" w:eastAsia="Times New Roman" w:hAnsi="Times New Roman" w:cs="Times New Roman"/>
          <w:sz w:val="20"/>
          <w:szCs w:val="20"/>
        </w:rPr>
        <w:t xml:space="preserve">in paragraph 16 of Annex I to the Convention. </w:t>
      </w:r>
      <w:r w:rsidR="0076189A" w:rsidRPr="001D767D">
        <w:rPr>
          <w:rFonts w:ascii="Times New Roman" w:eastAsia="Times New Roman" w:hAnsi="Times New Roman" w:cs="Times New Roman"/>
          <w:sz w:val="20"/>
          <w:szCs w:val="20"/>
        </w:rPr>
        <w:t>T</w:t>
      </w:r>
      <w:r w:rsidRPr="001D767D">
        <w:rPr>
          <w:rFonts w:ascii="Times New Roman" w:eastAsia="Times New Roman" w:hAnsi="Times New Roman" w:cs="Times New Roman"/>
          <w:sz w:val="20"/>
          <w:szCs w:val="20"/>
        </w:rPr>
        <w:t xml:space="preserve">he Party concerned submits that the surface area of the inter-related permitted sites </w:t>
      </w:r>
      <w:r w:rsidR="000311E7" w:rsidRPr="001D767D">
        <w:rPr>
          <w:rFonts w:ascii="Times New Roman" w:eastAsia="Times New Roman" w:hAnsi="Times New Roman" w:cs="Times New Roman"/>
          <w:sz w:val="20"/>
          <w:szCs w:val="20"/>
        </w:rPr>
        <w:t xml:space="preserve">owned by the </w:t>
      </w:r>
      <w:r w:rsidR="00252BAD" w:rsidRPr="001D767D">
        <w:rPr>
          <w:rFonts w:ascii="Times New Roman" w:eastAsia="Times New Roman" w:hAnsi="Times New Roman" w:cs="Times New Roman"/>
          <w:sz w:val="20"/>
          <w:szCs w:val="20"/>
        </w:rPr>
        <w:t xml:space="preserve">developer </w:t>
      </w:r>
      <w:r w:rsidRPr="001D767D">
        <w:rPr>
          <w:rFonts w:ascii="Times New Roman" w:eastAsia="Times New Roman" w:hAnsi="Times New Roman" w:cs="Times New Roman"/>
          <w:sz w:val="20"/>
          <w:szCs w:val="20"/>
        </w:rPr>
        <w:t xml:space="preserve">equates to a total quarrying area of 16.79 hectares, while the quarrying area is itself situated within a larger overall development site totalling 22.145 hectares, </w:t>
      </w:r>
      <w:r w:rsidR="000311E7" w:rsidRPr="001D767D">
        <w:rPr>
          <w:rFonts w:ascii="Times New Roman" w:eastAsia="Times New Roman" w:hAnsi="Times New Roman" w:cs="Times New Roman"/>
          <w:sz w:val="20"/>
          <w:szCs w:val="20"/>
        </w:rPr>
        <w:t xml:space="preserve">neither </w:t>
      </w:r>
      <w:r w:rsidRPr="001D767D">
        <w:rPr>
          <w:rFonts w:ascii="Times New Roman" w:eastAsia="Times New Roman" w:hAnsi="Times New Roman" w:cs="Times New Roman"/>
          <w:sz w:val="20"/>
          <w:szCs w:val="20"/>
        </w:rPr>
        <w:t xml:space="preserve">of which fulfil the threshold in article </w:t>
      </w:r>
      <w:r w:rsidR="002077CB" w:rsidRPr="001D767D">
        <w:rPr>
          <w:rFonts w:ascii="Times New Roman" w:eastAsia="Times New Roman" w:hAnsi="Times New Roman" w:cs="Times New Roman"/>
          <w:sz w:val="20"/>
          <w:szCs w:val="20"/>
        </w:rPr>
        <w:t xml:space="preserve">6(1)(a) </w:t>
      </w:r>
      <w:r w:rsidRPr="001D767D">
        <w:rPr>
          <w:rFonts w:ascii="Times New Roman" w:eastAsia="Times New Roman" w:hAnsi="Times New Roman" w:cs="Times New Roman"/>
          <w:sz w:val="20"/>
          <w:szCs w:val="20"/>
        </w:rPr>
        <w:t>of the Convention.</w:t>
      </w:r>
      <w:r w:rsidRPr="001D767D">
        <w:rPr>
          <w:rFonts w:ascii="Times New Roman" w:hAnsi="Times New Roman" w:cs="Times New Roman"/>
          <w:sz w:val="20"/>
          <w:szCs w:val="20"/>
          <w:vertAlign w:val="superscript"/>
        </w:rPr>
        <w:footnoteReference w:id="45"/>
      </w:r>
    </w:p>
    <w:p w14:paraId="4D416C72" w14:textId="77777777" w:rsidR="00FC1568" w:rsidRPr="001D767D" w:rsidRDefault="0076189A" w:rsidP="003B1027">
      <w:pPr>
        <w:tabs>
          <w:tab w:val="right" w:pos="993"/>
          <w:tab w:val="left" w:pos="1080"/>
        </w:tabs>
        <w:spacing w:after="120" w:line="240" w:lineRule="atLeast"/>
        <w:ind w:left="540" w:right="-1"/>
        <w:jc w:val="both"/>
        <w:rPr>
          <w:rFonts w:ascii="Times New Roman" w:eastAsia="Times New Roman" w:hAnsi="Times New Roman" w:cs="Times New Roman"/>
          <w:i/>
          <w:sz w:val="20"/>
          <w:szCs w:val="20"/>
        </w:rPr>
      </w:pPr>
      <w:r w:rsidRPr="001D767D">
        <w:rPr>
          <w:rFonts w:ascii="Times New Roman" w:eastAsia="Times New Roman" w:hAnsi="Times New Roman" w:cs="Times New Roman"/>
          <w:i/>
          <w:sz w:val="20"/>
          <w:szCs w:val="20"/>
        </w:rPr>
        <w:t>P</w:t>
      </w:r>
      <w:r w:rsidR="00FC1568" w:rsidRPr="001D767D">
        <w:rPr>
          <w:rFonts w:ascii="Times New Roman" w:eastAsia="Times New Roman" w:hAnsi="Times New Roman" w:cs="Times New Roman"/>
          <w:i/>
          <w:sz w:val="20"/>
          <w:szCs w:val="20"/>
        </w:rPr>
        <w:t xml:space="preserve">aragraph 20 of Annex I </w:t>
      </w:r>
      <w:r w:rsidR="00A87136" w:rsidRPr="001D767D">
        <w:rPr>
          <w:rFonts w:ascii="Times New Roman" w:eastAsia="Times New Roman" w:hAnsi="Times New Roman" w:cs="Times New Roman"/>
          <w:i/>
          <w:sz w:val="20"/>
          <w:szCs w:val="20"/>
        </w:rPr>
        <w:t xml:space="preserve">of </w:t>
      </w:r>
      <w:r w:rsidR="00FC1568" w:rsidRPr="001D767D">
        <w:rPr>
          <w:rFonts w:ascii="Times New Roman" w:eastAsia="Times New Roman" w:hAnsi="Times New Roman" w:cs="Times New Roman"/>
          <w:i/>
          <w:sz w:val="20"/>
          <w:szCs w:val="20"/>
        </w:rPr>
        <w:t>the Convention</w:t>
      </w:r>
    </w:p>
    <w:p w14:paraId="61EA1E5D" w14:textId="25CB840D" w:rsidR="00FC1568" w:rsidRPr="001D767D" w:rsidRDefault="00FC1568" w:rsidP="00784840">
      <w:pPr>
        <w:numPr>
          <w:ilvl w:val="0"/>
          <w:numId w:val="2"/>
        </w:numPr>
        <w:tabs>
          <w:tab w:val="right" w:pos="993"/>
          <w:tab w:val="left" w:pos="1080"/>
        </w:tabs>
        <w:spacing w:after="120" w:line="240" w:lineRule="atLeast"/>
        <w:ind w:left="540" w:right="-1" w:firstLine="0"/>
        <w:jc w:val="both"/>
        <w:rPr>
          <w:rFonts w:ascii="Times New Roman" w:eastAsia="Times New Roman" w:hAnsi="Times New Roman" w:cs="Times New Roman"/>
          <w:sz w:val="20"/>
          <w:szCs w:val="20"/>
        </w:rPr>
      </w:pPr>
      <w:r w:rsidRPr="001D767D">
        <w:rPr>
          <w:rFonts w:ascii="Times New Roman" w:eastAsia="Times New Roman" w:hAnsi="Times New Roman" w:cs="Times New Roman"/>
          <w:sz w:val="20"/>
          <w:szCs w:val="20"/>
        </w:rPr>
        <w:t>The communicant submits that</w:t>
      </w:r>
      <w:r w:rsidR="00675D88" w:rsidRPr="001D767D">
        <w:rPr>
          <w:rFonts w:ascii="Times New Roman" w:eastAsia="Times New Roman" w:hAnsi="Times New Roman" w:cs="Times New Roman"/>
          <w:sz w:val="20"/>
          <w:szCs w:val="20"/>
        </w:rPr>
        <w:t xml:space="preserve">, in accordance with the legislation </w:t>
      </w:r>
      <w:r w:rsidR="0076189A" w:rsidRPr="001D767D">
        <w:rPr>
          <w:rFonts w:ascii="Times New Roman" w:eastAsia="Times New Roman" w:hAnsi="Times New Roman" w:cs="Times New Roman"/>
          <w:sz w:val="20"/>
          <w:szCs w:val="20"/>
        </w:rPr>
        <w:t xml:space="preserve">of the Party concerned </w:t>
      </w:r>
      <w:r w:rsidR="00675D88" w:rsidRPr="001D767D">
        <w:rPr>
          <w:rFonts w:ascii="Times New Roman" w:eastAsia="Times New Roman" w:hAnsi="Times New Roman" w:cs="Times New Roman"/>
          <w:sz w:val="20"/>
          <w:szCs w:val="20"/>
        </w:rPr>
        <w:t>referred to in paragraphs</w:t>
      </w:r>
      <w:r w:rsidR="00CB6E03" w:rsidRPr="001D767D">
        <w:rPr>
          <w:rFonts w:ascii="Times New Roman" w:eastAsia="Times New Roman" w:hAnsi="Times New Roman" w:cs="Times New Roman"/>
          <w:sz w:val="20"/>
          <w:szCs w:val="20"/>
        </w:rPr>
        <w:t xml:space="preserve"> </w:t>
      </w:r>
      <w:r w:rsidR="00CB6E03" w:rsidRPr="001D767D">
        <w:rPr>
          <w:rFonts w:ascii="Times New Roman" w:eastAsia="Times New Roman" w:hAnsi="Times New Roman" w:cs="Times New Roman"/>
          <w:sz w:val="20"/>
          <w:szCs w:val="20"/>
        </w:rPr>
        <w:fldChar w:fldCharType="begin"/>
      </w:r>
      <w:r w:rsidR="00CB6E03" w:rsidRPr="001D767D">
        <w:rPr>
          <w:rFonts w:ascii="Times New Roman" w:eastAsia="Times New Roman" w:hAnsi="Times New Roman" w:cs="Times New Roman"/>
          <w:sz w:val="20"/>
          <w:szCs w:val="20"/>
        </w:rPr>
        <w:instrText xml:space="preserve"> REF _Ref11855721 \r \h </w:instrText>
      </w:r>
      <w:r w:rsidR="003F6930" w:rsidRPr="001D767D">
        <w:rPr>
          <w:rFonts w:ascii="Times New Roman" w:eastAsia="Times New Roman" w:hAnsi="Times New Roman" w:cs="Times New Roman"/>
          <w:sz w:val="20"/>
          <w:szCs w:val="20"/>
        </w:rPr>
        <w:instrText xml:space="preserve"> \* MERGEFORMAT </w:instrText>
      </w:r>
      <w:r w:rsidR="00CB6E03" w:rsidRPr="001D767D">
        <w:rPr>
          <w:rFonts w:ascii="Times New Roman" w:eastAsia="Times New Roman" w:hAnsi="Times New Roman" w:cs="Times New Roman"/>
          <w:sz w:val="20"/>
          <w:szCs w:val="20"/>
        </w:rPr>
      </w:r>
      <w:r w:rsidR="00CB6E03" w:rsidRPr="001D767D">
        <w:rPr>
          <w:rFonts w:ascii="Times New Roman" w:eastAsia="Times New Roman" w:hAnsi="Times New Roman" w:cs="Times New Roman"/>
          <w:sz w:val="20"/>
          <w:szCs w:val="20"/>
        </w:rPr>
        <w:fldChar w:fldCharType="separate"/>
      </w:r>
      <w:r w:rsidR="001D767D" w:rsidRPr="001D767D">
        <w:rPr>
          <w:rFonts w:ascii="Times New Roman" w:eastAsia="Times New Roman" w:hAnsi="Times New Roman" w:cs="Times New Roman"/>
          <w:sz w:val="20"/>
          <w:szCs w:val="20"/>
          <w:cs/>
        </w:rPr>
        <w:t>‎</w:t>
      </w:r>
      <w:r w:rsidR="001D767D" w:rsidRPr="001D767D">
        <w:rPr>
          <w:rFonts w:ascii="Times New Roman" w:eastAsia="Times New Roman" w:hAnsi="Times New Roman" w:cs="Times New Roman"/>
          <w:sz w:val="20"/>
          <w:szCs w:val="20"/>
        </w:rPr>
        <w:t>23</w:t>
      </w:r>
      <w:r w:rsidR="00CB6E03" w:rsidRPr="001D767D">
        <w:rPr>
          <w:rFonts w:ascii="Times New Roman" w:eastAsia="Times New Roman" w:hAnsi="Times New Roman" w:cs="Times New Roman"/>
          <w:sz w:val="20"/>
          <w:szCs w:val="20"/>
        </w:rPr>
        <w:fldChar w:fldCharType="end"/>
      </w:r>
      <w:r w:rsidR="00CB6E03" w:rsidRPr="001D767D">
        <w:rPr>
          <w:rFonts w:ascii="Times New Roman" w:eastAsia="Times New Roman" w:hAnsi="Times New Roman" w:cs="Times New Roman"/>
          <w:sz w:val="20"/>
          <w:szCs w:val="20"/>
        </w:rPr>
        <w:t>-</w:t>
      </w:r>
      <w:r w:rsidR="00CB6E03" w:rsidRPr="001D767D">
        <w:rPr>
          <w:rFonts w:ascii="Times New Roman" w:eastAsia="Times New Roman" w:hAnsi="Times New Roman" w:cs="Times New Roman"/>
          <w:sz w:val="20"/>
          <w:szCs w:val="20"/>
        </w:rPr>
        <w:fldChar w:fldCharType="begin"/>
      </w:r>
      <w:r w:rsidR="00CB6E03" w:rsidRPr="001D767D">
        <w:rPr>
          <w:rFonts w:ascii="Times New Roman" w:eastAsia="Times New Roman" w:hAnsi="Times New Roman" w:cs="Times New Roman"/>
          <w:sz w:val="20"/>
          <w:szCs w:val="20"/>
        </w:rPr>
        <w:instrText xml:space="preserve"> REF _Ref8247906 \r \h </w:instrText>
      </w:r>
      <w:r w:rsidR="003F6930" w:rsidRPr="001D767D">
        <w:rPr>
          <w:rFonts w:ascii="Times New Roman" w:eastAsia="Times New Roman" w:hAnsi="Times New Roman" w:cs="Times New Roman"/>
          <w:sz w:val="20"/>
          <w:szCs w:val="20"/>
        </w:rPr>
        <w:instrText xml:space="preserve"> \* MERGEFORMAT </w:instrText>
      </w:r>
      <w:r w:rsidR="00CB6E03" w:rsidRPr="001D767D">
        <w:rPr>
          <w:rFonts w:ascii="Times New Roman" w:eastAsia="Times New Roman" w:hAnsi="Times New Roman" w:cs="Times New Roman"/>
          <w:sz w:val="20"/>
          <w:szCs w:val="20"/>
        </w:rPr>
      </w:r>
      <w:r w:rsidR="00CB6E03" w:rsidRPr="001D767D">
        <w:rPr>
          <w:rFonts w:ascii="Times New Roman" w:eastAsia="Times New Roman" w:hAnsi="Times New Roman" w:cs="Times New Roman"/>
          <w:sz w:val="20"/>
          <w:szCs w:val="20"/>
        </w:rPr>
        <w:fldChar w:fldCharType="separate"/>
      </w:r>
      <w:r w:rsidR="001D767D" w:rsidRPr="001D767D">
        <w:rPr>
          <w:rFonts w:ascii="Times New Roman" w:eastAsia="Times New Roman" w:hAnsi="Times New Roman" w:cs="Times New Roman"/>
          <w:sz w:val="20"/>
          <w:szCs w:val="20"/>
          <w:cs/>
        </w:rPr>
        <w:t>‎</w:t>
      </w:r>
      <w:r w:rsidR="001D767D" w:rsidRPr="001D767D">
        <w:rPr>
          <w:rFonts w:ascii="Times New Roman" w:eastAsia="Times New Roman" w:hAnsi="Times New Roman" w:cs="Times New Roman"/>
          <w:sz w:val="20"/>
          <w:szCs w:val="20"/>
        </w:rPr>
        <w:t>24</w:t>
      </w:r>
      <w:r w:rsidR="00CB6E03" w:rsidRPr="001D767D">
        <w:rPr>
          <w:rFonts w:ascii="Times New Roman" w:eastAsia="Times New Roman" w:hAnsi="Times New Roman" w:cs="Times New Roman"/>
          <w:sz w:val="20"/>
          <w:szCs w:val="20"/>
        </w:rPr>
        <w:fldChar w:fldCharType="end"/>
      </w:r>
      <w:r w:rsidR="00675D88" w:rsidRPr="001D767D">
        <w:rPr>
          <w:rFonts w:ascii="Times New Roman" w:eastAsia="Times New Roman" w:hAnsi="Times New Roman" w:cs="Times New Roman"/>
          <w:sz w:val="20"/>
          <w:szCs w:val="20"/>
        </w:rPr>
        <w:t xml:space="preserve"> above,</w:t>
      </w:r>
      <w:r w:rsidRPr="001D767D">
        <w:rPr>
          <w:rFonts w:ascii="Times New Roman" w:eastAsia="Times New Roman" w:hAnsi="Times New Roman" w:cs="Times New Roman"/>
          <w:sz w:val="20"/>
          <w:szCs w:val="20"/>
        </w:rPr>
        <w:t xml:space="preserve"> an </w:t>
      </w:r>
      <w:r w:rsidR="00685D0E" w:rsidRPr="001D767D">
        <w:rPr>
          <w:rFonts w:ascii="Times New Roman" w:eastAsia="Times New Roman" w:hAnsi="Times New Roman" w:cs="Times New Roman"/>
          <w:sz w:val="20"/>
          <w:szCs w:val="20"/>
        </w:rPr>
        <w:t xml:space="preserve">environmental impact assessment </w:t>
      </w:r>
      <w:r w:rsidRPr="001D767D">
        <w:rPr>
          <w:rFonts w:ascii="Times New Roman" w:eastAsia="Times New Roman" w:hAnsi="Times New Roman" w:cs="Times New Roman"/>
          <w:sz w:val="20"/>
          <w:szCs w:val="20"/>
        </w:rPr>
        <w:t>is required for all quarries over 5 hectares.</w:t>
      </w:r>
      <w:r w:rsidRPr="001D767D">
        <w:rPr>
          <w:rFonts w:ascii="Times New Roman" w:hAnsi="Times New Roman" w:cs="Times New Roman"/>
          <w:sz w:val="20"/>
          <w:szCs w:val="20"/>
          <w:vertAlign w:val="superscript"/>
        </w:rPr>
        <w:footnoteReference w:id="46"/>
      </w:r>
    </w:p>
    <w:p w14:paraId="6D9BC487" w14:textId="300A61EF" w:rsidR="00FC1568" w:rsidRPr="001D767D" w:rsidRDefault="00FC1568" w:rsidP="00784840">
      <w:pPr>
        <w:numPr>
          <w:ilvl w:val="0"/>
          <w:numId w:val="2"/>
        </w:numPr>
        <w:tabs>
          <w:tab w:val="right" w:pos="993"/>
          <w:tab w:val="left" w:pos="1080"/>
        </w:tabs>
        <w:spacing w:after="120" w:line="240" w:lineRule="atLeast"/>
        <w:ind w:left="540" w:right="-1" w:firstLine="0"/>
        <w:jc w:val="both"/>
        <w:rPr>
          <w:rFonts w:ascii="Times New Roman" w:eastAsia="Times New Roman" w:hAnsi="Times New Roman" w:cs="Times New Roman"/>
          <w:sz w:val="20"/>
          <w:szCs w:val="20"/>
        </w:rPr>
      </w:pPr>
      <w:bookmarkStart w:id="19" w:name="_Ref442970736"/>
      <w:r w:rsidRPr="001D767D">
        <w:rPr>
          <w:rFonts w:ascii="Times New Roman" w:eastAsia="Times New Roman" w:hAnsi="Times New Roman" w:cs="Times New Roman"/>
          <w:sz w:val="20"/>
          <w:szCs w:val="20"/>
        </w:rPr>
        <w:t>The Party concerned agrees that</w:t>
      </w:r>
      <w:r w:rsidR="00675D88" w:rsidRPr="001D767D">
        <w:rPr>
          <w:rFonts w:ascii="Times New Roman" w:eastAsia="Times New Roman" w:hAnsi="Times New Roman" w:cs="Times New Roman"/>
          <w:sz w:val="20"/>
          <w:szCs w:val="20"/>
        </w:rPr>
        <w:t>, pursuant to its legislation,</w:t>
      </w:r>
      <w:r w:rsidRPr="001D767D">
        <w:rPr>
          <w:rFonts w:ascii="Times New Roman" w:eastAsia="Times New Roman" w:hAnsi="Times New Roman" w:cs="Times New Roman"/>
          <w:sz w:val="20"/>
          <w:szCs w:val="20"/>
        </w:rPr>
        <w:t xml:space="preserve"> quarry developments over 5 hectares are subject to </w:t>
      </w:r>
      <w:r w:rsidR="00685D0E" w:rsidRPr="001D767D">
        <w:rPr>
          <w:rFonts w:ascii="Times New Roman" w:eastAsia="Times New Roman" w:hAnsi="Times New Roman" w:cs="Times New Roman"/>
          <w:sz w:val="20"/>
          <w:szCs w:val="20"/>
        </w:rPr>
        <w:t xml:space="preserve">environmental impact assessment </w:t>
      </w:r>
      <w:r w:rsidR="00675D88" w:rsidRPr="001D767D">
        <w:rPr>
          <w:rFonts w:ascii="Times New Roman" w:eastAsia="Times New Roman" w:hAnsi="Times New Roman" w:cs="Times New Roman"/>
          <w:sz w:val="20"/>
          <w:szCs w:val="20"/>
        </w:rPr>
        <w:t>at the time that</w:t>
      </w:r>
      <w:r w:rsidRPr="001D767D">
        <w:rPr>
          <w:rFonts w:ascii="Times New Roman" w:eastAsia="Times New Roman" w:hAnsi="Times New Roman" w:cs="Times New Roman"/>
          <w:sz w:val="20"/>
          <w:szCs w:val="20"/>
        </w:rPr>
        <w:t xml:space="preserve"> they are originally </w:t>
      </w:r>
      <w:r w:rsidR="00685D0E" w:rsidRPr="001D767D">
        <w:rPr>
          <w:rFonts w:ascii="Times New Roman" w:hAnsi="Times New Roman"/>
          <w:sz w:val="20"/>
        </w:rPr>
        <w:t>permitted</w:t>
      </w:r>
      <w:r w:rsidR="0076189A" w:rsidRPr="001D767D">
        <w:rPr>
          <w:rFonts w:ascii="Times New Roman" w:eastAsia="Times New Roman" w:hAnsi="Times New Roman" w:cs="Times New Roman"/>
          <w:sz w:val="20"/>
          <w:szCs w:val="20"/>
        </w:rPr>
        <w:t xml:space="preserve">. It submits however </w:t>
      </w:r>
      <w:bookmarkEnd w:id="19"/>
      <w:r w:rsidR="0076189A" w:rsidRPr="001D767D">
        <w:rPr>
          <w:rFonts w:ascii="Times New Roman" w:eastAsia="Times New Roman" w:hAnsi="Times New Roman" w:cs="Times New Roman"/>
          <w:sz w:val="20"/>
          <w:szCs w:val="20"/>
        </w:rPr>
        <w:t xml:space="preserve">that </w:t>
      </w:r>
      <w:r w:rsidRPr="001D767D">
        <w:rPr>
          <w:rFonts w:ascii="Times New Roman" w:eastAsia="Times New Roman" w:hAnsi="Times New Roman" w:cs="Times New Roman"/>
          <w:sz w:val="20"/>
          <w:szCs w:val="20"/>
        </w:rPr>
        <w:t>the permit to exten</w:t>
      </w:r>
      <w:r w:rsidR="00675D88" w:rsidRPr="001D767D">
        <w:rPr>
          <w:rFonts w:ascii="Times New Roman" w:eastAsia="Times New Roman" w:hAnsi="Times New Roman" w:cs="Times New Roman"/>
          <w:sz w:val="20"/>
          <w:szCs w:val="20"/>
        </w:rPr>
        <w:t>d</w:t>
      </w:r>
      <w:r w:rsidRPr="001D767D">
        <w:rPr>
          <w:rFonts w:ascii="Times New Roman" w:eastAsia="Times New Roman" w:hAnsi="Times New Roman" w:cs="Times New Roman"/>
          <w:sz w:val="20"/>
          <w:szCs w:val="20"/>
        </w:rPr>
        <w:t xml:space="preserve"> the duration of a planning permission does not require an </w:t>
      </w:r>
      <w:r w:rsidR="00551615" w:rsidRPr="001D767D">
        <w:rPr>
          <w:rFonts w:ascii="Times New Roman" w:eastAsia="Times New Roman" w:hAnsi="Times New Roman" w:cs="Times New Roman"/>
          <w:sz w:val="20"/>
          <w:szCs w:val="20"/>
        </w:rPr>
        <w:t xml:space="preserve">environmental impact assessment </w:t>
      </w:r>
      <w:r w:rsidRPr="001D767D">
        <w:rPr>
          <w:rFonts w:ascii="Times New Roman" w:eastAsia="Times New Roman" w:hAnsi="Times New Roman" w:cs="Times New Roman"/>
          <w:sz w:val="20"/>
          <w:szCs w:val="20"/>
        </w:rPr>
        <w:t xml:space="preserve">under </w:t>
      </w:r>
      <w:r w:rsidR="00675D88" w:rsidRPr="001D767D">
        <w:rPr>
          <w:rFonts w:ascii="Times New Roman" w:eastAsia="Times New Roman" w:hAnsi="Times New Roman" w:cs="Times New Roman"/>
          <w:sz w:val="20"/>
          <w:szCs w:val="20"/>
        </w:rPr>
        <w:t xml:space="preserve">either </w:t>
      </w:r>
      <w:r w:rsidRPr="001D767D">
        <w:rPr>
          <w:rFonts w:ascii="Times New Roman" w:eastAsia="Times New Roman" w:hAnsi="Times New Roman" w:cs="Times New Roman"/>
          <w:sz w:val="20"/>
          <w:szCs w:val="20"/>
        </w:rPr>
        <w:t>E</w:t>
      </w:r>
      <w:r w:rsidR="00117094" w:rsidRPr="001D767D">
        <w:rPr>
          <w:rFonts w:ascii="Times New Roman" w:eastAsia="Times New Roman" w:hAnsi="Times New Roman" w:cs="Times New Roman"/>
          <w:sz w:val="20"/>
          <w:szCs w:val="20"/>
        </w:rPr>
        <w:t xml:space="preserve">uropean </w:t>
      </w:r>
      <w:r w:rsidRPr="001D767D">
        <w:rPr>
          <w:rFonts w:ascii="Times New Roman" w:eastAsia="Times New Roman" w:hAnsi="Times New Roman" w:cs="Times New Roman"/>
          <w:sz w:val="20"/>
          <w:szCs w:val="20"/>
        </w:rPr>
        <w:t>U</w:t>
      </w:r>
      <w:r w:rsidR="00117094" w:rsidRPr="001D767D">
        <w:rPr>
          <w:rFonts w:ascii="Times New Roman" w:eastAsia="Times New Roman" w:hAnsi="Times New Roman" w:cs="Times New Roman"/>
          <w:sz w:val="20"/>
          <w:szCs w:val="20"/>
        </w:rPr>
        <w:t>nion</w:t>
      </w:r>
      <w:r w:rsidRPr="001D767D">
        <w:rPr>
          <w:rFonts w:ascii="Times New Roman" w:eastAsia="Times New Roman" w:hAnsi="Times New Roman" w:cs="Times New Roman"/>
          <w:sz w:val="20"/>
          <w:szCs w:val="20"/>
        </w:rPr>
        <w:t xml:space="preserve"> </w:t>
      </w:r>
      <w:r w:rsidR="00675D88" w:rsidRPr="001D767D">
        <w:rPr>
          <w:rFonts w:ascii="Times New Roman" w:eastAsia="Times New Roman" w:hAnsi="Times New Roman" w:cs="Times New Roman"/>
          <w:sz w:val="20"/>
          <w:szCs w:val="20"/>
        </w:rPr>
        <w:t xml:space="preserve">or national law </w:t>
      </w:r>
      <w:r w:rsidRPr="001D767D">
        <w:rPr>
          <w:rFonts w:ascii="Times New Roman" w:eastAsia="Times New Roman" w:hAnsi="Times New Roman" w:cs="Times New Roman"/>
          <w:sz w:val="20"/>
          <w:szCs w:val="20"/>
        </w:rPr>
        <w:t>and that, therefore, paragraph 20 of Annex I of the Convention does not apply.</w:t>
      </w:r>
      <w:r w:rsidRPr="001D767D">
        <w:rPr>
          <w:rFonts w:ascii="Times New Roman" w:hAnsi="Times New Roman" w:cs="Times New Roman"/>
          <w:sz w:val="20"/>
          <w:szCs w:val="20"/>
          <w:vertAlign w:val="superscript"/>
        </w:rPr>
        <w:footnoteReference w:id="47"/>
      </w:r>
      <w:r w:rsidRPr="001D767D">
        <w:rPr>
          <w:rFonts w:ascii="Times New Roman" w:eastAsia="Times New Roman" w:hAnsi="Times New Roman" w:cs="Times New Roman"/>
          <w:sz w:val="20"/>
          <w:szCs w:val="20"/>
        </w:rPr>
        <w:t xml:space="preserve"> The Party concerned submits that the original decision</w:t>
      </w:r>
      <w:r w:rsidR="00685D0E" w:rsidRPr="001D767D">
        <w:rPr>
          <w:rFonts w:ascii="Times New Roman" w:eastAsia="Times New Roman" w:hAnsi="Times New Roman" w:cs="Times New Roman"/>
          <w:sz w:val="20"/>
          <w:szCs w:val="20"/>
        </w:rPr>
        <w:t>s</w:t>
      </w:r>
      <w:r w:rsidRPr="001D767D">
        <w:rPr>
          <w:rFonts w:ascii="Times New Roman" w:eastAsia="Times New Roman" w:hAnsi="Times New Roman" w:cs="Times New Roman"/>
          <w:sz w:val="20"/>
          <w:szCs w:val="20"/>
        </w:rPr>
        <w:t xml:space="preserve"> </w:t>
      </w:r>
      <w:r w:rsidR="00685D0E" w:rsidRPr="001D767D">
        <w:rPr>
          <w:rFonts w:ascii="Times New Roman" w:eastAsia="Times New Roman" w:hAnsi="Times New Roman" w:cs="Times New Roman"/>
          <w:sz w:val="20"/>
          <w:szCs w:val="20"/>
        </w:rPr>
        <w:t xml:space="preserve">were </w:t>
      </w:r>
      <w:r w:rsidRPr="001D767D">
        <w:rPr>
          <w:rFonts w:ascii="Times New Roman" w:eastAsia="Times New Roman" w:hAnsi="Times New Roman" w:cs="Times New Roman"/>
          <w:sz w:val="20"/>
          <w:szCs w:val="20"/>
        </w:rPr>
        <w:t xml:space="preserve">subject to public participation and </w:t>
      </w:r>
      <w:r w:rsidR="00551615" w:rsidRPr="001D767D">
        <w:rPr>
          <w:rFonts w:ascii="Times New Roman" w:eastAsia="Times New Roman" w:hAnsi="Times New Roman" w:cs="Times New Roman"/>
          <w:sz w:val="20"/>
          <w:szCs w:val="20"/>
        </w:rPr>
        <w:t>environmental impact assessment</w:t>
      </w:r>
      <w:r w:rsidRPr="001D767D">
        <w:rPr>
          <w:rFonts w:ascii="Times New Roman" w:eastAsia="Times New Roman" w:hAnsi="Times New Roman" w:cs="Times New Roman"/>
          <w:sz w:val="20"/>
          <w:szCs w:val="20"/>
        </w:rPr>
        <w:t xml:space="preserve"> and it is not within the remit of the Committee to consider the absence of </w:t>
      </w:r>
      <w:r w:rsidR="0076189A" w:rsidRPr="001D767D">
        <w:rPr>
          <w:rFonts w:ascii="Times New Roman" w:eastAsia="Times New Roman" w:hAnsi="Times New Roman" w:cs="Times New Roman"/>
          <w:sz w:val="20"/>
          <w:szCs w:val="20"/>
        </w:rPr>
        <w:t xml:space="preserve">an </w:t>
      </w:r>
      <w:r w:rsidR="00551615" w:rsidRPr="001D767D">
        <w:rPr>
          <w:rFonts w:ascii="Times New Roman" w:eastAsia="Times New Roman" w:hAnsi="Times New Roman" w:cs="Times New Roman"/>
          <w:sz w:val="20"/>
          <w:szCs w:val="20"/>
        </w:rPr>
        <w:t>environmental impact assessment</w:t>
      </w:r>
      <w:r w:rsidRPr="001D767D">
        <w:rPr>
          <w:rFonts w:ascii="Times New Roman" w:eastAsia="Times New Roman" w:hAnsi="Times New Roman" w:cs="Times New Roman"/>
          <w:sz w:val="20"/>
          <w:szCs w:val="20"/>
        </w:rPr>
        <w:t xml:space="preserve"> </w:t>
      </w:r>
      <w:r w:rsidR="00685D0E" w:rsidRPr="001D767D">
        <w:rPr>
          <w:rFonts w:ascii="Times New Roman" w:eastAsia="Times New Roman" w:hAnsi="Times New Roman" w:cs="Times New Roman"/>
          <w:sz w:val="20"/>
          <w:szCs w:val="20"/>
        </w:rPr>
        <w:t xml:space="preserve">regarding </w:t>
      </w:r>
      <w:r w:rsidRPr="001D767D">
        <w:rPr>
          <w:rFonts w:ascii="Times New Roman" w:eastAsia="Times New Roman" w:hAnsi="Times New Roman" w:cs="Times New Roman"/>
          <w:sz w:val="20"/>
          <w:szCs w:val="20"/>
        </w:rPr>
        <w:t>the extension</w:t>
      </w:r>
      <w:r w:rsidR="0076189A" w:rsidRPr="001D767D">
        <w:rPr>
          <w:rFonts w:ascii="Times New Roman" w:eastAsia="Times New Roman" w:hAnsi="Times New Roman" w:cs="Times New Roman"/>
          <w:sz w:val="20"/>
          <w:szCs w:val="20"/>
        </w:rPr>
        <w:t xml:space="preserve"> of the quarry’s duration</w:t>
      </w:r>
      <w:r w:rsidRPr="001D767D">
        <w:rPr>
          <w:rFonts w:ascii="Times New Roman" w:eastAsia="Times New Roman" w:hAnsi="Times New Roman" w:cs="Times New Roman"/>
          <w:sz w:val="20"/>
          <w:szCs w:val="20"/>
        </w:rPr>
        <w:t>.</w:t>
      </w:r>
      <w:r w:rsidRPr="001D767D">
        <w:rPr>
          <w:rFonts w:ascii="Times New Roman" w:hAnsi="Times New Roman" w:cs="Times New Roman"/>
          <w:sz w:val="20"/>
          <w:szCs w:val="20"/>
          <w:vertAlign w:val="superscript"/>
        </w:rPr>
        <w:footnoteReference w:id="48"/>
      </w:r>
    </w:p>
    <w:p w14:paraId="0BCF5AB8" w14:textId="5C8B0C2C" w:rsidR="00A45651" w:rsidRPr="001D767D" w:rsidRDefault="00A45651" w:rsidP="00784840">
      <w:pPr>
        <w:numPr>
          <w:ilvl w:val="0"/>
          <w:numId w:val="2"/>
        </w:numPr>
        <w:tabs>
          <w:tab w:val="right" w:pos="993"/>
          <w:tab w:val="left" w:pos="1080"/>
        </w:tabs>
        <w:spacing w:after="120" w:line="240" w:lineRule="atLeast"/>
        <w:ind w:left="540" w:right="-1" w:firstLine="0"/>
        <w:jc w:val="both"/>
        <w:rPr>
          <w:rFonts w:ascii="Times New Roman" w:eastAsia="Times New Roman" w:hAnsi="Times New Roman" w:cs="Times New Roman"/>
          <w:sz w:val="20"/>
          <w:szCs w:val="20"/>
        </w:rPr>
      </w:pPr>
      <w:r w:rsidRPr="001D767D">
        <w:rPr>
          <w:rFonts w:ascii="Times New Roman" w:eastAsia="Times New Roman" w:hAnsi="Times New Roman" w:cs="Times New Roman"/>
          <w:sz w:val="20"/>
          <w:szCs w:val="20"/>
        </w:rPr>
        <w:t xml:space="preserve">The Party concerned moreover submits that the </w:t>
      </w:r>
      <w:r w:rsidR="00252EE9" w:rsidRPr="001D767D">
        <w:rPr>
          <w:rFonts w:ascii="Times New Roman" w:hAnsi="Times New Roman"/>
          <w:sz w:val="20"/>
        </w:rPr>
        <w:t>2013</w:t>
      </w:r>
      <w:r w:rsidR="009D41FC" w:rsidRPr="001D767D">
        <w:rPr>
          <w:rFonts w:ascii="Times New Roman" w:eastAsia="Times New Roman" w:hAnsi="Times New Roman" w:cs="Times New Roman"/>
          <w:sz w:val="20"/>
          <w:szCs w:val="20"/>
        </w:rPr>
        <w:t xml:space="preserve"> </w:t>
      </w:r>
      <w:r w:rsidR="00252EE9" w:rsidRPr="001D767D">
        <w:rPr>
          <w:rFonts w:ascii="Times New Roman" w:eastAsia="Times New Roman" w:hAnsi="Times New Roman" w:cs="Times New Roman"/>
          <w:sz w:val="20"/>
          <w:szCs w:val="20"/>
        </w:rPr>
        <w:t xml:space="preserve">permits </w:t>
      </w:r>
      <w:r w:rsidRPr="001D767D">
        <w:rPr>
          <w:rFonts w:ascii="Times New Roman" w:eastAsia="Times New Roman" w:hAnsi="Times New Roman" w:cs="Times New Roman"/>
          <w:sz w:val="20"/>
          <w:szCs w:val="20"/>
        </w:rPr>
        <w:t>are not decision</w:t>
      </w:r>
      <w:r w:rsidR="00E91733" w:rsidRPr="001D767D">
        <w:rPr>
          <w:rFonts w:ascii="Times New Roman" w:eastAsia="Times New Roman" w:hAnsi="Times New Roman" w:cs="Times New Roman"/>
          <w:sz w:val="20"/>
          <w:szCs w:val="20"/>
        </w:rPr>
        <w:t>s</w:t>
      </w:r>
      <w:r w:rsidRPr="001D767D">
        <w:rPr>
          <w:rFonts w:ascii="Times New Roman" w:eastAsia="Times New Roman" w:hAnsi="Times New Roman" w:cs="Times New Roman"/>
          <w:sz w:val="20"/>
          <w:szCs w:val="20"/>
        </w:rPr>
        <w:t xml:space="preserve"> to permit in the sense of article </w:t>
      </w:r>
      <w:r w:rsidR="00D52A17" w:rsidRPr="001D767D">
        <w:rPr>
          <w:rFonts w:ascii="Times New Roman" w:eastAsia="Times New Roman" w:hAnsi="Times New Roman" w:cs="Times New Roman"/>
          <w:sz w:val="20"/>
          <w:szCs w:val="20"/>
        </w:rPr>
        <w:t xml:space="preserve">6(1)(a) </w:t>
      </w:r>
      <w:r w:rsidRPr="001D767D">
        <w:rPr>
          <w:rFonts w:ascii="Times New Roman" w:eastAsia="Times New Roman" w:hAnsi="Times New Roman" w:cs="Times New Roman"/>
          <w:sz w:val="20"/>
          <w:szCs w:val="20"/>
        </w:rPr>
        <w:t>and in so far as the decision</w:t>
      </w:r>
      <w:r w:rsidR="00E91733" w:rsidRPr="001D767D">
        <w:rPr>
          <w:rFonts w:ascii="Times New Roman" w:eastAsia="Times New Roman" w:hAnsi="Times New Roman" w:cs="Times New Roman"/>
          <w:sz w:val="20"/>
          <w:szCs w:val="20"/>
        </w:rPr>
        <w:t>s</w:t>
      </w:r>
      <w:r w:rsidRPr="001D767D">
        <w:rPr>
          <w:rFonts w:ascii="Times New Roman" w:eastAsia="Times New Roman" w:hAnsi="Times New Roman" w:cs="Times New Roman"/>
          <w:sz w:val="20"/>
          <w:szCs w:val="20"/>
        </w:rPr>
        <w:t xml:space="preserve"> extend an existing </w:t>
      </w:r>
      <w:r w:rsidR="00685D0E" w:rsidRPr="001D767D">
        <w:rPr>
          <w:rFonts w:ascii="Times New Roman" w:eastAsia="Times New Roman" w:hAnsi="Times New Roman" w:cs="Times New Roman"/>
          <w:sz w:val="20"/>
          <w:szCs w:val="20"/>
        </w:rPr>
        <w:t>permit</w:t>
      </w:r>
      <w:r w:rsidRPr="001D767D">
        <w:rPr>
          <w:rFonts w:ascii="Times New Roman" w:eastAsia="Times New Roman" w:hAnsi="Times New Roman" w:cs="Times New Roman"/>
          <w:sz w:val="20"/>
          <w:szCs w:val="20"/>
        </w:rPr>
        <w:t xml:space="preserve">, the extension is a decision of “minor or peripheral importance” referring in this regard to </w:t>
      </w:r>
      <w:r w:rsidRPr="001D767D">
        <w:rPr>
          <w:rFonts w:ascii="Times New Roman" w:eastAsia="Times New Roman" w:hAnsi="Times New Roman" w:cs="Times New Roman"/>
          <w:sz w:val="20"/>
          <w:szCs w:val="20"/>
        </w:rPr>
        <w:lastRenderedPageBreak/>
        <w:t>paragraph 41 of the Committee’s findings on communication ACCC/C/2006/17 (European Union</w:t>
      </w:r>
      <w:r w:rsidR="000E6F6B" w:rsidRPr="001D767D">
        <w:rPr>
          <w:rFonts w:ascii="Times New Roman" w:eastAsia="Times New Roman" w:hAnsi="Times New Roman" w:cs="Times New Roman"/>
          <w:sz w:val="20"/>
          <w:szCs w:val="20"/>
        </w:rPr>
        <w:t>), and in particular:</w:t>
      </w:r>
      <w:r w:rsidR="000E6F6B" w:rsidRPr="001D767D">
        <w:rPr>
          <w:rFonts w:ascii="Times New Roman" w:hAnsi="Times New Roman"/>
          <w:sz w:val="20"/>
          <w:vertAlign w:val="superscript"/>
        </w:rPr>
        <w:footnoteReference w:id="49"/>
      </w:r>
    </w:p>
    <w:p w14:paraId="2CD7F912" w14:textId="2009B94C" w:rsidR="0076189A" w:rsidRPr="001D767D" w:rsidRDefault="000E6F6B" w:rsidP="003167D6">
      <w:pPr>
        <w:tabs>
          <w:tab w:val="right" w:pos="993"/>
          <w:tab w:val="left" w:pos="1080"/>
        </w:tabs>
        <w:spacing w:after="120" w:line="240" w:lineRule="atLeast"/>
        <w:ind w:left="993" w:right="-1"/>
        <w:jc w:val="both"/>
        <w:rPr>
          <w:rFonts w:ascii="Times New Roman" w:eastAsia="Times New Roman" w:hAnsi="Times New Roman" w:cs="Times New Roman"/>
          <w:sz w:val="20"/>
          <w:szCs w:val="20"/>
        </w:rPr>
      </w:pPr>
      <w:r w:rsidRPr="001D767D">
        <w:rPr>
          <w:rFonts w:ascii="Times New Roman" w:eastAsia="Times New Roman" w:hAnsi="Times New Roman" w:cs="Times New Roman"/>
          <w:sz w:val="20"/>
          <w:szCs w:val="20"/>
        </w:rPr>
        <w:t>“…even within the environment related permitting decisions that might be required before a given activity may proceed, there may be large variations in their significance and/or environmental relevance. Some such decisions might be of minor or peripheral importance, or be of limited environmental relevance, therefore not meriting a full-scale public participation procedure.”</w:t>
      </w:r>
      <w:r w:rsidRPr="001D767D">
        <w:rPr>
          <w:rStyle w:val="FootnoteReference"/>
          <w:rFonts w:ascii="Times New Roman" w:eastAsia="Times New Roman" w:hAnsi="Times New Roman" w:cs="Times New Roman"/>
          <w:sz w:val="20"/>
          <w:szCs w:val="20"/>
        </w:rPr>
        <w:t xml:space="preserve"> </w:t>
      </w:r>
      <w:r w:rsidRPr="001D767D">
        <w:rPr>
          <w:rStyle w:val="FootnoteReference"/>
          <w:rFonts w:ascii="Times New Roman" w:eastAsia="Times New Roman" w:hAnsi="Times New Roman" w:cs="Times New Roman"/>
          <w:sz w:val="20"/>
          <w:szCs w:val="20"/>
        </w:rPr>
        <w:footnoteReference w:id="50"/>
      </w:r>
    </w:p>
    <w:p w14:paraId="747AF22A" w14:textId="6760C53E" w:rsidR="00FC1568" w:rsidRPr="001D767D" w:rsidRDefault="00FC1568" w:rsidP="001D767D">
      <w:pPr>
        <w:tabs>
          <w:tab w:val="right" w:pos="993"/>
          <w:tab w:val="left" w:pos="1080"/>
        </w:tabs>
        <w:spacing w:before="240" w:after="120" w:line="240" w:lineRule="atLeast"/>
        <w:ind w:left="540" w:right="-1"/>
        <w:jc w:val="both"/>
        <w:rPr>
          <w:rFonts w:ascii="Times New Roman" w:eastAsia="Times New Roman" w:hAnsi="Times New Roman" w:cs="Times New Roman"/>
          <w:b/>
          <w:sz w:val="20"/>
          <w:szCs w:val="20"/>
        </w:rPr>
      </w:pPr>
      <w:r w:rsidRPr="001D767D">
        <w:rPr>
          <w:rFonts w:ascii="Times New Roman" w:eastAsia="Times New Roman" w:hAnsi="Times New Roman" w:cs="Times New Roman"/>
          <w:b/>
          <w:sz w:val="20"/>
          <w:szCs w:val="20"/>
        </w:rPr>
        <w:t>A</w:t>
      </w:r>
      <w:r w:rsidR="00D52A17" w:rsidRPr="001D767D">
        <w:rPr>
          <w:rFonts w:ascii="Times New Roman" w:eastAsia="Times New Roman" w:hAnsi="Times New Roman" w:cs="Times New Roman"/>
          <w:b/>
          <w:sz w:val="20"/>
          <w:szCs w:val="20"/>
        </w:rPr>
        <w:t>pplicability of a</w:t>
      </w:r>
      <w:r w:rsidRPr="001D767D">
        <w:rPr>
          <w:rFonts w:ascii="Times New Roman" w:eastAsia="Times New Roman" w:hAnsi="Times New Roman" w:cs="Times New Roman"/>
          <w:b/>
          <w:sz w:val="20"/>
          <w:szCs w:val="20"/>
        </w:rPr>
        <w:t>rticle 6</w:t>
      </w:r>
      <w:r w:rsidR="00D52A17" w:rsidRPr="001D767D">
        <w:rPr>
          <w:rFonts w:ascii="Times New Roman" w:eastAsia="Times New Roman" w:hAnsi="Times New Roman" w:cs="Times New Roman"/>
          <w:b/>
          <w:sz w:val="20"/>
          <w:szCs w:val="20"/>
        </w:rPr>
        <w:t>(</w:t>
      </w:r>
      <w:r w:rsidRPr="001D767D">
        <w:rPr>
          <w:rFonts w:ascii="Times New Roman" w:eastAsia="Times New Roman" w:hAnsi="Times New Roman" w:cs="Times New Roman"/>
          <w:b/>
          <w:sz w:val="20"/>
          <w:szCs w:val="20"/>
        </w:rPr>
        <w:t>10</w:t>
      </w:r>
      <w:r w:rsidR="00D52A17" w:rsidRPr="001D767D">
        <w:rPr>
          <w:rFonts w:ascii="Times New Roman" w:eastAsia="Times New Roman" w:hAnsi="Times New Roman" w:cs="Times New Roman"/>
          <w:b/>
          <w:sz w:val="20"/>
          <w:szCs w:val="20"/>
        </w:rPr>
        <w:t>)</w:t>
      </w:r>
      <w:r w:rsidRPr="001D767D">
        <w:rPr>
          <w:rFonts w:ascii="Times New Roman" w:eastAsia="Times New Roman" w:hAnsi="Times New Roman" w:cs="Times New Roman"/>
          <w:b/>
          <w:sz w:val="20"/>
          <w:szCs w:val="20"/>
        </w:rPr>
        <w:t xml:space="preserve"> </w:t>
      </w:r>
      <w:r w:rsidR="00A87136" w:rsidRPr="001D767D">
        <w:rPr>
          <w:rFonts w:ascii="Times New Roman" w:eastAsia="Times New Roman" w:hAnsi="Times New Roman" w:cs="Times New Roman"/>
          <w:b/>
          <w:sz w:val="20"/>
          <w:szCs w:val="20"/>
        </w:rPr>
        <w:t xml:space="preserve">of </w:t>
      </w:r>
      <w:r w:rsidRPr="001D767D">
        <w:rPr>
          <w:rFonts w:ascii="Times New Roman" w:eastAsia="Times New Roman" w:hAnsi="Times New Roman" w:cs="Times New Roman"/>
          <w:b/>
          <w:sz w:val="20"/>
          <w:szCs w:val="20"/>
        </w:rPr>
        <w:t>the Convention</w:t>
      </w:r>
    </w:p>
    <w:p w14:paraId="2BA9322A" w14:textId="51C1CECF" w:rsidR="00A32C00" w:rsidRPr="001D767D" w:rsidRDefault="00FC1568" w:rsidP="00784840">
      <w:pPr>
        <w:numPr>
          <w:ilvl w:val="0"/>
          <w:numId w:val="2"/>
        </w:numPr>
        <w:tabs>
          <w:tab w:val="right" w:pos="993"/>
          <w:tab w:val="left" w:pos="1080"/>
        </w:tabs>
        <w:spacing w:after="120" w:line="240" w:lineRule="atLeast"/>
        <w:ind w:left="540" w:right="-1" w:firstLine="0"/>
        <w:jc w:val="both"/>
        <w:rPr>
          <w:rFonts w:ascii="Times New Roman" w:eastAsia="Times New Roman" w:hAnsi="Times New Roman" w:cs="Times New Roman"/>
          <w:sz w:val="20"/>
          <w:szCs w:val="20"/>
        </w:rPr>
      </w:pPr>
      <w:r w:rsidRPr="001D767D">
        <w:rPr>
          <w:rFonts w:ascii="Times New Roman" w:eastAsia="Times New Roman" w:hAnsi="Times New Roman" w:cs="Times New Roman"/>
          <w:sz w:val="20"/>
          <w:szCs w:val="20"/>
        </w:rPr>
        <w:t xml:space="preserve">The communicant contends that the extension of duration procedure in </w:t>
      </w:r>
      <w:r w:rsidR="0076189A" w:rsidRPr="001D767D">
        <w:rPr>
          <w:rFonts w:ascii="Times New Roman" w:eastAsia="Times New Roman" w:hAnsi="Times New Roman" w:cs="Times New Roman"/>
          <w:sz w:val="20"/>
          <w:szCs w:val="20"/>
        </w:rPr>
        <w:t>s</w:t>
      </w:r>
      <w:r w:rsidRPr="001D767D">
        <w:rPr>
          <w:rFonts w:ascii="Times New Roman" w:eastAsia="Times New Roman" w:hAnsi="Times New Roman" w:cs="Times New Roman"/>
          <w:sz w:val="20"/>
          <w:szCs w:val="20"/>
        </w:rPr>
        <w:t xml:space="preserve">ection 42(1)(a) of the Planning and Development Act 2000 was never intended to be used in relation to quarry </w:t>
      </w:r>
      <w:r w:rsidR="00685D0E" w:rsidRPr="001D767D">
        <w:rPr>
          <w:rFonts w:ascii="Times New Roman" w:eastAsia="Times New Roman" w:hAnsi="Times New Roman" w:cs="Times New Roman"/>
          <w:sz w:val="20"/>
          <w:szCs w:val="20"/>
        </w:rPr>
        <w:t>permits</w:t>
      </w:r>
      <w:r w:rsidR="0076189A" w:rsidRPr="001D767D">
        <w:rPr>
          <w:rFonts w:ascii="Times New Roman" w:eastAsia="Times New Roman" w:hAnsi="Times New Roman" w:cs="Times New Roman"/>
          <w:sz w:val="20"/>
          <w:szCs w:val="20"/>
        </w:rPr>
        <w:t>.</w:t>
      </w:r>
      <w:r w:rsidRPr="001D767D">
        <w:rPr>
          <w:rFonts w:ascii="Times New Roman" w:eastAsia="Times New Roman" w:hAnsi="Times New Roman" w:cs="Times New Roman"/>
          <w:sz w:val="20"/>
          <w:szCs w:val="20"/>
        </w:rPr>
        <w:t xml:space="preserve"> </w:t>
      </w:r>
      <w:r w:rsidR="0076189A" w:rsidRPr="001D767D">
        <w:rPr>
          <w:rFonts w:ascii="Times New Roman" w:eastAsia="Times New Roman" w:hAnsi="Times New Roman" w:cs="Times New Roman"/>
          <w:sz w:val="20"/>
          <w:szCs w:val="20"/>
        </w:rPr>
        <w:t xml:space="preserve">He claims that </w:t>
      </w:r>
      <w:r w:rsidRPr="001D767D">
        <w:rPr>
          <w:rFonts w:ascii="Times New Roman" w:eastAsia="Times New Roman" w:hAnsi="Times New Roman" w:cs="Times New Roman"/>
          <w:sz w:val="20"/>
          <w:szCs w:val="20"/>
        </w:rPr>
        <w:t xml:space="preserve">the planning authority has failed in its obligations to ensure that an </w:t>
      </w:r>
      <w:r w:rsidR="00551615" w:rsidRPr="001D767D">
        <w:rPr>
          <w:rFonts w:ascii="Times New Roman" w:eastAsia="Times New Roman" w:hAnsi="Times New Roman" w:cs="Times New Roman"/>
          <w:sz w:val="20"/>
          <w:szCs w:val="20"/>
        </w:rPr>
        <w:t>environmental impact assessment</w:t>
      </w:r>
      <w:r w:rsidR="0076189A" w:rsidRPr="001D767D">
        <w:rPr>
          <w:rFonts w:ascii="Times New Roman" w:eastAsia="Times New Roman" w:hAnsi="Times New Roman" w:cs="Times New Roman"/>
          <w:sz w:val="20"/>
          <w:szCs w:val="20"/>
        </w:rPr>
        <w:t xml:space="preserve"> </w:t>
      </w:r>
      <w:r w:rsidRPr="001D767D">
        <w:rPr>
          <w:rFonts w:ascii="Times New Roman" w:eastAsia="Times New Roman" w:hAnsi="Times New Roman" w:cs="Times New Roman"/>
          <w:sz w:val="20"/>
          <w:szCs w:val="20"/>
        </w:rPr>
        <w:t xml:space="preserve">and an appropriate assessment </w:t>
      </w:r>
      <w:r w:rsidR="00DE2549" w:rsidRPr="001D767D">
        <w:rPr>
          <w:rFonts w:ascii="Times New Roman" w:eastAsia="Times New Roman" w:hAnsi="Times New Roman" w:cs="Times New Roman"/>
          <w:sz w:val="20"/>
          <w:szCs w:val="20"/>
        </w:rPr>
        <w:t xml:space="preserve">were </w:t>
      </w:r>
      <w:r w:rsidRPr="001D767D">
        <w:rPr>
          <w:rFonts w:ascii="Times New Roman" w:eastAsia="Times New Roman" w:hAnsi="Times New Roman" w:cs="Times New Roman"/>
          <w:sz w:val="20"/>
          <w:szCs w:val="20"/>
        </w:rPr>
        <w:t>carried out</w:t>
      </w:r>
      <w:r w:rsidR="009D41FC" w:rsidRPr="001D767D">
        <w:rPr>
          <w:rFonts w:ascii="Times New Roman" w:eastAsia="Times New Roman" w:hAnsi="Times New Roman" w:cs="Times New Roman"/>
          <w:sz w:val="20"/>
          <w:szCs w:val="20"/>
        </w:rPr>
        <w:t>,</w:t>
      </w:r>
      <w:r w:rsidRPr="001D767D">
        <w:rPr>
          <w:rFonts w:ascii="Times New Roman" w:eastAsia="Times New Roman" w:hAnsi="Times New Roman" w:cs="Times New Roman"/>
          <w:sz w:val="20"/>
          <w:szCs w:val="20"/>
        </w:rPr>
        <w:t xml:space="preserve"> as well as to provide for public participation in the context of the extension</w:t>
      </w:r>
      <w:r w:rsidR="0076189A" w:rsidRPr="001D767D">
        <w:rPr>
          <w:rFonts w:ascii="Times New Roman" w:eastAsia="Times New Roman" w:hAnsi="Times New Roman" w:cs="Times New Roman"/>
          <w:sz w:val="20"/>
          <w:szCs w:val="20"/>
        </w:rPr>
        <w:t xml:space="preserve"> of the quarry’s duration</w:t>
      </w:r>
      <w:r w:rsidRPr="001D767D">
        <w:rPr>
          <w:rFonts w:ascii="Times New Roman" w:eastAsia="Times New Roman" w:hAnsi="Times New Roman" w:cs="Times New Roman"/>
          <w:sz w:val="20"/>
          <w:szCs w:val="20"/>
        </w:rPr>
        <w:t>.</w:t>
      </w:r>
      <w:r w:rsidRPr="001D767D">
        <w:rPr>
          <w:rFonts w:ascii="Times New Roman" w:eastAsia="Times New Roman" w:hAnsi="Times New Roman" w:cs="Times New Roman"/>
          <w:sz w:val="20"/>
          <w:szCs w:val="20"/>
          <w:vertAlign w:val="superscript"/>
        </w:rPr>
        <w:footnoteReference w:id="51"/>
      </w:r>
    </w:p>
    <w:p w14:paraId="14F6474F" w14:textId="1886AF47" w:rsidR="009D36B0" w:rsidRPr="001D767D" w:rsidRDefault="00FC1568" w:rsidP="00784840">
      <w:pPr>
        <w:numPr>
          <w:ilvl w:val="0"/>
          <w:numId w:val="2"/>
        </w:numPr>
        <w:tabs>
          <w:tab w:val="right" w:pos="993"/>
          <w:tab w:val="left" w:pos="1080"/>
        </w:tabs>
        <w:spacing w:after="120" w:line="240" w:lineRule="atLeast"/>
        <w:ind w:left="540" w:right="-1" w:firstLine="0"/>
        <w:jc w:val="both"/>
        <w:rPr>
          <w:rFonts w:ascii="Times New Roman" w:eastAsia="Times New Roman" w:hAnsi="Times New Roman" w:cs="Times New Roman"/>
          <w:sz w:val="20"/>
          <w:szCs w:val="20"/>
        </w:rPr>
      </w:pPr>
      <w:r w:rsidRPr="001D767D">
        <w:rPr>
          <w:rFonts w:ascii="Times New Roman" w:eastAsia="Times New Roman" w:hAnsi="Times New Roman" w:cs="Times New Roman"/>
          <w:sz w:val="20"/>
          <w:szCs w:val="20"/>
        </w:rPr>
        <w:t>The Party concerned submits that section 42(1)(a)(</w:t>
      </w:r>
      <w:proofErr w:type="spellStart"/>
      <w:r w:rsidRPr="001D767D">
        <w:rPr>
          <w:rFonts w:ascii="Times New Roman" w:eastAsia="Times New Roman" w:hAnsi="Times New Roman" w:cs="Times New Roman"/>
          <w:sz w:val="20"/>
          <w:szCs w:val="20"/>
        </w:rPr>
        <w:t>i</w:t>
      </w:r>
      <w:proofErr w:type="spellEnd"/>
      <w:r w:rsidRPr="001D767D">
        <w:rPr>
          <w:rFonts w:ascii="Times New Roman" w:eastAsia="Times New Roman" w:hAnsi="Times New Roman" w:cs="Times New Roman"/>
          <w:sz w:val="20"/>
          <w:szCs w:val="20"/>
        </w:rPr>
        <w:t xml:space="preserve">) and (ii) </w:t>
      </w:r>
      <w:r w:rsidR="0076189A" w:rsidRPr="001D767D">
        <w:rPr>
          <w:rFonts w:ascii="Times New Roman" w:eastAsia="Times New Roman" w:hAnsi="Times New Roman" w:cs="Times New Roman"/>
          <w:sz w:val="20"/>
          <w:szCs w:val="20"/>
        </w:rPr>
        <w:t xml:space="preserve">of the Planning and Development Act 2000 </w:t>
      </w:r>
      <w:r w:rsidR="003B2103" w:rsidRPr="001D767D">
        <w:rPr>
          <w:rFonts w:ascii="Times New Roman" w:eastAsia="Times New Roman" w:hAnsi="Times New Roman" w:cs="Times New Roman"/>
          <w:sz w:val="20"/>
          <w:szCs w:val="20"/>
        </w:rPr>
        <w:t>is</w:t>
      </w:r>
      <w:r w:rsidR="0076189A" w:rsidRPr="001D767D">
        <w:rPr>
          <w:rFonts w:ascii="Times New Roman" w:eastAsia="Times New Roman" w:hAnsi="Times New Roman" w:cs="Times New Roman"/>
          <w:sz w:val="20"/>
          <w:szCs w:val="20"/>
        </w:rPr>
        <w:t xml:space="preserve"> </w:t>
      </w:r>
      <w:r w:rsidRPr="001D767D">
        <w:rPr>
          <w:rFonts w:ascii="Times New Roman" w:eastAsia="Times New Roman" w:hAnsi="Times New Roman" w:cs="Times New Roman"/>
          <w:sz w:val="20"/>
          <w:szCs w:val="20"/>
        </w:rPr>
        <w:t>to be distinguished from article 6</w:t>
      </w:r>
      <w:r w:rsidR="00D52A17" w:rsidRPr="001D767D">
        <w:rPr>
          <w:rFonts w:ascii="Times New Roman" w:eastAsia="Times New Roman" w:hAnsi="Times New Roman" w:cs="Times New Roman"/>
          <w:sz w:val="20"/>
          <w:szCs w:val="20"/>
        </w:rPr>
        <w:t>(</w:t>
      </w:r>
      <w:r w:rsidRPr="001D767D">
        <w:rPr>
          <w:rFonts w:ascii="Times New Roman" w:eastAsia="Times New Roman" w:hAnsi="Times New Roman" w:cs="Times New Roman"/>
          <w:sz w:val="20"/>
          <w:szCs w:val="20"/>
        </w:rPr>
        <w:t>10</w:t>
      </w:r>
      <w:r w:rsidR="00D52A17" w:rsidRPr="001D767D">
        <w:rPr>
          <w:rFonts w:ascii="Times New Roman" w:eastAsia="Times New Roman" w:hAnsi="Times New Roman" w:cs="Times New Roman"/>
          <w:sz w:val="20"/>
          <w:szCs w:val="20"/>
        </w:rPr>
        <w:t>)</w:t>
      </w:r>
      <w:r w:rsidRPr="001D767D">
        <w:rPr>
          <w:rFonts w:ascii="Times New Roman" w:eastAsia="Times New Roman" w:hAnsi="Times New Roman" w:cs="Times New Roman"/>
          <w:sz w:val="20"/>
          <w:szCs w:val="20"/>
        </w:rPr>
        <w:t xml:space="preserve"> of the Convention as</w:t>
      </w:r>
      <w:r w:rsidR="009D41FC" w:rsidRPr="001D767D">
        <w:rPr>
          <w:rFonts w:ascii="Times New Roman" w:eastAsia="Times New Roman" w:hAnsi="Times New Roman" w:cs="Times New Roman"/>
          <w:sz w:val="20"/>
          <w:szCs w:val="20"/>
        </w:rPr>
        <w:t>,</w:t>
      </w:r>
      <w:r w:rsidRPr="001D767D">
        <w:rPr>
          <w:rFonts w:ascii="Times New Roman" w:eastAsia="Times New Roman" w:hAnsi="Times New Roman" w:cs="Times New Roman"/>
          <w:sz w:val="20"/>
          <w:szCs w:val="20"/>
        </w:rPr>
        <w:t xml:space="preserve"> </w:t>
      </w:r>
      <w:r w:rsidR="003B2103" w:rsidRPr="001D767D">
        <w:rPr>
          <w:rFonts w:ascii="Times New Roman" w:eastAsia="Times New Roman" w:hAnsi="Times New Roman" w:cs="Times New Roman"/>
          <w:sz w:val="20"/>
          <w:szCs w:val="20"/>
        </w:rPr>
        <w:t xml:space="preserve">under the former, </w:t>
      </w:r>
      <w:r w:rsidR="003B2103" w:rsidRPr="001D767D">
        <w:rPr>
          <w:rFonts w:ascii="Times New Roman" w:hAnsi="Times New Roman"/>
          <w:sz w:val="20"/>
        </w:rPr>
        <w:t>the</w:t>
      </w:r>
      <w:r w:rsidRPr="001D767D">
        <w:rPr>
          <w:rFonts w:ascii="Times New Roman" w:hAnsi="Times New Roman"/>
          <w:sz w:val="20"/>
        </w:rPr>
        <w:t xml:space="preserve"> operating conditions</w:t>
      </w:r>
      <w:r w:rsidRPr="001D767D">
        <w:rPr>
          <w:rFonts w:ascii="Times New Roman" w:eastAsia="Times New Roman" w:hAnsi="Times New Roman" w:cs="Times New Roman"/>
          <w:sz w:val="20"/>
          <w:szCs w:val="20"/>
        </w:rPr>
        <w:t xml:space="preserve"> of a permitted development are not being reconsidered or updated. Rather, the permitted development is </w:t>
      </w:r>
      <w:r w:rsidR="00E91733" w:rsidRPr="001D767D">
        <w:rPr>
          <w:rFonts w:ascii="Times New Roman" w:eastAsia="Times New Roman" w:hAnsi="Times New Roman" w:cs="Times New Roman"/>
          <w:sz w:val="20"/>
          <w:szCs w:val="20"/>
        </w:rPr>
        <w:t>only</w:t>
      </w:r>
      <w:r w:rsidRPr="001D767D">
        <w:rPr>
          <w:rFonts w:ascii="Times New Roman" w:eastAsia="Times New Roman" w:hAnsi="Times New Roman" w:cs="Times New Roman"/>
          <w:sz w:val="20"/>
          <w:szCs w:val="20"/>
        </w:rPr>
        <w:t xml:space="preserve"> being given so much additional time as is deemed necessary and reasonable to complete the permitted development within the parameters of permitted development and environmental impact and mitigation established in the original substantive planning consultation and consent stage.</w:t>
      </w:r>
      <w:r w:rsidRPr="001D767D">
        <w:rPr>
          <w:rFonts w:ascii="Times New Roman" w:hAnsi="Times New Roman" w:cs="Times New Roman"/>
          <w:sz w:val="20"/>
          <w:szCs w:val="20"/>
          <w:vertAlign w:val="superscript"/>
        </w:rPr>
        <w:footnoteReference w:id="52"/>
      </w:r>
      <w:r w:rsidRPr="001D767D">
        <w:rPr>
          <w:rFonts w:ascii="Times New Roman" w:eastAsia="Times New Roman" w:hAnsi="Times New Roman" w:cs="Times New Roman"/>
          <w:sz w:val="20"/>
          <w:szCs w:val="20"/>
        </w:rPr>
        <w:t xml:space="preserve"> This additional period to be added is not open-ended as it must be specified as a single period not exceeding 5 years and shall relate to a period which is considered necessary to</w:t>
      </w:r>
      <w:r w:rsidR="009D41FC" w:rsidRPr="001D767D">
        <w:rPr>
          <w:rFonts w:ascii="Times New Roman" w:eastAsia="Times New Roman" w:hAnsi="Times New Roman" w:cs="Times New Roman"/>
          <w:sz w:val="20"/>
          <w:szCs w:val="20"/>
        </w:rPr>
        <w:t xml:space="preserve"> complete</w:t>
      </w:r>
      <w:r w:rsidRPr="001D767D">
        <w:rPr>
          <w:rFonts w:ascii="Times New Roman" w:eastAsia="Times New Roman" w:hAnsi="Times New Roman" w:cs="Times New Roman"/>
          <w:sz w:val="20"/>
          <w:szCs w:val="20"/>
        </w:rPr>
        <w:t xml:space="preserve"> the permitted development.</w:t>
      </w:r>
      <w:r w:rsidRPr="001D767D">
        <w:rPr>
          <w:rFonts w:ascii="Times New Roman" w:hAnsi="Times New Roman" w:cs="Times New Roman"/>
          <w:sz w:val="20"/>
          <w:szCs w:val="20"/>
          <w:vertAlign w:val="superscript"/>
        </w:rPr>
        <w:footnoteReference w:id="53"/>
      </w:r>
      <w:r w:rsidRPr="001D767D">
        <w:rPr>
          <w:rFonts w:ascii="Times New Roman" w:eastAsia="Times New Roman" w:hAnsi="Times New Roman" w:cs="Times New Roman"/>
          <w:sz w:val="20"/>
          <w:szCs w:val="20"/>
        </w:rPr>
        <w:t xml:space="preserve"> The extension may furthermore only be applied once, except in certain circumstances as set out in section 42(7) of the Planning and Development Act</w:t>
      </w:r>
      <w:r w:rsidR="009D41FC" w:rsidRPr="001D767D">
        <w:rPr>
          <w:rFonts w:ascii="Times New Roman" w:eastAsia="Times New Roman" w:hAnsi="Times New Roman" w:cs="Times New Roman"/>
          <w:sz w:val="20"/>
          <w:szCs w:val="20"/>
        </w:rPr>
        <w:t xml:space="preserve"> 2000</w:t>
      </w:r>
      <w:r w:rsidRPr="001D767D">
        <w:rPr>
          <w:rFonts w:ascii="Times New Roman" w:eastAsia="Times New Roman" w:hAnsi="Times New Roman" w:cs="Times New Roman"/>
          <w:sz w:val="20"/>
          <w:szCs w:val="20"/>
        </w:rPr>
        <w:t>.</w:t>
      </w:r>
      <w:r w:rsidRPr="001D767D">
        <w:rPr>
          <w:rFonts w:ascii="Times New Roman" w:hAnsi="Times New Roman" w:cs="Times New Roman"/>
          <w:sz w:val="20"/>
          <w:szCs w:val="20"/>
          <w:vertAlign w:val="superscript"/>
        </w:rPr>
        <w:footnoteReference w:id="54"/>
      </w:r>
    </w:p>
    <w:p w14:paraId="471A5134" w14:textId="722C70D3" w:rsidR="00A87136" w:rsidRPr="001D767D" w:rsidRDefault="00FC1568" w:rsidP="008861F9">
      <w:pPr>
        <w:numPr>
          <w:ilvl w:val="0"/>
          <w:numId w:val="2"/>
        </w:numPr>
        <w:tabs>
          <w:tab w:val="right" w:pos="993"/>
          <w:tab w:val="left" w:pos="1080"/>
        </w:tabs>
        <w:spacing w:after="120" w:line="240" w:lineRule="atLeast"/>
        <w:ind w:left="540" w:right="-1" w:firstLine="0"/>
        <w:jc w:val="both"/>
        <w:rPr>
          <w:rFonts w:ascii="Times New Roman" w:eastAsia="Times New Roman" w:hAnsi="Times New Roman" w:cs="Times New Roman"/>
          <w:sz w:val="20"/>
          <w:szCs w:val="20"/>
        </w:rPr>
      </w:pPr>
      <w:r w:rsidRPr="001D767D">
        <w:rPr>
          <w:rFonts w:ascii="Times New Roman" w:eastAsia="Times New Roman" w:hAnsi="Times New Roman" w:cs="Times New Roman"/>
          <w:sz w:val="20"/>
          <w:szCs w:val="20"/>
        </w:rPr>
        <w:t xml:space="preserve">The Party concerned submits that </w:t>
      </w:r>
      <w:r w:rsidR="0076189A" w:rsidRPr="001D767D">
        <w:rPr>
          <w:rFonts w:ascii="Times New Roman" w:eastAsia="Times New Roman" w:hAnsi="Times New Roman" w:cs="Times New Roman"/>
          <w:sz w:val="20"/>
          <w:szCs w:val="20"/>
        </w:rPr>
        <w:t xml:space="preserve">under section 42(1)(a) </w:t>
      </w:r>
      <w:r w:rsidRPr="001D767D">
        <w:rPr>
          <w:rFonts w:ascii="Times New Roman" w:eastAsia="Times New Roman" w:hAnsi="Times New Roman" w:cs="Times New Roman"/>
          <w:sz w:val="20"/>
          <w:szCs w:val="20"/>
        </w:rPr>
        <w:t xml:space="preserve">the planning authority (in this case, </w:t>
      </w:r>
      <w:r w:rsidR="00D52A17" w:rsidRPr="001D767D">
        <w:rPr>
          <w:rFonts w:ascii="Times New Roman" w:eastAsia="Times New Roman" w:hAnsi="Times New Roman" w:cs="Times New Roman"/>
          <w:sz w:val="20"/>
          <w:szCs w:val="20"/>
        </w:rPr>
        <w:t xml:space="preserve">Meath County </w:t>
      </w:r>
      <w:r w:rsidRPr="001D767D">
        <w:rPr>
          <w:rFonts w:ascii="Times New Roman" w:eastAsia="Times New Roman" w:hAnsi="Times New Roman" w:cs="Times New Roman"/>
          <w:sz w:val="20"/>
          <w:szCs w:val="20"/>
        </w:rPr>
        <w:t>Council) does not take a substantive decision with a significant effect on the environment but is bound to grant a five year extension if the requirements therein have been fulfilled</w:t>
      </w:r>
      <w:r w:rsidRPr="001D767D">
        <w:rPr>
          <w:rFonts w:ascii="Times New Roman" w:hAnsi="Times New Roman" w:cs="Times New Roman"/>
          <w:sz w:val="20"/>
          <w:szCs w:val="20"/>
          <w:vertAlign w:val="superscript"/>
        </w:rPr>
        <w:footnoteReference w:id="55"/>
      </w:r>
      <w:r w:rsidRPr="001D767D">
        <w:rPr>
          <w:rFonts w:ascii="Times New Roman" w:eastAsia="Times New Roman" w:hAnsi="Times New Roman" w:cs="Times New Roman"/>
          <w:sz w:val="20"/>
          <w:szCs w:val="20"/>
        </w:rPr>
        <w:t xml:space="preserve"> No conditions may be attached </w:t>
      </w:r>
      <w:r w:rsidR="009D41FC" w:rsidRPr="001D767D">
        <w:rPr>
          <w:rFonts w:ascii="Times New Roman" w:eastAsia="Times New Roman" w:hAnsi="Times New Roman" w:cs="Times New Roman"/>
          <w:sz w:val="20"/>
          <w:szCs w:val="20"/>
        </w:rPr>
        <w:t xml:space="preserve">to </w:t>
      </w:r>
      <w:r w:rsidR="00CA3343" w:rsidRPr="001D767D">
        <w:rPr>
          <w:rFonts w:ascii="Times New Roman" w:eastAsia="Times New Roman" w:hAnsi="Times New Roman" w:cs="Times New Roman"/>
          <w:sz w:val="20"/>
          <w:szCs w:val="20"/>
        </w:rPr>
        <w:t>the extension</w:t>
      </w:r>
      <w:r w:rsidR="009D41FC" w:rsidRPr="001D767D">
        <w:rPr>
          <w:rFonts w:ascii="Times New Roman" w:eastAsia="Times New Roman" w:hAnsi="Times New Roman" w:cs="Times New Roman"/>
          <w:sz w:val="20"/>
          <w:szCs w:val="20"/>
        </w:rPr>
        <w:t xml:space="preserve"> </w:t>
      </w:r>
      <w:r w:rsidRPr="001D767D">
        <w:rPr>
          <w:rFonts w:ascii="Times New Roman" w:eastAsia="Times New Roman" w:hAnsi="Times New Roman" w:cs="Times New Roman"/>
          <w:sz w:val="20"/>
          <w:szCs w:val="20"/>
        </w:rPr>
        <w:t xml:space="preserve">and no </w:t>
      </w:r>
      <w:r w:rsidR="00551615" w:rsidRPr="001D767D">
        <w:rPr>
          <w:rFonts w:ascii="Times New Roman" w:eastAsia="Times New Roman" w:hAnsi="Times New Roman" w:cs="Times New Roman"/>
          <w:sz w:val="20"/>
          <w:szCs w:val="20"/>
        </w:rPr>
        <w:t>environmental impact assessment</w:t>
      </w:r>
      <w:r w:rsidRPr="001D767D">
        <w:rPr>
          <w:rFonts w:ascii="Times New Roman" w:eastAsia="Times New Roman" w:hAnsi="Times New Roman" w:cs="Times New Roman"/>
          <w:sz w:val="20"/>
          <w:szCs w:val="20"/>
        </w:rPr>
        <w:t xml:space="preserve"> is carried out in this context. It submits</w:t>
      </w:r>
      <w:r w:rsidR="00D40BD1" w:rsidRPr="001D767D">
        <w:rPr>
          <w:rFonts w:ascii="Times New Roman" w:eastAsia="Times New Roman" w:hAnsi="Times New Roman" w:cs="Times New Roman"/>
          <w:sz w:val="20"/>
          <w:szCs w:val="20"/>
        </w:rPr>
        <w:t xml:space="preserve"> that</w:t>
      </w:r>
      <w:r w:rsidRPr="001D767D">
        <w:rPr>
          <w:rFonts w:ascii="Times New Roman" w:eastAsia="Times New Roman" w:hAnsi="Times New Roman" w:cs="Times New Roman"/>
          <w:sz w:val="20"/>
          <w:szCs w:val="20"/>
        </w:rPr>
        <w:t xml:space="preserve"> </w:t>
      </w:r>
      <w:r w:rsidR="00B1747B" w:rsidRPr="001D767D">
        <w:rPr>
          <w:rFonts w:ascii="Times New Roman" w:eastAsia="Times New Roman" w:hAnsi="Times New Roman" w:cs="Times New Roman"/>
          <w:sz w:val="20"/>
          <w:szCs w:val="20"/>
        </w:rPr>
        <w:t xml:space="preserve">since </w:t>
      </w:r>
      <w:r w:rsidRPr="001D767D">
        <w:rPr>
          <w:rFonts w:ascii="Times New Roman" w:eastAsia="Times New Roman" w:hAnsi="Times New Roman" w:cs="Times New Roman"/>
          <w:sz w:val="20"/>
          <w:szCs w:val="20"/>
        </w:rPr>
        <w:t xml:space="preserve">the parameters of the permitted development and the environmental impact </w:t>
      </w:r>
      <w:r w:rsidR="009F53A3" w:rsidRPr="001D767D">
        <w:rPr>
          <w:rFonts w:ascii="Times New Roman" w:eastAsia="Times New Roman" w:hAnsi="Times New Roman" w:cs="Times New Roman"/>
          <w:sz w:val="20"/>
          <w:szCs w:val="20"/>
        </w:rPr>
        <w:t xml:space="preserve">are </w:t>
      </w:r>
      <w:r w:rsidRPr="001D767D">
        <w:rPr>
          <w:rFonts w:ascii="Times New Roman" w:eastAsia="Times New Roman" w:hAnsi="Times New Roman" w:cs="Times New Roman"/>
          <w:sz w:val="20"/>
          <w:szCs w:val="20"/>
        </w:rPr>
        <w:t xml:space="preserve">established </w:t>
      </w:r>
      <w:r w:rsidR="00CA3343" w:rsidRPr="001D767D">
        <w:rPr>
          <w:rFonts w:ascii="Times New Roman" w:eastAsia="Times New Roman" w:hAnsi="Times New Roman" w:cs="Times New Roman"/>
          <w:sz w:val="20"/>
          <w:szCs w:val="20"/>
        </w:rPr>
        <w:t xml:space="preserve">at </w:t>
      </w:r>
      <w:r w:rsidRPr="001D767D">
        <w:rPr>
          <w:rFonts w:ascii="Times New Roman" w:eastAsia="Times New Roman" w:hAnsi="Times New Roman" w:cs="Times New Roman"/>
          <w:sz w:val="20"/>
          <w:szCs w:val="20"/>
        </w:rPr>
        <w:t xml:space="preserve">the </w:t>
      </w:r>
      <w:r w:rsidR="00CA3343" w:rsidRPr="001D767D">
        <w:rPr>
          <w:rFonts w:ascii="Times New Roman" w:eastAsia="Times New Roman" w:hAnsi="Times New Roman" w:cs="Times New Roman"/>
          <w:sz w:val="20"/>
          <w:szCs w:val="20"/>
        </w:rPr>
        <w:t xml:space="preserve">stage of the </w:t>
      </w:r>
      <w:r w:rsidRPr="001D767D">
        <w:rPr>
          <w:rFonts w:ascii="Times New Roman" w:eastAsia="Times New Roman" w:hAnsi="Times New Roman" w:cs="Times New Roman"/>
          <w:sz w:val="20"/>
          <w:szCs w:val="20"/>
        </w:rPr>
        <w:t>original pl</w:t>
      </w:r>
      <w:r w:rsidR="006F3CFD" w:rsidRPr="001D767D">
        <w:rPr>
          <w:rFonts w:ascii="Times New Roman" w:eastAsia="Times New Roman" w:hAnsi="Times New Roman" w:cs="Times New Roman"/>
          <w:sz w:val="20"/>
          <w:szCs w:val="20"/>
        </w:rPr>
        <w:t>anning consultation and consent</w:t>
      </w:r>
      <w:r w:rsidR="00C23B71" w:rsidRPr="001D767D">
        <w:rPr>
          <w:rFonts w:ascii="Times New Roman" w:eastAsia="Times New Roman" w:hAnsi="Times New Roman" w:cs="Times New Roman"/>
          <w:sz w:val="20"/>
          <w:szCs w:val="20"/>
        </w:rPr>
        <w:t>,</w:t>
      </w:r>
      <w:r w:rsidRPr="001D767D">
        <w:rPr>
          <w:rFonts w:ascii="Times New Roman" w:eastAsia="Times New Roman" w:hAnsi="Times New Roman" w:cs="Times New Roman"/>
          <w:sz w:val="20"/>
          <w:szCs w:val="20"/>
        </w:rPr>
        <w:t xml:space="preserve"> there is</w:t>
      </w:r>
      <w:r w:rsidR="00B1747B" w:rsidRPr="001D767D">
        <w:rPr>
          <w:rFonts w:ascii="Times New Roman" w:eastAsia="Times New Roman" w:hAnsi="Times New Roman" w:cs="Times New Roman"/>
          <w:sz w:val="20"/>
          <w:szCs w:val="20"/>
        </w:rPr>
        <w:t xml:space="preserve"> therefore</w:t>
      </w:r>
      <w:r w:rsidRPr="001D767D">
        <w:rPr>
          <w:rFonts w:ascii="Times New Roman" w:eastAsia="Times New Roman" w:hAnsi="Times New Roman" w:cs="Times New Roman"/>
          <w:sz w:val="20"/>
          <w:szCs w:val="20"/>
        </w:rPr>
        <w:t xml:space="preserve"> no need for further public participation.</w:t>
      </w:r>
      <w:r w:rsidRPr="001D767D">
        <w:rPr>
          <w:rFonts w:ascii="Times New Roman" w:eastAsia="Times New Roman" w:hAnsi="Times New Roman" w:cs="Times New Roman"/>
          <w:sz w:val="20"/>
          <w:szCs w:val="20"/>
          <w:vertAlign w:val="superscript"/>
        </w:rPr>
        <w:footnoteReference w:id="56"/>
      </w:r>
      <w:r w:rsidRPr="001D767D">
        <w:rPr>
          <w:rFonts w:ascii="Times New Roman" w:eastAsia="Times New Roman" w:hAnsi="Times New Roman" w:cs="Times New Roman"/>
          <w:sz w:val="20"/>
          <w:szCs w:val="20"/>
        </w:rPr>
        <w:t xml:space="preserve"> It </w:t>
      </w:r>
      <w:r w:rsidR="00B1747B" w:rsidRPr="001D767D">
        <w:rPr>
          <w:rFonts w:ascii="Times New Roman" w:eastAsia="Times New Roman" w:hAnsi="Times New Roman" w:cs="Times New Roman"/>
          <w:sz w:val="20"/>
          <w:szCs w:val="20"/>
        </w:rPr>
        <w:t xml:space="preserve">states </w:t>
      </w:r>
      <w:r w:rsidRPr="001D767D">
        <w:rPr>
          <w:rFonts w:ascii="Times New Roman" w:eastAsia="Times New Roman" w:hAnsi="Times New Roman" w:cs="Times New Roman"/>
          <w:sz w:val="20"/>
          <w:szCs w:val="20"/>
        </w:rPr>
        <w:t>that</w:t>
      </w:r>
      <w:r w:rsidR="003F19C9" w:rsidRPr="001D767D">
        <w:rPr>
          <w:rFonts w:ascii="Times New Roman" w:eastAsia="Times New Roman" w:hAnsi="Times New Roman" w:cs="Times New Roman"/>
          <w:sz w:val="20"/>
          <w:szCs w:val="20"/>
        </w:rPr>
        <w:t>, under the Planning and Development Act 2000,</w:t>
      </w:r>
      <w:r w:rsidRPr="001D767D">
        <w:rPr>
          <w:rFonts w:ascii="Times New Roman" w:eastAsia="Times New Roman" w:hAnsi="Times New Roman" w:cs="Times New Roman"/>
          <w:sz w:val="20"/>
          <w:szCs w:val="20"/>
        </w:rPr>
        <w:t xml:space="preserve"> the original </w:t>
      </w:r>
      <w:r w:rsidR="00CA3343" w:rsidRPr="001D767D">
        <w:rPr>
          <w:rFonts w:ascii="Times New Roman" w:hAnsi="Times New Roman"/>
          <w:sz w:val="20"/>
        </w:rPr>
        <w:t xml:space="preserve">permit </w:t>
      </w:r>
      <w:r w:rsidRPr="001D767D">
        <w:rPr>
          <w:rFonts w:ascii="Times New Roman" w:eastAsia="Times New Roman" w:hAnsi="Times New Roman" w:cs="Times New Roman"/>
          <w:sz w:val="20"/>
          <w:szCs w:val="20"/>
        </w:rPr>
        <w:t xml:space="preserve">thus carries with it an automatic right and entitlement to an extension </w:t>
      </w:r>
      <w:r w:rsidR="009D41FC" w:rsidRPr="001D767D">
        <w:rPr>
          <w:rFonts w:ascii="Times New Roman" w:eastAsia="Times New Roman" w:hAnsi="Times New Roman" w:cs="Times New Roman"/>
          <w:sz w:val="20"/>
          <w:szCs w:val="20"/>
        </w:rPr>
        <w:t>for</w:t>
      </w:r>
      <w:r w:rsidRPr="001D767D">
        <w:rPr>
          <w:rFonts w:ascii="Times New Roman" w:eastAsia="Times New Roman" w:hAnsi="Times New Roman" w:cs="Times New Roman"/>
          <w:sz w:val="20"/>
          <w:szCs w:val="20"/>
        </w:rPr>
        <w:t xml:space="preserve"> a further </w:t>
      </w:r>
      <w:r w:rsidR="009D41FC" w:rsidRPr="001D767D">
        <w:rPr>
          <w:rFonts w:ascii="Times New Roman" w:eastAsia="Times New Roman" w:hAnsi="Times New Roman" w:cs="Times New Roman"/>
          <w:sz w:val="20"/>
          <w:szCs w:val="20"/>
        </w:rPr>
        <w:t xml:space="preserve">period of </w:t>
      </w:r>
      <w:r w:rsidRPr="001D767D">
        <w:rPr>
          <w:rFonts w:ascii="Times New Roman" w:eastAsia="Times New Roman" w:hAnsi="Times New Roman" w:cs="Times New Roman"/>
          <w:sz w:val="20"/>
          <w:szCs w:val="20"/>
        </w:rPr>
        <w:t>five years provided certain specified requirements are met.</w:t>
      </w:r>
      <w:r w:rsidRPr="001D767D">
        <w:rPr>
          <w:rFonts w:ascii="Times New Roman" w:hAnsi="Times New Roman" w:cs="Times New Roman"/>
          <w:sz w:val="20"/>
          <w:szCs w:val="20"/>
          <w:vertAlign w:val="superscript"/>
        </w:rPr>
        <w:footnoteReference w:id="57"/>
      </w:r>
      <w:r w:rsidRPr="001D767D">
        <w:rPr>
          <w:rFonts w:ascii="Times New Roman" w:eastAsia="Times New Roman" w:hAnsi="Times New Roman" w:cs="Times New Roman"/>
          <w:sz w:val="20"/>
          <w:szCs w:val="20"/>
        </w:rPr>
        <w:t xml:space="preserve"> The planning authority may only attach additional conditions requiring the giving of adequate security for the satisfactory completion of the proposed development.</w:t>
      </w:r>
      <w:r w:rsidRPr="001D767D">
        <w:rPr>
          <w:rFonts w:ascii="Times New Roman" w:hAnsi="Times New Roman" w:cs="Times New Roman"/>
          <w:sz w:val="20"/>
          <w:szCs w:val="20"/>
          <w:vertAlign w:val="superscript"/>
        </w:rPr>
        <w:footnoteReference w:id="58"/>
      </w:r>
    </w:p>
    <w:p w14:paraId="489A6D52" w14:textId="08509808" w:rsidR="001D767D" w:rsidRDefault="001D767D" w:rsidP="003B1027">
      <w:pPr>
        <w:tabs>
          <w:tab w:val="right" w:pos="993"/>
          <w:tab w:val="left" w:pos="1080"/>
        </w:tabs>
        <w:spacing w:after="120" w:line="240" w:lineRule="atLeast"/>
        <w:ind w:left="540" w:right="-1"/>
        <w:jc w:val="both"/>
        <w:rPr>
          <w:rFonts w:ascii="Times New Roman" w:eastAsia="Times New Roman" w:hAnsi="Times New Roman" w:cs="Times New Roman"/>
          <w:b/>
          <w:sz w:val="20"/>
          <w:szCs w:val="20"/>
        </w:rPr>
      </w:pPr>
    </w:p>
    <w:p w14:paraId="16E512D9" w14:textId="77777777" w:rsidR="001D767D" w:rsidRDefault="001D767D" w:rsidP="003B1027">
      <w:pPr>
        <w:tabs>
          <w:tab w:val="right" w:pos="993"/>
          <w:tab w:val="left" w:pos="1080"/>
        </w:tabs>
        <w:spacing w:after="120" w:line="240" w:lineRule="atLeast"/>
        <w:ind w:left="540" w:right="-1"/>
        <w:jc w:val="both"/>
        <w:rPr>
          <w:rFonts w:ascii="Times New Roman" w:eastAsia="Times New Roman" w:hAnsi="Times New Roman" w:cs="Times New Roman"/>
          <w:b/>
          <w:sz w:val="20"/>
          <w:szCs w:val="20"/>
        </w:rPr>
      </w:pPr>
    </w:p>
    <w:p w14:paraId="57AA17DF" w14:textId="159D24D3" w:rsidR="009D36B0" w:rsidRPr="001D767D" w:rsidRDefault="00DE2549" w:rsidP="003B1027">
      <w:pPr>
        <w:tabs>
          <w:tab w:val="right" w:pos="993"/>
          <w:tab w:val="left" w:pos="1080"/>
        </w:tabs>
        <w:spacing w:after="120" w:line="240" w:lineRule="atLeast"/>
        <w:ind w:left="540" w:right="-1"/>
        <w:jc w:val="both"/>
        <w:rPr>
          <w:rFonts w:ascii="Times New Roman" w:eastAsia="Times New Roman" w:hAnsi="Times New Roman" w:cs="Times New Roman"/>
          <w:b/>
          <w:sz w:val="20"/>
          <w:szCs w:val="20"/>
        </w:rPr>
      </w:pPr>
      <w:r w:rsidRPr="001D767D">
        <w:rPr>
          <w:rFonts w:ascii="Times New Roman" w:eastAsia="Times New Roman" w:hAnsi="Times New Roman" w:cs="Times New Roman"/>
          <w:b/>
          <w:sz w:val="20"/>
          <w:szCs w:val="20"/>
        </w:rPr>
        <w:lastRenderedPageBreak/>
        <w:t xml:space="preserve">Compliance with </w:t>
      </w:r>
      <w:r w:rsidR="009D36B0" w:rsidRPr="001D767D">
        <w:rPr>
          <w:rFonts w:ascii="Times New Roman" w:eastAsia="Times New Roman" w:hAnsi="Times New Roman" w:cs="Times New Roman"/>
          <w:b/>
          <w:sz w:val="20"/>
          <w:szCs w:val="20"/>
        </w:rPr>
        <w:t>article 6 of the Convention</w:t>
      </w:r>
    </w:p>
    <w:p w14:paraId="3362BA00" w14:textId="2DF136F4" w:rsidR="00FC1568" w:rsidRPr="001D767D" w:rsidRDefault="009A71A5" w:rsidP="009A71A5">
      <w:pPr>
        <w:numPr>
          <w:ilvl w:val="0"/>
          <w:numId w:val="2"/>
        </w:numPr>
        <w:tabs>
          <w:tab w:val="right" w:pos="993"/>
          <w:tab w:val="left" w:pos="1080"/>
        </w:tabs>
        <w:spacing w:after="120" w:line="240" w:lineRule="atLeast"/>
        <w:ind w:left="540" w:right="-1" w:firstLine="0"/>
        <w:jc w:val="both"/>
        <w:rPr>
          <w:rFonts w:ascii="Times New Roman" w:eastAsia="Times New Roman" w:hAnsi="Times New Roman" w:cs="Times New Roman"/>
          <w:sz w:val="20"/>
          <w:szCs w:val="20"/>
        </w:rPr>
      </w:pPr>
      <w:r w:rsidRPr="001D767D">
        <w:rPr>
          <w:rFonts w:ascii="Times New Roman" w:eastAsia="Times New Roman" w:hAnsi="Times New Roman" w:cs="Times New Roman"/>
          <w:sz w:val="20"/>
          <w:szCs w:val="20"/>
        </w:rPr>
        <w:t xml:space="preserve">The communicant alleges a complete absence of public notice and participation prior to the decision of Meath County Council to grant the 2013 permit extensions. </w:t>
      </w:r>
      <w:r w:rsidR="00FC1568" w:rsidRPr="001D767D">
        <w:rPr>
          <w:rFonts w:ascii="Times New Roman" w:eastAsia="Times New Roman" w:hAnsi="Times New Roman" w:cs="Times New Roman"/>
          <w:sz w:val="20"/>
          <w:szCs w:val="20"/>
        </w:rPr>
        <w:t xml:space="preserve">The communicant asserts that </w:t>
      </w:r>
      <w:r w:rsidR="008C2E66" w:rsidRPr="001D767D">
        <w:rPr>
          <w:rFonts w:ascii="Times New Roman" w:eastAsia="Times New Roman" w:hAnsi="Times New Roman" w:cs="Times New Roman"/>
          <w:sz w:val="20"/>
          <w:szCs w:val="20"/>
        </w:rPr>
        <w:t xml:space="preserve">he and the local community were aware that </w:t>
      </w:r>
      <w:r w:rsidR="008861F9" w:rsidRPr="001D767D">
        <w:rPr>
          <w:rFonts w:ascii="Times New Roman" w:eastAsia="Times New Roman" w:hAnsi="Times New Roman" w:cs="Times New Roman"/>
          <w:sz w:val="20"/>
          <w:szCs w:val="20"/>
        </w:rPr>
        <w:t>the permits for</w:t>
      </w:r>
      <w:r w:rsidR="00FC1568" w:rsidRPr="001D767D">
        <w:rPr>
          <w:rFonts w:ascii="Times New Roman" w:eastAsia="Times New Roman" w:hAnsi="Times New Roman" w:cs="Times New Roman"/>
          <w:sz w:val="20"/>
          <w:szCs w:val="20"/>
        </w:rPr>
        <w:t xml:space="preserve"> the </w:t>
      </w:r>
      <w:proofErr w:type="spellStart"/>
      <w:r w:rsidR="008C2E66" w:rsidRPr="001D767D">
        <w:rPr>
          <w:rFonts w:ascii="Times New Roman" w:eastAsia="Times New Roman" w:hAnsi="Times New Roman" w:cs="Times New Roman"/>
          <w:sz w:val="20"/>
          <w:szCs w:val="20"/>
        </w:rPr>
        <w:t>Trammon</w:t>
      </w:r>
      <w:proofErr w:type="spellEnd"/>
      <w:r w:rsidR="008C2E66" w:rsidRPr="001D767D">
        <w:rPr>
          <w:rFonts w:ascii="Times New Roman" w:eastAsia="Times New Roman" w:hAnsi="Times New Roman" w:cs="Times New Roman"/>
          <w:sz w:val="20"/>
          <w:szCs w:val="20"/>
        </w:rPr>
        <w:t xml:space="preserve"> </w:t>
      </w:r>
      <w:r w:rsidR="00FC1568" w:rsidRPr="001D767D">
        <w:rPr>
          <w:rFonts w:ascii="Times New Roman" w:eastAsia="Times New Roman" w:hAnsi="Times New Roman" w:cs="Times New Roman"/>
          <w:sz w:val="20"/>
          <w:szCs w:val="20"/>
        </w:rPr>
        <w:t xml:space="preserve">quarry </w:t>
      </w:r>
      <w:r w:rsidR="008861F9" w:rsidRPr="001D767D">
        <w:rPr>
          <w:rFonts w:ascii="Times New Roman" w:eastAsia="Times New Roman" w:hAnsi="Times New Roman" w:cs="Times New Roman"/>
          <w:sz w:val="20"/>
          <w:szCs w:val="20"/>
        </w:rPr>
        <w:t xml:space="preserve">were </w:t>
      </w:r>
      <w:r w:rsidR="00FC1568" w:rsidRPr="001D767D">
        <w:rPr>
          <w:rFonts w:ascii="Times New Roman" w:eastAsia="Times New Roman" w:hAnsi="Times New Roman" w:cs="Times New Roman"/>
          <w:sz w:val="20"/>
          <w:szCs w:val="20"/>
        </w:rPr>
        <w:t>set to expire in August 2013 and that</w:t>
      </w:r>
      <w:r w:rsidR="008C2E66" w:rsidRPr="001D767D">
        <w:rPr>
          <w:rFonts w:ascii="Times New Roman" w:eastAsia="Times New Roman" w:hAnsi="Times New Roman" w:cs="Times New Roman"/>
          <w:sz w:val="20"/>
          <w:szCs w:val="20"/>
        </w:rPr>
        <w:t xml:space="preserve">, because of the developer’s extensive noncompliance with its </w:t>
      </w:r>
      <w:r w:rsidR="008861F9" w:rsidRPr="001D767D">
        <w:rPr>
          <w:rFonts w:ascii="Times New Roman" w:eastAsia="Times New Roman" w:hAnsi="Times New Roman" w:cs="Times New Roman"/>
          <w:sz w:val="20"/>
          <w:szCs w:val="20"/>
        </w:rPr>
        <w:t>permit</w:t>
      </w:r>
      <w:r w:rsidR="008C2E66" w:rsidRPr="001D767D">
        <w:rPr>
          <w:rFonts w:ascii="Times New Roman" w:eastAsia="Times New Roman" w:hAnsi="Times New Roman" w:cs="Times New Roman"/>
          <w:sz w:val="20"/>
          <w:szCs w:val="20"/>
        </w:rPr>
        <w:t xml:space="preserve"> conditions,</w:t>
      </w:r>
      <w:r w:rsidR="00FC1568" w:rsidRPr="001D767D">
        <w:rPr>
          <w:rFonts w:ascii="Times New Roman" w:eastAsia="Times New Roman" w:hAnsi="Times New Roman" w:cs="Times New Roman"/>
          <w:sz w:val="20"/>
          <w:szCs w:val="20"/>
        </w:rPr>
        <w:t xml:space="preserve"> the local community </w:t>
      </w:r>
      <w:r w:rsidR="008C2E66" w:rsidRPr="001D767D">
        <w:rPr>
          <w:rFonts w:ascii="Times New Roman" w:eastAsia="Times New Roman" w:hAnsi="Times New Roman" w:cs="Times New Roman"/>
          <w:sz w:val="20"/>
          <w:szCs w:val="20"/>
        </w:rPr>
        <w:t>w</w:t>
      </w:r>
      <w:r w:rsidR="007C0508" w:rsidRPr="001D767D">
        <w:rPr>
          <w:rFonts w:ascii="Times New Roman" w:eastAsia="Times New Roman" w:hAnsi="Times New Roman" w:cs="Times New Roman"/>
          <w:sz w:val="20"/>
          <w:szCs w:val="20"/>
        </w:rPr>
        <w:t>as</w:t>
      </w:r>
      <w:r w:rsidR="008C2E66" w:rsidRPr="001D767D">
        <w:rPr>
          <w:rFonts w:ascii="Times New Roman" w:eastAsia="Times New Roman" w:hAnsi="Times New Roman" w:cs="Times New Roman"/>
          <w:sz w:val="20"/>
          <w:szCs w:val="20"/>
        </w:rPr>
        <w:t xml:space="preserve"> anxious to address these issues in any application to </w:t>
      </w:r>
      <w:r w:rsidR="00C23B71" w:rsidRPr="001D767D">
        <w:rPr>
          <w:rFonts w:ascii="Times New Roman" w:eastAsia="Times New Roman" w:hAnsi="Times New Roman" w:cs="Times New Roman"/>
          <w:sz w:val="20"/>
          <w:szCs w:val="20"/>
        </w:rPr>
        <w:t>extend</w:t>
      </w:r>
      <w:r w:rsidR="008C2E66" w:rsidRPr="001D767D">
        <w:rPr>
          <w:rFonts w:ascii="Times New Roman" w:eastAsia="Times New Roman" w:hAnsi="Times New Roman" w:cs="Times New Roman"/>
          <w:sz w:val="20"/>
          <w:szCs w:val="20"/>
        </w:rPr>
        <w:t xml:space="preserve"> the activities of the quarry. </w:t>
      </w:r>
      <w:r w:rsidRPr="001D767D">
        <w:rPr>
          <w:rFonts w:ascii="Times New Roman" w:eastAsia="Times New Roman" w:hAnsi="Times New Roman" w:cs="Times New Roman"/>
          <w:sz w:val="20"/>
          <w:szCs w:val="20"/>
        </w:rPr>
        <w:t xml:space="preserve">Prior to the permits’ expiry </w:t>
      </w:r>
      <w:proofErr w:type="gramStart"/>
      <w:r w:rsidRPr="001D767D">
        <w:rPr>
          <w:rFonts w:ascii="Times New Roman" w:eastAsia="Times New Roman" w:hAnsi="Times New Roman" w:cs="Times New Roman"/>
          <w:sz w:val="20"/>
          <w:szCs w:val="20"/>
        </w:rPr>
        <w:t>date</w:t>
      </w:r>
      <w:proofErr w:type="gramEnd"/>
      <w:r w:rsidRPr="001D767D">
        <w:rPr>
          <w:rFonts w:ascii="Times New Roman" w:eastAsia="Times New Roman" w:hAnsi="Times New Roman" w:cs="Times New Roman"/>
          <w:sz w:val="20"/>
          <w:szCs w:val="20"/>
        </w:rPr>
        <w:t xml:space="preserve"> t</w:t>
      </w:r>
      <w:r w:rsidR="008C2E66" w:rsidRPr="001D767D">
        <w:rPr>
          <w:rFonts w:ascii="Times New Roman" w:eastAsia="Times New Roman" w:hAnsi="Times New Roman" w:cs="Times New Roman"/>
          <w:sz w:val="20"/>
          <w:szCs w:val="20"/>
        </w:rPr>
        <w:t xml:space="preserve">hey had thus been watching </w:t>
      </w:r>
      <w:r w:rsidRPr="001D767D">
        <w:rPr>
          <w:rFonts w:ascii="Times New Roman" w:eastAsia="Times New Roman" w:hAnsi="Times New Roman" w:cs="Times New Roman"/>
          <w:sz w:val="20"/>
          <w:szCs w:val="20"/>
        </w:rPr>
        <w:t>the quarry site for notice of a planning application</w:t>
      </w:r>
      <w:r w:rsidR="00FC1568" w:rsidRPr="001D767D">
        <w:rPr>
          <w:rFonts w:ascii="Times New Roman" w:eastAsia="Times New Roman" w:hAnsi="Times New Roman" w:cs="Times New Roman"/>
          <w:sz w:val="20"/>
          <w:szCs w:val="20"/>
        </w:rPr>
        <w:t xml:space="preserve">; however, </w:t>
      </w:r>
      <w:r w:rsidR="008861F9" w:rsidRPr="001D767D">
        <w:rPr>
          <w:rFonts w:ascii="Times New Roman" w:eastAsia="Times New Roman" w:hAnsi="Times New Roman" w:cs="Times New Roman"/>
          <w:sz w:val="20"/>
          <w:szCs w:val="20"/>
        </w:rPr>
        <w:t xml:space="preserve">there </w:t>
      </w:r>
      <w:r w:rsidR="00FC1568" w:rsidRPr="001D767D">
        <w:rPr>
          <w:rFonts w:ascii="Times New Roman" w:eastAsia="Times New Roman" w:hAnsi="Times New Roman" w:cs="Times New Roman"/>
          <w:sz w:val="20"/>
          <w:szCs w:val="20"/>
        </w:rPr>
        <w:t>was</w:t>
      </w:r>
      <w:r w:rsidR="008861F9" w:rsidRPr="001D767D">
        <w:rPr>
          <w:rFonts w:ascii="Times New Roman" w:eastAsia="Times New Roman" w:hAnsi="Times New Roman" w:cs="Times New Roman"/>
          <w:sz w:val="20"/>
          <w:szCs w:val="20"/>
        </w:rPr>
        <w:t xml:space="preserve"> none</w:t>
      </w:r>
      <w:r w:rsidR="00FC1568" w:rsidRPr="001D767D">
        <w:rPr>
          <w:rFonts w:ascii="Times New Roman" w:eastAsia="Times New Roman" w:hAnsi="Times New Roman" w:cs="Times New Roman"/>
          <w:sz w:val="20"/>
          <w:szCs w:val="20"/>
        </w:rPr>
        <w:t>.</w:t>
      </w:r>
      <w:r w:rsidR="00FC1568" w:rsidRPr="001D767D">
        <w:rPr>
          <w:rFonts w:ascii="Times New Roman" w:hAnsi="Times New Roman" w:cs="Times New Roman"/>
          <w:sz w:val="20"/>
          <w:szCs w:val="20"/>
          <w:vertAlign w:val="superscript"/>
        </w:rPr>
        <w:footnoteReference w:id="59"/>
      </w:r>
      <w:r w:rsidR="00FC1568" w:rsidRPr="001D767D">
        <w:rPr>
          <w:rFonts w:ascii="Times New Roman" w:eastAsia="Times New Roman" w:hAnsi="Times New Roman" w:cs="Times New Roman"/>
          <w:sz w:val="20"/>
          <w:szCs w:val="20"/>
        </w:rPr>
        <w:t xml:space="preserve"> He further states that when the </w:t>
      </w:r>
      <w:r w:rsidR="00EA1821" w:rsidRPr="001D767D">
        <w:rPr>
          <w:rFonts w:ascii="Times New Roman" w:hAnsi="Times New Roman"/>
          <w:sz w:val="20"/>
        </w:rPr>
        <w:t>Council’s</w:t>
      </w:r>
      <w:r w:rsidR="009D41FC" w:rsidRPr="001D767D">
        <w:rPr>
          <w:rFonts w:ascii="Times New Roman" w:eastAsia="Times New Roman" w:hAnsi="Times New Roman" w:cs="Times New Roman"/>
          <w:sz w:val="20"/>
          <w:szCs w:val="20"/>
        </w:rPr>
        <w:t xml:space="preserve"> </w:t>
      </w:r>
      <w:r w:rsidR="00FC1568" w:rsidRPr="001D767D">
        <w:rPr>
          <w:rFonts w:ascii="Times New Roman" w:eastAsia="Times New Roman" w:hAnsi="Times New Roman" w:cs="Times New Roman"/>
          <w:sz w:val="20"/>
          <w:szCs w:val="20"/>
        </w:rPr>
        <w:t xml:space="preserve">attention was drawn </w:t>
      </w:r>
      <w:r w:rsidR="006F3CFD" w:rsidRPr="001D767D">
        <w:rPr>
          <w:rFonts w:ascii="Times New Roman" w:eastAsia="Times New Roman" w:hAnsi="Times New Roman" w:cs="Times New Roman"/>
          <w:sz w:val="20"/>
          <w:szCs w:val="20"/>
        </w:rPr>
        <w:t xml:space="preserve">to </w:t>
      </w:r>
      <w:r w:rsidR="00FC1568" w:rsidRPr="001D767D">
        <w:rPr>
          <w:rFonts w:ascii="Times New Roman" w:eastAsia="Times New Roman" w:hAnsi="Times New Roman" w:cs="Times New Roman"/>
          <w:sz w:val="20"/>
          <w:szCs w:val="20"/>
        </w:rPr>
        <w:t xml:space="preserve">the need for public participation in the process, he was informed that there was no right </w:t>
      </w:r>
      <w:r w:rsidR="003B2103" w:rsidRPr="001D767D">
        <w:rPr>
          <w:rFonts w:ascii="Times New Roman" w:eastAsia="Times New Roman" w:hAnsi="Times New Roman" w:cs="Times New Roman"/>
          <w:sz w:val="20"/>
          <w:szCs w:val="20"/>
        </w:rPr>
        <w:t xml:space="preserve">under the legislation for the public </w:t>
      </w:r>
      <w:r w:rsidR="00FC1568" w:rsidRPr="001D767D">
        <w:rPr>
          <w:rFonts w:ascii="Times New Roman" w:eastAsia="Times New Roman" w:hAnsi="Times New Roman" w:cs="Times New Roman"/>
          <w:sz w:val="20"/>
          <w:szCs w:val="20"/>
        </w:rPr>
        <w:t>to make submissions.</w:t>
      </w:r>
      <w:r w:rsidR="00FC1568" w:rsidRPr="001D767D">
        <w:rPr>
          <w:rFonts w:ascii="Times New Roman" w:hAnsi="Times New Roman" w:cs="Times New Roman"/>
          <w:sz w:val="20"/>
          <w:szCs w:val="20"/>
          <w:vertAlign w:val="superscript"/>
        </w:rPr>
        <w:footnoteReference w:id="60"/>
      </w:r>
      <w:r w:rsidR="00FC1568" w:rsidRPr="001D767D">
        <w:rPr>
          <w:rFonts w:ascii="Times New Roman" w:hAnsi="Times New Roman" w:cs="Times New Roman"/>
          <w:sz w:val="20"/>
          <w:szCs w:val="20"/>
          <w:vertAlign w:val="superscript"/>
        </w:rPr>
        <w:t xml:space="preserve"> </w:t>
      </w:r>
    </w:p>
    <w:p w14:paraId="6D8672BB" w14:textId="5DE95501" w:rsidR="00FC1568" w:rsidRPr="001D767D" w:rsidRDefault="00FC1568" w:rsidP="00784840">
      <w:pPr>
        <w:numPr>
          <w:ilvl w:val="0"/>
          <w:numId w:val="2"/>
        </w:numPr>
        <w:tabs>
          <w:tab w:val="right" w:pos="993"/>
          <w:tab w:val="left" w:pos="1080"/>
        </w:tabs>
        <w:spacing w:after="120" w:line="240" w:lineRule="atLeast"/>
        <w:ind w:left="540" w:right="-1" w:firstLine="0"/>
        <w:jc w:val="both"/>
        <w:rPr>
          <w:rFonts w:ascii="Times New Roman" w:eastAsia="Times New Roman" w:hAnsi="Times New Roman" w:cs="Times New Roman"/>
          <w:sz w:val="20"/>
          <w:szCs w:val="20"/>
        </w:rPr>
      </w:pPr>
      <w:r w:rsidRPr="001D767D">
        <w:rPr>
          <w:rFonts w:ascii="Times New Roman" w:hAnsi="Times New Roman" w:cs="Times New Roman"/>
          <w:sz w:val="20"/>
          <w:szCs w:val="20"/>
        </w:rPr>
        <w:t xml:space="preserve">The communicant and observer submit that references </w:t>
      </w:r>
      <w:r w:rsidR="00952235" w:rsidRPr="001D767D">
        <w:rPr>
          <w:rFonts w:ascii="Times New Roman" w:hAnsi="Times New Roman" w:cs="Times New Roman"/>
          <w:sz w:val="20"/>
          <w:szCs w:val="20"/>
        </w:rPr>
        <w:t xml:space="preserve">by the Party concerned </w:t>
      </w:r>
      <w:r w:rsidRPr="001D767D">
        <w:rPr>
          <w:rFonts w:ascii="Times New Roman" w:hAnsi="Times New Roman" w:cs="Times New Roman"/>
          <w:sz w:val="20"/>
          <w:szCs w:val="20"/>
        </w:rPr>
        <w:t xml:space="preserve">to </w:t>
      </w:r>
      <w:r w:rsidR="00952235" w:rsidRPr="001D767D">
        <w:rPr>
          <w:rFonts w:ascii="Times New Roman" w:hAnsi="Times New Roman" w:cs="Times New Roman"/>
          <w:sz w:val="20"/>
          <w:szCs w:val="20"/>
        </w:rPr>
        <w:t xml:space="preserve">the </w:t>
      </w:r>
      <w:r w:rsidRPr="001D767D">
        <w:rPr>
          <w:rFonts w:ascii="Times New Roman" w:hAnsi="Times New Roman" w:cs="Times New Roman"/>
          <w:sz w:val="20"/>
          <w:szCs w:val="20"/>
        </w:rPr>
        <w:t xml:space="preserve">public participation </w:t>
      </w:r>
      <w:r w:rsidR="00952235" w:rsidRPr="001D767D">
        <w:rPr>
          <w:rFonts w:ascii="Times New Roman" w:hAnsi="Times New Roman" w:cs="Times New Roman"/>
          <w:sz w:val="20"/>
          <w:szCs w:val="20"/>
        </w:rPr>
        <w:t xml:space="preserve">and appeal procedures regarding the earlier quarry permits (see paras. </w:t>
      </w:r>
      <w:r w:rsidR="00952235" w:rsidRPr="001D767D">
        <w:rPr>
          <w:rFonts w:ascii="Times New Roman" w:hAnsi="Times New Roman" w:cs="Times New Roman"/>
          <w:sz w:val="20"/>
          <w:szCs w:val="20"/>
        </w:rPr>
        <w:fldChar w:fldCharType="begin"/>
      </w:r>
      <w:r w:rsidR="00952235" w:rsidRPr="001D767D">
        <w:rPr>
          <w:rFonts w:ascii="Times New Roman" w:hAnsi="Times New Roman" w:cs="Times New Roman"/>
          <w:sz w:val="20"/>
          <w:szCs w:val="20"/>
        </w:rPr>
        <w:instrText xml:space="preserve"> REF _Ref500431861 \r \h </w:instrText>
      </w:r>
      <w:r w:rsidR="007C0508" w:rsidRPr="001D767D">
        <w:rPr>
          <w:rFonts w:ascii="Times New Roman" w:hAnsi="Times New Roman" w:cs="Times New Roman"/>
          <w:sz w:val="20"/>
          <w:szCs w:val="20"/>
        </w:rPr>
        <w:instrText xml:space="preserve"> \* MERGEFORMAT </w:instrText>
      </w:r>
      <w:r w:rsidR="00952235" w:rsidRPr="001D767D">
        <w:rPr>
          <w:rFonts w:ascii="Times New Roman" w:hAnsi="Times New Roman" w:cs="Times New Roman"/>
          <w:sz w:val="20"/>
          <w:szCs w:val="20"/>
        </w:rPr>
      </w:r>
      <w:r w:rsidR="00952235" w:rsidRPr="001D767D">
        <w:rPr>
          <w:rFonts w:ascii="Times New Roman" w:hAnsi="Times New Roman" w:cs="Times New Roman"/>
          <w:sz w:val="20"/>
          <w:szCs w:val="20"/>
        </w:rPr>
        <w:fldChar w:fldCharType="separate"/>
      </w:r>
      <w:r w:rsidR="001D767D" w:rsidRPr="001D767D">
        <w:rPr>
          <w:rFonts w:ascii="Times New Roman" w:hAnsi="Times New Roman" w:cs="Times New Roman"/>
          <w:sz w:val="20"/>
          <w:szCs w:val="20"/>
          <w:cs/>
        </w:rPr>
        <w:t>‎</w:t>
      </w:r>
      <w:r w:rsidR="001D767D" w:rsidRPr="001D767D">
        <w:rPr>
          <w:rFonts w:ascii="Times New Roman" w:hAnsi="Times New Roman" w:cs="Times New Roman"/>
          <w:sz w:val="20"/>
          <w:szCs w:val="20"/>
        </w:rPr>
        <w:t>43</w:t>
      </w:r>
      <w:r w:rsidR="00952235" w:rsidRPr="001D767D">
        <w:rPr>
          <w:rFonts w:ascii="Times New Roman" w:hAnsi="Times New Roman" w:cs="Times New Roman"/>
          <w:sz w:val="20"/>
          <w:szCs w:val="20"/>
        </w:rPr>
        <w:fldChar w:fldCharType="end"/>
      </w:r>
      <w:r w:rsidR="00952235" w:rsidRPr="001D767D">
        <w:rPr>
          <w:rFonts w:ascii="Times New Roman" w:hAnsi="Times New Roman" w:cs="Times New Roman"/>
          <w:sz w:val="20"/>
          <w:szCs w:val="20"/>
        </w:rPr>
        <w:t xml:space="preserve"> and </w:t>
      </w:r>
      <w:r w:rsidR="00952235" w:rsidRPr="001D767D">
        <w:rPr>
          <w:rFonts w:ascii="Times New Roman" w:hAnsi="Times New Roman" w:cs="Times New Roman"/>
          <w:sz w:val="20"/>
          <w:szCs w:val="20"/>
        </w:rPr>
        <w:fldChar w:fldCharType="begin"/>
      </w:r>
      <w:r w:rsidR="00952235" w:rsidRPr="001D767D">
        <w:rPr>
          <w:rFonts w:ascii="Times New Roman" w:hAnsi="Times New Roman" w:cs="Times New Roman"/>
          <w:sz w:val="20"/>
          <w:szCs w:val="20"/>
        </w:rPr>
        <w:instrText xml:space="preserve"> REF _Ref500432516 \r \h </w:instrText>
      </w:r>
      <w:r w:rsidR="007C0508" w:rsidRPr="001D767D">
        <w:rPr>
          <w:rFonts w:ascii="Times New Roman" w:hAnsi="Times New Roman" w:cs="Times New Roman"/>
          <w:sz w:val="20"/>
          <w:szCs w:val="20"/>
        </w:rPr>
        <w:instrText xml:space="preserve"> \* MERGEFORMAT </w:instrText>
      </w:r>
      <w:r w:rsidR="00952235" w:rsidRPr="001D767D">
        <w:rPr>
          <w:rFonts w:ascii="Times New Roman" w:hAnsi="Times New Roman" w:cs="Times New Roman"/>
          <w:sz w:val="20"/>
          <w:szCs w:val="20"/>
        </w:rPr>
      </w:r>
      <w:r w:rsidR="00952235" w:rsidRPr="001D767D">
        <w:rPr>
          <w:rFonts w:ascii="Times New Roman" w:hAnsi="Times New Roman" w:cs="Times New Roman"/>
          <w:sz w:val="20"/>
          <w:szCs w:val="20"/>
        </w:rPr>
        <w:fldChar w:fldCharType="separate"/>
      </w:r>
      <w:r w:rsidR="001D767D" w:rsidRPr="001D767D">
        <w:rPr>
          <w:rFonts w:ascii="Times New Roman" w:hAnsi="Times New Roman" w:cs="Times New Roman"/>
          <w:sz w:val="20"/>
          <w:szCs w:val="20"/>
          <w:cs/>
        </w:rPr>
        <w:t>‎</w:t>
      </w:r>
      <w:r w:rsidR="001D767D" w:rsidRPr="001D767D">
        <w:rPr>
          <w:rFonts w:ascii="Times New Roman" w:hAnsi="Times New Roman" w:cs="Times New Roman"/>
          <w:sz w:val="20"/>
          <w:szCs w:val="20"/>
        </w:rPr>
        <w:t>46</w:t>
      </w:r>
      <w:r w:rsidR="00952235" w:rsidRPr="001D767D">
        <w:rPr>
          <w:rFonts w:ascii="Times New Roman" w:hAnsi="Times New Roman" w:cs="Times New Roman"/>
          <w:sz w:val="20"/>
          <w:szCs w:val="20"/>
        </w:rPr>
        <w:fldChar w:fldCharType="end"/>
      </w:r>
      <w:r w:rsidR="00952235" w:rsidRPr="001D767D">
        <w:rPr>
          <w:rFonts w:ascii="Times New Roman" w:hAnsi="Times New Roman" w:cs="Times New Roman"/>
          <w:sz w:val="20"/>
          <w:szCs w:val="20"/>
        </w:rPr>
        <w:t xml:space="preserve"> above and para. </w:t>
      </w:r>
      <w:r w:rsidR="00952235" w:rsidRPr="001D767D">
        <w:rPr>
          <w:rFonts w:ascii="Times New Roman" w:hAnsi="Times New Roman" w:cs="Times New Roman"/>
          <w:sz w:val="20"/>
          <w:szCs w:val="20"/>
        </w:rPr>
        <w:fldChar w:fldCharType="begin"/>
      </w:r>
      <w:r w:rsidR="00952235" w:rsidRPr="001D767D">
        <w:rPr>
          <w:rFonts w:ascii="Times New Roman" w:hAnsi="Times New Roman" w:cs="Times New Roman"/>
          <w:sz w:val="20"/>
          <w:szCs w:val="20"/>
        </w:rPr>
        <w:instrText xml:space="preserve"> REF _Ref7697166 \r \h </w:instrText>
      </w:r>
      <w:r w:rsidR="007C0508" w:rsidRPr="001D767D">
        <w:rPr>
          <w:rFonts w:ascii="Times New Roman" w:hAnsi="Times New Roman" w:cs="Times New Roman"/>
          <w:sz w:val="20"/>
          <w:szCs w:val="20"/>
        </w:rPr>
        <w:instrText xml:space="preserve"> \* MERGEFORMAT </w:instrText>
      </w:r>
      <w:r w:rsidR="00952235" w:rsidRPr="001D767D">
        <w:rPr>
          <w:rFonts w:ascii="Times New Roman" w:hAnsi="Times New Roman" w:cs="Times New Roman"/>
          <w:sz w:val="20"/>
          <w:szCs w:val="20"/>
        </w:rPr>
      </w:r>
      <w:r w:rsidR="00952235" w:rsidRPr="001D767D">
        <w:rPr>
          <w:rFonts w:ascii="Times New Roman" w:hAnsi="Times New Roman" w:cs="Times New Roman"/>
          <w:sz w:val="20"/>
          <w:szCs w:val="20"/>
        </w:rPr>
        <w:fldChar w:fldCharType="separate"/>
      </w:r>
      <w:r w:rsidR="001D767D" w:rsidRPr="001D767D">
        <w:rPr>
          <w:rFonts w:ascii="Times New Roman" w:hAnsi="Times New Roman" w:cs="Times New Roman"/>
          <w:sz w:val="20"/>
          <w:szCs w:val="20"/>
          <w:cs/>
        </w:rPr>
        <w:t>‎</w:t>
      </w:r>
      <w:r w:rsidR="001D767D" w:rsidRPr="001D767D">
        <w:rPr>
          <w:rFonts w:ascii="Times New Roman" w:hAnsi="Times New Roman" w:cs="Times New Roman"/>
          <w:sz w:val="20"/>
          <w:szCs w:val="20"/>
        </w:rPr>
        <w:t>57</w:t>
      </w:r>
      <w:r w:rsidR="00952235" w:rsidRPr="001D767D">
        <w:rPr>
          <w:rFonts w:ascii="Times New Roman" w:hAnsi="Times New Roman" w:cs="Times New Roman"/>
          <w:sz w:val="20"/>
          <w:szCs w:val="20"/>
        </w:rPr>
        <w:fldChar w:fldCharType="end"/>
      </w:r>
      <w:r w:rsidR="00952235" w:rsidRPr="001D767D">
        <w:rPr>
          <w:rFonts w:ascii="Times New Roman" w:hAnsi="Times New Roman" w:cs="Times New Roman"/>
          <w:sz w:val="20"/>
          <w:szCs w:val="20"/>
        </w:rPr>
        <w:t xml:space="preserve"> below) </w:t>
      </w:r>
      <w:r w:rsidRPr="001D767D">
        <w:rPr>
          <w:rFonts w:ascii="Times New Roman" w:hAnsi="Times New Roman" w:cs="Times New Roman"/>
          <w:sz w:val="20"/>
          <w:szCs w:val="20"/>
        </w:rPr>
        <w:t>are irrelevant</w:t>
      </w:r>
      <w:r w:rsidR="00952235" w:rsidRPr="001D767D">
        <w:rPr>
          <w:rFonts w:ascii="Times New Roman" w:hAnsi="Times New Roman" w:cs="Times New Roman"/>
          <w:sz w:val="20"/>
          <w:szCs w:val="20"/>
        </w:rPr>
        <w:t>,</w:t>
      </w:r>
      <w:r w:rsidRPr="001D767D">
        <w:rPr>
          <w:rFonts w:ascii="Times New Roman" w:hAnsi="Times New Roman" w:cs="Times New Roman"/>
          <w:sz w:val="20"/>
          <w:szCs w:val="20"/>
          <w:vertAlign w:val="superscript"/>
        </w:rPr>
        <w:footnoteReference w:id="61"/>
      </w:r>
      <w:r w:rsidRPr="001D767D">
        <w:rPr>
          <w:rFonts w:ascii="Times New Roman" w:hAnsi="Times New Roman" w:cs="Times New Roman"/>
          <w:sz w:val="20"/>
          <w:szCs w:val="20"/>
        </w:rPr>
        <w:t xml:space="preserve"> </w:t>
      </w:r>
      <w:r w:rsidR="00952235" w:rsidRPr="001D767D">
        <w:rPr>
          <w:rFonts w:ascii="Times New Roman" w:hAnsi="Times New Roman" w:cs="Times New Roman"/>
          <w:sz w:val="20"/>
          <w:szCs w:val="20"/>
        </w:rPr>
        <w:t xml:space="preserve">and moreover, </w:t>
      </w:r>
      <w:r w:rsidRPr="001D767D">
        <w:rPr>
          <w:rFonts w:ascii="Times New Roman" w:hAnsi="Times New Roman" w:cs="Times New Roman"/>
          <w:sz w:val="20"/>
          <w:szCs w:val="20"/>
        </w:rPr>
        <w:t>do not take into account the possibility that persons may have moved to the area after</w:t>
      </w:r>
      <w:r w:rsidR="006D6691" w:rsidRPr="001D767D">
        <w:rPr>
          <w:rFonts w:ascii="Times New Roman" w:hAnsi="Times New Roman" w:cs="Times New Roman"/>
          <w:sz w:val="20"/>
          <w:szCs w:val="20"/>
        </w:rPr>
        <w:t xml:space="preserve"> the previous decisions were taken</w:t>
      </w:r>
      <w:r w:rsidRPr="001D767D">
        <w:rPr>
          <w:rFonts w:ascii="Times New Roman" w:hAnsi="Times New Roman" w:cs="Times New Roman"/>
          <w:sz w:val="20"/>
          <w:szCs w:val="20"/>
        </w:rPr>
        <w:t>.</w:t>
      </w:r>
      <w:r w:rsidRPr="001D767D">
        <w:rPr>
          <w:rFonts w:ascii="Times New Roman" w:hAnsi="Times New Roman" w:cs="Times New Roman"/>
          <w:sz w:val="20"/>
          <w:szCs w:val="20"/>
          <w:vertAlign w:val="superscript"/>
        </w:rPr>
        <w:footnoteReference w:id="62"/>
      </w:r>
    </w:p>
    <w:p w14:paraId="59EC5CE1" w14:textId="53CC13C3" w:rsidR="00FC1568" w:rsidRPr="001D767D" w:rsidRDefault="00FC1568" w:rsidP="008861F9">
      <w:pPr>
        <w:numPr>
          <w:ilvl w:val="0"/>
          <w:numId w:val="2"/>
        </w:numPr>
        <w:tabs>
          <w:tab w:val="right" w:pos="993"/>
          <w:tab w:val="left" w:pos="1080"/>
        </w:tabs>
        <w:spacing w:after="120" w:line="240" w:lineRule="atLeast"/>
        <w:ind w:left="540" w:right="-1" w:firstLine="0"/>
        <w:jc w:val="both"/>
        <w:rPr>
          <w:rFonts w:ascii="Times New Roman" w:eastAsia="Times New Roman" w:hAnsi="Times New Roman" w:cs="Times New Roman"/>
          <w:sz w:val="20"/>
          <w:szCs w:val="20"/>
        </w:rPr>
      </w:pPr>
      <w:bookmarkStart w:id="20" w:name="_Ref7697166"/>
      <w:bookmarkStart w:id="21" w:name="_Ref11848380"/>
      <w:r w:rsidRPr="001D767D">
        <w:rPr>
          <w:rFonts w:ascii="Times New Roman" w:eastAsia="Times New Roman" w:hAnsi="Times New Roman" w:cs="Times New Roman"/>
          <w:sz w:val="20"/>
          <w:szCs w:val="20"/>
        </w:rPr>
        <w:t xml:space="preserve">The Party concerned submits that, while </w:t>
      </w:r>
      <w:r w:rsidR="006D6691" w:rsidRPr="001D767D">
        <w:rPr>
          <w:rFonts w:ascii="Times New Roman" w:eastAsia="Times New Roman" w:hAnsi="Times New Roman" w:cs="Times New Roman"/>
          <w:sz w:val="20"/>
          <w:szCs w:val="20"/>
        </w:rPr>
        <w:t xml:space="preserve">in its view </w:t>
      </w:r>
      <w:r w:rsidRPr="001D767D">
        <w:rPr>
          <w:rFonts w:ascii="Times New Roman" w:eastAsia="Times New Roman" w:hAnsi="Times New Roman" w:cs="Times New Roman"/>
          <w:sz w:val="20"/>
          <w:szCs w:val="20"/>
        </w:rPr>
        <w:t xml:space="preserve">article 6 is not applicable to the decision to extend </w:t>
      </w:r>
      <w:r w:rsidRPr="001D767D">
        <w:rPr>
          <w:rFonts w:ascii="Times New Roman" w:hAnsi="Times New Roman"/>
          <w:sz w:val="20"/>
        </w:rPr>
        <w:t xml:space="preserve">the duration of </w:t>
      </w:r>
      <w:proofErr w:type="spellStart"/>
      <w:r w:rsidR="00EA1821" w:rsidRPr="001D767D">
        <w:rPr>
          <w:rFonts w:ascii="Times New Roman" w:hAnsi="Times New Roman"/>
          <w:sz w:val="20"/>
        </w:rPr>
        <w:t>Trammon</w:t>
      </w:r>
      <w:proofErr w:type="spellEnd"/>
      <w:r w:rsidR="00EA1821" w:rsidRPr="001D767D">
        <w:rPr>
          <w:rFonts w:ascii="Times New Roman" w:hAnsi="Times New Roman"/>
          <w:sz w:val="20"/>
        </w:rPr>
        <w:t xml:space="preserve"> </w:t>
      </w:r>
      <w:r w:rsidR="00252EE9" w:rsidRPr="001D767D">
        <w:rPr>
          <w:rFonts w:ascii="Times New Roman" w:hAnsi="Times New Roman"/>
          <w:sz w:val="20"/>
        </w:rPr>
        <w:t>quarry</w:t>
      </w:r>
      <w:r w:rsidRPr="001D767D">
        <w:rPr>
          <w:rFonts w:ascii="Times New Roman" w:eastAsia="Times New Roman" w:hAnsi="Times New Roman" w:cs="Times New Roman"/>
          <w:sz w:val="20"/>
          <w:szCs w:val="20"/>
        </w:rPr>
        <w:t xml:space="preserve">, the </w:t>
      </w:r>
      <w:r w:rsidR="00EA1821" w:rsidRPr="001D767D">
        <w:rPr>
          <w:rFonts w:ascii="Times New Roman" w:eastAsia="Times New Roman" w:hAnsi="Times New Roman" w:cs="Times New Roman"/>
          <w:sz w:val="20"/>
          <w:szCs w:val="20"/>
        </w:rPr>
        <w:t xml:space="preserve">quarry had been </w:t>
      </w:r>
      <w:r w:rsidRPr="001D767D">
        <w:rPr>
          <w:rFonts w:ascii="Times New Roman" w:eastAsia="Times New Roman" w:hAnsi="Times New Roman" w:cs="Times New Roman"/>
          <w:sz w:val="20"/>
          <w:szCs w:val="20"/>
        </w:rPr>
        <w:t xml:space="preserve">subject to comprehensive public participation. The Party concerned refers in that regard to </w:t>
      </w:r>
      <w:r w:rsidR="00353550" w:rsidRPr="001D767D">
        <w:rPr>
          <w:rFonts w:ascii="Times New Roman" w:eastAsia="Times New Roman" w:hAnsi="Times New Roman" w:cs="Times New Roman"/>
          <w:sz w:val="20"/>
          <w:szCs w:val="20"/>
        </w:rPr>
        <w:t xml:space="preserve">the </w:t>
      </w:r>
      <w:r w:rsidRPr="001D767D">
        <w:rPr>
          <w:rFonts w:ascii="Times New Roman" w:eastAsia="Times New Roman" w:hAnsi="Times New Roman" w:cs="Times New Roman"/>
          <w:sz w:val="20"/>
          <w:szCs w:val="20"/>
        </w:rPr>
        <w:t>public participation</w:t>
      </w:r>
      <w:r w:rsidR="006F3CFD" w:rsidRPr="001D767D">
        <w:rPr>
          <w:rFonts w:ascii="Times New Roman" w:eastAsia="Times New Roman" w:hAnsi="Times New Roman" w:cs="Times New Roman"/>
          <w:sz w:val="20"/>
          <w:szCs w:val="20"/>
        </w:rPr>
        <w:t xml:space="preserve"> procedures</w:t>
      </w:r>
      <w:r w:rsidRPr="001D767D">
        <w:rPr>
          <w:rFonts w:ascii="Times New Roman" w:eastAsia="Times New Roman" w:hAnsi="Times New Roman" w:cs="Times New Roman"/>
          <w:sz w:val="20"/>
          <w:szCs w:val="20"/>
        </w:rPr>
        <w:t xml:space="preserve"> </w:t>
      </w:r>
      <w:r w:rsidR="00353550" w:rsidRPr="001D767D">
        <w:rPr>
          <w:rFonts w:ascii="Times New Roman" w:eastAsia="Times New Roman" w:hAnsi="Times New Roman" w:cs="Times New Roman"/>
          <w:sz w:val="20"/>
          <w:szCs w:val="20"/>
        </w:rPr>
        <w:t xml:space="preserve">carried out </w:t>
      </w:r>
      <w:r w:rsidRPr="001D767D">
        <w:rPr>
          <w:rFonts w:ascii="Times New Roman" w:eastAsia="Times New Roman" w:hAnsi="Times New Roman" w:cs="Times New Roman"/>
          <w:sz w:val="20"/>
          <w:szCs w:val="20"/>
        </w:rPr>
        <w:t xml:space="preserve">in 1997, 2004 and 2010 </w:t>
      </w:r>
      <w:r w:rsidR="00353550" w:rsidRPr="001D767D">
        <w:rPr>
          <w:rFonts w:ascii="Times New Roman" w:eastAsia="Times New Roman" w:hAnsi="Times New Roman" w:cs="Times New Roman"/>
          <w:sz w:val="20"/>
          <w:szCs w:val="20"/>
        </w:rPr>
        <w:t xml:space="preserve">regarding permits reference nos. </w:t>
      </w:r>
      <w:r w:rsidRPr="001D767D">
        <w:rPr>
          <w:rFonts w:ascii="Times New Roman" w:eastAsia="Times New Roman" w:hAnsi="Times New Roman" w:cs="Times New Roman"/>
          <w:sz w:val="20"/>
          <w:szCs w:val="20"/>
        </w:rPr>
        <w:t xml:space="preserve">97/1868, TA/30334, and TA/900976 and to the appeals to An </w:t>
      </w:r>
      <w:proofErr w:type="spellStart"/>
      <w:r w:rsidRPr="001D767D">
        <w:rPr>
          <w:rFonts w:ascii="Times New Roman" w:eastAsia="Times New Roman" w:hAnsi="Times New Roman" w:cs="Times New Roman"/>
          <w:sz w:val="20"/>
          <w:szCs w:val="20"/>
        </w:rPr>
        <w:t>Bord</w:t>
      </w:r>
      <w:proofErr w:type="spellEnd"/>
      <w:r w:rsidRPr="001D767D">
        <w:rPr>
          <w:rFonts w:ascii="Times New Roman" w:eastAsia="Times New Roman" w:hAnsi="Times New Roman" w:cs="Times New Roman"/>
          <w:sz w:val="20"/>
          <w:szCs w:val="20"/>
        </w:rPr>
        <w:t xml:space="preserve"> </w:t>
      </w:r>
      <w:proofErr w:type="spellStart"/>
      <w:r w:rsidRPr="001D767D">
        <w:rPr>
          <w:rFonts w:ascii="Times New Roman" w:eastAsia="Times New Roman" w:hAnsi="Times New Roman" w:cs="Times New Roman"/>
          <w:sz w:val="20"/>
          <w:szCs w:val="20"/>
        </w:rPr>
        <w:t>Pleanála</w:t>
      </w:r>
      <w:proofErr w:type="spellEnd"/>
      <w:r w:rsidRPr="001D767D">
        <w:rPr>
          <w:rFonts w:ascii="Times New Roman" w:eastAsia="Times New Roman" w:hAnsi="Times New Roman" w:cs="Times New Roman"/>
          <w:sz w:val="20"/>
          <w:szCs w:val="20"/>
        </w:rPr>
        <w:t xml:space="preserve"> </w:t>
      </w:r>
      <w:r w:rsidR="00353550" w:rsidRPr="001D767D">
        <w:rPr>
          <w:rFonts w:ascii="Times New Roman" w:eastAsia="Times New Roman" w:hAnsi="Times New Roman" w:cs="Times New Roman"/>
          <w:sz w:val="20"/>
          <w:szCs w:val="20"/>
        </w:rPr>
        <w:t>regarding those permits</w:t>
      </w:r>
      <w:r w:rsidRPr="001D767D">
        <w:rPr>
          <w:rFonts w:ascii="Times New Roman" w:eastAsia="Times New Roman" w:hAnsi="Times New Roman" w:cs="Times New Roman"/>
          <w:sz w:val="20"/>
          <w:szCs w:val="20"/>
        </w:rPr>
        <w:t xml:space="preserve"> (see paragraphs </w:t>
      </w:r>
      <w:r w:rsidRPr="001D767D">
        <w:rPr>
          <w:rFonts w:ascii="Times New Roman" w:eastAsia="Times New Roman" w:hAnsi="Times New Roman" w:cs="Times New Roman"/>
          <w:sz w:val="20"/>
          <w:szCs w:val="20"/>
        </w:rPr>
        <w:fldChar w:fldCharType="begin"/>
      </w:r>
      <w:r w:rsidRPr="001D767D">
        <w:rPr>
          <w:rFonts w:ascii="Times New Roman" w:eastAsia="Times New Roman" w:hAnsi="Times New Roman" w:cs="Times New Roman"/>
          <w:sz w:val="20"/>
          <w:szCs w:val="20"/>
        </w:rPr>
        <w:instrText xml:space="preserve"> REF _Ref476749198 \r \h </w:instrText>
      </w:r>
      <w:r w:rsidR="009D36B0" w:rsidRPr="001D767D">
        <w:rPr>
          <w:rFonts w:ascii="Times New Roman" w:eastAsia="Times New Roman" w:hAnsi="Times New Roman" w:cs="Times New Roman"/>
          <w:sz w:val="20"/>
          <w:szCs w:val="20"/>
        </w:rPr>
        <w:instrText xml:space="preserve"> \* MERGEFORMAT </w:instrText>
      </w:r>
      <w:r w:rsidRPr="001D767D">
        <w:rPr>
          <w:rFonts w:ascii="Times New Roman" w:eastAsia="Times New Roman" w:hAnsi="Times New Roman" w:cs="Times New Roman"/>
          <w:sz w:val="20"/>
          <w:szCs w:val="20"/>
        </w:rPr>
      </w:r>
      <w:r w:rsidRPr="001D767D">
        <w:rPr>
          <w:rFonts w:ascii="Times New Roman" w:eastAsia="Times New Roman" w:hAnsi="Times New Roman" w:cs="Times New Roman"/>
          <w:sz w:val="20"/>
          <w:szCs w:val="20"/>
        </w:rPr>
        <w:fldChar w:fldCharType="separate"/>
      </w:r>
      <w:r w:rsidR="001D767D" w:rsidRPr="001D767D">
        <w:rPr>
          <w:rFonts w:ascii="Times New Roman" w:eastAsia="Times New Roman" w:hAnsi="Times New Roman" w:cs="Times New Roman"/>
          <w:sz w:val="20"/>
          <w:szCs w:val="20"/>
          <w:cs/>
        </w:rPr>
        <w:t>‎</w:t>
      </w:r>
      <w:r w:rsidR="001D767D" w:rsidRPr="001D767D">
        <w:rPr>
          <w:rFonts w:ascii="Times New Roman" w:eastAsia="Times New Roman" w:hAnsi="Times New Roman" w:cs="Times New Roman"/>
          <w:sz w:val="20"/>
          <w:szCs w:val="20"/>
        </w:rPr>
        <w:t>29</w:t>
      </w:r>
      <w:r w:rsidRPr="001D767D">
        <w:rPr>
          <w:rFonts w:ascii="Times New Roman" w:eastAsia="Times New Roman" w:hAnsi="Times New Roman" w:cs="Times New Roman"/>
          <w:sz w:val="20"/>
          <w:szCs w:val="20"/>
        </w:rPr>
        <w:fldChar w:fldCharType="end"/>
      </w:r>
      <w:r w:rsidRPr="001D767D">
        <w:rPr>
          <w:rFonts w:ascii="Times New Roman" w:eastAsia="Times New Roman" w:hAnsi="Times New Roman" w:cs="Times New Roman"/>
          <w:sz w:val="20"/>
          <w:szCs w:val="20"/>
        </w:rPr>
        <w:t xml:space="preserve">, </w:t>
      </w:r>
      <w:r w:rsidRPr="001D767D">
        <w:rPr>
          <w:rFonts w:ascii="Times New Roman" w:eastAsia="Times New Roman" w:hAnsi="Times New Roman" w:cs="Times New Roman"/>
          <w:sz w:val="20"/>
          <w:szCs w:val="20"/>
        </w:rPr>
        <w:fldChar w:fldCharType="begin"/>
      </w:r>
      <w:r w:rsidRPr="001D767D">
        <w:rPr>
          <w:rFonts w:ascii="Times New Roman" w:eastAsia="Times New Roman" w:hAnsi="Times New Roman" w:cs="Times New Roman"/>
          <w:sz w:val="20"/>
          <w:szCs w:val="20"/>
        </w:rPr>
        <w:instrText xml:space="preserve"> REF _Ref476749200 \r \h </w:instrText>
      </w:r>
      <w:r w:rsidR="009D36B0" w:rsidRPr="001D767D">
        <w:rPr>
          <w:rFonts w:ascii="Times New Roman" w:eastAsia="Times New Roman" w:hAnsi="Times New Roman" w:cs="Times New Roman"/>
          <w:sz w:val="20"/>
          <w:szCs w:val="20"/>
        </w:rPr>
        <w:instrText xml:space="preserve"> \* MERGEFORMAT </w:instrText>
      </w:r>
      <w:r w:rsidRPr="001D767D">
        <w:rPr>
          <w:rFonts w:ascii="Times New Roman" w:eastAsia="Times New Roman" w:hAnsi="Times New Roman" w:cs="Times New Roman"/>
          <w:sz w:val="20"/>
          <w:szCs w:val="20"/>
        </w:rPr>
      </w:r>
      <w:r w:rsidRPr="001D767D">
        <w:rPr>
          <w:rFonts w:ascii="Times New Roman" w:eastAsia="Times New Roman" w:hAnsi="Times New Roman" w:cs="Times New Roman"/>
          <w:sz w:val="20"/>
          <w:szCs w:val="20"/>
        </w:rPr>
        <w:fldChar w:fldCharType="separate"/>
      </w:r>
      <w:r w:rsidR="001D767D" w:rsidRPr="001D767D">
        <w:rPr>
          <w:rFonts w:ascii="Times New Roman" w:eastAsia="Times New Roman" w:hAnsi="Times New Roman" w:cs="Times New Roman"/>
          <w:sz w:val="20"/>
          <w:szCs w:val="20"/>
          <w:cs/>
        </w:rPr>
        <w:t>‎</w:t>
      </w:r>
      <w:r w:rsidR="001D767D" w:rsidRPr="001D767D">
        <w:rPr>
          <w:rFonts w:ascii="Times New Roman" w:eastAsia="Times New Roman" w:hAnsi="Times New Roman" w:cs="Times New Roman"/>
          <w:sz w:val="20"/>
          <w:szCs w:val="20"/>
        </w:rPr>
        <w:t>30</w:t>
      </w:r>
      <w:r w:rsidRPr="001D767D">
        <w:rPr>
          <w:rFonts w:ascii="Times New Roman" w:eastAsia="Times New Roman" w:hAnsi="Times New Roman" w:cs="Times New Roman"/>
          <w:sz w:val="20"/>
          <w:szCs w:val="20"/>
        </w:rPr>
        <w:fldChar w:fldCharType="end"/>
      </w:r>
      <w:r w:rsidRPr="001D767D">
        <w:rPr>
          <w:rFonts w:ascii="Times New Roman" w:eastAsia="Times New Roman" w:hAnsi="Times New Roman" w:cs="Times New Roman"/>
          <w:sz w:val="20"/>
          <w:szCs w:val="20"/>
        </w:rPr>
        <w:t xml:space="preserve"> and </w:t>
      </w:r>
      <w:r w:rsidRPr="001D767D">
        <w:rPr>
          <w:rFonts w:ascii="Times New Roman" w:eastAsia="Times New Roman" w:hAnsi="Times New Roman" w:cs="Times New Roman"/>
          <w:sz w:val="20"/>
          <w:szCs w:val="20"/>
        </w:rPr>
        <w:fldChar w:fldCharType="begin"/>
      </w:r>
      <w:r w:rsidRPr="001D767D">
        <w:rPr>
          <w:rFonts w:ascii="Times New Roman" w:eastAsia="Times New Roman" w:hAnsi="Times New Roman" w:cs="Times New Roman"/>
          <w:sz w:val="20"/>
          <w:szCs w:val="20"/>
        </w:rPr>
        <w:instrText xml:space="preserve"> REF _Ref476749204 \r \h </w:instrText>
      </w:r>
      <w:r w:rsidR="009D36B0" w:rsidRPr="001D767D">
        <w:rPr>
          <w:rFonts w:ascii="Times New Roman" w:eastAsia="Times New Roman" w:hAnsi="Times New Roman" w:cs="Times New Roman"/>
          <w:sz w:val="20"/>
          <w:szCs w:val="20"/>
        </w:rPr>
        <w:instrText xml:space="preserve"> \* MERGEFORMAT </w:instrText>
      </w:r>
      <w:r w:rsidRPr="001D767D">
        <w:rPr>
          <w:rFonts w:ascii="Times New Roman" w:eastAsia="Times New Roman" w:hAnsi="Times New Roman" w:cs="Times New Roman"/>
          <w:sz w:val="20"/>
          <w:szCs w:val="20"/>
        </w:rPr>
      </w:r>
      <w:r w:rsidRPr="001D767D">
        <w:rPr>
          <w:rFonts w:ascii="Times New Roman" w:eastAsia="Times New Roman" w:hAnsi="Times New Roman" w:cs="Times New Roman"/>
          <w:sz w:val="20"/>
          <w:szCs w:val="20"/>
        </w:rPr>
        <w:fldChar w:fldCharType="separate"/>
      </w:r>
      <w:r w:rsidR="001D767D" w:rsidRPr="001D767D">
        <w:rPr>
          <w:rFonts w:ascii="Times New Roman" w:eastAsia="Times New Roman" w:hAnsi="Times New Roman" w:cs="Times New Roman"/>
          <w:sz w:val="20"/>
          <w:szCs w:val="20"/>
          <w:cs/>
        </w:rPr>
        <w:t>‎</w:t>
      </w:r>
      <w:r w:rsidR="001D767D" w:rsidRPr="001D767D">
        <w:rPr>
          <w:rFonts w:ascii="Times New Roman" w:eastAsia="Times New Roman" w:hAnsi="Times New Roman" w:cs="Times New Roman"/>
          <w:sz w:val="20"/>
          <w:szCs w:val="20"/>
        </w:rPr>
        <w:t>32</w:t>
      </w:r>
      <w:r w:rsidRPr="001D767D">
        <w:rPr>
          <w:rFonts w:ascii="Times New Roman" w:eastAsia="Times New Roman" w:hAnsi="Times New Roman" w:cs="Times New Roman"/>
          <w:sz w:val="20"/>
          <w:szCs w:val="20"/>
        </w:rPr>
        <w:fldChar w:fldCharType="end"/>
      </w:r>
      <w:r w:rsidRPr="001D767D">
        <w:rPr>
          <w:rFonts w:ascii="Times New Roman" w:eastAsia="Times New Roman" w:hAnsi="Times New Roman" w:cs="Times New Roman"/>
          <w:sz w:val="20"/>
          <w:szCs w:val="20"/>
        </w:rPr>
        <w:t xml:space="preserve"> above).</w:t>
      </w:r>
      <w:r w:rsidRPr="001D767D">
        <w:rPr>
          <w:rFonts w:ascii="Times New Roman" w:hAnsi="Times New Roman" w:cs="Times New Roman"/>
          <w:sz w:val="20"/>
          <w:szCs w:val="20"/>
          <w:vertAlign w:val="superscript"/>
        </w:rPr>
        <w:footnoteReference w:id="63"/>
      </w:r>
      <w:r w:rsidRPr="001D767D">
        <w:rPr>
          <w:rFonts w:ascii="Times New Roman" w:eastAsia="Times New Roman" w:hAnsi="Times New Roman" w:cs="Times New Roman"/>
          <w:sz w:val="20"/>
          <w:szCs w:val="20"/>
        </w:rPr>
        <w:t xml:space="preserve"> The Party concerned also refer</w:t>
      </w:r>
      <w:r w:rsidR="006D6691" w:rsidRPr="001D767D">
        <w:rPr>
          <w:rFonts w:ascii="Times New Roman" w:eastAsia="Times New Roman" w:hAnsi="Times New Roman" w:cs="Times New Roman"/>
          <w:sz w:val="20"/>
          <w:szCs w:val="20"/>
        </w:rPr>
        <w:t>s</w:t>
      </w:r>
      <w:r w:rsidRPr="001D767D">
        <w:rPr>
          <w:rFonts w:ascii="Times New Roman" w:eastAsia="Times New Roman" w:hAnsi="Times New Roman" w:cs="Times New Roman"/>
          <w:sz w:val="20"/>
          <w:szCs w:val="20"/>
        </w:rPr>
        <w:t xml:space="preserve"> to An </w:t>
      </w:r>
      <w:proofErr w:type="spellStart"/>
      <w:r w:rsidRPr="001D767D">
        <w:rPr>
          <w:rFonts w:ascii="Times New Roman" w:eastAsia="Times New Roman" w:hAnsi="Times New Roman" w:cs="Times New Roman"/>
          <w:sz w:val="20"/>
          <w:szCs w:val="20"/>
        </w:rPr>
        <w:t>Bord</w:t>
      </w:r>
      <w:proofErr w:type="spellEnd"/>
      <w:r w:rsidRPr="001D767D">
        <w:rPr>
          <w:rFonts w:ascii="Times New Roman" w:eastAsia="Times New Roman" w:hAnsi="Times New Roman" w:cs="Times New Roman"/>
          <w:sz w:val="20"/>
          <w:szCs w:val="20"/>
        </w:rPr>
        <w:t xml:space="preserve"> </w:t>
      </w:r>
      <w:proofErr w:type="spellStart"/>
      <w:r w:rsidRPr="001D767D">
        <w:rPr>
          <w:rFonts w:ascii="Times New Roman" w:eastAsia="Times New Roman" w:hAnsi="Times New Roman" w:cs="Times New Roman"/>
          <w:sz w:val="20"/>
          <w:szCs w:val="20"/>
        </w:rPr>
        <w:t>Pleanála’s</w:t>
      </w:r>
      <w:proofErr w:type="spellEnd"/>
      <w:r w:rsidRPr="001D767D">
        <w:rPr>
          <w:rFonts w:ascii="Times New Roman" w:eastAsia="Times New Roman" w:hAnsi="Times New Roman" w:cs="Times New Roman"/>
          <w:sz w:val="20"/>
          <w:szCs w:val="20"/>
        </w:rPr>
        <w:t xml:space="preserve"> refusal of </w:t>
      </w:r>
      <w:r w:rsidR="00260169" w:rsidRPr="001D767D">
        <w:rPr>
          <w:rFonts w:ascii="Times New Roman" w:hAnsi="Times New Roman"/>
          <w:sz w:val="20"/>
        </w:rPr>
        <w:t>a fourth</w:t>
      </w:r>
      <w:r w:rsidR="00260169" w:rsidRPr="001D767D">
        <w:rPr>
          <w:rFonts w:ascii="Times New Roman" w:eastAsia="Times New Roman" w:hAnsi="Times New Roman" w:cs="Times New Roman"/>
          <w:sz w:val="20"/>
          <w:szCs w:val="20"/>
        </w:rPr>
        <w:t xml:space="preserve"> </w:t>
      </w:r>
      <w:r w:rsidR="00EA1821" w:rsidRPr="001D767D">
        <w:rPr>
          <w:rFonts w:ascii="Times New Roman" w:eastAsia="Times New Roman" w:hAnsi="Times New Roman" w:cs="Times New Roman"/>
          <w:sz w:val="20"/>
          <w:szCs w:val="20"/>
        </w:rPr>
        <w:t>permit (</w:t>
      </w:r>
      <w:r w:rsidRPr="001D767D">
        <w:rPr>
          <w:rFonts w:ascii="Times New Roman" w:eastAsia="Times New Roman" w:hAnsi="Times New Roman" w:cs="Times New Roman"/>
          <w:sz w:val="20"/>
          <w:szCs w:val="20"/>
        </w:rPr>
        <w:t xml:space="preserve">reference no. </w:t>
      </w:r>
      <w:r w:rsidR="00C23B71" w:rsidRPr="001D767D">
        <w:rPr>
          <w:rFonts w:ascii="Times New Roman" w:eastAsia="Times New Roman" w:hAnsi="Times New Roman" w:cs="Times New Roman"/>
          <w:sz w:val="20"/>
          <w:szCs w:val="20"/>
        </w:rPr>
        <w:t>TA/</w:t>
      </w:r>
      <w:r w:rsidR="009D36B0" w:rsidRPr="001D767D">
        <w:rPr>
          <w:rFonts w:ascii="Times New Roman" w:eastAsia="Times New Roman" w:hAnsi="Times New Roman" w:cs="Times New Roman"/>
          <w:sz w:val="20"/>
          <w:szCs w:val="20"/>
        </w:rPr>
        <w:t>60629</w:t>
      </w:r>
      <w:r w:rsidR="00EA1821" w:rsidRPr="001D767D">
        <w:rPr>
          <w:rFonts w:ascii="Times New Roman" w:eastAsia="Times New Roman" w:hAnsi="Times New Roman" w:cs="Times New Roman"/>
          <w:sz w:val="20"/>
          <w:szCs w:val="20"/>
        </w:rPr>
        <w:t>,</w:t>
      </w:r>
      <w:r w:rsidRPr="001D767D">
        <w:rPr>
          <w:rFonts w:ascii="Times New Roman" w:eastAsia="Times New Roman" w:hAnsi="Times New Roman" w:cs="Times New Roman"/>
          <w:sz w:val="20"/>
          <w:szCs w:val="20"/>
        </w:rPr>
        <w:t xml:space="preserve"> see paragraph </w:t>
      </w:r>
      <w:r w:rsidR="009D36B0" w:rsidRPr="001D767D">
        <w:rPr>
          <w:rFonts w:ascii="Times New Roman" w:eastAsia="Times New Roman" w:hAnsi="Times New Roman" w:cs="Times New Roman"/>
          <w:sz w:val="20"/>
          <w:szCs w:val="20"/>
        </w:rPr>
        <w:fldChar w:fldCharType="begin"/>
      </w:r>
      <w:r w:rsidR="009D36B0" w:rsidRPr="001D767D">
        <w:rPr>
          <w:rFonts w:ascii="Times New Roman" w:eastAsia="Times New Roman" w:hAnsi="Times New Roman" w:cs="Times New Roman"/>
          <w:sz w:val="20"/>
          <w:szCs w:val="20"/>
        </w:rPr>
        <w:instrText xml:space="preserve"> REF _Ref476762639 \r \h </w:instrText>
      </w:r>
      <w:r w:rsidR="00064AA0" w:rsidRPr="001D767D">
        <w:rPr>
          <w:rFonts w:ascii="Times New Roman" w:eastAsia="Times New Roman" w:hAnsi="Times New Roman" w:cs="Times New Roman"/>
          <w:sz w:val="20"/>
          <w:szCs w:val="20"/>
        </w:rPr>
        <w:instrText xml:space="preserve"> \* MERGEFORMAT </w:instrText>
      </w:r>
      <w:r w:rsidR="009D36B0" w:rsidRPr="001D767D">
        <w:rPr>
          <w:rFonts w:ascii="Times New Roman" w:eastAsia="Times New Roman" w:hAnsi="Times New Roman" w:cs="Times New Roman"/>
          <w:sz w:val="20"/>
          <w:szCs w:val="20"/>
        </w:rPr>
      </w:r>
      <w:r w:rsidR="009D36B0" w:rsidRPr="001D767D">
        <w:rPr>
          <w:rFonts w:ascii="Times New Roman" w:eastAsia="Times New Roman" w:hAnsi="Times New Roman" w:cs="Times New Roman"/>
          <w:sz w:val="20"/>
          <w:szCs w:val="20"/>
        </w:rPr>
        <w:fldChar w:fldCharType="separate"/>
      </w:r>
      <w:r w:rsidR="001D767D" w:rsidRPr="001D767D">
        <w:rPr>
          <w:rFonts w:ascii="Times New Roman" w:eastAsia="Times New Roman" w:hAnsi="Times New Roman" w:cs="Times New Roman"/>
          <w:sz w:val="20"/>
          <w:szCs w:val="20"/>
          <w:cs/>
        </w:rPr>
        <w:t>‎</w:t>
      </w:r>
      <w:r w:rsidR="001D767D" w:rsidRPr="001D767D">
        <w:rPr>
          <w:rFonts w:ascii="Times New Roman" w:eastAsia="Times New Roman" w:hAnsi="Times New Roman" w:cs="Times New Roman"/>
          <w:sz w:val="20"/>
          <w:szCs w:val="20"/>
        </w:rPr>
        <w:t>31</w:t>
      </w:r>
      <w:r w:rsidR="009D36B0" w:rsidRPr="001D767D">
        <w:rPr>
          <w:rFonts w:ascii="Times New Roman" w:eastAsia="Times New Roman" w:hAnsi="Times New Roman" w:cs="Times New Roman"/>
          <w:sz w:val="20"/>
          <w:szCs w:val="20"/>
        </w:rPr>
        <w:fldChar w:fldCharType="end"/>
      </w:r>
      <w:r w:rsidR="001C5B26" w:rsidRPr="001D767D">
        <w:rPr>
          <w:rFonts w:ascii="Times New Roman" w:eastAsia="Times New Roman" w:hAnsi="Times New Roman" w:cs="Times New Roman"/>
          <w:sz w:val="20"/>
          <w:szCs w:val="20"/>
        </w:rPr>
        <w:t xml:space="preserve"> </w:t>
      </w:r>
      <w:r w:rsidRPr="001D767D">
        <w:rPr>
          <w:rFonts w:ascii="Times New Roman" w:eastAsia="Times New Roman" w:hAnsi="Times New Roman" w:cs="Times New Roman"/>
          <w:sz w:val="20"/>
          <w:szCs w:val="20"/>
        </w:rPr>
        <w:t xml:space="preserve">above) </w:t>
      </w:r>
      <w:r w:rsidR="00260169" w:rsidRPr="001D767D">
        <w:rPr>
          <w:rFonts w:ascii="Times New Roman" w:eastAsia="Times New Roman" w:hAnsi="Times New Roman" w:cs="Times New Roman"/>
          <w:sz w:val="20"/>
          <w:szCs w:val="20"/>
        </w:rPr>
        <w:t xml:space="preserve">following an appeal by third parties which the Party concerned submits </w:t>
      </w:r>
      <w:r w:rsidR="00260169" w:rsidRPr="001D767D">
        <w:rPr>
          <w:rFonts w:ascii="Times New Roman" w:hAnsi="Times New Roman" w:cs="Times New Roman"/>
          <w:sz w:val="20"/>
          <w:szCs w:val="20"/>
        </w:rPr>
        <w:t>is a clear indication of the successful application of public participation in decisions on specific activities</w:t>
      </w:r>
      <w:r w:rsidRPr="001D767D">
        <w:rPr>
          <w:rFonts w:ascii="Times New Roman" w:eastAsia="Times New Roman" w:hAnsi="Times New Roman" w:cs="Times New Roman"/>
          <w:sz w:val="20"/>
          <w:szCs w:val="20"/>
        </w:rPr>
        <w:t>.</w:t>
      </w:r>
      <w:r w:rsidRPr="001D767D">
        <w:rPr>
          <w:rFonts w:ascii="Times New Roman" w:hAnsi="Times New Roman" w:cs="Times New Roman"/>
          <w:sz w:val="20"/>
          <w:szCs w:val="20"/>
          <w:vertAlign w:val="superscript"/>
        </w:rPr>
        <w:footnoteReference w:id="64"/>
      </w:r>
      <w:bookmarkEnd w:id="20"/>
      <w:r w:rsidRPr="001D767D">
        <w:rPr>
          <w:rFonts w:ascii="Times New Roman" w:eastAsia="Times New Roman" w:hAnsi="Times New Roman" w:cs="Times New Roman"/>
          <w:sz w:val="20"/>
          <w:szCs w:val="20"/>
        </w:rPr>
        <w:t xml:space="preserve"> </w:t>
      </w:r>
      <w:bookmarkEnd w:id="21"/>
    </w:p>
    <w:p w14:paraId="37C3103F" w14:textId="7231A3B2" w:rsidR="005C5637" w:rsidRPr="001D767D" w:rsidRDefault="005C5637" w:rsidP="00AA3F2F">
      <w:pPr>
        <w:numPr>
          <w:ilvl w:val="0"/>
          <w:numId w:val="2"/>
        </w:numPr>
        <w:tabs>
          <w:tab w:val="right" w:pos="993"/>
          <w:tab w:val="left" w:pos="1080"/>
        </w:tabs>
        <w:spacing w:after="120" w:line="240" w:lineRule="atLeast"/>
        <w:ind w:left="540" w:right="-1" w:firstLine="0"/>
        <w:jc w:val="both"/>
        <w:rPr>
          <w:rFonts w:ascii="Times New Roman" w:eastAsia="Times New Roman" w:hAnsi="Times New Roman" w:cs="Times New Roman"/>
          <w:sz w:val="20"/>
          <w:szCs w:val="20"/>
        </w:rPr>
      </w:pPr>
      <w:r w:rsidRPr="001D767D">
        <w:rPr>
          <w:rFonts w:ascii="Times New Roman" w:eastAsia="Times New Roman" w:hAnsi="Times New Roman" w:cs="Times New Roman"/>
          <w:sz w:val="20"/>
          <w:szCs w:val="20"/>
        </w:rPr>
        <w:t xml:space="preserve">With respect to the 2010 permit, the Party concerned submits that an environmental impact statement was included with the </w:t>
      </w:r>
      <w:r w:rsidR="00152018" w:rsidRPr="001D767D">
        <w:rPr>
          <w:rFonts w:ascii="Times New Roman" w:eastAsia="Times New Roman" w:hAnsi="Times New Roman" w:cs="Times New Roman"/>
          <w:sz w:val="20"/>
          <w:szCs w:val="20"/>
        </w:rPr>
        <w:t>permit</w:t>
      </w:r>
      <w:r w:rsidRPr="001D767D">
        <w:rPr>
          <w:rFonts w:ascii="Times New Roman" w:eastAsia="Times New Roman" w:hAnsi="Times New Roman" w:cs="Times New Roman"/>
          <w:sz w:val="20"/>
          <w:szCs w:val="20"/>
        </w:rPr>
        <w:t xml:space="preserve"> application and, as it was a sub-threshold development, article 102 of the Planning and Development Regulations 2001, as amended, applied (see para. </w:t>
      </w:r>
      <w:r w:rsidRPr="001D767D">
        <w:rPr>
          <w:rFonts w:ascii="Times New Roman" w:eastAsia="Times New Roman" w:hAnsi="Times New Roman" w:cs="Times New Roman"/>
          <w:sz w:val="20"/>
          <w:szCs w:val="20"/>
        </w:rPr>
        <w:fldChar w:fldCharType="begin"/>
      </w:r>
      <w:r w:rsidRPr="001D767D">
        <w:rPr>
          <w:rFonts w:ascii="Times New Roman" w:eastAsia="Times New Roman" w:hAnsi="Times New Roman" w:cs="Times New Roman"/>
          <w:sz w:val="20"/>
          <w:szCs w:val="20"/>
        </w:rPr>
        <w:instrText xml:space="preserve"> REF _Ref11855405 \r \h </w:instrText>
      </w:r>
      <w:r w:rsidR="003F6930" w:rsidRPr="001D767D">
        <w:rPr>
          <w:rFonts w:ascii="Times New Roman" w:eastAsia="Times New Roman" w:hAnsi="Times New Roman" w:cs="Times New Roman"/>
          <w:sz w:val="20"/>
          <w:szCs w:val="20"/>
        </w:rPr>
        <w:instrText xml:space="preserve"> \* MERGEFORMAT </w:instrText>
      </w:r>
      <w:r w:rsidRPr="001D767D">
        <w:rPr>
          <w:rFonts w:ascii="Times New Roman" w:eastAsia="Times New Roman" w:hAnsi="Times New Roman" w:cs="Times New Roman"/>
          <w:sz w:val="20"/>
          <w:szCs w:val="20"/>
        </w:rPr>
      </w:r>
      <w:r w:rsidRPr="001D767D">
        <w:rPr>
          <w:rFonts w:ascii="Times New Roman" w:eastAsia="Times New Roman" w:hAnsi="Times New Roman" w:cs="Times New Roman"/>
          <w:sz w:val="20"/>
          <w:szCs w:val="20"/>
        </w:rPr>
        <w:fldChar w:fldCharType="separate"/>
      </w:r>
      <w:r w:rsidR="001D767D" w:rsidRPr="001D767D">
        <w:rPr>
          <w:rFonts w:ascii="Times New Roman" w:eastAsia="Times New Roman" w:hAnsi="Times New Roman" w:cs="Times New Roman"/>
          <w:sz w:val="20"/>
          <w:szCs w:val="20"/>
          <w:cs/>
        </w:rPr>
        <w:t>‎</w:t>
      </w:r>
      <w:r w:rsidR="001D767D" w:rsidRPr="001D767D">
        <w:rPr>
          <w:rFonts w:ascii="Times New Roman" w:eastAsia="Times New Roman" w:hAnsi="Times New Roman" w:cs="Times New Roman"/>
          <w:sz w:val="20"/>
          <w:szCs w:val="20"/>
        </w:rPr>
        <w:t>25</w:t>
      </w:r>
      <w:r w:rsidRPr="001D767D">
        <w:rPr>
          <w:rFonts w:ascii="Times New Roman" w:eastAsia="Times New Roman" w:hAnsi="Times New Roman" w:cs="Times New Roman"/>
          <w:sz w:val="20"/>
          <w:szCs w:val="20"/>
        </w:rPr>
        <w:fldChar w:fldCharType="end"/>
      </w:r>
      <w:r w:rsidRPr="001D767D">
        <w:rPr>
          <w:rFonts w:ascii="Times New Roman" w:eastAsia="Times New Roman" w:hAnsi="Times New Roman" w:cs="Times New Roman"/>
          <w:sz w:val="20"/>
          <w:szCs w:val="20"/>
        </w:rPr>
        <w:t xml:space="preserve"> above).</w:t>
      </w:r>
      <w:r w:rsidRPr="001D767D">
        <w:rPr>
          <w:rStyle w:val="FootnoteReference"/>
          <w:rFonts w:ascii="Times New Roman" w:eastAsia="Times New Roman" w:hAnsi="Times New Roman" w:cs="Times New Roman"/>
          <w:sz w:val="20"/>
          <w:szCs w:val="20"/>
        </w:rPr>
        <w:footnoteReference w:id="65"/>
      </w:r>
    </w:p>
    <w:p w14:paraId="23B4E133" w14:textId="08129C50" w:rsidR="00FC1568" w:rsidRPr="001D767D" w:rsidRDefault="00FC1568" w:rsidP="001D767D">
      <w:pPr>
        <w:tabs>
          <w:tab w:val="right" w:pos="993"/>
          <w:tab w:val="left" w:pos="1080"/>
        </w:tabs>
        <w:spacing w:before="240" w:after="120" w:line="240" w:lineRule="atLeast"/>
        <w:ind w:left="540" w:right="-1"/>
        <w:jc w:val="both"/>
        <w:rPr>
          <w:rFonts w:ascii="Times New Roman" w:eastAsia="Times New Roman" w:hAnsi="Times New Roman" w:cs="Times New Roman"/>
          <w:b/>
          <w:sz w:val="20"/>
          <w:szCs w:val="20"/>
        </w:rPr>
      </w:pPr>
      <w:r w:rsidRPr="001D767D">
        <w:rPr>
          <w:rFonts w:ascii="Times New Roman" w:eastAsia="Times New Roman" w:hAnsi="Times New Roman" w:cs="Times New Roman"/>
          <w:b/>
          <w:sz w:val="20"/>
          <w:szCs w:val="20"/>
        </w:rPr>
        <w:t>A</w:t>
      </w:r>
      <w:r w:rsidR="00DE2549" w:rsidRPr="001D767D">
        <w:rPr>
          <w:rFonts w:ascii="Times New Roman" w:eastAsia="Times New Roman" w:hAnsi="Times New Roman" w:cs="Times New Roman"/>
          <w:b/>
          <w:sz w:val="20"/>
          <w:szCs w:val="20"/>
        </w:rPr>
        <w:t>pplicability of a</w:t>
      </w:r>
      <w:r w:rsidRPr="001D767D">
        <w:rPr>
          <w:rFonts w:ascii="Times New Roman" w:eastAsia="Times New Roman" w:hAnsi="Times New Roman" w:cs="Times New Roman"/>
          <w:b/>
          <w:sz w:val="20"/>
          <w:szCs w:val="20"/>
        </w:rPr>
        <w:t>rticle 7 of the Convention</w:t>
      </w:r>
    </w:p>
    <w:p w14:paraId="6D3013F4" w14:textId="73CB406D" w:rsidR="00FC1568" w:rsidRPr="001D767D" w:rsidRDefault="00FC1568" w:rsidP="00784840">
      <w:pPr>
        <w:numPr>
          <w:ilvl w:val="0"/>
          <w:numId w:val="2"/>
        </w:numPr>
        <w:tabs>
          <w:tab w:val="right" w:pos="993"/>
          <w:tab w:val="left" w:pos="1080"/>
        </w:tabs>
        <w:spacing w:after="120" w:line="240" w:lineRule="atLeast"/>
        <w:ind w:left="540" w:right="-1" w:firstLine="0"/>
        <w:jc w:val="both"/>
        <w:rPr>
          <w:rFonts w:ascii="Times New Roman" w:eastAsia="Times New Roman" w:hAnsi="Times New Roman" w:cs="Times New Roman"/>
          <w:sz w:val="20"/>
          <w:szCs w:val="20"/>
        </w:rPr>
      </w:pPr>
      <w:r w:rsidRPr="001D767D">
        <w:rPr>
          <w:rFonts w:ascii="Times New Roman" w:eastAsia="Times New Roman" w:hAnsi="Times New Roman" w:cs="Times New Roman"/>
          <w:sz w:val="20"/>
          <w:szCs w:val="20"/>
        </w:rPr>
        <w:t>The communicant</w:t>
      </w:r>
      <w:r w:rsidR="00DE2549" w:rsidRPr="001D767D">
        <w:rPr>
          <w:rFonts w:ascii="Times New Roman" w:eastAsia="Times New Roman" w:hAnsi="Times New Roman" w:cs="Times New Roman"/>
          <w:sz w:val="20"/>
          <w:szCs w:val="20"/>
        </w:rPr>
        <w:t xml:space="preserve"> alleges that the 2013 </w:t>
      </w:r>
      <w:r w:rsidR="00DE2549" w:rsidRPr="001D767D">
        <w:rPr>
          <w:rFonts w:ascii="Times New Roman" w:hAnsi="Times New Roman"/>
          <w:sz w:val="20"/>
        </w:rPr>
        <w:t>permission</w:t>
      </w:r>
      <w:r w:rsidR="00DE2549" w:rsidRPr="001D767D">
        <w:rPr>
          <w:rFonts w:ascii="Times New Roman" w:eastAsia="Times New Roman" w:hAnsi="Times New Roman" w:cs="Times New Roman"/>
          <w:sz w:val="20"/>
          <w:szCs w:val="20"/>
        </w:rPr>
        <w:t xml:space="preserve"> to extend the duration of the quarry </w:t>
      </w:r>
      <w:r w:rsidRPr="001D767D">
        <w:rPr>
          <w:rFonts w:ascii="Times New Roman" w:eastAsia="Times New Roman" w:hAnsi="Times New Roman" w:cs="Times New Roman"/>
          <w:sz w:val="20"/>
          <w:szCs w:val="20"/>
        </w:rPr>
        <w:t>is a plan and as such all planning permissions in Ireland are governed by</w:t>
      </w:r>
      <w:r w:rsidR="004974CA" w:rsidRPr="001D767D">
        <w:rPr>
          <w:rFonts w:ascii="Times New Roman" w:eastAsia="Times New Roman" w:hAnsi="Times New Roman" w:cs="Times New Roman"/>
          <w:sz w:val="20"/>
          <w:szCs w:val="20"/>
        </w:rPr>
        <w:t xml:space="preserve"> the</w:t>
      </w:r>
      <w:r w:rsidRPr="001D767D">
        <w:rPr>
          <w:rFonts w:ascii="Times New Roman" w:eastAsia="Times New Roman" w:hAnsi="Times New Roman" w:cs="Times New Roman"/>
          <w:sz w:val="20"/>
          <w:szCs w:val="20"/>
        </w:rPr>
        <w:t xml:space="preserve"> Planning and Development Act</w:t>
      </w:r>
      <w:r w:rsidR="009D41FC" w:rsidRPr="001D767D">
        <w:rPr>
          <w:rFonts w:ascii="Times New Roman" w:eastAsia="Times New Roman" w:hAnsi="Times New Roman" w:cs="Times New Roman"/>
          <w:sz w:val="20"/>
          <w:szCs w:val="20"/>
        </w:rPr>
        <w:t xml:space="preserve"> 2000</w:t>
      </w:r>
      <w:r w:rsidRPr="001D767D">
        <w:rPr>
          <w:rFonts w:ascii="Times New Roman" w:eastAsia="Times New Roman" w:hAnsi="Times New Roman" w:cs="Times New Roman"/>
          <w:sz w:val="20"/>
          <w:szCs w:val="20"/>
        </w:rPr>
        <w:t xml:space="preserve">. He </w:t>
      </w:r>
      <w:r w:rsidR="00260169" w:rsidRPr="001D767D">
        <w:rPr>
          <w:rFonts w:ascii="Times New Roman" w:eastAsia="Times New Roman" w:hAnsi="Times New Roman" w:cs="Times New Roman"/>
          <w:sz w:val="20"/>
          <w:szCs w:val="20"/>
        </w:rPr>
        <w:t>states</w:t>
      </w:r>
      <w:r w:rsidRPr="001D767D">
        <w:rPr>
          <w:rFonts w:ascii="Times New Roman" w:eastAsia="Times New Roman" w:hAnsi="Times New Roman" w:cs="Times New Roman"/>
          <w:sz w:val="20"/>
          <w:szCs w:val="20"/>
        </w:rPr>
        <w:t xml:space="preserve"> that section 32 of that Act imposes a general obligation to obtain permission.</w:t>
      </w:r>
      <w:r w:rsidRPr="001D767D">
        <w:rPr>
          <w:rFonts w:ascii="Times New Roman" w:hAnsi="Times New Roman" w:cs="Times New Roman"/>
          <w:sz w:val="20"/>
          <w:szCs w:val="20"/>
          <w:vertAlign w:val="superscript"/>
        </w:rPr>
        <w:footnoteReference w:id="66"/>
      </w:r>
    </w:p>
    <w:p w14:paraId="687A5AD8" w14:textId="4263C214" w:rsidR="00FC1568" w:rsidRPr="001D767D" w:rsidRDefault="00FC1568" w:rsidP="00784840">
      <w:pPr>
        <w:numPr>
          <w:ilvl w:val="0"/>
          <w:numId w:val="2"/>
        </w:numPr>
        <w:tabs>
          <w:tab w:val="right" w:pos="993"/>
          <w:tab w:val="left" w:pos="1080"/>
        </w:tabs>
        <w:spacing w:after="120" w:line="240" w:lineRule="atLeast"/>
        <w:ind w:left="540" w:right="-1" w:firstLine="0"/>
        <w:jc w:val="both"/>
        <w:rPr>
          <w:rFonts w:ascii="Times New Roman" w:eastAsia="Times New Roman" w:hAnsi="Times New Roman" w:cs="Times New Roman"/>
          <w:sz w:val="20"/>
          <w:szCs w:val="20"/>
        </w:rPr>
      </w:pPr>
      <w:r w:rsidRPr="001D767D">
        <w:rPr>
          <w:rFonts w:ascii="Times New Roman" w:eastAsia="Times New Roman" w:hAnsi="Times New Roman" w:cs="Times New Roman"/>
          <w:sz w:val="20"/>
          <w:szCs w:val="20"/>
        </w:rPr>
        <w:t xml:space="preserve">The Party concerned </w:t>
      </w:r>
      <w:r w:rsidR="00DE2549" w:rsidRPr="001D767D">
        <w:rPr>
          <w:rFonts w:ascii="Times New Roman" w:eastAsia="Times New Roman" w:hAnsi="Times New Roman" w:cs="Times New Roman"/>
          <w:sz w:val="20"/>
          <w:szCs w:val="20"/>
        </w:rPr>
        <w:t xml:space="preserve">points out </w:t>
      </w:r>
      <w:r w:rsidRPr="001D767D">
        <w:rPr>
          <w:rFonts w:ascii="Times New Roman" w:eastAsia="Times New Roman" w:hAnsi="Times New Roman" w:cs="Times New Roman"/>
          <w:sz w:val="20"/>
          <w:szCs w:val="20"/>
        </w:rPr>
        <w:t>that the subject matter of the communication relates to the extension of the duration of a permitted development</w:t>
      </w:r>
      <w:r w:rsidR="00DE2549" w:rsidRPr="001D767D">
        <w:rPr>
          <w:rFonts w:ascii="Times New Roman" w:eastAsia="Times New Roman" w:hAnsi="Times New Roman" w:cs="Times New Roman"/>
          <w:sz w:val="20"/>
          <w:szCs w:val="20"/>
        </w:rPr>
        <w:t xml:space="preserve"> </w:t>
      </w:r>
      <w:r w:rsidRPr="001D767D">
        <w:rPr>
          <w:rFonts w:ascii="Times New Roman" w:eastAsia="Times New Roman" w:hAnsi="Times New Roman" w:cs="Times New Roman"/>
          <w:sz w:val="20"/>
          <w:szCs w:val="20"/>
        </w:rPr>
        <w:t xml:space="preserve">activity (in this case quarrying activity) under section 42 of the Planning </w:t>
      </w:r>
      <w:r w:rsidR="00DE2549" w:rsidRPr="001D767D">
        <w:rPr>
          <w:rFonts w:ascii="Times New Roman" w:eastAsia="Times New Roman" w:hAnsi="Times New Roman" w:cs="Times New Roman"/>
          <w:sz w:val="20"/>
          <w:szCs w:val="20"/>
        </w:rPr>
        <w:t>and</w:t>
      </w:r>
      <w:r w:rsidRPr="001D767D">
        <w:rPr>
          <w:rFonts w:ascii="Times New Roman" w:eastAsia="Times New Roman" w:hAnsi="Times New Roman" w:cs="Times New Roman"/>
          <w:sz w:val="20"/>
          <w:szCs w:val="20"/>
        </w:rPr>
        <w:t xml:space="preserve"> Development </w:t>
      </w:r>
      <w:r w:rsidR="00260169" w:rsidRPr="001D767D">
        <w:rPr>
          <w:rFonts w:ascii="Times New Roman" w:eastAsia="Times New Roman" w:hAnsi="Times New Roman" w:cs="Times New Roman"/>
          <w:sz w:val="20"/>
          <w:szCs w:val="20"/>
        </w:rPr>
        <w:t>Act</w:t>
      </w:r>
      <w:r w:rsidR="009D41FC" w:rsidRPr="001D767D">
        <w:rPr>
          <w:rFonts w:ascii="Times New Roman" w:eastAsia="Times New Roman" w:hAnsi="Times New Roman" w:cs="Times New Roman"/>
          <w:sz w:val="20"/>
          <w:szCs w:val="20"/>
        </w:rPr>
        <w:t xml:space="preserve"> 2000</w:t>
      </w:r>
      <w:r w:rsidRPr="001D767D">
        <w:rPr>
          <w:rFonts w:ascii="Times New Roman" w:eastAsia="Times New Roman" w:hAnsi="Times New Roman" w:cs="Times New Roman"/>
          <w:sz w:val="20"/>
          <w:szCs w:val="20"/>
        </w:rPr>
        <w:t xml:space="preserve">. </w:t>
      </w:r>
      <w:r w:rsidR="00000BFB" w:rsidRPr="001D767D">
        <w:rPr>
          <w:rFonts w:ascii="Times New Roman" w:eastAsia="Times New Roman" w:hAnsi="Times New Roman" w:cs="Times New Roman"/>
          <w:sz w:val="20"/>
          <w:szCs w:val="20"/>
        </w:rPr>
        <w:t>It</w:t>
      </w:r>
      <w:r w:rsidR="00DE2549" w:rsidRPr="001D767D">
        <w:rPr>
          <w:rFonts w:ascii="Times New Roman" w:eastAsia="Times New Roman" w:hAnsi="Times New Roman" w:cs="Times New Roman"/>
          <w:sz w:val="20"/>
          <w:szCs w:val="20"/>
        </w:rPr>
        <w:t xml:space="preserve"> submits that the extension</w:t>
      </w:r>
      <w:r w:rsidRPr="001D767D">
        <w:rPr>
          <w:rFonts w:ascii="Times New Roman" w:eastAsia="Times New Roman" w:hAnsi="Times New Roman" w:cs="Times New Roman"/>
          <w:sz w:val="20"/>
          <w:szCs w:val="20"/>
        </w:rPr>
        <w:t xml:space="preserve"> clearly does not relate to the preparation of plans, programmes and policies relating to the environment </w:t>
      </w:r>
      <w:r w:rsidR="00DE2549" w:rsidRPr="001D767D">
        <w:rPr>
          <w:rFonts w:ascii="Times New Roman" w:eastAsia="Times New Roman" w:hAnsi="Times New Roman" w:cs="Times New Roman"/>
          <w:sz w:val="20"/>
          <w:szCs w:val="20"/>
        </w:rPr>
        <w:t>as envisaged in article 7 of</w:t>
      </w:r>
      <w:r w:rsidRPr="001D767D">
        <w:rPr>
          <w:rFonts w:ascii="Times New Roman" w:eastAsia="Times New Roman" w:hAnsi="Times New Roman" w:cs="Times New Roman"/>
          <w:sz w:val="20"/>
          <w:szCs w:val="20"/>
        </w:rPr>
        <w:t xml:space="preserve"> the Convention</w:t>
      </w:r>
      <w:r w:rsidR="006F3CFD" w:rsidRPr="001D767D">
        <w:rPr>
          <w:rFonts w:ascii="Times New Roman" w:eastAsia="Times New Roman" w:hAnsi="Times New Roman" w:cs="Times New Roman"/>
          <w:sz w:val="20"/>
          <w:szCs w:val="20"/>
        </w:rPr>
        <w:t xml:space="preserve">. </w:t>
      </w:r>
      <w:r w:rsidRPr="001D767D">
        <w:rPr>
          <w:rFonts w:ascii="Times New Roman" w:eastAsia="Times New Roman" w:hAnsi="Times New Roman" w:cs="Times New Roman"/>
          <w:sz w:val="20"/>
          <w:szCs w:val="20"/>
        </w:rPr>
        <w:t>The Party concerned submits that</w:t>
      </w:r>
      <w:r w:rsidR="006F3CFD" w:rsidRPr="001D767D">
        <w:rPr>
          <w:rFonts w:ascii="Times New Roman" w:eastAsia="Times New Roman" w:hAnsi="Times New Roman" w:cs="Times New Roman"/>
          <w:sz w:val="20"/>
          <w:szCs w:val="20"/>
        </w:rPr>
        <w:t xml:space="preserve"> the</w:t>
      </w:r>
      <w:r w:rsidRPr="001D767D">
        <w:rPr>
          <w:rFonts w:ascii="Times New Roman" w:eastAsia="Times New Roman" w:hAnsi="Times New Roman" w:cs="Times New Roman"/>
          <w:sz w:val="20"/>
          <w:szCs w:val="20"/>
        </w:rPr>
        <w:t xml:space="preserve"> commun</w:t>
      </w:r>
      <w:r w:rsidR="006F3CFD" w:rsidRPr="001D767D">
        <w:rPr>
          <w:rFonts w:ascii="Times New Roman" w:eastAsia="Times New Roman" w:hAnsi="Times New Roman" w:cs="Times New Roman"/>
          <w:sz w:val="20"/>
          <w:szCs w:val="20"/>
        </w:rPr>
        <w:t>i</w:t>
      </w:r>
      <w:r w:rsidRPr="001D767D">
        <w:rPr>
          <w:rFonts w:ascii="Times New Roman" w:eastAsia="Times New Roman" w:hAnsi="Times New Roman" w:cs="Times New Roman"/>
          <w:sz w:val="20"/>
          <w:szCs w:val="20"/>
        </w:rPr>
        <w:t xml:space="preserve">cant’s allegation under article 7 of the Convention is </w:t>
      </w:r>
      <w:r w:rsidR="006F3CFD" w:rsidRPr="001D767D">
        <w:rPr>
          <w:rFonts w:ascii="Times New Roman" w:eastAsia="Times New Roman" w:hAnsi="Times New Roman" w:cs="Times New Roman"/>
          <w:sz w:val="20"/>
          <w:szCs w:val="20"/>
        </w:rPr>
        <w:t xml:space="preserve">therefore </w:t>
      </w:r>
      <w:r w:rsidRPr="001D767D">
        <w:rPr>
          <w:rFonts w:ascii="Times New Roman" w:eastAsia="Times New Roman" w:hAnsi="Times New Roman" w:cs="Times New Roman"/>
          <w:sz w:val="20"/>
          <w:szCs w:val="20"/>
        </w:rPr>
        <w:t>manifestly unfounded.</w:t>
      </w:r>
      <w:r w:rsidR="002A5D4D" w:rsidRPr="001D767D">
        <w:rPr>
          <w:rFonts w:ascii="Times New Roman" w:hAnsi="Times New Roman" w:cs="Times New Roman"/>
          <w:sz w:val="20"/>
          <w:szCs w:val="20"/>
          <w:vertAlign w:val="superscript"/>
        </w:rPr>
        <w:footnoteReference w:id="67"/>
      </w:r>
    </w:p>
    <w:p w14:paraId="38FBFD31" w14:textId="77777777" w:rsidR="00FC1568" w:rsidRPr="001D767D" w:rsidRDefault="00FC1568" w:rsidP="006F3CFD">
      <w:pPr>
        <w:pStyle w:val="Heading2"/>
        <w:tabs>
          <w:tab w:val="right" w:pos="567"/>
        </w:tabs>
        <w:ind w:right="-1"/>
        <w:rPr>
          <w:szCs w:val="28"/>
        </w:rPr>
      </w:pPr>
      <w:r w:rsidRPr="001D767D">
        <w:rPr>
          <w:szCs w:val="28"/>
        </w:rPr>
        <w:lastRenderedPageBreak/>
        <w:t>Consideration and evaluation by the Committee</w:t>
      </w:r>
    </w:p>
    <w:p w14:paraId="362D09C8" w14:textId="081960F8" w:rsidR="00FC1568" w:rsidRPr="001D767D" w:rsidRDefault="00FC1568" w:rsidP="00784840">
      <w:pPr>
        <w:numPr>
          <w:ilvl w:val="0"/>
          <w:numId w:val="2"/>
        </w:numPr>
        <w:tabs>
          <w:tab w:val="right" w:pos="993"/>
          <w:tab w:val="left" w:pos="1080"/>
        </w:tabs>
        <w:spacing w:after="120" w:line="240" w:lineRule="atLeast"/>
        <w:ind w:left="540" w:right="-1" w:firstLine="0"/>
        <w:jc w:val="both"/>
        <w:rPr>
          <w:rFonts w:ascii="Times New Roman" w:eastAsia="Times New Roman" w:hAnsi="Times New Roman" w:cs="Times New Roman"/>
          <w:sz w:val="20"/>
          <w:szCs w:val="20"/>
        </w:rPr>
      </w:pPr>
      <w:r w:rsidRPr="001D767D">
        <w:rPr>
          <w:rFonts w:ascii="Times New Roman" w:eastAsia="Times New Roman" w:hAnsi="Times New Roman" w:cs="Times New Roman"/>
          <w:sz w:val="20"/>
          <w:szCs w:val="20"/>
        </w:rPr>
        <w:t xml:space="preserve">Ireland deposited its instrument of ratification of the Convention on 20 June 2012, meaning that the Convention entered into force for </w:t>
      </w:r>
      <w:r w:rsidR="00000BFB" w:rsidRPr="001D767D">
        <w:rPr>
          <w:rFonts w:ascii="Times New Roman" w:eastAsia="Times New Roman" w:hAnsi="Times New Roman" w:cs="Times New Roman"/>
          <w:sz w:val="20"/>
          <w:szCs w:val="20"/>
        </w:rPr>
        <w:t xml:space="preserve">the Party concerned </w:t>
      </w:r>
      <w:r w:rsidRPr="001D767D">
        <w:rPr>
          <w:rFonts w:ascii="Times New Roman" w:eastAsia="Times New Roman" w:hAnsi="Times New Roman" w:cs="Times New Roman"/>
          <w:sz w:val="20"/>
          <w:szCs w:val="20"/>
        </w:rPr>
        <w:t>on 18 September 2012 i.e. ninety days after the date of deposit of the instrument of ratification.</w:t>
      </w:r>
    </w:p>
    <w:p w14:paraId="54627A3D" w14:textId="391C1CFE" w:rsidR="00FC1568" w:rsidRPr="001D767D" w:rsidRDefault="00FC1568" w:rsidP="001D767D">
      <w:pPr>
        <w:tabs>
          <w:tab w:val="right" w:pos="993"/>
          <w:tab w:val="left" w:pos="1080"/>
        </w:tabs>
        <w:spacing w:before="240" w:after="120" w:line="240" w:lineRule="atLeast"/>
        <w:ind w:left="540" w:right="-1"/>
        <w:jc w:val="both"/>
        <w:rPr>
          <w:rFonts w:ascii="Times New Roman" w:eastAsia="Times New Roman" w:hAnsi="Times New Roman" w:cs="Times New Roman"/>
          <w:b/>
          <w:sz w:val="20"/>
          <w:szCs w:val="20"/>
        </w:rPr>
      </w:pPr>
      <w:r w:rsidRPr="001D767D">
        <w:rPr>
          <w:rFonts w:ascii="Times New Roman" w:eastAsia="Times New Roman" w:hAnsi="Times New Roman" w:cs="Times New Roman"/>
          <w:b/>
          <w:sz w:val="20"/>
          <w:szCs w:val="20"/>
        </w:rPr>
        <w:t>Admissibility and exhaustion of domestic remedies</w:t>
      </w:r>
    </w:p>
    <w:p w14:paraId="721B57C2" w14:textId="1E4BF776" w:rsidR="00975B7A" w:rsidRPr="001D767D" w:rsidRDefault="00975B7A" w:rsidP="00784840">
      <w:pPr>
        <w:numPr>
          <w:ilvl w:val="0"/>
          <w:numId w:val="2"/>
        </w:numPr>
        <w:tabs>
          <w:tab w:val="right" w:pos="993"/>
          <w:tab w:val="left" w:pos="1080"/>
        </w:tabs>
        <w:spacing w:after="120" w:line="240" w:lineRule="atLeast"/>
        <w:ind w:left="540" w:right="-1" w:firstLine="0"/>
        <w:jc w:val="both"/>
        <w:rPr>
          <w:rFonts w:ascii="Times New Roman" w:eastAsia="Times New Roman" w:hAnsi="Times New Roman" w:cs="Times New Roman"/>
          <w:sz w:val="20"/>
          <w:szCs w:val="20"/>
        </w:rPr>
      </w:pPr>
      <w:r w:rsidRPr="001D767D">
        <w:rPr>
          <w:rFonts w:ascii="Times New Roman" w:eastAsia="Times New Roman" w:hAnsi="Times New Roman" w:cs="Times New Roman"/>
          <w:sz w:val="20"/>
          <w:szCs w:val="20"/>
        </w:rPr>
        <w:t xml:space="preserve">The Party concerned submits that the communication should be found to be inadmissible in accordance with paragraphs 20 and 21 of the </w:t>
      </w:r>
      <w:proofErr w:type="gramStart"/>
      <w:r w:rsidRPr="001D767D">
        <w:rPr>
          <w:rFonts w:ascii="Times New Roman" w:eastAsia="Times New Roman" w:hAnsi="Times New Roman" w:cs="Times New Roman"/>
          <w:sz w:val="20"/>
          <w:szCs w:val="20"/>
        </w:rPr>
        <w:t>annex</w:t>
      </w:r>
      <w:proofErr w:type="gramEnd"/>
      <w:r w:rsidRPr="001D767D">
        <w:rPr>
          <w:rFonts w:ascii="Times New Roman" w:eastAsia="Times New Roman" w:hAnsi="Times New Roman" w:cs="Times New Roman"/>
          <w:sz w:val="20"/>
          <w:szCs w:val="20"/>
        </w:rPr>
        <w:t xml:space="preserve"> to decision I/7 for failure to exhaust domestic remedies. It asserts the communicant had two windows to exhaust domestic </w:t>
      </w:r>
      <w:proofErr w:type="gramStart"/>
      <w:r w:rsidRPr="001D767D">
        <w:rPr>
          <w:rFonts w:ascii="Times New Roman" w:eastAsia="Times New Roman" w:hAnsi="Times New Roman" w:cs="Times New Roman"/>
          <w:sz w:val="20"/>
          <w:szCs w:val="20"/>
        </w:rPr>
        <w:t>remedies, but</w:t>
      </w:r>
      <w:proofErr w:type="gramEnd"/>
      <w:r w:rsidRPr="001D767D">
        <w:rPr>
          <w:rFonts w:ascii="Times New Roman" w:eastAsia="Times New Roman" w:hAnsi="Times New Roman" w:cs="Times New Roman"/>
          <w:sz w:val="20"/>
          <w:szCs w:val="20"/>
        </w:rPr>
        <w:t xml:space="preserve"> used neither. First, he could have challenged the permits granted in 2004 and 2010 </w:t>
      </w:r>
      <w:r w:rsidR="00AD786C" w:rsidRPr="001D767D">
        <w:rPr>
          <w:rFonts w:ascii="Times New Roman" w:eastAsia="Times New Roman" w:hAnsi="Times New Roman" w:cs="Times New Roman"/>
          <w:sz w:val="20"/>
          <w:szCs w:val="20"/>
        </w:rPr>
        <w:t>(</w:t>
      </w:r>
      <w:r w:rsidRPr="001D767D">
        <w:rPr>
          <w:rFonts w:ascii="Times New Roman" w:eastAsia="Times New Roman" w:hAnsi="Times New Roman" w:cs="Times New Roman"/>
          <w:sz w:val="20"/>
          <w:szCs w:val="20"/>
        </w:rPr>
        <w:t xml:space="preserve">which had each been subject to </w:t>
      </w:r>
      <w:r w:rsidR="00551615" w:rsidRPr="001D767D">
        <w:rPr>
          <w:rFonts w:ascii="Times New Roman" w:eastAsia="Times New Roman" w:hAnsi="Times New Roman" w:cs="Times New Roman"/>
          <w:sz w:val="20"/>
          <w:szCs w:val="20"/>
        </w:rPr>
        <w:t>environmental impact assessment</w:t>
      </w:r>
      <w:r w:rsidRPr="001D767D">
        <w:rPr>
          <w:rFonts w:ascii="Times New Roman" w:eastAsia="Times New Roman" w:hAnsi="Times New Roman" w:cs="Times New Roman"/>
          <w:sz w:val="20"/>
          <w:szCs w:val="20"/>
        </w:rPr>
        <w:t xml:space="preserve"> and public participation</w:t>
      </w:r>
      <w:r w:rsidR="00AD786C" w:rsidRPr="001D767D">
        <w:rPr>
          <w:rFonts w:ascii="Times New Roman" w:eastAsia="Times New Roman" w:hAnsi="Times New Roman" w:cs="Times New Roman"/>
          <w:sz w:val="20"/>
          <w:szCs w:val="20"/>
        </w:rPr>
        <w:t>)</w:t>
      </w:r>
      <w:r w:rsidRPr="001D767D">
        <w:rPr>
          <w:rFonts w:ascii="Times New Roman" w:eastAsia="Times New Roman" w:hAnsi="Times New Roman" w:cs="Times New Roman"/>
          <w:sz w:val="20"/>
          <w:szCs w:val="20"/>
        </w:rPr>
        <w:t xml:space="preserve"> at the time they were granted. Second, he could have challenged the 2013 decisions to extend the duration of the earlier permits.</w:t>
      </w:r>
    </w:p>
    <w:p w14:paraId="1E02B1BA" w14:textId="30E8D8A6" w:rsidR="00975B7A" w:rsidRPr="001D767D" w:rsidRDefault="00B55A21" w:rsidP="00B15ADA">
      <w:pPr>
        <w:numPr>
          <w:ilvl w:val="0"/>
          <w:numId w:val="2"/>
        </w:numPr>
        <w:tabs>
          <w:tab w:val="right" w:pos="993"/>
          <w:tab w:val="left" w:pos="1080"/>
        </w:tabs>
        <w:spacing w:after="120" w:line="240" w:lineRule="atLeast"/>
        <w:ind w:left="540" w:right="-1" w:firstLine="0"/>
        <w:jc w:val="both"/>
        <w:rPr>
          <w:rFonts w:ascii="Times New Roman" w:eastAsia="Times New Roman" w:hAnsi="Times New Roman" w:cs="Times New Roman"/>
          <w:sz w:val="20"/>
          <w:szCs w:val="20"/>
        </w:rPr>
      </w:pPr>
      <w:r w:rsidRPr="001D767D">
        <w:rPr>
          <w:rFonts w:ascii="Times New Roman" w:eastAsia="Times New Roman" w:hAnsi="Times New Roman" w:cs="Times New Roman"/>
          <w:sz w:val="20"/>
          <w:szCs w:val="20"/>
        </w:rPr>
        <w:t xml:space="preserve">The Committee </w:t>
      </w:r>
      <w:r w:rsidR="002D6651" w:rsidRPr="001D767D">
        <w:rPr>
          <w:rFonts w:ascii="Times New Roman" w:eastAsia="Times New Roman" w:hAnsi="Times New Roman" w:cs="Times New Roman"/>
          <w:sz w:val="20"/>
          <w:szCs w:val="20"/>
        </w:rPr>
        <w:t>notes that t</w:t>
      </w:r>
      <w:r w:rsidR="007730CF" w:rsidRPr="001D767D">
        <w:rPr>
          <w:rFonts w:ascii="Times New Roman" w:eastAsia="Times New Roman" w:hAnsi="Times New Roman" w:cs="Times New Roman"/>
          <w:sz w:val="20"/>
          <w:szCs w:val="20"/>
        </w:rPr>
        <w:t xml:space="preserve">he </w:t>
      </w:r>
      <w:r w:rsidR="003E09A9" w:rsidRPr="001D767D">
        <w:rPr>
          <w:rFonts w:ascii="Times New Roman" w:eastAsia="Times New Roman" w:hAnsi="Times New Roman" w:cs="Times New Roman"/>
          <w:sz w:val="20"/>
          <w:szCs w:val="20"/>
        </w:rPr>
        <w:t>Party concerned has provided no evidence that</w:t>
      </w:r>
      <w:r w:rsidRPr="001D767D">
        <w:rPr>
          <w:rFonts w:ascii="Times New Roman" w:eastAsia="Times New Roman" w:hAnsi="Times New Roman" w:cs="Times New Roman"/>
          <w:sz w:val="20"/>
          <w:szCs w:val="20"/>
        </w:rPr>
        <w:t>,</w:t>
      </w:r>
      <w:r w:rsidR="003E09A9" w:rsidRPr="001D767D">
        <w:rPr>
          <w:rFonts w:ascii="Times New Roman" w:eastAsia="Times New Roman" w:hAnsi="Times New Roman" w:cs="Times New Roman"/>
          <w:sz w:val="20"/>
          <w:szCs w:val="20"/>
        </w:rPr>
        <w:t xml:space="preserve"> at the time of the public participation procedures </w:t>
      </w:r>
      <w:r w:rsidRPr="001D767D">
        <w:rPr>
          <w:rFonts w:ascii="Times New Roman" w:eastAsia="Times New Roman" w:hAnsi="Times New Roman" w:cs="Times New Roman"/>
          <w:sz w:val="20"/>
          <w:szCs w:val="20"/>
        </w:rPr>
        <w:t xml:space="preserve">on </w:t>
      </w:r>
      <w:r w:rsidR="003E09A9" w:rsidRPr="001D767D">
        <w:rPr>
          <w:rFonts w:ascii="Times New Roman" w:eastAsia="Times New Roman" w:hAnsi="Times New Roman" w:cs="Times New Roman"/>
          <w:sz w:val="20"/>
          <w:szCs w:val="20"/>
        </w:rPr>
        <w:t>the permits granted in 2004 and 2010</w:t>
      </w:r>
      <w:r w:rsidRPr="001D767D">
        <w:rPr>
          <w:rFonts w:ascii="Times New Roman" w:eastAsia="Times New Roman" w:hAnsi="Times New Roman" w:cs="Times New Roman"/>
          <w:sz w:val="20"/>
          <w:szCs w:val="20"/>
        </w:rPr>
        <w:t xml:space="preserve">, the public were notified that the duration of those permits </w:t>
      </w:r>
      <w:r w:rsidR="007730CF" w:rsidRPr="001D767D">
        <w:rPr>
          <w:rFonts w:ascii="Times New Roman" w:eastAsia="Times New Roman" w:hAnsi="Times New Roman" w:cs="Times New Roman"/>
          <w:sz w:val="20"/>
          <w:szCs w:val="20"/>
        </w:rPr>
        <w:t xml:space="preserve">might in fact expire in August 2018, rather than August 2013 as those permits state. </w:t>
      </w:r>
      <w:r w:rsidR="002D6651" w:rsidRPr="001D767D">
        <w:rPr>
          <w:rFonts w:ascii="Times New Roman" w:eastAsia="Times New Roman" w:hAnsi="Times New Roman" w:cs="Times New Roman"/>
          <w:sz w:val="20"/>
          <w:szCs w:val="20"/>
        </w:rPr>
        <w:t xml:space="preserve">The Committee thus considers the </w:t>
      </w:r>
      <w:r w:rsidR="00B15ADA" w:rsidRPr="001D767D">
        <w:rPr>
          <w:rFonts w:ascii="Times New Roman" w:eastAsia="Times New Roman" w:hAnsi="Times New Roman" w:cs="Times New Roman"/>
          <w:sz w:val="20"/>
          <w:szCs w:val="20"/>
        </w:rPr>
        <w:t xml:space="preserve">argument of the </w:t>
      </w:r>
      <w:r w:rsidR="002D6651" w:rsidRPr="001D767D">
        <w:rPr>
          <w:rFonts w:ascii="Times New Roman" w:eastAsia="Times New Roman" w:hAnsi="Times New Roman" w:cs="Times New Roman"/>
          <w:sz w:val="20"/>
          <w:szCs w:val="20"/>
        </w:rPr>
        <w:t>Party concerned</w:t>
      </w:r>
      <w:r w:rsidR="00B15ADA" w:rsidRPr="001D767D">
        <w:rPr>
          <w:rFonts w:ascii="Times New Roman" w:eastAsia="Times New Roman" w:hAnsi="Times New Roman" w:cs="Times New Roman"/>
          <w:sz w:val="20"/>
          <w:szCs w:val="20"/>
        </w:rPr>
        <w:t xml:space="preserve"> </w:t>
      </w:r>
      <w:r w:rsidR="002D6651" w:rsidRPr="001D767D">
        <w:rPr>
          <w:rFonts w:ascii="Times New Roman" w:eastAsia="Times New Roman" w:hAnsi="Times New Roman" w:cs="Times New Roman"/>
          <w:sz w:val="20"/>
          <w:szCs w:val="20"/>
        </w:rPr>
        <w:t xml:space="preserve">that the communication should be found inadmissible because the communicant did not challenge the permits granted in 2004 and 2010 at the time to be both logically flawed and unsubstantiated. </w:t>
      </w:r>
    </w:p>
    <w:p w14:paraId="6868F6F9" w14:textId="062496F7" w:rsidR="00975B7A" w:rsidRPr="001D767D" w:rsidRDefault="00975B7A" w:rsidP="00784840">
      <w:pPr>
        <w:numPr>
          <w:ilvl w:val="0"/>
          <w:numId w:val="2"/>
        </w:numPr>
        <w:tabs>
          <w:tab w:val="right" w:pos="993"/>
          <w:tab w:val="left" w:pos="1080"/>
        </w:tabs>
        <w:spacing w:after="120" w:line="240" w:lineRule="atLeast"/>
        <w:ind w:left="540" w:right="-1" w:firstLine="0"/>
        <w:jc w:val="both"/>
        <w:rPr>
          <w:rFonts w:ascii="Times New Roman" w:hAnsi="Times New Roman" w:cs="Times New Roman"/>
          <w:sz w:val="20"/>
          <w:szCs w:val="20"/>
        </w:rPr>
      </w:pPr>
      <w:r w:rsidRPr="001D767D">
        <w:rPr>
          <w:rFonts w:ascii="Times New Roman" w:eastAsia="Times New Roman" w:hAnsi="Times New Roman" w:cs="Times New Roman"/>
          <w:sz w:val="20"/>
          <w:szCs w:val="20"/>
        </w:rPr>
        <w:t xml:space="preserve">The Committee next examines the Party </w:t>
      </w:r>
      <w:proofErr w:type="spellStart"/>
      <w:r w:rsidRPr="001D767D">
        <w:rPr>
          <w:rFonts w:ascii="Times New Roman" w:eastAsia="Times New Roman" w:hAnsi="Times New Roman" w:cs="Times New Roman"/>
          <w:sz w:val="20"/>
          <w:szCs w:val="20"/>
        </w:rPr>
        <w:t>concerned’s</w:t>
      </w:r>
      <w:proofErr w:type="spellEnd"/>
      <w:r w:rsidRPr="001D767D">
        <w:rPr>
          <w:rFonts w:ascii="Times New Roman" w:eastAsia="Times New Roman" w:hAnsi="Times New Roman" w:cs="Times New Roman"/>
          <w:sz w:val="20"/>
          <w:szCs w:val="20"/>
        </w:rPr>
        <w:t xml:space="preserve"> submission that the communication should be found inadmissible because the communicant did not seek judicial review of the 2013 </w:t>
      </w:r>
      <w:r w:rsidR="003F33BD" w:rsidRPr="001D767D">
        <w:rPr>
          <w:rFonts w:ascii="Times New Roman" w:eastAsia="Times New Roman" w:hAnsi="Times New Roman" w:cs="Times New Roman"/>
          <w:sz w:val="20"/>
          <w:szCs w:val="20"/>
        </w:rPr>
        <w:t xml:space="preserve">permit </w:t>
      </w:r>
      <w:r w:rsidRPr="001D767D">
        <w:rPr>
          <w:rFonts w:ascii="Times New Roman" w:eastAsia="Times New Roman" w:hAnsi="Times New Roman" w:cs="Times New Roman"/>
          <w:sz w:val="20"/>
          <w:szCs w:val="20"/>
        </w:rPr>
        <w:t xml:space="preserve">extensions. The Party concerned concedes that if such a </w:t>
      </w:r>
      <w:r w:rsidR="009D41FC" w:rsidRPr="001D767D">
        <w:rPr>
          <w:rFonts w:ascii="Times New Roman" w:eastAsia="Times New Roman" w:hAnsi="Times New Roman" w:cs="Times New Roman"/>
          <w:sz w:val="20"/>
          <w:szCs w:val="20"/>
        </w:rPr>
        <w:t xml:space="preserve">challenge </w:t>
      </w:r>
      <w:r w:rsidRPr="001D767D">
        <w:rPr>
          <w:rFonts w:ascii="Times New Roman" w:eastAsia="Times New Roman" w:hAnsi="Times New Roman" w:cs="Times New Roman"/>
          <w:sz w:val="20"/>
          <w:szCs w:val="20"/>
        </w:rPr>
        <w:t>had been brought, the High Court would have been limited to assessing whether the permit holder had complied with the strict and technical statutory conditions for the grant of an extension of time</w:t>
      </w:r>
      <w:r w:rsidRPr="001D767D">
        <w:rPr>
          <w:rFonts w:ascii="Times New Roman" w:hAnsi="Times New Roman" w:cs="Times New Roman"/>
          <w:sz w:val="20"/>
          <w:szCs w:val="20"/>
          <w:vertAlign w:val="superscript"/>
        </w:rPr>
        <w:footnoteReference w:id="68"/>
      </w:r>
      <w:r w:rsidRPr="001D767D">
        <w:rPr>
          <w:rFonts w:ascii="Times New Roman" w:eastAsia="Times New Roman" w:hAnsi="Times New Roman" w:cs="Times New Roman"/>
          <w:sz w:val="20"/>
          <w:szCs w:val="20"/>
        </w:rPr>
        <w:t xml:space="preserve"> and whether the decision-maker had acted reasonably and rationally on the basis of the evidence before it.</w:t>
      </w:r>
      <w:r w:rsidRPr="001D767D">
        <w:rPr>
          <w:rFonts w:ascii="Times New Roman" w:hAnsi="Times New Roman" w:cs="Times New Roman"/>
          <w:sz w:val="20"/>
          <w:szCs w:val="20"/>
          <w:vertAlign w:val="superscript"/>
        </w:rPr>
        <w:footnoteReference w:id="69"/>
      </w:r>
      <w:r w:rsidRPr="001D767D">
        <w:rPr>
          <w:rFonts w:ascii="Times New Roman" w:eastAsia="Times New Roman" w:hAnsi="Times New Roman" w:cs="Times New Roman"/>
          <w:sz w:val="20"/>
          <w:szCs w:val="20"/>
        </w:rPr>
        <w:t xml:space="preserve"> The Party concerned refers to the judgment of the High Court in </w:t>
      </w:r>
      <w:proofErr w:type="spellStart"/>
      <w:r w:rsidRPr="001D767D">
        <w:rPr>
          <w:rFonts w:ascii="Times New Roman" w:hAnsi="Times New Roman" w:cs="Times New Roman"/>
          <w:i/>
          <w:iCs/>
          <w:sz w:val="20"/>
          <w:szCs w:val="20"/>
        </w:rPr>
        <w:t>Lackagh</w:t>
      </w:r>
      <w:proofErr w:type="spellEnd"/>
      <w:r w:rsidRPr="001D767D">
        <w:rPr>
          <w:rFonts w:ascii="Times New Roman" w:hAnsi="Times New Roman" w:cs="Times New Roman"/>
          <w:i/>
          <w:iCs/>
          <w:sz w:val="20"/>
          <w:szCs w:val="20"/>
        </w:rPr>
        <w:t xml:space="preserve"> Quarries Ltd v. Galway City Council</w:t>
      </w:r>
      <w:r w:rsidR="00C23B71" w:rsidRPr="001D767D">
        <w:rPr>
          <w:rStyle w:val="FootnoteReference"/>
          <w:rFonts w:ascii="Times New Roman" w:hAnsi="Times New Roman" w:cs="Times New Roman"/>
          <w:iCs/>
          <w:sz w:val="20"/>
          <w:szCs w:val="20"/>
        </w:rPr>
        <w:footnoteReference w:id="70"/>
      </w:r>
      <w:r w:rsidRPr="001D767D">
        <w:rPr>
          <w:rFonts w:ascii="Times New Roman" w:hAnsi="Times New Roman" w:cs="Times New Roman"/>
          <w:i/>
          <w:iCs/>
          <w:sz w:val="20"/>
          <w:szCs w:val="20"/>
        </w:rPr>
        <w:t xml:space="preserve"> </w:t>
      </w:r>
      <w:r w:rsidRPr="001D767D">
        <w:rPr>
          <w:rFonts w:ascii="Times New Roman" w:eastAsia="Times New Roman" w:hAnsi="Times New Roman" w:cs="Times New Roman"/>
          <w:sz w:val="20"/>
          <w:szCs w:val="20"/>
        </w:rPr>
        <w:t>in this regard</w:t>
      </w:r>
      <w:r w:rsidRPr="001D767D">
        <w:rPr>
          <w:rFonts w:ascii="Times New Roman" w:hAnsi="Times New Roman" w:cs="Times New Roman"/>
          <w:i/>
          <w:iCs/>
          <w:sz w:val="20"/>
          <w:szCs w:val="20"/>
        </w:rPr>
        <w:t xml:space="preserve">. </w:t>
      </w:r>
      <w:r w:rsidRPr="001D767D">
        <w:rPr>
          <w:rFonts w:ascii="Times New Roman" w:hAnsi="Times New Roman" w:cs="Times New Roman"/>
          <w:sz w:val="20"/>
          <w:szCs w:val="20"/>
        </w:rPr>
        <w:t>With respect to review of a section 42 decision, that judgment states:</w:t>
      </w:r>
    </w:p>
    <w:p w14:paraId="1DD79676" w14:textId="7F13B4CF" w:rsidR="00975B7A" w:rsidRPr="001D767D" w:rsidRDefault="00975B7A" w:rsidP="00975B7A">
      <w:pPr>
        <w:tabs>
          <w:tab w:val="right" w:pos="993"/>
          <w:tab w:val="left" w:pos="1080"/>
        </w:tabs>
        <w:spacing w:after="120" w:line="240" w:lineRule="atLeast"/>
        <w:ind w:left="927" w:right="-1"/>
        <w:jc w:val="both"/>
        <w:rPr>
          <w:rFonts w:ascii="Times New Roman" w:hAnsi="Times New Roman" w:cs="Times New Roman"/>
          <w:sz w:val="20"/>
          <w:szCs w:val="20"/>
        </w:rPr>
      </w:pPr>
      <w:r w:rsidRPr="001D767D">
        <w:rPr>
          <w:rFonts w:ascii="Times New Roman" w:hAnsi="Times New Roman" w:cs="Times New Roman"/>
          <w:sz w:val="20"/>
          <w:szCs w:val="20"/>
        </w:rPr>
        <w:t>“The planning authority has very little discretion in relation to its decision, and its role appears to be confined to satisfying itself as to whether the applicant has complied with the statutory conditions for the grant of an extension of time and the legislation makes no provision for third party participation of any nature. All of these factors tend to suggest that the role of the planning authority on a s.42 application is an administrative decision, thus limiting the circumstances in which judicial review is available as a remedy.”</w:t>
      </w:r>
    </w:p>
    <w:p w14:paraId="72B3E4D6" w14:textId="3E6599A7" w:rsidR="00975B7A" w:rsidRPr="001D767D" w:rsidRDefault="00975B7A" w:rsidP="00784840">
      <w:pPr>
        <w:numPr>
          <w:ilvl w:val="0"/>
          <w:numId w:val="2"/>
        </w:numPr>
        <w:tabs>
          <w:tab w:val="right" w:pos="993"/>
          <w:tab w:val="left" w:pos="1080"/>
        </w:tabs>
        <w:spacing w:after="120" w:line="240" w:lineRule="atLeast"/>
        <w:ind w:left="567" w:right="-1" w:firstLine="0"/>
        <w:jc w:val="both"/>
        <w:rPr>
          <w:rFonts w:ascii="Times New Roman" w:hAnsi="Times New Roman" w:cs="Times New Roman"/>
          <w:sz w:val="20"/>
          <w:szCs w:val="20"/>
        </w:rPr>
      </w:pPr>
      <w:r w:rsidRPr="001D767D">
        <w:rPr>
          <w:rFonts w:ascii="Times New Roman" w:eastAsia="Times New Roman" w:hAnsi="Times New Roman" w:cs="Times New Roman"/>
          <w:sz w:val="20"/>
          <w:szCs w:val="20"/>
        </w:rPr>
        <w:t xml:space="preserve">The </w:t>
      </w:r>
      <w:r w:rsidR="00F81D37" w:rsidRPr="001D767D">
        <w:rPr>
          <w:rFonts w:ascii="Times New Roman" w:eastAsia="Times New Roman" w:hAnsi="Times New Roman" w:cs="Times New Roman"/>
          <w:sz w:val="20"/>
          <w:szCs w:val="20"/>
        </w:rPr>
        <w:t xml:space="preserve">above </w:t>
      </w:r>
      <w:r w:rsidRPr="001D767D">
        <w:rPr>
          <w:rFonts w:ascii="Times New Roman" w:eastAsia="Times New Roman" w:hAnsi="Times New Roman" w:cs="Times New Roman"/>
          <w:sz w:val="20"/>
          <w:szCs w:val="20"/>
        </w:rPr>
        <w:t xml:space="preserve">judgment was also cited by the High Court in its </w:t>
      </w:r>
      <w:r w:rsidR="00F81D37" w:rsidRPr="001D767D">
        <w:rPr>
          <w:rFonts w:ascii="Times New Roman" w:eastAsia="Times New Roman" w:hAnsi="Times New Roman" w:cs="Times New Roman"/>
          <w:sz w:val="20"/>
          <w:szCs w:val="20"/>
        </w:rPr>
        <w:t xml:space="preserve">November 2017 </w:t>
      </w:r>
      <w:r w:rsidRPr="001D767D">
        <w:rPr>
          <w:rFonts w:ascii="Times New Roman" w:eastAsia="Times New Roman" w:hAnsi="Times New Roman" w:cs="Times New Roman"/>
          <w:sz w:val="20"/>
          <w:szCs w:val="20"/>
        </w:rPr>
        <w:t xml:space="preserve">judgment in </w:t>
      </w:r>
      <w:r w:rsidR="00C23B71" w:rsidRPr="001D767D">
        <w:rPr>
          <w:rFonts w:ascii="Times New Roman" w:eastAsia="Times New Roman" w:hAnsi="Times New Roman" w:cs="Times New Roman"/>
          <w:i/>
          <w:sz w:val="20"/>
          <w:szCs w:val="20"/>
        </w:rPr>
        <w:t xml:space="preserve">Merriman and others v. Fingal County Council; </w:t>
      </w:r>
      <w:r w:rsidRPr="001D767D">
        <w:rPr>
          <w:rFonts w:ascii="Times New Roman" w:eastAsia="Times New Roman" w:hAnsi="Times New Roman" w:cs="Times New Roman"/>
          <w:i/>
          <w:iCs/>
          <w:sz w:val="20"/>
          <w:szCs w:val="20"/>
        </w:rPr>
        <w:t>Friends of the Irish Environment v</w:t>
      </w:r>
      <w:r w:rsidR="00C23B71" w:rsidRPr="001D767D">
        <w:rPr>
          <w:rFonts w:ascii="Times New Roman" w:eastAsia="Times New Roman" w:hAnsi="Times New Roman" w:cs="Times New Roman"/>
          <w:i/>
          <w:iCs/>
          <w:sz w:val="20"/>
          <w:szCs w:val="20"/>
        </w:rPr>
        <w:t>.</w:t>
      </w:r>
      <w:r w:rsidRPr="001D767D">
        <w:rPr>
          <w:rFonts w:ascii="Times New Roman" w:eastAsia="Times New Roman" w:hAnsi="Times New Roman" w:cs="Times New Roman"/>
          <w:i/>
          <w:iCs/>
          <w:sz w:val="20"/>
          <w:szCs w:val="20"/>
        </w:rPr>
        <w:t xml:space="preserve"> Fingal County Council</w:t>
      </w:r>
      <w:r w:rsidR="00E238D1" w:rsidRPr="001D767D">
        <w:rPr>
          <w:rStyle w:val="FootnoteReference"/>
          <w:rFonts w:ascii="Times New Roman" w:hAnsi="Times New Roman"/>
          <w:sz w:val="20"/>
        </w:rPr>
        <w:footnoteReference w:id="71"/>
      </w:r>
      <w:r w:rsidR="00F81D37" w:rsidRPr="001D767D">
        <w:rPr>
          <w:rFonts w:ascii="Times New Roman" w:eastAsia="Times New Roman" w:hAnsi="Times New Roman" w:cs="Times New Roman"/>
          <w:i/>
          <w:iCs/>
          <w:sz w:val="20"/>
          <w:szCs w:val="20"/>
        </w:rPr>
        <w:t xml:space="preserve"> </w:t>
      </w:r>
      <w:r w:rsidR="00F81D37" w:rsidRPr="001D767D">
        <w:rPr>
          <w:rFonts w:ascii="Times New Roman" w:eastAsia="Times New Roman" w:hAnsi="Times New Roman" w:cs="Times New Roman"/>
          <w:sz w:val="20"/>
          <w:szCs w:val="20"/>
        </w:rPr>
        <w:t>which rejected an application for judicial review of a section 42 decision extending planning permission for a new runway at Dublin airport</w:t>
      </w:r>
      <w:r w:rsidRPr="001D767D">
        <w:rPr>
          <w:rFonts w:ascii="Times New Roman" w:eastAsia="Times New Roman" w:hAnsi="Times New Roman" w:cs="Times New Roman"/>
          <w:sz w:val="20"/>
          <w:szCs w:val="20"/>
        </w:rPr>
        <w:t>.</w:t>
      </w:r>
      <w:r w:rsidR="00F81D37" w:rsidRPr="001D767D">
        <w:rPr>
          <w:rStyle w:val="FootnoteReference"/>
          <w:rFonts w:ascii="Times New Roman" w:eastAsia="Times New Roman" w:hAnsi="Times New Roman" w:cs="Times New Roman"/>
          <w:sz w:val="20"/>
          <w:szCs w:val="20"/>
        </w:rPr>
        <w:footnoteReference w:id="72"/>
      </w:r>
      <w:r w:rsidRPr="001D767D">
        <w:rPr>
          <w:rFonts w:ascii="Times New Roman" w:eastAsia="Times New Roman" w:hAnsi="Times New Roman" w:cs="Times New Roman"/>
          <w:sz w:val="20"/>
          <w:szCs w:val="20"/>
        </w:rPr>
        <w:t xml:space="preserve"> In </w:t>
      </w:r>
      <w:r w:rsidR="00F81D37" w:rsidRPr="001D767D">
        <w:rPr>
          <w:rFonts w:ascii="Times New Roman" w:eastAsia="Times New Roman" w:hAnsi="Times New Roman" w:cs="Times New Roman"/>
          <w:sz w:val="20"/>
          <w:szCs w:val="20"/>
        </w:rPr>
        <w:t>its November 2017 judgment</w:t>
      </w:r>
      <w:r w:rsidRPr="001D767D">
        <w:rPr>
          <w:rFonts w:ascii="Times New Roman" w:eastAsia="Times New Roman" w:hAnsi="Times New Roman" w:cs="Times New Roman"/>
          <w:sz w:val="20"/>
          <w:szCs w:val="20"/>
        </w:rPr>
        <w:t xml:space="preserve">, the High Court </w:t>
      </w:r>
      <w:r w:rsidR="0098250C" w:rsidRPr="001D767D">
        <w:rPr>
          <w:rFonts w:ascii="Times New Roman" w:eastAsia="Times New Roman" w:hAnsi="Times New Roman" w:cs="Times New Roman"/>
          <w:sz w:val="20"/>
          <w:szCs w:val="20"/>
        </w:rPr>
        <w:t>examined</w:t>
      </w:r>
      <w:r w:rsidRPr="001D767D">
        <w:rPr>
          <w:rFonts w:ascii="Times New Roman" w:eastAsia="Times New Roman" w:hAnsi="Times New Roman" w:cs="Times New Roman"/>
          <w:sz w:val="20"/>
          <w:szCs w:val="20"/>
        </w:rPr>
        <w:t xml:space="preserve"> </w:t>
      </w:r>
      <w:r w:rsidR="0098250C" w:rsidRPr="001D767D">
        <w:rPr>
          <w:rFonts w:ascii="Times New Roman" w:eastAsia="Times New Roman" w:hAnsi="Times New Roman" w:cs="Times New Roman"/>
          <w:sz w:val="20"/>
          <w:szCs w:val="20"/>
        </w:rPr>
        <w:t xml:space="preserve">more than </w:t>
      </w:r>
      <w:r w:rsidRPr="001D767D">
        <w:rPr>
          <w:rFonts w:ascii="Times New Roman" w:eastAsia="Times New Roman" w:hAnsi="Times New Roman" w:cs="Times New Roman"/>
          <w:sz w:val="20"/>
          <w:szCs w:val="20"/>
        </w:rPr>
        <w:t xml:space="preserve">thirty years of </w:t>
      </w:r>
      <w:r w:rsidR="00F81D37" w:rsidRPr="001D767D">
        <w:rPr>
          <w:rFonts w:ascii="Times New Roman" w:eastAsia="Times New Roman" w:hAnsi="Times New Roman" w:cs="Times New Roman"/>
          <w:sz w:val="20"/>
          <w:szCs w:val="20"/>
        </w:rPr>
        <w:t xml:space="preserve">Irish </w:t>
      </w:r>
      <w:r w:rsidRPr="001D767D">
        <w:rPr>
          <w:rFonts w:ascii="Times New Roman" w:eastAsia="Times New Roman" w:hAnsi="Times New Roman" w:cs="Times New Roman"/>
          <w:sz w:val="20"/>
          <w:szCs w:val="20"/>
        </w:rPr>
        <w:t xml:space="preserve">jurisprudence on applications for judicial review on permit extensions. That jurisprudence </w:t>
      </w:r>
      <w:r w:rsidR="00E238D1" w:rsidRPr="001D767D">
        <w:rPr>
          <w:rFonts w:ascii="Times New Roman" w:eastAsia="Times New Roman" w:hAnsi="Times New Roman" w:cs="Times New Roman"/>
          <w:sz w:val="20"/>
          <w:szCs w:val="20"/>
        </w:rPr>
        <w:t>makes it very clear</w:t>
      </w:r>
      <w:r w:rsidRPr="001D767D">
        <w:rPr>
          <w:rFonts w:ascii="Times New Roman" w:eastAsia="Times New Roman" w:hAnsi="Times New Roman" w:cs="Times New Roman"/>
          <w:sz w:val="20"/>
          <w:szCs w:val="20"/>
        </w:rPr>
        <w:t xml:space="preserve"> </w:t>
      </w:r>
      <w:r w:rsidR="00AD786C" w:rsidRPr="001D767D">
        <w:rPr>
          <w:rFonts w:ascii="Times New Roman" w:eastAsia="Times New Roman" w:hAnsi="Times New Roman" w:cs="Times New Roman"/>
          <w:sz w:val="20"/>
          <w:szCs w:val="20"/>
        </w:rPr>
        <w:t>that the public has no right to be notified or consulted prior to the grant of section 42 decisions.</w:t>
      </w:r>
      <w:r w:rsidR="00E238D1" w:rsidRPr="001D767D">
        <w:rPr>
          <w:rStyle w:val="FootnoteReference"/>
          <w:rFonts w:ascii="Times New Roman" w:eastAsia="Times New Roman" w:hAnsi="Times New Roman" w:cs="Times New Roman"/>
          <w:sz w:val="20"/>
          <w:szCs w:val="20"/>
        </w:rPr>
        <w:footnoteReference w:id="73"/>
      </w:r>
      <w:r w:rsidR="00AD786C" w:rsidRPr="001D767D">
        <w:rPr>
          <w:rFonts w:ascii="Times New Roman" w:eastAsia="Times New Roman" w:hAnsi="Times New Roman" w:cs="Times New Roman"/>
          <w:sz w:val="20"/>
          <w:szCs w:val="20"/>
        </w:rPr>
        <w:t xml:space="preserve"> Moreover, </w:t>
      </w:r>
      <w:r w:rsidR="00E238D1" w:rsidRPr="001D767D">
        <w:rPr>
          <w:rFonts w:ascii="Times New Roman" w:eastAsia="Times New Roman" w:hAnsi="Times New Roman" w:cs="Times New Roman"/>
          <w:sz w:val="20"/>
          <w:szCs w:val="20"/>
        </w:rPr>
        <w:t xml:space="preserve">the jurisprudence shows that </w:t>
      </w:r>
      <w:r w:rsidRPr="001D767D">
        <w:rPr>
          <w:rFonts w:ascii="Times New Roman" w:eastAsia="Times New Roman" w:hAnsi="Times New Roman" w:cs="Times New Roman"/>
          <w:sz w:val="20"/>
          <w:szCs w:val="20"/>
        </w:rPr>
        <w:t xml:space="preserve">when deciding an application for judicial review of a section 42 decision, the court’s role is strictly limited to </w:t>
      </w:r>
      <w:r w:rsidRPr="001D767D">
        <w:rPr>
          <w:rFonts w:ascii="Times New Roman" w:eastAsia="Times New Roman" w:hAnsi="Times New Roman" w:cs="Times New Roman"/>
          <w:sz w:val="20"/>
          <w:szCs w:val="20"/>
        </w:rPr>
        <w:lastRenderedPageBreak/>
        <w:t>ensuring that the statutory criteria in section 42 are met, and the court is not entitled to take account of any other considerations, including environmental considerations.</w:t>
      </w:r>
      <w:r w:rsidRPr="001D767D">
        <w:rPr>
          <w:rStyle w:val="FootnoteReference"/>
          <w:rFonts w:ascii="Times New Roman" w:hAnsi="Times New Roman" w:cs="Times New Roman"/>
          <w:sz w:val="20"/>
          <w:szCs w:val="20"/>
        </w:rPr>
        <w:footnoteReference w:id="74"/>
      </w:r>
    </w:p>
    <w:p w14:paraId="17E71842" w14:textId="684EFB2B" w:rsidR="00975B7A" w:rsidRPr="001D767D" w:rsidRDefault="00975B7A" w:rsidP="00784840">
      <w:pPr>
        <w:numPr>
          <w:ilvl w:val="0"/>
          <w:numId w:val="2"/>
        </w:numPr>
        <w:tabs>
          <w:tab w:val="right" w:pos="993"/>
          <w:tab w:val="left" w:pos="1080"/>
        </w:tabs>
        <w:spacing w:after="120" w:line="240" w:lineRule="atLeast"/>
        <w:ind w:left="540" w:right="-1" w:firstLine="0"/>
        <w:jc w:val="both"/>
        <w:rPr>
          <w:rFonts w:ascii="Times New Roman" w:eastAsia="Times New Roman" w:hAnsi="Times New Roman" w:cs="Times New Roman"/>
          <w:sz w:val="20"/>
          <w:szCs w:val="20"/>
        </w:rPr>
      </w:pPr>
      <w:r w:rsidRPr="001D767D">
        <w:rPr>
          <w:rFonts w:ascii="Times New Roman" w:eastAsia="Times New Roman" w:hAnsi="Times New Roman" w:cs="Times New Roman"/>
          <w:sz w:val="20"/>
          <w:szCs w:val="20"/>
        </w:rPr>
        <w:t xml:space="preserve">Based on the Party </w:t>
      </w:r>
      <w:proofErr w:type="spellStart"/>
      <w:r w:rsidRPr="001D767D">
        <w:rPr>
          <w:rFonts w:ascii="Times New Roman" w:eastAsia="Times New Roman" w:hAnsi="Times New Roman" w:cs="Times New Roman"/>
          <w:sz w:val="20"/>
          <w:szCs w:val="20"/>
        </w:rPr>
        <w:t>concerned’s</w:t>
      </w:r>
      <w:proofErr w:type="spellEnd"/>
      <w:r w:rsidRPr="001D767D">
        <w:rPr>
          <w:rFonts w:ascii="Times New Roman" w:eastAsia="Times New Roman" w:hAnsi="Times New Roman" w:cs="Times New Roman"/>
          <w:sz w:val="20"/>
          <w:szCs w:val="20"/>
        </w:rPr>
        <w:t xml:space="preserve"> jurisprudence, the Committee</w:t>
      </w:r>
      <w:r w:rsidR="00F81D37" w:rsidRPr="001D767D">
        <w:rPr>
          <w:rFonts w:ascii="Times New Roman" w:eastAsia="Times New Roman" w:hAnsi="Times New Roman" w:cs="Times New Roman"/>
          <w:sz w:val="20"/>
          <w:szCs w:val="20"/>
        </w:rPr>
        <w:t xml:space="preserve"> conclude</w:t>
      </w:r>
      <w:r w:rsidR="003A373A" w:rsidRPr="001D767D">
        <w:rPr>
          <w:rFonts w:ascii="Times New Roman" w:eastAsia="Times New Roman" w:hAnsi="Times New Roman" w:cs="Times New Roman"/>
          <w:sz w:val="20"/>
          <w:szCs w:val="20"/>
        </w:rPr>
        <w:t>s</w:t>
      </w:r>
      <w:r w:rsidRPr="001D767D">
        <w:rPr>
          <w:rFonts w:ascii="Times New Roman" w:eastAsia="Times New Roman" w:hAnsi="Times New Roman" w:cs="Times New Roman"/>
          <w:sz w:val="20"/>
          <w:szCs w:val="20"/>
        </w:rPr>
        <w:t xml:space="preserve"> that there was little or no prospect for the communicant to successfully challenge the 2013 </w:t>
      </w:r>
      <w:r w:rsidR="003F33BD" w:rsidRPr="001D767D">
        <w:rPr>
          <w:rFonts w:ascii="Times New Roman" w:eastAsia="Times New Roman" w:hAnsi="Times New Roman" w:cs="Times New Roman"/>
          <w:sz w:val="20"/>
          <w:szCs w:val="20"/>
        </w:rPr>
        <w:t>permit extensions</w:t>
      </w:r>
      <w:r w:rsidRPr="001D767D">
        <w:rPr>
          <w:rFonts w:ascii="Times New Roman" w:eastAsia="Times New Roman" w:hAnsi="Times New Roman" w:cs="Times New Roman"/>
          <w:sz w:val="20"/>
          <w:szCs w:val="20"/>
        </w:rPr>
        <w:t xml:space="preserve"> through judicial review. </w:t>
      </w:r>
    </w:p>
    <w:p w14:paraId="25E12CAB" w14:textId="31ECC039" w:rsidR="00F81D37" w:rsidRPr="001D767D" w:rsidRDefault="00F81D37" w:rsidP="00784840">
      <w:pPr>
        <w:numPr>
          <w:ilvl w:val="0"/>
          <w:numId w:val="2"/>
        </w:numPr>
        <w:tabs>
          <w:tab w:val="right" w:pos="993"/>
          <w:tab w:val="left" w:pos="1080"/>
        </w:tabs>
        <w:spacing w:after="120" w:line="240" w:lineRule="atLeast"/>
        <w:ind w:left="540" w:right="-1" w:firstLine="0"/>
        <w:jc w:val="both"/>
        <w:rPr>
          <w:rFonts w:ascii="Times New Roman" w:eastAsia="Times New Roman" w:hAnsi="Times New Roman" w:cs="Times New Roman"/>
          <w:sz w:val="20"/>
          <w:szCs w:val="20"/>
        </w:rPr>
      </w:pPr>
      <w:r w:rsidRPr="001D767D">
        <w:rPr>
          <w:rFonts w:ascii="Times New Roman" w:eastAsia="Times New Roman" w:hAnsi="Times New Roman" w:cs="Times New Roman"/>
          <w:sz w:val="20"/>
          <w:szCs w:val="20"/>
        </w:rPr>
        <w:t xml:space="preserve">Under paragraph 21 of the annex to decision I/7, the Committee should at all relevant stages </w:t>
      </w:r>
      <w:proofErr w:type="gramStart"/>
      <w:r w:rsidRPr="001D767D">
        <w:rPr>
          <w:rFonts w:ascii="Times New Roman" w:eastAsia="Times New Roman" w:hAnsi="Times New Roman" w:cs="Times New Roman"/>
          <w:sz w:val="20"/>
          <w:szCs w:val="20"/>
        </w:rPr>
        <w:t>take into account</w:t>
      </w:r>
      <w:proofErr w:type="gramEnd"/>
      <w:r w:rsidRPr="001D767D">
        <w:rPr>
          <w:rFonts w:ascii="Times New Roman" w:eastAsia="Times New Roman" w:hAnsi="Times New Roman" w:cs="Times New Roman"/>
          <w:sz w:val="20"/>
          <w:szCs w:val="20"/>
        </w:rPr>
        <w:t xml:space="preserve"> any available domestic remedy unless the application of the remedy is unreasonably prolonged or obviously does not provide an effective and sufficient means of redress.</w:t>
      </w:r>
    </w:p>
    <w:p w14:paraId="7A5ED9E1" w14:textId="39069D01" w:rsidR="00975B7A" w:rsidRPr="001D767D" w:rsidRDefault="00975B7A" w:rsidP="00784840">
      <w:pPr>
        <w:numPr>
          <w:ilvl w:val="0"/>
          <w:numId w:val="2"/>
        </w:numPr>
        <w:tabs>
          <w:tab w:val="right" w:pos="993"/>
          <w:tab w:val="left" w:pos="1080"/>
        </w:tabs>
        <w:spacing w:after="120" w:line="240" w:lineRule="atLeast"/>
        <w:ind w:left="540" w:right="-1" w:firstLine="0"/>
        <w:jc w:val="both"/>
        <w:rPr>
          <w:rFonts w:ascii="Times New Roman" w:eastAsia="Times New Roman" w:hAnsi="Times New Roman" w:cs="Times New Roman"/>
          <w:sz w:val="20"/>
          <w:szCs w:val="20"/>
        </w:rPr>
      </w:pPr>
      <w:r w:rsidRPr="001D767D">
        <w:rPr>
          <w:rFonts w:ascii="Times New Roman" w:eastAsia="Times New Roman" w:hAnsi="Times New Roman" w:cs="Times New Roman"/>
          <w:sz w:val="20"/>
          <w:szCs w:val="20"/>
        </w:rPr>
        <w:t xml:space="preserve">In the light of </w:t>
      </w:r>
      <w:r w:rsidR="00F81D37" w:rsidRPr="001D767D">
        <w:rPr>
          <w:rFonts w:ascii="Times New Roman" w:eastAsia="Times New Roman" w:hAnsi="Times New Roman" w:cs="Times New Roman"/>
          <w:sz w:val="20"/>
          <w:szCs w:val="20"/>
        </w:rPr>
        <w:t xml:space="preserve">the jurisprudence examined by the High Court in its November 2017 judgment </w:t>
      </w:r>
      <w:r w:rsidR="009D41FC" w:rsidRPr="001D767D">
        <w:rPr>
          <w:rFonts w:ascii="Times New Roman" w:eastAsia="Times New Roman" w:hAnsi="Times New Roman" w:cs="Times New Roman"/>
          <w:sz w:val="20"/>
          <w:szCs w:val="20"/>
        </w:rPr>
        <w:t>in</w:t>
      </w:r>
      <w:r w:rsidR="00F81D37" w:rsidRPr="001D767D">
        <w:rPr>
          <w:rFonts w:ascii="Times New Roman" w:eastAsia="Times New Roman" w:hAnsi="Times New Roman" w:cs="Times New Roman"/>
          <w:sz w:val="20"/>
          <w:szCs w:val="20"/>
        </w:rPr>
        <w:t xml:space="preserve"> </w:t>
      </w:r>
      <w:r w:rsidR="00C23B71" w:rsidRPr="001D767D">
        <w:rPr>
          <w:rFonts w:ascii="Times New Roman" w:eastAsia="Times New Roman" w:hAnsi="Times New Roman" w:cs="Times New Roman"/>
          <w:i/>
          <w:sz w:val="20"/>
          <w:szCs w:val="20"/>
        </w:rPr>
        <w:t>Merriman and others v Fingal County Council</w:t>
      </w:r>
      <w:r w:rsidR="00C23B71" w:rsidRPr="001D767D">
        <w:rPr>
          <w:rFonts w:ascii="Times New Roman" w:eastAsia="Times New Roman" w:hAnsi="Times New Roman" w:cs="Times New Roman"/>
          <w:sz w:val="20"/>
          <w:szCs w:val="20"/>
        </w:rPr>
        <w:t xml:space="preserve">; </w:t>
      </w:r>
      <w:r w:rsidR="00F81D37" w:rsidRPr="001D767D">
        <w:rPr>
          <w:rFonts w:ascii="Times New Roman" w:eastAsia="Times New Roman" w:hAnsi="Times New Roman" w:cs="Times New Roman"/>
          <w:i/>
          <w:iCs/>
          <w:sz w:val="20"/>
          <w:szCs w:val="20"/>
        </w:rPr>
        <w:t>Friends of the Irish Environment v</w:t>
      </w:r>
      <w:r w:rsidR="00C23B71" w:rsidRPr="001D767D">
        <w:rPr>
          <w:rFonts w:ascii="Times New Roman" w:eastAsia="Times New Roman" w:hAnsi="Times New Roman" w:cs="Times New Roman"/>
          <w:i/>
          <w:iCs/>
          <w:sz w:val="20"/>
          <w:szCs w:val="20"/>
        </w:rPr>
        <w:t>.</w:t>
      </w:r>
      <w:r w:rsidR="00F81D37" w:rsidRPr="001D767D">
        <w:rPr>
          <w:rFonts w:ascii="Times New Roman" w:eastAsia="Times New Roman" w:hAnsi="Times New Roman" w:cs="Times New Roman"/>
          <w:i/>
          <w:iCs/>
          <w:sz w:val="20"/>
          <w:szCs w:val="20"/>
        </w:rPr>
        <w:t xml:space="preserve"> Fingal County Council</w:t>
      </w:r>
      <w:r w:rsidRPr="001D767D">
        <w:rPr>
          <w:rFonts w:ascii="Times New Roman" w:eastAsia="Times New Roman" w:hAnsi="Times New Roman" w:cs="Times New Roman"/>
          <w:sz w:val="20"/>
          <w:szCs w:val="20"/>
        </w:rPr>
        <w:t xml:space="preserve">, the Committee considers that </w:t>
      </w:r>
      <w:r w:rsidR="00F81D37" w:rsidRPr="001D767D">
        <w:rPr>
          <w:rFonts w:ascii="Times New Roman" w:eastAsia="Times New Roman" w:hAnsi="Times New Roman" w:cs="Times New Roman"/>
          <w:sz w:val="20"/>
          <w:szCs w:val="20"/>
        </w:rPr>
        <w:t xml:space="preserve">it is indeed obvious that </w:t>
      </w:r>
      <w:r w:rsidRPr="001D767D">
        <w:rPr>
          <w:rFonts w:ascii="Times New Roman" w:eastAsia="Times New Roman" w:hAnsi="Times New Roman" w:cs="Times New Roman"/>
          <w:sz w:val="20"/>
          <w:szCs w:val="20"/>
        </w:rPr>
        <w:t xml:space="preserve">judicial review, the only </w:t>
      </w:r>
      <w:r w:rsidR="00F81D37" w:rsidRPr="001D767D">
        <w:rPr>
          <w:rFonts w:ascii="Times New Roman" w:eastAsia="Times New Roman" w:hAnsi="Times New Roman" w:cs="Times New Roman"/>
          <w:sz w:val="20"/>
          <w:szCs w:val="20"/>
        </w:rPr>
        <w:t xml:space="preserve">available </w:t>
      </w:r>
      <w:r w:rsidRPr="001D767D">
        <w:rPr>
          <w:rFonts w:ascii="Times New Roman" w:eastAsia="Times New Roman" w:hAnsi="Times New Roman" w:cs="Times New Roman"/>
          <w:sz w:val="20"/>
          <w:szCs w:val="20"/>
        </w:rPr>
        <w:t xml:space="preserve">domestic remedy, </w:t>
      </w:r>
      <w:r w:rsidR="001E7E8F" w:rsidRPr="001D767D">
        <w:rPr>
          <w:rFonts w:ascii="Times New Roman" w:eastAsia="Times New Roman" w:hAnsi="Times New Roman" w:cs="Times New Roman"/>
          <w:sz w:val="20"/>
          <w:szCs w:val="20"/>
        </w:rPr>
        <w:t>does not provide</w:t>
      </w:r>
      <w:r w:rsidR="00F81D37" w:rsidRPr="001D767D">
        <w:rPr>
          <w:rFonts w:ascii="Times New Roman" w:eastAsia="Times New Roman" w:hAnsi="Times New Roman" w:cs="Times New Roman"/>
          <w:sz w:val="20"/>
          <w:szCs w:val="20"/>
        </w:rPr>
        <w:t xml:space="preserve"> </w:t>
      </w:r>
      <w:r w:rsidRPr="001D767D">
        <w:rPr>
          <w:rFonts w:ascii="Times New Roman" w:eastAsia="Times New Roman" w:hAnsi="Times New Roman" w:cs="Times New Roman"/>
          <w:sz w:val="20"/>
          <w:szCs w:val="20"/>
        </w:rPr>
        <w:t xml:space="preserve">an effective and sufficient means of redress </w:t>
      </w:r>
      <w:r w:rsidR="001E7E8F" w:rsidRPr="001D767D">
        <w:rPr>
          <w:rFonts w:ascii="Times New Roman" w:eastAsia="Times New Roman" w:hAnsi="Times New Roman" w:cs="Times New Roman"/>
          <w:sz w:val="20"/>
          <w:szCs w:val="20"/>
        </w:rPr>
        <w:t xml:space="preserve">for members of the public </w:t>
      </w:r>
      <w:r w:rsidR="00F81D37" w:rsidRPr="001D767D">
        <w:rPr>
          <w:rFonts w:ascii="Times New Roman" w:eastAsia="Times New Roman" w:hAnsi="Times New Roman" w:cs="Times New Roman"/>
          <w:sz w:val="20"/>
          <w:szCs w:val="20"/>
        </w:rPr>
        <w:t xml:space="preserve">to challenge </w:t>
      </w:r>
      <w:r w:rsidR="001E7E8F" w:rsidRPr="001D767D">
        <w:rPr>
          <w:rFonts w:ascii="Times New Roman" w:eastAsia="Times New Roman" w:hAnsi="Times New Roman" w:cs="Times New Roman"/>
          <w:sz w:val="20"/>
          <w:szCs w:val="20"/>
        </w:rPr>
        <w:t xml:space="preserve">section 42 decisions </w:t>
      </w:r>
      <w:r w:rsidR="009D41FC" w:rsidRPr="001D767D">
        <w:rPr>
          <w:rFonts w:ascii="Times New Roman" w:eastAsia="Times New Roman" w:hAnsi="Times New Roman" w:cs="Times New Roman"/>
          <w:sz w:val="20"/>
          <w:szCs w:val="20"/>
        </w:rPr>
        <w:t>such as</w:t>
      </w:r>
      <w:r w:rsidR="001E7E8F" w:rsidRPr="001D767D">
        <w:rPr>
          <w:rFonts w:ascii="Times New Roman" w:eastAsia="Times New Roman" w:hAnsi="Times New Roman" w:cs="Times New Roman"/>
          <w:sz w:val="20"/>
          <w:szCs w:val="20"/>
        </w:rPr>
        <w:t xml:space="preserve"> the 2013 permit extensions</w:t>
      </w:r>
      <w:r w:rsidRPr="001D767D">
        <w:rPr>
          <w:rFonts w:ascii="Times New Roman" w:eastAsia="Times New Roman" w:hAnsi="Times New Roman" w:cs="Times New Roman"/>
          <w:sz w:val="20"/>
          <w:szCs w:val="20"/>
        </w:rPr>
        <w:t>. The Committee thus finds the communication to be admissible.</w:t>
      </w:r>
    </w:p>
    <w:p w14:paraId="5414FD29" w14:textId="53E17421" w:rsidR="00FC1568" w:rsidRPr="001D767D" w:rsidRDefault="00D64783" w:rsidP="001D767D">
      <w:pPr>
        <w:tabs>
          <w:tab w:val="right" w:pos="993"/>
          <w:tab w:val="left" w:pos="1080"/>
        </w:tabs>
        <w:spacing w:before="240" w:after="120" w:line="240" w:lineRule="atLeast"/>
        <w:ind w:left="540" w:right="-1"/>
        <w:jc w:val="both"/>
        <w:rPr>
          <w:rFonts w:ascii="Times New Roman" w:eastAsia="Times New Roman" w:hAnsi="Times New Roman" w:cs="Times New Roman"/>
          <w:b/>
          <w:sz w:val="20"/>
          <w:szCs w:val="20"/>
        </w:rPr>
      </w:pPr>
      <w:r w:rsidRPr="001D767D">
        <w:rPr>
          <w:rFonts w:ascii="Times New Roman" w:eastAsia="Times New Roman" w:hAnsi="Times New Roman" w:cs="Times New Roman"/>
          <w:b/>
          <w:sz w:val="20"/>
          <w:szCs w:val="20"/>
        </w:rPr>
        <w:t>S</w:t>
      </w:r>
      <w:r w:rsidR="00FC1568" w:rsidRPr="001D767D">
        <w:rPr>
          <w:rFonts w:ascii="Times New Roman" w:eastAsia="Times New Roman" w:hAnsi="Times New Roman" w:cs="Times New Roman"/>
          <w:b/>
          <w:sz w:val="20"/>
          <w:szCs w:val="20"/>
        </w:rPr>
        <w:t>cope of consideration</w:t>
      </w:r>
      <w:r w:rsidR="000A2F6D" w:rsidRPr="001D767D">
        <w:rPr>
          <w:rFonts w:ascii="Times New Roman" w:eastAsia="Times New Roman" w:hAnsi="Times New Roman" w:cs="Times New Roman"/>
          <w:b/>
          <w:sz w:val="20"/>
          <w:szCs w:val="20"/>
        </w:rPr>
        <w:t>s</w:t>
      </w:r>
    </w:p>
    <w:p w14:paraId="4440ED21" w14:textId="252A811F" w:rsidR="00B860AA" w:rsidRPr="001D767D" w:rsidRDefault="00FC1568" w:rsidP="00784840">
      <w:pPr>
        <w:numPr>
          <w:ilvl w:val="0"/>
          <w:numId w:val="2"/>
        </w:numPr>
        <w:tabs>
          <w:tab w:val="right" w:pos="993"/>
          <w:tab w:val="left" w:pos="1080"/>
        </w:tabs>
        <w:spacing w:after="120" w:line="240" w:lineRule="atLeast"/>
        <w:ind w:left="540" w:right="-1" w:firstLine="0"/>
        <w:jc w:val="both"/>
        <w:rPr>
          <w:rFonts w:ascii="Times New Roman" w:eastAsia="Times New Roman" w:hAnsi="Times New Roman" w:cs="Times New Roman"/>
          <w:sz w:val="20"/>
          <w:szCs w:val="20"/>
        </w:rPr>
      </w:pPr>
      <w:r w:rsidRPr="001D767D">
        <w:rPr>
          <w:rFonts w:ascii="Times New Roman" w:eastAsia="Times New Roman" w:hAnsi="Times New Roman" w:cs="Times New Roman"/>
          <w:sz w:val="20"/>
          <w:szCs w:val="20"/>
        </w:rPr>
        <w:t xml:space="preserve">The Committee will not consider any </w:t>
      </w:r>
      <w:r w:rsidR="00B860AA" w:rsidRPr="001D767D">
        <w:rPr>
          <w:rFonts w:ascii="Times New Roman" w:eastAsia="Times New Roman" w:hAnsi="Times New Roman" w:cs="Times New Roman"/>
          <w:sz w:val="20"/>
          <w:szCs w:val="20"/>
        </w:rPr>
        <w:t>alleged breaches</w:t>
      </w:r>
      <w:r w:rsidRPr="001D767D">
        <w:rPr>
          <w:rFonts w:ascii="Times New Roman" w:eastAsia="Times New Roman" w:hAnsi="Times New Roman" w:cs="Times New Roman"/>
          <w:sz w:val="20"/>
          <w:szCs w:val="20"/>
        </w:rPr>
        <w:t xml:space="preserve"> of </w:t>
      </w:r>
      <w:r w:rsidR="00B860AA" w:rsidRPr="001D767D">
        <w:rPr>
          <w:rFonts w:ascii="Times New Roman" w:eastAsia="Times New Roman" w:hAnsi="Times New Roman" w:cs="Times New Roman"/>
          <w:sz w:val="20"/>
          <w:szCs w:val="20"/>
        </w:rPr>
        <w:t>European Union legislation</w:t>
      </w:r>
      <w:r w:rsidRPr="001D767D">
        <w:rPr>
          <w:rFonts w:ascii="Times New Roman" w:eastAsia="Times New Roman" w:hAnsi="Times New Roman" w:cs="Times New Roman"/>
          <w:sz w:val="20"/>
          <w:szCs w:val="20"/>
        </w:rPr>
        <w:t xml:space="preserve"> such as the </w:t>
      </w:r>
      <w:r w:rsidR="003A373A" w:rsidRPr="001D767D">
        <w:rPr>
          <w:rFonts w:ascii="Times New Roman" w:eastAsia="Times New Roman" w:hAnsi="Times New Roman" w:cs="Times New Roman"/>
          <w:sz w:val="20"/>
          <w:szCs w:val="20"/>
        </w:rPr>
        <w:t xml:space="preserve">EIA </w:t>
      </w:r>
      <w:r w:rsidRPr="001D767D">
        <w:rPr>
          <w:rFonts w:ascii="Times New Roman" w:eastAsia="Times New Roman" w:hAnsi="Times New Roman" w:cs="Times New Roman"/>
          <w:sz w:val="20"/>
          <w:szCs w:val="20"/>
        </w:rPr>
        <w:t>Directive</w:t>
      </w:r>
      <w:r w:rsidR="00344A3F" w:rsidRPr="001D767D">
        <w:rPr>
          <w:rFonts w:ascii="Times New Roman" w:eastAsia="Times New Roman" w:hAnsi="Times New Roman" w:cs="Times New Roman"/>
          <w:sz w:val="20"/>
          <w:szCs w:val="20"/>
        </w:rPr>
        <w:t xml:space="preserve"> </w:t>
      </w:r>
      <w:r w:rsidRPr="001D767D">
        <w:rPr>
          <w:rFonts w:ascii="Times New Roman" w:eastAsia="Times New Roman" w:hAnsi="Times New Roman" w:cs="Times New Roman"/>
          <w:sz w:val="20"/>
          <w:szCs w:val="20"/>
        </w:rPr>
        <w:t xml:space="preserve">because the communicant has not substantiated how </w:t>
      </w:r>
      <w:r w:rsidR="00B860AA" w:rsidRPr="001D767D">
        <w:rPr>
          <w:rFonts w:ascii="Times New Roman" w:eastAsia="Times New Roman" w:hAnsi="Times New Roman" w:cs="Times New Roman"/>
          <w:sz w:val="20"/>
          <w:szCs w:val="20"/>
        </w:rPr>
        <w:t>any such alleged breaches</w:t>
      </w:r>
      <w:r w:rsidRPr="001D767D">
        <w:rPr>
          <w:rFonts w:ascii="Times New Roman" w:eastAsia="Times New Roman" w:hAnsi="Times New Roman" w:cs="Times New Roman"/>
          <w:sz w:val="20"/>
          <w:szCs w:val="20"/>
        </w:rPr>
        <w:t xml:space="preserve"> could amount to non-compliance with the Convention in this case. </w:t>
      </w:r>
    </w:p>
    <w:p w14:paraId="1C93B3E8" w14:textId="7213CB2A" w:rsidR="000E4C5B" w:rsidRPr="001D767D" w:rsidRDefault="000E4C5B" w:rsidP="001D767D">
      <w:pPr>
        <w:tabs>
          <w:tab w:val="right" w:pos="993"/>
          <w:tab w:val="left" w:pos="1080"/>
        </w:tabs>
        <w:spacing w:before="240" w:after="120" w:line="240" w:lineRule="atLeast"/>
        <w:ind w:left="540" w:right="-1"/>
        <w:jc w:val="both"/>
        <w:rPr>
          <w:rFonts w:ascii="Times New Roman" w:eastAsia="Times New Roman" w:hAnsi="Times New Roman" w:cs="Times New Roman"/>
          <w:b/>
          <w:bCs/>
          <w:sz w:val="20"/>
          <w:szCs w:val="20"/>
        </w:rPr>
      </w:pPr>
      <w:r w:rsidRPr="001D767D">
        <w:rPr>
          <w:rFonts w:ascii="Times New Roman" w:eastAsia="Times New Roman" w:hAnsi="Times New Roman" w:cs="Times New Roman"/>
          <w:b/>
          <w:bCs/>
          <w:sz w:val="20"/>
          <w:szCs w:val="20"/>
        </w:rPr>
        <w:t>Applicability of article 6 to the 199</w:t>
      </w:r>
      <w:r w:rsidR="00AF7864" w:rsidRPr="001D767D">
        <w:rPr>
          <w:rFonts w:ascii="Times New Roman" w:eastAsia="Times New Roman" w:hAnsi="Times New Roman" w:cs="Times New Roman"/>
          <w:b/>
          <w:bCs/>
          <w:sz w:val="20"/>
          <w:szCs w:val="20"/>
        </w:rPr>
        <w:t>8</w:t>
      </w:r>
      <w:r w:rsidRPr="001D767D">
        <w:rPr>
          <w:rFonts w:ascii="Times New Roman" w:eastAsia="Times New Roman" w:hAnsi="Times New Roman" w:cs="Times New Roman"/>
          <w:b/>
          <w:bCs/>
          <w:sz w:val="20"/>
          <w:szCs w:val="20"/>
        </w:rPr>
        <w:t>, 200</w:t>
      </w:r>
      <w:r w:rsidR="00AF7864" w:rsidRPr="001D767D">
        <w:rPr>
          <w:rFonts w:ascii="Times New Roman" w:eastAsia="Times New Roman" w:hAnsi="Times New Roman" w:cs="Times New Roman"/>
          <w:b/>
          <w:bCs/>
          <w:sz w:val="20"/>
          <w:szCs w:val="20"/>
        </w:rPr>
        <w:t>4</w:t>
      </w:r>
      <w:r w:rsidRPr="001D767D">
        <w:rPr>
          <w:rFonts w:ascii="Times New Roman" w:eastAsia="Times New Roman" w:hAnsi="Times New Roman" w:cs="Times New Roman"/>
          <w:b/>
          <w:bCs/>
          <w:sz w:val="20"/>
          <w:szCs w:val="20"/>
        </w:rPr>
        <w:t xml:space="preserve"> and 2010 quarry permits</w:t>
      </w:r>
    </w:p>
    <w:p w14:paraId="2EB54CC1" w14:textId="3AF200F5" w:rsidR="000E4C5B" w:rsidRPr="001D767D" w:rsidRDefault="00AF7864" w:rsidP="003167D6">
      <w:pPr>
        <w:numPr>
          <w:ilvl w:val="0"/>
          <w:numId w:val="2"/>
        </w:numPr>
        <w:tabs>
          <w:tab w:val="right" w:pos="993"/>
          <w:tab w:val="left" w:pos="1080"/>
        </w:tabs>
        <w:spacing w:after="120" w:line="240" w:lineRule="atLeast"/>
        <w:ind w:left="540" w:right="-1" w:firstLine="0"/>
        <w:jc w:val="both"/>
        <w:rPr>
          <w:rFonts w:ascii="Times New Roman" w:eastAsia="Times New Roman" w:hAnsi="Times New Roman" w:cs="Times New Roman"/>
          <w:sz w:val="20"/>
          <w:szCs w:val="20"/>
        </w:rPr>
      </w:pPr>
      <w:bookmarkStart w:id="23" w:name="_Ref500442023"/>
      <w:r w:rsidRPr="001D767D">
        <w:rPr>
          <w:rFonts w:ascii="Times New Roman" w:eastAsia="Times New Roman" w:hAnsi="Times New Roman" w:cs="Times New Roman"/>
          <w:sz w:val="20"/>
          <w:szCs w:val="20"/>
        </w:rPr>
        <w:t xml:space="preserve">It is common ground between the parties that, at the time the three quarry permits were granted to Keegan Quarries </w:t>
      </w:r>
      <w:r w:rsidR="009D41FC" w:rsidRPr="001D767D">
        <w:rPr>
          <w:rFonts w:ascii="Times New Roman" w:eastAsia="Times New Roman" w:hAnsi="Times New Roman" w:cs="Times New Roman"/>
          <w:sz w:val="20"/>
          <w:szCs w:val="20"/>
        </w:rPr>
        <w:t xml:space="preserve">Limited </w:t>
      </w:r>
      <w:r w:rsidRPr="001D767D">
        <w:rPr>
          <w:rFonts w:ascii="Times New Roman" w:eastAsia="Times New Roman" w:hAnsi="Times New Roman" w:cs="Times New Roman"/>
          <w:sz w:val="20"/>
          <w:szCs w:val="20"/>
        </w:rPr>
        <w:t xml:space="preserve">in 1998, 2004 and 2010, the legislation of the Party concerned required a quarry development over 5 hectares to undergo an </w:t>
      </w:r>
      <w:r w:rsidR="00551615" w:rsidRPr="001D767D">
        <w:rPr>
          <w:rFonts w:ascii="Times New Roman" w:eastAsia="Times New Roman" w:hAnsi="Times New Roman" w:cs="Times New Roman"/>
          <w:sz w:val="20"/>
          <w:szCs w:val="20"/>
        </w:rPr>
        <w:t>environmental impact assessment</w:t>
      </w:r>
      <w:r w:rsidR="00344CD1" w:rsidRPr="001D767D">
        <w:rPr>
          <w:rFonts w:ascii="Times New Roman" w:eastAsia="Times New Roman" w:hAnsi="Times New Roman" w:cs="Times New Roman"/>
          <w:sz w:val="20"/>
          <w:szCs w:val="20"/>
        </w:rPr>
        <w:t xml:space="preserve"> (see paras. </w:t>
      </w:r>
      <w:r w:rsidR="00344CD1" w:rsidRPr="001D767D">
        <w:rPr>
          <w:rFonts w:ascii="Times New Roman" w:eastAsia="Times New Roman" w:hAnsi="Times New Roman" w:cs="Times New Roman"/>
          <w:sz w:val="20"/>
          <w:szCs w:val="20"/>
        </w:rPr>
        <w:fldChar w:fldCharType="begin"/>
      </w:r>
      <w:r w:rsidR="00344CD1" w:rsidRPr="001D767D">
        <w:rPr>
          <w:rFonts w:ascii="Times New Roman" w:eastAsia="Times New Roman" w:hAnsi="Times New Roman" w:cs="Times New Roman"/>
          <w:sz w:val="20"/>
          <w:szCs w:val="20"/>
        </w:rPr>
        <w:instrText xml:space="preserve"> REF _Ref8247904 \r \h </w:instrText>
      </w:r>
      <w:r w:rsidR="007C0508" w:rsidRPr="001D767D">
        <w:rPr>
          <w:rFonts w:ascii="Times New Roman" w:eastAsia="Times New Roman" w:hAnsi="Times New Roman" w:cs="Times New Roman"/>
          <w:sz w:val="20"/>
          <w:szCs w:val="20"/>
        </w:rPr>
        <w:instrText xml:space="preserve"> \* MERGEFORMAT </w:instrText>
      </w:r>
      <w:r w:rsidR="00344CD1" w:rsidRPr="001D767D">
        <w:rPr>
          <w:rFonts w:ascii="Times New Roman" w:eastAsia="Times New Roman" w:hAnsi="Times New Roman" w:cs="Times New Roman"/>
          <w:sz w:val="20"/>
          <w:szCs w:val="20"/>
        </w:rPr>
      </w:r>
      <w:r w:rsidR="00344CD1" w:rsidRPr="001D767D">
        <w:rPr>
          <w:rFonts w:ascii="Times New Roman" w:eastAsia="Times New Roman" w:hAnsi="Times New Roman" w:cs="Times New Roman"/>
          <w:sz w:val="20"/>
          <w:szCs w:val="20"/>
        </w:rPr>
        <w:fldChar w:fldCharType="separate"/>
      </w:r>
      <w:r w:rsidR="001D767D" w:rsidRPr="001D767D">
        <w:rPr>
          <w:rFonts w:ascii="Times New Roman" w:eastAsia="Times New Roman" w:hAnsi="Times New Roman" w:cs="Times New Roman"/>
          <w:sz w:val="20"/>
          <w:szCs w:val="20"/>
          <w:cs/>
        </w:rPr>
        <w:t>‎</w:t>
      </w:r>
      <w:r w:rsidR="001D767D" w:rsidRPr="001D767D">
        <w:rPr>
          <w:rFonts w:ascii="Times New Roman" w:eastAsia="Times New Roman" w:hAnsi="Times New Roman" w:cs="Times New Roman"/>
          <w:sz w:val="20"/>
          <w:szCs w:val="20"/>
        </w:rPr>
        <w:t>23</w:t>
      </w:r>
      <w:r w:rsidR="00344CD1" w:rsidRPr="001D767D">
        <w:rPr>
          <w:rFonts w:ascii="Times New Roman" w:eastAsia="Times New Roman" w:hAnsi="Times New Roman" w:cs="Times New Roman"/>
          <w:sz w:val="20"/>
          <w:szCs w:val="20"/>
        </w:rPr>
        <w:fldChar w:fldCharType="end"/>
      </w:r>
      <w:r w:rsidR="00344CD1" w:rsidRPr="001D767D">
        <w:rPr>
          <w:rFonts w:ascii="Times New Roman" w:eastAsia="Times New Roman" w:hAnsi="Times New Roman" w:cs="Times New Roman"/>
          <w:sz w:val="20"/>
          <w:szCs w:val="20"/>
        </w:rPr>
        <w:t xml:space="preserve"> and</w:t>
      </w:r>
      <w:r w:rsidR="00344CD1" w:rsidRPr="001D767D">
        <w:rPr>
          <w:rFonts w:ascii="Times New Roman" w:eastAsia="Times New Roman" w:hAnsi="Times New Roman" w:cs="Times New Roman"/>
          <w:sz w:val="20"/>
          <w:szCs w:val="20"/>
        </w:rPr>
        <w:fldChar w:fldCharType="begin"/>
      </w:r>
      <w:r w:rsidR="00344CD1" w:rsidRPr="001D767D">
        <w:rPr>
          <w:rFonts w:ascii="Times New Roman" w:eastAsia="Times New Roman" w:hAnsi="Times New Roman" w:cs="Times New Roman"/>
          <w:sz w:val="20"/>
          <w:szCs w:val="20"/>
        </w:rPr>
        <w:instrText xml:space="preserve"> REF _Ref8247906 \r \h </w:instrText>
      </w:r>
      <w:r w:rsidR="007C0508" w:rsidRPr="001D767D">
        <w:rPr>
          <w:rFonts w:ascii="Times New Roman" w:eastAsia="Times New Roman" w:hAnsi="Times New Roman" w:cs="Times New Roman"/>
          <w:sz w:val="20"/>
          <w:szCs w:val="20"/>
        </w:rPr>
        <w:instrText xml:space="preserve"> \* MERGEFORMAT </w:instrText>
      </w:r>
      <w:r w:rsidR="00344CD1" w:rsidRPr="001D767D">
        <w:rPr>
          <w:rFonts w:ascii="Times New Roman" w:eastAsia="Times New Roman" w:hAnsi="Times New Roman" w:cs="Times New Roman"/>
          <w:sz w:val="20"/>
          <w:szCs w:val="20"/>
        </w:rPr>
      </w:r>
      <w:r w:rsidR="00344CD1" w:rsidRPr="001D767D">
        <w:rPr>
          <w:rFonts w:ascii="Times New Roman" w:eastAsia="Times New Roman" w:hAnsi="Times New Roman" w:cs="Times New Roman"/>
          <w:sz w:val="20"/>
          <w:szCs w:val="20"/>
        </w:rPr>
        <w:fldChar w:fldCharType="separate"/>
      </w:r>
      <w:r w:rsidR="001D767D" w:rsidRPr="001D767D">
        <w:rPr>
          <w:rFonts w:ascii="Times New Roman" w:eastAsia="Times New Roman" w:hAnsi="Times New Roman" w:cs="Times New Roman"/>
          <w:sz w:val="20"/>
          <w:szCs w:val="20"/>
          <w:cs/>
        </w:rPr>
        <w:t>‎</w:t>
      </w:r>
      <w:r w:rsidR="001D767D" w:rsidRPr="001D767D">
        <w:rPr>
          <w:rFonts w:ascii="Times New Roman" w:eastAsia="Times New Roman" w:hAnsi="Times New Roman" w:cs="Times New Roman"/>
          <w:sz w:val="20"/>
          <w:szCs w:val="20"/>
        </w:rPr>
        <w:t>24</w:t>
      </w:r>
      <w:r w:rsidR="00344CD1" w:rsidRPr="001D767D">
        <w:rPr>
          <w:rFonts w:ascii="Times New Roman" w:eastAsia="Times New Roman" w:hAnsi="Times New Roman" w:cs="Times New Roman"/>
          <w:sz w:val="20"/>
          <w:szCs w:val="20"/>
        </w:rPr>
        <w:fldChar w:fldCharType="end"/>
      </w:r>
      <w:r w:rsidR="00344CD1" w:rsidRPr="001D767D">
        <w:rPr>
          <w:rFonts w:ascii="Times New Roman" w:eastAsia="Times New Roman" w:hAnsi="Times New Roman" w:cs="Times New Roman"/>
          <w:sz w:val="20"/>
          <w:szCs w:val="20"/>
        </w:rPr>
        <w:t xml:space="preserve"> above)</w:t>
      </w:r>
      <w:r w:rsidRPr="001D767D">
        <w:rPr>
          <w:rFonts w:ascii="Times New Roman" w:eastAsia="Times New Roman" w:hAnsi="Times New Roman" w:cs="Times New Roman"/>
          <w:sz w:val="20"/>
          <w:szCs w:val="20"/>
        </w:rPr>
        <w:t>.</w:t>
      </w:r>
    </w:p>
    <w:p w14:paraId="5E4C2B48" w14:textId="4C29E632" w:rsidR="00AF7864" w:rsidRPr="001D767D" w:rsidRDefault="00AF7864" w:rsidP="00AF7864">
      <w:pPr>
        <w:tabs>
          <w:tab w:val="right" w:pos="993"/>
          <w:tab w:val="left" w:pos="1080"/>
        </w:tabs>
        <w:spacing w:after="120" w:line="240" w:lineRule="atLeast"/>
        <w:ind w:left="540" w:right="-1"/>
        <w:jc w:val="both"/>
        <w:rPr>
          <w:rFonts w:ascii="Times New Roman" w:eastAsia="Times New Roman" w:hAnsi="Times New Roman" w:cs="Times New Roman"/>
          <w:i/>
          <w:iCs/>
          <w:sz w:val="20"/>
          <w:szCs w:val="20"/>
        </w:rPr>
      </w:pPr>
      <w:r w:rsidRPr="001D767D">
        <w:rPr>
          <w:rFonts w:ascii="Times New Roman" w:eastAsia="Times New Roman" w:hAnsi="Times New Roman" w:cs="Times New Roman"/>
          <w:i/>
          <w:iCs/>
          <w:sz w:val="20"/>
          <w:szCs w:val="20"/>
        </w:rPr>
        <w:t>199</w:t>
      </w:r>
      <w:r w:rsidR="002D64BB" w:rsidRPr="001D767D">
        <w:rPr>
          <w:rFonts w:ascii="Times New Roman" w:eastAsia="Times New Roman" w:hAnsi="Times New Roman" w:cs="Times New Roman"/>
          <w:i/>
          <w:iCs/>
          <w:sz w:val="20"/>
          <w:szCs w:val="20"/>
        </w:rPr>
        <w:t>8</w:t>
      </w:r>
      <w:r w:rsidRPr="001D767D">
        <w:rPr>
          <w:rFonts w:ascii="Times New Roman" w:hAnsi="Times New Roman"/>
          <w:i/>
          <w:sz w:val="20"/>
        </w:rPr>
        <w:t xml:space="preserve"> </w:t>
      </w:r>
      <w:bookmarkStart w:id="24" w:name="_Hlk8241089"/>
      <w:r w:rsidR="00157BEB" w:rsidRPr="001D767D">
        <w:rPr>
          <w:rFonts w:ascii="Times New Roman" w:hAnsi="Times New Roman"/>
          <w:i/>
          <w:sz w:val="20"/>
        </w:rPr>
        <w:t xml:space="preserve">quarry </w:t>
      </w:r>
      <w:bookmarkEnd w:id="24"/>
      <w:r w:rsidRPr="001D767D">
        <w:rPr>
          <w:rFonts w:ascii="Times New Roman" w:eastAsia="Times New Roman" w:hAnsi="Times New Roman" w:cs="Times New Roman"/>
          <w:i/>
          <w:iCs/>
          <w:sz w:val="20"/>
          <w:szCs w:val="20"/>
        </w:rPr>
        <w:t>permit</w:t>
      </w:r>
    </w:p>
    <w:p w14:paraId="2AA9F985" w14:textId="69393CE1" w:rsidR="00AF7864" w:rsidRPr="001D767D" w:rsidRDefault="002D64BB" w:rsidP="00AA3F2F">
      <w:pPr>
        <w:numPr>
          <w:ilvl w:val="0"/>
          <w:numId w:val="2"/>
        </w:numPr>
        <w:tabs>
          <w:tab w:val="right" w:pos="993"/>
          <w:tab w:val="left" w:pos="1080"/>
        </w:tabs>
        <w:spacing w:after="120" w:line="240" w:lineRule="atLeast"/>
        <w:ind w:left="540" w:right="-1" w:firstLine="0"/>
        <w:jc w:val="both"/>
        <w:rPr>
          <w:rFonts w:ascii="Times New Roman" w:eastAsia="Times New Roman" w:hAnsi="Times New Roman" w:cs="Times New Roman"/>
          <w:sz w:val="20"/>
          <w:szCs w:val="20"/>
        </w:rPr>
      </w:pPr>
      <w:bookmarkStart w:id="25" w:name="_Ref8244699"/>
      <w:r w:rsidRPr="001D767D">
        <w:rPr>
          <w:rFonts w:ascii="Times New Roman" w:eastAsia="Times New Roman" w:hAnsi="Times New Roman" w:cs="Times New Roman"/>
          <w:sz w:val="20"/>
          <w:szCs w:val="20"/>
        </w:rPr>
        <w:t>On</w:t>
      </w:r>
      <w:r w:rsidR="00AF7864" w:rsidRPr="001D767D">
        <w:rPr>
          <w:rFonts w:ascii="Times New Roman" w:eastAsia="Times New Roman" w:hAnsi="Times New Roman" w:cs="Times New Roman"/>
          <w:sz w:val="20"/>
          <w:szCs w:val="20"/>
        </w:rPr>
        <w:t xml:space="preserve"> 30 October 1998</w:t>
      </w:r>
      <w:r w:rsidRPr="001D767D">
        <w:rPr>
          <w:rFonts w:ascii="Times New Roman" w:eastAsia="Times New Roman" w:hAnsi="Times New Roman" w:cs="Times New Roman"/>
          <w:sz w:val="20"/>
          <w:szCs w:val="20"/>
        </w:rPr>
        <w:t>, Meath County Council granted permit 97/1868 to Mr. John Keegan</w:t>
      </w:r>
      <w:r w:rsidR="00AF7864" w:rsidRPr="001D767D">
        <w:rPr>
          <w:rFonts w:ascii="Times New Roman" w:eastAsia="Times New Roman" w:hAnsi="Times New Roman" w:cs="Times New Roman"/>
          <w:sz w:val="20"/>
          <w:szCs w:val="20"/>
        </w:rPr>
        <w:t xml:space="preserve"> </w:t>
      </w:r>
      <w:r w:rsidRPr="001D767D">
        <w:rPr>
          <w:rFonts w:ascii="Times New Roman" w:eastAsia="Times New Roman" w:hAnsi="Times New Roman" w:cs="Times New Roman"/>
          <w:sz w:val="20"/>
          <w:szCs w:val="20"/>
        </w:rPr>
        <w:t xml:space="preserve">to develop </w:t>
      </w:r>
      <w:r w:rsidR="00AF7864" w:rsidRPr="001D767D">
        <w:rPr>
          <w:rFonts w:ascii="Times New Roman" w:eastAsia="Times New Roman" w:hAnsi="Times New Roman" w:cs="Times New Roman"/>
          <w:sz w:val="20"/>
          <w:szCs w:val="20"/>
        </w:rPr>
        <w:t>a quarry of 8.5 hectares.</w:t>
      </w:r>
      <w:r w:rsidR="00F97646" w:rsidRPr="001D767D">
        <w:rPr>
          <w:rStyle w:val="FootnoteReference"/>
          <w:rFonts w:ascii="Times New Roman" w:eastAsia="Times New Roman" w:hAnsi="Times New Roman" w:cs="Times New Roman"/>
          <w:sz w:val="20"/>
          <w:szCs w:val="20"/>
        </w:rPr>
        <w:footnoteReference w:id="75"/>
      </w:r>
      <w:r w:rsidR="00AF7864" w:rsidRPr="001D767D">
        <w:rPr>
          <w:rFonts w:ascii="Times New Roman" w:eastAsia="Times New Roman" w:hAnsi="Times New Roman" w:cs="Times New Roman"/>
          <w:sz w:val="20"/>
          <w:szCs w:val="20"/>
        </w:rPr>
        <w:t xml:space="preserve"> </w:t>
      </w:r>
      <w:r w:rsidR="005C5637" w:rsidRPr="001D767D">
        <w:rPr>
          <w:rFonts w:ascii="Times New Roman" w:eastAsia="Times New Roman" w:hAnsi="Times New Roman" w:cs="Times New Roman"/>
          <w:sz w:val="20"/>
          <w:szCs w:val="20"/>
        </w:rPr>
        <w:t>T</w:t>
      </w:r>
      <w:r w:rsidR="00AF7864" w:rsidRPr="001D767D">
        <w:rPr>
          <w:rFonts w:ascii="Times New Roman" w:eastAsia="Times New Roman" w:hAnsi="Times New Roman" w:cs="Times New Roman"/>
          <w:sz w:val="20"/>
          <w:szCs w:val="20"/>
        </w:rPr>
        <w:t xml:space="preserve">he </w:t>
      </w:r>
      <w:r w:rsidRPr="001D767D">
        <w:rPr>
          <w:rFonts w:ascii="Times New Roman" w:eastAsia="Times New Roman" w:hAnsi="Times New Roman" w:cs="Times New Roman"/>
          <w:sz w:val="20"/>
          <w:szCs w:val="20"/>
        </w:rPr>
        <w:t xml:space="preserve">size of the </w:t>
      </w:r>
      <w:r w:rsidR="00AF7864" w:rsidRPr="001D767D">
        <w:rPr>
          <w:rFonts w:ascii="Times New Roman" w:eastAsia="Times New Roman" w:hAnsi="Times New Roman" w:cs="Times New Roman"/>
          <w:sz w:val="20"/>
          <w:szCs w:val="20"/>
        </w:rPr>
        <w:t xml:space="preserve">permitted quarry development was </w:t>
      </w:r>
      <w:r w:rsidRPr="001D767D">
        <w:rPr>
          <w:rFonts w:ascii="Times New Roman" w:eastAsia="Times New Roman" w:hAnsi="Times New Roman" w:cs="Times New Roman"/>
          <w:sz w:val="20"/>
          <w:szCs w:val="20"/>
        </w:rPr>
        <w:t xml:space="preserve">above the threshold </w:t>
      </w:r>
      <w:r w:rsidR="00C67A57" w:rsidRPr="001D767D">
        <w:rPr>
          <w:rFonts w:ascii="Times New Roman" w:eastAsia="Times New Roman" w:hAnsi="Times New Roman" w:cs="Times New Roman"/>
          <w:sz w:val="20"/>
          <w:szCs w:val="20"/>
        </w:rPr>
        <w:t xml:space="preserve">of 5 hectares requiring </w:t>
      </w:r>
      <w:r w:rsidRPr="001D767D">
        <w:rPr>
          <w:rFonts w:ascii="Times New Roman" w:eastAsia="Times New Roman" w:hAnsi="Times New Roman" w:cs="Times New Roman"/>
          <w:sz w:val="20"/>
          <w:szCs w:val="20"/>
        </w:rPr>
        <w:t xml:space="preserve">a mandatory </w:t>
      </w:r>
      <w:r w:rsidR="00551615" w:rsidRPr="001D767D">
        <w:rPr>
          <w:rFonts w:ascii="Times New Roman" w:eastAsia="Times New Roman" w:hAnsi="Times New Roman" w:cs="Times New Roman"/>
          <w:sz w:val="20"/>
          <w:szCs w:val="20"/>
        </w:rPr>
        <w:t>environmental impact assessment</w:t>
      </w:r>
      <w:r w:rsidR="00C23B71" w:rsidRPr="001D767D">
        <w:rPr>
          <w:rFonts w:ascii="Times New Roman" w:eastAsia="Times New Roman" w:hAnsi="Times New Roman" w:cs="Times New Roman"/>
          <w:sz w:val="20"/>
          <w:szCs w:val="20"/>
        </w:rPr>
        <w:t>.</w:t>
      </w:r>
      <w:r w:rsidR="005C5637" w:rsidRPr="001D767D">
        <w:rPr>
          <w:rFonts w:ascii="Times New Roman" w:eastAsia="Times New Roman" w:hAnsi="Times New Roman" w:cs="Times New Roman"/>
          <w:sz w:val="20"/>
          <w:szCs w:val="20"/>
        </w:rPr>
        <w:t xml:space="preserve"> </w:t>
      </w:r>
      <w:r w:rsidR="00C23B71" w:rsidRPr="001D767D">
        <w:rPr>
          <w:rFonts w:ascii="Times New Roman" w:eastAsia="Times New Roman" w:hAnsi="Times New Roman" w:cs="Times New Roman"/>
          <w:sz w:val="20"/>
          <w:szCs w:val="20"/>
        </w:rPr>
        <w:t xml:space="preserve"> A</w:t>
      </w:r>
      <w:r w:rsidR="005C5637" w:rsidRPr="001D767D">
        <w:rPr>
          <w:rFonts w:ascii="Times New Roman" w:eastAsia="Times New Roman" w:hAnsi="Times New Roman" w:cs="Times New Roman"/>
          <w:sz w:val="20"/>
          <w:szCs w:val="20"/>
        </w:rPr>
        <w:t>n environmental impact assessment procedure</w:t>
      </w:r>
      <w:r w:rsidR="00AF7864" w:rsidRPr="001D767D">
        <w:rPr>
          <w:rFonts w:ascii="Times New Roman" w:eastAsia="Times New Roman" w:hAnsi="Times New Roman" w:cs="Times New Roman"/>
          <w:sz w:val="20"/>
          <w:szCs w:val="20"/>
        </w:rPr>
        <w:t xml:space="preserve">, </w:t>
      </w:r>
      <w:r w:rsidR="005C5637" w:rsidRPr="001D767D">
        <w:rPr>
          <w:rFonts w:ascii="Times New Roman" w:eastAsia="Times New Roman" w:hAnsi="Times New Roman" w:cs="Times New Roman"/>
          <w:sz w:val="20"/>
          <w:szCs w:val="20"/>
        </w:rPr>
        <w:t xml:space="preserve">including public participation, was carried out (see paras. </w:t>
      </w:r>
      <w:r w:rsidR="005C5637" w:rsidRPr="001D767D">
        <w:rPr>
          <w:rFonts w:ascii="Times New Roman" w:eastAsia="Times New Roman" w:hAnsi="Times New Roman" w:cs="Times New Roman"/>
          <w:sz w:val="20"/>
          <w:szCs w:val="20"/>
        </w:rPr>
        <w:fldChar w:fldCharType="begin"/>
      </w:r>
      <w:r w:rsidR="005C5637" w:rsidRPr="001D767D">
        <w:rPr>
          <w:rFonts w:ascii="Times New Roman" w:eastAsia="Times New Roman" w:hAnsi="Times New Roman" w:cs="Times New Roman"/>
          <w:sz w:val="20"/>
          <w:szCs w:val="20"/>
        </w:rPr>
        <w:instrText xml:space="preserve"> REF _Ref11855721 \r \h </w:instrText>
      </w:r>
      <w:r w:rsidR="003F6930" w:rsidRPr="001D767D">
        <w:rPr>
          <w:rFonts w:ascii="Times New Roman" w:eastAsia="Times New Roman" w:hAnsi="Times New Roman" w:cs="Times New Roman"/>
          <w:sz w:val="20"/>
          <w:szCs w:val="20"/>
        </w:rPr>
        <w:instrText xml:space="preserve"> \* MERGEFORMAT </w:instrText>
      </w:r>
      <w:r w:rsidR="005C5637" w:rsidRPr="001D767D">
        <w:rPr>
          <w:rFonts w:ascii="Times New Roman" w:eastAsia="Times New Roman" w:hAnsi="Times New Roman" w:cs="Times New Roman"/>
          <w:sz w:val="20"/>
          <w:szCs w:val="20"/>
        </w:rPr>
      </w:r>
      <w:r w:rsidR="005C5637" w:rsidRPr="001D767D">
        <w:rPr>
          <w:rFonts w:ascii="Times New Roman" w:eastAsia="Times New Roman" w:hAnsi="Times New Roman" w:cs="Times New Roman"/>
          <w:sz w:val="20"/>
          <w:szCs w:val="20"/>
        </w:rPr>
        <w:fldChar w:fldCharType="separate"/>
      </w:r>
      <w:r w:rsidR="001D767D" w:rsidRPr="001D767D">
        <w:rPr>
          <w:rFonts w:ascii="Times New Roman" w:eastAsia="Times New Roman" w:hAnsi="Times New Roman" w:cs="Times New Roman"/>
          <w:sz w:val="20"/>
          <w:szCs w:val="20"/>
          <w:cs/>
        </w:rPr>
        <w:t>‎</w:t>
      </w:r>
      <w:r w:rsidR="001D767D" w:rsidRPr="001D767D">
        <w:rPr>
          <w:rFonts w:ascii="Times New Roman" w:eastAsia="Times New Roman" w:hAnsi="Times New Roman" w:cs="Times New Roman"/>
          <w:sz w:val="20"/>
          <w:szCs w:val="20"/>
        </w:rPr>
        <w:t>23</w:t>
      </w:r>
      <w:r w:rsidR="005C5637" w:rsidRPr="001D767D">
        <w:rPr>
          <w:rFonts w:ascii="Times New Roman" w:eastAsia="Times New Roman" w:hAnsi="Times New Roman" w:cs="Times New Roman"/>
          <w:sz w:val="20"/>
          <w:szCs w:val="20"/>
        </w:rPr>
        <w:fldChar w:fldCharType="end"/>
      </w:r>
      <w:r w:rsidR="005C5637" w:rsidRPr="001D767D">
        <w:rPr>
          <w:rFonts w:ascii="Times New Roman" w:eastAsia="Times New Roman" w:hAnsi="Times New Roman" w:cs="Times New Roman"/>
          <w:sz w:val="20"/>
          <w:szCs w:val="20"/>
        </w:rPr>
        <w:t xml:space="preserve">, </w:t>
      </w:r>
      <w:r w:rsidR="005C5637" w:rsidRPr="001D767D">
        <w:rPr>
          <w:rFonts w:ascii="Times New Roman" w:eastAsia="Times New Roman" w:hAnsi="Times New Roman" w:cs="Times New Roman"/>
          <w:sz w:val="20"/>
          <w:szCs w:val="20"/>
        </w:rPr>
        <w:fldChar w:fldCharType="begin"/>
      </w:r>
      <w:r w:rsidR="005C5637" w:rsidRPr="001D767D">
        <w:rPr>
          <w:rFonts w:ascii="Times New Roman" w:eastAsia="Times New Roman" w:hAnsi="Times New Roman" w:cs="Times New Roman"/>
          <w:sz w:val="20"/>
          <w:szCs w:val="20"/>
        </w:rPr>
        <w:instrText xml:space="preserve"> REF _Ref11855747 \r \h </w:instrText>
      </w:r>
      <w:r w:rsidR="005C5637" w:rsidRPr="001D767D">
        <w:rPr>
          <w:rFonts w:ascii="Times New Roman" w:eastAsia="Times New Roman" w:hAnsi="Times New Roman" w:cs="Times New Roman"/>
          <w:sz w:val="20"/>
          <w:szCs w:val="20"/>
        </w:rPr>
      </w:r>
      <w:r w:rsidR="001D767D">
        <w:rPr>
          <w:rFonts w:ascii="Times New Roman" w:eastAsia="Times New Roman" w:hAnsi="Times New Roman" w:cs="Times New Roman"/>
          <w:sz w:val="20"/>
          <w:szCs w:val="20"/>
        </w:rPr>
        <w:instrText xml:space="preserve"> \* MERGEFORMAT </w:instrText>
      </w:r>
      <w:r w:rsidR="005C5637" w:rsidRPr="001D767D">
        <w:rPr>
          <w:rFonts w:ascii="Times New Roman" w:eastAsia="Times New Roman" w:hAnsi="Times New Roman" w:cs="Times New Roman"/>
          <w:sz w:val="20"/>
          <w:szCs w:val="20"/>
        </w:rPr>
        <w:fldChar w:fldCharType="separate"/>
      </w:r>
      <w:r w:rsidR="001D767D" w:rsidRPr="001D767D">
        <w:rPr>
          <w:rFonts w:ascii="Times New Roman" w:eastAsia="Times New Roman" w:hAnsi="Times New Roman" w:cs="Times New Roman"/>
          <w:sz w:val="20"/>
          <w:szCs w:val="20"/>
          <w:cs/>
        </w:rPr>
        <w:t>‎</w:t>
      </w:r>
      <w:r w:rsidR="001D767D" w:rsidRPr="001D767D">
        <w:rPr>
          <w:rFonts w:ascii="Times New Roman" w:eastAsia="Times New Roman" w:hAnsi="Times New Roman" w:cs="Times New Roman"/>
          <w:sz w:val="20"/>
          <w:szCs w:val="20"/>
        </w:rPr>
        <w:t>29</w:t>
      </w:r>
      <w:r w:rsidR="005C5637" w:rsidRPr="001D767D">
        <w:rPr>
          <w:rFonts w:ascii="Times New Roman" w:eastAsia="Times New Roman" w:hAnsi="Times New Roman" w:cs="Times New Roman"/>
          <w:sz w:val="20"/>
          <w:szCs w:val="20"/>
        </w:rPr>
        <w:fldChar w:fldCharType="end"/>
      </w:r>
      <w:r w:rsidR="005C5637" w:rsidRPr="001D767D">
        <w:rPr>
          <w:rFonts w:ascii="Times New Roman" w:eastAsia="Times New Roman" w:hAnsi="Times New Roman" w:cs="Times New Roman"/>
          <w:sz w:val="20"/>
          <w:szCs w:val="20"/>
        </w:rPr>
        <w:t xml:space="preserve"> and </w:t>
      </w:r>
      <w:r w:rsidR="005C5637" w:rsidRPr="001D767D">
        <w:rPr>
          <w:rFonts w:ascii="Times New Roman" w:eastAsia="Times New Roman" w:hAnsi="Times New Roman" w:cs="Times New Roman"/>
          <w:sz w:val="20"/>
          <w:szCs w:val="20"/>
        </w:rPr>
        <w:fldChar w:fldCharType="begin"/>
      </w:r>
      <w:r w:rsidR="005C5637" w:rsidRPr="001D767D">
        <w:rPr>
          <w:rFonts w:ascii="Times New Roman" w:eastAsia="Times New Roman" w:hAnsi="Times New Roman" w:cs="Times New Roman"/>
          <w:sz w:val="20"/>
          <w:szCs w:val="20"/>
        </w:rPr>
        <w:instrText xml:space="preserve"> REF _Ref7697166 \r \h </w:instrText>
      </w:r>
      <w:r w:rsidR="005C5637" w:rsidRPr="001D767D">
        <w:rPr>
          <w:rFonts w:ascii="Times New Roman" w:eastAsia="Times New Roman" w:hAnsi="Times New Roman" w:cs="Times New Roman"/>
          <w:sz w:val="20"/>
          <w:szCs w:val="20"/>
        </w:rPr>
      </w:r>
      <w:r w:rsidR="001D767D">
        <w:rPr>
          <w:rFonts w:ascii="Times New Roman" w:eastAsia="Times New Roman" w:hAnsi="Times New Roman" w:cs="Times New Roman"/>
          <w:sz w:val="20"/>
          <w:szCs w:val="20"/>
        </w:rPr>
        <w:instrText xml:space="preserve"> \* MERGEFORMAT </w:instrText>
      </w:r>
      <w:r w:rsidR="005C5637" w:rsidRPr="001D767D">
        <w:rPr>
          <w:rFonts w:ascii="Times New Roman" w:eastAsia="Times New Roman" w:hAnsi="Times New Roman" w:cs="Times New Roman"/>
          <w:sz w:val="20"/>
          <w:szCs w:val="20"/>
        </w:rPr>
        <w:fldChar w:fldCharType="separate"/>
      </w:r>
      <w:r w:rsidR="001D767D" w:rsidRPr="001D767D">
        <w:rPr>
          <w:rFonts w:ascii="Times New Roman" w:eastAsia="Times New Roman" w:hAnsi="Times New Roman" w:cs="Times New Roman"/>
          <w:sz w:val="20"/>
          <w:szCs w:val="20"/>
          <w:cs/>
        </w:rPr>
        <w:t>‎</w:t>
      </w:r>
      <w:r w:rsidR="001D767D" w:rsidRPr="001D767D">
        <w:rPr>
          <w:rFonts w:ascii="Times New Roman" w:eastAsia="Times New Roman" w:hAnsi="Times New Roman" w:cs="Times New Roman"/>
          <w:sz w:val="20"/>
          <w:szCs w:val="20"/>
        </w:rPr>
        <w:t>57</w:t>
      </w:r>
      <w:r w:rsidR="005C5637" w:rsidRPr="001D767D">
        <w:rPr>
          <w:rFonts w:ascii="Times New Roman" w:eastAsia="Times New Roman" w:hAnsi="Times New Roman" w:cs="Times New Roman"/>
          <w:sz w:val="20"/>
          <w:szCs w:val="20"/>
        </w:rPr>
        <w:fldChar w:fldCharType="end"/>
      </w:r>
      <w:r w:rsidR="005C5637" w:rsidRPr="001D767D">
        <w:rPr>
          <w:rFonts w:ascii="Times New Roman" w:eastAsia="Times New Roman" w:hAnsi="Times New Roman" w:cs="Times New Roman"/>
          <w:sz w:val="20"/>
          <w:szCs w:val="20"/>
        </w:rPr>
        <w:t xml:space="preserve"> above). In the light of the above, the </w:t>
      </w:r>
      <w:r w:rsidRPr="001D767D">
        <w:rPr>
          <w:rFonts w:ascii="Times New Roman" w:eastAsia="Times New Roman" w:hAnsi="Times New Roman" w:cs="Times New Roman"/>
          <w:sz w:val="20"/>
          <w:szCs w:val="20"/>
        </w:rPr>
        <w:t xml:space="preserve">Committee considers that </w:t>
      </w:r>
      <w:r w:rsidR="00C67A57" w:rsidRPr="001D767D">
        <w:rPr>
          <w:rFonts w:ascii="Times New Roman" w:eastAsia="Times New Roman" w:hAnsi="Times New Roman" w:cs="Times New Roman"/>
          <w:sz w:val="20"/>
          <w:szCs w:val="20"/>
        </w:rPr>
        <w:t>permit 97/1868</w:t>
      </w:r>
      <w:r w:rsidR="00AF7864" w:rsidRPr="001D767D">
        <w:rPr>
          <w:rFonts w:ascii="Times New Roman" w:eastAsia="Times New Roman" w:hAnsi="Times New Roman" w:cs="Times New Roman"/>
          <w:sz w:val="20"/>
          <w:szCs w:val="20"/>
        </w:rPr>
        <w:t xml:space="preserve"> was a decision to permit an activity </w:t>
      </w:r>
      <w:r w:rsidR="005C5637" w:rsidRPr="001D767D">
        <w:rPr>
          <w:rFonts w:ascii="Times New Roman" w:eastAsia="Times New Roman" w:hAnsi="Times New Roman" w:cs="Times New Roman"/>
          <w:sz w:val="20"/>
          <w:szCs w:val="20"/>
        </w:rPr>
        <w:t xml:space="preserve">subject to </w:t>
      </w:r>
      <w:r w:rsidR="00AF7864" w:rsidRPr="001D767D">
        <w:rPr>
          <w:rFonts w:ascii="Times New Roman" w:eastAsia="Times New Roman" w:hAnsi="Times New Roman" w:cs="Times New Roman"/>
          <w:sz w:val="20"/>
          <w:szCs w:val="20"/>
        </w:rPr>
        <w:t xml:space="preserve">an </w:t>
      </w:r>
      <w:r w:rsidR="00551615" w:rsidRPr="001D767D">
        <w:rPr>
          <w:rFonts w:ascii="Times New Roman" w:eastAsia="Times New Roman" w:hAnsi="Times New Roman" w:cs="Times New Roman"/>
          <w:sz w:val="20"/>
          <w:szCs w:val="20"/>
        </w:rPr>
        <w:t>environmental impact assessment</w:t>
      </w:r>
      <w:r w:rsidR="005C5637" w:rsidRPr="001D767D">
        <w:rPr>
          <w:rFonts w:ascii="Times New Roman" w:eastAsia="Times New Roman" w:hAnsi="Times New Roman" w:cs="Times New Roman"/>
          <w:sz w:val="20"/>
          <w:szCs w:val="20"/>
        </w:rPr>
        <w:t xml:space="preserve"> procedure, including public participation, in accordance with </w:t>
      </w:r>
      <w:r w:rsidR="00AF7864" w:rsidRPr="001D767D">
        <w:rPr>
          <w:rFonts w:ascii="Times New Roman" w:eastAsia="Times New Roman" w:hAnsi="Times New Roman" w:cs="Times New Roman"/>
          <w:sz w:val="20"/>
          <w:szCs w:val="20"/>
        </w:rPr>
        <w:t xml:space="preserve">national law as </w:t>
      </w:r>
      <w:r w:rsidR="005C5637" w:rsidRPr="001D767D">
        <w:rPr>
          <w:rFonts w:ascii="Times New Roman" w:eastAsia="Times New Roman" w:hAnsi="Times New Roman" w:cs="Times New Roman"/>
          <w:sz w:val="20"/>
          <w:szCs w:val="20"/>
        </w:rPr>
        <w:t xml:space="preserve">envisaged </w:t>
      </w:r>
      <w:r w:rsidR="00AF7864" w:rsidRPr="001D767D">
        <w:rPr>
          <w:rFonts w:ascii="Times New Roman" w:eastAsia="Times New Roman" w:hAnsi="Times New Roman" w:cs="Times New Roman"/>
          <w:sz w:val="20"/>
          <w:szCs w:val="20"/>
        </w:rPr>
        <w:t xml:space="preserve">in paragraph 20 of annex I, and therefore, an activity </w:t>
      </w:r>
      <w:r w:rsidR="00C47444" w:rsidRPr="001D767D">
        <w:rPr>
          <w:rFonts w:ascii="Times New Roman" w:eastAsia="Times New Roman" w:hAnsi="Times New Roman" w:cs="Times New Roman"/>
          <w:sz w:val="20"/>
          <w:szCs w:val="20"/>
        </w:rPr>
        <w:t>subject to</w:t>
      </w:r>
      <w:r w:rsidR="00AF7864" w:rsidRPr="001D767D">
        <w:rPr>
          <w:rFonts w:ascii="Times New Roman" w:eastAsia="Times New Roman" w:hAnsi="Times New Roman" w:cs="Times New Roman"/>
          <w:sz w:val="20"/>
          <w:szCs w:val="20"/>
        </w:rPr>
        <w:t xml:space="preserve"> article 6(1)(a) of the Convention.</w:t>
      </w:r>
      <w:bookmarkEnd w:id="23"/>
      <w:bookmarkEnd w:id="25"/>
    </w:p>
    <w:p w14:paraId="38E5852E" w14:textId="53DED697" w:rsidR="00157BEB" w:rsidRPr="001D767D" w:rsidRDefault="00157BEB" w:rsidP="00157BEB">
      <w:pPr>
        <w:numPr>
          <w:ilvl w:val="0"/>
          <w:numId w:val="2"/>
        </w:numPr>
        <w:tabs>
          <w:tab w:val="right" w:pos="993"/>
          <w:tab w:val="left" w:pos="1080"/>
        </w:tabs>
        <w:spacing w:after="120" w:line="240" w:lineRule="atLeast"/>
        <w:ind w:left="540" w:right="-1" w:firstLine="0"/>
        <w:jc w:val="both"/>
        <w:rPr>
          <w:rFonts w:ascii="Times New Roman" w:eastAsia="Times New Roman" w:hAnsi="Times New Roman" w:cs="Times New Roman"/>
          <w:sz w:val="20"/>
          <w:szCs w:val="20"/>
        </w:rPr>
      </w:pPr>
      <w:r w:rsidRPr="001D767D">
        <w:rPr>
          <w:rFonts w:ascii="Times New Roman" w:eastAsia="Times New Roman" w:hAnsi="Times New Roman" w:cs="Times New Roman"/>
          <w:sz w:val="20"/>
          <w:szCs w:val="20"/>
        </w:rPr>
        <w:t>Having found in paragraph</w:t>
      </w:r>
      <w:r w:rsidR="00130BB1" w:rsidRPr="001D767D">
        <w:rPr>
          <w:rFonts w:ascii="Times New Roman" w:eastAsia="Times New Roman" w:hAnsi="Times New Roman" w:cs="Times New Roman"/>
          <w:sz w:val="20"/>
          <w:szCs w:val="20"/>
        </w:rPr>
        <w:t xml:space="preserve"> </w:t>
      </w:r>
      <w:r w:rsidR="003167D6" w:rsidRPr="001D767D">
        <w:rPr>
          <w:rFonts w:ascii="Times New Roman" w:eastAsia="Times New Roman" w:hAnsi="Times New Roman" w:cs="Times New Roman"/>
          <w:sz w:val="20"/>
          <w:szCs w:val="20"/>
        </w:rPr>
        <w:fldChar w:fldCharType="begin"/>
      </w:r>
      <w:r w:rsidR="003167D6" w:rsidRPr="001D767D">
        <w:rPr>
          <w:rFonts w:ascii="Times New Roman" w:eastAsia="Times New Roman" w:hAnsi="Times New Roman" w:cs="Times New Roman"/>
          <w:sz w:val="20"/>
          <w:szCs w:val="20"/>
        </w:rPr>
        <w:instrText xml:space="preserve"> REF _Ref8244699 \r \h </w:instrText>
      </w:r>
      <w:r w:rsidR="008B39C8" w:rsidRPr="001D767D">
        <w:rPr>
          <w:rFonts w:ascii="Times New Roman" w:eastAsia="Times New Roman" w:hAnsi="Times New Roman" w:cs="Times New Roman"/>
          <w:sz w:val="20"/>
          <w:szCs w:val="20"/>
        </w:rPr>
        <w:instrText xml:space="preserve"> \* MERGEFORMAT </w:instrText>
      </w:r>
      <w:r w:rsidR="003167D6" w:rsidRPr="001D767D">
        <w:rPr>
          <w:rFonts w:ascii="Times New Roman" w:eastAsia="Times New Roman" w:hAnsi="Times New Roman" w:cs="Times New Roman"/>
          <w:sz w:val="20"/>
          <w:szCs w:val="20"/>
        </w:rPr>
      </w:r>
      <w:r w:rsidR="003167D6" w:rsidRPr="001D767D">
        <w:rPr>
          <w:rFonts w:ascii="Times New Roman" w:eastAsia="Times New Roman" w:hAnsi="Times New Roman" w:cs="Times New Roman"/>
          <w:sz w:val="20"/>
          <w:szCs w:val="20"/>
        </w:rPr>
        <w:fldChar w:fldCharType="separate"/>
      </w:r>
      <w:r w:rsidR="001D767D" w:rsidRPr="001D767D">
        <w:rPr>
          <w:rFonts w:ascii="Times New Roman" w:eastAsia="Times New Roman" w:hAnsi="Times New Roman" w:cs="Times New Roman"/>
          <w:sz w:val="20"/>
          <w:szCs w:val="20"/>
          <w:cs/>
        </w:rPr>
        <w:t>‎</w:t>
      </w:r>
      <w:r w:rsidR="001D767D" w:rsidRPr="001D767D">
        <w:rPr>
          <w:rFonts w:ascii="Times New Roman" w:eastAsia="Times New Roman" w:hAnsi="Times New Roman" w:cs="Times New Roman"/>
          <w:sz w:val="20"/>
          <w:szCs w:val="20"/>
        </w:rPr>
        <w:t>71</w:t>
      </w:r>
      <w:r w:rsidR="003167D6" w:rsidRPr="001D767D">
        <w:rPr>
          <w:rFonts w:ascii="Times New Roman" w:eastAsia="Times New Roman" w:hAnsi="Times New Roman" w:cs="Times New Roman"/>
          <w:sz w:val="20"/>
          <w:szCs w:val="20"/>
        </w:rPr>
        <w:fldChar w:fldCharType="end"/>
      </w:r>
      <w:r w:rsidRPr="001D767D">
        <w:rPr>
          <w:rFonts w:ascii="Times New Roman" w:eastAsia="Times New Roman" w:hAnsi="Times New Roman" w:cs="Times New Roman"/>
          <w:sz w:val="20"/>
          <w:szCs w:val="20"/>
        </w:rPr>
        <w:t xml:space="preserve"> above that the original 1998 permit was an activity </w:t>
      </w:r>
      <w:r w:rsidR="00C47444" w:rsidRPr="001D767D">
        <w:rPr>
          <w:rFonts w:ascii="Times New Roman" w:eastAsia="Times New Roman" w:hAnsi="Times New Roman" w:cs="Times New Roman"/>
          <w:sz w:val="20"/>
          <w:szCs w:val="20"/>
        </w:rPr>
        <w:t>within the scope of</w:t>
      </w:r>
      <w:r w:rsidRPr="001D767D">
        <w:rPr>
          <w:rFonts w:ascii="Times New Roman" w:eastAsia="Times New Roman" w:hAnsi="Times New Roman" w:cs="Times New Roman"/>
          <w:sz w:val="20"/>
          <w:szCs w:val="20"/>
        </w:rPr>
        <w:t xml:space="preserve"> paragraph 20 of annex I of the Convention and thus a decision to permit an activity under article 6(1)(a) of the Convention, the Committee does not consider it necessary to examine the communicant’s claim that the 1998 quarry permit was also an activity within paragraph 16 of Annex I to the Convention.</w:t>
      </w:r>
    </w:p>
    <w:p w14:paraId="6B895B67" w14:textId="335C6235" w:rsidR="00AF7864" w:rsidRPr="001D767D" w:rsidRDefault="00AF7864" w:rsidP="00AF7864">
      <w:pPr>
        <w:tabs>
          <w:tab w:val="right" w:pos="993"/>
          <w:tab w:val="left" w:pos="1080"/>
        </w:tabs>
        <w:spacing w:after="120" w:line="240" w:lineRule="atLeast"/>
        <w:ind w:left="540" w:right="-1"/>
        <w:jc w:val="both"/>
        <w:rPr>
          <w:rFonts w:ascii="Times New Roman" w:eastAsia="Times New Roman" w:hAnsi="Times New Roman" w:cs="Times New Roman"/>
          <w:i/>
          <w:iCs/>
          <w:sz w:val="20"/>
          <w:szCs w:val="20"/>
        </w:rPr>
      </w:pPr>
      <w:r w:rsidRPr="001D767D">
        <w:rPr>
          <w:rFonts w:ascii="Times New Roman" w:eastAsia="Times New Roman" w:hAnsi="Times New Roman" w:cs="Times New Roman"/>
          <w:i/>
          <w:iCs/>
          <w:sz w:val="20"/>
          <w:szCs w:val="20"/>
        </w:rPr>
        <w:t xml:space="preserve">2004 </w:t>
      </w:r>
      <w:r w:rsidR="00157BEB" w:rsidRPr="001D767D">
        <w:rPr>
          <w:rFonts w:ascii="Times New Roman" w:eastAsia="Times New Roman" w:hAnsi="Times New Roman" w:cs="Times New Roman"/>
          <w:i/>
          <w:iCs/>
          <w:sz w:val="20"/>
          <w:szCs w:val="20"/>
        </w:rPr>
        <w:t xml:space="preserve">quarry </w:t>
      </w:r>
      <w:r w:rsidRPr="001D767D">
        <w:rPr>
          <w:rFonts w:ascii="Times New Roman" w:eastAsia="Times New Roman" w:hAnsi="Times New Roman" w:cs="Times New Roman"/>
          <w:i/>
          <w:iCs/>
          <w:sz w:val="20"/>
          <w:szCs w:val="20"/>
        </w:rPr>
        <w:t>permit</w:t>
      </w:r>
    </w:p>
    <w:p w14:paraId="5E301E48" w14:textId="41DC7709" w:rsidR="00AF7864" w:rsidRPr="001D767D" w:rsidRDefault="002D64BB" w:rsidP="003167D6">
      <w:pPr>
        <w:numPr>
          <w:ilvl w:val="0"/>
          <w:numId w:val="2"/>
        </w:numPr>
        <w:tabs>
          <w:tab w:val="right" w:pos="993"/>
          <w:tab w:val="left" w:pos="1080"/>
        </w:tabs>
        <w:spacing w:after="120" w:line="240" w:lineRule="atLeast"/>
        <w:ind w:left="540" w:right="-1" w:firstLine="0"/>
        <w:jc w:val="both"/>
        <w:rPr>
          <w:rFonts w:ascii="Times New Roman" w:eastAsia="Times New Roman" w:hAnsi="Times New Roman" w:cs="Times New Roman"/>
          <w:sz w:val="20"/>
          <w:szCs w:val="20"/>
        </w:rPr>
      </w:pPr>
      <w:bookmarkStart w:id="26" w:name="_Ref8245380"/>
      <w:r w:rsidRPr="001D767D">
        <w:rPr>
          <w:rFonts w:ascii="Times New Roman" w:eastAsia="Times New Roman" w:hAnsi="Times New Roman" w:cs="Times New Roman"/>
          <w:sz w:val="20"/>
          <w:szCs w:val="20"/>
        </w:rPr>
        <w:t>On 5 March 2004, Meath County Council granted p</w:t>
      </w:r>
      <w:r w:rsidR="00AF7864" w:rsidRPr="001D767D">
        <w:rPr>
          <w:rFonts w:ascii="Times New Roman" w:eastAsia="Times New Roman" w:hAnsi="Times New Roman" w:cs="Times New Roman"/>
          <w:sz w:val="20"/>
          <w:szCs w:val="20"/>
        </w:rPr>
        <w:t xml:space="preserve">ermit TA/30334 to Keegan Quarries Ltd </w:t>
      </w:r>
      <w:r w:rsidRPr="001D767D">
        <w:rPr>
          <w:rFonts w:ascii="Times New Roman" w:eastAsia="Times New Roman" w:hAnsi="Times New Roman" w:cs="Times New Roman"/>
          <w:sz w:val="20"/>
          <w:szCs w:val="20"/>
        </w:rPr>
        <w:t>permitting the extension of the original quarry to an overall area of 15.88 hectares.</w:t>
      </w:r>
      <w:r w:rsidR="008368FF" w:rsidRPr="001D767D">
        <w:rPr>
          <w:rStyle w:val="FootnoteReference"/>
          <w:rFonts w:ascii="Times New Roman" w:eastAsia="Times New Roman" w:hAnsi="Times New Roman" w:cs="Times New Roman"/>
          <w:sz w:val="20"/>
          <w:szCs w:val="20"/>
        </w:rPr>
        <w:footnoteReference w:id="76"/>
      </w:r>
      <w:r w:rsidRPr="001D767D">
        <w:rPr>
          <w:rFonts w:ascii="Times New Roman" w:eastAsia="Times New Roman" w:hAnsi="Times New Roman" w:cs="Times New Roman"/>
          <w:sz w:val="20"/>
          <w:szCs w:val="20"/>
        </w:rPr>
        <w:t xml:space="preserve"> Permit TA/30334 </w:t>
      </w:r>
      <w:r w:rsidR="00C67A57" w:rsidRPr="001D767D">
        <w:rPr>
          <w:rFonts w:ascii="Times New Roman" w:eastAsia="Times New Roman" w:hAnsi="Times New Roman" w:cs="Times New Roman"/>
          <w:sz w:val="20"/>
          <w:szCs w:val="20"/>
        </w:rPr>
        <w:t xml:space="preserve">accordingly </w:t>
      </w:r>
      <w:r w:rsidRPr="001D767D">
        <w:rPr>
          <w:rFonts w:ascii="Times New Roman" w:eastAsia="Times New Roman" w:hAnsi="Times New Roman" w:cs="Times New Roman"/>
          <w:sz w:val="20"/>
          <w:szCs w:val="20"/>
        </w:rPr>
        <w:t xml:space="preserve">extended the </w:t>
      </w:r>
      <w:r w:rsidR="00C67A57" w:rsidRPr="001D767D">
        <w:rPr>
          <w:rFonts w:ascii="Times New Roman" w:eastAsia="Times New Roman" w:hAnsi="Times New Roman" w:cs="Times New Roman"/>
          <w:sz w:val="20"/>
          <w:szCs w:val="20"/>
        </w:rPr>
        <w:t xml:space="preserve">area of the </w:t>
      </w:r>
      <w:r w:rsidRPr="001D767D">
        <w:rPr>
          <w:rFonts w:ascii="Times New Roman" w:eastAsia="Times New Roman" w:hAnsi="Times New Roman" w:cs="Times New Roman"/>
          <w:sz w:val="20"/>
          <w:szCs w:val="20"/>
        </w:rPr>
        <w:t xml:space="preserve">original quarry </w:t>
      </w:r>
      <w:r w:rsidR="00C67A57" w:rsidRPr="001D767D">
        <w:rPr>
          <w:rFonts w:ascii="Times New Roman" w:eastAsia="Times New Roman" w:hAnsi="Times New Roman" w:cs="Times New Roman"/>
          <w:sz w:val="20"/>
          <w:szCs w:val="20"/>
        </w:rPr>
        <w:t xml:space="preserve">authorized by permit 97/1868 </w:t>
      </w:r>
      <w:r w:rsidRPr="001D767D">
        <w:rPr>
          <w:rFonts w:ascii="Times New Roman" w:eastAsia="Times New Roman" w:hAnsi="Times New Roman" w:cs="Times New Roman"/>
          <w:sz w:val="20"/>
          <w:szCs w:val="20"/>
        </w:rPr>
        <w:t xml:space="preserve">by </w:t>
      </w:r>
      <w:r w:rsidR="00C67A57" w:rsidRPr="001D767D">
        <w:rPr>
          <w:rFonts w:ascii="Times New Roman" w:eastAsia="Times New Roman" w:hAnsi="Times New Roman" w:cs="Times New Roman"/>
          <w:sz w:val="20"/>
          <w:szCs w:val="20"/>
        </w:rPr>
        <w:t xml:space="preserve">an additional 7.33 hectares. Since an extension of 7.33 hectares is above the </w:t>
      </w:r>
      <w:proofErr w:type="gramStart"/>
      <w:r w:rsidR="00C67A57" w:rsidRPr="001D767D">
        <w:rPr>
          <w:rFonts w:ascii="Times New Roman" w:eastAsia="Times New Roman" w:hAnsi="Times New Roman" w:cs="Times New Roman"/>
          <w:sz w:val="20"/>
          <w:szCs w:val="20"/>
        </w:rPr>
        <w:t>5 hectare</w:t>
      </w:r>
      <w:proofErr w:type="gramEnd"/>
      <w:r w:rsidR="00C67A57" w:rsidRPr="001D767D">
        <w:rPr>
          <w:rFonts w:ascii="Times New Roman" w:eastAsia="Times New Roman" w:hAnsi="Times New Roman" w:cs="Times New Roman"/>
          <w:sz w:val="20"/>
          <w:szCs w:val="20"/>
        </w:rPr>
        <w:t xml:space="preserve"> threshold laid down in Irish law for a mandatory </w:t>
      </w:r>
      <w:r w:rsidR="00551615" w:rsidRPr="001D767D">
        <w:rPr>
          <w:rFonts w:ascii="Times New Roman" w:eastAsia="Times New Roman" w:hAnsi="Times New Roman" w:cs="Times New Roman"/>
          <w:sz w:val="20"/>
          <w:szCs w:val="20"/>
        </w:rPr>
        <w:lastRenderedPageBreak/>
        <w:t>environmental impact assessment</w:t>
      </w:r>
      <w:r w:rsidR="00C67A57" w:rsidRPr="001D767D">
        <w:rPr>
          <w:rFonts w:ascii="Times New Roman" w:eastAsia="Times New Roman" w:hAnsi="Times New Roman" w:cs="Times New Roman"/>
          <w:sz w:val="20"/>
          <w:szCs w:val="20"/>
        </w:rPr>
        <w:t>, the Committee considers that</w:t>
      </w:r>
      <w:r w:rsidR="00BF16F5" w:rsidRPr="001D767D">
        <w:rPr>
          <w:rFonts w:ascii="Times New Roman" w:eastAsia="Times New Roman" w:hAnsi="Times New Roman" w:cs="Times New Roman"/>
          <w:sz w:val="20"/>
          <w:szCs w:val="20"/>
        </w:rPr>
        <w:t>, in accordance with paragraph 22 of annex I to the Convention,</w:t>
      </w:r>
      <w:r w:rsidR="00C67A57" w:rsidRPr="001D767D">
        <w:rPr>
          <w:rFonts w:ascii="Times New Roman" w:eastAsia="Times New Roman" w:hAnsi="Times New Roman" w:cs="Times New Roman"/>
          <w:sz w:val="20"/>
          <w:szCs w:val="20"/>
        </w:rPr>
        <w:t xml:space="preserve"> permit TA/30334 was an extension of an activity</w:t>
      </w:r>
      <w:r w:rsidR="00BF16F5" w:rsidRPr="001D767D">
        <w:rPr>
          <w:rFonts w:ascii="Times New Roman" w:eastAsia="Times New Roman" w:hAnsi="Times New Roman" w:cs="Times New Roman"/>
          <w:sz w:val="20"/>
          <w:szCs w:val="20"/>
        </w:rPr>
        <w:t xml:space="preserve"> where the extension</w:t>
      </w:r>
      <w:r w:rsidR="00C67A57" w:rsidRPr="001D767D">
        <w:rPr>
          <w:rFonts w:ascii="Times New Roman" w:eastAsia="Times New Roman" w:hAnsi="Times New Roman" w:cs="Times New Roman"/>
          <w:sz w:val="20"/>
          <w:szCs w:val="20"/>
        </w:rPr>
        <w:t xml:space="preserve"> itself meets the threshold set out in paragraph 20 of annex I to the Convention</w:t>
      </w:r>
      <w:r w:rsidR="00BF16F5" w:rsidRPr="001D767D">
        <w:rPr>
          <w:rFonts w:ascii="Times New Roman" w:eastAsia="Times New Roman" w:hAnsi="Times New Roman" w:cs="Times New Roman"/>
          <w:sz w:val="20"/>
          <w:szCs w:val="20"/>
        </w:rPr>
        <w:t xml:space="preserve">. Permit TA/30334 was thus </w:t>
      </w:r>
      <w:r w:rsidR="00E91733" w:rsidRPr="001D767D">
        <w:rPr>
          <w:rFonts w:ascii="Times New Roman" w:eastAsia="Times New Roman" w:hAnsi="Times New Roman" w:cs="Times New Roman"/>
          <w:sz w:val="20"/>
          <w:szCs w:val="20"/>
        </w:rPr>
        <w:t xml:space="preserve">also </w:t>
      </w:r>
      <w:r w:rsidR="00BF16F5" w:rsidRPr="001D767D">
        <w:rPr>
          <w:rFonts w:ascii="Times New Roman" w:eastAsia="Times New Roman" w:hAnsi="Times New Roman" w:cs="Times New Roman"/>
          <w:sz w:val="20"/>
          <w:szCs w:val="20"/>
        </w:rPr>
        <w:t xml:space="preserve">a decision </w:t>
      </w:r>
      <w:r w:rsidR="00420FB3" w:rsidRPr="001D767D">
        <w:rPr>
          <w:rFonts w:ascii="Times New Roman" w:eastAsia="Times New Roman" w:hAnsi="Times New Roman" w:cs="Times New Roman"/>
          <w:sz w:val="20"/>
          <w:szCs w:val="20"/>
        </w:rPr>
        <w:t xml:space="preserve">that permitted </w:t>
      </w:r>
      <w:r w:rsidR="00BF16F5" w:rsidRPr="001D767D">
        <w:rPr>
          <w:rFonts w:ascii="Times New Roman" w:eastAsia="Times New Roman" w:hAnsi="Times New Roman" w:cs="Times New Roman"/>
          <w:sz w:val="20"/>
          <w:szCs w:val="20"/>
        </w:rPr>
        <w:t>an activity</w:t>
      </w:r>
      <w:r w:rsidR="00C67A57" w:rsidRPr="001D767D">
        <w:rPr>
          <w:rFonts w:ascii="Times New Roman" w:eastAsia="Times New Roman" w:hAnsi="Times New Roman" w:cs="Times New Roman"/>
          <w:sz w:val="20"/>
          <w:szCs w:val="20"/>
        </w:rPr>
        <w:t xml:space="preserve"> subject to article 6(1)(a) of the Convention.</w:t>
      </w:r>
      <w:bookmarkEnd w:id="26"/>
    </w:p>
    <w:p w14:paraId="34E013E9" w14:textId="7A3053B5" w:rsidR="00420FB3" w:rsidRPr="001D767D" w:rsidRDefault="00420FB3" w:rsidP="00C67A57">
      <w:pPr>
        <w:tabs>
          <w:tab w:val="right" w:pos="993"/>
          <w:tab w:val="left" w:pos="1080"/>
        </w:tabs>
        <w:spacing w:after="120" w:line="240" w:lineRule="atLeast"/>
        <w:ind w:left="540" w:right="-1"/>
        <w:jc w:val="both"/>
        <w:rPr>
          <w:rFonts w:ascii="Times New Roman" w:eastAsia="Times New Roman" w:hAnsi="Times New Roman" w:cs="Times New Roman"/>
          <w:i/>
          <w:iCs/>
          <w:sz w:val="20"/>
          <w:szCs w:val="20"/>
        </w:rPr>
      </w:pPr>
      <w:r w:rsidRPr="001D767D">
        <w:rPr>
          <w:rFonts w:ascii="Times New Roman" w:eastAsia="Times New Roman" w:hAnsi="Times New Roman" w:cs="Times New Roman"/>
          <w:i/>
          <w:iCs/>
          <w:sz w:val="20"/>
          <w:szCs w:val="20"/>
        </w:rPr>
        <w:t xml:space="preserve">2010 </w:t>
      </w:r>
      <w:r w:rsidR="00157BEB" w:rsidRPr="001D767D">
        <w:rPr>
          <w:rFonts w:ascii="Times New Roman" w:eastAsia="Times New Roman" w:hAnsi="Times New Roman" w:cs="Times New Roman"/>
          <w:i/>
          <w:iCs/>
          <w:sz w:val="20"/>
          <w:szCs w:val="20"/>
        </w:rPr>
        <w:t xml:space="preserve">quarry </w:t>
      </w:r>
      <w:r w:rsidRPr="001D767D">
        <w:rPr>
          <w:rFonts w:ascii="Times New Roman" w:eastAsia="Times New Roman" w:hAnsi="Times New Roman" w:cs="Times New Roman"/>
          <w:i/>
          <w:iCs/>
          <w:sz w:val="20"/>
          <w:szCs w:val="20"/>
        </w:rPr>
        <w:t>permit</w:t>
      </w:r>
    </w:p>
    <w:p w14:paraId="089AC413" w14:textId="3EDE897A" w:rsidR="00420FB3" w:rsidRPr="001D767D" w:rsidRDefault="00420FB3" w:rsidP="005C5637">
      <w:pPr>
        <w:numPr>
          <w:ilvl w:val="0"/>
          <w:numId w:val="2"/>
        </w:numPr>
        <w:tabs>
          <w:tab w:val="right" w:pos="993"/>
          <w:tab w:val="left" w:pos="1080"/>
        </w:tabs>
        <w:spacing w:after="120" w:line="240" w:lineRule="atLeast"/>
        <w:ind w:left="540" w:right="-1" w:firstLine="0"/>
        <w:jc w:val="both"/>
        <w:rPr>
          <w:rFonts w:ascii="Times New Roman" w:eastAsia="Times New Roman" w:hAnsi="Times New Roman" w:cs="Times New Roman"/>
          <w:sz w:val="20"/>
          <w:szCs w:val="20"/>
        </w:rPr>
      </w:pPr>
      <w:r w:rsidRPr="001D767D">
        <w:rPr>
          <w:rFonts w:ascii="Times New Roman" w:eastAsia="Times New Roman" w:hAnsi="Times New Roman" w:cs="Times New Roman"/>
          <w:sz w:val="20"/>
          <w:szCs w:val="20"/>
        </w:rPr>
        <w:t>On 7 January 2010, Meath County Council granted permit TA/900976 to Keegan Quarries Ltd permitting the extension of the above quarry by an additional 4.274 hectares.</w:t>
      </w:r>
      <w:r w:rsidR="008368FF" w:rsidRPr="001D767D">
        <w:rPr>
          <w:rStyle w:val="FootnoteReference"/>
          <w:rFonts w:ascii="Times New Roman" w:eastAsia="Times New Roman" w:hAnsi="Times New Roman" w:cs="Times New Roman"/>
          <w:sz w:val="20"/>
          <w:szCs w:val="20"/>
        </w:rPr>
        <w:footnoteReference w:id="77"/>
      </w:r>
      <w:r w:rsidRPr="001D767D">
        <w:rPr>
          <w:rFonts w:ascii="Times New Roman" w:eastAsia="Times New Roman" w:hAnsi="Times New Roman" w:cs="Times New Roman"/>
          <w:sz w:val="20"/>
          <w:szCs w:val="20"/>
        </w:rPr>
        <w:t xml:space="preserve"> Although the extension fell below the threshold prescribed in national law for a mandatory environmental impact assessment to be carried out, </w:t>
      </w:r>
      <w:r w:rsidR="008368FF" w:rsidRPr="001D767D">
        <w:rPr>
          <w:rFonts w:ascii="Times New Roman" w:hAnsi="Times New Roman"/>
          <w:sz w:val="20"/>
        </w:rPr>
        <w:t>an</w:t>
      </w:r>
      <w:r w:rsidRPr="001D767D">
        <w:rPr>
          <w:rFonts w:ascii="Times New Roman" w:hAnsi="Times New Roman"/>
          <w:sz w:val="20"/>
        </w:rPr>
        <w:t xml:space="preserve"> environmental impact assessment</w:t>
      </w:r>
      <w:r w:rsidRPr="001D767D">
        <w:rPr>
          <w:rFonts w:ascii="Times New Roman" w:eastAsia="Times New Roman" w:hAnsi="Times New Roman" w:cs="Times New Roman"/>
          <w:sz w:val="20"/>
          <w:szCs w:val="20"/>
        </w:rPr>
        <w:t xml:space="preserve">, including public participation, </w:t>
      </w:r>
      <w:r w:rsidR="008368FF" w:rsidRPr="001D767D">
        <w:rPr>
          <w:rFonts w:ascii="Times New Roman" w:hAnsi="Times New Roman"/>
          <w:sz w:val="20"/>
        </w:rPr>
        <w:t xml:space="preserve">was carried out </w:t>
      </w:r>
      <w:r w:rsidRPr="001D767D">
        <w:rPr>
          <w:rFonts w:ascii="Times New Roman" w:eastAsia="Times New Roman" w:hAnsi="Times New Roman" w:cs="Times New Roman"/>
          <w:sz w:val="20"/>
          <w:szCs w:val="20"/>
        </w:rPr>
        <w:t xml:space="preserve">prior to the grant of the permit. </w:t>
      </w:r>
      <w:bookmarkStart w:id="27" w:name="_Ref8245384"/>
      <w:r w:rsidR="0042196B" w:rsidRPr="001D767D">
        <w:rPr>
          <w:rFonts w:ascii="Times New Roman" w:eastAsia="Times New Roman" w:hAnsi="Times New Roman" w:cs="Times New Roman"/>
          <w:sz w:val="20"/>
          <w:szCs w:val="20"/>
        </w:rPr>
        <w:t>Accordingly</w:t>
      </w:r>
      <w:r w:rsidR="005C5637" w:rsidRPr="001D767D">
        <w:rPr>
          <w:rFonts w:ascii="Times New Roman" w:eastAsia="Times New Roman" w:hAnsi="Times New Roman" w:cs="Times New Roman"/>
          <w:sz w:val="20"/>
          <w:szCs w:val="20"/>
        </w:rPr>
        <w:t xml:space="preserve">, the Committee considers that permit TA/900976 was a decision to permit an activity subject to an environmental impact assessment procedure, including public participation, in accordance with national law as </w:t>
      </w:r>
      <w:r w:rsidR="00C47444" w:rsidRPr="001D767D">
        <w:rPr>
          <w:rFonts w:ascii="Times New Roman" w:eastAsia="Times New Roman" w:hAnsi="Times New Roman" w:cs="Times New Roman"/>
          <w:sz w:val="20"/>
          <w:szCs w:val="20"/>
        </w:rPr>
        <w:t xml:space="preserve">set out </w:t>
      </w:r>
      <w:r w:rsidR="005C5637" w:rsidRPr="001D767D">
        <w:rPr>
          <w:rFonts w:ascii="Times New Roman" w:eastAsia="Times New Roman" w:hAnsi="Times New Roman" w:cs="Times New Roman"/>
          <w:sz w:val="20"/>
          <w:szCs w:val="20"/>
        </w:rPr>
        <w:t xml:space="preserve">in paragraph 20 of annex I, and therefore, an activity </w:t>
      </w:r>
      <w:r w:rsidR="00C47444" w:rsidRPr="001D767D">
        <w:rPr>
          <w:rFonts w:ascii="Times New Roman" w:eastAsia="Times New Roman" w:hAnsi="Times New Roman" w:cs="Times New Roman"/>
          <w:sz w:val="20"/>
          <w:szCs w:val="20"/>
        </w:rPr>
        <w:t>subject to</w:t>
      </w:r>
      <w:r w:rsidR="005C5637" w:rsidRPr="001D767D">
        <w:rPr>
          <w:rFonts w:ascii="Times New Roman" w:eastAsia="Times New Roman" w:hAnsi="Times New Roman" w:cs="Times New Roman"/>
          <w:sz w:val="20"/>
          <w:szCs w:val="20"/>
        </w:rPr>
        <w:t xml:space="preserve"> article 6(1)(a) of the Convention.</w:t>
      </w:r>
      <w:bookmarkEnd w:id="27"/>
      <w:r w:rsidR="00C969C5" w:rsidRPr="001D767D">
        <w:rPr>
          <w:rFonts w:ascii="Times New Roman" w:eastAsia="Times New Roman" w:hAnsi="Times New Roman" w:cs="Times New Roman"/>
          <w:sz w:val="20"/>
          <w:szCs w:val="20"/>
        </w:rPr>
        <w:t xml:space="preserve"> </w:t>
      </w:r>
      <w:r w:rsidRPr="001D767D">
        <w:rPr>
          <w:rFonts w:ascii="Times New Roman" w:eastAsia="Times New Roman" w:hAnsi="Times New Roman" w:cs="Times New Roman"/>
          <w:sz w:val="20"/>
          <w:szCs w:val="20"/>
        </w:rPr>
        <w:t xml:space="preserve"> </w:t>
      </w:r>
    </w:p>
    <w:p w14:paraId="2C770191" w14:textId="77777777" w:rsidR="00157BEB" w:rsidRPr="001D767D" w:rsidRDefault="00157BEB" w:rsidP="00157BEB">
      <w:pPr>
        <w:tabs>
          <w:tab w:val="right" w:pos="993"/>
          <w:tab w:val="left" w:pos="1080"/>
        </w:tabs>
        <w:spacing w:after="120" w:line="240" w:lineRule="atLeast"/>
        <w:ind w:left="540" w:right="-1"/>
        <w:jc w:val="both"/>
        <w:rPr>
          <w:rFonts w:ascii="Times New Roman" w:eastAsia="Times New Roman" w:hAnsi="Times New Roman" w:cs="Times New Roman"/>
          <w:b/>
          <w:bCs/>
          <w:sz w:val="20"/>
          <w:szCs w:val="20"/>
        </w:rPr>
      </w:pPr>
    </w:p>
    <w:p w14:paraId="578DECB2" w14:textId="45C908C8" w:rsidR="00915371" w:rsidRPr="001D767D" w:rsidRDefault="00157BEB">
      <w:pPr>
        <w:tabs>
          <w:tab w:val="right" w:pos="993"/>
          <w:tab w:val="left" w:pos="1080"/>
        </w:tabs>
        <w:spacing w:after="120" w:line="240" w:lineRule="atLeast"/>
        <w:ind w:left="540" w:right="-1"/>
        <w:jc w:val="both"/>
        <w:rPr>
          <w:rFonts w:ascii="Times New Roman" w:eastAsia="Times New Roman" w:hAnsi="Times New Roman" w:cs="Times New Roman"/>
          <w:b/>
          <w:bCs/>
          <w:sz w:val="20"/>
          <w:szCs w:val="20"/>
        </w:rPr>
      </w:pPr>
      <w:r w:rsidRPr="001D767D">
        <w:rPr>
          <w:rFonts w:ascii="Times New Roman" w:eastAsia="Times New Roman" w:hAnsi="Times New Roman" w:cs="Times New Roman"/>
          <w:b/>
          <w:bCs/>
          <w:sz w:val="20"/>
          <w:szCs w:val="20"/>
        </w:rPr>
        <w:t>Applicability of article 6 to the 2013 extension of duration decisions</w:t>
      </w:r>
      <w:r w:rsidR="00392CE4" w:rsidRPr="001D767D">
        <w:rPr>
          <w:rFonts w:ascii="Times New Roman" w:eastAsia="Times New Roman" w:hAnsi="Times New Roman" w:cs="Times New Roman"/>
          <w:b/>
          <w:bCs/>
          <w:sz w:val="20"/>
          <w:szCs w:val="20"/>
        </w:rPr>
        <w:t>:</w:t>
      </w:r>
    </w:p>
    <w:p w14:paraId="1DE730E0" w14:textId="200816A9" w:rsidR="00B860AA" w:rsidRPr="001D767D" w:rsidRDefault="00915371" w:rsidP="00741CFB">
      <w:pPr>
        <w:ind w:firstLine="540"/>
        <w:rPr>
          <w:b/>
          <w:bCs/>
        </w:rPr>
      </w:pPr>
      <w:r w:rsidRPr="001D767D">
        <w:rPr>
          <w:rFonts w:ascii="Times New Roman" w:eastAsia="Times New Roman" w:hAnsi="Times New Roman" w:cs="Times New Roman"/>
          <w:b/>
          <w:bCs/>
          <w:sz w:val="20"/>
          <w:szCs w:val="20"/>
        </w:rPr>
        <w:t>Article 6(1)(a) and paragraph 20 of Annex I</w:t>
      </w:r>
    </w:p>
    <w:p w14:paraId="494AB5C0" w14:textId="796DBFB9" w:rsidR="00B860AA" w:rsidRPr="001D767D" w:rsidRDefault="00054CF8" w:rsidP="00784840">
      <w:pPr>
        <w:numPr>
          <w:ilvl w:val="0"/>
          <w:numId w:val="2"/>
        </w:numPr>
        <w:tabs>
          <w:tab w:val="right" w:pos="993"/>
          <w:tab w:val="left" w:pos="1080"/>
        </w:tabs>
        <w:spacing w:after="120" w:line="240" w:lineRule="atLeast"/>
        <w:ind w:left="540" w:right="-1" w:firstLine="0"/>
        <w:jc w:val="both"/>
        <w:rPr>
          <w:rFonts w:ascii="Times New Roman" w:eastAsia="Times New Roman" w:hAnsi="Times New Roman" w:cs="Times New Roman"/>
          <w:sz w:val="20"/>
          <w:szCs w:val="20"/>
        </w:rPr>
      </w:pPr>
      <w:r w:rsidRPr="001D767D">
        <w:rPr>
          <w:rFonts w:ascii="Times New Roman" w:eastAsia="Times New Roman" w:hAnsi="Times New Roman" w:cs="Times New Roman"/>
          <w:sz w:val="20"/>
          <w:szCs w:val="20"/>
        </w:rPr>
        <w:t xml:space="preserve">The parties differ over whether an </w:t>
      </w:r>
      <w:r w:rsidR="00551615" w:rsidRPr="001D767D">
        <w:rPr>
          <w:rFonts w:ascii="Times New Roman" w:eastAsia="Times New Roman" w:hAnsi="Times New Roman" w:cs="Times New Roman"/>
          <w:sz w:val="20"/>
          <w:szCs w:val="20"/>
        </w:rPr>
        <w:t>environmental impact assessment</w:t>
      </w:r>
      <w:r w:rsidRPr="001D767D">
        <w:rPr>
          <w:rFonts w:ascii="Times New Roman" w:eastAsia="Times New Roman" w:hAnsi="Times New Roman" w:cs="Times New Roman"/>
          <w:sz w:val="20"/>
          <w:szCs w:val="20"/>
        </w:rPr>
        <w:t xml:space="preserve"> was required under national law for the 2013 </w:t>
      </w:r>
      <w:r w:rsidRPr="001D767D">
        <w:rPr>
          <w:rFonts w:ascii="Times New Roman" w:hAnsi="Times New Roman"/>
          <w:sz w:val="20"/>
        </w:rPr>
        <w:t>permits</w:t>
      </w:r>
      <w:r w:rsidRPr="001D767D">
        <w:rPr>
          <w:rFonts w:ascii="Times New Roman" w:eastAsia="Times New Roman" w:hAnsi="Times New Roman" w:cs="Times New Roman"/>
          <w:sz w:val="20"/>
          <w:szCs w:val="20"/>
        </w:rPr>
        <w:t xml:space="preserve"> to extend the duration of the </w:t>
      </w:r>
      <w:r w:rsidR="00E026D3" w:rsidRPr="001D767D">
        <w:rPr>
          <w:rFonts w:ascii="Times New Roman" w:eastAsia="Times New Roman" w:hAnsi="Times New Roman" w:cs="Times New Roman"/>
          <w:sz w:val="20"/>
          <w:szCs w:val="20"/>
        </w:rPr>
        <w:t>quarry</w:t>
      </w:r>
      <w:r w:rsidRPr="001D767D">
        <w:rPr>
          <w:rFonts w:ascii="Times New Roman" w:eastAsia="Times New Roman" w:hAnsi="Times New Roman" w:cs="Times New Roman"/>
          <w:sz w:val="20"/>
          <w:szCs w:val="20"/>
        </w:rPr>
        <w:t xml:space="preserve">. As the Party concerned correctly points out, it is not for the Committee to determine </w:t>
      </w:r>
      <w:proofErr w:type="gramStart"/>
      <w:r w:rsidRPr="001D767D">
        <w:rPr>
          <w:rFonts w:ascii="Times New Roman" w:eastAsia="Times New Roman" w:hAnsi="Times New Roman" w:cs="Times New Roman"/>
          <w:sz w:val="20"/>
          <w:szCs w:val="20"/>
        </w:rPr>
        <w:t>whether or not</w:t>
      </w:r>
      <w:proofErr w:type="gramEnd"/>
      <w:r w:rsidRPr="001D767D">
        <w:rPr>
          <w:rFonts w:ascii="Times New Roman" w:eastAsia="Times New Roman" w:hAnsi="Times New Roman" w:cs="Times New Roman"/>
          <w:sz w:val="20"/>
          <w:szCs w:val="20"/>
        </w:rPr>
        <w:t xml:space="preserve"> an </w:t>
      </w:r>
      <w:r w:rsidR="00551615" w:rsidRPr="001D767D">
        <w:rPr>
          <w:rFonts w:ascii="Times New Roman" w:eastAsia="Times New Roman" w:hAnsi="Times New Roman" w:cs="Times New Roman"/>
          <w:sz w:val="20"/>
          <w:szCs w:val="20"/>
        </w:rPr>
        <w:t>environmental impact assessment</w:t>
      </w:r>
      <w:r w:rsidRPr="001D767D">
        <w:rPr>
          <w:rFonts w:ascii="Times New Roman" w:eastAsia="Times New Roman" w:hAnsi="Times New Roman" w:cs="Times New Roman"/>
          <w:sz w:val="20"/>
          <w:szCs w:val="20"/>
        </w:rPr>
        <w:t xml:space="preserve"> was required under national law. </w:t>
      </w:r>
      <w:r w:rsidR="008A6D48" w:rsidRPr="001D767D">
        <w:rPr>
          <w:rFonts w:ascii="Times New Roman" w:eastAsia="Times New Roman" w:hAnsi="Times New Roman" w:cs="Times New Roman"/>
          <w:sz w:val="20"/>
          <w:szCs w:val="20"/>
        </w:rPr>
        <w:t>Following on from this</w:t>
      </w:r>
      <w:r w:rsidR="00824435" w:rsidRPr="001D767D">
        <w:rPr>
          <w:rFonts w:ascii="Times New Roman" w:eastAsia="Times New Roman" w:hAnsi="Times New Roman" w:cs="Times New Roman"/>
          <w:sz w:val="20"/>
          <w:szCs w:val="20"/>
        </w:rPr>
        <w:t xml:space="preserve">, since the communicant has not demonstrated that </w:t>
      </w:r>
      <w:r w:rsidRPr="001D767D">
        <w:rPr>
          <w:rFonts w:ascii="Times New Roman" w:eastAsia="Times New Roman" w:hAnsi="Times New Roman" w:cs="Times New Roman"/>
          <w:sz w:val="20"/>
          <w:szCs w:val="20"/>
        </w:rPr>
        <w:t xml:space="preserve">an </w:t>
      </w:r>
      <w:r w:rsidR="00551615" w:rsidRPr="001D767D">
        <w:rPr>
          <w:rFonts w:ascii="Times New Roman" w:eastAsia="Times New Roman" w:hAnsi="Times New Roman" w:cs="Times New Roman"/>
          <w:sz w:val="20"/>
          <w:szCs w:val="20"/>
        </w:rPr>
        <w:t>environmental impact assessment</w:t>
      </w:r>
      <w:r w:rsidRPr="001D767D">
        <w:rPr>
          <w:rFonts w:ascii="Times New Roman" w:eastAsia="Times New Roman" w:hAnsi="Times New Roman" w:cs="Times New Roman"/>
          <w:sz w:val="20"/>
          <w:szCs w:val="20"/>
        </w:rPr>
        <w:t xml:space="preserve"> was </w:t>
      </w:r>
      <w:r w:rsidR="008A6D48" w:rsidRPr="001D767D">
        <w:rPr>
          <w:rFonts w:ascii="Times New Roman" w:eastAsia="Times New Roman" w:hAnsi="Times New Roman" w:cs="Times New Roman"/>
          <w:sz w:val="20"/>
          <w:szCs w:val="20"/>
        </w:rPr>
        <w:t xml:space="preserve">indeed </w:t>
      </w:r>
      <w:r w:rsidRPr="001D767D">
        <w:rPr>
          <w:rFonts w:ascii="Times New Roman" w:eastAsia="Times New Roman" w:hAnsi="Times New Roman" w:cs="Times New Roman"/>
          <w:sz w:val="20"/>
          <w:szCs w:val="20"/>
        </w:rPr>
        <w:t xml:space="preserve">required </w:t>
      </w:r>
      <w:r w:rsidR="00824435" w:rsidRPr="001D767D">
        <w:rPr>
          <w:rFonts w:ascii="Times New Roman" w:eastAsia="Times New Roman" w:hAnsi="Times New Roman" w:cs="Times New Roman"/>
          <w:sz w:val="20"/>
          <w:szCs w:val="20"/>
        </w:rPr>
        <w:t xml:space="preserve">under national law </w:t>
      </w:r>
      <w:r w:rsidRPr="001D767D">
        <w:rPr>
          <w:rFonts w:ascii="Times New Roman" w:eastAsia="Times New Roman" w:hAnsi="Times New Roman" w:cs="Times New Roman"/>
          <w:sz w:val="20"/>
          <w:szCs w:val="20"/>
        </w:rPr>
        <w:t xml:space="preserve">with respect the permits to extend the </w:t>
      </w:r>
      <w:r w:rsidR="003E48FF" w:rsidRPr="001D767D">
        <w:rPr>
          <w:rFonts w:ascii="Times New Roman" w:eastAsia="Times New Roman" w:hAnsi="Times New Roman" w:cs="Times New Roman"/>
          <w:sz w:val="20"/>
          <w:szCs w:val="20"/>
        </w:rPr>
        <w:t xml:space="preserve">quarry’s </w:t>
      </w:r>
      <w:r w:rsidRPr="001D767D">
        <w:rPr>
          <w:rFonts w:ascii="Times New Roman" w:eastAsia="Times New Roman" w:hAnsi="Times New Roman" w:cs="Times New Roman"/>
          <w:sz w:val="20"/>
          <w:szCs w:val="20"/>
        </w:rPr>
        <w:t>duration</w:t>
      </w:r>
      <w:r w:rsidR="00824435" w:rsidRPr="001D767D">
        <w:rPr>
          <w:rFonts w:ascii="Times New Roman" w:eastAsia="Times New Roman" w:hAnsi="Times New Roman" w:cs="Times New Roman"/>
          <w:sz w:val="20"/>
          <w:szCs w:val="20"/>
        </w:rPr>
        <w:t xml:space="preserve">, </w:t>
      </w:r>
      <w:r w:rsidRPr="001D767D">
        <w:rPr>
          <w:rFonts w:ascii="Times New Roman" w:eastAsia="Times New Roman" w:hAnsi="Times New Roman" w:cs="Times New Roman"/>
          <w:sz w:val="20"/>
          <w:szCs w:val="20"/>
        </w:rPr>
        <w:t xml:space="preserve">the Committee </w:t>
      </w:r>
      <w:r w:rsidR="00824435" w:rsidRPr="001D767D">
        <w:rPr>
          <w:rFonts w:ascii="Times New Roman" w:eastAsia="Times New Roman" w:hAnsi="Times New Roman" w:cs="Times New Roman"/>
          <w:sz w:val="20"/>
          <w:szCs w:val="20"/>
        </w:rPr>
        <w:t xml:space="preserve">finds </w:t>
      </w:r>
      <w:r w:rsidRPr="001D767D">
        <w:rPr>
          <w:rFonts w:ascii="Times New Roman" w:eastAsia="Times New Roman" w:hAnsi="Times New Roman" w:cs="Times New Roman"/>
          <w:sz w:val="20"/>
          <w:szCs w:val="20"/>
        </w:rPr>
        <w:t xml:space="preserve">that the </w:t>
      </w:r>
      <w:r w:rsidR="00824435" w:rsidRPr="001D767D">
        <w:rPr>
          <w:rFonts w:ascii="Times New Roman" w:eastAsia="Times New Roman" w:hAnsi="Times New Roman" w:cs="Times New Roman"/>
          <w:sz w:val="20"/>
          <w:szCs w:val="20"/>
        </w:rPr>
        <w:t xml:space="preserve">2013 </w:t>
      </w:r>
      <w:r w:rsidRPr="001D767D">
        <w:rPr>
          <w:rFonts w:ascii="Times New Roman" w:eastAsia="Times New Roman" w:hAnsi="Times New Roman" w:cs="Times New Roman"/>
          <w:sz w:val="20"/>
          <w:szCs w:val="20"/>
        </w:rPr>
        <w:t xml:space="preserve">permits to extend the duration of the quarry </w:t>
      </w:r>
      <w:r w:rsidR="00824435" w:rsidRPr="001D767D">
        <w:rPr>
          <w:rFonts w:ascii="Times New Roman" w:eastAsia="Times New Roman" w:hAnsi="Times New Roman" w:cs="Times New Roman"/>
          <w:sz w:val="20"/>
          <w:szCs w:val="20"/>
        </w:rPr>
        <w:t xml:space="preserve">are not within the scope of paragraph 20 of annex I to the Convention. </w:t>
      </w:r>
    </w:p>
    <w:p w14:paraId="64F474B9" w14:textId="5782F979" w:rsidR="00F16884" w:rsidRPr="001D767D" w:rsidRDefault="00F16884" w:rsidP="001D767D">
      <w:pPr>
        <w:tabs>
          <w:tab w:val="right" w:pos="993"/>
          <w:tab w:val="left" w:pos="1080"/>
        </w:tabs>
        <w:spacing w:before="240" w:after="120" w:line="240" w:lineRule="atLeast"/>
        <w:ind w:left="540" w:right="-1"/>
        <w:jc w:val="both"/>
        <w:rPr>
          <w:rFonts w:ascii="Times New Roman" w:eastAsia="Times New Roman" w:hAnsi="Times New Roman" w:cs="Times New Roman"/>
          <w:b/>
          <w:sz w:val="20"/>
          <w:szCs w:val="20"/>
        </w:rPr>
      </w:pPr>
      <w:r w:rsidRPr="001D767D">
        <w:rPr>
          <w:rFonts w:ascii="Times New Roman" w:eastAsia="Times New Roman" w:hAnsi="Times New Roman" w:cs="Times New Roman"/>
          <w:b/>
          <w:sz w:val="20"/>
          <w:szCs w:val="20"/>
        </w:rPr>
        <w:t>Article 6</w:t>
      </w:r>
      <w:r w:rsidR="00A0460E" w:rsidRPr="001D767D">
        <w:rPr>
          <w:rFonts w:ascii="Times New Roman" w:eastAsia="Times New Roman" w:hAnsi="Times New Roman" w:cs="Times New Roman"/>
          <w:b/>
          <w:sz w:val="20"/>
          <w:szCs w:val="20"/>
        </w:rPr>
        <w:t>(</w:t>
      </w:r>
      <w:r w:rsidRPr="001D767D">
        <w:rPr>
          <w:rFonts w:ascii="Times New Roman" w:eastAsia="Times New Roman" w:hAnsi="Times New Roman" w:cs="Times New Roman"/>
          <w:b/>
          <w:sz w:val="20"/>
          <w:szCs w:val="20"/>
        </w:rPr>
        <w:t>10</w:t>
      </w:r>
      <w:r w:rsidR="00A0460E" w:rsidRPr="001D767D">
        <w:rPr>
          <w:rFonts w:ascii="Times New Roman" w:eastAsia="Times New Roman" w:hAnsi="Times New Roman" w:cs="Times New Roman"/>
          <w:b/>
          <w:sz w:val="20"/>
          <w:szCs w:val="20"/>
        </w:rPr>
        <w:t>)</w:t>
      </w:r>
    </w:p>
    <w:p w14:paraId="112ED64B" w14:textId="2DFAD1C9" w:rsidR="00A55EB4" w:rsidRPr="001D767D" w:rsidRDefault="00915371" w:rsidP="003167D6">
      <w:pPr>
        <w:numPr>
          <w:ilvl w:val="0"/>
          <w:numId w:val="2"/>
        </w:numPr>
        <w:tabs>
          <w:tab w:val="right" w:pos="993"/>
          <w:tab w:val="left" w:pos="1080"/>
        </w:tabs>
        <w:spacing w:after="120" w:line="240" w:lineRule="atLeast"/>
        <w:ind w:left="540" w:right="-1" w:firstLine="0"/>
        <w:jc w:val="both"/>
        <w:rPr>
          <w:rFonts w:ascii="Times New Roman" w:eastAsia="Times New Roman" w:hAnsi="Times New Roman" w:cs="Times New Roman"/>
          <w:sz w:val="20"/>
          <w:szCs w:val="20"/>
        </w:rPr>
      </w:pPr>
      <w:r w:rsidRPr="001D767D">
        <w:rPr>
          <w:rFonts w:ascii="Times New Roman" w:eastAsia="Times New Roman" w:hAnsi="Times New Roman" w:cs="Times New Roman"/>
          <w:sz w:val="20"/>
          <w:szCs w:val="20"/>
        </w:rPr>
        <w:t>Having found</w:t>
      </w:r>
      <w:r w:rsidR="00157BEB" w:rsidRPr="001D767D">
        <w:rPr>
          <w:rFonts w:ascii="Times New Roman" w:eastAsia="Times New Roman" w:hAnsi="Times New Roman" w:cs="Times New Roman"/>
          <w:sz w:val="20"/>
          <w:szCs w:val="20"/>
        </w:rPr>
        <w:t xml:space="preserve"> in paragraphs </w:t>
      </w:r>
      <w:r w:rsidRPr="001D767D">
        <w:rPr>
          <w:rFonts w:ascii="Times New Roman" w:eastAsia="Times New Roman" w:hAnsi="Times New Roman" w:cs="Times New Roman"/>
          <w:sz w:val="20"/>
          <w:szCs w:val="20"/>
        </w:rPr>
        <w:fldChar w:fldCharType="begin"/>
      </w:r>
      <w:r w:rsidRPr="001D767D">
        <w:rPr>
          <w:rFonts w:ascii="Times New Roman" w:eastAsia="Times New Roman" w:hAnsi="Times New Roman" w:cs="Times New Roman"/>
          <w:sz w:val="20"/>
          <w:szCs w:val="20"/>
        </w:rPr>
        <w:instrText xml:space="preserve"> REF _Ref8244699 \r \h </w:instrText>
      </w:r>
      <w:r w:rsidR="008B39C8" w:rsidRPr="001D767D">
        <w:rPr>
          <w:rFonts w:ascii="Times New Roman" w:eastAsia="Times New Roman" w:hAnsi="Times New Roman" w:cs="Times New Roman"/>
          <w:sz w:val="20"/>
          <w:szCs w:val="20"/>
        </w:rPr>
        <w:instrText xml:space="preserve"> \* MERGEFORMAT </w:instrText>
      </w:r>
      <w:r w:rsidRPr="001D767D">
        <w:rPr>
          <w:rFonts w:ascii="Times New Roman" w:eastAsia="Times New Roman" w:hAnsi="Times New Roman" w:cs="Times New Roman"/>
          <w:sz w:val="20"/>
          <w:szCs w:val="20"/>
        </w:rPr>
      </w:r>
      <w:r w:rsidRPr="001D767D">
        <w:rPr>
          <w:rFonts w:ascii="Times New Roman" w:eastAsia="Times New Roman" w:hAnsi="Times New Roman" w:cs="Times New Roman"/>
          <w:sz w:val="20"/>
          <w:szCs w:val="20"/>
        </w:rPr>
        <w:fldChar w:fldCharType="separate"/>
      </w:r>
      <w:r w:rsidR="001D767D" w:rsidRPr="001D767D">
        <w:rPr>
          <w:rFonts w:ascii="Times New Roman" w:eastAsia="Times New Roman" w:hAnsi="Times New Roman" w:cs="Times New Roman"/>
          <w:sz w:val="20"/>
          <w:szCs w:val="20"/>
          <w:cs/>
        </w:rPr>
        <w:t>‎</w:t>
      </w:r>
      <w:r w:rsidR="001D767D" w:rsidRPr="001D767D">
        <w:rPr>
          <w:rFonts w:ascii="Times New Roman" w:eastAsia="Times New Roman" w:hAnsi="Times New Roman" w:cs="Times New Roman"/>
          <w:sz w:val="20"/>
          <w:szCs w:val="20"/>
        </w:rPr>
        <w:t>71</w:t>
      </w:r>
      <w:r w:rsidRPr="001D767D">
        <w:rPr>
          <w:rFonts w:ascii="Times New Roman" w:eastAsia="Times New Roman" w:hAnsi="Times New Roman" w:cs="Times New Roman"/>
          <w:sz w:val="20"/>
          <w:szCs w:val="20"/>
        </w:rPr>
        <w:fldChar w:fldCharType="end"/>
      </w:r>
      <w:r w:rsidRPr="001D767D">
        <w:rPr>
          <w:rFonts w:ascii="Times New Roman" w:eastAsia="Times New Roman" w:hAnsi="Times New Roman" w:cs="Times New Roman"/>
          <w:sz w:val="20"/>
          <w:szCs w:val="20"/>
        </w:rPr>
        <w:t xml:space="preserve">, </w:t>
      </w:r>
      <w:r w:rsidRPr="001D767D">
        <w:rPr>
          <w:rFonts w:ascii="Times New Roman" w:eastAsia="Times New Roman" w:hAnsi="Times New Roman" w:cs="Times New Roman"/>
          <w:sz w:val="20"/>
          <w:szCs w:val="20"/>
        </w:rPr>
        <w:fldChar w:fldCharType="begin"/>
      </w:r>
      <w:r w:rsidRPr="001D767D">
        <w:rPr>
          <w:rFonts w:ascii="Times New Roman" w:eastAsia="Times New Roman" w:hAnsi="Times New Roman" w:cs="Times New Roman"/>
          <w:sz w:val="20"/>
          <w:szCs w:val="20"/>
        </w:rPr>
        <w:instrText xml:space="preserve"> REF _Ref8245380 \r \h </w:instrText>
      </w:r>
      <w:r w:rsidR="008B39C8" w:rsidRPr="001D767D">
        <w:rPr>
          <w:rFonts w:ascii="Times New Roman" w:eastAsia="Times New Roman" w:hAnsi="Times New Roman" w:cs="Times New Roman"/>
          <w:sz w:val="20"/>
          <w:szCs w:val="20"/>
        </w:rPr>
        <w:instrText xml:space="preserve"> \* MERGEFORMAT </w:instrText>
      </w:r>
      <w:r w:rsidRPr="001D767D">
        <w:rPr>
          <w:rFonts w:ascii="Times New Roman" w:eastAsia="Times New Roman" w:hAnsi="Times New Roman" w:cs="Times New Roman"/>
          <w:sz w:val="20"/>
          <w:szCs w:val="20"/>
        </w:rPr>
      </w:r>
      <w:r w:rsidRPr="001D767D">
        <w:rPr>
          <w:rFonts w:ascii="Times New Roman" w:eastAsia="Times New Roman" w:hAnsi="Times New Roman" w:cs="Times New Roman"/>
          <w:sz w:val="20"/>
          <w:szCs w:val="20"/>
        </w:rPr>
        <w:fldChar w:fldCharType="separate"/>
      </w:r>
      <w:r w:rsidR="001D767D" w:rsidRPr="001D767D">
        <w:rPr>
          <w:rFonts w:ascii="Times New Roman" w:eastAsia="Times New Roman" w:hAnsi="Times New Roman" w:cs="Times New Roman"/>
          <w:sz w:val="20"/>
          <w:szCs w:val="20"/>
          <w:cs/>
        </w:rPr>
        <w:t>‎</w:t>
      </w:r>
      <w:r w:rsidR="001D767D" w:rsidRPr="001D767D">
        <w:rPr>
          <w:rFonts w:ascii="Times New Roman" w:eastAsia="Times New Roman" w:hAnsi="Times New Roman" w:cs="Times New Roman"/>
          <w:sz w:val="20"/>
          <w:szCs w:val="20"/>
        </w:rPr>
        <w:t>73</w:t>
      </w:r>
      <w:r w:rsidRPr="001D767D">
        <w:rPr>
          <w:rFonts w:ascii="Times New Roman" w:eastAsia="Times New Roman" w:hAnsi="Times New Roman" w:cs="Times New Roman"/>
          <w:sz w:val="20"/>
          <w:szCs w:val="20"/>
        </w:rPr>
        <w:fldChar w:fldCharType="end"/>
      </w:r>
      <w:r w:rsidRPr="001D767D">
        <w:rPr>
          <w:rFonts w:ascii="Times New Roman" w:eastAsia="Times New Roman" w:hAnsi="Times New Roman" w:cs="Times New Roman"/>
          <w:sz w:val="20"/>
          <w:szCs w:val="20"/>
        </w:rPr>
        <w:t xml:space="preserve"> and </w:t>
      </w:r>
      <w:r w:rsidRPr="001D767D">
        <w:rPr>
          <w:rFonts w:ascii="Times New Roman" w:eastAsia="Times New Roman" w:hAnsi="Times New Roman" w:cs="Times New Roman"/>
          <w:sz w:val="20"/>
          <w:szCs w:val="20"/>
        </w:rPr>
        <w:fldChar w:fldCharType="begin"/>
      </w:r>
      <w:r w:rsidRPr="001D767D">
        <w:rPr>
          <w:rFonts w:ascii="Times New Roman" w:eastAsia="Times New Roman" w:hAnsi="Times New Roman" w:cs="Times New Roman"/>
          <w:sz w:val="20"/>
          <w:szCs w:val="20"/>
        </w:rPr>
        <w:instrText xml:space="preserve"> REF _Ref8245384 \r \h </w:instrText>
      </w:r>
      <w:r w:rsidR="008B39C8" w:rsidRPr="001D767D">
        <w:rPr>
          <w:rFonts w:ascii="Times New Roman" w:eastAsia="Times New Roman" w:hAnsi="Times New Roman" w:cs="Times New Roman"/>
          <w:sz w:val="20"/>
          <w:szCs w:val="20"/>
        </w:rPr>
        <w:instrText xml:space="preserve"> \* MERGEFORMAT </w:instrText>
      </w:r>
      <w:r w:rsidRPr="001D767D">
        <w:rPr>
          <w:rFonts w:ascii="Times New Roman" w:eastAsia="Times New Roman" w:hAnsi="Times New Roman" w:cs="Times New Roman"/>
          <w:sz w:val="20"/>
          <w:szCs w:val="20"/>
        </w:rPr>
      </w:r>
      <w:r w:rsidRPr="001D767D">
        <w:rPr>
          <w:rFonts w:ascii="Times New Roman" w:eastAsia="Times New Roman" w:hAnsi="Times New Roman" w:cs="Times New Roman"/>
          <w:sz w:val="20"/>
          <w:szCs w:val="20"/>
        </w:rPr>
        <w:fldChar w:fldCharType="separate"/>
      </w:r>
      <w:r w:rsidR="001D767D" w:rsidRPr="001D767D">
        <w:rPr>
          <w:rFonts w:ascii="Times New Roman" w:eastAsia="Times New Roman" w:hAnsi="Times New Roman" w:cs="Times New Roman"/>
          <w:sz w:val="20"/>
          <w:szCs w:val="20"/>
          <w:cs/>
        </w:rPr>
        <w:t>‎</w:t>
      </w:r>
      <w:r w:rsidR="001D767D" w:rsidRPr="001D767D">
        <w:rPr>
          <w:rFonts w:ascii="Times New Roman" w:eastAsia="Times New Roman" w:hAnsi="Times New Roman" w:cs="Times New Roman"/>
          <w:sz w:val="20"/>
          <w:szCs w:val="20"/>
        </w:rPr>
        <w:t>74</w:t>
      </w:r>
      <w:r w:rsidRPr="001D767D">
        <w:rPr>
          <w:rFonts w:ascii="Times New Roman" w:eastAsia="Times New Roman" w:hAnsi="Times New Roman" w:cs="Times New Roman"/>
          <w:sz w:val="20"/>
          <w:szCs w:val="20"/>
        </w:rPr>
        <w:fldChar w:fldCharType="end"/>
      </w:r>
      <w:r w:rsidRPr="001D767D">
        <w:rPr>
          <w:rFonts w:ascii="Times New Roman" w:eastAsia="Times New Roman" w:hAnsi="Times New Roman" w:cs="Times New Roman"/>
          <w:sz w:val="20"/>
          <w:szCs w:val="20"/>
        </w:rPr>
        <w:t xml:space="preserve"> </w:t>
      </w:r>
      <w:r w:rsidR="00157BEB" w:rsidRPr="001D767D">
        <w:rPr>
          <w:rFonts w:ascii="Times New Roman" w:eastAsia="Times New Roman" w:hAnsi="Times New Roman" w:cs="Times New Roman"/>
          <w:sz w:val="20"/>
          <w:szCs w:val="20"/>
        </w:rPr>
        <w:t xml:space="preserve">above that the 1998, 2004 and 2010 quarry permits were each </w:t>
      </w:r>
      <w:r w:rsidR="00DF361F" w:rsidRPr="001D767D">
        <w:rPr>
          <w:rFonts w:ascii="Times New Roman" w:eastAsia="Times New Roman" w:hAnsi="Times New Roman" w:cs="Times New Roman"/>
          <w:sz w:val="20"/>
          <w:szCs w:val="20"/>
        </w:rPr>
        <w:t xml:space="preserve">a </w:t>
      </w:r>
      <w:r w:rsidR="00157BEB" w:rsidRPr="001D767D">
        <w:rPr>
          <w:rFonts w:ascii="Times New Roman" w:eastAsia="Times New Roman" w:hAnsi="Times New Roman" w:cs="Times New Roman"/>
          <w:sz w:val="20"/>
          <w:szCs w:val="20"/>
        </w:rPr>
        <w:t>decision subject to the requirements of article 6 of the Convention</w:t>
      </w:r>
      <w:r w:rsidR="003720C3" w:rsidRPr="001D767D">
        <w:rPr>
          <w:rFonts w:ascii="Times New Roman" w:eastAsia="Times New Roman" w:hAnsi="Times New Roman" w:cs="Times New Roman"/>
          <w:sz w:val="20"/>
          <w:szCs w:val="20"/>
        </w:rPr>
        <w:t xml:space="preserve">, the Committee turns to examine whether the </w:t>
      </w:r>
      <w:r w:rsidR="00157BEB" w:rsidRPr="001D767D">
        <w:rPr>
          <w:rFonts w:ascii="Times New Roman" w:eastAsia="Times New Roman" w:hAnsi="Times New Roman" w:cs="Times New Roman"/>
          <w:sz w:val="20"/>
          <w:szCs w:val="20"/>
        </w:rPr>
        <w:t xml:space="preserve">three </w:t>
      </w:r>
      <w:r w:rsidR="003F33BD" w:rsidRPr="001D767D">
        <w:rPr>
          <w:rFonts w:ascii="Times New Roman" w:hAnsi="Times New Roman"/>
          <w:sz w:val="20"/>
        </w:rPr>
        <w:t>permits</w:t>
      </w:r>
      <w:r w:rsidR="003F33BD" w:rsidRPr="001D767D">
        <w:rPr>
          <w:rFonts w:ascii="Times New Roman" w:eastAsia="Times New Roman" w:hAnsi="Times New Roman" w:cs="Times New Roman"/>
          <w:sz w:val="20"/>
          <w:szCs w:val="20"/>
        </w:rPr>
        <w:t xml:space="preserve"> </w:t>
      </w:r>
      <w:r w:rsidR="00157BEB" w:rsidRPr="001D767D">
        <w:rPr>
          <w:rFonts w:ascii="Times New Roman" w:eastAsia="Times New Roman" w:hAnsi="Times New Roman" w:cs="Times New Roman"/>
          <w:sz w:val="20"/>
          <w:szCs w:val="20"/>
        </w:rPr>
        <w:t xml:space="preserve">granted in 2013 </w:t>
      </w:r>
      <w:r w:rsidR="003720C3" w:rsidRPr="001D767D">
        <w:rPr>
          <w:rFonts w:ascii="Times New Roman" w:eastAsia="Times New Roman" w:hAnsi="Times New Roman" w:cs="Times New Roman"/>
          <w:sz w:val="20"/>
          <w:szCs w:val="20"/>
        </w:rPr>
        <w:t xml:space="preserve">to extend the </w:t>
      </w:r>
      <w:r w:rsidR="00A55EB4" w:rsidRPr="001D767D">
        <w:rPr>
          <w:rFonts w:ascii="Times New Roman" w:eastAsia="Times New Roman" w:hAnsi="Times New Roman" w:cs="Times New Roman"/>
          <w:sz w:val="20"/>
          <w:szCs w:val="20"/>
        </w:rPr>
        <w:t xml:space="preserve">duration of the </w:t>
      </w:r>
      <w:r w:rsidR="00157BEB" w:rsidRPr="001D767D">
        <w:rPr>
          <w:rFonts w:ascii="Times New Roman" w:eastAsia="Times New Roman" w:hAnsi="Times New Roman" w:cs="Times New Roman"/>
          <w:sz w:val="20"/>
          <w:szCs w:val="20"/>
        </w:rPr>
        <w:t xml:space="preserve">1998, 2004 and 2010 permits were </w:t>
      </w:r>
      <w:r w:rsidR="00A55EB4" w:rsidRPr="001D767D">
        <w:rPr>
          <w:rFonts w:ascii="Times New Roman" w:eastAsia="Times New Roman" w:hAnsi="Times New Roman" w:cs="Times New Roman"/>
          <w:sz w:val="20"/>
          <w:szCs w:val="20"/>
        </w:rPr>
        <w:t>reconsideration</w:t>
      </w:r>
      <w:r w:rsidR="00157BEB" w:rsidRPr="001D767D">
        <w:rPr>
          <w:rFonts w:ascii="Times New Roman" w:eastAsia="Times New Roman" w:hAnsi="Times New Roman" w:cs="Times New Roman"/>
          <w:sz w:val="20"/>
          <w:szCs w:val="20"/>
        </w:rPr>
        <w:t>s</w:t>
      </w:r>
      <w:r w:rsidR="00A55EB4" w:rsidRPr="001D767D">
        <w:rPr>
          <w:rFonts w:ascii="Times New Roman" w:eastAsia="Times New Roman" w:hAnsi="Times New Roman" w:cs="Times New Roman"/>
          <w:sz w:val="20"/>
          <w:szCs w:val="20"/>
        </w:rPr>
        <w:t xml:space="preserve"> or update</w:t>
      </w:r>
      <w:r w:rsidR="00157BEB" w:rsidRPr="001D767D">
        <w:rPr>
          <w:rFonts w:ascii="Times New Roman" w:eastAsia="Times New Roman" w:hAnsi="Times New Roman" w:cs="Times New Roman"/>
          <w:sz w:val="20"/>
          <w:szCs w:val="20"/>
        </w:rPr>
        <w:t>s</w:t>
      </w:r>
      <w:r w:rsidR="00A55EB4" w:rsidRPr="001D767D">
        <w:rPr>
          <w:rFonts w:ascii="Times New Roman" w:eastAsia="Times New Roman" w:hAnsi="Times New Roman" w:cs="Times New Roman"/>
          <w:sz w:val="20"/>
          <w:szCs w:val="20"/>
        </w:rPr>
        <w:t xml:space="preserve"> of the operating conditions of </w:t>
      </w:r>
      <w:r w:rsidR="00157BEB" w:rsidRPr="001D767D">
        <w:rPr>
          <w:rFonts w:ascii="Times New Roman" w:eastAsia="Times New Roman" w:hAnsi="Times New Roman" w:cs="Times New Roman"/>
          <w:sz w:val="20"/>
          <w:szCs w:val="20"/>
        </w:rPr>
        <w:t xml:space="preserve">those </w:t>
      </w:r>
      <w:r w:rsidR="00A55EB4" w:rsidRPr="001D767D">
        <w:rPr>
          <w:rFonts w:ascii="Times New Roman" w:eastAsia="Times New Roman" w:hAnsi="Times New Roman" w:cs="Times New Roman"/>
          <w:sz w:val="20"/>
          <w:szCs w:val="20"/>
        </w:rPr>
        <w:t>permit</w:t>
      </w:r>
      <w:r w:rsidR="00157BEB" w:rsidRPr="001D767D">
        <w:rPr>
          <w:rFonts w:ascii="Times New Roman" w:eastAsia="Times New Roman" w:hAnsi="Times New Roman" w:cs="Times New Roman"/>
          <w:sz w:val="20"/>
          <w:szCs w:val="20"/>
        </w:rPr>
        <w:t>s</w:t>
      </w:r>
      <w:r w:rsidR="00A55EB4" w:rsidRPr="001D767D">
        <w:rPr>
          <w:rFonts w:ascii="Times New Roman" w:eastAsia="Times New Roman" w:hAnsi="Times New Roman" w:cs="Times New Roman"/>
          <w:sz w:val="20"/>
          <w:szCs w:val="20"/>
        </w:rPr>
        <w:t xml:space="preserve"> within the meaning of article 6</w:t>
      </w:r>
      <w:r w:rsidR="00A0460E" w:rsidRPr="001D767D">
        <w:rPr>
          <w:rFonts w:ascii="Times New Roman" w:eastAsia="Times New Roman" w:hAnsi="Times New Roman" w:cs="Times New Roman"/>
          <w:sz w:val="20"/>
          <w:szCs w:val="20"/>
        </w:rPr>
        <w:t>(</w:t>
      </w:r>
      <w:r w:rsidR="00A55EB4" w:rsidRPr="001D767D">
        <w:rPr>
          <w:rFonts w:ascii="Times New Roman" w:eastAsia="Times New Roman" w:hAnsi="Times New Roman" w:cs="Times New Roman"/>
          <w:sz w:val="20"/>
          <w:szCs w:val="20"/>
        </w:rPr>
        <w:t>10</w:t>
      </w:r>
      <w:r w:rsidR="00A0460E" w:rsidRPr="001D767D">
        <w:rPr>
          <w:rFonts w:ascii="Times New Roman" w:eastAsia="Times New Roman" w:hAnsi="Times New Roman" w:cs="Times New Roman"/>
          <w:sz w:val="20"/>
          <w:szCs w:val="20"/>
        </w:rPr>
        <w:t>)</w:t>
      </w:r>
      <w:r w:rsidR="00A55EB4" w:rsidRPr="001D767D">
        <w:rPr>
          <w:rFonts w:ascii="Times New Roman" w:eastAsia="Times New Roman" w:hAnsi="Times New Roman" w:cs="Times New Roman"/>
          <w:sz w:val="20"/>
          <w:szCs w:val="20"/>
        </w:rPr>
        <w:t xml:space="preserve"> of the Convention. </w:t>
      </w:r>
    </w:p>
    <w:p w14:paraId="4CDFC31A" w14:textId="40C82F56" w:rsidR="00FC1568" w:rsidRPr="001D767D" w:rsidRDefault="00691C61" w:rsidP="00784840">
      <w:pPr>
        <w:numPr>
          <w:ilvl w:val="0"/>
          <w:numId w:val="2"/>
        </w:numPr>
        <w:tabs>
          <w:tab w:val="right" w:pos="993"/>
          <w:tab w:val="left" w:pos="1080"/>
        </w:tabs>
        <w:spacing w:after="120" w:line="240" w:lineRule="atLeast"/>
        <w:ind w:left="540" w:right="-1" w:firstLine="0"/>
        <w:jc w:val="both"/>
        <w:rPr>
          <w:rFonts w:ascii="Times New Roman" w:eastAsia="Times New Roman" w:hAnsi="Times New Roman" w:cs="Times New Roman"/>
          <w:sz w:val="20"/>
          <w:szCs w:val="20"/>
        </w:rPr>
      </w:pPr>
      <w:r w:rsidRPr="001D767D">
        <w:rPr>
          <w:rFonts w:ascii="Times New Roman" w:eastAsia="Times New Roman" w:hAnsi="Times New Roman" w:cs="Times New Roman"/>
          <w:sz w:val="20"/>
          <w:szCs w:val="20"/>
        </w:rPr>
        <w:t>As a preliminary point, t</w:t>
      </w:r>
      <w:r w:rsidR="00FC1568" w:rsidRPr="001D767D">
        <w:rPr>
          <w:rFonts w:ascii="Times New Roman" w:eastAsia="Times New Roman" w:hAnsi="Times New Roman" w:cs="Times New Roman"/>
          <w:sz w:val="20"/>
          <w:szCs w:val="20"/>
        </w:rPr>
        <w:t xml:space="preserve">he Committee notes that </w:t>
      </w:r>
      <w:r w:rsidR="00A55EB4" w:rsidRPr="001D767D">
        <w:rPr>
          <w:rFonts w:ascii="Times New Roman" w:eastAsia="Times New Roman" w:hAnsi="Times New Roman" w:cs="Times New Roman"/>
          <w:sz w:val="20"/>
          <w:szCs w:val="20"/>
        </w:rPr>
        <w:t xml:space="preserve">there is nothing in the wording of </w:t>
      </w:r>
      <w:r w:rsidR="00FC1568" w:rsidRPr="001D767D">
        <w:rPr>
          <w:rFonts w:ascii="Times New Roman" w:eastAsia="Times New Roman" w:hAnsi="Times New Roman" w:cs="Times New Roman"/>
          <w:sz w:val="20"/>
          <w:szCs w:val="20"/>
        </w:rPr>
        <w:t>article 6</w:t>
      </w:r>
      <w:r w:rsidR="00A0460E" w:rsidRPr="001D767D">
        <w:rPr>
          <w:rFonts w:ascii="Times New Roman" w:eastAsia="Times New Roman" w:hAnsi="Times New Roman" w:cs="Times New Roman"/>
          <w:sz w:val="20"/>
          <w:szCs w:val="20"/>
        </w:rPr>
        <w:t>(</w:t>
      </w:r>
      <w:r w:rsidR="00FC1568" w:rsidRPr="001D767D">
        <w:rPr>
          <w:rFonts w:ascii="Times New Roman" w:eastAsia="Times New Roman" w:hAnsi="Times New Roman" w:cs="Times New Roman"/>
          <w:sz w:val="20"/>
          <w:szCs w:val="20"/>
        </w:rPr>
        <w:t>10</w:t>
      </w:r>
      <w:r w:rsidR="00A0460E" w:rsidRPr="001D767D">
        <w:rPr>
          <w:rFonts w:ascii="Times New Roman" w:eastAsia="Times New Roman" w:hAnsi="Times New Roman" w:cs="Times New Roman"/>
          <w:sz w:val="20"/>
          <w:szCs w:val="20"/>
        </w:rPr>
        <w:t>)</w:t>
      </w:r>
      <w:r w:rsidR="008E7F7B" w:rsidRPr="001D767D">
        <w:rPr>
          <w:rFonts w:ascii="Times New Roman" w:eastAsia="Times New Roman" w:hAnsi="Times New Roman" w:cs="Times New Roman"/>
          <w:sz w:val="20"/>
          <w:szCs w:val="20"/>
        </w:rPr>
        <w:t xml:space="preserve"> </w:t>
      </w:r>
      <w:r w:rsidR="00A55EB4" w:rsidRPr="001D767D">
        <w:rPr>
          <w:rFonts w:ascii="Times New Roman" w:eastAsia="Times New Roman" w:hAnsi="Times New Roman" w:cs="Times New Roman"/>
          <w:sz w:val="20"/>
          <w:szCs w:val="20"/>
        </w:rPr>
        <w:t xml:space="preserve">to limit its application only to </w:t>
      </w:r>
      <w:r w:rsidR="00FC1568" w:rsidRPr="001D767D">
        <w:rPr>
          <w:rFonts w:ascii="Times New Roman" w:eastAsia="Times New Roman" w:hAnsi="Times New Roman" w:cs="Times New Roman"/>
          <w:sz w:val="20"/>
          <w:szCs w:val="20"/>
        </w:rPr>
        <w:t xml:space="preserve">reconsiderations </w:t>
      </w:r>
      <w:r w:rsidR="00A55EB4" w:rsidRPr="001D767D">
        <w:rPr>
          <w:rFonts w:ascii="Times New Roman" w:eastAsia="Times New Roman" w:hAnsi="Times New Roman" w:cs="Times New Roman"/>
          <w:sz w:val="20"/>
          <w:szCs w:val="20"/>
        </w:rPr>
        <w:t xml:space="preserve">or updates that are themselves subject to </w:t>
      </w:r>
      <w:r w:rsidR="00551615" w:rsidRPr="001D767D">
        <w:rPr>
          <w:rFonts w:ascii="Times New Roman" w:eastAsia="Times New Roman" w:hAnsi="Times New Roman" w:cs="Times New Roman"/>
          <w:sz w:val="20"/>
          <w:szCs w:val="20"/>
        </w:rPr>
        <w:t>environmental impact assessment</w:t>
      </w:r>
      <w:r w:rsidR="00A55EB4" w:rsidRPr="001D767D">
        <w:rPr>
          <w:rFonts w:ascii="Times New Roman" w:eastAsia="Times New Roman" w:hAnsi="Times New Roman" w:cs="Times New Roman"/>
          <w:sz w:val="20"/>
          <w:szCs w:val="20"/>
        </w:rPr>
        <w:t xml:space="preserve">. </w:t>
      </w:r>
      <w:r w:rsidR="00DF361F" w:rsidRPr="001D767D">
        <w:rPr>
          <w:rFonts w:ascii="Times New Roman" w:eastAsia="Times New Roman" w:hAnsi="Times New Roman" w:cs="Times New Roman"/>
          <w:sz w:val="20"/>
          <w:szCs w:val="20"/>
        </w:rPr>
        <w:t>Rather, it is clear to the Committee</w:t>
      </w:r>
      <w:r w:rsidR="00A55EB4" w:rsidRPr="001D767D">
        <w:rPr>
          <w:rFonts w:ascii="Times New Roman" w:eastAsia="Times New Roman" w:hAnsi="Times New Roman" w:cs="Times New Roman"/>
          <w:sz w:val="20"/>
          <w:szCs w:val="20"/>
        </w:rPr>
        <w:t xml:space="preserve"> that article 6</w:t>
      </w:r>
      <w:r w:rsidR="00FA1D22" w:rsidRPr="001D767D">
        <w:rPr>
          <w:rFonts w:ascii="Times New Roman" w:eastAsia="Times New Roman" w:hAnsi="Times New Roman" w:cs="Times New Roman"/>
          <w:sz w:val="20"/>
          <w:szCs w:val="20"/>
        </w:rPr>
        <w:t>(</w:t>
      </w:r>
      <w:r w:rsidR="00A55EB4" w:rsidRPr="001D767D">
        <w:rPr>
          <w:rFonts w:ascii="Times New Roman" w:eastAsia="Times New Roman" w:hAnsi="Times New Roman" w:cs="Times New Roman"/>
          <w:sz w:val="20"/>
          <w:szCs w:val="20"/>
        </w:rPr>
        <w:t>10</w:t>
      </w:r>
      <w:r w:rsidR="00FA1D22" w:rsidRPr="001D767D">
        <w:rPr>
          <w:rFonts w:ascii="Times New Roman" w:eastAsia="Times New Roman" w:hAnsi="Times New Roman" w:cs="Times New Roman"/>
          <w:sz w:val="20"/>
          <w:szCs w:val="20"/>
        </w:rPr>
        <w:t>)</w:t>
      </w:r>
      <w:r w:rsidR="00A55EB4" w:rsidRPr="001D767D">
        <w:rPr>
          <w:rFonts w:ascii="Times New Roman" w:eastAsia="Times New Roman" w:hAnsi="Times New Roman" w:cs="Times New Roman"/>
          <w:sz w:val="20"/>
          <w:szCs w:val="20"/>
        </w:rPr>
        <w:t xml:space="preserve"> of the Convention applies to </w:t>
      </w:r>
      <w:r w:rsidRPr="001D767D">
        <w:rPr>
          <w:rFonts w:ascii="Times New Roman" w:eastAsia="Times New Roman" w:hAnsi="Times New Roman" w:cs="Times New Roman"/>
          <w:sz w:val="20"/>
          <w:szCs w:val="20"/>
        </w:rPr>
        <w:t xml:space="preserve">a reconsideration </w:t>
      </w:r>
      <w:r w:rsidR="003F33BD" w:rsidRPr="001D767D">
        <w:rPr>
          <w:rFonts w:ascii="Times New Roman" w:eastAsia="Times New Roman" w:hAnsi="Times New Roman" w:cs="Times New Roman"/>
          <w:sz w:val="20"/>
          <w:szCs w:val="20"/>
        </w:rPr>
        <w:t xml:space="preserve">or </w:t>
      </w:r>
      <w:r w:rsidRPr="001D767D">
        <w:rPr>
          <w:rFonts w:ascii="Times New Roman" w:eastAsia="Times New Roman" w:hAnsi="Times New Roman" w:cs="Times New Roman"/>
          <w:sz w:val="20"/>
          <w:szCs w:val="20"/>
        </w:rPr>
        <w:t>update</w:t>
      </w:r>
      <w:r w:rsidR="00A55EB4" w:rsidRPr="001D767D">
        <w:rPr>
          <w:rFonts w:ascii="Times New Roman" w:eastAsia="Times New Roman" w:hAnsi="Times New Roman" w:cs="Times New Roman"/>
          <w:sz w:val="20"/>
          <w:szCs w:val="20"/>
        </w:rPr>
        <w:t xml:space="preserve"> of the operating conditions </w:t>
      </w:r>
      <w:r w:rsidRPr="001D767D">
        <w:rPr>
          <w:rFonts w:ascii="Times New Roman" w:eastAsia="Times New Roman" w:hAnsi="Times New Roman" w:cs="Times New Roman"/>
          <w:sz w:val="20"/>
          <w:szCs w:val="20"/>
        </w:rPr>
        <w:t>for an activity</w:t>
      </w:r>
      <w:r w:rsidR="00FC1568" w:rsidRPr="001D767D">
        <w:rPr>
          <w:rFonts w:ascii="Times New Roman" w:eastAsia="Times New Roman" w:hAnsi="Times New Roman" w:cs="Times New Roman"/>
          <w:sz w:val="20"/>
          <w:szCs w:val="20"/>
        </w:rPr>
        <w:t xml:space="preserve"> </w:t>
      </w:r>
      <w:r w:rsidR="007C3714" w:rsidRPr="001D767D">
        <w:rPr>
          <w:rFonts w:ascii="Times New Roman" w:eastAsia="Times New Roman" w:hAnsi="Times New Roman" w:cs="Times New Roman"/>
          <w:sz w:val="20"/>
          <w:szCs w:val="20"/>
        </w:rPr>
        <w:t xml:space="preserve">subject to article 6 of the Convention, </w:t>
      </w:r>
      <w:r w:rsidR="00FC1568" w:rsidRPr="001D767D">
        <w:rPr>
          <w:rFonts w:ascii="Times New Roman" w:eastAsia="Times New Roman" w:hAnsi="Times New Roman" w:cs="Times New Roman"/>
          <w:sz w:val="20"/>
          <w:szCs w:val="20"/>
        </w:rPr>
        <w:t>irrespective</w:t>
      </w:r>
      <w:r w:rsidRPr="001D767D">
        <w:rPr>
          <w:rFonts w:ascii="Times New Roman" w:eastAsia="Times New Roman" w:hAnsi="Times New Roman" w:cs="Times New Roman"/>
          <w:sz w:val="20"/>
          <w:szCs w:val="20"/>
        </w:rPr>
        <w:t xml:space="preserve"> of whether the reconsideration or updating process is</w:t>
      </w:r>
      <w:r w:rsidR="005C5637" w:rsidRPr="001D767D">
        <w:rPr>
          <w:rFonts w:ascii="Times New Roman" w:eastAsia="Times New Roman" w:hAnsi="Times New Roman" w:cs="Times New Roman"/>
          <w:sz w:val="20"/>
          <w:szCs w:val="20"/>
        </w:rPr>
        <w:t xml:space="preserve"> itself</w:t>
      </w:r>
      <w:r w:rsidRPr="001D767D">
        <w:rPr>
          <w:rFonts w:ascii="Times New Roman" w:eastAsia="Times New Roman" w:hAnsi="Times New Roman" w:cs="Times New Roman"/>
          <w:sz w:val="20"/>
          <w:szCs w:val="20"/>
        </w:rPr>
        <w:t xml:space="preserve"> required to undergo an </w:t>
      </w:r>
      <w:r w:rsidR="00551615" w:rsidRPr="001D767D">
        <w:rPr>
          <w:rFonts w:ascii="Times New Roman" w:eastAsia="Times New Roman" w:hAnsi="Times New Roman" w:cs="Times New Roman"/>
          <w:sz w:val="20"/>
          <w:szCs w:val="20"/>
        </w:rPr>
        <w:t>environmental impact assessment</w:t>
      </w:r>
      <w:r w:rsidR="00FC1568" w:rsidRPr="001D767D">
        <w:rPr>
          <w:rFonts w:ascii="Times New Roman" w:eastAsia="Times New Roman" w:hAnsi="Times New Roman" w:cs="Times New Roman"/>
          <w:sz w:val="20"/>
          <w:szCs w:val="20"/>
        </w:rPr>
        <w:t>.</w:t>
      </w:r>
      <w:r w:rsidR="005C5637" w:rsidRPr="001D767D">
        <w:rPr>
          <w:rStyle w:val="FootnoteReference"/>
          <w:rFonts w:ascii="Times New Roman" w:eastAsia="Times New Roman" w:hAnsi="Times New Roman" w:cs="Times New Roman"/>
          <w:sz w:val="20"/>
          <w:szCs w:val="20"/>
        </w:rPr>
        <w:footnoteReference w:id="78"/>
      </w:r>
    </w:p>
    <w:p w14:paraId="794AD363" w14:textId="5621FEE1" w:rsidR="00FC1568" w:rsidRPr="001D767D" w:rsidRDefault="009B58AE" w:rsidP="00741CFB">
      <w:pPr>
        <w:tabs>
          <w:tab w:val="right" w:pos="993"/>
          <w:tab w:val="left" w:pos="1080"/>
        </w:tabs>
        <w:spacing w:after="120" w:line="240" w:lineRule="atLeast"/>
        <w:ind w:left="993" w:right="-1" w:hanging="567"/>
        <w:jc w:val="both"/>
        <w:rPr>
          <w:rFonts w:ascii="Times New Roman" w:eastAsia="Times New Roman" w:hAnsi="Times New Roman" w:cs="Times New Roman"/>
          <w:i/>
          <w:sz w:val="20"/>
          <w:szCs w:val="20"/>
        </w:rPr>
      </w:pPr>
      <w:r w:rsidRPr="001D767D">
        <w:rPr>
          <w:rFonts w:ascii="Times New Roman" w:eastAsia="Times New Roman" w:hAnsi="Times New Roman" w:cs="Times New Roman"/>
          <w:sz w:val="20"/>
          <w:szCs w:val="20"/>
        </w:rPr>
        <w:t xml:space="preserve"> </w:t>
      </w:r>
      <w:r w:rsidR="00915371" w:rsidRPr="001D767D">
        <w:rPr>
          <w:rFonts w:ascii="Times New Roman" w:eastAsia="Times New Roman" w:hAnsi="Times New Roman" w:cs="Times New Roman"/>
          <w:i/>
          <w:sz w:val="20"/>
          <w:szCs w:val="20"/>
        </w:rPr>
        <w:t xml:space="preserve"> </w:t>
      </w:r>
      <w:r w:rsidR="008E7F7B" w:rsidRPr="001D767D">
        <w:rPr>
          <w:rFonts w:ascii="Times New Roman" w:eastAsia="Times New Roman" w:hAnsi="Times New Roman" w:cs="Times New Roman"/>
          <w:i/>
          <w:sz w:val="20"/>
          <w:szCs w:val="20"/>
        </w:rPr>
        <w:t>Reconsideration or update of the operating conditions</w:t>
      </w:r>
      <w:r w:rsidR="00260169" w:rsidRPr="001D767D">
        <w:rPr>
          <w:rFonts w:ascii="Times New Roman" w:eastAsia="Times New Roman" w:hAnsi="Times New Roman" w:cs="Times New Roman"/>
          <w:i/>
          <w:sz w:val="20"/>
          <w:szCs w:val="20"/>
        </w:rPr>
        <w:t xml:space="preserve"> of the </w:t>
      </w:r>
      <w:r w:rsidR="007C3714" w:rsidRPr="001D767D">
        <w:rPr>
          <w:rFonts w:ascii="Times New Roman" w:eastAsia="Times New Roman" w:hAnsi="Times New Roman" w:cs="Times New Roman"/>
          <w:i/>
          <w:sz w:val="20"/>
          <w:szCs w:val="20"/>
        </w:rPr>
        <w:t xml:space="preserve">1998, 2004 and 2010 </w:t>
      </w:r>
      <w:r w:rsidR="00260169" w:rsidRPr="001D767D">
        <w:rPr>
          <w:rFonts w:ascii="Times New Roman" w:eastAsia="Times New Roman" w:hAnsi="Times New Roman" w:cs="Times New Roman"/>
          <w:i/>
          <w:sz w:val="20"/>
          <w:szCs w:val="20"/>
        </w:rPr>
        <w:t>permit</w:t>
      </w:r>
      <w:r w:rsidR="007C3714" w:rsidRPr="001D767D">
        <w:rPr>
          <w:rFonts w:ascii="Times New Roman" w:eastAsia="Times New Roman" w:hAnsi="Times New Roman" w:cs="Times New Roman"/>
          <w:i/>
          <w:sz w:val="20"/>
          <w:szCs w:val="20"/>
        </w:rPr>
        <w:t>s</w:t>
      </w:r>
    </w:p>
    <w:p w14:paraId="469C645E" w14:textId="48610AC6" w:rsidR="00FC1568" w:rsidRPr="001D767D" w:rsidRDefault="00691C61" w:rsidP="00784840">
      <w:pPr>
        <w:numPr>
          <w:ilvl w:val="0"/>
          <w:numId w:val="2"/>
        </w:numPr>
        <w:tabs>
          <w:tab w:val="right" w:pos="993"/>
          <w:tab w:val="left" w:pos="1080"/>
        </w:tabs>
        <w:spacing w:after="120" w:line="240" w:lineRule="atLeast"/>
        <w:ind w:left="540" w:right="-1" w:firstLine="0"/>
        <w:jc w:val="both"/>
        <w:rPr>
          <w:rFonts w:ascii="Times New Roman" w:eastAsia="Times New Roman" w:hAnsi="Times New Roman" w:cs="Times New Roman"/>
          <w:sz w:val="20"/>
          <w:szCs w:val="20"/>
        </w:rPr>
      </w:pPr>
      <w:r w:rsidRPr="001D767D">
        <w:rPr>
          <w:rFonts w:ascii="Times New Roman" w:eastAsia="Times New Roman" w:hAnsi="Times New Roman" w:cs="Times New Roman"/>
          <w:sz w:val="20"/>
          <w:szCs w:val="20"/>
        </w:rPr>
        <w:t xml:space="preserve">The </w:t>
      </w:r>
      <w:r w:rsidR="00FC1568" w:rsidRPr="001D767D">
        <w:rPr>
          <w:rFonts w:ascii="Times New Roman" w:eastAsia="Times New Roman" w:hAnsi="Times New Roman" w:cs="Times New Roman"/>
          <w:sz w:val="20"/>
          <w:szCs w:val="20"/>
        </w:rPr>
        <w:t xml:space="preserve">Committee notes that </w:t>
      </w:r>
      <w:r w:rsidR="003B7AF9" w:rsidRPr="001D767D">
        <w:rPr>
          <w:rFonts w:ascii="Times New Roman" w:eastAsia="Times New Roman" w:hAnsi="Times New Roman" w:cs="Times New Roman"/>
          <w:sz w:val="20"/>
          <w:szCs w:val="20"/>
        </w:rPr>
        <w:t xml:space="preserve">if an application is made </w:t>
      </w:r>
      <w:r w:rsidR="00FC1568" w:rsidRPr="001D767D">
        <w:rPr>
          <w:rFonts w:ascii="Times New Roman" w:eastAsia="Times New Roman" w:hAnsi="Times New Roman" w:cs="Times New Roman"/>
          <w:sz w:val="20"/>
          <w:szCs w:val="20"/>
        </w:rPr>
        <w:t xml:space="preserve">under </w:t>
      </w:r>
      <w:r w:rsidRPr="001D767D">
        <w:rPr>
          <w:rFonts w:ascii="Times New Roman" w:eastAsia="Times New Roman" w:hAnsi="Times New Roman" w:cs="Times New Roman"/>
          <w:sz w:val="20"/>
          <w:szCs w:val="20"/>
        </w:rPr>
        <w:t>section 42(1)(a) of</w:t>
      </w:r>
      <w:r w:rsidR="00FC1568" w:rsidRPr="001D767D">
        <w:rPr>
          <w:rFonts w:ascii="Times New Roman" w:eastAsia="Times New Roman" w:hAnsi="Times New Roman" w:cs="Times New Roman"/>
          <w:sz w:val="20"/>
          <w:szCs w:val="20"/>
        </w:rPr>
        <w:t xml:space="preserve"> the Planning and Development Act </w:t>
      </w:r>
      <w:r w:rsidR="00A55EB4" w:rsidRPr="001D767D">
        <w:rPr>
          <w:rFonts w:ascii="Times New Roman" w:eastAsia="Times New Roman" w:hAnsi="Times New Roman" w:cs="Times New Roman"/>
          <w:sz w:val="20"/>
          <w:szCs w:val="20"/>
        </w:rPr>
        <w:t>2000</w:t>
      </w:r>
      <w:r w:rsidRPr="001D767D">
        <w:rPr>
          <w:rFonts w:ascii="Times New Roman" w:eastAsia="Times New Roman" w:hAnsi="Times New Roman" w:cs="Times New Roman"/>
          <w:sz w:val="20"/>
          <w:szCs w:val="20"/>
        </w:rPr>
        <w:t>,</w:t>
      </w:r>
      <w:r w:rsidR="00A55EB4" w:rsidRPr="001D767D">
        <w:rPr>
          <w:rFonts w:ascii="Times New Roman" w:eastAsia="Times New Roman" w:hAnsi="Times New Roman" w:cs="Times New Roman"/>
          <w:sz w:val="20"/>
          <w:szCs w:val="20"/>
        </w:rPr>
        <w:t xml:space="preserve"> </w:t>
      </w:r>
      <w:r w:rsidR="003B7AF9" w:rsidRPr="001D767D">
        <w:rPr>
          <w:rFonts w:ascii="Times New Roman" w:eastAsia="Times New Roman" w:hAnsi="Times New Roman" w:cs="Times New Roman"/>
          <w:sz w:val="20"/>
          <w:szCs w:val="20"/>
        </w:rPr>
        <w:t xml:space="preserve">the planning authority is obliged to </w:t>
      </w:r>
      <w:r w:rsidR="001001C7" w:rsidRPr="001D767D">
        <w:rPr>
          <w:rFonts w:ascii="Times New Roman" w:eastAsia="Times New Roman" w:hAnsi="Times New Roman" w:cs="Times New Roman"/>
          <w:sz w:val="20"/>
          <w:szCs w:val="20"/>
        </w:rPr>
        <w:t>extend the</w:t>
      </w:r>
      <w:r w:rsidR="002E2880" w:rsidRPr="001D767D">
        <w:rPr>
          <w:rFonts w:ascii="Times New Roman" w:eastAsia="Times New Roman" w:hAnsi="Times New Roman" w:cs="Times New Roman"/>
          <w:sz w:val="20"/>
          <w:szCs w:val="20"/>
        </w:rPr>
        <w:t xml:space="preserve"> “period”</w:t>
      </w:r>
      <w:r w:rsidR="001001C7" w:rsidRPr="001D767D">
        <w:rPr>
          <w:rFonts w:ascii="Times New Roman" w:eastAsia="Times New Roman" w:hAnsi="Times New Roman" w:cs="Times New Roman"/>
          <w:sz w:val="20"/>
          <w:szCs w:val="20"/>
        </w:rPr>
        <w:t xml:space="preserve"> </w:t>
      </w:r>
      <w:r w:rsidR="002F6A4D" w:rsidRPr="001D767D">
        <w:rPr>
          <w:rFonts w:ascii="Times New Roman" w:eastAsia="Times New Roman" w:hAnsi="Times New Roman" w:cs="Times New Roman"/>
          <w:sz w:val="20"/>
          <w:szCs w:val="20"/>
        </w:rPr>
        <w:t>(</w:t>
      </w:r>
      <w:r w:rsidR="001001C7" w:rsidRPr="001D767D">
        <w:rPr>
          <w:rFonts w:ascii="Times New Roman" w:eastAsia="Times New Roman" w:hAnsi="Times New Roman" w:cs="Times New Roman"/>
          <w:sz w:val="20"/>
          <w:szCs w:val="20"/>
        </w:rPr>
        <w:t>duration</w:t>
      </w:r>
      <w:r w:rsidR="002E2880" w:rsidRPr="001D767D">
        <w:rPr>
          <w:rFonts w:ascii="Times New Roman" w:eastAsia="Times New Roman" w:hAnsi="Times New Roman" w:cs="Times New Roman"/>
          <w:sz w:val="20"/>
          <w:szCs w:val="20"/>
        </w:rPr>
        <w:t>)</w:t>
      </w:r>
      <w:r w:rsidR="004450BC" w:rsidRPr="001D767D">
        <w:rPr>
          <w:rFonts w:ascii="Times New Roman" w:eastAsia="Times New Roman" w:hAnsi="Times New Roman" w:cs="Times New Roman"/>
          <w:sz w:val="20"/>
          <w:szCs w:val="20"/>
        </w:rPr>
        <w:t xml:space="preserve"> </w:t>
      </w:r>
      <w:r w:rsidR="001001C7" w:rsidRPr="001D767D">
        <w:rPr>
          <w:rFonts w:ascii="Times New Roman" w:eastAsia="Times New Roman" w:hAnsi="Times New Roman" w:cs="Times New Roman"/>
          <w:sz w:val="20"/>
          <w:szCs w:val="20"/>
        </w:rPr>
        <w:t xml:space="preserve">of </w:t>
      </w:r>
      <w:r w:rsidR="003B7AF9" w:rsidRPr="001D767D">
        <w:rPr>
          <w:rFonts w:ascii="Times New Roman" w:eastAsia="Times New Roman" w:hAnsi="Times New Roman" w:cs="Times New Roman"/>
          <w:sz w:val="20"/>
          <w:szCs w:val="20"/>
        </w:rPr>
        <w:t>the permi</w:t>
      </w:r>
      <w:r w:rsidR="003F33BD" w:rsidRPr="001D767D">
        <w:rPr>
          <w:rFonts w:ascii="Times New Roman" w:eastAsia="Times New Roman" w:hAnsi="Times New Roman" w:cs="Times New Roman"/>
          <w:sz w:val="20"/>
          <w:szCs w:val="20"/>
        </w:rPr>
        <w:t>t</w:t>
      </w:r>
      <w:r w:rsidR="003B7AF9" w:rsidRPr="001D767D">
        <w:rPr>
          <w:rFonts w:ascii="Times New Roman" w:eastAsia="Times New Roman" w:hAnsi="Times New Roman" w:cs="Times New Roman"/>
          <w:sz w:val="20"/>
          <w:szCs w:val="20"/>
        </w:rPr>
        <w:t xml:space="preserve"> </w:t>
      </w:r>
      <w:r w:rsidR="001001C7" w:rsidRPr="001D767D">
        <w:rPr>
          <w:rFonts w:ascii="Times New Roman" w:eastAsia="Times New Roman" w:hAnsi="Times New Roman" w:cs="Times New Roman"/>
          <w:sz w:val="20"/>
          <w:szCs w:val="20"/>
        </w:rPr>
        <w:t>for</w:t>
      </w:r>
      <w:r w:rsidR="003B7AF9" w:rsidRPr="001D767D">
        <w:rPr>
          <w:rFonts w:ascii="Times New Roman" w:eastAsia="Times New Roman" w:hAnsi="Times New Roman" w:cs="Times New Roman"/>
          <w:sz w:val="20"/>
          <w:szCs w:val="20"/>
        </w:rPr>
        <w:t xml:space="preserve"> up to five years if the requirements set out in that provision are met. </w:t>
      </w:r>
    </w:p>
    <w:p w14:paraId="202D710C" w14:textId="77777777" w:rsidR="003E1F99" w:rsidRPr="001D767D" w:rsidRDefault="003E1F99" w:rsidP="00784840">
      <w:pPr>
        <w:numPr>
          <w:ilvl w:val="0"/>
          <w:numId w:val="2"/>
        </w:numPr>
        <w:tabs>
          <w:tab w:val="right" w:pos="993"/>
          <w:tab w:val="left" w:pos="1080"/>
        </w:tabs>
        <w:spacing w:after="120" w:line="240" w:lineRule="atLeast"/>
        <w:ind w:left="540" w:right="-1" w:firstLine="0"/>
        <w:jc w:val="both"/>
        <w:rPr>
          <w:rFonts w:ascii="Times New Roman" w:eastAsia="Times New Roman" w:hAnsi="Times New Roman" w:cs="Times New Roman"/>
          <w:sz w:val="20"/>
          <w:szCs w:val="20"/>
        </w:rPr>
      </w:pPr>
      <w:r w:rsidRPr="001D767D">
        <w:rPr>
          <w:rFonts w:ascii="Times New Roman" w:eastAsia="Times New Roman" w:hAnsi="Times New Roman" w:cs="Times New Roman"/>
          <w:sz w:val="20"/>
          <w:szCs w:val="20"/>
        </w:rPr>
        <w:t xml:space="preserve">As the Committee held in its findings on communication ACCC/C/2014/104 (Netherlands): </w:t>
      </w:r>
    </w:p>
    <w:p w14:paraId="78C33719" w14:textId="293ADF42" w:rsidR="00F61DE4" w:rsidRPr="001D767D" w:rsidRDefault="003E1F99" w:rsidP="00741CFB">
      <w:pPr>
        <w:tabs>
          <w:tab w:val="right" w:pos="993"/>
          <w:tab w:val="left" w:pos="1080"/>
        </w:tabs>
        <w:spacing w:after="120" w:line="240" w:lineRule="atLeast"/>
        <w:ind w:left="993" w:right="-1"/>
        <w:jc w:val="both"/>
        <w:rPr>
          <w:rFonts w:ascii="Times New Roman" w:eastAsia="Times New Roman" w:hAnsi="Times New Roman" w:cs="Times New Roman"/>
          <w:sz w:val="20"/>
          <w:szCs w:val="20"/>
        </w:rPr>
      </w:pPr>
      <w:r w:rsidRPr="001D767D">
        <w:rPr>
          <w:rFonts w:ascii="Times New Roman" w:eastAsia="Times New Roman" w:hAnsi="Times New Roman" w:cs="Times New Roman"/>
          <w:sz w:val="20"/>
          <w:szCs w:val="20"/>
        </w:rPr>
        <w:lastRenderedPageBreak/>
        <w:t>“</w:t>
      </w:r>
      <w:r w:rsidR="00F61DE4" w:rsidRPr="001D767D">
        <w:rPr>
          <w:rFonts w:ascii="Times New Roman" w:eastAsia="Times New Roman" w:hAnsi="Times New Roman" w:cs="Times New Roman"/>
          <w:sz w:val="20"/>
          <w:szCs w:val="20"/>
        </w:rPr>
        <w:t xml:space="preserve">The Committee considers that the permitted duration of an activity is </w:t>
      </w:r>
      <w:r w:rsidR="00961B12" w:rsidRPr="001D767D">
        <w:rPr>
          <w:rFonts w:ascii="Times New Roman" w:eastAsia="Times New Roman" w:hAnsi="Times New Roman" w:cs="Times New Roman"/>
          <w:sz w:val="20"/>
          <w:szCs w:val="20"/>
        </w:rPr>
        <w:t xml:space="preserve">clearly </w:t>
      </w:r>
      <w:r w:rsidR="00F61DE4" w:rsidRPr="001D767D">
        <w:rPr>
          <w:rFonts w:ascii="Times New Roman" w:eastAsia="Times New Roman" w:hAnsi="Times New Roman" w:cs="Times New Roman"/>
          <w:sz w:val="20"/>
          <w:szCs w:val="20"/>
        </w:rPr>
        <w:t>an operating condition</w:t>
      </w:r>
      <w:r w:rsidR="00961B12" w:rsidRPr="001D767D">
        <w:rPr>
          <w:rFonts w:ascii="Times New Roman" w:eastAsia="Times New Roman" w:hAnsi="Times New Roman" w:cs="Times New Roman"/>
          <w:sz w:val="20"/>
          <w:szCs w:val="20"/>
        </w:rPr>
        <w:t xml:space="preserve"> for that activity, and an important one at that</w:t>
      </w:r>
      <w:r w:rsidR="00F61DE4" w:rsidRPr="001D767D">
        <w:rPr>
          <w:rFonts w:ascii="Times New Roman" w:eastAsia="Times New Roman" w:hAnsi="Times New Roman" w:cs="Times New Roman"/>
          <w:sz w:val="20"/>
          <w:szCs w:val="20"/>
        </w:rPr>
        <w:t xml:space="preserve">. </w:t>
      </w:r>
      <w:r w:rsidR="00961B12" w:rsidRPr="001D767D">
        <w:rPr>
          <w:rFonts w:ascii="Times New Roman" w:eastAsia="Times New Roman" w:hAnsi="Times New Roman" w:cs="Times New Roman"/>
          <w:sz w:val="20"/>
          <w:szCs w:val="20"/>
        </w:rPr>
        <w:t>Accordingly</w:t>
      </w:r>
      <w:r w:rsidR="00F61DE4" w:rsidRPr="001D767D">
        <w:rPr>
          <w:rFonts w:ascii="Times New Roman" w:eastAsia="Times New Roman" w:hAnsi="Times New Roman" w:cs="Times New Roman"/>
          <w:sz w:val="20"/>
          <w:szCs w:val="20"/>
        </w:rPr>
        <w:t>, a</w:t>
      </w:r>
      <w:r w:rsidR="00961B12" w:rsidRPr="001D767D">
        <w:rPr>
          <w:rFonts w:ascii="Times New Roman" w:eastAsia="Times New Roman" w:hAnsi="Times New Roman" w:cs="Times New Roman"/>
          <w:sz w:val="20"/>
          <w:szCs w:val="20"/>
        </w:rPr>
        <w:t>ny</w:t>
      </w:r>
      <w:r w:rsidR="00F61DE4" w:rsidRPr="001D767D">
        <w:rPr>
          <w:rFonts w:ascii="Times New Roman" w:eastAsia="Times New Roman" w:hAnsi="Times New Roman" w:cs="Times New Roman"/>
          <w:sz w:val="20"/>
          <w:szCs w:val="20"/>
        </w:rPr>
        <w:t xml:space="preserve"> change to the permitted duration, </w:t>
      </w:r>
      <w:r w:rsidR="00961B12" w:rsidRPr="001D767D">
        <w:rPr>
          <w:rFonts w:ascii="Times New Roman" w:eastAsia="Times New Roman" w:hAnsi="Times New Roman" w:cs="Times New Roman"/>
          <w:sz w:val="20"/>
          <w:szCs w:val="20"/>
        </w:rPr>
        <w:t xml:space="preserve">be </w:t>
      </w:r>
      <w:r w:rsidR="00FC248A" w:rsidRPr="001D767D">
        <w:rPr>
          <w:rFonts w:ascii="Times New Roman" w:eastAsia="Times New Roman" w:hAnsi="Times New Roman" w:cs="Times New Roman"/>
          <w:sz w:val="20"/>
          <w:szCs w:val="20"/>
        </w:rPr>
        <w:t>it a reduction</w:t>
      </w:r>
      <w:r w:rsidR="00961B12" w:rsidRPr="001D767D">
        <w:rPr>
          <w:rFonts w:ascii="Times New Roman" w:eastAsia="Times New Roman" w:hAnsi="Times New Roman" w:cs="Times New Roman"/>
          <w:sz w:val="20"/>
          <w:szCs w:val="20"/>
        </w:rPr>
        <w:t xml:space="preserve"> or </w:t>
      </w:r>
      <w:r w:rsidR="00FC248A" w:rsidRPr="001D767D">
        <w:rPr>
          <w:rFonts w:ascii="Times New Roman" w:eastAsia="Times New Roman" w:hAnsi="Times New Roman" w:cs="Times New Roman"/>
          <w:sz w:val="20"/>
          <w:szCs w:val="20"/>
        </w:rPr>
        <w:t>an extension</w:t>
      </w:r>
      <w:r w:rsidR="00F61DE4" w:rsidRPr="001D767D">
        <w:rPr>
          <w:rFonts w:ascii="Times New Roman" w:eastAsia="Times New Roman" w:hAnsi="Times New Roman" w:cs="Times New Roman"/>
          <w:sz w:val="20"/>
          <w:szCs w:val="20"/>
        </w:rPr>
        <w:t>, is a</w:t>
      </w:r>
      <w:r w:rsidR="000A584A" w:rsidRPr="001D767D">
        <w:rPr>
          <w:rFonts w:ascii="Times New Roman" w:eastAsia="Times New Roman" w:hAnsi="Times New Roman" w:cs="Times New Roman"/>
          <w:sz w:val="20"/>
          <w:szCs w:val="20"/>
        </w:rPr>
        <w:t xml:space="preserve"> reconsideration or</w:t>
      </w:r>
      <w:r w:rsidR="00F61DE4" w:rsidRPr="001D767D">
        <w:rPr>
          <w:rFonts w:ascii="Times New Roman" w:eastAsia="Times New Roman" w:hAnsi="Times New Roman" w:cs="Times New Roman"/>
          <w:sz w:val="20"/>
          <w:szCs w:val="20"/>
        </w:rPr>
        <w:t xml:space="preserve"> update of that </w:t>
      </w:r>
      <w:r w:rsidR="00961B12" w:rsidRPr="001D767D">
        <w:rPr>
          <w:rFonts w:ascii="Times New Roman" w:eastAsia="Times New Roman" w:hAnsi="Times New Roman" w:cs="Times New Roman"/>
          <w:sz w:val="20"/>
          <w:szCs w:val="20"/>
        </w:rPr>
        <w:t xml:space="preserve">activity’s </w:t>
      </w:r>
      <w:r w:rsidR="00F61DE4" w:rsidRPr="001D767D">
        <w:rPr>
          <w:rFonts w:ascii="Times New Roman" w:eastAsia="Times New Roman" w:hAnsi="Times New Roman" w:cs="Times New Roman"/>
          <w:sz w:val="20"/>
          <w:szCs w:val="20"/>
        </w:rPr>
        <w:t>operating condition</w:t>
      </w:r>
      <w:r w:rsidR="00FC248A" w:rsidRPr="001D767D">
        <w:rPr>
          <w:rFonts w:ascii="Times New Roman" w:eastAsia="Times New Roman" w:hAnsi="Times New Roman" w:cs="Times New Roman"/>
          <w:sz w:val="20"/>
          <w:szCs w:val="20"/>
        </w:rPr>
        <w:t>s</w:t>
      </w:r>
      <w:r w:rsidRPr="001D767D">
        <w:rPr>
          <w:rFonts w:ascii="Times New Roman" w:eastAsia="Times New Roman" w:hAnsi="Times New Roman" w:cs="Times New Roman"/>
          <w:sz w:val="20"/>
          <w:szCs w:val="20"/>
        </w:rPr>
        <w:t>.”</w:t>
      </w:r>
      <w:r w:rsidRPr="001D767D">
        <w:rPr>
          <w:rStyle w:val="FootnoteReference"/>
          <w:rFonts w:ascii="Times New Roman" w:eastAsia="Times New Roman" w:hAnsi="Times New Roman" w:cs="Times New Roman"/>
          <w:sz w:val="20"/>
          <w:szCs w:val="20"/>
        </w:rPr>
        <w:footnoteReference w:id="79"/>
      </w:r>
      <w:r w:rsidRPr="001D767D" w:rsidDel="003E1F99">
        <w:rPr>
          <w:rFonts w:ascii="Times New Roman" w:eastAsia="Times New Roman" w:hAnsi="Times New Roman" w:cs="Times New Roman"/>
          <w:sz w:val="20"/>
          <w:szCs w:val="20"/>
        </w:rPr>
        <w:t xml:space="preserve"> </w:t>
      </w:r>
    </w:p>
    <w:p w14:paraId="64D1188D" w14:textId="0811ED0F" w:rsidR="00F105E1" w:rsidRPr="001D767D" w:rsidRDefault="00FA1D22" w:rsidP="003167D6">
      <w:pPr>
        <w:numPr>
          <w:ilvl w:val="0"/>
          <w:numId w:val="2"/>
        </w:numPr>
        <w:tabs>
          <w:tab w:val="right" w:pos="993"/>
          <w:tab w:val="left" w:pos="1080"/>
        </w:tabs>
        <w:spacing w:after="120" w:line="240" w:lineRule="atLeast"/>
        <w:ind w:left="540" w:right="-1" w:firstLine="0"/>
        <w:jc w:val="both"/>
        <w:rPr>
          <w:rFonts w:ascii="Times New Roman" w:eastAsia="Times New Roman" w:hAnsi="Times New Roman" w:cs="Times New Roman"/>
          <w:sz w:val="20"/>
          <w:szCs w:val="20"/>
        </w:rPr>
      </w:pPr>
      <w:r w:rsidRPr="001D767D">
        <w:rPr>
          <w:rFonts w:ascii="Times New Roman" w:eastAsia="Times New Roman" w:hAnsi="Times New Roman" w:cs="Times New Roman"/>
          <w:sz w:val="20"/>
          <w:szCs w:val="20"/>
        </w:rPr>
        <w:t xml:space="preserve">Based on </w:t>
      </w:r>
      <w:r w:rsidR="00F61DE4" w:rsidRPr="001D767D">
        <w:rPr>
          <w:rFonts w:ascii="Times New Roman" w:eastAsia="Times New Roman" w:hAnsi="Times New Roman" w:cs="Times New Roman"/>
          <w:sz w:val="20"/>
          <w:szCs w:val="20"/>
        </w:rPr>
        <w:t>the above,</w:t>
      </w:r>
      <w:r w:rsidR="00FC1568" w:rsidRPr="001D767D">
        <w:rPr>
          <w:rFonts w:ascii="Times New Roman" w:eastAsia="Times New Roman" w:hAnsi="Times New Roman" w:cs="Times New Roman"/>
          <w:sz w:val="20"/>
          <w:szCs w:val="20"/>
        </w:rPr>
        <w:t xml:space="preserve"> the Committee considers that the </w:t>
      </w:r>
      <w:r w:rsidR="00453A3A" w:rsidRPr="001D767D">
        <w:rPr>
          <w:rFonts w:ascii="Times New Roman" w:eastAsia="Times New Roman" w:hAnsi="Times New Roman" w:cs="Times New Roman"/>
          <w:sz w:val="20"/>
          <w:szCs w:val="20"/>
        </w:rPr>
        <w:t xml:space="preserve">three </w:t>
      </w:r>
      <w:r w:rsidR="003F33BD" w:rsidRPr="001D767D">
        <w:rPr>
          <w:rFonts w:ascii="Times New Roman" w:eastAsia="Times New Roman" w:hAnsi="Times New Roman" w:cs="Times New Roman"/>
          <w:sz w:val="20"/>
          <w:szCs w:val="20"/>
        </w:rPr>
        <w:t xml:space="preserve">permits </w:t>
      </w:r>
      <w:r w:rsidR="002E5C07" w:rsidRPr="001D767D">
        <w:rPr>
          <w:rFonts w:ascii="Times New Roman" w:eastAsia="Times New Roman" w:hAnsi="Times New Roman" w:cs="Times New Roman"/>
          <w:sz w:val="20"/>
          <w:szCs w:val="20"/>
        </w:rPr>
        <w:t xml:space="preserve">granted in 2013 </w:t>
      </w:r>
      <w:r w:rsidR="005A50E6" w:rsidRPr="001D767D">
        <w:rPr>
          <w:rFonts w:ascii="Times New Roman" w:eastAsia="Times New Roman" w:hAnsi="Times New Roman" w:cs="Times New Roman"/>
          <w:sz w:val="20"/>
          <w:szCs w:val="20"/>
        </w:rPr>
        <w:t xml:space="preserve">to extend the duration of the </w:t>
      </w:r>
      <w:r w:rsidR="002E5C07" w:rsidRPr="001D767D">
        <w:rPr>
          <w:rFonts w:ascii="Times New Roman" w:eastAsia="Times New Roman" w:hAnsi="Times New Roman" w:cs="Times New Roman"/>
          <w:sz w:val="20"/>
          <w:szCs w:val="20"/>
        </w:rPr>
        <w:t xml:space="preserve">1998, 2004 and 2010 permits </w:t>
      </w:r>
      <w:r w:rsidR="005A50E6" w:rsidRPr="001D767D">
        <w:rPr>
          <w:rFonts w:ascii="Times New Roman" w:eastAsia="Times New Roman" w:hAnsi="Times New Roman" w:cs="Times New Roman"/>
          <w:sz w:val="20"/>
          <w:szCs w:val="20"/>
        </w:rPr>
        <w:t xml:space="preserve">amounted to </w:t>
      </w:r>
      <w:r w:rsidR="00FC1568" w:rsidRPr="001D767D">
        <w:rPr>
          <w:rFonts w:ascii="Times New Roman" w:eastAsia="Times New Roman" w:hAnsi="Times New Roman" w:cs="Times New Roman"/>
          <w:sz w:val="20"/>
          <w:szCs w:val="20"/>
        </w:rPr>
        <w:t>reconsideration</w:t>
      </w:r>
      <w:r w:rsidR="00453A3A" w:rsidRPr="001D767D">
        <w:rPr>
          <w:rFonts w:ascii="Times New Roman" w:eastAsia="Times New Roman" w:hAnsi="Times New Roman" w:cs="Times New Roman"/>
          <w:sz w:val="20"/>
          <w:szCs w:val="20"/>
        </w:rPr>
        <w:t>s</w:t>
      </w:r>
      <w:r w:rsidR="00FC1568" w:rsidRPr="001D767D">
        <w:rPr>
          <w:rFonts w:ascii="Times New Roman" w:eastAsia="Times New Roman" w:hAnsi="Times New Roman" w:cs="Times New Roman"/>
          <w:sz w:val="20"/>
          <w:szCs w:val="20"/>
        </w:rPr>
        <w:t xml:space="preserve"> </w:t>
      </w:r>
      <w:r w:rsidR="000A584A" w:rsidRPr="001D767D">
        <w:rPr>
          <w:rFonts w:ascii="Times New Roman" w:eastAsia="Times New Roman" w:hAnsi="Times New Roman" w:cs="Times New Roman"/>
          <w:sz w:val="20"/>
          <w:szCs w:val="20"/>
        </w:rPr>
        <w:t>or</w:t>
      </w:r>
      <w:r w:rsidR="00FC1568" w:rsidRPr="001D767D">
        <w:rPr>
          <w:rFonts w:ascii="Times New Roman" w:eastAsia="Times New Roman" w:hAnsi="Times New Roman" w:cs="Times New Roman"/>
          <w:sz w:val="20"/>
          <w:szCs w:val="20"/>
        </w:rPr>
        <w:t xml:space="preserve"> updat</w:t>
      </w:r>
      <w:r w:rsidR="005A50E6" w:rsidRPr="001D767D">
        <w:rPr>
          <w:rFonts w:ascii="Times New Roman" w:eastAsia="Times New Roman" w:hAnsi="Times New Roman" w:cs="Times New Roman"/>
          <w:sz w:val="20"/>
          <w:szCs w:val="20"/>
        </w:rPr>
        <w:t>e</w:t>
      </w:r>
      <w:r w:rsidR="00453A3A" w:rsidRPr="001D767D">
        <w:rPr>
          <w:rFonts w:ascii="Times New Roman" w:eastAsia="Times New Roman" w:hAnsi="Times New Roman" w:cs="Times New Roman"/>
          <w:sz w:val="20"/>
          <w:szCs w:val="20"/>
        </w:rPr>
        <w:t>s</w:t>
      </w:r>
      <w:r w:rsidR="00FC1568" w:rsidRPr="001D767D">
        <w:rPr>
          <w:rFonts w:ascii="Times New Roman" w:eastAsia="Times New Roman" w:hAnsi="Times New Roman" w:cs="Times New Roman"/>
          <w:sz w:val="20"/>
          <w:szCs w:val="20"/>
        </w:rPr>
        <w:t xml:space="preserve"> of the operating conditions of the quarrying activity </w:t>
      </w:r>
      <w:r w:rsidR="00F105E1" w:rsidRPr="001D767D">
        <w:rPr>
          <w:rFonts w:ascii="Times New Roman" w:eastAsia="Times New Roman" w:hAnsi="Times New Roman" w:cs="Times New Roman"/>
          <w:sz w:val="20"/>
          <w:szCs w:val="20"/>
        </w:rPr>
        <w:t>within the</w:t>
      </w:r>
      <w:r w:rsidR="002E5C07" w:rsidRPr="001D767D">
        <w:rPr>
          <w:rFonts w:ascii="Times New Roman" w:eastAsia="Times New Roman" w:hAnsi="Times New Roman" w:cs="Times New Roman"/>
          <w:sz w:val="20"/>
          <w:szCs w:val="20"/>
        </w:rPr>
        <w:t xml:space="preserve"> </w:t>
      </w:r>
      <w:r w:rsidR="00F105E1" w:rsidRPr="001D767D">
        <w:rPr>
          <w:rFonts w:ascii="Times New Roman" w:eastAsia="Times New Roman" w:hAnsi="Times New Roman" w:cs="Times New Roman"/>
          <w:sz w:val="20"/>
          <w:szCs w:val="20"/>
        </w:rPr>
        <w:t>meaning of article 6</w:t>
      </w:r>
      <w:r w:rsidR="003E1F99" w:rsidRPr="001D767D">
        <w:rPr>
          <w:rFonts w:ascii="Times New Roman" w:eastAsia="Times New Roman" w:hAnsi="Times New Roman" w:cs="Times New Roman"/>
          <w:sz w:val="20"/>
          <w:szCs w:val="20"/>
        </w:rPr>
        <w:t>(</w:t>
      </w:r>
      <w:r w:rsidR="00F105E1" w:rsidRPr="001D767D">
        <w:rPr>
          <w:rFonts w:ascii="Times New Roman" w:eastAsia="Times New Roman" w:hAnsi="Times New Roman" w:cs="Times New Roman"/>
          <w:sz w:val="20"/>
          <w:szCs w:val="20"/>
        </w:rPr>
        <w:t>10</w:t>
      </w:r>
      <w:r w:rsidR="003E1F99" w:rsidRPr="001D767D">
        <w:rPr>
          <w:rFonts w:ascii="Times New Roman" w:eastAsia="Times New Roman" w:hAnsi="Times New Roman" w:cs="Times New Roman"/>
          <w:sz w:val="20"/>
          <w:szCs w:val="20"/>
        </w:rPr>
        <w:t>)</w:t>
      </w:r>
      <w:r w:rsidR="00F105E1" w:rsidRPr="001D767D">
        <w:rPr>
          <w:rFonts w:ascii="Times New Roman" w:eastAsia="Times New Roman" w:hAnsi="Times New Roman" w:cs="Times New Roman"/>
          <w:sz w:val="20"/>
          <w:szCs w:val="20"/>
        </w:rPr>
        <w:t xml:space="preserve"> of the Convention</w:t>
      </w:r>
      <w:r w:rsidRPr="001D767D">
        <w:rPr>
          <w:rFonts w:ascii="Times New Roman" w:eastAsia="Times New Roman" w:hAnsi="Times New Roman" w:cs="Times New Roman"/>
          <w:sz w:val="20"/>
          <w:szCs w:val="20"/>
        </w:rPr>
        <w:t xml:space="preserve">. The </w:t>
      </w:r>
      <w:r w:rsidR="00F105E1" w:rsidRPr="001D767D">
        <w:rPr>
          <w:rFonts w:ascii="Times New Roman" w:eastAsia="Times New Roman" w:hAnsi="Times New Roman" w:cs="Times New Roman"/>
          <w:sz w:val="20"/>
          <w:szCs w:val="20"/>
        </w:rPr>
        <w:t xml:space="preserve">Committee examines </w:t>
      </w:r>
      <w:r w:rsidRPr="001D767D">
        <w:rPr>
          <w:rFonts w:ascii="Times New Roman" w:eastAsia="Times New Roman" w:hAnsi="Times New Roman" w:cs="Times New Roman"/>
          <w:sz w:val="20"/>
          <w:szCs w:val="20"/>
        </w:rPr>
        <w:t xml:space="preserve">below </w:t>
      </w:r>
      <w:r w:rsidR="00F105E1" w:rsidRPr="001D767D">
        <w:rPr>
          <w:rFonts w:ascii="Times New Roman" w:eastAsia="Times New Roman" w:hAnsi="Times New Roman" w:cs="Times New Roman"/>
          <w:sz w:val="20"/>
          <w:szCs w:val="20"/>
        </w:rPr>
        <w:t>whether the requirements of article 6</w:t>
      </w:r>
      <w:r w:rsidR="003E1F99" w:rsidRPr="001D767D">
        <w:rPr>
          <w:rFonts w:ascii="Times New Roman" w:eastAsia="Times New Roman" w:hAnsi="Times New Roman" w:cs="Times New Roman"/>
          <w:sz w:val="20"/>
          <w:szCs w:val="20"/>
        </w:rPr>
        <w:t>(</w:t>
      </w:r>
      <w:r w:rsidR="00F105E1" w:rsidRPr="001D767D">
        <w:rPr>
          <w:rFonts w:ascii="Times New Roman" w:eastAsia="Times New Roman" w:hAnsi="Times New Roman" w:cs="Times New Roman"/>
          <w:sz w:val="20"/>
          <w:szCs w:val="20"/>
        </w:rPr>
        <w:t>10</w:t>
      </w:r>
      <w:r w:rsidR="003E1F99" w:rsidRPr="001D767D">
        <w:rPr>
          <w:rFonts w:ascii="Times New Roman" w:eastAsia="Times New Roman" w:hAnsi="Times New Roman" w:cs="Times New Roman"/>
          <w:sz w:val="20"/>
          <w:szCs w:val="20"/>
        </w:rPr>
        <w:t>)</w:t>
      </w:r>
      <w:r w:rsidR="00F105E1" w:rsidRPr="001D767D">
        <w:rPr>
          <w:rFonts w:ascii="Times New Roman" w:eastAsia="Times New Roman" w:hAnsi="Times New Roman" w:cs="Times New Roman"/>
          <w:sz w:val="20"/>
          <w:szCs w:val="20"/>
        </w:rPr>
        <w:t xml:space="preserve"> were in fact met </w:t>
      </w:r>
      <w:r w:rsidR="002E5C07" w:rsidRPr="001D767D">
        <w:rPr>
          <w:rFonts w:ascii="Times New Roman" w:eastAsia="Times New Roman" w:hAnsi="Times New Roman" w:cs="Times New Roman"/>
          <w:sz w:val="20"/>
          <w:szCs w:val="20"/>
        </w:rPr>
        <w:t xml:space="preserve">with respect to the 2013 </w:t>
      </w:r>
      <w:r w:rsidR="003F33BD" w:rsidRPr="001D767D">
        <w:rPr>
          <w:rFonts w:ascii="Times New Roman" w:eastAsia="Times New Roman" w:hAnsi="Times New Roman" w:cs="Times New Roman"/>
          <w:sz w:val="20"/>
          <w:szCs w:val="20"/>
        </w:rPr>
        <w:t>permits</w:t>
      </w:r>
      <w:r w:rsidR="00F105E1" w:rsidRPr="001D767D">
        <w:rPr>
          <w:rFonts w:ascii="Times New Roman" w:eastAsia="Times New Roman" w:hAnsi="Times New Roman" w:cs="Times New Roman"/>
          <w:sz w:val="20"/>
          <w:szCs w:val="20"/>
        </w:rPr>
        <w:t xml:space="preserve">. </w:t>
      </w:r>
    </w:p>
    <w:p w14:paraId="63CA9279" w14:textId="6242254E" w:rsidR="008E7F7B" w:rsidRPr="001D767D" w:rsidRDefault="008E7F7B" w:rsidP="00F105E1">
      <w:pPr>
        <w:tabs>
          <w:tab w:val="right" w:pos="993"/>
          <w:tab w:val="left" w:pos="1080"/>
        </w:tabs>
        <w:spacing w:after="120" w:line="240" w:lineRule="atLeast"/>
        <w:ind w:left="540" w:right="-1"/>
        <w:jc w:val="both"/>
        <w:rPr>
          <w:rFonts w:ascii="Times New Roman" w:eastAsia="Times New Roman" w:hAnsi="Times New Roman" w:cs="Times New Roman"/>
          <w:i/>
          <w:sz w:val="20"/>
          <w:szCs w:val="20"/>
        </w:rPr>
      </w:pPr>
      <w:r w:rsidRPr="001D767D">
        <w:rPr>
          <w:rFonts w:ascii="Times New Roman" w:eastAsia="Times New Roman" w:hAnsi="Times New Roman" w:cs="Times New Roman"/>
          <w:i/>
          <w:sz w:val="20"/>
          <w:szCs w:val="20"/>
        </w:rPr>
        <w:t>Mutatis mutandis, and where appropriate</w:t>
      </w:r>
    </w:p>
    <w:p w14:paraId="4B15BD38" w14:textId="7BB1D762" w:rsidR="00985DDD" w:rsidRPr="001D767D" w:rsidRDefault="00A81799" w:rsidP="00784840">
      <w:pPr>
        <w:numPr>
          <w:ilvl w:val="0"/>
          <w:numId w:val="2"/>
        </w:numPr>
        <w:tabs>
          <w:tab w:val="right" w:pos="993"/>
          <w:tab w:val="left" w:pos="1080"/>
        </w:tabs>
        <w:spacing w:after="120" w:line="240" w:lineRule="atLeast"/>
        <w:ind w:left="540" w:right="-1" w:firstLine="0"/>
        <w:jc w:val="both"/>
        <w:rPr>
          <w:rFonts w:ascii="Times New Roman" w:eastAsia="Times New Roman" w:hAnsi="Times New Roman" w:cs="Times New Roman"/>
          <w:sz w:val="20"/>
          <w:szCs w:val="20"/>
        </w:rPr>
      </w:pPr>
      <w:r w:rsidRPr="001D767D">
        <w:rPr>
          <w:rFonts w:ascii="Times New Roman" w:eastAsia="Times New Roman" w:hAnsi="Times New Roman" w:cs="Times New Roman"/>
          <w:sz w:val="20"/>
          <w:szCs w:val="20"/>
        </w:rPr>
        <w:t xml:space="preserve">Pursuant to article 6, paragraph 10, </w:t>
      </w:r>
      <w:r w:rsidR="0046501B" w:rsidRPr="001D767D">
        <w:rPr>
          <w:rFonts w:ascii="Times New Roman" w:eastAsia="Times New Roman" w:hAnsi="Times New Roman" w:cs="Times New Roman"/>
          <w:sz w:val="20"/>
          <w:szCs w:val="20"/>
        </w:rPr>
        <w:t xml:space="preserve">a </w:t>
      </w:r>
      <w:r w:rsidRPr="001D767D">
        <w:rPr>
          <w:rFonts w:ascii="Times New Roman" w:eastAsia="Times New Roman" w:hAnsi="Times New Roman" w:cs="Times New Roman"/>
          <w:sz w:val="20"/>
          <w:szCs w:val="20"/>
        </w:rPr>
        <w:t xml:space="preserve">Party concerned </w:t>
      </w:r>
      <w:r w:rsidR="0046501B" w:rsidRPr="001D767D">
        <w:rPr>
          <w:rFonts w:ascii="Times New Roman" w:eastAsia="Times New Roman" w:hAnsi="Times New Roman" w:cs="Times New Roman"/>
          <w:sz w:val="20"/>
          <w:szCs w:val="20"/>
        </w:rPr>
        <w:t xml:space="preserve">is </w:t>
      </w:r>
      <w:r w:rsidRPr="001D767D">
        <w:rPr>
          <w:rFonts w:ascii="Times New Roman" w:eastAsia="Times New Roman" w:hAnsi="Times New Roman" w:cs="Times New Roman"/>
          <w:sz w:val="20"/>
          <w:szCs w:val="20"/>
        </w:rPr>
        <w:t xml:space="preserve">obliged </w:t>
      </w:r>
      <w:r w:rsidR="00845AEE" w:rsidRPr="001D767D">
        <w:rPr>
          <w:rFonts w:ascii="Times New Roman" w:eastAsia="Times New Roman" w:hAnsi="Times New Roman" w:cs="Times New Roman"/>
          <w:sz w:val="20"/>
          <w:szCs w:val="20"/>
        </w:rPr>
        <w:t xml:space="preserve">to </w:t>
      </w:r>
      <w:r w:rsidR="00845AEE" w:rsidRPr="001D767D">
        <w:rPr>
          <w:rFonts w:ascii="Times New Roman" w:hAnsi="Times New Roman" w:cs="Times New Roman"/>
          <w:sz w:val="20"/>
          <w:szCs w:val="20"/>
        </w:rPr>
        <w:t xml:space="preserve">ensure that the provisions of article 6, paragraphs 2 to 9, </w:t>
      </w:r>
      <w:r w:rsidR="0046501B" w:rsidRPr="001D767D">
        <w:rPr>
          <w:rFonts w:ascii="Times New Roman" w:hAnsi="Times New Roman" w:cs="Times New Roman"/>
          <w:sz w:val="20"/>
          <w:szCs w:val="20"/>
        </w:rPr>
        <w:t xml:space="preserve">are </w:t>
      </w:r>
      <w:r w:rsidR="00845AEE" w:rsidRPr="001D767D">
        <w:rPr>
          <w:rFonts w:ascii="Times New Roman" w:hAnsi="Times New Roman" w:cs="Times New Roman"/>
          <w:sz w:val="20"/>
          <w:szCs w:val="20"/>
        </w:rPr>
        <w:t xml:space="preserve">applied “mutatis mutandis, and where appropriate”. </w:t>
      </w:r>
    </w:p>
    <w:p w14:paraId="1E5753B4" w14:textId="6501BFDC" w:rsidR="00985DDD" w:rsidRPr="001D767D" w:rsidRDefault="00985DDD" w:rsidP="003167D6">
      <w:pPr>
        <w:tabs>
          <w:tab w:val="right" w:pos="993"/>
          <w:tab w:val="left" w:pos="1080"/>
        </w:tabs>
        <w:spacing w:after="120" w:line="240" w:lineRule="atLeast"/>
        <w:ind w:left="540" w:right="-1"/>
        <w:jc w:val="both"/>
        <w:rPr>
          <w:rFonts w:ascii="Times New Roman" w:eastAsia="Times New Roman" w:hAnsi="Times New Roman" w:cs="Times New Roman"/>
          <w:i/>
          <w:iCs/>
          <w:sz w:val="20"/>
          <w:szCs w:val="20"/>
        </w:rPr>
      </w:pPr>
      <w:r w:rsidRPr="001D767D">
        <w:rPr>
          <w:rFonts w:ascii="Times New Roman" w:eastAsia="Times New Roman" w:hAnsi="Times New Roman" w:cs="Times New Roman"/>
          <w:i/>
          <w:iCs/>
          <w:sz w:val="20"/>
          <w:szCs w:val="20"/>
        </w:rPr>
        <w:t>(</w:t>
      </w:r>
      <w:proofErr w:type="spellStart"/>
      <w:r w:rsidRPr="001D767D">
        <w:rPr>
          <w:rFonts w:ascii="Times New Roman" w:eastAsia="Times New Roman" w:hAnsi="Times New Roman" w:cs="Times New Roman"/>
          <w:i/>
          <w:iCs/>
          <w:sz w:val="20"/>
          <w:szCs w:val="20"/>
        </w:rPr>
        <w:t>i</w:t>
      </w:r>
      <w:proofErr w:type="spellEnd"/>
      <w:r w:rsidRPr="001D767D">
        <w:rPr>
          <w:rFonts w:ascii="Times New Roman" w:eastAsia="Times New Roman" w:hAnsi="Times New Roman" w:cs="Times New Roman"/>
          <w:i/>
          <w:iCs/>
          <w:sz w:val="20"/>
          <w:szCs w:val="20"/>
        </w:rPr>
        <w:t>) Mutatis mutandis</w:t>
      </w:r>
    </w:p>
    <w:p w14:paraId="4F039918" w14:textId="048588C8" w:rsidR="006C5CAE" w:rsidRPr="001D767D" w:rsidRDefault="006C5CAE" w:rsidP="00784840">
      <w:pPr>
        <w:numPr>
          <w:ilvl w:val="0"/>
          <w:numId w:val="2"/>
        </w:numPr>
        <w:tabs>
          <w:tab w:val="right" w:pos="993"/>
          <w:tab w:val="left" w:pos="1080"/>
        </w:tabs>
        <w:spacing w:after="120" w:line="240" w:lineRule="atLeast"/>
        <w:ind w:left="540" w:right="-1" w:firstLine="0"/>
        <w:jc w:val="both"/>
        <w:rPr>
          <w:rFonts w:ascii="Times New Roman" w:eastAsia="Times New Roman" w:hAnsi="Times New Roman" w:cs="Times New Roman"/>
          <w:sz w:val="20"/>
          <w:szCs w:val="20"/>
        </w:rPr>
      </w:pPr>
      <w:r w:rsidRPr="001D767D">
        <w:rPr>
          <w:rFonts w:ascii="Times New Roman" w:eastAsia="Times New Roman" w:hAnsi="Times New Roman" w:cs="Times New Roman"/>
          <w:sz w:val="20"/>
          <w:szCs w:val="20"/>
        </w:rPr>
        <w:t>As the Committee held in its findings on communication ACCC/C/2014/104 (Netherlands):</w:t>
      </w:r>
    </w:p>
    <w:p w14:paraId="11DD1A34" w14:textId="0C5A93A5" w:rsidR="006C5CAE" w:rsidRPr="001D767D" w:rsidRDefault="006C5CAE" w:rsidP="003167D6">
      <w:pPr>
        <w:tabs>
          <w:tab w:val="right" w:pos="993"/>
          <w:tab w:val="left" w:pos="1080"/>
        </w:tabs>
        <w:spacing w:after="120" w:line="240" w:lineRule="atLeast"/>
        <w:ind w:left="1080" w:right="-1"/>
        <w:jc w:val="both"/>
        <w:rPr>
          <w:rFonts w:ascii="Times New Roman" w:hAnsi="Times New Roman" w:cs="Times New Roman"/>
          <w:sz w:val="20"/>
          <w:szCs w:val="20"/>
        </w:rPr>
      </w:pPr>
      <w:r w:rsidRPr="001D767D">
        <w:rPr>
          <w:rFonts w:ascii="Times New Roman" w:hAnsi="Times New Roman" w:cs="Times New Roman"/>
          <w:sz w:val="20"/>
          <w:szCs w:val="20"/>
        </w:rPr>
        <w:t xml:space="preserve">“The reference in paragraph 10 to </w:t>
      </w:r>
      <w:r w:rsidR="000728E6" w:rsidRPr="001D767D">
        <w:rPr>
          <w:rFonts w:ascii="Times New Roman" w:hAnsi="Times New Roman" w:cs="Times New Roman"/>
          <w:sz w:val="20"/>
          <w:szCs w:val="20"/>
        </w:rPr>
        <w:t>‘</w:t>
      </w:r>
      <w:r w:rsidRPr="001D767D">
        <w:rPr>
          <w:rFonts w:ascii="Times New Roman" w:hAnsi="Times New Roman" w:cs="Times New Roman"/>
          <w:sz w:val="20"/>
          <w:szCs w:val="20"/>
        </w:rPr>
        <w:t>mutatis mutandis</w:t>
      </w:r>
      <w:r w:rsidR="000728E6" w:rsidRPr="001D767D">
        <w:rPr>
          <w:rFonts w:ascii="Times New Roman" w:hAnsi="Times New Roman" w:cs="Times New Roman"/>
          <w:sz w:val="20"/>
          <w:szCs w:val="20"/>
        </w:rPr>
        <w:t>’</w:t>
      </w:r>
      <w:r w:rsidRPr="001D767D">
        <w:rPr>
          <w:rFonts w:ascii="Times New Roman" w:hAnsi="Times New Roman" w:cs="Times New Roman"/>
          <w:sz w:val="20"/>
          <w:szCs w:val="20"/>
        </w:rPr>
        <w:t xml:space="preserve"> simply means </w:t>
      </w:r>
      <w:r w:rsidR="000728E6" w:rsidRPr="001D767D">
        <w:rPr>
          <w:rFonts w:ascii="Times New Roman" w:hAnsi="Times New Roman" w:cs="Times New Roman"/>
          <w:sz w:val="20"/>
          <w:szCs w:val="20"/>
        </w:rPr>
        <w:t>‘</w:t>
      </w:r>
      <w:r w:rsidRPr="001D767D">
        <w:rPr>
          <w:rFonts w:ascii="Times New Roman" w:hAnsi="Times New Roman" w:cs="Times New Roman"/>
          <w:sz w:val="20"/>
          <w:szCs w:val="20"/>
        </w:rPr>
        <w:t xml:space="preserve">with the necessary </w:t>
      </w:r>
      <w:proofErr w:type="gramStart"/>
      <w:r w:rsidRPr="001D767D">
        <w:rPr>
          <w:rFonts w:ascii="Times New Roman" w:hAnsi="Times New Roman" w:cs="Times New Roman"/>
          <w:sz w:val="20"/>
          <w:szCs w:val="20"/>
        </w:rPr>
        <w:t>changes</w:t>
      </w:r>
      <w:r w:rsidR="000728E6" w:rsidRPr="001D767D">
        <w:rPr>
          <w:rFonts w:ascii="Times New Roman" w:hAnsi="Times New Roman" w:cs="Times New Roman"/>
          <w:sz w:val="20"/>
          <w:szCs w:val="20"/>
        </w:rPr>
        <w:t>’</w:t>
      </w:r>
      <w:proofErr w:type="gramEnd"/>
      <w:r w:rsidRPr="001D767D">
        <w:rPr>
          <w:rFonts w:ascii="Times New Roman" w:hAnsi="Times New Roman" w:cs="Times New Roman"/>
          <w:sz w:val="20"/>
          <w:szCs w:val="20"/>
        </w:rPr>
        <w:t>. In other words, when applying the provisions of paragraphs 2 to 9 of article 6 to a reconsideration or an update of the operating conditions for an article 6 activity, the public authority applies those paragraphs with the necessary changes.”</w:t>
      </w:r>
      <w:r w:rsidRPr="001D767D">
        <w:rPr>
          <w:rFonts w:ascii="Times New Roman" w:hAnsi="Times New Roman"/>
          <w:sz w:val="20"/>
          <w:vertAlign w:val="superscript"/>
        </w:rPr>
        <w:footnoteReference w:id="80"/>
      </w:r>
    </w:p>
    <w:p w14:paraId="149A6A6D" w14:textId="2962BCF4" w:rsidR="004443FA" w:rsidRPr="001D767D" w:rsidRDefault="004443FA" w:rsidP="003167D6">
      <w:pPr>
        <w:tabs>
          <w:tab w:val="right" w:pos="993"/>
          <w:tab w:val="left" w:pos="1080"/>
        </w:tabs>
        <w:spacing w:after="120" w:line="240" w:lineRule="atLeast"/>
        <w:ind w:left="540" w:right="-1"/>
        <w:jc w:val="both"/>
        <w:rPr>
          <w:rFonts w:asciiTheme="majorBidi" w:eastAsia="Times New Roman" w:hAnsiTheme="majorBidi" w:cstheme="majorBidi"/>
          <w:i/>
          <w:iCs/>
          <w:sz w:val="20"/>
          <w:szCs w:val="20"/>
        </w:rPr>
      </w:pPr>
      <w:r w:rsidRPr="001D767D">
        <w:rPr>
          <w:rFonts w:asciiTheme="majorBidi" w:hAnsiTheme="majorBidi" w:cstheme="majorBidi"/>
          <w:i/>
          <w:iCs/>
          <w:sz w:val="20"/>
          <w:szCs w:val="20"/>
        </w:rPr>
        <w:t>(ii) Where appropriate</w:t>
      </w:r>
    </w:p>
    <w:p w14:paraId="1B0FBE06" w14:textId="359F8B53" w:rsidR="004443FA" w:rsidRPr="001D767D" w:rsidRDefault="00E71F36" w:rsidP="00784840">
      <w:pPr>
        <w:numPr>
          <w:ilvl w:val="0"/>
          <w:numId w:val="2"/>
        </w:numPr>
        <w:tabs>
          <w:tab w:val="right" w:pos="993"/>
          <w:tab w:val="left" w:pos="1080"/>
        </w:tabs>
        <w:spacing w:after="120" w:line="240" w:lineRule="atLeast"/>
        <w:ind w:left="540" w:right="-1" w:firstLine="0"/>
        <w:jc w:val="both"/>
        <w:rPr>
          <w:rFonts w:asciiTheme="majorBidi" w:hAnsiTheme="majorBidi"/>
          <w:sz w:val="20"/>
        </w:rPr>
      </w:pPr>
      <w:bookmarkStart w:id="28" w:name="_Ref8246432"/>
      <w:r w:rsidRPr="001D767D">
        <w:rPr>
          <w:rFonts w:asciiTheme="majorBidi" w:hAnsiTheme="majorBidi" w:cstheme="majorBidi"/>
          <w:sz w:val="20"/>
          <w:szCs w:val="20"/>
        </w:rPr>
        <w:t>With respect to “where appropriate”,</w:t>
      </w:r>
      <w:r w:rsidRPr="001D767D">
        <w:rPr>
          <w:rFonts w:asciiTheme="majorBidi" w:hAnsiTheme="majorBidi"/>
          <w:sz w:val="20"/>
        </w:rPr>
        <w:t xml:space="preserve"> the Committee recalls </w:t>
      </w:r>
      <w:r w:rsidRPr="001D767D">
        <w:rPr>
          <w:rFonts w:asciiTheme="majorBidi" w:hAnsiTheme="majorBidi" w:cstheme="majorBidi"/>
          <w:sz w:val="20"/>
          <w:szCs w:val="20"/>
        </w:rPr>
        <w:t xml:space="preserve">that, in </w:t>
      </w:r>
      <w:r w:rsidRPr="001D767D">
        <w:rPr>
          <w:rFonts w:asciiTheme="majorBidi" w:hAnsiTheme="majorBidi"/>
          <w:sz w:val="20"/>
        </w:rPr>
        <w:t>its findings on communication ACCC/C/2009/41 (Slovakia</w:t>
      </w:r>
      <w:r w:rsidRPr="001D767D">
        <w:rPr>
          <w:rFonts w:asciiTheme="majorBidi" w:hAnsiTheme="majorBidi" w:cstheme="majorBidi"/>
          <w:sz w:val="20"/>
          <w:szCs w:val="20"/>
        </w:rPr>
        <w:t>),</w:t>
      </w:r>
      <w:r w:rsidRPr="001D767D">
        <w:rPr>
          <w:rFonts w:asciiTheme="majorBidi" w:hAnsiTheme="majorBidi"/>
          <w:sz w:val="20"/>
        </w:rPr>
        <w:t xml:space="preserve"> it held that</w:t>
      </w:r>
      <w:r w:rsidRPr="001D767D">
        <w:rPr>
          <w:rFonts w:asciiTheme="majorBidi" w:hAnsiTheme="majorBidi" w:cstheme="majorBidi"/>
          <w:sz w:val="20"/>
          <w:szCs w:val="20"/>
        </w:rPr>
        <w:t xml:space="preserve">, </w:t>
      </w:r>
      <w:r w:rsidRPr="001D767D">
        <w:rPr>
          <w:rFonts w:asciiTheme="majorBidi" w:hAnsiTheme="majorBidi"/>
          <w:sz w:val="20"/>
        </w:rPr>
        <w:t xml:space="preserve">although each Party </w:t>
      </w:r>
      <w:r w:rsidRPr="001D767D">
        <w:rPr>
          <w:rFonts w:asciiTheme="majorBidi" w:hAnsiTheme="majorBidi" w:cstheme="majorBidi"/>
          <w:sz w:val="20"/>
          <w:szCs w:val="20"/>
        </w:rPr>
        <w:t>had</w:t>
      </w:r>
      <w:r w:rsidRPr="001D767D">
        <w:rPr>
          <w:rFonts w:asciiTheme="majorBidi" w:hAnsiTheme="majorBidi"/>
          <w:sz w:val="20"/>
        </w:rPr>
        <w:t xml:space="preserve"> some discretion </w:t>
      </w:r>
      <w:r w:rsidRPr="001D767D">
        <w:rPr>
          <w:rFonts w:asciiTheme="majorBidi" w:hAnsiTheme="majorBidi" w:cstheme="majorBidi"/>
          <w:sz w:val="20"/>
          <w:szCs w:val="20"/>
        </w:rPr>
        <w:t>under article 6</w:t>
      </w:r>
      <w:r w:rsidR="004443FA" w:rsidRPr="001D767D">
        <w:rPr>
          <w:rFonts w:asciiTheme="majorBidi" w:hAnsiTheme="majorBidi" w:cstheme="majorBidi"/>
          <w:sz w:val="20"/>
          <w:szCs w:val="20"/>
        </w:rPr>
        <w:t>(</w:t>
      </w:r>
      <w:r w:rsidRPr="001D767D">
        <w:rPr>
          <w:rFonts w:asciiTheme="majorBidi" w:hAnsiTheme="majorBidi" w:cstheme="majorBidi"/>
          <w:sz w:val="20"/>
          <w:szCs w:val="20"/>
        </w:rPr>
        <w:t>10</w:t>
      </w:r>
      <w:r w:rsidR="004443FA" w:rsidRPr="001D767D">
        <w:rPr>
          <w:rFonts w:asciiTheme="majorBidi" w:hAnsiTheme="majorBidi" w:cstheme="majorBidi"/>
          <w:sz w:val="20"/>
          <w:szCs w:val="20"/>
        </w:rPr>
        <w:t>)</w:t>
      </w:r>
      <w:r w:rsidRPr="001D767D">
        <w:rPr>
          <w:rFonts w:asciiTheme="majorBidi" w:hAnsiTheme="majorBidi" w:cstheme="majorBidi"/>
          <w:sz w:val="20"/>
          <w:szCs w:val="20"/>
        </w:rPr>
        <w:t>, that did</w:t>
      </w:r>
      <w:r w:rsidRPr="001D767D">
        <w:rPr>
          <w:rFonts w:asciiTheme="majorBidi" w:hAnsiTheme="majorBidi"/>
          <w:sz w:val="20"/>
        </w:rPr>
        <w:t xml:space="preserve"> not imply complete discretion for the Party concerned to determine whether or not it was appropriate to provide for public participation.</w:t>
      </w:r>
      <w:r w:rsidR="004443FA" w:rsidRPr="001D767D">
        <w:rPr>
          <w:rStyle w:val="FootnoteReference"/>
          <w:rFonts w:asciiTheme="majorBidi" w:hAnsiTheme="majorBidi"/>
          <w:sz w:val="20"/>
        </w:rPr>
        <w:footnoteReference w:id="81"/>
      </w:r>
      <w:r w:rsidRPr="001D767D">
        <w:rPr>
          <w:rFonts w:asciiTheme="majorBidi" w:hAnsiTheme="majorBidi"/>
          <w:sz w:val="20"/>
        </w:rPr>
        <w:t xml:space="preserve"> In </w:t>
      </w:r>
      <w:r w:rsidRPr="001D767D">
        <w:rPr>
          <w:rFonts w:asciiTheme="majorBidi" w:hAnsiTheme="majorBidi" w:cstheme="majorBidi"/>
          <w:sz w:val="20"/>
          <w:szCs w:val="20"/>
        </w:rPr>
        <w:t>its</w:t>
      </w:r>
      <w:r w:rsidRPr="001D767D">
        <w:rPr>
          <w:rFonts w:asciiTheme="majorBidi" w:hAnsiTheme="majorBidi"/>
          <w:sz w:val="20"/>
        </w:rPr>
        <w:t xml:space="preserve"> findings</w:t>
      </w:r>
      <w:r w:rsidRPr="001D767D">
        <w:rPr>
          <w:rFonts w:asciiTheme="majorBidi" w:hAnsiTheme="majorBidi" w:cstheme="majorBidi"/>
          <w:sz w:val="20"/>
          <w:szCs w:val="20"/>
        </w:rPr>
        <w:t xml:space="preserve"> on communication ACCC/C/2013/99 (Spain),</w:t>
      </w:r>
      <w:r w:rsidRPr="001D767D">
        <w:rPr>
          <w:rFonts w:asciiTheme="majorBidi" w:hAnsiTheme="majorBidi"/>
          <w:sz w:val="20"/>
        </w:rPr>
        <w:t xml:space="preserve"> the Committee </w:t>
      </w:r>
      <w:r w:rsidRPr="001D767D">
        <w:rPr>
          <w:rFonts w:asciiTheme="majorBidi" w:hAnsiTheme="majorBidi" w:cstheme="majorBidi"/>
          <w:sz w:val="20"/>
          <w:szCs w:val="20"/>
        </w:rPr>
        <w:t>stated</w:t>
      </w:r>
      <w:r w:rsidRPr="001D767D">
        <w:rPr>
          <w:rFonts w:asciiTheme="majorBidi" w:hAnsiTheme="majorBidi"/>
          <w:sz w:val="20"/>
        </w:rPr>
        <w:t xml:space="preserve"> that the </w:t>
      </w:r>
      <w:r w:rsidRPr="001D767D">
        <w:rPr>
          <w:rFonts w:asciiTheme="majorBidi" w:hAnsiTheme="majorBidi" w:cstheme="majorBidi"/>
          <w:sz w:val="20"/>
          <w:szCs w:val="20"/>
        </w:rPr>
        <w:t>discretion as to the “appropriateness”</w:t>
      </w:r>
      <w:r w:rsidRPr="001D767D">
        <w:rPr>
          <w:rFonts w:asciiTheme="majorBidi" w:hAnsiTheme="majorBidi"/>
          <w:sz w:val="20"/>
        </w:rPr>
        <w:t xml:space="preserve"> of the </w:t>
      </w:r>
      <w:r w:rsidRPr="001D767D">
        <w:rPr>
          <w:rFonts w:asciiTheme="majorBidi" w:hAnsiTheme="majorBidi" w:cstheme="majorBidi"/>
          <w:sz w:val="20"/>
          <w:szCs w:val="20"/>
        </w:rPr>
        <w:t>application of the provisions of paragraphs 2 to 9 of article 6</w:t>
      </w:r>
      <w:r w:rsidRPr="001D767D">
        <w:rPr>
          <w:rFonts w:asciiTheme="majorBidi" w:hAnsiTheme="majorBidi"/>
          <w:sz w:val="20"/>
        </w:rPr>
        <w:t xml:space="preserve"> of the Convention </w:t>
      </w:r>
      <w:r w:rsidRPr="001D767D">
        <w:rPr>
          <w:rFonts w:asciiTheme="majorBidi" w:hAnsiTheme="majorBidi" w:cstheme="majorBidi"/>
          <w:sz w:val="20"/>
          <w:szCs w:val="20"/>
        </w:rPr>
        <w:t xml:space="preserve">had to be considered to be even more limited if the update in the operating conditions might itself have </w:t>
      </w:r>
      <w:r w:rsidRPr="001D767D">
        <w:rPr>
          <w:rFonts w:asciiTheme="majorBidi" w:hAnsiTheme="majorBidi"/>
          <w:sz w:val="20"/>
        </w:rPr>
        <w:t xml:space="preserve">a </w:t>
      </w:r>
      <w:r w:rsidRPr="001D767D">
        <w:rPr>
          <w:rFonts w:asciiTheme="majorBidi" w:hAnsiTheme="majorBidi" w:cstheme="majorBidi"/>
          <w:sz w:val="20"/>
          <w:szCs w:val="20"/>
        </w:rPr>
        <w:t>significant effect on the environment.</w:t>
      </w:r>
      <w:r w:rsidR="004443FA" w:rsidRPr="001D767D">
        <w:rPr>
          <w:rStyle w:val="FootnoteReference"/>
          <w:rFonts w:asciiTheme="majorBidi" w:hAnsiTheme="majorBidi" w:cstheme="majorBidi"/>
          <w:sz w:val="20"/>
          <w:szCs w:val="20"/>
        </w:rPr>
        <w:footnoteReference w:id="82"/>
      </w:r>
      <w:r w:rsidRPr="001D767D">
        <w:rPr>
          <w:rFonts w:asciiTheme="majorBidi" w:hAnsiTheme="majorBidi" w:cstheme="majorBidi"/>
          <w:sz w:val="20"/>
          <w:szCs w:val="20"/>
        </w:rPr>
        <w:t xml:space="preserve"> </w:t>
      </w:r>
      <w:r w:rsidR="004443FA" w:rsidRPr="001D767D">
        <w:rPr>
          <w:rFonts w:asciiTheme="majorBidi" w:hAnsiTheme="majorBidi" w:cstheme="majorBidi"/>
          <w:sz w:val="20"/>
          <w:szCs w:val="20"/>
        </w:rPr>
        <w:t>In its findings on communication ACCC/C/2014/104 (Netherlands),</w:t>
      </w:r>
      <w:r w:rsidR="004443FA" w:rsidRPr="001D767D">
        <w:rPr>
          <w:rFonts w:asciiTheme="majorBidi" w:hAnsiTheme="majorBidi"/>
          <w:sz w:val="20"/>
        </w:rPr>
        <w:t xml:space="preserve"> the Committee </w:t>
      </w:r>
      <w:r w:rsidR="004443FA" w:rsidRPr="001D767D">
        <w:rPr>
          <w:rFonts w:asciiTheme="majorBidi" w:hAnsiTheme="majorBidi" w:cstheme="majorBidi"/>
          <w:sz w:val="20"/>
          <w:szCs w:val="20"/>
        </w:rPr>
        <w:t>made clear that:</w:t>
      </w:r>
      <w:bookmarkEnd w:id="28"/>
      <w:r w:rsidR="004443FA" w:rsidRPr="001D767D">
        <w:rPr>
          <w:rFonts w:asciiTheme="majorBidi" w:hAnsiTheme="majorBidi" w:cstheme="majorBidi"/>
          <w:sz w:val="20"/>
          <w:szCs w:val="20"/>
        </w:rPr>
        <w:t xml:space="preserve"> </w:t>
      </w:r>
    </w:p>
    <w:p w14:paraId="16FE2438" w14:textId="48FB5C2E" w:rsidR="004443FA" w:rsidRPr="001D767D" w:rsidRDefault="004443FA" w:rsidP="003167D6">
      <w:pPr>
        <w:tabs>
          <w:tab w:val="right" w:pos="993"/>
          <w:tab w:val="left" w:pos="1080"/>
        </w:tabs>
        <w:spacing w:after="120" w:line="240" w:lineRule="atLeast"/>
        <w:ind w:left="993" w:right="-1"/>
        <w:jc w:val="both"/>
        <w:rPr>
          <w:rFonts w:asciiTheme="majorBidi" w:hAnsiTheme="majorBidi" w:cstheme="majorBidi"/>
          <w:sz w:val="20"/>
          <w:szCs w:val="20"/>
        </w:rPr>
      </w:pPr>
      <w:r w:rsidRPr="001D767D">
        <w:rPr>
          <w:rFonts w:asciiTheme="majorBidi" w:hAnsiTheme="majorBidi" w:cstheme="majorBidi"/>
          <w:sz w:val="20"/>
          <w:szCs w:val="20"/>
        </w:rPr>
        <w:t>“</w:t>
      </w:r>
      <w:r w:rsidR="00E71F36" w:rsidRPr="001D767D">
        <w:rPr>
          <w:rFonts w:asciiTheme="majorBidi" w:hAnsiTheme="majorBidi" w:cstheme="majorBidi"/>
          <w:sz w:val="20"/>
          <w:szCs w:val="20"/>
        </w:rPr>
        <w:t>except in cases where a change to the permitted duration is for a minimal time and obviously would have insignificant or no effects on the environment, it is appropriate for extensions of duration to be subject to the provisions of article 6.</w:t>
      </w:r>
      <w:r w:rsidRPr="001D767D">
        <w:rPr>
          <w:rFonts w:asciiTheme="majorBidi" w:hAnsiTheme="majorBidi" w:cstheme="majorBidi"/>
          <w:sz w:val="20"/>
          <w:szCs w:val="20"/>
        </w:rPr>
        <w:t>”</w:t>
      </w:r>
      <w:r w:rsidR="004A71D0" w:rsidRPr="001D767D">
        <w:rPr>
          <w:rStyle w:val="FootnoteReference"/>
          <w:rFonts w:asciiTheme="majorBidi" w:hAnsiTheme="majorBidi" w:cstheme="majorBidi"/>
          <w:sz w:val="20"/>
          <w:szCs w:val="20"/>
        </w:rPr>
        <w:footnoteReference w:id="83"/>
      </w:r>
      <w:r w:rsidR="00E71F36" w:rsidRPr="001D767D">
        <w:rPr>
          <w:rFonts w:asciiTheme="majorBidi" w:hAnsiTheme="majorBidi" w:cstheme="majorBidi"/>
          <w:sz w:val="20"/>
          <w:szCs w:val="20"/>
        </w:rPr>
        <w:t xml:space="preserve"> </w:t>
      </w:r>
    </w:p>
    <w:p w14:paraId="6FB7FF2C" w14:textId="77C2672A" w:rsidR="0072276D" w:rsidRPr="001D767D" w:rsidRDefault="005601DD" w:rsidP="005C5637">
      <w:pPr>
        <w:numPr>
          <w:ilvl w:val="0"/>
          <w:numId w:val="2"/>
        </w:numPr>
        <w:tabs>
          <w:tab w:val="right" w:pos="993"/>
          <w:tab w:val="left" w:pos="1080"/>
        </w:tabs>
        <w:spacing w:after="120" w:line="240" w:lineRule="atLeast"/>
        <w:ind w:left="540" w:right="-1" w:firstLine="0"/>
        <w:jc w:val="both"/>
        <w:rPr>
          <w:rFonts w:ascii="Times New Roman" w:eastAsia="Times New Roman" w:hAnsi="Times New Roman" w:cs="Times New Roman"/>
          <w:sz w:val="20"/>
          <w:szCs w:val="20"/>
        </w:rPr>
      </w:pPr>
      <w:r w:rsidRPr="001D767D">
        <w:rPr>
          <w:rFonts w:ascii="Times New Roman" w:eastAsia="Times New Roman" w:hAnsi="Times New Roman" w:cs="Times New Roman"/>
          <w:sz w:val="20"/>
          <w:szCs w:val="20"/>
        </w:rPr>
        <w:t>It is clear to t</w:t>
      </w:r>
      <w:r w:rsidR="004A71D0" w:rsidRPr="001D767D">
        <w:rPr>
          <w:rFonts w:ascii="Times New Roman" w:eastAsia="Times New Roman" w:hAnsi="Times New Roman" w:cs="Times New Roman"/>
          <w:sz w:val="20"/>
          <w:szCs w:val="20"/>
        </w:rPr>
        <w:t xml:space="preserve">he Committee </w:t>
      </w:r>
      <w:bookmarkStart w:id="29" w:name="_Ref3216863"/>
      <w:r w:rsidR="001645DF" w:rsidRPr="001D767D">
        <w:rPr>
          <w:rFonts w:ascii="Times New Roman" w:eastAsia="Times New Roman" w:hAnsi="Times New Roman" w:cs="Times New Roman"/>
          <w:sz w:val="20"/>
          <w:szCs w:val="20"/>
        </w:rPr>
        <w:t>that an</w:t>
      </w:r>
      <w:r w:rsidR="00421E6F" w:rsidRPr="001D767D">
        <w:rPr>
          <w:rFonts w:ascii="Times New Roman" w:eastAsia="Times New Roman" w:hAnsi="Times New Roman" w:cs="Times New Roman"/>
          <w:sz w:val="20"/>
          <w:szCs w:val="20"/>
        </w:rPr>
        <w:t xml:space="preserve"> extension of an activity’s duration by five years is by no means minimal</w:t>
      </w:r>
      <w:r w:rsidR="001645DF" w:rsidRPr="001D767D">
        <w:rPr>
          <w:rFonts w:ascii="Times New Roman" w:eastAsia="Times New Roman" w:hAnsi="Times New Roman" w:cs="Times New Roman"/>
          <w:sz w:val="20"/>
          <w:szCs w:val="20"/>
        </w:rPr>
        <w:t>.</w:t>
      </w:r>
      <w:r w:rsidRPr="001D767D">
        <w:rPr>
          <w:rFonts w:ascii="Times New Roman" w:hAnsi="Times New Roman"/>
          <w:sz w:val="20"/>
          <w:vertAlign w:val="superscript"/>
        </w:rPr>
        <w:footnoteReference w:id="84"/>
      </w:r>
      <w:r w:rsidR="001645DF" w:rsidRPr="001D767D">
        <w:rPr>
          <w:rFonts w:ascii="Times New Roman" w:eastAsia="Times New Roman" w:hAnsi="Times New Roman" w:cs="Times New Roman"/>
          <w:sz w:val="20"/>
          <w:szCs w:val="20"/>
        </w:rPr>
        <w:t xml:space="preserve"> </w:t>
      </w:r>
      <w:bookmarkStart w:id="30" w:name="_Ref8246434"/>
      <w:bookmarkEnd w:id="29"/>
      <w:r w:rsidR="0072276D" w:rsidRPr="001D767D">
        <w:rPr>
          <w:rFonts w:ascii="Times New Roman" w:eastAsia="Times New Roman" w:hAnsi="Times New Roman" w:cs="Times New Roman"/>
          <w:sz w:val="20"/>
          <w:szCs w:val="20"/>
        </w:rPr>
        <w:t xml:space="preserve">In this regard, the Committee cannot agree with the submission by the Party concerned that no change in the operating conditions </w:t>
      </w:r>
      <w:r w:rsidR="00436293" w:rsidRPr="001D767D">
        <w:rPr>
          <w:rFonts w:ascii="Times New Roman" w:eastAsia="Times New Roman" w:hAnsi="Times New Roman" w:cs="Times New Roman"/>
          <w:sz w:val="20"/>
          <w:szCs w:val="20"/>
        </w:rPr>
        <w:t xml:space="preserve">of the quarry </w:t>
      </w:r>
      <w:r w:rsidR="0072276D" w:rsidRPr="001D767D">
        <w:rPr>
          <w:rFonts w:ascii="Times New Roman" w:eastAsia="Times New Roman" w:hAnsi="Times New Roman" w:cs="Times New Roman"/>
          <w:sz w:val="20"/>
          <w:szCs w:val="20"/>
        </w:rPr>
        <w:t xml:space="preserve">took place and that, therefore, there was no need </w:t>
      </w:r>
      <w:r w:rsidR="00ED3C5C" w:rsidRPr="001D767D">
        <w:rPr>
          <w:rFonts w:ascii="Times New Roman" w:eastAsia="Times New Roman" w:hAnsi="Times New Roman" w:cs="Times New Roman"/>
          <w:sz w:val="20"/>
          <w:szCs w:val="20"/>
        </w:rPr>
        <w:t xml:space="preserve">for </w:t>
      </w:r>
      <w:r w:rsidR="0072276D" w:rsidRPr="001D767D">
        <w:rPr>
          <w:rFonts w:ascii="Times New Roman" w:hAnsi="Times New Roman"/>
          <w:sz w:val="20"/>
        </w:rPr>
        <w:t xml:space="preserve">further </w:t>
      </w:r>
      <w:r w:rsidR="0072276D" w:rsidRPr="001D767D">
        <w:rPr>
          <w:rFonts w:ascii="Times New Roman" w:eastAsia="Times New Roman" w:hAnsi="Times New Roman" w:cs="Times New Roman"/>
          <w:sz w:val="20"/>
          <w:szCs w:val="20"/>
        </w:rPr>
        <w:t xml:space="preserve">public </w:t>
      </w:r>
      <w:r w:rsidR="00735759" w:rsidRPr="001D767D">
        <w:rPr>
          <w:rFonts w:ascii="Times New Roman" w:eastAsia="Times New Roman" w:hAnsi="Times New Roman" w:cs="Times New Roman"/>
          <w:sz w:val="20"/>
          <w:szCs w:val="20"/>
        </w:rPr>
        <w:t>participation</w:t>
      </w:r>
      <w:r w:rsidR="0072276D" w:rsidRPr="001D767D">
        <w:rPr>
          <w:rFonts w:ascii="Times New Roman" w:eastAsia="Times New Roman" w:hAnsi="Times New Roman" w:cs="Times New Roman"/>
          <w:sz w:val="20"/>
          <w:szCs w:val="20"/>
        </w:rPr>
        <w:t>.</w:t>
      </w:r>
      <w:r w:rsidRPr="001D767D" w:rsidDel="005601DD">
        <w:rPr>
          <w:rFonts w:ascii="Times New Roman" w:hAnsi="Times New Roman"/>
          <w:sz w:val="20"/>
          <w:vertAlign w:val="superscript"/>
        </w:rPr>
        <w:t xml:space="preserve"> </w:t>
      </w:r>
      <w:bookmarkEnd w:id="30"/>
    </w:p>
    <w:p w14:paraId="532FC8C4" w14:textId="2F7D5CD7" w:rsidR="009D36B0" w:rsidRPr="001D767D" w:rsidRDefault="00897AB8" w:rsidP="00784840">
      <w:pPr>
        <w:numPr>
          <w:ilvl w:val="0"/>
          <w:numId w:val="2"/>
        </w:numPr>
        <w:tabs>
          <w:tab w:val="right" w:pos="993"/>
          <w:tab w:val="left" w:pos="1080"/>
        </w:tabs>
        <w:spacing w:after="120" w:line="240" w:lineRule="atLeast"/>
        <w:ind w:left="540" w:right="-1" w:firstLine="0"/>
        <w:jc w:val="both"/>
        <w:rPr>
          <w:rFonts w:ascii="Times New Roman" w:eastAsia="Times New Roman" w:hAnsi="Times New Roman" w:cs="Times New Roman"/>
          <w:sz w:val="20"/>
          <w:szCs w:val="20"/>
        </w:rPr>
      </w:pPr>
      <w:r w:rsidRPr="001D767D">
        <w:rPr>
          <w:rFonts w:ascii="Times New Roman" w:eastAsia="Times New Roman" w:hAnsi="Times New Roman" w:cs="Times New Roman"/>
          <w:sz w:val="20"/>
          <w:szCs w:val="20"/>
        </w:rPr>
        <w:t>Moreover</w:t>
      </w:r>
      <w:r w:rsidR="00FC1568" w:rsidRPr="001D767D">
        <w:rPr>
          <w:rFonts w:ascii="Times New Roman" w:eastAsia="Times New Roman" w:hAnsi="Times New Roman" w:cs="Times New Roman"/>
          <w:sz w:val="20"/>
          <w:szCs w:val="20"/>
        </w:rPr>
        <w:t xml:space="preserve">, the Committee </w:t>
      </w:r>
      <w:r w:rsidR="00D752AC" w:rsidRPr="001D767D">
        <w:rPr>
          <w:rFonts w:ascii="Times New Roman" w:eastAsia="Times New Roman" w:hAnsi="Times New Roman" w:cs="Times New Roman"/>
          <w:sz w:val="20"/>
          <w:szCs w:val="20"/>
        </w:rPr>
        <w:t>does not find tenable</w:t>
      </w:r>
      <w:r w:rsidR="00FC1568" w:rsidRPr="001D767D">
        <w:rPr>
          <w:rFonts w:ascii="Times New Roman" w:eastAsia="Times New Roman" w:hAnsi="Times New Roman" w:cs="Times New Roman"/>
          <w:sz w:val="20"/>
          <w:szCs w:val="20"/>
        </w:rPr>
        <w:t xml:space="preserve"> the argument put forward by the Party concerned that the </w:t>
      </w:r>
      <w:r w:rsidR="00D752AC" w:rsidRPr="001D767D">
        <w:rPr>
          <w:rFonts w:ascii="Times New Roman" w:eastAsia="Times New Roman" w:hAnsi="Times New Roman" w:cs="Times New Roman"/>
          <w:sz w:val="20"/>
          <w:szCs w:val="20"/>
        </w:rPr>
        <w:t xml:space="preserve">public could have </w:t>
      </w:r>
      <w:r w:rsidR="00FC1568" w:rsidRPr="001D767D">
        <w:rPr>
          <w:rFonts w:ascii="Times New Roman" w:eastAsia="Times New Roman" w:hAnsi="Times New Roman" w:cs="Times New Roman"/>
          <w:sz w:val="20"/>
          <w:szCs w:val="20"/>
        </w:rPr>
        <w:t>submit</w:t>
      </w:r>
      <w:r w:rsidR="00D752AC" w:rsidRPr="001D767D">
        <w:rPr>
          <w:rFonts w:ascii="Times New Roman" w:eastAsia="Times New Roman" w:hAnsi="Times New Roman" w:cs="Times New Roman"/>
          <w:sz w:val="20"/>
          <w:szCs w:val="20"/>
        </w:rPr>
        <w:t>ted</w:t>
      </w:r>
      <w:r w:rsidR="00FC1568" w:rsidRPr="001D767D">
        <w:rPr>
          <w:rFonts w:ascii="Times New Roman" w:eastAsia="Times New Roman" w:hAnsi="Times New Roman" w:cs="Times New Roman"/>
          <w:sz w:val="20"/>
          <w:szCs w:val="20"/>
        </w:rPr>
        <w:t xml:space="preserve"> </w:t>
      </w:r>
      <w:r w:rsidR="0072276D" w:rsidRPr="001D767D">
        <w:rPr>
          <w:rFonts w:ascii="Times New Roman" w:eastAsia="Times New Roman" w:hAnsi="Times New Roman" w:cs="Times New Roman"/>
          <w:sz w:val="20"/>
          <w:szCs w:val="20"/>
        </w:rPr>
        <w:t xml:space="preserve">its </w:t>
      </w:r>
      <w:r w:rsidR="00FC1568" w:rsidRPr="001D767D">
        <w:rPr>
          <w:rFonts w:ascii="Times New Roman" w:eastAsia="Times New Roman" w:hAnsi="Times New Roman" w:cs="Times New Roman"/>
          <w:sz w:val="20"/>
          <w:szCs w:val="20"/>
        </w:rPr>
        <w:t xml:space="preserve">views on the possible impact on the environment of </w:t>
      </w:r>
      <w:r w:rsidR="0072276D" w:rsidRPr="001D767D">
        <w:rPr>
          <w:rFonts w:ascii="Times New Roman" w:eastAsia="Times New Roman" w:hAnsi="Times New Roman" w:cs="Times New Roman"/>
          <w:sz w:val="20"/>
          <w:szCs w:val="20"/>
        </w:rPr>
        <w:t>an</w:t>
      </w:r>
      <w:r w:rsidR="00FC1568" w:rsidRPr="001D767D">
        <w:rPr>
          <w:rFonts w:ascii="Times New Roman" w:eastAsia="Times New Roman" w:hAnsi="Times New Roman" w:cs="Times New Roman"/>
          <w:sz w:val="20"/>
          <w:szCs w:val="20"/>
        </w:rPr>
        <w:t xml:space="preserve"> extension of the </w:t>
      </w:r>
      <w:r w:rsidR="00436293" w:rsidRPr="001D767D">
        <w:rPr>
          <w:rFonts w:ascii="Times New Roman" w:eastAsia="Times New Roman" w:hAnsi="Times New Roman" w:cs="Times New Roman"/>
          <w:sz w:val="20"/>
          <w:szCs w:val="20"/>
        </w:rPr>
        <w:t>activity’s</w:t>
      </w:r>
      <w:r w:rsidR="0072276D" w:rsidRPr="001D767D">
        <w:rPr>
          <w:rFonts w:ascii="Times New Roman" w:eastAsia="Times New Roman" w:hAnsi="Times New Roman" w:cs="Times New Roman"/>
          <w:sz w:val="20"/>
          <w:szCs w:val="20"/>
        </w:rPr>
        <w:t xml:space="preserve"> duration at the time of the </w:t>
      </w:r>
      <w:r w:rsidR="00E54EC0" w:rsidRPr="001D767D">
        <w:rPr>
          <w:rFonts w:ascii="Times New Roman" w:eastAsia="Times New Roman" w:hAnsi="Times New Roman" w:cs="Times New Roman"/>
          <w:sz w:val="20"/>
          <w:szCs w:val="20"/>
        </w:rPr>
        <w:t xml:space="preserve">public participation </w:t>
      </w:r>
      <w:r w:rsidR="00E54EC0" w:rsidRPr="001D767D">
        <w:rPr>
          <w:rFonts w:ascii="Times New Roman" w:eastAsia="Times New Roman" w:hAnsi="Times New Roman" w:cs="Times New Roman"/>
          <w:sz w:val="20"/>
          <w:szCs w:val="20"/>
        </w:rPr>
        <w:lastRenderedPageBreak/>
        <w:t>procedures in 1997, 2004 and 2010</w:t>
      </w:r>
      <w:r w:rsidR="00FC1568" w:rsidRPr="001D767D">
        <w:rPr>
          <w:rFonts w:ascii="Times New Roman" w:eastAsia="Times New Roman" w:hAnsi="Times New Roman" w:cs="Times New Roman"/>
          <w:sz w:val="20"/>
          <w:szCs w:val="20"/>
        </w:rPr>
        <w:t>.</w:t>
      </w:r>
      <w:r w:rsidR="00E54EC0" w:rsidRPr="001D767D">
        <w:rPr>
          <w:rStyle w:val="FootnoteReference"/>
          <w:rFonts w:ascii="Times New Roman" w:eastAsia="Times New Roman" w:hAnsi="Times New Roman" w:cs="Times New Roman"/>
          <w:sz w:val="20"/>
          <w:szCs w:val="20"/>
        </w:rPr>
        <w:footnoteReference w:id="85"/>
      </w:r>
      <w:r w:rsidR="0072276D" w:rsidRPr="001D767D">
        <w:rPr>
          <w:rFonts w:ascii="Times New Roman" w:eastAsia="Times New Roman" w:hAnsi="Times New Roman" w:cs="Times New Roman"/>
          <w:sz w:val="20"/>
          <w:szCs w:val="20"/>
        </w:rPr>
        <w:t xml:space="preserve"> The Party concerned has provided no evidence that prior to the grant of the </w:t>
      </w:r>
      <w:r w:rsidR="00392CE4" w:rsidRPr="001D767D">
        <w:rPr>
          <w:rFonts w:ascii="Times New Roman" w:eastAsia="Times New Roman" w:hAnsi="Times New Roman" w:cs="Times New Roman"/>
          <w:sz w:val="20"/>
          <w:szCs w:val="20"/>
        </w:rPr>
        <w:t xml:space="preserve">quarry </w:t>
      </w:r>
      <w:r w:rsidR="0072276D" w:rsidRPr="001D767D">
        <w:rPr>
          <w:rFonts w:ascii="Times New Roman" w:eastAsia="Times New Roman" w:hAnsi="Times New Roman" w:cs="Times New Roman"/>
          <w:sz w:val="20"/>
          <w:szCs w:val="20"/>
        </w:rPr>
        <w:t xml:space="preserve">permits in </w:t>
      </w:r>
      <w:r w:rsidR="00E54EC0" w:rsidRPr="001D767D">
        <w:rPr>
          <w:rFonts w:ascii="Times New Roman" w:eastAsia="Times New Roman" w:hAnsi="Times New Roman" w:cs="Times New Roman"/>
          <w:sz w:val="20"/>
          <w:szCs w:val="20"/>
        </w:rPr>
        <w:t>199</w:t>
      </w:r>
      <w:r w:rsidR="003167D6" w:rsidRPr="001D767D">
        <w:rPr>
          <w:rFonts w:ascii="Times New Roman" w:eastAsia="Times New Roman" w:hAnsi="Times New Roman" w:cs="Times New Roman"/>
          <w:sz w:val="20"/>
          <w:szCs w:val="20"/>
        </w:rPr>
        <w:t>8</w:t>
      </w:r>
      <w:r w:rsidR="00E54EC0" w:rsidRPr="001D767D">
        <w:rPr>
          <w:rFonts w:ascii="Times New Roman" w:eastAsia="Times New Roman" w:hAnsi="Times New Roman" w:cs="Times New Roman"/>
          <w:sz w:val="20"/>
          <w:szCs w:val="20"/>
        </w:rPr>
        <w:t xml:space="preserve">, </w:t>
      </w:r>
      <w:r w:rsidR="0072276D" w:rsidRPr="001D767D">
        <w:rPr>
          <w:rFonts w:ascii="Times New Roman" w:eastAsia="Times New Roman" w:hAnsi="Times New Roman" w:cs="Times New Roman"/>
          <w:sz w:val="20"/>
          <w:szCs w:val="20"/>
        </w:rPr>
        <w:t xml:space="preserve">2004 and 2010 the public was notified of a possibility that in 2013 the permits may be extended for a further </w:t>
      </w:r>
      <w:r w:rsidR="003014BC" w:rsidRPr="001D767D">
        <w:rPr>
          <w:rFonts w:ascii="Times New Roman" w:eastAsia="Times New Roman" w:hAnsi="Times New Roman" w:cs="Times New Roman"/>
          <w:sz w:val="20"/>
          <w:szCs w:val="20"/>
        </w:rPr>
        <w:t xml:space="preserve">period of </w:t>
      </w:r>
      <w:r w:rsidR="0072276D" w:rsidRPr="001D767D">
        <w:rPr>
          <w:rFonts w:ascii="Times New Roman" w:eastAsia="Times New Roman" w:hAnsi="Times New Roman" w:cs="Times New Roman"/>
          <w:sz w:val="20"/>
          <w:szCs w:val="20"/>
        </w:rPr>
        <w:t xml:space="preserve">five years. The Committee thus finds the Party </w:t>
      </w:r>
      <w:proofErr w:type="spellStart"/>
      <w:r w:rsidR="0072276D" w:rsidRPr="001D767D">
        <w:rPr>
          <w:rFonts w:ascii="Times New Roman" w:eastAsia="Times New Roman" w:hAnsi="Times New Roman" w:cs="Times New Roman"/>
          <w:sz w:val="20"/>
          <w:szCs w:val="20"/>
        </w:rPr>
        <w:t>concerned’s</w:t>
      </w:r>
      <w:proofErr w:type="spellEnd"/>
      <w:r w:rsidR="0072276D" w:rsidRPr="001D767D">
        <w:rPr>
          <w:rFonts w:ascii="Times New Roman" w:eastAsia="Times New Roman" w:hAnsi="Times New Roman" w:cs="Times New Roman"/>
          <w:sz w:val="20"/>
          <w:szCs w:val="20"/>
        </w:rPr>
        <w:t xml:space="preserve"> argument unsubstantiated.</w:t>
      </w:r>
    </w:p>
    <w:p w14:paraId="0CB1681E" w14:textId="1E2EEFE6" w:rsidR="00895738" w:rsidRPr="001D767D" w:rsidRDefault="00895738" w:rsidP="00784840">
      <w:pPr>
        <w:numPr>
          <w:ilvl w:val="0"/>
          <w:numId w:val="2"/>
        </w:numPr>
        <w:tabs>
          <w:tab w:val="right" w:pos="993"/>
          <w:tab w:val="left" w:pos="1080"/>
        </w:tabs>
        <w:spacing w:after="120" w:line="240" w:lineRule="atLeast"/>
        <w:ind w:left="540" w:right="-1" w:firstLine="0"/>
        <w:jc w:val="both"/>
        <w:rPr>
          <w:rFonts w:ascii="Times New Roman" w:eastAsia="Times New Roman" w:hAnsi="Times New Roman" w:cs="Times New Roman"/>
          <w:sz w:val="20"/>
          <w:szCs w:val="20"/>
        </w:rPr>
      </w:pPr>
      <w:bookmarkStart w:id="31" w:name="_Ref3213534"/>
      <w:r w:rsidRPr="001D767D">
        <w:rPr>
          <w:rFonts w:ascii="Times New Roman" w:eastAsia="Times New Roman" w:hAnsi="Times New Roman" w:cs="Times New Roman"/>
          <w:sz w:val="20"/>
          <w:szCs w:val="20"/>
        </w:rPr>
        <w:t>Based on the above, the Committee</w:t>
      </w:r>
      <w:r w:rsidR="00BD4153" w:rsidRPr="001D767D">
        <w:rPr>
          <w:rFonts w:ascii="Times New Roman" w:eastAsia="Times New Roman" w:hAnsi="Times New Roman" w:cs="Times New Roman"/>
          <w:sz w:val="20"/>
          <w:szCs w:val="20"/>
        </w:rPr>
        <w:t xml:space="preserve"> concludes that it was “appropriate”, and thus required, to apply the provisions of article 6(2)-(9) to the decision-making on the 2013 permits.</w:t>
      </w:r>
      <w:r w:rsidR="003F6930" w:rsidRPr="001D767D">
        <w:rPr>
          <w:rStyle w:val="FootnoteReference"/>
          <w:rFonts w:ascii="Times New Roman" w:eastAsia="Times New Roman" w:hAnsi="Times New Roman" w:cs="Times New Roman"/>
          <w:sz w:val="20"/>
          <w:szCs w:val="20"/>
        </w:rPr>
        <w:footnoteReference w:id="86"/>
      </w:r>
      <w:r w:rsidR="00BD4153" w:rsidRPr="001D767D">
        <w:rPr>
          <w:rFonts w:ascii="Times New Roman" w:eastAsia="Times New Roman" w:hAnsi="Times New Roman" w:cs="Times New Roman"/>
          <w:sz w:val="20"/>
          <w:szCs w:val="20"/>
        </w:rPr>
        <w:t xml:space="preserve"> The Committee accordingly</w:t>
      </w:r>
      <w:r w:rsidRPr="001D767D">
        <w:rPr>
          <w:rFonts w:ascii="Times New Roman" w:eastAsia="Times New Roman" w:hAnsi="Times New Roman" w:cs="Times New Roman"/>
          <w:sz w:val="20"/>
          <w:szCs w:val="20"/>
        </w:rPr>
        <w:t xml:space="preserve"> finds that, by failing to provide opportunities for the public to participate in the decision-making on the 2013 </w:t>
      </w:r>
      <w:r w:rsidR="003F33BD" w:rsidRPr="001D767D">
        <w:rPr>
          <w:rFonts w:ascii="Times New Roman" w:hAnsi="Times New Roman"/>
          <w:sz w:val="20"/>
        </w:rPr>
        <w:t>permits</w:t>
      </w:r>
      <w:r w:rsidR="003F33BD" w:rsidRPr="001D767D">
        <w:rPr>
          <w:rFonts w:ascii="Times New Roman" w:eastAsia="Times New Roman" w:hAnsi="Times New Roman" w:cs="Times New Roman"/>
          <w:sz w:val="20"/>
          <w:szCs w:val="20"/>
        </w:rPr>
        <w:t xml:space="preserve"> </w:t>
      </w:r>
      <w:r w:rsidRPr="001D767D">
        <w:rPr>
          <w:rFonts w:ascii="Times New Roman" w:eastAsia="Times New Roman" w:hAnsi="Times New Roman" w:cs="Times New Roman"/>
          <w:sz w:val="20"/>
          <w:szCs w:val="20"/>
        </w:rPr>
        <w:t>to extend the duration</w:t>
      </w:r>
      <w:r w:rsidR="005A3AF9" w:rsidRPr="001D767D">
        <w:rPr>
          <w:rFonts w:ascii="Times New Roman" w:eastAsia="Times New Roman" w:hAnsi="Times New Roman" w:cs="Times New Roman"/>
          <w:sz w:val="20"/>
          <w:szCs w:val="20"/>
        </w:rPr>
        <w:t xml:space="preserve"> of the </w:t>
      </w:r>
      <w:proofErr w:type="spellStart"/>
      <w:r w:rsidR="005A3AF9" w:rsidRPr="001D767D">
        <w:rPr>
          <w:rFonts w:ascii="Times New Roman" w:eastAsia="Times New Roman" w:hAnsi="Times New Roman" w:cs="Times New Roman"/>
          <w:sz w:val="20"/>
          <w:szCs w:val="20"/>
        </w:rPr>
        <w:t>Trammon</w:t>
      </w:r>
      <w:proofErr w:type="spellEnd"/>
      <w:r w:rsidR="005A3AF9" w:rsidRPr="001D767D">
        <w:rPr>
          <w:rFonts w:ascii="Times New Roman" w:eastAsia="Times New Roman" w:hAnsi="Times New Roman" w:cs="Times New Roman"/>
          <w:sz w:val="20"/>
          <w:szCs w:val="20"/>
        </w:rPr>
        <w:t xml:space="preserve"> quarry</w:t>
      </w:r>
      <w:r w:rsidRPr="001D767D">
        <w:rPr>
          <w:rFonts w:ascii="Times New Roman" w:eastAsia="Times New Roman" w:hAnsi="Times New Roman" w:cs="Times New Roman"/>
          <w:sz w:val="20"/>
          <w:szCs w:val="20"/>
        </w:rPr>
        <w:t>, the Party concerned has failed to comply with article 6</w:t>
      </w:r>
      <w:r w:rsidR="00392CE4" w:rsidRPr="001D767D">
        <w:rPr>
          <w:rFonts w:ascii="Times New Roman" w:eastAsia="Times New Roman" w:hAnsi="Times New Roman" w:cs="Times New Roman"/>
          <w:sz w:val="20"/>
          <w:szCs w:val="20"/>
        </w:rPr>
        <w:t>(</w:t>
      </w:r>
      <w:r w:rsidRPr="001D767D">
        <w:rPr>
          <w:rFonts w:ascii="Times New Roman" w:eastAsia="Times New Roman" w:hAnsi="Times New Roman" w:cs="Times New Roman"/>
          <w:sz w:val="20"/>
          <w:szCs w:val="20"/>
        </w:rPr>
        <w:t>10</w:t>
      </w:r>
      <w:r w:rsidR="00392CE4" w:rsidRPr="001D767D">
        <w:rPr>
          <w:rFonts w:ascii="Times New Roman" w:eastAsia="Times New Roman" w:hAnsi="Times New Roman" w:cs="Times New Roman"/>
          <w:sz w:val="20"/>
          <w:szCs w:val="20"/>
        </w:rPr>
        <w:t>)</w:t>
      </w:r>
      <w:r w:rsidRPr="001D767D">
        <w:rPr>
          <w:rFonts w:ascii="Times New Roman" w:eastAsia="Times New Roman" w:hAnsi="Times New Roman" w:cs="Times New Roman"/>
          <w:sz w:val="20"/>
          <w:szCs w:val="20"/>
        </w:rPr>
        <w:t xml:space="preserve"> of the Convention.</w:t>
      </w:r>
      <w:bookmarkEnd w:id="31"/>
    </w:p>
    <w:p w14:paraId="233C744F" w14:textId="43896505" w:rsidR="00C453FF" w:rsidRPr="001D767D" w:rsidRDefault="00C453FF" w:rsidP="00C453FF">
      <w:pPr>
        <w:tabs>
          <w:tab w:val="right" w:pos="993"/>
          <w:tab w:val="left" w:pos="1080"/>
        </w:tabs>
        <w:spacing w:after="120" w:line="240" w:lineRule="atLeast"/>
        <w:ind w:left="540" w:right="-1"/>
        <w:jc w:val="both"/>
        <w:rPr>
          <w:rFonts w:ascii="Times New Roman" w:eastAsia="Times New Roman" w:hAnsi="Times New Roman" w:cs="Times New Roman"/>
          <w:i/>
          <w:iCs/>
          <w:sz w:val="20"/>
          <w:szCs w:val="20"/>
        </w:rPr>
      </w:pPr>
      <w:r w:rsidRPr="001D767D">
        <w:rPr>
          <w:rFonts w:ascii="Times New Roman" w:eastAsia="Times New Roman" w:hAnsi="Times New Roman" w:cs="Times New Roman"/>
          <w:i/>
          <w:iCs/>
          <w:sz w:val="20"/>
          <w:szCs w:val="20"/>
        </w:rPr>
        <w:t xml:space="preserve">Legal framework of the Party concerned </w:t>
      </w:r>
    </w:p>
    <w:p w14:paraId="1A5EF56C" w14:textId="3EB4602C" w:rsidR="00F105E1" w:rsidRPr="001D767D" w:rsidRDefault="00F105E1" w:rsidP="00784840">
      <w:pPr>
        <w:numPr>
          <w:ilvl w:val="0"/>
          <w:numId w:val="2"/>
        </w:numPr>
        <w:tabs>
          <w:tab w:val="right" w:pos="993"/>
          <w:tab w:val="left" w:pos="1080"/>
        </w:tabs>
        <w:spacing w:after="120" w:line="240" w:lineRule="atLeast"/>
        <w:ind w:left="540" w:right="-1" w:firstLine="0"/>
        <w:jc w:val="both"/>
        <w:rPr>
          <w:rFonts w:ascii="Times New Roman" w:eastAsia="Times New Roman" w:hAnsi="Times New Roman" w:cs="Times New Roman"/>
          <w:sz w:val="20"/>
          <w:szCs w:val="20"/>
        </w:rPr>
      </w:pPr>
      <w:r w:rsidRPr="001D767D">
        <w:rPr>
          <w:rFonts w:ascii="Times New Roman" w:eastAsia="Times New Roman" w:hAnsi="Times New Roman" w:cs="Times New Roman"/>
          <w:sz w:val="20"/>
          <w:szCs w:val="20"/>
        </w:rPr>
        <w:t xml:space="preserve">The present communication concerns the extension under </w:t>
      </w:r>
      <w:r w:rsidR="00D36E9E" w:rsidRPr="001D767D">
        <w:rPr>
          <w:rFonts w:ascii="Times New Roman" w:eastAsia="Times New Roman" w:hAnsi="Times New Roman" w:cs="Times New Roman"/>
          <w:sz w:val="20"/>
          <w:szCs w:val="20"/>
        </w:rPr>
        <w:t>section</w:t>
      </w:r>
      <w:r w:rsidRPr="001D767D">
        <w:rPr>
          <w:rFonts w:ascii="Times New Roman" w:eastAsia="Times New Roman" w:hAnsi="Times New Roman" w:cs="Times New Roman"/>
          <w:sz w:val="20"/>
          <w:szCs w:val="20"/>
        </w:rPr>
        <w:t xml:space="preserve"> 42 of the </w:t>
      </w:r>
      <w:r w:rsidR="00D36E9E" w:rsidRPr="001D767D">
        <w:rPr>
          <w:rFonts w:ascii="Times New Roman" w:eastAsia="Times New Roman" w:hAnsi="Times New Roman" w:cs="Times New Roman"/>
          <w:sz w:val="20"/>
          <w:szCs w:val="20"/>
        </w:rPr>
        <w:t>“appropriate period” (</w:t>
      </w:r>
      <w:r w:rsidRPr="001D767D">
        <w:rPr>
          <w:rFonts w:ascii="Times New Roman" w:eastAsia="Times New Roman" w:hAnsi="Times New Roman" w:cs="Times New Roman"/>
          <w:sz w:val="20"/>
          <w:szCs w:val="20"/>
        </w:rPr>
        <w:t>duration</w:t>
      </w:r>
      <w:r w:rsidR="00D36E9E" w:rsidRPr="001D767D">
        <w:rPr>
          <w:rFonts w:ascii="Times New Roman" w:eastAsia="Times New Roman" w:hAnsi="Times New Roman" w:cs="Times New Roman"/>
          <w:sz w:val="20"/>
          <w:szCs w:val="20"/>
        </w:rPr>
        <w:t>)</w:t>
      </w:r>
      <w:r w:rsidRPr="001D767D">
        <w:rPr>
          <w:rFonts w:ascii="Times New Roman" w:eastAsia="Times New Roman" w:hAnsi="Times New Roman" w:cs="Times New Roman"/>
          <w:sz w:val="20"/>
          <w:szCs w:val="20"/>
        </w:rPr>
        <w:t xml:space="preserve"> of three permits</w:t>
      </w:r>
      <w:r w:rsidR="00D36E9E" w:rsidRPr="001D767D">
        <w:rPr>
          <w:rFonts w:ascii="Times New Roman" w:eastAsia="Times New Roman" w:hAnsi="Times New Roman" w:cs="Times New Roman"/>
          <w:sz w:val="20"/>
          <w:szCs w:val="20"/>
        </w:rPr>
        <w:t xml:space="preserve"> </w:t>
      </w:r>
      <w:r w:rsidR="009323F6" w:rsidRPr="001D767D">
        <w:rPr>
          <w:rFonts w:ascii="Times New Roman" w:eastAsia="Times New Roman" w:hAnsi="Times New Roman" w:cs="Times New Roman"/>
          <w:sz w:val="20"/>
          <w:szCs w:val="20"/>
        </w:rPr>
        <w:t xml:space="preserve">regarding the </w:t>
      </w:r>
      <w:proofErr w:type="spellStart"/>
      <w:r w:rsidR="009323F6" w:rsidRPr="001D767D">
        <w:rPr>
          <w:rFonts w:ascii="Times New Roman" w:eastAsia="Times New Roman" w:hAnsi="Times New Roman" w:cs="Times New Roman"/>
          <w:sz w:val="20"/>
          <w:szCs w:val="20"/>
        </w:rPr>
        <w:t>Trammon</w:t>
      </w:r>
      <w:proofErr w:type="spellEnd"/>
      <w:r w:rsidR="009323F6" w:rsidRPr="001D767D">
        <w:rPr>
          <w:rFonts w:ascii="Times New Roman" w:eastAsia="Times New Roman" w:hAnsi="Times New Roman" w:cs="Times New Roman"/>
          <w:sz w:val="20"/>
          <w:szCs w:val="20"/>
        </w:rPr>
        <w:t xml:space="preserve"> quarry</w:t>
      </w:r>
      <w:r w:rsidRPr="001D767D">
        <w:rPr>
          <w:rFonts w:ascii="Times New Roman" w:eastAsia="Times New Roman" w:hAnsi="Times New Roman" w:cs="Times New Roman"/>
          <w:sz w:val="20"/>
          <w:szCs w:val="20"/>
        </w:rPr>
        <w:t>.</w:t>
      </w:r>
      <w:r w:rsidR="00D36E9E" w:rsidRPr="001D767D">
        <w:rPr>
          <w:rFonts w:ascii="Times New Roman" w:eastAsia="Times New Roman" w:hAnsi="Times New Roman" w:cs="Times New Roman"/>
          <w:sz w:val="20"/>
          <w:szCs w:val="20"/>
        </w:rPr>
        <w:t xml:space="preserve"> </w:t>
      </w:r>
      <w:r w:rsidR="00EA5ACA" w:rsidRPr="001D767D">
        <w:rPr>
          <w:rFonts w:ascii="Times New Roman" w:eastAsia="Times New Roman" w:hAnsi="Times New Roman" w:cs="Times New Roman"/>
          <w:sz w:val="20"/>
          <w:szCs w:val="20"/>
        </w:rPr>
        <w:t>The 1998 and 2004</w:t>
      </w:r>
      <w:r w:rsidR="00D36E9E" w:rsidRPr="001D767D">
        <w:rPr>
          <w:rFonts w:ascii="Times New Roman" w:eastAsia="Times New Roman" w:hAnsi="Times New Roman" w:cs="Times New Roman"/>
          <w:sz w:val="20"/>
          <w:szCs w:val="20"/>
        </w:rPr>
        <w:t xml:space="preserve"> permits were extended under section 42(1)(a)(</w:t>
      </w:r>
      <w:proofErr w:type="spellStart"/>
      <w:r w:rsidR="00D36E9E" w:rsidRPr="001D767D">
        <w:rPr>
          <w:rFonts w:ascii="Times New Roman" w:eastAsia="Times New Roman" w:hAnsi="Times New Roman" w:cs="Times New Roman"/>
          <w:sz w:val="20"/>
          <w:szCs w:val="20"/>
        </w:rPr>
        <w:t>i</w:t>
      </w:r>
      <w:proofErr w:type="spellEnd"/>
      <w:r w:rsidR="00D36E9E" w:rsidRPr="001D767D">
        <w:rPr>
          <w:rFonts w:ascii="Times New Roman" w:eastAsia="Times New Roman" w:hAnsi="Times New Roman" w:cs="Times New Roman"/>
          <w:sz w:val="20"/>
          <w:szCs w:val="20"/>
        </w:rPr>
        <w:t>) of the Planning and Development Act</w:t>
      </w:r>
      <w:r w:rsidR="003014BC" w:rsidRPr="001D767D">
        <w:rPr>
          <w:rFonts w:ascii="Times New Roman" w:eastAsia="Times New Roman" w:hAnsi="Times New Roman" w:cs="Times New Roman"/>
          <w:sz w:val="20"/>
          <w:szCs w:val="20"/>
        </w:rPr>
        <w:t xml:space="preserve"> 2000</w:t>
      </w:r>
      <w:r w:rsidR="00D36E9E" w:rsidRPr="001D767D">
        <w:rPr>
          <w:rFonts w:ascii="Times New Roman" w:eastAsia="Times New Roman" w:hAnsi="Times New Roman" w:cs="Times New Roman"/>
          <w:sz w:val="20"/>
          <w:szCs w:val="20"/>
        </w:rPr>
        <w:t>,</w:t>
      </w:r>
      <w:r w:rsidR="003E2911" w:rsidRPr="001D767D">
        <w:rPr>
          <w:rStyle w:val="FootnoteReference"/>
          <w:rFonts w:ascii="Times New Roman" w:eastAsia="Times New Roman" w:hAnsi="Times New Roman" w:cs="Times New Roman"/>
          <w:sz w:val="20"/>
          <w:szCs w:val="20"/>
        </w:rPr>
        <w:footnoteReference w:id="87"/>
      </w:r>
      <w:r w:rsidR="00D36E9E" w:rsidRPr="001D767D">
        <w:rPr>
          <w:rFonts w:ascii="Times New Roman" w:eastAsia="Times New Roman" w:hAnsi="Times New Roman" w:cs="Times New Roman"/>
          <w:sz w:val="20"/>
          <w:szCs w:val="20"/>
        </w:rPr>
        <w:t xml:space="preserve"> and </w:t>
      </w:r>
      <w:r w:rsidR="00EA5ACA" w:rsidRPr="001D767D">
        <w:rPr>
          <w:rFonts w:ascii="Times New Roman" w:eastAsia="Times New Roman" w:hAnsi="Times New Roman" w:cs="Times New Roman"/>
          <w:sz w:val="20"/>
          <w:szCs w:val="20"/>
        </w:rPr>
        <w:t xml:space="preserve">the 2010 </w:t>
      </w:r>
      <w:r w:rsidR="00D36E9E" w:rsidRPr="001D767D">
        <w:rPr>
          <w:rFonts w:ascii="Times New Roman" w:eastAsia="Times New Roman" w:hAnsi="Times New Roman" w:cs="Times New Roman"/>
          <w:sz w:val="20"/>
          <w:szCs w:val="20"/>
        </w:rPr>
        <w:t>permit was extended under section 42(1)(a)(ii).</w:t>
      </w:r>
      <w:r w:rsidR="00D36E9E" w:rsidRPr="001D767D">
        <w:rPr>
          <w:rStyle w:val="FootnoteReference"/>
          <w:rFonts w:ascii="Times New Roman" w:eastAsia="Times New Roman" w:hAnsi="Times New Roman" w:cs="Times New Roman"/>
          <w:sz w:val="20"/>
          <w:szCs w:val="20"/>
        </w:rPr>
        <w:footnoteReference w:id="88"/>
      </w:r>
      <w:r w:rsidR="00D36E9E" w:rsidRPr="001D767D">
        <w:rPr>
          <w:rFonts w:ascii="Times New Roman" w:eastAsia="Times New Roman" w:hAnsi="Times New Roman" w:cs="Times New Roman"/>
          <w:sz w:val="20"/>
          <w:szCs w:val="20"/>
        </w:rPr>
        <w:t xml:space="preserve"> </w:t>
      </w:r>
      <w:r w:rsidRPr="001D767D">
        <w:rPr>
          <w:rFonts w:ascii="Times New Roman" w:eastAsia="Times New Roman" w:hAnsi="Times New Roman" w:cs="Times New Roman"/>
          <w:sz w:val="20"/>
          <w:szCs w:val="20"/>
        </w:rPr>
        <w:t xml:space="preserve"> </w:t>
      </w:r>
      <w:r w:rsidRPr="001D767D">
        <w:rPr>
          <w:rFonts w:ascii="Times New Roman" w:hAnsi="Times New Roman"/>
          <w:sz w:val="20"/>
        </w:rPr>
        <w:t xml:space="preserve"> </w:t>
      </w:r>
    </w:p>
    <w:p w14:paraId="3A3C29F8" w14:textId="0E708AA2" w:rsidR="00895738" w:rsidRPr="001D767D" w:rsidRDefault="00D36E9E" w:rsidP="00784840">
      <w:pPr>
        <w:numPr>
          <w:ilvl w:val="0"/>
          <w:numId w:val="2"/>
        </w:numPr>
        <w:tabs>
          <w:tab w:val="right" w:pos="993"/>
          <w:tab w:val="left" w:pos="1080"/>
        </w:tabs>
        <w:spacing w:after="120" w:line="240" w:lineRule="atLeast"/>
        <w:ind w:left="540" w:right="-1" w:firstLine="0"/>
        <w:jc w:val="both"/>
        <w:rPr>
          <w:rFonts w:ascii="Times New Roman" w:eastAsia="Times New Roman" w:hAnsi="Times New Roman" w:cs="Times New Roman"/>
          <w:sz w:val="20"/>
          <w:szCs w:val="20"/>
        </w:rPr>
      </w:pPr>
      <w:r w:rsidRPr="001D767D">
        <w:rPr>
          <w:rFonts w:ascii="Times New Roman" w:eastAsia="Times New Roman" w:hAnsi="Times New Roman" w:cs="Times New Roman"/>
          <w:sz w:val="20"/>
          <w:szCs w:val="20"/>
        </w:rPr>
        <w:t xml:space="preserve">Having found </w:t>
      </w:r>
      <w:r w:rsidR="003E2911" w:rsidRPr="001D767D">
        <w:rPr>
          <w:rFonts w:ascii="Times New Roman" w:eastAsia="Times New Roman" w:hAnsi="Times New Roman" w:cs="Times New Roman"/>
          <w:sz w:val="20"/>
          <w:szCs w:val="20"/>
        </w:rPr>
        <w:t xml:space="preserve">in paragraph </w:t>
      </w:r>
      <w:r w:rsidR="003E2911" w:rsidRPr="001D767D">
        <w:rPr>
          <w:rFonts w:ascii="Times New Roman" w:eastAsia="Times New Roman" w:hAnsi="Times New Roman" w:cs="Times New Roman"/>
          <w:sz w:val="20"/>
          <w:szCs w:val="20"/>
        </w:rPr>
        <w:fldChar w:fldCharType="begin"/>
      </w:r>
      <w:r w:rsidR="003E2911" w:rsidRPr="001D767D">
        <w:rPr>
          <w:rFonts w:ascii="Times New Roman" w:eastAsia="Times New Roman" w:hAnsi="Times New Roman" w:cs="Times New Roman"/>
          <w:sz w:val="20"/>
          <w:szCs w:val="20"/>
        </w:rPr>
        <w:instrText xml:space="preserve"> REF _Ref3213534 \r \h </w:instrText>
      </w:r>
      <w:r w:rsidR="008B39C8" w:rsidRPr="001D767D">
        <w:rPr>
          <w:rFonts w:ascii="Times New Roman" w:eastAsia="Times New Roman" w:hAnsi="Times New Roman" w:cs="Times New Roman"/>
          <w:sz w:val="20"/>
          <w:szCs w:val="20"/>
        </w:rPr>
        <w:instrText xml:space="preserve"> \* MERGEFORMAT </w:instrText>
      </w:r>
      <w:r w:rsidR="003E2911" w:rsidRPr="001D767D">
        <w:rPr>
          <w:rFonts w:ascii="Times New Roman" w:eastAsia="Times New Roman" w:hAnsi="Times New Roman" w:cs="Times New Roman"/>
          <w:sz w:val="20"/>
          <w:szCs w:val="20"/>
        </w:rPr>
      </w:r>
      <w:r w:rsidR="003E2911" w:rsidRPr="001D767D">
        <w:rPr>
          <w:rFonts w:ascii="Times New Roman" w:eastAsia="Times New Roman" w:hAnsi="Times New Roman" w:cs="Times New Roman"/>
          <w:sz w:val="20"/>
          <w:szCs w:val="20"/>
        </w:rPr>
        <w:fldChar w:fldCharType="separate"/>
      </w:r>
      <w:r w:rsidR="001D767D" w:rsidRPr="001D767D">
        <w:rPr>
          <w:rFonts w:ascii="Times New Roman" w:eastAsia="Times New Roman" w:hAnsi="Times New Roman" w:cs="Times New Roman"/>
          <w:sz w:val="20"/>
          <w:szCs w:val="20"/>
          <w:cs/>
        </w:rPr>
        <w:t>‎</w:t>
      </w:r>
      <w:r w:rsidR="001D767D" w:rsidRPr="001D767D">
        <w:rPr>
          <w:rFonts w:ascii="Times New Roman" w:eastAsia="Times New Roman" w:hAnsi="Times New Roman" w:cs="Times New Roman"/>
          <w:sz w:val="20"/>
          <w:szCs w:val="20"/>
        </w:rPr>
        <w:t>86</w:t>
      </w:r>
      <w:r w:rsidR="003E2911" w:rsidRPr="001D767D">
        <w:rPr>
          <w:rFonts w:ascii="Times New Roman" w:eastAsia="Times New Roman" w:hAnsi="Times New Roman" w:cs="Times New Roman"/>
          <w:sz w:val="20"/>
          <w:szCs w:val="20"/>
        </w:rPr>
        <w:fldChar w:fldCharType="end"/>
      </w:r>
      <w:r w:rsidR="003E2911" w:rsidRPr="001D767D">
        <w:rPr>
          <w:rFonts w:ascii="Times New Roman" w:eastAsia="Times New Roman" w:hAnsi="Times New Roman" w:cs="Times New Roman"/>
          <w:sz w:val="20"/>
          <w:szCs w:val="20"/>
        </w:rPr>
        <w:t xml:space="preserve"> above </w:t>
      </w:r>
      <w:r w:rsidRPr="001D767D">
        <w:rPr>
          <w:rFonts w:ascii="Times New Roman" w:eastAsia="Times New Roman" w:hAnsi="Times New Roman" w:cs="Times New Roman"/>
          <w:sz w:val="20"/>
          <w:szCs w:val="20"/>
        </w:rPr>
        <w:t xml:space="preserve">that the </w:t>
      </w:r>
      <w:r w:rsidR="003E2911" w:rsidRPr="001D767D">
        <w:rPr>
          <w:rFonts w:ascii="Times New Roman" w:eastAsia="Times New Roman" w:hAnsi="Times New Roman" w:cs="Times New Roman"/>
          <w:sz w:val="20"/>
          <w:szCs w:val="20"/>
        </w:rPr>
        <w:t xml:space="preserve">Party concerned failed to comply with article 6(10) of the Convention with respect to the grant of these three </w:t>
      </w:r>
      <w:r w:rsidR="00050335" w:rsidRPr="001D767D">
        <w:rPr>
          <w:rFonts w:ascii="Times New Roman" w:eastAsia="Times New Roman" w:hAnsi="Times New Roman" w:cs="Times New Roman"/>
          <w:sz w:val="20"/>
          <w:szCs w:val="20"/>
        </w:rPr>
        <w:t xml:space="preserve">permit </w:t>
      </w:r>
      <w:r w:rsidR="003E2911" w:rsidRPr="001D767D">
        <w:rPr>
          <w:rFonts w:ascii="Times New Roman" w:eastAsia="Times New Roman" w:hAnsi="Times New Roman" w:cs="Times New Roman"/>
          <w:sz w:val="20"/>
          <w:szCs w:val="20"/>
        </w:rPr>
        <w:t xml:space="preserve">extensions, </w:t>
      </w:r>
      <w:r w:rsidR="00050335" w:rsidRPr="001D767D">
        <w:rPr>
          <w:rFonts w:ascii="Times New Roman" w:eastAsia="Times New Roman" w:hAnsi="Times New Roman" w:cs="Times New Roman"/>
          <w:sz w:val="20"/>
          <w:szCs w:val="20"/>
        </w:rPr>
        <w:t xml:space="preserve">the </w:t>
      </w:r>
      <w:r w:rsidR="00895738" w:rsidRPr="001D767D">
        <w:rPr>
          <w:rFonts w:ascii="Times New Roman" w:eastAsia="Times New Roman" w:hAnsi="Times New Roman" w:cs="Times New Roman"/>
          <w:sz w:val="20"/>
          <w:szCs w:val="20"/>
        </w:rPr>
        <w:t xml:space="preserve">Committee next turns to consider section 42 of the Planning and Development Act 2000 itself. The November 2017 judgment </w:t>
      </w:r>
      <w:r w:rsidR="003014BC" w:rsidRPr="001D767D">
        <w:rPr>
          <w:rFonts w:ascii="Times New Roman" w:eastAsia="Times New Roman" w:hAnsi="Times New Roman" w:cs="Times New Roman"/>
          <w:sz w:val="20"/>
          <w:szCs w:val="20"/>
        </w:rPr>
        <w:t>in</w:t>
      </w:r>
      <w:r w:rsidR="00895738" w:rsidRPr="001D767D">
        <w:rPr>
          <w:rFonts w:ascii="Times New Roman" w:eastAsia="Times New Roman" w:hAnsi="Times New Roman" w:cs="Times New Roman"/>
          <w:sz w:val="20"/>
          <w:szCs w:val="20"/>
        </w:rPr>
        <w:t xml:space="preserve"> </w:t>
      </w:r>
      <w:r w:rsidR="00C34FCE" w:rsidRPr="001D767D">
        <w:rPr>
          <w:rFonts w:ascii="Times New Roman" w:eastAsia="Times New Roman" w:hAnsi="Times New Roman" w:cs="Times New Roman"/>
          <w:i/>
          <w:sz w:val="20"/>
          <w:szCs w:val="20"/>
        </w:rPr>
        <w:t>Merriman and others v. Fingal County Council</w:t>
      </w:r>
      <w:r w:rsidR="00C34FCE" w:rsidRPr="001D767D">
        <w:rPr>
          <w:rFonts w:ascii="Times New Roman" w:eastAsia="Times New Roman" w:hAnsi="Times New Roman" w:cs="Times New Roman"/>
          <w:sz w:val="20"/>
          <w:szCs w:val="20"/>
        </w:rPr>
        <w:t xml:space="preserve">; </w:t>
      </w:r>
      <w:r w:rsidR="00895738" w:rsidRPr="001D767D">
        <w:rPr>
          <w:rFonts w:ascii="Times New Roman" w:hAnsi="Times New Roman" w:cs="Times New Roman"/>
          <w:i/>
          <w:iCs/>
          <w:sz w:val="20"/>
          <w:szCs w:val="20"/>
        </w:rPr>
        <w:t>Friends of the Irish Environment v. Fingal County Council</w:t>
      </w:r>
      <w:r w:rsidR="001C4791" w:rsidRPr="001D767D">
        <w:rPr>
          <w:rFonts w:ascii="Times New Roman" w:hAnsi="Times New Roman" w:cs="Times New Roman"/>
          <w:i/>
          <w:iCs/>
          <w:sz w:val="20"/>
          <w:szCs w:val="20"/>
        </w:rPr>
        <w:t>,</w:t>
      </w:r>
      <w:r w:rsidR="00895738" w:rsidRPr="001D767D">
        <w:rPr>
          <w:rStyle w:val="FootnoteReference"/>
          <w:rFonts w:ascii="Times New Roman" w:hAnsi="Times New Roman"/>
          <w:sz w:val="20"/>
        </w:rPr>
        <w:footnoteReference w:id="89"/>
      </w:r>
      <w:r w:rsidR="001C4791" w:rsidRPr="001D767D">
        <w:rPr>
          <w:rFonts w:ascii="Times New Roman" w:hAnsi="Times New Roman" w:cs="Times New Roman"/>
          <w:i/>
          <w:iCs/>
          <w:sz w:val="20"/>
          <w:szCs w:val="20"/>
        </w:rPr>
        <w:t xml:space="preserve"> </w:t>
      </w:r>
      <w:r w:rsidR="001C4791" w:rsidRPr="001D767D">
        <w:rPr>
          <w:rFonts w:ascii="Times New Roman" w:hAnsi="Times New Roman" w:cs="Times New Roman"/>
          <w:sz w:val="20"/>
          <w:szCs w:val="20"/>
        </w:rPr>
        <w:t>and the jurisprudence examined by the High Court therein,</w:t>
      </w:r>
      <w:r w:rsidR="001C4791" w:rsidRPr="001D767D">
        <w:rPr>
          <w:rFonts w:ascii="Times New Roman" w:hAnsi="Times New Roman" w:cs="Times New Roman"/>
          <w:i/>
          <w:iCs/>
          <w:sz w:val="20"/>
          <w:szCs w:val="20"/>
        </w:rPr>
        <w:t xml:space="preserve"> </w:t>
      </w:r>
      <w:r w:rsidR="004443FA" w:rsidRPr="001D767D">
        <w:rPr>
          <w:rFonts w:ascii="Times New Roman" w:hAnsi="Times New Roman" w:cs="Times New Roman"/>
          <w:sz w:val="20"/>
          <w:szCs w:val="20"/>
        </w:rPr>
        <w:t>are</w:t>
      </w:r>
      <w:r w:rsidR="00254005" w:rsidRPr="001D767D">
        <w:rPr>
          <w:rFonts w:ascii="Times New Roman" w:hAnsi="Times New Roman" w:cs="Times New Roman"/>
          <w:sz w:val="20"/>
          <w:szCs w:val="20"/>
        </w:rPr>
        <w:t xml:space="preserve"> again </w:t>
      </w:r>
      <w:r w:rsidR="00D34B60" w:rsidRPr="001D767D">
        <w:rPr>
          <w:rFonts w:ascii="Times New Roman" w:hAnsi="Times New Roman" w:cs="Times New Roman"/>
          <w:sz w:val="20"/>
          <w:szCs w:val="20"/>
          <w:lang w:val="en-US"/>
        </w:rPr>
        <w:t>highly instructive</w:t>
      </w:r>
      <w:r w:rsidR="00A67A5D" w:rsidRPr="001D767D">
        <w:rPr>
          <w:rFonts w:ascii="Times New Roman" w:hAnsi="Times New Roman" w:cs="Times New Roman"/>
          <w:sz w:val="20"/>
          <w:szCs w:val="20"/>
          <w:lang w:val="en-US"/>
        </w:rPr>
        <w:t xml:space="preserve"> in this regard</w:t>
      </w:r>
      <w:r w:rsidR="00D34B60" w:rsidRPr="001D767D">
        <w:rPr>
          <w:rFonts w:ascii="Times New Roman" w:hAnsi="Times New Roman" w:cs="Times New Roman"/>
          <w:sz w:val="20"/>
          <w:szCs w:val="20"/>
          <w:lang w:val="en-US"/>
        </w:rPr>
        <w:t xml:space="preserve">. </w:t>
      </w:r>
      <w:r w:rsidR="001C4791" w:rsidRPr="001D767D">
        <w:rPr>
          <w:rFonts w:ascii="Times New Roman" w:hAnsi="Times New Roman" w:cs="Times New Roman"/>
          <w:sz w:val="20"/>
          <w:szCs w:val="20"/>
          <w:lang w:val="en-US"/>
        </w:rPr>
        <w:t xml:space="preserve">That judgment makes </w:t>
      </w:r>
      <w:r w:rsidR="00A67A5D" w:rsidRPr="001D767D">
        <w:rPr>
          <w:rFonts w:ascii="Times New Roman" w:hAnsi="Times New Roman" w:cs="Times New Roman"/>
          <w:sz w:val="20"/>
          <w:szCs w:val="20"/>
          <w:lang w:val="en-US"/>
        </w:rPr>
        <w:t xml:space="preserve">it very </w:t>
      </w:r>
      <w:r w:rsidR="001C4791" w:rsidRPr="001D767D">
        <w:rPr>
          <w:rFonts w:ascii="Times New Roman" w:hAnsi="Times New Roman" w:cs="Times New Roman"/>
          <w:sz w:val="20"/>
          <w:szCs w:val="20"/>
          <w:lang w:val="en-US"/>
        </w:rPr>
        <w:t xml:space="preserve">clear that when deciding on applications for extensions of the appropriate period </w:t>
      </w:r>
      <w:r w:rsidR="00A67A5D" w:rsidRPr="001D767D">
        <w:rPr>
          <w:rFonts w:ascii="Times New Roman" w:hAnsi="Times New Roman" w:cs="Times New Roman"/>
          <w:sz w:val="20"/>
          <w:szCs w:val="20"/>
          <w:lang w:val="en-US"/>
        </w:rPr>
        <w:t xml:space="preserve">for a </w:t>
      </w:r>
      <w:r w:rsidR="00A67A5D" w:rsidRPr="001D767D">
        <w:rPr>
          <w:rFonts w:ascii="Times New Roman" w:hAnsi="Times New Roman"/>
          <w:sz w:val="20"/>
          <w:lang w:val="en-US"/>
        </w:rPr>
        <w:t>permit</w:t>
      </w:r>
      <w:r w:rsidR="00A67A5D" w:rsidRPr="001D767D">
        <w:rPr>
          <w:rFonts w:ascii="Times New Roman" w:hAnsi="Times New Roman" w:cs="Times New Roman"/>
          <w:sz w:val="20"/>
          <w:szCs w:val="20"/>
          <w:lang w:val="en-US"/>
        </w:rPr>
        <w:t xml:space="preserve"> </w:t>
      </w:r>
      <w:r w:rsidR="001C4791" w:rsidRPr="001D767D">
        <w:rPr>
          <w:rFonts w:ascii="Times New Roman" w:hAnsi="Times New Roman" w:cs="Times New Roman"/>
          <w:sz w:val="20"/>
          <w:szCs w:val="20"/>
          <w:lang w:val="en-US"/>
        </w:rPr>
        <w:t xml:space="preserve">under section 42, </w:t>
      </w:r>
      <w:r w:rsidR="00F415CF" w:rsidRPr="001D767D">
        <w:rPr>
          <w:rFonts w:ascii="Times New Roman" w:hAnsi="Times New Roman" w:cs="Times New Roman"/>
          <w:sz w:val="20"/>
          <w:szCs w:val="20"/>
          <w:lang w:val="en-US"/>
        </w:rPr>
        <w:t xml:space="preserve">the competent authority is not entitled to notify </w:t>
      </w:r>
      <w:r w:rsidR="007B54BD" w:rsidRPr="001D767D">
        <w:rPr>
          <w:rFonts w:ascii="Times New Roman" w:hAnsi="Times New Roman" w:cs="Times New Roman"/>
          <w:sz w:val="20"/>
          <w:szCs w:val="20"/>
          <w:lang w:val="en-US"/>
        </w:rPr>
        <w:t>or consult the public prior to granting the requested extensions</w:t>
      </w:r>
      <w:r w:rsidR="00254005" w:rsidRPr="001D767D">
        <w:rPr>
          <w:rFonts w:ascii="Times New Roman" w:hAnsi="Times New Roman" w:cs="Times New Roman"/>
          <w:sz w:val="20"/>
          <w:szCs w:val="20"/>
          <w:lang w:val="en-US"/>
        </w:rPr>
        <w:t xml:space="preserve">, even </w:t>
      </w:r>
      <w:r w:rsidR="00A67A5D" w:rsidRPr="001D767D">
        <w:rPr>
          <w:rFonts w:ascii="Times New Roman" w:hAnsi="Times New Roman" w:cs="Times New Roman"/>
          <w:sz w:val="20"/>
          <w:szCs w:val="20"/>
          <w:lang w:val="en-US"/>
        </w:rPr>
        <w:t xml:space="preserve">if </w:t>
      </w:r>
      <w:r w:rsidR="00254005" w:rsidRPr="001D767D">
        <w:rPr>
          <w:rFonts w:ascii="Times New Roman" w:hAnsi="Times New Roman" w:cs="Times New Roman"/>
          <w:sz w:val="20"/>
          <w:szCs w:val="20"/>
          <w:lang w:val="en-US"/>
        </w:rPr>
        <w:t xml:space="preserve">it </w:t>
      </w:r>
      <w:r w:rsidR="00A67A5D" w:rsidRPr="001D767D">
        <w:rPr>
          <w:rFonts w:ascii="Times New Roman" w:hAnsi="Times New Roman" w:cs="Times New Roman"/>
          <w:sz w:val="20"/>
          <w:szCs w:val="20"/>
          <w:lang w:val="en-US"/>
        </w:rPr>
        <w:t xml:space="preserve">might </w:t>
      </w:r>
      <w:r w:rsidR="00F105E1" w:rsidRPr="001D767D">
        <w:rPr>
          <w:rFonts w:ascii="Times New Roman" w:hAnsi="Times New Roman" w:cs="Times New Roman"/>
          <w:sz w:val="20"/>
          <w:szCs w:val="20"/>
          <w:lang w:val="en-US"/>
        </w:rPr>
        <w:t>have been</w:t>
      </w:r>
      <w:r w:rsidR="00A67A5D" w:rsidRPr="001D767D">
        <w:rPr>
          <w:rFonts w:ascii="Times New Roman" w:hAnsi="Times New Roman" w:cs="Times New Roman"/>
          <w:sz w:val="20"/>
          <w:szCs w:val="20"/>
          <w:lang w:val="en-US"/>
        </w:rPr>
        <w:t xml:space="preserve"> </w:t>
      </w:r>
      <w:r w:rsidR="00254005" w:rsidRPr="001D767D">
        <w:rPr>
          <w:rFonts w:ascii="Times New Roman" w:hAnsi="Times New Roman" w:cs="Times New Roman"/>
          <w:sz w:val="20"/>
          <w:szCs w:val="20"/>
          <w:lang w:val="en-US"/>
        </w:rPr>
        <w:t>minded to</w:t>
      </w:r>
      <w:r w:rsidR="003014BC" w:rsidRPr="001D767D">
        <w:rPr>
          <w:rFonts w:ascii="Times New Roman" w:hAnsi="Times New Roman" w:cs="Times New Roman"/>
          <w:sz w:val="20"/>
          <w:szCs w:val="20"/>
          <w:lang w:val="en-US"/>
        </w:rPr>
        <w:t xml:space="preserve"> do so</w:t>
      </w:r>
      <w:r w:rsidR="00A67A5D" w:rsidRPr="001D767D">
        <w:rPr>
          <w:rFonts w:ascii="Times New Roman" w:hAnsi="Times New Roman" w:cs="Times New Roman"/>
          <w:sz w:val="20"/>
          <w:szCs w:val="20"/>
          <w:lang w:val="en-US"/>
        </w:rPr>
        <w:t>.</w:t>
      </w:r>
      <w:r w:rsidR="00A67A5D" w:rsidRPr="001D767D">
        <w:rPr>
          <w:rStyle w:val="FootnoteReference"/>
          <w:rFonts w:ascii="Times New Roman" w:hAnsi="Times New Roman" w:cs="Times New Roman"/>
          <w:sz w:val="20"/>
          <w:szCs w:val="20"/>
          <w:lang w:val="en-US"/>
        </w:rPr>
        <w:footnoteReference w:id="90"/>
      </w:r>
      <w:r w:rsidR="00A67A5D" w:rsidRPr="001D767D">
        <w:rPr>
          <w:rFonts w:ascii="Times New Roman" w:hAnsi="Times New Roman" w:cs="Times New Roman"/>
          <w:sz w:val="20"/>
          <w:szCs w:val="20"/>
          <w:lang w:val="en-US"/>
        </w:rPr>
        <w:t xml:space="preserve"> </w:t>
      </w:r>
      <w:r w:rsidR="001C4791" w:rsidRPr="001D767D">
        <w:rPr>
          <w:rFonts w:ascii="Times New Roman" w:hAnsi="Times New Roman" w:cs="Times New Roman"/>
          <w:sz w:val="20"/>
          <w:szCs w:val="20"/>
          <w:lang w:val="en-US"/>
        </w:rPr>
        <w:t xml:space="preserve">If </w:t>
      </w:r>
      <w:r w:rsidR="00A67A5D" w:rsidRPr="001D767D">
        <w:rPr>
          <w:rFonts w:ascii="Times New Roman" w:hAnsi="Times New Roman" w:cs="Times New Roman"/>
          <w:sz w:val="20"/>
          <w:szCs w:val="20"/>
          <w:lang w:val="en-US"/>
        </w:rPr>
        <w:t xml:space="preserve">in fact </w:t>
      </w:r>
      <w:r w:rsidR="00F105E1" w:rsidRPr="001D767D">
        <w:rPr>
          <w:rFonts w:ascii="Times New Roman" w:hAnsi="Times New Roman" w:cs="Times New Roman"/>
          <w:sz w:val="20"/>
          <w:szCs w:val="20"/>
          <w:lang w:val="en-US"/>
        </w:rPr>
        <w:t>an authority</w:t>
      </w:r>
      <w:r w:rsidR="00A67A5D" w:rsidRPr="001D767D">
        <w:rPr>
          <w:rFonts w:ascii="Times New Roman" w:hAnsi="Times New Roman" w:cs="Times New Roman"/>
          <w:sz w:val="20"/>
          <w:szCs w:val="20"/>
          <w:lang w:val="en-US"/>
        </w:rPr>
        <w:t xml:space="preserve"> did decide to notify or consult the public</w:t>
      </w:r>
      <w:r w:rsidR="001C4791" w:rsidRPr="001D767D">
        <w:rPr>
          <w:rFonts w:ascii="Times New Roman" w:hAnsi="Times New Roman" w:cs="Times New Roman"/>
          <w:sz w:val="20"/>
          <w:szCs w:val="20"/>
          <w:lang w:val="en-US"/>
        </w:rPr>
        <w:t xml:space="preserve">, </w:t>
      </w:r>
      <w:r w:rsidR="00F105E1" w:rsidRPr="001D767D">
        <w:rPr>
          <w:rFonts w:ascii="Times New Roman" w:hAnsi="Times New Roman" w:cs="Times New Roman"/>
          <w:sz w:val="20"/>
          <w:szCs w:val="20"/>
          <w:lang w:val="en-US"/>
        </w:rPr>
        <w:t xml:space="preserve">under Irish law </w:t>
      </w:r>
      <w:r w:rsidR="00CA239A" w:rsidRPr="001D767D">
        <w:rPr>
          <w:rFonts w:ascii="Times New Roman" w:hAnsi="Times New Roman" w:cs="Times New Roman"/>
          <w:sz w:val="20"/>
          <w:szCs w:val="20"/>
          <w:lang w:val="en-US"/>
        </w:rPr>
        <w:t>the authority</w:t>
      </w:r>
      <w:r w:rsidR="00F105E1" w:rsidRPr="001D767D">
        <w:rPr>
          <w:rFonts w:ascii="Times New Roman" w:hAnsi="Times New Roman" w:cs="Times New Roman"/>
          <w:sz w:val="20"/>
          <w:szCs w:val="20"/>
          <w:lang w:val="en-US"/>
        </w:rPr>
        <w:t xml:space="preserve"> would be </w:t>
      </w:r>
      <w:r w:rsidR="001C4791" w:rsidRPr="001D767D">
        <w:rPr>
          <w:rFonts w:ascii="Times New Roman" w:hAnsi="Times New Roman" w:cs="Times New Roman"/>
          <w:sz w:val="20"/>
          <w:szCs w:val="20"/>
          <w:lang w:val="en-US"/>
        </w:rPr>
        <w:t>acting ultra vires.</w:t>
      </w:r>
      <w:r w:rsidR="00254005" w:rsidRPr="001D767D">
        <w:rPr>
          <w:rStyle w:val="FootnoteReference"/>
          <w:rFonts w:ascii="Times New Roman" w:hAnsi="Times New Roman" w:cs="Times New Roman"/>
          <w:sz w:val="20"/>
          <w:szCs w:val="20"/>
          <w:lang w:val="en-US"/>
        </w:rPr>
        <w:footnoteReference w:id="91"/>
      </w:r>
    </w:p>
    <w:p w14:paraId="66CB3709" w14:textId="7FBBCB22" w:rsidR="00CA239A" w:rsidRPr="001D767D" w:rsidRDefault="00CA239A" w:rsidP="00784840">
      <w:pPr>
        <w:numPr>
          <w:ilvl w:val="0"/>
          <w:numId w:val="2"/>
        </w:numPr>
        <w:tabs>
          <w:tab w:val="right" w:pos="993"/>
          <w:tab w:val="left" w:pos="1080"/>
        </w:tabs>
        <w:spacing w:after="120" w:line="240" w:lineRule="atLeast"/>
        <w:ind w:left="540" w:right="-1" w:firstLine="0"/>
        <w:jc w:val="both"/>
        <w:rPr>
          <w:rFonts w:ascii="Times New Roman" w:eastAsia="Times New Roman" w:hAnsi="Times New Roman" w:cs="Times New Roman"/>
          <w:sz w:val="20"/>
          <w:szCs w:val="20"/>
        </w:rPr>
      </w:pPr>
      <w:r w:rsidRPr="001D767D">
        <w:rPr>
          <w:rFonts w:ascii="Times New Roman" w:eastAsia="Times New Roman" w:hAnsi="Times New Roman" w:cs="Times New Roman"/>
          <w:sz w:val="20"/>
          <w:szCs w:val="20"/>
        </w:rPr>
        <w:t xml:space="preserve">As </w:t>
      </w:r>
      <w:r w:rsidR="00EB7879" w:rsidRPr="001D767D">
        <w:rPr>
          <w:rFonts w:ascii="Times New Roman" w:eastAsia="Times New Roman" w:hAnsi="Times New Roman" w:cs="Times New Roman"/>
          <w:sz w:val="20"/>
          <w:szCs w:val="20"/>
        </w:rPr>
        <w:t xml:space="preserve">evidenced by </w:t>
      </w:r>
      <w:r w:rsidRPr="001D767D">
        <w:rPr>
          <w:rFonts w:ascii="Times New Roman" w:eastAsia="Times New Roman" w:hAnsi="Times New Roman" w:cs="Times New Roman"/>
          <w:sz w:val="20"/>
          <w:szCs w:val="20"/>
        </w:rPr>
        <w:t xml:space="preserve">the </w:t>
      </w:r>
      <w:r w:rsidR="00EB7879" w:rsidRPr="001D767D">
        <w:rPr>
          <w:rFonts w:ascii="Times New Roman" w:eastAsia="Times New Roman" w:hAnsi="Times New Roman" w:cs="Times New Roman"/>
          <w:sz w:val="20"/>
          <w:szCs w:val="20"/>
        </w:rPr>
        <w:t>permit extensions in the present case</w:t>
      </w:r>
      <w:r w:rsidRPr="001D767D">
        <w:rPr>
          <w:rFonts w:ascii="Times New Roman" w:eastAsia="Times New Roman" w:hAnsi="Times New Roman" w:cs="Times New Roman"/>
          <w:sz w:val="20"/>
          <w:szCs w:val="20"/>
        </w:rPr>
        <w:t>, section 42</w:t>
      </w:r>
      <w:r w:rsidR="00C134B1" w:rsidRPr="001D767D">
        <w:rPr>
          <w:rFonts w:ascii="Times New Roman" w:eastAsia="Times New Roman" w:hAnsi="Times New Roman" w:cs="Times New Roman"/>
          <w:sz w:val="20"/>
          <w:szCs w:val="20"/>
        </w:rPr>
        <w:t>(1)(a)</w:t>
      </w:r>
      <w:r w:rsidRPr="001D767D">
        <w:rPr>
          <w:rFonts w:ascii="Times New Roman" w:eastAsia="Times New Roman" w:hAnsi="Times New Roman" w:cs="Times New Roman"/>
          <w:sz w:val="20"/>
          <w:szCs w:val="20"/>
        </w:rPr>
        <w:t xml:space="preserve"> applies </w:t>
      </w:r>
      <w:r w:rsidR="00C134B1" w:rsidRPr="001D767D">
        <w:rPr>
          <w:rFonts w:ascii="Times New Roman" w:eastAsia="Times New Roman" w:hAnsi="Times New Roman" w:cs="Times New Roman"/>
          <w:sz w:val="20"/>
          <w:szCs w:val="20"/>
        </w:rPr>
        <w:t xml:space="preserve">inter alia </w:t>
      </w:r>
      <w:r w:rsidRPr="001D767D">
        <w:rPr>
          <w:rFonts w:ascii="Times New Roman" w:eastAsia="Times New Roman" w:hAnsi="Times New Roman" w:cs="Times New Roman"/>
          <w:sz w:val="20"/>
          <w:szCs w:val="20"/>
        </w:rPr>
        <w:t xml:space="preserve">to </w:t>
      </w:r>
      <w:r w:rsidR="00C134B1" w:rsidRPr="001D767D">
        <w:rPr>
          <w:rFonts w:ascii="Times New Roman" w:eastAsia="Times New Roman" w:hAnsi="Times New Roman" w:cs="Times New Roman"/>
          <w:sz w:val="20"/>
          <w:szCs w:val="20"/>
        </w:rPr>
        <w:t xml:space="preserve">applications to extend the duration of </w:t>
      </w:r>
      <w:r w:rsidRPr="001D767D">
        <w:rPr>
          <w:rFonts w:ascii="Times New Roman" w:eastAsia="Times New Roman" w:hAnsi="Times New Roman" w:cs="Times New Roman"/>
          <w:sz w:val="20"/>
          <w:szCs w:val="20"/>
        </w:rPr>
        <w:t>activities within the scope of article 6 of the Convention</w:t>
      </w:r>
      <w:r w:rsidR="00EB7879" w:rsidRPr="001D767D">
        <w:rPr>
          <w:rFonts w:ascii="Times New Roman" w:eastAsia="Times New Roman" w:hAnsi="Times New Roman" w:cs="Times New Roman"/>
          <w:sz w:val="20"/>
          <w:szCs w:val="20"/>
        </w:rPr>
        <w:t>. This means that</w:t>
      </w:r>
      <w:r w:rsidR="00EA5ACA" w:rsidRPr="001D767D">
        <w:rPr>
          <w:rFonts w:ascii="Times New Roman" w:eastAsia="Times New Roman" w:hAnsi="Times New Roman" w:cs="Times New Roman"/>
          <w:sz w:val="20"/>
          <w:szCs w:val="20"/>
        </w:rPr>
        <w:t>,</w:t>
      </w:r>
      <w:r w:rsidR="00EB7879" w:rsidRPr="001D767D">
        <w:rPr>
          <w:rFonts w:ascii="Times New Roman" w:eastAsia="Times New Roman" w:hAnsi="Times New Roman" w:cs="Times New Roman"/>
          <w:sz w:val="20"/>
          <w:szCs w:val="20"/>
        </w:rPr>
        <w:t xml:space="preserve"> </w:t>
      </w:r>
      <w:proofErr w:type="gramStart"/>
      <w:r w:rsidR="00C134B1" w:rsidRPr="001D767D">
        <w:rPr>
          <w:rFonts w:ascii="Times New Roman" w:eastAsia="Times New Roman" w:hAnsi="Times New Roman" w:cs="Times New Roman"/>
          <w:sz w:val="20"/>
          <w:szCs w:val="20"/>
        </w:rPr>
        <w:t>by virtue of</w:t>
      </w:r>
      <w:proofErr w:type="gramEnd"/>
      <w:r w:rsidR="00EB7879" w:rsidRPr="001D767D">
        <w:rPr>
          <w:rFonts w:ascii="Times New Roman" w:eastAsia="Times New Roman" w:hAnsi="Times New Roman" w:cs="Times New Roman"/>
          <w:sz w:val="20"/>
          <w:szCs w:val="20"/>
        </w:rPr>
        <w:t xml:space="preserve"> section 42</w:t>
      </w:r>
      <w:r w:rsidR="00862254" w:rsidRPr="001D767D">
        <w:rPr>
          <w:rFonts w:ascii="Times New Roman" w:eastAsia="Times New Roman" w:hAnsi="Times New Roman" w:cs="Times New Roman"/>
          <w:sz w:val="20"/>
          <w:szCs w:val="20"/>
        </w:rPr>
        <w:t>(1)(a)</w:t>
      </w:r>
      <w:r w:rsidR="00EA5ACA" w:rsidRPr="001D767D">
        <w:rPr>
          <w:rFonts w:ascii="Times New Roman" w:eastAsia="Times New Roman" w:hAnsi="Times New Roman" w:cs="Times New Roman"/>
          <w:sz w:val="20"/>
          <w:szCs w:val="20"/>
        </w:rPr>
        <w:t>,</w:t>
      </w:r>
      <w:r w:rsidR="00862254" w:rsidRPr="001D767D">
        <w:rPr>
          <w:rFonts w:ascii="Times New Roman" w:eastAsia="Times New Roman" w:hAnsi="Times New Roman" w:cs="Times New Roman"/>
          <w:sz w:val="20"/>
          <w:szCs w:val="20"/>
        </w:rPr>
        <w:t xml:space="preserve"> </w:t>
      </w:r>
      <w:r w:rsidRPr="001D767D">
        <w:rPr>
          <w:rFonts w:ascii="Times New Roman" w:eastAsia="Times New Roman" w:hAnsi="Times New Roman" w:cs="Times New Roman"/>
          <w:sz w:val="20"/>
          <w:szCs w:val="20"/>
        </w:rPr>
        <w:t>the duration of activities within the scope of article 6 of the Convention can be extended for a period of up to 5 years without any opportunity for the public to participate.</w:t>
      </w:r>
    </w:p>
    <w:p w14:paraId="149D064F" w14:textId="59C029FD" w:rsidR="00EB7879" w:rsidRPr="001D767D" w:rsidRDefault="00EB7879" w:rsidP="00784840">
      <w:pPr>
        <w:numPr>
          <w:ilvl w:val="0"/>
          <w:numId w:val="2"/>
        </w:numPr>
        <w:tabs>
          <w:tab w:val="right" w:pos="993"/>
          <w:tab w:val="left" w:pos="1080"/>
        </w:tabs>
        <w:spacing w:after="120" w:line="240" w:lineRule="atLeast"/>
        <w:ind w:left="540" w:right="-1" w:firstLine="0"/>
        <w:jc w:val="both"/>
        <w:rPr>
          <w:rFonts w:ascii="Times New Roman" w:eastAsia="Times New Roman" w:hAnsi="Times New Roman" w:cs="Times New Roman"/>
          <w:sz w:val="20"/>
          <w:szCs w:val="20"/>
        </w:rPr>
      </w:pPr>
      <w:r w:rsidRPr="001D767D">
        <w:rPr>
          <w:rFonts w:ascii="Times New Roman" w:eastAsia="Times New Roman" w:hAnsi="Times New Roman" w:cs="Times New Roman"/>
          <w:sz w:val="20"/>
          <w:szCs w:val="20"/>
        </w:rPr>
        <w:t>In paragraph</w:t>
      </w:r>
      <w:r w:rsidR="00EA5ACA" w:rsidRPr="001D767D">
        <w:rPr>
          <w:rFonts w:ascii="Times New Roman" w:eastAsia="Times New Roman" w:hAnsi="Times New Roman" w:cs="Times New Roman"/>
          <w:sz w:val="20"/>
          <w:szCs w:val="20"/>
        </w:rPr>
        <w:t xml:space="preserve">s </w:t>
      </w:r>
      <w:r w:rsidR="00EA5ACA" w:rsidRPr="001D767D">
        <w:rPr>
          <w:rFonts w:ascii="Times New Roman" w:hAnsi="Times New Roman"/>
          <w:sz w:val="20"/>
        </w:rPr>
        <w:fldChar w:fldCharType="begin"/>
      </w:r>
      <w:r w:rsidR="00EA5ACA" w:rsidRPr="001D767D">
        <w:rPr>
          <w:rFonts w:ascii="Times New Roman" w:hAnsi="Times New Roman"/>
          <w:sz w:val="20"/>
        </w:rPr>
        <w:instrText xml:space="preserve"> REF _Ref8246432 \r \h </w:instrText>
      </w:r>
      <w:r w:rsidR="008B39C8" w:rsidRPr="001D767D">
        <w:rPr>
          <w:rFonts w:ascii="Times New Roman" w:hAnsi="Times New Roman"/>
          <w:sz w:val="20"/>
        </w:rPr>
        <w:instrText xml:space="preserve"> \* MERGEFORMAT </w:instrText>
      </w:r>
      <w:r w:rsidR="00EA5ACA" w:rsidRPr="001D767D">
        <w:rPr>
          <w:rFonts w:ascii="Times New Roman" w:hAnsi="Times New Roman"/>
          <w:sz w:val="20"/>
        </w:rPr>
      </w:r>
      <w:r w:rsidR="00EA5ACA" w:rsidRPr="001D767D">
        <w:rPr>
          <w:rFonts w:ascii="Times New Roman" w:hAnsi="Times New Roman"/>
          <w:sz w:val="20"/>
        </w:rPr>
        <w:fldChar w:fldCharType="separate"/>
      </w:r>
      <w:r w:rsidR="001D767D" w:rsidRPr="001D767D">
        <w:rPr>
          <w:rFonts w:ascii="Times New Roman" w:hAnsi="Times New Roman" w:cs="Times New Roman"/>
          <w:sz w:val="20"/>
          <w:szCs w:val="20"/>
          <w:cs/>
        </w:rPr>
        <w:t>‎</w:t>
      </w:r>
      <w:r w:rsidR="001D767D" w:rsidRPr="001D767D">
        <w:rPr>
          <w:rFonts w:ascii="Times New Roman" w:hAnsi="Times New Roman"/>
          <w:sz w:val="20"/>
        </w:rPr>
        <w:t>83</w:t>
      </w:r>
      <w:r w:rsidR="00EA5ACA" w:rsidRPr="001D767D">
        <w:rPr>
          <w:rFonts w:ascii="Times New Roman" w:hAnsi="Times New Roman"/>
          <w:sz w:val="20"/>
        </w:rPr>
        <w:fldChar w:fldCharType="end"/>
      </w:r>
      <w:r w:rsidR="00EA5ACA" w:rsidRPr="001D767D">
        <w:rPr>
          <w:rFonts w:ascii="Times New Roman" w:hAnsi="Times New Roman"/>
          <w:sz w:val="20"/>
        </w:rPr>
        <w:t>–</w:t>
      </w:r>
      <w:r w:rsidR="00EA5ACA" w:rsidRPr="001D767D">
        <w:rPr>
          <w:rFonts w:ascii="Times New Roman" w:hAnsi="Times New Roman"/>
          <w:sz w:val="20"/>
        </w:rPr>
        <w:fldChar w:fldCharType="begin"/>
      </w:r>
      <w:r w:rsidR="00EA5ACA" w:rsidRPr="001D767D">
        <w:rPr>
          <w:rFonts w:ascii="Times New Roman" w:eastAsia="Times New Roman" w:hAnsi="Times New Roman" w:cs="Times New Roman"/>
          <w:sz w:val="20"/>
          <w:szCs w:val="20"/>
        </w:rPr>
        <w:instrText xml:space="preserve"> REF _Ref8246434 \r \h </w:instrText>
      </w:r>
      <w:r w:rsidR="008B39C8" w:rsidRPr="001D767D">
        <w:rPr>
          <w:rFonts w:ascii="Times New Roman" w:eastAsia="Times New Roman" w:hAnsi="Times New Roman" w:cs="Times New Roman"/>
          <w:sz w:val="20"/>
          <w:szCs w:val="20"/>
        </w:rPr>
        <w:instrText xml:space="preserve"> \* MERGEFORMAT </w:instrText>
      </w:r>
      <w:r w:rsidR="00EA5ACA" w:rsidRPr="001D767D">
        <w:rPr>
          <w:rFonts w:ascii="Times New Roman" w:hAnsi="Times New Roman"/>
          <w:sz w:val="20"/>
        </w:rPr>
      </w:r>
      <w:r w:rsidR="00EA5ACA" w:rsidRPr="001D767D">
        <w:rPr>
          <w:rFonts w:ascii="Times New Roman" w:hAnsi="Times New Roman"/>
          <w:sz w:val="20"/>
        </w:rPr>
        <w:fldChar w:fldCharType="separate"/>
      </w:r>
      <w:r w:rsidR="001D767D" w:rsidRPr="001D767D">
        <w:rPr>
          <w:rFonts w:ascii="Times New Roman" w:eastAsia="Times New Roman" w:hAnsi="Times New Roman" w:cs="Times New Roman"/>
          <w:sz w:val="20"/>
          <w:szCs w:val="20"/>
          <w:cs/>
        </w:rPr>
        <w:t>‎</w:t>
      </w:r>
      <w:r w:rsidR="001D767D" w:rsidRPr="001D767D">
        <w:rPr>
          <w:rFonts w:ascii="Times New Roman" w:eastAsia="Times New Roman" w:hAnsi="Times New Roman" w:cs="Times New Roman"/>
          <w:sz w:val="20"/>
          <w:szCs w:val="20"/>
        </w:rPr>
        <w:t>84</w:t>
      </w:r>
      <w:r w:rsidR="00EA5ACA" w:rsidRPr="001D767D">
        <w:rPr>
          <w:rFonts w:ascii="Times New Roman" w:hAnsi="Times New Roman"/>
          <w:sz w:val="20"/>
        </w:rPr>
        <w:fldChar w:fldCharType="end"/>
      </w:r>
      <w:r w:rsidR="00BD4153" w:rsidRPr="001D767D">
        <w:rPr>
          <w:rFonts w:ascii="Times New Roman" w:eastAsia="Times New Roman" w:hAnsi="Times New Roman" w:cs="Times New Roman"/>
          <w:sz w:val="20"/>
          <w:szCs w:val="20"/>
        </w:rPr>
        <w:fldChar w:fldCharType="begin"/>
      </w:r>
      <w:r w:rsidR="00BD4153" w:rsidRPr="001D767D">
        <w:rPr>
          <w:rFonts w:ascii="Times New Roman" w:eastAsia="Times New Roman" w:hAnsi="Times New Roman" w:cs="Times New Roman"/>
          <w:sz w:val="20"/>
          <w:szCs w:val="20"/>
        </w:rPr>
        <w:instrText xml:space="preserve"> REF _Ref3213534 \r \h  \* MERGEFORMAT </w:instrText>
      </w:r>
      <w:r w:rsidR="00BD4153" w:rsidRPr="001D767D">
        <w:rPr>
          <w:rFonts w:ascii="Times New Roman" w:eastAsia="Times New Roman" w:hAnsi="Times New Roman" w:cs="Times New Roman"/>
          <w:sz w:val="20"/>
          <w:szCs w:val="20"/>
        </w:rPr>
      </w:r>
      <w:r w:rsidR="00BD4153" w:rsidRPr="001D767D">
        <w:rPr>
          <w:rFonts w:ascii="Times New Roman" w:eastAsia="Times New Roman" w:hAnsi="Times New Roman" w:cs="Times New Roman"/>
          <w:sz w:val="20"/>
          <w:szCs w:val="20"/>
        </w:rPr>
        <w:fldChar w:fldCharType="separate"/>
      </w:r>
      <w:r w:rsidR="001D767D" w:rsidRPr="001D767D">
        <w:rPr>
          <w:rFonts w:ascii="Times New Roman" w:eastAsia="Times New Roman" w:hAnsi="Times New Roman" w:cs="Times New Roman"/>
          <w:sz w:val="20"/>
          <w:szCs w:val="20"/>
          <w:cs/>
        </w:rPr>
        <w:t>‎</w:t>
      </w:r>
      <w:r w:rsidR="001D767D" w:rsidRPr="001D767D">
        <w:rPr>
          <w:rFonts w:ascii="Times New Roman" w:eastAsia="Times New Roman" w:hAnsi="Times New Roman" w:cs="Times New Roman"/>
          <w:sz w:val="20"/>
          <w:szCs w:val="20"/>
        </w:rPr>
        <w:t>86</w:t>
      </w:r>
      <w:r w:rsidR="00BD4153" w:rsidRPr="001D767D">
        <w:rPr>
          <w:rFonts w:ascii="Times New Roman" w:eastAsia="Times New Roman" w:hAnsi="Times New Roman" w:cs="Times New Roman"/>
          <w:sz w:val="20"/>
          <w:szCs w:val="20"/>
        </w:rPr>
        <w:fldChar w:fldCharType="end"/>
      </w:r>
      <w:r w:rsidRPr="001D767D">
        <w:rPr>
          <w:rFonts w:ascii="Times New Roman" w:eastAsia="Times New Roman" w:hAnsi="Times New Roman" w:cs="Times New Roman"/>
          <w:sz w:val="20"/>
          <w:szCs w:val="20"/>
        </w:rPr>
        <w:t xml:space="preserve"> above the Committee </w:t>
      </w:r>
      <w:r w:rsidR="00C134B1" w:rsidRPr="001D767D">
        <w:rPr>
          <w:rFonts w:ascii="Times New Roman" w:eastAsia="Times New Roman" w:hAnsi="Times New Roman" w:cs="Times New Roman"/>
          <w:sz w:val="20"/>
          <w:szCs w:val="20"/>
        </w:rPr>
        <w:t>made clear</w:t>
      </w:r>
      <w:r w:rsidRPr="001D767D">
        <w:rPr>
          <w:rFonts w:ascii="Times New Roman" w:eastAsia="Times New Roman" w:hAnsi="Times New Roman" w:cs="Times New Roman"/>
          <w:sz w:val="20"/>
          <w:szCs w:val="20"/>
        </w:rPr>
        <w:t xml:space="preserve"> that</w:t>
      </w:r>
      <w:r w:rsidR="00C134B1" w:rsidRPr="001D767D">
        <w:rPr>
          <w:rFonts w:ascii="Times New Roman" w:eastAsia="Times New Roman" w:hAnsi="Times New Roman" w:cs="Times New Roman"/>
          <w:sz w:val="20"/>
          <w:szCs w:val="20"/>
        </w:rPr>
        <w:t xml:space="preserve">, save in exceptional circumstances </w:t>
      </w:r>
      <w:r w:rsidR="00862254" w:rsidRPr="001D767D">
        <w:rPr>
          <w:rFonts w:ascii="Times New Roman" w:eastAsia="Times New Roman" w:hAnsi="Times New Roman" w:cs="Times New Roman"/>
          <w:sz w:val="20"/>
          <w:szCs w:val="20"/>
        </w:rPr>
        <w:t>such as an extension</w:t>
      </w:r>
      <w:r w:rsidR="00C134B1" w:rsidRPr="001D767D">
        <w:rPr>
          <w:rFonts w:ascii="Times New Roman" w:eastAsia="Times New Roman" w:hAnsi="Times New Roman" w:cs="Times New Roman"/>
          <w:sz w:val="20"/>
          <w:szCs w:val="20"/>
        </w:rPr>
        <w:t xml:space="preserve"> of only very minimal duration, when extending the duration of a permit subject to article 6, </w:t>
      </w:r>
      <w:r w:rsidR="00C134B1" w:rsidRPr="001D767D">
        <w:rPr>
          <w:rFonts w:ascii="Times New Roman" w:hAnsi="Times New Roman"/>
          <w:sz w:val="20"/>
        </w:rPr>
        <w:t xml:space="preserve">it is </w:t>
      </w:r>
      <w:r w:rsidR="00BD4153" w:rsidRPr="001D767D">
        <w:rPr>
          <w:rFonts w:ascii="Times New Roman" w:eastAsia="Times New Roman" w:hAnsi="Times New Roman" w:cs="Times New Roman"/>
          <w:sz w:val="20"/>
          <w:szCs w:val="20"/>
        </w:rPr>
        <w:t>“</w:t>
      </w:r>
      <w:r w:rsidR="00C134B1" w:rsidRPr="001D767D">
        <w:rPr>
          <w:rFonts w:ascii="Times New Roman" w:hAnsi="Times New Roman"/>
          <w:sz w:val="20"/>
        </w:rPr>
        <w:t>appropriate</w:t>
      </w:r>
      <w:r w:rsidR="00BD4153" w:rsidRPr="001D767D">
        <w:rPr>
          <w:rFonts w:ascii="Times New Roman" w:eastAsia="Times New Roman" w:hAnsi="Times New Roman" w:cs="Times New Roman"/>
          <w:sz w:val="20"/>
          <w:szCs w:val="20"/>
        </w:rPr>
        <w:t>”</w:t>
      </w:r>
      <w:r w:rsidR="0098511B" w:rsidRPr="001D767D">
        <w:rPr>
          <w:rFonts w:ascii="Times New Roman" w:eastAsia="Times New Roman" w:hAnsi="Times New Roman" w:cs="Times New Roman"/>
          <w:sz w:val="20"/>
          <w:szCs w:val="20"/>
        </w:rPr>
        <w:t>, and thus required,</w:t>
      </w:r>
      <w:r w:rsidR="00C134B1" w:rsidRPr="001D767D">
        <w:rPr>
          <w:rFonts w:ascii="Times New Roman" w:eastAsia="Times New Roman" w:hAnsi="Times New Roman" w:cs="Times New Roman"/>
          <w:sz w:val="20"/>
          <w:szCs w:val="20"/>
        </w:rPr>
        <w:t xml:space="preserve"> to provide for public participation. The Committee also </w:t>
      </w:r>
      <w:r w:rsidR="00862254" w:rsidRPr="001D767D">
        <w:rPr>
          <w:rFonts w:ascii="Times New Roman" w:eastAsia="Times New Roman" w:hAnsi="Times New Roman" w:cs="Times New Roman"/>
          <w:sz w:val="20"/>
          <w:szCs w:val="20"/>
        </w:rPr>
        <w:t>made clear</w:t>
      </w:r>
      <w:r w:rsidR="00C134B1" w:rsidRPr="001D767D">
        <w:rPr>
          <w:rFonts w:ascii="Times New Roman" w:eastAsia="Times New Roman" w:hAnsi="Times New Roman" w:cs="Times New Roman"/>
          <w:sz w:val="20"/>
          <w:szCs w:val="20"/>
        </w:rPr>
        <w:t xml:space="preserve"> that an extension of an activity’s duration by five years is by no means minimal. </w:t>
      </w:r>
    </w:p>
    <w:p w14:paraId="427E7D61" w14:textId="65302414" w:rsidR="00654A4A" w:rsidRPr="001D767D" w:rsidRDefault="00654A4A" w:rsidP="00654A4A">
      <w:pPr>
        <w:numPr>
          <w:ilvl w:val="0"/>
          <w:numId w:val="2"/>
        </w:numPr>
        <w:tabs>
          <w:tab w:val="right" w:pos="993"/>
          <w:tab w:val="left" w:pos="1080"/>
        </w:tabs>
        <w:spacing w:after="120" w:line="240" w:lineRule="atLeast"/>
        <w:ind w:left="540" w:right="-1" w:firstLine="0"/>
        <w:jc w:val="both"/>
        <w:rPr>
          <w:rFonts w:ascii="Times New Roman" w:eastAsia="Times New Roman" w:hAnsi="Times New Roman" w:cs="Times New Roman"/>
          <w:sz w:val="20"/>
          <w:szCs w:val="20"/>
        </w:rPr>
      </w:pPr>
      <w:r w:rsidRPr="001D767D">
        <w:rPr>
          <w:rFonts w:ascii="Times New Roman" w:eastAsia="Times New Roman" w:hAnsi="Times New Roman" w:cs="Times New Roman"/>
          <w:sz w:val="20"/>
          <w:szCs w:val="20"/>
        </w:rPr>
        <w:t>In the light of the above, the Committee finds that, by providing mechanisms through which permits for activities subject to article 6 of the Convention may be extended for a period of up to 5 years without any opportunity for the public to participate in the decision to grant the extension, section 42(1)(a)(</w:t>
      </w:r>
      <w:proofErr w:type="spellStart"/>
      <w:r w:rsidRPr="001D767D">
        <w:rPr>
          <w:rFonts w:ascii="Times New Roman" w:eastAsia="Times New Roman" w:hAnsi="Times New Roman" w:cs="Times New Roman"/>
          <w:sz w:val="20"/>
          <w:szCs w:val="20"/>
        </w:rPr>
        <w:t>i</w:t>
      </w:r>
      <w:proofErr w:type="spellEnd"/>
      <w:r w:rsidRPr="001D767D">
        <w:rPr>
          <w:rFonts w:ascii="Times New Roman" w:eastAsia="Times New Roman" w:hAnsi="Times New Roman" w:cs="Times New Roman"/>
          <w:sz w:val="20"/>
          <w:szCs w:val="20"/>
        </w:rPr>
        <w:t xml:space="preserve">) and (ii) of the Planning and Development Act 2000 </w:t>
      </w:r>
      <w:r w:rsidR="0081599B" w:rsidRPr="001D767D">
        <w:rPr>
          <w:rFonts w:ascii="Times New Roman" w:eastAsia="Times New Roman" w:hAnsi="Times New Roman" w:cs="Times New Roman"/>
          <w:sz w:val="20"/>
          <w:szCs w:val="20"/>
        </w:rPr>
        <w:t>do not meet the requirements of article 6(10)</w:t>
      </w:r>
      <w:r w:rsidR="000728E6" w:rsidRPr="001D767D">
        <w:rPr>
          <w:rFonts w:ascii="Times New Roman" w:eastAsia="Times New Roman" w:hAnsi="Times New Roman" w:cs="Times New Roman"/>
          <w:sz w:val="20"/>
          <w:szCs w:val="20"/>
        </w:rPr>
        <w:t xml:space="preserve"> and thus </w:t>
      </w:r>
      <w:r w:rsidR="0081599B" w:rsidRPr="001D767D">
        <w:rPr>
          <w:rFonts w:ascii="Times New Roman" w:eastAsia="Times New Roman" w:hAnsi="Times New Roman" w:cs="Times New Roman"/>
          <w:sz w:val="20"/>
          <w:szCs w:val="20"/>
        </w:rPr>
        <w:t>the Party concerned fails to comply with article 6(10) of the Convention.</w:t>
      </w:r>
    </w:p>
    <w:p w14:paraId="116A067E" w14:textId="77777777" w:rsidR="00253F17" w:rsidRDefault="00253F17" w:rsidP="001D767D">
      <w:pPr>
        <w:tabs>
          <w:tab w:val="right" w:pos="993"/>
          <w:tab w:val="left" w:pos="1080"/>
        </w:tabs>
        <w:spacing w:before="240" w:after="120" w:line="240" w:lineRule="atLeast"/>
        <w:ind w:left="540" w:right="-1"/>
        <w:jc w:val="both"/>
        <w:rPr>
          <w:rFonts w:ascii="Times New Roman" w:eastAsia="Times New Roman" w:hAnsi="Times New Roman" w:cs="Times New Roman"/>
          <w:b/>
          <w:sz w:val="20"/>
          <w:szCs w:val="20"/>
        </w:rPr>
      </w:pPr>
    </w:p>
    <w:p w14:paraId="46164A9B" w14:textId="0B387EED" w:rsidR="00FC1568" w:rsidRPr="001D767D" w:rsidRDefault="00FC1568" w:rsidP="001D767D">
      <w:pPr>
        <w:tabs>
          <w:tab w:val="right" w:pos="993"/>
          <w:tab w:val="left" w:pos="1080"/>
        </w:tabs>
        <w:spacing w:before="240" w:after="120" w:line="240" w:lineRule="atLeast"/>
        <w:ind w:left="540" w:right="-1"/>
        <w:jc w:val="both"/>
        <w:rPr>
          <w:rFonts w:ascii="Times New Roman" w:eastAsia="Times New Roman" w:hAnsi="Times New Roman" w:cs="Times New Roman"/>
          <w:b/>
          <w:sz w:val="20"/>
          <w:szCs w:val="20"/>
        </w:rPr>
      </w:pPr>
      <w:r w:rsidRPr="001D767D">
        <w:rPr>
          <w:rFonts w:ascii="Times New Roman" w:eastAsia="Times New Roman" w:hAnsi="Times New Roman" w:cs="Times New Roman"/>
          <w:b/>
          <w:sz w:val="20"/>
          <w:szCs w:val="20"/>
        </w:rPr>
        <w:lastRenderedPageBreak/>
        <w:t>Article 7</w:t>
      </w:r>
    </w:p>
    <w:p w14:paraId="603907AE" w14:textId="256F3CA4" w:rsidR="00FC1568" w:rsidRPr="001D767D" w:rsidRDefault="00B860AA" w:rsidP="00784840">
      <w:pPr>
        <w:numPr>
          <w:ilvl w:val="0"/>
          <w:numId w:val="2"/>
        </w:numPr>
        <w:tabs>
          <w:tab w:val="right" w:pos="993"/>
          <w:tab w:val="left" w:pos="1080"/>
        </w:tabs>
        <w:spacing w:after="120" w:line="240" w:lineRule="atLeast"/>
        <w:ind w:left="540" w:right="-1" w:firstLine="0"/>
        <w:jc w:val="both"/>
        <w:rPr>
          <w:rFonts w:ascii="Times New Roman" w:eastAsia="Times New Roman" w:hAnsi="Times New Roman" w:cs="Times New Roman"/>
          <w:sz w:val="20"/>
          <w:szCs w:val="20"/>
        </w:rPr>
      </w:pPr>
      <w:r w:rsidRPr="001D767D">
        <w:rPr>
          <w:rFonts w:ascii="Times New Roman" w:eastAsia="Times New Roman" w:hAnsi="Times New Roman" w:cs="Times New Roman"/>
          <w:sz w:val="20"/>
          <w:szCs w:val="20"/>
        </w:rPr>
        <w:t xml:space="preserve">With respect to the communicant’s allegation that the 2013 </w:t>
      </w:r>
      <w:r w:rsidR="007C2B56" w:rsidRPr="001D767D">
        <w:rPr>
          <w:rFonts w:ascii="Times New Roman" w:eastAsia="Times New Roman" w:hAnsi="Times New Roman" w:cs="Times New Roman"/>
          <w:sz w:val="20"/>
          <w:szCs w:val="20"/>
        </w:rPr>
        <w:t xml:space="preserve">permits </w:t>
      </w:r>
      <w:r w:rsidR="00D60C86" w:rsidRPr="001D767D">
        <w:rPr>
          <w:rFonts w:ascii="Times New Roman" w:eastAsia="Times New Roman" w:hAnsi="Times New Roman" w:cs="Times New Roman"/>
          <w:sz w:val="20"/>
          <w:szCs w:val="20"/>
        </w:rPr>
        <w:t>should</w:t>
      </w:r>
      <w:r w:rsidR="00FC1568" w:rsidRPr="001D767D">
        <w:rPr>
          <w:rFonts w:ascii="Times New Roman" w:eastAsia="Times New Roman" w:hAnsi="Times New Roman" w:cs="Times New Roman"/>
          <w:sz w:val="20"/>
          <w:szCs w:val="20"/>
        </w:rPr>
        <w:t xml:space="preserve"> be considered a plan </w:t>
      </w:r>
      <w:r w:rsidR="00D60C86" w:rsidRPr="001D767D">
        <w:rPr>
          <w:rFonts w:ascii="Times New Roman" w:eastAsia="Times New Roman" w:hAnsi="Times New Roman" w:cs="Times New Roman"/>
          <w:sz w:val="20"/>
          <w:szCs w:val="20"/>
        </w:rPr>
        <w:t>relating to the environment under</w:t>
      </w:r>
      <w:r w:rsidR="00FC1568" w:rsidRPr="001D767D">
        <w:rPr>
          <w:rFonts w:ascii="Times New Roman" w:eastAsia="Times New Roman" w:hAnsi="Times New Roman" w:cs="Times New Roman"/>
          <w:sz w:val="20"/>
          <w:szCs w:val="20"/>
        </w:rPr>
        <w:t xml:space="preserve"> article 7 of the Convention</w:t>
      </w:r>
      <w:r w:rsidRPr="001D767D">
        <w:rPr>
          <w:rFonts w:ascii="Times New Roman" w:eastAsia="Times New Roman" w:hAnsi="Times New Roman" w:cs="Times New Roman"/>
          <w:sz w:val="20"/>
          <w:szCs w:val="20"/>
        </w:rPr>
        <w:t xml:space="preserve">, the </w:t>
      </w:r>
      <w:r w:rsidR="00FC1568" w:rsidRPr="001D767D">
        <w:rPr>
          <w:rFonts w:ascii="Times New Roman" w:eastAsia="Times New Roman" w:hAnsi="Times New Roman" w:cs="Times New Roman"/>
          <w:sz w:val="20"/>
          <w:szCs w:val="20"/>
        </w:rPr>
        <w:t>Committee consider</w:t>
      </w:r>
      <w:r w:rsidR="00D60C86" w:rsidRPr="001D767D">
        <w:rPr>
          <w:rFonts w:ascii="Times New Roman" w:eastAsia="Times New Roman" w:hAnsi="Times New Roman" w:cs="Times New Roman"/>
          <w:sz w:val="20"/>
          <w:szCs w:val="20"/>
        </w:rPr>
        <w:t>s</w:t>
      </w:r>
      <w:r w:rsidR="00FC1568" w:rsidRPr="001D767D">
        <w:rPr>
          <w:rFonts w:ascii="Times New Roman" w:eastAsia="Times New Roman" w:hAnsi="Times New Roman" w:cs="Times New Roman"/>
          <w:sz w:val="20"/>
          <w:szCs w:val="20"/>
        </w:rPr>
        <w:t xml:space="preserve"> that the communicant has provided </w:t>
      </w:r>
      <w:r w:rsidR="00D60C86" w:rsidRPr="001D767D">
        <w:rPr>
          <w:rFonts w:ascii="Times New Roman" w:eastAsia="Times New Roman" w:hAnsi="Times New Roman" w:cs="Times New Roman"/>
          <w:sz w:val="20"/>
          <w:szCs w:val="20"/>
        </w:rPr>
        <w:t xml:space="preserve">no </w:t>
      </w:r>
      <w:r w:rsidR="00FC1568" w:rsidRPr="001D767D">
        <w:rPr>
          <w:rFonts w:ascii="Times New Roman" w:eastAsia="Times New Roman" w:hAnsi="Times New Roman" w:cs="Times New Roman"/>
          <w:sz w:val="20"/>
          <w:szCs w:val="20"/>
        </w:rPr>
        <w:t xml:space="preserve">evidence </w:t>
      </w:r>
      <w:r w:rsidR="00DE647A" w:rsidRPr="001D767D">
        <w:rPr>
          <w:rFonts w:ascii="Times New Roman" w:eastAsia="Times New Roman" w:hAnsi="Times New Roman" w:cs="Times New Roman"/>
          <w:sz w:val="20"/>
          <w:szCs w:val="20"/>
        </w:rPr>
        <w:t>to</w:t>
      </w:r>
      <w:r w:rsidR="00D60C86" w:rsidRPr="001D767D">
        <w:rPr>
          <w:rFonts w:ascii="Times New Roman" w:eastAsia="Times New Roman" w:hAnsi="Times New Roman" w:cs="Times New Roman"/>
          <w:sz w:val="20"/>
          <w:szCs w:val="20"/>
        </w:rPr>
        <w:t xml:space="preserve"> </w:t>
      </w:r>
      <w:r w:rsidRPr="001D767D">
        <w:rPr>
          <w:rFonts w:ascii="Times New Roman" w:eastAsia="Times New Roman" w:hAnsi="Times New Roman" w:cs="Times New Roman"/>
          <w:sz w:val="20"/>
          <w:szCs w:val="20"/>
        </w:rPr>
        <w:t xml:space="preserve">substantiate </w:t>
      </w:r>
      <w:r w:rsidR="00D60C86" w:rsidRPr="001D767D">
        <w:rPr>
          <w:rFonts w:ascii="Times New Roman" w:eastAsia="Times New Roman" w:hAnsi="Times New Roman" w:cs="Times New Roman"/>
          <w:sz w:val="20"/>
          <w:szCs w:val="20"/>
        </w:rPr>
        <w:t xml:space="preserve">that the 2013 </w:t>
      </w:r>
      <w:r w:rsidR="007C2B56" w:rsidRPr="001D767D">
        <w:rPr>
          <w:rFonts w:ascii="Times New Roman" w:eastAsia="Times New Roman" w:hAnsi="Times New Roman" w:cs="Times New Roman"/>
          <w:sz w:val="20"/>
          <w:szCs w:val="20"/>
        </w:rPr>
        <w:t>permits</w:t>
      </w:r>
      <w:r w:rsidR="00FC1568" w:rsidRPr="001D767D">
        <w:rPr>
          <w:rFonts w:ascii="Times New Roman" w:eastAsia="Times New Roman" w:hAnsi="Times New Roman" w:cs="Times New Roman"/>
          <w:sz w:val="20"/>
          <w:szCs w:val="20"/>
        </w:rPr>
        <w:t xml:space="preserve">, either individually or </w:t>
      </w:r>
      <w:r w:rsidR="00D60C86" w:rsidRPr="001D767D">
        <w:rPr>
          <w:rFonts w:ascii="Times New Roman" w:eastAsia="Times New Roman" w:hAnsi="Times New Roman" w:cs="Times New Roman"/>
          <w:sz w:val="20"/>
          <w:szCs w:val="20"/>
        </w:rPr>
        <w:t xml:space="preserve">considered collectively with the </w:t>
      </w:r>
      <w:r w:rsidR="000A3F1D" w:rsidRPr="001D767D">
        <w:rPr>
          <w:rFonts w:ascii="Times New Roman" w:eastAsia="Times New Roman" w:hAnsi="Times New Roman" w:cs="Times New Roman"/>
          <w:sz w:val="20"/>
          <w:szCs w:val="20"/>
        </w:rPr>
        <w:t>1</w:t>
      </w:r>
      <w:r w:rsidR="00D60C86" w:rsidRPr="001D767D">
        <w:rPr>
          <w:rFonts w:ascii="Times New Roman" w:eastAsia="Times New Roman" w:hAnsi="Times New Roman" w:cs="Times New Roman"/>
          <w:sz w:val="20"/>
          <w:szCs w:val="20"/>
        </w:rPr>
        <w:t>99</w:t>
      </w:r>
      <w:r w:rsidR="003167D6" w:rsidRPr="001D767D">
        <w:rPr>
          <w:rFonts w:ascii="Times New Roman" w:eastAsia="Times New Roman" w:hAnsi="Times New Roman" w:cs="Times New Roman"/>
          <w:sz w:val="20"/>
          <w:szCs w:val="20"/>
        </w:rPr>
        <w:t>8</w:t>
      </w:r>
      <w:r w:rsidR="000A3F1D" w:rsidRPr="001D767D">
        <w:rPr>
          <w:rFonts w:ascii="Times New Roman" w:eastAsia="Times New Roman" w:hAnsi="Times New Roman" w:cs="Times New Roman"/>
          <w:sz w:val="20"/>
          <w:szCs w:val="20"/>
        </w:rPr>
        <w:t>, 2004 and 2010</w:t>
      </w:r>
      <w:r w:rsidR="00D60C86" w:rsidRPr="001D767D">
        <w:rPr>
          <w:rFonts w:ascii="Times New Roman" w:eastAsia="Times New Roman" w:hAnsi="Times New Roman" w:cs="Times New Roman"/>
          <w:sz w:val="20"/>
          <w:szCs w:val="20"/>
        </w:rPr>
        <w:t xml:space="preserve"> permits</w:t>
      </w:r>
      <w:r w:rsidR="00FC1568" w:rsidRPr="001D767D">
        <w:rPr>
          <w:rFonts w:ascii="Times New Roman" w:eastAsia="Times New Roman" w:hAnsi="Times New Roman" w:cs="Times New Roman"/>
          <w:sz w:val="20"/>
          <w:szCs w:val="20"/>
        </w:rPr>
        <w:t xml:space="preserve">, </w:t>
      </w:r>
      <w:r w:rsidR="00D60C86" w:rsidRPr="001D767D">
        <w:rPr>
          <w:rFonts w:ascii="Times New Roman" w:eastAsia="Times New Roman" w:hAnsi="Times New Roman" w:cs="Times New Roman"/>
          <w:sz w:val="20"/>
          <w:szCs w:val="20"/>
        </w:rPr>
        <w:t xml:space="preserve">would constitute </w:t>
      </w:r>
      <w:r w:rsidR="00FC1568" w:rsidRPr="001D767D">
        <w:rPr>
          <w:rFonts w:ascii="Times New Roman" w:eastAsia="Times New Roman" w:hAnsi="Times New Roman" w:cs="Times New Roman"/>
          <w:sz w:val="20"/>
          <w:szCs w:val="20"/>
        </w:rPr>
        <w:t xml:space="preserve">a plan </w:t>
      </w:r>
      <w:r w:rsidR="00D60C86" w:rsidRPr="001D767D">
        <w:rPr>
          <w:rFonts w:ascii="Times New Roman" w:eastAsia="Times New Roman" w:hAnsi="Times New Roman" w:cs="Times New Roman"/>
          <w:sz w:val="20"/>
          <w:szCs w:val="20"/>
        </w:rPr>
        <w:t xml:space="preserve">or programme under </w:t>
      </w:r>
      <w:r w:rsidR="00FC1568" w:rsidRPr="001D767D">
        <w:rPr>
          <w:rFonts w:ascii="Times New Roman" w:eastAsia="Times New Roman" w:hAnsi="Times New Roman" w:cs="Times New Roman"/>
          <w:sz w:val="20"/>
          <w:szCs w:val="20"/>
        </w:rPr>
        <w:t xml:space="preserve">article 7 of the Convention. The Committee </w:t>
      </w:r>
      <w:r w:rsidR="00D60C86" w:rsidRPr="001D767D">
        <w:rPr>
          <w:rFonts w:ascii="Times New Roman" w:eastAsia="Times New Roman" w:hAnsi="Times New Roman" w:cs="Times New Roman"/>
          <w:sz w:val="20"/>
          <w:szCs w:val="20"/>
        </w:rPr>
        <w:t>therefore finds this allegation to be unsubstantiated</w:t>
      </w:r>
      <w:r w:rsidR="00FC1568" w:rsidRPr="001D767D">
        <w:rPr>
          <w:rFonts w:ascii="Times New Roman" w:eastAsia="Times New Roman" w:hAnsi="Times New Roman" w:cs="Times New Roman"/>
          <w:sz w:val="20"/>
          <w:szCs w:val="20"/>
        </w:rPr>
        <w:t>.</w:t>
      </w:r>
    </w:p>
    <w:p w14:paraId="06E88338" w14:textId="77777777" w:rsidR="00FC1568" w:rsidRPr="001D767D" w:rsidRDefault="00FC1568" w:rsidP="00C62184">
      <w:pPr>
        <w:pStyle w:val="Heading2"/>
        <w:tabs>
          <w:tab w:val="right" w:pos="993"/>
        </w:tabs>
        <w:ind w:right="-1"/>
        <w:rPr>
          <w:szCs w:val="28"/>
        </w:rPr>
      </w:pPr>
      <w:r w:rsidRPr="001D767D">
        <w:rPr>
          <w:szCs w:val="28"/>
        </w:rPr>
        <w:t xml:space="preserve">Conclusions and recommendations </w:t>
      </w:r>
    </w:p>
    <w:p w14:paraId="20FEA921" w14:textId="77777777" w:rsidR="00FC1568" w:rsidRPr="001D767D" w:rsidRDefault="00FC1568" w:rsidP="00784840">
      <w:pPr>
        <w:numPr>
          <w:ilvl w:val="0"/>
          <w:numId w:val="2"/>
        </w:numPr>
        <w:tabs>
          <w:tab w:val="right" w:pos="993"/>
          <w:tab w:val="left" w:pos="1080"/>
        </w:tabs>
        <w:spacing w:after="120" w:line="240" w:lineRule="atLeast"/>
        <w:ind w:left="540" w:right="-1" w:firstLine="0"/>
        <w:jc w:val="both"/>
        <w:rPr>
          <w:rFonts w:ascii="Times New Roman" w:eastAsia="Times New Roman" w:hAnsi="Times New Roman" w:cs="Times New Roman"/>
          <w:sz w:val="20"/>
          <w:szCs w:val="20"/>
        </w:rPr>
      </w:pPr>
      <w:r w:rsidRPr="001D767D">
        <w:rPr>
          <w:rFonts w:ascii="Times New Roman" w:eastAsia="Times New Roman" w:hAnsi="Times New Roman" w:cs="Times New Roman"/>
          <w:sz w:val="20"/>
          <w:szCs w:val="20"/>
        </w:rPr>
        <w:t>Having considered the above, the Committee adopts the findings and recommendations set out in the following paragraphs.</w:t>
      </w:r>
    </w:p>
    <w:p w14:paraId="64AB09CA" w14:textId="77777777" w:rsidR="00FC1568" w:rsidRPr="001D767D" w:rsidRDefault="00FC1568" w:rsidP="00C62184">
      <w:pPr>
        <w:pStyle w:val="Heading3"/>
        <w:tabs>
          <w:tab w:val="right" w:pos="993"/>
        </w:tabs>
        <w:ind w:right="-1"/>
      </w:pPr>
      <w:r w:rsidRPr="001D767D">
        <w:t xml:space="preserve">Main findings </w:t>
      </w:r>
      <w:proofErr w:type="gramStart"/>
      <w:r w:rsidRPr="001D767D">
        <w:t>with regard to</w:t>
      </w:r>
      <w:proofErr w:type="gramEnd"/>
      <w:r w:rsidRPr="001D767D">
        <w:t xml:space="preserve"> non-compliance</w:t>
      </w:r>
    </w:p>
    <w:p w14:paraId="10A36A12" w14:textId="31B68EE2" w:rsidR="00FC1568" w:rsidRPr="001D767D" w:rsidRDefault="00AB3BD5" w:rsidP="00784840">
      <w:pPr>
        <w:numPr>
          <w:ilvl w:val="0"/>
          <w:numId w:val="2"/>
        </w:numPr>
        <w:tabs>
          <w:tab w:val="right" w:pos="993"/>
          <w:tab w:val="left" w:pos="1080"/>
        </w:tabs>
        <w:spacing w:after="120" w:line="240" w:lineRule="atLeast"/>
        <w:ind w:left="540" w:right="-1" w:firstLine="0"/>
        <w:jc w:val="both"/>
        <w:rPr>
          <w:rFonts w:ascii="Times New Roman" w:eastAsia="Times New Roman" w:hAnsi="Times New Roman" w:cs="Times New Roman"/>
          <w:sz w:val="20"/>
          <w:szCs w:val="20"/>
        </w:rPr>
      </w:pPr>
      <w:r w:rsidRPr="001D767D">
        <w:rPr>
          <w:rFonts w:ascii="Times New Roman" w:eastAsia="Times New Roman" w:hAnsi="Times New Roman" w:cs="Times New Roman"/>
          <w:sz w:val="20"/>
          <w:szCs w:val="20"/>
        </w:rPr>
        <w:t xml:space="preserve">The Committee finds that, by failing to provide opportunities for the public to participate in the decision-making on the 2013 </w:t>
      </w:r>
      <w:r w:rsidR="00600977" w:rsidRPr="001D767D">
        <w:rPr>
          <w:rFonts w:ascii="Times New Roman" w:hAnsi="Times New Roman"/>
          <w:sz w:val="20"/>
        </w:rPr>
        <w:t>permits</w:t>
      </w:r>
      <w:r w:rsidR="00600977" w:rsidRPr="001D767D">
        <w:rPr>
          <w:rFonts w:ascii="Times New Roman" w:eastAsia="Times New Roman" w:hAnsi="Times New Roman" w:cs="Times New Roman"/>
          <w:sz w:val="20"/>
          <w:szCs w:val="20"/>
        </w:rPr>
        <w:t xml:space="preserve"> </w:t>
      </w:r>
      <w:r w:rsidRPr="001D767D">
        <w:rPr>
          <w:rFonts w:ascii="Times New Roman" w:eastAsia="Times New Roman" w:hAnsi="Times New Roman" w:cs="Times New Roman"/>
          <w:sz w:val="20"/>
          <w:szCs w:val="20"/>
        </w:rPr>
        <w:t>to extend the duration</w:t>
      </w:r>
      <w:r w:rsidR="00862254" w:rsidRPr="001D767D">
        <w:rPr>
          <w:rFonts w:ascii="Times New Roman" w:eastAsia="Times New Roman" w:hAnsi="Times New Roman" w:cs="Times New Roman"/>
          <w:sz w:val="20"/>
          <w:szCs w:val="20"/>
        </w:rPr>
        <w:t xml:space="preserve"> of </w:t>
      </w:r>
      <w:proofErr w:type="spellStart"/>
      <w:r w:rsidR="005A3AF9" w:rsidRPr="001D767D">
        <w:rPr>
          <w:rFonts w:ascii="Times New Roman" w:eastAsia="Times New Roman" w:hAnsi="Times New Roman" w:cs="Times New Roman"/>
          <w:sz w:val="20"/>
          <w:szCs w:val="20"/>
        </w:rPr>
        <w:t>Trammon</w:t>
      </w:r>
      <w:proofErr w:type="spellEnd"/>
      <w:r w:rsidR="00862254" w:rsidRPr="001D767D">
        <w:rPr>
          <w:rFonts w:ascii="Times New Roman" w:eastAsia="Times New Roman" w:hAnsi="Times New Roman" w:cs="Times New Roman"/>
          <w:sz w:val="20"/>
          <w:szCs w:val="20"/>
        </w:rPr>
        <w:t xml:space="preserve"> quarry</w:t>
      </w:r>
      <w:r w:rsidRPr="001D767D">
        <w:rPr>
          <w:rFonts w:ascii="Times New Roman" w:eastAsia="Times New Roman" w:hAnsi="Times New Roman" w:cs="Times New Roman"/>
          <w:sz w:val="20"/>
          <w:szCs w:val="20"/>
        </w:rPr>
        <w:t>, the Party concerned has failed to comply with article 6</w:t>
      </w:r>
      <w:r w:rsidR="000A3F1D" w:rsidRPr="001D767D">
        <w:rPr>
          <w:rFonts w:ascii="Times New Roman" w:eastAsia="Times New Roman" w:hAnsi="Times New Roman" w:cs="Times New Roman"/>
          <w:sz w:val="20"/>
          <w:szCs w:val="20"/>
        </w:rPr>
        <w:t>(</w:t>
      </w:r>
      <w:r w:rsidRPr="001D767D">
        <w:rPr>
          <w:rFonts w:ascii="Times New Roman" w:eastAsia="Times New Roman" w:hAnsi="Times New Roman" w:cs="Times New Roman"/>
          <w:sz w:val="20"/>
          <w:szCs w:val="20"/>
        </w:rPr>
        <w:t>10</w:t>
      </w:r>
      <w:r w:rsidR="000A3F1D" w:rsidRPr="001D767D">
        <w:rPr>
          <w:rFonts w:ascii="Times New Roman" w:eastAsia="Times New Roman" w:hAnsi="Times New Roman" w:cs="Times New Roman"/>
          <w:sz w:val="20"/>
          <w:szCs w:val="20"/>
        </w:rPr>
        <w:t>)</w:t>
      </w:r>
      <w:r w:rsidRPr="001D767D">
        <w:rPr>
          <w:rFonts w:ascii="Times New Roman" w:eastAsia="Times New Roman" w:hAnsi="Times New Roman" w:cs="Times New Roman"/>
          <w:sz w:val="20"/>
          <w:szCs w:val="20"/>
        </w:rPr>
        <w:t xml:space="preserve"> of the Convention. Moreover, the Committee finds that, </w:t>
      </w:r>
      <w:r w:rsidR="004B0FA7" w:rsidRPr="001D767D">
        <w:rPr>
          <w:rFonts w:ascii="Times New Roman" w:eastAsia="Times New Roman" w:hAnsi="Times New Roman" w:cs="Times New Roman"/>
          <w:sz w:val="20"/>
          <w:szCs w:val="20"/>
        </w:rPr>
        <w:t>by providing mechanisms through which permits for activities subject to article 6 of the Convention may be extended for a period of up to 5 years without any opportunity for the public to participate in the decision to grant the extension, section 42(1)(a)(</w:t>
      </w:r>
      <w:proofErr w:type="spellStart"/>
      <w:r w:rsidR="004B0FA7" w:rsidRPr="001D767D">
        <w:rPr>
          <w:rFonts w:ascii="Times New Roman" w:eastAsia="Times New Roman" w:hAnsi="Times New Roman" w:cs="Times New Roman"/>
          <w:sz w:val="20"/>
          <w:szCs w:val="20"/>
        </w:rPr>
        <w:t>i</w:t>
      </w:r>
      <w:proofErr w:type="spellEnd"/>
      <w:r w:rsidR="004B0FA7" w:rsidRPr="001D767D">
        <w:rPr>
          <w:rFonts w:ascii="Times New Roman" w:eastAsia="Times New Roman" w:hAnsi="Times New Roman" w:cs="Times New Roman"/>
          <w:sz w:val="20"/>
          <w:szCs w:val="20"/>
        </w:rPr>
        <w:t xml:space="preserve">) and (ii) of the Planning and Development Act 2000 </w:t>
      </w:r>
      <w:r w:rsidR="0081599B" w:rsidRPr="001D767D">
        <w:rPr>
          <w:rFonts w:ascii="Times New Roman" w:eastAsia="Times New Roman" w:hAnsi="Times New Roman" w:cs="Times New Roman"/>
          <w:sz w:val="20"/>
          <w:szCs w:val="20"/>
        </w:rPr>
        <w:t>do not meet the requirements of article 6(10)</w:t>
      </w:r>
      <w:r w:rsidR="000728E6" w:rsidRPr="001D767D">
        <w:rPr>
          <w:rFonts w:ascii="Times New Roman" w:eastAsia="Times New Roman" w:hAnsi="Times New Roman" w:cs="Times New Roman"/>
          <w:sz w:val="20"/>
          <w:szCs w:val="20"/>
        </w:rPr>
        <w:t xml:space="preserve"> and thus </w:t>
      </w:r>
      <w:r w:rsidR="0081599B" w:rsidRPr="001D767D">
        <w:rPr>
          <w:rFonts w:ascii="Times New Roman" w:eastAsia="Times New Roman" w:hAnsi="Times New Roman" w:cs="Times New Roman"/>
          <w:sz w:val="20"/>
          <w:szCs w:val="20"/>
        </w:rPr>
        <w:t>the Party concerned fails to comply with article 6(10) of the Convention.</w:t>
      </w:r>
    </w:p>
    <w:p w14:paraId="6828E64A" w14:textId="77777777" w:rsidR="00FC1568" w:rsidRPr="001D767D" w:rsidRDefault="00FC1568" w:rsidP="00C62184">
      <w:pPr>
        <w:pStyle w:val="Heading3"/>
        <w:tabs>
          <w:tab w:val="right" w:pos="993"/>
        </w:tabs>
      </w:pPr>
      <w:r w:rsidRPr="001D767D">
        <w:t>Recommendations</w:t>
      </w:r>
    </w:p>
    <w:p w14:paraId="611C505F" w14:textId="5BACF4C3" w:rsidR="00E45A9D" w:rsidRPr="001D767D" w:rsidRDefault="00FC1568">
      <w:pPr>
        <w:numPr>
          <w:ilvl w:val="0"/>
          <w:numId w:val="2"/>
        </w:numPr>
        <w:tabs>
          <w:tab w:val="right" w:pos="993"/>
          <w:tab w:val="left" w:pos="1080"/>
        </w:tabs>
        <w:spacing w:after="120" w:line="240" w:lineRule="atLeast"/>
        <w:ind w:left="540" w:right="-1" w:firstLine="0"/>
        <w:jc w:val="both"/>
        <w:rPr>
          <w:rFonts w:ascii="Times New Roman" w:eastAsia="Times New Roman" w:hAnsi="Times New Roman" w:cs="Times New Roman"/>
          <w:sz w:val="20"/>
          <w:szCs w:val="20"/>
        </w:rPr>
      </w:pPr>
      <w:r w:rsidRPr="001D767D">
        <w:rPr>
          <w:rFonts w:ascii="Times New Roman" w:eastAsia="Times New Roman" w:hAnsi="Times New Roman" w:cs="Times New Roman"/>
          <w:sz w:val="20"/>
          <w:szCs w:val="20"/>
        </w:rPr>
        <w:t xml:space="preserve">The Committee, pursuant to paragraph 36(b) of the annex to decision I/7 of the Meeting of the Parties, </w:t>
      </w:r>
      <w:r w:rsidR="00A15DDB" w:rsidRPr="001D767D">
        <w:rPr>
          <w:rFonts w:ascii="Times New Roman" w:eastAsia="Times New Roman" w:hAnsi="Times New Roman" w:cs="Times New Roman"/>
          <w:sz w:val="20"/>
          <w:szCs w:val="20"/>
        </w:rPr>
        <w:t>[</w:t>
      </w:r>
      <w:r w:rsidRPr="001D767D">
        <w:rPr>
          <w:rFonts w:ascii="Times New Roman" w:eastAsia="Times New Roman" w:hAnsi="Times New Roman" w:cs="Times New Roman"/>
          <w:sz w:val="20"/>
          <w:szCs w:val="20"/>
        </w:rPr>
        <w:t>and noting the agreement of the Party concerned that the Committee take the measures requested in paragraph 37(b) of the annex to decision I/7</w:t>
      </w:r>
      <w:r w:rsidR="00A15DDB" w:rsidRPr="001D767D">
        <w:rPr>
          <w:rFonts w:ascii="Times New Roman" w:eastAsia="Times New Roman" w:hAnsi="Times New Roman" w:cs="Times New Roman"/>
          <w:sz w:val="20"/>
          <w:szCs w:val="20"/>
        </w:rPr>
        <w:t>]</w:t>
      </w:r>
      <w:r w:rsidRPr="001D767D">
        <w:rPr>
          <w:rFonts w:ascii="Times New Roman" w:eastAsia="Times New Roman" w:hAnsi="Times New Roman" w:cs="Times New Roman"/>
          <w:sz w:val="20"/>
          <w:szCs w:val="20"/>
        </w:rPr>
        <w:t>,</w:t>
      </w:r>
      <w:r w:rsidR="000A2F6D" w:rsidRPr="001D767D">
        <w:rPr>
          <w:rFonts w:ascii="Times New Roman" w:eastAsia="Times New Roman" w:hAnsi="Times New Roman" w:cs="Times New Roman"/>
          <w:sz w:val="20"/>
          <w:szCs w:val="20"/>
        </w:rPr>
        <w:t xml:space="preserve"> recommends that</w:t>
      </w:r>
      <w:r w:rsidR="00125B1C" w:rsidRPr="001D767D">
        <w:rPr>
          <w:rFonts w:ascii="Times New Roman" w:eastAsia="Times New Roman" w:hAnsi="Times New Roman" w:cs="Times New Roman"/>
          <w:sz w:val="20"/>
          <w:szCs w:val="20"/>
        </w:rPr>
        <w:t xml:space="preserve">, with regard to </w:t>
      </w:r>
      <w:r w:rsidR="000A2F6D" w:rsidRPr="001D767D">
        <w:rPr>
          <w:rFonts w:ascii="Times New Roman" w:eastAsia="Times New Roman" w:hAnsi="Times New Roman" w:cs="Times New Roman"/>
          <w:sz w:val="20"/>
          <w:szCs w:val="20"/>
        </w:rPr>
        <w:t xml:space="preserve"> </w:t>
      </w:r>
      <w:r w:rsidR="00125B1C" w:rsidRPr="001D767D">
        <w:rPr>
          <w:rFonts w:ascii="Times New Roman" w:eastAsia="Times New Roman" w:hAnsi="Times New Roman" w:cs="Times New Roman"/>
          <w:sz w:val="20"/>
          <w:szCs w:val="20"/>
        </w:rPr>
        <w:t>section 42(1)(a)(</w:t>
      </w:r>
      <w:proofErr w:type="spellStart"/>
      <w:r w:rsidR="00125B1C" w:rsidRPr="001D767D">
        <w:rPr>
          <w:rFonts w:ascii="Times New Roman" w:eastAsia="Times New Roman" w:hAnsi="Times New Roman" w:cs="Times New Roman"/>
          <w:sz w:val="20"/>
          <w:szCs w:val="20"/>
        </w:rPr>
        <w:t>i</w:t>
      </w:r>
      <w:proofErr w:type="spellEnd"/>
      <w:r w:rsidR="00125B1C" w:rsidRPr="001D767D">
        <w:rPr>
          <w:rFonts w:ascii="Times New Roman" w:eastAsia="Times New Roman" w:hAnsi="Times New Roman" w:cs="Times New Roman"/>
          <w:sz w:val="20"/>
          <w:szCs w:val="20"/>
        </w:rPr>
        <w:t xml:space="preserve">) and (ii) of </w:t>
      </w:r>
      <w:r w:rsidR="003014BC" w:rsidRPr="001D767D">
        <w:rPr>
          <w:rFonts w:ascii="Times New Roman" w:eastAsia="Times New Roman" w:hAnsi="Times New Roman" w:cs="Times New Roman"/>
          <w:sz w:val="20"/>
          <w:szCs w:val="20"/>
        </w:rPr>
        <w:t>the</w:t>
      </w:r>
      <w:r w:rsidR="00125B1C" w:rsidRPr="001D767D">
        <w:rPr>
          <w:rFonts w:ascii="Times New Roman" w:eastAsia="Times New Roman" w:hAnsi="Times New Roman" w:cs="Times New Roman"/>
          <w:sz w:val="20"/>
          <w:szCs w:val="20"/>
        </w:rPr>
        <w:t xml:space="preserve"> Planning and Development Act 2000, </w:t>
      </w:r>
      <w:r w:rsidR="000A2F6D" w:rsidRPr="001D767D">
        <w:rPr>
          <w:rFonts w:ascii="Times New Roman" w:eastAsia="Times New Roman" w:hAnsi="Times New Roman" w:cs="Times New Roman"/>
          <w:sz w:val="20"/>
          <w:szCs w:val="20"/>
        </w:rPr>
        <w:t>the Party concerned</w:t>
      </w:r>
      <w:r w:rsidR="00E45A9D" w:rsidRPr="001D767D">
        <w:rPr>
          <w:rFonts w:ascii="Times New Roman" w:eastAsia="Times New Roman" w:hAnsi="Times New Roman" w:cs="Times New Roman"/>
          <w:sz w:val="20"/>
          <w:szCs w:val="20"/>
        </w:rPr>
        <w:t>:</w:t>
      </w:r>
      <w:r w:rsidR="000A2F6D" w:rsidRPr="001D767D">
        <w:rPr>
          <w:rFonts w:ascii="Times New Roman" w:eastAsia="Times New Roman" w:hAnsi="Times New Roman" w:cs="Times New Roman"/>
          <w:sz w:val="20"/>
          <w:szCs w:val="20"/>
        </w:rPr>
        <w:t xml:space="preserve"> </w:t>
      </w:r>
    </w:p>
    <w:p w14:paraId="12682D2F" w14:textId="0FC03BEF" w:rsidR="000A2F6D" w:rsidRPr="001D767D" w:rsidRDefault="00E45A9D" w:rsidP="004875F0">
      <w:pPr>
        <w:pStyle w:val="ListParagraph"/>
        <w:numPr>
          <w:ilvl w:val="0"/>
          <w:numId w:val="3"/>
        </w:numPr>
        <w:tabs>
          <w:tab w:val="left" w:pos="1080"/>
        </w:tabs>
        <w:spacing w:after="120" w:line="240" w:lineRule="atLeast"/>
        <w:ind w:left="567" w:right="-1" w:firstLine="426"/>
        <w:jc w:val="both"/>
        <w:rPr>
          <w:rFonts w:ascii="Times New Roman" w:eastAsia="Times New Roman" w:hAnsi="Times New Roman" w:cs="Times New Roman"/>
          <w:sz w:val="20"/>
          <w:szCs w:val="20"/>
        </w:rPr>
      </w:pPr>
      <w:r w:rsidRPr="001D767D">
        <w:rPr>
          <w:rFonts w:ascii="Times New Roman" w:eastAsia="Times New Roman" w:hAnsi="Times New Roman" w:cs="Times New Roman"/>
          <w:sz w:val="20"/>
          <w:szCs w:val="20"/>
        </w:rPr>
        <w:t>T</w:t>
      </w:r>
      <w:r w:rsidR="000A2F6D" w:rsidRPr="001D767D">
        <w:rPr>
          <w:rFonts w:ascii="Times New Roman" w:eastAsia="Times New Roman" w:hAnsi="Times New Roman" w:cs="Times New Roman"/>
          <w:sz w:val="20"/>
          <w:szCs w:val="20"/>
        </w:rPr>
        <w:t>ake</w:t>
      </w:r>
      <w:r w:rsidR="00125B1C" w:rsidRPr="001D767D">
        <w:rPr>
          <w:rFonts w:ascii="Times New Roman" w:eastAsia="Times New Roman" w:hAnsi="Times New Roman" w:cs="Times New Roman"/>
          <w:sz w:val="20"/>
          <w:szCs w:val="20"/>
        </w:rPr>
        <w:t>s</w:t>
      </w:r>
      <w:r w:rsidR="000A2F6D" w:rsidRPr="001D767D">
        <w:rPr>
          <w:rFonts w:ascii="Times New Roman" w:eastAsia="Times New Roman" w:hAnsi="Times New Roman" w:cs="Times New Roman"/>
          <w:sz w:val="20"/>
          <w:szCs w:val="20"/>
        </w:rPr>
        <w:t xml:space="preserve"> the necessary legislative measures</w:t>
      </w:r>
      <w:r w:rsidR="00125B1C" w:rsidRPr="001D767D">
        <w:rPr>
          <w:rFonts w:ascii="Times New Roman" w:eastAsia="Times New Roman" w:hAnsi="Times New Roman" w:cs="Times New Roman"/>
          <w:sz w:val="20"/>
          <w:szCs w:val="20"/>
        </w:rPr>
        <w:t xml:space="preserve"> </w:t>
      </w:r>
      <w:r w:rsidR="000A2F6D" w:rsidRPr="001D767D">
        <w:rPr>
          <w:rFonts w:ascii="Times New Roman" w:eastAsia="Times New Roman" w:hAnsi="Times New Roman" w:cs="Times New Roman"/>
          <w:sz w:val="20"/>
          <w:szCs w:val="20"/>
        </w:rPr>
        <w:t xml:space="preserve">to ensure that </w:t>
      </w:r>
      <w:r w:rsidR="003014BC" w:rsidRPr="001D767D">
        <w:rPr>
          <w:rFonts w:ascii="Times New Roman" w:eastAsia="Times New Roman" w:hAnsi="Times New Roman" w:cs="Times New Roman"/>
          <w:sz w:val="20"/>
          <w:szCs w:val="20"/>
        </w:rPr>
        <w:t>permi</w:t>
      </w:r>
      <w:r w:rsidR="00600977" w:rsidRPr="001D767D">
        <w:rPr>
          <w:rFonts w:ascii="Times New Roman" w:eastAsia="Times New Roman" w:hAnsi="Times New Roman" w:cs="Times New Roman"/>
          <w:sz w:val="20"/>
          <w:szCs w:val="20"/>
        </w:rPr>
        <w:t>ts</w:t>
      </w:r>
      <w:r w:rsidR="003014BC" w:rsidRPr="001D767D">
        <w:rPr>
          <w:rFonts w:ascii="Times New Roman" w:eastAsia="Times New Roman" w:hAnsi="Times New Roman" w:cs="Times New Roman"/>
          <w:sz w:val="20"/>
          <w:szCs w:val="20"/>
        </w:rPr>
        <w:t xml:space="preserve"> for </w:t>
      </w:r>
      <w:r w:rsidR="000A2F6D" w:rsidRPr="001D767D">
        <w:rPr>
          <w:rFonts w:ascii="Times New Roman" w:eastAsia="Times New Roman" w:hAnsi="Times New Roman" w:cs="Times New Roman"/>
          <w:sz w:val="20"/>
          <w:szCs w:val="20"/>
        </w:rPr>
        <w:t>activities subject to article 6 of the Convention can</w:t>
      </w:r>
      <w:r w:rsidRPr="001D767D">
        <w:rPr>
          <w:rFonts w:ascii="Times New Roman" w:eastAsia="Times New Roman" w:hAnsi="Times New Roman" w:cs="Times New Roman"/>
          <w:sz w:val="20"/>
          <w:szCs w:val="20"/>
        </w:rPr>
        <w:t>not</w:t>
      </w:r>
      <w:r w:rsidR="000A2F6D" w:rsidRPr="001D767D">
        <w:rPr>
          <w:rFonts w:ascii="Times New Roman" w:eastAsia="Times New Roman" w:hAnsi="Times New Roman" w:cs="Times New Roman"/>
          <w:sz w:val="20"/>
          <w:szCs w:val="20"/>
        </w:rPr>
        <w:t xml:space="preserve"> be extended</w:t>
      </w:r>
      <w:r w:rsidR="004D31D5" w:rsidRPr="001D767D">
        <w:rPr>
          <w:rFonts w:ascii="Times New Roman" w:eastAsia="Times New Roman" w:hAnsi="Times New Roman" w:cs="Times New Roman"/>
          <w:sz w:val="20"/>
          <w:szCs w:val="20"/>
        </w:rPr>
        <w:t>, except for a minimal duration,</w:t>
      </w:r>
      <w:r w:rsidR="000A2F6D" w:rsidRPr="001D767D">
        <w:rPr>
          <w:rFonts w:ascii="Times New Roman" w:eastAsia="Times New Roman" w:hAnsi="Times New Roman" w:cs="Times New Roman"/>
          <w:sz w:val="20"/>
          <w:szCs w:val="20"/>
        </w:rPr>
        <w:t xml:space="preserve"> without </w:t>
      </w:r>
      <w:r w:rsidR="004D31D5" w:rsidRPr="001D767D">
        <w:rPr>
          <w:rFonts w:ascii="Times New Roman" w:eastAsia="Times New Roman" w:hAnsi="Times New Roman" w:cs="Times New Roman"/>
          <w:sz w:val="20"/>
          <w:szCs w:val="20"/>
        </w:rPr>
        <w:t>ensuring opportunities</w:t>
      </w:r>
      <w:r w:rsidR="000A2F6D" w:rsidRPr="001D767D">
        <w:rPr>
          <w:rFonts w:ascii="Times New Roman" w:eastAsia="Times New Roman" w:hAnsi="Times New Roman" w:cs="Times New Roman"/>
          <w:sz w:val="20"/>
          <w:szCs w:val="20"/>
        </w:rPr>
        <w:t xml:space="preserve"> for the public</w:t>
      </w:r>
      <w:r w:rsidR="004D31D5" w:rsidRPr="001D767D">
        <w:rPr>
          <w:rFonts w:ascii="Times New Roman" w:eastAsia="Times New Roman" w:hAnsi="Times New Roman" w:cs="Times New Roman"/>
          <w:sz w:val="20"/>
          <w:szCs w:val="20"/>
        </w:rPr>
        <w:t xml:space="preserve"> </w:t>
      </w:r>
      <w:r w:rsidR="000A2F6D" w:rsidRPr="001D767D">
        <w:rPr>
          <w:rFonts w:ascii="Times New Roman" w:eastAsia="Times New Roman" w:hAnsi="Times New Roman" w:cs="Times New Roman"/>
          <w:sz w:val="20"/>
          <w:szCs w:val="20"/>
        </w:rPr>
        <w:t xml:space="preserve">to participate </w:t>
      </w:r>
      <w:r w:rsidR="00B94A66" w:rsidRPr="001D767D">
        <w:rPr>
          <w:rFonts w:ascii="Times New Roman" w:eastAsia="Times New Roman" w:hAnsi="Times New Roman" w:cs="Times New Roman"/>
          <w:sz w:val="20"/>
          <w:szCs w:val="20"/>
        </w:rPr>
        <w:t>in the decision to grant that extension</w:t>
      </w:r>
      <w:r w:rsidR="00125B1C" w:rsidRPr="001D767D">
        <w:rPr>
          <w:rFonts w:ascii="Times New Roman" w:eastAsia="Times New Roman" w:hAnsi="Times New Roman" w:cs="Times New Roman"/>
          <w:sz w:val="20"/>
          <w:szCs w:val="20"/>
        </w:rPr>
        <w:t xml:space="preserve"> in accordance with article 6(2)-(9) of the Convention</w:t>
      </w:r>
      <w:r w:rsidR="003014BC" w:rsidRPr="001D767D">
        <w:rPr>
          <w:rFonts w:ascii="Times New Roman" w:eastAsia="Times New Roman" w:hAnsi="Times New Roman" w:cs="Times New Roman"/>
          <w:sz w:val="20"/>
          <w:szCs w:val="20"/>
        </w:rPr>
        <w:t>;</w:t>
      </w:r>
    </w:p>
    <w:p w14:paraId="6AA76D88" w14:textId="77777777" w:rsidR="00125B1C" w:rsidRPr="001D767D" w:rsidRDefault="00125B1C" w:rsidP="004875F0">
      <w:pPr>
        <w:pStyle w:val="ListParagraph"/>
        <w:tabs>
          <w:tab w:val="left" w:pos="1080"/>
        </w:tabs>
        <w:spacing w:after="120" w:line="240" w:lineRule="atLeast"/>
        <w:ind w:left="567" w:right="-1" w:firstLine="426"/>
        <w:jc w:val="both"/>
        <w:rPr>
          <w:rFonts w:ascii="Times New Roman" w:eastAsia="Times New Roman" w:hAnsi="Times New Roman" w:cs="Times New Roman"/>
          <w:sz w:val="20"/>
          <w:szCs w:val="20"/>
        </w:rPr>
      </w:pPr>
    </w:p>
    <w:p w14:paraId="06BFB6B7" w14:textId="29A95A5B" w:rsidR="00E45A9D" w:rsidRPr="001D767D" w:rsidRDefault="00125B1C" w:rsidP="004875F0">
      <w:pPr>
        <w:pStyle w:val="ListParagraph"/>
        <w:numPr>
          <w:ilvl w:val="0"/>
          <w:numId w:val="3"/>
        </w:numPr>
        <w:tabs>
          <w:tab w:val="left" w:pos="1080"/>
        </w:tabs>
        <w:spacing w:after="120" w:line="240" w:lineRule="atLeast"/>
        <w:ind w:left="567" w:right="-1" w:firstLine="426"/>
        <w:jc w:val="both"/>
        <w:rPr>
          <w:rFonts w:ascii="Times New Roman" w:eastAsia="Times New Roman" w:hAnsi="Times New Roman" w:cs="Times New Roman"/>
          <w:sz w:val="20"/>
          <w:szCs w:val="20"/>
        </w:rPr>
      </w:pPr>
      <w:r w:rsidRPr="001D767D">
        <w:rPr>
          <w:rFonts w:ascii="Times New Roman" w:eastAsia="Times New Roman" w:hAnsi="Times New Roman" w:cs="Times New Roman"/>
          <w:sz w:val="20"/>
          <w:szCs w:val="20"/>
        </w:rPr>
        <w:t xml:space="preserve">Takes the necessary </w:t>
      </w:r>
      <w:r w:rsidR="00C34FCE" w:rsidRPr="001D767D">
        <w:rPr>
          <w:rFonts w:ascii="Times New Roman" w:eastAsia="Times New Roman" w:hAnsi="Times New Roman" w:cs="Times New Roman"/>
          <w:sz w:val="20"/>
          <w:szCs w:val="20"/>
        </w:rPr>
        <w:t>steps</w:t>
      </w:r>
      <w:r w:rsidR="00C34FCE" w:rsidRPr="001D767D">
        <w:rPr>
          <w:rFonts w:ascii="Times New Roman" w:hAnsi="Times New Roman"/>
          <w:sz w:val="20"/>
        </w:rPr>
        <w:t xml:space="preserve"> </w:t>
      </w:r>
      <w:r w:rsidRPr="001D767D">
        <w:rPr>
          <w:rFonts w:ascii="Times New Roman" w:eastAsia="Times New Roman" w:hAnsi="Times New Roman" w:cs="Times New Roman"/>
          <w:sz w:val="20"/>
          <w:szCs w:val="20"/>
        </w:rPr>
        <w:t xml:space="preserve">to ensure the </w:t>
      </w:r>
      <w:r w:rsidR="00E45A9D" w:rsidRPr="001D767D">
        <w:rPr>
          <w:rFonts w:ascii="Times New Roman" w:eastAsia="Times New Roman" w:hAnsi="Times New Roman" w:cs="Times New Roman"/>
          <w:sz w:val="20"/>
          <w:szCs w:val="20"/>
        </w:rPr>
        <w:t xml:space="preserve">prompt enactment of the </w:t>
      </w:r>
      <w:r w:rsidR="00E45A9D" w:rsidRPr="001D767D">
        <w:rPr>
          <w:rFonts w:ascii="Times New Roman" w:hAnsi="Times New Roman"/>
          <w:sz w:val="20"/>
        </w:rPr>
        <w:t xml:space="preserve">measures </w:t>
      </w:r>
      <w:r w:rsidRPr="001D767D">
        <w:rPr>
          <w:rFonts w:ascii="Times New Roman" w:hAnsi="Times New Roman"/>
          <w:sz w:val="20"/>
        </w:rPr>
        <w:t>to</w:t>
      </w:r>
      <w:r w:rsidRPr="001D767D">
        <w:rPr>
          <w:rFonts w:ascii="Times New Roman" w:eastAsia="Times New Roman" w:hAnsi="Times New Roman" w:cs="Times New Roman"/>
          <w:sz w:val="20"/>
          <w:szCs w:val="20"/>
        </w:rPr>
        <w:t xml:space="preserve"> fulfil the recommendation in paragraph (a) above.</w:t>
      </w:r>
    </w:p>
    <w:p w14:paraId="73ADAF03" w14:textId="71753917" w:rsidR="00FC1568" w:rsidRDefault="00FC1568" w:rsidP="001D767D">
      <w:pPr>
        <w:tabs>
          <w:tab w:val="right" w:pos="993"/>
          <w:tab w:val="left" w:pos="1080"/>
        </w:tabs>
        <w:spacing w:after="120" w:line="240" w:lineRule="atLeast"/>
        <w:ind w:left="567" w:right="-1"/>
        <w:jc w:val="both"/>
        <w:rPr>
          <w:rFonts w:ascii="Times New Roman" w:eastAsia="Times New Roman" w:hAnsi="Times New Roman" w:cs="Times New Roman"/>
          <w:sz w:val="20"/>
          <w:szCs w:val="20"/>
        </w:rPr>
      </w:pPr>
    </w:p>
    <w:p w14:paraId="32012856" w14:textId="77777777" w:rsidR="001D767D" w:rsidRPr="001D767D" w:rsidRDefault="001D767D" w:rsidP="000A2F6D">
      <w:pPr>
        <w:tabs>
          <w:tab w:val="right" w:pos="993"/>
          <w:tab w:val="left" w:pos="1080"/>
        </w:tabs>
        <w:spacing w:after="120" w:line="240" w:lineRule="atLeast"/>
        <w:ind w:left="540" w:right="-1"/>
        <w:jc w:val="both"/>
        <w:rPr>
          <w:rFonts w:ascii="Times New Roman" w:hAnsi="Times New Roman" w:cs="Times New Roman"/>
          <w:sz w:val="20"/>
          <w:szCs w:val="20"/>
        </w:rPr>
      </w:pPr>
    </w:p>
    <w:p w14:paraId="663B1D74" w14:textId="6C800AFC" w:rsidR="00FC1568" w:rsidRPr="00557A55" w:rsidRDefault="005A3AF9" w:rsidP="00741CFB">
      <w:pPr>
        <w:tabs>
          <w:tab w:val="right" w:pos="993"/>
        </w:tabs>
        <w:spacing w:after="120" w:line="240" w:lineRule="atLeast"/>
        <w:ind w:left="1134" w:right="1134"/>
        <w:jc w:val="center"/>
        <w:rPr>
          <w:rFonts w:ascii="Times New Roman" w:hAnsi="Times New Roman" w:cs="Times New Roman"/>
        </w:rPr>
      </w:pPr>
      <w:r w:rsidRPr="001D767D">
        <w:rPr>
          <w:rFonts w:ascii="Times New Roman" w:hAnsi="Times New Roman" w:cs="Times New Roman"/>
        </w:rPr>
        <w:t>________________________</w:t>
      </w:r>
    </w:p>
    <w:p w14:paraId="04E5E055" w14:textId="77777777" w:rsidR="00FC1568" w:rsidRPr="00557A55" w:rsidRDefault="00FC1568" w:rsidP="00741CFB">
      <w:pPr>
        <w:tabs>
          <w:tab w:val="right" w:pos="993"/>
        </w:tabs>
        <w:ind w:left="1134"/>
        <w:jc w:val="center"/>
        <w:rPr>
          <w:rFonts w:ascii="Times New Roman" w:hAnsi="Times New Roman" w:cs="Times New Roman"/>
        </w:rPr>
      </w:pPr>
    </w:p>
    <w:p w14:paraId="691FFC79" w14:textId="77777777" w:rsidR="00FC1568" w:rsidRPr="000A2F6D" w:rsidRDefault="00FC1568" w:rsidP="00741CFB">
      <w:pPr>
        <w:tabs>
          <w:tab w:val="right" w:pos="993"/>
        </w:tabs>
        <w:jc w:val="center"/>
        <w:rPr>
          <w:rFonts w:ascii="Times New Roman" w:hAnsi="Times New Roman"/>
          <w:sz w:val="20"/>
        </w:rPr>
      </w:pPr>
    </w:p>
    <w:sectPr w:rsidR="00FC1568" w:rsidRPr="000A2F6D" w:rsidSect="009D36B0">
      <w:headerReference w:type="default" r:id="rId8"/>
      <w:footerReference w:type="default" r:id="rId9"/>
      <w:pgSz w:w="11906" w:h="16838"/>
      <w:pgMar w:top="1440" w:right="2550" w:bottom="1440" w:left="156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A09884" w14:textId="77777777" w:rsidR="003F6930" w:rsidRDefault="003F6930">
      <w:pPr>
        <w:spacing w:after="0" w:line="240" w:lineRule="auto"/>
      </w:pPr>
      <w:r>
        <w:separator/>
      </w:r>
    </w:p>
  </w:endnote>
  <w:endnote w:type="continuationSeparator" w:id="0">
    <w:p w14:paraId="4D29FEB4" w14:textId="77777777" w:rsidR="003F6930" w:rsidRDefault="003F6930">
      <w:pPr>
        <w:spacing w:after="0" w:line="240" w:lineRule="auto"/>
      </w:pPr>
      <w:r>
        <w:continuationSeparator/>
      </w:r>
    </w:p>
  </w:endnote>
  <w:endnote w:type="continuationNotice" w:id="1">
    <w:p w14:paraId="7B7A514D" w14:textId="77777777" w:rsidR="003F6930" w:rsidRDefault="003F693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Noto Sans CJK SC Regular">
    <w:charset w:val="01"/>
    <w:family w:val="auto"/>
    <w:pitch w:val="variable"/>
  </w:font>
  <w:font w:name="FreeSans">
    <w:altName w:val="Times New Roman"/>
    <w:charset w:val="01"/>
    <w:family w:val="auto"/>
    <w:pitch w:val="variable"/>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4376E" w14:textId="683EAA50" w:rsidR="00202C8D" w:rsidRPr="00A567BB" w:rsidRDefault="00202C8D">
    <w:pPr>
      <w:pStyle w:val="Footer"/>
      <w:rPr>
        <w:rFonts w:ascii="Times New Roman" w:hAnsi="Times New Roman" w:cs="Times New Roman"/>
        <w:sz w:val="20"/>
        <w:szCs w:val="20"/>
      </w:rPr>
    </w:pPr>
    <w:r w:rsidRPr="004875F0">
      <w:rPr>
        <w:rFonts w:ascii="Times New Roman" w:hAnsi="Times New Roman"/>
        <w:noProof/>
        <w:sz w:val="20"/>
        <w:lang w:val="sv-SE"/>
      </w:rPr>
      <mc:AlternateContent>
        <mc:Choice Requires="wps">
          <w:drawing>
            <wp:anchor distT="0" distB="0" distL="0" distR="0" simplePos="0" relativeHeight="251657728" behindDoc="0" locked="0" layoutInCell="1" allowOverlap="1" wp14:anchorId="584978AC" wp14:editId="6E5958D1">
              <wp:simplePos x="0" y="0"/>
              <wp:positionH relativeFrom="margin">
                <wp:align>center</wp:align>
              </wp:positionH>
              <wp:positionV relativeFrom="paragraph">
                <wp:posOffset>635</wp:posOffset>
              </wp:positionV>
              <wp:extent cx="177165" cy="161290"/>
              <wp:effectExtent l="0" t="635" r="3810" b="0"/>
              <wp:wrapSquare wrapText="largest"/>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 cy="161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9A7983" w14:textId="5EA4C879" w:rsidR="00202C8D" w:rsidRPr="00A567BB" w:rsidRDefault="00202C8D">
                          <w:pPr>
                            <w:pStyle w:val="Footer"/>
                            <w:rPr>
                              <w:rFonts w:ascii="Times New Roman" w:hAnsi="Times New Roman" w:cs="Times New Roman"/>
                            </w:rPr>
                          </w:pPr>
                          <w:r w:rsidRPr="00A567BB">
                            <w:rPr>
                              <w:rStyle w:val="PageNumber"/>
                              <w:rFonts w:ascii="Times New Roman" w:hAnsi="Times New Roman" w:cs="Times New Roman"/>
                            </w:rPr>
                            <w:fldChar w:fldCharType="begin"/>
                          </w:r>
                          <w:r w:rsidRPr="00A567BB">
                            <w:rPr>
                              <w:rStyle w:val="PageNumber"/>
                              <w:rFonts w:ascii="Times New Roman" w:hAnsi="Times New Roman" w:cs="Times New Roman"/>
                            </w:rPr>
                            <w:instrText xml:space="preserve"> PAGE </w:instrText>
                          </w:r>
                          <w:r w:rsidRPr="00A567BB">
                            <w:rPr>
                              <w:rStyle w:val="PageNumber"/>
                              <w:rFonts w:ascii="Times New Roman" w:hAnsi="Times New Roman" w:cs="Times New Roman"/>
                            </w:rPr>
                            <w:fldChar w:fldCharType="separate"/>
                          </w:r>
                          <w:r>
                            <w:rPr>
                              <w:rStyle w:val="PageNumber"/>
                              <w:rFonts w:ascii="Times New Roman" w:hAnsi="Times New Roman" w:cs="Times New Roman"/>
                              <w:noProof/>
                            </w:rPr>
                            <w:t>8</w:t>
                          </w:r>
                          <w:r w:rsidRPr="00A567BB">
                            <w:rPr>
                              <w:rStyle w:val="PageNumber"/>
                              <w:rFonts w:ascii="Times New Roman" w:hAnsi="Times New Roman" w:cs="Times New Roman"/>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4978AC" id="_x0000_t202" coordsize="21600,21600" o:spt="202" path="m,l,21600r21600,l21600,xe">
              <v:stroke joinstyle="miter"/>
              <v:path gradientshapeok="t" o:connecttype="rect"/>
            </v:shapetype>
            <v:shape id="Text Box 1" o:spid="_x0000_s1026" type="#_x0000_t202" style="position:absolute;margin-left:0;margin-top:.05pt;width:13.95pt;height:12.7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" stroked="f">
              <v:textbox inset="0,0,0,0">
                <w:txbxContent>
                  <w:p w14:paraId="219A7983" w14:textId="5EA4C879" w:rsidR="00202C8D" w:rsidRPr="00A567BB" w:rsidRDefault="00202C8D">
                    <w:pPr>
                      <w:pStyle w:val="Footer"/>
                      <w:rPr>
                        <w:rFonts w:ascii="Times New Roman" w:hAnsi="Times New Roman" w:cs="Times New Roman"/>
                      </w:rPr>
                    </w:pPr>
                    <w:r w:rsidRPr="00A567BB">
                      <w:rPr>
                        <w:rStyle w:val="PageNumber"/>
                        <w:rFonts w:ascii="Times New Roman" w:hAnsi="Times New Roman" w:cs="Times New Roman"/>
                      </w:rPr>
                      <w:fldChar w:fldCharType="begin"/>
                    </w:r>
                    <w:r w:rsidRPr="00A567BB">
                      <w:rPr>
                        <w:rStyle w:val="PageNumber"/>
                        <w:rFonts w:ascii="Times New Roman" w:hAnsi="Times New Roman" w:cs="Times New Roman"/>
                      </w:rPr>
                      <w:instrText xml:space="preserve"> PAGE </w:instrText>
                    </w:r>
                    <w:r w:rsidRPr="00A567BB">
                      <w:rPr>
                        <w:rStyle w:val="PageNumber"/>
                        <w:rFonts w:ascii="Times New Roman" w:hAnsi="Times New Roman" w:cs="Times New Roman"/>
                      </w:rPr>
                      <w:fldChar w:fldCharType="separate"/>
                    </w:r>
                    <w:r>
                      <w:rPr>
                        <w:rStyle w:val="PageNumber"/>
                        <w:rFonts w:ascii="Times New Roman" w:hAnsi="Times New Roman" w:cs="Times New Roman"/>
                        <w:noProof/>
                      </w:rPr>
                      <w:t>8</w:t>
                    </w:r>
                    <w:r w:rsidRPr="00A567BB">
                      <w:rPr>
                        <w:rStyle w:val="PageNumber"/>
                        <w:rFonts w:ascii="Times New Roman" w:hAnsi="Times New Roman" w:cs="Times New Roman"/>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4D207C" w14:textId="77777777" w:rsidR="003F6930" w:rsidRDefault="003F6930">
      <w:pPr>
        <w:spacing w:after="0" w:line="240" w:lineRule="auto"/>
      </w:pPr>
      <w:r>
        <w:separator/>
      </w:r>
    </w:p>
  </w:footnote>
  <w:footnote w:type="continuationSeparator" w:id="0">
    <w:p w14:paraId="7F95D745" w14:textId="77777777" w:rsidR="003F6930" w:rsidRDefault="003F6930">
      <w:pPr>
        <w:spacing w:after="0" w:line="240" w:lineRule="auto"/>
      </w:pPr>
      <w:r>
        <w:continuationSeparator/>
      </w:r>
    </w:p>
  </w:footnote>
  <w:footnote w:type="continuationNotice" w:id="1">
    <w:p w14:paraId="2129D83B" w14:textId="77777777" w:rsidR="003F6930" w:rsidRDefault="003F6930">
      <w:pPr>
        <w:spacing w:after="0" w:line="240" w:lineRule="auto"/>
      </w:pPr>
    </w:p>
  </w:footnote>
  <w:footnote w:id="2">
    <w:p w14:paraId="15A7564D" w14:textId="77777777" w:rsidR="00202C8D" w:rsidRPr="003F6930" w:rsidRDefault="00202C8D" w:rsidP="00765C26">
      <w:pPr>
        <w:pStyle w:val="FootnoteText"/>
        <w:tabs>
          <w:tab w:val="left" w:pos="709"/>
          <w:tab w:val="left" w:pos="7797"/>
        </w:tabs>
        <w:ind w:left="567" w:right="-1"/>
        <w:rPr>
          <w:rFonts w:asciiTheme="majorBidi" w:hAnsiTheme="majorBidi" w:cstheme="majorBidi"/>
          <w:sz w:val="18"/>
          <w:szCs w:val="18"/>
        </w:rPr>
      </w:pPr>
      <w:r w:rsidRPr="006173B9">
        <w:rPr>
          <w:rStyle w:val="FootnoteCharacters"/>
          <w:rFonts w:asciiTheme="majorBidi" w:hAnsiTheme="majorBidi" w:cstheme="majorBidi"/>
          <w:szCs w:val="18"/>
        </w:rPr>
        <w:footnoteRef/>
      </w:r>
      <w:r w:rsidRPr="006173B9">
        <w:rPr>
          <w:rFonts w:asciiTheme="majorBidi" w:hAnsiTheme="majorBidi" w:cstheme="majorBidi"/>
          <w:sz w:val="18"/>
          <w:szCs w:val="18"/>
          <w:vertAlign w:val="superscript"/>
        </w:rPr>
        <w:tab/>
        <w:t xml:space="preserve"> </w:t>
      </w:r>
      <w:r w:rsidRPr="006173B9">
        <w:rPr>
          <w:rFonts w:asciiTheme="majorBidi" w:hAnsiTheme="majorBidi" w:cstheme="majorBidi"/>
          <w:sz w:val="18"/>
          <w:szCs w:val="18"/>
        </w:rPr>
        <w:t xml:space="preserve">The communication and related documentation from the communicant, the Party concerned and the </w:t>
      </w:r>
      <w:r w:rsidRPr="003F6930">
        <w:rPr>
          <w:rFonts w:asciiTheme="majorBidi" w:hAnsiTheme="majorBidi" w:cstheme="majorBidi"/>
          <w:sz w:val="18"/>
          <w:szCs w:val="18"/>
        </w:rPr>
        <w:t>secretariat, is available from http://www.unece.org/environmental-policy/conventions/public-participation/aarhus-convention/tfwg/envppcc/envppcccom/acccc2013107-ireland.html.</w:t>
      </w:r>
    </w:p>
  </w:footnote>
  <w:footnote w:id="3">
    <w:p w14:paraId="4FA67D19" w14:textId="01991F4E" w:rsidR="00202C8D" w:rsidRPr="003F6930" w:rsidRDefault="00202C8D" w:rsidP="00765C26">
      <w:pPr>
        <w:pStyle w:val="FootnoteText"/>
        <w:tabs>
          <w:tab w:val="left" w:pos="709"/>
          <w:tab w:val="left" w:pos="7797"/>
        </w:tabs>
        <w:ind w:left="567" w:right="-1"/>
        <w:rPr>
          <w:rFonts w:asciiTheme="majorBidi" w:hAnsiTheme="majorBidi" w:cstheme="majorBidi"/>
          <w:sz w:val="18"/>
          <w:szCs w:val="18"/>
        </w:rPr>
      </w:pPr>
      <w:r w:rsidRPr="003F6930">
        <w:rPr>
          <w:rStyle w:val="FootnoteCharacters"/>
          <w:rFonts w:asciiTheme="majorBidi" w:hAnsiTheme="majorBidi" w:cstheme="majorBidi"/>
          <w:szCs w:val="18"/>
        </w:rPr>
        <w:footnoteRef/>
      </w:r>
      <w:r w:rsidRPr="003F6930">
        <w:rPr>
          <w:rFonts w:asciiTheme="majorBidi" w:hAnsiTheme="majorBidi" w:cstheme="majorBidi"/>
          <w:sz w:val="18"/>
          <w:szCs w:val="18"/>
        </w:rPr>
        <w:tab/>
        <w:t>Communication, p. 1.</w:t>
      </w:r>
    </w:p>
  </w:footnote>
  <w:footnote w:id="4">
    <w:p w14:paraId="4119F99B" w14:textId="77777777" w:rsidR="00202C8D" w:rsidRPr="003F6930" w:rsidRDefault="00202C8D" w:rsidP="00765C26">
      <w:pPr>
        <w:pStyle w:val="FootnoteText"/>
        <w:tabs>
          <w:tab w:val="left" w:pos="709"/>
          <w:tab w:val="left" w:pos="7797"/>
        </w:tabs>
        <w:ind w:left="567" w:right="-1"/>
        <w:rPr>
          <w:rFonts w:asciiTheme="majorBidi" w:hAnsiTheme="majorBidi" w:cstheme="majorBidi"/>
          <w:sz w:val="18"/>
          <w:szCs w:val="18"/>
        </w:rPr>
      </w:pPr>
      <w:r w:rsidRPr="003F6930">
        <w:rPr>
          <w:rStyle w:val="FootnoteCharacters"/>
          <w:rFonts w:asciiTheme="majorBidi" w:hAnsiTheme="majorBidi" w:cstheme="majorBidi"/>
          <w:szCs w:val="18"/>
        </w:rPr>
        <w:footnoteRef/>
      </w:r>
      <w:r w:rsidRPr="003F6930">
        <w:rPr>
          <w:rFonts w:asciiTheme="majorBidi" w:hAnsiTheme="majorBidi" w:cstheme="majorBidi"/>
          <w:sz w:val="18"/>
          <w:szCs w:val="18"/>
        </w:rPr>
        <w:tab/>
        <w:t>This section summarizes only the main facts, evidence and issues considered to be relevant to the question of compliance, as presented to and considered by the Committee.</w:t>
      </w:r>
    </w:p>
  </w:footnote>
  <w:footnote w:id="5">
    <w:p w14:paraId="1C897AC4" w14:textId="77777777" w:rsidR="00202C8D" w:rsidRPr="003F6930" w:rsidRDefault="00202C8D" w:rsidP="00765C26">
      <w:pPr>
        <w:pStyle w:val="FootnoteText"/>
        <w:tabs>
          <w:tab w:val="left" w:pos="709"/>
          <w:tab w:val="left" w:pos="7797"/>
        </w:tabs>
        <w:ind w:left="567" w:right="-1"/>
        <w:rPr>
          <w:rFonts w:asciiTheme="majorBidi" w:hAnsiTheme="majorBidi" w:cstheme="majorBidi"/>
          <w:sz w:val="18"/>
          <w:szCs w:val="18"/>
        </w:rPr>
      </w:pPr>
      <w:r w:rsidRPr="003F6930">
        <w:rPr>
          <w:rStyle w:val="FootnoteCharacters"/>
          <w:rFonts w:asciiTheme="majorBidi" w:hAnsiTheme="majorBidi" w:cstheme="majorBidi"/>
          <w:szCs w:val="18"/>
        </w:rPr>
        <w:footnoteRef/>
      </w:r>
      <w:r w:rsidRPr="003F6930">
        <w:rPr>
          <w:rFonts w:asciiTheme="majorBidi" w:eastAsia="Times New Roman" w:hAnsiTheme="majorBidi" w:cstheme="majorBidi"/>
          <w:sz w:val="18"/>
          <w:szCs w:val="18"/>
        </w:rPr>
        <w:tab/>
        <w:t xml:space="preserve"> </w:t>
      </w:r>
      <w:r w:rsidRPr="003F6930">
        <w:rPr>
          <w:rFonts w:asciiTheme="majorBidi" w:hAnsiTheme="majorBidi" w:cstheme="majorBidi"/>
          <w:sz w:val="18"/>
          <w:szCs w:val="18"/>
        </w:rPr>
        <w:t>Directive 2011/92/EU of the European Parliament and of the Council of 13 December 2011 on the assessment of the effects of certain public and private projects on the environment (OJ L 26, 28.01.2012). Directive 2011/92/EU has in the meantime been amended by Directive 2014/52/EU of the European Parliament and of the Council of 16 April 2014 (OJ L 124, 25.4.2014).</w:t>
      </w:r>
    </w:p>
  </w:footnote>
  <w:footnote w:id="6">
    <w:p w14:paraId="1468D89E" w14:textId="2DED7AC8" w:rsidR="00202C8D" w:rsidRPr="003F6930" w:rsidRDefault="00202C8D" w:rsidP="00CA3343">
      <w:pPr>
        <w:pStyle w:val="FootnoteText"/>
        <w:ind w:firstLine="567"/>
        <w:rPr>
          <w:rFonts w:asciiTheme="majorBidi" w:hAnsiTheme="majorBidi" w:cstheme="majorBidi"/>
          <w:sz w:val="18"/>
          <w:szCs w:val="18"/>
        </w:rPr>
      </w:pPr>
      <w:r w:rsidRPr="003F6930">
        <w:rPr>
          <w:rStyle w:val="FootnoteReference"/>
          <w:rFonts w:asciiTheme="majorBidi" w:hAnsiTheme="majorBidi" w:cstheme="majorBidi"/>
          <w:sz w:val="18"/>
          <w:szCs w:val="18"/>
        </w:rPr>
        <w:footnoteRef/>
      </w:r>
      <w:r w:rsidRPr="003F6930">
        <w:rPr>
          <w:rFonts w:asciiTheme="majorBidi" w:hAnsiTheme="majorBidi" w:cstheme="majorBidi"/>
          <w:sz w:val="18"/>
          <w:szCs w:val="18"/>
        </w:rPr>
        <w:t xml:space="preserve"> </w:t>
      </w:r>
      <w:r w:rsidRPr="003F6930">
        <w:rPr>
          <w:rFonts w:asciiTheme="majorBidi" w:eastAsia="Times New Roman" w:hAnsiTheme="majorBidi" w:cstheme="majorBidi"/>
          <w:sz w:val="18"/>
          <w:szCs w:val="18"/>
        </w:rPr>
        <w:t>Communicant’s reply</w:t>
      </w:r>
      <w:r w:rsidRPr="003F6930">
        <w:rPr>
          <w:rFonts w:asciiTheme="majorBidi" w:hAnsiTheme="majorBidi" w:cstheme="majorBidi"/>
          <w:sz w:val="18"/>
          <w:szCs w:val="18"/>
        </w:rPr>
        <w:t xml:space="preserve"> to the Committee’s questions, 19 December 2014, p. 10.</w:t>
      </w:r>
    </w:p>
  </w:footnote>
  <w:footnote w:id="7">
    <w:p w14:paraId="3118726A" w14:textId="7D7AA664" w:rsidR="00202C8D" w:rsidRPr="003F6930" w:rsidRDefault="00202C8D">
      <w:pPr>
        <w:pStyle w:val="FootnoteText"/>
        <w:tabs>
          <w:tab w:val="left" w:pos="709"/>
          <w:tab w:val="left" w:pos="7797"/>
        </w:tabs>
        <w:ind w:left="567" w:right="-1"/>
        <w:rPr>
          <w:rFonts w:asciiTheme="majorBidi" w:hAnsiTheme="majorBidi" w:cstheme="majorBidi"/>
          <w:sz w:val="18"/>
          <w:szCs w:val="18"/>
        </w:rPr>
      </w:pPr>
      <w:r w:rsidRPr="003F6930">
        <w:rPr>
          <w:rStyle w:val="FootnoteCharacters"/>
          <w:rFonts w:asciiTheme="majorBidi" w:hAnsiTheme="majorBidi" w:cstheme="majorBidi"/>
          <w:szCs w:val="18"/>
        </w:rPr>
        <w:footnoteRef/>
      </w:r>
      <w:r w:rsidRPr="003F6930">
        <w:rPr>
          <w:rFonts w:asciiTheme="majorBidi" w:eastAsia="Times New Roman" w:hAnsiTheme="majorBidi" w:cstheme="majorBidi"/>
          <w:sz w:val="18"/>
          <w:szCs w:val="18"/>
        </w:rPr>
        <w:tab/>
      </w:r>
      <w:r w:rsidRPr="003F6930">
        <w:rPr>
          <w:rFonts w:asciiTheme="majorBidi" w:hAnsiTheme="majorBidi" w:cstheme="majorBidi"/>
          <w:sz w:val="18"/>
          <w:szCs w:val="18"/>
        </w:rPr>
        <w:t xml:space="preserve">Ibid., pp. 3-4 and 11. </w:t>
      </w:r>
    </w:p>
  </w:footnote>
  <w:footnote w:id="8">
    <w:p w14:paraId="05E5DDE3" w14:textId="7ADDB24C" w:rsidR="00202C8D" w:rsidRPr="003F6930" w:rsidRDefault="00202C8D" w:rsidP="00AA3F2F">
      <w:pPr>
        <w:pStyle w:val="FootnoteText"/>
        <w:ind w:firstLine="567"/>
      </w:pPr>
      <w:r w:rsidRPr="003F6930">
        <w:rPr>
          <w:rFonts w:asciiTheme="majorBidi" w:hAnsiTheme="majorBidi" w:cstheme="majorBidi"/>
          <w:sz w:val="18"/>
          <w:szCs w:val="18"/>
          <w:vertAlign w:val="superscript"/>
        </w:rPr>
        <w:footnoteRef/>
      </w:r>
      <w:r w:rsidRPr="003F6930">
        <w:rPr>
          <w:rFonts w:asciiTheme="majorBidi" w:hAnsiTheme="majorBidi" w:cstheme="majorBidi"/>
          <w:sz w:val="18"/>
          <w:szCs w:val="18"/>
        </w:rPr>
        <w:t xml:space="preserve"> Party’s reply to Committee’s request for clarification, 31 May 2019.</w:t>
      </w:r>
    </w:p>
  </w:footnote>
  <w:footnote w:id="9">
    <w:p w14:paraId="11EA09E1" w14:textId="77777777" w:rsidR="00202C8D" w:rsidRPr="003F6930" w:rsidRDefault="00202C8D">
      <w:pPr>
        <w:pStyle w:val="FootnoteText"/>
        <w:tabs>
          <w:tab w:val="left" w:pos="709"/>
          <w:tab w:val="left" w:pos="7797"/>
        </w:tabs>
        <w:ind w:left="567" w:right="-1"/>
        <w:rPr>
          <w:rFonts w:asciiTheme="majorBidi" w:hAnsiTheme="majorBidi" w:cstheme="majorBidi"/>
          <w:sz w:val="18"/>
          <w:szCs w:val="18"/>
        </w:rPr>
      </w:pPr>
      <w:r w:rsidRPr="003F6930">
        <w:rPr>
          <w:rStyle w:val="FootnoteCharacters"/>
          <w:rFonts w:asciiTheme="majorBidi" w:hAnsiTheme="majorBidi" w:cstheme="majorBidi"/>
          <w:szCs w:val="18"/>
        </w:rPr>
        <w:footnoteRef/>
      </w:r>
      <w:r w:rsidRPr="003F6930">
        <w:rPr>
          <w:rFonts w:asciiTheme="majorBidi" w:eastAsia="Times New Roman" w:hAnsiTheme="majorBidi" w:cstheme="majorBidi"/>
          <w:sz w:val="18"/>
          <w:szCs w:val="18"/>
        </w:rPr>
        <w:tab/>
        <w:t xml:space="preserve">Party’s response </w:t>
      </w:r>
      <w:r w:rsidRPr="003F6930">
        <w:rPr>
          <w:rFonts w:asciiTheme="majorBidi" w:hAnsiTheme="majorBidi" w:cstheme="majorBidi"/>
          <w:sz w:val="18"/>
          <w:szCs w:val="18"/>
        </w:rPr>
        <w:t>to the communication, annex 2, pp. 1-2.</w:t>
      </w:r>
    </w:p>
  </w:footnote>
  <w:footnote w:id="10">
    <w:p w14:paraId="52A9ECD5" w14:textId="142FE58B" w:rsidR="00202C8D" w:rsidRPr="003F6930" w:rsidRDefault="00202C8D">
      <w:pPr>
        <w:pStyle w:val="FootnoteText"/>
        <w:ind w:left="567"/>
        <w:rPr>
          <w:rFonts w:asciiTheme="majorBidi" w:hAnsiTheme="majorBidi" w:cstheme="majorBidi"/>
          <w:sz w:val="18"/>
          <w:szCs w:val="18"/>
        </w:rPr>
      </w:pPr>
      <w:r w:rsidRPr="003F6930">
        <w:rPr>
          <w:rStyle w:val="FootnoteReference"/>
          <w:rFonts w:asciiTheme="majorBidi" w:hAnsiTheme="majorBidi" w:cstheme="majorBidi"/>
          <w:sz w:val="18"/>
          <w:szCs w:val="18"/>
        </w:rPr>
        <w:footnoteRef/>
      </w:r>
      <w:r w:rsidRPr="003F6930">
        <w:rPr>
          <w:rFonts w:asciiTheme="majorBidi" w:hAnsiTheme="majorBidi" w:cstheme="majorBidi"/>
          <w:sz w:val="18"/>
          <w:szCs w:val="18"/>
        </w:rPr>
        <w:t xml:space="preserve"> Party </w:t>
      </w:r>
      <w:proofErr w:type="spellStart"/>
      <w:r w:rsidRPr="003F6930">
        <w:rPr>
          <w:rFonts w:asciiTheme="majorBidi" w:hAnsiTheme="majorBidi" w:cstheme="majorBidi"/>
          <w:sz w:val="18"/>
          <w:szCs w:val="18"/>
        </w:rPr>
        <w:t>concerned’s</w:t>
      </w:r>
      <w:proofErr w:type="spellEnd"/>
      <w:r w:rsidRPr="003F6930">
        <w:rPr>
          <w:rFonts w:asciiTheme="majorBidi" w:hAnsiTheme="majorBidi" w:cstheme="majorBidi"/>
          <w:sz w:val="18"/>
          <w:szCs w:val="18"/>
        </w:rPr>
        <w:t xml:space="preserve"> reply to Committee’s request for additional information, 27 November 2018, annex 1, p.1.</w:t>
      </w:r>
    </w:p>
  </w:footnote>
  <w:footnote w:id="11">
    <w:p w14:paraId="4814DFB4" w14:textId="654E449C" w:rsidR="00202C8D" w:rsidRPr="003F6930" w:rsidRDefault="00202C8D">
      <w:pPr>
        <w:pStyle w:val="FootnoteText"/>
        <w:ind w:left="567"/>
        <w:rPr>
          <w:rFonts w:asciiTheme="majorBidi" w:hAnsiTheme="majorBidi" w:cstheme="majorBidi"/>
          <w:sz w:val="18"/>
          <w:szCs w:val="18"/>
        </w:rPr>
      </w:pPr>
      <w:r w:rsidRPr="003F6930">
        <w:rPr>
          <w:rStyle w:val="FootnoteReference"/>
          <w:rFonts w:asciiTheme="majorBidi" w:hAnsiTheme="majorBidi" w:cstheme="majorBidi"/>
          <w:sz w:val="18"/>
          <w:szCs w:val="18"/>
        </w:rPr>
        <w:footnoteRef/>
      </w:r>
      <w:r w:rsidRPr="003F6930">
        <w:rPr>
          <w:rFonts w:asciiTheme="majorBidi" w:hAnsiTheme="majorBidi" w:cstheme="majorBidi"/>
          <w:sz w:val="18"/>
          <w:szCs w:val="18"/>
        </w:rPr>
        <w:t xml:space="preserve"> Ibid.</w:t>
      </w:r>
    </w:p>
  </w:footnote>
  <w:footnote w:id="12">
    <w:p w14:paraId="5A89A725" w14:textId="77777777" w:rsidR="00202C8D" w:rsidRPr="003F6930" w:rsidRDefault="00202C8D">
      <w:pPr>
        <w:pStyle w:val="FootnoteText"/>
        <w:tabs>
          <w:tab w:val="left" w:pos="7797"/>
        </w:tabs>
        <w:ind w:left="567" w:right="-1"/>
        <w:rPr>
          <w:rFonts w:asciiTheme="majorBidi" w:hAnsiTheme="majorBidi" w:cstheme="majorBidi"/>
          <w:sz w:val="18"/>
          <w:szCs w:val="18"/>
        </w:rPr>
      </w:pPr>
      <w:r w:rsidRPr="003F6930">
        <w:rPr>
          <w:rStyle w:val="FootnoteCharacters"/>
          <w:rFonts w:asciiTheme="majorBidi" w:hAnsiTheme="majorBidi" w:cstheme="majorBidi"/>
          <w:szCs w:val="18"/>
        </w:rPr>
        <w:footnoteRef/>
      </w:r>
      <w:r w:rsidRPr="003F6930">
        <w:rPr>
          <w:rFonts w:asciiTheme="majorBidi" w:hAnsiTheme="majorBidi" w:cstheme="majorBidi"/>
          <w:sz w:val="18"/>
          <w:szCs w:val="18"/>
        </w:rPr>
        <w:t xml:space="preserve"> See Party </w:t>
      </w:r>
      <w:proofErr w:type="spellStart"/>
      <w:r w:rsidRPr="003F6930">
        <w:rPr>
          <w:rFonts w:asciiTheme="majorBidi" w:hAnsiTheme="majorBidi" w:cstheme="majorBidi"/>
          <w:sz w:val="18"/>
          <w:szCs w:val="18"/>
        </w:rPr>
        <w:t>concerned’s</w:t>
      </w:r>
      <w:proofErr w:type="spellEnd"/>
      <w:r w:rsidRPr="003F6930">
        <w:rPr>
          <w:rFonts w:asciiTheme="majorBidi" w:hAnsiTheme="majorBidi" w:cstheme="majorBidi"/>
          <w:sz w:val="18"/>
          <w:szCs w:val="18"/>
        </w:rPr>
        <w:t xml:space="preserve"> comments on the communicant’s reply to the Committee’s questions, 28 November 2016, paras. 17-19 and annexes 1a, 1b and 2.</w:t>
      </w:r>
    </w:p>
  </w:footnote>
  <w:footnote w:id="13">
    <w:p w14:paraId="27315E0C" w14:textId="13B6CCBD" w:rsidR="00202C8D" w:rsidRPr="003F6930" w:rsidRDefault="00202C8D">
      <w:pPr>
        <w:pStyle w:val="FootnoteText"/>
        <w:ind w:left="567"/>
        <w:rPr>
          <w:rFonts w:asciiTheme="majorBidi" w:hAnsiTheme="majorBidi" w:cstheme="majorBidi"/>
          <w:sz w:val="18"/>
          <w:szCs w:val="18"/>
        </w:rPr>
      </w:pPr>
      <w:r w:rsidRPr="003F6930">
        <w:rPr>
          <w:rStyle w:val="FootnoteReference"/>
          <w:rFonts w:asciiTheme="majorBidi" w:hAnsiTheme="majorBidi" w:cstheme="majorBidi"/>
          <w:sz w:val="18"/>
          <w:szCs w:val="18"/>
        </w:rPr>
        <w:footnoteRef/>
      </w:r>
      <w:r w:rsidRPr="003F6930">
        <w:rPr>
          <w:rFonts w:asciiTheme="majorBidi" w:hAnsiTheme="majorBidi" w:cstheme="majorBidi"/>
          <w:sz w:val="18"/>
          <w:szCs w:val="18"/>
        </w:rPr>
        <w:t xml:space="preserve"> Party’s response to the communication, annex 1, p.1.</w:t>
      </w:r>
    </w:p>
  </w:footnote>
  <w:footnote w:id="14">
    <w:p w14:paraId="6DDE2F4C" w14:textId="06AAFF4C" w:rsidR="00202C8D" w:rsidRPr="003F6930" w:rsidRDefault="00202C8D">
      <w:pPr>
        <w:pStyle w:val="FootnoteText"/>
        <w:tabs>
          <w:tab w:val="left" w:pos="7797"/>
        </w:tabs>
        <w:ind w:left="567" w:right="-1"/>
        <w:rPr>
          <w:rFonts w:asciiTheme="majorBidi" w:hAnsiTheme="majorBidi" w:cstheme="majorBidi"/>
          <w:sz w:val="18"/>
          <w:szCs w:val="18"/>
        </w:rPr>
      </w:pPr>
      <w:r w:rsidRPr="003F6930">
        <w:rPr>
          <w:rStyle w:val="FootnoteCharacters"/>
          <w:rFonts w:asciiTheme="majorBidi" w:hAnsiTheme="majorBidi" w:cstheme="majorBidi"/>
          <w:szCs w:val="18"/>
        </w:rPr>
        <w:footnoteRef/>
      </w:r>
      <w:r w:rsidRPr="003F6930">
        <w:rPr>
          <w:rFonts w:asciiTheme="majorBidi" w:eastAsia="Calibri" w:hAnsiTheme="majorBidi" w:cstheme="majorBidi"/>
          <w:sz w:val="18"/>
          <w:szCs w:val="18"/>
        </w:rPr>
        <w:t xml:space="preserve"> Communicant’s s</w:t>
      </w:r>
      <w:r w:rsidRPr="003F6930">
        <w:rPr>
          <w:rFonts w:asciiTheme="majorBidi" w:hAnsiTheme="majorBidi" w:cstheme="majorBidi"/>
          <w:sz w:val="18"/>
          <w:szCs w:val="18"/>
        </w:rPr>
        <w:t>ummary of the communication, 17 February 2014, annex 5a.</w:t>
      </w:r>
    </w:p>
  </w:footnote>
  <w:footnote w:id="15">
    <w:p w14:paraId="7FC97649" w14:textId="1E996995" w:rsidR="00202C8D" w:rsidRPr="003F6930" w:rsidRDefault="00202C8D">
      <w:pPr>
        <w:pStyle w:val="FootnoteText"/>
        <w:tabs>
          <w:tab w:val="left" w:pos="7797"/>
        </w:tabs>
        <w:ind w:left="567" w:right="-1"/>
        <w:rPr>
          <w:rFonts w:asciiTheme="majorBidi" w:hAnsiTheme="majorBidi" w:cstheme="majorBidi"/>
          <w:sz w:val="18"/>
          <w:szCs w:val="18"/>
        </w:rPr>
      </w:pPr>
      <w:r w:rsidRPr="003F6930">
        <w:rPr>
          <w:rStyle w:val="FootnoteCharacters"/>
          <w:rFonts w:asciiTheme="majorBidi" w:hAnsiTheme="majorBidi" w:cstheme="majorBidi"/>
          <w:szCs w:val="18"/>
        </w:rPr>
        <w:footnoteRef/>
      </w:r>
      <w:r w:rsidRPr="003F6930">
        <w:rPr>
          <w:rFonts w:asciiTheme="majorBidi" w:eastAsia="Calibri" w:hAnsiTheme="majorBidi" w:cstheme="majorBidi"/>
          <w:sz w:val="18"/>
          <w:szCs w:val="18"/>
        </w:rPr>
        <w:t xml:space="preserve"> Party </w:t>
      </w:r>
      <w:proofErr w:type="spellStart"/>
      <w:r w:rsidRPr="003F6930">
        <w:rPr>
          <w:rFonts w:asciiTheme="majorBidi" w:eastAsia="Calibri" w:hAnsiTheme="majorBidi" w:cstheme="majorBidi"/>
          <w:sz w:val="18"/>
          <w:szCs w:val="18"/>
        </w:rPr>
        <w:t>concerned’s</w:t>
      </w:r>
      <w:proofErr w:type="spellEnd"/>
      <w:r w:rsidRPr="003F6930">
        <w:rPr>
          <w:rFonts w:asciiTheme="majorBidi" w:eastAsia="Calibri" w:hAnsiTheme="majorBidi" w:cstheme="majorBidi"/>
          <w:sz w:val="18"/>
          <w:szCs w:val="18"/>
        </w:rPr>
        <w:t xml:space="preserve"> comments on the communicant’s reply to the Committee’s questions, 28 November 2016, paras. 20-22 and annexes 3a-b, 4a-c and 5; and communication, a</w:t>
      </w:r>
      <w:r w:rsidRPr="003F6930">
        <w:rPr>
          <w:rFonts w:asciiTheme="majorBidi" w:hAnsiTheme="majorBidi" w:cstheme="majorBidi"/>
          <w:sz w:val="18"/>
          <w:szCs w:val="18"/>
        </w:rPr>
        <w:t>nnex 5b.</w:t>
      </w:r>
    </w:p>
  </w:footnote>
  <w:footnote w:id="16">
    <w:p w14:paraId="183222DE" w14:textId="3928B397" w:rsidR="00202C8D" w:rsidRPr="003F6930" w:rsidRDefault="00202C8D">
      <w:pPr>
        <w:pStyle w:val="FootnoteText"/>
        <w:ind w:left="567"/>
        <w:rPr>
          <w:rFonts w:asciiTheme="majorBidi" w:hAnsiTheme="majorBidi" w:cstheme="majorBidi"/>
          <w:sz w:val="18"/>
          <w:szCs w:val="18"/>
        </w:rPr>
      </w:pPr>
      <w:r w:rsidRPr="003F6930">
        <w:rPr>
          <w:rStyle w:val="FootnoteReference"/>
          <w:rFonts w:asciiTheme="majorBidi" w:hAnsiTheme="majorBidi" w:cstheme="majorBidi"/>
          <w:sz w:val="18"/>
          <w:szCs w:val="18"/>
        </w:rPr>
        <w:footnoteRef/>
      </w:r>
      <w:r w:rsidRPr="003F6930">
        <w:rPr>
          <w:rFonts w:asciiTheme="majorBidi" w:hAnsiTheme="majorBidi" w:cstheme="majorBidi"/>
          <w:sz w:val="18"/>
          <w:szCs w:val="18"/>
        </w:rPr>
        <w:t xml:space="preserve"> Party’s response to the communication, annex 1, p.2.</w:t>
      </w:r>
    </w:p>
  </w:footnote>
  <w:footnote w:id="17">
    <w:p w14:paraId="6ECBBC23" w14:textId="7E742F4C" w:rsidR="00202C8D" w:rsidRPr="003F6930" w:rsidRDefault="00202C8D">
      <w:pPr>
        <w:pStyle w:val="FootnoteText"/>
        <w:tabs>
          <w:tab w:val="left" w:pos="709"/>
          <w:tab w:val="left" w:pos="7797"/>
        </w:tabs>
        <w:ind w:left="567" w:right="-1"/>
        <w:rPr>
          <w:rFonts w:asciiTheme="majorBidi" w:hAnsiTheme="majorBidi" w:cstheme="majorBidi"/>
          <w:sz w:val="18"/>
          <w:szCs w:val="18"/>
        </w:rPr>
      </w:pPr>
      <w:r w:rsidRPr="003F6930">
        <w:rPr>
          <w:rStyle w:val="FootnoteCharacters"/>
          <w:rFonts w:asciiTheme="majorBidi" w:hAnsiTheme="majorBidi" w:cstheme="majorBidi"/>
          <w:szCs w:val="18"/>
        </w:rPr>
        <w:footnoteRef/>
      </w:r>
      <w:r w:rsidRPr="003F6930">
        <w:rPr>
          <w:rFonts w:asciiTheme="majorBidi" w:hAnsiTheme="majorBidi" w:cstheme="majorBidi"/>
          <w:sz w:val="18"/>
          <w:szCs w:val="18"/>
        </w:rPr>
        <w:tab/>
        <w:t xml:space="preserve"> Ibid.</w:t>
      </w:r>
    </w:p>
  </w:footnote>
  <w:footnote w:id="18">
    <w:p w14:paraId="18FD8108" w14:textId="4A478353" w:rsidR="00202C8D" w:rsidRPr="003F6930" w:rsidRDefault="00202C8D">
      <w:pPr>
        <w:pStyle w:val="FootnoteText"/>
        <w:tabs>
          <w:tab w:val="left" w:pos="709"/>
          <w:tab w:val="left" w:pos="7797"/>
        </w:tabs>
        <w:ind w:left="567" w:right="-1"/>
        <w:rPr>
          <w:rFonts w:asciiTheme="majorBidi" w:hAnsiTheme="majorBidi" w:cstheme="majorBidi"/>
          <w:sz w:val="18"/>
          <w:szCs w:val="18"/>
        </w:rPr>
      </w:pPr>
      <w:r w:rsidRPr="003F6930">
        <w:rPr>
          <w:rStyle w:val="FootnoteCharacters"/>
          <w:rFonts w:asciiTheme="majorBidi" w:hAnsiTheme="majorBidi" w:cstheme="majorBidi"/>
          <w:szCs w:val="18"/>
        </w:rPr>
        <w:footnoteRef/>
      </w:r>
      <w:r w:rsidRPr="003F6930">
        <w:rPr>
          <w:rFonts w:asciiTheme="majorBidi" w:hAnsiTheme="majorBidi" w:cstheme="majorBidi"/>
          <w:sz w:val="18"/>
          <w:szCs w:val="18"/>
        </w:rPr>
        <w:tab/>
        <w:t xml:space="preserve"> Ibid., p. 6.</w:t>
      </w:r>
    </w:p>
  </w:footnote>
  <w:footnote w:id="19">
    <w:p w14:paraId="504BBC30" w14:textId="77777777" w:rsidR="00202C8D" w:rsidRPr="003F6930" w:rsidRDefault="00202C8D">
      <w:pPr>
        <w:pStyle w:val="FootnoteText"/>
        <w:tabs>
          <w:tab w:val="left" w:pos="7797"/>
        </w:tabs>
        <w:ind w:left="567" w:right="-1"/>
        <w:rPr>
          <w:rFonts w:asciiTheme="majorBidi" w:hAnsiTheme="majorBidi" w:cstheme="majorBidi"/>
          <w:sz w:val="18"/>
          <w:szCs w:val="18"/>
        </w:rPr>
      </w:pPr>
      <w:r w:rsidRPr="003F6930">
        <w:rPr>
          <w:rStyle w:val="FootnoteCharacters"/>
          <w:rFonts w:asciiTheme="majorBidi" w:hAnsiTheme="majorBidi" w:cstheme="majorBidi"/>
          <w:szCs w:val="18"/>
        </w:rPr>
        <w:footnoteRef/>
      </w:r>
      <w:r w:rsidRPr="003F6930">
        <w:rPr>
          <w:rFonts w:asciiTheme="majorBidi" w:eastAsia="Calibri" w:hAnsiTheme="majorBidi" w:cstheme="majorBidi"/>
          <w:sz w:val="18"/>
          <w:szCs w:val="18"/>
        </w:rPr>
        <w:t xml:space="preserve"> See Party </w:t>
      </w:r>
      <w:proofErr w:type="spellStart"/>
      <w:r w:rsidRPr="003F6930">
        <w:rPr>
          <w:rFonts w:asciiTheme="majorBidi" w:eastAsia="Calibri" w:hAnsiTheme="majorBidi" w:cstheme="majorBidi"/>
          <w:sz w:val="18"/>
          <w:szCs w:val="18"/>
        </w:rPr>
        <w:t>concerned’s</w:t>
      </w:r>
      <w:proofErr w:type="spellEnd"/>
      <w:r w:rsidRPr="003F6930">
        <w:rPr>
          <w:rFonts w:asciiTheme="majorBidi" w:eastAsia="Calibri" w:hAnsiTheme="majorBidi" w:cstheme="majorBidi"/>
          <w:sz w:val="18"/>
          <w:szCs w:val="18"/>
        </w:rPr>
        <w:t xml:space="preserve"> comments on the communicant’s reply to the Committee’s questions, 28 November 2016, paras. 23-25 and annexes 6a-b and 7</w:t>
      </w:r>
      <w:r w:rsidRPr="003F6930">
        <w:rPr>
          <w:rFonts w:asciiTheme="majorBidi" w:hAnsiTheme="majorBidi" w:cstheme="majorBidi"/>
          <w:sz w:val="18"/>
          <w:szCs w:val="18"/>
        </w:rPr>
        <w:t>.</w:t>
      </w:r>
    </w:p>
  </w:footnote>
  <w:footnote w:id="20">
    <w:p w14:paraId="3D76D23A" w14:textId="06233A62" w:rsidR="00202C8D" w:rsidRPr="003F6930" w:rsidRDefault="00202C8D">
      <w:pPr>
        <w:pStyle w:val="FootnoteText"/>
        <w:ind w:left="567"/>
        <w:rPr>
          <w:rFonts w:asciiTheme="majorBidi" w:hAnsiTheme="majorBidi" w:cstheme="majorBidi"/>
          <w:sz w:val="18"/>
          <w:szCs w:val="18"/>
        </w:rPr>
      </w:pPr>
      <w:r w:rsidRPr="003F6930">
        <w:rPr>
          <w:rStyle w:val="FootnoteReference"/>
          <w:rFonts w:asciiTheme="majorBidi" w:hAnsiTheme="majorBidi" w:cstheme="majorBidi"/>
          <w:sz w:val="18"/>
          <w:szCs w:val="18"/>
        </w:rPr>
        <w:footnoteRef/>
      </w:r>
      <w:r w:rsidRPr="003F6930">
        <w:rPr>
          <w:rFonts w:asciiTheme="majorBidi" w:hAnsiTheme="majorBidi" w:cstheme="majorBidi"/>
          <w:sz w:val="18"/>
          <w:szCs w:val="18"/>
        </w:rPr>
        <w:t xml:space="preserve"> Party’s response to the communication, annex 1, p.6.</w:t>
      </w:r>
    </w:p>
  </w:footnote>
  <w:footnote w:id="21">
    <w:p w14:paraId="047F64B1" w14:textId="3485E5CA" w:rsidR="00202C8D" w:rsidRPr="003F6930" w:rsidRDefault="00202C8D">
      <w:pPr>
        <w:pStyle w:val="FootnoteText"/>
        <w:tabs>
          <w:tab w:val="left" w:pos="709"/>
          <w:tab w:val="left" w:pos="7797"/>
        </w:tabs>
        <w:ind w:left="567" w:right="-1"/>
        <w:rPr>
          <w:rFonts w:asciiTheme="majorBidi" w:hAnsiTheme="majorBidi" w:cstheme="majorBidi"/>
          <w:sz w:val="18"/>
          <w:szCs w:val="18"/>
        </w:rPr>
      </w:pPr>
      <w:r w:rsidRPr="003F6930">
        <w:rPr>
          <w:rStyle w:val="FootnoteCharacters"/>
          <w:rFonts w:asciiTheme="majorBidi" w:hAnsiTheme="majorBidi" w:cstheme="majorBidi"/>
          <w:szCs w:val="18"/>
        </w:rPr>
        <w:footnoteRef/>
      </w:r>
      <w:r w:rsidRPr="003F6930">
        <w:rPr>
          <w:rFonts w:asciiTheme="majorBidi" w:hAnsiTheme="majorBidi" w:cstheme="majorBidi"/>
          <w:sz w:val="18"/>
          <w:szCs w:val="18"/>
        </w:rPr>
        <w:tab/>
        <w:t xml:space="preserve"> Communicant’s reply to Committee’s questions, 19 December 2014, annex 2.</w:t>
      </w:r>
    </w:p>
  </w:footnote>
  <w:footnote w:id="22">
    <w:p w14:paraId="26469951" w14:textId="0FCD39AC" w:rsidR="00202C8D" w:rsidRPr="003F6930" w:rsidRDefault="00202C8D">
      <w:pPr>
        <w:pStyle w:val="FootnoteText"/>
        <w:tabs>
          <w:tab w:val="left" w:pos="709"/>
          <w:tab w:val="left" w:pos="7797"/>
        </w:tabs>
        <w:ind w:left="567" w:right="-1"/>
        <w:rPr>
          <w:rFonts w:asciiTheme="majorBidi" w:hAnsiTheme="majorBidi" w:cstheme="majorBidi"/>
          <w:sz w:val="18"/>
          <w:szCs w:val="18"/>
        </w:rPr>
      </w:pPr>
      <w:r w:rsidRPr="003F6930">
        <w:rPr>
          <w:rStyle w:val="FootnoteCharacters"/>
          <w:rFonts w:asciiTheme="majorBidi" w:hAnsiTheme="majorBidi" w:cstheme="majorBidi"/>
          <w:szCs w:val="18"/>
        </w:rPr>
        <w:footnoteRef/>
      </w:r>
      <w:r w:rsidRPr="003F6930">
        <w:rPr>
          <w:rFonts w:asciiTheme="majorBidi" w:hAnsiTheme="majorBidi" w:cstheme="majorBidi"/>
          <w:sz w:val="18"/>
          <w:szCs w:val="18"/>
        </w:rPr>
        <w:tab/>
        <w:t xml:space="preserve"> Communicant’s summary of the communication, 17 February 2014, annex 2a.</w:t>
      </w:r>
    </w:p>
  </w:footnote>
  <w:footnote w:id="23">
    <w:p w14:paraId="7D74890C" w14:textId="20FF1D8A" w:rsidR="00202C8D" w:rsidRPr="003F6930" w:rsidRDefault="00202C8D">
      <w:pPr>
        <w:pStyle w:val="FootnoteText"/>
        <w:tabs>
          <w:tab w:val="left" w:pos="709"/>
          <w:tab w:val="left" w:pos="7797"/>
        </w:tabs>
        <w:ind w:left="567" w:right="-1"/>
        <w:rPr>
          <w:rFonts w:asciiTheme="majorBidi" w:hAnsiTheme="majorBidi" w:cstheme="majorBidi"/>
          <w:sz w:val="18"/>
          <w:szCs w:val="18"/>
        </w:rPr>
      </w:pPr>
      <w:r w:rsidRPr="003F6930">
        <w:rPr>
          <w:rStyle w:val="FootnoteCharacters"/>
          <w:rFonts w:asciiTheme="majorBidi" w:hAnsiTheme="majorBidi" w:cstheme="majorBidi"/>
          <w:szCs w:val="18"/>
        </w:rPr>
        <w:footnoteRef/>
      </w:r>
      <w:r w:rsidRPr="003F6930">
        <w:rPr>
          <w:rFonts w:asciiTheme="majorBidi" w:hAnsiTheme="majorBidi" w:cstheme="majorBidi"/>
          <w:sz w:val="18"/>
          <w:szCs w:val="18"/>
        </w:rPr>
        <w:tab/>
        <w:t xml:space="preserve"> Ibid., annexes 3a and 3b.</w:t>
      </w:r>
    </w:p>
  </w:footnote>
  <w:footnote w:id="24">
    <w:p w14:paraId="7ABA7C47" w14:textId="77777777" w:rsidR="00202C8D" w:rsidRPr="003F6930" w:rsidRDefault="00202C8D">
      <w:pPr>
        <w:pStyle w:val="FootnoteText"/>
        <w:tabs>
          <w:tab w:val="left" w:pos="7797"/>
        </w:tabs>
        <w:ind w:left="567" w:right="-1"/>
        <w:rPr>
          <w:rFonts w:asciiTheme="majorBidi" w:hAnsiTheme="majorBidi" w:cstheme="majorBidi"/>
          <w:sz w:val="18"/>
          <w:szCs w:val="18"/>
        </w:rPr>
      </w:pPr>
      <w:r w:rsidRPr="003F6930">
        <w:rPr>
          <w:rStyle w:val="FootnoteCharacters"/>
          <w:rFonts w:asciiTheme="majorBidi" w:hAnsiTheme="majorBidi" w:cstheme="majorBidi"/>
          <w:szCs w:val="18"/>
        </w:rPr>
        <w:footnoteRef/>
      </w:r>
      <w:r w:rsidRPr="003F6930">
        <w:rPr>
          <w:rFonts w:asciiTheme="majorBidi" w:eastAsia="Calibri" w:hAnsiTheme="majorBidi" w:cstheme="majorBidi"/>
          <w:sz w:val="18"/>
          <w:szCs w:val="18"/>
        </w:rPr>
        <w:t xml:space="preserve"> </w:t>
      </w:r>
      <w:r w:rsidRPr="003F6930">
        <w:rPr>
          <w:rFonts w:asciiTheme="majorBidi" w:hAnsiTheme="majorBidi" w:cstheme="majorBidi"/>
          <w:sz w:val="18"/>
          <w:szCs w:val="18"/>
        </w:rPr>
        <w:t>Party’s response to the communication, para. 32.</w:t>
      </w:r>
    </w:p>
  </w:footnote>
  <w:footnote w:id="25">
    <w:p w14:paraId="5F3EB7C9" w14:textId="761D07AE" w:rsidR="00202C8D" w:rsidRPr="003F6930" w:rsidRDefault="00202C8D">
      <w:pPr>
        <w:pStyle w:val="FootnoteText"/>
        <w:tabs>
          <w:tab w:val="left" w:pos="709"/>
          <w:tab w:val="left" w:pos="7797"/>
        </w:tabs>
        <w:ind w:left="567" w:right="-1"/>
        <w:rPr>
          <w:rFonts w:asciiTheme="majorBidi" w:hAnsiTheme="majorBidi" w:cstheme="majorBidi"/>
          <w:sz w:val="18"/>
          <w:szCs w:val="18"/>
        </w:rPr>
      </w:pPr>
      <w:r w:rsidRPr="003F6930">
        <w:rPr>
          <w:rStyle w:val="FootnoteCharacters"/>
          <w:rFonts w:asciiTheme="majorBidi" w:hAnsiTheme="majorBidi" w:cstheme="majorBidi"/>
          <w:szCs w:val="18"/>
        </w:rPr>
        <w:footnoteRef/>
      </w:r>
      <w:r w:rsidRPr="003F6930">
        <w:rPr>
          <w:rFonts w:asciiTheme="majorBidi" w:hAnsiTheme="majorBidi" w:cstheme="majorBidi"/>
          <w:sz w:val="18"/>
          <w:szCs w:val="18"/>
        </w:rPr>
        <w:tab/>
        <w:t xml:space="preserve"> Communicant’s summary of the communication, 17 February 2014, annex 3c; and Party’s response to the communication, para. 33.</w:t>
      </w:r>
    </w:p>
  </w:footnote>
  <w:footnote w:id="26">
    <w:p w14:paraId="041D8DF0" w14:textId="77777777" w:rsidR="00202C8D" w:rsidRPr="003F6930" w:rsidRDefault="00202C8D">
      <w:pPr>
        <w:pStyle w:val="FootnoteText"/>
        <w:tabs>
          <w:tab w:val="left" w:pos="709"/>
          <w:tab w:val="left" w:pos="7797"/>
        </w:tabs>
        <w:ind w:left="567" w:right="-1"/>
        <w:rPr>
          <w:rFonts w:asciiTheme="majorBidi" w:hAnsiTheme="majorBidi" w:cstheme="majorBidi"/>
          <w:sz w:val="18"/>
          <w:szCs w:val="18"/>
        </w:rPr>
      </w:pPr>
      <w:r w:rsidRPr="003F6930">
        <w:rPr>
          <w:rStyle w:val="FootnoteCharacters"/>
          <w:rFonts w:asciiTheme="majorBidi" w:hAnsiTheme="majorBidi" w:cstheme="majorBidi"/>
          <w:szCs w:val="18"/>
        </w:rPr>
        <w:footnoteRef/>
      </w:r>
      <w:r w:rsidRPr="003F6930">
        <w:rPr>
          <w:rFonts w:asciiTheme="majorBidi" w:hAnsiTheme="majorBidi" w:cstheme="majorBidi"/>
          <w:sz w:val="18"/>
          <w:szCs w:val="18"/>
        </w:rPr>
        <w:tab/>
        <w:t xml:space="preserve"> Communicant’s comments on preliminary admissibility, 27 March 2015, p. 3. </w:t>
      </w:r>
    </w:p>
  </w:footnote>
  <w:footnote w:id="27">
    <w:p w14:paraId="7CDAE396" w14:textId="77777777" w:rsidR="00202C8D" w:rsidRPr="003F6930" w:rsidRDefault="00202C8D">
      <w:pPr>
        <w:pStyle w:val="FootnoteText"/>
        <w:tabs>
          <w:tab w:val="left" w:pos="7797"/>
        </w:tabs>
        <w:ind w:left="567" w:right="-1"/>
        <w:rPr>
          <w:rFonts w:asciiTheme="majorBidi" w:hAnsiTheme="majorBidi" w:cstheme="majorBidi"/>
          <w:sz w:val="18"/>
          <w:szCs w:val="18"/>
        </w:rPr>
      </w:pPr>
      <w:r w:rsidRPr="003F6930">
        <w:rPr>
          <w:rStyle w:val="FootnoteCharacters"/>
          <w:rFonts w:asciiTheme="majorBidi" w:hAnsiTheme="majorBidi" w:cstheme="majorBidi"/>
          <w:szCs w:val="18"/>
        </w:rPr>
        <w:footnoteRef/>
      </w:r>
      <w:r w:rsidRPr="003F6930">
        <w:rPr>
          <w:rFonts w:asciiTheme="majorBidi" w:hAnsiTheme="majorBidi" w:cstheme="majorBidi"/>
          <w:sz w:val="18"/>
          <w:szCs w:val="18"/>
        </w:rPr>
        <w:t xml:space="preserve"> Communicant’s reply to Committee’s questions, 18 November 2016, paras. 9-11.</w:t>
      </w:r>
    </w:p>
  </w:footnote>
  <w:footnote w:id="28">
    <w:p w14:paraId="7459E28E" w14:textId="24DA6B16" w:rsidR="00202C8D" w:rsidRPr="003F6930" w:rsidRDefault="00202C8D">
      <w:pPr>
        <w:pStyle w:val="FootnoteText"/>
        <w:tabs>
          <w:tab w:val="left" w:pos="709"/>
          <w:tab w:val="left" w:pos="7797"/>
        </w:tabs>
        <w:ind w:left="567" w:right="-1"/>
        <w:rPr>
          <w:rFonts w:asciiTheme="majorBidi" w:hAnsiTheme="majorBidi" w:cstheme="majorBidi"/>
          <w:sz w:val="18"/>
          <w:szCs w:val="18"/>
        </w:rPr>
      </w:pPr>
      <w:r w:rsidRPr="003F6930">
        <w:rPr>
          <w:rStyle w:val="FootnoteCharacters"/>
          <w:rFonts w:asciiTheme="majorBidi" w:hAnsiTheme="majorBidi" w:cstheme="majorBidi"/>
          <w:szCs w:val="18"/>
        </w:rPr>
        <w:footnoteRef/>
      </w:r>
      <w:r w:rsidRPr="003F6930">
        <w:rPr>
          <w:rFonts w:asciiTheme="majorBidi" w:eastAsia="Calibri" w:hAnsiTheme="majorBidi" w:cstheme="majorBidi"/>
          <w:sz w:val="18"/>
          <w:szCs w:val="18"/>
        </w:rPr>
        <w:tab/>
        <w:t xml:space="preserve"> See Environmental Pillar’s letter, 13 September 2016, including annexes, and its comments on the communicant’s and the Party </w:t>
      </w:r>
      <w:proofErr w:type="spellStart"/>
      <w:r w:rsidRPr="003F6930">
        <w:rPr>
          <w:rFonts w:asciiTheme="majorBidi" w:eastAsia="Calibri" w:hAnsiTheme="majorBidi" w:cstheme="majorBidi"/>
          <w:sz w:val="18"/>
          <w:szCs w:val="18"/>
        </w:rPr>
        <w:t>concerned’s</w:t>
      </w:r>
      <w:proofErr w:type="spellEnd"/>
      <w:r w:rsidRPr="003F6930">
        <w:rPr>
          <w:rFonts w:asciiTheme="majorBidi" w:eastAsia="Calibri" w:hAnsiTheme="majorBidi" w:cstheme="majorBidi"/>
          <w:sz w:val="18"/>
          <w:szCs w:val="18"/>
        </w:rPr>
        <w:t xml:space="preserve"> replies to the Committee’s questions, 28 November 2016.</w:t>
      </w:r>
    </w:p>
  </w:footnote>
  <w:footnote w:id="29">
    <w:p w14:paraId="37556589" w14:textId="77777777" w:rsidR="00202C8D" w:rsidRPr="003F6930" w:rsidRDefault="00202C8D">
      <w:pPr>
        <w:pStyle w:val="FootnoteText"/>
        <w:tabs>
          <w:tab w:val="left" w:pos="7797"/>
        </w:tabs>
        <w:ind w:left="567"/>
        <w:rPr>
          <w:rFonts w:asciiTheme="majorBidi" w:hAnsiTheme="majorBidi" w:cstheme="majorBidi"/>
          <w:sz w:val="18"/>
          <w:szCs w:val="18"/>
        </w:rPr>
      </w:pPr>
      <w:r w:rsidRPr="003F6930">
        <w:rPr>
          <w:rStyle w:val="FootnoteReference"/>
          <w:rFonts w:asciiTheme="majorBidi" w:hAnsiTheme="majorBidi" w:cstheme="majorBidi"/>
          <w:sz w:val="18"/>
          <w:szCs w:val="18"/>
        </w:rPr>
        <w:footnoteRef/>
      </w:r>
      <w:r w:rsidRPr="003F6930">
        <w:rPr>
          <w:rFonts w:asciiTheme="majorBidi" w:hAnsiTheme="majorBidi" w:cstheme="majorBidi"/>
          <w:sz w:val="18"/>
          <w:szCs w:val="18"/>
        </w:rPr>
        <w:t xml:space="preserve"> Communicant’s reply to questions of the Committee, 18 November 2016, para. 15.</w:t>
      </w:r>
    </w:p>
  </w:footnote>
  <w:footnote w:id="30">
    <w:p w14:paraId="62250DA9" w14:textId="6A4AFF0F" w:rsidR="00202C8D" w:rsidRPr="003F6930" w:rsidRDefault="00202C8D">
      <w:pPr>
        <w:pStyle w:val="FootnoteText"/>
        <w:tabs>
          <w:tab w:val="left" w:pos="7797"/>
        </w:tabs>
        <w:ind w:left="567"/>
        <w:rPr>
          <w:rFonts w:asciiTheme="majorBidi" w:hAnsiTheme="majorBidi" w:cstheme="majorBidi"/>
          <w:sz w:val="18"/>
          <w:szCs w:val="18"/>
        </w:rPr>
      </w:pPr>
      <w:r w:rsidRPr="003F6930">
        <w:rPr>
          <w:rStyle w:val="FootnoteReference"/>
          <w:rFonts w:asciiTheme="majorBidi" w:hAnsiTheme="majorBidi" w:cstheme="majorBidi"/>
          <w:sz w:val="18"/>
          <w:szCs w:val="18"/>
        </w:rPr>
        <w:footnoteRef/>
      </w:r>
      <w:r w:rsidRPr="003F6930">
        <w:rPr>
          <w:rFonts w:asciiTheme="majorBidi" w:hAnsiTheme="majorBidi" w:cstheme="majorBidi"/>
          <w:sz w:val="18"/>
          <w:szCs w:val="18"/>
        </w:rPr>
        <w:t xml:space="preserve"> Ibid., para. 16.</w:t>
      </w:r>
    </w:p>
  </w:footnote>
  <w:footnote w:id="31">
    <w:p w14:paraId="428A04E1" w14:textId="4609BF88" w:rsidR="00202C8D" w:rsidRPr="003F6930" w:rsidRDefault="00202C8D">
      <w:pPr>
        <w:pStyle w:val="FootnoteText"/>
        <w:tabs>
          <w:tab w:val="left" w:pos="7797"/>
        </w:tabs>
        <w:ind w:left="567"/>
        <w:rPr>
          <w:rFonts w:asciiTheme="majorBidi" w:hAnsiTheme="majorBidi" w:cstheme="majorBidi"/>
          <w:sz w:val="18"/>
          <w:szCs w:val="18"/>
        </w:rPr>
      </w:pPr>
      <w:r w:rsidRPr="003F6930">
        <w:rPr>
          <w:rStyle w:val="FootnoteReference"/>
          <w:rFonts w:asciiTheme="majorBidi" w:hAnsiTheme="majorBidi" w:cstheme="majorBidi"/>
          <w:sz w:val="18"/>
          <w:szCs w:val="18"/>
        </w:rPr>
        <w:footnoteRef/>
      </w:r>
      <w:r w:rsidRPr="003F6930">
        <w:rPr>
          <w:rFonts w:asciiTheme="majorBidi" w:hAnsiTheme="majorBidi" w:cstheme="majorBidi"/>
          <w:sz w:val="18"/>
          <w:szCs w:val="18"/>
        </w:rPr>
        <w:t xml:space="preserve"> Ibid., para. 17.</w:t>
      </w:r>
    </w:p>
  </w:footnote>
  <w:footnote w:id="32">
    <w:p w14:paraId="43EA0893" w14:textId="0EFA2187" w:rsidR="00202C8D" w:rsidRPr="003F6930" w:rsidRDefault="00202C8D">
      <w:pPr>
        <w:pStyle w:val="FootnoteText"/>
        <w:tabs>
          <w:tab w:val="left" w:pos="7797"/>
        </w:tabs>
        <w:ind w:left="567" w:right="-1"/>
        <w:rPr>
          <w:rFonts w:asciiTheme="majorBidi" w:hAnsiTheme="majorBidi" w:cstheme="majorBidi"/>
          <w:sz w:val="18"/>
          <w:szCs w:val="18"/>
        </w:rPr>
      </w:pPr>
      <w:r w:rsidRPr="003F6930">
        <w:rPr>
          <w:rStyle w:val="FootnoteCharacters"/>
          <w:rFonts w:asciiTheme="majorBidi" w:hAnsiTheme="majorBidi" w:cstheme="majorBidi"/>
          <w:szCs w:val="18"/>
        </w:rPr>
        <w:footnoteRef/>
      </w:r>
      <w:r w:rsidRPr="003F6930">
        <w:rPr>
          <w:rFonts w:asciiTheme="majorBidi" w:hAnsiTheme="majorBidi" w:cstheme="majorBidi"/>
          <w:sz w:val="18"/>
          <w:szCs w:val="18"/>
        </w:rPr>
        <w:t xml:space="preserve"> Communicant’s comments on Party’s response to the communication, 14 December 2015, paras. 3-4.</w:t>
      </w:r>
    </w:p>
  </w:footnote>
  <w:footnote w:id="33">
    <w:p w14:paraId="4BB43117" w14:textId="1CBDA5D6" w:rsidR="00202C8D" w:rsidRPr="003F6930" w:rsidRDefault="00202C8D" w:rsidP="00485BF3">
      <w:pPr>
        <w:pStyle w:val="FootnoteText"/>
        <w:ind w:firstLine="567"/>
        <w:rPr>
          <w:rFonts w:ascii="Times New Roman" w:hAnsi="Times New Roman" w:cs="Times New Roman"/>
          <w:sz w:val="18"/>
          <w:szCs w:val="18"/>
          <w:lang w:val="en-IE"/>
        </w:rPr>
      </w:pPr>
      <w:r w:rsidRPr="003F6930">
        <w:rPr>
          <w:rStyle w:val="FootnoteReference"/>
          <w:rFonts w:ascii="Times New Roman" w:hAnsi="Times New Roman" w:cs="Times New Roman"/>
          <w:sz w:val="18"/>
          <w:szCs w:val="18"/>
        </w:rPr>
        <w:footnoteRef/>
      </w:r>
      <w:r w:rsidRPr="003F6930">
        <w:rPr>
          <w:rFonts w:ascii="Times New Roman" w:hAnsi="Times New Roman" w:cs="Times New Roman"/>
          <w:sz w:val="18"/>
          <w:szCs w:val="18"/>
        </w:rPr>
        <w:t xml:space="preserve"> </w:t>
      </w:r>
      <w:r w:rsidRPr="003F6930">
        <w:rPr>
          <w:rFonts w:ascii="Times New Roman" w:hAnsi="Times New Roman" w:cs="Times New Roman"/>
          <w:sz w:val="18"/>
          <w:szCs w:val="18"/>
          <w:lang w:val="en-IE"/>
        </w:rPr>
        <w:t>[2017] IEHC 695.</w:t>
      </w:r>
    </w:p>
  </w:footnote>
  <w:footnote w:id="34">
    <w:p w14:paraId="0457CB45" w14:textId="77777777" w:rsidR="00202C8D" w:rsidRPr="003F6930" w:rsidRDefault="00202C8D" w:rsidP="00C47857">
      <w:pPr>
        <w:pStyle w:val="FootnoteText"/>
        <w:ind w:left="567"/>
        <w:rPr>
          <w:rFonts w:asciiTheme="majorBidi" w:hAnsiTheme="majorBidi" w:cstheme="majorBidi"/>
          <w:sz w:val="18"/>
          <w:szCs w:val="18"/>
        </w:rPr>
      </w:pPr>
      <w:r w:rsidRPr="003F6930">
        <w:rPr>
          <w:rStyle w:val="FootnoteReference"/>
          <w:rFonts w:asciiTheme="majorBidi" w:hAnsiTheme="majorBidi" w:cstheme="majorBidi"/>
          <w:sz w:val="18"/>
          <w:szCs w:val="18"/>
        </w:rPr>
        <w:footnoteRef/>
      </w:r>
      <w:r w:rsidRPr="003F6930">
        <w:rPr>
          <w:rFonts w:asciiTheme="majorBidi" w:hAnsiTheme="majorBidi" w:cstheme="majorBidi"/>
          <w:sz w:val="18"/>
          <w:szCs w:val="18"/>
        </w:rPr>
        <w:t xml:space="preserve"> Communicant’s update on developments, 1 December 2017, p. 3.</w:t>
      </w:r>
    </w:p>
  </w:footnote>
  <w:footnote w:id="35">
    <w:p w14:paraId="371DBDB4" w14:textId="15442C2F" w:rsidR="00202C8D" w:rsidRPr="003F6930" w:rsidRDefault="00202C8D" w:rsidP="00765C26">
      <w:pPr>
        <w:pStyle w:val="FootnoteText"/>
        <w:tabs>
          <w:tab w:val="left" w:pos="709"/>
          <w:tab w:val="left" w:pos="7797"/>
        </w:tabs>
        <w:ind w:left="567" w:right="-1"/>
        <w:rPr>
          <w:rFonts w:asciiTheme="majorBidi" w:hAnsiTheme="majorBidi" w:cstheme="majorBidi"/>
          <w:sz w:val="18"/>
          <w:szCs w:val="18"/>
        </w:rPr>
      </w:pPr>
      <w:r w:rsidRPr="003F6930">
        <w:rPr>
          <w:rStyle w:val="FootnoteCharacters"/>
          <w:rFonts w:asciiTheme="majorBidi" w:hAnsiTheme="majorBidi" w:cstheme="majorBidi"/>
          <w:szCs w:val="18"/>
        </w:rPr>
        <w:footnoteRef/>
      </w:r>
      <w:r w:rsidRPr="003F6930">
        <w:rPr>
          <w:rFonts w:asciiTheme="majorBidi" w:eastAsia="Calibri" w:hAnsiTheme="majorBidi" w:cstheme="majorBidi"/>
          <w:sz w:val="18"/>
          <w:szCs w:val="18"/>
        </w:rPr>
        <w:tab/>
        <w:t xml:space="preserve"> </w:t>
      </w:r>
      <w:r w:rsidRPr="003F6930">
        <w:rPr>
          <w:rFonts w:asciiTheme="majorBidi" w:hAnsiTheme="majorBidi" w:cstheme="majorBidi"/>
          <w:sz w:val="18"/>
          <w:szCs w:val="18"/>
        </w:rPr>
        <w:t xml:space="preserve">Environmental Pillar’s comments on the communicant’s and the Party </w:t>
      </w:r>
      <w:proofErr w:type="spellStart"/>
      <w:r w:rsidRPr="003F6930">
        <w:rPr>
          <w:rFonts w:asciiTheme="majorBidi" w:hAnsiTheme="majorBidi" w:cstheme="majorBidi"/>
          <w:sz w:val="18"/>
          <w:szCs w:val="18"/>
        </w:rPr>
        <w:t>concerned’s</w:t>
      </w:r>
      <w:proofErr w:type="spellEnd"/>
      <w:r w:rsidRPr="003F6930">
        <w:rPr>
          <w:rFonts w:asciiTheme="majorBidi" w:hAnsiTheme="majorBidi" w:cstheme="majorBidi"/>
          <w:sz w:val="18"/>
          <w:szCs w:val="18"/>
        </w:rPr>
        <w:t xml:space="preserve"> replies to the Committee’s questions, 28.11.2016, paras. 23-24.</w:t>
      </w:r>
    </w:p>
  </w:footnote>
  <w:footnote w:id="36">
    <w:p w14:paraId="0B037F9B" w14:textId="77777777" w:rsidR="00202C8D" w:rsidRPr="003F6930" w:rsidRDefault="00202C8D" w:rsidP="00765C26">
      <w:pPr>
        <w:pStyle w:val="FootnoteText"/>
        <w:tabs>
          <w:tab w:val="left" w:pos="709"/>
          <w:tab w:val="left" w:pos="7797"/>
        </w:tabs>
        <w:ind w:left="567" w:right="-1"/>
        <w:rPr>
          <w:rFonts w:asciiTheme="majorBidi" w:hAnsiTheme="majorBidi" w:cstheme="majorBidi"/>
          <w:sz w:val="18"/>
          <w:szCs w:val="18"/>
        </w:rPr>
      </w:pPr>
      <w:r w:rsidRPr="003F6930">
        <w:rPr>
          <w:rStyle w:val="FootnoteCharacters"/>
          <w:rFonts w:asciiTheme="majorBidi" w:hAnsiTheme="majorBidi" w:cstheme="majorBidi"/>
          <w:szCs w:val="18"/>
        </w:rPr>
        <w:footnoteRef/>
      </w:r>
      <w:r w:rsidRPr="003F6930">
        <w:rPr>
          <w:rFonts w:asciiTheme="majorBidi" w:hAnsiTheme="majorBidi" w:cstheme="majorBidi"/>
          <w:sz w:val="18"/>
          <w:szCs w:val="18"/>
        </w:rPr>
        <w:tab/>
        <w:t>Communicant’s comments on preliminary admissibility, 27 March 2015, p. 2.</w:t>
      </w:r>
    </w:p>
  </w:footnote>
  <w:footnote w:id="37">
    <w:p w14:paraId="20430F4A" w14:textId="735FBA8C" w:rsidR="00202C8D" w:rsidRPr="003F6930" w:rsidRDefault="00202C8D">
      <w:pPr>
        <w:pStyle w:val="FootnoteText"/>
        <w:tabs>
          <w:tab w:val="left" w:pos="709"/>
          <w:tab w:val="left" w:pos="7797"/>
        </w:tabs>
        <w:ind w:left="567" w:right="-1"/>
        <w:rPr>
          <w:rFonts w:asciiTheme="majorBidi" w:hAnsiTheme="majorBidi" w:cstheme="majorBidi"/>
          <w:sz w:val="18"/>
          <w:szCs w:val="18"/>
        </w:rPr>
      </w:pPr>
      <w:r w:rsidRPr="003F6930">
        <w:rPr>
          <w:rStyle w:val="FootnoteCharacters"/>
          <w:rFonts w:asciiTheme="majorBidi" w:hAnsiTheme="majorBidi" w:cstheme="majorBidi"/>
          <w:szCs w:val="18"/>
        </w:rPr>
        <w:footnoteRef/>
      </w:r>
      <w:r w:rsidRPr="003F6930">
        <w:rPr>
          <w:rFonts w:asciiTheme="majorBidi" w:eastAsia="Times New Roman" w:hAnsiTheme="majorBidi" w:cstheme="majorBidi"/>
          <w:sz w:val="18"/>
          <w:szCs w:val="18"/>
        </w:rPr>
        <w:tab/>
        <w:t xml:space="preserve"> </w:t>
      </w:r>
      <w:r w:rsidRPr="003F6930">
        <w:rPr>
          <w:rFonts w:asciiTheme="majorBidi" w:hAnsiTheme="majorBidi" w:cstheme="majorBidi"/>
          <w:sz w:val="18"/>
          <w:szCs w:val="18"/>
        </w:rPr>
        <w:t>Party’s reply to the Committee’s questions, 18 November 2016, para. 17.</w:t>
      </w:r>
    </w:p>
  </w:footnote>
  <w:footnote w:id="38">
    <w:p w14:paraId="47AE4347" w14:textId="77777777" w:rsidR="00202C8D" w:rsidRPr="003F6930" w:rsidRDefault="00202C8D">
      <w:pPr>
        <w:pStyle w:val="FootnoteText"/>
        <w:ind w:left="567"/>
        <w:rPr>
          <w:rFonts w:asciiTheme="majorBidi" w:hAnsiTheme="majorBidi" w:cstheme="majorBidi"/>
          <w:sz w:val="18"/>
          <w:szCs w:val="18"/>
        </w:rPr>
      </w:pPr>
      <w:r w:rsidRPr="003F6930">
        <w:rPr>
          <w:rStyle w:val="FootnoteReference"/>
          <w:rFonts w:asciiTheme="majorBidi" w:hAnsiTheme="majorBidi" w:cstheme="majorBidi"/>
          <w:sz w:val="18"/>
          <w:szCs w:val="18"/>
        </w:rPr>
        <w:footnoteRef/>
      </w:r>
      <w:r w:rsidRPr="003F6930">
        <w:rPr>
          <w:rFonts w:asciiTheme="majorBidi" w:hAnsiTheme="majorBidi" w:cstheme="majorBidi"/>
          <w:sz w:val="18"/>
          <w:szCs w:val="18"/>
        </w:rPr>
        <w:t xml:space="preserve"> Communicant’s comments on preliminary admissibility, 27 March 2015, p. 3.</w:t>
      </w:r>
    </w:p>
  </w:footnote>
  <w:footnote w:id="39">
    <w:p w14:paraId="0357D9E2" w14:textId="3A8484E5" w:rsidR="00202C8D" w:rsidRPr="003F6930" w:rsidRDefault="00202C8D">
      <w:pPr>
        <w:pStyle w:val="FootnoteText"/>
        <w:tabs>
          <w:tab w:val="left" w:pos="709"/>
          <w:tab w:val="left" w:pos="7797"/>
        </w:tabs>
        <w:ind w:left="567" w:right="-1"/>
        <w:rPr>
          <w:rFonts w:asciiTheme="majorBidi" w:hAnsiTheme="majorBidi" w:cstheme="majorBidi"/>
          <w:sz w:val="18"/>
          <w:szCs w:val="18"/>
        </w:rPr>
      </w:pPr>
      <w:r w:rsidRPr="003F6930">
        <w:rPr>
          <w:rStyle w:val="FootnoteCharacters"/>
          <w:rFonts w:asciiTheme="majorBidi" w:hAnsiTheme="majorBidi" w:cstheme="majorBidi"/>
          <w:szCs w:val="18"/>
        </w:rPr>
        <w:footnoteRef/>
      </w:r>
      <w:r w:rsidRPr="003F6930">
        <w:rPr>
          <w:rFonts w:asciiTheme="majorBidi" w:eastAsia="Times New Roman" w:hAnsiTheme="majorBidi" w:cstheme="majorBidi"/>
          <w:sz w:val="18"/>
          <w:szCs w:val="18"/>
        </w:rPr>
        <w:tab/>
        <w:t xml:space="preserve"> </w:t>
      </w:r>
      <w:r w:rsidRPr="003F6930">
        <w:rPr>
          <w:rFonts w:asciiTheme="majorBidi" w:hAnsiTheme="majorBidi" w:cstheme="majorBidi"/>
          <w:sz w:val="18"/>
          <w:szCs w:val="18"/>
        </w:rPr>
        <w:t>Party’s reply to the Committee’s questions, 18 November 2016, paras. 19 and 27.</w:t>
      </w:r>
    </w:p>
  </w:footnote>
  <w:footnote w:id="40">
    <w:p w14:paraId="5C4E5378" w14:textId="3F06C819" w:rsidR="00202C8D" w:rsidRPr="003F6930" w:rsidRDefault="00202C8D">
      <w:pPr>
        <w:pStyle w:val="FootnoteText"/>
        <w:tabs>
          <w:tab w:val="left" w:pos="709"/>
          <w:tab w:val="left" w:pos="7797"/>
        </w:tabs>
        <w:ind w:left="567" w:right="-1"/>
        <w:rPr>
          <w:rFonts w:asciiTheme="majorBidi" w:hAnsiTheme="majorBidi" w:cstheme="majorBidi"/>
          <w:sz w:val="18"/>
          <w:szCs w:val="18"/>
        </w:rPr>
      </w:pPr>
      <w:r w:rsidRPr="003F6930">
        <w:rPr>
          <w:rStyle w:val="FootnoteCharacters"/>
          <w:rFonts w:asciiTheme="majorBidi" w:hAnsiTheme="majorBidi" w:cstheme="majorBidi"/>
          <w:szCs w:val="18"/>
        </w:rPr>
        <w:footnoteRef/>
      </w:r>
      <w:r w:rsidRPr="003F6930">
        <w:rPr>
          <w:rFonts w:asciiTheme="majorBidi" w:eastAsia="Times New Roman" w:hAnsiTheme="majorBidi" w:cstheme="majorBidi"/>
          <w:sz w:val="18"/>
          <w:szCs w:val="18"/>
        </w:rPr>
        <w:tab/>
        <w:t xml:space="preserve"> </w:t>
      </w:r>
      <w:r w:rsidRPr="003F6930">
        <w:rPr>
          <w:rFonts w:asciiTheme="majorBidi" w:hAnsiTheme="majorBidi" w:cstheme="majorBidi"/>
          <w:sz w:val="18"/>
          <w:szCs w:val="18"/>
        </w:rPr>
        <w:t>Ibid., paras. 29 and 31.</w:t>
      </w:r>
    </w:p>
  </w:footnote>
  <w:footnote w:id="41">
    <w:p w14:paraId="43E50E6A" w14:textId="77777777" w:rsidR="00202C8D" w:rsidRPr="003F6930" w:rsidRDefault="00202C8D">
      <w:pPr>
        <w:pStyle w:val="FootnoteText"/>
        <w:tabs>
          <w:tab w:val="left" w:pos="7797"/>
        </w:tabs>
        <w:ind w:left="567" w:right="-1"/>
        <w:rPr>
          <w:rFonts w:asciiTheme="majorBidi" w:hAnsiTheme="majorBidi" w:cstheme="majorBidi"/>
          <w:sz w:val="18"/>
          <w:szCs w:val="18"/>
        </w:rPr>
      </w:pPr>
      <w:r w:rsidRPr="003F6930">
        <w:rPr>
          <w:rStyle w:val="FootnoteCharacters"/>
          <w:rFonts w:asciiTheme="majorBidi" w:hAnsiTheme="majorBidi" w:cstheme="majorBidi"/>
          <w:szCs w:val="18"/>
        </w:rPr>
        <w:footnoteRef/>
      </w:r>
      <w:r w:rsidRPr="003F6930">
        <w:rPr>
          <w:rFonts w:asciiTheme="majorBidi" w:hAnsiTheme="majorBidi" w:cstheme="majorBidi"/>
          <w:sz w:val="18"/>
          <w:szCs w:val="18"/>
        </w:rPr>
        <w:t xml:space="preserve"> Party’s response to the communication, footnote 1.</w:t>
      </w:r>
    </w:p>
  </w:footnote>
  <w:footnote w:id="42">
    <w:p w14:paraId="4566E0F5" w14:textId="77777777" w:rsidR="00202C8D" w:rsidRPr="003F6930" w:rsidRDefault="00202C8D">
      <w:pPr>
        <w:pStyle w:val="FootnoteText"/>
        <w:tabs>
          <w:tab w:val="left" w:pos="7797"/>
        </w:tabs>
        <w:ind w:left="567"/>
        <w:rPr>
          <w:rFonts w:asciiTheme="majorBidi" w:hAnsiTheme="majorBidi" w:cstheme="majorBidi"/>
          <w:sz w:val="18"/>
          <w:szCs w:val="18"/>
        </w:rPr>
      </w:pPr>
      <w:r w:rsidRPr="003F6930">
        <w:rPr>
          <w:rStyle w:val="FootnoteReference"/>
          <w:rFonts w:asciiTheme="majorBidi" w:hAnsiTheme="majorBidi" w:cstheme="majorBidi"/>
          <w:sz w:val="18"/>
          <w:szCs w:val="18"/>
        </w:rPr>
        <w:footnoteRef/>
      </w:r>
      <w:r w:rsidRPr="003F6930">
        <w:rPr>
          <w:rFonts w:asciiTheme="majorBidi" w:hAnsiTheme="majorBidi" w:cstheme="majorBidi"/>
          <w:sz w:val="18"/>
          <w:szCs w:val="18"/>
        </w:rPr>
        <w:t xml:space="preserve"> Party’s reply to the Committee’s questions, 18 November 2016, paras. 43-66.</w:t>
      </w:r>
    </w:p>
  </w:footnote>
  <w:footnote w:id="43">
    <w:p w14:paraId="16D0F8CA" w14:textId="6B12DA15" w:rsidR="00202C8D" w:rsidRPr="003F6930" w:rsidRDefault="00202C8D">
      <w:pPr>
        <w:pStyle w:val="FootnoteText"/>
        <w:tabs>
          <w:tab w:val="left" w:pos="709"/>
          <w:tab w:val="left" w:pos="7797"/>
        </w:tabs>
        <w:ind w:left="567" w:right="-1"/>
        <w:rPr>
          <w:rFonts w:asciiTheme="majorBidi" w:hAnsiTheme="majorBidi" w:cstheme="majorBidi"/>
          <w:sz w:val="18"/>
          <w:szCs w:val="18"/>
        </w:rPr>
      </w:pPr>
      <w:r w:rsidRPr="003F6930">
        <w:rPr>
          <w:rStyle w:val="FootnoteCharacters"/>
          <w:rFonts w:asciiTheme="majorBidi" w:hAnsiTheme="majorBidi" w:cstheme="majorBidi"/>
          <w:szCs w:val="18"/>
        </w:rPr>
        <w:footnoteRef/>
      </w:r>
      <w:r w:rsidRPr="003F6930">
        <w:rPr>
          <w:rFonts w:asciiTheme="majorBidi" w:eastAsia="Times New Roman" w:hAnsiTheme="majorBidi" w:cstheme="majorBidi"/>
          <w:sz w:val="18"/>
          <w:szCs w:val="18"/>
        </w:rPr>
        <w:tab/>
        <w:t xml:space="preserve"> </w:t>
      </w:r>
      <w:r w:rsidRPr="003F6930">
        <w:rPr>
          <w:rFonts w:asciiTheme="majorBidi" w:hAnsiTheme="majorBidi" w:cstheme="majorBidi"/>
          <w:sz w:val="18"/>
          <w:szCs w:val="18"/>
        </w:rPr>
        <w:t>Party’s response to the communication, 27 November 2015, paras. 5-6.</w:t>
      </w:r>
    </w:p>
  </w:footnote>
  <w:footnote w:id="44">
    <w:p w14:paraId="69E5126E" w14:textId="77777777" w:rsidR="00202C8D" w:rsidRPr="003F6930" w:rsidRDefault="00202C8D">
      <w:pPr>
        <w:pStyle w:val="FootnoteText"/>
        <w:tabs>
          <w:tab w:val="left" w:pos="7797"/>
        </w:tabs>
        <w:ind w:left="567"/>
        <w:rPr>
          <w:rFonts w:asciiTheme="majorBidi" w:hAnsiTheme="majorBidi" w:cstheme="majorBidi"/>
          <w:sz w:val="18"/>
          <w:szCs w:val="18"/>
        </w:rPr>
      </w:pPr>
      <w:r w:rsidRPr="003F6930">
        <w:rPr>
          <w:rStyle w:val="FootnoteReference"/>
          <w:rFonts w:asciiTheme="majorBidi" w:hAnsiTheme="majorBidi" w:cstheme="majorBidi"/>
          <w:sz w:val="18"/>
          <w:szCs w:val="18"/>
        </w:rPr>
        <w:footnoteRef/>
      </w:r>
      <w:r w:rsidRPr="003F6930">
        <w:rPr>
          <w:rFonts w:asciiTheme="majorBidi" w:hAnsiTheme="majorBidi" w:cstheme="majorBidi"/>
          <w:sz w:val="18"/>
          <w:szCs w:val="18"/>
        </w:rPr>
        <w:t xml:space="preserve"> Communicant’s reply to the Committee’s questions, 18 November 2016, pp. 1-2.</w:t>
      </w:r>
    </w:p>
  </w:footnote>
  <w:footnote w:id="45">
    <w:p w14:paraId="1400F6E2" w14:textId="1CB5E1ED" w:rsidR="00202C8D" w:rsidRPr="003F6930" w:rsidRDefault="00202C8D">
      <w:pPr>
        <w:pStyle w:val="FootnoteText"/>
        <w:tabs>
          <w:tab w:val="left" w:pos="709"/>
          <w:tab w:val="left" w:pos="7797"/>
        </w:tabs>
        <w:ind w:left="567" w:right="-1"/>
        <w:rPr>
          <w:rFonts w:asciiTheme="majorBidi" w:hAnsiTheme="majorBidi" w:cstheme="majorBidi"/>
          <w:sz w:val="18"/>
          <w:szCs w:val="18"/>
        </w:rPr>
      </w:pPr>
      <w:r w:rsidRPr="003F6930">
        <w:rPr>
          <w:rStyle w:val="FootnoteCharacters"/>
          <w:rFonts w:asciiTheme="majorBidi" w:hAnsiTheme="majorBidi" w:cstheme="majorBidi"/>
          <w:szCs w:val="18"/>
        </w:rPr>
        <w:footnoteRef/>
      </w:r>
      <w:r w:rsidRPr="003F6930">
        <w:rPr>
          <w:rFonts w:asciiTheme="majorBidi" w:eastAsia="Times New Roman" w:hAnsiTheme="majorBidi" w:cstheme="majorBidi"/>
          <w:sz w:val="18"/>
          <w:szCs w:val="18"/>
        </w:rPr>
        <w:tab/>
        <w:t xml:space="preserve"> </w:t>
      </w:r>
      <w:r w:rsidRPr="003F6930">
        <w:rPr>
          <w:rFonts w:asciiTheme="majorBidi" w:hAnsiTheme="majorBidi" w:cstheme="majorBidi"/>
          <w:sz w:val="18"/>
          <w:szCs w:val="18"/>
        </w:rPr>
        <w:t>Party’s response to the communication, para. 10.</w:t>
      </w:r>
    </w:p>
  </w:footnote>
  <w:footnote w:id="46">
    <w:p w14:paraId="040BE551" w14:textId="77777777" w:rsidR="00202C8D" w:rsidRPr="003F6930" w:rsidRDefault="00202C8D">
      <w:pPr>
        <w:pStyle w:val="FootnoteText"/>
        <w:tabs>
          <w:tab w:val="left" w:pos="709"/>
          <w:tab w:val="left" w:pos="7797"/>
        </w:tabs>
        <w:ind w:left="567" w:right="-1"/>
        <w:rPr>
          <w:rFonts w:asciiTheme="majorBidi" w:hAnsiTheme="majorBidi" w:cstheme="majorBidi"/>
          <w:sz w:val="18"/>
          <w:szCs w:val="18"/>
        </w:rPr>
      </w:pPr>
      <w:r w:rsidRPr="003F6930">
        <w:rPr>
          <w:rStyle w:val="FootnoteCharacters"/>
          <w:rFonts w:asciiTheme="majorBidi" w:hAnsiTheme="majorBidi" w:cstheme="majorBidi"/>
          <w:szCs w:val="18"/>
        </w:rPr>
        <w:footnoteRef/>
      </w:r>
      <w:r w:rsidRPr="003F6930">
        <w:rPr>
          <w:rFonts w:asciiTheme="majorBidi" w:eastAsia="Times New Roman" w:hAnsiTheme="majorBidi" w:cstheme="majorBidi"/>
          <w:sz w:val="18"/>
          <w:szCs w:val="18"/>
        </w:rPr>
        <w:tab/>
        <w:t xml:space="preserve"> </w:t>
      </w:r>
      <w:r w:rsidRPr="003F6930">
        <w:rPr>
          <w:rFonts w:asciiTheme="majorBidi" w:hAnsiTheme="majorBidi" w:cstheme="majorBidi"/>
          <w:sz w:val="18"/>
          <w:szCs w:val="18"/>
        </w:rPr>
        <w:t>Communicant’s reply to the Committee’s questions, 14 December 2014, p. 2-3.</w:t>
      </w:r>
    </w:p>
  </w:footnote>
  <w:footnote w:id="47">
    <w:p w14:paraId="57690427" w14:textId="77777777" w:rsidR="00202C8D" w:rsidRPr="003F6930" w:rsidRDefault="00202C8D">
      <w:pPr>
        <w:pStyle w:val="FootnoteText"/>
        <w:tabs>
          <w:tab w:val="left" w:pos="7797"/>
        </w:tabs>
        <w:ind w:left="567" w:right="-1"/>
        <w:rPr>
          <w:rFonts w:asciiTheme="majorBidi" w:hAnsiTheme="majorBidi" w:cstheme="majorBidi"/>
          <w:sz w:val="18"/>
          <w:szCs w:val="18"/>
        </w:rPr>
      </w:pPr>
      <w:r w:rsidRPr="003F6930">
        <w:rPr>
          <w:rStyle w:val="FootnoteCharacters"/>
          <w:rFonts w:asciiTheme="majorBidi" w:hAnsiTheme="majorBidi" w:cstheme="majorBidi"/>
          <w:szCs w:val="18"/>
        </w:rPr>
        <w:footnoteRef/>
      </w:r>
      <w:r w:rsidRPr="003F6930">
        <w:rPr>
          <w:rFonts w:asciiTheme="majorBidi" w:eastAsia="Calibri" w:hAnsiTheme="majorBidi" w:cstheme="majorBidi"/>
          <w:sz w:val="18"/>
          <w:szCs w:val="18"/>
        </w:rPr>
        <w:t xml:space="preserve"> </w:t>
      </w:r>
      <w:r w:rsidRPr="003F6930">
        <w:rPr>
          <w:rFonts w:asciiTheme="majorBidi" w:hAnsiTheme="majorBidi" w:cstheme="majorBidi"/>
          <w:sz w:val="18"/>
          <w:szCs w:val="18"/>
        </w:rPr>
        <w:t>Party’s response</w:t>
      </w:r>
      <w:r w:rsidRPr="003F6930">
        <w:rPr>
          <w:rFonts w:asciiTheme="majorBidi" w:eastAsia="Calibri" w:hAnsiTheme="majorBidi" w:cstheme="majorBidi"/>
          <w:sz w:val="18"/>
          <w:szCs w:val="18"/>
        </w:rPr>
        <w:t xml:space="preserve"> </w:t>
      </w:r>
      <w:r w:rsidRPr="003F6930">
        <w:rPr>
          <w:rFonts w:asciiTheme="majorBidi" w:hAnsiTheme="majorBidi" w:cstheme="majorBidi"/>
          <w:sz w:val="18"/>
          <w:szCs w:val="18"/>
        </w:rPr>
        <w:t>to the communication, paras. 35-36.</w:t>
      </w:r>
    </w:p>
  </w:footnote>
  <w:footnote w:id="48">
    <w:p w14:paraId="72D1410E" w14:textId="02372A99" w:rsidR="00202C8D" w:rsidRPr="003F6930" w:rsidRDefault="00202C8D">
      <w:pPr>
        <w:pStyle w:val="FootnoteText"/>
        <w:tabs>
          <w:tab w:val="left" w:pos="7797"/>
        </w:tabs>
        <w:ind w:left="567" w:right="-1"/>
        <w:rPr>
          <w:rFonts w:asciiTheme="majorBidi" w:hAnsiTheme="majorBidi" w:cstheme="majorBidi"/>
          <w:sz w:val="18"/>
          <w:szCs w:val="18"/>
        </w:rPr>
      </w:pPr>
      <w:r w:rsidRPr="003F6930">
        <w:rPr>
          <w:rStyle w:val="FootnoteCharacters"/>
          <w:rFonts w:asciiTheme="majorBidi" w:hAnsiTheme="majorBidi" w:cstheme="majorBidi"/>
          <w:szCs w:val="18"/>
        </w:rPr>
        <w:footnoteRef/>
      </w:r>
      <w:r w:rsidRPr="003F6930">
        <w:rPr>
          <w:rFonts w:asciiTheme="majorBidi" w:eastAsia="Calibri" w:hAnsiTheme="majorBidi" w:cstheme="majorBidi"/>
          <w:sz w:val="18"/>
          <w:szCs w:val="18"/>
        </w:rPr>
        <w:t xml:space="preserve"> </w:t>
      </w:r>
      <w:r w:rsidRPr="003F6930">
        <w:rPr>
          <w:rFonts w:asciiTheme="majorBidi" w:hAnsiTheme="majorBidi" w:cstheme="majorBidi"/>
          <w:sz w:val="18"/>
          <w:szCs w:val="18"/>
        </w:rPr>
        <w:t>Ibid., para. 37.</w:t>
      </w:r>
    </w:p>
  </w:footnote>
  <w:footnote w:id="49">
    <w:p w14:paraId="4CBC4A7D" w14:textId="34C3D7FF" w:rsidR="00202C8D" w:rsidRPr="003F6930" w:rsidRDefault="00202C8D">
      <w:pPr>
        <w:pStyle w:val="FootnoteText"/>
        <w:tabs>
          <w:tab w:val="left" w:pos="7797"/>
        </w:tabs>
        <w:ind w:left="567" w:right="-1"/>
        <w:rPr>
          <w:rFonts w:asciiTheme="majorBidi" w:hAnsiTheme="majorBidi" w:cstheme="majorBidi"/>
          <w:sz w:val="18"/>
          <w:szCs w:val="18"/>
        </w:rPr>
      </w:pPr>
      <w:r w:rsidRPr="003F6930">
        <w:rPr>
          <w:rStyle w:val="FootnoteCharacters"/>
          <w:rFonts w:asciiTheme="majorBidi" w:hAnsiTheme="majorBidi" w:cstheme="majorBidi"/>
          <w:szCs w:val="18"/>
        </w:rPr>
        <w:footnoteRef/>
      </w:r>
      <w:r w:rsidRPr="003F6930">
        <w:rPr>
          <w:rFonts w:asciiTheme="majorBidi" w:eastAsia="Calibri" w:hAnsiTheme="majorBidi" w:cstheme="majorBidi"/>
          <w:sz w:val="18"/>
          <w:szCs w:val="18"/>
        </w:rPr>
        <w:t xml:space="preserve"> </w:t>
      </w:r>
      <w:r w:rsidRPr="003F6930">
        <w:rPr>
          <w:rFonts w:asciiTheme="majorBidi" w:hAnsiTheme="majorBidi" w:cstheme="majorBidi"/>
          <w:sz w:val="18"/>
          <w:szCs w:val="18"/>
        </w:rPr>
        <w:t xml:space="preserve">Party’s response to the communication, paras. 13-14 and Party </w:t>
      </w:r>
      <w:proofErr w:type="spellStart"/>
      <w:r w:rsidRPr="003F6930">
        <w:rPr>
          <w:rFonts w:asciiTheme="majorBidi" w:hAnsiTheme="majorBidi" w:cstheme="majorBidi"/>
          <w:sz w:val="18"/>
          <w:szCs w:val="18"/>
        </w:rPr>
        <w:t>concerned’s</w:t>
      </w:r>
      <w:proofErr w:type="spellEnd"/>
      <w:r w:rsidRPr="003F6930">
        <w:rPr>
          <w:rFonts w:asciiTheme="majorBidi" w:hAnsiTheme="majorBidi" w:cstheme="majorBidi"/>
          <w:sz w:val="18"/>
          <w:szCs w:val="18"/>
        </w:rPr>
        <w:t xml:space="preserve"> opening statement for the hearing at the Committee’s fifty-second meeting, para. 15.</w:t>
      </w:r>
    </w:p>
  </w:footnote>
  <w:footnote w:id="50">
    <w:p w14:paraId="7485534E" w14:textId="47A89ACA" w:rsidR="00202C8D" w:rsidRPr="003F6930" w:rsidRDefault="00202C8D">
      <w:pPr>
        <w:pStyle w:val="FootnoteText"/>
        <w:ind w:left="567"/>
        <w:rPr>
          <w:rFonts w:asciiTheme="majorBidi" w:hAnsiTheme="majorBidi" w:cstheme="majorBidi"/>
          <w:sz w:val="18"/>
          <w:szCs w:val="18"/>
          <w:lang w:val="en-US"/>
        </w:rPr>
      </w:pPr>
      <w:r w:rsidRPr="003F6930">
        <w:rPr>
          <w:rStyle w:val="FootnoteReference"/>
          <w:rFonts w:asciiTheme="majorBidi" w:hAnsiTheme="majorBidi" w:cstheme="majorBidi"/>
          <w:sz w:val="18"/>
          <w:szCs w:val="18"/>
        </w:rPr>
        <w:footnoteRef/>
      </w:r>
      <w:r w:rsidRPr="001D767D">
        <w:rPr>
          <w:rFonts w:asciiTheme="majorBidi" w:hAnsiTheme="majorBidi"/>
          <w:sz w:val="18"/>
          <w:lang w:val="es-ES"/>
        </w:rPr>
        <w:t xml:space="preserve"> ECE/</w:t>
      </w:r>
      <w:proofErr w:type="gramStart"/>
      <w:r w:rsidRPr="001D767D">
        <w:rPr>
          <w:rFonts w:asciiTheme="majorBidi" w:hAnsiTheme="majorBidi"/>
          <w:sz w:val="18"/>
          <w:lang w:val="es-ES"/>
        </w:rPr>
        <w:t>MP.PP</w:t>
      </w:r>
      <w:proofErr w:type="gramEnd"/>
      <w:r w:rsidRPr="001D767D">
        <w:rPr>
          <w:rFonts w:asciiTheme="majorBidi" w:hAnsiTheme="majorBidi"/>
          <w:sz w:val="18"/>
          <w:lang w:val="es-ES"/>
        </w:rPr>
        <w:t>/2008/5/Add.10</w:t>
      </w:r>
      <w:r w:rsidRPr="001D767D">
        <w:rPr>
          <w:rFonts w:asciiTheme="majorBidi" w:hAnsiTheme="majorBidi" w:cstheme="majorBidi"/>
          <w:sz w:val="18"/>
          <w:szCs w:val="18"/>
          <w:lang w:val="es-ES"/>
        </w:rPr>
        <w:t xml:space="preserve">, para. </w:t>
      </w:r>
      <w:r w:rsidRPr="003F6930">
        <w:rPr>
          <w:rFonts w:asciiTheme="majorBidi" w:hAnsiTheme="majorBidi" w:cstheme="majorBidi"/>
          <w:sz w:val="18"/>
          <w:szCs w:val="18"/>
        </w:rPr>
        <w:t>41.</w:t>
      </w:r>
    </w:p>
  </w:footnote>
  <w:footnote w:id="51">
    <w:p w14:paraId="0C3A82B6" w14:textId="77777777" w:rsidR="00202C8D" w:rsidRPr="003F6930" w:rsidRDefault="00202C8D">
      <w:pPr>
        <w:pStyle w:val="FootnoteText"/>
        <w:tabs>
          <w:tab w:val="left" w:pos="709"/>
          <w:tab w:val="left" w:pos="7797"/>
        </w:tabs>
        <w:ind w:left="567" w:right="-1"/>
        <w:rPr>
          <w:rFonts w:asciiTheme="majorBidi" w:hAnsiTheme="majorBidi" w:cstheme="majorBidi"/>
          <w:sz w:val="18"/>
          <w:szCs w:val="18"/>
        </w:rPr>
      </w:pPr>
      <w:r w:rsidRPr="003F6930">
        <w:rPr>
          <w:rStyle w:val="FootnoteCharacters"/>
          <w:rFonts w:asciiTheme="majorBidi" w:hAnsiTheme="majorBidi" w:cstheme="majorBidi"/>
          <w:szCs w:val="18"/>
        </w:rPr>
        <w:footnoteRef/>
      </w:r>
      <w:r w:rsidRPr="003F6930">
        <w:rPr>
          <w:rFonts w:asciiTheme="majorBidi" w:eastAsia="Times New Roman" w:hAnsiTheme="majorBidi" w:cstheme="majorBidi"/>
          <w:sz w:val="18"/>
          <w:szCs w:val="18"/>
        </w:rPr>
        <w:tab/>
        <w:t xml:space="preserve"> </w:t>
      </w:r>
      <w:r w:rsidRPr="003F6930">
        <w:rPr>
          <w:rFonts w:asciiTheme="majorBidi" w:hAnsiTheme="majorBidi" w:cstheme="majorBidi"/>
          <w:sz w:val="18"/>
          <w:szCs w:val="18"/>
        </w:rPr>
        <w:t>Communication, para. 22.</w:t>
      </w:r>
    </w:p>
  </w:footnote>
  <w:footnote w:id="52">
    <w:p w14:paraId="3BB5426E" w14:textId="4718B5D3" w:rsidR="00202C8D" w:rsidRPr="003F6930" w:rsidRDefault="00202C8D">
      <w:pPr>
        <w:pStyle w:val="FootnoteText"/>
        <w:tabs>
          <w:tab w:val="left" w:pos="7797"/>
        </w:tabs>
        <w:ind w:left="567" w:right="-1"/>
        <w:rPr>
          <w:rFonts w:asciiTheme="majorBidi" w:hAnsiTheme="majorBidi" w:cstheme="majorBidi"/>
          <w:sz w:val="18"/>
          <w:szCs w:val="18"/>
        </w:rPr>
      </w:pPr>
      <w:r w:rsidRPr="003F6930">
        <w:rPr>
          <w:rStyle w:val="FootnoteCharacters"/>
          <w:rFonts w:asciiTheme="majorBidi" w:hAnsiTheme="majorBidi" w:cstheme="majorBidi"/>
          <w:szCs w:val="18"/>
        </w:rPr>
        <w:footnoteRef/>
      </w:r>
      <w:r w:rsidRPr="003F6930">
        <w:rPr>
          <w:rFonts w:asciiTheme="majorBidi" w:eastAsia="Calibri" w:hAnsiTheme="majorBidi" w:cstheme="majorBidi"/>
          <w:sz w:val="18"/>
          <w:szCs w:val="18"/>
        </w:rPr>
        <w:t xml:space="preserve"> </w:t>
      </w:r>
      <w:r w:rsidRPr="003F6930">
        <w:rPr>
          <w:rFonts w:asciiTheme="majorBidi" w:hAnsiTheme="majorBidi" w:cstheme="majorBidi"/>
          <w:sz w:val="18"/>
          <w:szCs w:val="18"/>
        </w:rPr>
        <w:t xml:space="preserve">Party </w:t>
      </w:r>
      <w:proofErr w:type="spellStart"/>
      <w:r w:rsidRPr="003F6930">
        <w:rPr>
          <w:rFonts w:asciiTheme="majorBidi" w:hAnsiTheme="majorBidi" w:cstheme="majorBidi"/>
          <w:sz w:val="18"/>
          <w:szCs w:val="18"/>
        </w:rPr>
        <w:t>concerned’s</w:t>
      </w:r>
      <w:proofErr w:type="spellEnd"/>
      <w:r w:rsidRPr="003F6930">
        <w:rPr>
          <w:rFonts w:asciiTheme="majorBidi" w:hAnsiTheme="majorBidi" w:cstheme="majorBidi"/>
          <w:sz w:val="18"/>
          <w:szCs w:val="18"/>
        </w:rPr>
        <w:t xml:space="preserve"> opening statement for the hearing at the Committee’s fifty-second meeting, paras. 27 and 30.</w:t>
      </w:r>
    </w:p>
  </w:footnote>
  <w:footnote w:id="53">
    <w:p w14:paraId="33C24649" w14:textId="77777777" w:rsidR="00202C8D" w:rsidRPr="003F6930" w:rsidRDefault="00202C8D">
      <w:pPr>
        <w:pStyle w:val="FootnoteText"/>
        <w:tabs>
          <w:tab w:val="left" w:pos="7797"/>
        </w:tabs>
        <w:ind w:left="567" w:right="-1"/>
        <w:rPr>
          <w:rFonts w:asciiTheme="majorBidi" w:hAnsiTheme="majorBidi" w:cstheme="majorBidi"/>
          <w:sz w:val="18"/>
          <w:szCs w:val="18"/>
        </w:rPr>
      </w:pPr>
      <w:r w:rsidRPr="003F6930">
        <w:rPr>
          <w:rStyle w:val="FootnoteCharacters"/>
          <w:rFonts w:asciiTheme="majorBidi" w:hAnsiTheme="majorBidi" w:cstheme="majorBidi"/>
          <w:szCs w:val="18"/>
        </w:rPr>
        <w:footnoteRef/>
      </w:r>
      <w:r w:rsidRPr="003F6930">
        <w:rPr>
          <w:rFonts w:asciiTheme="majorBidi" w:eastAsia="Calibri" w:hAnsiTheme="majorBidi" w:cstheme="majorBidi"/>
          <w:sz w:val="18"/>
          <w:szCs w:val="18"/>
        </w:rPr>
        <w:t xml:space="preserve"> </w:t>
      </w:r>
      <w:r w:rsidRPr="003F6930">
        <w:rPr>
          <w:rFonts w:asciiTheme="majorBidi" w:hAnsiTheme="majorBidi" w:cstheme="majorBidi"/>
          <w:sz w:val="18"/>
          <w:szCs w:val="18"/>
        </w:rPr>
        <w:t>Party’s response to the communication, paras. 18, 23 and 28.</w:t>
      </w:r>
    </w:p>
  </w:footnote>
  <w:footnote w:id="54">
    <w:p w14:paraId="3F0F2D92" w14:textId="01FF79CF" w:rsidR="00202C8D" w:rsidRPr="003F6930" w:rsidRDefault="00202C8D">
      <w:pPr>
        <w:pStyle w:val="FootnoteText"/>
        <w:tabs>
          <w:tab w:val="left" w:pos="7797"/>
        </w:tabs>
        <w:ind w:left="567" w:right="-1"/>
        <w:rPr>
          <w:rFonts w:asciiTheme="majorBidi" w:hAnsiTheme="majorBidi" w:cstheme="majorBidi"/>
          <w:sz w:val="18"/>
          <w:szCs w:val="18"/>
        </w:rPr>
      </w:pPr>
      <w:r w:rsidRPr="003F6930">
        <w:rPr>
          <w:rStyle w:val="FootnoteCharacters"/>
          <w:rFonts w:asciiTheme="majorBidi" w:hAnsiTheme="majorBidi" w:cstheme="majorBidi"/>
          <w:szCs w:val="18"/>
        </w:rPr>
        <w:footnoteRef/>
      </w:r>
      <w:r w:rsidRPr="003F6930">
        <w:rPr>
          <w:rFonts w:asciiTheme="majorBidi" w:eastAsia="Calibri" w:hAnsiTheme="majorBidi" w:cstheme="majorBidi"/>
          <w:sz w:val="18"/>
          <w:szCs w:val="18"/>
        </w:rPr>
        <w:t xml:space="preserve"> </w:t>
      </w:r>
      <w:r w:rsidRPr="003F6930">
        <w:rPr>
          <w:rFonts w:asciiTheme="majorBidi" w:hAnsiTheme="majorBidi" w:cstheme="majorBidi"/>
          <w:sz w:val="18"/>
          <w:szCs w:val="18"/>
        </w:rPr>
        <w:t>Ibid.</w:t>
      </w:r>
      <w:r w:rsidRPr="003F6930">
        <w:rPr>
          <w:rFonts w:asciiTheme="majorBidi" w:eastAsia="Calibri" w:hAnsiTheme="majorBidi" w:cstheme="majorBidi"/>
          <w:sz w:val="18"/>
          <w:szCs w:val="18"/>
        </w:rPr>
        <w:t>, footnotes 8 and 11.</w:t>
      </w:r>
    </w:p>
  </w:footnote>
  <w:footnote w:id="55">
    <w:p w14:paraId="445405B7" w14:textId="40F09F84" w:rsidR="00202C8D" w:rsidRPr="003F6930" w:rsidRDefault="00202C8D">
      <w:pPr>
        <w:pStyle w:val="FootnoteText"/>
        <w:tabs>
          <w:tab w:val="left" w:pos="7797"/>
        </w:tabs>
        <w:ind w:left="567" w:right="-1"/>
        <w:rPr>
          <w:rFonts w:asciiTheme="majorBidi" w:hAnsiTheme="majorBidi" w:cstheme="majorBidi"/>
          <w:sz w:val="18"/>
          <w:szCs w:val="18"/>
        </w:rPr>
      </w:pPr>
      <w:r w:rsidRPr="003F6930">
        <w:rPr>
          <w:rStyle w:val="FootnoteCharacters"/>
          <w:rFonts w:asciiTheme="majorBidi" w:hAnsiTheme="majorBidi" w:cstheme="majorBidi"/>
          <w:szCs w:val="18"/>
        </w:rPr>
        <w:footnoteRef/>
      </w:r>
      <w:r w:rsidRPr="003F6930">
        <w:rPr>
          <w:rFonts w:asciiTheme="majorBidi" w:eastAsia="Calibri" w:hAnsiTheme="majorBidi" w:cstheme="majorBidi"/>
          <w:sz w:val="18"/>
          <w:szCs w:val="18"/>
        </w:rPr>
        <w:t xml:space="preserve"> </w:t>
      </w:r>
      <w:r w:rsidRPr="003F6930">
        <w:rPr>
          <w:rFonts w:asciiTheme="majorBidi" w:hAnsiTheme="majorBidi" w:cstheme="majorBidi"/>
          <w:sz w:val="18"/>
          <w:szCs w:val="18"/>
        </w:rPr>
        <w:t>Ibid., paras. 23 and 28.</w:t>
      </w:r>
    </w:p>
  </w:footnote>
  <w:footnote w:id="56">
    <w:p w14:paraId="666C28DA" w14:textId="77777777" w:rsidR="00202C8D" w:rsidRPr="003F6930" w:rsidRDefault="00202C8D">
      <w:pPr>
        <w:pStyle w:val="FootnoteText"/>
        <w:tabs>
          <w:tab w:val="left" w:pos="7797"/>
        </w:tabs>
        <w:ind w:left="567" w:right="-1"/>
        <w:rPr>
          <w:rFonts w:asciiTheme="majorBidi" w:hAnsiTheme="majorBidi" w:cstheme="majorBidi"/>
          <w:sz w:val="18"/>
          <w:szCs w:val="18"/>
        </w:rPr>
      </w:pPr>
      <w:r w:rsidRPr="003F6930">
        <w:rPr>
          <w:rStyle w:val="FootnoteCharacters"/>
          <w:rFonts w:asciiTheme="majorBidi" w:hAnsiTheme="majorBidi" w:cstheme="majorBidi"/>
          <w:szCs w:val="18"/>
        </w:rPr>
        <w:footnoteRef/>
      </w:r>
      <w:r w:rsidRPr="003F6930">
        <w:rPr>
          <w:rFonts w:asciiTheme="majorBidi" w:eastAsia="Calibri" w:hAnsiTheme="majorBidi" w:cstheme="majorBidi"/>
          <w:sz w:val="18"/>
          <w:szCs w:val="18"/>
        </w:rPr>
        <w:t xml:space="preserve"> </w:t>
      </w:r>
      <w:r w:rsidRPr="003F6930">
        <w:rPr>
          <w:rFonts w:asciiTheme="majorBidi" w:hAnsiTheme="majorBidi" w:cstheme="majorBidi"/>
          <w:sz w:val="18"/>
          <w:szCs w:val="18"/>
        </w:rPr>
        <w:t xml:space="preserve">Party </w:t>
      </w:r>
      <w:proofErr w:type="spellStart"/>
      <w:r w:rsidRPr="003F6930">
        <w:rPr>
          <w:rFonts w:asciiTheme="majorBidi" w:hAnsiTheme="majorBidi" w:cstheme="majorBidi"/>
          <w:sz w:val="18"/>
          <w:szCs w:val="18"/>
        </w:rPr>
        <w:t>concerned’s</w:t>
      </w:r>
      <w:proofErr w:type="spellEnd"/>
      <w:r w:rsidRPr="003F6930">
        <w:rPr>
          <w:rFonts w:asciiTheme="majorBidi" w:hAnsiTheme="majorBidi" w:cstheme="majorBidi"/>
          <w:sz w:val="18"/>
          <w:szCs w:val="18"/>
        </w:rPr>
        <w:t xml:space="preserve"> opening statement for the hearing at the Committee’s fifty-second meeting, paras. 29-30.</w:t>
      </w:r>
    </w:p>
  </w:footnote>
  <w:footnote w:id="57">
    <w:p w14:paraId="5E681832" w14:textId="06C3CE19" w:rsidR="00202C8D" w:rsidRPr="003F6930" w:rsidRDefault="00202C8D">
      <w:pPr>
        <w:pStyle w:val="FootnoteText"/>
        <w:tabs>
          <w:tab w:val="left" w:pos="709"/>
          <w:tab w:val="left" w:pos="7797"/>
        </w:tabs>
        <w:ind w:left="567" w:right="-1"/>
        <w:rPr>
          <w:rFonts w:asciiTheme="majorBidi" w:hAnsiTheme="majorBidi" w:cstheme="majorBidi"/>
          <w:sz w:val="18"/>
          <w:szCs w:val="18"/>
        </w:rPr>
      </w:pPr>
      <w:r w:rsidRPr="003F6930">
        <w:rPr>
          <w:rStyle w:val="FootnoteCharacters"/>
          <w:rFonts w:asciiTheme="majorBidi" w:hAnsiTheme="majorBidi" w:cstheme="majorBidi"/>
          <w:szCs w:val="18"/>
        </w:rPr>
        <w:footnoteRef/>
      </w:r>
      <w:r w:rsidRPr="003F6930">
        <w:rPr>
          <w:rFonts w:asciiTheme="majorBidi" w:eastAsia="Times New Roman" w:hAnsiTheme="majorBidi" w:cstheme="majorBidi"/>
          <w:sz w:val="18"/>
          <w:szCs w:val="18"/>
        </w:rPr>
        <w:tab/>
        <w:t xml:space="preserve"> </w:t>
      </w:r>
      <w:r w:rsidRPr="003F6930">
        <w:rPr>
          <w:rFonts w:asciiTheme="majorBidi" w:hAnsiTheme="majorBidi" w:cstheme="majorBidi"/>
          <w:sz w:val="18"/>
          <w:szCs w:val="18"/>
        </w:rPr>
        <w:t>Party’s response to the communication, para. 18.</w:t>
      </w:r>
    </w:p>
  </w:footnote>
  <w:footnote w:id="58">
    <w:p w14:paraId="5A7530AC" w14:textId="6A244FF6" w:rsidR="00202C8D" w:rsidRPr="003F6930" w:rsidRDefault="00202C8D">
      <w:pPr>
        <w:pStyle w:val="FootnoteText"/>
        <w:tabs>
          <w:tab w:val="left" w:pos="709"/>
          <w:tab w:val="left" w:pos="7797"/>
        </w:tabs>
        <w:ind w:left="567" w:right="-1"/>
        <w:rPr>
          <w:rFonts w:asciiTheme="majorBidi" w:hAnsiTheme="majorBidi" w:cstheme="majorBidi"/>
          <w:sz w:val="18"/>
          <w:szCs w:val="18"/>
        </w:rPr>
      </w:pPr>
      <w:r w:rsidRPr="003F6930">
        <w:rPr>
          <w:rStyle w:val="FootnoteCharacters"/>
          <w:rFonts w:asciiTheme="majorBidi" w:hAnsiTheme="majorBidi" w:cstheme="majorBidi"/>
          <w:szCs w:val="18"/>
        </w:rPr>
        <w:footnoteRef/>
      </w:r>
      <w:r w:rsidRPr="003F6930">
        <w:rPr>
          <w:rFonts w:asciiTheme="majorBidi" w:eastAsia="Times New Roman" w:hAnsiTheme="majorBidi" w:cstheme="majorBidi"/>
          <w:sz w:val="18"/>
          <w:szCs w:val="18"/>
        </w:rPr>
        <w:t xml:space="preserve"> </w:t>
      </w:r>
      <w:r w:rsidRPr="003F6930">
        <w:rPr>
          <w:rFonts w:asciiTheme="majorBidi" w:hAnsiTheme="majorBidi" w:cstheme="majorBidi"/>
          <w:sz w:val="18"/>
          <w:szCs w:val="18"/>
        </w:rPr>
        <w:t>Ibid., para. 25.</w:t>
      </w:r>
    </w:p>
  </w:footnote>
  <w:footnote w:id="59">
    <w:p w14:paraId="5CD90FA6" w14:textId="77777777" w:rsidR="00202C8D" w:rsidRPr="003F6930" w:rsidRDefault="00202C8D">
      <w:pPr>
        <w:pStyle w:val="FootnoteText"/>
        <w:tabs>
          <w:tab w:val="left" w:pos="7797"/>
        </w:tabs>
        <w:ind w:left="567" w:right="-1"/>
        <w:rPr>
          <w:rFonts w:asciiTheme="majorBidi" w:hAnsiTheme="majorBidi" w:cstheme="majorBidi"/>
          <w:sz w:val="18"/>
          <w:szCs w:val="18"/>
        </w:rPr>
      </w:pPr>
      <w:r w:rsidRPr="003F6930">
        <w:rPr>
          <w:rStyle w:val="FootnoteCharacters"/>
          <w:rFonts w:asciiTheme="majorBidi" w:hAnsiTheme="majorBidi" w:cstheme="majorBidi"/>
          <w:szCs w:val="18"/>
        </w:rPr>
        <w:footnoteRef/>
      </w:r>
      <w:r w:rsidRPr="003F6930">
        <w:rPr>
          <w:rFonts w:asciiTheme="majorBidi" w:eastAsia="Calibri" w:hAnsiTheme="majorBidi" w:cstheme="majorBidi"/>
          <w:sz w:val="18"/>
          <w:szCs w:val="18"/>
        </w:rPr>
        <w:t xml:space="preserve"> </w:t>
      </w:r>
      <w:r w:rsidRPr="003F6930">
        <w:rPr>
          <w:rFonts w:asciiTheme="majorBidi" w:hAnsiTheme="majorBidi" w:cstheme="majorBidi"/>
          <w:sz w:val="18"/>
          <w:szCs w:val="18"/>
        </w:rPr>
        <w:t>Communicant’s reply to questions of the Committee, 18 November 2016, para. 4.</w:t>
      </w:r>
    </w:p>
  </w:footnote>
  <w:footnote w:id="60">
    <w:p w14:paraId="0E3A32FE" w14:textId="0E1C8C60" w:rsidR="00202C8D" w:rsidRPr="003F6930" w:rsidRDefault="00202C8D">
      <w:pPr>
        <w:pStyle w:val="FootnoteText"/>
        <w:tabs>
          <w:tab w:val="left" w:pos="709"/>
          <w:tab w:val="left" w:pos="7797"/>
        </w:tabs>
        <w:ind w:left="567" w:right="-1"/>
        <w:rPr>
          <w:rFonts w:asciiTheme="majorBidi" w:hAnsiTheme="majorBidi" w:cstheme="majorBidi"/>
          <w:sz w:val="18"/>
          <w:szCs w:val="18"/>
        </w:rPr>
      </w:pPr>
      <w:r w:rsidRPr="003F6930">
        <w:rPr>
          <w:rStyle w:val="FootnoteCharacters"/>
          <w:rFonts w:asciiTheme="majorBidi" w:hAnsiTheme="majorBidi" w:cstheme="majorBidi"/>
          <w:szCs w:val="18"/>
        </w:rPr>
        <w:footnoteRef/>
      </w:r>
      <w:r w:rsidRPr="003F6930">
        <w:rPr>
          <w:rFonts w:asciiTheme="majorBidi" w:eastAsia="Times New Roman" w:hAnsiTheme="majorBidi" w:cstheme="majorBidi"/>
          <w:sz w:val="18"/>
          <w:szCs w:val="18"/>
        </w:rPr>
        <w:tab/>
        <w:t xml:space="preserve"> Communicant’s s</w:t>
      </w:r>
      <w:r w:rsidRPr="003F6930">
        <w:rPr>
          <w:rFonts w:asciiTheme="majorBidi" w:hAnsiTheme="majorBidi" w:cstheme="majorBidi"/>
          <w:sz w:val="18"/>
          <w:szCs w:val="18"/>
        </w:rPr>
        <w:t>ummary of the communication, 17 February 2014, para. 5(a).</w:t>
      </w:r>
    </w:p>
  </w:footnote>
  <w:footnote w:id="61">
    <w:p w14:paraId="75E59365" w14:textId="1884AFA2" w:rsidR="00202C8D" w:rsidRPr="003F6930" w:rsidRDefault="00202C8D">
      <w:pPr>
        <w:pStyle w:val="FootnoteText"/>
        <w:tabs>
          <w:tab w:val="left" w:pos="7797"/>
        </w:tabs>
        <w:ind w:left="567" w:right="-1"/>
        <w:rPr>
          <w:rFonts w:asciiTheme="majorBidi" w:hAnsiTheme="majorBidi" w:cstheme="majorBidi"/>
          <w:sz w:val="18"/>
          <w:szCs w:val="18"/>
        </w:rPr>
      </w:pPr>
      <w:r w:rsidRPr="003F6930">
        <w:rPr>
          <w:rStyle w:val="FootnoteCharacters"/>
          <w:rFonts w:asciiTheme="majorBidi" w:hAnsiTheme="majorBidi" w:cstheme="majorBidi"/>
          <w:szCs w:val="18"/>
        </w:rPr>
        <w:footnoteRef/>
      </w:r>
      <w:r w:rsidRPr="003F6930">
        <w:rPr>
          <w:rFonts w:asciiTheme="majorBidi" w:hAnsiTheme="majorBidi" w:cstheme="majorBidi"/>
          <w:sz w:val="18"/>
          <w:szCs w:val="18"/>
        </w:rPr>
        <w:t xml:space="preserve"> Further comments of the communicant, 1 December 2016, para. 13, and Environmental Pillar’s comments on the communicant’s and Party </w:t>
      </w:r>
      <w:proofErr w:type="spellStart"/>
      <w:r w:rsidRPr="003F6930">
        <w:rPr>
          <w:rFonts w:asciiTheme="majorBidi" w:hAnsiTheme="majorBidi" w:cstheme="majorBidi"/>
          <w:sz w:val="18"/>
          <w:szCs w:val="18"/>
        </w:rPr>
        <w:t>concerned’s</w:t>
      </w:r>
      <w:proofErr w:type="spellEnd"/>
      <w:r w:rsidRPr="003F6930">
        <w:rPr>
          <w:rFonts w:asciiTheme="majorBidi" w:hAnsiTheme="majorBidi" w:cstheme="majorBidi"/>
          <w:sz w:val="18"/>
          <w:szCs w:val="18"/>
        </w:rPr>
        <w:t xml:space="preserve"> reply to questions, 28 November 2017, paras. 40-41.</w:t>
      </w:r>
    </w:p>
  </w:footnote>
  <w:footnote w:id="62">
    <w:p w14:paraId="03547525" w14:textId="17FF7E74" w:rsidR="00202C8D" w:rsidRPr="003F6930" w:rsidRDefault="00202C8D">
      <w:pPr>
        <w:pStyle w:val="FootnoteText"/>
        <w:tabs>
          <w:tab w:val="left" w:pos="7797"/>
        </w:tabs>
        <w:ind w:left="567" w:right="-1"/>
        <w:rPr>
          <w:rFonts w:asciiTheme="majorBidi" w:hAnsiTheme="majorBidi" w:cstheme="majorBidi"/>
          <w:sz w:val="18"/>
          <w:szCs w:val="18"/>
        </w:rPr>
      </w:pPr>
      <w:r w:rsidRPr="003F6930">
        <w:rPr>
          <w:rStyle w:val="FootnoteCharacters"/>
          <w:rFonts w:asciiTheme="majorBidi" w:hAnsiTheme="majorBidi" w:cstheme="majorBidi"/>
          <w:szCs w:val="18"/>
        </w:rPr>
        <w:footnoteRef/>
      </w:r>
      <w:r w:rsidRPr="003F6930">
        <w:rPr>
          <w:rFonts w:asciiTheme="majorBidi" w:hAnsiTheme="majorBidi" w:cstheme="majorBidi"/>
          <w:sz w:val="18"/>
          <w:szCs w:val="18"/>
        </w:rPr>
        <w:t xml:space="preserve"> Comments on Party </w:t>
      </w:r>
      <w:proofErr w:type="spellStart"/>
      <w:r w:rsidRPr="003F6930">
        <w:rPr>
          <w:rFonts w:asciiTheme="majorBidi" w:hAnsiTheme="majorBidi" w:cstheme="majorBidi"/>
          <w:sz w:val="18"/>
          <w:szCs w:val="18"/>
        </w:rPr>
        <w:t>concerned’s</w:t>
      </w:r>
      <w:proofErr w:type="spellEnd"/>
      <w:r w:rsidRPr="003F6930">
        <w:rPr>
          <w:rFonts w:asciiTheme="majorBidi" w:hAnsiTheme="majorBidi" w:cstheme="majorBidi"/>
          <w:sz w:val="18"/>
          <w:szCs w:val="18"/>
        </w:rPr>
        <w:t xml:space="preserve"> reply to questions, para. 31, and observer comments on the communicant’s and Party </w:t>
      </w:r>
      <w:proofErr w:type="spellStart"/>
      <w:r w:rsidRPr="003F6930">
        <w:rPr>
          <w:rFonts w:asciiTheme="majorBidi" w:hAnsiTheme="majorBidi" w:cstheme="majorBidi"/>
          <w:sz w:val="18"/>
          <w:szCs w:val="18"/>
        </w:rPr>
        <w:t>concerned’s</w:t>
      </w:r>
      <w:proofErr w:type="spellEnd"/>
      <w:r w:rsidRPr="003F6930">
        <w:rPr>
          <w:rFonts w:asciiTheme="majorBidi" w:hAnsiTheme="majorBidi" w:cstheme="majorBidi"/>
          <w:sz w:val="18"/>
          <w:szCs w:val="18"/>
        </w:rPr>
        <w:t xml:space="preserve"> reply to questions, 28 November 2017, para. 41.</w:t>
      </w:r>
    </w:p>
  </w:footnote>
  <w:footnote w:id="63">
    <w:p w14:paraId="5A1EABD6" w14:textId="20429683" w:rsidR="00202C8D" w:rsidRPr="003F6930" w:rsidRDefault="00202C8D">
      <w:pPr>
        <w:pStyle w:val="FootnoteText"/>
        <w:tabs>
          <w:tab w:val="left" w:pos="709"/>
          <w:tab w:val="left" w:pos="7797"/>
        </w:tabs>
        <w:ind w:left="567" w:right="-1"/>
        <w:rPr>
          <w:rFonts w:asciiTheme="majorBidi" w:hAnsiTheme="majorBidi" w:cstheme="majorBidi"/>
          <w:sz w:val="18"/>
          <w:szCs w:val="18"/>
        </w:rPr>
      </w:pPr>
      <w:r w:rsidRPr="003F6930">
        <w:rPr>
          <w:rStyle w:val="FootnoteCharacters"/>
          <w:rFonts w:asciiTheme="majorBidi" w:hAnsiTheme="majorBidi" w:cstheme="majorBidi"/>
          <w:szCs w:val="18"/>
        </w:rPr>
        <w:footnoteRef/>
      </w:r>
      <w:r w:rsidRPr="003F6930">
        <w:rPr>
          <w:rFonts w:asciiTheme="majorBidi" w:hAnsiTheme="majorBidi" w:cstheme="majorBidi"/>
          <w:sz w:val="18"/>
          <w:szCs w:val="18"/>
        </w:rPr>
        <w:tab/>
        <w:t xml:space="preserve"> Party’s response to the communication, paras. 39-40.</w:t>
      </w:r>
    </w:p>
  </w:footnote>
  <w:footnote w:id="64">
    <w:p w14:paraId="65B30EB4" w14:textId="3552932C" w:rsidR="00202C8D" w:rsidRPr="003F6930" w:rsidRDefault="00202C8D">
      <w:pPr>
        <w:pStyle w:val="FootnoteText"/>
        <w:tabs>
          <w:tab w:val="left" w:pos="7797"/>
        </w:tabs>
        <w:ind w:left="567" w:right="-1"/>
        <w:rPr>
          <w:rFonts w:asciiTheme="majorBidi" w:hAnsiTheme="majorBidi" w:cstheme="majorBidi"/>
          <w:sz w:val="18"/>
          <w:szCs w:val="18"/>
        </w:rPr>
      </w:pPr>
      <w:r w:rsidRPr="003F6930">
        <w:rPr>
          <w:rStyle w:val="FootnoteCharacters"/>
          <w:rFonts w:asciiTheme="majorBidi" w:hAnsiTheme="majorBidi" w:cstheme="majorBidi"/>
          <w:szCs w:val="18"/>
        </w:rPr>
        <w:footnoteRef/>
      </w:r>
      <w:r w:rsidRPr="003F6930">
        <w:rPr>
          <w:rFonts w:asciiTheme="majorBidi" w:hAnsiTheme="majorBidi" w:cstheme="majorBidi"/>
          <w:sz w:val="18"/>
          <w:szCs w:val="18"/>
        </w:rPr>
        <w:t xml:space="preserve"> Ibid., para. 41.</w:t>
      </w:r>
    </w:p>
  </w:footnote>
  <w:footnote w:id="65">
    <w:p w14:paraId="7A17C254" w14:textId="5F7FB560" w:rsidR="00202C8D" w:rsidRPr="003F6930" w:rsidRDefault="00202C8D" w:rsidP="00AA3F2F">
      <w:pPr>
        <w:pStyle w:val="FootnoteText"/>
        <w:ind w:firstLine="567"/>
      </w:pPr>
      <w:r w:rsidRPr="003F6930">
        <w:rPr>
          <w:rStyle w:val="FootnoteReference"/>
        </w:rPr>
        <w:footnoteRef/>
      </w:r>
      <w:r w:rsidRPr="003F6930">
        <w:t xml:space="preserve"> </w:t>
      </w:r>
      <w:r w:rsidRPr="003F6930">
        <w:rPr>
          <w:rFonts w:asciiTheme="majorBidi" w:hAnsiTheme="majorBidi" w:cstheme="majorBidi"/>
          <w:sz w:val="18"/>
          <w:szCs w:val="18"/>
        </w:rPr>
        <w:t>Party’s reply to the Committee’s request for clarification, 31 May 2019.</w:t>
      </w:r>
    </w:p>
  </w:footnote>
  <w:footnote w:id="66">
    <w:p w14:paraId="2147F7B1" w14:textId="724117CF" w:rsidR="00202C8D" w:rsidRPr="003F6930" w:rsidRDefault="00202C8D">
      <w:pPr>
        <w:pStyle w:val="FootnoteText"/>
        <w:tabs>
          <w:tab w:val="left" w:pos="709"/>
          <w:tab w:val="left" w:pos="7797"/>
        </w:tabs>
        <w:ind w:left="567" w:right="-1"/>
        <w:rPr>
          <w:rFonts w:asciiTheme="majorBidi" w:hAnsiTheme="majorBidi" w:cstheme="majorBidi"/>
          <w:sz w:val="18"/>
          <w:szCs w:val="18"/>
        </w:rPr>
      </w:pPr>
      <w:r w:rsidRPr="003F6930">
        <w:rPr>
          <w:rStyle w:val="FootnoteCharacters"/>
          <w:rFonts w:asciiTheme="majorBidi" w:hAnsiTheme="majorBidi" w:cstheme="majorBidi"/>
          <w:szCs w:val="18"/>
        </w:rPr>
        <w:footnoteRef/>
      </w:r>
      <w:r w:rsidRPr="003F6930">
        <w:rPr>
          <w:rFonts w:asciiTheme="majorBidi" w:eastAsia="Times New Roman" w:hAnsiTheme="majorBidi" w:cstheme="majorBidi"/>
          <w:sz w:val="18"/>
          <w:szCs w:val="18"/>
        </w:rPr>
        <w:tab/>
        <w:t xml:space="preserve"> </w:t>
      </w:r>
      <w:r w:rsidRPr="003F6930">
        <w:rPr>
          <w:rFonts w:asciiTheme="majorBidi" w:hAnsiTheme="majorBidi" w:cstheme="majorBidi"/>
          <w:sz w:val="18"/>
          <w:szCs w:val="18"/>
        </w:rPr>
        <w:t>Communicant’s reply to the Committee’s questions, 19 December 2014, p. 3.</w:t>
      </w:r>
    </w:p>
  </w:footnote>
  <w:footnote w:id="67">
    <w:p w14:paraId="60F61525" w14:textId="77777777" w:rsidR="00202C8D" w:rsidRPr="003F6930" w:rsidRDefault="00202C8D">
      <w:pPr>
        <w:pStyle w:val="FootnoteText"/>
        <w:ind w:left="567"/>
        <w:rPr>
          <w:rFonts w:asciiTheme="majorBidi" w:hAnsiTheme="majorBidi" w:cstheme="majorBidi"/>
          <w:sz w:val="18"/>
          <w:szCs w:val="18"/>
          <w:lang w:val="en-US"/>
        </w:rPr>
      </w:pPr>
      <w:r w:rsidRPr="003F6930">
        <w:rPr>
          <w:rStyle w:val="FootnoteReference"/>
          <w:rFonts w:asciiTheme="majorBidi" w:hAnsiTheme="majorBidi" w:cstheme="majorBidi"/>
          <w:sz w:val="18"/>
          <w:szCs w:val="18"/>
        </w:rPr>
        <w:footnoteRef/>
      </w:r>
      <w:r w:rsidRPr="003F6930">
        <w:rPr>
          <w:rFonts w:asciiTheme="majorBidi" w:hAnsiTheme="majorBidi" w:cstheme="majorBidi"/>
          <w:sz w:val="18"/>
          <w:szCs w:val="18"/>
        </w:rPr>
        <w:t xml:space="preserve"> Party’s r</w:t>
      </w:r>
      <w:proofErr w:type="spellStart"/>
      <w:r w:rsidRPr="003F6930">
        <w:rPr>
          <w:rFonts w:asciiTheme="majorBidi" w:hAnsiTheme="majorBidi" w:cstheme="majorBidi"/>
          <w:sz w:val="18"/>
          <w:szCs w:val="18"/>
          <w:lang w:val="en-US"/>
        </w:rPr>
        <w:t>esponse</w:t>
      </w:r>
      <w:proofErr w:type="spellEnd"/>
      <w:r w:rsidRPr="003F6930">
        <w:rPr>
          <w:rFonts w:asciiTheme="majorBidi" w:hAnsiTheme="majorBidi" w:cstheme="majorBidi"/>
          <w:sz w:val="18"/>
          <w:szCs w:val="18"/>
          <w:lang w:val="en-US"/>
        </w:rPr>
        <w:t xml:space="preserve"> to the communication, paras. 44-48.</w:t>
      </w:r>
    </w:p>
  </w:footnote>
  <w:footnote w:id="68">
    <w:p w14:paraId="73A7262B" w14:textId="4653E0E0" w:rsidR="00202C8D" w:rsidRPr="003F6930" w:rsidRDefault="00202C8D">
      <w:pPr>
        <w:pStyle w:val="FootnoteText"/>
        <w:tabs>
          <w:tab w:val="left" w:pos="709"/>
          <w:tab w:val="left" w:pos="7797"/>
        </w:tabs>
        <w:ind w:left="567" w:right="-1"/>
        <w:rPr>
          <w:rFonts w:asciiTheme="majorBidi" w:hAnsiTheme="majorBidi" w:cstheme="majorBidi"/>
          <w:sz w:val="18"/>
          <w:szCs w:val="18"/>
        </w:rPr>
      </w:pPr>
      <w:r w:rsidRPr="003F6930">
        <w:rPr>
          <w:rStyle w:val="FootnoteCharacters"/>
          <w:rFonts w:asciiTheme="majorBidi" w:hAnsiTheme="majorBidi" w:cstheme="majorBidi"/>
          <w:szCs w:val="18"/>
        </w:rPr>
        <w:footnoteRef/>
      </w:r>
      <w:r w:rsidRPr="003F6930">
        <w:rPr>
          <w:rFonts w:asciiTheme="majorBidi" w:eastAsia="Times New Roman" w:hAnsiTheme="majorBidi" w:cstheme="majorBidi"/>
          <w:sz w:val="18"/>
          <w:szCs w:val="18"/>
        </w:rPr>
        <w:tab/>
        <w:t xml:space="preserve"> </w:t>
      </w:r>
      <w:r w:rsidRPr="003F6930">
        <w:rPr>
          <w:rFonts w:asciiTheme="majorBidi" w:hAnsiTheme="majorBidi" w:cstheme="majorBidi"/>
          <w:sz w:val="18"/>
          <w:szCs w:val="18"/>
        </w:rPr>
        <w:t>Party’s reply to the Committee’s questions, 18 November 2016, paras. 19 and 27.</w:t>
      </w:r>
    </w:p>
  </w:footnote>
  <w:footnote w:id="69">
    <w:p w14:paraId="6E702BE4" w14:textId="3BE4D71A" w:rsidR="00202C8D" w:rsidRPr="003F6930" w:rsidRDefault="00202C8D">
      <w:pPr>
        <w:pStyle w:val="FootnoteText"/>
        <w:tabs>
          <w:tab w:val="left" w:pos="709"/>
          <w:tab w:val="left" w:pos="7797"/>
        </w:tabs>
        <w:ind w:left="567" w:right="-1"/>
        <w:rPr>
          <w:rFonts w:asciiTheme="majorBidi" w:hAnsiTheme="majorBidi" w:cstheme="majorBidi"/>
          <w:sz w:val="18"/>
          <w:szCs w:val="18"/>
        </w:rPr>
      </w:pPr>
      <w:r w:rsidRPr="003F6930">
        <w:rPr>
          <w:rStyle w:val="FootnoteCharacters"/>
          <w:rFonts w:asciiTheme="majorBidi" w:hAnsiTheme="majorBidi" w:cstheme="majorBidi"/>
          <w:szCs w:val="18"/>
        </w:rPr>
        <w:footnoteRef/>
      </w:r>
      <w:r w:rsidRPr="003F6930">
        <w:rPr>
          <w:rFonts w:asciiTheme="majorBidi" w:eastAsia="Times New Roman" w:hAnsiTheme="majorBidi" w:cstheme="majorBidi"/>
          <w:sz w:val="18"/>
          <w:szCs w:val="18"/>
        </w:rPr>
        <w:tab/>
        <w:t xml:space="preserve"> </w:t>
      </w:r>
      <w:r w:rsidRPr="003F6930">
        <w:rPr>
          <w:rFonts w:asciiTheme="majorBidi" w:hAnsiTheme="majorBidi" w:cstheme="majorBidi"/>
          <w:sz w:val="18"/>
          <w:szCs w:val="18"/>
        </w:rPr>
        <w:t>Ibid., paras. 29 and 31.</w:t>
      </w:r>
    </w:p>
  </w:footnote>
  <w:footnote w:id="70">
    <w:p w14:paraId="7993B30D" w14:textId="77777777" w:rsidR="00202C8D" w:rsidRPr="003F6930" w:rsidRDefault="00202C8D" w:rsidP="00C23B71">
      <w:pPr>
        <w:pStyle w:val="FootnoteText"/>
        <w:ind w:left="567"/>
        <w:rPr>
          <w:rFonts w:asciiTheme="majorBidi" w:hAnsiTheme="majorBidi" w:cstheme="majorBidi"/>
          <w:sz w:val="18"/>
          <w:szCs w:val="18"/>
        </w:rPr>
      </w:pPr>
      <w:r w:rsidRPr="003F6930">
        <w:rPr>
          <w:rStyle w:val="FootnoteReference"/>
          <w:rFonts w:asciiTheme="majorBidi" w:hAnsiTheme="majorBidi" w:cstheme="majorBidi"/>
          <w:sz w:val="18"/>
          <w:szCs w:val="18"/>
        </w:rPr>
        <w:footnoteRef/>
      </w:r>
      <w:r w:rsidRPr="003F6930">
        <w:rPr>
          <w:rFonts w:asciiTheme="majorBidi" w:hAnsiTheme="majorBidi" w:cstheme="majorBidi"/>
          <w:sz w:val="18"/>
          <w:szCs w:val="18"/>
        </w:rPr>
        <w:t xml:space="preserve"> [2010] IEHC 479.</w:t>
      </w:r>
    </w:p>
  </w:footnote>
  <w:footnote w:id="71">
    <w:p w14:paraId="1D209C59" w14:textId="77B7B961" w:rsidR="00202C8D" w:rsidRPr="003F6930" w:rsidRDefault="00202C8D" w:rsidP="00765C26">
      <w:pPr>
        <w:pStyle w:val="FootnoteText"/>
        <w:ind w:left="567"/>
        <w:rPr>
          <w:rFonts w:asciiTheme="majorBidi" w:hAnsiTheme="majorBidi" w:cstheme="majorBidi"/>
          <w:sz w:val="18"/>
          <w:szCs w:val="18"/>
        </w:rPr>
      </w:pPr>
      <w:r w:rsidRPr="003F6930">
        <w:rPr>
          <w:rStyle w:val="FootnoteReference"/>
          <w:rFonts w:asciiTheme="majorBidi" w:hAnsiTheme="majorBidi" w:cstheme="majorBidi"/>
          <w:sz w:val="18"/>
          <w:szCs w:val="18"/>
        </w:rPr>
        <w:footnoteRef/>
      </w:r>
      <w:r w:rsidRPr="003F6930">
        <w:rPr>
          <w:rFonts w:asciiTheme="majorBidi" w:hAnsiTheme="majorBidi" w:cstheme="majorBidi"/>
          <w:sz w:val="18"/>
          <w:szCs w:val="18"/>
        </w:rPr>
        <w:t xml:space="preserve"> </w:t>
      </w:r>
      <w:r w:rsidRPr="003F6930">
        <w:rPr>
          <w:rFonts w:asciiTheme="majorBidi" w:hAnsiTheme="majorBidi" w:cstheme="majorBidi"/>
          <w:color w:val="545454"/>
          <w:sz w:val="18"/>
          <w:szCs w:val="18"/>
          <w:shd w:val="clear" w:color="auto" w:fill="FFFFFF"/>
        </w:rPr>
        <w:t>[2017] IEHC 695.</w:t>
      </w:r>
    </w:p>
  </w:footnote>
  <w:footnote w:id="72">
    <w:p w14:paraId="5BEBEE01" w14:textId="543D252F" w:rsidR="00202C8D" w:rsidRPr="003F6930" w:rsidRDefault="00202C8D" w:rsidP="00765C26">
      <w:pPr>
        <w:pStyle w:val="FootnoteText"/>
        <w:ind w:left="567"/>
        <w:rPr>
          <w:rFonts w:asciiTheme="majorBidi" w:hAnsiTheme="majorBidi" w:cstheme="majorBidi"/>
          <w:sz w:val="18"/>
          <w:szCs w:val="18"/>
        </w:rPr>
      </w:pPr>
      <w:r w:rsidRPr="003F6930">
        <w:rPr>
          <w:rStyle w:val="FootnoteReference"/>
          <w:rFonts w:asciiTheme="majorBidi" w:hAnsiTheme="majorBidi" w:cstheme="majorBidi"/>
          <w:sz w:val="18"/>
          <w:szCs w:val="18"/>
        </w:rPr>
        <w:footnoteRef/>
      </w:r>
      <w:r w:rsidRPr="003F6930">
        <w:rPr>
          <w:rFonts w:asciiTheme="majorBidi" w:hAnsiTheme="majorBidi" w:cstheme="majorBidi"/>
          <w:sz w:val="18"/>
          <w:szCs w:val="18"/>
        </w:rPr>
        <w:t xml:space="preserve"> Party’s reply to the Committee’s request for information, 27 November 2018, annex 2.</w:t>
      </w:r>
    </w:p>
  </w:footnote>
  <w:footnote w:id="73">
    <w:p w14:paraId="4EFFD6BF" w14:textId="60FC2215" w:rsidR="00202C8D" w:rsidRPr="003F6930" w:rsidRDefault="00202C8D">
      <w:pPr>
        <w:pStyle w:val="FootnoteText"/>
        <w:ind w:left="567"/>
        <w:rPr>
          <w:rFonts w:asciiTheme="majorBidi" w:hAnsiTheme="majorBidi" w:cstheme="majorBidi"/>
          <w:sz w:val="18"/>
          <w:szCs w:val="18"/>
        </w:rPr>
      </w:pPr>
      <w:r w:rsidRPr="003F6930">
        <w:rPr>
          <w:rStyle w:val="FootnoteReference"/>
          <w:rFonts w:asciiTheme="majorBidi" w:hAnsiTheme="majorBidi" w:cstheme="majorBidi"/>
          <w:sz w:val="18"/>
          <w:szCs w:val="18"/>
        </w:rPr>
        <w:footnoteRef/>
      </w:r>
      <w:r w:rsidRPr="003F6930">
        <w:rPr>
          <w:rFonts w:asciiTheme="majorBidi" w:hAnsiTheme="majorBidi" w:cstheme="majorBidi"/>
          <w:sz w:val="18"/>
          <w:szCs w:val="18"/>
        </w:rPr>
        <w:t xml:space="preserve"> See for example, </w:t>
      </w:r>
      <w:r w:rsidRPr="003F6930">
        <w:rPr>
          <w:rFonts w:asciiTheme="majorBidi" w:hAnsiTheme="majorBidi" w:cstheme="majorBidi"/>
          <w:i/>
          <w:sz w:val="18"/>
          <w:szCs w:val="18"/>
        </w:rPr>
        <w:t>Merriman and others v. Fingal County Council</w:t>
      </w:r>
      <w:r w:rsidRPr="003F6930">
        <w:rPr>
          <w:rFonts w:asciiTheme="majorBidi" w:hAnsiTheme="majorBidi" w:cstheme="majorBidi"/>
          <w:sz w:val="18"/>
          <w:szCs w:val="18"/>
        </w:rPr>
        <w:t xml:space="preserve">; </w:t>
      </w:r>
      <w:r w:rsidRPr="003F6930">
        <w:rPr>
          <w:rFonts w:asciiTheme="majorBidi" w:eastAsia="Times New Roman" w:hAnsiTheme="majorBidi" w:cstheme="majorBidi"/>
          <w:i/>
          <w:iCs/>
          <w:sz w:val="18"/>
          <w:szCs w:val="18"/>
        </w:rPr>
        <w:t>Friends of the Irish Environment v. Fingal County Council</w:t>
      </w:r>
      <w:r w:rsidR="00EB342A" w:rsidRPr="003F6930">
        <w:rPr>
          <w:rFonts w:asciiTheme="majorBidi" w:eastAsia="Times New Roman" w:hAnsiTheme="majorBidi" w:cstheme="majorBidi"/>
          <w:i/>
          <w:iCs/>
          <w:sz w:val="18"/>
          <w:szCs w:val="18"/>
        </w:rPr>
        <w:t xml:space="preserve"> </w:t>
      </w:r>
      <w:r w:rsidR="00EB342A" w:rsidRPr="003F6930">
        <w:rPr>
          <w:rFonts w:asciiTheme="majorBidi" w:hAnsiTheme="majorBidi" w:cstheme="majorBidi"/>
          <w:color w:val="545454"/>
          <w:sz w:val="18"/>
          <w:szCs w:val="18"/>
          <w:shd w:val="clear" w:color="auto" w:fill="FFFFFF"/>
        </w:rPr>
        <w:t>[2017] IEHC 695</w:t>
      </w:r>
      <w:r w:rsidR="00EB342A" w:rsidRPr="003F6930">
        <w:rPr>
          <w:rFonts w:asciiTheme="majorBidi" w:hAnsiTheme="majorBidi"/>
          <w:color w:val="545454"/>
          <w:sz w:val="18"/>
          <w:shd w:val="clear" w:color="auto" w:fill="FFFFFF"/>
        </w:rPr>
        <w:t xml:space="preserve">, </w:t>
      </w:r>
      <w:r w:rsidRPr="003F6930">
        <w:rPr>
          <w:rFonts w:asciiTheme="majorBidi" w:hAnsiTheme="majorBidi"/>
          <w:sz w:val="18"/>
        </w:rPr>
        <w:t>paras. 50 and 82; and</w:t>
      </w:r>
      <w:r w:rsidRPr="003F6930">
        <w:rPr>
          <w:rFonts w:asciiTheme="majorBidi" w:hAnsiTheme="majorBidi" w:cstheme="majorBidi"/>
          <w:i/>
          <w:iCs/>
          <w:sz w:val="18"/>
          <w:szCs w:val="18"/>
        </w:rPr>
        <w:t xml:space="preserve"> Coll v. Donegal County Council </w:t>
      </w:r>
      <w:r w:rsidRPr="003F6930">
        <w:rPr>
          <w:rFonts w:asciiTheme="majorBidi" w:hAnsiTheme="majorBidi" w:cstheme="majorBidi"/>
          <w:sz w:val="18"/>
          <w:szCs w:val="18"/>
        </w:rPr>
        <w:t>[2005] IEHC 231.</w:t>
      </w:r>
    </w:p>
  </w:footnote>
  <w:footnote w:id="74">
    <w:p w14:paraId="135B4993" w14:textId="77777777" w:rsidR="00202C8D" w:rsidRPr="003F6930" w:rsidRDefault="00202C8D" w:rsidP="00C47857">
      <w:pPr>
        <w:pStyle w:val="FootnoteText"/>
        <w:ind w:left="567"/>
        <w:rPr>
          <w:rFonts w:asciiTheme="majorBidi" w:hAnsiTheme="majorBidi" w:cstheme="majorBidi"/>
          <w:sz w:val="18"/>
          <w:szCs w:val="18"/>
        </w:rPr>
      </w:pPr>
      <w:r w:rsidRPr="003F6930">
        <w:rPr>
          <w:rStyle w:val="FootnoteReference"/>
          <w:rFonts w:asciiTheme="majorBidi" w:hAnsiTheme="majorBidi" w:cstheme="majorBidi"/>
          <w:sz w:val="18"/>
          <w:szCs w:val="18"/>
        </w:rPr>
        <w:footnoteRef/>
      </w:r>
      <w:r w:rsidRPr="003F6930">
        <w:rPr>
          <w:rFonts w:asciiTheme="majorBidi" w:hAnsiTheme="majorBidi" w:cstheme="majorBidi"/>
          <w:sz w:val="18"/>
          <w:szCs w:val="18"/>
        </w:rPr>
        <w:t xml:space="preserve"> See for example, </w:t>
      </w:r>
      <w:r w:rsidRPr="003F6930">
        <w:rPr>
          <w:rFonts w:asciiTheme="majorBidi" w:hAnsiTheme="majorBidi" w:cstheme="majorBidi"/>
          <w:i/>
          <w:iCs/>
          <w:sz w:val="18"/>
          <w:szCs w:val="18"/>
        </w:rPr>
        <w:t>State (McCoy) v. Dun Laoghaire Corporation</w:t>
      </w:r>
      <w:r w:rsidRPr="003F6930">
        <w:rPr>
          <w:rFonts w:asciiTheme="majorBidi" w:hAnsiTheme="majorBidi" w:cstheme="majorBidi"/>
          <w:sz w:val="18"/>
          <w:szCs w:val="18"/>
        </w:rPr>
        <w:t xml:space="preserve"> [1985] I.L.R.M. 533, 537 and </w:t>
      </w:r>
    </w:p>
    <w:p w14:paraId="3022468C" w14:textId="77777777" w:rsidR="00202C8D" w:rsidRPr="003F6930" w:rsidRDefault="00202C8D" w:rsidP="00C47857">
      <w:pPr>
        <w:pStyle w:val="FootnoteText"/>
        <w:ind w:left="567"/>
        <w:rPr>
          <w:rFonts w:asciiTheme="majorBidi" w:hAnsiTheme="majorBidi" w:cstheme="majorBidi"/>
          <w:sz w:val="18"/>
          <w:szCs w:val="18"/>
        </w:rPr>
      </w:pPr>
      <w:bookmarkStart w:id="22" w:name="_Hlk3120715"/>
      <w:proofErr w:type="spellStart"/>
      <w:r w:rsidRPr="003F6930">
        <w:rPr>
          <w:rFonts w:asciiTheme="majorBidi" w:hAnsiTheme="majorBidi" w:cstheme="majorBidi"/>
          <w:i/>
          <w:iCs/>
          <w:sz w:val="18"/>
          <w:szCs w:val="18"/>
        </w:rPr>
        <w:t>Lackagh</w:t>
      </w:r>
      <w:proofErr w:type="spellEnd"/>
      <w:r w:rsidRPr="003F6930">
        <w:rPr>
          <w:rFonts w:asciiTheme="majorBidi" w:hAnsiTheme="majorBidi" w:cstheme="majorBidi"/>
          <w:i/>
          <w:iCs/>
          <w:sz w:val="18"/>
          <w:szCs w:val="18"/>
        </w:rPr>
        <w:t xml:space="preserve"> Quarries Ltd v. Galway City Council</w:t>
      </w:r>
      <w:r w:rsidRPr="003F6930">
        <w:rPr>
          <w:rFonts w:asciiTheme="majorBidi" w:hAnsiTheme="majorBidi" w:cstheme="majorBidi"/>
          <w:sz w:val="18"/>
          <w:szCs w:val="18"/>
        </w:rPr>
        <w:t xml:space="preserve"> [2010] IEHC 479</w:t>
      </w:r>
      <w:bookmarkEnd w:id="22"/>
      <w:r w:rsidRPr="003F6930">
        <w:rPr>
          <w:rFonts w:asciiTheme="majorBidi" w:hAnsiTheme="majorBidi" w:cstheme="majorBidi"/>
          <w:sz w:val="18"/>
          <w:szCs w:val="18"/>
        </w:rPr>
        <w:t xml:space="preserve"> at paras. 56 and 66.</w:t>
      </w:r>
    </w:p>
  </w:footnote>
  <w:footnote w:id="75">
    <w:p w14:paraId="66DF2879" w14:textId="5339548F" w:rsidR="00202C8D" w:rsidRPr="003F6930" w:rsidRDefault="00202C8D">
      <w:pPr>
        <w:pStyle w:val="FootnoteText"/>
        <w:ind w:left="567"/>
        <w:rPr>
          <w:rFonts w:asciiTheme="majorBidi" w:hAnsiTheme="majorBidi" w:cstheme="majorBidi"/>
          <w:sz w:val="18"/>
          <w:szCs w:val="18"/>
        </w:rPr>
      </w:pPr>
      <w:r w:rsidRPr="003F6930">
        <w:rPr>
          <w:rStyle w:val="FootnoteReference"/>
          <w:rFonts w:asciiTheme="majorBidi" w:hAnsiTheme="majorBidi" w:cstheme="majorBidi"/>
          <w:sz w:val="18"/>
          <w:szCs w:val="18"/>
        </w:rPr>
        <w:footnoteRef/>
      </w:r>
      <w:r w:rsidRPr="003F6930">
        <w:rPr>
          <w:rFonts w:asciiTheme="majorBidi" w:hAnsiTheme="majorBidi" w:cstheme="majorBidi"/>
          <w:sz w:val="18"/>
          <w:szCs w:val="18"/>
        </w:rPr>
        <w:t xml:space="preserve"> Party </w:t>
      </w:r>
      <w:proofErr w:type="spellStart"/>
      <w:r w:rsidRPr="003F6930">
        <w:rPr>
          <w:rFonts w:asciiTheme="majorBidi" w:hAnsiTheme="majorBidi" w:cstheme="majorBidi"/>
          <w:sz w:val="18"/>
          <w:szCs w:val="18"/>
        </w:rPr>
        <w:t>concerned’s</w:t>
      </w:r>
      <w:proofErr w:type="spellEnd"/>
      <w:r w:rsidRPr="003F6930">
        <w:rPr>
          <w:rFonts w:asciiTheme="majorBidi" w:hAnsiTheme="majorBidi" w:cstheme="majorBidi"/>
          <w:sz w:val="18"/>
          <w:szCs w:val="18"/>
        </w:rPr>
        <w:t xml:space="preserve"> response to the communication, annex 1, p. 1.</w:t>
      </w:r>
    </w:p>
  </w:footnote>
  <w:footnote w:id="76">
    <w:p w14:paraId="7AA909F2" w14:textId="4CB00E0E" w:rsidR="00202C8D" w:rsidRPr="003F6930" w:rsidRDefault="00202C8D">
      <w:pPr>
        <w:pStyle w:val="FootnoteText"/>
        <w:ind w:left="567"/>
        <w:rPr>
          <w:rFonts w:asciiTheme="majorBidi" w:hAnsiTheme="majorBidi" w:cstheme="majorBidi"/>
          <w:sz w:val="18"/>
          <w:szCs w:val="18"/>
        </w:rPr>
      </w:pPr>
      <w:r w:rsidRPr="003F6930">
        <w:rPr>
          <w:rStyle w:val="FootnoteReference"/>
          <w:rFonts w:asciiTheme="majorBidi" w:hAnsiTheme="majorBidi" w:cstheme="majorBidi"/>
          <w:sz w:val="18"/>
          <w:szCs w:val="18"/>
        </w:rPr>
        <w:footnoteRef/>
      </w:r>
      <w:r w:rsidRPr="003F6930">
        <w:rPr>
          <w:rFonts w:asciiTheme="majorBidi" w:hAnsiTheme="majorBidi" w:cstheme="majorBidi"/>
          <w:sz w:val="18"/>
          <w:szCs w:val="18"/>
        </w:rPr>
        <w:t xml:space="preserve"> Ibid., p. 2.</w:t>
      </w:r>
    </w:p>
  </w:footnote>
  <w:footnote w:id="77">
    <w:p w14:paraId="49BE6A46" w14:textId="19181B0F" w:rsidR="00202C8D" w:rsidRPr="003F6930" w:rsidRDefault="00202C8D">
      <w:pPr>
        <w:pStyle w:val="FootnoteText"/>
        <w:ind w:left="567"/>
        <w:rPr>
          <w:rFonts w:asciiTheme="majorBidi" w:hAnsiTheme="majorBidi" w:cstheme="majorBidi"/>
          <w:sz w:val="18"/>
          <w:szCs w:val="18"/>
        </w:rPr>
      </w:pPr>
      <w:r w:rsidRPr="003F6930">
        <w:rPr>
          <w:rStyle w:val="FootnoteReference"/>
          <w:rFonts w:asciiTheme="majorBidi" w:hAnsiTheme="majorBidi" w:cstheme="majorBidi"/>
          <w:sz w:val="18"/>
          <w:szCs w:val="18"/>
        </w:rPr>
        <w:footnoteRef/>
      </w:r>
      <w:r w:rsidRPr="003F6930">
        <w:rPr>
          <w:rFonts w:asciiTheme="majorBidi" w:hAnsiTheme="majorBidi" w:cstheme="majorBidi"/>
          <w:sz w:val="18"/>
          <w:szCs w:val="18"/>
        </w:rPr>
        <w:t xml:space="preserve"> Ibid., p. 6-7.</w:t>
      </w:r>
    </w:p>
  </w:footnote>
  <w:footnote w:id="78">
    <w:p w14:paraId="2A01E41C" w14:textId="3EEDB48F" w:rsidR="00202C8D" w:rsidRPr="003F6930" w:rsidRDefault="00202C8D" w:rsidP="00AA3F2F">
      <w:pPr>
        <w:pStyle w:val="FootnoteText"/>
        <w:ind w:firstLine="567"/>
      </w:pPr>
      <w:r w:rsidRPr="003F6930">
        <w:rPr>
          <w:rFonts w:asciiTheme="majorBidi" w:hAnsiTheme="majorBidi" w:cstheme="majorBidi"/>
          <w:sz w:val="18"/>
          <w:szCs w:val="18"/>
          <w:vertAlign w:val="superscript"/>
          <w:lang w:val="es-ES"/>
        </w:rPr>
        <w:footnoteRef/>
      </w:r>
      <w:r w:rsidRPr="003F6930">
        <w:rPr>
          <w:rFonts w:asciiTheme="majorBidi" w:hAnsiTheme="majorBidi" w:cstheme="majorBidi"/>
          <w:sz w:val="18"/>
          <w:szCs w:val="18"/>
          <w:vertAlign w:val="superscript"/>
        </w:rPr>
        <w:t xml:space="preserve"> </w:t>
      </w:r>
      <w:r w:rsidRPr="003F6930">
        <w:rPr>
          <w:rFonts w:asciiTheme="majorBidi" w:hAnsiTheme="majorBidi" w:cstheme="majorBidi"/>
          <w:sz w:val="18"/>
          <w:szCs w:val="18"/>
        </w:rPr>
        <w:t>See, for example, ECE/</w:t>
      </w:r>
      <w:proofErr w:type="gramStart"/>
      <w:r w:rsidRPr="003F6930">
        <w:rPr>
          <w:rFonts w:asciiTheme="majorBidi" w:hAnsiTheme="majorBidi" w:cstheme="majorBidi"/>
          <w:sz w:val="18"/>
          <w:szCs w:val="18"/>
        </w:rPr>
        <w:t>MP.PP</w:t>
      </w:r>
      <w:proofErr w:type="gramEnd"/>
      <w:r w:rsidRPr="003F6930">
        <w:rPr>
          <w:rFonts w:asciiTheme="majorBidi" w:hAnsiTheme="majorBidi" w:cstheme="majorBidi"/>
          <w:sz w:val="18"/>
          <w:szCs w:val="18"/>
        </w:rPr>
        <w:t>/C.1/2019/3, paras. 29 and 66.</w:t>
      </w:r>
    </w:p>
  </w:footnote>
  <w:footnote w:id="79">
    <w:p w14:paraId="15854DF9" w14:textId="36E43F49" w:rsidR="00202C8D" w:rsidRPr="003F6930" w:rsidRDefault="00202C8D">
      <w:pPr>
        <w:pStyle w:val="FootnoteText"/>
        <w:ind w:left="567"/>
        <w:rPr>
          <w:rFonts w:asciiTheme="majorBidi" w:hAnsiTheme="majorBidi" w:cstheme="majorBidi"/>
          <w:sz w:val="18"/>
          <w:szCs w:val="18"/>
          <w:lang w:val="es-ES"/>
        </w:rPr>
      </w:pPr>
      <w:r w:rsidRPr="003F6930">
        <w:rPr>
          <w:rStyle w:val="FootnoteReference"/>
          <w:rFonts w:asciiTheme="majorBidi" w:hAnsiTheme="majorBidi" w:cstheme="majorBidi"/>
          <w:sz w:val="18"/>
          <w:szCs w:val="18"/>
        </w:rPr>
        <w:footnoteRef/>
      </w:r>
      <w:r w:rsidRPr="001D767D">
        <w:rPr>
          <w:rFonts w:asciiTheme="majorBidi" w:hAnsiTheme="majorBidi"/>
          <w:sz w:val="18"/>
          <w:lang w:val="es-ES"/>
        </w:rPr>
        <w:t xml:space="preserve"> ECE/</w:t>
      </w:r>
      <w:proofErr w:type="gramStart"/>
      <w:r w:rsidRPr="001D767D">
        <w:rPr>
          <w:rFonts w:asciiTheme="majorBidi" w:hAnsiTheme="majorBidi"/>
          <w:sz w:val="18"/>
          <w:lang w:val="es-ES"/>
        </w:rPr>
        <w:t>MP.PP</w:t>
      </w:r>
      <w:proofErr w:type="gramEnd"/>
      <w:r w:rsidRPr="001D767D">
        <w:rPr>
          <w:rFonts w:asciiTheme="majorBidi" w:hAnsiTheme="majorBidi"/>
          <w:sz w:val="18"/>
          <w:lang w:val="es-ES"/>
        </w:rPr>
        <w:t xml:space="preserve">/C.1/2019/3, para. </w:t>
      </w:r>
      <w:r w:rsidRPr="003F6930">
        <w:rPr>
          <w:rFonts w:asciiTheme="majorBidi" w:hAnsiTheme="majorBidi" w:cstheme="majorBidi"/>
          <w:sz w:val="18"/>
          <w:szCs w:val="18"/>
          <w:lang w:val="es-ES"/>
        </w:rPr>
        <w:t>65.</w:t>
      </w:r>
    </w:p>
  </w:footnote>
  <w:footnote w:id="80">
    <w:p w14:paraId="4B367908" w14:textId="4CD2DE79" w:rsidR="00202C8D" w:rsidRPr="003F6930" w:rsidRDefault="00202C8D">
      <w:pPr>
        <w:pStyle w:val="FootnoteText"/>
        <w:ind w:left="567"/>
        <w:rPr>
          <w:rFonts w:asciiTheme="majorBidi" w:hAnsiTheme="majorBidi"/>
          <w:sz w:val="18"/>
          <w:vertAlign w:val="superscript"/>
          <w:lang w:val="es-ES"/>
        </w:rPr>
      </w:pPr>
      <w:r w:rsidRPr="003F6930">
        <w:rPr>
          <w:rStyle w:val="FootnoteReference"/>
          <w:rFonts w:asciiTheme="majorBidi" w:hAnsiTheme="majorBidi" w:cstheme="majorBidi"/>
          <w:sz w:val="18"/>
          <w:szCs w:val="18"/>
        </w:rPr>
        <w:footnoteRef/>
      </w:r>
      <w:r w:rsidRPr="003F6930">
        <w:rPr>
          <w:rFonts w:asciiTheme="majorBidi" w:hAnsiTheme="majorBidi" w:cstheme="majorBidi"/>
          <w:sz w:val="18"/>
          <w:szCs w:val="18"/>
          <w:lang w:val="es-ES"/>
        </w:rPr>
        <w:t xml:space="preserve"> Ibid., para. 70.</w:t>
      </w:r>
    </w:p>
  </w:footnote>
  <w:footnote w:id="81">
    <w:p w14:paraId="566F6517" w14:textId="6965E73D" w:rsidR="00202C8D" w:rsidRPr="003F6930" w:rsidRDefault="00202C8D">
      <w:pPr>
        <w:pStyle w:val="FootnoteText"/>
        <w:ind w:left="567"/>
        <w:rPr>
          <w:rFonts w:asciiTheme="majorBidi" w:hAnsiTheme="majorBidi" w:cstheme="majorBidi"/>
          <w:sz w:val="18"/>
          <w:szCs w:val="18"/>
          <w:lang w:val="es-ES"/>
        </w:rPr>
      </w:pPr>
      <w:r w:rsidRPr="003F6930">
        <w:rPr>
          <w:rStyle w:val="FootnoteReference"/>
          <w:rFonts w:asciiTheme="majorBidi" w:hAnsiTheme="majorBidi" w:cstheme="majorBidi"/>
          <w:sz w:val="18"/>
          <w:szCs w:val="18"/>
        </w:rPr>
        <w:footnoteRef/>
      </w:r>
      <w:r w:rsidRPr="003F6930">
        <w:rPr>
          <w:rFonts w:asciiTheme="majorBidi" w:hAnsiTheme="majorBidi" w:cstheme="majorBidi"/>
          <w:sz w:val="18"/>
          <w:szCs w:val="18"/>
          <w:lang w:val="es-ES"/>
        </w:rPr>
        <w:t xml:space="preserve"> ECE/</w:t>
      </w:r>
      <w:proofErr w:type="gramStart"/>
      <w:r w:rsidRPr="003F6930">
        <w:rPr>
          <w:rFonts w:asciiTheme="majorBidi" w:hAnsiTheme="majorBidi" w:cstheme="majorBidi"/>
          <w:sz w:val="18"/>
          <w:szCs w:val="18"/>
          <w:lang w:val="es-ES"/>
        </w:rPr>
        <w:t>MP.PP</w:t>
      </w:r>
      <w:proofErr w:type="gramEnd"/>
      <w:r w:rsidRPr="003F6930">
        <w:rPr>
          <w:rFonts w:asciiTheme="majorBidi" w:hAnsiTheme="majorBidi" w:cstheme="majorBidi"/>
          <w:sz w:val="18"/>
          <w:szCs w:val="18"/>
          <w:lang w:val="es-ES"/>
        </w:rPr>
        <w:t>/2011/11/Add.3, para. 55.</w:t>
      </w:r>
    </w:p>
  </w:footnote>
  <w:footnote w:id="82">
    <w:p w14:paraId="217376CC" w14:textId="5316711D" w:rsidR="00202C8D" w:rsidRPr="003F6930" w:rsidRDefault="00202C8D">
      <w:pPr>
        <w:pStyle w:val="FootnoteText"/>
        <w:ind w:left="567"/>
        <w:rPr>
          <w:rFonts w:asciiTheme="majorBidi" w:hAnsiTheme="majorBidi" w:cstheme="majorBidi"/>
          <w:sz w:val="18"/>
          <w:szCs w:val="18"/>
          <w:lang w:val="es-ES"/>
        </w:rPr>
      </w:pPr>
      <w:r w:rsidRPr="003F6930">
        <w:rPr>
          <w:rStyle w:val="FootnoteReference"/>
          <w:rFonts w:asciiTheme="majorBidi" w:hAnsiTheme="majorBidi" w:cstheme="majorBidi"/>
          <w:sz w:val="18"/>
          <w:szCs w:val="18"/>
        </w:rPr>
        <w:footnoteRef/>
      </w:r>
      <w:r w:rsidRPr="003F6930">
        <w:rPr>
          <w:rFonts w:asciiTheme="majorBidi" w:hAnsiTheme="majorBidi" w:cstheme="majorBidi"/>
          <w:sz w:val="18"/>
          <w:szCs w:val="18"/>
          <w:lang w:val="es-ES"/>
        </w:rPr>
        <w:t xml:space="preserve"> ECE/</w:t>
      </w:r>
      <w:proofErr w:type="gramStart"/>
      <w:r w:rsidRPr="003F6930">
        <w:rPr>
          <w:rFonts w:asciiTheme="majorBidi" w:hAnsiTheme="majorBidi" w:cstheme="majorBidi"/>
          <w:sz w:val="18"/>
          <w:szCs w:val="18"/>
          <w:lang w:val="es-ES"/>
        </w:rPr>
        <w:t>MP.PP</w:t>
      </w:r>
      <w:proofErr w:type="gramEnd"/>
      <w:r w:rsidRPr="003F6930">
        <w:rPr>
          <w:rFonts w:asciiTheme="majorBidi" w:hAnsiTheme="majorBidi" w:cstheme="majorBidi"/>
          <w:sz w:val="18"/>
          <w:szCs w:val="18"/>
          <w:lang w:val="es-ES"/>
        </w:rPr>
        <w:t>/C.1/2017/17, para. 85.</w:t>
      </w:r>
    </w:p>
  </w:footnote>
  <w:footnote w:id="83">
    <w:p w14:paraId="68EB1544" w14:textId="7F362A5B" w:rsidR="00202C8D" w:rsidRPr="003F6930" w:rsidRDefault="00202C8D">
      <w:pPr>
        <w:pStyle w:val="FootnoteText"/>
        <w:ind w:left="567"/>
        <w:rPr>
          <w:rFonts w:asciiTheme="majorBidi" w:hAnsiTheme="majorBidi"/>
          <w:sz w:val="18"/>
        </w:rPr>
      </w:pPr>
      <w:r w:rsidRPr="003F6930">
        <w:rPr>
          <w:rStyle w:val="FootnoteReference"/>
          <w:rFonts w:asciiTheme="majorBidi" w:hAnsiTheme="majorBidi" w:cstheme="majorBidi"/>
          <w:sz w:val="18"/>
          <w:szCs w:val="18"/>
        </w:rPr>
        <w:footnoteRef/>
      </w:r>
      <w:r w:rsidRPr="003F6930">
        <w:rPr>
          <w:rFonts w:asciiTheme="majorBidi" w:hAnsiTheme="majorBidi" w:cstheme="majorBidi"/>
          <w:sz w:val="18"/>
          <w:szCs w:val="18"/>
          <w:lang w:val="es-ES"/>
        </w:rPr>
        <w:t xml:space="preserve"> ECE/</w:t>
      </w:r>
      <w:proofErr w:type="gramStart"/>
      <w:r w:rsidRPr="003F6930">
        <w:rPr>
          <w:rFonts w:asciiTheme="majorBidi" w:hAnsiTheme="majorBidi" w:cstheme="majorBidi"/>
          <w:sz w:val="18"/>
          <w:szCs w:val="18"/>
          <w:lang w:val="es-ES"/>
        </w:rPr>
        <w:t>MP.PP</w:t>
      </w:r>
      <w:proofErr w:type="gramEnd"/>
      <w:r w:rsidRPr="003F6930">
        <w:rPr>
          <w:rFonts w:asciiTheme="majorBidi" w:hAnsiTheme="majorBidi" w:cstheme="majorBidi"/>
          <w:sz w:val="18"/>
          <w:szCs w:val="18"/>
          <w:lang w:val="es-ES"/>
        </w:rPr>
        <w:t xml:space="preserve">/C.1/2019/3, para. </w:t>
      </w:r>
      <w:r w:rsidRPr="003F6930">
        <w:rPr>
          <w:rFonts w:asciiTheme="majorBidi" w:hAnsiTheme="majorBidi"/>
          <w:sz w:val="18"/>
        </w:rPr>
        <w:t>71.</w:t>
      </w:r>
    </w:p>
  </w:footnote>
  <w:footnote w:id="84">
    <w:p w14:paraId="12FD3FCD" w14:textId="4164F761" w:rsidR="00202C8D" w:rsidRPr="003F6930" w:rsidRDefault="00202C8D" w:rsidP="005601DD">
      <w:pPr>
        <w:pStyle w:val="FootnoteText"/>
        <w:tabs>
          <w:tab w:val="left" w:pos="709"/>
          <w:tab w:val="left" w:pos="7797"/>
        </w:tabs>
        <w:ind w:left="567" w:right="-1"/>
        <w:rPr>
          <w:rFonts w:asciiTheme="majorBidi" w:hAnsiTheme="majorBidi" w:cstheme="majorBidi"/>
          <w:sz w:val="18"/>
          <w:szCs w:val="18"/>
        </w:rPr>
      </w:pPr>
      <w:r w:rsidRPr="003F6930">
        <w:rPr>
          <w:rStyle w:val="FootnoteCharacters"/>
          <w:rFonts w:asciiTheme="majorBidi" w:hAnsiTheme="majorBidi" w:cstheme="majorBidi"/>
          <w:szCs w:val="18"/>
        </w:rPr>
        <w:footnoteRef/>
      </w:r>
      <w:r w:rsidRPr="003F6930">
        <w:rPr>
          <w:rFonts w:asciiTheme="majorBidi" w:eastAsia="Times New Roman" w:hAnsiTheme="majorBidi" w:cstheme="majorBidi"/>
          <w:sz w:val="18"/>
          <w:szCs w:val="18"/>
        </w:rPr>
        <w:tab/>
        <w:t xml:space="preserve"> </w:t>
      </w:r>
      <w:r w:rsidRPr="003F6930">
        <w:rPr>
          <w:rFonts w:asciiTheme="majorBidi" w:hAnsiTheme="majorBidi" w:cstheme="majorBidi"/>
          <w:sz w:val="18"/>
          <w:szCs w:val="18"/>
        </w:rPr>
        <w:t>A similar view was expressed by the Implementation Committee under the Convention on Environmental Impact Assessment in a Transboundary Context (Espoo Convention) in its findings and recommendations further to a Committee initiative concerning Ukraine (EIA/IC/CI/4), ECE/MP.EIA/IC/2014/2, annex, paras. 42, 44 and 45.</w:t>
      </w:r>
    </w:p>
  </w:footnote>
  <w:footnote w:id="85">
    <w:p w14:paraId="14FC3F53" w14:textId="50ADA17F" w:rsidR="00202C8D" w:rsidRPr="003F6930" w:rsidRDefault="00202C8D">
      <w:pPr>
        <w:pStyle w:val="FootnoteText"/>
        <w:ind w:left="567"/>
        <w:rPr>
          <w:rFonts w:asciiTheme="majorBidi" w:hAnsiTheme="majorBidi" w:cstheme="majorBidi"/>
          <w:sz w:val="18"/>
          <w:szCs w:val="18"/>
        </w:rPr>
      </w:pPr>
      <w:r w:rsidRPr="003F6930">
        <w:rPr>
          <w:rStyle w:val="FootnoteReference"/>
          <w:rFonts w:asciiTheme="majorBidi" w:hAnsiTheme="majorBidi" w:cstheme="majorBidi"/>
          <w:sz w:val="18"/>
          <w:szCs w:val="18"/>
        </w:rPr>
        <w:footnoteRef/>
      </w:r>
      <w:r w:rsidRPr="003F6930">
        <w:rPr>
          <w:rFonts w:asciiTheme="majorBidi" w:hAnsiTheme="majorBidi" w:cstheme="majorBidi"/>
          <w:sz w:val="18"/>
          <w:szCs w:val="18"/>
        </w:rPr>
        <w:t xml:space="preserve"> See paras. </w:t>
      </w:r>
      <w:r w:rsidRPr="003F6930">
        <w:rPr>
          <w:rFonts w:ascii="Times New Roman" w:hAnsi="Times New Roman" w:cs="Times New Roman"/>
        </w:rPr>
        <w:fldChar w:fldCharType="begin"/>
      </w:r>
      <w:r w:rsidRPr="003F6930">
        <w:rPr>
          <w:rFonts w:ascii="Times New Roman" w:hAnsi="Times New Roman" w:cs="Times New Roman"/>
        </w:rPr>
        <w:instrText xml:space="preserve"> REF _Ref500431861 \r \h  \* MERGEFORMAT </w:instrText>
      </w:r>
      <w:r w:rsidRPr="003F6930">
        <w:rPr>
          <w:rFonts w:ascii="Times New Roman" w:hAnsi="Times New Roman" w:cs="Times New Roman"/>
        </w:rPr>
      </w:r>
      <w:r w:rsidRPr="003F6930">
        <w:rPr>
          <w:rFonts w:ascii="Times New Roman" w:hAnsi="Times New Roman" w:cs="Times New Roman"/>
        </w:rPr>
        <w:fldChar w:fldCharType="separate"/>
      </w:r>
      <w:r w:rsidRPr="003F6930">
        <w:rPr>
          <w:rFonts w:ascii="Times New Roman" w:hAnsi="Times New Roman" w:cs="Times New Roman"/>
        </w:rPr>
        <w:t>43</w:t>
      </w:r>
      <w:r w:rsidRPr="003F6930">
        <w:rPr>
          <w:rFonts w:ascii="Times New Roman" w:hAnsi="Times New Roman" w:cs="Times New Roman"/>
        </w:rPr>
        <w:fldChar w:fldCharType="end"/>
      </w:r>
      <w:r w:rsidRPr="003F6930">
        <w:rPr>
          <w:rFonts w:ascii="Times New Roman" w:hAnsi="Times New Roman" w:cs="Times New Roman"/>
        </w:rPr>
        <w:t xml:space="preserve">, </w:t>
      </w:r>
      <w:r w:rsidRPr="003F6930">
        <w:rPr>
          <w:rFonts w:ascii="Times New Roman" w:hAnsi="Times New Roman" w:cs="Times New Roman"/>
        </w:rPr>
        <w:fldChar w:fldCharType="begin"/>
      </w:r>
      <w:r w:rsidRPr="003F6930">
        <w:rPr>
          <w:rFonts w:ascii="Times New Roman" w:hAnsi="Times New Roman" w:cs="Times New Roman"/>
        </w:rPr>
        <w:instrText xml:space="preserve"> REF _Ref500432516 \r \h  \* MERGEFORMAT </w:instrText>
      </w:r>
      <w:r w:rsidRPr="003F6930">
        <w:rPr>
          <w:rFonts w:ascii="Times New Roman" w:hAnsi="Times New Roman" w:cs="Times New Roman"/>
        </w:rPr>
      </w:r>
      <w:r w:rsidRPr="003F6930">
        <w:rPr>
          <w:rFonts w:ascii="Times New Roman" w:hAnsi="Times New Roman" w:cs="Times New Roman"/>
        </w:rPr>
        <w:fldChar w:fldCharType="separate"/>
      </w:r>
      <w:r w:rsidRPr="003F6930">
        <w:rPr>
          <w:rFonts w:ascii="Times New Roman" w:hAnsi="Times New Roman" w:cs="Times New Roman"/>
        </w:rPr>
        <w:t>46</w:t>
      </w:r>
      <w:r w:rsidRPr="003F6930">
        <w:rPr>
          <w:rFonts w:ascii="Times New Roman" w:hAnsi="Times New Roman" w:cs="Times New Roman"/>
        </w:rPr>
        <w:fldChar w:fldCharType="end"/>
      </w:r>
      <w:r w:rsidRPr="003F6930">
        <w:rPr>
          <w:rFonts w:ascii="Times New Roman" w:hAnsi="Times New Roman" w:cs="Times New Roman"/>
        </w:rPr>
        <w:t xml:space="preserve"> above and </w:t>
      </w:r>
      <w:r w:rsidRPr="003F6930">
        <w:rPr>
          <w:rFonts w:ascii="Times New Roman" w:hAnsi="Times New Roman" w:cs="Times New Roman"/>
        </w:rPr>
        <w:fldChar w:fldCharType="begin"/>
      </w:r>
      <w:r w:rsidRPr="003F6930">
        <w:rPr>
          <w:rFonts w:ascii="Times New Roman" w:hAnsi="Times New Roman" w:cs="Times New Roman"/>
        </w:rPr>
        <w:instrText xml:space="preserve"> REF _Ref7697166 \r \h  \* MERGEFORMAT </w:instrText>
      </w:r>
      <w:r w:rsidRPr="003F6930">
        <w:rPr>
          <w:rFonts w:ascii="Times New Roman" w:hAnsi="Times New Roman" w:cs="Times New Roman"/>
        </w:rPr>
      </w:r>
      <w:r w:rsidRPr="003F6930">
        <w:rPr>
          <w:rFonts w:ascii="Times New Roman" w:hAnsi="Times New Roman" w:cs="Times New Roman"/>
        </w:rPr>
        <w:fldChar w:fldCharType="separate"/>
      </w:r>
      <w:r w:rsidRPr="003F6930">
        <w:rPr>
          <w:rFonts w:ascii="Times New Roman" w:hAnsi="Times New Roman" w:cs="Times New Roman"/>
        </w:rPr>
        <w:t>57</w:t>
      </w:r>
      <w:r w:rsidRPr="003F6930">
        <w:rPr>
          <w:rFonts w:ascii="Times New Roman" w:hAnsi="Times New Roman" w:cs="Times New Roman"/>
        </w:rPr>
        <w:fldChar w:fldCharType="end"/>
      </w:r>
      <w:r w:rsidRPr="003F6930">
        <w:rPr>
          <w:rFonts w:ascii="Times New Roman" w:hAnsi="Times New Roman" w:cs="Times New Roman"/>
        </w:rPr>
        <w:t xml:space="preserve"> above.</w:t>
      </w:r>
    </w:p>
  </w:footnote>
  <w:footnote w:id="86">
    <w:p w14:paraId="780596DD" w14:textId="715EBC57" w:rsidR="003F6930" w:rsidRPr="003F6930" w:rsidRDefault="003F6930" w:rsidP="003F6930">
      <w:pPr>
        <w:pStyle w:val="FootnoteText"/>
        <w:ind w:firstLine="567"/>
      </w:pPr>
      <w:r w:rsidRPr="003F6930">
        <w:rPr>
          <w:rFonts w:ascii="Times New Roman" w:hAnsi="Times New Roman" w:cs="Times New Roman"/>
          <w:vertAlign w:val="superscript"/>
        </w:rPr>
        <w:footnoteRef/>
      </w:r>
      <w:r w:rsidRPr="003F6930">
        <w:rPr>
          <w:rFonts w:ascii="Times New Roman" w:hAnsi="Times New Roman" w:cs="Times New Roman"/>
          <w:vertAlign w:val="superscript"/>
        </w:rPr>
        <w:t xml:space="preserve"> </w:t>
      </w:r>
      <w:r w:rsidRPr="003F6930">
        <w:rPr>
          <w:rFonts w:ascii="Times New Roman" w:hAnsi="Times New Roman" w:cs="Times New Roman"/>
        </w:rPr>
        <w:t>See ECE/</w:t>
      </w:r>
      <w:proofErr w:type="gramStart"/>
      <w:r w:rsidRPr="003F6930">
        <w:rPr>
          <w:rFonts w:ascii="Times New Roman" w:hAnsi="Times New Roman" w:cs="Times New Roman"/>
        </w:rPr>
        <w:t>MP.PP</w:t>
      </w:r>
      <w:proofErr w:type="gramEnd"/>
      <w:r w:rsidRPr="003F6930">
        <w:rPr>
          <w:rFonts w:ascii="Times New Roman" w:hAnsi="Times New Roman" w:cs="Times New Roman"/>
        </w:rPr>
        <w:t>/C.1/2019/</w:t>
      </w:r>
      <w:r>
        <w:rPr>
          <w:rFonts w:ascii="Times New Roman" w:hAnsi="Times New Roman" w:cs="Times New Roman"/>
        </w:rPr>
        <w:t>3</w:t>
      </w:r>
      <w:r w:rsidRPr="003F6930">
        <w:rPr>
          <w:rFonts w:ascii="Times New Roman" w:hAnsi="Times New Roman" w:cs="Times New Roman"/>
        </w:rPr>
        <w:t>, para. 71.</w:t>
      </w:r>
    </w:p>
  </w:footnote>
  <w:footnote w:id="87">
    <w:p w14:paraId="418BE69B" w14:textId="77269ADE" w:rsidR="00202C8D" w:rsidRPr="003F6930" w:rsidRDefault="00202C8D" w:rsidP="00C47857">
      <w:pPr>
        <w:pStyle w:val="FootnoteText"/>
        <w:ind w:left="567"/>
        <w:rPr>
          <w:rFonts w:asciiTheme="majorBidi" w:hAnsiTheme="majorBidi" w:cstheme="majorBidi"/>
          <w:sz w:val="18"/>
          <w:szCs w:val="18"/>
        </w:rPr>
      </w:pPr>
      <w:r w:rsidRPr="003F6930">
        <w:rPr>
          <w:rStyle w:val="FootnoteReference"/>
          <w:rFonts w:asciiTheme="majorBidi" w:hAnsiTheme="majorBidi" w:cstheme="majorBidi"/>
          <w:sz w:val="18"/>
          <w:szCs w:val="18"/>
        </w:rPr>
        <w:footnoteRef/>
      </w:r>
      <w:r w:rsidRPr="003F6930">
        <w:rPr>
          <w:rFonts w:asciiTheme="majorBidi" w:hAnsiTheme="majorBidi" w:cstheme="majorBidi"/>
          <w:sz w:val="18"/>
          <w:szCs w:val="18"/>
        </w:rPr>
        <w:t xml:space="preserve"> See para. 32 above.</w:t>
      </w:r>
    </w:p>
  </w:footnote>
  <w:footnote w:id="88">
    <w:p w14:paraId="3BFF4D7F" w14:textId="72AC605C" w:rsidR="00202C8D" w:rsidRPr="003F6930" w:rsidRDefault="00202C8D" w:rsidP="00C47857">
      <w:pPr>
        <w:pStyle w:val="FootnoteText"/>
        <w:ind w:left="567"/>
        <w:rPr>
          <w:rFonts w:asciiTheme="majorBidi" w:hAnsiTheme="majorBidi" w:cstheme="majorBidi"/>
          <w:sz w:val="18"/>
          <w:szCs w:val="18"/>
        </w:rPr>
      </w:pPr>
      <w:r w:rsidRPr="003F6930">
        <w:rPr>
          <w:rStyle w:val="FootnoteReference"/>
          <w:rFonts w:asciiTheme="majorBidi" w:hAnsiTheme="majorBidi" w:cstheme="majorBidi"/>
          <w:sz w:val="18"/>
          <w:szCs w:val="18"/>
        </w:rPr>
        <w:footnoteRef/>
      </w:r>
      <w:r w:rsidRPr="003F6930">
        <w:rPr>
          <w:rFonts w:asciiTheme="majorBidi" w:hAnsiTheme="majorBidi" w:cstheme="majorBidi"/>
          <w:sz w:val="18"/>
          <w:szCs w:val="18"/>
        </w:rPr>
        <w:t xml:space="preserve"> See para. 34 above.</w:t>
      </w:r>
    </w:p>
  </w:footnote>
  <w:footnote w:id="89">
    <w:p w14:paraId="6B191F00" w14:textId="78AA39C5" w:rsidR="00202C8D" w:rsidRPr="003F6930" w:rsidRDefault="00202C8D" w:rsidP="00C47857">
      <w:pPr>
        <w:pStyle w:val="FootnoteText"/>
        <w:ind w:left="567"/>
        <w:rPr>
          <w:rFonts w:asciiTheme="majorBidi" w:hAnsiTheme="majorBidi" w:cstheme="majorBidi"/>
          <w:sz w:val="18"/>
          <w:szCs w:val="18"/>
        </w:rPr>
      </w:pPr>
      <w:r w:rsidRPr="003F6930">
        <w:rPr>
          <w:rStyle w:val="FootnoteReference"/>
          <w:rFonts w:asciiTheme="majorBidi" w:hAnsiTheme="majorBidi" w:cstheme="majorBidi"/>
          <w:sz w:val="18"/>
          <w:szCs w:val="18"/>
        </w:rPr>
        <w:footnoteRef/>
      </w:r>
      <w:r w:rsidRPr="003F6930">
        <w:rPr>
          <w:rFonts w:asciiTheme="majorBidi" w:hAnsiTheme="majorBidi" w:cstheme="majorBidi"/>
          <w:sz w:val="18"/>
          <w:szCs w:val="18"/>
        </w:rPr>
        <w:t xml:space="preserve"> </w:t>
      </w:r>
      <w:r w:rsidRPr="003F6930">
        <w:rPr>
          <w:rFonts w:asciiTheme="majorBidi" w:hAnsiTheme="majorBidi" w:cstheme="majorBidi"/>
          <w:color w:val="545454"/>
          <w:sz w:val="18"/>
          <w:szCs w:val="18"/>
          <w:shd w:val="clear" w:color="auto" w:fill="FFFFFF"/>
        </w:rPr>
        <w:t>[2017] IEHC 695.</w:t>
      </w:r>
    </w:p>
  </w:footnote>
  <w:footnote w:id="90">
    <w:p w14:paraId="35766BD6" w14:textId="37654673" w:rsidR="00202C8D" w:rsidRPr="003F6930" w:rsidRDefault="00202C8D" w:rsidP="00765C26">
      <w:pPr>
        <w:pStyle w:val="FootnoteText"/>
        <w:ind w:left="567"/>
        <w:rPr>
          <w:rFonts w:asciiTheme="majorBidi" w:hAnsiTheme="majorBidi" w:cstheme="majorBidi"/>
          <w:sz w:val="18"/>
          <w:szCs w:val="18"/>
        </w:rPr>
      </w:pPr>
      <w:r w:rsidRPr="003F6930">
        <w:rPr>
          <w:rStyle w:val="FootnoteReference"/>
          <w:rFonts w:asciiTheme="majorBidi" w:hAnsiTheme="majorBidi" w:cstheme="majorBidi"/>
          <w:sz w:val="18"/>
          <w:szCs w:val="18"/>
        </w:rPr>
        <w:footnoteRef/>
      </w:r>
      <w:r w:rsidRPr="003F6930">
        <w:rPr>
          <w:rFonts w:asciiTheme="majorBidi" w:hAnsiTheme="majorBidi" w:cstheme="majorBidi"/>
          <w:sz w:val="18"/>
          <w:szCs w:val="18"/>
        </w:rPr>
        <w:t xml:space="preserve"> See for example, </w:t>
      </w:r>
      <w:r w:rsidRPr="003F6930">
        <w:rPr>
          <w:rFonts w:asciiTheme="majorBidi" w:hAnsiTheme="majorBidi" w:cstheme="majorBidi"/>
          <w:i/>
          <w:sz w:val="18"/>
          <w:szCs w:val="18"/>
        </w:rPr>
        <w:t>Merriman and others v. Fingal County Council;</w:t>
      </w:r>
      <w:r w:rsidRPr="003F6930">
        <w:rPr>
          <w:rFonts w:asciiTheme="majorBidi" w:hAnsiTheme="majorBidi" w:cstheme="majorBidi"/>
          <w:sz w:val="18"/>
          <w:szCs w:val="18"/>
        </w:rPr>
        <w:t xml:space="preserve"> </w:t>
      </w:r>
      <w:r w:rsidRPr="003F6930">
        <w:rPr>
          <w:rFonts w:asciiTheme="majorBidi" w:eastAsia="Times New Roman" w:hAnsiTheme="majorBidi" w:cstheme="majorBidi"/>
          <w:i/>
          <w:iCs/>
          <w:sz w:val="18"/>
          <w:szCs w:val="18"/>
        </w:rPr>
        <w:t>Friends of the Irish Environment v. Fingal County Council</w:t>
      </w:r>
      <w:r w:rsidR="00590426" w:rsidRPr="003F6930">
        <w:rPr>
          <w:rFonts w:asciiTheme="majorBidi" w:hAnsiTheme="majorBidi" w:cstheme="majorBidi"/>
          <w:color w:val="545454"/>
          <w:sz w:val="18"/>
          <w:szCs w:val="18"/>
          <w:shd w:val="clear" w:color="auto" w:fill="FFFFFF"/>
        </w:rPr>
        <w:t xml:space="preserve"> [2017] IEHC 695</w:t>
      </w:r>
      <w:r w:rsidRPr="003F6930">
        <w:rPr>
          <w:rFonts w:asciiTheme="majorBidi" w:eastAsia="Times New Roman" w:hAnsiTheme="majorBidi" w:cstheme="majorBidi"/>
          <w:i/>
          <w:iCs/>
          <w:sz w:val="18"/>
          <w:szCs w:val="18"/>
        </w:rPr>
        <w:t xml:space="preserve"> </w:t>
      </w:r>
      <w:r w:rsidRPr="003F6930">
        <w:rPr>
          <w:rFonts w:asciiTheme="majorBidi" w:eastAsia="Times New Roman" w:hAnsiTheme="majorBidi" w:cstheme="majorBidi"/>
          <w:sz w:val="18"/>
          <w:szCs w:val="18"/>
        </w:rPr>
        <w:t>para. 50</w:t>
      </w:r>
      <w:r w:rsidR="00CB6E03" w:rsidRPr="003F6930">
        <w:rPr>
          <w:rFonts w:asciiTheme="majorBidi" w:eastAsia="Times New Roman" w:hAnsiTheme="majorBidi" w:cstheme="majorBidi"/>
          <w:sz w:val="18"/>
          <w:szCs w:val="18"/>
        </w:rPr>
        <w:t xml:space="preserve"> point </w:t>
      </w:r>
      <w:r w:rsidR="00CB6E03" w:rsidRPr="003F6930">
        <w:rPr>
          <w:rFonts w:asciiTheme="majorBidi" w:hAnsiTheme="majorBidi"/>
          <w:sz w:val="18"/>
        </w:rPr>
        <w:t>12</w:t>
      </w:r>
      <w:r w:rsidRPr="003F6930">
        <w:rPr>
          <w:rFonts w:asciiTheme="majorBidi" w:eastAsia="Times New Roman" w:hAnsiTheme="majorBidi" w:cstheme="majorBidi"/>
          <w:sz w:val="18"/>
          <w:szCs w:val="18"/>
        </w:rPr>
        <w:t xml:space="preserve"> and </w:t>
      </w:r>
      <w:r w:rsidR="00CB6E03" w:rsidRPr="003F6930">
        <w:rPr>
          <w:rFonts w:asciiTheme="majorBidi" w:eastAsia="Times New Roman" w:hAnsiTheme="majorBidi" w:cstheme="majorBidi"/>
          <w:sz w:val="18"/>
          <w:szCs w:val="18"/>
        </w:rPr>
        <w:t xml:space="preserve">para. </w:t>
      </w:r>
      <w:r w:rsidRPr="003F6930">
        <w:rPr>
          <w:rFonts w:asciiTheme="majorBidi" w:eastAsia="Times New Roman" w:hAnsiTheme="majorBidi" w:cstheme="majorBidi"/>
          <w:sz w:val="18"/>
          <w:szCs w:val="18"/>
        </w:rPr>
        <w:t>82;</w:t>
      </w:r>
      <w:r w:rsidRPr="003F6930">
        <w:rPr>
          <w:rFonts w:asciiTheme="majorBidi" w:hAnsiTheme="majorBidi" w:cstheme="majorBidi"/>
          <w:sz w:val="18"/>
          <w:szCs w:val="18"/>
        </w:rPr>
        <w:t xml:space="preserve"> and </w:t>
      </w:r>
      <w:r w:rsidRPr="003F6930">
        <w:rPr>
          <w:rFonts w:asciiTheme="majorBidi" w:hAnsiTheme="majorBidi" w:cstheme="majorBidi"/>
          <w:i/>
          <w:iCs/>
          <w:sz w:val="18"/>
          <w:szCs w:val="18"/>
        </w:rPr>
        <w:t xml:space="preserve">Coll v. Donegal County Council </w:t>
      </w:r>
      <w:r w:rsidRPr="003F6930">
        <w:rPr>
          <w:rFonts w:asciiTheme="majorBidi" w:hAnsiTheme="majorBidi" w:cstheme="majorBidi"/>
          <w:sz w:val="18"/>
          <w:szCs w:val="18"/>
        </w:rPr>
        <w:t>[2005] IEHC 231.</w:t>
      </w:r>
    </w:p>
  </w:footnote>
  <w:footnote w:id="91">
    <w:p w14:paraId="34C06E88" w14:textId="434C76E1" w:rsidR="00202C8D" w:rsidRPr="006173B9" w:rsidRDefault="00202C8D" w:rsidP="00C47857">
      <w:pPr>
        <w:pStyle w:val="FootnoteText"/>
        <w:ind w:left="567"/>
        <w:rPr>
          <w:rFonts w:asciiTheme="majorBidi" w:hAnsiTheme="majorBidi" w:cstheme="majorBidi"/>
          <w:sz w:val="18"/>
          <w:szCs w:val="18"/>
        </w:rPr>
      </w:pPr>
      <w:r w:rsidRPr="003F6930">
        <w:rPr>
          <w:rStyle w:val="FootnoteReference"/>
          <w:rFonts w:asciiTheme="majorBidi" w:hAnsiTheme="majorBidi" w:cstheme="majorBidi"/>
          <w:sz w:val="18"/>
          <w:szCs w:val="18"/>
        </w:rPr>
        <w:footnoteRef/>
      </w:r>
      <w:r w:rsidRPr="003F6930">
        <w:rPr>
          <w:rFonts w:asciiTheme="majorBidi" w:hAnsiTheme="majorBidi" w:cstheme="majorBidi"/>
          <w:sz w:val="18"/>
          <w:szCs w:val="18"/>
        </w:rPr>
        <w:t xml:space="preserve"> </w:t>
      </w:r>
      <w:r w:rsidRPr="003F6930">
        <w:rPr>
          <w:rFonts w:asciiTheme="majorBidi" w:hAnsiTheme="majorBidi" w:cstheme="majorBidi"/>
          <w:i/>
          <w:iCs/>
          <w:sz w:val="18"/>
          <w:szCs w:val="18"/>
        </w:rPr>
        <w:t>State (McCoy) v. Dun Laoghaire Corporation</w:t>
      </w:r>
      <w:r w:rsidRPr="003F6930">
        <w:rPr>
          <w:rFonts w:asciiTheme="majorBidi" w:hAnsiTheme="majorBidi" w:cstheme="majorBidi"/>
          <w:sz w:val="18"/>
          <w:szCs w:val="18"/>
        </w:rPr>
        <w:t xml:space="preserve"> [1985] ILRM 533, at p.537.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89C65" w14:textId="02D759D5" w:rsidR="00202C8D" w:rsidRPr="002112DB" w:rsidRDefault="002112DB">
    <w:pPr>
      <w:pStyle w:val="Header"/>
      <w:jc w:val="right"/>
      <w:rPr>
        <w:sz w:val="18"/>
        <w:szCs w:val="18"/>
      </w:rPr>
    </w:pPr>
    <w:r w:rsidRPr="002112DB">
      <w:rPr>
        <w:sz w:val="18"/>
        <w:szCs w:val="18"/>
      </w:rPr>
      <w:t xml:space="preserve">ACCC/C/2013/107 </w:t>
    </w:r>
    <w:r w:rsidRPr="002112DB">
      <w:rPr>
        <w:sz w:val="18"/>
        <w:szCs w:val="18"/>
      </w:rPr>
      <w:t>(</w:t>
    </w:r>
    <w:r w:rsidR="00202C8D" w:rsidRPr="002112DB">
      <w:rPr>
        <w:sz w:val="18"/>
        <w:szCs w:val="18"/>
      </w:rPr>
      <w:t>Ireland</w:t>
    </w:r>
    <w:r w:rsidRPr="002112DB">
      <w:rPr>
        <w:sz w:val="18"/>
        <w:szCs w:val="18"/>
      </w:rPr>
      <w:t>)</w:t>
    </w:r>
  </w:p>
  <w:p w14:paraId="5F64957F" w14:textId="11F4A0E6" w:rsidR="00202C8D" w:rsidRPr="002112DB" w:rsidRDefault="00202C8D">
    <w:pPr>
      <w:pStyle w:val="Header"/>
      <w:jc w:val="right"/>
      <w:rPr>
        <w:sz w:val="18"/>
        <w:szCs w:val="18"/>
      </w:rPr>
    </w:pPr>
    <w:r w:rsidRPr="002112DB">
      <w:rPr>
        <w:sz w:val="18"/>
        <w:szCs w:val="18"/>
      </w:rPr>
      <w:t xml:space="preserve">Draft findings for </w:t>
    </w:r>
    <w:r w:rsidR="002112DB" w:rsidRPr="002112DB">
      <w:rPr>
        <w:sz w:val="18"/>
        <w:szCs w:val="18"/>
      </w:rPr>
      <w:t>parties’ comments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4274B1B4"/>
    <w:lvl w:ilvl="0">
      <w:start w:val="1"/>
      <w:numFmt w:val="none"/>
      <w:suff w:val="nothing"/>
      <w:lvlText w:val="."/>
      <w:lvlJc w:val="left"/>
      <w:pPr>
        <w:tabs>
          <w:tab w:val="num" w:pos="0"/>
        </w:tabs>
        <w:ind w:left="0" w:firstLine="0"/>
      </w:pPr>
      <w:rPr>
        <w:rFonts w:hint="default"/>
      </w:rPr>
    </w:lvl>
    <w:lvl w:ilvl="1">
      <w:start w:val="1"/>
      <w:numFmt w:val="upperRoman"/>
      <w:pStyle w:val="Heading2"/>
      <w:lvlText w:val="%2."/>
      <w:lvlJc w:val="right"/>
      <w:pPr>
        <w:tabs>
          <w:tab w:val="num" w:pos="0"/>
        </w:tabs>
        <w:ind w:left="1134" w:hanging="454"/>
      </w:pPr>
      <w:rPr>
        <w:rFonts w:hint="default"/>
      </w:rPr>
    </w:lvl>
    <w:lvl w:ilvl="2">
      <w:start w:val="1"/>
      <w:numFmt w:val="upperLetter"/>
      <w:pStyle w:val="Heading3"/>
      <w:lvlText w:val="%3."/>
      <w:lvlJc w:val="left"/>
      <w:pPr>
        <w:tabs>
          <w:tab w:val="num" w:pos="2268"/>
        </w:tabs>
        <w:ind w:left="1134" w:hanging="414"/>
      </w:pPr>
      <w:rPr>
        <w:rFonts w:hint="default"/>
      </w:r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lowerLetter"/>
      <w:lvlText w:val="(%1)"/>
      <w:lvlJc w:val="left"/>
      <w:pPr>
        <w:tabs>
          <w:tab w:val="num" w:pos="0"/>
        </w:tabs>
        <w:ind w:left="1080" w:hanging="360"/>
      </w:pPr>
      <w:rPr>
        <w:rFonts w:ascii="Times New Roman" w:eastAsia="Times New Roman" w:hAnsi="Times New Roman" w:cs="Times New Roman" w:hint="default"/>
        <w:sz w:val="20"/>
        <w:szCs w:val="20"/>
      </w:rPr>
    </w:lvl>
  </w:abstractNum>
  <w:abstractNum w:abstractNumId="2" w15:restartNumberingAfterBreak="0">
    <w:nsid w:val="10A37571"/>
    <w:multiLevelType w:val="hybridMultilevel"/>
    <w:tmpl w:val="9288F66C"/>
    <w:lvl w:ilvl="0" w:tplc="0409000F">
      <w:start w:val="1"/>
      <w:numFmt w:val="decimal"/>
      <w:lvlText w:val="%1."/>
      <w:lvlJc w:val="left"/>
      <w:pPr>
        <w:ind w:left="928" w:hanging="360"/>
      </w:p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15:restartNumberingAfterBreak="0">
    <w:nsid w:val="4D156B4B"/>
    <w:multiLevelType w:val="hybridMultilevel"/>
    <w:tmpl w:val="C19AA954"/>
    <w:lvl w:ilvl="0" w:tplc="C3B475E8">
      <w:start w:val="1"/>
      <w:numFmt w:val="lowerLetter"/>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4" w15:restartNumberingAfterBreak="0">
    <w:nsid w:val="4DD51A62"/>
    <w:multiLevelType w:val="hybridMultilevel"/>
    <w:tmpl w:val="213A1874"/>
    <w:lvl w:ilvl="0" w:tplc="B186FBEC">
      <w:start w:val="1"/>
      <w:numFmt w:val="lowerLetter"/>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5" w15:restartNumberingAfterBreak="0">
    <w:nsid w:val="6662018D"/>
    <w:multiLevelType w:val="hybridMultilevel"/>
    <w:tmpl w:val="AFFCF288"/>
    <w:lvl w:ilvl="0" w:tplc="F470FA1C">
      <w:start w:val="1"/>
      <w:numFmt w:val="lowerLetter"/>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num w:numId="1">
    <w:abstractNumId w:val="0"/>
  </w:num>
  <w:num w:numId="2">
    <w:abstractNumId w:val="2"/>
  </w:num>
  <w:num w:numId="3">
    <w:abstractNumId w:val="4"/>
  </w:num>
  <w:num w:numId="4">
    <w:abstractNumId w:val="3"/>
  </w:num>
  <w:num w:numId="5">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FDD"/>
    <w:rsid w:val="00000309"/>
    <w:rsid w:val="000004BA"/>
    <w:rsid w:val="00000BFB"/>
    <w:rsid w:val="00005D1E"/>
    <w:rsid w:val="00013C55"/>
    <w:rsid w:val="0001422A"/>
    <w:rsid w:val="00015DEA"/>
    <w:rsid w:val="00016799"/>
    <w:rsid w:val="00021EF0"/>
    <w:rsid w:val="000311E7"/>
    <w:rsid w:val="000421D2"/>
    <w:rsid w:val="00042A4E"/>
    <w:rsid w:val="00050335"/>
    <w:rsid w:val="00050614"/>
    <w:rsid w:val="00054CF8"/>
    <w:rsid w:val="0005543B"/>
    <w:rsid w:val="0005588F"/>
    <w:rsid w:val="00060EBC"/>
    <w:rsid w:val="0006158C"/>
    <w:rsid w:val="00061672"/>
    <w:rsid w:val="000643F3"/>
    <w:rsid w:val="00064AA0"/>
    <w:rsid w:val="000728E6"/>
    <w:rsid w:val="00072B76"/>
    <w:rsid w:val="00074403"/>
    <w:rsid w:val="00085BFC"/>
    <w:rsid w:val="000935BE"/>
    <w:rsid w:val="000975BB"/>
    <w:rsid w:val="000A2A34"/>
    <w:rsid w:val="000A2F6D"/>
    <w:rsid w:val="000A3F1D"/>
    <w:rsid w:val="000A4F55"/>
    <w:rsid w:val="000A52A0"/>
    <w:rsid w:val="000A584A"/>
    <w:rsid w:val="000A6202"/>
    <w:rsid w:val="000B764E"/>
    <w:rsid w:val="000C06F3"/>
    <w:rsid w:val="000C0E9C"/>
    <w:rsid w:val="000D1D03"/>
    <w:rsid w:val="000D20E7"/>
    <w:rsid w:val="000D33B2"/>
    <w:rsid w:val="000D5D67"/>
    <w:rsid w:val="000D68E4"/>
    <w:rsid w:val="000E4C5B"/>
    <w:rsid w:val="000E50C2"/>
    <w:rsid w:val="000E64DC"/>
    <w:rsid w:val="000E6F6B"/>
    <w:rsid w:val="000E710D"/>
    <w:rsid w:val="000F0C22"/>
    <w:rsid w:val="001001C7"/>
    <w:rsid w:val="00114E00"/>
    <w:rsid w:val="00116CB4"/>
    <w:rsid w:val="00117094"/>
    <w:rsid w:val="00125876"/>
    <w:rsid w:val="00125B1C"/>
    <w:rsid w:val="00130BB1"/>
    <w:rsid w:val="00131299"/>
    <w:rsid w:val="00135023"/>
    <w:rsid w:val="001420A2"/>
    <w:rsid w:val="00143109"/>
    <w:rsid w:val="001440F2"/>
    <w:rsid w:val="0014662E"/>
    <w:rsid w:val="001512A2"/>
    <w:rsid w:val="00152018"/>
    <w:rsid w:val="00156A0F"/>
    <w:rsid w:val="00157BEB"/>
    <w:rsid w:val="00164260"/>
    <w:rsid w:val="001645DF"/>
    <w:rsid w:val="001649E9"/>
    <w:rsid w:val="00164F68"/>
    <w:rsid w:val="001702F8"/>
    <w:rsid w:val="001710E1"/>
    <w:rsid w:val="0017350A"/>
    <w:rsid w:val="00181FD7"/>
    <w:rsid w:val="001844CE"/>
    <w:rsid w:val="0018652D"/>
    <w:rsid w:val="00186A44"/>
    <w:rsid w:val="001877A8"/>
    <w:rsid w:val="001906FA"/>
    <w:rsid w:val="00190C75"/>
    <w:rsid w:val="00193EE9"/>
    <w:rsid w:val="00194E26"/>
    <w:rsid w:val="001A1AE7"/>
    <w:rsid w:val="001A1F38"/>
    <w:rsid w:val="001A2032"/>
    <w:rsid w:val="001A4B91"/>
    <w:rsid w:val="001A591D"/>
    <w:rsid w:val="001A70D5"/>
    <w:rsid w:val="001A7A93"/>
    <w:rsid w:val="001A7F18"/>
    <w:rsid w:val="001B04DA"/>
    <w:rsid w:val="001B0A7D"/>
    <w:rsid w:val="001B2C55"/>
    <w:rsid w:val="001B77F4"/>
    <w:rsid w:val="001C15A6"/>
    <w:rsid w:val="001C183D"/>
    <w:rsid w:val="001C4791"/>
    <w:rsid w:val="001C5B26"/>
    <w:rsid w:val="001D1DB7"/>
    <w:rsid w:val="001D767D"/>
    <w:rsid w:val="001E4A1F"/>
    <w:rsid w:val="001E6910"/>
    <w:rsid w:val="001E7E8F"/>
    <w:rsid w:val="002000C0"/>
    <w:rsid w:val="002004AE"/>
    <w:rsid w:val="00202C8D"/>
    <w:rsid w:val="0020346A"/>
    <w:rsid w:val="00203729"/>
    <w:rsid w:val="0020759A"/>
    <w:rsid w:val="002077CB"/>
    <w:rsid w:val="002112DB"/>
    <w:rsid w:val="00212069"/>
    <w:rsid w:val="00212758"/>
    <w:rsid w:val="0021377E"/>
    <w:rsid w:val="00222A84"/>
    <w:rsid w:val="00223E03"/>
    <w:rsid w:val="0022683C"/>
    <w:rsid w:val="0023570D"/>
    <w:rsid w:val="002372CA"/>
    <w:rsid w:val="00241646"/>
    <w:rsid w:val="002454A2"/>
    <w:rsid w:val="0024769F"/>
    <w:rsid w:val="002505BE"/>
    <w:rsid w:val="00252BAD"/>
    <w:rsid w:val="00252EE9"/>
    <w:rsid w:val="00253960"/>
    <w:rsid w:val="00253BA6"/>
    <w:rsid w:val="00253F17"/>
    <w:rsid w:val="00254005"/>
    <w:rsid w:val="00260169"/>
    <w:rsid w:val="00265B28"/>
    <w:rsid w:val="00272797"/>
    <w:rsid w:val="002766DD"/>
    <w:rsid w:val="0028489D"/>
    <w:rsid w:val="00293497"/>
    <w:rsid w:val="002970AF"/>
    <w:rsid w:val="002A1287"/>
    <w:rsid w:val="002A1F3D"/>
    <w:rsid w:val="002A2661"/>
    <w:rsid w:val="002A5D4D"/>
    <w:rsid w:val="002B1486"/>
    <w:rsid w:val="002B1FA4"/>
    <w:rsid w:val="002B4ADC"/>
    <w:rsid w:val="002C04C5"/>
    <w:rsid w:val="002C11CF"/>
    <w:rsid w:val="002C20ED"/>
    <w:rsid w:val="002C2EF9"/>
    <w:rsid w:val="002D3C34"/>
    <w:rsid w:val="002D64BB"/>
    <w:rsid w:val="002D6651"/>
    <w:rsid w:val="002D7BED"/>
    <w:rsid w:val="002E2880"/>
    <w:rsid w:val="002E3B83"/>
    <w:rsid w:val="002E3D98"/>
    <w:rsid w:val="002E4D96"/>
    <w:rsid w:val="002E5BF5"/>
    <w:rsid w:val="002E5C07"/>
    <w:rsid w:val="002F1244"/>
    <w:rsid w:val="002F16D3"/>
    <w:rsid w:val="002F1AD1"/>
    <w:rsid w:val="002F3F25"/>
    <w:rsid w:val="002F6A4D"/>
    <w:rsid w:val="002F75CC"/>
    <w:rsid w:val="003014BC"/>
    <w:rsid w:val="00302E86"/>
    <w:rsid w:val="003101C4"/>
    <w:rsid w:val="00310524"/>
    <w:rsid w:val="00312386"/>
    <w:rsid w:val="003149EF"/>
    <w:rsid w:val="003167D6"/>
    <w:rsid w:val="00321029"/>
    <w:rsid w:val="003261C8"/>
    <w:rsid w:val="00326B4D"/>
    <w:rsid w:val="00326BC8"/>
    <w:rsid w:val="00331806"/>
    <w:rsid w:val="00331CBC"/>
    <w:rsid w:val="0033686A"/>
    <w:rsid w:val="0034482E"/>
    <w:rsid w:val="00344A3F"/>
    <w:rsid w:val="00344CD1"/>
    <w:rsid w:val="00345127"/>
    <w:rsid w:val="003503BC"/>
    <w:rsid w:val="003517F0"/>
    <w:rsid w:val="00353550"/>
    <w:rsid w:val="00353753"/>
    <w:rsid w:val="003720C3"/>
    <w:rsid w:val="00384FF5"/>
    <w:rsid w:val="003877CF"/>
    <w:rsid w:val="00392B7C"/>
    <w:rsid w:val="00392CE4"/>
    <w:rsid w:val="003951BD"/>
    <w:rsid w:val="00396BF0"/>
    <w:rsid w:val="003A063A"/>
    <w:rsid w:val="003A373A"/>
    <w:rsid w:val="003A3A3F"/>
    <w:rsid w:val="003A5EE8"/>
    <w:rsid w:val="003A6B64"/>
    <w:rsid w:val="003B06F4"/>
    <w:rsid w:val="003B1027"/>
    <w:rsid w:val="003B2103"/>
    <w:rsid w:val="003B3C9F"/>
    <w:rsid w:val="003B7AF9"/>
    <w:rsid w:val="003C399D"/>
    <w:rsid w:val="003C5724"/>
    <w:rsid w:val="003C74A8"/>
    <w:rsid w:val="003D3559"/>
    <w:rsid w:val="003E09A9"/>
    <w:rsid w:val="003E1477"/>
    <w:rsid w:val="003E1F99"/>
    <w:rsid w:val="003E2911"/>
    <w:rsid w:val="003E3E25"/>
    <w:rsid w:val="003E48FF"/>
    <w:rsid w:val="003E654C"/>
    <w:rsid w:val="003F19C9"/>
    <w:rsid w:val="003F1ECF"/>
    <w:rsid w:val="003F33BD"/>
    <w:rsid w:val="003F6930"/>
    <w:rsid w:val="003F6EA8"/>
    <w:rsid w:val="0040338C"/>
    <w:rsid w:val="00405207"/>
    <w:rsid w:val="00407FCA"/>
    <w:rsid w:val="004123AC"/>
    <w:rsid w:val="00412F63"/>
    <w:rsid w:val="00415504"/>
    <w:rsid w:val="0041689B"/>
    <w:rsid w:val="004204AD"/>
    <w:rsid w:val="00420FB3"/>
    <w:rsid w:val="0042196B"/>
    <w:rsid w:val="00421E6F"/>
    <w:rsid w:val="004341DF"/>
    <w:rsid w:val="00434452"/>
    <w:rsid w:val="00436293"/>
    <w:rsid w:val="004443FA"/>
    <w:rsid w:val="004450BC"/>
    <w:rsid w:val="00446934"/>
    <w:rsid w:val="00451591"/>
    <w:rsid w:val="00453A3A"/>
    <w:rsid w:val="004546EC"/>
    <w:rsid w:val="004572D5"/>
    <w:rsid w:val="0046501B"/>
    <w:rsid w:val="00466ABA"/>
    <w:rsid w:val="00472B5B"/>
    <w:rsid w:val="00473650"/>
    <w:rsid w:val="0047765E"/>
    <w:rsid w:val="00480786"/>
    <w:rsid w:val="00482718"/>
    <w:rsid w:val="00483AEE"/>
    <w:rsid w:val="00485BF3"/>
    <w:rsid w:val="00486194"/>
    <w:rsid w:val="004875F0"/>
    <w:rsid w:val="00495C31"/>
    <w:rsid w:val="00496141"/>
    <w:rsid w:val="004974CA"/>
    <w:rsid w:val="004A5804"/>
    <w:rsid w:val="004A71D0"/>
    <w:rsid w:val="004B0FA7"/>
    <w:rsid w:val="004B101E"/>
    <w:rsid w:val="004B371F"/>
    <w:rsid w:val="004B599A"/>
    <w:rsid w:val="004C23C3"/>
    <w:rsid w:val="004C638E"/>
    <w:rsid w:val="004D31D5"/>
    <w:rsid w:val="004D4A0F"/>
    <w:rsid w:val="004D7ADE"/>
    <w:rsid w:val="004E6647"/>
    <w:rsid w:val="004F27A2"/>
    <w:rsid w:val="004F4C13"/>
    <w:rsid w:val="00502E80"/>
    <w:rsid w:val="00503793"/>
    <w:rsid w:val="00504B53"/>
    <w:rsid w:val="0050669C"/>
    <w:rsid w:val="00507106"/>
    <w:rsid w:val="00517310"/>
    <w:rsid w:val="005279FC"/>
    <w:rsid w:val="00531815"/>
    <w:rsid w:val="0053317C"/>
    <w:rsid w:val="005340DE"/>
    <w:rsid w:val="005413F6"/>
    <w:rsid w:val="005428E0"/>
    <w:rsid w:val="00551615"/>
    <w:rsid w:val="00557803"/>
    <w:rsid w:val="0055798A"/>
    <w:rsid w:val="00557A55"/>
    <w:rsid w:val="005601DD"/>
    <w:rsid w:val="00563125"/>
    <w:rsid w:val="00564550"/>
    <w:rsid w:val="0057084B"/>
    <w:rsid w:val="0057186E"/>
    <w:rsid w:val="0058005E"/>
    <w:rsid w:val="00582F19"/>
    <w:rsid w:val="005839DD"/>
    <w:rsid w:val="00584217"/>
    <w:rsid w:val="00584F50"/>
    <w:rsid w:val="00590426"/>
    <w:rsid w:val="0059314E"/>
    <w:rsid w:val="00594F2E"/>
    <w:rsid w:val="00595280"/>
    <w:rsid w:val="00595F91"/>
    <w:rsid w:val="005A0CBA"/>
    <w:rsid w:val="005A293F"/>
    <w:rsid w:val="005A3AF9"/>
    <w:rsid w:val="005A50E6"/>
    <w:rsid w:val="005A61E9"/>
    <w:rsid w:val="005B1FB9"/>
    <w:rsid w:val="005B671E"/>
    <w:rsid w:val="005C205A"/>
    <w:rsid w:val="005C5637"/>
    <w:rsid w:val="005D4990"/>
    <w:rsid w:val="005E07E5"/>
    <w:rsid w:val="005E1816"/>
    <w:rsid w:val="005E326C"/>
    <w:rsid w:val="005E4DF3"/>
    <w:rsid w:val="00600977"/>
    <w:rsid w:val="00601926"/>
    <w:rsid w:val="006020C5"/>
    <w:rsid w:val="006051BF"/>
    <w:rsid w:val="00606FE6"/>
    <w:rsid w:val="00611B0C"/>
    <w:rsid w:val="00614434"/>
    <w:rsid w:val="006173B9"/>
    <w:rsid w:val="00617865"/>
    <w:rsid w:val="00623BAC"/>
    <w:rsid w:val="00624162"/>
    <w:rsid w:val="00640C77"/>
    <w:rsid w:val="00647E2F"/>
    <w:rsid w:val="00654A4A"/>
    <w:rsid w:val="006551C1"/>
    <w:rsid w:val="00656F19"/>
    <w:rsid w:val="00660417"/>
    <w:rsid w:val="006608CE"/>
    <w:rsid w:val="00663534"/>
    <w:rsid w:val="00665DB0"/>
    <w:rsid w:val="006714B6"/>
    <w:rsid w:val="00671A40"/>
    <w:rsid w:val="006726A2"/>
    <w:rsid w:val="00674314"/>
    <w:rsid w:val="006745A2"/>
    <w:rsid w:val="00675D88"/>
    <w:rsid w:val="00680D92"/>
    <w:rsid w:val="00681617"/>
    <w:rsid w:val="00682AC5"/>
    <w:rsid w:val="00685D0E"/>
    <w:rsid w:val="00687E1D"/>
    <w:rsid w:val="00691C61"/>
    <w:rsid w:val="006922B7"/>
    <w:rsid w:val="00694C56"/>
    <w:rsid w:val="006B0EC1"/>
    <w:rsid w:val="006B6106"/>
    <w:rsid w:val="006B65ED"/>
    <w:rsid w:val="006C3B1E"/>
    <w:rsid w:val="006C5CAE"/>
    <w:rsid w:val="006D13E9"/>
    <w:rsid w:val="006D4C09"/>
    <w:rsid w:val="006D6691"/>
    <w:rsid w:val="006E0685"/>
    <w:rsid w:val="006E588A"/>
    <w:rsid w:val="006E6CD3"/>
    <w:rsid w:val="006E7D2E"/>
    <w:rsid w:val="006F1D86"/>
    <w:rsid w:val="006F2C71"/>
    <w:rsid w:val="006F3CFD"/>
    <w:rsid w:val="007015C6"/>
    <w:rsid w:val="00702688"/>
    <w:rsid w:val="00706631"/>
    <w:rsid w:val="007079C3"/>
    <w:rsid w:val="007107CF"/>
    <w:rsid w:val="00710C2F"/>
    <w:rsid w:val="00722050"/>
    <w:rsid w:val="0072276D"/>
    <w:rsid w:val="00723A28"/>
    <w:rsid w:val="00725594"/>
    <w:rsid w:val="00727D8D"/>
    <w:rsid w:val="007314DC"/>
    <w:rsid w:val="00732712"/>
    <w:rsid w:val="007341D7"/>
    <w:rsid w:val="00734E12"/>
    <w:rsid w:val="00735759"/>
    <w:rsid w:val="00735C91"/>
    <w:rsid w:val="00736453"/>
    <w:rsid w:val="00740D04"/>
    <w:rsid w:val="00741CFB"/>
    <w:rsid w:val="0074574C"/>
    <w:rsid w:val="00750D75"/>
    <w:rsid w:val="0075493D"/>
    <w:rsid w:val="00754E02"/>
    <w:rsid w:val="0075700A"/>
    <w:rsid w:val="00757659"/>
    <w:rsid w:val="00757EB9"/>
    <w:rsid w:val="00757F00"/>
    <w:rsid w:val="0076189A"/>
    <w:rsid w:val="00763C5B"/>
    <w:rsid w:val="00765C26"/>
    <w:rsid w:val="00771F03"/>
    <w:rsid w:val="00772AC9"/>
    <w:rsid w:val="00772F1B"/>
    <w:rsid w:val="007730CF"/>
    <w:rsid w:val="0077761F"/>
    <w:rsid w:val="00782DB9"/>
    <w:rsid w:val="007835DD"/>
    <w:rsid w:val="00784840"/>
    <w:rsid w:val="0078735D"/>
    <w:rsid w:val="00794D96"/>
    <w:rsid w:val="00795167"/>
    <w:rsid w:val="007A724E"/>
    <w:rsid w:val="007A764A"/>
    <w:rsid w:val="007B54BD"/>
    <w:rsid w:val="007B64C5"/>
    <w:rsid w:val="007C0508"/>
    <w:rsid w:val="007C2B56"/>
    <w:rsid w:val="007C3714"/>
    <w:rsid w:val="007C5386"/>
    <w:rsid w:val="007C5877"/>
    <w:rsid w:val="007C78D4"/>
    <w:rsid w:val="007E07AB"/>
    <w:rsid w:val="007E2EBD"/>
    <w:rsid w:val="007E69E7"/>
    <w:rsid w:val="007E7D8D"/>
    <w:rsid w:val="00803B7F"/>
    <w:rsid w:val="0081599B"/>
    <w:rsid w:val="00815BEA"/>
    <w:rsid w:val="00821C73"/>
    <w:rsid w:val="00824435"/>
    <w:rsid w:val="00826A5A"/>
    <w:rsid w:val="00827807"/>
    <w:rsid w:val="0083162D"/>
    <w:rsid w:val="008316E1"/>
    <w:rsid w:val="0083444E"/>
    <w:rsid w:val="008368FF"/>
    <w:rsid w:val="008408BE"/>
    <w:rsid w:val="00845AEE"/>
    <w:rsid w:val="00850024"/>
    <w:rsid w:val="008505D5"/>
    <w:rsid w:val="00854FB7"/>
    <w:rsid w:val="00862254"/>
    <w:rsid w:val="00864C96"/>
    <w:rsid w:val="00867480"/>
    <w:rsid w:val="0087323F"/>
    <w:rsid w:val="00881569"/>
    <w:rsid w:val="0088350B"/>
    <w:rsid w:val="008861F9"/>
    <w:rsid w:val="00886DAD"/>
    <w:rsid w:val="00895738"/>
    <w:rsid w:val="00897185"/>
    <w:rsid w:val="00897AB8"/>
    <w:rsid w:val="00897AEB"/>
    <w:rsid w:val="00897C3F"/>
    <w:rsid w:val="008A032E"/>
    <w:rsid w:val="008A068A"/>
    <w:rsid w:val="008A51CA"/>
    <w:rsid w:val="008A6D48"/>
    <w:rsid w:val="008B2062"/>
    <w:rsid w:val="008B3609"/>
    <w:rsid w:val="008B39C8"/>
    <w:rsid w:val="008B71DE"/>
    <w:rsid w:val="008B7875"/>
    <w:rsid w:val="008C2806"/>
    <w:rsid w:val="008C2E66"/>
    <w:rsid w:val="008C3487"/>
    <w:rsid w:val="008C5A07"/>
    <w:rsid w:val="008C7ABA"/>
    <w:rsid w:val="008D0222"/>
    <w:rsid w:val="008D0BC6"/>
    <w:rsid w:val="008D0FDD"/>
    <w:rsid w:val="008D132A"/>
    <w:rsid w:val="008D1FBC"/>
    <w:rsid w:val="008D51A4"/>
    <w:rsid w:val="008E0F31"/>
    <w:rsid w:val="008E1C4C"/>
    <w:rsid w:val="008E1DA1"/>
    <w:rsid w:val="008E3AC5"/>
    <w:rsid w:val="008E622E"/>
    <w:rsid w:val="008E7F7B"/>
    <w:rsid w:val="008F0544"/>
    <w:rsid w:val="008F248C"/>
    <w:rsid w:val="008F2656"/>
    <w:rsid w:val="008F2A91"/>
    <w:rsid w:val="008F3B3B"/>
    <w:rsid w:val="008F6B46"/>
    <w:rsid w:val="00901031"/>
    <w:rsid w:val="00901BEF"/>
    <w:rsid w:val="009029CA"/>
    <w:rsid w:val="00903E6A"/>
    <w:rsid w:val="009069C5"/>
    <w:rsid w:val="00906B2B"/>
    <w:rsid w:val="009110DC"/>
    <w:rsid w:val="009115EB"/>
    <w:rsid w:val="00911FBE"/>
    <w:rsid w:val="0091260D"/>
    <w:rsid w:val="009133F8"/>
    <w:rsid w:val="00914130"/>
    <w:rsid w:val="00915371"/>
    <w:rsid w:val="00922A32"/>
    <w:rsid w:val="00931BFB"/>
    <w:rsid w:val="009323F6"/>
    <w:rsid w:val="0093667C"/>
    <w:rsid w:val="00944E3E"/>
    <w:rsid w:val="00952235"/>
    <w:rsid w:val="00952D7E"/>
    <w:rsid w:val="0095588B"/>
    <w:rsid w:val="00961B12"/>
    <w:rsid w:val="00975B7A"/>
    <w:rsid w:val="00975C2D"/>
    <w:rsid w:val="0098250C"/>
    <w:rsid w:val="009834D6"/>
    <w:rsid w:val="0098511B"/>
    <w:rsid w:val="00985DDD"/>
    <w:rsid w:val="00990A28"/>
    <w:rsid w:val="00990AB5"/>
    <w:rsid w:val="00997568"/>
    <w:rsid w:val="009A127F"/>
    <w:rsid w:val="009A71A5"/>
    <w:rsid w:val="009B07E9"/>
    <w:rsid w:val="009B3E58"/>
    <w:rsid w:val="009B58AE"/>
    <w:rsid w:val="009C6B9D"/>
    <w:rsid w:val="009D2156"/>
    <w:rsid w:val="009D36B0"/>
    <w:rsid w:val="009D41FC"/>
    <w:rsid w:val="009D4696"/>
    <w:rsid w:val="009D53EF"/>
    <w:rsid w:val="009E65C1"/>
    <w:rsid w:val="009E7902"/>
    <w:rsid w:val="009F0CD6"/>
    <w:rsid w:val="009F0E81"/>
    <w:rsid w:val="009F53A3"/>
    <w:rsid w:val="009F6B23"/>
    <w:rsid w:val="009F7127"/>
    <w:rsid w:val="009F7DB9"/>
    <w:rsid w:val="00A030C0"/>
    <w:rsid w:val="00A0460E"/>
    <w:rsid w:val="00A15DDB"/>
    <w:rsid w:val="00A1630D"/>
    <w:rsid w:val="00A16B46"/>
    <w:rsid w:val="00A16C4E"/>
    <w:rsid w:val="00A17B40"/>
    <w:rsid w:val="00A20E9E"/>
    <w:rsid w:val="00A20EBD"/>
    <w:rsid w:val="00A24E05"/>
    <w:rsid w:val="00A26439"/>
    <w:rsid w:val="00A27C76"/>
    <w:rsid w:val="00A32C00"/>
    <w:rsid w:val="00A34BEA"/>
    <w:rsid w:val="00A41115"/>
    <w:rsid w:val="00A4311D"/>
    <w:rsid w:val="00A4354D"/>
    <w:rsid w:val="00A45651"/>
    <w:rsid w:val="00A46107"/>
    <w:rsid w:val="00A46A77"/>
    <w:rsid w:val="00A55EB4"/>
    <w:rsid w:val="00A567BB"/>
    <w:rsid w:val="00A57506"/>
    <w:rsid w:val="00A5788F"/>
    <w:rsid w:val="00A6013C"/>
    <w:rsid w:val="00A6111B"/>
    <w:rsid w:val="00A66031"/>
    <w:rsid w:val="00A67A5D"/>
    <w:rsid w:val="00A7500F"/>
    <w:rsid w:val="00A80143"/>
    <w:rsid w:val="00A81135"/>
    <w:rsid w:val="00A814B5"/>
    <w:rsid w:val="00A81799"/>
    <w:rsid w:val="00A819B2"/>
    <w:rsid w:val="00A85EC3"/>
    <w:rsid w:val="00A86A85"/>
    <w:rsid w:val="00A87136"/>
    <w:rsid w:val="00A90AC7"/>
    <w:rsid w:val="00A910D8"/>
    <w:rsid w:val="00AA3F2F"/>
    <w:rsid w:val="00AA7549"/>
    <w:rsid w:val="00AB3650"/>
    <w:rsid w:val="00AB37A6"/>
    <w:rsid w:val="00AB3BD5"/>
    <w:rsid w:val="00AB5476"/>
    <w:rsid w:val="00AC4B7D"/>
    <w:rsid w:val="00AC5083"/>
    <w:rsid w:val="00AC650E"/>
    <w:rsid w:val="00AC7EB0"/>
    <w:rsid w:val="00AD786C"/>
    <w:rsid w:val="00AE4ACB"/>
    <w:rsid w:val="00AE616E"/>
    <w:rsid w:val="00AE6D09"/>
    <w:rsid w:val="00AE6DDE"/>
    <w:rsid w:val="00AE72F8"/>
    <w:rsid w:val="00AF7864"/>
    <w:rsid w:val="00B035BE"/>
    <w:rsid w:val="00B067F1"/>
    <w:rsid w:val="00B132B8"/>
    <w:rsid w:val="00B13A09"/>
    <w:rsid w:val="00B15ADA"/>
    <w:rsid w:val="00B16F2E"/>
    <w:rsid w:val="00B1747B"/>
    <w:rsid w:val="00B205C2"/>
    <w:rsid w:val="00B220C2"/>
    <w:rsid w:val="00B22F9A"/>
    <w:rsid w:val="00B2646C"/>
    <w:rsid w:val="00B30933"/>
    <w:rsid w:val="00B341C7"/>
    <w:rsid w:val="00B347DA"/>
    <w:rsid w:val="00B3668D"/>
    <w:rsid w:val="00B36C01"/>
    <w:rsid w:val="00B37F3C"/>
    <w:rsid w:val="00B406A4"/>
    <w:rsid w:val="00B4199B"/>
    <w:rsid w:val="00B43006"/>
    <w:rsid w:val="00B437A9"/>
    <w:rsid w:val="00B4726A"/>
    <w:rsid w:val="00B47448"/>
    <w:rsid w:val="00B53622"/>
    <w:rsid w:val="00B53C12"/>
    <w:rsid w:val="00B5456E"/>
    <w:rsid w:val="00B55A21"/>
    <w:rsid w:val="00B562AF"/>
    <w:rsid w:val="00B56A05"/>
    <w:rsid w:val="00B60F07"/>
    <w:rsid w:val="00B64249"/>
    <w:rsid w:val="00B64B37"/>
    <w:rsid w:val="00B661B1"/>
    <w:rsid w:val="00B66BFE"/>
    <w:rsid w:val="00B860AA"/>
    <w:rsid w:val="00B87B96"/>
    <w:rsid w:val="00B9438F"/>
    <w:rsid w:val="00B94A66"/>
    <w:rsid w:val="00B94C87"/>
    <w:rsid w:val="00BA5405"/>
    <w:rsid w:val="00BA59CB"/>
    <w:rsid w:val="00BB16DC"/>
    <w:rsid w:val="00BB1E16"/>
    <w:rsid w:val="00BB3F2D"/>
    <w:rsid w:val="00BB5A11"/>
    <w:rsid w:val="00BB6B52"/>
    <w:rsid w:val="00BB6C53"/>
    <w:rsid w:val="00BB6E33"/>
    <w:rsid w:val="00BC56DD"/>
    <w:rsid w:val="00BD26CE"/>
    <w:rsid w:val="00BD4153"/>
    <w:rsid w:val="00BD7D2F"/>
    <w:rsid w:val="00BE016E"/>
    <w:rsid w:val="00BE4450"/>
    <w:rsid w:val="00BE5C30"/>
    <w:rsid w:val="00BF014D"/>
    <w:rsid w:val="00BF16F5"/>
    <w:rsid w:val="00BF2775"/>
    <w:rsid w:val="00BF4570"/>
    <w:rsid w:val="00BF7291"/>
    <w:rsid w:val="00C03784"/>
    <w:rsid w:val="00C11A8A"/>
    <w:rsid w:val="00C134B1"/>
    <w:rsid w:val="00C135AF"/>
    <w:rsid w:val="00C1387C"/>
    <w:rsid w:val="00C16CAE"/>
    <w:rsid w:val="00C23B71"/>
    <w:rsid w:val="00C26B9C"/>
    <w:rsid w:val="00C274D1"/>
    <w:rsid w:val="00C30FF3"/>
    <w:rsid w:val="00C3133B"/>
    <w:rsid w:val="00C34FCE"/>
    <w:rsid w:val="00C366FF"/>
    <w:rsid w:val="00C43C71"/>
    <w:rsid w:val="00C43D97"/>
    <w:rsid w:val="00C44C03"/>
    <w:rsid w:val="00C453FF"/>
    <w:rsid w:val="00C47444"/>
    <w:rsid w:val="00C47857"/>
    <w:rsid w:val="00C506F3"/>
    <w:rsid w:val="00C62159"/>
    <w:rsid w:val="00C62184"/>
    <w:rsid w:val="00C65317"/>
    <w:rsid w:val="00C67A57"/>
    <w:rsid w:val="00C7566F"/>
    <w:rsid w:val="00C76152"/>
    <w:rsid w:val="00C846CD"/>
    <w:rsid w:val="00C85B63"/>
    <w:rsid w:val="00C8714D"/>
    <w:rsid w:val="00C90F71"/>
    <w:rsid w:val="00C969C5"/>
    <w:rsid w:val="00CA239A"/>
    <w:rsid w:val="00CA3343"/>
    <w:rsid w:val="00CA756D"/>
    <w:rsid w:val="00CA76D1"/>
    <w:rsid w:val="00CB04D7"/>
    <w:rsid w:val="00CB3E4D"/>
    <w:rsid w:val="00CB5017"/>
    <w:rsid w:val="00CB58A4"/>
    <w:rsid w:val="00CB6E03"/>
    <w:rsid w:val="00CB7172"/>
    <w:rsid w:val="00CC12CA"/>
    <w:rsid w:val="00CC5A85"/>
    <w:rsid w:val="00CC774F"/>
    <w:rsid w:val="00CD2D43"/>
    <w:rsid w:val="00CD4B91"/>
    <w:rsid w:val="00CE4ABC"/>
    <w:rsid w:val="00CF7BC8"/>
    <w:rsid w:val="00D02235"/>
    <w:rsid w:val="00D04639"/>
    <w:rsid w:val="00D04967"/>
    <w:rsid w:val="00D05548"/>
    <w:rsid w:val="00D116B1"/>
    <w:rsid w:val="00D1415C"/>
    <w:rsid w:val="00D20DB8"/>
    <w:rsid w:val="00D23231"/>
    <w:rsid w:val="00D2557D"/>
    <w:rsid w:val="00D26397"/>
    <w:rsid w:val="00D27190"/>
    <w:rsid w:val="00D3141A"/>
    <w:rsid w:val="00D315A4"/>
    <w:rsid w:val="00D34B60"/>
    <w:rsid w:val="00D36070"/>
    <w:rsid w:val="00D36E9E"/>
    <w:rsid w:val="00D40BD1"/>
    <w:rsid w:val="00D424DE"/>
    <w:rsid w:val="00D44319"/>
    <w:rsid w:val="00D472F1"/>
    <w:rsid w:val="00D52A17"/>
    <w:rsid w:val="00D53975"/>
    <w:rsid w:val="00D60C86"/>
    <w:rsid w:val="00D64783"/>
    <w:rsid w:val="00D65BE0"/>
    <w:rsid w:val="00D673F7"/>
    <w:rsid w:val="00D7379F"/>
    <w:rsid w:val="00D75218"/>
    <w:rsid w:val="00D75227"/>
    <w:rsid w:val="00D752AC"/>
    <w:rsid w:val="00D8088D"/>
    <w:rsid w:val="00D817E2"/>
    <w:rsid w:val="00D84508"/>
    <w:rsid w:val="00D90851"/>
    <w:rsid w:val="00D91FE3"/>
    <w:rsid w:val="00D924E7"/>
    <w:rsid w:val="00D92907"/>
    <w:rsid w:val="00D92C01"/>
    <w:rsid w:val="00D9374A"/>
    <w:rsid w:val="00D95F29"/>
    <w:rsid w:val="00D97880"/>
    <w:rsid w:val="00DA100F"/>
    <w:rsid w:val="00DA59E4"/>
    <w:rsid w:val="00DA6BBB"/>
    <w:rsid w:val="00DA740B"/>
    <w:rsid w:val="00DA7AE4"/>
    <w:rsid w:val="00DB0DDC"/>
    <w:rsid w:val="00DB258B"/>
    <w:rsid w:val="00DB46F9"/>
    <w:rsid w:val="00DC18CD"/>
    <w:rsid w:val="00DC546C"/>
    <w:rsid w:val="00DD247F"/>
    <w:rsid w:val="00DD4D0A"/>
    <w:rsid w:val="00DE01DA"/>
    <w:rsid w:val="00DE2549"/>
    <w:rsid w:val="00DE647A"/>
    <w:rsid w:val="00DE7CD9"/>
    <w:rsid w:val="00DF00C1"/>
    <w:rsid w:val="00DF16DB"/>
    <w:rsid w:val="00DF2180"/>
    <w:rsid w:val="00DF361F"/>
    <w:rsid w:val="00DF6906"/>
    <w:rsid w:val="00E026D3"/>
    <w:rsid w:val="00E02B97"/>
    <w:rsid w:val="00E0463E"/>
    <w:rsid w:val="00E05A94"/>
    <w:rsid w:val="00E15194"/>
    <w:rsid w:val="00E1676B"/>
    <w:rsid w:val="00E21CCB"/>
    <w:rsid w:val="00E2264D"/>
    <w:rsid w:val="00E22CB9"/>
    <w:rsid w:val="00E22E1F"/>
    <w:rsid w:val="00E238D1"/>
    <w:rsid w:val="00E258A8"/>
    <w:rsid w:val="00E33DBE"/>
    <w:rsid w:val="00E45A9D"/>
    <w:rsid w:val="00E54EC0"/>
    <w:rsid w:val="00E56C24"/>
    <w:rsid w:val="00E619CB"/>
    <w:rsid w:val="00E643C8"/>
    <w:rsid w:val="00E6644C"/>
    <w:rsid w:val="00E71654"/>
    <w:rsid w:val="00E71F36"/>
    <w:rsid w:val="00E73733"/>
    <w:rsid w:val="00E7664E"/>
    <w:rsid w:val="00E77723"/>
    <w:rsid w:val="00E81DEB"/>
    <w:rsid w:val="00E847A1"/>
    <w:rsid w:val="00E90231"/>
    <w:rsid w:val="00E91674"/>
    <w:rsid w:val="00E91733"/>
    <w:rsid w:val="00E919B5"/>
    <w:rsid w:val="00E94738"/>
    <w:rsid w:val="00EA1821"/>
    <w:rsid w:val="00EA31E3"/>
    <w:rsid w:val="00EA5ACA"/>
    <w:rsid w:val="00EA66A5"/>
    <w:rsid w:val="00EB2C33"/>
    <w:rsid w:val="00EB342A"/>
    <w:rsid w:val="00EB6306"/>
    <w:rsid w:val="00EB7879"/>
    <w:rsid w:val="00EB7FF7"/>
    <w:rsid w:val="00EC026C"/>
    <w:rsid w:val="00EC2C72"/>
    <w:rsid w:val="00EC35B2"/>
    <w:rsid w:val="00ED1186"/>
    <w:rsid w:val="00ED2C79"/>
    <w:rsid w:val="00ED3C5C"/>
    <w:rsid w:val="00ED643D"/>
    <w:rsid w:val="00EE3378"/>
    <w:rsid w:val="00EE4D5B"/>
    <w:rsid w:val="00EF1666"/>
    <w:rsid w:val="00EF16CB"/>
    <w:rsid w:val="00EF2E4E"/>
    <w:rsid w:val="00EF3843"/>
    <w:rsid w:val="00EF73EC"/>
    <w:rsid w:val="00F00791"/>
    <w:rsid w:val="00F0101C"/>
    <w:rsid w:val="00F01041"/>
    <w:rsid w:val="00F02F87"/>
    <w:rsid w:val="00F035FA"/>
    <w:rsid w:val="00F04488"/>
    <w:rsid w:val="00F058BF"/>
    <w:rsid w:val="00F06B2D"/>
    <w:rsid w:val="00F10399"/>
    <w:rsid w:val="00F105E1"/>
    <w:rsid w:val="00F16884"/>
    <w:rsid w:val="00F2449B"/>
    <w:rsid w:val="00F24B18"/>
    <w:rsid w:val="00F259EB"/>
    <w:rsid w:val="00F404C5"/>
    <w:rsid w:val="00F40CD2"/>
    <w:rsid w:val="00F415CF"/>
    <w:rsid w:val="00F47117"/>
    <w:rsid w:val="00F479D0"/>
    <w:rsid w:val="00F612D8"/>
    <w:rsid w:val="00F61DE4"/>
    <w:rsid w:val="00F66931"/>
    <w:rsid w:val="00F73637"/>
    <w:rsid w:val="00F73863"/>
    <w:rsid w:val="00F76A33"/>
    <w:rsid w:val="00F81D37"/>
    <w:rsid w:val="00F833ED"/>
    <w:rsid w:val="00F83BBF"/>
    <w:rsid w:val="00F84B90"/>
    <w:rsid w:val="00F8518F"/>
    <w:rsid w:val="00F91A26"/>
    <w:rsid w:val="00F91CAC"/>
    <w:rsid w:val="00F92EB8"/>
    <w:rsid w:val="00F93D11"/>
    <w:rsid w:val="00F942FC"/>
    <w:rsid w:val="00F957C4"/>
    <w:rsid w:val="00F97646"/>
    <w:rsid w:val="00FA06D9"/>
    <w:rsid w:val="00FA1D22"/>
    <w:rsid w:val="00FA1EF0"/>
    <w:rsid w:val="00FA39A4"/>
    <w:rsid w:val="00FA3DB4"/>
    <w:rsid w:val="00FA626C"/>
    <w:rsid w:val="00FA767F"/>
    <w:rsid w:val="00FB1850"/>
    <w:rsid w:val="00FB3DD0"/>
    <w:rsid w:val="00FB4A11"/>
    <w:rsid w:val="00FB6F47"/>
    <w:rsid w:val="00FC1568"/>
    <w:rsid w:val="00FC248A"/>
    <w:rsid w:val="00FD02C2"/>
    <w:rsid w:val="00FD3045"/>
    <w:rsid w:val="00FD316F"/>
    <w:rsid w:val="00FD4765"/>
    <w:rsid w:val="00FD7A50"/>
    <w:rsid w:val="00FE01E7"/>
    <w:rsid w:val="00FE0A3A"/>
    <w:rsid w:val="00FE6189"/>
    <w:rsid w:val="00FE69E6"/>
    <w:rsid w:val="00FE738F"/>
    <w:rsid w:val="00FF21F0"/>
    <w:rsid w:val="00FF780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54519D77"/>
  <w15:docId w15:val="{4B16DD49-03BD-4C85-8E60-081725172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200" w:line="276" w:lineRule="auto"/>
    </w:pPr>
    <w:rPr>
      <w:rFonts w:ascii="Calibri" w:eastAsia="SimSun" w:hAnsi="Calibri" w:cs="Arial"/>
      <w:sz w:val="22"/>
      <w:szCs w:val="22"/>
    </w:rPr>
  </w:style>
  <w:style w:type="paragraph" w:styleId="Heading1">
    <w:name w:val="heading 1"/>
    <w:basedOn w:val="Normal"/>
    <w:next w:val="Normal"/>
    <w:qFormat/>
    <w:rsid w:val="009D36B0"/>
    <w:pPr>
      <w:keepNext/>
      <w:keepLines/>
      <w:tabs>
        <w:tab w:val="right" w:pos="851"/>
      </w:tabs>
      <w:spacing w:before="360" w:after="240" w:line="300" w:lineRule="exact"/>
      <w:jc w:val="center"/>
      <w:outlineLvl w:val="0"/>
    </w:pPr>
    <w:rPr>
      <w:rFonts w:ascii="Times New Roman" w:eastAsia="Times New Roman" w:hAnsi="Times New Roman" w:cs="Times New Roman"/>
      <w:b/>
      <w:sz w:val="28"/>
      <w:szCs w:val="20"/>
    </w:rPr>
  </w:style>
  <w:style w:type="paragraph" w:styleId="Heading2">
    <w:name w:val="heading 2"/>
    <w:basedOn w:val="Normal"/>
    <w:next w:val="Normal"/>
    <w:uiPriority w:val="9"/>
    <w:qFormat/>
    <w:rsid w:val="009D36B0"/>
    <w:pPr>
      <w:keepNext/>
      <w:keepLines/>
      <w:numPr>
        <w:ilvl w:val="1"/>
        <w:numId w:val="1"/>
      </w:numPr>
      <w:tabs>
        <w:tab w:val="clear" w:pos="0"/>
      </w:tabs>
      <w:spacing w:before="360" w:after="240" w:line="300" w:lineRule="exact"/>
      <w:ind w:left="567" w:hanging="283"/>
      <w:outlineLvl w:val="1"/>
    </w:pPr>
    <w:rPr>
      <w:rFonts w:ascii="Times New Roman" w:eastAsia="Times New Roman" w:hAnsi="Times New Roman" w:cs="Times New Roman"/>
      <w:b/>
      <w:sz w:val="28"/>
      <w:szCs w:val="20"/>
    </w:rPr>
  </w:style>
  <w:style w:type="paragraph" w:styleId="Heading3">
    <w:name w:val="heading 3"/>
    <w:basedOn w:val="Heading2"/>
    <w:next w:val="Normal"/>
    <w:qFormat/>
    <w:rsid w:val="009D36B0"/>
    <w:pPr>
      <w:numPr>
        <w:ilvl w:val="2"/>
      </w:numPr>
      <w:tabs>
        <w:tab w:val="clear" w:pos="2268"/>
      </w:tabs>
      <w:ind w:left="567"/>
      <w:outlineLvl w:val="2"/>
    </w:pPr>
    <w:rPr>
      <w:sz w:val="24"/>
      <w:szCs w:val="24"/>
    </w:rPr>
  </w:style>
  <w:style w:type="paragraph" w:styleId="Heading4">
    <w:name w:val="heading 4"/>
    <w:basedOn w:val="Normal"/>
    <w:next w:val="Normal"/>
    <w:qFormat/>
    <w:pPr>
      <w:spacing w:after="120" w:line="240" w:lineRule="atLeast"/>
      <w:ind w:left="1134" w:right="1134"/>
      <w:jc w:val="both"/>
      <w:outlineLvl w:val="3"/>
    </w:pPr>
    <w:rPr>
      <w:rFonts w:ascii="Times New Roman" w:eastAsia="Times New Roman" w:hAnsi="Times New Roman" w:cs="Times New Roman"/>
      <w:b/>
      <w:i/>
      <w:sz w:val="20"/>
      <w:szCs w:val="20"/>
    </w:rPr>
  </w:style>
  <w:style w:type="paragraph" w:styleId="Heading5">
    <w:name w:val="heading 5"/>
    <w:basedOn w:val="ListParagraph"/>
    <w:next w:val="Normal"/>
    <w:qFormat/>
    <w:pPr>
      <w:spacing w:after="120" w:line="240" w:lineRule="atLeast"/>
      <w:ind w:left="1134" w:right="1134"/>
      <w:jc w:val="both"/>
      <w:outlineLvl w:val="4"/>
    </w:pPr>
    <w:rPr>
      <w:rFonts w:ascii="Times New Roman" w:eastAsia="Times New Roman" w:hAnsi="Times New Roman" w:cs="Times New Roman"/>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hint="default"/>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hint="default"/>
      <w:sz w:val="20"/>
      <w:szCs w:val="20"/>
    </w:rPr>
  </w:style>
  <w:style w:type="character" w:customStyle="1" w:styleId="WW8Num3z0">
    <w:name w:val="WW8Num3z0"/>
    <w:rPr>
      <w:rFonts w:ascii="Times New Roman" w:eastAsia="Times New Roman" w:hAnsi="Times New Roman" w:cs="Times New Roman"/>
      <w:b/>
      <w:i w:val="0"/>
      <w:color w:val="auto"/>
      <w:sz w:val="20"/>
      <w:szCs w:val="20"/>
      <w:lang w:val="en-GB"/>
    </w:rPr>
  </w:style>
  <w:style w:type="character" w:customStyle="1" w:styleId="WW8Num4z0">
    <w:name w:val="WW8Num4z0"/>
    <w:rPr>
      <w:rFonts w:hint="default"/>
    </w:rPr>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1z1">
    <w:name w:val="WW8Num1z1"/>
    <w:rPr>
      <w:sz w:val="20"/>
      <w:szCs w:val="20"/>
    </w:rPr>
  </w:style>
  <w:style w:type="character" w:customStyle="1" w:styleId="WW8Num1z2">
    <w:name w:val="WW8Num1z2"/>
  </w:style>
  <w:style w:type="character" w:customStyle="1" w:styleId="WW8Num2z1">
    <w:name w:val="WW8Num2z1"/>
    <w:rPr>
      <w:sz w:val="20"/>
      <w:szCs w:val="20"/>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5z1">
    <w:name w:val="WW8Num5z1"/>
  </w:style>
  <w:style w:type="character" w:customStyle="1" w:styleId="WW8Num5z2">
    <w:name w:val="WW8Num5z2"/>
  </w:style>
  <w:style w:type="character" w:customStyle="1" w:styleId="WW8Num6z1">
    <w:name w:val="WW8Num6z1"/>
  </w:style>
  <w:style w:type="character" w:customStyle="1" w:styleId="WW8Num6z2">
    <w:name w:val="WW8Num6z2"/>
  </w:style>
  <w:style w:type="character" w:customStyle="1" w:styleId="WW8Num7z0">
    <w:name w:val="WW8Num7z0"/>
    <w:rPr>
      <w:color w:val="auto"/>
      <w:lang w:val="en-US"/>
    </w:rPr>
  </w:style>
  <w:style w:type="character" w:customStyle="1" w:styleId="WW8Num7z1">
    <w:name w:val="WW8Num7z1"/>
    <w:rPr>
      <w:sz w:val="20"/>
      <w:szCs w:val="20"/>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i w:val="0"/>
      <w:color w:val="auto"/>
      <w:lang w:val="en-GB"/>
    </w:rPr>
  </w:style>
  <w:style w:type="character" w:customStyle="1" w:styleId="WW8Num9z1">
    <w:name w:val="WW8Num9z1"/>
    <w:rPr>
      <w:sz w:val="20"/>
      <w:szCs w:val="20"/>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i w:val="0"/>
      <w:color w:val="auto"/>
      <w:lang w:val="en-GB"/>
    </w:rPr>
  </w:style>
  <w:style w:type="character" w:customStyle="1" w:styleId="WW8Num10z1">
    <w:name w:val="WW8Num10z1"/>
    <w:rPr>
      <w:sz w:val="20"/>
      <w:szCs w:val="20"/>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color w:val="auto"/>
      <w:lang w:val="en-US"/>
    </w:rPr>
  </w:style>
  <w:style w:type="character" w:customStyle="1" w:styleId="WW8Num12z1">
    <w:name w:val="WW8Num12z1"/>
    <w:rPr>
      <w:sz w:val="20"/>
      <w:szCs w:val="20"/>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color w:val="auto"/>
      <w:lang w:val="en-US"/>
    </w:rPr>
  </w:style>
  <w:style w:type="character" w:customStyle="1" w:styleId="WW8Num13z1">
    <w:name w:val="WW8Num13z1"/>
    <w:rPr>
      <w:rFonts w:hint="default"/>
      <w:sz w:val="20"/>
      <w:szCs w:val="20"/>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sz w:val="20"/>
      <w:szCs w:val="20"/>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Times New Roman" w:eastAsia="Times New Roman" w:hAnsi="Times New Roman" w:cs="Times New Roman"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7z3">
    <w:name w:val="WW8Num17z3"/>
    <w:rPr>
      <w:rFonts w:ascii="Symbol" w:hAnsi="Symbol" w:cs="Symbol" w:hint="default"/>
    </w:rPr>
  </w:style>
  <w:style w:type="character" w:customStyle="1" w:styleId="WW8Num18z0">
    <w:name w:val="WW8Num18z0"/>
    <w:rPr>
      <w:color w:val="auto"/>
      <w:lang w:val="en-US"/>
    </w:rPr>
  </w:style>
  <w:style w:type="character" w:customStyle="1" w:styleId="WW8Num18z1">
    <w:name w:val="WW8Num18z1"/>
    <w:rPr>
      <w:sz w:val="20"/>
      <w:szCs w:val="20"/>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Times New Roman" w:eastAsia="Calibri" w:hAnsi="Times New Roman" w:cs="Times New Roman" w:hint="default"/>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0z3">
    <w:name w:val="WW8Num20z3"/>
    <w:rPr>
      <w:rFonts w:ascii="Symbol" w:hAnsi="Symbol" w:cs="Symbol" w:hint="default"/>
    </w:rPr>
  </w:style>
  <w:style w:type="character" w:customStyle="1" w:styleId="WW8Num21z0">
    <w:name w:val="WW8Num21z0"/>
    <w:rPr>
      <w:color w:val="auto"/>
      <w:lang w:val="en-US"/>
    </w:rPr>
  </w:style>
  <w:style w:type="character" w:customStyle="1" w:styleId="WW8Num21z1">
    <w:name w:val="WW8Num21z1"/>
    <w:rPr>
      <w:rFonts w:hint="default"/>
      <w:sz w:val="20"/>
      <w:szCs w:val="20"/>
    </w:rPr>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rPr>
  </w:style>
  <w:style w:type="character" w:customStyle="1" w:styleId="WW8Num22z3">
    <w:name w:val="WW8Num22z3"/>
    <w:rPr>
      <w:rFonts w:hint="default"/>
      <w:b w:val="0"/>
      <w:sz w:val="20"/>
    </w:rPr>
  </w:style>
  <w:style w:type="character" w:customStyle="1" w:styleId="WW8Num23z0">
    <w:name w:val="WW8Num23z0"/>
    <w:rPr>
      <w:color w:val="auto"/>
      <w:lang w:val="en-US"/>
    </w:rPr>
  </w:style>
  <w:style w:type="character" w:customStyle="1" w:styleId="WW8Num23z1">
    <w:name w:val="WW8Num23z1"/>
    <w:rPr>
      <w:rFonts w:hint="default"/>
      <w:sz w:val="20"/>
      <w:szCs w:val="20"/>
    </w:rPr>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hint="default"/>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color w:val="auto"/>
      <w:lang w:val="en-US"/>
    </w:rPr>
  </w:style>
  <w:style w:type="character" w:customStyle="1" w:styleId="WW8Num25z1">
    <w:name w:val="WW8Num25z1"/>
    <w:rPr>
      <w:sz w:val="20"/>
      <w:szCs w:val="20"/>
    </w:rPr>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Times New Roman" w:eastAsia="Times New Roman" w:hAnsi="Times New Roman" w:cs="Times New Roman" w:hint="default"/>
      <w:sz w:val="20"/>
      <w:szCs w:val="20"/>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color w:val="auto"/>
      <w:lang w:val="en-US"/>
    </w:rPr>
  </w:style>
  <w:style w:type="character" w:customStyle="1" w:styleId="WW8Num29z1">
    <w:name w:val="WW8Num29z1"/>
    <w:rPr>
      <w:rFonts w:hint="default"/>
      <w:sz w:val="20"/>
      <w:szCs w:val="20"/>
    </w:rPr>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Times New Roman" w:eastAsia="Times New Roman" w:hAnsi="Times New Roman" w:cs="Times New Roman"/>
      <w:i w:val="0"/>
      <w:color w:val="auto"/>
      <w:sz w:val="20"/>
      <w:szCs w:val="20"/>
      <w:lang w:val="en-GB"/>
    </w:rPr>
  </w:style>
  <w:style w:type="character" w:customStyle="1" w:styleId="WW8Num33z1">
    <w:name w:val="WW8Num33z1"/>
    <w:rPr>
      <w:sz w:val="20"/>
      <w:szCs w:val="20"/>
    </w:rPr>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sz w:val="20"/>
      <w:szCs w:val="20"/>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hint="default"/>
    </w:rPr>
  </w:style>
  <w:style w:type="character" w:customStyle="1" w:styleId="WW8Num37z2">
    <w:name w:val="WW8Num37z2"/>
    <w:rPr>
      <w:rFonts w:hint="default"/>
      <w:i w:val="0"/>
    </w:rPr>
  </w:style>
  <w:style w:type="character" w:customStyle="1" w:styleId="WW8Num38z0">
    <w:name w:val="WW8Num38z0"/>
    <w:rPr>
      <w:i w:val="0"/>
      <w:color w:val="auto"/>
      <w:lang w:val="en-GB"/>
    </w:rPr>
  </w:style>
  <w:style w:type="character" w:customStyle="1" w:styleId="WW8Num38z1">
    <w:name w:val="WW8Num38z1"/>
    <w:rPr>
      <w:sz w:val="20"/>
      <w:szCs w:val="20"/>
    </w:rPr>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i w:val="0"/>
      <w:color w:val="auto"/>
      <w:lang w:val="en-GB"/>
    </w:rPr>
  </w:style>
  <w:style w:type="character" w:customStyle="1" w:styleId="WW8Num40z1">
    <w:name w:val="WW8Num40z1"/>
    <w:rPr>
      <w:sz w:val="20"/>
      <w:szCs w:val="20"/>
    </w:rPr>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St10z0">
    <w:name w:val="WW8NumSt10z0"/>
    <w:rPr>
      <w:rFonts w:hint="default"/>
      <w:sz w:val="20"/>
      <w:szCs w:val="20"/>
    </w:rPr>
  </w:style>
  <w:style w:type="character" w:customStyle="1" w:styleId="WW-DefaultParagraphFont">
    <w:name w:val="WW-Default Paragraph Font"/>
  </w:style>
  <w:style w:type="character" w:customStyle="1" w:styleId="Heading2Char">
    <w:name w:val="Heading 2 Char"/>
    <w:uiPriority w:val="9"/>
    <w:rPr>
      <w:rFonts w:ascii="Times New Roman" w:eastAsia="Times New Roman" w:hAnsi="Times New Roman" w:cs="Times New Roman"/>
      <w:b/>
      <w:sz w:val="28"/>
    </w:rPr>
  </w:style>
  <w:style w:type="character" w:customStyle="1" w:styleId="FootnoteTextChar">
    <w:name w:val="Footnote Text Char"/>
    <w:aliases w:val="5_G Char"/>
    <w:link w:val="FootnoteText"/>
    <w:rsid w:val="000A2F6D"/>
    <w:rPr>
      <w:rFonts w:ascii="Calibri" w:eastAsia="SimSun" w:hAnsi="Calibri" w:cs="Arial"/>
    </w:rPr>
  </w:style>
  <w:style w:type="character" w:customStyle="1" w:styleId="FootnoteCharacters">
    <w:name w:val="Footnote Characters"/>
    <w:rPr>
      <w:rFonts w:ascii="Times New Roman" w:hAnsi="Times New Roman" w:cs="Times New Roman" w:hint="default"/>
      <w:sz w:val="18"/>
      <w:vertAlign w:val="superscript"/>
    </w:rPr>
  </w:style>
  <w:style w:type="character" w:customStyle="1" w:styleId="HeaderChar">
    <w:name w:val="Header Char"/>
    <w:uiPriority w:val="99"/>
    <w:rPr>
      <w:rFonts w:ascii="Times New Roman" w:hAnsi="Times New Roman" w:cs="Times New Roman"/>
      <w:sz w:val="22"/>
      <w:szCs w:val="22"/>
    </w:rPr>
  </w:style>
  <w:style w:type="character" w:customStyle="1" w:styleId="FooterChar">
    <w:name w:val="Footer Char"/>
    <w:link w:val="Footer"/>
    <w:uiPriority w:val="99"/>
    <w:rsid w:val="000A2F6D"/>
    <w:rPr>
      <w:rFonts w:ascii="Calibri" w:eastAsia="SimSun" w:hAnsi="Calibri" w:cs="Arial"/>
      <w:sz w:val="22"/>
      <w:szCs w:val="22"/>
    </w:rPr>
  </w:style>
  <w:style w:type="character" w:customStyle="1" w:styleId="BalloonTextChar">
    <w:name w:val="Balloon Text Char"/>
    <w:uiPriority w:val="99"/>
    <w:rPr>
      <w:rFonts w:ascii="Tahoma" w:eastAsia="SimSun" w:hAnsi="Tahoma" w:cs="Tahoma"/>
      <w:sz w:val="16"/>
      <w:szCs w:val="16"/>
    </w:rPr>
  </w:style>
  <w:style w:type="character" w:styleId="CommentReference">
    <w:name w:val="annotation reference"/>
    <w:uiPriority w:val="99"/>
    <w:rPr>
      <w:sz w:val="16"/>
      <w:szCs w:val="16"/>
    </w:rPr>
  </w:style>
  <w:style w:type="character" w:customStyle="1" w:styleId="CommentTextChar">
    <w:name w:val="Comment Text Char"/>
    <w:link w:val="CommentText"/>
    <w:uiPriority w:val="99"/>
    <w:rsid w:val="000A2F6D"/>
    <w:rPr>
      <w:rFonts w:ascii="Calibri" w:eastAsia="SimSun" w:hAnsi="Calibri" w:cs="Arial"/>
    </w:rPr>
  </w:style>
  <w:style w:type="character" w:customStyle="1" w:styleId="CommentSubjectChar">
    <w:name w:val="Comment Subject Char"/>
    <w:link w:val="CommentSubject"/>
    <w:uiPriority w:val="99"/>
    <w:rsid w:val="000A2F6D"/>
    <w:rPr>
      <w:rFonts w:eastAsia="SimSun"/>
      <w:b/>
      <w:bCs/>
      <w:sz w:val="20"/>
      <w:szCs w:val="20"/>
    </w:rPr>
  </w:style>
  <w:style w:type="character" w:customStyle="1" w:styleId="a">
    <w:name w:val="Основной текст_"/>
    <w:rPr>
      <w:rFonts w:ascii="Times New Roman" w:hAnsi="Times New Roman" w:cs="Times New Roman"/>
      <w:sz w:val="8"/>
      <w:szCs w:val="8"/>
      <w:shd w:val="clear" w:color="auto" w:fill="FFFFFF"/>
    </w:rPr>
  </w:style>
  <w:style w:type="character" w:styleId="Hyperlink">
    <w:name w:val="Hyperlink"/>
    <w:rPr>
      <w:rFonts w:ascii="Times New Roman" w:hAnsi="Times New Roman" w:cs="Times New Roman" w:hint="default"/>
      <w:color w:val="333399"/>
      <w:u w:val="single"/>
    </w:rPr>
  </w:style>
  <w:style w:type="character" w:customStyle="1" w:styleId="s0">
    <w:name w:val="s0"/>
    <w:rPr>
      <w:rFonts w:ascii="Times New Roman" w:hAnsi="Times New Roman" w:cs="Times New Roman" w:hint="default"/>
      <w:b w:val="0"/>
      <w:bCs w:val="0"/>
      <w:i w:val="0"/>
      <w:iCs w:val="0"/>
      <w:color w:val="000000"/>
    </w:rPr>
  </w:style>
  <w:style w:type="character" w:styleId="PageNumber">
    <w:name w:val="page number"/>
    <w:basedOn w:val="WW-DefaultParagraphFont"/>
    <w:uiPriority w:val="99"/>
  </w:style>
  <w:style w:type="character" w:customStyle="1" w:styleId="Heading1Char">
    <w:name w:val="Heading 1 Char"/>
    <w:rPr>
      <w:rFonts w:ascii="Times New Roman" w:eastAsia="Times New Roman" w:hAnsi="Times New Roman" w:cs="Times New Roman"/>
      <w:b/>
      <w:sz w:val="28"/>
    </w:rPr>
  </w:style>
  <w:style w:type="character" w:customStyle="1" w:styleId="Heading3Char">
    <w:name w:val="Heading 3 Char"/>
    <w:rPr>
      <w:rFonts w:ascii="Times New Roman" w:eastAsia="Times New Roman" w:hAnsi="Times New Roman" w:cs="Times New Roman"/>
      <w:b/>
      <w:sz w:val="24"/>
      <w:szCs w:val="24"/>
    </w:rPr>
  </w:style>
  <w:style w:type="character" w:customStyle="1" w:styleId="Heading4Char">
    <w:name w:val="Heading 4 Char"/>
    <w:rPr>
      <w:rFonts w:ascii="Times New Roman" w:eastAsia="Times New Roman" w:hAnsi="Times New Roman" w:cs="Times New Roman"/>
      <w:b/>
      <w:i/>
    </w:rPr>
  </w:style>
  <w:style w:type="character" w:customStyle="1" w:styleId="Heading5Char">
    <w:name w:val="Heading 5 Char"/>
    <w:rPr>
      <w:rFonts w:ascii="Times New Roman" w:eastAsia="Times New Roman" w:hAnsi="Times New Roman" w:cs="Times New Roman"/>
      <w:i/>
    </w:rPr>
  </w:style>
  <w:style w:type="character" w:customStyle="1" w:styleId="column">
    <w:name w:val="column"/>
  </w:style>
  <w:style w:type="character" w:styleId="FootnoteReference">
    <w:name w:val="footnote reference"/>
    <w:aliases w:val="4_G"/>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EndnoteReference">
    <w:name w:val="endnote reference"/>
    <w:rPr>
      <w:vertAlign w:val="superscript"/>
    </w:rPr>
  </w:style>
  <w:style w:type="paragraph" w:customStyle="1" w:styleId="Heading">
    <w:name w:val="Heading"/>
    <w:basedOn w:val="Normal"/>
    <w:next w:val="BodyTex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 w:type="paragraph" w:styleId="ListParagraph">
    <w:name w:val="List Paragraph"/>
    <w:basedOn w:val="Normal"/>
    <w:uiPriority w:val="34"/>
    <w:qFormat/>
    <w:pPr>
      <w:ind w:left="720"/>
      <w:contextualSpacing/>
    </w:pPr>
  </w:style>
  <w:style w:type="paragraph" w:styleId="FootnoteText">
    <w:name w:val="footnote text"/>
    <w:aliases w:val="5_G"/>
    <w:basedOn w:val="Normal"/>
    <w:link w:val="FootnoteTextChar"/>
    <w:rsid w:val="000A2F6D"/>
    <w:pPr>
      <w:spacing w:after="0" w:line="240" w:lineRule="auto"/>
    </w:pPr>
    <w:rPr>
      <w:sz w:val="20"/>
      <w:szCs w:val="20"/>
    </w:rPr>
  </w:style>
  <w:style w:type="paragraph" w:styleId="Header">
    <w:name w:val="header"/>
    <w:basedOn w:val="Normal"/>
    <w:uiPriority w:val="99"/>
    <w:pPr>
      <w:tabs>
        <w:tab w:val="center" w:pos="4513"/>
        <w:tab w:val="right" w:pos="9026"/>
      </w:tabs>
      <w:spacing w:after="0" w:line="240" w:lineRule="auto"/>
    </w:pPr>
    <w:rPr>
      <w:rFonts w:ascii="Times New Roman" w:eastAsia="Calibri" w:hAnsi="Times New Roman" w:cs="Times New Roman"/>
    </w:rPr>
  </w:style>
  <w:style w:type="paragraph" w:styleId="Footer">
    <w:name w:val="footer"/>
    <w:basedOn w:val="Normal"/>
    <w:link w:val="FooterChar"/>
    <w:uiPriority w:val="99"/>
    <w:rsid w:val="000A2F6D"/>
    <w:pPr>
      <w:spacing w:after="0" w:line="240" w:lineRule="auto"/>
    </w:pPr>
  </w:style>
  <w:style w:type="paragraph" w:styleId="BalloonText">
    <w:name w:val="Balloon Text"/>
    <w:basedOn w:val="Normal"/>
    <w:uiPriority w:val="99"/>
    <w:pPr>
      <w:spacing w:after="0" w:line="240" w:lineRule="auto"/>
    </w:pPr>
    <w:rPr>
      <w:rFonts w:ascii="Tahoma" w:hAnsi="Tahoma" w:cs="Tahoma"/>
      <w:sz w:val="16"/>
      <w:szCs w:val="16"/>
    </w:rPr>
  </w:style>
  <w:style w:type="paragraph" w:styleId="CommentText">
    <w:name w:val="annotation text"/>
    <w:basedOn w:val="Normal"/>
    <w:link w:val="CommentTextChar"/>
    <w:uiPriority w:val="99"/>
    <w:rsid w:val="000A2F6D"/>
    <w:pPr>
      <w:spacing w:line="240" w:lineRule="auto"/>
    </w:pPr>
    <w:rPr>
      <w:sz w:val="20"/>
      <w:szCs w:val="20"/>
    </w:rPr>
  </w:style>
  <w:style w:type="paragraph" w:styleId="CommentSubject">
    <w:name w:val="annotation subject"/>
    <w:basedOn w:val="CommentText"/>
    <w:next w:val="CommentText"/>
    <w:link w:val="CommentSubjectChar"/>
    <w:uiPriority w:val="99"/>
    <w:rPr>
      <w:rFonts w:ascii="Times New Roman" w:hAnsi="Times New Roman" w:cs="Times New Roman"/>
      <w:b/>
      <w:bCs/>
    </w:rPr>
  </w:style>
  <w:style w:type="paragraph" w:customStyle="1" w:styleId="Default">
    <w:name w:val="Default"/>
    <w:pPr>
      <w:suppressAutoHyphens/>
      <w:autoSpaceDE w:val="0"/>
    </w:pPr>
    <w:rPr>
      <w:rFonts w:ascii="Arial" w:eastAsia="SimSun" w:hAnsi="Arial" w:cs="Arial"/>
      <w:color w:val="000000"/>
      <w:sz w:val="24"/>
      <w:szCs w:val="24"/>
    </w:rPr>
  </w:style>
  <w:style w:type="paragraph" w:styleId="Revision">
    <w:name w:val="Revision"/>
    <w:uiPriority w:val="99"/>
    <w:pPr>
      <w:suppressAutoHyphens/>
    </w:pPr>
    <w:rPr>
      <w:rFonts w:ascii="Calibri" w:eastAsia="SimSun" w:hAnsi="Calibri" w:cs="Arial"/>
      <w:sz w:val="22"/>
      <w:szCs w:val="22"/>
    </w:rPr>
  </w:style>
  <w:style w:type="paragraph" w:customStyle="1" w:styleId="3">
    <w:name w:val="Основной текст3"/>
    <w:basedOn w:val="Normal"/>
    <w:pPr>
      <w:widowControl w:val="0"/>
      <w:shd w:val="clear" w:color="auto" w:fill="FFFFFF"/>
      <w:spacing w:after="0" w:line="107" w:lineRule="exact"/>
    </w:pPr>
    <w:rPr>
      <w:rFonts w:ascii="Times New Roman" w:eastAsia="Calibri" w:hAnsi="Times New Roman" w:cs="Times New Roman"/>
      <w:sz w:val="8"/>
      <w:szCs w:val="8"/>
    </w:rPr>
  </w:style>
  <w:style w:type="paragraph" w:customStyle="1" w:styleId="FrameContents">
    <w:name w:val="Frame Contents"/>
    <w:basedOn w:val="Normal"/>
  </w:style>
  <w:style w:type="paragraph" w:styleId="NormalWeb">
    <w:name w:val="Normal (Web)"/>
    <w:basedOn w:val="Normal"/>
    <w:uiPriority w:val="99"/>
    <w:unhideWhenUsed/>
    <w:rsid w:val="002372CA"/>
    <w:pPr>
      <w:suppressAutoHyphens w:val="0"/>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change">
    <w:name w:val="change"/>
    <w:rsid w:val="002372CA"/>
  </w:style>
  <w:style w:type="character" w:customStyle="1" w:styleId="commentary-reference">
    <w:name w:val="commentary-reference"/>
    <w:rsid w:val="002372CA"/>
  </w:style>
  <w:style w:type="character" w:customStyle="1" w:styleId="markup">
    <w:name w:val="markup"/>
    <w:rsid w:val="002372CA"/>
  </w:style>
  <w:style w:type="table" w:styleId="TableGrid">
    <w:name w:val="Table Grid"/>
    <w:basedOn w:val="TableNormal"/>
    <w:uiPriority w:val="59"/>
    <w:rsid w:val="000A2F6D"/>
    <w:rPr>
      <w:rFonts w:asciiTheme="minorHAnsi" w:hAnsiTheme="minorHAnsi" w:cstheme="minorBidi"/>
      <w:sz w:val="22"/>
      <w:szCs w:val="22"/>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099995">
      <w:bodyDiv w:val="1"/>
      <w:marLeft w:val="0"/>
      <w:marRight w:val="0"/>
      <w:marTop w:val="0"/>
      <w:marBottom w:val="0"/>
      <w:divBdr>
        <w:top w:val="none" w:sz="0" w:space="0" w:color="auto"/>
        <w:left w:val="none" w:sz="0" w:space="0" w:color="auto"/>
        <w:bottom w:val="none" w:sz="0" w:space="0" w:color="auto"/>
        <w:right w:val="none" w:sz="0" w:space="0" w:color="auto"/>
      </w:divBdr>
    </w:div>
    <w:div w:id="1142648963">
      <w:bodyDiv w:val="1"/>
      <w:marLeft w:val="0"/>
      <w:marRight w:val="0"/>
      <w:marTop w:val="0"/>
      <w:marBottom w:val="0"/>
      <w:divBdr>
        <w:top w:val="none" w:sz="0" w:space="0" w:color="auto"/>
        <w:left w:val="none" w:sz="0" w:space="0" w:color="auto"/>
        <w:bottom w:val="none" w:sz="0" w:space="0" w:color="auto"/>
        <w:right w:val="none" w:sz="0" w:space="0" w:color="auto"/>
      </w:divBdr>
      <w:divsChild>
        <w:div w:id="1242525464">
          <w:marLeft w:val="0"/>
          <w:marRight w:val="0"/>
          <w:marTop w:val="0"/>
          <w:marBottom w:val="0"/>
          <w:divBdr>
            <w:top w:val="none" w:sz="0" w:space="0" w:color="auto"/>
            <w:left w:val="none" w:sz="0" w:space="0" w:color="auto"/>
            <w:bottom w:val="none" w:sz="0" w:space="0" w:color="auto"/>
            <w:right w:val="none" w:sz="0" w:space="0" w:color="auto"/>
          </w:divBdr>
        </w:div>
        <w:div w:id="463929920">
          <w:marLeft w:val="0"/>
          <w:marRight w:val="0"/>
          <w:marTop w:val="0"/>
          <w:marBottom w:val="0"/>
          <w:divBdr>
            <w:top w:val="none" w:sz="0" w:space="0" w:color="auto"/>
            <w:left w:val="none" w:sz="0" w:space="0" w:color="auto"/>
            <w:bottom w:val="none" w:sz="0" w:space="0" w:color="auto"/>
            <w:right w:val="none" w:sz="0" w:space="0" w:color="auto"/>
          </w:divBdr>
        </w:div>
        <w:div w:id="1593932750">
          <w:marLeft w:val="0"/>
          <w:marRight w:val="0"/>
          <w:marTop w:val="0"/>
          <w:marBottom w:val="0"/>
          <w:divBdr>
            <w:top w:val="none" w:sz="0" w:space="0" w:color="auto"/>
            <w:left w:val="none" w:sz="0" w:space="0" w:color="auto"/>
            <w:bottom w:val="none" w:sz="0" w:space="0" w:color="auto"/>
            <w:right w:val="none" w:sz="0" w:space="0" w:color="auto"/>
          </w:divBdr>
        </w:div>
        <w:div w:id="1029456862">
          <w:marLeft w:val="0"/>
          <w:marRight w:val="0"/>
          <w:marTop w:val="0"/>
          <w:marBottom w:val="0"/>
          <w:divBdr>
            <w:top w:val="none" w:sz="0" w:space="0" w:color="auto"/>
            <w:left w:val="none" w:sz="0" w:space="0" w:color="auto"/>
            <w:bottom w:val="none" w:sz="0" w:space="0" w:color="auto"/>
            <w:right w:val="none" w:sz="0" w:space="0" w:color="auto"/>
          </w:divBdr>
        </w:div>
        <w:div w:id="740368434">
          <w:marLeft w:val="0"/>
          <w:marRight w:val="0"/>
          <w:marTop w:val="0"/>
          <w:marBottom w:val="0"/>
          <w:divBdr>
            <w:top w:val="none" w:sz="0" w:space="0" w:color="auto"/>
            <w:left w:val="none" w:sz="0" w:space="0" w:color="auto"/>
            <w:bottom w:val="none" w:sz="0" w:space="0" w:color="auto"/>
            <w:right w:val="none" w:sz="0" w:space="0" w:color="auto"/>
          </w:divBdr>
        </w:div>
        <w:div w:id="792139445">
          <w:marLeft w:val="0"/>
          <w:marRight w:val="0"/>
          <w:marTop w:val="0"/>
          <w:marBottom w:val="0"/>
          <w:divBdr>
            <w:top w:val="none" w:sz="0" w:space="0" w:color="auto"/>
            <w:left w:val="none" w:sz="0" w:space="0" w:color="auto"/>
            <w:bottom w:val="none" w:sz="0" w:space="0" w:color="auto"/>
            <w:right w:val="none" w:sz="0" w:space="0" w:color="auto"/>
          </w:divBdr>
        </w:div>
        <w:div w:id="705763895">
          <w:marLeft w:val="0"/>
          <w:marRight w:val="0"/>
          <w:marTop w:val="0"/>
          <w:marBottom w:val="0"/>
          <w:divBdr>
            <w:top w:val="none" w:sz="0" w:space="0" w:color="auto"/>
            <w:left w:val="none" w:sz="0" w:space="0" w:color="auto"/>
            <w:bottom w:val="none" w:sz="0" w:space="0" w:color="auto"/>
            <w:right w:val="none" w:sz="0" w:space="0" w:color="auto"/>
          </w:divBdr>
        </w:div>
        <w:div w:id="1074855967">
          <w:marLeft w:val="0"/>
          <w:marRight w:val="0"/>
          <w:marTop w:val="0"/>
          <w:marBottom w:val="0"/>
          <w:divBdr>
            <w:top w:val="none" w:sz="0" w:space="0" w:color="auto"/>
            <w:left w:val="none" w:sz="0" w:space="0" w:color="auto"/>
            <w:bottom w:val="none" w:sz="0" w:space="0" w:color="auto"/>
            <w:right w:val="none" w:sz="0" w:space="0" w:color="auto"/>
          </w:divBdr>
        </w:div>
        <w:div w:id="587739528">
          <w:marLeft w:val="0"/>
          <w:marRight w:val="0"/>
          <w:marTop w:val="0"/>
          <w:marBottom w:val="0"/>
          <w:divBdr>
            <w:top w:val="none" w:sz="0" w:space="0" w:color="auto"/>
            <w:left w:val="none" w:sz="0" w:space="0" w:color="auto"/>
            <w:bottom w:val="none" w:sz="0" w:space="0" w:color="auto"/>
            <w:right w:val="none" w:sz="0" w:space="0" w:color="auto"/>
          </w:divBdr>
        </w:div>
        <w:div w:id="1421104401">
          <w:marLeft w:val="0"/>
          <w:marRight w:val="0"/>
          <w:marTop w:val="0"/>
          <w:marBottom w:val="0"/>
          <w:divBdr>
            <w:top w:val="none" w:sz="0" w:space="0" w:color="auto"/>
            <w:left w:val="none" w:sz="0" w:space="0" w:color="auto"/>
            <w:bottom w:val="none" w:sz="0" w:space="0" w:color="auto"/>
            <w:right w:val="none" w:sz="0" w:space="0" w:color="auto"/>
          </w:divBdr>
        </w:div>
        <w:div w:id="215089394">
          <w:marLeft w:val="0"/>
          <w:marRight w:val="0"/>
          <w:marTop w:val="0"/>
          <w:marBottom w:val="0"/>
          <w:divBdr>
            <w:top w:val="none" w:sz="0" w:space="0" w:color="auto"/>
            <w:left w:val="none" w:sz="0" w:space="0" w:color="auto"/>
            <w:bottom w:val="none" w:sz="0" w:space="0" w:color="auto"/>
            <w:right w:val="none" w:sz="0" w:space="0" w:color="auto"/>
          </w:divBdr>
        </w:div>
        <w:div w:id="1062486929">
          <w:marLeft w:val="0"/>
          <w:marRight w:val="0"/>
          <w:marTop w:val="0"/>
          <w:marBottom w:val="0"/>
          <w:divBdr>
            <w:top w:val="none" w:sz="0" w:space="0" w:color="auto"/>
            <w:left w:val="none" w:sz="0" w:space="0" w:color="auto"/>
            <w:bottom w:val="none" w:sz="0" w:space="0" w:color="auto"/>
            <w:right w:val="none" w:sz="0" w:space="0" w:color="auto"/>
          </w:divBdr>
        </w:div>
        <w:div w:id="885069353">
          <w:marLeft w:val="0"/>
          <w:marRight w:val="0"/>
          <w:marTop w:val="0"/>
          <w:marBottom w:val="0"/>
          <w:divBdr>
            <w:top w:val="none" w:sz="0" w:space="0" w:color="auto"/>
            <w:left w:val="none" w:sz="0" w:space="0" w:color="auto"/>
            <w:bottom w:val="none" w:sz="0" w:space="0" w:color="auto"/>
            <w:right w:val="none" w:sz="0" w:space="0" w:color="auto"/>
          </w:divBdr>
        </w:div>
        <w:div w:id="561795838">
          <w:marLeft w:val="0"/>
          <w:marRight w:val="0"/>
          <w:marTop w:val="0"/>
          <w:marBottom w:val="0"/>
          <w:divBdr>
            <w:top w:val="none" w:sz="0" w:space="0" w:color="auto"/>
            <w:left w:val="none" w:sz="0" w:space="0" w:color="auto"/>
            <w:bottom w:val="none" w:sz="0" w:space="0" w:color="auto"/>
            <w:right w:val="none" w:sz="0" w:space="0" w:color="auto"/>
          </w:divBdr>
        </w:div>
        <w:div w:id="1813786732">
          <w:marLeft w:val="0"/>
          <w:marRight w:val="0"/>
          <w:marTop w:val="0"/>
          <w:marBottom w:val="0"/>
          <w:divBdr>
            <w:top w:val="none" w:sz="0" w:space="0" w:color="auto"/>
            <w:left w:val="none" w:sz="0" w:space="0" w:color="auto"/>
            <w:bottom w:val="none" w:sz="0" w:space="0" w:color="auto"/>
            <w:right w:val="none" w:sz="0" w:space="0" w:color="auto"/>
          </w:divBdr>
        </w:div>
        <w:div w:id="638191321">
          <w:marLeft w:val="0"/>
          <w:marRight w:val="0"/>
          <w:marTop w:val="0"/>
          <w:marBottom w:val="0"/>
          <w:divBdr>
            <w:top w:val="none" w:sz="0" w:space="0" w:color="auto"/>
            <w:left w:val="none" w:sz="0" w:space="0" w:color="auto"/>
            <w:bottom w:val="none" w:sz="0" w:space="0" w:color="auto"/>
            <w:right w:val="none" w:sz="0" w:space="0" w:color="auto"/>
          </w:divBdr>
        </w:div>
        <w:div w:id="1042443180">
          <w:marLeft w:val="0"/>
          <w:marRight w:val="0"/>
          <w:marTop w:val="0"/>
          <w:marBottom w:val="0"/>
          <w:divBdr>
            <w:top w:val="none" w:sz="0" w:space="0" w:color="auto"/>
            <w:left w:val="none" w:sz="0" w:space="0" w:color="auto"/>
            <w:bottom w:val="none" w:sz="0" w:space="0" w:color="auto"/>
            <w:right w:val="none" w:sz="0" w:space="0" w:color="auto"/>
          </w:divBdr>
        </w:div>
        <w:div w:id="1606692138">
          <w:marLeft w:val="0"/>
          <w:marRight w:val="0"/>
          <w:marTop w:val="0"/>
          <w:marBottom w:val="0"/>
          <w:divBdr>
            <w:top w:val="none" w:sz="0" w:space="0" w:color="auto"/>
            <w:left w:val="none" w:sz="0" w:space="0" w:color="auto"/>
            <w:bottom w:val="none" w:sz="0" w:space="0" w:color="auto"/>
            <w:right w:val="none" w:sz="0" w:space="0" w:color="auto"/>
          </w:divBdr>
        </w:div>
      </w:divsChild>
    </w:div>
    <w:div w:id="1328634952">
      <w:bodyDiv w:val="1"/>
      <w:marLeft w:val="0"/>
      <w:marRight w:val="0"/>
      <w:marTop w:val="0"/>
      <w:marBottom w:val="0"/>
      <w:divBdr>
        <w:top w:val="none" w:sz="0" w:space="0" w:color="auto"/>
        <w:left w:val="none" w:sz="0" w:space="0" w:color="auto"/>
        <w:bottom w:val="none" w:sz="0" w:space="0" w:color="auto"/>
        <w:right w:val="none" w:sz="0" w:space="0" w:color="auto"/>
      </w:divBdr>
      <w:divsChild>
        <w:div w:id="545878073">
          <w:marLeft w:val="0"/>
          <w:marRight w:val="0"/>
          <w:marTop w:val="0"/>
          <w:marBottom w:val="0"/>
          <w:divBdr>
            <w:top w:val="none" w:sz="0" w:space="0" w:color="auto"/>
            <w:left w:val="none" w:sz="0" w:space="0" w:color="auto"/>
            <w:bottom w:val="none" w:sz="0" w:space="0" w:color="auto"/>
            <w:right w:val="none" w:sz="0" w:space="0" w:color="auto"/>
          </w:divBdr>
        </w:div>
        <w:div w:id="1892303222">
          <w:marLeft w:val="0"/>
          <w:marRight w:val="0"/>
          <w:marTop w:val="0"/>
          <w:marBottom w:val="0"/>
          <w:divBdr>
            <w:top w:val="none" w:sz="0" w:space="0" w:color="auto"/>
            <w:left w:val="none" w:sz="0" w:space="0" w:color="auto"/>
            <w:bottom w:val="none" w:sz="0" w:space="0" w:color="auto"/>
            <w:right w:val="none" w:sz="0" w:space="0" w:color="auto"/>
          </w:divBdr>
        </w:div>
        <w:div w:id="1578511225">
          <w:marLeft w:val="0"/>
          <w:marRight w:val="0"/>
          <w:marTop w:val="0"/>
          <w:marBottom w:val="0"/>
          <w:divBdr>
            <w:top w:val="none" w:sz="0" w:space="0" w:color="auto"/>
            <w:left w:val="none" w:sz="0" w:space="0" w:color="auto"/>
            <w:bottom w:val="none" w:sz="0" w:space="0" w:color="auto"/>
            <w:right w:val="none" w:sz="0" w:space="0" w:color="auto"/>
          </w:divBdr>
        </w:div>
        <w:div w:id="15237825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EAF30-9F24-4813-A9AB-E05C6DA6A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15</Pages>
  <Words>7039</Words>
  <Characters>40125</Characters>
  <Application>Microsoft Office Word</Application>
  <DocSecurity>0</DocSecurity>
  <Lines>334</Lines>
  <Paragraphs>94</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ECE-ISU</Company>
  <LinksUpToDate>false</LinksUpToDate>
  <CharactersWithSpaces>47070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Eeshan Chaturvedi</dc:creator>
  <cp:lastModifiedBy>Fiona Marshall</cp:lastModifiedBy>
  <cp:revision>4</cp:revision>
  <cp:lastPrinted>2019-06-19T22:23:00Z</cp:lastPrinted>
  <dcterms:created xsi:type="dcterms:W3CDTF">2019-07-03T17:33:00Z</dcterms:created>
  <dcterms:modified xsi:type="dcterms:W3CDTF">2019-07-03T17:55:00Z</dcterms:modified>
</cp:coreProperties>
</file>