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FAF" w:rsidRPr="00701B35" w:rsidRDefault="00315FAF" w:rsidP="00701B35">
      <w:pPr>
        <w:jc w:val="both"/>
        <w:rPr>
          <w:rFonts w:ascii="Times New Roman" w:hAnsi="Times New Roman"/>
        </w:rPr>
      </w:pPr>
      <w:bookmarkStart w:id="0" w:name="_GoBack"/>
      <w:bookmarkEnd w:id="0"/>
      <w:r w:rsidRPr="00701B35">
        <w:rPr>
          <w:rFonts w:ascii="Times New Roman" w:hAnsi="Times New Roman"/>
        </w:rPr>
        <w:t>May 30, 2013</w:t>
      </w:r>
    </w:p>
    <w:p w:rsidR="00315FAF" w:rsidRPr="00701B35" w:rsidRDefault="00315FAF" w:rsidP="00701B35">
      <w:pPr>
        <w:spacing w:after="0" w:line="240" w:lineRule="auto"/>
        <w:jc w:val="both"/>
        <w:rPr>
          <w:rFonts w:ascii="Times New Roman" w:hAnsi="Times New Roman"/>
        </w:rPr>
      </w:pPr>
      <w:r w:rsidRPr="00701B35">
        <w:rPr>
          <w:rFonts w:ascii="Times New Roman" w:hAnsi="Times New Roman"/>
        </w:rPr>
        <w:t>Aphrodite Smagadi</w:t>
      </w:r>
    </w:p>
    <w:p w:rsidR="00315FAF" w:rsidRPr="00701B35" w:rsidRDefault="00315FAF" w:rsidP="00701B35">
      <w:pPr>
        <w:spacing w:after="0" w:line="240" w:lineRule="auto"/>
        <w:jc w:val="both"/>
        <w:rPr>
          <w:rFonts w:ascii="Times New Roman" w:hAnsi="Times New Roman"/>
        </w:rPr>
      </w:pPr>
      <w:r w:rsidRPr="00701B35">
        <w:rPr>
          <w:rFonts w:ascii="Times New Roman" w:hAnsi="Times New Roman"/>
        </w:rPr>
        <w:t>Secretary to the Aarhus Convention Compliance Committee</w:t>
      </w:r>
    </w:p>
    <w:p w:rsidR="00315FAF" w:rsidRPr="00701B35" w:rsidRDefault="00315FAF" w:rsidP="00701B35">
      <w:pPr>
        <w:spacing w:after="0" w:line="240" w:lineRule="auto"/>
        <w:jc w:val="both"/>
        <w:rPr>
          <w:rFonts w:ascii="Times New Roman" w:hAnsi="Times New Roman"/>
        </w:rPr>
      </w:pPr>
      <w:r w:rsidRPr="00701B35">
        <w:rPr>
          <w:rFonts w:ascii="Times New Roman" w:hAnsi="Times New Roman"/>
        </w:rPr>
        <w:t>United Nations, Economic Commission for Europe</w:t>
      </w:r>
    </w:p>
    <w:p w:rsidR="00315FAF" w:rsidRPr="00701B35" w:rsidRDefault="00315FAF" w:rsidP="00701B35">
      <w:pPr>
        <w:spacing w:after="0" w:line="240" w:lineRule="auto"/>
        <w:jc w:val="both"/>
        <w:rPr>
          <w:rFonts w:ascii="Times New Roman" w:hAnsi="Times New Roman"/>
        </w:rPr>
      </w:pPr>
      <w:r w:rsidRPr="00701B35">
        <w:rPr>
          <w:rFonts w:ascii="Times New Roman" w:hAnsi="Times New Roman"/>
        </w:rPr>
        <w:t>Palais des Nations, Room 348</w:t>
      </w:r>
    </w:p>
    <w:p w:rsidR="00315FAF" w:rsidRPr="00701B35" w:rsidRDefault="00315FAF" w:rsidP="00701B35">
      <w:pPr>
        <w:spacing w:after="0" w:line="240" w:lineRule="auto"/>
        <w:jc w:val="both"/>
        <w:rPr>
          <w:rFonts w:ascii="Times New Roman" w:hAnsi="Times New Roman"/>
        </w:rPr>
      </w:pPr>
      <w:r w:rsidRPr="00701B35">
        <w:rPr>
          <w:rFonts w:ascii="Times New Roman" w:hAnsi="Times New Roman"/>
        </w:rPr>
        <w:t xml:space="preserve">CH-1211 Geneva 10, Switzerland </w:t>
      </w:r>
    </w:p>
    <w:p w:rsidR="00315FAF" w:rsidRDefault="00315FAF" w:rsidP="00701B35">
      <w:pPr>
        <w:pStyle w:val="ListParagraph"/>
        <w:jc w:val="both"/>
        <w:rPr>
          <w:rFonts w:ascii="Times New Roman" w:hAnsi="Times New Roman"/>
        </w:rPr>
      </w:pPr>
    </w:p>
    <w:p w:rsidR="00701B35" w:rsidRPr="00701B35" w:rsidRDefault="00701B35" w:rsidP="00701B35">
      <w:pPr>
        <w:pStyle w:val="ListParagraph"/>
        <w:jc w:val="both"/>
        <w:rPr>
          <w:rFonts w:ascii="Times New Roman" w:hAnsi="Times New Roman"/>
        </w:rPr>
      </w:pPr>
    </w:p>
    <w:p w:rsidR="00315FAF" w:rsidRPr="00701B35" w:rsidRDefault="00315FAF" w:rsidP="00701B35">
      <w:pPr>
        <w:jc w:val="both"/>
        <w:rPr>
          <w:rFonts w:ascii="Times New Roman" w:hAnsi="Times New Roman"/>
        </w:rPr>
      </w:pPr>
      <w:r w:rsidRPr="00701B35">
        <w:rPr>
          <w:rFonts w:ascii="Times New Roman" w:hAnsi="Times New Roman"/>
        </w:rPr>
        <w:t xml:space="preserve">Dear Ms. Smagadi, </w:t>
      </w:r>
    </w:p>
    <w:p w:rsidR="00FB26D1" w:rsidRPr="00701B35" w:rsidRDefault="00FB26D1" w:rsidP="00701B35">
      <w:pPr>
        <w:jc w:val="both"/>
        <w:rPr>
          <w:rFonts w:ascii="Times New Roman" w:hAnsi="Times New Roman"/>
        </w:rPr>
      </w:pPr>
      <w:r w:rsidRPr="00701B35">
        <w:rPr>
          <w:rFonts w:ascii="Times New Roman" w:hAnsi="Times New Roman"/>
        </w:rPr>
        <w:t>Though we find that the Draft decision is in line with our expectations</w:t>
      </w:r>
      <w:r w:rsidR="00947276">
        <w:rPr>
          <w:rFonts w:ascii="Times New Roman" w:hAnsi="Times New Roman"/>
        </w:rPr>
        <w:t>, however</w:t>
      </w:r>
      <w:r w:rsidR="00315FAF" w:rsidRPr="00701B35">
        <w:rPr>
          <w:rFonts w:ascii="Times New Roman" w:hAnsi="Times New Roman"/>
        </w:rPr>
        <w:t xml:space="preserve"> we consider that</w:t>
      </w:r>
      <w:r w:rsidRPr="00701B35">
        <w:rPr>
          <w:rFonts w:ascii="Times New Roman" w:hAnsi="Times New Roman"/>
        </w:rPr>
        <w:t xml:space="preserve"> several </w:t>
      </w:r>
      <w:r w:rsidR="00B832EB">
        <w:rPr>
          <w:rFonts w:ascii="Times New Roman" w:hAnsi="Times New Roman"/>
        </w:rPr>
        <w:t>comments</w:t>
      </w:r>
      <w:r w:rsidRPr="00701B35">
        <w:rPr>
          <w:rFonts w:ascii="Times New Roman" w:hAnsi="Times New Roman"/>
        </w:rPr>
        <w:t xml:space="preserve"> are necessary to complete the facts and recommendations of </w:t>
      </w:r>
      <w:r w:rsidR="00315FAF" w:rsidRPr="00701B35">
        <w:rPr>
          <w:rFonts w:ascii="Times New Roman" w:hAnsi="Times New Roman"/>
        </w:rPr>
        <w:t xml:space="preserve">the </w:t>
      </w:r>
      <w:r w:rsidR="00B832EB">
        <w:rPr>
          <w:rFonts w:ascii="Times New Roman" w:hAnsi="Times New Roman"/>
        </w:rPr>
        <w:t>d</w:t>
      </w:r>
      <w:r w:rsidRPr="00701B35">
        <w:rPr>
          <w:rFonts w:ascii="Times New Roman" w:hAnsi="Times New Roman"/>
        </w:rPr>
        <w:t xml:space="preserve">raft </w:t>
      </w:r>
      <w:r w:rsidR="00B832EB">
        <w:rPr>
          <w:rFonts w:ascii="Times New Roman" w:hAnsi="Times New Roman"/>
        </w:rPr>
        <w:t>Decision</w:t>
      </w:r>
      <w:r w:rsidRPr="00701B35">
        <w:rPr>
          <w:rFonts w:ascii="Times New Roman" w:hAnsi="Times New Roman"/>
        </w:rPr>
        <w:t xml:space="preserve"> with regard to communication ACCC/C/2011/62 concerning compliance by Armenia.</w:t>
      </w:r>
    </w:p>
    <w:p w:rsidR="00701B35" w:rsidRPr="00701B35" w:rsidRDefault="00701B35" w:rsidP="00701B35">
      <w:pPr>
        <w:pStyle w:val="ListParagraph"/>
        <w:jc w:val="both"/>
        <w:rPr>
          <w:rFonts w:ascii="Times New Roman" w:hAnsi="Times New Roman"/>
        </w:rPr>
      </w:pPr>
    </w:p>
    <w:p w:rsidR="00701B35" w:rsidRPr="00701B35" w:rsidRDefault="0064091D" w:rsidP="00701B35">
      <w:pPr>
        <w:pStyle w:val="ListParagraph"/>
        <w:numPr>
          <w:ilvl w:val="0"/>
          <w:numId w:val="2"/>
        </w:numPr>
        <w:jc w:val="both"/>
      </w:pPr>
      <w:r w:rsidRPr="00701B35">
        <w:rPr>
          <w:rFonts w:ascii="Times New Roman" w:hAnsi="Times New Roman"/>
        </w:rPr>
        <w:t xml:space="preserve">As we have already informed the Committee, </w:t>
      </w:r>
      <w:r w:rsidR="00947276">
        <w:rPr>
          <w:rFonts w:ascii="Times New Roman" w:hAnsi="Times New Roman"/>
        </w:rPr>
        <w:t>during</w:t>
      </w:r>
      <w:r w:rsidR="00315FAF" w:rsidRPr="00701B35">
        <w:rPr>
          <w:rFonts w:ascii="Times New Roman" w:hAnsi="Times New Roman"/>
        </w:rPr>
        <w:t xml:space="preserve"> March 2013, the RA Constitutional Court published its annual communication focusing o</w:t>
      </w:r>
      <w:r w:rsidR="00701B35" w:rsidRPr="00701B35">
        <w:rPr>
          <w:rFonts w:ascii="Times New Roman" w:hAnsi="Times New Roman"/>
        </w:rPr>
        <w:t xml:space="preserve">n court’s decisions during 2012 </w:t>
      </w:r>
      <w:r w:rsidR="00315FAF" w:rsidRPr="00701B35">
        <w:rPr>
          <w:rFonts w:ascii="Times New Roman" w:hAnsi="Times New Roman"/>
        </w:rPr>
        <w:t>(</w:t>
      </w:r>
      <w:hyperlink r:id="rId6" w:history="1">
        <w:r w:rsidR="00701B35" w:rsidRPr="00B25280">
          <w:rPr>
            <w:rStyle w:val="Hyperlink"/>
            <w:sz w:val="20"/>
            <w:szCs w:val="20"/>
            <w:lang w:val="hy-AM"/>
          </w:rPr>
          <w:t>http://www.concourt.am/armenian/report/statistic/cc_decision_stat2012.pdf</w:t>
        </w:r>
        <w:r w:rsidR="00701B35" w:rsidRPr="00B25280">
          <w:rPr>
            <w:rStyle w:val="Hyperlink"/>
            <w:rFonts w:cstheme="minorBidi"/>
          </w:rPr>
          <w:t xml:space="preserve"> starting from page 49</w:t>
        </w:r>
      </w:hyperlink>
      <w:r w:rsidR="00701B35" w:rsidRPr="00701B35">
        <w:rPr>
          <w:rFonts w:ascii="Times New Roman" w:hAnsi="Times New Roman"/>
        </w:rPr>
        <w:t>)</w:t>
      </w:r>
      <w:r w:rsidR="00315FAF" w:rsidRPr="00701B35">
        <w:rPr>
          <w:rFonts w:ascii="Times New Roman" w:hAnsi="Times New Roman"/>
        </w:rPr>
        <w:t>.</w:t>
      </w:r>
    </w:p>
    <w:p w:rsidR="00701B35" w:rsidRPr="00947276" w:rsidRDefault="00701B35" w:rsidP="00701B35">
      <w:pPr>
        <w:pStyle w:val="ListParagraph"/>
        <w:ind w:left="1080"/>
        <w:jc w:val="both"/>
        <w:rPr>
          <w:rFonts w:ascii="Times New Roman" w:hAnsi="Times New Roman"/>
        </w:rPr>
      </w:pPr>
      <w:r w:rsidRPr="00701B35">
        <w:rPr>
          <w:rFonts w:ascii="Times New Roman" w:hAnsi="Times New Roman"/>
        </w:rPr>
        <w:t xml:space="preserve">The RA Constitutional Court has reinstated its legal position expressed in SDO-906 decision regarding the legal standing of NGOs to file complaints with courts.  The RA Constitutional Court has assured that “the NGOs have the right to legal remedy in relation to ‘the public concerned’ when such actions fall within the mandate of the NGO’.  The Constitutional Court has also stated that “The Administrative Court as well as the Court of Cassation (on 01.04.2011) have uniquely interpreted the legal position of the Constitutional Court on legal standing of the NGOs, depriving them of the opportunity to file cases with courts on issues arising from their statutory objectives.” </w:t>
      </w:r>
      <w:r w:rsidRPr="00947276">
        <w:rPr>
          <w:rFonts w:ascii="Times New Roman" w:hAnsi="Times New Roman"/>
        </w:rPr>
        <w:t xml:space="preserve">Despite </w:t>
      </w:r>
      <w:r w:rsidR="00947276">
        <w:rPr>
          <w:rFonts w:ascii="Times New Roman" w:hAnsi="Times New Roman"/>
        </w:rPr>
        <w:t xml:space="preserve">that, </w:t>
      </w:r>
      <w:r w:rsidRPr="00947276">
        <w:rPr>
          <w:rFonts w:ascii="Times New Roman" w:hAnsi="Times New Roman"/>
        </w:rPr>
        <w:t xml:space="preserve">the RA Court of Cassation has made a final and irrevocable decision depriving Ecodar environmental NGO of the right to file a case with the court, </w:t>
      </w:r>
      <w:r w:rsidR="00947276">
        <w:rPr>
          <w:rFonts w:ascii="Times New Roman" w:hAnsi="Times New Roman"/>
        </w:rPr>
        <w:t xml:space="preserve">a case </w:t>
      </w:r>
      <w:r w:rsidR="00947276" w:rsidRPr="00947276">
        <w:rPr>
          <w:rFonts w:ascii="Times New Roman" w:hAnsi="Times New Roman"/>
        </w:rPr>
        <w:t>that</w:t>
      </w:r>
      <w:r w:rsidRPr="00947276">
        <w:rPr>
          <w:rFonts w:ascii="Times New Roman" w:hAnsi="Times New Roman"/>
        </w:rPr>
        <w:t xml:space="preserve"> is stemming from the NGOs statutory objectives.  Ecodar’s right to a judicial remedy will be restored only if the Aarhus Convention’s Compliance Committee finds violation of Article 9 of the Convention in relation to access to justice.</w:t>
      </w:r>
    </w:p>
    <w:p w:rsidR="00AE3EA7" w:rsidRDefault="00AE3EA7" w:rsidP="00701B35">
      <w:pPr>
        <w:pStyle w:val="ListParagraph"/>
        <w:ind w:left="1080"/>
        <w:jc w:val="both"/>
        <w:rPr>
          <w:rFonts w:ascii="Times New Roman" w:hAnsi="Times New Roman"/>
        </w:rPr>
      </w:pPr>
    </w:p>
    <w:p w:rsidR="0064091D" w:rsidRPr="00701B35" w:rsidRDefault="00947276" w:rsidP="00701B35">
      <w:pPr>
        <w:pStyle w:val="ListParagraph"/>
        <w:ind w:left="1080"/>
        <w:jc w:val="both"/>
        <w:rPr>
          <w:rFonts w:ascii="Times New Roman" w:hAnsi="Times New Roman"/>
        </w:rPr>
      </w:pPr>
      <w:r>
        <w:rPr>
          <w:rFonts w:ascii="Times New Roman" w:hAnsi="Times New Roman"/>
        </w:rPr>
        <w:t xml:space="preserve">We </w:t>
      </w:r>
      <w:r w:rsidR="0064091D" w:rsidRPr="00701B35">
        <w:rPr>
          <w:rFonts w:ascii="Times New Roman" w:hAnsi="Times New Roman"/>
        </w:rPr>
        <w:t xml:space="preserve">suggest </w:t>
      </w:r>
      <w:r w:rsidR="00AE3EA7">
        <w:rPr>
          <w:rFonts w:ascii="Times New Roman" w:hAnsi="Times New Roman"/>
        </w:rPr>
        <w:t xml:space="preserve">that </w:t>
      </w:r>
      <w:r w:rsidR="0064091D" w:rsidRPr="00701B35">
        <w:rPr>
          <w:rFonts w:ascii="Times New Roman" w:hAnsi="Times New Roman"/>
        </w:rPr>
        <w:t xml:space="preserve">the Committee </w:t>
      </w:r>
      <w:r>
        <w:rPr>
          <w:rFonts w:ascii="Times New Roman" w:hAnsi="Times New Roman"/>
        </w:rPr>
        <w:t xml:space="preserve">includes the official statement of the RA Constitutional Court in the Decision </w:t>
      </w:r>
      <w:r w:rsidRPr="00701B35">
        <w:rPr>
          <w:rFonts w:ascii="Times New Roman" w:hAnsi="Times New Roman"/>
        </w:rPr>
        <w:t xml:space="preserve">ACCC/C/2011/62 </w:t>
      </w:r>
      <w:r w:rsidR="0064091D" w:rsidRPr="00701B35">
        <w:rPr>
          <w:rFonts w:ascii="Times New Roman" w:hAnsi="Times New Roman"/>
        </w:rPr>
        <w:t>in the paragraph following the Point 25 of the section “facts” of the Decision.</w:t>
      </w:r>
    </w:p>
    <w:p w:rsidR="00701B35" w:rsidRDefault="00701B35" w:rsidP="00701B35">
      <w:pPr>
        <w:pStyle w:val="ListParagraph"/>
        <w:jc w:val="both"/>
        <w:rPr>
          <w:rFonts w:ascii="Times New Roman" w:hAnsi="Times New Roman"/>
        </w:rPr>
      </w:pPr>
    </w:p>
    <w:p w:rsidR="00B764D7" w:rsidRPr="00701B35" w:rsidRDefault="00B764D7" w:rsidP="00701B35">
      <w:pPr>
        <w:pStyle w:val="ListParagraph"/>
        <w:numPr>
          <w:ilvl w:val="0"/>
          <w:numId w:val="2"/>
        </w:numPr>
        <w:jc w:val="both"/>
        <w:rPr>
          <w:rFonts w:ascii="Times New Roman" w:hAnsi="Times New Roman"/>
        </w:rPr>
      </w:pPr>
      <w:r w:rsidRPr="00701B35">
        <w:rPr>
          <w:rFonts w:ascii="Times New Roman" w:hAnsi="Times New Roman"/>
        </w:rPr>
        <w:t xml:space="preserve">Point 37 of the “Consideration and evaluation by the Committee” section </w:t>
      </w:r>
      <w:r w:rsidR="009C3875">
        <w:rPr>
          <w:rFonts w:ascii="Times New Roman" w:hAnsi="Times New Roman"/>
        </w:rPr>
        <w:t>states</w:t>
      </w:r>
      <w:r w:rsidRPr="00701B35">
        <w:rPr>
          <w:rFonts w:ascii="Times New Roman" w:hAnsi="Times New Roman"/>
        </w:rPr>
        <w:t>, “In its decision of 24 March 2010, the Court of Cassation…”</w:t>
      </w:r>
      <w:r w:rsidR="009C3875">
        <w:rPr>
          <w:rFonts w:ascii="Times New Roman" w:hAnsi="Times New Roman"/>
        </w:rPr>
        <w:t>.</w:t>
      </w:r>
      <w:r w:rsidRPr="00701B35">
        <w:rPr>
          <w:rFonts w:ascii="Times New Roman" w:hAnsi="Times New Roman"/>
        </w:rPr>
        <w:t xml:space="preserve"> We </w:t>
      </w:r>
      <w:r w:rsidR="009C3875">
        <w:rPr>
          <w:rFonts w:ascii="Times New Roman" w:hAnsi="Times New Roman"/>
        </w:rPr>
        <w:t>believe there is a mistake here</w:t>
      </w:r>
      <w:r w:rsidRPr="00701B35">
        <w:rPr>
          <w:rFonts w:ascii="Times New Roman" w:hAnsi="Times New Roman"/>
        </w:rPr>
        <w:t xml:space="preserve">, as the </w:t>
      </w:r>
      <w:r w:rsidR="009C3875" w:rsidRPr="00701B35">
        <w:rPr>
          <w:rFonts w:ascii="Times New Roman" w:hAnsi="Times New Roman"/>
        </w:rPr>
        <w:t>RA Administrative Court issued the decision of 24 March 2010</w:t>
      </w:r>
      <w:r w:rsidRPr="00701B35">
        <w:rPr>
          <w:rFonts w:ascii="Times New Roman" w:hAnsi="Times New Roman"/>
        </w:rPr>
        <w:t>.</w:t>
      </w:r>
    </w:p>
    <w:p w:rsidR="00701B35" w:rsidRDefault="00701B35" w:rsidP="00701B35">
      <w:pPr>
        <w:pStyle w:val="ListParagraph"/>
        <w:jc w:val="both"/>
        <w:rPr>
          <w:rFonts w:ascii="Times New Roman" w:hAnsi="Times New Roman"/>
        </w:rPr>
      </w:pPr>
    </w:p>
    <w:p w:rsidR="00701B35" w:rsidRPr="009C3875" w:rsidRDefault="00B764D7" w:rsidP="009C3875">
      <w:pPr>
        <w:pStyle w:val="ListParagraph"/>
        <w:numPr>
          <w:ilvl w:val="0"/>
          <w:numId w:val="2"/>
        </w:numPr>
        <w:jc w:val="both"/>
        <w:rPr>
          <w:rFonts w:ascii="Times New Roman" w:hAnsi="Times New Roman"/>
        </w:rPr>
      </w:pPr>
      <w:r w:rsidRPr="009C3875">
        <w:rPr>
          <w:rFonts w:ascii="Times New Roman" w:hAnsi="Times New Roman"/>
        </w:rPr>
        <w:t xml:space="preserve">With regard to Point 42 of the “Recommendation” </w:t>
      </w:r>
      <w:r w:rsidR="004F2E1A" w:rsidRPr="009C3875">
        <w:rPr>
          <w:rFonts w:ascii="Times New Roman" w:hAnsi="Times New Roman"/>
        </w:rPr>
        <w:t>section,</w:t>
      </w:r>
      <w:r w:rsidRPr="009C3875">
        <w:rPr>
          <w:rFonts w:ascii="Times New Roman" w:hAnsi="Times New Roman"/>
        </w:rPr>
        <w:t xml:space="preserve"> we suggest to complete the sub-point (a) with more detailed recommendation in order </w:t>
      </w:r>
      <w:r w:rsidR="009C3875" w:rsidRPr="009C3875">
        <w:rPr>
          <w:rFonts w:ascii="Times New Roman" w:hAnsi="Times New Roman"/>
        </w:rPr>
        <w:t>to eliminate loopholes for a</w:t>
      </w:r>
      <w:r w:rsidR="009C3875">
        <w:rPr>
          <w:rFonts w:ascii="Times New Roman" w:hAnsi="Times New Roman"/>
        </w:rPr>
        <w:t xml:space="preserve">voiding legislative amendments.  </w:t>
      </w:r>
      <w:r w:rsidR="00CD6334">
        <w:rPr>
          <w:rFonts w:ascii="Times New Roman" w:hAnsi="Times New Roman"/>
        </w:rPr>
        <w:t>Particularly</w:t>
      </w:r>
      <w:r w:rsidRPr="009C3875">
        <w:rPr>
          <w:rFonts w:ascii="Times New Roman" w:hAnsi="Times New Roman"/>
        </w:rPr>
        <w:t xml:space="preserve">, we kindly ask you to indicate the law on Non-Governmental Organizations and the Administrative Procedure Code respectively, which shall be reviewed.  </w:t>
      </w:r>
    </w:p>
    <w:p w:rsidR="00E05AAC" w:rsidRDefault="009C3875" w:rsidP="00E05AAC">
      <w:pPr>
        <w:pStyle w:val="ListParagraph"/>
        <w:ind w:left="1080"/>
        <w:jc w:val="both"/>
        <w:rPr>
          <w:rFonts w:ascii="Times New Roman" w:hAnsi="Times New Roman"/>
        </w:rPr>
      </w:pPr>
      <w:r>
        <w:rPr>
          <w:rFonts w:ascii="Times New Roman" w:hAnsi="Times New Roman"/>
        </w:rPr>
        <w:lastRenderedPageBreak/>
        <w:t xml:space="preserve">We would like to inform the Committee, that the </w:t>
      </w:r>
      <w:r w:rsidR="00FB26D1" w:rsidRPr="00701B35">
        <w:rPr>
          <w:rFonts w:ascii="Times New Roman" w:hAnsi="Times New Roman"/>
        </w:rPr>
        <w:t xml:space="preserve">RA Ministry of Justice is </w:t>
      </w:r>
      <w:r>
        <w:rPr>
          <w:rFonts w:ascii="Times New Roman" w:hAnsi="Times New Roman"/>
        </w:rPr>
        <w:t xml:space="preserve">currently </w:t>
      </w:r>
      <w:r w:rsidR="00FB26D1" w:rsidRPr="00701B35">
        <w:rPr>
          <w:rFonts w:ascii="Times New Roman" w:hAnsi="Times New Roman"/>
        </w:rPr>
        <w:t>drafting a concept</w:t>
      </w:r>
      <w:r>
        <w:rPr>
          <w:rFonts w:ascii="Times New Roman" w:hAnsi="Times New Roman"/>
        </w:rPr>
        <w:t xml:space="preserve"> for the</w:t>
      </w:r>
      <w:r w:rsidR="00FB26D1" w:rsidRPr="00701B35">
        <w:rPr>
          <w:rFonts w:ascii="Times New Roman" w:hAnsi="Times New Roman"/>
        </w:rPr>
        <w:t xml:space="preserve"> </w:t>
      </w:r>
      <w:r>
        <w:rPr>
          <w:rFonts w:ascii="Times New Roman" w:hAnsi="Times New Roman"/>
        </w:rPr>
        <w:t>L</w:t>
      </w:r>
      <w:r w:rsidR="00FB26D1" w:rsidRPr="00701B35">
        <w:rPr>
          <w:rFonts w:ascii="Times New Roman" w:hAnsi="Times New Roman"/>
        </w:rPr>
        <w:t xml:space="preserve">aw on Non-Governmental Organizations, </w:t>
      </w:r>
      <w:r>
        <w:rPr>
          <w:rFonts w:ascii="Times New Roman" w:hAnsi="Times New Roman"/>
        </w:rPr>
        <w:t xml:space="preserve">where </w:t>
      </w:r>
      <w:r w:rsidR="00FB26D1" w:rsidRPr="00701B35">
        <w:rPr>
          <w:rFonts w:ascii="Times New Roman" w:hAnsi="Times New Roman"/>
        </w:rPr>
        <w:t xml:space="preserve">Access to Justice for NGOs does not meet the legal position </w:t>
      </w:r>
      <w:r w:rsidR="006C5952">
        <w:rPr>
          <w:rFonts w:ascii="Times New Roman" w:hAnsi="Times New Roman"/>
        </w:rPr>
        <w:t xml:space="preserve">of </w:t>
      </w:r>
      <w:r w:rsidR="00FB26D1" w:rsidRPr="00701B35">
        <w:rPr>
          <w:rFonts w:ascii="Times New Roman" w:hAnsi="Times New Roman"/>
        </w:rPr>
        <w:t xml:space="preserve">both the RA Constitutional Court and the Compliance Committee. Thus, we find necessary to mention </w:t>
      </w:r>
      <w:r w:rsidR="00CD6334">
        <w:rPr>
          <w:rFonts w:ascii="Times New Roman" w:hAnsi="Times New Roman"/>
        </w:rPr>
        <w:t xml:space="preserve">particularly </w:t>
      </w:r>
      <w:r w:rsidR="00FB26D1" w:rsidRPr="00701B35">
        <w:rPr>
          <w:rFonts w:ascii="Times New Roman" w:hAnsi="Times New Roman"/>
        </w:rPr>
        <w:t>the laws, which are important to amend in terms of Access to Justice in line with the Article 9</w:t>
      </w:r>
      <w:r w:rsidR="004F2E1A">
        <w:rPr>
          <w:rFonts w:ascii="Times New Roman" w:hAnsi="Times New Roman"/>
        </w:rPr>
        <w:t xml:space="preserve">, paragraph 2 of the Convention.  </w:t>
      </w:r>
    </w:p>
    <w:p w:rsidR="00E05AAC" w:rsidRDefault="00E05AAC" w:rsidP="00E05AAC">
      <w:pPr>
        <w:jc w:val="both"/>
        <w:rPr>
          <w:rFonts w:ascii="Times New Roman" w:hAnsi="Times New Roman"/>
        </w:rPr>
      </w:pPr>
    </w:p>
    <w:p w:rsidR="00E05AAC" w:rsidRPr="00E05AAC" w:rsidRDefault="00E05AAC" w:rsidP="00E05AAC">
      <w:pPr>
        <w:spacing w:after="0"/>
        <w:jc w:val="both"/>
        <w:rPr>
          <w:rStyle w:val="hps"/>
          <w:rFonts w:ascii="Times New Roman" w:hAnsi="Times New Roman"/>
        </w:rPr>
      </w:pPr>
      <w:r w:rsidRPr="00E05AAC">
        <w:rPr>
          <w:rStyle w:val="hps"/>
          <w:rFonts w:ascii="Times New Roman" w:hAnsi="Times New Roman"/>
        </w:rPr>
        <w:t>Regards,</w:t>
      </w:r>
    </w:p>
    <w:p w:rsidR="00E05AAC" w:rsidRDefault="00E05AAC" w:rsidP="00E05AAC">
      <w:pPr>
        <w:spacing w:after="0"/>
        <w:jc w:val="both"/>
        <w:rPr>
          <w:rStyle w:val="hps"/>
          <w:rFonts w:ascii="Times New Roman" w:hAnsi="Times New Roman"/>
        </w:rPr>
      </w:pPr>
    </w:p>
    <w:p w:rsidR="00CD6334" w:rsidRPr="00E05AAC" w:rsidRDefault="00CD6334" w:rsidP="00E05AAC">
      <w:pPr>
        <w:spacing w:after="0"/>
        <w:jc w:val="both"/>
        <w:rPr>
          <w:rStyle w:val="hps"/>
          <w:rFonts w:ascii="Times New Roman" w:hAnsi="Times New Roman"/>
        </w:rPr>
      </w:pPr>
    </w:p>
    <w:p w:rsidR="00E05AAC" w:rsidRPr="00E05AAC" w:rsidRDefault="00E05AAC" w:rsidP="00E05AAC">
      <w:pPr>
        <w:spacing w:after="0"/>
        <w:jc w:val="both"/>
        <w:rPr>
          <w:rStyle w:val="hps"/>
          <w:rFonts w:ascii="Times New Roman" w:hAnsi="Times New Roman"/>
        </w:rPr>
      </w:pPr>
    </w:p>
    <w:p w:rsidR="00E05AAC" w:rsidRPr="00E05AAC" w:rsidRDefault="00E05AAC" w:rsidP="00E05AAC">
      <w:pPr>
        <w:spacing w:after="0"/>
        <w:jc w:val="both"/>
        <w:rPr>
          <w:rStyle w:val="hps"/>
          <w:rFonts w:ascii="Times New Roman" w:hAnsi="Times New Roman"/>
        </w:rPr>
      </w:pPr>
    </w:p>
    <w:p w:rsidR="00E05AAC" w:rsidRPr="00E05AAC" w:rsidRDefault="00E05AAC" w:rsidP="00E05AAC">
      <w:pPr>
        <w:spacing w:after="0"/>
        <w:jc w:val="both"/>
        <w:rPr>
          <w:rStyle w:val="hps"/>
          <w:rFonts w:ascii="Times New Roman" w:hAnsi="Times New Roman"/>
        </w:rPr>
      </w:pPr>
      <w:r w:rsidRPr="00E05AAC">
        <w:rPr>
          <w:rStyle w:val="hps"/>
          <w:rFonts w:ascii="Times New Roman" w:hAnsi="Times New Roman"/>
        </w:rPr>
        <w:t>Hrayr Savzyan</w:t>
      </w:r>
    </w:p>
    <w:p w:rsidR="00E05AAC" w:rsidRPr="00E05AAC" w:rsidRDefault="00E05AAC" w:rsidP="00E05AAC">
      <w:pPr>
        <w:spacing w:after="0"/>
        <w:jc w:val="both"/>
        <w:rPr>
          <w:rStyle w:val="hps"/>
          <w:rFonts w:ascii="Times New Roman" w:hAnsi="Times New Roman"/>
        </w:rPr>
      </w:pPr>
      <w:r w:rsidRPr="00E05AAC">
        <w:rPr>
          <w:rStyle w:val="hps"/>
          <w:rFonts w:ascii="Times New Roman" w:hAnsi="Times New Roman"/>
        </w:rPr>
        <w:t>Executive Director, Ecodar NGO</w:t>
      </w:r>
    </w:p>
    <w:p w:rsidR="00E05AAC" w:rsidRPr="00E05AAC" w:rsidRDefault="00E05AAC" w:rsidP="00E05AAC">
      <w:pPr>
        <w:jc w:val="both"/>
        <w:rPr>
          <w:rFonts w:ascii="Times New Roman" w:hAnsi="Times New Roman"/>
        </w:rPr>
      </w:pPr>
    </w:p>
    <w:sectPr w:rsidR="00E05AAC" w:rsidRPr="00E05AAC" w:rsidSect="005377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A42FC"/>
    <w:multiLevelType w:val="hybridMultilevel"/>
    <w:tmpl w:val="B7FA6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FE3E0A"/>
    <w:multiLevelType w:val="hybridMultilevel"/>
    <w:tmpl w:val="A812388E"/>
    <w:lvl w:ilvl="0" w:tplc="ECD42F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34E"/>
    <w:rsid w:val="00315FAF"/>
    <w:rsid w:val="00410445"/>
    <w:rsid w:val="00414212"/>
    <w:rsid w:val="004A3310"/>
    <w:rsid w:val="004F2E1A"/>
    <w:rsid w:val="00537712"/>
    <w:rsid w:val="0064091D"/>
    <w:rsid w:val="006C5952"/>
    <w:rsid w:val="00701B35"/>
    <w:rsid w:val="00775A77"/>
    <w:rsid w:val="00947276"/>
    <w:rsid w:val="009C3875"/>
    <w:rsid w:val="00A75A5E"/>
    <w:rsid w:val="00AE3EA7"/>
    <w:rsid w:val="00B764D7"/>
    <w:rsid w:val="00B832EB"/>
    <w:rsid w:val="00B94870"/>
    <w:rsid w:val="00CD6334"/>
    <w:rsid w:val="00E05AAC"/>
    <w:rsid w:val="00F9734E"/>
    <w:rsid w:val="00FA3D0A"/>
    <w:rsid w:val="00FB2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4D7"/>
    <w:pPr>
      <w:ind w:left="720"/>
      <w:contextualSpacing/>
    </w:pPr>
  </w:style>
  <w:style w:type="character" w:styleId="Hyperlink">
    <w:name w:val="Hyperlink"/>
    <w:uiPriority w:val="99"/>
    <w:semiHidden/>
    <w:rsid w:val="00315FAF"/>
    <w:rPr>
      <w:rFonts w:ascii="Times New Roman" w:hAnsi="Times New Roman" w:cs="Times New Roman"/>
      <w:color w:val="0000FF"/>
      <w:u w:val="single"/>
    </w:rPr>
  </w:style>
  <w:style w:type="character" w:customStyle="1" w:styleId="hps">
    <w:name w:val="hps"/>
    <w:uiPriority w:val="99"/>
    <w:rsid w:val="00701B3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4D7"/>
    <w:pPr>
      <w:ind w:left="720"/>
      <w:contextualSpacing/>
    </w:pPr>
  </w:style>
  <w:style w:type="character" w:styleId="Hyperlink">
    <w:name w:val="Hyperlink"/>
    <w:uiPriority w:val="99"/>
    <w:semiHidden/>
    <w:rsid w:val="00315FAF"/>
    <w:rPr>
      <w:rFonts w:ascii="Times New Roman" w:hAnsi="Times New Roman" w:cs="Times New Roman"/>
      <w:color w:val="0000FF"/>
      <w:u w:val="single"/>
    </w:rPr>
  </w:style>
  <w:style w:type="character" w:customStyle="1" w:styleId="hps">
    <w:name w:val="hps"/>
    <w:uiPriority w:val="99"/>
    <w:rsid w:val="00701B3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court.am/armenian/report/statistic/cc_decision_stat2012.pdf%20starting%20from%20page%204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Dragonfly User</dc:creator>
  <cp:lastModifiedBy>aphrodite</cp:lastModifiedBy>
  <cp:revision>2</cp:revision>
  <dcterms:created xsi:type="dcterms:W3CDTF">2013-06-03T19:21:00Z</dcterms:created>
  <dcterms:modified xsi:type="dcterms:W3CDTF">2013-06-03T19:21:00Z</dcterms:modified>
</cp:coreProperties>
</file>