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932CA" w14:textId="2403D523" w:rsidR="00614444" w:rsidRPr="00B91405" w:rsidRDefault="00614444" w:rsidP="00614444">
      <w:pPr>
        <w:spacing w:after="0" w:line="240" w:lineRule="auto"/>
        <w:jc w:val="center"/>
        <w:rPr>
          <w:rFonts w:ascii="Times New Roman" w:eastAsia="Times New Roman" w:hAnsi="Times New Roman" w:cs="Times New Roman"/>
          <w:b/>
          <w:sz w:val="24"/>
          <w:szCs w:val="24"/>
          <w:lang w:eastAsia="sv-SE"/>
        </w:rPr>
      </w:pPr>
      <w:r w:rsidRPr="00B91405">
        <w:rPr>
          <w:rFonts w:ascii="Times New Roman" w:eastAsia="Times New Roman" w:hAnsi="Times New Roman" w:cs="Times New Roman"/>
          <w:b/>
          <w:sz w:val="24"/>
          <w:szCs w:val="24"/>
          <w:lang w:eastAsia="sv-SE"/>
        </w:rPr>
        <w:t xml:space="preserve">DRAFT FINDINGS AND RECOMMENDATIONS OF THE COMPLIANCE COMMITTEE WITH REGARD TO COMMUNICATION ACCC/C/2008/32 </w:t>
      </w:r>
      <w:r w:rsidR="00D05A82">
        <w:rPr>
          <w:rFonts w:ascii="Times New Roman" w:eastAsia="Times New Roman" w:hAnsi="Times New Roman" w:cs="Times New Roman"/>
          <w:b/>
          <w:sz w:val="24"/>
          <w:szCs w:val="24"/>
          <w:lang w:eastAsia="sv-SE"/>
        </w:rPr>
        <w:br/>
      </w:r>
      <w:bookmarkStart w:id="0" w:name="_GoBack"/>
      <w:bookmarkEnd w:id="0"/>
      <w:r w:rsidRPr="00B91405">
        <w:rPr>
          <w:rFonts w:ascii="Times New Roman" w:eastAsia="Times New Roman" w:hAnsi="Times New Roman" w:cs="Times New Roman"/>
          <w:b/>
          <w:sz w:val="24"/>
          <w:szCs w:val="24"/>
          <w:lang w:eastAsia="sv-SE"/>
        </w:rPr>
        <w:t>(PART</w:t>
      </w:r>
      <w:r w:rsidR="00E21B71" w:rsidRPr="00B91405">
        <w:rPr>
          <w:rFonts w:ascii="Times New Roman" w:eastAsia="Times New Roman" w:hAnsi="Times New Roman" w:cs="Times New Roman"/>
          <w:b/>
          <w:sz w:val="24"/>
          <w:szCs w:val="24"/>
          <w:lang w:eastAsia="sv-SE"/>
        </w:rPr>
        <w:t xml:space="preserve"> </w:t>
      </w:r>
      <w:r w:rsidRPr="00B91405">
        <w:rPr>
          <w:rFonts w:ascii="Times New Roman" w:eastAsia="Times New Roman" w:hAnsi="Times New Roman" w:cs="Times New Roman"/>
          <w:b/>
          <w:sz w:val="24"/>
          <w:szCs w:val="24"/>
          <w:lang w:eastAsia="sv-SE"/>
        </w:rPr>
        <w:t>II) CONCERNING COMPLIANCE BY THE EUROPEAN UNION</w:t>
      </w:r>
      <w:r w:rsidRPr="00B91405">
        <w:rPr>
          <w:rStyle w:val="FootnoteReference"/>
          <w:rFonts w:ascii="Times New Roman" w:hAnsi="Times New Roman" w:cs="Times New Roman"/>
          <w:sz w:val="24"/>
          <w:szCs w:val="24"/>
          <w:lang w:eastAsia="sv-SE"/>
        </w:rPr>
        <w:footnoteReference w:id="2"/>
      </w:r>
    </w:p>
    <w:p w14:paraId="148E48ED" w14:textId="77777777" w:rsidR="00EE3E72" w:rsidRPr="00EA11E2" w:rsidRDefault="00EE3E72" w:rsidP="00EE3E72">
      <w:pPr>
        <w:rPr>
          <w:rFonts w:ascii="Times New Roman" w:hAnsi="Times New Roman" w:cs="Times New Roman"/>
          <w:sz w:val="20"/>
          <w:szCs w:val="20"/>
        </w:rPr>
      </w:pPr>
    </w:p>
    <w:p w14:paraId="319061E6" w14:textId="77777777" w:rsidR="00EE3E72" w:rsidRPr="00EA11E2" w:rsidRDefault="00EE3E72" w:rsidP="00EE3E72">
      <w:pPr>
        <w:pStyle w:val="Default"/>
        <w:numPr>
          <w:ilvl w:val="0"/>
          <w:numId w:val="1"/>
        </w:numPr>
        <w:spacing w:before="360" w:after="240"/>
        <w:ind w:right="1120"/>
        <w:rPr>
          <w:b/>
          <w:bCs/>
          <w:color w:val="auto"/>
        </w:rPr>
      </w:pPr>
      <w:r w:rsidRPr="00EA11E2">
        <w:rPr>
          <w:b/>
          <w:bCs/>
          <w:color w:val="auto"/>
        </w:rPr>
        <w:t xml:space="preserve">Background </w:t>
      </w:r>
    </w:p>
    <w:p w14:paraId="5EF2F0E7" w14:textId="5F5EBF5E" w:rsidR="003B2A8B" w:rsidRPr="00EA11E2" w:rsidRDefault="00EE3E72" w:rsidP="003B2A8B">
      <w:pPr>
        <w:pStyle w:val="ListParagraph"/>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EA11E2">
        <w:rPr>
          <w:rFonts w:ascii="Times New Roman" w:eastAsia="Times New Roman" w:hAnsi="Times New Roman" w:cs="Times New Roman"/>
          <w:sz w:val="20"/>
          <w:szCs w:val="20"/>
          <w:lang w:eastAsia="ru-RU"/>
        </w:rPr>
        <w:t xml:space="preserve">On 1 December 2008, the non-governmental organization (NGO) </w:t>
      </w:r>
      <w:proofErr w:type="spellStart"/>
      <w:r w:rsidRPr="00EA11E2">
        <w:rPr>
          <w:rFonts w:ascii="Times New Roman" w:eastAsia="Times New Roman" w:hAnsi="Times New Roman" w:cs="Times New Roman"/>
          <w:sz w:val="20"/>
          <w:szCs w:val="20"/>
          <w:lang w:eastAsia="ru-RU"/>
        </w:rPr>
        <w:t>ClientEarth</w:t>
      </w:r>
      <w:proofErr w:type="spellEnd"/>
      <w:r w:rsidRPr="00EA11E2">
        <w:rPr>
          <w:rFonts w:ascii="Times New Roman" w:eastAsia="Times New Roman" w:hAnsi="Times New Roman" w:cs="Times New Roman"/>
          <w:sz w:val="20"/>
          <w:szCs w:val="20"/>
          <w:lang w:eastAsia="ru-RU"/>
        </w:rPr>
        <w:t xml:space="preserve"> (the communicant), supported by a number entities and a private individual</w:t>
      </w:r>
      <w:r w:rsidR="00DB4C99">
        <w:rPr>
          <w:rFonts w:ascii="Times New Roman" w:eastAsia="Times New Roman" w:hAnsi="Times New Roman" w:cs="Times New Roman"/>
          <w:sz w:val="20"/>
          <w:szCs w:val="20"/>
          <w:lang w:eastAsia="ru-RU"/>
        </w:rPr>
        <w:t>,</w:t>
      </w:r>
      <w:r w:rsidR="00086CD2" w:rsidRPr="00EA11E2">
        <w:rPr>
          <w:rStyle w:val="FootnoteReference"/>
          <w:rFonts w:ascii="Times New Roman" w:eastAsia="Times New Roman" w:hAnsi="Times New Roman" w:cs="Times New Roman"/>
          <w:sz w:val="20"/>
          <w:szCs w:val="20"/>
          <w:lang w:eastAsia="ru-RU"/>
        </w:rPr>
        <w:footnoteReference w:id="3"/>
      </w:r>
      <w:r w:rsidRPr="00EA11E2">
        <w:rPr>
          <w:rFonts w:ascii="Times New Roman" w:eastAsia="Times New Roman" w:hAnsi="Times New Roman" w:cs="Times New Roman"/>
          <w:sz w:val="20"/>
          <w:szCs w:val="20"/>
          <w:lang w:eastAsia="ru-RU"/>
        </w:rPr>
        <w:t xml:space="preserve"> submitted a communication to the Committee alleging a failure by the European Union (EU) to comply with its obligations under article 3, paragraph 1, and article 9, paragraphs 2, 3, 4 and 5, of the Convention on Access to Information, Public Participation in Decision-making and Access to Justice in Environmental Matters (Aarhus Convention).</w:t>
      </w:r>
    </w:p>
    <w:p w14:paraId="2910A7C2" w14:textId="77777777" w:rsidR="003B2A8B" w:rsidRPr="00EA11E2" w:rsidRDefault="003B2A8B" w:rsidP="00110518">
      <w:pPr>
        <w:pStyle w:val="ListParagraph"/>
        <w:spacing w:after="0" w:line="240" w:lineRule="auto"/>
        <w:ind w:left="0"/>
        <w:jc w:val="both"/>
        <w:rPr>
          <w:rFonts w:ascii="Times New Roman" w:eastAsia="Times New Roman" w:hAnsi="Times New Roman" w:cs="Times New Roman"/>
          <w:sz w:val="20"/>
          <w:szCs w:val="20"/>
          <w:lang w:eastAsia="ru-RU"/>
        </w:rPr>
      </w:pPr>
    </w:p>
    <w:p w14:paraId="7F008F25" w14:textId="519811EB" w:rsidR="00AF3C20" w:rsidRPr="00EA11E2" w:rsidRDefault="00AF3C20" w:rsidP="003B2A8B">
      <w:pPr>
        <w:pStyle w:val="ListParagraph"/>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EA11E2">
        <w:rPr>
          <w:rFonts w:ascii="Times New Roman" w:hAnsi="Times New Roman" w:cs="Times New Roman"/>
          <w:sz w:val="20"/>
          <w:szCs w:val="20"/>
        </w:rPr>
        <w:t>Th</w:t>
      </w:r>
      <w:r w:rsidR="003B2A8B" w:rsidRPr="00EA11E2">
        <w:rPr>
          <w:rFonts w:ascii="Times New Roman" w:hAnsi="Times New Roman" w:cs="Times New Roman"/>
          <w:sz w:val="20"/>
          <w:szCs w:val="20"/>
        </w:rPr>
        <w:t>at</w:t>
      </w:r>
      <w:r w:rsidRPr="00EA11E2">
        <w:rPr>
          <w:rFonts w:ascii="Times New Roman" w:hAnsi="Times New Roman" w:cs="Times New Roman"/>
          <w:sz w:val="20"/>
          <w:szCs w:val="20"/>
        </w:rPr>
        <w:t xml:space="preserve"> communication </w:t>
      </w:r>
      <w:r w:rsidR="00B409F8" w:rsidRPr="00EA11E2">
        <w:rPr>
          <w:rFonts w:ascii="Times New Roman" w:hAnsi="Times New Roman" w:cs="Times New Roman"/>
          <w:sz w:val="20"/>
          <w:szCs w:val="20"/>
        </w:rPr>
        <w:t>is summarised in</w:t>
      </w:r>
      <w:r w:rsidR="003B2A8B" w:rsidRPr="00EA11E2">
        <w:rPr>
          <w:rFonts w:ascii="Times New Roman" w:hAnsi="Times New Roman" w:cs="Times New Roman"/>
          <w:sz w:val="20"/>
          <w:szCs w:val="20"/>
        </w:rPr>
        <w:t xml:space="preserve"> paragraphs 2 and 3 of </w:t>
      </w:r>
      <w:r w:rsidR="003B2A8B" w:rsidRPr="00EA11E2">
        <w:rPr>
          <w:rFonts w:ascii="Times New Roman" w:hAnsi="Times New Roman" w:cs="Times New Roman"/>
          <w:sz w:val="20"/>
          <w:szCs w:val="20"/>
          <w:lang w:val="en-US"/>
        </w:rPr>
        <w:t xml:space="preserve">the Committee’s findings and recommendations with regard to communication ACCC/C/2008/32 (Part I) concerning compliance by the </w:t>
      </w:r>
      <w:r w:rsidR="00D064A5" w:rsidRPr="00EA11E2">
        <w:rPr>
          <w:rFonts w:ascii="Times New Roman" w:hAnsi="Times New Roman" w:cs="Times New Roman"/>
          <w:sz w:val="20"/>
          <w:szCs w:val="20"/>
          <w:lang w:val="en-US"/>
        </w:rPr>
        <w:t>EU</w:t>
      </w:r>
      <w:r w:rsidR="003B2A8B" w:rsidRPr="00EA11E2">
        <w:rPr>
          <w:rStyle w:val="FootnoteReference"/>
          <w:rFonts w:ascii="Times New Roman" w:hAnsi="Times New Roman" w:cs="Times New Roman"/>
          <w:sz w:val="20"/>
          <w:szCs w:val="20"/>
          <w:lang w:val="en-US"/>
        </w:rPr>
        <w:footnoteReference w:id="4"/>
      </w:r>
      <w:r w:rsidR="007A3E69" w:rsidRPr="00EA11E2">
        <w:rPr>
          <w:rFonts w:ascii="Times New Roman" w:hAnsi="Times New Roman" w:cs="Times New Roman"/>
          <w:sz w:val="20"/>
          <w:szCs w:val="20"/>
          <w:lang w:val="en-US"/>
        </w:rPr>
        <w:t>,</w:t>
      </w:r>
      <w:r w:rsidR="003B2A8B" w:rsidRPr="00EA11E2">
        <w:rPr>
          <w:rFonts w:ascii="Times New Roman" w:hAnsi="Times New Roman" w:cs="Times New Roman"/>
          <w:sz w:val="20"/>
          <w:szCs w:val="20"/>
          <w:lang w:val="en-US"/>
        </w:rPr>
        <w:t xml:space="preserve"> which were adopted by the Compliance Committee at its</w:t>
      </w:r>
      <w:r w:rsidR="003B2A8B" w:rsidRPr="00EA11E2">
        <w:rPr>
          <w:rFonts w:ascii="Times New Roman" w:eastAsia="Times New Roman" w:hAnsi="Times New Roman" w:cs="Times New Roman"/>
          <w:sz w:val="20"/>
          <w:szCs w:val="20"/>
          <w:lang w:eastAsia="ru-RU"/>
        </w:rPr>
        <w:t xml:space="preserve"> thirty-second meeting (Geneva, 11-14 April 2011)</w:t>
      </w:r>
      <w:r w:rsidR="008B029B" w:rsidRPr="00EA11E2">
        <w:rPr>
          <w:rFonts w:ascii="Times New Roman" w:eastAsia="Times New Roman" w:hAnsi="Times New Roman" w:cs="Times New Roman"/>
          <w:sz w:val="20"/>
          <w:szCs w:val="20"/>
          <w:lang w:eastAsia="ru-RU"/>
        </w:rPr>
        <w:t>.</w:t>
      </w:r>
      <w:r w:rsidR="003B2A8B" w:rsidRPr="00EA11E2">
        <w:rPr>
          <w:rFonts w:ascii="Times New Roman" w:hAnsi="Times New Roman" w:cs="Times New Roman"/>
          <w:sz w:val="20"/>
          <w:szCs w:val="20"/>
          <w:lang w:val="en-US"/>
        </w:rPr>
        <w:t xml:space="preserve"> Paragraphs 4 and 5 of Part I </w:t>
      </w:r>
      <w:r w:rsidR="003B2A8B" w:rsidRPr="00EA11E2">
        <w:rPr>
          <w:rFonts w:ascii="Times New Roman" w:hAnsi="Times New Roman" w:cs="Times New Roman"/>
          <w:sz w:val="20"/>
          <w:szCs w:val="20"/>
        </w:rPr>
        <w:t>explain</w:t>
      </w:r>
      <w:r w:rsidR="00B409F8" w:rsidRPr="00EA11E2">
        <w:rPr>
          <w:rFonts w:ascii="Times New Roman" w:hAnsi="Times New Roman" w:cs="Times New Roman"/>
          <w:sz w:val="20"/>
          <w:szCs w:val="20"/>
        </w:rPr>
        <w:t xml:space="preserve"> that the Committee determined that the communication was admissible and describes the procedure that was followed. </w:t>
      </w:r>
    </w:p>
    <w:p w14:paraId="53807E31" w14:textId="77777777" w:rsidR="00D63477" w:rsidRPr="00EA11E2" w:rsidRDefault="00D63477" w:rsidP="00AF658F">
      <w:pPr>
        <w:pStyle w:val="ListParagraph"/>
        <w:spacing w:after="0" w:line="240" w:lineRule="auto"/>
        <w:ind w:left="0"/>
        <w:jc w:val="both"/>
        <w:rPr>
          <w:rFonts w:ascii="Times New Roman" w:eastAsia="Times New Roman" w:hAnsi="Times New Roman" w:cs="Times New Roman"/>
          <w:sz w:val="20"/>
          <w:szCs w:val="20"/>
          <w:lang w:eastAsia="ru-RU"/>
        </w:rPr>
      </w:pPr>
      <w:r w:rsidRPr="00EA11E2">
        <w:rPr>
          <w:rFonts w:ascii="Times New Roman" w:hAnsi="Times New Roman" w:cs="Times New Roman"/>
          <w:sz w:val="20"/>
          <w:szCs w:val="20"/>
        </w:rPr>
        <w:t xml:space="preserve"> </w:t>
      </w:r>
    </w:p>
    <w:p w14:paraId="03761278" w14:textId="7C553BBF" w:rsidR="00207D26" w:rsidRPr="00EA11E2" w:rsidRDefault="00207D26" w:rsidP="00D63477">
      <w:pPr>
        <w:pStyle w:val="ListParagraph"/>
        <w:numPr>
          <w:ilvl w:val="0"/>
          <w:numId w:val="6"/>
        </w:numPr>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lang w:eastAsia="ru-RU"/>
        </w:rPr>
        <w:t>In P</w:t>
      </w:r>
      <w:r w:rsidR="00AF3C20" w:rsidRPr="00EA11E2">
        <w:rPr>
          <w:rFonts w:ascii="Times New Roman" w:hAnsi="Times New Roman" w:cs="Times New Roman"/>
          <w:sz w:val="20"/>
          <w:szCs w:val="20"/>
          <w:lang w:eastAsia="ru-RU"/>
        </w:rPr>
        <w:t xml:space="preserve">art I the Committee focused </w:t>
      </w:r>
      <w:r w:rsidR="00AF3C20" w:rsidRPr="00EA11E2">
        <w:rPr>
          <w:rFonts w:ascii="Times New Roman" w:hAnsi="Times New Roman" w:cs="Times New Roman"/>
          <w:sz w:val="20"/>
          <w:szCs w:val="20"/>
        </w:rPr>
        <w:t>on the main allegation of the communicant by examining the jurisprudence of the EU Courts on access to justice in environmental matters generally. In doing so, the Committee</w:t>
      </w:r>
      <w:r w:rsidR="00F04FE2" w:rsidRPr="00EA11E2">
        <w:rPr>
          <w:rFonts w:ascii="Times New Roman" w:hAnsi="Times New Roman" w:cs="Times New Roman"/>
          <w:sz w:val="20"/>
          <w:szCs w:val="20"/>
        </w:rPr>
        <w:t xml:space="preserve"> </w:t>
      </w:r>
      <w:r w:rsidR="00AF3C20" w:rsidRPr="00EA11E2">
        <w:rPr>
          <w:rFonts w:ascii="Times New Roman" w:hAnsi="Times New Roman" w:cs="Times New Roman"/>
          <w:sz w:val="20"/>
          <w:szCs w:val="20"/>
        </w:rPr>
        <w:t xml:space="preserve">considered whether in the </w:t>
      </w:r>
      <w:r w:rsidR="00AF3C20" w:rsidRPr="00EA11E2">
        <w:rPr>
          <w:rFonts w:ascii="Times New Roman" w:hAnsi="Times New Roman" w:cs="Times New Roman"/>
          <w:i/>
          <w:iCs/>
          <w:sz w:val="20"/>
          <w:szCs w:val="20"/>
        </w:rPr>
        <w:t xml:space="preserve">WWF-UK </w:t>
      </w:r>
      <w:r w:rsidR="00AF3C20" w:rsidRPr="00EA11E2">
        <w:rPr>
          <w:rFonts w:ascii="Times New Roman" w:hAnsi="Times New Roman" w:cs="Times New Roman"/>
          <w:sz w:val="20"/>
          <w:szCs w:val="20"/>
        </w:rPr>
        <w:t>case the EU Courts had accounted for the fact that the Aarhus Convention had entered into force for the Party concerned</w:t>
      </w:r>
      <w:r w:rsidR="00B13398" w:rsidRPr="00EA11E2">
        <w:rPr>
          <w:rFonts w:ascii="Times New Roman" w:hAnsi="Times New Roman" w:cs="Times New Roman"/>
          <w:sz w:val="20"/>
          <w:szCs w:val="20"/>
        </w:rPr>
        <w:t>. The Committee</w:t>
      </w:r>
      <w:r w:rsidR="00AF3C20" w:rsidRPr="00EA11E2">
        <w:rPr>
          <w:rFonts w:ascii="Times New Roman" w:hAnsi="Times New Roman" w:cs="Times New Roman"/>
          <w:sz w:val="20"/>
          <w:szCs w:val="20"/>
        </w:rPr>
        <w:t xml:space="preserve"> decided not to make specific findings on whether the case in itself amounted to non-compliance with the Convention. In addition, while awaiting the outcome of the </w:t>
      </w:r>
      <w:proofErr w:type="spellStart"/>
      <w:r w:rsidR="00AF3C20" w:rsidRPr="00EA11E2">
        <w:rPr>
          <w:rFonts w:ascii="Times New Roman" w:hAnsi="Times New Roman" w:cs="Times New Roman"/>
          <w:i/>
          <w:iCs/>
          <w:sz w:val="20"/>
          <w:szCs w:val="20"/>
        </w:rPr>
        <w:t>Stichting</w:t>
      </w:r>
      <w:proofErr w:type="spellEnd"/>
      <w:r w:rsidR="00AF3C20" w:rsidRPr="00EA11E2">
        <w:rPr>
          <w:rFonts w:ascii="Times New Roman" w:hAnsi="Times New Roman" w:cs="Times New Roman"/>
          <w:i/>
          <w:iCs/>
          <w:sz w:val="20"/>
          <w:szCs w:val="20"/>
        </w:rPr>
        <w:t xml:space="preserve"> Milieu </w:t>
      </w:r>
      <w:r w:rsidR="00AF3C20" w:rsidRPr="00EA11E2">
        <w:rPr>
          <w:rFonts w:ascii="Times New Roman" w:hAnsi="Times New Roman" w:cs="Times New Roman"/>
          <w:sz w:val="20"/>
          <w:szCs w:val="20"/>
        </w:rPr>
        <w:t xml:space="preserve">case, which was still pending before the EU Courts, the Committee refrained from examining whether </w:t>
      </w:r>
      <w:r w:rsidR="00D63477" w:rsidRPr="00EA11E2">
        <w:rPr>
          <w:rFonts w:ascii="Times New Roman" w:hAnsi="Times New Roman" w:cs="Times New Roman"/>
          <w:color w:val="141413"/>
          <w:sz w:val="20"/>
          <w:szCs w:val="20"/>
          <w:lang w:val="en-US"/>
        </w:rPr>
        <w:t>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(the Aarhus Regulation)</w:t>
      </w:r>
      <w:r w:rsidR="00AF3C20" w:rsidRPr="00EA11E2">
        <w:rPr>
          <w:rFonts w:ascii="Times New Roman" w:hAnsi="Times New Roman" w:cs="Times New Roman"/>
          <w:sz w:val="20"/>
          <w:szCs w:val="20"/>
        </w:rPr>
        <w:t xml:space="preserve"> or any other relevant internal administrative review procedure of the EU met the requirements on access to justice in the Convention. The Committee</w:t>
      </w:r>
      <w:r w:rsidR="00AF3C20" w:rsidRPr="00EA11E2">
        <w:rPr>
          <w:rFonts w:ascii="Times New Roman" w:hAnsi="Times New Roman" w:cs="Times New Roman"/>
          <w:sz w:val="20"/>
          <w:szCs w:val="20"/>
          <w:lang w:eastAsia="ru-RU"/>
        </w:rPr>
        <w:t xml:space="preserve"> decided to stay its proceedings and the adoption of its findings with regard to the second part of communication ACCC/C/2008/32 until the Court of Justice of the European Union (the European Court of Justice) (hereinafter the ECJ) adopted its ruling in joined cases C-401/12 P to C-403/12 P</w:t>
      </w:r>
      <w:r w:rsidR="00AF3C20" w:rsidRPr="00EA11E2">
        <w:rPr>
          <w:rStyle w:val="FootnoteReference"/>
          <w:rFonts w:ascii="Times New Roman" w:eastAsia="Times New Roman" w:hAnsi="Times New Roman" w:cs="Times New Roman"/>
          <w:sz w:val="20"/>
          <w:szCs w:val="20"/>
          <w:lang w:eastAsia="ru-RU"/>
        </w:rPr>
        <w:footnoteReference w:id="5"/>
      </w:r>
      <w:r w:rsidR="00AF3C20" w:rsidRPr="00EA11E2">
        <w:rPr>
          <w:rFonts w:ascii="Times New Roman" w:hAnsi="Times New Roman" w:cs="Times New Roman"/>
          <w:sz w:val="20"/>
          <w:szCs w:val="20"/>
          <w:lang w:eastAsia="ru-RU"/>
        </w:rPr>
        <w:t xml:space="preserve"> and joined cases C-404/12 P and C-405/12 P</w:t>
      </w:r>
      <w:r w:rsidR="00AF3C20" w:rsidRPr="00EA11E2">
        <w:rPr>
          <w:rStyle w:val="FootnoteReference"/>
          <w:rFonts w:ascii="Times New Roman" w:eastAsia="Times New Roman" w:hAnsi="Times New Roman" w:cs="Times New Roman"/>
          <w:sz w:val="20"/>
          <w:szCs w:val="20"/>
          <w:lang w:eastAsia="ru-RU"/>
        </w:rPr>
        <w:footnoteReference w:id="6"/>
      </w:r>
      <w:r w:rsidR="00AF3C20" w:rsidRPr="00EA11E2">
        <w:rPr>
          <w:rFonts w:ascii="Times New Roman" w:hAnsi="Times New Roman" w:cs="Times New Roman"/>
          <w:sz w:val="20"/>
          <w:szCs w:val="20"/>
          <w:lang w:eastAsia="ru-RU"/>
        </w:rPr>
        <w:t>.</w:t>
      </w:r>
    </w:p>
    <w:p w14:paraId="63AF31F3" w14:textId="77777777" w:rsidR="00207D26" w:rsidRPr="00EA11E2" w:rsidRDefault="00207D26" w:rsidP="00207D26">
      <w:pPr>
        <w:pStyle w:val="ListParagraph"/>
        <w:spacing w:after="0" w:line="240" w:lineRule="auto"/>
        <w:ind w:left="0"/>
        <w:jc w:val="both"/>
        <w:rPr>
          <w:rFonts w:ascii="Times New Roman" w:eastAsia="Times New Roman" w:hAnsi="Times New Roman" w:cs="Times New Roman"/>
          <w:sz w:val="20"/>
          <w:szCs w:val="20"/>
          <w:lang w:eastAsia="ru-RU"/>
        </w:rPr>
      </w:pPr>
    </w:p>
    <w:p w14:paraId="531C257F" w14:textId="6CE210E9" w:rsidR="00207D26" w:rsidRPr="00EA11E2" w:rsidRDefault="00207D26" w:rsidP="00207D26">
      <w:pPr>
        <w:pStyle w:val="ListParagraph"/>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EA11E2">
        <w:rPr>
          <w:rFonts w:ascii="Times New Roman" w:eastAsia="Times New Roman" w:hAnsi="Times New Roman" w:cs="Times New Roman"/>
          <w:sz w:val="20"/>
          <w:szCs w:val="20"/>
          <w:lang w:eastAsia="ru-RU"/>
        </w:rPr>
        <w:t>A more detailed analysis of</w:t>
      </w:r>
      <w:r w:rsidR="00F33BEB" w:rsidRPr="00EA11E2">
        <w:rPr>
          <w:rFonts w:ascii="Times New Roman" w:eastAsia="Times New Roman" w:hAnsi="Times New Roman" w:cs="Times New Roman"/>
          <w:sz w:val="20"/>
          <w:szCs w:val="20"/>
          <w:lang w:eastAsia="ru-RU"/>
        </w:rPr>
        <w:t xml:space="preserve"> the Committee’s findings in</w:t>
      </w:r>
      <w:r w:rsidRPr="00EA11E2">
        <w:rPr>
          <w:rFonts w:ascii="Times New Roman" w:eastAsia="Times New Roman" w:hAnsi="Times New Roman" w:cs="Times New Roman"/>
          <w:sz w:val="20"/>
          <w:szCs w:val="20"/>
          <w:lang w:eastAsia="ru-RU"/>
        </w:rPr>
        <w:t xml:space="preserve"> Part I appears below in paragraph</w:t>
      </w:r>
      <w:r w:rsidR="00F33BEB" w:rsidRPr="00EA11E2">
        <w:rPr>
          <w:rFonts w:ascii="Times New Roman" w:eastAsia="Times New Roman" w:hAnsi="Times New Roman" w:cs="Times New Roman"/>
          <w:sz w:val="20"/>
          <w:szCs w:val="20"/>
          <w:lang w:eastAsia="ru-RU"/>
        </w:rPr>
        <w:t>s</w:t>
      </w:r>
      <w:r w:rsidRPr="00EA11E2">
        <w:rPr>
          <w:rFonts w:ascii="Times New Roman" w:eastAsia="Times New Roman" w:hAnsi="Times New Roman" w:cs="Times New Roman"/>
          <w:sz w:val="20"/>
          <w:szCs w:val="20"/>
          <w:lang w:eastAsia="ru-RU"/>
        </w:rPr>
        <w:t xml:space="preserve"> </w:t>
      </w:r>
      <w:r w:rsidR="00F33BEB" w:rsidRPr="00EA11E2">
        <w:rPr>
          <w:rFonts w:ascii="Times New Roman" w:eastAsia="Times New Roman" w:hAnsi="Times New Roman" w:cs="Times New Roman"/>
          <w:sz w:val="20"/>
          <w:szCs w:val="20"/>
          <w:lang w:eastAsia="ru-RU"/>
        </w:rPr>
        <w:fldChar w:fldCharType="begin"/>
      </w:r>
      <w:r w:rsidR="00F33BEB" w:rsidRPr="00EA11E2">
        <w:rPr>
          <w:rFonts w:ascii="Times New Roman" w:eastAsia="Times New Roman" w:hAnsi="Times New Roman" w:cs="Times New Roman"/>
          <w:sz w:val="20"/>
          <w:szCs w:val="20"/>
          <w:lang w:eastAsia="ru-RU"/>
        </w:rPr>
        <w:instrText xml:space="preserve"> REF _Ref454515931 \r \h  \* MERGEFORMAT </w:instrText>
      </w:r>
      <w:r w:rsidR="00F33BEB" w:rsidRPr="00EA11E2">
        <w:rPr>
          <w:rFonts w:ascii="Times New Roman" w:eastAsia="Times New Roman" w:hAnsi="Times New Roman" w:cs="Times New Roman"/>
          <w:sz w:val="20"/>
          <w:szCs w:val="20"/>
          <w:lang w:eastAsia="ru-RU"/>
        </w:rPr>
      </w:r>
      <w:r w:rsidR="00F33BEB" w:rsidRPr="00EA11E2">
        <w:rPr>
          <w:rFonts w:ascii="Times New Roman" w:eastAsia="Times New Roman" w:hAnsi="Times New Roman" w:cs="Times New Roman"/>
          <w:sz w:val="20"/>
          <w:szCs w:val="20"/>
          <w:lang w:eastAsia="ru-RU"/>
        </w:rPr>
        <w:fldChar w:fldCharType="separate"/>
      </w:r>
      <w:r w:rsidR="00551E42">
        <w:rPr>
          <w:rFonts w:ascii="Times New Roman" w:eastAsia="Times New Roman" w:hAnsi="Times New Roman" w:cs="Times New Roman"/>
          <w:sz w:val="20"/>
          <w:szCs w:val="20"/>
          <w:lang w:eastAsia="ru-RU"/>
        </w:rPr>
        <w:t>37</w:t>
      </w:r>
      <w:r w:rsidR="00F33BEB" w:rsidRPr="00EA11E2">
        <w:rPr>
          <w:rFonts w:ascii="Times New Roman" w:eastAsia="Times New Roman" w:hAnsi="Times New Roman" w:cs="Times New Roman"/>
          <w:sz w:val="20"/>
          <w:szCs w:val="20"/>
          <w:lang w:eastAsia="ru-RU"/>
        </w:rPr>
        <w:fldChar w:fldCharType="end"/>
      </w:r>
      <w:r w:rsidR="00F33BEB" w:rsidRPr="00EA11E2">
        <w:rPr>
          <w:rFonts w:ascii="Times New Roman" w:eastAsia="Times New Roman" w:hAnsi="Times New Roman" w:cs="Times New Roman"/>
          <w:sz w:val="20"/>
          <w:szCs w:val="20"/>
          <w:lang w:eastAsia="ru-RU"/>
        </w:rPr>
        <w:t>-</w:t>
      </w:r>
      <w:r w:rsidR="00F33BEB" w:rsidRPr="00EA11E2">
        <w:rPr>
          <w:rFonts w:ascii="Times New Roman" w:eastAsia="Times New Roman" w:hAnsi="Times New Roman" w:cs="Times New Roman"/>
          <w:sz w:val="20"/>
          <w:szCs w:val="20"/>
          <w:lang w:eastAsia="ru-RU"/>
        </w:rPr>
        <w:fldChar w:fldCharType="begin"/>
      </w:r>
      <w:r w:rsidR="00F33BEB" w:rsidRPr="00EA11E2">
        <w:rPr>
          <w:rFonts w:ascii="Times New Roman" w:eastAsia="Times New Roman" w:hAnsi="Times New Roman" w:cs="Times New Roman"/>
          <w:sz w:val="20"/>
          <w:szCs w:val="20"/>
          <w:lang w:eastAsia="ru-RU"/>
        </w:rPr>
        <w:instrText xml:space="preserve"> REF _Ref454515934 \r \h  \* MERGEFORMAT </w:instrText>
      </w:r>
      <w:r w:rsidR="00F33BEB" w:rsidRPr="00EA11E2">
        <w:rPr>
          <w:rFonts w:ascii="Times New Roman" w:eastAsia="Times New Roman" w:hAnsi="Times New Roman" w:cs="Times New Roman"/>
          <w:sz w:val="20"/>
          <w:szCs w:val="20"/>
          <w:lang w:eastAsia="ru-RU"/>
        </w:rPr>
      </w:r>
      <w:r w:rsidR="00F33BEB" w:rsidRPr="00EA11E2">
        <w:rPr>
          <w:rFonts w:ascii="Times New Roman" w:eastAsia="Times New Roman" w:hAnsi="Times New Roman" w:cs="Times New Roman"/>
          <w:sz w:val="20"/>
          <w:szCs w:val="20"/>
          <w:lang w:eastAsia="ru-RU"/>
        </w:rPr>
        <w:fldChar w:fldCharType="separate"/>
      </w:r>
      <w:r w:rsidR="00551E42">
        <w:rPr>
          <w:rFonts w:ascii="Times New Roman" w:eastAsia="Times New Roman" w:hAnsi="Times New Roman" w:cs="Times New Roman"/>
          <w:sz w:val="20"/>
          <w:szCs w:val="20"/>
          <w:lang w:eastAsia="ru-RU"/>
        </w:rPr>
        <w:t>38</w:t>
      </w:r>
      <w:r w:rsidR="00F33BEB" w:rsidRPr="00EA11E2">
        <w:rPr>
          <w:rFonts w:ascii="Times New Roman" w:eastAsia="Times New Roman" w:hAnsi="Times New Roman" w:cs="Times New Roman"/>
          <w:sz w:val="20"/>
          <w:szCs w:val="20"/>
          <w:lang w:eastAsia="ru-RU"/>
        </w:rPr>
        <w:fldChar w:fldCharType="end"/>
      </w:r>
      <w:r w:rsidRPr="00EA11E2">
        <w:rPr>
          <w:rFonts w:ascii="Times New Roman" w:eastAsia="Times New Roman" w:hAnsi="Times New Roman" w:cs="Times New Roman"/>
          <w:sz w:val="20"/>
          <w:szCs w:val="20"/>
          <w:lang w:eastAsia="ru-RU"/>
        </w:rPr>
        <w:t xml:space="preserve">. </w:t>
      </w:r>
    </w:p>
    <w:p w14:paraId="79D75A64" w14:textId="77777777" w:rsidR="00700578" w:rsidRPr="00EA11E2" w:rsidRDefault="00700578" w:rsidP="00C2606E">
      <w:pPr>
        <w:pStyle w:val="ListParagraph"/>
        <w:spacing w:after="0" w:line="240" w:lineRule="auto"/>
        <w:ind w:left="0"/>
        <w:jc w:val="both"/>
        <w:rPr>
          <w:rFonts w:ascii="Times New Roman" w:eastAsia="Times New Roman" w:hAnsi="Times New Roman" w:cs="Times New Roman"/>
          <w:sz w:val="20"/>
          <w:szCs w:val="20"/>
          <w:lang w:eastAsia="ru-RU"/>
        </w:rPr>
      </w:pPr>
    </w:p>
    <w:p w14:paraId="55B3A5B0" w14:textId="25D0312D" w:rsidR="00A2377F" w:rsidRPr="00EA11E2" w:rsidRDefault="00BE198B" w:rsidP="00273FBA">
      <w:pPr>
        <w:pStyle w:val="ListParagraph"/>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EA11E2">
        <w:rPr>
          <w:rFonts w:ascii="Times New Roman" w:eastAsia="Times New Roman" w:hAnsi="Times New Roman" w:cs="Times New Roman"/>
          <w:sz w:val="20"/>
          <w:szCs w:val="20"/>
          <w:lang w:eastAsia="ru-RU"/>
        </w:rPr>
        <w:t xml:space="preserve">On 23 July 2012, the communicant </w:t>
      </w:r>
      <w:r w:rsidR="00273FBA" w:rsidRPr="00EA11E2">
        <w:rPr>
          <w:rFonts w:ascii="Times New Roman" w:eastAsia="Times New Roman" w:hAnsi="Times New Roman" w:cs="Times New Roman"/>
          <w:sz w:val="20"/>
          <w:szCs w:val="20"/>
          <w:lang w:eastAsia="ru-RU"/>
        </w:rPr>
        <w:t xml:space="preserve">informed </w:t>
      </w:r>
      <w:r w:rsidR="00847FBA" w:rsidRPr="00EA11E2">
        <w:rPr>
          <w:rFonts w:ascii="Times New Roman" w:eastAsia="Times New Roman" w:hAnsi="Times New Roman" w:cs="Times New Roman"/>
          <w:color w:val="000000" w:themeColor="text1"/>
          <w:sz w:val="20"/>
          <w:szCs w:val="20"/>
          <w:lang w:eastAsia="ru-RU"/>
        </w:rPr>
        <w:t>the Committee</w:t>
      </w:r>
      <w:r w:rsidR="00847FBA" w:rsidRPr="00EA11E2">
        <w:rPr>
          <w:rFonts w:ascii="Times New Roman" w:eastAsia="Times New Roman" w:hAnsi="Times New Roman" w:cs="Times New Roman"/>
          <w:color w:val="FF6600"/>
          <w:sz w:val="20"/>
          <w:szCs w:val="20"/>
          <w:lang w:eastAsia="ru-RU"/>
        </w:rPr>
        <w:t xml:space="preserve"> </w:t>
      </w:r>
      <w:r w:rsidR="00273FBA" w:rsidRPr="00EA11E2">
        <w:rPr>
          <w:rFonts w:ascii="Times New Roman" w:eastAsia="Times New Roman" w:hAnsi="Times New Roman" w:cs="Times New Roman"/>
          <w:sz w:val="20"/>
          <w:szCs w:val="20"/>
          <w:lang w:eastAsia="ru-RU"/>
        </w:rPr>
        <w:t xml:space="preserve">of the European Commission decision of 18 July 2012 to submit an appeal before the Court of Justice seeking the annulment of the judgment of 14 June 2012 in </w:t>
      </w:r>
      <w:r w:rsidR="008A1BDA" w:rsidRPr="00EA11E2">
        <w:rPr>
          <w:rFonts w:ascii="Times New Roman" w:eastAsia="Times New Roman" w:hAnsi="Times New Roman" w:cs="Times New Roman"/>
          <w:sz w:val="20"/>
          <w:szCs w:val="20"/>
          <w:lang w:eastAsia="ru-RU"/>
        </w:rPr>
        <w:t xml:space="preserve">the </w:t>
      </w:r>
      <w:proofErr w:type="spellStart"/>
      <w:r w:rsidR="008A1BDA" w:rsidRPr="00EA11E2">
        <w:rPr>
          <w:rFonts w:ascii="Times New Roman" w:eastAsia="Times New Roman" w:hAnsi="Times New Roman" w:cs="Times New Roman"/>
          <w:sz w:val="20"/>
          <w:szCs w:val="20"/>
          <w:lang w:eastAsia="ru-RU"/>
        </w:rPr>
        <w:t>Stichting</w:t>
      </w:r>
      <w:proofErr w:type="spellEnd"/>
      <w:r w:rsidR="008A1BDA" w:rsidRPr="00EA11E2">
        <w:rPr>
          <w:rFonts w:ascii="Times New Roman" w:eastAsia="Times New Roman" w:hAnsi="Times New Roman" w:cs="Times New Roman"/>
          <w:sz w:val="20"/>
          <w:szCs w:val="20"/>
          <w:lang w:eastAsia="ru-RU"/>
        </w:rPr>
        <w:t xml:space="preserve"> Milieu Case. </w:t>
      </w:r>
      <w:r w:rsidR="00273FBA" w:rsidRPr="00EA11E2">
        <w:rPr>
          <w:rFonts w:ascii="Times New Roman" w:eastAsia="Times New Roman" w:hAnsi="Times New Roman" w:cs="Times New Roman"/>
          <w:sz w:val="20"/>
          <w:szCs w:val="20"/>
          <w:lang w:eastAsia="ru-RU"/>
        </w:rPr>
        <w:t xml:space="preserve"> </w:t>
      </w:r>
    </w:p>
    <w:p w14:paraId="67E83869" w14:textId="77777777" w:rsidR="00AF3C20" w:rsidRPr="00EA11E2" w:rsidRDefault="00AF3C20" w:rsidP="00C2606E">
      <w:pPr>
        <w:pStyle w:val="ListParagraph"/>
        <w:spacing w:after="0" w:line="240" w:lineRule="auto"/>
        <w:ind w:left="0"/>
        <w:jc w:val="both"/>
        <w:rPr>
          <w:rFonts w:ascii="Times New Roman" w:eastAsia="Times New Roman" w:hAnsi="Times New Roman" w:cs="Times New Roman"/>
          <w:sz w:val="20"/>
          <w:szCs w:val="20"/>
          <w:lang w:eastAsia="ru-RU"/>
        </w:rPr>
      </w:pPr>
    </w:p>
    <w:p w14:paraId="52C90E6D" w14:textId="142B13A4" w:rsidR="00AF3C20" w:rsidRPr="00EA11E2" w:rsidRDefault="008A34EA" w:rsidP="00C2606E">
      <w:pPr>
        <w:pStyle w:val="Default"/>
        <w:numPr>
          <w:ilvl w:val="0"/>
          <w:numId w:val="6"/>
        </w:numPr>
        <w:ind w:left="0" w:firstLine="0"/>
        <w:jc w:val="both"/>
        <w:rPr>
          <w:color w:val="auto"/>
          <w:sz w:val="20"/>
          <w:szCs w:val="20"/>
        </w:rPr>
      </w:pPr>
      <w:r w:rsidRPr="00EA11E2">
        <w:rPr>
          <w:rFonts w:eastAsia="Times New Roman"/>
          <w:color w:val="auto"/>
          <w:sz w:val="20"/>
          <w:szCs w:val="20"/>
          <w:lang w:eastAsia="ru-RU"/>
        </w:rPr>
        <w:t>In subsequent correspondence dated</w:t>
      </w:r>
      <w:r w:rsidR="007B00C7" w:rsidRPr="00EA11E2">
        <w:rPr>
          <w:rFonts w:eastAsia="Times New Roman"/>
          <w:color w:val="auto"/>
          <w:sz w:val="20"/>
          <w:szCs w:val="20"/>
          <w:lang w:eastAsia="ru-RU"/>
        </w:rPr>
        <w:t xml:space="preserve"> 20 May 2014, the communicant asked the Committee to consider adopting findings on the second part of the communication ACCC/C/2008/32 given that the communication had been submitted in 2008 and most of the outstanding issues were not within the scope of the court proceedings currently pending before the Court of Justice of the European Union. </w:t>
      </w:r>
    </w:p>
    <w:p w14:paraId="063B5639" w14:textId="77777777" w:rsidR="00AF3C20" w:rsidRPr="00EA11E2" w:rsidRDefault="00AF3C20" w:rsidP="00C2606E">
      <w:pPr>
        <w:pStyle w:val="ListParagraph"/>
        <w:spacing w:after="0"/>
        <w:rPr>
          <w:rFonts w:ascii="Times New Roman" w:hAnsi="Times New Roman" w:cs="Times New Roman"/>
          <w:sz w:val="20"/>
          <w:szCs w:val="20"/>
        </w:rPr>
      </w:pPr>
    </w:p>
    <w:p w14:paraId="2FE1BD80" w14:textId="7F1B5A9E" w:rsidR="00BC6569" w:rsidRPr="00EA11E2" w:rsidRDefault="00D064A5" w:rsidP="00C2606E">
      <w:pPr>
        <w:pStyle w:val="Default"/>
        <w:numPr>
          <w:ilvl w:val="0"/>
          <w:numId w:val="6"/>
        </w:numPr>
        <w:ind w:left="0" w:firstLine="0"/>
        <w:jc w:val="both"/>
        <w:rPr>
          <w:color w:val="auto"/>
          <w:sz w:val="20"/>
          <w:szCs w:val="20"/>
        </w:rPr>
      </w:pPr>
      <w:r w:rsidRPr="00EA11E2" w:rsidDel="00B619F8">
        <w:rPr>
          <w:color w:val="auto"/>
          <w:sz w:val="20"/>
          <w:szCs w:val="20"/>
        </w:rPr>
        <w:lastRenderedPageBreak/>
        <w:t xml:space="preserve"> </w:t>
      </w:r>
      <w:r w:rsidR="00BC6569" w:rsidRPr="00EA11E2">
        <w:rPr>
          <w:color w:val="auto"/>
          <w:sz w:val="20"/>
          <w:szCs w:val="20"/>
        </w:rPr>
        <w:t>At its forty-eighth meeting (24-27 March 2015), the Committee agreed to discuss the content of the communication at its forty-ninth meeting (30 June – 2 July 2015).</w:t>
      </w:r>
    </w:p>
    <w:p w14:paraId="022F9372" w14:textId="77777777" w:rsidR="006F4E93" w:rsidRPr="00EA11E2" w:rsidRDefault="006F4E93" w:rsidP="00C2606E">
      <w:pPr>
        <w:pStyle w:val="ListParagraph"/>
        <w:spacing w:after="0"/>
        <w:rPr>
          <w:rFonts w:ascii="Times New Roman" w:hAnsi="Times New Roman" w:cs="Times New Roman"/>
          <w:sz w:val="20"/>
          <w:szCs w:val="20"/>
        </w:rPr>
      </w:pPr>
    </w:p>
    <w:p w14:paraId="5F362533" w14:textId="5AA8AF64" w:rsidR="00BC6569" w:rsidRPr="00EA11E2" w:rsidRDefault="00BC6569" w:rsidP="00D064A5">
      <w:pPr>
        <w:pStyle w:val="Default"/>
        <w:numPr>
          <w:ilvl w:val="0"/>
          <w:numId w:val="6"/>
        </w:numPr>
        <w:ind w:left="0" w:firstLine="0"/>
        <w:jc w:val="both"/>
        <w:rPr>
          <w:color w:val="auto"/>
          <w:sz w:val="20"/>
          <w:szCs w:val="20"/>
        </w:rPr>
      </w:pPr>
      <w:r w:rsidRPr="00EA11E2">
        <w:rPr>
          <w:color w:val="auto"/>
          <w:sz w:val="20"/>
          <w:szCs w:val="20"/>
        </w:rPr>
        <w:t>The Committee discussed the communication at its forty-ninth meeting, with the participation of representatives of the Party concern</w:t>
      </w:r>
      <w:r w:rsidR="008A1BDA" w:rsidRPr="00EA11E2">
        <w:rPr>
          <w:color w:val="auto"/>
          <w:sz w:val="20"/>
          <w:szCs w:val="20"/>
        </w:rPr>
        <w:t>ed, communicant and observers.</w:t>
      </w:r>
      <w:r w:rsidR="00B619F8" w:rsidRPr="00EA11E2">
        <w:rPr>
          <w:rStyle w:val="FootnoteReference"/>
          <w:color w:val="auto"/>
          <w:sz w:val="20"/>
          <w:szCs w:val="20"/>
        </w:rPr>
        <w:footnoteReference w:id="7"/>
      </w:r>
      <w:r w:rsidR="008A1BDA" w:rsidRPr="00EA11E2">
        <w:rPr>
          <w:color w:val="auto"/>
          <w:sz w:val="20"/>
          <w:szCs w:val="20"/>
        </w:rPr>
        <w:t xml:space="preserve"> </w:t>
      </w:r>
      <w:r w:rsidRPr="00EA11E2">
        <w:rPr>
          <w:color w:val="auto"/>
          <w:sz w:val="20"/>
          <w:szCs w:val="20"/>
        </w:rPr>
        <w:t xml:space="preserve">The Committee </w:t>
      </w:r>
      <w:r w:rsidR="008A1BDA" w:rsidRPr="00EA11E2">
        <w:rPr>
          <w:color w:val="auto"/>
          <w:sz w:val="20"/>
          <w:szCs w:val="20"/>
        </w:rPr>
        <w:t>re-</w:t>
      </w:r>
      <w:r w:rsidRPr="00EA11E2">
        <w:rPr>
          <w:color w:val="auto"/>
          <w:sz w:val="20"/>
          <w:szCs w:val="20"/>
        </w:rPr>
        <w:t>confirmed the admissibility of the communication</w:t>
      </w:r>
      <w:r w:rsidR="00B619F8" w:rsidRPr="00EA11E2">
        <w:rPr>
          <w:color w:val="auto"/>
          <w:sz w:val="20"/>
          <w:szCs w:val="20"/>
        </w:rPr>
        <w:t xml:space="preserve"> and commenced deliberations on its draft findings in closed session</w:t>
      </w:r>
      <w:r w:rsidR="008A1BDA" w:rsidRPr="00EA11E2">
        <w:rPr>
          <w:color w:val="auto"/>
          <w:sz w:val="20"/>
          <w:szCs w:val="20"/>
        </w:rPr>
        <w:t xml:space="preserve">. </w:t>
      </w:r>
    </w:p>
    <w:p w14:paraId="3B3E0A91" w14:textId="77777777" w:rsidR="00A2377F" w:rsidRPr="00EA11E2" w:rsidRDefault="00A2377F" w:rsidP="00847FBA">
      <w:pPr>
        <w:pStyle w:val="Default"/>
        <w:jc w:val="both"/>
        <w:rPr>
          <w:color w:val="auto"/>
          <w:sz w:val="20"/>
          <w:szCs w:val="20"/>
        </w:rPr>
      </w:pPr>
    </w:p>
    <w:p w14:paraId="4114120A" w14:textId="557BDD6A" w:rsidR="00F7273E" w:rsidRPr="00EA11E2" w:rsidRDefault="00AC1A2F" w:rsidP="00C2606E">
      <w:pPr>
        <w:pStyle w:val="ListParagraph"/>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EA11E2">
        <w:rPr>
          <w:rFonts w:ascii="Times New Roman" w:hAnsi="Times New Roman" w:cs="Times New Roman"/>
          <w:sz w:val="20"/>
          <w:szCs w:val="20"/>
        </w:rPr>
        <w:t xml:space="preserve">The Committee </w:t>
      </w:r>
      <w:r w:rsidR="00B619F8" w:rsidRPr="00EA11E2">
        <w:rPr>
          <w:rFonts w:ascii="Times New Roman" w:hAnsi="Times New Roman" w:cs="Times New Roman"/>
          <w:sz w:val="20"/>
          <w:szCs w:val="20"/>
        </w:rPr>
        <w:t xml:space="preserve">agreed </w:t>
      </w:r>
      <w:r w:rsidR="00EA11E2">
        <w:rPr>
          <w:rFonts w:ascii="Times New Roman" w:hAnsi="Times New Roman" w:cs="Times New Roman"/>
          <w:sz w:val="20"/>
          <w:szCs w:val="20"/>
        </w:rPr>
        <w:t xml:space="preserve">its </w:t>
      </w:r>
      <w:r w:rsidRPr="00EA11E2">
        <w:rPr>
          <w:rFonts w:ascii="Times New Roman" w:hAnsi="Times New Roman" w:cs="Times New Roman"/>
          <w:sz w:val="20"/>
          <w:szCs w:val="20"/>
        </w:rPr>
        <w:t xml:space="preserve">draft findings </w:t>
      </w:r>
      <w:r w:rsidR="00EA11E2">
        <w:rPr>
          <w:rFonts w:ascii="Times New Roman" w:hAnsi="Times New Roman" w:cs="Times New Roman"/>
          <w:sz w:val="20"/>
          <w:szCs w:val="20"/>
        </w:rPr>
        <w:t xml:space="preserve">on Part II of the communication </w:t>
      </w:r>
      <w:r w:rsidRPr="00EA11E2">
        <w:rPr>
          <w:rFonts w:ascii="Times New Roman" w:hAnsi="Times New Roman" w:cs="Times New Roman"/>
          <w:sz w:val="20"/>
          <w:szCs w:val="20"/>
        </w:rPr>
        <w:t xml:space="preserve">at its </w:t>
      </w:r>
      <w:r w:rsidR="00EA11E2">
        <w:rPr>
          <w:rFonts w:ascii="Times New Roman" w:eastAsia="Times New Roman" w:hAnsi="Times New Roman" w:cs="Times New Roman"/>
          <w:sz w:val="20"/>
          <w:szCs w:val="20"/>
          <w:lang w:eastAsia="ru-RU"/>
        </w:rPr>
        <w:t>fifty-third</w:t>
      </w:r>
      <w:r w:rsidRPr="00EA11E2">
        <w:rPr>
          <w:rFonts w:ascii="Times New Roman" w:eastAsia="Times New Roman" w:hAnsi="Times New Roman" w:cs="Times New Roman"/>
          <w:sz w:val="20"/>
          <w:szCs w:val="20"/>
          <w:lang w:eastAsia="ru-RU"/>
        </w:rPr>
        <w:t xml:space="preserve"> meeting (</w:t>
      </w:r>
      <w:r w:rsidR="00EA11E2">
        <w:rPr>
          <w:rFonts w:ascii="Times New Roman" w:eastAsia="Times New Roman" w:hAnsi="Times New Roman" w:cs="Times New Roman"/>
          <w:sz w:val="20"/>
          <w:szCs w:val="20"/>
          <w:lang w:eastAsia="ru-RU"/>
        </w:rPr>
        <w:t xml:space="preserve">Geneva, 21-24 June </w:t>
      </w:r>
      <w:r w:rsidR="00B619F8" w:rsidRPr="00EA11E2">
        <w:rPr>
          <w:rFonts w:ascii="Times New Roman" w:eastAsia="Times New Roman" w:hAnsi="Times New Roman" w:cs="Times New Roman"/>
          <w:sz w:val="20"/>
          <w:szCs w:val="20"/>
          <w:lang w:eastAsia="ru-RU"/>
        </w:rPr>
        <w:t>2016</w:t>
      </w:r>
      <w:r w:rsidRPr="00EA11E2">
        <w:rPr>
          <w:rFonts w:ascii="Times New Roman" w:eastAsia="Times New Roman" w:hAnsi="Times New Roman" w:cs="Times New Roman"/>
          <w:sz w:val="20"/>
          <w:szCs w:val="20"/>
          <w:lang w:eastAsia="ru-RU"/>
        </w:rPr>
        <w:t>)</w:t>
      </w:r>
      <w:r w:rsidR="00B619F8" w:rsidRPr="00EA11E2">
        <w:rPr>
          <w:rFonts w:ascii="Times New Roman" w:eastAsia="Times New Roman" w:hAnsi="Times New Roman" w:cs="Times New Roman"/>
          <w:sz w:val="20"/>
          <w:szCs w:val="20"/>
          <w:lang w:eastAsia="ru-RU"/>
        </w:rPr>
        <w:t xml:space="preserve">. </w:t>
      </w:r>
      <w:r w:rsidR="00F7273E" w:rsidRPr="00EA11E2">
        <w:rPr>
          <w:rFonts w:ascii="Times New Roman" w:eastAsia="Times New Roman" w:hAnsi="Times New Roman" w:cs="Times New Roman"/>
          <w:sz w:val="20"/>
          <w:szCs w:val="20"/>
          <w:lang w:eastAsia="ru-RU"/>
        </w:rPr>
        <w:t xml:space="preserve">In accordance with paragraph 34 of the annex to decision I/7, the draft findings were then forwarded for comments to the Party concerned and to the communicant on </w:t>
      </w:r>
      <w:r w:rsidR="00EA11E2">
        <w:rPr>
          <w:rFonts w:ascii="Times New Roman" w:eastAsia="Times New Roman" w:hAnsi="Times New Roman" w:cs="Times New Roman"/>
          <w:sz w:val="20"/>
          <w:szCs w:val="20"/>
          <w:lang w:eastAsia="ru-RU"/>
        </w:rPr>
        <w:t>27 June</w:t>
      </w:r>
      <w:r w:rsidR="00F7273E" w:rsidRPr="00EA11E2">
        <w:rPr>
          <w:rFonts w:ascii="Times New Roman" w:eastAsia="Times New Roman" w:hAnsi="Times New Roman" w:cs="Times New Roman"/>
          <w:sz w:val="20"/>
          <w:szCs w:val="20"/>
          <w:lang w:eastAsia="ru-RU"/>
        </w:rPr>
        <w:t xml:space="preserve"> </w:t>
      </w:r>
      <w:r w:rsidR="00B619F8" w:rsidRPr="00EA11E2">
        <w:rPr>
          <w:rFonts w:ascii="Times New Roman" w:eastAsia="Times New Roman" w:hAnsi="Times New Roman" w:cs="Times New Roman"/>
          <w:sz w:val="20"/>
          <w:szCs w:val="20"/>
          <w:lang w:eastAsia="ru-RU"/>
        </w:rPr>
        <w:t>2016</w:t>
      </w:r>
      <w:r w:rsidR="00F7273E" w:rsidRPr="00EA11E2">
        <w:rPr>
          <w:rFonts w:ascii="Times New Roman" w:eastAsia="Times New Roman" w:hAnsi="Times New Roman" w:cs="Times New Roman"/>
          <w:sz w:val="20"/>
          <w:szCs w:val="20"/>
          <w:lang w:eastAsia="ru-RU"/>
        </w:rPr>
        <w:t xml:space="preserve">. Both were invited to provide comments by </w:t>
      </w:r>
      <w:r w:rsidR="00EA11E2">
        <w:rPr>
          <w:rFonts w:ascii="Times New Roman" w:eastAsia="Times New Roman" w:hAnsi="Times New Roman" w:cs="Times New Roman"/>
          <w:sz w:val="20"/>
          <w:szCs w:val="20"/>
          <w:lang w:eastAsia="ru-RU"/>
        </w:rPr>
        <w:t>25 July</w:t>
      </w:r>
      <w:r w:rsidR="00F7273E" w:rsidRPr="00EA11E2">
        <w:rPr>
          <w:rFonts w:ascii="Times New Roman" w:eastAsia="Times New Roman" w:hAnsi="Times New Roman" w:cs="Times New Roman"/>
          <w:sz w:val="20"/>
          <w:szCs w:val="20"/>
          <w:lang w:eastAsia="ru-RU"/>
        </w:rPr>
        <w:t xml:space="preserve"> </w:t>
      </w:r>
      <w:r w:rsidR="00B619F8" w:rsidRPr="00EA11E2">
        <w:rPr>
          <w:rFonts w:ascii="Times New Roman" w:eastAsia="Times New Roman" w:hAnsi="Times New Roman" w:cs="Times New Roman"/>
          <w:sz w:val="20"/>
          <w:szCs w:val="20"/>
          <w:lang w:eastAsia="ru-RU"/>
        </w:rPr>
        <w:t>2016</w:t>
      </w:r>
      <w:r w:rsidR="00F7273E" w:rsidRPr="00EA11E2">
        <w:rPr>
          <w:rFonts w:ascii="Times New Roman" w:eastAsia="Times New Roman" w:hAnsi="Times New Roman" w:cs="Times New Roman"/>
          <w:sz w:val="20"/>
          <w:szCs w:val="20"/>
          <w:lang w:eastAsia="ru-RU"/>
        </w:rPr>
        <w:t>.</w:t>
      </w:r>
    </w:p>
    <w:p w14:paraId="3A04EF63" w14:textId="77777777" w:rsidR="00F7273E" w:rsidRPr="00EA11E2" w:rsidRDefault="00F7273E" w:rsidP="00C2606E">
      <w:pPr>
        <w:pStyle w:val="ListParagraph"/>
        <w:spacing w:after="0"/>
        <w:rPr>
          <w:rFonts w:ascii="Times New Roman" w:eastAsia="Times New Roman" w:hAnsi="Times New Roman" w:cs="Times New Roman"/>
          <w:sz w:val="20"/>
          <w:szCs w:val="20"/>
          <w:lang w:eastAsia="ru-RU"/>
        </w:rPr>
      </w:pPr>
    </w:p>
    <w:p w14:paraId="6A607610" w14:textId="77777777" w:rsidR="00F7273E" w:rsidRPr="00EA11E2" w:rsidRDefault="00F7273E" w:rsidP="00C2606E">
      <w:pPr>
        <w:pStyle w:val="ListParagraph"/>
        <w:numPr>
          <w:ilvl w:val="0"/>
          <w:numId w:val="6"/>
        </w:numPr>
        <w:spacing w:after="0" w:line="240" w:lineRule="auto"/>
        <w:ind w:left="0" w:firstLine="0"/>
        <w:jc w:val="both"/>
        <w:rPr>
          <w:rFonts w:ascii="Times New Roman" w:eastAsia="Times New Roman" w:hAnsi="Times New Roman" w:cs="Times New Roman"/>
          <w:i/>
          <w:sz w:val="20"/>
          <w:szCs w:val="20"/>
          <w:lang w:eastAsia="ru-RU"/>
        </w:rPr>
      </w:pPr>
      <w:r w:rsidRPr="00EA11E2">
        <w:rPr>
          <w:rFonts w:ascii="Times New Roman" w:eastAsia="Times New Roman" w:hAnsi="Times New Roman" w:cs="Times New Roman"/>
          <w:i/>
          <w:sz w:val="20"/>
          <w:szCs w:val="20"/>
          <w:lang w:eastAsia="ru-RU"/>
        </w:rPr>
        <w:t>The Party concerned and the communicant provided comments on […].</w:t>
      </w:r>
    </w:p>
    <w:p w14:paraId="119E407F" w14:textId="77777777" w:rsidR="00F7273E" w:rsidRPr="00EA11E2" w:rsidRDefault="00F7273E" w:rsidP="00C2606E">
      <w:pPr>
        <w:pStyle w:val="ListParagraph"/>
        <w:spacing w:after="0" w:line="240" w:lineRule="auto"/>
        <w:ind w:left="0"/>
        <w:jc w:val="both"/>
        <w:rPr>
          <w:rFonts w:ascii="Times New Roman" w:eastAsia="Times New Roman" w:hAnsi="Times New Roman" w:cs="Times New Roman"/>
          <w:i/>
          <w:sz w:val="20"/>
          <w:szCs w:val="20"/>
          <w:lang w:eastAsia="ru-RU"/>
        </w:rPr>
      </w:pPr>
    </w:p>
    <w:p w14:paraId="7F1D0533" w14:textId="77777777" w:rsidR="003627F3" w:rsidRPr="00EA11E2" w:rsidRDefault="003627F3" w:rsidP="00C2606E">
      <w:pPr>
        <w:pStyle w:val="ListParagraph"/>
        <w:numPr>
          <w:ilvl w:val="0"/>
          <w:numId w:val="6"/>
        </w:numPr>
        <w:spacing w:after="0" w:line="240" w:lineRule="auto"/>
        <w:ind w:left="0" w:firstLine="0"/>
        <w:jc w:val="both"/>
        <w:rPr>
          <w:rFonts w:ascii="Times New Roman" w:eastAsia="Times New Roman" w:hAnsi="Times New Roman" w:cs="Times New Roman"/>
          <w:i/>
          <w:sz w:val="20"/>
          <w:szCs w:val="20"/>
          <w:lang w:eastAsia="ru-RU"/>
        </w:rPr>
      </w:pPr>
      <w:r w:rsidRPr="00EA11E2">
        <w:rPr>
          <w:rFonts w:ascii="Times New Roman" w:eastAsia="Times New Roman" w:hAnsi="Times New Roman" w:cs="Times New Roman"/>
          <w:i/>
          <w:sz w:val="20"/>
          <w:szCs w:val="20"/>
          <w:lang w:eastAsia="ru-RU"/>
        </w:rPr>
        <w:t xml:space="preserve">At its </w:t>
      </w:r>
      <w:r w:rsidR="009224B4" w:rsidRPr="00EA11E2">
        <w:rPr>
          <w:rFonts w:ascii="Times New Roman" w:eastAsia="Times New Roman" w:hAnsi="Times New Roman" w:cs="Times New Roman"/>
          <w:i/>
          <w:sz w:val="20"/>
          <w:szCs w:val="20"/>
          <w:lang w:eastAsia="ru-RU"/>
        </w:rPr>
        <w:t>[...] meeting</w:t>
      </w:r>
      <w:r w:rsidRPr="00EA11E2">
        <w:rPr>
          <w:rFonts w:ascii="Times New Roman" w:eastAsia="Times New Roman" w:hAnsi="Times New Roman" w:cs="Times New Roman"/>
          <w:i/>
          <w:sz w:val="20"/>
          <w:szCs w:val="20"/>
          <w:lang w:eastAsia="ru-RU"/>
        </w:rPr>
        <w:t>, the Committee finalize</w:t>
      </w:r>
      <w:r w:rsidR="00BA2816" w:rsidRPr="00EA11E2">
        <w:rPr>
          <w:rFonts w:ascii="Times New Roman" w:eastAsia="Times New Roman" w:hAnsi="Times New Roman" w:cs="Times New Roman"/>
          <w:i/>
          <w:sz w:val="20"/>
          <w:szCs w:val="20"/>
          <w:lang w:eastAsia="ru-RU"/>
        </w:rPr>
        <w:t>d</w:t>
      </w:r>
      <w:r w:rsidRPr="00EA11E2">
        <w:rPr>
          <w:rFonts w:ascii="Times New Roman" w:eastAsia="Times New Roman" w:hAnsi="Times New Roman" w:cs="Times New Roman"/>
          <w:i/>
          <w:sz w:val="20"/>
          <w:szCs w:val="20"/>
          <w:lang w:eastAsia="ru-RU"/>
        </w:rPr>
        <w:t xml:space="preserve"> its findings in closed session, taking account of the comments received. The Committee then adopted its findings and agreed that they should be published as an addendum to the report. It requested the secretariat to send the findings to the Party concerned and the communicant.</w:t>
      </w:r>
    </w:p>
    <w:p w14:paraId="175D7728" w14:textId="77777777" w:rsidR="008C77D8" w:rsidRPr="00EA11E2" w:rsidRDefault="008C77D8" w:rsidP="00C2606E">
      <w:pPr>
        <w:pStyle w:val="ListParagraph"/>
        <w:spacing w:after="0" w:line="480" w:lineRule="auto"/>
        <w:ind w:left="0"/>
        <w:jc w:val="both"/>
        <w:rPr>
          <w:rFonts w:ascii="Times New Roman" w:eastAsia="Times New Roman" w:hAnsi="Times New Roman" w:cs="Times New Roman"/>
          <w:sz w:val="20"/>
          <w:szCs w:val="20"/>
          <w:lang w:eastAsia="ru-RU"/>
        </w:rPr>
      </w:pPr>
    </w:p>
    <w:p w14:paraId="77B0F64C" w14:textId="0BB8DD75" w:rsidR="008C77D8" w:rsidRPr="00EA11E2" w:rsidRDefault="00EE3E72" w:rsidP="00C2606E">
      <w:pPr>
        <w:pStyle w:val="Default"/>
        <w:numPr>
          <w:ilvl w:val="0"/>
          <w:numId w:val="1"/>
        </w:numPr>
        <w:spacing w:line="480" w:lineRule="auto"/>
        <w:ind w:left="0" w:right="1120" w:firstLine="0"/>
        <w:rPr>
          <w:b/>
          <w:bCs/>
          <w:color w:val="auto"/>
        </w:rPr>
      </w:pPr>
      <w:r w:rsidRPr="00EA11E2">
        <w:rPr>
          <w:b/>
          <w:bCs/>
          <w:color w:val="auto"/>
        </w:rPr>
        <w:t>Summary of facts, legal framework and issues</w:t>
      </w:r>
      <w:r w:rsidR="00C5475B">
        <w:rPr>
          <w:rStyle w:val="FootnoteReference"/>
          <w:b/>
          <w:bCs/>
          <w:color w:val="auto"/>
        </w:rPr>
        <w:footnoteReference w:id="8"/>
      </w:r>
    </w:p>
    <w:p w14:paraId="5AE5A75C" w14:textId="429EA059" w:rsidR="00D064A5" w:rsidRPr="00EA11E2" w:rsidRDefault="00D064A5" w:rsidP="00C2606E">
      <w:pPr>
        <w:pStyle w:val="ListParagraph"/>
        <w:spacing w:after="0"/>
        <w:ind w:left="0"/>
        <w:jc w:val="both"/>
        <w:rPr>
          <w:rFonts w:ascii="Times New Roman" w:hAnsi="Times New Roman" w:cs="Times New Roman"/>
          <w:b/>
          <w:bCs/>
          <w:sz w:val="20"/>
          <w:szCs w:val="20"/>
        </w:rPr>
      </w:pPr>
      <w:r w:rsidRPr="00EA11E2">
        <w:rPr>
          <w:rFonts w:ascii="Times New Roman" w:hAnsi="Times New Roman" w:cs="Times New Roman"/>
          <w:b/>
          <w:bCs/>
          <w:sz w:val="20"/>
          <w:szCs w:val="20"/>
        </w:rPr>
        <w:t>A</w:t>
      </w:r>
      <w:r w:rsidRPr="00EA11E2">
        <w:rPr>
          <w:rFonts w:ascii="Times New Roman" w:hAnsi="Times New Roman" w:cs="Times New Roman"/>
          <w:b/>
          <w:bCs/>
          <w:sz w:val="20"/>
          <w:szCs w:val="20"/>
        </w:rPr>
        <w:tab/>
      </w:r>
      <w:r w:rsidR="00EE3E72" w:rsidRPr="00EA11E2">
        <w:rPr>
          <w:rFonts w:ascii="Times New Roman" w:hAnsi="Times New Roman" w:cs="Times New Roman"/>
          <w:b/>
          <w:bCs/>
          <w:sz w:val="20"/>
          <w:szCs w:val="20"/>
        </w:rPr>
        <w:t>Legal framework</w:t>
      </w:r>
    </w:p>
    <w:p w14:paraId="37526809" w14:textId="77777777" w:rsidR="00D064A5" w:rsidRPr="00EA11E2" w:rsidRDefault="00D064A5" w:rsidP="00C2606E">
      <w:pPr>
        <w:pStyle w:val="ListParagraph"/>
        <w:spacing w:after="0"/>
        <w:ind w:left="0"/>
        <w:jc w:val="both"/>
        <w:rPr>
          <w:rFonts w:ascii="Times New Roman" w:hAnsi="Times New Roman" w:cs="Times New Roman"/>
          <w:b/>
          <w:bCs/>
          <w:sz w:val="20"/>
          <w:szCs w:val="20"/>
        </w:rPr>
      </w:pPr>
    </w:p>
    <w:p w14:paraId="4BB1E0BC" w14:textId="77777777" w:rsidR="000A6353" w:rsidRPr="00B91405" w:rsidRDefault="00B01BC9" w:rsidP="00110518">
      <w:pPr>
        <w:pStyle w:val="ListParagraph"/>
        <w:widowControl w:val="0"/>
        <w:numPr>
          <w:ilvl w:val="0"/>
          <w:numId w:val="6"/>
        </w:numPr>
        <w:autoSpaceDE w:val="0"/>
        <w:autoSpaceDN w:val="0"/>
        <w:adjustRightInd w:val="0"/>
        <w:spacing w:after="240" w:line="240" w:lineRule="auto"/>
        <w:ind w:left="0" w:firstLine="0"/>
        <w:jc w:val="both"/>
        <w:rPr>
          <w:rFonts w:ascii="Times New Roman" w:hAnsi="Times New Roman" w:cs="Times New Roman"/>
          <w:sz w:val="20"/>
          <w:szCs w:val="20"/>
          <w:lang w:val="en-US"/>
        </w:rPr>
      </w:pPr>
      <w:r w:rsidRPr="00EA11E2">
        <w:rPr>
          <w:rFonts w:ascii="Times New Roman" w:eastAsia="Times New Roman" w:hAnsi="Times New Roman" w:cs="Times New Roman"/>
          <w:sz w:val="20"/>
          <w:szCs w:val="20"/>
          <w:lang w:eastAsia="ru-RU"/>
        </w:rPr>
        <w:t xml:space="preserve">Paragraphs 16 to 19 of </w:t>
      </w:r>
      <w:r w:rsidR="000A6353" w:rsidRPr="00EA11E2">
        <w:rPr>
          <w:rFonts w:ascii="Times New Roman" w:eastAsia="Times New Roman" w:hAnsi="Times New Roman" w:cs="Times New Roman"/>
          <w:sz w:val="20"/>
          <w:szCs w:val="20"/>
          <w:lang w:eastAsia="ru-RU"/>
        </w:rPr>
        <w:t>Part I</w:t>
      </w:r>
      <w:r w:rsidRPr="00EA11E2">
        <w:rPr>
          <w:rFonts w:ascii="Times New Roman" w:eastAsia="Times New Roman" w:hAnsi="Times New Roman" w:cs="Times New Roman"/>
          <w:sz w:val="20"/>
          <w:szCs w:val="20"/>
          <w:lang w:eastAsia="ru-RU"/>
        </w:rPr>
        <w:t xml:space="preserve"> analyse the procedures and remedies for natural and legal persons</w:t>
      </w:r>
      <w:r w:rsidR="000A6353" w:rsidRPr="00EA11E2">
        <w:rPr>
          <w:rFonts w:ascii="Times New Roman" w:eastAsia="Times New Roman" w:hAnsi="Times New Roman" w:cs="Times New Roman"/>
          <w:sz w:val="20"/>
          <w:szCs w:val="20"/>
          <w:lang w:eastAsia="ru-RU"/>
        </w:rPr>
        <w:t>.</w:t>
      </w:r>
    </w:p>
    <w:p w14:paraId="7FF75271" w14:textId="77777777" w:rsidR="00B91405" w:rsidRPr="00EA11E2" w:rsidRDefault="00B91405" w:rsidP="00B91405">
      <w:pPr>
        <w:pStyle w:val="ListParagraph"/>
        <w:widowControl w:val="0"/>
        <w:autoSpaceDE w:val="0"/>
        <w:autoSpaceDN w:val="0"/>
        <w:adjustRightInd w:val="0"/>
        <w:spacing w:after="240" w:line="240" w:lineRule="auto"/>
        <w:ind w:left="0"/>
        <w:jc w:val="both"/>
        <w:rPr>
          <w:rFonts w:ascii="Times New Roman" w:hAnsi="Times New Roman" w:cs="Times New Roman"/>
          <w:sz w:val="20"/>
          <w:szCs w:val="20"/>
          <w:lang w:val="en-US"/>
        </w:rPr>
      </w:pPr>
    </w:p>
    <w:p w14:paraId="54B70C04" w14:textId="2FCBB64F" w:rsidR="008E6E7F" w:rsidRDefault="00B13399" w:rsidP="00C2606E">
      <w:pPr>
        <w:pStyle w:val="ListParagraph"/>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EA11E2">
        <w:rPr>
          <w:rFonts w:ascii="Times New Roman" w:eastAsia="Times New Roman" w:hAnsi="Times New Roman" w:cs="Times New Roman"/>
          <w:sz w:val="20"/>
          <w:szCs w:val="20"/>
          <w:lang w:eastAsia="ru-RU"/>
        </w:rPr>
        <w:t xml:space="preserve">In addition to the remedies described in </w:t>
      </w:r>
      <w:r w:rsidR="00850F60" w:rsidRPr="00EA11E2">
        <w:rPr>
          <w:rFonts w:ascii="Times New Roman" w:eastAsia="Times New Roman" w:hAnsi="Times New Roman" w:cs="Times New Roman"/>
          <w:sz w:val="20"/>
          <w:szCs w:val="20"/>
          <w:lang w:eastAsia="ru-RU"/>
        </w:rPr>
        <w:t xml:space="preserve">paragraphs 16 to 19 of </w:t>
      </w:r>
      <w:r w:rsidR="00E44DD2" w:rsidRPr="00EA11E2">
        <w:rPr>
          <w:rFonts w:ascii="Times New Roman" w:eastAsia="Times New Roman" w:hAnsi="Times New Roman" w:cs="Times New Roman"/>
          <w:sz w:val="20"/>
          <w:szCs w:val="20"/>
          <w:lang w:eastAsia="ru-RU"/>
        </w:rPr>
        <w:t>P</w:t>
      </w:r>
      <w:r w:rsidRPr="00EA11E2">
        <w:rPr>
          <w:rFonts w:ascii="Times New Roman" w:eastAsia="Times New Roman" w:hAnsi="Times New Roman" w:cs="Times New Roman"/>
          <w:sz w:val="20"/>
          <w:szCs w:val="20"/>
          <w:lang w:eastAsia="ru-RU"/>
        </w:rPr>
        <w:t xml:space="preserve">art I, </w:t>
      </w:r>
      <w:r w:rsidR="00E94443" w:rsidRPr="00EA11E2">
        <w:rPr>
          <w:rFonts w:ascii="Times New Roman" w:eastAsia="Times New Roman" w:hAnsi="Times New Roman" w:cs="Times New Roman"/>
          <w:sz w:val="20"/>
          <w:szCs w:val="20"/>
          <w:lang w:eastAsia="ru-RU"/>
        </w:rPr>
        <w:t xml:space="preserve">the Party concerned states that </w:t>
      </w:r>
      <w:r w:rsidR="00215A2E" w:rsidRPr="00EA11E2">
        <w:rPr>
          <w:rFonts w:ascii="Times New Roman" w:eastAsia="Times New Roman" w:hAnsi="Times New Roman" w:cs="Times New Roman"/>
          <w:sz w:val="20"/>
          <w:szCs w:val="20"/>
          <w:lang w:eastAsia="ru-RU"/>
        </w:rPr>
        <w:t xml:space="preserve">an applicant can plead </w:t>
      </w:r>
      <w:r w:rsidRPr="00EA11E2">
        <w:rPr>
          <w:rFonts w:ascii="Times New Roman" w:eastAsia="Times New Roman" w:hAnsi="Times New Roman" w:cs="Times New Roman"/>
          <w:sz w:val="20"/>
          <w:szCs w:val="20"/>
          <w:lang w:eastAsia="ru-RU"/>
        </w:rPr>
        <w:t xml:space="preserve">illegality under </w:t>
      </w:r>
      <w:r w:rsidR="00110518" w:rsidRPr="00EA11E2">
        <w:rPr>
          <w:rFonts w:ascii="Times New Roman" w:eastAsia="Times New Roman" w:hAnsi="Times New Roman" w:cs="Times New Roman"/>
          <w:sz w:val="20"/>
          <w:szCs w:val="20"/>
          <w:lang w:eastAsia="ru-RU"/>
        </w:rPr>
        <w:t>A</w:t>
      </w:r>
      <w:r w:rsidRPr="00EA11E2">
        <w:rPr>
          <w:rFonts w:ascii="Times New Roman" w:eastAsia="Times New Roman" w:hAnsi="Times New Roman" w:cs="Times New Roman"/>
          <w:sz w:val="20"/>
          <w:szCs w:val="20"/>
          <w:lang w:eastAsia="ru-RU"/>
        </w:rPr>
        <w:t xml:space="preserve">rticle 277 </w:t>
      </w:r>
      <w:r w:rsidR="00850F60" w:rsidRPr="00EA11E2">
        <w:rPr>
          <w:rFonts w:ascii="Times New Roman" w:eastAsia="Times New Roman" w:hAnsi="Times New Roman" w:cs="Times New Roman"/>
          <w:sz w:val="20"/>
          <w:szCs w:val="20"/>
          <w:lang w:eastAsia="ru-RU"/>
        </w:rPr>
        <w:t xml:space="preserve">of the Treaty on the Functioning of the European Union (TFEU) </w:t>
      </w:r>
      <w:r w:rsidRPr="00EA11E2">
        <w:rPr>
          <w:rFonts w:ascii="Times New Roman" w:eastAsia="Times New Roman" w:hAnsi="Times New Roman" w:cs="Times New Roman"/>
          <w:sz w:val="20"/>
          <w:szCs w:val="20"/>
          <w:lang w:eastAsia="ru-RU"/>
        </w:rPr>
        <w:t>(</w:t>
      </w:r>
      <w:proofErr w:type="spellStart"/>
      <w:r w:rsidRPr="00EA11E2">
        <w:rPr>
          <w:rFonts w:ascii="Times New Roman" w:eastAsia="Times New Roman" w:hAnsi="Times New Roman" w:cs="Times New Roman"/>
          <w:sz w:val="20"/>
          <w:szCs w:val="20"/>
          <w:lang w:eastAsia="ru-RU"/>
        </w:rPr>
        <w:t xml:space="preserve">ex </w:t>
      </w:r>
      <w:r w:rsidR="00850F60" w:rsidRPr="00EA11E2">
        <w:rPr>
          <w:rFonts w:ascii="Times New Roman" w:eastAsia="Times New Roman" w:hAnsi="Times New Roman" w:cs="Times New Roman"/>
          <w:sz w:val="20"/>
          <w:szCs w:val="20"/>
          <w:lang w:eastAsia="ru-RU"/>
        </w:rPr>
        <w:t>Article</w:t>
      </w:r>
      <w:proofErr w:type="spellEnd"/>
      <w:r w:rsidR="00850F60" w:rsidRPr="00EA11E2">
        <w:rPr>
          <w:rFonts w:ascii="Times New Roman" w:eastAsia="Times New Roman" w:hAnsi="Times New Roman" w:cs="Times New Roman"/>
          <w:sz w:val="20"/>
          <w:szCs w:val="20"/>
          <w:lang w:eastAsia="ru-RU"/>
        </w:rPr>
        <w:t xml:space="preserve"> 241 of the Treaty establishing the European Community (</w:t>
      </w:r>
      <w:r w:rsidRPr="00EA11E2">
        <w:rPr>
          <w:rFonts w:ascii="Times New Roman" w:eastAsia="Times New Roman" w:hAnsi="Times New Roman" w:cs="Times New Roman"/>
          <w:sz w:val="20"/>
          <w:szCs w:val="20"/>
          <w:lang w:eastAsia="ru-RU"/>
        </w:rPr>
        <w:t>TEC</w:t>
      </w:r>
      <w:r w:rsidR="00850F60" w:rsidRPr="00EA11E2">
        <w:rPr>
          <w:rFonts w:ascii="Times New Roman" w:eastAsia="Times New Roman" w:hAnsi="Times New Roman" w:cs="Times New Roman"/>
          <w:sz w:val="20"/>
          <w:szCs w:val="20"/>
          <w:lang w:eastAsia="ru-RU"/>
        </w:rPr>
        <w:t>)</w:t>
      </w:r>
      <w:r w:rsidRPr="00EA11E2">
        <w:rPr>
          <w:rFonts w:ascii="Times New Roman" w:eastAsia="Times New Roman" w:hAnsi="Times New Roman" w:cs="Times New Roman"/>
          <w:sz w:val="20"/>
          <w:szCs w:val="20"/>
          <w:lang w:eastAsia="ru-RU"/>
        </w:rPr>
        <w:t>).</w:t>
      </w:r>
      <w:r w:rsidR="003C3DD9">
        <w:rPr>
          <w:rStyle w:val="FootnoteReference"/>
          <w:rFonts w:ascii="Times New Roman" w:eastAsia="Times New Roman" w:hAnsi="Times New Roman" w:cs="Times New Roman"/>
          <w:sz w:val="20"/>
          <w:szCs w:val="20"/>
          <w:lang w:eastAsia="ru-RU"/>
        </w:rPr>
        <w:footnoteReference w:id="9"/>
      </w:r>
      <w:r w:rsidRPr="00EA11E2">
        <w:rPr>
          <w:rFonts w:ascii="Times New Roman" w:eastAsia="Times New Roman" w:hAnsi="Times New Roman" w:cs="Times New Roman"/>
          <w:sz w:val="20"/>
          <w:szCs w:val="20"/>
          <w:lang w:eastAsia="ru-RU"/>
        </w:rPr>
        <w:t xml:space="preserve"> </w:t>
      </w:r>
      <w:r w:rsidR="008B45A4" w:rsidRPr="00EA11E2">
        <w:rPr>
          <w:rFonts w:ascii="Times New Roman" w:eastAsia="Times New Roman" w:hAnsi="Times New Roman" w:cs="Times New Roman"/>
          <w:sz w:val="20"/>
          <w:szCs w:val="20"/>
          <w:lang w:eastAsia="ru-RU"/>
        </w:rPr>
        <w:t xml:space="preserve">The Court has held that any Party other than one who had locus </w:t>
      </w:r>
      <w:proofErr w:type="spellStart"/>
      <w:r w:rsidR="008B45A4" w:rsidRPr="00EA11E2">
        <w:rPr>
          <w:rFonts w:ascii="Times New Roman" w:eastAsia="Times New Roman" w:hAnsi="Times New Roman" w:cs="Times New Roman"/>
          <w:sz w:val="20"/>
          <w:szCs w:val="20"/>
          <w:lang w:eastAsia="ru-RU"/>
        </w:rPr>
        <w:t>standi</w:t>
      </w:r>
      <w:proofErr w:type="spellEnd"/>
      <w:r w:rsidR="008B45A4" w:rsidRPr="00EA11E2">
        <w:rPr>
          <w:rFonts w:ascii="Times New Roman" w:eastAsia="Times New Roman" w:hAnsi="Times New Roman" w:cs="Times New Roman"/>
          <w:sz w:val="20"/>
          <w:szCs w:val="20"/>
          <w:lang w:eastAsia="ru-RU"/>
        </w:rPr>
        <w:t xml:space="preserve"> to bring a direct action under </w:t>
      </w:r>
      <w:r w:rsidR="00110518" w:rsidRPr="00EA11E2">
        <w:rPr>
          <w:rFonts w:ascii="Times New Roman" w:eastAsia="Times New Roman" w:hAnsi="Times New Roman" w:cs="Times New Roman"/>
          <w:sz w:val="20"/>
          <w:szCs w:val="20"/>
          <w:lang w:eastAsia="ru-RU"/>
        </w:rPr>
        <w:t>A</w:t>
      </w:r>
      <w:r w:rsidR="008B45A4" w:rsidRPr="00EA11E2">
        <w:rPr>
          <w:rFonts w:ascii="Times New Roman" w:eastAsia="Times New Roman" w:hAnsi="Times New Roman" w:cs="Times New Roman"/>
          <w:sz w:val="20"/>
          <w:szCs w:val="20"/>
          <w:lang w:eastAsia="ru-RU"/>
        </w:rPr>
        <w:t xml:space="preserve">rticle 263 of the TFEU but neglected to do so within the time prescribed under TFEU </w:t>
      </w:r>
      <w:r w:rsidR="00110518" w:rsidRPr="00EA11E2">
        <w:rPr>
          <w:rFonts w:ascii="Times New Roman" w:eastAsia="Times New Roman" w:hAnsi="Times New Roman" w:cs="Times New Roman"/>
          <w:sz w:val="20"/>
          <w:szCs w:val="20"/>
          <w:lang w:eastAsia="ru-RU"/>
        </w:rPr>
        <w:t>A</w:t>
      </w:r>
      <w:r w:rsidR="008B45A4" w:rsidRPr="00EA11E2">
        <w:rPr>
          <w:rFonts w:ascii="Times New Roman" w:eastAsia="Times New Roman" w:hAnsi="Times New Roman" w:cs="Times New Roman"/>
          <w:sz w:val="20"/>
          <w:szCs w:val="20"/>
          <w:lang w:eastAsia="ru-RU"/>
        </w:rPr>
        <w:t xml:space="preserve">rticle 263, paragraph 5 could invoke </w:t>
      </w:r>
      <w:r w:rsidR="00110518" w:rsidRPr="00EA11E2">
        <w:rPr>
          <w:rFonts w:ascii="Times New Roman" w:eastAsia="Times New Roman" w:hAnsi="Times New Roman" w:cs="Times New Roman"/>
          <w:sz w:val="20"/>
          <w:szCs w:val="20"/>
          <w:lang w:eastAsia="ru-RU"/>
        </w:rPr>
        <w:t>A</w:t>
      </w:r>
      <w:r w:rsidR="008B45A4" w:rsidRPr="00EA11E2">
        <w:rPr>
          <w:rFonts w:ascii="Times New Roman" w:eastAsia="Times New Roman" w:hAnsi="Times New Roman" w:cs="Times New Roman"/>
          <w:sz w:val="20"/>
          <w:szCs w:val="20"/>
          <w:lang w:eastAsia="ru-RU"/>
        </w:rPr>
        <w:t>rticle 277 of the TFEU</w:t>
      </w:r>
      <w:r w:rsidR="003C3DD9">
        <w:rPr>
          <w:rStyle w:val="FootnoteReference"/>
          <w:rFonts w:ascii="Times New Roman" w:eastAsia="Times New Roman" w:hAnsi="Times New Roman" w:cs="Times New Roman"/>
          <w:sz w:val="20"/>
          <w:szCs w:val="20"/>
          <w:lang w:eastAsia="ru-RU"/>
        </w:rPr>
        <w:footnoteReference w:id="10"/>
      </w:r>
      <w:r w:rsidR="008B45A4" w:rsidRPr="00EA11E2">
        <w:rPr>
          <w:rFonts w:ascii="Times New Roman" w:eastAsia="Times New Roman" w:hAnsi="Times New Roman" w:cs="Times New Roman"/>
          <w:sz w:val="20"/>
          <w:szCs w:val="20"/>
          <w:lang w:eastAsia="ru-RU"/>
        </w:rPr>
        <w:t xml:space="preserve">. Any act of general application adopted by an EU institution, body, office or agency is reviewable under </w:t>
      </w:r>
      <w:r w:rsidR="00110518" w:rsidRPr="00EA11E2">
        <w:rPr>
          <w:rFonts w:ascii="Times New Roman" w:eastAsia="Times New Roman" w:hAnsi="Times New Roman" w:cs="Times New Roman"/>
          <w:sz w:val="20"/>
          <w:szCs w:val="20"/>
          <w:lang w:eastAsia="ru-RU"/>
        </w:rPr>
        <w:t>A</w:t>
      </w:r>
      <w:r w:rsidR="008B45A4" w:rsidRPr="00EA11E2">
        <w:rPr>
          <w:rFonts w:ascii="Times New Roman" w:eastAsia="Times New Roman" w:hAnsi="Times New Roman" w:cs="Times New Roman"/>
          <w:sz w:val="20"/>
          <w:szCs w:val="20"/>
          <w:lang w:eastAsia="ru-RU"/>
        </w:rPr>
        <w:t>rticle 277 of the TFEU. I</w:t>
      </w:r>
      <w:r w:rsidR="008E2B7F" w:rsidRPr="00EA11E2">
        <w:rPr>
          <w:rFonts w:ascii="Times New Roman" w:eastAsia="Times New Roman" w:hAnsi="Times New Roman" w:cs="Times New Roman"/>
          <w:sz w:val="20"/>
          <w:szCs w:val="20"/>
          <w:lang w:eastAsia="ru-RU"/>
        </w:rPr>
        <w:t xml:space="preserve">llegality </w:t>
      </w:r>
      <w:r w:rsidR="00337D0C" w:rsidRPr="00EA11E2">
        <w:rPr>
          <w:rFonts w:ascii="Times New Roman" w:eastAsia="Times New Roman" w:hAnsi="Times New Roman" w:cs="Times New Roman"/>
          <w:sz w:val="20"/>
          <w:szCs w:val="20"/>
          <w:lang w:eastAsia="ru-RU"/>
        </w:rPr>
        <w:t xml:space="preserve">under Article 277 </w:t>
      </w:r>
      <w:r w:rsidR="008E2B7F" w:rsidRPr="00EA11E2">
        <w:rPr>
          <w:rFonts w:ascii="Times New Roman" w:eastAsia="Times New Roman" w:hAnsi="Times New Roman" w:cs="Times New Roman"/>
          <w:sz w:val="20"/>
          <w:szCs w:val="20"/>
          <w:lang w:eastAsia="ru-RU"/>
        </w:rPr>
        <w:t>can only be invoked as an ancillary plea</w:t>
      </w:r>
      <w:r w:rsidR="00337D0C" w:rsidRPr="00EA11E2">
        <w:rPr>
          <w:rFonts w:ascii="Times New Roman" w:eastAsia="Times New Roman" w:hAnsi="Times New Roman" w:cs="Times New Roman"/>
          <w:sz w:val="20"/>
          <w:szCs w:val="20"/>
          <w:lang w:eastAsia="ru-RU"/>
        </w:rPr>
        <w:t xml:space="preserve"> and is not a cause of action in its own right</w:t>
      </w:r>
      <w:r w:rsidR="00E47351" w:rsidRPr="00EA11E2">
        <w:rPr>
          <w:rFonts w:ascii="Times New Roman" w:eastAsia="Times New Roman" w:hAnsi="Times New Roman" w:cs="Times New Roman"/>
          <w:sz w:val="20"/>
          <w:szCs w:val="20"/>
          <w:lang w:eastAsia="ru-RU"/>
        </w:rPr>
        <w:t xml:space="preserve">. </w:t>
      </w:r>
    </w:p>
    <w:p w14:paraId="76A5DE0E" w14:textId="77777777" w:rsidR="00EA11E2" w:rsidRPr="00EA11E2" w:rsidRDefault="00EA11E2" w:rsidP="00EA11E2">
      <w:pPr>
        <w:pStyle w:val="ListParagraph"/>
        <w:spacing w:after="0" w:line="240" w:lineRule="auto"/>
        <w:ind w:left="0"/>
        <w:jc w:val="both"/>
        <w:rPr>
          <w:rFonts w:ascii="Times New Roman" w:eastAsia="Times New Roman" w:hAnsi="Times New Roman" w:cs="Times New Roman"/>
          <w:sz w:val="20"/>
          <w:szCs w:val="20"/>
          <w:lang w:eastAsia="ru-RU"/>
        </w:rPr>
      </w:pPr>
    </w:p>
    <w:p w14:paraId="6B9614D2" w14:textId="5444AC55" w:rsidR="00EE3E72" w:rsidRPr="00EA11E2" w:rsidRDefault="00EA11E2" w:rsidP="00EA11E2">
      <w:pPr>
        <w:pStyle w:val="Default"/>
        <w:ind w:right="1120"/>
        <w:rPr>
          <w:b/>
          <w:bCs/>
          <w:color w:val="auto"/>
          <w:sz w:val="20"/>
          <w:szCs w:val="20"/>
        </w:rPr>
      </w:pPr>
      <w:r>
        <w:rPr>
          <w:b/>
          <w:bCs/>
          <w:color w:val="auto"/>
          <w:sz w:val="20"/>
          <w:szCs w:val="20"/>
        </w:rPr>
        <w:t>B.</w:t>
      </w:r>
      <w:r>
        <w:rPr>
          <w:b/>
          <w:bCs/>
          <w:color w:val="auto"/>
          <w:sz w:val="20"/>
          <w:szCs w:val="20"/>
        </w:rPr>
        <w:tab/>
      </w:r>
      <w:r w:rsidR="00EE3E72" w:rsidRPr="00EA11E2">
        <w:rPr>
          <w:b/>
          <w:bCs/>
          <w:color w:val="auto"/>
          <w:sz w:val="20"/>
          <w:szCs w:val="20"/>
        </w:rPr>
        <w:t xml:space="preserve">Substantive issues </w:t>
      </w:r>
    </w:p>
    <w:p w14:paraId="77A99FF1" w14:textId="77777777" w:rsidR="001474FF" w:rsidRPr="00EA11E2" w:rsidRDefault="001474FF" w:rsidP="001474FF">
      <w:pPr>
        <w:pStyle w:val="Default"/>
        <w:ind w:right="1120"/>
        <w:rPr>
          <w:b/>
          <w:bCs/>
          <w:color w:val="auto"/>
          <w:sz w:val="20"/>
          <w:szCs w:val="20"/>
        </w:rPr>
      </w:pPr>
    </w:p>
    <w:p w14:paraId="4169D0DE" w14:textId="77777777" w:rsidR="00CC2911" w:rsidRPr="00EA11E2" w:rsidRDefault="00CC2911" w:rsidP="001474FF">
      <w:pPr>
        <w:pStyle w:val="Default"/>
        <w:ind w:right="1120"/>
        <w:rPr>
          <w:b/>
          <w:bCs/>
          <w:i/>
          <w:color w:val="auto"/>
          <w:sz w:val="20"/>
          <w:szCs w:val="20"/>
        </w:rPr>
      </w:pPr>
      <w:r w:rsidRPr="00EA11E2">
        <w:rPr>
          <w:b/>
          <w:bCs/>
          <w:i/>
          <w:color w:val="auto"/>
          <w:sz w:val="20"/>
          <w:szCs w:val="20"/>
        </w:rPr>
        <w:t>Submissions by the communicant</w:t>
      </w:r>
    </w:p>
    <w:p w14:paraId="137EB948" w14:textId="77777777" w:rsidR="00CC2911" w:rsidRPr="00EA11E2" w:rsidRDefault="00CC2911" w:rsidP="001474FF">
      <w:pPr>
        <w:pStyle w:val="Default"/>
        <w:ind w:right="1120"/>
        <w:rPr>
          <w:b/>
          <w:bCs/>
          <w:color w:val="auto"/>
          <w:sz w:val="20"/>
          <w:szCs w:val="20"/>
        </w:rPr>
      </w:pPr>
    </w:p>
    <w:p w14:paraId="7F96B075" w14:textId="4D332009" w:rsidR="00487A24" w:rsidRPr="00EA11E2" w:rsidRDefault="006D177F" w:rsidP="00B619F8">
      <w:pPr>
        <w:pStyle w:val="ListParagraph"/>
        <w:numPr>
          <w:ilvl w:val="0"/>
          <w:numId w:val="6"/>
        </w:numPr>
        <w:spacing w:after="0" w:line="240" w:lineRule="auto"/>
        <w:ind w:left="0" w:firstLine="0"/>
        <w:jc w:val="both"/>
        <w:rPr>
          <w:rFonts w:ascii="Times New Roman" w:hAnsi="Times New Roman" w:cs="Times New Roman"/>
          <w:sz w:val="20"/>
          <w:szCs w:val="20"/>
        </w:rPr>
      </w:pPr>
      <w:r w:rsidRPr="00EA11E2">
        <w:rPr>
          <w:rFonts w:ascii="Times New Roman" w:eastAsia="Times New Roman" w:hAnsi="Times New Roman" w:cs="Times New Roman"/>
          <w:sz w:val="20"/>
          <w:szCs w:val="20"/>
          <w:lang w:eastAsia="ru-RU"/>
        </w:rPr>
        <w:t xml:space="preserve">The communicant </w:t>
      </w:r>
      <w:r w:rsidR="00487D68" w:rsidRPr="00EA11E2">
        <w:rPr>
          <w:rFonts w:ascii="Times New Roman" w:eastAsia="Times New Roman" w:hAnsi="Times New Roman" w:cs="Times New Roman"/>
          <w:sz w:val="20"/>
          <w:szCs w:val="20"/>
          <w:lang w:eastAsia="ru-RU"/>
        </w:rPr>
        <w:t xml:space="preserve">alleges there is </w:t>
      </w:r>
      <w:r w:rsidR="00DA79A2" w:rsidRPr="00EA11E2">
        <w:rPr>
          <w:rFonts w:ascii="Times New Roman" w:eastAsia="Times New Roman" w:hAnsi="Times New Roman" w:cs="Times New Roman"/>
          <w:sz w:val="20"/>
          <w:szCs w:val="20"/>
          <w:lang w:eastAsia="ru-RU"/>
        </w:rPr>
        <w:t xml:space="preserve">a </w:t>
      </w:r>
      <w:r w:rsidRPr="00EA11E2">
        <w:rPr>
          <w:rFonts w:ascii="Times New Roman" w:eastAsia="Times New Roman" w:hAnsi="Times New Roman" w:cs="Times New Roman"/>
          <w:sz w:val="20"/>
          <w:szCs w:val="20"/>
          <w:lang w:eastAsia="ru-RU"/>
        </w:rPr>
        <w:t>general</w:t>
      </w:r>
      <w:r w:rsidRPr="00EA11E2">
        <w:rPr>
          <w:rFonts w:ascii="Times New Roman" w:hAnsi="Times New Roman" w:cs="Times New Roman"/>
          <w:sz w:val="20"/>
          <w:szCs w:val="20"/>
        </w:rPr>
        <w:t xml:space="preserve"> failure of the EU to comply with its obligations</w:t>
      </w:r>
      <w:r w:rsidR="001474FF" w:rsidRPr="00EA11E2">
        <w:rPr>
          <w:rFonts w:ascii="Times New Roman" w:hAnsi="Times New Roman" w:cs="Times New Roman"/>
          <w:sz w:val="20"/>
          <w:szCs w:val="20"/>
        </w:rPr>
        <w:t xml:space="preserve"> </w:t>
      </w:r>
      <w:r w:rsidR="000B27BC" w:rsidRPr="00EA11E2">
        <w:rPr>
          <w:rFonts w:ascii="Times New Roman" w:hAnsi="Times New Roman" w:cs="Times New Roman"/>
          <w:sz w:val="20"/>
          <w:szCs w:val="20"/>
        </w:rPr>
        <w:t>under</w:t>
      </w:r>
      <w:r w:rsidR="001474FF" w:rsidRPr="00EA11E2">
        <w:rPr>
          <w:rFonts w:ascii="Times New Roman" w:hAnsi="Times New Roman" w:cs="Times New Roman"/>
          <w:sz w:val="20"/>
          <w:szCs w:val="20"/>
        </w:rPr>
        <w:t xml:space="preserve"> article 9, paragraph 3 </w:t>
      </w:r>
      <w:r w:rsidR="000B27BC" w:rsidRPr="00EA11E2">
        <w:rPr>
          <w:rFonts w:ascii="Times New Roman" w:hAnsi="Times New Roman" w:cs="Times New Roman"/>
          <w:sz w:val="20"/>
          <w:szCs w:val="20"/>
        </w:rPr>
        <w:t xml:space="preserve">of </w:t>
      </w:r>
      <w:r w:rsidRPr="00EA11E2">
        <w:rPr>
          <w:rFonts w:ascii="Times New Roman" w:hAnsi="Times New Roman" w:cs="Times New Roman"/>
          <w:sz w:val="20"/>
          <w:szCs w:val="20"/>
        </w:rPr>
        <w:t>the Convention</w:t>
      </w:r>
      <w:r w:rsidR="001474FF" w:rsidRPr="00EA11E2">
        <w:rPr>
          <w:rFonts w:ascii="Times New Roman" w:hAnsi="Times New Roman" w:cs="Times New Roman"/>
          <w:sz w:val="20"/>
          <w:szCs w:val="20"/>
        </w:rPr>
        <w:t xml:space="preserve"> with respect to standing of NGOs before the European Court</w:t>
      </w:r>
      <w:r w:rsidR="00B94B0C" w:rsidRPr="00EA11E2">
        <w:rPr>
          <w:rFonts w:ascii="Times New Roman" w:hAnsi="Times New Roman" w:cs="Times New Roman"/>
          <w:sz w:val="20"/>
          <w:szCs w:val="20"/>
        </w:rPr>
        <w:t xml:space="preserve">, claiming </w:t>
      </w:r>
      <w:r w:rsidR="002670FD" w:rsidRPr="00EA11E2">
        <w:rPr>
          <w:rFonts w:ascii="Times New Roman" w:hAnsi="Times New Roman" w:cs="Times New Roman"/>
          <w:sz w:val="20"/>
          <w:szCs w:val="20"/>
        </w:rPr>
        <w:t xml:space="preserve">that the ECJ </w:t>
      </w:r>
      <w:r w:rsidR="00B94B0C" w:rsidRPr="00EA11E2">
        <w:rPr>
          <w:rFonts w:ascii="Times New Roman" w:hAnsi="Times New Roman" w:cs="Times New Roman"/>
          <w:sz w:val="20"/>
          <w:szCs w:val="20"/>
        </w:rPr>
        <w:t xml:space="preserve">has avoided </w:t>
      </w:r>
      <w:r w:rsidR="002670FD" w:rsidRPr="00EA11E2">
        <w:rPr>
          <w:rFonts w:ascii="Times New Roman" w:hAnsi="Times New Roman" w:cs="Times New Roman"/>
          <w:sz w:val="20"/>
          <w:szCs w:val="20"/>
        </w:rPr>
        <w:t xml:space="preserve">tackling the </w:t>
      </w:r>
      <w:r w:rsidR="00B94B0C" w:rsidRPr="00EA11E2">
        <w:rPr>
          <w:rFonts w:ascii="Times New Roman" w:hAnsi="Times New Roman" w:cs="Times New Roman"/>
          <w:sz w:val="20"/>
          <w:szCs w:val="20"/>
        </w:rPr>
        <w:t xml:space="preserve">key </w:t>
      </w:r>
      <w:r w:rsidR="002670FD" w:rsidRPr="00EA11E2">
        <w:rPr>
          <w:rFonts w:ascii="Times New Roman" w:hAnsi="Times New Roman" w:cs="Times New Roman"/>
          <w:sz w:val="20"/>
          <w:szCs w:val="20"/>
        </w:rPr>
        <w:t xml:space="preserve">legal issue: the compatibility of </w:t>
      </w:r>
      <w:r w:rsidR="002E4B4D" w:rsidRPr="00EA11E2">
        <w:rPr>
          <w:rFonts w:ascii="Times New Roman" w:hAnsi="Times New Roman" w:cs="Times New Roman"/>
          <w:sz w:val="20"/>
          <w:szCs w:val="20"/>
        </w:rPr>
        <w:t>A</w:t>
      </w:r>
      <w:r w:rsidR="002670FD" w:rsidRPr="00EA11E2">
        <w:rPr>
          <w:rFonts w:ascii="Times New Roman" w:hAnsi="Times New Roman" w:cs="Times New Roman"/>
          <w:sz w:val="20"/>
          <w:szCs w:val="20"/>
        </w:rPr>
        <w:t xml:space="preserve">rticle 10(1) of </w:t>
      </w:r>
      <w:r w:rsidR="00DA79A2" w:rsidRPr="00EA11E2">
        <w:rPr>
          <w:rFonts w:ascii="Times New Roman" w:hAnsi="Times New Roman" w:cs="Times New Roman"/>
          <w:sz w:val="20"/>
          <w:szCs w:val="20"/>
        </w:rPr>
        <w:t xml:space="preserve">the Aarhus </w:t>
      </w:r>
      <w:r w:rsidR="002670FD" w:rsidRPr="00EA11E2">
        <w:rPr>
          <w:rFonts w:ascii="Times New Roman" w:hAnsi="Times New Roman" w:cs="Times New Roman"/>
          <w:sz w:val="20"/>
          <w:szCs w:val="20"/>
        </w:rPr>
        <w:t>Regulation</w:t>
      </w:r>
      <w:r w:rsidR="00DA79A2" w:rsidRPr="00EA11E2">
        <w:rPr>
          <w:rFonts w:ascii="Times New Roman" w:hAnsi="Times New Roman" w:cs="Times New Roman"/>
          <w:sz w:val="20"/>
          <w:szCs w:val="20"/>
        </w:rPr>
        <w:t xml:space="preserve"> </w:t>
      </w:r>
      <w:r w:rsidR="002670FD" w:rsidRPr="00EA11E2">
        <w:rPr>
          <w:rFonts w:ascii="Times New Roman" w:hAnsi="Times New Roman" w:cs="Times New Roman"/>
          <w:sz w:val="20"/>
          <w:szCs w:val="20"/>
        </w:rPr>
        <w:t xml:space="preserve">and </w:t>
      </w:r>
      <w:r w:rsidR="002E4B4D" w:rsidRPr="00EA11E2">
        <w:rPr>
          <w:rFonts w:ascii="Times New Roman" w:hAnsi="Times New Roman" w:cs="Times New Roman"/>
          <w:sz w:val="20"/>
          <w:szCs w:val="20"/>
        </w:rPr>
        <w:t>a</w:t>
      </w:r>
      <w:r w:rsidR="002670FD" w:rsidRPr="00EA11E2">
        <w:rPr>
          <w:rFonts w:ascii="Times New Roman" w:hAnsi="Times New Roman" w:cs="Times New Roman"/>
          <w:sz w:val="20"/>
          <w:szCs w:val="20"/>
        </w:rPr>
        <w:t>rticle 9, paragraph 3, of the Convention</w:t>
      </w:r>
      <w:r w:rsidR="0006507E" w:rsidRPr="00EA11E2">
        <w:rPr>
          <w:rFonts w:ascii="Times New Roman" w:hAnsi="Times New Roman" w:cs="Times New Roman"/>
          <w:sz w:val="20"/>
          <w:szCs w:val="20"/>
        </w:rPr>
        <w:t>.</w:t>
      </w:r>
      <w:r w:rsidR="0006507E" w:rsidRPr="00EA11E2">
        <w:rPr>
          <w:rStyle w:val="FootnoteReference"/>
          <w:rFonts w:ascii="Times New Roman" w:hAnsi="Times New Roman" w:cs="Times New Roman"/>
          <w:sz w:val="20"/>
          <w:szCs w:val="20"/>
        </w:rPr>
        <w:footnoteReference w:id="11"/>
      </w:r>
      <w:r w:rsidR="00B8426D" w:rsidRPr="00EA11E2">
        <w:rPr>
          <w:rFonts w:ascii="Times New Roman" w:hAnsi="Times New Roman" w:cs="Times New Roman"/>
          <w:sz w:val="20"/>
          <w:szCs w:val="20"/>
        </w:rPr>
        <w:t xml:space="preserve"> </w:t>
      </w:r>
    </w:p>
    <w:p w14:paraId="52FC6646" w14:textId="77777777" w:rsidR="00CB572F" w:rsidRPr="00EA11E2" w:rsidRDefault="00CB572F" w:rsidP="00B619F8">
      <w:pPr>
        <w:pStyle w:val="ListParagraph"/>
        <w:spacing w:after="0" w:line="240" w:lineRule="auto"/>
        <w:ind w:left="0"/>
        <w:jc w:val="both"/>
        <w:rPr>
          <w:rFonts w:ascii="Times New Roman" w:hAnsi="Times New Roman" w:cs="Times New Roman"/>
          <w:sz w:val="20"/>
          <w:szCs w:val="20"/>
        </w:rPr>
      </w:pPr>
    </w:p>
    <w:p w14:paraId="37EC6951" w14:textId="12016C58" w:rsidR="0093391A" w:rsidRPr="00EA11E2" w:rsidRDefault="0093391A" w:rsidP="00B619F8">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The communicant submits that it is clear from the wording of article 9, paragraph 3</w:t>
      </w:r>
      <w:r w:rsidR="000B27BC" w:rsidRPr="00EA11E2">
        <w:rPr>
          <w:rFonts w:ascii="Times New Roman" w:hAnsi="Times New Roman" w:cs="Times New Roman"/>
          <w:sz w:val="20"/>
          <w:szCs w:val="20"/>
        </w:rPr>
        <w:t>,</w:t>
      </w:r>
      <w:r w:rsidRPr="00EA11E2">
        <w:rPr>
          <w:rFonts w:ascii="Times New Roman" w:hAnsi="Times New Roman" w:cs="Times New Roman"/>
          <w:sz w:val="20"/>
          <w:szCs w:val="20"/>
        </w:rPr>
        <w:t xml:space="preserve"> that its scope is “acts and omissions” without restrictions except for decisions adopted within the legislative and judicial capacity of public authorities. </w:t>
      </w:r>
    </w:p>
    <w:p w14:paraId="039112C2" w14:textId="77777777" w:rsidR="00AE31F8" w:rsidRPr="00EA11E2" w:rsidRDefault="00AE31F8" w:rsidP="00AE31F8">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6F895725" w14:textId="470B4548" w:rsidR="00903B8F" w:rsidRPr="00EA11E2" w:rsidRDefault="00903B8F" w:rsidP="00B46985">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The communicant </w:t>
      </w:r>
      <w:r w:rsidR="00B22239" w:rsidRPr="00EA11E2">
        <w:rPr>
          <w:rFonts w:ascii="Times New Roman" w:hAnsi="Times New Roman" w:cs="Times New Roman"/>
          <w:sz w:val="20"/>
          <w:szCs w:val="20"/>
        </w:rPr>
        <w:t>submits that</w:t>
      </w:r>
      <w:r w:rsidRPr="00EA11E2">
        <w:rPr>
          <w:rFonts w:ascii="Times New Roman" w:hAnsi="Times New Roman" w:cs="Times New Roman"/>
          <w:sz w:val="20"/>
          <w:szCs w:val="20"/>
        </w:rPr>
        <w:t xml:space="preserve"> </w:t>
      </w:r>
      <w:r w:rsidR="00FE4E32" w:rsidRPr="00EA11E2">
        <w:rPr>
          <w:rFonts w:ascii="Times New Roman" w:hAnsi="Times New Roman" w:cs="Times New Roman"/>
          <w:sz w:val="20"/>
          <w:szCs w:val="20"/>
        </w:rPr>
        <w:t>in contrast</w:t>
      </w:r>
      <w:r w:rsidRPr="00EA11E2">
        <w:rPr>
          <w:rFonts w:ascii="Times New Roman" w:hAnsi="Times New Roman" w:cs="Times New Roman"/>
          <w:sz w:val="20"/>
          <w:szCs w:val="20"/>
        </w:rPr>
        <w:t xml:space="preserve"> to article 9, paragraph 2, article 9, paragraph 3, of the Convention does not only apply to permits but to all acts and omissions. However, in limiting the possibility to resort to the internal review request procedure under </w:t>
      </w:r>
      <w:r w:rsidR="00354C76" w:rsidRPr="00EA11E2">
        <w:rPr>
          <w:rFonts w:ascii="Times New Roman" w:hAnsi="Times New Roman" w:cs="Times New Roman"/>
          <w:sz w:val="20"/>
          <w:szCs w:val="20"/>
        </w:rPr>
        <w:t>A</w:t>
      </w:r>
      <w:r w:rsidRPr="00EA11E2">
        <w:rPr>
          <w:rFonts w:ascii="Times New Roman" w:hAnsi="Times New Roman" w:cs="Times New Roman"/>
          <w:sz w:val="20"/>
          <w:szCs w:val="20"/>
        </w:rPr>
        <w:t xml:space="preserve">rticle 10 of </w:t>
      </w:r>
      <w:r w:rsidR="00B22239" w:rsidRPr="00EA11E2">
        <w:rPr>
          <w:rFonts w:ascii="Times New Roman" w:hAnsi="Times New Roman" w:cs="Times New Roman"/>
          <w:sz w:val="20"/>
          <w:szCs w:val="20"/>
        </w:rPr>
        <w:t>the Aarhus Regulation</w:t>
      </w:r>
      <w:r w:rsidRPr="00EA11E2">
        <w:rPr>
          <w:rFonts w:ascii="Times New Roman" w:hAnsi="Times New Roman" w:cs="Times New Roman"/>
          <w:sz w:val="20"/>
          <w:szCs w:val="20"/>
        </w:rPr>
        <w:t xml:space="preserve"> to acts of individual scope, </w:t>
      </w:r>
      <w:r w:rsidR="00B22239" w:rsidRPr="00EA11E2">
        <w:rPr>
          <w:rFonts w:ascii="Times New Roman" w:hAnsi="Times New Roman" w:cs="Times New Roman"/>
          <w:sz w:val="20"/>
          <w:szCs w:val="20"/>
        </w:rPr>
        <w:t xml:space="preserve">the </w:t>
      </w:r>
      <w:r w:rsidRPr="00EA11E2">
        <w:rPr>
          <w:rFonts w:ascii="Times New Roman" w:hAnsi="Times New Roman" w:cs="Times New Roman"/>
          <w:sz w:val="20"/>
          <w:szCs w:val="20"/>
        </w:rPr>
        <w:t>Regulation in fact limits it to permits and authorisations. Moreover, not all permits and authorisations are considered as administrative acts. Only those addressed to one operator/manufacturer/producer are considered to be such. As a result, very few decisions adopted in environmental matters can be challenged.</w:t>
      </w:r>
      <w:r w:rsidR="001B1BF5" w:rsidRPr="00EA11E2">
        <w:rPr>
          <w:rStyle w:val="FootnoteReference"/>
          <w:rFonts w:ascii="Times New Roman" w:hAnsi="Times New Roman" w:cs="Times New Roman"/>
          <w:sz w:val="20"/>
          <w:szCs w:val="20"/>
        </w:rPr>
        <w:footnoteReference w:id="12"/>
      </w:r>
      <w:r w:rsidR="00305C0F" w:rsidRPr="00EA11E2">
        <w:rPr>
          <w:rFonts w:ascii="Times New Roman" w:hAnsi="Times New Roman" w:cs="Times New Roman"/>
          <w:sz w:val="20"/>
          <w:szCs w:val="20"/>
        </w:rPr>
        <w:t xml:space="preserve"> Therefore, according to the communicant, </w:t>
      </w:r>
      <w:r w:rsidR="00354C76" w:rsidRPr="00EA11E2">
        <w:rPr>
          <w:rFonts w:ascii="Times New Roman" w:hAnsi="Times New Roman" w:cs="Times New Roman"/>
          <w:sz w:val="20"/>
          <w:szCs w:val="20"/>
        </w:rPr>
        <w:t>A</w:t>
      </w:r>
      <w:r w:rsidR="003C3DD9">
        <w:rPr>
          <w:rFonts w:ascii="Times New Roman" w:hAnsi="Times New Roman" w:cs="Times New Roman"/>
          <w:sz w:val="20"/>
          <w:szCs w:val="20"/>
        </w:rPr>
        <w:t>rticle 10</w:t>
      </w:r>
      <w:r w:rsidR="00305C0F" w:rsidRPr="00EA11E2">
        <w:rPr>
          <w:rFonts w:ascii="Times New Roman" w:hAnsi="Times New Roman" w:cs="Times New Roman"/>
          <w:sz w:val="20"/>
          <w:szCs w:val="20"/>
        </w:rPr>
        <w:t>(1) of the Regulation does not implement article 9, paragraph 3, correctly.</w:t>
      </w:r>
    </w:p>
    <w:p w14:paraId="02E108E7" w14:textId="77777777" w:rsidR="00B8426D" w:rsidRPr="00EA11E2" w:rsidRDefault="00B8426D" w:rsidP="00B46985">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0E1F2D1C" w14:textId="73B8C3FF" w:rsidR="002D1054" w:rsidRPr="00EA11E2" w:rsidRDefault="005966DF" w:rsidP="00CC291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The communicant </w:t>
      </w:r>
      <w:r w:rsidR="002D1054" w:rsidRPr="00EA11E2">
        <w:rPr>
          <w:rFonts w:ascii="Times New Roman" w:hAnsi="Times New Roman" w:cs="Times New Roman"/>
          <w:sz w:val="20"/>
          <w:szCs w:val="20"/>
        </w:rPr>
        <w:t>submits that the Court could have taken another legal route and proceeded to examine the compatibility of the Regulation with the Convention</w:t>
      </w:r>
      <w:r w:rsidR="00487A24" w:rsidRPr="00EA11E2">
        <w:rPr>
          <w:rFonts w:ascii="Times New Roman" w:hAnsi="Times New Roman" w:cs="Times New Roman"/>
          <w:sz w:val="20"/>
          <w:szCs w:val="20"/>
        </w:rPr>
        <w:t xml:space="preserve">, relying </w:t>
      </w:r>
      <w:r w:rsidR="008B45A4" w:rsidRPr="00EA11E2">
        <w:rPr>
          <w:rFonts w:ascii="Times New Roman" w:hAnsi="Times New Roman" w:cs="Times New Roman"/>
          <w:sz w:val="20"/>
          <w:szCs w:val="20"/>
        </w:rPr>
        <w:t xml:space="preserve">on the </w:t>
      </w:r>
      <w:r w:rsidR="008B45A4" w:rsidRPr="00EA11E2">
        <w:rPr>
          <w:rFonts w:ascii="Times New Roman" w:hAnsi="Times New Roman" w:cs="Times New Roman"/>
          <w:i/>
          <w:iCs/>
          <w:sz w:val="20"/>
          <w:szCs w:val="20"/>
        </w:rPr>
        <w:t>Biotech</w:t>
      </w:r>
      <w:r w:rsidR="008B45A4" w:rsidRPr="00EA11E2">
        <w:rPr>
          <w:rStyle w:val="FootnoteReference"/>
          <w:rFonts w:ascii="Times New Roman" w:hAnsi="Times New Roman" w:cs="Times New Roman"/>
          <w:iCs/>
          <w:sz w:val="20"/>
          <w:szCs w:val="20"/>
        </w:rPr>
        <w:footnoteReference w:id="13"/>
      </w:r>
      <w:r w:rsidR="008B45A4" w:rsidRPr="00EA11E2">
        <w:rPr>
          <w:rFonts w:ascii="Times New Roman" w:hAnsi="Times New Roman" w:cs="Times New Roman"/>
          <w:iCs/>
          <w:sz w:val="20"/>
          <w:szCs w:val="20"/>
        </w:rPr>
        <w:t xml:space="preserve"> </w:t>
      </w:r>
      <w:r w:rsidR="008B45A4" w:rsidRPr="00EA11E2">
        <w:rPr>
          <w:rFonts w:ascii="Times New Roman" w:hAnsi="Times New Roman" w:cs="Times New Roman"/>
          <w:sz w:val="20"/>
          <w:szCs w:val="20"/>
        </w:rPr>
        <w:t>case referred to by the Advocate General in his opinion,</w:t>
      </w:r>
      <w:r w:rsidR="008B45A4" w:rsidRPr="00EA11E2">
        <w:rPr>
          <w:rStyle w:val="FootnoteReference"/>
          <w:rFonts w:ascii="Times New Roman" w:hAnsi="Times New Roman" w:cs="Times New Roman"/>
          <w:sz w:val="20"/>
          <w:szCs w:val="20"/>
        </w:rPr>
        <w:footnoteReference w:id="14"/>
      </w:r>
      <w:r w:rsidR="008B45A4" w:rsidRPr="00EA11E2">
        <w:rPr>
          <w:rFonts w:ascii="Times New Roman" w:hAnsi="Times New Roman" w:cs="Times New Roman"/>
          <w:sz w:val="20"/>
          <w:szCs w:val="20"/>
        </w:rPr>
        <w:t xml:space="preserve"> in which the Court had ruled that the lack of direct effect of a provision of an international agreement did not prevent the EU courts from examining the validity of EU secondary legislation with that international agreement.</w:t>
      </w:r>
    </w:p>
    <w:p w14:paraId="5D123E93" w14:textId="77777777" w:rsidR="002D1054" w:rsidRPr="00EA11E2" w:rsidRDefault="002D1054" w:rsidP="002D1054">
      <w:pPr>
        <w:pStyle w:val="ListParagraph"/>
        <w:rPr>
          <w:rFonts w:ascii="Times New Roman" w:hAnsi="Times New Roman" w:cs="Times New Roman"/>
          <w:sz w:val="20"/>
          <w:szCs w:val="20"/>
        </w:rPr>
      </w:pPr>
    </w:p>
    <w:p w14:paraId="1FF76F1C" w14:textId="024CB643" w:rsidR="00CC2911" w:rsidRPr="00EA11E2" w:rsidRDefault="002D1054" w:rsidP="00487A24">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The communicant contends that, contrary to what the Court held, </w:t>
      </w:r>
      <w:r w:rsidR="00B46985" w:rsidRPr="00EA11E2">
        <w:rPr>
          <w:rFonts w:ascii="Times New Roman" w:hAnsi="Times New Roman" w:cs="Times New Roman"/>
          <w:sz w:val="20"/>
          <w:szCs w:val="20"/>
        </w:rPr>
        <w:t>article 9, paragraph 3,</w:t>
      </w:r>
      <w:r w:rsidR="00B8426D" w:rsidRPr="00EA11E2">
        <w:rPr>
          <w:rFonts w:ascii="Times New Roman" w:hAnsi="Times New Roman" w:cs="Times New Roman"/>
          <w:sz w:val="20"/>
          <w:szCs w:val="20"/>
        </w:rPr>
        <w:t xml:space="preserve"> of the Convention is unconditional as it</w:t>
      </w:r>
      <w:r w:rsidR="00B46985" w:rsidRPr="00EA11E2">
        <w:rPr>
          <w:rFonts w:ascii="Times New Roman" w:hAnsi="Times New Roman" w:cs="Times New Roman"/>
          <w:sz w:val="20"/>
          <w:szCs w:val="20"/>
        </w:rPr>
        <w:t xml:space="preserve"> </w:t>
      </w:r>
      <w:r w:rsidR="00B8426D" w:rsidRPr="00EA11E2">
        <w:rPr>
          <w:rFonts w:ascii="Times New Roman" w:hAnsi="Times New Roman" w:cs="Times New Roman"/>
          <w:sz w:val="20"/>
          <w:szCs w:val="20"/>
        </w:rPr>
        <w:t xml:space="preserve">does not require national measures to be adopted but simply refers to the possibility for </w:t>
      </w:r>
      <w:r w:rsidR="000B27BC" w:rsidRPr="00EA11E2">
        <w:rPr>
          <w:rFonts w:ascii="Times New Roman" w:hAnsi="Times New Roman" w:cs="Times New Roman"/>
          <w:sz w:val="20"/>
          <w:szCs w:val="20"/>
        </w:rPr>
        <w:t>P</w:t>
      </w:r>
      <w:r w:rsidR="00B8426D" w:rsidRPr="00EA11E2">
        <w:rPr>
          <w:rFonts w:ascii="Times New Roman" w:hAnsi="Times New Roman" w:cs="Times New Roman"/>
          <w:sz w:val="20"/>
          <w:szCs w:val="20"/>
        </w:rPr>
        <w:t>arties to the Convention to set these out.</w:t>
      </w:r>
      <w:r w:rsidR="000E7A0F" w:rsidRPr="00EA11E2">
        <w:rPr>
          <w:rStyle w:val="FootnoteReference"/>
          <w:rFonts w:ascii="Times New Roman" w:hAnsi="Times New Roman" w:cs="Times New Roman"/>
          <w:sz w:val="20"/>
          <w:szCs w:val="20"/>
        </w:rPr>
        <w:footnoteReference w:id="15"/>
      </w:r>
      <w:r w:rsidR="005966DF" w:rsidRPr="00EA11E2">
        <w:rPr>
          <w:rFonts w:ascii="Times New Roman" w:hAnsi="Times New Roman" w:cs="Times New Roman"/>
          <w:sz w:val="20"/>
          <w:szCs w:val="20"/>
        </w:rPr>
        <w:t xml:space="preserve"> </w:t>
      </w:r>
      <w:r w:rsidR="00FE4E32" w:rsidRPr="00EA11E2">
        <w:rPr>
          <w:rFonts w:ascii="Times New Roman" w:hAnsi="Times New Roman" w:cs="Times New Roman"/>
          <w:sz w:val="20"/>
          <w:szCs w:val="20"/>
        </w:rPr>
        <w:t>The communicant submits that a</w:t>
      </w:r>
      <w:r w:rsidR="00B8426D" w:rsidRPr="00EA11E2">
        <w:rPr>
          <w:rFonts w:ascii="Times New Roman" w:hAnsi="Times New Roman" w:cs="Times New Roman"/>
          <w:sz w:val="20"/>
          <w:szCs w:val="20"/>
        </w:rPr>
        <w:t>rticle 9</w:t>
      </w:r>
      <w:r w:rsidR="003E4030" w:rsidRPr="00EA11E2">
        <w:rPr>
          <w:rFonts w:ascii="Times New Roman" w:hAnsi="Times New Roman" w:cs="Times New Roman"/>
          <w:sz w:val="20"/>
          <w:szCs w:val="20"/>
        </w:rPr>
        <w:t xml:space="preserve">, paragraph 3, </w:t>
      </w:r>
      <w:r w:rsidR="00B8426D" w:rsidRPr="00EA11E2">
        <w:rPr>
          <w:rFonts w:ascii="Times New Roman" w:hAnsi="Times New Roman" w:cs="Times New Roman"/>
          <w:sz w:val="20"/>
          <w:szCs w:val="20"/>
        </w:rPr>
        <w:t>is sufficiently precise and unconditional as to the types of acts that</w:t>
      </w:r>
      <w:r w:rsidR="00B46985" w:rsidRPr="00EA11E2">
        <w:rPr>
          <w:rFonts w:ascii="Times New Roman" w:hAnsi="Times New Roman" w:cs="Times New Roman"/>
          <w:iCs/>
          <w:sz w:val="20"/>
          <w:szCs w:val="20"/>
        </w:rPr>
        <w:t xml:space="preserve"> </w:t>
      </w:r>
      <w:r w:rsidR="00B8426D" w:rsidRPr="00EA11E2">
        <w:rPr>
          <w:rFonts w:ascii="Times New Roman" w:hAnsi="Times New Roman" w:cs="Times New Roman"/>
          <w:sz w:val="20"/>
          <w:szCs w:val="20"/>
        </w:rPr>
        <w:t xml:space="preserve">can </w:t>
      </w:r>
      <w:r w:rsidR="005966DF" w:rsidRPr="00EA11E2">
        <w:rPr>
          <w:rFonts w:ascii="Times New Roman" w:hAnsi="Times New Roman" w:cs="Times New Roman"/>
          <w:sz w:val="20"/>
          <w:szCs w:val="20"/>
        </w:rPr>
        <w:t>be challenged: “</w:t>
      </w:r>
      <w:r w:rsidR="00B8426D" w:rsidRPr="00EA11E2">
        <w:rPr>
          <w:rFonts w:ascii="Times New Roman" w:hAnsi="Times New Roman" w:cs="Times New Roman"/>
          <w:iCs/>
          <w:sz w:val="20"/>
          <w:szCs w:val="20"/>
        </w:rPr>
        <w:t>acts and omissions by private persons and public authorities</w:t>
      </w:r>
      <w:r w:rsidR="005966DF" w:rsidRPr="00EA11E2">
        <w:rPr>
          <w:rFonts w:ascii="Times New Roman" w:hAnsi="Times New Roman" w:cs="Times New Roman"/>
          <w:sz w:val="20"/>
          <w:szCs w:val="20"/>
        </w:rPr>
        <w:t>”</w:t>
      </w:r>
      <w:r w:rsidR="000E7A0F"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16"/>
      </w:r>
    </w:p>
    <w:p w14:paraId="726E599D" w14:textId="77777777" w:rsidR="00CC2911" w:rsidRPr="00EA11E2" w:rsidRDefault="00CC2911" w:rsidP="00CC2911">
      <w:pPr>
        <w:pStyle w:val="ListParagraph"/>
        <w:rPr>
          <w:rFonts w:ascii="Times New Roman" w:hAnsi="Times New Roman" w:cs="Times New Roman"/>
          <w:sz w:val="20"/>
          <w:szCs w:val="20"/>
        </w:rPr>
      </w:pPr>
    </w:p>
    <w:p w14:paraId="0E70D114" w14:textId="521365BF" w:rsidR="007C40B8" w:rsidRPr="00EA11E2" w:rsidRDefault="008B45A4" w:rsidP="00756BEB">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A</w:t>
      </w:r>
      <w:r w:rsidR="00FA4F88" w:rsidRPr="00EA11E2">
        <w:rPr>
          <w:rFonts w:ascii="Times New Roman" w:hAnsi="Times New Roman" w:cs="Times New Roman"/>
          <w:sz w:val="20"/>
          <w:szCs w:val="20"/>
        </w:rPr>
        <w:t>ccording</w:t>
      </w:r>
      <w:r w:rsidR="00A650AA" w:rsidRPr="00EA11E2">
        <w:rPr>
          <w:rFonts w:ascii="Times New Roman" w:hAnsi="Times New Roman" w:cs="Times New Roman"/>
          <w:sz w:val="20"/>
          <w:szCs w:val="20"/>
        </w:rPr>
        <w:t xml:space="preserve"> to</w:t>
      </w:r>
      <w:r w:rsidR="00FA4F88" w:rsidRPr="00EA11E2">
        <w:rPr>
          <w:rFonts w:ascii="Times New Roman" w:hAnsi="Times New Roman" w:cs="Times New Roman"/>
          <w:sz w:val="20"/>
          <w:szCs w:val="20"/>
        </w:rPr>
        <w:t xml:space="preserve"> the communicant, r</w:t>
      </w:r>
      <w:r w:rsidR="00686843" w:rsidRPr="00EA11E2">
        <w:rPr>
          <w:rFonts w:ascii="Times New Roman" w:hAnsi="Times New Roman" w:cs="Times New Roman"/>
          <w:sz w:val="20"/>
          <w:szCs w:val="20"/>
        </w:rPr>
        <w:t>equesting that provisions of EU law systematically</w:t>
      </w:r>
      <w:r w:rsidR="00A650AA" w:rsidRPr="00EA11E2">
        <w:rPr>
          <w:rFonts w:ascii="Times New Roman" w:hAnsi="Times New Roman" w:cs="Times New Roman"/>
          <w:sz w:val="20"/>
          <w:szCs w:val="20"/>
        </w:rPr>
        <w:t xml:space="preserve"> refer to the provisions of the </w:t>
      </w:r>
      <w:r w:rsidR="00686843" w:rsidRPr="00EA11E2">
        <w:rPr>
          <w:rFonts w:ascii="Times New Roman" w:hAnsi="Times New Roman" w:cs="Times New Roman"/>
          <w:sz w:val="20"/>
          <w:szCs w:val="20"/>
        </w:rPr>
        <w:t>international convention they implement so that they can be considered as an implementing measure is stretching</w:t>
      </w:r>
      <w:r w:rsidR="003C3DD9">
        <w:rPr>
          <w:rFonts w:ascii="Times New Roman" w:hAnsi="Times New Roman" w:cs="Times New Roman"/>
          <w:sz w:val="20"/>
          <w:szCs w:val="20"/>
        </w:rPr>
        <w:t xml:space="preserve"> the interpretation of the case </w:t>
      </w:r>
      <w:r w:rsidR="00686843" w:rsidRPr="00EA11E2">
        <w:rPr>
          <w:rFonts w:ascii="Times New Roman" w:hAnsi="Times New Roman" w:cs="Times New Roman"/>
          <w:sz w:val="20"/>
          <w:szCs w:val="20"/>
        </w:rPr>
        <w:t>law beyond reason.</w:t>
      </w:r>
      <w:r w:rsidR="001B1BF5" w:rsidRPr="00EA11E2">
        <w:rPr>
          <w:rStyle w:val="FootnoteReference"/>
          <w:rFonts w:ascii="Times New Roman" w:hAnsi="Times New Roman" w:cs="Times New Roman"/>
          <w:sz w:val="20"/>
          <w:szCs w:val="20"/>
        </w:rPr>
        <w:footnoteReference w:id="17"/>
      </w:r>
    </w:p>
    <w:p w14:paraId="19119541" w14:textId="77777777" w:rsidR="007C40B8" w:rsidRPr="00EA11E2" w:rsidRDefault="007C40B8" w:rsidP="007C40B8">
      <w:pPr>
        <w:pStyle w:val="ListParagraph"/>
        <w:rPr>
          <w:rFonts w:ascii="Times New Roman" w:hAnsi="Times New Roman" w:cs="Times New Roman"/>
          <w:sz w:val="20"/>
          <w:szCs w:val="20"/>
        </w:rPr>
      </w:pPr>
    </w:p>
    <w:p w14:paraId="52979FCD" w14:textId="64C117F3" w:rsidR="00487A24" w:rsidRPr="00EA11E2" w:rsidRDefault="00686843" w:rsidP="00B619F8">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Furthermore, since the findings of the Compliance Committee in 2011, the </w:t>
      </w:r>
      <w:r w:rsidR="00A650AA" w:rsidRPr="00EA11E2">
        <w:rPr>
          <w:rFonts w:ascii="Times New Roman" w:hAnsi="Times New Roman" w:cs="Times New Roman"/>
          <w:sz w:val="20"/>
          <w:szCs w:val="20"/>
        </w:rPr>
        <w:t xml:space="preserve">jurisprudence of the </w:t>
      </w:r>
      <w:r w:rsidRPr="00EA11E2">
        <w:rPr>
          <w:rFonts w:ascii="Times New Roman" w:hAnsi="Times New Roman" w:cs="Times New Roman"/>
          <w:sz w:val="20"/>
          <w:szCs w:val="20"/>
        </w:rPr>
        <w:t xml:space="preserve">Court, as illustrated in the </w:t>
      </w:r>
      <w:r w:rsidRPr="00EA11E2">
        <w:rPr>
          <w:rFonts w:ascii="Times New Roman" w:hAnsi="Times New Roman" w:cs="Times New Roman"/>
          <w:i/>
          <w:iCs/>
          <w:sz w:val="20"/>
          <w:szCs w:val="20"/>
        </w:rPr>
        <w:t xml:space="preserve">Inuit </w:t>
      </w:r>
      <w:r w:rsidRPr="00EA11E2">
        <w:rPr>
          <w:rFonts w:ascii="Times New Roman" w:hAnsi="Times New Roman" w:cs="Times New Roman"/>
          <w:sz w:val="20"/>
          <w:szCs w:val="20"/>
        </w:rPr>
        <w:t>case</w:t>
      </w:r>
      <w:r w:rsidR="000C75FF" w:rsidRPr="00EA11E2">
        <w:rPr>
          <w:rStyle w:val="FootnoteReference"/>
          <w:rFonts w:ascii="Times New Roman" w:hAnsi="Times New Roman" w:cs="Times New Roman"/>
          <w:sz w:val="20"/>
          <w:szCs w:val="20"/>
        </w:rPr>
        <w:footnoteReference w:id="18"/>
      </w:r>
      <w:r w:rsidRPr="00EA11E2">
        <w:rPr>
          <w:rFonts w:ascii="Times New Roman" w:hAnsi="Times New Roman" w:cs="Times New Roman"/>
          <w:sz w:val="20"/>
          <w:szCs w:val="20"/>
        </w:rPr>
        <w:t>, has not changed its interpretation of the individual concern criteria as se</w:t>
      </w:r>
      <w:r w:rsidR="00DA450C" w:rsidRPr="00EA11E2">
        <w:rPr>
          <w:rFonts w:ascii="Times New Roman" w:hAnsi="Times New Roman" w:cs="Times New Roman"/>
          <w:sz w:val="20"/>
          <w:szCs w:val="20"/>
        </w:rPr>
        <w:t xml:space="preserve">t out in </w:t>
      </w:r>
      <w:r w:rsidR="00354C76" w:rsidRPr="00EA11E2">
        <w:rPr>
          <w:rFonts w:ascii="Times New Roman" w:hAnsi="Times New Roman" w:cs="Times New Roman"/>
          <w:sz w:val="20"/>
          <w:szCs w:val="20"/>
        </w:rPr>
        <w:t>A</w:t>
      </w:r>
      <w:r w:rsidRPr="00EA11E2">
        <w:rPr>
          <w:rFonts w:ascii="Times New Roman" w:hAnsi="Times New Roman" w:cs="Times New Roman"/>
          <w:sz w:val="20"/>
          <w:szCs w:val="20"/>
        </w:rPr>
        <w:t>rticle 263</w:t>
      </w:r>
      <w:r w:rsidR="003D4E9E" w:rsidRPr="00EA11E2">
        <w:rPr>
          <w:rFonts w:ascii="Times New Roman" w:hAnsi="Times New Roman" w:cs="Times New Roman"/>
          <w:sz w:val="20"/>
          <w:szCs w:val="20"/>
        </w:rPr>
        <w:t>(4) TFEU</w:t>
      </w:r>
      <w:r w:rsidR="001B1BF5" w:rsidRPr="00EA11E2">
        <w:rPr>
          <w:rFonts w:ascii="Times New Roman" w:hAnsi="Times New Roman" w:cs="Times New Roman"/>
          <w:sz w:val="20"/>
          <w:szCs w:val="20"/>
        </w:rPr>
        <w:t>.</w:t>
      </w:r>
      <w:r w:rsidR="001B1BF5" w:rsidRPr="00EA11E2">
        <w:rPr>
          <w:rStyle w:val="FootnoteReference"/>
          <w:rFonts w:ascii="Times New Roman" w:hAnsi="Times New Roman" w:cs="Times New Roman"/>
          <w:sz w:val="20"/>
          <w:szCs w:val="20"/>
        </w:rPr>
        <w:footnoteReference w:id="19"/>
      </w:r>
      <w:r w:rsidRPr="00EA11E2">
        <w:rPr>
          <w:rFonts w:ascii="Times New Roman" w:hAnsi="Times New Roman" w:cs="Times New Roman"/>
          <w:sz w:val="20"/>
          <w:szCs w:val="20"/>
        </w:rPr>
        <w:t xml:space="preserve"> The Court reasserted the </w:t>
      </w:r>
      <w:proofErr w:type="spellStart"/>
      <w:r w:rsidRPr="00EA11E2">
        <w:rPr>
          <w:rFonts w:ascii="Times New Roman" w:hAnsi="Times New Roman" w:cs="Times New Roman"/>
          <w:i/>
          <w:iCs/>
          <w:sz w:val="20"/>
          <w:szCs w:val="20"/>
        </w:rPr>
        <w:t>Plaumann</w:t>
      </w:r>
      <w:proofErr w:type="spellEnd"/>
      <w:r w:rsidRPr="00EA11E2">
        <w:rPr>
          <w:rFonts w:ascii="Times New Roman" w:hAnsi="Times New Roman" w:cs="Times New Roman"/>
          <w:i/>
          <w:iCs/>
          <w:sz w:val="20"/>
          <w:szCs w:val="20"/>
        </w:rPr>
        <w:t xml:space="preserve"> </w:t>
      </w:r>
      <w:r w:rsidRPr="00EA11E2">
        <w:rPr>
          <w:rFonts w:ascii="Times New Roman" w:hAnsi="Times New Roman" w:cs="Times New Roman"/>
          <w:sz w:val="20"/>
          <w:szCs w:val="20"/>
        </w:rPr>
        <w:t>case-law</w:t>
      </w:r>
      <w:r w:rsidR="00693E37" w:rsidRPr="00EA11E2">
        <w:rPr>
          <w:rStyle w:val="FootnoteReference"/>
          <w:rFonts w:ascii="Times New Roman" w:hAnsi="Times New Roman" w:cs="Times New Roman"/>
          <w:sz w:val="20"/>
          <w:szCs w:val="20"/>
        </w:rPr>
        <w:footnoteReference w:id="20"/>
      </w:r>
      <w:r w:rsidRPr="00EA11E2">
        <w:rPr>
          <w:rFonts w:ascii="Times New Roman" w:hAnsi="Times New Roman" w:cs="Times New Roman"/>
          <w:sz w:val="20"/>
          <w:szCs w:val="20"/>
        </w:rPr>
        <w:t xml:space="preserve"> which had been deemed too restrictive and barring all access to justice by the Compliance Committee in </w:t>
      </w:r>
      <w:r w:rsidR="00CC0AD1" w:rsidRPr="00EA11E2">
        <w:rPr>
          <w:rFonts w:ascii="Times New Roman" w:hAnsi="Times New Roman" w:cs="Times New Roman"/>
          <w:sz w:val="20"/>
          <w:szCs w:val="20"/>
        </w:rPr>
        <w:t xml:space="preserve">Part I of the present </w:t>
      </w:r>
      <w:r w:rsidRPr="00EA11E2">
        <w:rPr>
          <w:rFonts w:ascii="Times New Roman" w:hAnsi="Times New Roman" w:cs="Times New Roman"/>
          <w:sz w:val="20"/>
          <w:szCs w:val="20"/>
        </w:rPr>
        <w:t>findings</w:t>
      </w:r>
      <w:r w:rsidR="000E7A0F"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21"/>
      </w:r>
      <w:r w:rsidRPr="00EA11E2">
        <w:rPr>
          <w:rFonts w:ascii="Times New Roman" w:hAnsi="Times New Roman" w:cs="Times New Roman"/>
          <w:sz w:val="20"/>
          <w:szCs w:val="20"/>
        </w:rPr>
        <w:t xml:space="preserve"> </w:t>
      </w:r>
    </w:p>
    <w:p w14:paraId="1DDA565D" w14:textId="77777777" w:rsidR="00C44BA8" w:rsidRPr="00EA11E2" w:rsidRDefault="00C44BA8" w:rsidP="00487A24">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5C2FEDEC" w14:textId="06BE3F72" w:rsidR="00823A19" w:rsidRPr="00EA11E2" w:rsidRDefault="001B222C" w:rsidP="00823A19">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In addition, </w:t>
      </w:r>
      <w:r w:rsidR="00823A19" w:rsidRPr="00EA11E2">
        <w:rPr>
          <w:rFonts w:ascii="Times New Roman" w:hAnsi="Times New Roman" w:cs="Times New Roman"/>
          <w:sz w:val="20"/>
          <w:szCs w:val="20"/>
        </w:rPr>
        <w:t>the communicant</w:t>
      </w:r>
      <w:r w:rsidR="00B92330" w:rsidRPr="00EA11E2">
        <w:rPr>
          <w:rFonts w:ascii="Times New Roman" w:hAnsi="Times New Roman" w:cs="Times New Roman"/>
          <w:sz w:val="20"/>
          <w:szCs w:val="20"/>
        </w:rPr>
        <w:t xml:space="preserve"> alleges that the criterion “under environmental law” </w:t>
      </w:r>
      <w:r w:rsidR="00822E13" w:rsidRPr="00EA11E2">
        <w:rPr>
          <w:rFonts w:ascii="Times New Roman" w:hAnsi="Times New Roman" w:cs="Times New Roman"/>
          <w:sz w:val="20"/>
          <w:szCs w:val="20"/>
        </w:rPr>
        <w:t>in</w:t>
      </w:r>
      <w:r w:rsidR="00B92330" w:rsidRPr="00EA11E2">
        <w:rPr>
          <w:rFonts w:ascii="Times New Roman" w:hAnsi="Times New Roman" w:cs="Times New Roman"/>
          <w:sz w:val="20"/>
          <w:szCs w:val="20"/>
        </w:rPr>
        <w:t xml:space="preserve"> </w:t>
      </w:r>
      <w:r w:rsidR="00354C76" w:rsidRPr="00EA11E2">
        <w:rPr>
          <w:rFonts w:ascii="Times New Roman" w:hAnsi="Times New Roman" w:cs="Times New Roman"/>
          <w:sz w:val="20"/>
          <w:szCs w:val="20"/>
        </w:rPr>
        <w:t>A</w:t>
      </w:r>
      <w:r w:rsidR="003C3DD9">
        <w:rPr>
          <w:rFonts w:ascii="Times New Roman" w:hAnsi="Times New Roman" w:cs="Times New Roman"/>
          <w:sz w:val="20"/>
          <w:szCs w:val="20"/>
        </w:rPr>
        <w:t>rticle 2(1)(f)</w:t>
      </w:r>
      <w:r w:rsidR="00B92330" w:rsidRPr="00EA11E2">
        <w:rPr>
          <w:rFonts w:ascii="Times New Roman" w:hAnsi="Times New Roman" w:cs="Times New Roman"/>
          <w:sz w:val="20"/>
          <w:szCs w:val="20"/>
        </w:rPr>
        <w:t xml:space="preserve">(g) of </w:t>
      </w:r>
      <w:r w:rsidR="00FC27CD" w:rsidRPr="00EA11E2">
        <w:rPr>
          <w:rFonts w:ascii="Times New Roman" w:hAnsi="Times New Roman" w:cs="Times New Roman"/>
          <w:sz w:val="20"/>
          <w:szCs w:val="20"/>
        </w:rPr>
        <w:t xml:space="preserve">the Aarhus </w:t>
      </w:r>
      <w:r w:rsidR="00B92330" w:rsidRPr="00EA11E2">
        <w:rPr>
          <w:rFonts w:ascii="Times New Roman" w:hAnsi="Times New Roman" w:cs="Times New Roman"/>
          <w:sz w:val="20"/>
          <w:szCs w:val="20"/>
        </w:rPr>
        <w:t>Regulation, is not in line with article 9, paragraph 3 of the Convention as it constitutes a cle</w:t>
      </w:r>
      <w:r w:rsidR="000E7A0F" w:rsidRPr="00EA11E2">
        <w:rPr>
          <w:rFonts w:ascii="Times New Roman" w:hAnsi="Times New Roman" w:cs="Times New Roman"/>
          <w:sz w:val="20"/>
          <w:szCs w:val="20"/>
        </w:rPr>
        <w:t>ar barrier to access to justice</w:t>
      </w:r>
      <w:r w:rsidR="00B92330"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22"/>
      </w:r>
      <w:r w:rsidR="003257D0" w:rsidRPr="00EA11E2">
        <w:rPr>
          <w:rFonts w:ascii="Times New Roman" w:hAnsi="Times New Roman" w:cs="Times New Roman"/>
          <w:sz w:val="20"/>
          <w:szCs w:val="20"/>
        </w:rPr>
        <w:t xml:space="preserve"> </w:t>
      </w:r>
    </w:p>
    <w:p w14:paraId="35C76328" w14:textId="77777777" w:rsidR="00003964" w:rsidRPr="00EA11E2" w:rsidRDefault="00003964" w:rsidP="00003964">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3D33C900" w14:textId="0357C19F" w:rsidR="00487A24" w:rsidRPr="00EA11E2" w:rsidRDefault="001B222C" w:rsidP="00B619F8">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Also, the communicant asserts that the “legally binding and external effect” criterion </w:t>
      </w:r>
      <w:r w:rsidR="00822E13" w:rsidRPr="00EA11E2">
        <w:rPr>
          <w:rFonts w:ascii="Times New Roman" w:hAnsi="Times New Roman" w:cs="Times New Roman"/>
          <w:sz w:val="20"/>
          <w:szCs w:val="20"/>
        </w:rPr>
        <w:t>in</w:t>
      </w:r>
      <w:r w:rsidRPr="00EA11E2">
        <w:rPr>
          <w:rFonts w:ascii="Times New Roman" w:hAnsi="Times New Roman" w:cs="Times New Roman"/>
          <w:sz w:val="20"/>
          <w:szCs w:val="20"/>
        </w:rPr>
        <w:t xml:space="preserve"> </w:t>
      </w:r>
      <w:r w:rsidR="00354C76" w:rsidRPr="00EA11E2">
        <w:rPr>
          <w:rFonts w:ascii="Times New Roman" w:hAnsi="Times New Roman" w:cs="Times New Roman"/>
          <w:sz w:val="20"/>
          <w:szCs w:val="20"/>
        </w:rPr>
        <w:t>A</w:t>
      </w:r>
      <w:r w:rsidR="003C3DD9">
        <w:rPr>
          <w:rFonts w:ascii="Times New Roman" w:hAnsi="Times New Roman" w:cs="Times New Roman"/>
          <w:sz w:val="20"/>
          <w:szCs w:val="20"/>
        </w:rPr>
        <w:t>rticle 2(1)</w:t>
      </w:r>
      <w:r w:rsidRPr="00EA11E2">
        <w:rPr>
          <w:rFonts w:ascii="Times New Roman" w:hAnsi="Times New Roman" w:cs="Times New Roman"/>
          <w:sz w:val="20"/>
          <w:szCs w:val="20"/>
        </w:rPr>
        <w:t xml:space="preserve">(g) of </w:t>
      </w:r>
      <w:r w:rsidR="00714EE5" w:rsidRPr="00EA11E2">
        <w:rPr>
          <w:rFonts w:ascii="Times New Roman" w:hAnsi="Times New Roman" w:cs="Times New Roman"/>
          <w:sz w:val="20"/>
          <w:szCs w:val="20"/>
        </w:rPr>
        <w:t xml:space="preserve">the Aarhus </w:t>
      </w:r>
      <w:r w:rsidRPr="00EA11E2">
        <w:rPr>
          <w:rFonts w:ascii="Times New Roman" w:hAnsi="Times New Roman" w:cs="Times New Roman"/>
          <w:sz w:val="20"/>
          <w:szCs w:val="20"/>
        </w:rPr>
        <w:t>Regulation constitutes another barrier to the right to challenge decisions and does not have a basis in article 9, paragraph 3, of the Convention</w:t>
      </w:r>
      <w:r w:rsidR="000E7A0F"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23"/>
      </w:r>
      <w:r w:rsidRPr="00EA11E2">
        <w:rPr>
          <w:rFonts w:ascii="Times New Roman" w:hAnsi="Times New Roman" w:cs="Times New Roman"/>
          <w:sz w:val="20"/>
          <w:szCs w:val="20"/>
        </w:rPr>
        <w:t xml:space="preserve"> </w:t>
      </w:r>
    </w:p>
    <w:p w14:paraId="06B2EC2E" w14:textId="77777777" w:rsidR="001B222C" w:rsidRPr="00EA11E2" w:rsidRDefault="001B222C" w:rsidP="00B619F8">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191B58C3" w14:textId="7685DA4D" w:rsidR="00F2573B" w:rsidRPr="00EA11E2" w:rsidRDefault="005F2318" w:rsidP="00F707D8">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The communicant all</w:t>
      </w:r>
      <w:r w:rsidR="003C3DD9">
        <w:rPr>
          <w:rFonts w:ascii="Times New Roman" w:hAnsi="Times New Roman" w:cs="Times New Roman"/>
          <w:sz w:val="20"/>
          <w:szCs w:val="20"/>
        </w:rPr>
        <w:t>eges that article 2(2)</w:t>
      </w:r>
      <w:r w:rsidRPr="00EA11E2">
        <w:rPr>
          <w:rFonts w:ascii="Times New Roman" w:hAnsi="Times New Roman" w:cs="Times New Roman"/>
          <w:sz w:val="20"/>
          <w:szCs w:val="20"/>
        </w:rPr>
        <w:t>(d) of the Convention only excludes decisions of public authorities when acting in their legislative and judicial capacity, not in their administrative capacity. The fact that the institutions act as an administrative review body when adopting these decisions cannot justify their exemption from review.</w:t>
      </w:r>
      <w:r w:rsidR="000E7A0F" w:rsidRPr="00EA11E2">
        <w:rPr>
          <w:rStyle w:val="FootnoteReference"/>
          <w:rFonts w:ascii="Times New Roman" w:hAnsi="Times New Roman" w:cs="Times New Roman"/>
          <w:sz w:val="20"/>
          <w:szCs w:val="20"/>
        </w:rPr>
        <w:footnoteReference w:id="24"/>
      </w:r>
    </w:p>
    <w:p w14:paraId="4928DF38" w14:textId="77777777" w:rsidR="00520B55" w:rsidRPr="00EA11E2" w:rsidRDefault="00520B55" w:rsidP="00520B55">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400851E4" w14:textId="3D2850FC" w:rsidR="005F2318" w:rsidRPr="00EA11E2" w:rsidRDefault="00E87201" w:rsidP="00F707D8">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A</w:t>
      </w:r>
      <w:r w:rsidR="00F2573B" w:rsidRPr="00EA11E2">
        <w:rPr>
          <w:rFonts w:ascii="Times New Roman" w:hAnsi="Times New Roman" w:cs="Times New Roman"/>
          <w:sz w:val="20"/>
          <w:szCs w:val="20"/>
        </w:rPr>
        <w:t>ccording to the communicant</w:t>
      </w:r>
      <w:r w:rsidRPr="00EA11E2">
        <w:rPr>
          <w:rFonts w:ascii="Times New Roman" w:hAnsi="Times New Roman" w:cs="Times New Roman"/>
          <w:sz w:val="20"/>
          <w:szCs w:val="20"/>
        </w:rPr>
        <w:t xml:space="preserve">, </w:t>
      </w:r>
      <w:r w:rsidR="00F2573B" w:rsidRPr="00EA11E2">
        <w:rPr>
          <w:rFonts w:ascii="Times New Roman" w:hAnsi="Times New Roman" w:cs="Times New Roman"/>
          <w:sz w:val="20"/>
          <w:szCs w:val="20"/>
        </w:rPr>
        <w:t xml:space="preserve">decisions adopted by the Commission in competition matters are already subject to the </w:t>
      </w:r>
      <w:r w:rsidR="00822E13" w:rsidRPr="00EA11E2">
        <w:rPr>
          <w:rFonts w:ascii="Times New Roman" w:hAnsi="Times New Roman" w:cs="Times New Roman"/>
          <w:sz w:val="20"/>
          <w:szCs w:val="20"/>
        </w:rPr>
        <w:t xml:space="preserve">Court’s </w:t>
      </w:r>
      <w:r w:rsidR="00F2573B" w:rsidRPr="00EA11E2">
        <w:rPr>
          <w:rFonts w:ascii="Times New Roman" w:hAnsi="Times New Roman" w:cs="Times New Roman"/>
          <w:sz w:val="20"/>
          <w:szCs w:val="20"/>
        </w:rPr>
        <w:t xml:space="preserve">scrutiny. Legal or natural persons wanting to challenge them need to fulfil the criteria of “direct and individual concern” in </w:t>
      </w:r>
      <w:r w:rsidR="00354C76" w:rsidRPr="00EA11E2">
        <w:rPr>
          <w:rFonts w:ascii="Times New Roman" w:hAnsi="Times New Roman" w:cs="Times New Roman"/>
          <w:sz w:val="20"/>
          <w:szCs w:val="20"/>
        </w:rPr>
        <w:t>A</w:t>
      </w:r>
      <w:r w:rsidR="00F2573B" w:rsidRPr="00EA11E2">
        <w:rPr>
          <w:rFonts w:ascii="Times New Roman" w:hAnsi="Times New Roman" w:cs="Times New Roman"/>
          <w:sz w:val="20"/>
          <w:szCs w:val="20"/>
        </w:rPr>
        <w:t xml:space="preserve">rticle 263 (4) TFEU and State aid beneficiaries and their competitors have </w:t>
      </w:r>
      <w:r w:rsidR="000E7A0F" w:rsidRPr="00EA11E2">
        <w:rPr>
          <w:rFonts w:ascii="Times New Roman" w:hAnsi="Times New Roman" w:cs="Times New Roman"/>
          <w:sz w:val="20"/>
          <w:szCs w:val="20"/>
        </w:rPr>
        <w:t>frequently been granted standing</w:t>
      </w:r>
      <w:r w:rsidR="00F2573B"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25"/>
      </w:r>
      <w:r w:rsidR="00F2573B" w:rsidRPr="00EA11E2">
        <w:rPr>
          <w:rFonts w:ascii="Times New Roman" w:hAnsi="Times New Roman" w:cs="Times New Roman"/>
          <w:sz w:val="20"/>
          <w:szCs w:val="20"/>
        </w:rPr>
        <w:t xml:space="preserve"> The communicant maintains that this creates an obvious discrepancy between the right of companies and Member States </w:t>
      </w:r>
      <w:r w:rsidR="00822E13" w:rsidRPr="00EA11E2">
        <w:rPr>
          <w:rFonts w:ascii="Times New Roman" w:hAnsi="Times New Roman" w:cs="Times New Roman"/>
          <w:sz w:val="20"/>
          <w:szCs w:val="20"/>
        </w:rPr>
        <w:t xml:space="preserve">- </w:t>
      </w:r>
      <w:r w:rsidR="00F2573B" w:rsidRPr="00EA11E2">
        <w:rPr>
          <w:rFonts w:ascii="Times New Roman" w:hAnsi="Times New Roman" w:cs="Times New Roman"/>
          <w:sz w:val="20"/>
          <w:szCs w:val="20"/>
        </w:rPr>
        <w:t xml:space="preserve">which have the right to challenge them to protect their economic and commercial interests </w:t>
      </w:r>
      <w:r w:rsidR="00822E13" w:rsidRPr="00EA11E2">
        <w:rPr>
          <w:rFonts w:ascii="Times New Roman" w:hAnsi="Times New Roman" w:cs="Times New Roman"/>
          <w:sz w:val="20"/>
          <w:szCs w:val="20"/>
        </w:rPr>
        <w:t xml:space="preserve">- </w:t>
      </w:r>
      <w:r w:rsidR="00F2573B" w:rsidRPr="00EA11E2">
        <w:rPr>
          <w:rFonts w:ascii="Times New Roman" w:hAnsi="Times New Roman" w:cs="Times New Roman"/>
          <w:sz w:val="20"/>
          <w:szCs w:val="20"/>
        </w:rPr>
        <w:t>and NGOs which cannot use similar legal means to protect the environment.</w:t>
      </w:r>
      <w:r w:rsidR="000E7A0F" w:rsidRPr="00EA11E2">
        <w:rPr>
          <w:rStyle w:val="FootnoteReference"/>
          <w:rFonts w:ascii="Times New Roman" w:hAnsi="Times New Roman" w:cs="Times New Roman"/>
          <w:sz w:val="20"/>
          <w:szCs w:val="20"/>
        </w:rPr>
        <w:footnoteReference w:id="26"/>
      </w:r>
    </w:p>
    <w:p w14:paraId="1A3A7CE9" w14:textId="77777777" w:rsidR="00DA6EE7" w:rsidRPr="00EA11E2" w:rsidRDefault="00DA6EE7" w:rsidP="00DA6EE7">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50D6AB65" w14:textId="62FB438B" w:rsidR="00CB572F" w:rsidRPr="00EA11E2" w:rsidRDefault="00DA6EE7" w:rsidP="00CB572F">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The communicant reaffirms its arguments on the internal review procedure in </w:t>
      </w:r>
      <w:r w:rsidR="00354C76" w:rsidRPr="00EA11E2">
        <w:rPr>
          <w:rFonts w:ascii="Times New Roman" w:hAnsi="Times New Roman" w:cs="Times New Roman"/>
          <w:sz w:val="20"/>
          <w:szCs w:val="20"/>
        </w:rPr>
        <w:t>A</w:t>
      </w:r>
      <w:r w:rsidRPr="00EA11E2">
        <w:rPr>
          <w:rFonts w:ascii="Times New Roman" w:hAnsi="Times New Roman" w:cs="Times New Roman"/>
          <w:sz w:val="20"/>
          <w:szCs w:val="20"/>
        </w:rPr>
        <w:t xml:space="preserve">rticle 10 of </w:t>
      </w:r>
      <w:r w:rsidR="00247C64" w:rsidRPr="00EA11E2">
        <w:rPr>
          <w:rFonts w:ascii="Times New Roman" w:hAnsi="Times New Roman" w:cs="Times New Roman"/>
          <w:sz w:val="20"/>
          <w:szCs w:val="20"/>
        </w:rPr>
        <w:t>the Aarhus Regulation</w:t>
      </w:r>
      <w:r w:rsidRPr="00EA11E2">
        <w:rPr>
          <w:rFonts w:ascii="Times New Roman" w:hAnsi="Times New Roman" w:cs="Times New Roman"/>
          <w:sz w:val="20"/>
          <w:szCs w:val="20"/>
        </w:rPr>
        <w:t xml:space="preserve"> as neither adequate</w:t>
      </w:r>
      <w:r w:rsidR="00822E13" w:rsidRPr="00EA11E2">
        <w:rPr>
          <w:rFonts w:ascii="Times New Roman" w:hAnsi="Times New Roman" w:cs="Times New Roman"/>
          <w:sz w:val="20"/>
          <w:szCs w:val="20"/>
        </w:rPr>
        <w:t>,</w:t>
      </w:r>
      <w:r w:rsidRPr="00EA11E2">
        <w:rPr>
          <w:rFonts w:ascii="Times New Roman" w:hAnsi="Times New Roman" w:cs="Times New Roman"/>
          <w:sz w:val="20"/>
          <w:szCs w:val="20"/>
        </w:rPr>
        <w:t xml:space="preserve"> effective </w:t>
      </w:r>
      <w:r w:rsidR="00822E13" w:rsidRPr="00EA11E2">
        <w:rPr>
          <w:rFonts w:ascii="Times New Roman" w:hAnsi="Times New Roman" w:cs="Times New Roman"/>
          <w:sz w:val="20"/>
          <w:szCs w:val="20"/>
        </w:rPr>
        <w:t xml:space="preserve">or </w:t>
      </w:r>
      <w:r w:rsidRPr="00EA11E2">
        <w:rPr>
          <w:rFonts w:ascii="Times New Roman" w:hAnsi="Times New Roman" w:cs="Times New Roman"/>
          <w:sz w:val="20"/>
          <w:szCs w:val="20"/>
        </w:rPr>
        <w:t>fair.</w:t>
      </w:r>
      <w:r w:rsidR="000E7A0F" w:rsidRPr="00EA11E2">
        <w:rPr>
          <w:rStyle w:val="FootnoteReference"/>
          <w:rFonts w:ascii="Times New Roman" w:hAnsi="Times New Roman" w:cs="Times New Roman"/>
          <w:sz w:val="20"/>
          <w:szCs w:val="20"/>
        </w:rPr>
        <w:footnoteReference w:id="27"/>
      </w:r>
      <w:r w:rsidRPr="00EA11E2">
        <w:rPr>
          <w:rFonts w:ascii="Times New Roman" w:hAnsi="Times New Roman" w:cs="Times New Roman"/>
          <w:sz w:val="20"/>
          <w:szCs w:val="20"/>
        </w:rPr>
        <w:t xml:space="preserve"> Also, the fact that it is </w:t>
      </w:r>
      <w:r w:rsidR="00822E13" w:rsidRPr="00EA11E2">
        <w:rPr>
          <w:rFonts w:ascii="Times New Roman" w:hAnsi="Times New Roman" w:cs="Times New Roman"/>
          <w:sz w:val="20"/>
          <w:szCs w:val="20"/>
        </w:rPr>
        <w:t xml:space="preserve">for </w:t>
      </w:r>
      <w:r w:rsidRPr="00EA11E2">
        <w:rPr>
          <w:rFonts w:ascii="Times New Roman" w:hAnsi="Times New Roman" w:cs="Times New Roman"/>
          <w:sz w:val="20"/>
          <w:szCs w:val="20"/>
        </w:rPr>
        <w:t xml:space="preserve">the EU institution that adopted the contested decision to decide whether it wants to review its own decision does not ensure </w:t>
      </w:r>
      <w:r w:rsidR="00822E13" w:rsidRPr="00EA11E2">
        <w:rPr>
          <w:rFonts w:ascii="Times New Roman" w:hAnsi="Times New Roman" w:cs="Times New Roman"/>
          <w:sz w:val="20"/>
          <w:szCs w:val="20"/>
        </w:rPr>
        <w:t xml:space="preserve">an </w:t>
      </w:r>
      <w:r w:rsidRPr="00EA11E2">
        <w:rPr>
          <w:rFonts w:ascii="Times New Roman" w:hAnsi="Times New Roman" w:cs="Times New Roman"/>
          <w:sz w:val="20"/>
          <w:szCs w:val="20"/>
        </w:rPr>
        <w:t>independen</w:t>
      </w:r>
      <w:r w:rsidR="00822E13" w:rsidRPr="00EA11E2">
        <w:rPr>
          <w:rFonts w:ascii="Times New Roman" w:hAnsi="Times New Roman" w:cs="Times New Roman"/>
          <w:sz w:val="20"/>
          <w:szCs w:val="20"/>
        </w:rPr>
        <w:t>t</w:t>
      </w:r>
      <w:r w:rsidRPr="00EA11E2">
        <w:rPr>
          <w:rFonts w:ascii="Times New Roman" w:hAnsi="Times New Roman" w:cs="Times New Roman"/>
          <w:sz w:val="20"/>
          <w:szCs w:val="20"/>
        </w:rPr>
        <w:t xml:space="preserve"> </w:t>
      </w:r>
      <w:r w:rsidR="00822E13" w:rsidRPr="00EA11E2">
        <w:rPr>
          <w:rFonts w:ascii="Times New Roman" w:hAnsi="Times New Roman" w:cs="Times New Roman"/>
          <w:sz w:val="20"/>
          <w:szCs w:val="20"/>
        </w:rPr>
        <w:t xml:space="preserve">or impartial </w:t>
      </w:r>
      <w:r w:rsidRPr="00EA11E2">
        <w:rPr>
          <w:rFonts w:ascii="Times New Roman" w:hAnsi="Times New Roman" w:cs="Times New Roman"/>
          <w:sz w:val="20"/>
          <w:szCs w:val="20"/>
        </w:rPr>
        <w:t xml:space="preserve">remedy. </w:t>
      </w:r>
      <w:r w:rsidR="00822E13" w:rsidRPr="00EA11E2">
        <w:rPr>
          <w:rFonts w:ascii="Times New Roman" w:hAnsi="Times New Roman" w:cs="Times New Roman"/>
          <w:sz w:val="20"/>
          <w:szCs w:val="20"/>
        </w:rPr>
        <w:t xml:space="preserve">The </w:t>
      </w:r>
      <w:r w:rsidR="00D64FBB" w:rsidRPr="00EA11E2">
        <w:rPr>
          <w:rFonts w:ascii="Times New Roman" w:hAnsi="Times New Roman" w:cs="Times New Roman"/>
          <w:sz w:val="20"/>
          <w:szCs w:val="20"/>
        </w:rPr>
        <w:t>communicant</w:t>
      </w:r>
      <w:r w:rsidR="00822E13" w:rsidRPr="00EA11E2">
        <w:rPr>
          <w:rFonts w:ascii="Times New Roman" w:hAnsi="Times New Roman" w:cs="Times New Roman"/>
          <w:sz w:val="20"/>
          <w:szCs w:val="20"/>
        </w:rPr>
        <w:t xml:space="preserve"> submits</w:t>
      </w:r>
      <w:r w:rsidR="00D64FBB" w:rsidRPr="00EA11E2">
        <w:rPr>
          <w:rFonts w:ascii="Times New Roman" w:hAnsi="Times New Roman" w:cs="Times New Roman"/>
          <w:sz w:val="20"/>
          <w:szCs w:val="20"/>
        </w:rPr>
        <w:t xml:space="preserve"> i</w:t>
      </w:r>
      <w:r w:rsidRPr="00EA11E2">
        <w:rPr>
          <w:rFonts w:ascii="Times New Roman" w:hAnsi="Times New Roman" w:cs="Times New Roman"/>
          <w:sz w:val="20"/>
          <w:szCs w:val="20"/>
        </w:rPr>
        <w:t xml:space="preserve">t is only natural that the institution will be biased and consider that all the legal and due diligence checks </w:t>
      </w:r>
      <w:r w:rsidR="00822E13" w:rsidRPr="00EA11E2">
        <w:rPr>
          <w:rFonts w:ascii="Times New Roman" w:hAnsi="Times New Roman" w:cs="Times New Roman"/>
          <w:sz w:val="20"/>
          <w:szCs w:val="20"/>
        </w:rPr>
        <w:t>were</w:t>
      </w:r>
      <w:r w:rsidRPr="00EA11E2">
        <w:rPr>
          <w:rFonts w:ascii="Times New Roman" w:hAnsi="Times New Roman" w:cs="Times New Roman"/>
          <w:sz w:val="20"/>
          <w:szCs w:val="20"/>
        </w:rPr>
        <w:t xml:space="preserve"> made</w:t>
      </w:r>
      <w:r w:rsidR="000E7A0F"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28"/>
      </w:r>
      <w:r w:rsidR="00D64FBB" w:rsidRPr="00EA11E2">
        <w:rPr>
          <w:rFonts w:ascii="Times New Roman" w:hAnsi="Times New Roman" w:cs="Times New Roman"/>
          <w:sz w:val="20"/>
          <w:szCs w:val="20"/>
        </w:rPr>
        <w:t xml:space="preserve"> </w:t>
      </w:r>
    </w:p>
    <w:p w14:paraId="567A16BC" w14:textId="77777777" w:rsidR="00CB572F" w:rsidRPr="00EA11E2" w:rsidRDefault="00CB572F" w:rsidP="00CB572F">
      <w:pPr>
        <w:pStyle w:val="ListParagraph"/>
        <w:rPr>
          <w:rFonts w:ascii="Times New Roman" w:hAnsi="Times New Roman" w:cs="Times New Roman"/>
          <w:spacing w:val="-2"/>
          <w:sz w:val="20"/>
          <w:szCs w:val="20"/>
        </w:rPr>
      </w:pPr>
    </w:p>
    <w:p w14:paraId="24C70A5B" w14:textId="77777777" w:rsidR="00CC2911" w:rsidRPr="00EA11E2" w:rsidRDefault="00CC2911" w:rsidP="00CC2911">
      <w:pPr>
        <w:pStyle w:val="ListParagraph"/>
        <w:autoSpaceDE w:val="0"/>
        <w:autoSpaceDN w:val="0"/>
        <w:adjustRightInd w:val="0"/>
        <w:spacing w:after="0" w:line="240" w:lineRule="auto"/>
        <w:ind w:left="0"/>
        <w:jc w:val="both"/>
        <w:rPr>
          <w:rFonts w:ascii="Times New Roman" w:hAnsi="Times New Roman" w:cs="Times New Roman"/>
          <w:b/>
          <w:i/>
          <w:sz w:val="20"/>
          <w:szCs w:val="20"/>
        </w:rPr>
      </w:pPr>
      <w:r w:rsidRPr="00EA11E2">
        <w:rPr>
          <w:rFonts w:ascii="Times New Roman" w:hAnsi="Times New Roman" w:cs="Times New Roman"/>
          <w:b/>
          <w:i/>
          <w:sz w:val="20"/>
          <w:szCs w:val="20"/>
        </w:rPr>
        <w:t>Submissions of the Party concerned</w:t>
      </w:r>
    </w:p>
    <w:p w14:paraId="02E519A8" w14:textId="77777777" w:rsidR="00CC2911" w:rsidRPr="00EA11E2" w:rsidRDefault="00CC2911" w:rsidP="00D8054F">
      <w:pPr>
        <w:pStyle w:val="ListParagraph"/>
        <w:rPr>
          <w:rFonts w:ascii="Times New Roman" w:hAnsi="Times New Roman" w:cs="Times New Roman"/>
          <w:sz w:val="20"/>
          <w:szCs w:val="20"/>
        </w:rPr>
      </w:pPr>
    </w:p>
    <w:p w14:paraId="2A15F848" w14:textId="77777777" w:rsidR="00CB572F" w:rsidRPr="00EA11E2" w:rsidRDefault="00CB572F" w:rsidP="00CB572F">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The Party concerned maintains that the refusal decisions by the European Commission to allow review of Decision C(2009)2560 and Regulation 149/2008, quashed by the General Court, were re-established </w:t>
      </w:r>
      <w:r w:rsidRPr="00EA11E2">
        <w:rPr>
          <w:rFonts w:ascii="Times New Roman" w:hAnsi="Times New Roman" w:cs="Times New Roman"/>
          <w:i/>
          <w:sz w:val="20"/>
          <w:szCs w:val="20"/>
        </w:rPr>
        <w:t xml:space="preserve">ex </w:t>
      </w:r>
      <w:proofErr w:type="spellStart"/>
      <w:r w:rsidRPr="00EA11E2">
        <w:rPr>
          <w:rFonts w:ascii="Times New Roman" w:hAnsi="Times New Roman" w:cs="Times New Roman"/>
          <w:i/>
          <w:sz w:val="20"/>
          <w:szCs w:val="20"/>
        </w:rPr>
        <w:t>tunc</w:t>
      </w:r>
      <w:proofErr w:type="spellEnd"/>
      <w:r w:rsidRPr="00EA11E2">
        <w:rPr>
          <w:rFonts w:ascii="Times New Roman" w:hAnsi="Times New Roman" w:cs="Times New Roman"/>
          <w:sz w:val="20"/>
          <w:szCs w:val="20"/>
        </w:rPr>
        <w:t>, precisely because the acts whose review was asked were considered to be of general application and thus outside the scope of the Aarhus Regulation.</w:t>
      </w:r>
      <w:r w:rsidRPr="00EA11E2">
        <w:rPr>
          <w:rStyle w:val="FootnoteReference"/>
          <w:rFonts w:ascii="Times New Roman" w:hAnsi="Times New Roman" w:cs="Times New Roman"/>
          <w:sz w:val="20"/>
          <w:szCs w:val="20"/>
        </w:rPr>
        <w:footnoteReference w:id="29"/>
      </w:r>
      <w:r w:rsidRPr="00EA11E2">
        <w:rPr>
          <w:rFonts w:ascii="Times New Roman" w:hAnsi="Times New Roman" w:cs="Times New Roman"/>
          <w:sz w:val="20"/>
          <w:szCs w:val="20"/>
        </w:rPr>
        <w:t xml:space="preserve"> </w:t>
      </w:r>
    </w:p>
    <w:p w14:paraId="27E2A91E" w14:textId="77777777" w:rsidR="00CB572F" w:rsidRPr="00EA11E2" w:rsidRDefault="00CB572F" w:rsidP="00CB572F">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3D7EAEE7" w14:textId="5C5B1D29" w:rsidR="00CB572F" w:rsidRPr="00EA11E2" w:rsidRDefault="00CB572F" w:rsidP="00CB572F">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The Party concerned stresses that this “alternative legal reasoning” evoked by the communicant arguing that the ECJ “could have clearly taken another legal route” disregards these judgments and cannot replace what the ECJ found</w:t>
      </w:r>
      <w:r w:rsidR="002E4B4D" w:rsidRPr="00EA11E2">
        <w:rPr>
          <w:rStyle w:val="FootnoteReference"/>
          <w:rFonts w:ascii="Times New Roman" w:hAnsi="Times New Roman" w:cs="Times New Roman"/>
          <w:sz w:val="20"/>
          <w:szCs w:val="20"/>
        </w:rPr>
        <w:footnoteReference w:id="30"/>
      </w:r>
      <w:r w:rsidRPr="00EA11E2">
        <w:rPr>
          <w:rFonts w:ascii="Times New Roman" w:hAnsi="Times New Roman" w:cs="Times New Roman"/>
          <w:sz w:val="20"/>
          <w:szCs w:val="20"/>
        </w:rPr>
        <w:t xml:space="preserve">. </w:t>
      </w:r>
    </w:p>
    <w:p w14:paraId="4008A6F0" w14:textId="77777777" w:rsidR="00CB572F" w:rsidRPr="00EA11E2" w:rsidRDefault="00CB572F" w:rsidP="00CB572F">
      <w:pPr>
        <w:pStyle w:val="ListParagraph"/>
        <w:rPr>
          <w:rFonts w:ascii="Times New Roman" w:hAnsi="Times New Roman" w:cs="Times New Roman"/>
          <w:sz w:val="20"/>
          <w:szCs w:val="20"/>
        </w:rPr>
      </w:pPr>
    </w:p>
    <w:p w14:paraId="26F928EB" w14:textId="4754CB40" w:rsidR="00CB572F" w:rsidRPr="00EA11E2" w:rsidRDefault="00CB572F" w:rsidP="00CB572F">
      <w:pPr>
        <w:pStyle w:val="ListParagraph"/>
        <w:numPr>
          <w:ilvl w:val="0"/>
          <w:numId w:val="6"/>
        </w:numPr>
        <w:spacing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The Party concerned does not agree with the </w:t>
      </w:r>
      <w:r w:rsidR="0044251E" w:rsidRPr="00EA11E2">
        <w:rPr>
          <w:rFonts w:ascii="Times New Roman" w:hAnsi="Times New Roman" w:cs="Times New Roman"/>
          <w:sz w:val="20"/>
          <w:szCs w:val="20"/>
        </w:rPr>
        <w:t xml:space="preserve">communicant’s </w:t>
      </w:r>
      <w:r w:rsidRPr="00EA11E2">
        <w:rPr>
          <w:rFonts w:ascii="Times New Roman" w:hAnsi="Times New Roman" w:cs="Times New Roman"/>
          <w:sz w:val="20"/>
          <w:szCs w:val="20"/>
        </w:rPr>
        <w:t>allegations. According to the Party concerned, it did not fail to comply with article 9, paragraph 3, of the Convention, because that provision cannot be used as a parameter to assess the validity of the Aarhus Regulation. Parties to the Convention have a margin of appreciation as to how they implement article 9, paragraph 3, into their national legal orders, and the EU institutions have exercised this margin in the context of the Aarhus Regulation.</w:t>
      </w:r>
      <w:r w:rsidRPr="00EA11E2">
        <w:rPr>
          <w:rStyle w:val="FootnoteReference"/>
          <w:rFonts w:ascii="Times New Roman" w:hAnsi="Times New Roman" w:cs="Times New Roman"/>
          <w:sz w:val="20"/>
          <w:szCs w:val="20"/>
        </w:rPr>
        <w:footnoteReference w:id="31"/>
      </w:r>
      <w:r w:rsidRPr="00EA11E2">
        <w:rPr>
          <w:rFonts w:ascii="Times New Roman" w:hAnsi="Times New Roman" w:cs="Times New Roman"/>
          <w:sz w:val="20"/>
          <w:szCs w:val="20"/>
        </w:rPr>
        <w:t xml:space="preserve"> </w:t>
      </w:r>
    </w:p>
    <w:p w14:paraId="3FA39025" w14:textId="77777777" w:rsidR="00CB572F" w:rsidRPr="00EA11E2" w:rsidRDefault="00CB572F" w:rsidP="00CB572F">
      <w:pPr>
        <w:pStyle w:val="ListParagraph"/>
        <w:rPr>
          <w:rFonts w:ascii="Times New Roman" w:hAnsi="Times New Roman" w:cs="Times New Roman"/>
          <w:sz w:val="20"/>
          <w:szCs w:val="20"/>
        </w:rPr>
      </w:pPr>
    </w:p>
    <w:p w14:paraId="00DDADF1" w14:textId="77777777" w:rsidR="004671D0" w:rsidRPr="00EA11E2" w:rsidRDefault="00175AC9" w:rsidP="00CB572F">
      <w:pPr>
        <w:pStyle w:val="ListParagraph"/>
        <w:numPr>
          <w:ilvl w:val="0"/>
          <w:numId w:val="6"/>
        </w:numPr>
        <w:spacing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Concerning the implementation of article 9, paragraph 3, t</w:t>
      </w:r>
      <w:r w:rsidR="00D8054F" w:rsidRPr="00EA11E2">
        <w:rPr>
          <w:rFonts w:ascii="Times New Roman" w:hAnsi="Times New Roman" w:cs="Times New Roman"/>
          <w:sz w:val="20"/>
          <w:szCs w:val="20"/>
        </w:rPr>
        <w:t xml:space="preserve">he Party concerned </w:t>
      </w:r>
      <w:r w:rsidR="00EB46EB" w:rsidRPr="00EA11E2">
        <w:rPr>
          <w:rFonts w:ascii="Times New Roman" w:hAnsi="Times New Roman" w:cs="Times New Roman"/>
          <w:sz w:val="20"/>
          <w:szCs w:val="20"/>
        </w:rPr>
        <w:t xml:space="preserve">recalls that </w:t>
      </w:r>
      <w:r w:rsidR="00194FD8" w:rsidRPr="00EA11E2">
        <w:rPr>
          <w:rFonts w:ascii="Times New Roman" w:hAnsi="Times New Roman" w:cs="Times New Roman"/>
          <w:sz w:val="20"/>
          <w:szCs w:val="20"/>
        </w:rPr>
        <w:t>the EU aligned its system</w:t>
      </w:r>
      <w:r w:rsidR="00244DE1" w:rsidRPr="00EA11E2">
        <w:rPr>
          <w:rFonts w:ascii="Times New Roman" w:hAnsi="Times New Roman" w:cs="Times New Roman"/>
          <w:sz w:val="20"/>
          <w:szCs w:val="20"/>
        </w:rPr>
        <w:t>;</w:t>
      </w:r>
      <w:r w:rsidR="004671D0" w:rsidRPr="00EA11E2">
        <w:rPr>
          <w:rFonts w:ascii="Times New Roman" w:hAnsi="Times New Roman" w:cs="Times New Roman"/>
          <w:sz w:val="20"/>
          <w:szCs w:val="20"/>
        </w:rPr>
        <w:t xml:space="preserve"> </w:t>
      </w:r>
      <w:r w:rsidR="002E4B4D" w:rsidRPr="00EA11E2">
        <w:rPr>
          <w:rFonts w:ascii="Times New Roman" w:hAnsi="Times New Roman" w:cs="Times New Roman"/>
          <w:sz w:val="20"/>
          <w:szCs w:val="20"/>
        </w:rPr>
        <w:t>A</w:t>
      </w:r>
      <w:r w:rsidR="004671D0" w:rsidRPr="00EA11E2">
        <w:rPr>
          <w:rFonts w:ascii="Times New Roman" w:hAnsi="Times New Roman" w:cs="Times New Roman"/>
          <w:sz w:val="20"/>
          <w:szCs w:val="20"/>
        </w:rPr>
        <w:t>rticle 12</w:t>
      </w:r>
      <w:r w:rsidR="00627DC7" w:rsidRPr="00EA11E2">
        <w:rPr>
          <w:rFonts w:ascii="Times New Roman" w:hAnsi="Times New Roman" w:cs="Times New Roman"/>
          <w:sz w:val="20"/>
          <w:szCs w:val="20"/>
        </w:rPr>
        <w:t xml:space="preserve"> </w:t>
      </w:r>
      <w:r w:rsidR="00194FD8" w:rsidRPr="00EA11E2">
        <w:rPr>
          <w:rFonts w:ascii="Times New Roman" w:hAnsi="Times New Roman" w:cs="Times New Roman"/>
          <w:sz w:val="20"/>
          <w:szCs w:val="20"/>
        </w:rPr>
        <w:t>of the Aarhus Regulation gives environmental NGOs legal standing before the EU courts to ask for review of decisions</w:t>
      </w:r>
      <w:r w:rsidR="004671D0" w:rsidRPr="00EA11E2">
        <w:rPr>
          <w:rFonts w:ascii="Times New Roman" w:hAnsi="Times New Roman" w:cs="Times New Roman"/>
          <w:sz w:val="20"/>
          <w:szCs w:val="20"/>
        </w:rPr>
        <w:t>.</w:t>
      </w:r>
      <w:r w:rsidR="000E7A0F" w:rsidRPr="00EA11E2">
        <w:rPr>
          <w:rStyle w:val="FootnoteReference"/>
          <w:rFonts w:ascii="Times New Roman" w:hAnsi="Times New Roman" w:cs="Times New Roman"/>
          <w:sz w:val="20"/>
          <w:szCs w:val="20"/>
        </w:rPr>
        <w:footnoteReference w:id="32"/>
      </w:r>
      <w:r w:rsidR="004671D0" w:rsidRPr="00EA11E2">
        <w:rPr>
          <w:rFonts w:ascii="Times New Roman" w:hAnsi="Times New Roman" w:cs="Times New Roman"/>
          <w:sz w:val="20"/>
          <w:szCs w:val="20"/>
        </w:rPr>
        <w:t xml:space="preserve"> </w:t>
      </w:r>
    </w:p>
    <w:p w14:paraId="5366A980" w14:textId="77777777" w:rsidR="004671D0" w:rsidRPr="00EA11E2" w:rsidRDefault="004671D0" w:rsidP="004671D0">
      <w:pPr>
        <w:pStyle w:val="ListParagraph"/>
        <w:rPr>
          <w:rFonts w:ascii="Times New Roman" w:hAnsi="Times New Roman" w:cs="Times New Roman"/>
          <w:sz w:val="20"/>
          <w:szCs w:val="20"/>
        </w:rPr>
      </w:pPr>
    </w:p>
    <w:p w14:paraId="24818120" w14:textId="3CC13B72" w:rsidR="00517671" w:rsidRPr="00EA11E2" w:rsidRDefault="004671D0" w:rsidP="005C7C12">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In addition, the Party concerned points out that other pieces of EU legislation applicable to Member States contain express provisions on access to justice for members of the public (NGOs and individuals, under certain conditions), within the meaning of the Conventio</w:t>
      </w:r>
      <w:r w:rsidR="007A02C9" w:rsidRPr="00EA11E2">
        <w:rPr>
          <w:rFonts w:ascii="Times New Roman" w:hAnsi="Times New Roman" w:cs="Times New Roman"/>
          <w:sz w:val="20"/>
          <w:szCs w:val="20"/>
        </w:rPr>
        <w:t>n</w:t>
      </w:r>
      <w:r w:rsidR="000E7A0F" w:rsidRPr="00EA11E2">
        <w:rPr>
          <w:rFonts w:ascii="Times New Roman" w:hAnsi="Times New Roman" w:cs="Times New Roman"/>
          <w:sz w:val="20"/>
          <w:szCs w:val="20"/>
        </w:rPr>
        <w:t>.</w:t>
      </w:r>
      <w:r w:rsidR="007A02C9" w:rsidRPr="00EA11E2">
        <w:rPr>
          <w:rStyle w:val="FootnoteReference"/>
          <w:rFonts w:ascii="Times New Roman" w:hAnsi="Times New Roman" w:cs="Times New Roman"/>
          <w:sz w:val="20"/>
          <w:szCs w:val="20"/>
        </w:rPr>
        <w:footnoteReference w:id="33"/>
      </w:r>
      <w:r w:rsidRPr="00EA11E2">
        <w:rPr>
          <w:rFonts w:ascii="Times New Roman" w:hAnsi="Times New Roman" w:cs="Times New Roman"/>
          <w:sz w:val="20"/>
          <w:szCs w:val="20"/>
        </w:rPr>
        <w:t xml:space="preserve"> </w:t>
      </w:r>
      <w:r w:rsidR="00CE7A8C" w:rsidRPr="00EA11E2">
        <w:rPr>
          <w:rFonts w:ascii="Times New Roman" w:hAnsi="Times New Roman" w:cs="Times New Roman"/>
          <w:sz w:val="20"/>
          <w:szCs w:val="20"/>
        </w:rPr>
        <w:t xml:space="preserve">In this regard, the </w:t>
      </w:r>
      <w:r w:rsidR="005C7C12" w:rsidRPr="00EA11E2">
        <w:rPr>
          <w:rFonts w:ascii="Times New Roman" w:hAnsi="Times New Roman" w:cs="Times New Roman"/>
          <w:sz w:val="20"/>
          <w:szCs w:val="20"/>
        </w:rPr>
        <w:t>Party concerned</w:t>
      </w:r>
      <w:r w:rsidR="00CE7A8C" w:rsidRPr="00EA11E2">
        <w:rPr>
          <w:rFonts w:ascii="Times New Roman" w:hAnsi="Times New Roman" w:cs="Times New Roman"/>
          <w:sz w:val="20"/>
          <w:szCs w:val="20"/>
        </w:rPr>
        <w:t xml:space="preserve"> </w:t>
      </w:r>
      <w:r w:rsidR="0044251E" w:rsidRPr="00EA11E2">
        <w:rPr>
          <w:rFonts w:ascii="Times New Roman" w:hAnsi="Times New Roman" w:cs="Times New Roman"/>
          <w:sz w:val="20"/>
          <w:szCs w:val="20"/>
        </w:rPr>
        <w:t>cites</w:t>
      </w:r>
      <w:r w:rsidR="00CE7A8C" w:rsidRPr="00EA11E2">
        <w:rPr>
          <w:rFonts w:ascii="Times New Roman" w:hAnsi="Times New Roman" w:cs="Times New Roman"/>
          <w:sz w:val="20"/>
          <w:szCs w:val="20"/>
        </w:rPr>
        <w:t xml:space="preserve"> a number of ECJ </w:t>
      </w:r>
      <w:r w:rsidR="0044251E" w:rsidRPr="00EA11E2">
        <w:rPr>
          <w:rFonts w:ascii="Times New Roman" w:hAnsi="Times New Roman" w:cs="Times New Roman"/>
          <w:sz w:val="20"/>
          <w:szCs w:val="20"/>
        </w:rPr>
        <w:t xml:space="preserve">judgments in which the </w:t>
      </w:r>
      <w:r w:rsidR="00515AA0" w:rsidRPr="00EA11E2">
        <w:rPr>
          <w:rFonts w:ascii="Times New Roman" w:hAnsi="Times New Roman" w:cs="Times New Roman"/>
          <w:sz w:val="20"/>
          <w:szCs w:val="20"/>
        </w:rPr>
        <w:t>Court</w:t>
      </w:r>
      <w:r w:rsidR="005C7C12" w:rsidRPr="00EA11E2">
        <w:rPr>
          <w:rFonts w:ascii="Times New Roman" w:hAnsi="Times New Roman" w:cs="Times New Roman"/>
          <w:sz w:val="20"/>
          <w:szCs w:val="20"/>
        </w:rPr>
        <w:t xml:space="preserve"> recognized the importance of standing for NGOs to ensure the application of EU legislation and the conditions of standing</w:t>
      </w:r>
      <w:r w:rsidR="00627DC7" w:rsidRPr="00EA11E2">
        <w:rPr>
          <w:rFonts w:ascii="Times New Roman" w:hAnsi="Times New Roman" w:cs="Times New Roman"/>
          <w:i/>
          <w:sz w:val="20"/>
          <w:szCs w:val="20"/>
        </w:rPr>
        <w:t>.</w:t>
      </w:r>
      <w:r w:rsidR="000E7A0F" w:rsidRPr="00EA11E2">
        <w:rPr>
          <w:rStyle w:val="FootnoteReference"/>
          <w:rFonts w:ascii="Times New Roman" w:hAnsi="Times New Roman" w:cs="Times New Roman"/>
          <w:i/>
          <w:sz w:val="20"/>
          <w:szCs w:val="20"/>
        </w:rPr>
        <w:footnoteReference w:id="34"/>
      </w:r>
    </w:p>
    <w:p w14:paraId="17435D9A" w14:textId="77777777" w:rsidR="005C7C12" w:rsidRPr="00EA11E2" w:rsidRDefault="005C7C12" w:rsidP="005C7C12">
      <w:pPr>
        <w:pStyle w:val="ListParagraph"/>
        <w:rPr>
          <w:rFonts w:ascii="Times New Roman" w:hAnsi="Times New Roman" w:cs="Times New Roman"/>
          <w:sz w:val="20"/>
          <w:szCs w:val="20"/>
        </w:rPr>
      </w:pPr>
    </w:p>
    <w:p w14:paraId="0E6AA089" w14:textId="0059F7FD" w:rsidR="004A57AD" w:rsidRPr="00EA11E2" w:rsidRDefault="00EB46EB" w:rsidP="00517671">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sz w:val="20"/>
          <w:szCs w:val="20"/>
        </w:rPr>
      </w:pPr>
      <w:r w:rsidRPr="00EA11E2">
        <w:rPr>
          <w:rFonts w:ascii="Times New Roman" w:hAnsi="Times New Roman" w:cs="Times New Roman"/>
          <w:sz w:val="20"/>
          <w:szCs w:val="20"/>
        </w:rPr>
        <w:t>The Party concerned underlines</w:t>
      </w:r>
      <w:r w:rsidR="005C7C12" w:rsidRPr="00EA11E2">
        <w:rPr>
          <w:rFonts w:ascii="Times New Roman" w:hAnsi="Times New Roman" w:cs="Times New Roman"/>
          <w:sz w:val="20"/>
          <w:szCs w:val="20"/>
        </w:rPr>
        <w:t xml:space="preserve"> that </w:t>
      </w:r>
      <w:r w:rsidR="00B13398" w:rsidRPr="00EA11E2">
        <w:rPr>
          <w:rFonts w:ascii="Times New Roman" w:hAnsi="Times New Roman" w:cs="Times New Roman"/>
          <w:sz w:val="20"/>
          <w:szCs w:val="20"/>
        </w:rPr>
        <w:t xml:space="preserve">since </w:t>
      </w:r>
      <w:r w:rsidR="004671D0" w:rsidRPr="00EA11E2">
        <w:rPr>
          <w:rFonts w:ascii="Times New Roman" w:hAnsi="Times New Roman" w:cs="Times New Roman"/>
          <w:sz w:val="20"/>
          <w:szCs w:val="20"/>
        </w:rPr>
        <w:t xml:space="preserve">the </w:t>
      </w:r>
      <w:r w:rsidR="005C7C12" w:rsidRPr="00EA11E2">
        <w:rPr>
          <w:rFonts w:ascii="Times New Roman" w:hAnsi="Times New Roman" w:cs="Times New Roman"/>
          <w:sz w:val="20"/>
          <w:szCs w:val="20"/>
        </w:rPr>
        <w:t xml:space="preserve">EU </w:t>
      </w:r>
      <w:r w:rsidR="004671D0" w:rsidRPr="00EA11E2">
        <w:rPr>
          <w:rFonts w:ascii="Times New Roman" w:hAnsi="Times New Roman" w:cs="Times New Roman"/>
          <w:sz w:val="20"/>
          <w:szCs w:val="20"/>
        </w:rPr>
        <w:t>has not adopted specific leg</w:t>
      </w:r>
      <w:r w:rsidR="004004E8" w:rsidRPr="00EA11E2">
        <w:rPr>
          <w:rFonts w:ascii="Times New Roman" w:hAnsi="Times New Roman" w:cs="Times New Roman"/>
          <w:sz w:val="20"/>
          <w:szCs w:val="20"/>
        </w:rPr>
        <w:t>islation intended to implement article 9, paragraph 3,</w:t>
      </w:r>
      <w:r w:rsidR="004671D0" w:rsidRPr="00EA11E2">
        <w:rPr>
          <w:rFonts w:ascii="Times New Roman" w:hAnsi="Times New Roman" w:cs="Times New Roman"/>
          <w:sz w:val="20"/>
          <w:szCs w:val="20"/>
        </w:rPr>
        <w:t xml:space="preserve"> of the Convention, it remains a responsibility of the </w:t>
      </w:r>
      <w:r w:rsidR="00247C64" w:rsidRPr="00EA11E2">
        <w:rPr>
          <w:rFonts w:ascii="Times New Roman" w:hAnsi="Times New Roman" w:cs="Times New Roman"/>
          <w:sz w:val="20"/>
          <w:szCs w:val="20"/>
        </w:rPr>
        <w:t xml:space="preserve">EU </w:t>
      </w:r>
      <w:r w:rsidR="004671D0" w:rsidRPr="00EA11E2">
        <w:rPr>
          <w:rFonts w:ascii="Times New Roman" w:hAnsi="Times New Roman" w:cs="Times New Roman"/>
          <w:sz w:val="20"/>
          <w:szCs w:val="20"/>
        </w:rPr>
        <w:t>Member States to imp</w:t>
      </w:r>
      <w:r w:rsidR="00674873" w:rsidRPr="00EA11E2">
        <w:rPr>
          <w:rFonts w:ascii="Times New Roman" w:hAnsi="Times New Roman" w:cs="Times New Roman"/>
          <w:sz w:val="20"/>
          <w:szCs w:val="20"/>
        </w:rPr>
        <w:t>lement their obligations under a</w:t>
      </w:r>
      <w:r w:rsidR="004671D0" w:rsidRPr="00EA11E2">
        <w:rPr>
          <w:rFonts w:ascii="Times New Roman" w:hAnsi="Times New Roman" w:cs="Times New Roman"/>
          <w:sz w:val="20"/>
          <w:szCs w:val="20"/>
        </w:rPr>
        <w:t xml:space="preserve">rticle 9 of the Convention, which, by virtue of </w:t>
      </w:r>
      <w:r w:rsidR="00354C76" w:rsidRPr="00EA11E2">
        <w:rPr>
          <w:rFonts w:ascii="Times New Roman" w:hAnsi="Times New Roman" w:cs="Times New Roman"/>
          <w:sz w:val="20"/>
          <w:szCs w:val="20"/>
        </w:rPr>
        <w:t>A</w:t>
      </w:r>
      <w:r w:rsidR="004671D0" w:rsidRPr="00EA11E2">
        <w:rPr>
          <w:rFonts w:ascii="Times New Roman" w:hAnsi="Times New Roman" w:cs="Times New Roman"/>
          <w:sz w:val="20"/>
          <w:szCs w:val="20"/>
        </w:rPr>
        <w:t>rticle 216</w:t>
      </w:r>
      <w:r w:rsidR="00016A4B" w:rsidRPr="00EA11E2">
        <w:rPr>
          <w:rFonts w:ascii="Times New Roman" w:hAnsi="Times New Roman" w:cs="Times New Roman"/>
          <w:sz w:val="20"/>
          <w:szCs w:val="20"/>
        </w:rPr>
        <w:t xml:space="preserve"> of the TFEU</w:t>
      </w:r>
      <w:r w:rsidR="004671D0" w:rsidRPr="00EA11E2">
        <w:rPr>
          <w:rFonts w:ascii="Times New Roman" w:hAnsi="Times New Roman" w:cs="Times New Roman"/>
          <w:sz w:val="20"/>
          <w:szCs w:val="20"/>
        </w:rPr>
        <w:t>, is part of Union law.</w:t>
      </w:r>
      <w:r w:rsidR="00E13C8C" w:rsidRPr="00EA11E2">
        <w:rPr>
          <w:rStyle w:val="FootnoteReference"/>
          <w:rFonts w:ascii="Times New Roman" w:hAnsi="Times New Roman" w:cs="Times New Roman"/>
          <w:sz w:val="20"/>
          <w:szCs w:val="20"/>
        </w:rPr>
        <w:footnoteReference w:id="35"/>
      </w:r>
    </w:p>
    <w:p w14:paraId="2B9D551A" w14:textId="77777777" w:rsidR="004A57AD" w:rsidRPr="00EA11E2" w:rsidRDefault="004A57AD" w:rsidP="00B619F8">
      <w:pPr>
        <w:pStyle w:val="ListParagraph"/>
        <w:autoSpaceDE w:val="0"/>
        <w:autoSpaceDN w:val="0"/>
        <w:adjustRightInd w:val="0"/>
        <w:spacing w:after="0" w:line="240" w:lineRule="auto"/>
        <w:ind w:left="0"/>
        <w:jc w:val="both"/>
        <w:rPr>
          <w:rFonts w:ascii="Times New Roman" w:hAnsi="Times New Roman" w:cs="Times New Roman"/>
          <w:sz w:val="20"/>
          <w:szCs w:val="20"/>
        </w:rPr>
      </w:pPr>
    </w:p>
    <w:p w14:paraId="0E8B2788" w14:textId="77777777" w:rsidR="009B3316" w:rsidRPr="009B3316" w:rsidRDefault="00A202FA" w:rsidP="00CC2911">
      <w:pPr>
        <w:pStyle w:val="ListParagraph"/>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B3316">
        <w:rPr>
          <w:rFonts w:ascii="Times New Roman" w:hAnsi="Times New Roman" w:cs="Times New Roman"/>
          <w:sz w:val="20"/>
          <w:szCs w:val="20"/>
        </w:rPr>
        <w:t xml:space="preserve">The Party concerned also points out the </w:t>
      </w:r>
      <w:r w:rsidRPr="009B3316">
        <w:rPr>
          <w:rFonts w:ascii="Times New Roman" w:hAnsi="Times New Roman" w:cs="Times New Roman"/>
          <w:i/>
          <w:sz w:val="20"/>
          <w:szCs w:val="20"/>
        </w:rPr>
        <w:t>Slovak Bears</w:t>
      </w:r>
      <w:r w:rsidR="001D611A" w:rsidRPr="009B3316">
        <w:rPr>
          <w:rFonts w:ascii="Times New Roman" w:hAnsi="Times New Roman" w:cs="Times New Roman"/>
          <w:sz w:val="20"/>
          <w:szCs w:val="20"/>
        </w:rPr>
        <w:t xml:space="preserve"> cas</w:t>
      </w:r>
      <w:r w:rsidR="000D5BE4" w:rsidRPr="009B3316">
        <w:rPr>
          <w:rFonts w:ascii="Times New Roman" w:hAnsi="Times New Roman" w:cs="Times New Roman"/>
          <w:sz w:val="20"/>
          <w:szCs w:val="20"/>
        </w:rPr>
        <w:t>e</w:t>
      </w:r>
      <w:r w:rsidR="000D5BE4" w:rsidRPr="00EA11E2">
        <w:rPr>
          <w:rStyle w:val="FootnoteReference"/>
          <w:rFonts w:ascii="Times New Roman" w:hAnsi="Times New Roman" w:cs="Times New Roman"/>
          <w:sz w:val="20"/>
          <w:szCs w:val="20"/>
        </w:rPr>
        <w:footnoteReference w:id="36"/>
      </w:r>
      <w:r w:rsidR="001D611A" w:rsidRPr="009B3316">
        <w:rPr>
          <w:rFonts w:ascii="Times New Roman" w:hAnsi="Times New Roman" w:cs="Times New Roman"/>
          <w:sz w:val="20"/>
          <w:szCs w:val="20"/>
        </w:rPr>
        <w:t xml:space="preserve"> where</w:t>
      </w:r>
      <w:r w:rsidRPr="009B3316">
        <w:rPr>
          <w:rFonts w:ascii="Times New Roman" w:hAnsi="Times New Roman" w:cs="Times New Roman"/>
          <w:sz w:val="20"/>
          <w:szCs w:val="20"/>
        </w:rPr>
        <w:t xml:space="preserve"> </w:t>
      </w:r>
      <w:r w:rsidR="001D611A" w:rsidRPr="009B3316">
        <w:rPr>
          <w:rFonts w:ascii="Times New Roman" w:hAnsi="Times New Roman" w:cs="Times New Roman"/>
          <w:sz w:val="20"/>
          <w:szCs w:val="20"/>
        </w:rPr>
        <w:t>the ECJ held that</w:t>
      </w:r>
      <w:r w:rsidRPr="009B3316">
        <w:rPr>
          <w:rFonts w:ascii="Times New Roman" w:hAnsi="Times New Roman" w:cs="Times New Roman"/>
          <w:sz w:val="20"/>
          <w:szCs w:val="20"/>
        </w:rPr>
        <w:t xml:space="preserve"> the national judge should interpret the national procedural law in the light of the Convention to the fullest extent possible and in light of the principle of effective judicial protection</w:t>
      </w:r>
      <w:r w:rsidR="00E13C8C" w:rsidRPr="009B3316">
        <w:rPr>
          <w:rFonts w:ascii="Times New Roman" w:hAnsi="Times New Roman" w:cs="Times New Roman"/>
          <w:sz w:val="20"/>
          <w:szCs w:val="20"/>
        </w:rPr>
        <w:t>.</w:t>
      </w:r>
      <w:r w:rsidR="00E13C8C" w:rsidRPr="00EA11E2">
        <w:rPr>
          <w:rStyle w:val="FootnoteReference"/>
          <w:rFonts w:ascii="Times New Roman" w:hAnsi="Times New Roman" w:cs="Times New Roman"/>
          <w:sz w:val="20"/>
          <w:szCs w:val="20"/>
        </w:rPr>
        <w:footnoteReference w:id="37"/>
      </w:r>
      <w:r w:rsidR="001D611A" w:rsidRPr="009B3316">
        <w:rPr>
          <w:rFonts w:ascii="Times New Roman" w:hAnsi="Times New Roman" w:cs="Times New Roman"/>
          <w:sz w:val="20"/>
          <w:szCs w:val="20"/>
        </w:rPr>
        <w:t xml:space="preserve"> </w:t>
      </w:r>
    </w:p>
    <w:p w14:paraId="20FDBE58" w14:textId="77777777" w:rsidR="009B3316" w:rsidRPr="009B3316" w:rsidRDefault="009B3316" w:rsidP="009B3316">
      <w:pPr>
        <w:pStyle w:val="ListParagraph"/>
        <w:rPr>
          <w:rFonts w:ascii="Times New Roman" w:hAnsi="Times New Roman" w:cs="Times New Roman"/>
          <w:sz w:val="20"/>
          <w:szCs w:val="20"/>
        </w:rPr>
      </w:pPr>
    </w:p>
    <w:p w14:paraId="5B5D29DF" w14:textId="0B784BB9" w:rsidR="00B619F8" w:rsidRPr="009B3316" w:rsidRDefault="00977B02" w:rsidP="00CC2911">
      <w:pPr>
        <w:pStyle w:val="ListParagraph"/>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B3316">
        <w:rPr>
          <w:rFonts w:ascii="Times New Roman" w:hAnsi="Times New Roman" w:cs="Times New Roman"/>
          <w:sz w:val="20"/>
          <w:szCs w:val="20"/>
        </w:rPr>
        <w:t xml:space="preserve">According to the </w:t>
      </w:r>
      <w:r w:rsidR="00770ABD" w:rsidRPr="009B3316">
        <w:rPr>
          <w:rFonts w:ascii="Times New Roman" w:hAnsi="Times New Roman" w:cs="Times New Roman"/>
          <w:sz w:val="20"/>
          <w:szCs w:val="20"/>
        </w:rPr>
        <w:t>Party concerned</w:t>
      </w:r>
      <w:r w:rsidR="00842FEA" w:rsidRPr="009B3316">
        <w:rPr>
          <w:rFonts w:ascii="Times New Roman" w:hAnsi="Times New Roman" w:cs="Times New Roman"/>
          <w:sz w:val="20"/>
          <w:szCs w:val="20"/>
        </w:rPr>
        <w:t>,</w:t>
      </w:r>
      <w:r w:rsidR="00770ABD" w:rsidRPr="009B3316">
        <w:rPr>
          <w:rFonts w:ascii="Times New Roman" w:hAnsi="Times New Roman" w:cs="Times New Roman"/>
          <w:sz w:val="20"/>
          <w:szCs w:val="20"/>
        </w:rPr>
        <w:t xml:space="preserve"> </w:t>
      </w:r>
      <w:r w:rsidR="00842FEA" w:rsidRPr="009B3316">
        <w:rPr>
          <w:rFonts w:ascii="Times New Roman" w:hAnsi="Times New Roman" w:cs="Times New Roman"/>
          <w:sz w:val="20"/>
          <w:szCs w:val="20"/>
        </w:rPr>
        <w:t>natural or legal persons who are unable, because of the conditions governing admissibility laid down in</w:t>
      </w:r>
      <w:r w:rsidR="004004E8" w:rsidRPr="009B3316">
        <w:rPr>
          <w:rFonts w:ascii="Times New Roman" w:hAnsi="Times New Roman" w:cs="Times New Roman"/>
          <w:sz w:val="20"/>
          <w:szCs w:val="20"/>
        </w:rPr>
        <w:t xml:space="preserve"> </w:t>
      </w:r>
      <w:r w:rsidR="00354C76" w:rsidRPr="009B3316">
        <w:rPr>
          <w:rFonts w:ascii="Times New Roman" w:hAnsi="Times New Roman" w:cs="Times New Roman"/>
          <w:sz w:val="20"/>
          <w:szCs w:val="20"/>
        </w:rPr>
        <w:t>A</w:t>
      </w:r>
      <w:r w:rsidR="00842FEA" w:rsidRPr="009B3316">
        <w:rPr>
          <w:rFonts w:ascii="Times New Roman" w:hAnsi="Times New Roman" w:cs="Times New Roman"/>
          <w:sz w:val="20"/>
          <w:szCs w:val="20"/>
        </w:rPr>
        <w:t>rticle 263(4)</w:t>
      </w:r>
      <w:r w:rsidR="00016A4B" w:rsidRPr="009B3316">
        <w:rPr>
          <w:rFonts w:ascii="Times New Roman" w:hAnsi="Times New Roman" w:cs="Times New Roman"/>
          <w:sz w:val="20"/>
          <w:szCs w:val="20"/>
        </w:rPr>
        <w:t xml:space="preserve"> TFEU</w:t>
      </w:r>
      <w:r w:rsidR="00842FEA" w:rsidRPr="009B3316">
        <w:rPr>
          <w:rFonts w:ascii="Times New Roman" w:hAnsi="Times New Roman" w:cs="Times New Roman"/>
          <w:sz w:val="20"/>
          <w:szCs w:val="20"/>
        </w:rPr>
        <w:t>, to challenge a regulatory act of the EU directly before the EU judicature are protected against the application of such an act by the ability to challenge the implementing measures which the act entails</w:t>
      </w:r>
      <w:r w:rsidR="00E13C8C" w:rsidRPr="009B3316">
        <w:rPr>
          <w:rFonts w:ascii="Times New Roman" w:hAnsi="Times New Roman" w:cs="Times New Roman"/>
          <w:sz w:val="20"/>
          <w:szCs w:val="20"/>
        </w:rPr>
        <w:t>.</w:t>
      </w:r>
      <w:r w:rsidR="000D5BE4" w:rsidRPr="00EA11E2">
        <w:rPr>
          <w:rStyle w:val="FootnoteReference"/>
          <w:rFonts w:ascii="Times New Roman" w:hAnsi="Times New Roman" w:cs="Times New Roman"/>
          <w:sz w:val="20"/>
          <w:szCs w:val="20"/>
        </w:rPr>
        <w:footnoteReference w:id="38"/>
      </w:r>
      <w:r w:rsidR="00842FEA" w:rsidRPr="009B3316">
        <w:rPr>
          <w:rFonts w:ascii="Times New Roman" w:hAnsi="Times New Roman" w:cs="Times New Roman"/>
          <w:sz w:val="20"/>
          <w:szCs w:val="20"/>
        </w:rPr>
        <w:t xml:space="preserve"> </w:t>
      </w:r>
      <w:r w:rsidR="00515AA0" w:rsidRPr="009B3316">
        <w:rPr>
          <w:rFonts w:ascii="Times New Roman" w:hAnsi="Times New Roman" w:cs="Times New Roman"/>
          <w:sz w:val="20"/>
          <w:szCs w:val="20"/>
        </w:rPr>
        <w:t>J</w:t>
      </w:r>
      <w:r w:rsidR="00760090" w:rsidRPr="009B3316">
        <w:rPr>
          <w:rFonts w:ascii="Times New Roman" w:hAnsi="Times New Roman" w:cs="Times New Roman"/>
          <w:sz w:val="20"/>
          <w:szCs w:val="20"/>
        </w:rPr>
        <w:t xml:space="preserve">udicial review of compliance with the </w:t>
      </w:r>
      <w:r w:rsidR="00515AA0" w:rsidRPr="009B3316">
        <w:rPr>
          <w:rFonts w:ascii="Times New Roman" w:hAnsi="Times New Roman" w:cs="Times New Roman"/>
          <w:sz w:val="20"/>
          <w:szCs w:val="20"/>
        </w:rPr>
        <w:t>EU</w:t>
      </w:r>
      <w:r w:rsidR="00760090" w:rsidRPr="009B3316">
        <w:rPr>
          <w:rFonts w:ascii="Times New Roman" w:hAnsi="Times New Roman" w:cs="Times New Roman"/>
          <w:sz w:val="20"/>
          <w:szCs w:val="20"/>
        </w:rPr>
        <w:t xml:space="preserve"> legal order is ensured, as can be seen from </w:t>
      </w:r>
      <w:r w:rsidR="00354C76" w:rsidRPr="009B3316">
        <w:rPr>
          <w:rFonts w:ascii="Times New Roman" w:hAnsi="Times New Roman" w:cs="Times New Roman"/>
          <w:sz w:val="20"/>
          <w:szCs w:val="20"/>
        </w:rPr>
        <w:t>A</w:t>
      </w:r>
      <w:r w:rsidR="00760090" w:rsidRPr="009B3316">
        <w:rPr>
          <w:rFonts w:ascii="Times New Roman" w:hAnsi="Times New Roman" w:cs="Times New Roman"/>
          <w:sz w:val="20"/>
          <w:szCs w:val="20"/>
        </w:rPr>
        <w:t>rticle 19 (1) TEU</w:t>
      </w:r>
      <w:r w:rsidR="002D5925" w:rsidRPr="00EA11E2">
        <w:rPr>
          <w:rStyle w:val="FootnoteReference"/>
          <w:rFonts w:ascii="Times New Roman" w:hAnsi="Times New Roman" w:cs="Times New Roman"/>
          <w:sz w:val="20"/>
          <w:szCs w:val="20"/>
        </w:rPr>
        <w:footnoteReference w:id="39"/>
      </w:r>
      <w:r w:rsidR="00760090" w:rsidRPr="009B3316">
        <w:rPr>
          <w:rFonts w:ascii="Times New Roman" w:hAnsi="Times New Roman" w:cs="Times New Roman"/>
          <w:sz w:val="20"/>
          <w:szCs w:val="20"/>
        </w:rPr>
        <w:t xml:space="preserve">, by </w:t>
      </w:r>
      <w:r w:rsidR="00354C76" w:rsidRPr="009B3316">
        <w:rPr>
          <w:rFonts w:ascii="Times New Roman" w:hAnsi="Times New Roman" w:cs="Times New Roman"/>
          <w:sz w:val="20"/>
          <w:szCs w:val="20"/>
        </w:rPr>
        <w:t>A</w:t>
      </w:r>
      <w:r w:rsidR="00760090" w:rsidRPr="009B3316">
        <w:rPr>
          <w:rFonts w:ascii="Times New Roman" w:hAnsi="Times New Roman" w:cs="Times New Roman"/>
          <w:sz w:val="20"/>
          <w:szCs w:val="20"/>
        </w:rPr>
        <w:t xml:space="preserve">rticle 277 TFEU, on the one hand and </w:t>
      </w:r>
      <w:r w:rsidR="00354C76" w:rsidRPr="009B3316">
        <w:rPr>
          <w:rFonts w:ascii="Times New Roman" w:hAnsi="Times New Roman" w:cs="Times New Roman"/>
          <w:sz w:val="20"/>
          <w:szCs w:val="20"/>
        </w:rPr>
        <w:t>A</w:t>
      </w:r>
      <w:r w:rsidR="00760090" w:rsidRPr="009B3316">
        <w:rPr>
          <w:rFonts w:ascii="Times New Roman" w:hAnsi="Times New Roman" w:cs="Times New Roman"/>
          <w:sz w:val="20"/>
          <w:szCs w:val="20"/>
        </w:rPr>
        <w:t>rticle 267 TFEU, on the other.</w:t>
      </w:r>
      <w:r w:rsidR="004128B2" w:rsidRPr="009B3316">
        <w:rPr>
          <w:rFonts w:ascii="Times New Roman" w:hAnsi="Times New Roman" w:cs="Times New Roman"/>
          <w:sz w:val="20"/>
          <w:szCs w:val="20"/>
        </w:rPr>
        <w:t xml:space="preserve"> </w:t>
      </w:r>
      <w:r w:rsidR="00515AA0" w:rsidRPr="009B3316">
        <w:rPr>
          <w:rFonts w:ascii="Times New Roman" w:hAnsi="Times New Roman" w:cs="Times New Roman"/>
          <w:sz w:val="20"/>
          <w:szCs w:val="20"/>
        </w:rPr>
        <w:t>T</w:t>
      </w:r>
      <w:r w:rsidR="004128B2" w:rsidRPr="009B3316">
        <w:rPr>
          <w:rFonts w:ascii="Times New Roman" w:hAnsi="Times New Roman" w:cs="Times New Roman"/>
          <w:sz w:val="20"/>
          <w:szCs w:val="20"/>
        </w:rPr>
        <w:t xml:space="preserve">he Party concerned maintains that </w:t>
      </w:r>
      <w:r w:rsidR="004B1F5C" w:rsidRPr="009B3316">
        <w:rPr>
          <w:rFonts w:ascii="Times New Roman" w:hAnsi="Times New Roman" w:cs="Times New Roman"/>
          <w:sz w:val="20"/>
          <w:szCs w:val="20"/>
        </w:rPr>
        <w:t xml:space="preserve">acts of EU </w:t>
      </w:r>
      <w:r w:rsidR="004128B2" w:rsidRPr="009B3316">
        <w:rPr>
          <w:rFonts w:ascii="Times New Roman" w:hAnsi="Times New Roman" w:cs="Times New Roman"/>
          <w:sz w:val="20"/>
          <w:szCs w:val="20"/>
        </w:rPr>
        <w:t>institutions are subject to judicial review of their compatibility with, in particular, the Treaties, the general principles of law and fundamental rights, as enshrined in the Charter of Fundamental Rights of the European Union</w:t>
      </w:r>
      <w:r w:rsidR="00E13C8C" w:rsidRPr="009B3316">
        <w:rPr>
          <w:rFonts w:ascii="Times New Roman" w:hAnsi="Times New Roman" w:cs="Times New Roman"/>
          <w:sz w:val="20"/>
          <w:szCs w:val="20"/>
        </w:rPr>
        <w:t>.</w:t>
      </w:r>
      <w:r w:rsidR="00E13C8C" w:rsidRPr="00EA11E2">
        <w:rPr>
          <w:rStyle w:val="FootnoteReference"/>
          <w:rFonts w:ascii="Times New Roman" w:hAnsi="Times New Roman" w:cs="Times New Roman"/>
          <w:sz w:val="20"/>
          <w:szCs w:val="20"/>
        </w:rPr>
        <w:footnoteReference w:id="40"/>
      </w:r>
      <w:r w:rsidR="004128B2" w:rsidRPr="009B3316">
        <w:rPr>
          <w:rFonts w:ascii="Times New Roman" w:hAnsi="Times New Roman" w:cs="Times New Roman"/>
          <w:sz w:val="20"/>
          <w:szCs w:val="20"/>
        </w:rPr>
        <w:t xml:space="preserve"> </w:t>
      </w:r>
    </w:p>
    <w:p w14:paraId="201C4401" w14:textId="77777777" w:rsidR="00B619F8" w:rsidRPr="00EA11E2" w:rsidRDefault="00B619F8" w:rsidP="00CC2911">
      <w:pPr>
        <w:rPr>
          <w:rFonts w:ascii="Times New Roman" w:hAnsi="Times New Roman" w:cs="Times New Roman"/>
          <w:b/>
          <w:sz w:val="24"/>
          <w:szCs w:val="24"/>
        </w:rPr>
      </w:pPr>
    </w:p>
    <w:p w14:paraId="776994BB" w14:textId="77777777" w:rsidR="008A4BC7" w:rsidRPr="00EA11E2" w:rsidRDefault="008A4BC7" w:rsidP="008A4BC7">
      <w:pPr>
        <w:widowControl w:val="0"/>
        <w:numPr>
          <w:ilvl w:val="0"/>
          <w:numId w:val="19"/>
        </w:numPr>
        <w:tabs>
          <w:tab w:val="left" w:pos="220"/>
          <w:tab w:val="left" w:pos="720"/>
        </w:tabs>
        <w:autoSpaceDE w:val="0"/>
        <w:autoSpaceDN w:val="0"/>
        <w:adjustRightInd w:val="0"/>
        <w:spacing w:after="266" w:line="240" w:lineRule="auto"/>
        <w:ind w:hanging="720"/>
        <w:rPr>
          <w:rFonts w:ascii="Times New Roman" w:hAnsi="Times New Roman" w:cs="Times New Roman"/>
          <w:b/>
          <w:sz w:val="24"/>
          <w:szCs w:val="24"/>
        </w:rPr>
      </w:pPr>
      <w:r w:rsidRPr="00EA11E2">
        <w:rPr>
          <w:rFonts w:ascii="Times New Roman" w:hAnsi="Times New Roman" w:cs="Times New Roman"/>
          <w:b/>
          <w:sz w:val="24"/>
          <w:szCs w:val="24"/>
        </w:rPr>
        <w:t xml:space="preserve">Consideration </w:t>
      </w:r>
      <w:r w:rsidR="004945EF" w:rsidRPr="00EA11E2">
        <w:rPr>
          <w:rFonts w:ascii="Times New Roman" w:hAnsi="Times New Roman" w:cs="Times New Roman"/>
          <w:b/>
          <w:sz w:val="24"/>
          <w:szCs w:val="24"/>
        </w:rPr>
        <w:t>and evaluation by the Committee</w:t>
      </w:r>
    </w:p>
    <w:p w14:paraId="287BB6E2" w14:textId="77777777" w:rsidR="006B1204" w:rsidRPr="00EA11E2" w:rsidRDefault="008A4BC7" w:rsidP="004945EF">
      <w:pPr>
        <w:widowControl w:val="0"/>
        <w:numPr>
          <w:ilvl w:val="1"/>
          <w:numId w:val="19"/>
        </w:numPr>
        <w:tabs>
          <w:tab w:val="left" w:pos="940"/>
          <w:tab w:val="left" w:pos="1440"/>
        </w:tabs>
        <w:autoSpaceDE w:val="0"/>
        <w:autoSpaceDN w:val="0"/>
        <w:adjustRightInd w:val="0"/>
        <w:spacing w:after="266" w:line="240" w:lineRule="auto"/>
        <w:ind w:hanging="1440"/>
        <w:rPr>
          <w:rFonts w:ascii="Times New Roman" w:hAnsi="Times New Roman" w:cs="Times New Roman"/>
          <w:b/>
          <w:sz w:val="20"/>
          <w:szCs w:val="20"/>
        </w:rPr>
      </w:pPr>
      <w:r w:rsidRPr="00EA11E2">
        <w:rPr>
          <w:rFonts w:ascii="Times New Roman" w:hAnsi="Times New Roman" w:cs="Times New Roman"/>
          <w:b/>
          <w:sz w:val="20"/>
          <w:szCs w:val="20"/>
        </w:rPr>
        <w:t xml:space="preserve">Legal basis and scope of considerations </w:t>
      </w:r>
      <w:r w:rsidR="004945EF" w:rsidRPr="00EA11E2">
        <w:rPr>
          <w:rFonts w:ascii="Times New Roman" w:hAnsi="Times New Roman" w:cs="Times New Roman"/>
          <w:b/>
          <w:sz w:val="20"/>
          <w:szCs w:val="20"/>
        </w:rPr>
        <w:t xml:space="preserve">of the Committee </w:t>
      </w:r>
      <w:bookmarkStart w:id="1" w:name="_Toc302830010"/>
    </w:p>
    <w:p w14:paraId="2D23B3C6" w14:textId="1B567445" w:rsidR="006A180F" w:rsidRPr="00EA11E2" w:rsidRDefault="006A180F" w:rsidP="00F33BEB">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lang w:val="en-US"/>
        </w:rPr>
      </w:pPr>
      <w:r w:rsidRPr="00EA11E2">
        <w:rPr>
          <w:rFonts w:ascii="Times New Roman" w:hAnsi="Times New Roman" w:cs="Times New Roman"/>
          <w:sz w:val="20"/>
          <w:szCs w:val="20"/>
          <w:lang w:val="en-US"/>
        </w:rPr>
        <w:t>The EU signed the Convention on 25 June 1998 and approved it through Council Decision 2005/370/EC of 17 February 2005</w:t>
      </w:r>
      <w:r w:rsidR="00E14F0A" w:rsidRPr="00EA11E2">
        <w:rPr>
          <w:rStyle w:val="FootnoteReference"/>
          <w:rFonts w:ascii="Times New Roman" w:hAnsi="Times New Roman" w:cs="Times New Roman"/>
          <w:sz w:val="20"/>
          <w:szCs w:val="20"/>
          <w:lang w:val="en-US"/>
        </w:rPr>
        <w:footnoteReference w:id="41"/>
      </w:r>
      <w:r w:rsidRPr="00EA11E2">
        <w:rPr>
          <w:rFonts w:ascii="Times New Roman" w:hAnsi="Times New Roman" w:cs="Times New Roman"/>
          <w:sz w:val="20"/>
          <w:szCs w:val="20"/>
          <w:lang w:val="en-US"/>
        </w:rPr>
        <w:t>. The EU has been a Party to the Convention since 17 May 2005</w:t>
      </w:r>
      <w:r w:rsidR="004D7122" w:rsidRPr="00EA11E2">
        <w:rPr>
          <w:rStyle w:val="FootnoteReference"/>
          <w:rFonts w:ascii="Times New Roman" w:hAnsi="Times New Roman" w:cs="Times New Roman"/>
          <w:sz w:val="20"/>
          <w:szCs w:val="20"/>
          <w:lang w:val="en-US"/>
        </w:rPr>
        <w:footnoteReference w:id="42"/>
      </w:r>
      <w:r w:rsidRPr="00EA11E2">
        <w:rPr>
          <w:rFonts w:ascii="Times New Roman" w:hAnsi="Times New Roman" w:cs="Times New Roman"/>
          <w:sz w:val="20"/>
          <w:szCs w:val="20"/>
          <w:lang w:val="en-US"/>
        </w:rPr>
        <w:t xml:space="preserve">. </w:t>
      </w:r>
    </w:p>
    <w:p w14:paraId="4DB48B32" w14:textId="77777777" w:rsidR="00A54659" w:rsidRPr="00EA11E2" w:rsidRDefault="00A54659" w:rsidP="00B515E2">
      <w:pPr>
        <w:pStyle w:val="ListParagraph"/>
        <w:widowControl w:val="0"/>
        <w:autoSpaceDE w:val="0"/>
        <w:autoSpaceDN w:val="0"/>
        <w:adjustRightInd w:val="0"/>
        <w:spacing w:before="4" w:after="240" w:line="240" w:lineRule="auto"/>
        <w:ind w:left="0" w:right="109"/>
        <w:jc w:val="both"/>
        <w:rPr>
          <w:rFonts w:ascii="Times New Roman" w:hAnsi="Times New Roman" w:cs="Times New Roman"/>
          <w:i/>
          <w:sz w:val="20"/>
          <w:szCs w:val="20"/>
        </w:rPr>
      </w:pPr>
    </w:p>
    <w:p w14:paraId="224CD5F5" w14:textId="77777777" w:rsidR="00B515E2" w:rsidRPr="001C7421" w:rsidRDefault="00B515E2" w:rsidP="00B515E2">
      <w:pPr>
        <w:pStyle w:val="ListParagraph"/>
        <w:widowControl w:val="0"/>
        <w:autoSpaceDE w:val="0"/>
        <w:autoSpaceDN w:val="0"/>
        <w:adjustRightInd w:val="0"/>
        <w:spacing w:before="4" w:after="240" w:line="240" w:lineRule="auto"/>
        <w:ind w:left="0" w:right="109"/>
        <w:jc w:val="both"/>
        <w:rPr>
          <w:rFonts w:ascii="Times New Roman" w:hAnsi="Times New Roman" w:cs="Times New Roman"/>
          <w:b/>
          <w:i/>
          <w:sz w:val="20"/>
          <w:szCs w:val="20"/>
        </w:rPr>
      </w:pPr>
      <w:r w:rsidRPr="001C7421">
        <w:rPr>
          <w:rFonts w:ascii="Times New Roman" w:hAnsi="Times New Roman" w:cs="Times New Roman"/>
          <w:b/>
          <w:i/>
          <w:sz w:val="20"/>
          <w:szCs w:val="20"/>
        </w:rPr>
        <w:t>The Committee and the CJEU</w:t>
      </w:r>
    </w:p>
    <w:p w14:paraId="78B8D4D8" w14:textId="77777777" w:rsidR="00A54659" w:rsidRPr="00EA11E2" w:rsidRDefault="00A54659" w:rsidP="00B515E2">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65CA4F30" w14:textId="2310F91A" w:rsidR="0054219C" w:rsidRPr="00EA11E2" w:rsidRDefault="00B515E2" w:rsidP="0054219C">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Committee’s role is to review compliance by the Parties with their obligations under the Convention</w:t>
      </w:r>
      <w:r w:rsidR="001A09D8">
        <w:rPr>
          <w:rStyle w:val="FootnoteReference"/>
          <w:rFonts w:ascii="Times New Roman" w:hAnsi="Times New Roman" w:cs="Times New Roman"/>
          <w:sz w:val="20"/>
          <w:szCs w:val="20"/>
        </w:rPr>
        <w:footnoteReference w:id="43"/>
      </w:r>
      <w:r w:rsidRPr="00EA11E2">
        <w:rPr>
          <w:rFonts w:ascii="Times New Roman" w:hAnsi="Times New Roman" w:cs="Times New Roman"/>
          <w:sz w:val="20"/>
          <w:szCs w:val="20"/>
        </w:rPr>
        <w:t>. To this end, it may examine compliance issues and make recommendations if and as appropriate</w:t>
      </w:r>
      <w:r w:rsidR="001A09D8">
        <w:rPr>
          <w:rStyle w:val="FootnoteReference"/>
          <w:rFonts w:ascii="Times New Roman" w:hAnsi="Times New Roman" w:cs="Times New Roman"/>
          <w:sz w:val="20"/>
          <w:szCs w:val="20"/>
        </w:rPr>
        <w:footnoteReference w:id="44"/>
      </w:r>
      <w:r w:rsidRPr="00EA11E2">
        <w:rPr>
          <w:rFonts w:ascii="Times New Roman" w:hAnsi="Times New Roman" w:cs="Times New Roman"/>
          <w:sz w:val="20"/>
          <w:szCs w:val="20"/>
        </w:rPr>
        <w:t>. The Committee reports on its activities at each ordinary meeting of the Parties</w:t>
      </w:r>
      <w:r w:rsidR="001A09D8">
        <w:rPr>
          <w:rStyle w:val="FootnoteReference"/>
          <w:rFonts w:ascii="Times New Roman" w:hAnsi="Times New Roman" w:cs="Times New Roman"/>
          <w:sz w:val="20"/>
          <w:szCs w:val="20"/>
        </w:rPr>
        <w:footnoteReference w:id="45"/>
      </w:r>
      <w:r w:rsidRPr="00EA11E2">
        <w:rPr>
          <w:rFonts w:ascii="Times New Roman" w:hAnsi="Times New Roman" w:cs="Times New Roman"/>
          <w:sz w:val="20"/>
          <w:szCs w:val="20"/>
        </w:rPr>
        <w:t>. The Meeting of the Parties may then, upon consideration of the Committee’s report and any recommendations, decide upon appropriate measure to bring about full compliance with the Convention</w:t>
      </w:r>
      <w:r w:rsidR="001A09D8">
        <w:rPr>
          <w:rStyle w:val="FootnoteReference"/>
          <w:rFonts w:ascii="Times New Roman" w:hAnsi="Times New Roman" w:cs="Times New Roman"/>
          <w:sz w:val="20"/>
          <w:szCs w:val="20"/>
        </w:rPr>
        <w:footnoteReference w:id="46"/>
      </w:r>
      <w:r w:rsidRPr="00EA11E2">
        <w:rPr>
          <w:rFonts w:ascii="Times New Roman" w:hAnsi="Times New Roman" w:cs="Times New Roman"/>
          <w:sz w:val="20"/>
          <w:szCs w:val="20"/>
        </w:rPr>
        <w:t>.</w:t>
      </w:r>
      <w:r w:rsidR="0054219C"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It is however for the Parties themselves to implement the obligations under the Convention within their own legal systems. </w:t>
      </w:r>
    </w:p>
    <w:p w14:paraId="1D4CD3DC" w14:textId="77777777" w:rsidR="00B515E2" w:rsidRPr="00EA11E2" w:rsidRDefault="00B515E2" w:rsidP="00B515E2">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27685639" w14:textId="77777777" w:rsidR="003333A9" w:rsidRPr="00EA11E2" w:rsidRDefault="002C17F5" w:rsidP="002C17F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w:t>
      </w:r>
      <w:r w:rsidR="00B515E2" w:rsidRPr="00EA11E2">
        <w:rPr>
          <w:rFonts w:ascii="Times New Roman" w:hAnsi="Times New Roman" w:cs="Times New Roman"/>
          <w:sz w:val="20"/>
          <w:szCs w:val="20"/>
        </w:rPr>
        <w:t xml:space="preserve">he </w:t>
      </w:r>
      <w:r w:rsidRPr="00EA11E2">
        <w:rPr>
          <w:rFonts w:ascii="Times New Roman" w:hAnsi="Times New Roman" w:cs="Times New Roman"/>
          <w:sz w:val="20"/>
          <w:szCs w:val="20"/>
        </w:rPr>
        <w:t>CJEU is an institution of the Party concerned and subject to the review of the Committee. The Committee considers the effect of the CJEU’s</w:t>
      </w:r>
      <w:r w:rsidR="003333A9" w:rsidRPr="00EA11E2">
        <w:rPr>
          <w:rFonts w:ascii="Times New Roman" w:hAnsi="Times New Roman" w:cs="Times New Roman"/>
          <w:sz w:val="20"/>
          <w:szCs w:val="20"/>
        </w:rPr>
        <w:t xml:space="preserve"> jurisprudence on the EU’s obligations</w:t>
      </w:r>
      <w:r w:rsidRPr="00EA11E2">
        <w:rPr>
          <w:rFonts w:ascii="Times New Roman" w:hAnsi="Times New Roman" w:cs="Times New Roman"/>
          <w:sz w:val="20"/>
          <w:szCs w:val="20"/>
        </w:rPr>
        <w:t xml:space="preserve"> arising under the Convention</w:t>
      </w:r>
      <w:r w:rsidR="003333A9" w:rsidRPr="00EA11E2">
        <w:rPr>
          <w:rFonts w:ascii="Times New Roman" w:hAnsi="Times New Roman" w:cs="Times New Roman"/>
          <w:sz w:val="20"/>
          <w:szCs w:val="20"/>
        </w:rPr>
        <w:t>.</w:t>
      </w:r>
    </w:p>
    <w:p w14:paraId="3BB3A562" w14:textId="3D17A0FF" w:rsidR="00A54659" w:rsidRPr="00EA11E2" w:rsidRDefault="00A54659" w:rsidP="006A180F">
      <w:pPr>
        <w:widowControl w:val="0"/>
        <w:tabs>
          <w:tab w:val="left" w:pos="0"/>
          <w:tab w:val="left" w:pos="940"/>
        </w:tabs>
        <w:autoSpaceDE w:val="0"/>
        <w:autoSpaceDN w:val="0"/>
        <w:adjustRightInd w:val="0"/>
        <w:spacing w:after="266" w:line="240" w:lineRule="auto"/>
        <w:rPr>
          <w:rFonts w:ascii="Times New Roman" w:hAnsi="Times New Roman" w:cs="Times New Roman"/>
          <w:b/>
          <w:i/>
          <w:sz w:val="20"/>
          <w:szCs w:val="20"/>
        </w:rPr>
      </w:pPr>
      <w:r w:rsidRPr="00EA11E2">
        <w:rPr>
          <w:rFonts w:ascii="Times New Roman" w:hAnsi="Times New Roman" w:cs="Times New Roman"/>
          <w:b/>
          <w:i/>
          <w:sz w:val="20"/>
          <w:szCs w:val="20"/>
        </w:rPr>
        <w:t xml:space="preserve">Scope of </w:t>
      </w:r>
      <w:r w:rsidR="001C7421">
        <w:rPr>
          <w:rFonts w:ascii="Times New Roman" w:hAnsi="Times New Roman" w:cs="Times New Roman"/>
          <w:b/>
          <w:i/>
          <w:sz w:val="20"/>
          <w:szCs w:val="20"/>
        </w:rPr>
        <w:t xml:space="preserve">Committee’s </w:t>
      </w:r>
      <w:r w:rsidRPr="00EA11E2">
        <w:rPr>
          <w:rFonts w:ascii="Times New Roman" w:hAnsi="Times New Roman" w:cs="Times New Roman"/>
          <w:b/>
          <w:i/>
          <w:sz w:val="20"/>
          <w:szCs w:val="20"/>
        </w:rPr>
        <w:t>considerations</w:t>
      </w:r>
    </w:p>
    <w:p w14:paraId="75DC81EE" w14:textId="56B06CE9" w:rsidR="008A4BC7" w:rsidRPr="00EA11E2" w:rsidRDefault="008A4BC7" w:rsidP="006B7A05">
      <w:pPr>
        <w:pStyle w:val="ListParagraph"/>
        <w:numPr>
          <w:ilvl w:val="0"/>
          <w:numId w:val="6"/>
        </w:numPr>
        <w:autoSpaceDE w:val="0"/>
        <w:autoSpaceDN w:val="0"/>
        <w:adjustRightInd w:val="0"/>
        <w:spacing w:before="4" w:after="0" w:line="240" w:lineRule="auto"/>
        <w:ind w:left="0" w:right="109" w:firstLine="0"/>
        <w:jc w:val="both"/>
        <w:rPr>
          <w:rFonts w:ascii="Times New Roman" w:hAnsi="Times New Roman" w:cs="Times New Roman"/>
          <w:sz w:val="20"/>
          <w:szCs w:val="20"/>
        </w:rPr>
      </w:pPr>
      <w:bookmarkStart w:id="2" w:name="_Ref454515931"/>
      <w:r w:rsidRPr="00EA11E2">
        <w:rPr>
          <w:rFonts w:ascii="Times New Roman" w:hAnsi="Times New Roman" w:cs="Times New Roman"/>
          <w:sz w:val="20"/>
          <w:szCs w:val="20"/>
        </w:rPr>
        <w:t>Whilst Part I o</w:t>
      </w:r>
      <w:r w:rsidR="004945EF" w:rsidRPr="00EA11E2">
        <w:rPr>
          <w:rFonts w:ascii="Times New Roman" w:hAnsi="Times New Roman" w:cs="Times New Roman"/>
          <w:sz w:val="20"/>
          <w:szCs w:val="20"/>
        </w:rPr>
        <w:t xml:space="preserve">f must be read as a whole, the </w:t>
      </w:r>
      <w:r w:rsidRPr="00EA11E2">
        <w:rPr>
          <w:rFonts w:ascii="Times New Roman" w:hAnsi="Times New Roman" w:cs="Times New Roman"/>
          <w:sz w:val="20"/>
          <w:szCs w:val="20"/>
        </w:rPr>
        <w:t>following findings from Pa</w:t>
      </w:r>
      <w:r w:rsidR="001C7421">
        <w:rPr>
          <w:rFonts w:ascii="Times New Roman" w:hAnsi="Times New Roman" w:cs="Times New Roman"/>
          <w:sz w:val="20"/>
          <w:szCs w:val="20"/>
        </w:rPr>
        <w:t>rt I are particularly important</w:t>
      </w:r>
      <w:bookmarkEnd w:id="2"/>
      <w:bookmarkEnd w:id="1"/>
      <w:r w:rsidR="001C7421">
        <w:rPr>
          <w:rFonts w:ascii="Times New Roman" w:hAnsi="Times New Roman" w:cs="Times New Roman"/>
          <w:sz w:val="20"/>
          <w:szCs w:val="20"/>
        </w:rPr>
        <w:t>:</w:t>
      </w:r>
    </w:p>
    <w:p w14:paraId="277185CB" w14:textId="77777777" w:rsidR="006B1204" w:rsidRPr="00EA11E2" w:rsidRDefault="006B1204" w:rsidP="006B7A05">
      <w:pPr>
        <w:autoSpaceDE w:val="0"/>
        <w:autoSpaceDN w:val="0"/>
        <w:adjustRightInd w:val="0"/>
        <w:spacing w:before="4" w:after="0" w:line="240" w:lineRule="auto"/>
        <w:ind w:right="109"/>
        <w:jc w:val="both"/>
        <w:rPr>
          <w:rFonts w:ascii="Times New Roman" w:hAnsi="Times New Roman" w:cs="Times New Roman"/>
          <w:sz w:val="20"/>
          <w:szCs w:val="20"/>
        </w:rPr>
      </w:pPr>
    </w:p>
    <w:p w14:paraId="492679D0" w14:textId="2049D08E" w:rsidR="008A4BC7" w:rsidRPr="00EA11E2" w:rsidRDefault="00BC2DE1" w:rsidP="008A4BC7">
      <w:pPr>
        <w:spacing w:line="240" w:lineRule="auto"/>
        <w:ind w:left="720"/>
        <w:rPr>
          <w:rFonts w:ascii="Times New Roman" w:hAnsi="Times New Roman" w:cs="Times New Roman"/>
          <w:i/>
          <w:sz w:val="20"/>
          <w:szCs w:val="20"/>
        </w:rPr>
      </w:pPr>
      <w:bookmarkStart w:id="3" w:name="_Toc302830011"/>
      <w:r w:rsidRPr="00EA11E2">
        <w:rPr>
          <w:rFonts w:ascii="Times New Roman" w:hAnsi="Times New Roman" w:cs="Times New Roman"/>
          <w:i/>
          <w:color w:val="352824"/>
          <w:sz w:val="20"/>
          <w:szCs w:val="20"/>
          <w:lang w:val="en-US"/>
        </w:rPr>
        <w:t>[F]or at least some acts and omissions by EU institutions, the Party concerned must ensure that members of the public have access to administrative or judicial review procedures, as set out in article 9, paragraph 3</w:t>
      </w:r>
      <w:r w:rsidR="008A4BC7" w:rsidRPr="00EA11E2">
        <w:rPr>
          <w:rStyle w:val="FootnoteReference"/>
          <w:rFonts w:ascii="Times New Roman" w:hAnsi="Times New Roman" w:cs="Times New Roman"/>
          <w:i/>
          <w:sz w:val="20"/>
          <w:szCs w:val="20"/>
        </w:rPr>
        <w:footnoteReference w:id="47"/>
      </w:r>
      <w:r w:rsidR="008A4BC7" w:rsidRPr="00EA11E2">
        <w:rPr>
          <w:rFonts w:ascii="Times New Roman" w:hAnsi="Times New Roman" w:cs="Times New Roman"/>
          <w:i/>
          <w:sz w:val="20"/>
          <w:szCs w:val="20"/>
        </w:rPr>
        <w:t>.</w:t>
      </w:r>
      <w:bookmarkEnd w:id="3"/>
    </w:p>
    <w:p w14:paraId="641BFBD3" w14:textId="23A55B47" w:rsidR="004F224C" w:rsidRPr="00EA11E2" w:rsidRDefault="00BC2DE1" w:rsidP="004F224C">
      <w:pPr>
        <w:widowControl w:val="0"/>
        <w:autoSpaceDE w:val="0"/>
        <w:autoSpaceDN w:val="0"/>
        <w:adjustRightInd w:val="0"/>
        <w:spacing w:after="240" w:line="240" w:lineRule="auto"/>
        <w:ind w:left="720"/>
        <w:rPr>
          <w:rFonts w:ascii="Times New Roman" w:hAnsi="Times New Roman" w:cs="Times New Roman"/>
          <w:i/>
          <w:sz w:val="20"/>
          <w:szCs w:val="20"/>
          <w:lang w:val="en-US"/>
        </w:rPr>
      </w:pPr>
      <w:r w:rsidRPr="00EA11E2">
        <w:rPr>
          <w:rFonts w:ascii="Times New Roman" w:hAnsi="Times New Roman" w:cs="Times New Roman"/>
          <w:i/>
          <w:color w:val="352824"/>
          <w:sz w:val="20"/>
          <w:szCs w:val="20"/>
          <w:lang w:val="en-US"/>
        </w:rPr>
        <w:t>[T]he cases referred to by the communicant [in Part I] reveal that, to be individually concerned, according to the ECJ, the legal situation of the person must be affected because of a factual situation that differentiates him or her from all other persons. Thus, persons cannot be individually concerned if the decision or regulation takes effect by virtue of an objective legal or factual situation</w:t>
      </w:r>
      <w:r w:rsidR="004F224C" w:rsidRPr="00EA11E2">
        <w:rPr>
          <w:rStyle w:val="FootnoteReference"/>
          <w:rFonts w:ascii="Times New Roman" w:hAnsi="Times New Roman" w:cs="Times New Roman"/>
          <w:i/>
          <w:sz w:val="20"/>
          <w:szCs w:val="20"/>
          <w:lang w:val="en-US"/>
        </w:rPr>
        <w:footnoteReference w:id="48"/>
      </w:r>
      <w:r w:rsidR="004F224C" w:rsidRPr="00EA11E2">
        <w:rPr>
          <w:rFonts w:ascii="Times New Roman" w:hAnsi="Times New Roman" w:cs="Times New Roman"/>
          <w:i/>
          <w:sz w:val="20"/>
          <w:szCs w:val="20"/>
          <w:lang w:val="en-US"/>
        </w:rPr>
        <w:t xml:space="preserve">. </w:t>
      </w:r>
    </w:p>
    <w:p w14:paraId="2098B0A3" w14:textId="2851C68A" w:rsidR="008A4BC7" w:rsidRPr="00EA11E2" w:rsidRDefault="00BC2DE1" w:rsidP="008A4BC7">
      <w:pPr>
        <w:spacing w:line="240" w:lineRule="auto"/>
        <w:ind w:left="720"/>
        <w:rPr>
          <w:rFonts w:ascii="Times New Roman" w:hAnsi="Times New Roman" w:cs="Times New Roman"/>
          <w:i/>
          <w:sz w:val="20"/>
          <w:szCs w:val="20"/>
        </w:rPr>
      </w:pPr>
      <w:bookmarkStart w:id="4" w:name="_Toc302830012"/>
      <w:r w:rsidRPr="00EA11E2">
        <w:rPr>
          <w:rFonts w:ascii="Times New Roman" w:hAnsi="Times New Roman" w:cs="Times New Roman"/>
          <w:i/>
          <w:color w:val="352824"/>
          <w:sz w:val="20"/>
          <w:szCs w:val="20"/>
          <w:lang w:val="en-US"/>
        </w:rPr>
        <w:t xml:space="preserve">[The] jurisprudence established by the ECJ </w:t>
      </w:r>
      <w:r w:rsidR="005732DF" w:rsidRPr="00EA11E2">
        <w:rPr>
          <w:rFonts w:ascii="Times New Roman" w:hAnsi="Times New Roman" w:cs="Times New Roman"/>
          <w:i/>
          <w:color w:val="352824"/>
          <w:sz w:val="20"/>
          <w:szCs w:val="20"/>
          <w:lang w:val="en-US"/>
        </w:rPr>
        <w:t>[and examined</w:t>
      </w:r>
      <w:r w:rsidRPr="00EA11E2">
        <w:rPr>
          <w:rFonts w:ascii="Times New Roman" w:hAnsi="Times New Roman" w:cs="Times New Roman"/>
          <w:i/>
          <w:color w:val="352824"/>
          <w:sz w:val="20"/>
          <w:szCs w:val="20"/>
          <w:lang w:val="en-US"/>
        </w:rPr>
        <w:t xml:space="preserve"> in Part I] is too strict to meet the criteria of the Convention</w:t>
      </w:r>
      <w:r w:rsidR="008A4BC7" w:rsidRPr="00EA11E2">
        <w:rPr>
          <w:rStyle w:val="FootnoteReference"/>
          <w:rFonts w:ascii="Times New Roman" w:hAnsi="Times New Roman" w:cs="Times New Roman"/>
          <w:i/>
          <w:sz w:val="20"/>
          <w:szCs w:val="20"/>
        </w:rPr>
        <w:footnoteReference w:id="49"/>
      </w:r>
      <w:r w:rsidR="008A4BC7" w:rsidRPr="00EA11E2">
        <w:rPr>
          <w:rFonts w:ascii="Times New Roman" w:hAnsi="Times New Roman" w:cs="Times New Roman"/>
          <w:i/>
          <w:sz w:val="20"/>
          <w:szCs w:val="20"/>
        </w:rPr>
        <w:t>.</w:t>
      </w:r>
      <w:bookmarkStart w:id="5" w:name="_Toc302830013"/>
      <w:bookmarkEnd w:id="4"/>
    </w:p>
    <w:p w14:paraId="1CBD0EAC" w14:textId="2F31C122" w:rsidR="008A4BC7" w:rsidRPr="00EA11E2" w:rsidRDefault="005732DF" w:rsidP="005732DF">
      <w:pPr>
        <w:spacing w:line="240" w:lineRule="auto"/>
        <w:ind w:left="720"/>
        <w:rPr>
          <w:rFonts w:ascii="Times New Roman" w:hAnsi="Times New Roman" w:cs="Times New Roman"/>
          <w:i/>
          <w:sz w:val="20"/>
          <w:szCs w:val="20"/>
        </w:rPr>
      </w:pPr>
      <w:r w:rsidRPr="00EA11E2">
        <w:rPr>
          <w:rFonts w:ascii="Times New Roman" w:hAnsi="Times New Roman" w:cs="Times New Roman"/>
          <w:i/>
          <w:color w:val="352824"/>
          <w:sz w:val="20"/>
          <w:szCs w:val="20"/>
          <w:lang w:val="en-US"/>
        </w:rPr>
        <w:t>[I]f the examined jurisprudence of the EU Courts on access to justice were to continue, unless fully compensated for by adequate administrative review procedures, the Party concerned would fail to comply with article 9, paragraph 3, of the Convention.</w:t>
      </w:r>
      <w:r w:rsidRPr="00EA11E2">
        <w:rPr>
          <w:rFonts w:ascii="Times New Roman" w:hAnsi="Times New Roman" w:cs="Times New Roman"/>
          <w:color w:val="352824"/>
          <w:sz w:val="20"/>
          <w:szCs w:val="20"/>
          <w:lang w:val="en-US"/>
        </w:rPr>
        <w:t xml:space="preserve"> </w:t>
      </w:r>
      <w:bookmarkEnd w:id="5"/>
      <w:r w:rsidR="008A4BC7" w:rsidRPr="00EA11E2">
        <w:rPr>
          <w:rStyle w:val="FootnoteReference"/>
          <w:rFonts w:ascii="Times New Roman" w:hAnsi="Times New Roman" w:cs="Times New Roman"/>
          <w:i/>
          <w:sz w:val="20"/>
          <w:szCs w:val="20"/>
        </w:rPr>
        <w:footnoteReference w:id="50"/>
      </w:r>
      <w:bookmarkStart w:id="6" w:name="_Toc302830014"/>
    </w:p>
    <w:p w14:paraId="1BE88B78" w14:textId="22CB0BBF" w:rsidR="008A4BC7" w:rsidRPr="00EA11E2" w:rsidRDefault="005B6674" w:rsidP="008A4BC7">
      <w:pPr>
        <w:spacing w:line="240" w:lineRule="auto"/>
        <w:ind w:left="720"/>
        <w:rPr>
          <w:rFonts w:ascii="Times New Roman" w:hAnsi="Times New Roman" w:cs="Times New Roman"/>
          <w:i/>
          <w:sz w:val="20"/>
          <w:szCs w:val="20"/>
        </w:rPr>
      </w:pPr>
      <w:r w:rsidRPr="00EA11E2">
        <w:rPr>
          <w:rFonts w:ascii="Times New Roman" w:hAnsi="Times New Roman" w:cs="Times New Roman"/>
          <w:i/>
          <w:color w:val="352824"/>
          <w:sz w:val="20"/>
          <w:szCs w:val="20"/>
          <w:lang w:val="en-US"/>
        </w:rPr>
        <w:t>While the system of judicial review in the national courts of the EU member States, including the possibility to request a preliminary ruling, is a significant element for ensuring consistent application and proper implementation of EU law in its member States, it cannot be a basis for generally denying members of the public access to the EU Courts to challenge decisions, acts and omissions by EU institutions and bodies</w:t>
      </w:r>
      <w:r w:rsidR="008A4BC7" w:rsidRPr="00EA11E2">
        <w:rPr>
          <w:rStyle w:val="FootnoteReference"/>
          <w:rFonts w:ascii="Times New Roman" w:hAnsi="Times New Roman" w:cs="Times New Roman"/>
          <w:i/>
          <w:sz w:val="20"/>
          <w:szCs w:val="20"/>
        </w:rPr>
        <w:footnoteReference w:id="51"/>
      </w:r>
      <w:r w:rsidR="008A4BC7" w:rsidRPr="00EA11E2">
        <w:rPr>
          <w:rFonts w:ascii="Times New Roman" w:hAnsi="Times New Roman" w:cs="Times New Roman"/>
          <w:i/>
          <w:sz w:val="20"/>
          <w:szCs w:val="20"/>
        </w:rPr>
        <w:t>.</w:t>
      </w:r>
      <w:bookmarkStart w:id="7" w:name="_Toc302830015"/>
      <w:bookmarkEnd w:id="6"/>
    </w:p>
    <w:p w14:paraId="433B29CC" w14:textId="413AC823" w:rsidR="008A4BC7" w:rsidRPr="00EA11E2" w:rsidRDefault="005B6674" w:rsidP="008A4BC7">
      <w:pPr>
        <w:spacing w:line="240" w:lineRule="auto"/>
        <w:ind w:left="720"/>
        <w:rPr>
          <w:rFonts w:ascii="Times New Roman" w:hAnsi="Times New Roman" w:cs="Times New Roman"/>
          <w:i/>
          <w:sz w:val="20"/>
          <w:szCs w:val="20"/>
        </w:rPr>
      </w:pPr>
      <w:r w:rsidRPr="00EA11E2">
        <w:rPr>
          <w:rFonts w:ascii="Times New Roman" w:hAnsi="Times New Roman" w:cs="Times New Roman"/>
          <w:i/>
          <w:color w:val="352824"/>
          <w:sz w:val="20"/>
          <w:szCs w:val="20"/>
          <w:lang w:val="en-US"/>
        </w:rPr>
        <w:t>[T]he Committee refrain</w:t>
      </w:r>
      <w:r w:rsidR="001315E8" w:rsidRPr="00EA11E2">
        <w:rPr>
          <w:rFonts w:ascii="Times New Roman" w:hAnsi="Times New Roman" w:cs="Times New Roman"/>
          <w:i/>
          <w:color w:val="352824"/>
          <w:sz w:val="20"/>
          <w:szCs w:val="20"/>
          <w:lang w:val="en-US"/>
        </w:rPr>
        <w:t>s</w:t>
      </w:r>
      <w:r w:rsidR="00EA11E2">
        <w:rPr>
          <w:rFonts w:ascii="Times New Roman" w:hAnsi="Times New Roman" w:cs="Times New Roman"/>
          <w:i/>
          <w:color w:val="352824"/>
          <w:sz w:val="20"/>
          <w:szCs w:val="20"/>
          <w:lang w:val="en-US"/>
        </w:rPr>
        <w:t xml:space="preserve"> </w:t>
      </w:r>
      <w:r w:rsidRPr="00EA11E2">
        <w:rPr>
          <w:rFonts w:ascii="Times New Roman" w:hAnsi="Times New Roman" w:cs="Times New Roman"/>
          <w:i/>
          <w:color w:val="352824"/>
          <w:sz w:val="20"/>
          <w:szCs w:val="20"/>
          <w:lang w:val="en-US"/>
        </w:rPr>
        <w:t xml:space="preserve">from any speculation on whether and how the EU Courts will consider the jurisprudence on access to justice in environmental matters on the basis of [Article </w:t>
      </w:r>
      <w:r w:rsidRPr="00EA11E2">
        <w:rPr>
          <w:rFonts w:ascii="Times New Roman" w:hAnsi="Times New Roman" w:cs="Times New Roman"/>
          <w:i/>
          <w:sz w:val="20"/>
          <w:szCs w:val="20"/>
        </w:rPr>
        <w:t xml:space="preserve">263(4) of] </w:t>
      </w:r>
      <w:r w:rsidRPr="00EA11E2">
        <w:rPr>
          <w:rFonts w:ascii="Times New Roman" w:hAnsi="Times New Roman" w:cs="Times New Roman"/>
          <w:i/>
          <w:color w:val="352824"/>
          <w:sz w:val="20"/>
          <w:szCs w:val="20"/>
          <w:lang w:val="en-US"/>
        </w:rPr>
        <w:t>the TFEU</w:t>
      </w:r>
      <w:r w:rsidRPr="00EA11E2">
        <w:rPr>
          <w:rFonts w:ascii="Times New Roman" w:hAnsi="Times New Roman" w:cs="Times New Roman"/>
          <w:color w:val="352824"/>
          <w:sz w:val="20"/>
          <w:szCs w:val="20"/>
          <w:lang w:val="en-US"/>
        </w:rPr>
        <w:t>.</w:t>
      </w:r>
      <w:r w:rsidR="008A4BC7" w:rsidRPr="00EA11E2">
        <w:rPr>
          <w:rStyle w:val="FootnoteReference"/>
          <w:rFonts w:ascii="Times New Roman" w:hAnsi="Times New Roman" w:cs="Times New Roman"/>
          <w:i/>
          <w:sz w:val="20"/>
          <w:szCs w:val="20"/>
        </w:rPr>
        <w:footnoteReference w:id="52"/>
      </w:r>
      <w:r w:rsidR="008A4BC7" w:rsidRPr="00EA11E2">
        <w:rPr>
          <w:rFonts w:ascii="Times New Roman" w:hAnsi="Times New Roman" w:cs="Times New Roman"/>
          <w:i/>
          <w:sz w:val="20"/>
          <w:szCs w:val="20"/>
        </w:rPr>
        <w:t>.</w:t>
      </w:r>
      <w:bookmarkStart w:id="8" w:name="_Toc302830016"/>
      <w:bookmarkEnd w:id="7"/>
    </w:p>
    <w:p w14:paraId="4FBF6195" w14:textId="2DEC83A0" w:rsidR="008A4BC7" w:rsidRPr="00EA11E2" w:rsidRDefault="005B6674" w:rsidP="00B619F8">
      <w:pPr>
        <w:widowControl w:val="0"/>
        <w:autoSpaceDE w:val="0"/>
        <w:autoSpaceDN w:val="0"/>
        <w:adjustRightInd w:val="0"/>
        <w:spacing w:after="240" w:line="320" w:lineRule="atLeast"/>
        <w:ind w:left="720"/>
        <w:rPr>
          <w:rFonts w:ascii="Times New Roman" w:hAnsi="Times New Roman" w:cs="Times New Roman"/>
          <w:i/>
          <w:sz w:val="20"/>
          <w:szCs w:val="20"/>
          <w:lang w:val="en-US"/>
        </w:rPr>
      </w:pPr>
      <w:r w:rsidRPr="00EA11E2">
        <w:rPr>
          <w:rFonts w:ascii="Times New Roman" w:hAnsi="Times New Roman" w:cs="Times New Roman"/>
          <w:i/>
          <w:sz w:val="20"/>
          <w:szCs w:val="20"/>
          <w:lang w:val="en-US"/>
        </w:rPr>
        <w:t xml:space="preserve">[I]f the jurisprudence of the EU Courts examined in (Part I) were to continue, unless fully compensated for by adequate administrative review procedures, the Party concerned would … fail to comply with article 9, paragraph 4, of the Convention </w:t>
      </w:r>
      <w:r w:rsidR="008A4BC7" w:rsidRPr="00EA11E2">
        <w:rPr>
          <w:rStyle w:val="FootnoteReference"/>
          <w:rFonts w:ascii="Times New Roman" w:hAnsi="Times New Roman" w:cs="Times New Roman"/>
          <w:i/>
          <w:sz w:val="20"/>
          <w:szCs w:val="20"/>
        </w:rPr>
        <w:footnoteReference w:id="53"/>
      </w:r>
      <w:r w:rsidR="008A4BC7" w:rsidRPr="00EA11E2">
        <w:rPr>
          <w:rFonts w:ascii="Times New Roman" w:hAnsi="Times New Roman" w:cs="Times New Roman"/>
          <w:i/>
          <w:sz w:val="20"/>
          <w:szCs w:val="20"/>
        </w:rPr>
        <w:t>.</w:t>
      </w:r>
      <w:bookmarkStart w:id="9" w:name="_Toc302830017"/>
      <w:bookmarkEnd w:id="8"/>
    </w:p>
    <w:p w14:paraId="7C0F6F3C" w14:textId="54E73314" w:rsidR="008A4BC7" w:rsidRPr="00EA11E2" w:rsidRDefault="00194354" w:rsidP="00B619F8">
      <w:pPr>
        <w:widowControl w:val="0"/>
        <w:autoSpaceDE w:val="0"/>
        <w:autoSpaceDN w:val="0"/>
        <w:adjustRightInd w:val="0"/>
        <w:spacing w:after="240" w:line="320" w:lineRule="atLeast"/>
        <w:ind w:left="720"/>
        <w:rPr>
          <w:rFonts w:ascii="Times New Roman" w:hAnsi="Times New Roman" w:cs="Times New Roman"/>
          <w:sz w:val="20"/>
          <w:szCs w:val="20"/>
          <w:lang w:val="en-US"/>
        </w:rPr>
      </w:pPr>
      <w:r w:rsidRPr="00EA11E2">
        <w:rPr>
          <w:rFonts w:ascii="Times New Roman" w:hAnsi="Times New Roman" w:cs="Times New Roman"/>
          <w:i/>
          <w:sz w:val="20"/>
          <w:szCs w:val="20"/>
          <w:lang w:val="en-US"/>
        </w:rPr>
        <w:t>[T]he allegations concerning costs were not sufficiently substantiated by the communicant</w:t>
      </w:r>
      <w:r w:rsidR="008A4BC7" w:rsidRPr="00EA11E2">
        <w:rPr>
          <w:rStyle w:val="FootnoteReference"/>
          <w:rFonts w:ascii="Times New Roman" w:hAnsi="Times New Roman" w:cs="Times New Roman"/>
          <w:i/>
          <w:sz w:val="20"/>
          <w:szCs w:val="20"/>
        </w:rPr>
        <w:footnoteReference w:id="54"/>
      </w:r>
      <w:r w:rsidR="008A4BC7" w:rsidRPr="00EA11E2">
        <w:rPr>
          <w:rFonts w:ascii="Times New Roman" w:hAnsi="Times New Roman" w:cs="Times New Roman"/>
          <w:i/>
          <w:sz w:val="20"/>
          <w:szCs w:val="20"/>
        </w:rPr>
        <w:t>.</w:t>
      </w:r>
      <w:bookmarkStart w:id="10" w:name="_Toc302830018"/>
      <w:bookmarkEnd w:id="9"/>
    </w:p>
    <w:p w14:paraId="549E356F" w14:textId="76C6E73C" w:rsidR="008A4BC7" w:rsidRPr="00EA11E2" w:rsidRDefault="003839E8" w:rsidP="006B7A0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bookmarkStart w:id="11" w:name="_Ref454515934"/>
      <w:bookmarkStart w:id="12" w:name="_Toc302830019"/>
      <w:bookmarkEnd w:id="10"/>
      <w:r w:rsidRPr="00EA11E2">
        <w:rPr>
          <w:rFonts w:ascii="Times New Roman" w:hAnsi="Times New Roman" w:cs="Times New Roman"/>
          <w:sz w:val="20"/>
          <w:szCs w:val="20"/>
        </w:rPr>
        <w:t>T</w:t>
      </w:r>
      <w:r w:rsidR="008A4BC7" w:rsidRPr="00EA11E2">
        <w:rPr>
          <w:rFonts w:ascii="Times New Roman" w:hAnsi="Times New Roman" w:cs="Times New Roman"/>
          <w:sz w:val="20"/>
          <w:szCs w:val="20"/>
        </w:rPr>
        <w:t>he recommendations of the Comm</w:t>
      </w:r>
      <w:r w:rsidR="00745AB5" w:rsidRPr="00EA11E2">
        <w:rPr>
          <w:rFonts w:ascii="Times New Roman" w:hAnsi="Times New Roman" w:cs="Times New Roman"/>
          <w:sz w:val="20"/>
          <w:szCs w:val="20"/>
        </w:rPr>
        <w:t xml:space="preserve">ittee in Part I </w:t>
      </w:r>
      <w:r w:rsidR="008A4BC7" w:rsidRPr="00EA11E2">
        <w:rPr>
          <w:rFonts w:ascii="Times New Roman" w:hAnsi="Times New Roman" w:cs="Times New Roman"/>
          <w:sz w:val="20"/>
          <w:szCs w:val="20"/>
        </w:rPr>
        <w:t>were as follows</w:t>
      </w:r>
      <w:bookmarkEnd w:id="11"/>
      <w:r w:rsidR="001C7421">
        <w:rPr>
          <w:rFonts w:ascii="Times New Roman" w:hAnsi="Times New Roman" w:cs="Times New Roman"/>
          <w:sz w:val="20"/>
          <w:szCs w:val="20"/>
        </w:rPr>
        <w:t>:</w:t>
      </w:r>
      <w:r w:rsidR="008A4BC7" w:rsidRPr="00EA11E2">
        <w:rPr>
          <w:rFonts w:ascii="Times New Roman" w:hAnsi="Times New Roman" w:cs="Times New Roman"/>
          <w:sz w:val="20"/>
          <w:szCs w:val="20"/>
        </w:rPr>
        <w:t xml:space="preserve"> </w:t>
      </w:r>
    </w:p>
    <w:p w14:paraId="5474CDF2" w14:textId="77777777" w:rsidR="008A4BC7" w:rsidRPr="00EA11E2" w:rsidRDefault="008A4BC7" w:rsidP="008A4BC7">
      <w:pPr>
        <w:widowControl w:val="0"/>
        <w:autoSpaceDE w:val="0"/>
        <w:autoSpaceDN w:val="0"/>
        <w:adjustRightInd w:val="0"/>
        <w:spacing w:after="240" w:line="240" w:lineRule="auto"/>
        <w:ind w:left="720"/>
        <w:rPr>
          <w:rFonts w:ascii="Times New Roman" w:hAnsi="Times New Roman" w:cs="Times New Roman"/>
          <w:i/>
          <w:sz w:val="20"/>
          <w:szCs w:val="20"/>
        </w:rPr>
      </w:pPr>
      <w:r w:rsidRPr="00EA11E2">
        <w:rPr>
          <w:rFonts w:ascii="Times New Roman" w:hAnsi="Times New Roman" w:cs="Times New Roman"/>
          <w:i/>
          <w:sz w:val="20"/>
          <w:szCs w:val="20"/>
        </w:rPr>
        <w:t xml:space="preserve">97. While the Committee is not convinced that the Party concerned fails to comply with the Convention, given the evidence before it, it considers that a new direction of the jurisprudence of the EU Courts should be established in order to ensure compliance with the Convention. </w:t>
      </w:r>
    </w:p>
    <w:p w14:paraId="200DA8F7" w14:textId="77777777" w:rsidR="00DF3ECA" w:rsidRPr="00EA11E2" w:rsidRDefault="008A4BC7" w:rsidP="00DF3ECA">
      <w:pPr>
        <w:widowControl w:val="0"/>
        <w:autoSpaceDE w:val="0"/>
        <w:autoSpaceDN w:val="0"/>
        <w:adjustRightInd w:val="0"/>
        <w:spacing w:after="240" w:line="240" w:lineRule="auto"/>
        <w:ind w:left="720"/>
        <w:rPr>
          <w:rFonts w:ascii="Times New Roman" w:hAnsi="Times New Roman" w:cs="Times New Roman"/>
          <w:i/>
          <w:sz w:val="20"/>
          <w:szCs w:val="20"/>
        </w:rPr>
      </w:pPr>
      <w:r w:rsidRPr="00EA11E2">
        <w:rPr>
          <w:rFonts w:ascii="Times New Roman" w:hAnsi="Times New Roman" w:cs="Times New Roman"/>
          <w:i/>
          <w:sz w:val="20"/>
          <w:szCs w:val="20"/>
        </w:rPr>
        <w:t xml:space="preserve">98. Therefore, the Committee, pursuant to paragraph 36 (b) of the annex to decision I/7, recommends the Party concerned that all relevant EU institutions within their competences take the steps to overcome the shortcomings reflected in the jurisprudence of the EU Courts in providing the public concerned with access to justice in environmental matters. </w:t>
      </w:r>
    </w:p>
    <w:p w14:paraId="4717BC5C" w14:textId="380A9F20" w:rsidR="00DF3ECA" w:rsidRPr="00EA11E2" w:rsidRDefault="008A4BC7" w:rsidP="00DF3ECA">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It follows from paragraph 97 of Part I that the first task of the Committee in this Part </w:t>
      </w:r>
      <w:r w:rsidR="00515AA0" w:rsidRPr="00EA11E2">
        <w:rPr>
          <w:rFonts w:ascii="Times New Roman" w:hAnsi="Times New Roman" w:cs="Times New Roman"/>
          <w:sz w:val="20"/>
          <w:szCs w:val="20"/>
        </w:rPr>
        <w:t xml:space="preserve">II </w:t>
      </w:r>
      <w:r w:rsidRPr="00EA11E2">
        <w:rPr>
          <w:rFonts w:ascii="Times New Roman" w:hAnsi="Times New Roman" w:cs="Times New Roman"/>
          <w:sz w:val="20"/>
          <w:szCs w:val="20"/>
        </w:rPr>
        <w:t>of its findings is to consider whether there is a new direction in the jurisprudence of the EU Courts. Secondly</w:t>
      </w:r>
      <w:r w:rsidR="0023503C" w:rsidRPr="00EA11E2">
        <w:rPr>
          <w:rFonts w:ascii="Times New Roman" w:hAnsi="Times New Roman" w:cs="Times New Roman"/>
          <w:sz w:val="20"/>
          <w:szCs w:val="20"/>
        </w:rPr>
        <w:t>,</w:t>
      </w:r>
      <w:r w:rsidRPr="00EA11E2">
        <w:rPr>
          <w:rFonts w:ascii="Times New Roman" w:hAnsi="Times New Roman" w:cs="Times New Roman"/>
          <w:sz w:val="20"/>
          <w:szCs w:val="20"/>
        </w:rPr>
        <w:t xml:space="preserve"> the Committee </w:t>
      </w:r>
      <w:r w:rsidR="003839E8" w:rsidRPr="00EA11E2">
        <w:rPr>
          <w:rFonts w:ascii="Times New Roman" w:hAnsi="Times New Roman" w:cs="Times New Roman"/>
          <w:sz w:val="20"/>
          <w:szCs w:val="20"/>
        </w:rPr>
        <w:t>needs to</w:t>
      </w:r>
      <w:r w:rsidRPr="00EA11E2">
        <w:rPr>
          <w:rFonts w:ascii="Times New Roman" w:hAnsi="Times New Roman" w:cs="Times New Roman"/>
          <w:sz w:val="20"/>
          <w:szCs w:val="20"/>
        </w:rPr>
        <w:t xml:space="preserve"> consider whether any other steps have been taken to overcome the shortcomings reflected in the jurisprudence of the EU Courts.</w:t>
      </w:r>
    </w:p>
    <w:p w14:paraId="74A1EAD6" w14:textId="77777777" w:rsidR="00DF3ECA" w:rsidRPr="00EA11E2" w:rsidRDefault="00DF3ECA" w:rsidP="00DF3ECA">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rPr>
      </w:pPr>
    </w:p>
    <w:bookmarkEnd w:id="12"/>
    <w:p w14:paraId="02BB16A5" w14:textId="5BD3F91E" w:rsidR="005136FA" w:rsidRPr="00EA11E2" w:rsidRDefault="008A4BC7" w:rsidP="005136FA">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In considering these two issues the Committee will not assess in detail each and every possible form of challengeable decision-making by the EU institutions, or each decision by the EU Court that has been referred to in the course of this case. Nor will the Committee consider every detail of applicable EU law that purports to implement the Convention. Instead the Committee will focus on the most important allegations of the communicant</w:t>
      </w:r>
      <w:r w:rsidRPr="00EA11E2">
        <w:rPr>
          <w:rStyle w:val="FootnoteReference"/>
          <w:rFonts w:ascii="Times New Roman" w:hAnsi="Times New Roman" w:cs="Times New Roman"/>
          <w:sz w:val="20"/>
          <w:szCs w:val="20"/>
        </w:rPr>
        <w:footnoteReference w:id="55"/>
      </w:r>
      <w:r w:rsidRPr="00EA11E2">
        <w:rPr>
          <w:rFonts w:ascii="Times New Roman" w:hAnsi="Times New Roman" w:cs="Times New Roman"/>
          <w:sz w:val="20"/>
          <w:szCs w:val="20"/>
        </w:rPr>
        <w:t xml:space="preserve">, and examine first the most important trends in the jurisprudence of the EU Courts </w:t>
      </w:r>
      <w:r w:rsidR="00A0125D" w:rsidRPr="00EA11E2">
        <w:rPr>
          <w:rFonts w:ascii="Times New Roman" w:hAnsi="Times New Roman" w:cs="Times New Roman"/>
          <w:sz w:val="20"/>
          <w:szCs w:val="20"/>
        </w:rPr>
        <w:t xml:space="preserve">since Part I, </w:t>
      </w:r>
      <w:r w:rsidRPr="00EA11E2">
        <w:rPr>
          <w:rFonts w:ascii="Times New Roman" w:hAnsi="Times New Roman" w:cs="Times New Roman"/>
          <w:sz w:val="20"/>
          <w:szCs w:val="20"/>
        </w:rPr>
        <w:t>on access to justice in environmental matters</w:t>
      </w:r>
      <w:r w:rsidR="005136FA" w:rsidRPr="00EA11E2">
        <w:rPr>
          <w:rFonts w:ascii="Times New Roman" w:hAnsi="Times New Roman" w:cs="Times New Roman"/>
          <w:sz w:val="20"/>
          <w:szCs w:val="20"/>
        </w:rPr>
        <w:t xml:space="preserve">. After that the Committee will consider the effect of the </w:t>
      </w:r>
      <w:r w:rsidRPr="00EA11E2">
        <w:rPr>
          <w:rFonts w:ascii="Times New Roman" w:hAnsi="Times New Roman" w:cs="Times New Roman"/>
          <w:sz w:val="20"/>
          <w:szCs w:val="20"/>
        </w:rPr>
        <w:t xml:space="preserve">Aarhus Regulation. </w:t>
      </w:r>
    </w:p>
    <w:p w14:paraId="5E607801" w14:textId="6E08D574" w:rsidR="004945EF" w:rsidRPr="00EA11E2" w:rsidRDefault="004945EF" w:rsidP="005136FA">
      <w:pPr>
        <w:widowControl w:val="0"/>
        <w:tabs>
          <w:tab w:val="left" w:pos="940"/>
          <w:tab w:val="left" w:pos="1440"/>
        </w:tabs>
        <w:autoSpaceDE w:val="0"/>
        <w:autoSpaceDN w:val="0"/>
        <w:adjustRightInd w:val="0"/>
        <w:spacing w:after="266" w:line="240" w:lineRule="auto"/>
        <w:rPr>
          <w:rFonts w:ascii="Times New Roman" w:hAnsi="Times New Roman" w:cs="Times New Roman"/>
          <w:b/>
          <w:sz w:val="20"/>
          <w:szCs w:val="20"/>
        </w:rPr>
      </w:pPr>
      <w:r w:rsidRPr="00EA11E2">
        <w:rPr>
          <w:rFonts w:ascii="Times New Roman" w:hAnsi="Times New Roman" w:cs="Times New Roman"/>
          <w:b/>
          <w:sz w:val="20"/>
          <w:szCs w:val="20"/>
        </w:rPr>
        <w:t>B</w:t>
      </w:r>
      <w:r w:rsidR="0023503C" w:rsidRPr="00EA11E2">
        <w:rPr>
          <w:rFonts w:ascii="Times New Roman" w:hAnsi="Times New Roman" w:cs="Times New Roman"/>
          <w:b/>
          <w:sz w:val="20"/>
          <w:szCs w:val="20"/>
        </w:rPr>
        <w:tab/>
      </w:r>
      <w:r w:rsidR="005136FA" w:rsidRPr="00EA11E2">
        <w:rPr>
          <w:rFonts w:ascii="Times New Roman" w:hAnsi="Times New Roman" w:cs="Times New Roman"/>
          <w:b/>
          <w:sz w:val="20"/>
          <w:szCs w:val="20"/>
        </w:rPr>
        <w:t xml:space="preserve">Substantive issues </w:t>
      </w:r>
    </w:p>
    <w:p w14:paraId="35E8A3D2" w14:textId="49FA3A15" w:rsidR="008A4BC7" w:rsidRPr="001C7421" w:rsidRDefault="008A4BC7" w:rsidP="008A4BC7">
      <w:pPr>
        <w:spacing w:line="240" w:lineRule="auto"/>
        <w:rPr>
          <w:rFonts w:ascii="Times New Roman" w:hAnsi="Times New Roman" w:cs="Times New Roman"/>
          <w:b/>
          <w:i/>
          <w:sz w:val="20"/>
          <w:szCs w:val="20"/>
        </w:rPr>
      </w:pPr>
      <w:bookmarkStart w:id="13" w:name="_Toc302830021"/>
      <w:r w:rsidRPr="001C7421">
        <w:rPr>
          <w:rFonts w:ascii="Times New Roman" w:hAnsi="Times New Roman" w:cs="Times New Roman"/>
          <w:b/>
          <w:i/>
          <w:sz w:val="20"/>
          <w:szCs w:val="20"/>
        </w:rPr>
        <w:t xml:space="preserve">The jurisprudence of the EU Courts: </w:t>
      </w:r>
      <w:proofErr w:type="spellStart"/>
      <w:r w:rsidRPr="001C7421">
        <w:rPr>
          <w:rFonts w:ascii="Times New Roman" w:hAnsi="Times New Roman" w:cs="Times New Roman"/>
          <w:b/>
          <w:i/>
          <w:sz w:val="20"/>
          <w:szCs w:val="20"/>
        </w:rPr>
        <w:t>Stichting</w:t>
      </w:r>
      <w:proofErr w:type="spellEnd"/>
      <w:r w:rsidRPr="001C7421">
        <w:rPr>
          <w:rFonts w:ascii="Times New Roman" w:hAnsi="Times New Roman" w:cs="Times New Roman"/>
          <w:b/>
          <w:i/>
          <w:sz w:val="20"/>
          <w:szCs w:val="20"/>
        </w:rPr>
        <w:t xml:space="preserve"> Milieu</w:t>
      </w:r>
      <w:bookmarkEnd w:id="13"/>
    </w:p>
    <w:p w14:paraId="38E17785" w14:textId="77777777" w:rsidR="00DF3ECA" w:rsidRPr="001C7421" w:rsidRDefault="008A4BC7" w:rsidP="006B7A05">
      <w:pPr>
        <w:spacing w:line="240" w:lineRule="auto"/>
        <w:rPr>
          <w:rFonts w:ascii="Times New Roman" w:hAnsi="Times New Roman" w:cs="Times New Roman"/>
          <w:sz w:val="20"/>
          <w:szCs w:val="20"/>
          <w:u w:val="single"/>
        </w:rPr>
      </w:pPr>
      <w:r w:rsidRPr="001C7421">
        <w:rPr>
          <w:rFonts w:ascii="Times New Roman" w:hAnsi="Times New Roman" w:cs="Times New Roman"/>
          <w:sz w:val="20"/>
          <w:szCs w:val="20"/>
          <w:u w:val="single"/>
        </w:rPr>
        <w:t xml:space="preserve">The significance of </w:t>
      </w:r>
      <w:proofErr w:type="spellStart"/>
      <w:r w:rsidRPr="001C7421">
        <w:rPr>
          <w:rFonts w:ascii="Times New Roman" w:hAnsi="Times New Roman" w:cs="Times New Roman"/>
          <w:sz w:val="20"/>
          <w:szCs w:val="20"/>
          <w:u w:val="single"/>
        </w:rPr>
        <w:t>Stichting</w:t>
      </w:r>
      <w:proofErr w:type="spellEnd"/>
      <w:r w:rsidRPr="001C7421">
        <w:rPr>
          <w:rFonts w:ascii="Times New Roman" w:hAnsi="Times New Roman" w:cs="Times New Roman"/>
          <w:sz w:val="20"/>
          <w:szCs w:val="20"/>
          <w:u w:val="single"/>
        </w:rPr>
        <w:t xml:space="preserve"> Milieu</w:t>
      </w:r>
      <w:bookmarkStart w:id="14" w:name="_Toc302830022"/>
    </w:p>
    <w:p w14:paraId="3CB3070D" w14:textId="1F930D0D"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 xml:space="preserve">In Part I the Committee refrained from examining whether the Aarhus Regulation or any other relevant internal administrative review procedure of the EU met the requirements on access to justice in the Convention because it was waiting for the outcome of the </w:t>
      </w:r>
      <w:proofErr w:type="spellStart"/>
      <w:r w:rsidRPr="00EA11E2">
        <w:rPr>
          <w:rFonts w:ascii="Times New Roman" w:hAnsi="Times New Roman" w:cs="Times New Roman"/>
          <w:i/>
          <w:color w:val="000000"/>
          <w:sz w:val="20"/>
          <w:szCs w:val="20"/>
        </w:rPr>
        <w:t>Stichting</w:t>
      </w:r>
      <w:proofErr w:type="spellEnd"/>
      <w:r w:rsidRPr="00EA11E2">
        <w:rPr>
          <w:rFonts w:ascii="Times New Roman" w:hAnsi="Times New Roman" w:cs="Times New Roman"/>
          <w:i/>
          <w:color w:val="000000"/>
          <w:sz w:val="20"/>
          <w:szCs w:val="20"/>
        </w:rPr>
        <w:t xml:space="preserve"> Milieu</w:t>
      </w:r>
      <w:r w:rsidR="005136FA" w:rsidRPr="00EA11E2">
        <w:rPr>
          <w:rFonts w:ascii="Times New Roman" w:hAnsi="Times New Roman" w:cs="Times New Roman"/>
          <w:color w:val="000000"/>
          <w:sz w:val="20"/>
          <w:szCs w:val="20"/>
        </w:rPr>
        <w:t xml:space="preserve"> </w:t>
      </w:r>
      <w:r w:rsidRPr="00EA11E2">
        <w:rPr>
          <w:rFonts w:ascii="Times New Roman" w:hAnsi="Times New Roman" w:cs="Times New Roman"/>
          <w:color w:val="000000"/>
          <w:sz w:val="20"/>
          <w:szCs w:val="20"/>
        </w:rPr>
        <w:t>case</w:t>
      </w:r>
      <w:r w:rsidRPr="00EA11E2">
        <w:rPr>
          <w:rStyle w:val="FootnoteReference"/>
          <w:rFonts w:ascii="Times New Roman" w:hAnsi="Times New Roman" w:cs="Times New Roman"/>
          <w:sz w:val="20"/>
          <w:szCs w:val="20"/>
        </w:rPr>
        <w:footnoteReference w:id="56"/>
      </w:r>
      <w:r w:rsidRPr="00EA11E2">
        <w:rPr>
          <w:rFonts w:ascii="Times New Roman" w:hAnsi="Times New Roman" w:cs="Times New Roman"/>
          <w:sz w:val="20"/>
          <w:szCs w:val="20"/>
        </w:rPr>
        <w:t>.</w:t>
      </w:r>
      <w:r w:rsidRPr="00EA11E2">
        <w:rPr>
          <w:rFonts w:ascii="Times New Roman" w:hAnsi="Times New Roman" w:cs="Times New Roman"/>
          <w:color w:val="000000"/>
          <w:sz w:val="20"/>
          <w:szCs w:val="20"/>
        </w:rPr>
        <w:t xml:space="preserve"> </w:t>
      </w:r>
    </w:p>
    <w:p w14:paraId="3B22607B" w14:textId="77777777" w:rsidR="00DF3ECA" w:rsidRPr="00EA11E2" w:rsidRDefault="00DF3ECA" w:rsidP="00DF3ECA">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0DC1199" w14:textId="14F0F3DB"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Committee instead considered and evaluated the established court practice of the EU Courts in light of the </w:t>
      </w:r>
      <w:r w:rsidR="0023503C" w:rsidRPr="00EA11E2">
        <w:rPr>
          <w:rFonts w:ascii="Times New Roman" w:hAnsi="Times New Roman" w:cs="Times New Roman"/>
          <w:sz w:val="20"/>
          <w:szCs w:val="20"/>
        </w:rPr>
        <w:t xml:space="preserve">Convention’s provisions </w:t>
      </w:r>
      <w:r w:rsidRPr="00EA11E2">
        <w:rPr>
          <w:rFonts w:ascii="Times New Roman" w:hAnsi="Times New Roman" w:cs="Times New Roman"/>
          <w:sz w:val="20"/>
          <w:szCs w:val="20"/>
        </w:rPr>
        <w:t>on access to justice; this was on the basis that even if the EU jurisprudence initiated before the entry into force of the Convention was not consistent with the Convention, this would not lead to the conclusion that the Party concerned was in non-compliance although it did reveal that the Party concerned would be in non-compliance if the jurisprudence remained the same</w:t>
      </w:r>
      <w:r w:rsidRPr="00EA11E2">
        <w:rPr>
          <w:rStyle w:val="FootnoteReference"/>
          <w:rFonts w:ascii="Times New Roman" w:hAnsi="Times New Roman" w:cs="Times New Roman"/>
          <w:sz w:val="20"/>
          <w:szCs w:val="20"/>
        </w:rPr>
        <w:footnoteReference w:id="57"/>
      </w:r>
      <w:r w:rsidRPr="00EA11E2">
        <w:rPr>
          <w:rFonts w:ascii="Times New Roman" w:hAnsi="Times New Roman" w:cs="Times New Roman"/>
          <w:sz w:val="20"/>
          <w:szCs w:val="20"/>
        </w:rPr>
        <w:t xml:space="preserve">. </w:t>
      </w:r>
    </w:p>
    <w:p w14:paraId="059BD5EE" w14:textId="77777777" w:rsidR="00DF3ECA" w:rsidRPr="00EA11E2" w:rsidRDefault="00DF3ECA" w:rsidP="00DF3ECA">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466AB98B" w14:textId="39CCFC39" w:rsidR="008A4BC7" w:rsidRPr="00EA11E2" w:rsidRDefault="008A4BC7" w:rsidP="00DF3ECA">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Committee therefore, </w:t>
      </w:r>
      <w:r w:rsidR="00652076" w:rsidRPr="00EA11E2">
        <w:rPr>
          <w:rFonts w:ascii="Times New Roman" w:hAnsi="Times New Roman" w:cs="Times New Roman"/>
          <w:sz w:val="20"/>
          <w:szCs w:val="20"/>
        </w:rPr>
        <w:t xml:space="preserve">now </w:t>
      </w:r>
      <w:r w:rsidRPr="00EA11E2">
        <w:rPr>
          <w:rFonts w:ascii="Times New Roman" w:hAnsi="Times New Roman" w:cs="Times New Roman"/>
          <w:sz w:val="20"/>
          <w:szCs w:val="20"/>
        </w:rPr>
        <w:t>consider</w:t>
      </w:r>
      <w:r w:rsidR="00652076" w:rsidRPr="00EA11E2">
        <w:rPr>
          <w:rFonts w:ascii="Times New Roman" w:hAnsi="Times New Roman" w:cs="Times New Roman"/>
          <w:sz w:val="20"/>
          <w:szCs w:val="20"/>
        </w:rPr>
        <w:t>s</w:t>
      </w:r>
      <w:r w:rsidRPr="00EA11E2">
        <w:rPr>
          <w:rFonts w:ascii="Times New Roman" w:hAnsi="Times New Roman" w:cs="Times New Roman"/>
          <w:sz w:val="20"/>
          <w:szCs w:val="20"/>
        </w:rPr>
        <w:t xml:space="preserve"> the judgment of the </w:t>
      </w:r>
      <w:r w:rsidR="00DE5F74" w:rsidRPr="00EA11E2">
        <w:rPr>
          <w:rFonts w:ascii="Times New Roman" w:hAnsi="Times New Roman" w:cs="Times New Roman"/>
          <w:sz w:val="20"/>
          <w:szCs w:val="20"/>
        </w:rPr>
        <w:t>ECJ</w:t>
      </w:r>
      <w:r w:rsidRPr="00EA11E2">
        <w:rPr>
          <w:rFonts w:ascii="Times New Roman" w:hAnsi="Times New Roman" w:cs="Times New Roman"/>
          <w:sz w:val="20"/>
          <w:szCs w:val="20"/>
        </w:rPr>
        <w:t xml:space="preserve"> in the</w:t>
      </w:r>
      <w:r w:rsidR="005136FA" w:rsidRPr="00EA11E2">
        <w:rPr>
          <w:rFonts w:ascii="Times New Roman" w:hAnsi="Times New Roman" w:cs="Times New Roman"/>
          <w:i/>
          <w:color w:val="000000"/>
          <w:sz w:val="20"/>
          <w:szCs w:val="20"/>
        </w:rPr>
        <w:t xml:space="preserve"> </w:t>
      </w:r>
      <w:proofErr w:type="spellStart"/>
      <w:r w:rsidR="005136FA" w:rsidRPr="00EA11E2">
        <w:rPr>
          <w:rFonts w:ascii="Times New Roman" w:hAnsi="Times New Roman" w:cs="Times New Roman"/>
          <w:i/>
          <w:color w:val="000000"/>
          <w:sz w:val="20"/>
          <w:szCs w:val="20"/>
        </w:rPr>
        <w:t>Stichting</w:t>
      </w:r>
      <w:proofErr w:type="spellEnd"/>
      <w:r w:rsidR="005136FA" w:rsidRPr="00EA11E2">
        <w:rPr>
          <w:rFonts w:ascii="Times New Roman" w:hAnsi="Times New Roman" w:cs="Times New Roman"/>
          <w:i/>
          <w:color w:val="000000"/>
          <w:sz w:val="20"/>
          <w:szCs w:val="20"/>
        </w:rPr>
        <w:t xml:space="preserve"> Milieu</w:t>
      </w:r>
      <w:r w:rsidR="005136FA" w:rsidRPr="00EA11E2">
        <w:rPr>
          <w:rFonts w:ascii="Times New Roman" w:hAnsi="Times New Roman" w:cs="Times New Roman"/>
          <w:color w:val="000000"/>
          <w:sz w:val="20"/>
          <w:szCs w:val="20"/>
        </w:rPr>
        <w:t xml:space="preserve"> case</w:t>
      </w:r>
      <w:r w:rsidR="005136FA" w:rsidRPr="00EA11E2">
        <w:rPr>
          <w:rFonts w:ascii="Times New Roman" w:hAnsi="Times New Roman" w:cs="Times New Roman"/>
          <w:sz w:val="20"/>
          <w:szCs w:val="20"/>
        </w:rPr>
        <w:t xml:space="preserve"> </w:t>
      </w:r>
      <w:r w:rsidR="00652076" w:rsidRPr="00EA11E2">
        <w:rPr>
          <w:rFonts w:ascii="Times New Roman" w:hAnsi="Times New Roman" w:cs="Times New Roman"/>
          <w:sz w:val="20"/>
          <w:szCs w:val="20"/>
        </w:rPr>
        <w:t xml:space="preserve">in order </w:t>
      </w:r>
      <w:r w:rsidRPr="00EA11E2">
        <w:rPr>
          <w:rFonts w:ascii="Times New Roman" w:hAnsi="Times New Roman" w:cs="Times New Roman"/>
          <w:sz w:val="20"/>
          <w:szCs w:val="20"/>
        </w:rPr>
        <w:t xml:space="preserve">to </w:t>
      </w:r>
      <w:r w:rsidR="007A3E69" w:rsidRPr="00EA11E2">
        <w:rPr>
          <w:rFonts w:ascii="Times New Roman" w:hAnsi="Times New Roman" w:cs="Times New Roman"/>
          <w:sz w:val="20"/>
          <w:szCs w:val="20"/>
        </w:rPr>
        <w:t>determine</w:t>
      </w:r>
      <w:r w:rsidRPr="00EA11E2">
        <w:rPr>
          <w:rFonts w:ascii="Times New Roman" w:hAnsi="Times New Roman" w:cs="Times New Roman"/>
          <w:sz w:val="20"/>
          <w:szCs w:val="20"/>
        </w:rPr>
        <w:t xml:space="preserve"> whether it represents a change in direction in the jurisprudence of the EU, and in particular whether it brings the EU into compliance with the Convention.</w:t>
      </w:r>
    </w:p>
    <w:p w14:paraId="075CD82D" w14:textId="77777777" w:rsidR="00DF3ECA" w:rsidRPr="00EA11E2" w:rsidRDefault="00DF3ECA"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FDDDF30" w14:textId="77777777" w:rsidR="006B7A05" w:rsidRPr="001C7421" w:rsidRDefault="003A6D05" w:rsidP="003A6D05">
      <w:pPr>
        <w:widowControl w:val="0"/>
        <w:autoSpaceDE w:val="0"/>
        <w:autoSpaceDN w:val="0"/>
        <w:adjustRightInd w:val="0"/>
        <w:spacing w:before="4" w:after="240" w:line="240" w:lineRule="auto"/>
        <w:ind w:right="109"/>
        <w:jc w:val="both"/>
        <w:rPr>
          <w:rFonts w:ascii="Times New Roman" w:hAnsi="Times New Roman" w:cs="Times New Roman"/>
          <w:color w:val="000000"/>
          <w:sz w:val="20"/>
          <w:szCs w:val="20"/>
          <w:u w:val="single"/>
        </w:rPr>
      </w:pPr>
      <w:r w:rsidRPr="001C7421">
        <w:rPr>
          <w:rFonts w:ascii="Times New Roman" w:hAnsi="Times New Roman" w:cs="Times New Roman"/>
          <w:color w:val="000000"/>
          <w:sz w:val="20"/>
          <w:szCs w:val="20"/>
          <w:u w:val="single"/>
        </w:rPr>
        <w:t xml:space="preserve">The </w:t>
      </w:r>
      <w:proofErr w:type="spellStart"/>
      <w:r w:rsidRPr="001C7421">
        <w:rPr>
          <w:rFonts w:ascii="Times New Roman" w:hAnsi="Times New Roman" w:cs="Times New Roman"/>
          <w:color w:val="000000"/>
          <w:sz w:val="20"/>
          <w:szCs w:val="20"/>
          <w:u w:val="single"/>
        </w:rPr>
        <w:t>Stichting</w:t>
      </w:r>
      <w:proofErr w:type="spellEnd"/>
      <w:r w:rsidRPr="001C7421">
        <w:rPr>
          <w:rFonts w:ascii="Times New Roman" w:hAnsi="Times New Roman" w:cs="Times New Roman"/>
          <w:color w:val="000000"/>
          <w:sz w:val="20"/>
          <w:szCs w:val="20"/>
          <w:u w:val="single"/>
        </w:rPr>
        <w:t xml:space="preserve"> Milieu case</w:t>
      </w:r>
    </w:p>
    <w:p w14:paraId="4DC7E7B0" w14:textId="6517C026" w:rsidR="008A4BC7" w:rsidRPr="00EA11E2" w:rsidRDefault="005136FA" w:rsidP="00DF3ECA">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In the </w:t>
      </w:r>
      <w:proofErr w:type="spellStart"/>
      <w:r w:rsidRPr="00EA11E2">
        <w:rPr>
          <w:rFonts w:ascii="Times New Roman" w:hAnsi="Times New Roman" w:cs="Times New Roman"/>
          <w:i/>
          <w:color w:val="000000"/>
          <w:sz w:val="20"/>
          <w:szCs w:val="20"/>
        </w:rPr>
        <w:t>Stichting</w:t>
      </w:r>
      <w:proofErr w:type="spellEnd"/>
      <w:r w:rsidRPr="00EA11E2">
        <w:rPr>
          <w:rFonts w:ascii="Times New Roman" w:hAnsi="Times New Roman" w:cs="Times New Roman"/>
          <w:i/>
          <w:color w:val="000000"/>
          <w:sz w:val="20"/>
          <w:szCs w:val="20"/>
        </w:rPr>
        <w:t xml:space="preserve"> Milieu</w:t>
      </w:r>
      <w:r w:rsidRPr="00EA11E2">
        <w:rPr>
          <w:rFonts w:ascii="Times New Roman" w:hAnsi="Times New Roman" w:cs="Times New Roman"/>
          <w:color w:val="000000"/>
          <w:sz w:val="20"/>
          <w:szCs w:val="20"/>
        </w:rPr>
        <w:t xml:space="preserve"> case</w:t>
      </w:r>
      <w:r w:rsidRPr="00EA11E2">
        <w:rPr>
          <w:rFonts w:ascii="Times New Roman" w:hAnsi="Times New Roman" w:cs="Times New Roman"/>
          <w:sz w:val="20"/>
          <w:szCs w:val="20"/>
        </w:rPr>
        <w:t xml:space="preserve"> t</w:t>
      </w:r>
      <w:r w:rsidR="008A4BC7" w:rsidRPr="00EA11E2">
        <w:rPr>
          <w:rFonts w:ascii="Times New Roman" w:hAnsi="Times New Roman" w:cs="Times New Roman"/>
          <w:sz w:val="20"/>
          <w:szCs w:val="20"/>
        </w:rPr>
        <w:t xml:space="preserve">he General Court considered the effect of </w:t>
      </w:r>
      <w:r w:rsidR="00354C76" w:rsidRPr="00EA11E2">
        <w:rPr>
          <w:rFonts w:ascii="Times New Roman" w:hAnsi="Times New Roman" w:cs="Times New Roman"/>
          <w:sz w:val="20"/>
          <w:szCs w:val="20"/>
        </w:rPr>
        <w:t>a</w:t>
      </w:r>
      <w:r w:rsidR="008A4BC7" w:rsidRPr="00EA11E2">
        <w:rPr>
          <w:rFonts w:ascii="Times New Roman" w:hAnsi="Times New Roman" w:cs="Times New Roman"/>
          <w:sz w:val="20"/>
          <w:szCs w:val="20"/>
        </w:rPr>
        <w:t>rticle 9</w:t>
      </w:r>
      <w:r w:rsidR="00354C76" w:rsidRPr="00EA11E2">
        <w:rPr>
          <w:rFonts w:ascii="Times New Roman" w:hAnsi="Times New Roman" w:cs="Times New Roman"/>
          <w:sz w:val="20"/>
          <w:szCs w:val="20"/>
        </w:rPr>
        <w:t>, paragraph 3</w:t>
      </w:r>
      <w:r w:rsidR="008A4BC7" w:rsidRPr="00EA11E2">
        <w:rPr>
          <w:rFonts w:ascii="Times New Roman" w:hAnsi="Times New Roman" w:cs="Times New Roman"/>
          <w:sz w:val="20"/>
          <w:szCs w:val="20"/>
        </w:rPr>
        <w:t xml:space="preserve"> of the Convention and whether Article 10(1) of the Aarhus Regulation implemented </w:t>
      </w:r>
      <w:r w:rsidR="00354C76" w:rsidRPr="00EA11E2">
        <w:rPr>
          <w:rFonts w:ascii="Times New Roman" w:hAnsi="Times New Roman" w:cs="Times New Roman"/>
          <w:sz w:val="20"/>
          <w:szCs w:val="20"/>
        </w:rPr>
        <w:t>the Convention</w:t>
      </w:r>
      <w:r w:rsidR="008A4BC7" w:rsidRPr="00EA11E2">
        <w:rPr>
          <w:rFonts w:ascii="Times New Roman" w:hAnsi="Times New Roman" w:cs="Times New Roman"/>
          <w:sz w:val="20"/>
          <w:szCs w:val="20"/>
        </w:rPr>
        <w:t xml:space="preserve">. </w:t>
      </w:r>
      <w:r w:rsidR="00985DC1" w:rsidRPr="00EA11E2">
        <w:rPr>
          <w:rFonts w:ascii="Times New Roman" w:hAnsi="Times New Roman" w:cs="Times New Roman"/>
          <w:sz w:val="20"/>
          <w:szCs w:val="20"/>
          <w:lang w:val="en-US"/>
        </w:rPr>
        <w:t>The Court considered it appropriate to examine the validity of Article </w:t>
      </w:r>
      <w:r w:rsidR="00C77A68" w:rsidRPr="00EA11E2">
        <w:rPr>
          <w:rFonts w:ascii="Times New Roman" w:hAnsi="Times New Roman" w:cs="Times New Roman"/>
          <w:sz w:val="20"/>
          <w:szCs w:val="20"/>
          <w:lang w:val="en-US"/>
        </w:rPr>
        <w:t xml:space="preserve">10(1) of the Aarhus Regulation </w:t>
      </w:r>
      <w:r w:rsidR="00985DC1" w:rsidRPr="00EA11E2">
        <w:rPr>
          <w:rFonts w:ascii="Times New Roman" w:hAnsi="Times New Roman" w:cs="Times New Roman"/>
          <w:sz w:val="20"/>
          <w:szCs w:val="20"/>
          <w:lang w:val="en-US"/>
        </w:rPr>
        <w:t xml:space="preserve">in the light of the Convention. </w:t>
      </w:r>
      <w:r w:rsidR="008A4BC7" w:rsidRPr="00EA11E2">
        <w:rPr>
          <w:rFonts w:ascii="Times New Roman" w:hAnsi="Times New Roman" w:cs="Times New Roman"/>
          <w:sz w:val="20"/>
          <w:szCs w:val="20"/>
        </w:rPr>
        <w:t>The Court made the following findings -</w:t>
      </w:r>
    </w:p>
    <w:p w14:paraId="09102E12" w14:textId="27483BB3" w:rsidR="008A4BC7" w:rsidRPr="00EA11E2" w:rsidRDefault="001C7421"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Pr>
          <w:rFonts w:ascii="Times New Roman" w:hAnsi="Times New Roman" w:cs="Times New Roman"/>
          <w:i/>
          <w:sz w:val="20"/>
          <w:szCs w:val="20"/>
        </w:rPr>
        <w:t>72</w:t>
      </w:r>
      <w:r>
        <w:rPr>
          <w:rFonts w:ascii="Times New Roman" w:hAnsi="Times New Roman" w:cs="Times New Roman"/>
          <w:i/>
          <w:sz w:val="20"/>
          <w:szCs w:val="20"/>
        </w:rPr>
        <w:tab/>
      </w:r>
      <w:r w:rsidR="008A4BC7" w:rsidRPr="00EA11E2">
        <w:rPr>
          <w:rFonts w:ascii="Times New Roman" w:hAnsi="Times New Roman" w:cs="Times New Roman"/>
          <w:i/>
          <w:sz w:val="20"/>
          <w:szCs w:val="20"/>
        </w:rPr>
        <w:t>The term ‘acts’, as used in Article 9(3) of the Aarhus Convention, is not defined in that convention. According to well-established case-law, an international treaty must be construed by reference to the terms in which it is framed and in the light of its objectives. Article 31 of the Vienna Convention of 23 May 1969 on the Law of Treaties and Article 31 of the Vienna Convention of 21 March 1986 on the Law of Treaties between States and International Organisations or between International Organisations, which express to this effect general customary international law, state that a treaty is to be interpreted in good faith, in accordance with the ordinary meaning to be given to its terms in their context and in the light of its object and purpose (see Case C</w:t>
      </w:r>
      <w:r w:rsidR="008A4BC7" w:rsidRPr="00EA11E2">
        <w:rPr>
          <w:rFonts w:ascii="MS Mincho" w:eastAsia="MS Mincho" w:hAnsi="MS Mincho" w:cs="MS Mincho" w:hint="eastAsia"/>
          <w:i/>
          <w:sz w:val="20"/>
          <w:szCs w:val="20"/>
        </w:rPr>
        <w:t>‑</w:t>
      </w:r>
      <w:r w:rsidR="008A4BC7" w:rsidRPr="00EA11E2">
        <w:rPr>
          <w:rFonts w:ascii="Times New Roman" w:hAnsi="Times New Roman" w:cs="Times New Roman"/>
          <w:i/>
          <w:sz w:val="20"/>
          <w:szCs w:val="20"/>
        </w:rPr>
        <w:t>344/04 IATA and ELFAA [2006] ECR I</w:t>
      </w:r>
      <w:r w:rsidR="008A4BC7" w:rsidRPr="00EA11E2">
        <w:rPr>
          <w:rFonts w:ascii="MS Mincho" w:eastAsia="MS Mincho" w:hAnsi="MS Mincho" w:cs="MS Mincho" w:hint="eastAsia"/>
          <w:i/>
          <w:sz w:val="20"/>
          <w:szCs w:val="20"/>
        </w:rPr>
        <w:t>‑</w:t>
      </w:r>
      <w:r w:rsidR="008A4BC7" w:rsidRPr="00EA11E2">
        <w:rPr>
          <w:rFonts w:ascii="Times New Roman" w:hAnsi="Times New Roman" w:cs="Times New Roman"/>
          <w:i/>
          <w:sz w:val="20"/>
          <w:szCs w:val="20"/>
        </w:rPr>
        <w:t>403, paragraph 40 and the case-law cited</w:t>
      </w:r>
      <w:r w:rsidR="00A10992" w:rsidRPr="00EA11E2">
        <w:rPr>
          <w:rFonts w:ascii="Times New Roman" w:hAnsi="Times New Roman" w:cs="Times New Roman"/>
          <w:i/>
          <w:sz w:val="20"/>
          <w:szCs w:val="20"/>
        </w:rPr>
        <w:t>)</w:t>
      </w:r>
      <w:r w:rsidR="008A4BC7" w:rsidRPr="00EA11E2">
        <w:rPr>
          <w:rFonts w:ascii="Times New Roman" w:hAnsi="Times New Roman" w:cs="Times New Roman"/>
          <w:i/>
          <w:sz w:val="20"/>
          <w:szCs w:val="20"/>
        </w:rPr>
        <w:t xml:space="preserve">. </w:t>
      </w:r>
    </w:p>
    <w:p w14:paraId="4CC427EE" w14:textId="165FAC84"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73</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It is appropriate first of all to recall the objectives of the Aarhus Convention. </w:t>
      </w:r>
    </w:p>
    <w:p w14:paraId="1C3CA291" w14:textId="444E397E"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74</w:t>
      </w:r>
      <w:r w:rsidR="001C7421">
        <w:rPr>
          <w:rFonts w:ascii="Times New Roman" w:hAnsi="Times New Roman" w:cs="Times New Roman"/>
          <w:i/>
          <w:sz w:val="20"/>
          <w:szCs w:val="20"/>
        </w:rPr>
        <w:tab/>
      </w:r>
      <w:r w:rsidRPr="00EA11E2">
        <w:rPr>
          <w:rFonts w:ascii="Times New Roman" w:hAnsi="Times New Roman" w:cs="Times New Roman"/>
          <w:i/>
          <w:sz w:val="20"/>
          <w:szCs w:val="20"/>
        </w:rPr>
        <w:t>Thus, it emerges from the sixth and eighth recitals in the preamble to the Aarhus Convention that the authors of that convention, ‘[r]</w:t>
      </w:r>
      <w:proofErr w:type="spellStart"/>
      <w:r w:rsidRPr="00EA11E2">
        <w:rPr>
          <w:rFonts w:ascii="Times New Roman" w:hAnsi="Times New Roman" w:cs="Times New Roman"/>
          <w:i/>
          <w:sz w:val="20"/>
          <w:szCs w:val="20"/>
        </w:rPr>
        <w:t>ecognising</w:t>
      </w:r>
      <w:proofErr w:type="spellEnd"/>
      <w:r w:rsidRPr="00EA11E2">
        <w:rPr>
          <w:rFonts w:ascii="Times New Roman" w:hAnsi="Times New Roman" w:cs="Times New Roman"/>
          <w:i/>
          <w:sz w:val="20"/>
          <w:szCs w:val="20"/>
        </w:rPr>
        <w:t xml:space="preserve"> that adequate protection of the environment is essential to human well-being and the enjoyment of basic human rights, including the right to life itself’, consider that, ‘to be able to assert this right and observe this duty, citizens must have access to information, be entitled to participate in decision-making and have access to justice in environmental matters, … acknowledging in this regard that citizens may need assistance in order to exercise their rights’. Moreover, the ninth recital to the Aarhus Convention states that ‘in the field of the environment, improved access to information and public participation in decision-making enhance the quality and the implementation of decisions, contribute to public awareness of environmental issues, give the public the opportunity to express its concerns and enable public authorities to take due account of such concerns’. </w:t>
      </w:r>
    </w:p>
    <w:p w14:paraId="5D3544A1" w14:textId="622F312A" w:rsidR="008A4BC7" w:rsidRPr="00EA11E2" w:rsidRDefault="008A4BC7" w:rsidP="00DF3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75</w:t>
      </w:r>
      <w:r w:rsidR="001C7421">
        <w:rPr>
          <w:rFonts w:ascii="Times New Roman" w:hAnsi="Times New Roman" w:cs="Times New Roman"/>
          <w:i/>
          <w:sz w:val="20"/>
          <w:szCs w:val="20"/>
        </w:rPr>
        <w:tab/>
      </w:r>
      <w:r w:rsidRPr="00EA11E2">
        <w:rPr>
          <w:rFonts w:ascii="Times New Roman" w:hAnsi="Times New Roman" w:cs="Times New Roman"/>
          <w:i/>
          <w:sz w:val="20"/>
          <w:szCs w:val="20"/>
        </w:rPr>
        <w:t>In addition, Article 1 of the Aarhus Convention, which is entitled ‘Objective’, provides that ‘[</w:t>
      </w:r>
      <w:proofErr w:type="spellStart"/>
      <w:r w:rsidRPr="00EA11E2">
        <w:rPr>
          <w:rFonts w:ascii="Times New Roman" w:hAnsi="Times New Roman" w:cs="Times New Roman"/>
          <w:i/>
          <w:sz w:val="20"/>
          <w:szCs w:val="20"/>
        </w:rPr>
        <w:t>i</w:t>
      </w:r>
      <w:proofErr w:type="spellEnd"/>
      <w:r w:rsidRPr="00EA11E2">
        <w:rPr>
          <w:rFonts w:ascii="Times New Roman" w:hAnsi="Times New Roman" w:cs="Times New Roman"/>
          <w:i/>
          <w:sz w:val="20"/>
          <w:szCs w:val="20"/>
        </w:rPr>
        <w:t xml:space="preserve">]n order to contribute to the protection of the right of every person of present and future generations to live in an environment adequate to his or her health and well-being, each Party shall guarantee the rights of access to information, public participation in decision-making, and access to justice in environmental matters in accordance with the provisions of this Convention’. </w:t>
      </w:r>
    </w:p>
    <w:p w14:paraId="5F96B7EB" w14:textId="5D5C5EDA"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76</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It must be held that an internal review procedure which covered only measures of individual scope would be very limited, since acts adopted in the field of the environment are mostly acts of general application. In the light of the objectives and purpose of the Aarhus Convention, such limitation is not justified. </w:t>
      </w:r>
    </w:p>
    <w:p w14:paraId="341A8DA3" w14:textId="0526F383"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77</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Also, as regards the terms in which Article 9(3) of the Aarhus Convention is framed, it should be noted that, under those terms, the Parties to that Convention retain a certain measure of discretion with regard to the definition of the persons who have a right of recourse to administrative or judicial procedures and as to the nature of the procedures (whether administrative or judicial). Under Article 9(3) of the Aarhus Convention, only ‘where they meet the criteria, if any, laid down in [the] national law, [may] members of the public have access to administrative or judicial procedures’. However, the terms of Article 9(3) of the Aarhus Convention do not offer the same discretion as regards the definition of the ‘acts’ which are open to challenge. Accordingly, there is no reason to construe the concept of ‘acts’ in Article 9(3) of the Aarhus Convention as covering only acts of individual scope. </w:t>
      </w:r>
    </w:p>
    <w:p w14:paraId="79B862D4" w14:textId="7C42D980"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78</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Lastly, so far as the wording of the other provisions of the Aarhus Convention is concerned, it should be noted that, under Article 2(2) of that convention, the concept of ‘public authority’ does not cover ‘bodies or institutions acting in a judicial or legislative capacity’. Accordingly, the possibility that measures adopted by an institution or body of the European Union acting in a judicial or legislative capacity may be covered by the term ‘acts’, as used in Article 9(3) of the Aarhus Convention, can be ruled out. That does not mean, however, that the term ‘acts’ as used in Article 9(3) of the Aarhus Convention can be limited to measures of individual scope. There is no correlation between measures of general application and measures taken by a public authority acting in a judicial or legislative capacity. Measures of general application are not necessarily measures taken by a public authority acting in a judicial or legislative capacity. </w:t>
      </w:r>
    </w:p>
    <w:p w14:paraId="31B45D32" w14:textId="0C58796B"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79</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It follows that Article 9(3) of the Aarhus Convention cannot be construed as referring only to measures of individual scope. </w:t>
      </w:r>
    </w:p>
    <w:p w14:paraId="6F681C81" w14:textId="4A8323CA"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80</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That finding is not undermined by the argument, raised by the Council at the hearing, that limiting ‘administrative acts’ to measures of individual scope is justified in the light of the conditions laid down in Article 230 EC. In that regard, it should be noted that, under Article 12(1) of Regulation No 1367/2006, a non-governmental organisation which has made a request for internal review pursuant to Article 10 of Regulation No 1367/2006 may institute proceedings before the Court of Justice in accordance with the relevant provisions of the Treaty, hence in accordance with Article 230 EC. However, whatever the scope of the measure covered by an internal review as provided for in Article 10 of Regulation No 1367/2006, the conditions for admissibility laid down in Article 230 EC must always be satisfied if an action is brought before the Courts of the European Union. </w:t>
      </w:r>
    </w:p>
    <w:p w14:paraId="081A7CCC" w14:textId="5112A443"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81</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Moreover, the conditions laid down in Article 230 EC — and, in particular, the condition that the contested act must be of direct and individual concern to the applicant — apply also to measures of individual scope which are not addressed to the applicant. A measure of individual scope will not necessarily be of direct and individual concern to a non-governmental organisation which meets the conditions laid down in Article 11 of Regulation No 1367/2006. Contrary to the assertions made by the Council, limiting the concept of ‘acts’ exclusively to measures of individual scope does not ensure that the condition laid down in Article 230 EC — that the contested act must be of direct and individual concern to the applicant — will be satisfied. </w:t>
      </w:r>
    </w:p>
    <w:p w14:paraId="7B32625E" w14:textId="45BD5BF4" w:rsidR="008A4BC7" w:rsidRPr="00EA11E2" w:rsidRDefault="001C7421"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Pr>
          <w:rFonts w:ascii="Times New Roman" w:hAnsi="Times New Roman" w:cs="Times New Roman"/>
          <w:i/>
          <w:sz w:val="20"/>
          <w:szCs w:val="20"/>
        </w:rPr>
        <w:t>82</w:t>
      </w:r>
      <w:r>
        <w:rPr>
          <w:rFonts w:ascii="Times New Roman" w:hAnsi="Times New Roman" w:cs="Times New Roman"/>
          <w:i/>
          <w:sz w:val="20"/>
          <w:szCs w:val="20"/>
        </w:rPr>
        <w:tab/>
      </w:r>
      <w:r w:rsidR="008A4BC7" w:rsidRPr="00EA11E2">
        <w:rPr>
          <w:rFonts w:ascii="Times New Roman" w:hAnsi="Times New Roman" w:cs="Times New Roman"/>
          <w:i/>
          <w:sz w:val="20"/>
          <w:szCs w:val="20"/>
        </w:rPr>
        <w:t xml:space="preserve">Accordingly, the Council’s argument that limiting ‘administrative acts’ to measures of individual scope is justified in the light of the conditions laid down in Article 230 EC must be rejected. </w:t>
      </w:r>
    </w:p>
    <w:p w14:paraId="56F49C32" w14:textId="3F80D4C7" w:rsidR="00DF3ECA" w:rsidRPr="00EA11E2" w:rsidRDefault="001C7421"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Pr>
          <w:rFonts w:ascii="Times New Roman" w:hAnsi="Times New Roman" w:cs="Times New Roman"/>
          <w:i/>
          <w:sz w:val="20"/>
          <w:szCs w:val="20"/>
        </w:rPr>
        <w:t>83</w:t>
      </w:r>
      <w:r>
        <w:rPr>
          <w:rFonts w:ascii="Times New Roman" w:hAnsi="Times New Roman" w:cs="Times New Roman"/>
          <w:i/>
          <w:sz w:val="20"/>
          <w:szCs w:val="20"/>
        </w:rPr>
        <w:tab/>
      </w:r>
      <w:r w:rsidR="008A4BC7" w:rsidRPr="00EA11E2">
        <w:rPr>
          <w:rFonts w:ascii="Times New Roman" w:hAnsi="Times New Roman" w:cs="Times New Roman"/>
          <w:i/>
          <w:sz w:val="20"/>
          <w:szCs w:val="20"/>
        </w:rPr>
        <w:t>It follows from the above that Article 9(3) of the Aarhus Convention cannot be construed as referring exclusively to measures of individual scope. Consequently, in so far as Article 10(1) of Regulation No 1367/2006 limits the concept of ‘acts’, as used in Article 9(3) of the Aarhus Convention, to ‘administrative act[s]’ defined in Article 2(1)(g) of Regulation No 1367/2006 as ‘measure[s] of individual scope’, it is not compatible with Article</w:t>
      </w:r>
      <w:r w:rsidR="006B7A05" w:rsidRPr="00EA11E2">
        <w:rPr>
          <w:rFonts w:ascii="Times New Roman" w:hAnsi="Times New Roman" w:cs="Times New Roman"/>
          <w:i/>
          <w:sz w:val="20"/>
          <w:szCs w:val="20"/>
        </w:rPr>
        <w:t> 9(3) of the Aarhus Convention.</w:t>
      </w:r>
    </w:p>
    <w:p w14:paraId="0119014F" w14:textId="77777777" w:rsidR="008A4BC7" w:rsidRPr="009B3316" w:rsidRDefault="008A4BC7" w:rsidP="00A5465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Committee agrees with the judgment of the General Court in this regard, both as to the effect of </w:t>
      </w:r>
      <w:r w:rsidR="00354C76" w:rsidRPr="00EA11E2">
        <w:rPr>
          <w:rFonts w:ascii="Times New Roman" w:hAnsi="Times New Roman" w:cs="Times New Roman"/>
          <w:sz w:val="20"/>
          <w:szCs w:val="20"/>
        </w:rPr>
        <w:t>a</w:t>
      </w:r>
      <w:r w:rsidRPr="00EA11E2">
        <w:rPr>
          <w:rFonts w:ascii="Times New Roman" w:hAnsi="Times New Roman" w:cs="Times New Roman"/>
          <w:sz w:val="20"/>
          <w:szCs w:val="20"/>
        </w:rPr>
        <w:t>rticle 9</w:t>
      </w:r>
      <w:r w:rsidR="00354C76" w:rsidRPr="00EA11E2">
        <w:rPr>
          <w:rFonts w:ascii="Times New Roman" w:hAnsi="Times New Roman" w:cs="Times New Roman"/>
          <w:sz w:val="20"/>
          <w:szCs w:val="20"/>
        </w:rPr>
        <w:t xml:space="preserve">, paragraph </w:t>
      </w:r>
      <w:r w:rsidRPr="00EA11E2">
        <w:rPr>
          <w:rFonts w:ascii="Times New Roman" w:hAnsi="Times New Roman" w:cs="Times New Roman"/>
          <w:sz w:val="20"/>
          <w:szCs w:val="20"/>
        </w:rPr>
        <w:t xml:space="preserve">3 </w:t>
      </w:r>
      <w:r w:rsidRPr="009B3316">
        <w:rPr>
          <w:rFonts w:ascii="Times New Roman" w:hAnsi="Times New Roman" w:cs="Times New Roman"/>
          <w:sz w:val="20"/>
          <w:szCs w:val="20"/>
        </w:rPr>
        <w:t xml:space="preserve">of the Convention and the failure of Article 10(1) of the Aarhus Regulation to implement </w:t>
      </w:r>
      <w:r w:rsidR="00354C76" w:rsidRPr="009B3316">
        <w:rPr>
          <w:rFonts w:ascii="Times New Roman" w:hAnsi="Times New Roman" w:cs="Times New Roman"/>
          <w:sz w:val="20"/>
          <w:szCs w:val="20"/>
        </w:rPr>
        <w:t>a</w:t>
      </w:r>
      <w:r w:rsidRPr="009B3316">
        <w:rPr>
          <w:rFonts w:ascii="Times New Roman" w:hAnsi="Times New Roman" w:cs="Times New Roman"/>
          <w:sz w:val="20"/>
          <w:szCs w:val="20"/>
        </w:rPr>
        <w:t>rticle 9</w:t>
      </w:r>
      <w:r w:rsidR="00354C76" w:rsidRPr="009B3316">
        <w:rPr>
          <w:rFonts w:ascii="Times New Roman" w:hAnsi="Times New Roman" w:cs="Times New Roman"/>
          <w:sz w:val="20"/>
          <w:szCs w:val="20"/>
        </w:rPr>
        <w:t>, paragraph 3</w:t>
      </w:r>
      <w:r w:rsidRPr="009B3316">
        <w:rPr>
          <w:rFonts w:ascii="Times New Roman" w:hAnsi="Times New Roman" w:cs="Times New Roman"/>
          <w:sz w:val="20"/>
          <w:szCs w:val="20"/>
        </w:rPr>
        <w:t xml:space="preserve">. </w:t>
      </w:r>
    </w:p>
    <w:p w14:paraId="3753F0B1" w14:textId="77777777" w:rsidR="00A819EE" w:rsidRPr="00EA11E2" w:rsidRDefault="00A819EE" w:rsidP="00A819EE">
      <w:pPr>
        <w:pStyle w:val="ListParagraph"/>
        <w:widowControl w:val="0"/>
        <w:autoSpaceDE w:val="0"/>
        <w:autoSpaceDN w:val="0"/>
        <w:adjustRightInd w:val="0"/>
        <w:spacing w:before="4" w:after="240" w:line="240" w:lineRule="auto"/>
        <w:ind w:left="0" w:right="109"/>
        <w:jc w:val="both"/>
        <w:rPr>
          <w:rFonts w:ascii="Times New Roman" w:hAnsi="Times New Roman" w:cs="Times New Roman"/>
          <w:i/>
          <w:color w:val="000000"/>
          <w:sz w:val="20"/>
          <w:szCs w:val="20"/>
        </w:rPr>
      </w:pPr>
    </w:p>
    <w:p w14:paraId="2A458A99" w14:textId="77777777" w:rsidR="00FD0542" w:rsidRPr="00EA11E2" w:rsidRDefault="008A4BC7" w:rsidP="00DF3ECA">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15" w:name="_Ref454514905"/>
      <w:r w:rsidRPr="00EA11E2">
        <w:rPr>
          <w:rFonts w:ascii="Times New Roman" w:hAnsi="Times New Roman" w:cs="Times New Roman"/>
          <w:sz w:val="20"/>
          <w:szCs w:val="20"/>
        </w:rPr>
        <w:t xml:space="preserve">In particular, the Committee agrees with the General Court’s analysis that </w:t>
      </w:r>
      <w:r w:rsidR="002C17F5" w:rsidRPr="00EA11E2">
        <w:rPr>
          <w:rFonts w:ascii="Times New Roman" w:hAnsi="Times New Roman" w:cs="Times New Roman"/>
          <w:sz w:val="20"/>
          <w:szCs w:val="20"/>
        </w:rPr>
        <w:t>“</w:t>
      </w:r>
      <w:r w:rsidRPr="00EA11E2">
        <w:rPr>
          <w:rFonts w:ascii="Times New Roman" w:hAnsi="Times New Roman" w:cs="Times New Roman"/>
          <w:sz w:val="20"/>
          <w:szCs w:val="20"/>
        </w:rPr>
        <w:t xml:space="preserve">there is no reason to construe the concept of “acts” in </w:t>
      </w:r>
      <w:r w:rsidR="00354C76" w:rsidRPr="00EA11E2">
        <w:rPr>
          <w:rFonts w:ascii="Times New Roman" w:hAnsi="Times New Roman" w:cs="Times New Roman"/>
          <w:sz w:val="20"/>
          <w:szCs w:val="20"/>
        </w:rPr>
        <w:t>a</w:t>
      </w:r>
      <w:r w:rsidRPr="00EA11E2">
        <w:rPr>
          <w:rFonts w:ascii="Times New Roman" w:hAnsi="Times New Roman" w:cs="Times New Roman"/>
          <w:sz w:val="20"/>
          <w:szCs w:val="20"/>
        </w:rPr>
        <w:t>rticle 9</w:t>
      </w:r>
      <w:r w:rsidR="00354C76" w:rsidRPr="00EA11E2">
        <w:rPr>
          <w:rFonts w:ascii="Times New Roman" w:hAnsi="Times New Roman" w:cs="Times New Roman"/>
          <w:sz w:val="20"/>
          <w:szCs w:val="20"/>
        </w:rPr>
        <w:t xml:space="preserve">, paragraph </w:t>
      </w:r>
      <w:r w:rsidR="00D63477" w:rsidRPr="00EA11E2">
        <w:rPr>
          <w:rFonts w:ascii="Times New Roman" w:hAnsi="Times New Roman" w:cs="Times New Roman"/>
          <w:sz w:val="20"/>
          <w:szCs w:val="20"/>
        </w:rPr>
        <w:t>3 of</w:t>
      </w:r>
      <w:r w:rsidRPr="00EA11E2">
        <w:rPr>
          <w:rFonts w:ascii="Times New Roman" w:hAnsi="Times New Roman" w:cs="Times New Roman"/>
          <w:sz w:val="20"/>
          <w:szCs w:val="20"/>
        </w:rPr>
        <w:t xml:space="preserve"> the Convention as covering only acts of individual scope</w:t>
      </w:r>
      <w:r w:rsidR="002C17F5" w:rsidRPr="00EA11E2">
        <w:rPr>
          <w:rFonts w:ascii="Times New Roman" w:hAnsi="Times New Roman" w:cs="Times New Roman"/>
          <w:sz w:val="20"/>
          <w:szCs w:val="20"/>
        </w:rPr>
        <w:t>”</w:t>
      </w:r>
      <w:r w:rsidRPr="00EA11E2">
        <w:rPr>
          <w:rFonts w:ascii="Times New Roman" w:hAnsi="Times New Roman" w:cs="Times New Roman"/>
          <w:sz w:val="20"/>
          <w:szCs w:val="20"/>
        </w:rPr>
        <w:t xml:space="preserve"> and </w:t>
      </w:r>
      <w:r w:rsidR="00652076" w:rsidRPr="00EA11E2">
        <w:rPr>
          <w:rFonts w:ascii="Times New Roman" w:hAnsi="Times New Roman" w:cs="Times New Roman"/>
          <w:sz w:val="20"/>
          <w:szCs w:val="20"/>
        </w:rPr>
        <w:t xml:space="preserve">that </w:t>
      </w:r>
      <w:r w:rsidR="002C17F5" w:rsidRPr="00EA11E2">
        <w:rPr>
          <w:rFonts w:ascii="Times New Roman" w:hAnsi="Times New Roman" w:cs="Times New Roman"/>
          <w:sz w:val="20"/>
          <w:szCs w:val="20"/>
        </w:rPr>
        <w:t>“</w:t>
      </w:r>
      <w:r w:rsidRPr="00EA11E2">
        <w:rPr>
          <w:rFonts w:ascii="Times New Roman" w:hAnsi="Times New Roman" w:cs="Times New Roman"/>
          <w:sz w:val="20"/>
          <w:szCs w:val="20"/>
        </w:rPr>
        <w:t>there is no correlation between measures of general application and measures taken by a public authority acting in a judicial or legislative capacity</w:t>
      </w:r>
      <w:r w:rsidR="002C17F5" w:rsidRPr="00EA11E2">
        <w:rPr>
          <w:rFonts w:ascii="Times New Roman" w:hAnsi="Times New Roman" w:cs="Times New Roman"/>
          <w:sz w:val="20"/>
          <w:szCs w:val="20"/>
        </w:rPr>
        <w:t>”</w:t>
      </w:r>
      <w:r w:rsidRPr="00EA11E2">
        <w:rPr>
          <w:rFonts w:ascii="Times New Roman" w:hAnsi="Times New Roman" w:cs="Times New Roman"/>
          <w:sz w:val="20"/>
          <w:szCs w:val="20"/>
        </w:rPr>
        <w:t>.</w:t>
      </w:r>
      <w:bookmarkEnd w:id="15"/>
      <w:r w:rsidRPr="00EA11E2">
        <w:rPr>
          <w:rFonts w:ascii="Times New Roman" w:hAnsi="Times New Roman" w:cs="Times New Roman"/>
          <w:sz w:val="20"/>
          <w:szCs w:val="20"/>
        </w:rPr>
        <w:t xml:space="preserve"> </w:t>
      </w:r>
    </w:p>
    <w:p w14:paraId="48E2DBC9" w14:textId="77777777" w:rsidR="00FD0542" w:rsidRPr="00EA11E2" w:rsidRDefault="00FD0542" w:rsidP="00FD0542">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42167D72" w14:textId="77777777" w:rsidR="00FD0542" w:rsidRPr="00EA11E2" w:rsidRDefault="008A4BC7" w:rsidP="00A5465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16" w:name="_Ref454514909"/>
      <w:r w:rsidRPr="00EA11E2">
        <w:rPr>
          <w:rFonts w:ascii="Times New Roman" w:hAnsi="Times New Roman" w:cs="Times New Roman"/>
          <w:sz w:val="20"/>
          <w:szCs w:val="20"/>
        </w:rPr>
        <w:t xml:space="preserve">It follows that Article 10(1) of the Aarhus Regulation fails to </w:t>
      </w:r>
      <w:r w:rsidR="00A54659" w:rsidRPr="00EA11E2">
        <w:rPr>
          <w:rFonts w:ascii="Times New Roman" w:hAnsi="Times New Roman" w:cs="Times New Roman"/>
          <w:sz w:val="20"/>
          <w:szCs w:val="20"/>
        </w:rPr>
        <w:t xml:space="preserve">correctly </w:t>
      </w:r>
      <w:r w:rsidRPr="00EA11E2">
        <w:rPr>
          <w:rFonts w:ascii="Times New Roman" w:hAnsi="Times New Roman" w:cs="Times New Roman"/>
          <w:sz w:val="20"/>
          <w:szCs w:val="20"/>
        </w:rPr>
        <w:t xml:space="preserve">implement </w:t>
      </w:r>
      <w:r w:rsidR="00354C76" w:rsidRPr="00EA11E2">
        <w:rPr>
          <w:rFonts w:ascii="Times New Roman" w:hAnsi="Times New Roman" w:cs="Times New Roman"/>
          <w:sz w:val="20"/>
          <w:szCs w:val="20"/>
        </w:rPr>
        <w:t>a</w:t>
      </w:r>
      <w:r w:rsidRPr="00EA11E2">
        <w:rPr>
          <w:rFonts w:ascii="Times New Roman" w:hAnsi="Times New Roman" w:cs="Times New Roman"/>
          <w:sz w:val="20"/>
          <w:szCs w:val="20"/>
        </w:rPr>
        <w:t>rticle 9</w:t>
      </w:r>
      <w:r w:rsidR="00354C76" w:rsidRPr="00EA11E2">
        <w:rPr>
          <w:rFonts w:ascii="Times New Roman" w:hAnsi="Times New Roman" w:cs="Times New Roman"/>
          <w:sz w:val="20"/>
          <w:szCs w:val="20"/>
        </w:rPr>
        <w:t xml:space="preserve">, paragraph 3 of the Convention </w:t>
      </w:r>
      <w:r w:rsidR="00FD0542" w:rsidRPr="00EA11E2">
        <w:rPr>
          <w:rFonts w:ascii="Times New Roman" w:hAnsi="Times New Roman" w:cs="Times New Roman"/>
          <w:sz w:val="20"/>
          <w:szCs w:val="20"/>
        </w:rPr>
        <w:t>in so far as the former</w:t>
      </w:r>
      <w:r w:rsidRPr="00EA11E2">
        <w:rPr>
          <w:rFonts w:ascii="Times New Roman" w:hAnsi="Times New Roman" w:cs="Times New Roman"/>
          <w:sz w:val="20"/>
          <w:szCs w:val="20"/>
        </w:rPr>
        <w:t xml:space="preserve"> covers only acts of individual scope.</w:t>
      </w:r>
      <w:bookmarkEnd w:id="16"/>
      <w:r w:rsidRPr="00EA11E2">
        <w:rPr>
          <w:rFonts w:ascii="Times New Roman" w:hAnsi="Times New Roman" w:cs="Times New Roman"/>
          <w:sz w:val="20"/>
          <w:szCs w:val="20"/>
        </w:rPr>
        <w:t xml:space="preserve"> </w:t>
      </w:r>
    </w:p>
    <w:p w14:paraId="73D74691" w14:textId="77777777" w:rsidR="00FD0542" w:rsidRPr="00EA11E2" w:rsidRDefault="00FD0542" w:rsidP="00FD0542">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24BB25CF" w14:textId="31B04C09" w:rsidR="008A4BC7" w:rsidRPr="00EA11E2" w:rsidRDefault="008A4BC7" w:rsidP="00A5465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It is also important to note that whilst </w:t>
      </w:r>
      <w:r w:rsidR="00354C76" w:rsidRPr="00EA11E2">
        <w:rPr>
          <w:rFonts w:ascii="Times New Roman" w:hAnsi="Times New Roman" w:cs="Times New Roman"/>
          <w:sz w:val="20"/>
          <w:szCs w:val="20"/>
        </w:rPr>
        <w:t>article 9, paragraph 3</w:t>
      </w:r>
      <w:r w:rsidRPr="00EA11E2">
        <w:rPr>
          <w:rFonts w:ascii="Times New Roman" w:hAnsi="Times New Roman" w:cs="Times New Roman"/>
          <w:sz w:val="20"/>
          <w:szCs w:val="20"/>
        </w:rPr>
        <w:t xml:space="preserve"> allows Parties a degree of discretion to provide criteria that must be met by members of the public before they have access to justice</w:t>
      </w:r>
      <w:r w:rsidR="00A54659" w:rsidRPr="00EA11E2">
        <w:rPr>
          <w:rFonts w:ascii="Times New Roman" w:hAnsi="Times New Roman" w:cs="Times New Roman"/>
          <w:sz w:val="20"/>
          <w:szCs w:val="20"/>
        </w:rPr>
        <w:t xml:space="preserve"> (see findings on communication ACCC/C/2005/11 (Belgium)</w:t>
      </w:r>
      <w:r w:rsidR="00081404" w:rsidRPr="00EA11E2">
        <w:rPr>
          <w:rFonts w:ascii="Times New Roman" w:hAnsi="Times New Roman" w:cs="Times New Roman"/>
          <w:sz w:val="20"/>
          <w:szCs w:val="20"/>
        </w:rPr>
        <w:t>, para. 35</w:t>
      </w:r>
      <w:r w:rsidR="00A54659" w:rsidRPr="00EA11E2">
        <w:rPr>
          <w:rFonts w:ascii="Times New Roman" w:hAnsi="Times New Roman" w:cs="Times New Roman"/>
          <w:sz w:val="20"/>
          <w:szCs w:val="20"/>
        </w:rPr>
        <w:t>)</w:t>
      </w:r>
      <w:r w:rsidRPr="00EA11E2">
        <w:rPr>
          <w:rFonts w:ascii="Times New Roman" w:hAnsi="Times New Roman" w:cs="Times New Roman"/>
          <w:sz w:val="20"/>
          <w:szCs w:val="20"/>
        </w:rPr>
        <w:t>, it does not allow Parties any discretion as to the acts that may be excluded from implementing laws.</w:t>
      </w:r>
    </w:p>
    <w:p w14:paraId="3AA636DD"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5938CC3" w14:textId="77777777" w:rsidR="008A4BC7" w:rsidRPr="00EA11E2" w:rsidRDefault="008A4BC7" w:rsidP="0092529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Council of the EU and the European Commission appealed </w:t>
      </w:r>
      <w:r w:rsidR="005136FA" w:rsidRPr="00EA11E2">
        <w:rPr>
          <w:rFonts w:ascii="Times New Roman" w:hAnsi="Times New Roman" w:cs="Times New Roman"/>
          <w:sz w:val="20"/>
          <w:szCs w:val="20"/>
        </w:rPr>
        <w:t xml:space="preserve">against the General Court’s judgement </w:t>
      </w:r>
      <w:r w:rsidRPr="00EA11E2">
        <w:rPr>
          <w:rFonts w:ascii="Times New Roman" w:hAnsi="Times New Roman" w:cs="Times New Roman"/>
          <w:sz w:val="20"/>
          <w:szCs w:val="20"/>
        </w:rPr>
        <w:t xml:space="preserve">and asked the </w:t>
      </w:r>
      <w:r w:rsidR="00D74ABC" w:rsidRPr="00EA11E2">
        <w:rPr>
          <w:rFonts w:ascii="Times New Roman" w:hAnsi="Times New Roman" w:cs="Times New Roman"/>
          <w:sz w:val="20"/>
          <w:szCs w:val="20"/>
        </w:rPr>
        <w:t>ECJ</w:t>
      </w:r>
      <w:r w:rsidRPr="00EA11E2">
        <w:rPr>
          <w:rFonts w:ascii="Times New Roman" w:hAnsi="Times New Roman" w:cs="Times New Roman"/>
          <w:sz w:val="20"/>
          <w:szCs w:val="20"/>
        </w:rPr>
        <w:t xml:space="preserve"> to set aside the judgment of the General Court. </w:t>
      </w:r>
      <w:r w:rsidR="00C77A68" w:rsidRPr="00EA11E2">
        <w:rPr>
          <w:rFonts w:ascii="Times New Roman" w:hAnsi="Times New Roman" w:cs="Times New Roman"/>
          <w:sz w:val="20"/>
          <w:szCs w:val="20"/>
        </w:rPr>
        <w:t xml:space="preserve"> </w:t>
      </w:r>
      <w:r w:rsidR="005136FA" w:rsidRPr="00EA11E2">
        <w:rPr>
          <w:rFonts w:ascii="Times New Roman" w:hAnsi="Times New Roman" w:cs="Times New Roman"/>
          <w:sz w:val="20"/>
          <w:szCs w:val="20"/>
        </w:rPr>
        <w:t>T</w:t>
      </w:r>
      <w:r w:rsidRPr="00EA11E2">
        <w:rPr>
          <w:rFonts w:ascii="Times New Roman" w:hAnsi="Times New Roman" w:cs="Times New Roman"/>
          <w:sz w:val="20"/>
          <w:szCs w:val="20"/>
        </w:rPr>
        <w:t xml:space="preserve">he </w:t>
      </w:r>
      <w:r w:rsidR="00D74ABC" w:rsidRPr="00EA11E2">
        <w:rPr>
          <w:rFonts w:ascii="Times New Roman" w:hAnsi="Times New Roman" w:cs="Times New Roman"/>
          <w:sz w:val="20"/>
          <w:szCs w:val="20"/>
        </w:rPr>
        <w:t>ECJ</w:t>
      </w:r>
      <w:r w:rsidRPr="00EA11E2">
        <w:rPr>
          <w:rFonts w:ascii="Times New Roman" w:hAnsi="Times New Roman" w:cs="Times New Roman"/>
          <w:sz w:val="20"/>
          <w:szCs w:val="20"/>
        </w:rPr>
        <w:t xml:space="preserve"> neither agreed nor disagreed with the reasoning of the General Court in the paragraphs quoted above</w:t>
      </w:r>
      <w:r w:rsidR="00925295" w:rsidRPr="00EA11E2">
        <w:rPr>
          <w:rFonts w:ascii="Times New Roman" w:hAnsi="Times New Roman" w:cs="Times New Roman"/>
          <w:sz w:val="20"/>
          <w:szCs w:val="20"/>
        </w:rPr>
        <w:t xml:space="preserve">. Rather, </w:t>
      </w:r>
      <w:r w:rsidRPr="00EA11E2">
        <w:rPr>
          <w:rFonts w:ascii="Times New Roman" w:hAnsi="Times New Roman" w:cs="Times New Roman"/>
          <w:sz w:val="20"/>
          <w:szCs w:val="20"/>
        </w:rPr>
        <w:t xml:space="preserve">the </w:t>
      </w:r>
      <w:r w:rsidR="00925295" w:rsidRPr="00EA11E2">
        <w:rPr>
          <w:rFonts w:ascii="Times New Roman" w:hAnsi="Times New Roman" w:cs="Times New Roman"/>
          <w:sz w:val="20"/>
          <w:szCs w:val="20"/>
        </w:rPr>
        <w:t xml:space="preserve">ECJ </w:t>
      </w:r>
      <w:r w:rsidRPr="00EA11E2">
        <w:rPr>
          <w:rFonts w:ascii="Times New Roman" w:hAnsi="Times New Roman" w:cs="Times New Roman"/>
          <w:sz w:val="20"/>
          <w:szCs w:val="20"/>
        </w:rPr>
        <w:t>found as follows</w:t>
      </w:r>
      <w:r w:rsidR="00343EA9" w:rsidRPr="00EA11E2">
        <w:rPr>
          <w:rFonts w:ascii="Times New Roman" w:hAnsi="Times New Roman" w:cs="Times New Roman"/>
          <w:sz w:val="20"/>
          <w:szCs w:val="20"/>
        </w:rPr>
        <w:t>:</w:t>
      </w:r>
    </w:p>
    <w:p w14:paraId="588BCB76" w14:textId="18730FB2"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52</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…it cannot be considered that, by adopting Regulation No 1367/2006, which concerns only EU institutions and moreover concerns only one of the remedies available to individuals for ensuring compliance with EU environmental law, the European Union was intended to implement the obligations, within the meaning of the case-law cited in paragraph 48 of this judgment, which derive from Article 9(3) of the Aarhus Convention with respect to national administrative or judicial procedures, which, as EU law now stands, fall primarily within the scope of Member State law (see, to that effect, judgment in </w:t>
      </w:r>
      <w:proofErr w:type="spellStart"/>
      <w:r w:rsidRPr="00EA11E2">
        <w:rPr>
          <w:rFonts w:ascii="Times New Roman" w:hAnsi="Times New Roman" w:cs="Times New Roman"/>
          <w:i/>
          <w:sz w:val="20"/>
          <w:szCs w:val="20"/>
        </w:rPr>
        <w:t>Lesoochranárske</w:t>
      </w:r>
      <w:proofErr w:type="spellEnd"/>
      <w:r w:rsidRPr="00EA11E2">
        <w:rPr>
          <w:rFonts w:ascii="Times New Roman" w:hAnsi="Times New Roman" w:cs="Times New Roman"/>
          <w:i/>
          <w:sz w:val="20"/>
          <w:szCs w:val="20"/>
        </w:rPr>
        <w:t xml:space="preserve"> </w:t>
      </w:r>
      <w:proofErr w:type="spellStart"/>
      <w:r w:rsidRPr="00EA11E2">
        <w:rPr>
          <w:rFonts w:ascii="Times New Roman" w:hAnsi="Times New Roman" w:cs="Times New Roman"/>
          <w:i/>
          <w:sz w:val="20"/>
          <w:szCs w:val="20"/>
        </w:rPr>
        <w:t>zoskupenie</w:t>
      </w:r>
      <w:proofErr w:type="spellEnd"/>
      <w:r w:rsidRPr="00EA11E2">
        <w:rPr>
          <w:rFonts w:ascii="Times New Roman" w:hAnsi="Times New Roman" w:cs="Times New Roman"/>
          <w:i/>
          <w:sz w:val="20"/>
          <w:szCs w:val="20"/>
        </w:rPr>
        <w:t xml:space="preserve">, EU:C:2011:125, paragraphs 41 and 47). </w:t>
      </w:r>
    </w:p>
    <w:p w14:paraId="060957AB" w14:textId="27826CCF"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53</w:t>
      </w:r>
      <w:r w:rsidR="001C7421">
        <w:rPr>
          <w:rFonts w:ascii="Times New Roman" w:hAnsi="Times New Roman" w:cs="Times New Roman"/>
          <w:i/>
          <w:sz w:val="20"/>
          <w:szCs w:val="20"/>
        </w:rPr>
        <w:tab/>
      </w:r>
      <w:r w:rsidRPr="00EA11E2">
        <w:rPr>
          <w:rFonts w:ascii="Times New Roman" w:hAnsi="Times New Roman" w:cs="Times New Roman"/>
          <w:i/>
          <w:sz w:val="20"/>
          <w:szCs w:val="20"/>
        </w:rPr>
        <w:t xml:space="preserve">It follows from all the foregoing that, in holding that Article 9(3) of the Aarhus Convention could be relied on in order to assess the legality of Article 10(1) of Regulation No 1367/2006, the General Court vitiated its judgment by an error of law. </w:t>
      </w:r>
    </w:p>
    <w:p w14:paraId="2F7500E1" w14:textId="5FBF85DD" w:rsidR="00DF3ECA" w:rsidRPr="00EA11E2" w:rsidRDefault="008A4BC7"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54</w:t>
      </w:r>
      <w:r w:rsidR="001C7421">
        <w:rPr>
          <w:rFonts w:ascii="Times New Roman" w:hAnsi="Times New Roman" w:cs="Times New Roman"/>
          <w:i/>
          <w:sz w:val="20"/>
          <w:szCs w:val="20"/>
        </w:rPr>
        <w:tab/>
      </w:r>
      <w:r w:rsidRPr="00EA11E2">
        <w:rPr>
          <w:rFonts w:ascii="Times New Roman" w:hAnsi="Times New Roman" w:cs="Times New Roman"/>
          <w:i/>
          <w:sz w:val="20"/>
          <w:szCs w:val="20"/>
        </w:rPr>
        <w:t>Accordingly, the judgment under appeal must be set aside, and there is no need to examine the other grounds put forward by the Council and the Commission in support of their appeals</w:t>
      </w:r>
      <w:r w:rsidR="00431A87" w:rsidRPr="00EA11E2">
        <w:rPr>
          <w:rStyle w:val="FootnoteReference"/>
          <w:rFonts w:ascii="Times New Roman" w:hAnsi="Times New Roman" w:cs="Times New Roman"/>
          <w:i/>
          <w:sz w:val="20"/>
          <w:szCs w:val="20"/>
        </w:rPr>
        <w:footnoteReference w:id="58"/>
      </w:r>
      <w:r w:rsidRPr="00EA11E2">
        <w:rPr>
          <w:rFonts w:ascii="Times New Roman" w:hAnsi="Times New Roman" w:cs="Times New Roman"/>
          <w:i/>
          <w:sz w:val="20"/>
          <w:szCs w:val="20"/>
        </w:rPr>
        <w:t xml:space="preserve">. </w:t>
      </w:r>
    </w:p>
    <w:p w14:paraId="36AF95B3" w14:textId="1EA31A14" w:rsidR="005136FA" w:rsidRPr="00EA11E2" w:rsidRDefault="008A4BC7" w:rsidP="00A5465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Committee </w:t>
      </w:r>
      <w:r w:rsidR="00A54659" w:rsidRPr="00EA11E2">
        <w:rPr>
          <w:rFonts w:ascii="Times New Roman" w:hAnsi="Times New Roman" w:cs="Times New Roman"/>
          <w:sz w:val="20"/>
          <w:szCs w:val="20"/>
        </w:rPr>
        <w:t xml:space="preserve">considers that by </w:t>
      </w:r>
      <w:r w:rsidRPr="00EA11E2">
        <w:rPr>
          <w:rFonts w:ascii="Times New Roman" w:hAnsi="Times New Roman" w:cs="Times New Roman"/>
          <w:sz w:val="20"/>
          <w:szCs w:val="20"/>
        </w:rPr>
        <w:t xml:space="preserve">setting aside the judgment of the General Court </w:t>
      </w:r>
      <w:r w:rsidR="00D74ABC" w:rsidRPr="00EA11E2">
        <w:rPr>
          <w:rFonts w:ascii="Times New Roman" w:hAnsi="Times New Roman" w:cs="Times New Roman"/>
          <w:sz w:val="20"/>
          <w:szCs w:val="20"/>
        </w:rPr>
        <w:t xml:space="preserve">in this way </w:t>
      </w:r>
      <w:r w:rsidRPr="00EA11E2">
        <w:rPr>
          <w:rFonts w:ascii="Times New Roman" w:hAnsi="Times New Roman" w:cs="Times New Roman"/>
          <w:sz w:val="20"/>
          <w:szCs w:val="20"/>
        </w:rPr>
        <w:t xml:space="preserve">the </w:t>
      </w:r>
      <w:r w:rsidR="00D74ABC" w:rsidRPr="00EA11E2">
        <w:rPr>
          <w:rFonts w:ascii="Times New Roman" w:hAnsi="Times New Roman" w:cs="Times New Roman"/>
          <w:sz w:val="20"/>
          <w:szCs w:val="20"/>
        </w:rPr>
        <w:t>ECJ</w:t>
      </w:r>
      <w:r w:rsidRPr="00EA11E2">
        <w:rPr>
          <w:rFonts w:ascii="Times New Roman" w:hAnsi="Times New Roman" w:cs="Times New Roman"/>
          <w:sz w:val="20"/>
          <w:szCs w:val="20"/>
        </w:rPr>
        <w:t xml:space="preserve"> left itself unable to mitigate the flaws correctly identified by the General Court</w:t>
      </w:r>
      <w:r w:rsidR="001315E8" w:rsidRPr="00EA11E2">
        <w:rPr>
          <w:rFonts w:ascii="Times New Roman" w:hAnsi="Times New Roman" w:cs="Times New Roman"/>
          <w:sz w:val="20"/>
          <w:szCs w:val="20"/>
        </w:rPr>
        <w:t>. S</w:t>
      </w:r>
      <w:r w:rsidR="00FD0542" w:rsidRPr="00EA11E2">
        <w:rPr>
          <w:rFonts w:ascii="Times New Roman" w:hAnsi="Times New Roman" w:cs="Times New Roman"/>
          <w:sz w:val="20"/>
          <w:szCs w:val="20"/>
        </w:rPr>
        <w:t xml:space="preserve">o it remains the case that </w:t>
      </w:r>
      <w:r w:rsidR="00354C76" w:rsidRPr="00EA11E2">
        <w:rPr>
          <w:rFonts w:ascii="Times New Roman" w:hAnsi="Times New Roman" w:cs="Times New Roman"/>
          <w:sz w:val="20"/>
          <w:szCs w:val="20"/>
        </w:rPr>
        <w:t>article 9, paragraph 3</w:t>
      </w:r>
      <w:r w:rsidR="001C7421">
        <w:rPr>
          <w:rFonts w:ascii="Times New Roman" w:hAnsi="Times New Roman" w:cs="Times New Roman"/>
          <w:sz w:val="20"/>
          <w:szCs w:val="20"/>
        </w:rPr>
        <w:t>,</w:t>
      </w:r>
      <w:r w:rsidRPr="00EA11E2">
        <w:rPr>
          <w:rFonts w:ascii="Times New Roman" w:hAnsi="Times New Roman" w:cs="Times New Roman"/>
          <w:sz w:val="20"/>
          <w:szCs w:val="20"/>
        </w:rPr>
        <w:t xml:space="preserve"> of the Convention is not adequately implemented by Article 10(1) of the Aarhus Regulation.</w:t>
      </w:r>
    </w:p>
    <w:p w14:paraId="090EC554" w14:textId="77777777" w:rsidR="008A4BC7" w:rsidRPr="00EA11E2" w:rsidRDefault="008A4BC7" w:rsidP="005136FA">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6B4DE11"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It follows that </w:t>
      </w:r>
      <w:r w:rsidR="00DE5F74" w:rsidRPr="00EA11E2">
        <w:rPr>
          <w:rFonts w:ascii="Times New Roman" w:hAnsi="Times New Roman" w:cs="Times New Roman"/>
          <w:sz w:val="20"/>
          <w:szCs w:val="20"/>
        </w:rPr>
        <w:t>ECJ</w:t>
      </w:r>
      <w:r w:rsidRPr="00EA11E2">
        <w:rPr>
          <w:rFonts w:ascii="Times New Roman" w:hAnsi="Times New Roman" w:cs="Times New Roman"/>
          <w:sz w:val="20"/>
          <w:szCs w:val="20"/>
        </w:rPr>
        <w:t xml:space="preserve">’s </w:t>
      </w:r>
      <w:r w:rsidR="00485F78" w:rsidRPr="00EA11E2">
        <w:rPr>
          <w:rFonts w:ascii="Times New Roman" w:hAnsi="Times New Roman" w:cs="Times New Roman"/>
          <w:sz w:val="20"/>
          <w:szCs w:val="20"/>
        </w:rPr>
        <w:t xml:space="preserve">findings in the </w:t>
      </w:r>
      <w:proofErr w:type="spellStart"/>
      <w:r w:rsidR="00485F78" w:rsidRPr="00EA11E2">
        <w:rPr>
          <w:rFonts w:ascii="Times New Roman" w:hAnsi="Times New Roman" w:cs="Times New Roman"/>
          <w:i/>
          <w:sz w:val="20"/>
          <w:szCs w:val="20"/>
        </w:rPr>
        <w:t>Stichting</w:t>
      </w:r>
      <w:proofErr w:type="spellEnd"/>
      <w:r w:rsidR="00485F78" w:rsidRPr="00EA11E2">
        <w:rPr>
          <w:rFonts w:ascii="Times New Roman" w:hAnsi="Times New Roman" w:cs="Times New Roman"/>
          <w:i/>
          <w:sz w:val="20"/>
          <w:szCs w:val="20"/>
        </w:rPr>
        <w:t xml:space="preserve"> Milieu </w:t>
      </w:r>
      <w:r w:rsidR="00485F78" w:rsidRPr="00EA11E2">
        <w:rPr>
          <w:rFonts w:ascii="Times New Roman" w:hAnsi="Times New Roman" w:cs="Times New Roman"/>
          <w:sz w:val="20"/>
          <w:szCs w:val="20"/>
        </w:rPr>
        <w:t>case d</w:t>
      </w:r>
      <w:r w:rsidRPr="00EA11E2">
        <w:rPr>
          <w:rFonts w:ascii="Times New Roman" w:hAnsi="Times New Roman" w:cs="Times New Roman"/>
          <w:sz w:val="20"/>
          <w:szCs w:val="20"/>
        </w:rPr>
        <w:t xml:space="preserve">o not bring the Party concerned into compliance with </w:t>
      </w:r>
      <w:r w:rsidR="00354C76" w:rsidRPr="00EA11E2">
        <w:rPr>
          <w:rFonts w:ascii="Times New Roman" w:hAnsi="Times New Roman" w:cs="Times New Roman"/>
          <w:sz w:val="20"/>
          <w:szCs w:val="20"/>
        </w:rPr>
        <w:t>article 9, paragraph 3</w:t>
      </w:r>
      <w:r w:rsidR="00C77A68" w:rsidRPr="00EA11E2">
        <w:rPr>
          <w:rFonts w:ascii="Times New Roman" w:hAnsi="Times New Roman" w:cs="Times New Roman"/>
          <w:sz w:val="20"/>
          <w:szCs w:val="20"/>
        </w:rPr>
        <w:t>of the Convention</w:t>
      </w:r>
      <w:r w:rsidRPr="00EA11E2">
        <w:rPr>
          <w:rFonts w:ascii="Times New Roman" w:hAnsi="Times New Roman" w:cs="Times New Roman"/>
          <w:sz w:val="20"/>
          <w:szCs w:val="20"/>
        </w:rPr>
        <w:t xml:space="preserve">. In the light of that, the Committee shall consider other EU jurisprudence since Part I to see whether that </w:t>
      </w:r>
      <w:r w:rsidR="00353EC2" w:rsidRPr="00EA11E2">
        <w:rPr>
          <w:rFonts w:ascii="Times New Roman" w:hAnsi="Times New Roman" w:cs="Times New Roman"/>
          <w:sz w:val="20"/>
          <w:szCs w:val="20"/>
        </w:rPr>
        <w:t xml:space="preserve">jurisprudence </w:t>
      </w:r>
      <w:r w:rsidRPr="00EA11E2">
        <w:rPr>
          <w:rFonts w:ascii="Times New Roman" w:hAnsi="Times New Roman" w:cs="Times New Roman"/>
          <w:sz w:val="20"/>
          <w:szCs w:val="20"/>
        </w:rPr>
        <w:t xml:space="preserve">brings the Party concerned into compliance. </w:t>
      </w:r>
      <w:bookmarkStart w:id="17" w:name="_Toc302830025"/>
      <w:bookmarkEnd w:id="14"/>
    </w:p>
    <w:p w14:paraId="5EA20465" w14:textId="77777777" w:rsidR="00B1410A" w:rsidRDefault="00B1410A" w:rsidP="00857F16">
      <w:pPr>
        <w:spacing w:line="240" w:lineRule="auto"/>
        <w:rPr>
          <w:rFonts w:ascii="Times New Roman" w:hAnsi="Times New Roman" w:cs="Times New Roman"/>
          <w:b/>
          <w:i/>
          <w:sz w:val="20"/>
          <w:szCs w:val="20"/>
        </w:rPr>
      </w:pPr>
    </w:p>
    <w:p w14:paraId="088F6F1C" w14:textId="77777777" w:rsidR="00B1410A" w:rsidRDefault="00B1410A" w:rsidP="00857F16">
      <w:pPr>
        <w:spacing w:line="240" w:lineRule="auto"/>
        <w:rPr>
          <w:rFonts w:ascii="Times New Roman" w:hAnsi="Times New Roman" w:cs="Times New Roman"/>
          <w:b/>
          <w:i/>
          <w:sz w:val="20"/>
          <w:szCs w:val="20"/>
        </w:rPr>
      </w:pPr>
    </w:p>
    <w:p w14:paraId="01A6458A" w14:textId="77777777" w:rsidR="00B1410A" w:rsidRDefault="00B1410A" w:rsidP="00857F16">
      <w:pPr>
        <w:spacing w:line="240" w:lineRule="auto"/>
        <w:rPr>
          <w:rFonts w:ascii="Times New Roman" w:hAnsi="Times New Roman" w:cs="Times New Roman"/>
          <w:b/>
          <w:i/>
          <w:sz w:val="20"/>
          <w:szCs w:val="20"/>
        </w:rPr>
      </w:pPr>
    </w:p>
    <w:p w14:paraId="33B7EEA5" w14:textId="0F25FE07" w:rsidR="00DF3ECA" w:rsidRPr="001C7421" w:rsidRDefault="009B3316" w:rsidP="00857F16">
      <w:pPr>
        <w:spacing w:line="240" w:lineRule="auto"/>
        <w:rPr>
          <w:rFonts w:ascii="Times New Roman" w:hAnsi="Times New Roman" w:cs="Times New Roman"/>
          <w:b/>
          <w:i/>
          <w:sz w:val="20"/>
          <w:szCs w:val="20"/>
        </w:rPr>
      </w:pPr>
      <w:r>
        <w:rPr>
          <w:rFonts w:ascii="Times New Roman" w:hAnsi="Times New Roman" w:cs="Times New Roman"/>
          <w:b/>
          <w:i/>
          <w:sz w:val="20"/>
          <w:szCs w:val="20"/>
        </w:rPr>
        <w:t>J</w:t>
      </w:r>
      <w:r w:rsidR="008A4BC7" w:rsidRPr="001C7421">
        <w:rPr>
          <w:rFonts w:ascii="Times New Roman" w:hAnsi="Times New Roman" w:cs="Times New Roman"/>
          <w:b/>
          <w:i/>
          <w:sz w:val="20"/>
          <w:szCs w:val="20"/>
        </w:rPr>
        <w:t xml:space="preserve">urisprudence referred to by the </w:t>
      </w:r>
      <w:r w:rsidR="00857F16" w:rsidRPr="001C7421">
        <w:rPr>
          <w:rFonts w:ascii="Times New Roman" w:hAnsi="Times New Roman" w:cs="Times New Roman"/>
          <w:b/>
          <w:i/>
          <w:sz w:val="20"/>
          <w:szCs w:val="20"/>
        </w:rPr>
        <w:t>Party c</w:t>
      </w:r>
      <w:r w:rsidR="008A4BC7" w:rsidRPr="001C7421">
        <w:rPr>
          <w:rFonts w:ascii="Times New Roman" w:hAnsi="Times New Roman" w:cs="Times New Roman"/>
          <w:b/>
          <w:i/>
          <w:sz w:val="20"/>
          <w:szCs w:val="20"/>
        </w:rPr>
        <w:t>oncerned</w:t>
      </w:r>
      <w:bookmarkStart w:id="18" w:name="_Toc302830027"/>
      <w:bookmarkEnd w:id="17"/>
      <w:r w:rsidR="00857F16" w:rsidRPr="001C7421">
        <w:rPr>
          <w:rFonts w:ascii="Times New Roman" w:hAnsi="Times New Roman" w:cs="Times New Roman"/>
          <w:b/>
          <w:i/>
          <w:sz w:val="20"/>
          <w:szCs w:val="20"/>
        </w:rPr>
        <w:t xml:space="preserve"> regarding national implementation</w:t>
      </w:r>
    </w:p>
    <w:p w14:paraId="324AF9D2" w14:textId="61CF3D0E" w:rsidR="00485F78" w:rsidRPr="00EA11E2" w:rsidRDefault="008A4BC7" w:rsidP="00857F16">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At the hearing, the Party concerned drew the Committee’s attention to a number of cases</w:t>
      </w:r>
      <w:r w:rsidRPr="00EA11E2">
        <w:rPr>
          <w:rStyle w:val="FootnoteReference"/>
          <w:rFonts w:ascii="Times New Roman" w:hAnsi="Times New Roman" w:cs="Times New Roman"/>
          <w:sz w:val="20"/>
          <w:szCs w:val="20"/>
        </w:rPr>
        <w:footnoteReference w:id="59"/>
      </w:r>
      <w:r w:rsidRPr="00EA11E2">
        <w:rPr>
          <w:rFonts w:ascii="Times New Roman" w:hAnsi="Times New Roman" w:cs="Times New Roman"/>
          <w:sz w:val="20"/>
          <w:szCs w:val="20"/>
        </w:rPr>
        <w:t xml:space="preserve">. The Committee </w:t>
      </w:r>
      <w:r w:rsidR="00081404" w:rsidRPr="00EA11E2">
        <w:rPr>
          <w:rFonts w:ascii="Times New Roman" w:hAnsi="Times New Roman" w:cs="Times New Roman"/>
          <w:sz w:val="20"/>
          <w:szCs w:val="20"/>
        </w:rPr>
        <w:t>appreciates</w:t>
      </w:r>
      <w:r w:rsidRPr="00EA11E2">
        <w:rPr>
          <w:rFonts w:ascii="Times New Roman" w:hAnsi="Times New Roman" w:cs="Times New Roman"/>
          <w:sz w:val="20"/>
          <w:szCs w:val="20"/>
        </w:rPr>
        <w:t xml:space="preserve"> that jurisprudence showed that the obligations arising for the EU </w:t>
      </w:r>
      <w:r w:rsidR="00353EC2" w:rsidRPr="00EA11E2">
        <w:rPr>
          <w:rFonts w:ascii="Times New Roman" w:hAnsi="Times New Roman" w:cs="Times New Roman"/>
          <w:sz w:val="20"/>
          <w:szCs w:val="20"/>
        </w:rPr>
        <w:t xml:space="preserve">and its Member States </w:t>
      </w:r>
      <w:r w:rsidRPr="00EA11E2">
        <w:rPr>
          <w:rFonts w:ascii="Times New Roman" w:hAnsi="Times New Roman" w:cs="Times New Roman"/>
          <w:sz w:val="20"/>
          <w:szCs w:val="20"/>
        </w:rPr>
        <w:t>under the Convention were given due weight on a number of occasions; the Committee noted, however, that none of the cases addressed the shortcomings identified in Part I. Moreover</w:t>
      </w:r>
      <w:r w:rsidR="007E7F47" w:rsidRPr="00EA11E2">
        <w:rPr>
          <w:rFonts w:ascii="Times New Roman" w:hAnsi="Times New Roman" w:cs="Times New Roman"/>
          <w:sz w:val="20"/>
          <w:szCs w:val="20"/>
        </w:rPr>
        <w:t>,</w:t>
      </w:r>
      <w:r w:rsidRPr="00EA11E2">
        <w:rPr>
          <w:rFonts w:ascii="Times New Roman" w:hAnsi="Times New Roman" w:cs="Times New Roman"/>
          <w:sz w:val="20"/>
          <w:szCs w:val="20"/>
        </w:rPr>
        <w:t xml:space="preserve"> the subject matter of much of the jurisprudence </w:t>
      </w:r>
      <w:r w:rsidR="001C7421">
        <w:rPr>
          <w:rFonts w:ascii="Times New Roman" w:hAnsi="Times New Roman" w:cs="Times New Roman"/>
          <w:sz w:val="20"/>
          <w:szCs w:val="20"/>
        </w:rPr>
        <w:t>cited</w:t>
      </w:r>
      <w:r w:rsidRPr="00EA11E2">
        <w:rPr>
          <w:rFonts w:ascii="Times New Roman" w:hAnsi="Times New Roman" w:cs="Times New Roman"/>
          <w:sz w:val="20"/>
          <w:szCs w:val="20"/>
        </w:rPr>
        <w:t xml:space="preserve"> </w:t>
      </w:r>
      <w:r w:rsidR="001C7421">
        <w:rPr>
          <w:rFonts w:ascii="Times New Roman" w:hAnsi="Times New Roman" w:cs="Times New Roman"/>
          <w:sz w:val="20"/>
          <w:szCs w:val="20"/>
        </w:rPr>
        <w:t>concerned</w:t>
      </w:r>
      <w:r w:rsidRPr="00EA11E2">
        <w:rPr>
          <w:rFonts w:ascii="Times New Roman" w:hAnsi="Times New Roman" w:cs="Times New Roman"/>
          <w:sz w:val="20"/>
          <w:szCs w:val="20"/>
        </w:rPr>
        <w:t xml:space="preserve"> the enforcement of the Convention in national courts.</w:t>
      </w:r>
      <w:r w:rsidR="00D74ABC"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Whilst it is salutary to </w:t>
      </w:r>
      <w:r w:rsidR="00D74ABC" w:rsidRPr="00EA11E2">
        <w:rPr>
          <w:rFonts w:ascii="Times New Roman" w:hAnsi="Times New Roman" w:cs="Times New Roman"/>
          <w:sz w:val="20"/>
          <w:szCs w:val="20"/>
        </w:rPr>
        <w:t>learn</w:t>
      </w:r>
      <w:r w:rsidRPr="00EA11E2">
        <w:rPr>
          <w:rFonts w:ascii="Times New Roman" w:hAnsi="Times New Roman" w:cs="Times New Roman"/>
          <w:sz w:val="20"/>
          <w:szCs w:val="20"/>
        </w:rPr>
        <w:t xml:space="preserve"> of the Convention</w:t>
      </w:r>
      <w:r w:rsidR="009B3316">
        <w:rPr>
          <w:rFonts w:ascii="Times New Roman" w:hAnsi="Times New Roman" w:cs="Times New Roman"/>
          <w:sz w:val="20"/>
          <w:szCs w:val="20"/>
        </w:rPr>
        <w:t>’s enforcement</w:t>
      </w:r>
      <w:r w:rsidRPr="00EA11E2">
        <w:rPr>
          <w:rFonts w:ascii="Times New Roman" w:hAnsi="Times New Roman" w:cs="Times New Roman"/>
          <w:sz w:val="20"/>
          <w:szCs w:val="20"/>
        </w:rPr>
        <w:t xml:space="preserve"> at the national level, the Committee has already observed in Part I of the findings that:</w:t>
      </w:r>
    </w:p>
    <w:p w14:paraId="015ECAE1" w14:textId="77777777" w:rsidR="008A4BC7" w:rsidRPr="00EA11E2" w:rsidRDefault="008A4BC7" w:rsidP="008A4BC7">
      <w:pPr>
        <w:spacing w:line="240" w:lineRule="auto"/>
        <w:ind w:left="720"/>
        <w:rPr>
          <w:rFonts w:ascii="Times New Roman" w:hAnsi="Times New Roman" w:cs="Times New Roman"/>
          <w:i/>
          <w:color w:val="000000"/>
          <w:sz w:val="20"/>
          <w:szCs w:val="20"/>
        </w:rPr>
      </w:pPr>
      <w:r w:rsidRPr="00EA11E2">
        <w:rPr>
          <w:rFonts w:ascii="Times New Roman" w:hAnsi="Times New Roman" w:cs="Times New Roman"/>
          <w:i/>
          <w:color w:val="000000"/>
          <w:sz w:val="20"/>
          <w:szCs w:val="20"/>
        </w:rPr>
        <w:t>While the system of judicial review in the national courts of the EU member States, including the possibility to request a preliminary ruling, is a significant element for ensuring consistent application and proper implementation of EU law in its member States, it cannot be a basis for generally denying members of the public access to the EU Courts to challenge decisions, acts and omissions by EU institutions and bodies; nor does the system of preliminary review amount to an appellate system with regard to decisions, acts and omissions by the EU institutions and bodies. Thus, with respect to decisions, acts and omissions of EU institutions and bodies, the system of preliminary ruling neither in itself meets the requirements of access to justice in article 9 of the Convention, nor compensates for the strict jurisprudence of the EU Courts, examined …above</w:t>
      </w:r>
      <w:r w:rsidR="00A10992" w:rsidRPr="00EA11E2">
        <w:rPr>
          <w:rStyle w:val="FootnoteReference"/>
          <w:rFonts w:ascii="Times New Roman" w:hAnsi="Times New Roman" w:cs="Times New Roman"/>
          <w:i/>
          <w:color w:val="000000"/>
          <w:sz w:val="20"/>
          <w:szCs w:val="20"/>
        </w:rPr>
        <w:footnoteReference w:id="60"/>
      </w:r>
      <w:r w:rsidRPr="00EA11E2">
        <w:rPr>
          <w:rFonts w:ascii="Times New Roman" w:hAnsi="Times New Roman" w:cs="Times New Roman"/>
          <w:i/>
          <w:color w:val="000000"/>
          <w:sz w:val="20"/>
          <w:szCs w:val="20"/>
        </w:rPr>
        <w:t>.</w:t>
      </w:r>
    </w:p>
    <w:p w14:paraId="2C99C832" w14:textId="6A1119D1" w:rsidR="00485F78" w:rsidRPr="00EA11E2" w:rsidRDefault="00485F78" w:rsidP="00E937A6">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 xml:space="preserve">The Committee reiterates </w:t>
      </w:r>
      <w:r w:rsidR="007E7F47" w:rsidRPr="00EA11E2">
        <w:rPr>
          <w:rFonts w:ascii="Times New Roman" w:hAnsi="Times New Roman" w:cs="Times New Roman"/>
          <w:color w:val="000000"/>
          <w:sz w:val="20"/>
          <w:szCs w:val="20"/>
        </w:rPr>
        <w:t xml:space="preserve">its </w:t>
      </w:r>
      <w:r w:rsidR="00011582" w:rsidRPr="00EA11E2">
        <w:rPr>
          <w:rFonts w:ascii="Times New Roman" w:hAnsi="Times New Roman" w:cs="Times New Roman"/>
          <w:color w:val="000000"/>
          <w:sz w:val="20"/>
          <w:szCs w:val="20"/>
        </w:rPr>
        <w:t xml:space="preserve">above </w:t>
      </w:r>
      <w:r w:rsidR="007E7F47" w:rsidRPr="00EA11E2">
        <w:rPr>
          <w:rFonts w:ascii="Times New Roman" w:hAnsi="Times New Roman" w:cs="Times New Roman"/>
          <w:color w:val="000000"/>
          <w:sz w:val="20"/>
          <w:szCs w:val="20"/>
        </w:rPr>
        <w:t xml:space="preserve">finding </w:t>
      </w:r>
      <w:r w:rsidRPr="00EA11E2">
        <w:rPr>
          <w:rFonts w:ascii="Times New Roman" w:hAnsi="Times New Roman" w:cs="Times New Roman"/>
          <w:color w:val="000000"/>
          <w:sz w:val="20"/>
          <w:szCs w:val="20"/>
        </w:rPr>
        <w:t>that judicial review in the national courts of EU Member States cannot compensate for the strict jurisprudence of the EU Courts examined in Part I</w:t>
      </w:r>
      <w:r w:rsidR="00E937A6" w:rsidRPr="00EA11E2">
        <w:rPr>
          <w:rFonts w:ascii="Times New Roman" w:hAnsi="Times New Roman" w:cs="Times New Roman"/>
          <w:color w:val="000000"/>
          <w:sz w:val="20"/>
          <w:szCs w:val="20"/>
        </w:rPr>
        <w:t xml:space="preserve"> and notes that the CJEU itself has held that the system of preliminary ruling does not constitute a means of redress available to the parties to a case pending before a national court or tribunal</w:t>
      </w:r>
      <w:r w:rsidR="00F7717E" w:rsidRPr="00EA11E2">
        <w:rPr>
          <w:rStyle w:val="FootnoteReference"/>
          <w:rFonts w:ascii="Times New Roman" w:hAnsi="Times New Roman" w:cs="Times New Roman"/>
          <w:color w:val="000000"/>
          <w:sz w:val="20"/>
          <w:szCs w:val="20"/>
        </w:rPr>
        <w:footnoteReference w:id="61"/>
      </w:r>
      <w:r w:rsidR="00E937A6" w:rsidRPr="00EA11E2">
        <w:rPr>
          <w:rFonts w:ascii="Times New Roman" w:hAnsi="Times New Roman" w:cs="Times New Roman"/>
          <w:color w:val="000000"/>
          <w:sz w:val="20"/>
          <w:szCs w:val="20"/>
        </w:rPr>
        <w:t xml:space="preserve">. </w:t>
      </w:r>
    </w:p>
    <w:p w14:paraId="22A1F152" w14:textId="77777777" w:rsidR="00C77A68" w:rsidRPr="00EA11E2" w:rsidRDefault="00C77A68" w:rsidP="00110518">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9B39CE3" w14:textId="684483F6" w:rsidR="00C77A68" w:rsidRPr="009B3316" w:rsidRDefault="009B3316" w:rsidP="00110518">
      <w:pPr>
        <w:spacing w:line="240" w:lineRule="auto"/>
        <w:rPr>
          <w:rFonts w:ascii="Times New Roman" w:hAnsi="Times New Roman" w:cs="Times New Roman"/>
          <w:i/>
          <w:sz w:val="20"/>
          <w:szCs w:val="20"/>
        </w:rPr>
      </w:pPr>
      <w:r>
        <w:rPr>
          <w:rFonts w:ascii="Times New Roman" w:hAnsi="Times New Roman" w:cs="Times New Roman"/>
          <w:b/>
          <w:i/>
          <w:sz w:val="20"/>
          <w:szCs w:val="20"/>
        </w:rPr>
        <w:t>J</w:t>
      </w:r>
      <w:r w:rsidR="00C77A68" w:rsidRPr="009B3316">
        <w:rPr>
          <w:rFonts w:ascii="Times New Roman" w:hAnsi="Times New Roman" w:cs="Times New Roman"/>
          <w:b/>
          <w:i/>
          <w:sz w:val="20"/>
          <w:szCs w:val="20"/>
        </w:rPr>
        <w:t>urisprudence on Article 263(4) TFEU</w:t>
      </w:r>
    </w:p>
    <w:p w14:paraId="38F61A22" w14:textId="77777777" w:rsidR="00C77A68" w:rsidRPr="00EA11E2" w:rsidRDefault="008A4BC7" w:rsidP="00110518">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19" w:name="_Toc302830029"/>
      <w:bookmarkEnd w:id="18"/>
      <w:r w:rsidRPr="00EA11E2">
        <w:rPr>
          <w:rFonts w:ascii="Times New Roman" w:hAnsi="Times New Roman" w:cs="Times New Roman"/>
          <w:sz w:val="20"/>
          <w:szCs w:val="20"/>
        </w:rPr>
        <w:t>In Part I</w:t>
      </w:r>
      <w:r w:rsidR="00011582" w:rsidRPr="00EA11E2">
        <w:rPr>
          <w:rFonts w:ascii="Times New Roman" w:hAnsi="Times New Roman" w:cs="Times New Roman"/>
          <w:sz w:val="20"/>
          <w:szCs w:val="20"/>
        </w:rPr>
        <w:t>,</w:t>
      </w:r>
      <w:r w:rsidRPr="00EA11E2">
        <w:rPr>
          <w:rFonts w:ascii="Times New Roman" w:hAnsi="Times New Roman" w:cs="Times New Roman"/>
          <w:sz w:val="20"/>
          <w:szCs w:val="20"/>
        </w:rPr>
        <w:t xml:space="preserve"> the Committee noted that there was a debate on whether the new Article 263(4) TFEU provided for a possible change of the jurisprudence so as to enable members of the public to have standing before the EU Courts. </w:t>
      </w:r>
    </w:p>
    <w:p w14:paraId="54555940" w14:textId="77777777" w:rsidR="00FB72F2" w:rsidRPr="00EA11E2" w:rsidRDefault="00FB72F2" w:rsidP="00110518">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bookmarkStart w:id="20" w:name="_Toc302830030"/>
      <w:bookmarkEnd w:id="19"/>
    </w:p>
    <w:p w14:paraId="694DD05A" w14:textId="709B54CF"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 xml:space="preserve">The jurisprudence examined in Part I related to the old TEC text of Article 230(4). The Committee noted in Part I that the wording of TFEU </w:t>
      </w:r>
      <w:r w:rsidR="00354C76" w:rsidRPr="00EA11E2">
        <w:rPr>
          <w:rFonts w:ascii="Times New Roman" w:hAnsi="Times New Roman" w:cs="Times New Roman"/>
          <w:color w:val="000000"/>
          <w:sz w:val="20"/>
          <w:szCs w:val="20"/>
        </w:rPr>
        <w:t>A</w:t>
      </w:r>
      <w:r w:rsidRPr="00EA11E2">
        <w:rPr>
          <w:rFonts w:ascii="Times New Roman" w:hAnsi="Times New Roman" w:cs="Times New Roman"/>
          <w:color w:val="000000"/>
          <w:sz w:val="20"/>
          <w:szCs w:val="20"/>
        </w:rPr>
        <w:t>rticle 263</w:t>
      </w:r>
      <w:r w:rsidR="00354C76" w:rsidRPr="00EA11E2">
        <w:rPr>
          <w:rFonts w:ascii="Times New Roman" w:hAnsi="Times New Roman" w:cs="Times New Roman"/>
          <w:color w:val="000000"/>
          <w:sz w:val="20"/>
          <w:szCs w:val="20"/>
        </w:rPr>
        <w:t>(4)</w:t>
      </w:r>
      <w:r w:rsidRPr="00EA11E2">
        <w:rPr>
          <w:rFonts w:ascii="Times New Roman" w:hAnsi="Times New Roman" w:cs="Times New Roman"/>
          <w:color w:val="000000"/>
          <w:sz w:val="20"/>
          <w:szCs w:val="20"/>
        </w:rPr>
        <w:t>, introduce</w:t>
      </w:r>
      <w:r w:rsidR="005136FA" w:rsidRPr="00EA11E2">
        <w:rPr>
          <w:rFonts w:ascii="Times New Roman" w:hAnsi="Times New Roman" w:cs="Times New Roman"/>
          <w:color w:val="000000"/>
          <w:sz w:val="20"/>
          <w:szCs w:val="20"/>
        </w:rPr>
        <w:t>d</w:t>
      </w:r>
      <w:r w:rsidRPr="00EA11E2">
        <w:rPr>
          <w:rFonts w:ascii="Times New Roman" w:hAnsi="Times New Roman" w:cs="Times New Roman"/>
          <w:color w:val="000000"/>
          <w:sz w:val="20"/>
          <w:szCs w:val="20"/>
        </w:rPr>
        <w:t xml:space="preserve"> by the Lisbon Treaty, is different and might have led to a possible change of the jurisprudence so as to enable members of the public to have standing before the EU Courts. So the Committee considered the new Article 263(4) </w:t>
      </w:r>
      <w:r w:rsidRPr="00EA11E2">
        <w:rPr>
          <w:rFonts w:ascii="Times New Roman" w:hAnsi="Times New Roman" w:cs="Times New Roman"/>
          <w:i/>
          <w:color w:val="000000"/>
          <w:sz w:val="20"/>
          <w:szCs w:val="20"/>
        </w:rPr>
        <w:t>could</w:t>
      </w:r>
      <w:r w:rsidRPr="00EA11E2">
        <w:rPr>
          <w:rFonts w:ascii="Times New Roman" w:hAnsi="Times New Roman" w:cs="Times New Roman"/>
          <w:color w:val="000000"/>
          <w:sz w:val="20"/>
          <w:szCs w:val="20"/>
        </w:rPr>
        <w:t xml:space="preserve"> provide the basis for ensuring compliance with article 9 of the Convention. Yet, the Committee refrained from any speculation on whether and how the EU Courts would consider the jurisprudence on access to justice in environmental matters on the basis of the TFEU</w:t>
      </w:r>
      <w:r w:rsidRPr="00EA11E2">
        <w:rPr>
          <w:rStyle w:val="FootnoteReference"/>
          <w:rFonts w:ascii="Times New Roman" w:hAnsi="Times New Roman" w:cs="Times New Roman"/>
          <w:color w:val="000000"/>
          <w:sz w:val="20"/>
          <w:szCs w:val="20"/>
        </w:rPr>
        <w:footnoteReference w:id="62"/>
      </w:r>
      <w:r w:rsidRPr="00EA11E2">
        <w:rPr>
          <w:rFonts w:ascii="Times New Roman" w:hAnsi="Times New Roman" w:cs="Times New Roman"/>
          <w:color w:val="000000"/>
          <w:sz w:val="20"/>
          <w:szCs w:val="20"/>
        </w:rPr>
        <w:t xml:space="preserve">.  </w:t>
      </w:r>
    </w:p>
    <w:p w14:paraId="693F004F"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0FBBAF4"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 xml:space="preserve">The Committee </w:t>
      </w:r>
      <w:r w:rsidR="00FB72F2" w:rsidRPr="00EA11E2">
        <w:rPr>
          <w:rFonts w:ascii="Times New Roman" w:hAnsi="Times New Roman" w:cs="Times New Roman"/>
          <w:color w:val="000000"/>
          <w:sz w:val="20"/>
          <w:szCs w:val="20"/>
        </w:rPr>
        <w:t>now</w:t>
      </w:r>
      <w:r w:rsidR="00DC3FEC" w:rsidRPr="00EA11E2">
        <w:rPr>
          <w:rFonts w:ascii="Times New Roman" w:hAnsi="Times New Roman" w:cs="Times New Roman"/>
          <w:color w:val="000000"/>
          <w:sz w:val="20"/>
          <w:szCs w:val="20"/>
        </w:rPr>
        <w:t xml:space="preserve"> </w:t>
      </w:r>
      <w:r w:rsidRPr="00EA11E2">
        <w:rPr>
          <w:rFonts w:ascii="Times New Roman" w:hAnsi="Times New Roman" w:cs="Times New Roman"/>
          <w:color w:val="000000"/>
          <w:sz w:val="20"/>
          <w:szCs w:val="20"/>
        </w:rPr>
        <w:t>consider</w:t>
      </w:r>
      <w:r w:rsidR="00FB72F2" w:rsidRPr="00EA11E2">
        <w:rPr>
          <w:rFonts w:ascii="Times New Roman" w:hAnsi="Times New Roman" w:cs="Times New Roman"/>
          <w:color w:val="000000"/>
          <w:sz w:val="20"/>
          <w:szCs w:val="20"/>
        </w:rPr>
        <w:t>s</w:t>
      </w:r>
      <w:r w:rsidRPr="00EA11E2">
        <w:rPr>
          <w:rFonts w:ascii="Times New Roman" w:hAnsi="Times New Roman" w:cs="Times New Roman"/>
          <w:color w:val="000000"/>
          <w:sz w:val="20"/>
          <w:szCs w:val="20"/>
        </w:rPr>
        <w:t xml:space="preserve"> whether, in the years that have passed since Part I</w:t>
      </w:r>
      <w:r w:rsidR="005136FA" w:rsidRPr="00EA11E2">
        <w:rPr>
          <w:rFonts w:ascii="Times New Roman" w:hAnsi="Times New Roman" w:cs="Times New Roman"/>
          <w:color w:val="000000"/>
          <w:sz w:val="20"/>
          <w:szCs w:val="20"/>
        </w:rPr>
        <w:t>, there has been any sign that A</w:t>
      </w:r>
      <w:r w:rsidRPr="00EA11E2">
        <w:rPr>
          <w:rFonts w:ascii="Times New Roman" w:hAnsi="Times New Roman" w:cs="Times New Roman"/>
          <w:color w:val="000000"/>
          <w:sz w:val="20"/>
          <w:szCs w:val="20"/>
        </w:rPr>
        <w:t>rticle 263(4)</w:t>
      </w:r>
      <w:r w:rsidR="005136FA" w:rsidRPr="00EA11E2">
        <w:rPr>
          <w:rFonts w:ascii="Times New Roman" w:hAnsi="Times New Roman" w:cs="Times New Roman"/>
          <w:color w:val="000000"/>
          <w:sz w:val="20"/>
          <w:szCs w:val="20"/>
        </w:rPr>
        <w:t xml:space="preserve"> TFEU</w:t>
      </w:r>
      <w:r w:rsidRPr="00EA11E2">
        <w:rPr>
          <w:rFonts w:ascii="Times New Roman" w:hAnsi="Times New Roman" w:cs="Times New Roman"/>
          <w:color w:val="000000"/>
          <w:sz w:val="20"/>
          <w:szCs w:val="20"/>
        </w:rPr>
        <w:t xml:space="preserve">, in the light of the jurisprudence of the EU Courts ensures compliance with </w:t>
      </w:r>
      <w:r w:rsidR="00354C76" w:rsidRPr="00EA11E2">
        <w:rPr>
          <w:rFonts w:ascii="Times New Roman" w:hAnsi="Times New Roman" w:cs="Times New Roman"/>
          <w:color w:val="000000"/>
          <w:sz w:val="20"/>
          <w:szCs w:val="20"/>
        </w:rPr>
        <w:t>a</w:t>
      </w:r>
      <w:r w:rsidRPr="00EA11E2">
        <w:rPr>
          <w:rFonts w:ascii="Times New Roman" w:hAnsi="Times New Roman" w:cs="Times New Roman"/>
          <w:color w:val="000000"/>
          <w:sz w:val="20"/>
          <w:szCs w:val="20"/>
        </w:rPr>
        <w:t xml:space="preserve">rticle 9 of the Convention. </w:t>
      </w:r>
    </w:p>
    <w:p w14:paraId="443FFDD4"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65F98A07" w14:textId="6D09EBA5"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Arti</w:t>
      </w:r>
      <w:r w:rsidR="009B3316">
        <w:rPr>
          <w:rFonts w:ascii="Times New Roman" w:hAnsi="Times New Roman" w:cs="Times New Roman"/>
          <w:sz w:val="20"/>
          <w:szCs w:val="20"/>
        </w:rPr>
        <w:t>cle 263(4) provides:</w:t>
      </w:r>
    </w:p>
    <w:p w14:paraId="31310A7B" w14:textId="77777777" w:rsidR="008A4BC7" w:rsidRPr="00EA11E2" w:rsidRDefault="008A4BC7" w:rsidP="008A4BC7">
      <w:pPr>
        <w:spacing w:line="240" w:lineRule="auto"/>
        <w:ind w:left="720"/>
        <w:rPr>
          <w:rFonts w:ascii="Times New Roman" w:hAnsi="Times New Roman" w:cs="Times New Roman"/>
          <w:i/>
          <w:sz w:val="20"/>
          <w:szCs w:val="20"/>
        </w:rPr>
      </w:pPr>
      <w:r w:rsidRPr="00EA11E2">
        <w:rPr>
          <w:rFonts w:ascii="Times New Roman" w:hAnsi="Times New Roman" w:cs="Times New Roman"/>
          <w:i/>
          <w:sz w:val="20"/>
          <w:szCs w:val="20"/>
        </w:rPr>
        <w:t>Any natural or legal person may, under the conditions laid down in the first and second paragraphs, institute proceedings against an act addressed to that person or which is of direct and individual concern to them, and against a regulatory act which is of direct concern to them and does not entail implementing measures.</w:t>
      </w:r>
    </w:p>
    <w:p w14:paraId="416BE5A7" w14:textId="191CF27C" w:rsidR="00011582"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provision has three limbs</w:t>
      </w:r>
      <w:r w:rsidR="00011582" w:rsidRPr="00EA11E2">
        <w:rPr>
          <w:rFonts w:ascii="Times New Roman" w:hAnsi="Times New Roman" w:cs="Times New Roman"/>
          <w:sz w:val="20"/>
          <w:szCs w:val="20"/>
        </w:rPr>
        <w:t>:</w:t>
      </w:r>
      <w:r w:rsidRPr="00EA11E2">
        <w:rPr>
          <w:rFonts w:ascii="Times New Roman" w:hAnsi="Times New Roman" w:cs="Times New Roman"/>
          <w:sz w:val="20"/>
          <w:szCs w:val="20"/>
        </w:rPr>
        <w:t xml:space="preserve"> </w:t>
      </w:r>
    </w:p>
    <w:p w14:paraId="635610C2" w14:textId="77777777" w:rsidR="00B26A7C" w:rsidRPr="00EA11E2" w:rsidRDefault="00B26A7C" w:rsidP="00B26A7C">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77CDBB30" w14:textId="77777777" w:rsidR="00B26A7C" w:rsidRPr="00EA11E2" w:rsidRDefault="00B26A7C" w:rsidP="00F33BEB">
      <w:pPr>
        <w:pStyle w:val="ListParagraph"/>
        <w:widowControl w:val="0"/>
        <w:numPr>
          <w:ilvl w:val="1"/>
          <w:numId w:val="23"/>
        </w:numPr>
        <w:autoSpaceDE w:val="0"/>
        <w:autoSpaceDN w:val="0"/>
        <w:adjustRightInd w:val="0"/>
        <w:spacing w:before="4" w:after="120" w:line="240" w:lineRule="auto"/>
        <w:ind w:right="109"/>
        <w:jc w:val="both"/>
        <w:rPr>
          <w:rFonts w:ascii="Times New Roman" w:hAnsi="Times New Roman" w:cs="Times New Roman"/>
          <w:sz w:val="20"/>
          <w:szCs w:val="20"/>
        </w:rPr>
      </w:pPr>
      <w:r w:rsidRPr="00EA11E2">
        <w:rPr>
          <w:rFonts w:ascii="Times New Roman" w:hAnsi="Times New Roman" w:cs="Times New Roman"/>
          <w:sz w:val="20"/>
          <w:szCs w:val="20"/>
        </w:rPr>
        <w:t>“Any natural or legal person may…institute proceedings against an act addressed to that person…”</w:t>
      </w:r>
    </w:p>
    <w:p w14:paraId="2A93230A" w14:textId="77777777" w:rsidR="00B26A7C" w:rsidRPr="00EA11E2" w:rsidRDefault="00B26A7C" w:rsidP="00F33BEB">
      <w:pPr>
        <w:pStyle w:val="ListParagraph"/>
        <w:widowControl w:val="0"/>
        <w:autoSpaceDE w:val="0"/>
        <w:autoSpaceDN w:val="0"/>
        <w:adjustRightInd w:val="0"/>
        <w:spacing w:before="4" w:after="120" w:line="240" w:lineRule="auto"/>
        <w:ind w:left="1440" w:right="109"/>
        <w:jc w:val="both"/>
        <w:rPr>
          <w:rFonts w:ascii="Times New Roman" w:hAnsi="Times New Roman" w:cs="Times New Roman"/>
          <w:sz w:val="20"/>
          <w:szCs w:val="20"/>
        </w:rPr>
      </w:pPr>
    </w:p>
    <w:p w14:paraId="69B4012F" w14:textId="77777777" w:rsidR="00B26A7C" w:rsidRPr="00EA11E2" w:rsidRDefault="00B26A7C" w:rsidP="00F33BEB">
      <w:pPr>
        <w:pStyle w:val="ListParagraph"/>
        <w:widowControl w:val="0"/>
        <w:numPr>
          <w:ilvl w:val="1"/>
          <w:numId w:val="23"/>
        </w:numPr>
        <w:autoSpaceDE w:val="0"/>
        <w:autoSpaceDN w:val="0"/>
        <w:adjustRightInd w:val="0"/>
        <w:spacing w:before="4" w:after="120" w:line="240" w:lineRule="auto"/>
        <w:ind w:right="109"/>
        <w:jc w:val="both"/>
        <w:rPr>
          <w:rFonts w:ascii="Times New Roman" w:hAnsi="Times New Roman" w:cs="Times New Roman"/>
          <w:sz w:val="20"/>
          <w:szCs w:val="20"/>
        </w:rPr>
      </w:pPr>
      <w:r w:rsidRPr="00EA11E2">
        <w:rPr>
          <w:rFonts w:ascii="Times New Roman" w:hAnsi="Times New Roman" w:cs="Times New Roman"/>
          <w:sz w:val="20"/>
          <w:szCs w:val="20"/>
        </w:rPr>
        <w:t>“Any natural or legal person may…institute proceedings against an act … which is of direct and individual concern to them…”</w:t>
      </w:r>
    </w:p>
    <w:p w14:paraId="399E5E03" w14:textId="77777777" w:rsidR="00B26A7C" w:rsidRPr="00EA11E2" w:rsidRDefault="00B26A7C" w:rsidP="00F33BEB">
      <w:pPr>
        <w:pStyle w:val="ListParagraph"/>
        <w:rPr>
          <w:rFonts w:ascii="Times New Roman" w:hAnsi="Times New Roman" w:cs="Times New Roman"/>
          <w:sz w:val="20"/>
          <w:szCs w:val="20"/>
        </w:rPr>
      </w:pPr>
    </w:p>
    <w:p w14:paraId="0B896F30" w14:textId="77777777" w:rsidR="00B26A7C" w:rsidRPr="00EA11E2" w:rsidRDefault="00B26A7C" w:rsidP="00F33BEB">
      <w:pPr>
        <w:pStyle w:val="ListParagraph"/>
        <w:widowControl w:val="0"/>
        <w:numPr>
          <w:ilvl w:val="1"/>
          <w:numId w:val="23"/>
        </w:numPr>
        <w:autoSpaceDE w:val="0"/>
        <w:autoSpaceDN w:val="0"/>
        <w:adjustRightInd w:val="0"/>
        <w:spacing w:before="4" w:after="120" w:line="240" w:lineRule="auto"/>
        <w:ind w:right="109"/>
        <w:jc w:val="both"/>
        <w:rPr>
          <w:rFonts w:ascii="Times New Roman" w:hAnsi="Times New Roman" w:cs="Times New Roman"/>
          <w:sz w:val="20"/>
          <w:szCs w:val="20"/>
        </w:rPr>
      </w:pPr>
      <w:r w:rsidRPr="00EA11E2">
        <w:rPr>
          <w:rFonts w:ascii="Times New Roman" w:hAnsi="Times New Roman" w:cs="Times New Roman"/>
          <w:sz w:val="20"/>
          <w:szCs w:val="20"/>
        </w:rPr>
        <w:t>“Any natural or legal person may… institute proceedings … against a regulatory act which is of direct concern to them and does not entail implementing measures.”</w:t>
      </w:r>
    </w:p>
    <w:p w14:paraId="327B2C9A" w14:textId="77777777" w:rsidR="00B26A7C" w:rsidRPr="00EA11E2" w:rsidRDefault="00B26A7C" w:rsidP="00B26A7C">
      <w:pPr>
        <w:pStyle w:val="ListParagraph"/>
        <w:widowControl w:val="0"/>
        <w:autoSpaceDE w:val="0"/>
        <w:autoSpaceDN w:val="0"/>
        <w:adjustRightInd w:val="0"/>
        <w:spacing w:before="4" w:after="240" w:line="240" w:lineRule="auto"/>
        <w:ind w:left="1440" w:right="109"/>
        <w:jc w:val="both"/>
        <w:rPr>
          <w:rFonts w:ascii="Times New Roman" w:hAnsi="Times New Roman" w:cs="Times New Roman"/>
          <w:sz w:val="20"/>
          <w:szCs w:val="20"/>
        </w:rPr>
      </w:pPr>
    </w:p>
    <w:p w14:paraId="3A6AD135" w14:textId="068F4F13"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first</w:t>
      </w:r>
      <w:r w:rsidR="00B26A7C" w:rsidRPr="00EA11E2">
        <w:rPr>
          <w:rFonts w:ascii="Times New Roman" w:hAnsi="Times New Roman" w:cs="Times New Roman"/>
          <w:sz w:val="20"/>
          <w:szCs w:val="20"/>
        </w:rPr>
        <w:t xml:space="preserve"> limb</w:t>
      </w:r>
      <w:r w:rsidRPr="00EA11E2">
        <w:rPr>
          <w:rFonts w:ascii="Times New Roman" w:hAnsi="Times New Roman" w:cs="Times New Roman"/>
          <w:sz w:val="20"/>
          <w:szCs w:val="20"/>
        </w:rPr>
        <w:t xml:space="preserve"> is unchanged by the Treaty of Lisbon, and needs no consideration by the Committee because it patently does not implement </w:t>
      </w:r>
      <w:r w:rsidR="00354C76" w:rsidRPr="00EA11E2">
        <w:rPr>
          <w:rFonts w:ascii="Times New Roman" w:hAnsi="Times New Roman" w:cs="Times New Roman"/>
          <w:sz w:val="20"/>
          <w:szCs w:val="20"/>
        </w:rPr>
        <w:t>article 9, paragraph 3</w:t>
      </w:r>
      <w:r w:rsidR="00B26A7C" w:rsidRPr="00EA11E2">
        <w:rPr>
          <w:rFonts w:ascii="Times New Roman" w:hAnsi="Times New Roman" w:cs="Times New Roman"/>
          <w:sz w:val="20"/>
          <w:szCs w:val="20"/>
        </w:rPr>
        <w:t>,</w:t>
      </w:r>
      <w:r w:rsidR="00354C76" w:rsidRPr="00EA11E2">
        <w:rPr>
          <w:rFonts w:ascii="Times New Roman" w:hAnsi="Times New Roman" w:cs="Times New Roman"/>
          <w:sz w:val="20"/>
          <w:szCs w:val="20"/>
        </w:rPr>
        <w:t xml:space="preserve"> </w:t>
      </w:r>
      <w:r w:rsidRPr="00EA11E2">
        <w:rPr>
          <w:rFonts w:ascii="Times New Roman" w:hAnsi="Times New Roman" w:cs="Times New Roman"/>
          <w:sz w:val="20"/>
          <w:szCs w:val="20"/>
        </w:rPr>
        <w:t>of the Convention.</w:t>
      </w:r>
    </w:p>
    <w:p w14:paraId="2EE8C01D"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21ED48E" w14:textId="2AB8B56E"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second</w:t>
      </w:r>
      <w:r w:rsidR="00B26A7C" w:rsidRPr="00EA11E2">
        <w:rPr>
          <w:rFonts w:ascii="Times New Roman" w:hAnsi="Times New Roman" w:cs="Times New Roman"/>
          <w:sz w:val="20"/>
          <w:szCs w:val="20"/>
        </w:rPr>
        <w:t xml:space="preserve"> limb</w:t>
      </w:r>
      <w:r w:rsidRPr="00EA11E2">
        <w:rPr>
          <w:rFonts w:ascii="Times New Roman" w:hAnsi="Times New Roman" w:cs="Times New Roman"/>
          <w:sz w:val="20"/>
          <w:szCs w:val="20"/>
        </w:rPr>
        <w:t xml:space="preserve"> is little changed by the Treaty of Lisbon and may in any event be quickly dispatched for the purposes of this analysis. Under this limb</w:t>
      </w:r>
      <w:r w:rsidR="00350924" w:rsidRPr="00EA11E2">
        <w:rPr>
          <w:rFonts w:ascii="Times New Roman" w:hAnsi="Times New Roman" w:cs="Times New Roman"/>
          <w:sz w:val="20"/>
          <w:szCs w:val="20"/>
        </w:rPr>
        <w:t>,</w:t>
      </w:r>
      <w:r w:rsidRPr="00EA11E2">
        <w:rPr>
          <w:rFonts w:ascii="Times New Roman" w:hAnsi="Times New Roman" w:cs="Times New Roman"/>
          <w:sz w:val="20"/>
          <w:szCs w:val="20"/>
        </w:rPr>
        <w:t xml:space="preserve"> a person may only institute proceedings against an act which is of </w:t>
      </w:r>
      <w:r w:rsidRPr="00EA11E2">
        <w:rPr>
          <w:rFonts w:ascii="Times New Roman" w:hAnsi="Times New Roman" w:cs="Times New Roman"/>
          <w:i/>
          <w:sz w:val="20"/>
          <w:szCs w:val="20"/>
        </w:rPr>
        <w:t>direct and individual concern</w:t>
      </w:r>
      <w:r w:rsidRPr="00EA11E2">
        <w:rPr>
          <w:rFonts w:ascii="Times New Roman" w:hAnsi="Times New Roman" w:cs="Times New Roman"/>
          <w:sz w:val="20"/>
          <w:szCs w:val="20"/>
        </w:rPr>
        <w:t xml:space="preserve"> to them. It follows from</w:t>
      </w:r>
      <w:r w:rsidR="00433BA6" w:rsidRPr="00EA11E2">
        <w:rPr>
          <w:rFonts w:ascii="Times New Roman" w:hAnsi="Times New Roman" w:cs="Times New Roman"/>
          <w:sz w:val="20"/>
          <w:szCs w:val="20"/>
        </w:rPr>
        <w:t xml:space="preserve"> the </w:t>
      </w:r>
      <w:r w:rsidR="00B26A7C" w:rsidRPr="00EA11E2">
        <w:rPr>
          <w:rFonts w:ascii="Times New Roman" w:hAnsi="Times New Roman" w:cs="Times New Roman"/>
          <w:sz w:val="20"/>
          <w:szCs w:val="20"/>
        </w:rPr>
        <w:t xml:space="preserve">Committee’s </w:t>
      </w:r>
      <w:r w:rsidR="00433BA6" w:rsidRPr="00EA11E2">
        <w:rPr>
          <w:rFonts w:ascii="Times New Roman" w:hAnsi="Times New Roman" w:cs="Times New Roman"/>
          <w:sz w:val="20"/>
          <w:szCs w:val="20"/>
        </w:rPr>
        <w:t>findings in</w:t>
      </w:r>
      <w:r w:rsidRPr="00EA11E2">
        <w:rPr>
          <w:rFonts w:ascii="Times New Roman" w:hAnsi="Times New Roman" w:cs="Times New Roman"/>
          <w:sz w:val="20"/>
          <w:szCs w:val="20"/>
        </w:rPr>
        <w:t xml:space="preserve"> Part I, which considered the jurisprudence relating to direct and individual concern, that the second limb does not implement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 xml:space="preserve">of the Convention because the restrictions to access to justice </w:t>
      </w:r>
      <w:r w:rsidR="00433BA6" w:rsidRPr="00EA11E2">
        <w:rPr>
          <w:rFonts w:ascii="Times New Roman" w:hAnsi="Times New Roman" w:cs="Times New Roman"/>
          <w:sz w:val="20"/>
          <w:szCs w:val="20"/>
        </w:rPr>
        <w:t xml:space="preserve">imposed by the </w:t>
      </w:r>
      <w:r w:rsidR="00433BA6" w:rsidRPr="00EA11E2">
        <w:rPr>
          <w:rFonts w:ascii="Times New Roman" w:hAnsi="Times New Roman" w:cs="Times New Roman"/>
          <w:i/>
          <w:sz w:val="20"/>
          <w:szCs w:val="20"/>
        </w:rPr>
        <w:t xml:space="preserve">direct and individual concern </w:t>
      </w:r>
      <w:r w:rsidR="00433BA6" w:rsidRPr="00EA11E2">
        <w:rPr>
          <w:rFonts w:ascii="Times New Roman" w:hAnsi="Times New Roman" w:cs="Times New Roman"/>
          <w:sz w:val="20"/>
          <w:szCs w:val="20"/>
        </w:rPr>
        <w:t xml:space="preserve">test </w:t>
      </w:r>
      <w:r w:rsidRPr="00EA11E2">
        <w:rPr>
          <w:rFonts w:ascii="Times New Roman" w:hAnsi="Times New Roman" w:cs="Times New Roman"/>
          <w:sz w:val="20"/>
          <w:szCs w:val="20"/>
        </w:rPr>
        <w:t xml:space="preserve">are too severe to comply with the Convention. </w:t>
      </w:r>
    </w:p>
    <w:p w14:paraId="63CD1204"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4D3919C4" w14:textId="19B0FFB0"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That leaves the third limb</w:t>
      </w:r>
      <w:r w:rsidR="003330EC" w:rsidRPr="00EA11E2">
        <w:rPr>
          <w:rFonts w:ascii="Times New Roman" w:hAnsi="Times New Roman" w:cs="Times New Roman"/>
          <w:sz w:val="20"/>
          <w:szCs w:val="20"/>
        </w:rPr>
        <w:t>:</w:t>
      </w:r>
    </w:p>
    <w:p w14:paraId="229E46C7" w14:textId="77777777" w:rsidR="008A4BC7" w:rsidRPr="00EA11E2" w:rsidRDefault="008A4BC7" w:rsidP="008A4BC7">
      <w:pPr>
        <w:spacing w:line="240" w:lineRule="auto"/>
        <w:ind w:left="720"/>
        <w:rPr>
          <w:rFonts w:ascii="Times New Roman" w:hAnsi="Times New Roman" w:cs="Times New Roman"/>
          <w:i/>
          <w:sz w:val="20"/>
          <w:szCs w:val="20"/>
        </w:rPr>
      </w:pPr>
      <w:r w:rsidRPr="00EA11E2">
        <w:rPr>
          <w:rFonts w:ascii="Times New Roman" w:hAnsi="Times New Roman" w:cs="Times New Roman"/>
          <w:i/>
          <w:sz w:val="20"/>
          <w:szCs w:val="20"/>
        </w:rPr>
        <w:t>Any natural or legal person may… institute proceedings … against a regulatory act which is of direct concern to them and does not entail implementing measures.</w:t>
      </w:r>
    </w:p>
    <w:p w14:paraId="2D0DFA37"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 xml:space="preserve">This limb has been considered in the cases Case C-583/11 P, </w:t>
      </w:r>
      <w:r w:rsidRPr="00EA11E2">
        <w:rPr>
          <w:rFonts w:ascii="Times New Roman" w:hAnsi="Times New Roman" w:cs="Times New Roman"/>
          <w:i/>
          <w:sz w:val="20"/>
          <w:szCs w:val="20"/>
        </w:rPr>
        <w:t xml:space="preserve">Inuit </w:t>
      </w:r>
      <w:proofErr w:type="spellStart"/>
      <w:r w:rsidRPr="00EA11E2">
        <w:rPr>
          <w:rFonts w:ascii="Times New Roman" w:hAnsi="Times New Roman" w:cs="Times New Roman"/>
          <w:i/>
          <w:sz w:val="20"/>
          <w:szCs w:val="20"/>
        </w:rPr>
        <w:t>Tapiriit</w:t>
      </w:r>
      <w:proofErr w:type="spellEnd"/>
      <w:r w:rsidRPr="00EA11E2">
        <w:rPr>
          <w:rFonts w:ascii="Times New Roman" w:hAnsi="Times New Roman" w:cs="Times New Roman"/>
          <w:i/>
          <w:sz w:val="20"/>
          <w:szCs w:val="20"/>
        </w:rPr>
        <w:t xml:space="preserve"> </w:t>
      </w:r>
      <w:proofErr w:type="spellStart"/>
      <w:r w:rsidRPr="00EA11E2">
        <w:rPr>
          <w:rFonts w:ascii="Times New Roman" w:hAnsi="Times New Roman" w:cs="Times New Roman"/>
          <w:i/>
          <w:sz w:val="20"/>
          <w:szCs w:val="20"/>
        </w:rPr>
        <w:t>Kanatami</w:t>
      </w:r>
      <w:proofErr w:type="spellEnd"/>
      <w:r w:rsidRPr="00EA11E2">
        <w:rPr>
          <w:rFonts w:ascii="Times New Roman" w:hAnsi="Times New Roman" w:cs="Times New Roman"/>
          <w:i/>
          <w:sz w:val="20"/>
          <w:szCs w:val="20"/>
        </w:rPr>
        <w:t xml:space="preserve"> v European Parliament, Council of the EU</w:t>
      </w:r>
      <w:r w:rsidRPr="00EA11E2">
        <w:rPr>
          <w:rFonts w:ascii="Times New Roman" w:hAnsi="Times New Roman" w:cs="Times New Roman"/>
          <w:sz w:val="20"/>
          <w:szCs w:val="20"/>
        </w:rPr>
        <w:t xml:space="preserve"> (</w:t>
      </w:r>
      <w:r w:rsidR="005136FA" w:rsidRPr="00EA11E2">
        <w:rPr>
          <w:rFonts w:ascii="Times New Roman" w:hAnsi="Times New Roman" w:cs="Times New Roman"/>
          <w:sz w:val="20"/>
          <w:szCs w:val="20"/>
        </w:rPr>
        <w:t xml:space="preserve">the </w:t>
      </w:r>
      <w:r w:rsidRPr="00EA11E2">
        <w:rPr>
          <w:rFonts w:ascii="Times New Roman" w:hAnsi="Times New Roman" w:cs="Times New Roman"/>
          <w:i/>
          <w:sz w:val="20"/>
          <w:szCs w:val="20"/>
        </w:rPr>
        <w:t>Inuit</w:t>
      </w:r>
      <w:r w:rsidR="005136FA" w:rsidRPr="00EA11E2">
        <w:rPr>
          <w:rFonts w:ascii="Times New Roman" w:hAnsi="Times New Roman" w:cs="Times New Roman"/>
          <w:sz w:val="20"/>
          <w:szCs w:val="20"/>
        </w:rPr>
        <w:t xml:space="preserve"> case</w:t>
      </w:r>
      <w:r w:rsidRPr="00EA11E2">
        <w:rPr>
          <w:rFonts w:ascii="Times New Roman" w:hAnsi="Times New Roman" w:cs="Times New Roman"/>
          <w:sz w:val="20"/>
          <w:szCs w:val="20"/>
        </w:rPr>
        <w:t xml:space="preserve">) and Case T-262/10, </w:t>
      </w:r>
      <w:proofErr w:type="spellStart"/>
      <w:r w:rsidRPr="00EA11E2">
        <w:rPr>
          <w:rFonts w:ascii="Times New Roman" w:hAnsi="Times New Roman" w:cs="Times New Roman"/>
          <w:i/>
          <w:sz w:val="20"/>
          <w:szCs w:val="20"/>
        </w:rPr>
        <w:t>Microban</w:t>
      </w:r>
      <w:proofErr w:type="spellEnd"/>
      <w:r w:rsidRPr="00EA11E2">
        <w:rPr>
          <w:rFonts w:ascii="Times New Roman" w:hAnsi="Times New Roman" w:cs="Times New Roman"/>
          <w:i/>
          <w:sz w:val="20"/>
          <w:szCs w:val="20"/>
        </w:rPr>
        <w:t xml:space="preserve"> International Ltd v Commission</w:t>
      </w:r>
      <w:r w:rsidRPr="00EA11E2">
        <w:rPr>
          <w:rFonts w:ascii="Times New Roman" w:hAnsi="Times New Roman" w:cs="Times New Roman"/>
          <w:sz w:val="20"/>
          <w:szCs w:val="20"/>
        </w:rPr>
        <w:t xml:space="preserve"> (</w:t>
      </w:r>
      <w:r w:rsidR="005136FA" w:rsidRPr="00EA11E2">
        <w:rPr>
          <w:rFonts w:ascii="Times New Roman" w:hAnsi="Times New Roman" w:cs="Times New Roman"/>
          <w:sz w:val="20"/>
          <w:szCs w:val="20"/>
        </w:rPr>
        <w:t xml:space="preserve">the </w:t>
      </w:r>
      <w:proofErr w:type="spellStart"/>
      <w:r w:rsidRPr="00EA11E2">
        <w:rPr>
          <w:rFonts w:ascii="Times New Roman" w:hAnsi="Times New Roman" w:cs="Times New Roman"/>
          <w:i/>
          <w:sz w:val="20"/>
          <w:szCs w:val="20"/>
        </w:rPr>
        <w:t>Microban</w:t>
      </w:r>
      <w:proofErr w:type="spellEnd"/>
      <w:r w:rsidR="005136FA" w:rsidRPr="00EA11E2">
        <w:rPr>
          <w:rFonts w:ascii="Times New Roman" w:hAnsi="Times New Roman" w:cs="Times New Roman"/>
          <w:sz w:val="20"/>
          <w:szCs w:val="20"/>
        </w:rPr>
        <w:t xml:space="preserve"> case</w:t>
      </w:r>
      <w:r w:rsidRPr="00EA11E2">
        <w:rPr>
          <w:rFonts w:ascii="Times New Roman" w:hAnsi="Times New Roman" w:cs="Times New Roman"/>
          <w:sz w:val="20"/>
          <w:szCs w:val="20"/>
        </w:rPr>
        <w:t xml:space="preserve">). </w:t>
      </w:r>
    </w:p>
    <w:p w14:paraId="0C44D31F"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rPr>
      </w:pPr>
    </w:p>
    <w:p w14:paraId="4763F626" w14:textId="039B081B"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In order to assess whether</w:t>
      </w:r>
      <w:r w:rsidR="00433BA6" w:rsidRPr="00EA11E2">
        <w:rPr>
          <w:rFonts w:ascii="Times New Roman" w:hAnsi="Times New Roman" w:cs="Times New Roman"/>
          <w:sz w:val="20"/>
          <w:szCs w:val="20"/>
        </w:rPr>
        <w:t xml:space="preserve"> the third limb </w:t>
      </w:r>
      <w:r w:rsidRPr="00EA11E2">
        <w:rPr>
          <w:rFonts w:ascii="Times New Roman" w:hAnsi="Times New Roman" w:cs="Times New Roman"/>
          <w:sz w:val="20"/>
          <w:szCs w:val="20"/>
        </w:rPr>
        <w:t xml:space="preserve">implements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it is necessary to consider, in particular, three questions. First, what does “regulatory act” mean? Second, what is the meaning of “of direct concern”?  Third, what is the meaning of “does not entail implementing measures”?</w:t>
      </w:r>
    </w:p>
    <w:p w14:paraId="60E6D7E2"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rPr>
      </w:pPr>
    </w:p>
    <w:p w14:paraId="12F4EF44" w14:textId="2C6AE13D" w:rsidR="00DF3ECA" w:rsidRPr="00EA11E2" w:rsidRDefault="008A4BC7" w:rsidP="00DF3ECA">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Before addressing those t</w:t>
      </w:r>
      <w:r w:rsidR="00DC3FEC" w:rsidRPr="00EA11E2">
        <w:rPr>
          <w:rFonts w:ascii="Times New Roman" w:hAnsi="Times New Roman" w:cs="Times New Roman"/>
          <w:sz w:val="20"/>
          <w:szCs w:val="20"/>
        </w:rPr>
        <w:t>hre</w:t>
      </w:r>
      <w:r w:rsidR="00FB72F2" w:rsidRPr="00EA11E2">
        <w:rPr>
          <w:rFonts w:ascii="Times New Roman" w:hAnsi="Times New Roman" w:cs="Times New Roman"/>
          <w:sz w:val="20"/>
          <w:szCs w:val="20"/>
        </w:rPr>
        <w:t>e</w:t>
      </w:r>
      <w:r w:rsidRPr="00EA11E2">
        <w:rPr>
          <w:rFonts w:ascii="Times New Roman" w:hAnsi="Times New Roman" w:cs="Times New Roman"/>
          <w:sz w:val="20"/>
          <w:szCs w:val="20"/>
        </w:rPr>
        <w:t xml:space="preserve"> questions the Committee notes that the third limb of Article 263(4) </w:t>
      </w:r>
      <w:r w:rsidRPr="00EA11E2">
        <w:rPr>
          <w:rFonts w:ascii="Times New Roman" w:hAnsi="Times New Roman" w:cs="Times New Roman"/>
          <w:i/>
          <w:sz w:val="20"/>
          <w:szCs w:val="20"/>
        </w:rPr>
        <w:t xml:space="preserve">does not </w:t>
      </w:r>
      <w:r w:rsidRPr="00EA11E2">
        <w:rPr>
          <w:rFonts w:ascii="Times New Roman" w:hAnsi="Times New Roman" w:cs="Times New Roman"/>
          <w:sz w:val="20"/>
          <w:szCs w:val="20"/>
        </w:rPr>
        <w:t>require a person to be individually concerned with a regulatory act. By dropping the individual concern test, the third limb of pursues an objective of opening up the conditions for bringing direct actions</w:t>
      </w:r>
      <w:r w:rsidRPr="00EA11E2">
        <w:rPr>
          <w:rStyle w:val="FootnoteReference"/>
          <w:rFonts w:ascii="Times New Roman" w:hAnsi="Times New Roman" w:cs="Times New Roman"/>
          <w:sz w:val="20"/>
          <w:szCs w:val="20"/>
        </w:rPr>
        <w:footnoteReference w:id="63"/>
      </w:r>
      <w:r w:rsidRPr="00EA11E2">
        <w:rPr>
          <w:rFonts w:ascii="Times New Roman" w:hAnsi="Times New Roman" w:cs="Times New Roman"/>
          <w:sz w:val="20"/>
          <w:szCs w:val="20"/>
        </w:rPr>
        <w:t xml:space="preserve">. </w:t>
      </w:r>
    </w:p>
    <w:p w14:paraId="598BC856" w14:textId="77777777" w:rsidR="008A4BC7" w:rsidRPr="009B3316" w:rsidRDefault="008A4BC7" w:rsidP="00350924">
      <w:pPr>
        <w:pStyle w:val="NormalWeb"/>
        <w:rPr>
          <w:color w:val="303F49"/>
          <w:sz w:val="20"/>
          <w:szCs w:val="20"/>
          <w:u w:val="single"/>
          <w:lang w:val="en-GB"/>
        </w:rPr>
      </w:pPr>
      <w:r w:rsidRPr="009B3316">
        <w:rPr>
          <w:color w:val="303F49"/>
          <w:sz w:val="20"/>
          <w:szCs w:val="20"/>
          <w:u w:val="single"/>
          <w:lang w:val="en-GB"/>
        </w:rPr>
        <w:t>Regulatory act</w:t>
      </w:r>
    </w:p>
    <w:p w14:paraId="629173C4" w14:textId="77777777" w:rsidR="006757F5"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In </w:t>
      </w:r>
      <w:r w:rsidR="00433BA6" w:rsidRPr="00EA11E2">
        <w:rPr>
          <w:rFonts w:ascii="Times New Roman" w:hAnsi="Times New Roman" w:cs="Times New Roman"/>
          <w:sz w:val="20"/>
          <w:szCs w:val="20"/>
        </w:rPr>
        <w:t xml:space="preserve">the </w:t>
      </w:r>
      <w:r w:rsidRPr="00EA11E2">
        <w:rPr>
          <w:rFonts w:ascii="Times New Roman" w:hAnsi="Times New Roman" w:cs="Times New Roman"/>
          <w:i/>
          <w:sz w:val="20"/>
          <w:szCs w:val="20"/>
        </w:rPr>
        <w:t>Inuit</w:t>
      </w:r>
      <w:r w:rsidR="00433BA6" w:rsidRPr="00EA11E2">
        <w:rPr>
          <w:rFonts w:ascii="Times New Roman" w:hAnsi="Times New Roman" w:cs="Times New Roman"/>
          <w:sz w:val="20"/>
          <w:szCs w:val="20"/>
        </w:rPr>
        <w:t xml:space="preserve"> case</w:t>
      </w:r>
      <w:r w:rsidRPr="00EA11E2">
        <w:rPr>
          <w:rFonts w:ascii="Times New Roman" w:hAnsi="Times New Roman" w:cs="Times New Roman"/>
          <w:sz w:val="20"/>
          <w:szCs w:val="20"/>
        </w:rPr>
        <w:t xml:space="preserve">, the </w:t>
      </w:r>
      <w:r w:rsidR="00DE5F74" w:rsidRPr="00EA11E2">
        <w:rPr>
          <w:rFonts w:ascii="Times New Roman" w:hAnsi="Times New Roman" w:cs="Times New Roman"/>
          <w:sz w:val="20"/>
          <w:szCs w:val="20"/>
        </w:rPr>
        <w:t xml:space="preserve">ECJ </w:t>
      </w:r>
      <w:r w:rsidRPr="00EA11E2">
        <w:rPr>
          <w:rFonts w:ascii="Times New Roman" w:hAnsi="Times New Roman" w:cs="Times New Roman"/>
          <w:sz w:val="20"/>
          <w:szCs w:val="20"/>
        </w:rPr>
        <w:t xml:space="preserve">found that the third limb of Article 263(4) enabled persons to bring “actions for annulment of acts of general application other than legislative acts”. So the </w:t>
      </w:r>
      <w:r w:rsidR="00DE5F74" w:rsidRPr="00EA11E2">
        <w:rPr>
          <w:rFonts w:ascii="Times New Roman" w:hAnsi="Times New Roman" w:cs="Times New Roman"/>
          <w:sz w:val="20"/>
          <w:szCs w:val="20"/>
        </w:rPr>
        <w:t>ECJ</w:t>
      </w:r>
      <w:r w:rsidRPr="00EA11E2">
        <w:rPr>
          <w:rFonts w:ascii="Times New Roman" w:hAnsi="Times New Roman" w:cs="Times New Roman"/>
          <w:sz w:val="20"/>
          <w:szCs w:val="20"/>
        </w:rPr>
        <w:t>’s interpretation of “regulatory act” is quite narrow in s</w:t>
      </w:r>
      <w:r w:rsidR="006757F5" w:rsidRPr="00EA11E2">
        <w:rPr>
          <w:rFonts w:ascii="Times New Roman" w:hAnsi="Times New Roman" w:cs="Times New Roman"/>
          <w:sz w:val="20"/>
          <w:szCs w:val="20"/>
        </w:rPr>
        <w:t>cope</w:t>
      </w:r>
      <w:r w:rsidRPr="00EA11E2">
        <w:rPr>
          <w:rFonts w:ascii="Times New Roman" w:hAnsi="Times New Roman" w:cs="Times New Roman"/>
          <w:sz w:val="20"/>
          <w:szCs w:val="20"/>
        </w:rPr>
        <w:t xml:space="preserve">. </w:t>
      </w:r>
    </w:p>
    <w:p w14:paraId="01130EF5" w14:textId="77777777" w:rsidR="006757F5" w:rsidRPr="00EA11E2" w:rsidRDefault="006757F5" w:rsidP="006757F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53317DEE" w14:textId="1B4FAD37" w:rsidR="006757F5" w:rsidRPr="00EA11E2" w:rsidRDefault="00925295" w:rsidP="0092529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A</w:t>
      </w:r>
      <w:r w:rsidR="005A3774" w:rsidRPr="00EA11E2">
        <w:rPr>
          <w:rFonts w:ascii="Times New Roman" w:hAnsi="Times New Roman" w:cs="Times New Roman"/>
          <w:sz w:val="20"/>
          <w:szCs w:val="20"/>
        </w:rPr>
        <w:t xml:space="preserve">rticle 9, paragraph 3 </w:t>
      </w:r>
      <w:r w:rsidR="006757F5" w:rsidRPr="00EA11E2">
        <w:rPr>
          <w:rFonts w:ascii="Times New Roman" w:hAnsi="Times New Roman" w:cs="Times New Roman"/>
          <w:sz w:val="20"/>
          <w:szCs w:val="20"/>
        </w:rPr>
        <w:t xml:space="preserve">of the Convention requires Parties to give </w:t>
      </w:r>
      <w:r w:rsidR="006757F5" w:rsidRPr="00EA11E2">
        <w:rPr>
          <w:rFonts w:ascii="Times New Roman" w:hAnsi="Times New Roman" w:cs="Times New Roman"/>
          <w:sz w:val="20"/>
          <w:szCs w:val="20"/>
          <w:lang w:val="en-US"/>
        </w:rPr>
        <w:t xml:space="preserve">members of the public access to administrative or judicial procedures to challenge </w:t>
      </w:r>
      <w:r w:rsidR="006757F5" w:rsidRPr="00EA11E2">
        <w:rPr>
          <w:rFonts w:ascii="Times New Roman" w:hAnsi="Times New Roman" w:cs="Times New Roman"/>
          <w:i/>
          <w:sz w:val="20"/>
          <w:szCs w:val="20"/>
          <w:lang w:val="en-US"/>
        </w:rPr>
        <w:t xml:space="preserve">acts and omissions by private persons and public authorities which contravene provisions of its national law relating to the environment. </w:t>
      </w:r>
      <w:r w:rsidR="006757F5" w:rsidRPr="00EA11E2">
        <w:rPr>
          <w:rFonts w:ascii="Times New Roman" w:hAnsi="Times New Roman" w:cs="Times New Roman"/>
          <w:sz w:val="20"/>
          <w:szCs w:val="20"/>
          <w:lang w:val="en-US"/>
        </w:rPr>
        <w:t xml:space="preserve">It is clear that </w:t>
      </w:r>
      <w:r w:rsidR="00033865" w:rsidRPr="00EA11E2">
        <w:rPr>
          <w:rFonts w:ascii="Times New Roman" w:hAnsi="Times New Roman" w:cs="Times New Roman"/>
          <w:sz w:val="20"/>
          <w:szCs w:val="20"/>
          <w:lang w:val="en-US"/>
        </w:rPr>
        <w:t xml:space="preserve">at least some </w:t>
      </w:r>
      <w:r w:rsidR="006757F5" w:rsidRPr="00EA11E2">
        <w:rPr>
          <w:rFonts w:ascii="Times New Roman" w:hAnsi="Times New Roman" w:cs="Times New Roman"/>
          <w:sz w:val="20"/>
          <w:szCs w:val="20"/>
          <w:lang w:val="en-US"/>
        </w:rPr>
        <w:t xml:space="preserve">acts </w:t>
      </w:r>
      <w:r w:rsidR="00033865" w:rsidRPr="00EA11E2">
        <w:rPr>
          <w:rFonts w:ascii="Times New Roman" w:hAnsi="Times New Roman" w:cs="Times New Roman"/>
          <w:sz w:val="20"/>
          <w:szCs w:val="20"/>
          <w:lang w:val="en-US"/>
        </w:rPr>
        <w:t xml:space="preserve">and failures to act susceptible </w:t>
      </w:r>
      <w:r w:rsidR="006757F5" w:rsidRPr="00EA11E2">
        <w:rPr>
          <w:rFonts w:ascii="Times New Roman" w:hAnsi="Times New Roman" w:cs="Times New Roman"/>
          <w:sz w:val="20"/>
          <w:szCs w:val="20"/>
          <w:lang w:val="en-US"/>
        </w:rPr>
        <w:t xml:space="preserve">to judicial review under </w:t>
      </w:r>
      <w:r w:rsidR="005A3774" w:rsidRPr="00EA11E2">
        <w:rPr>
          <w:rFonts w:ascii="Times New Roman" w:hAnsi="Times New Roman" w:cs="Times New Roman"/>
          <w:sz w:val="20"/>
          <w:szCs w:val="20"/>
        </w:rPr>
        <w:t>article 9, paragraph 3</w:t>
      </w:r>
      <w:r w:rsidR="003330EC" w:rsidRPr="00EA11E2">
        <w:rPr>
          <w:rFonts w:ascii="Times New Roman" w:hAnsi="Times New Roman" w:cs="Times New Roman"/>
          <w:sz w:val="20"/>
          <w:szCs w:val="20"/>
        </w:rPr>
        <w:t>,</w:t>
      </w:r>
      <w:r w:rsidR="005A3774" w:rsidRPr="00EA11E2">
        <w:rPr>
          <w:rFonts w:ascii="Times New Roman" w:hAnsi="Times New Roman" w:cs="Times New Roman"/>
          <w:sz w:val="20"/>
          <w:szCs w:val="20"/>
        </w:rPr>
        <w:t xml:space="preserve"> </w:t>
      </w:r>
      <w:r w:rsidR="006757F5" w:rsidRPr="00EA11E2">
        <w:rPr>
          <w:rFonts w:ascii="Times New Roman" w:hAnsi="Times New Roman" w:cs="Times New Roman"/>
          <w:sz w:val="20"/>
          <w:szCs w:val="20"/>
          <w:lang w:val="en-US"/>
        </w:rPr>
        <w:t xml:space="preserve">of the Convention will </w:t>
      </w:r>
      <w:r w:rsidR="00033865" w:rsidRPr="00EA11E2">
        <w:rPr>
          <w:rFonts w:ascii="Times New Roman" w:hAnsi="Times New Roman" w:cs="Times New Roman"/>
          <w:i/>
          <w:sz w:val="20"/>
          <w:szCs w:val="20"/>
          <w:lang w:val="en-US"/>
        </w:rPr>
        <w:t xml:space="preserve">not </w:t>
      </w:r>
      <w:r w:rsidR="00033865" w:rsidRPr="00EA11E2">
        <w:rPr>
          <w:rFonts w:ascii="Times New Roman" w:hAnsi="Times New Roman" w:cs="Times New Roman"/>
          <w:sz w:val="20"/>
          <w:szCs w:val="20"/>
          <w:lang w:val="en-US"/>
        </w:rPr>
        <w:t>fall within the category of</w:t>
      </w:r>
      <w:r w:rsidR="006757F5" w:rsidRPr="00EA11E2">
        <w:rPr>
          <w:rFonts w:ascii="Times New Roman" w:hAnsi="Times New Roman" w:cs="Times New Roman"/>
          <w:sz w:val="20"/>
          <w:szCs w:val="20"/>
          <w:lang w:val="en-US"/>
        </w:rPr>
        <w:t xml:space="preserve"> </w:t>
      </w:r>
      <w:r w:rsidRPr="00EA11E2">
        <w:rPr>
          <w:rFonts w:ascii="Times New Roman" w:hAnsi="Times New Roman" w:cs="Times New Roman"/>
          <w:sz w:val="20"/>
          <w:szCs w:val="20"/>
          <w:lang w:val="en-US"/>
        </w:rPr>
        <w:t>“</w:t>
      </w:r>
      <w:r w:rsidR="006757F5" w:rsidRPr="00EA11E2">
        <w:rPr>
          <w:rFonts w:ascii="Times New Roman" w:hAnsi="Times New Roman" w:cs="Times New Roman"/>
          <w:sz w:val="20"/>
          <w:szCs w:val="20"/>
          <w:lang w:val="en-US"/>
        </w:rPr>
        <w:t>acts of general application other than legislative acts</w:t>
      </w:r>
      <w:r w:rsidRPr="00EA11E2">
        <w:rPr>
          <w:rFonts w:ascii="Times New Roman" w:hAnsi="Times New Roman" w:cs="Times New Roman"/>
          <w:sz w:val="20"/>
          <w:szCs w:val="20"/>
          <w:lang w:val="en-US"/>
        </w:rPr>
        <w:t>”</w:t>
      </w:r>
      <w:r w:rsidR="006757F5" w:rsidRPr="00EA11E2">
        <w:rPr>
          <w:rFonts w:ascii="Times New Roman" w:hAnsi="Times New Roman" w:cs="Times New Roman"/>
          <w:sz w:val="20"/>
          <w:szCs w:val="20"/>
          <w:lang w:val="en-US"/>
        </w:rPr>
        <w:t xml:space="preserve">. So </w:t>
      </w:r>
      <w:r w:rsidR="00DC3FEC" w:rsidRPr="00EA11E2">
        <w:rPr>
          <w:rFonts w:ascii="Times New Roman" w:hAnsi="Times New Roman" w:cs="Times New Roman"/>
          <w:sz w:val="20"/>
          <w:szCs w:val="20"/>
          <w:lang w:val="en-US"/>
        </w:rPr>
        <w:t>in light of the reasoning of the EC</w:t>
      </w:r>
      <w:r w:rsidR="003D7120" w:rsidRPr="00EA11E2">
        <w:rPr>
          <w:rFonts w:ascii="Times New Roman" w:hAnsi="Times New Roman" w:cs="Times New Roman"/>
          <w:sz w:val="20"/>
          <w:szCs w:val="20"/>
          <w:lang w:val="en-US"/>
        </w:rPr>
        <w:t>J</w:t>
      </w:r>
      <w:r w:rsidR="00DC3FEC" w:rsidRPr="00EA11E2">
        <w:rPr>
          <w:rFonts w:ascii="Times New Roman" w:hAnsi="Times New Roman" w:cs="Times New Roman"/>
          <w:sz w:val="20"/>
          <w:szCs w:val="20"/>
          <w:lang w:val="en-US"/>
        </w:rPr>
        <w:t xml:space="preserve">, </w:t>
      </w:r>
      <w:r w:rsidR="006757F5" w:rsidRPr="00EA11E2">
        <w:rPr>
          <w:rFonts w:ascii="Times New Roman" w:hAnsi="Times New Roman" w:cs="Times New Roman"/>
          <w:sz w:val="20"/>
          <w:szCs w:val="20"/>
          <w:lang w:val="en-US"/>
        </w:rPr>
        <w:t xml:space="preserve">the third limb would be too narrow in scope to bring the Party concerned into compliance with </w:t>
      </w:r>
      <w:r w:rsidR="005A3774" w:rsidRPr="00EA11E2">
        <w:rPr>
          <w:rFonts w:ascii="Times New Roman" w:hAnsi="Times New Roman" w:cs="Times New Roman"/>
          <w:sz w:val="20"/>
          <w:szCs w:val="20"/>
        </w:rPr>
        <w:t xml:space="preserve">article 9, paragraph 3 </w:t>
      </w:r>
      <w:r w:rsidR="006757F5" w:rsidRPr="00EA11E2">
        <w:rPr>
          <w:rFonts w:ascii="Times New Roman" w:hAnsi="Times New Roman" w:cs="Times New Roman"/>
          <w:sz w:val="20"/>
          <w:szCs w:val="20"/>
          <w:lang w:val="en-US"/>
        </w:rPr>
        <w:t>of the Convention.</w:t>
      </w:r>
    </w:p>
    <w:p w14:paraId="2CB904C1" w14:textId="77777777" w:rsidR="006757F5" w:rsidRPr="00EA11E2" w:rsidRDefault="006757F5" w:rsidP="006757F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50F837A1" w14:textId="77777777" w:rsidR="006757F5" w:rsidRPr="00EA11E2" w:rsidRDefault="00DC3FEC" w:rsidP="006757F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I</w:t>
      </w:r>
      <w:r w:rsidR="006757F5" w:rsidRPr="00EA11E2">
        <w:rPr>
          <w:rFonts w:ascii="Times New Roman" w:hAnsi="Times New Roman" w:cs="Times New Roman"/>
          <w:color w:val="000000"/>
          <w:sz w:val="20"/>
          <w:szCs w:val="20"/>
        </w:rPr>
        <w:t xml:space="preserve">n any event, the third limb of Article 263(4) raises other issues for the Committee, </w:t>
      </w:r>
      <w:r w:rsidRPr="00EA11E2">
        <w:rPr>
          <w:rFonts w:ascii="Times New Roman" w:hAnsi="Times New Roman" w:cs="Times New Roman"/>
          <w:color w:val="000000"/>
          <w:sz w:val="20"/>
          <w:szCs w:val="20"/>
        </w:rPr>
        <w:t>to be considered</w:t>
      </w:r>
      <w:r w:rsidR="006757F5" w:rsidRPr="00EA11E2">
        <w:rPr>
          <w:rFonts w:ascii="Times New Roman" w:hAnsi="Times New Roman" w:cs="Times New Roman"/>
          <w:color w:val="000000"/>
          <w:sz w:val="20"/>
          <w:szCs w:val="20"/>
        </w:rPr>
        <w:t xml:space="preserve"> below.</w:t>
      </w:r>
    </w:p>
    <w:p w14:paraId="5D7AFB52" w14:textId="77777777" w:rsidR="002E746F" w:rsidRPr="009B3316" w:rsidRDefault="008A4BC7" w:rsidP="00350924">
      <w:pPr>
        <w:pStyle w:val="NormalWeb"/>
        <w:rPr>
          <w:sz w:val="20"/>
          <w:szCs w:val="20"/>
          <w:u w:val="single"/>
          <w:lang w:val="en-GB"/>
        </w:rPr>
      </w:pPr>
      <w:r w:rsidRPr="009B3316">
        <w:rPr>
          <w:color w:val="303F49"/>
          <w:sz w:val="20"/>
          <w:szCs w:val="20"/>
          <w:u w:val="single"/>
          <w:lang w:val="en-GB"/>
        </w:rPr>
        <w:t xml:space="preserve">Of direct concern </w:t>
      </w:r>
    </w:p>
    <w:p w14:paraId="52085ED7" w14:textId="77777777" w:rsidR="008A4BC7" w:rsidRPr="00EA11E2" w:rsidRDefault="00433BA6"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w:t>
      </w:r>
      <w:proofErr w:type="spellStart"/>
      <w:r w:rsidR="008A4BC7" w:rsidRPr="00EA11E2">
        <w:rPr>
          <w:rFonts w:ascii="Times New Roman" w:hAnsi="Times New Roman" w:cs="Times New Roman"/>
          <w:i/>
          <w:sz w:val="20"/>
          <w:szCs w:val="20"/>
        </w:rPr>
        <w:t>Microban</w:t>
      </w:r>
      <w:proofErr w:type="spellEnd"/>
      <w:r w:rsidR="008A4BC7"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case </w:t>
      </w:r>
      <w:r w:rsidR="008A4BC7" w:rsidRPr="00EA11E2">
        <w:rPr>
          <w:rFonts w:ascii="Times New Roman" w:hAnsi="Times New Roman" w:cs="Times New Roman"/>
          <w:sz w:val="20"/>
          <w:szCs w:val="20"/>
        </w:rPr>
        <w:t>explains the “direct concern” condition in Article 236(4) thus -</w:t>
      </w:r>
    </w:p>
    <w:p w14:paraId="262B4715" w14:textId="77777777" w:rsidR="002E746F" w:rsidRPr="00EA11E2" w:rsidRDefault="008A4BC7" w:rsidP="006B7A05">
      <w:pPr>
        <w:widowControl w:val="0"/>
        <w:tabs>
          <w:tab w:val="left" w:pos="220"/>
          <w:tab w:val="left" w:pos="720"/>
        </w:tabs>
        <w:autoSpaceDE w:val="0"/>
        <w:autoSpaceDN w:val="0"/>
        <w:adjustRightInd w:val="0"/>
        <w:spacing w:after="240" w:line="240" w:lineRule="auto"/>
        <w:ind w:left="720"/>
        <w:rPr>
          <w:rFonts w:ascii="Times New Roman" w:hAnsi="Times New Roman" w:cs="Times New Roman"/>
          <w:i/>
          <w:sz w:val="20"/>
          <w:szCs w:val="20"/>
        </w:rPr>
      </w:pPr>
      <w:r w:rsidRPr="00EA11E2">
        <w:rPr>
          <w:rFonts w:ascii="Times New Roman" w:hAnsi="Times New Roman" w:cs="Times New Roman"/>
          <w:i/>
          <w:sz w:val="20"/>
          <w:szCs w:val="20"/>
        </w:rPr>
        <w:t xml:space="preserve">27 …. as regards the condition of direct concern as laid down in the fourth paragraph of Article 230 EC, it has been held that that condition required that, firstly, the contested Community measure must directly affect the legal situation of the individual and, secondly, it must leave no discretion to its addressees, who are entrusted with the task of implementing it, such implementation being purely automatic and resulting from Community rules without the application of other intermediate rules (see Case C-386/96 P </w:t>
      </w:r>
      <w:r w:rsidRPr="00EA11E2">
        <w:rPr>
          <w:rFonts w:ascii="Times New Roman" w:hAnsi="Times New Roman" w:cs="Times New Roman"/>
          <w:i/>
          <w:iCs/>
          <w:sz w:val="20"/>
          <w:szCs w:val="20"/>
        </w:rPr>
        <w:t xml:space="preserve">Dreyfus </w:t>
      </w:r>
      <w:r w:rsidRPr="00EA11E2">
        <w:rPr>
          <w:rFonts w:ascii="Times New Roman" w:hAnsi="Times New Roman" w:cs="Times New Roman"/>
          <w:i/>
          <w:sz w:val="20"/>
          <w:szCs w:val="20"/>
        </w:rPr>
        <w:t xml:space="preserve">v </w:t>
      </w:r>
      <w:r w:rsidRPr="00EA11E2">
        <w:rPr>
          <w:rFonts w:ascii="Times New Roman" w:hAnsi="Times New Roman" w:cs="Times New Roman"/>
          <w:i/>
          <w:iCs/>
          <w:sz w:val="20"/>
          <w:szCs w:val="20"/>
        </w:rPr>
        <w:t xml:space="preserve">Commission </w:t>
      </w:r>
      <w:r w:rsidRPr="00EA11E2">
        <w:rPr>
          <w:rFonts w:ascii="Times New Roman" w:hAnsi="Times New Roman" w:cs="Times New Roman"/>
          <w:i/>
          <w:sz w:val="20"/>
          <w:szCs w:val="20"/>
        </w:rPr>
        <w:t xml:space="preserve">[1998] ECR I-2309, paragraph 43, and Joined </w:t>
      </w:r>
      <w:r w:rsidRPr="00EA11E2">
        <w:rPr>
          <w:rFonts w:ascii="MS Mincho" w:eastAsia="MS Mincho" w:hAnsi="MS Mincho" w:cs="MS Mincho" w:hint="eastAsia"/>
          <w:i/>
          <w:sz w:val="20"/>
          <w:szCs w:val="20"/>
        </w:rPr>
        <w:t> </w:t>
      </w:r>
      <w:r w:rsidRPr="00EA11E2">
        <w:rPr>
          <w:rFonts w:ascii="Times New Roman" w:hAnsi="Times New Roman" w:cs="Times New Roman"/>
          <w:i/>
          <w:sz w:val="20"/>
          <w:szCs w:val="20"/>
        </w:rPr>
        <w:t xml:space="preserve">Cases C-445/07 P and C-455/07 P </w:t>
      </w:r>
      <w:r w:rsidRPr="00EA11E2">
        <w:rPr>
          <w:rFonts w:ascii="Times New Roman" w:hAnsi="Times New Roman" w:cs="Times New Roman"/>
          <w:i/>
          <w:iCs/>
          <w:sz w:val="20"/>
          <w:szCs w:val="20"/>
        </w:rPr>
        <w:t xml:space="preserve">Commission </w:t>
      </w:r>
      <w:r w:rsidRPr="00EA11E2">
        <w:rPr>
          <w:rFonts w:ascii="Times New Roman" w:hAnsi="Times New Roman" w:cs="Times New Roman"/>
          <w:i/>
          <w:sz w:val="20"/>
          <w:szCs w:val="20"/>
        </w:rPr>
        <w:t xml:space="preserve">v </w:t>
      </w:r>
      <w:proofErr w:type="spellStart"/>
      <w:r w:rsidRPr="00EA11E2">
        <w:rPr>
          <w:rFonts w:ascii="Times New Roman" w:hAnsi="Times New Roman" w:cs="Times New Roman"/>
          <w:i/>
          <w:iCs/>
          <w:sz w:val="20"/>
          <w:szCs w:val="20"/>
        </w:rPr>
        <w:t>Ente</w:t>
      </w:r>
      <w:proofErr w:type="spellEnd"/>
      <w:r w:rsidRPr="00EA11E2">
        <w:rPr>
          <w:rFonts w:ascii="Times New Roman" w:hAnsi="Times New Roman" w:cs="Times New Roman"/>
          <w:i/>
          <w:iCs/>
          <w:sz w:val="20"/>
          <w:szCs w:val="20"/>
        </w:rPr>
        <w:t xml:space="preserve"> per le Ville </w:t>
      </w:r>
      <w:proofErr w:type="spellStart"/>
      <w:r w:rsidRPr="00EA11E2">
        <w:rPr>
          <w:rFonts w:ascii="Times New Roman" w:hAnsi="Times New Roman" w:cs="Times New Roman"/>
          <w:i/>
          <w:iCs/>
          <w:sz w:val="20"/>
          <w:szCs w:val="20"/>
        </w:rPr>
        <w:t>vesuviane</w:t>
      </w:r>
      <w:proofErr w:type="spellEnd"/>
      <w:r w:rsidRPr="00EA11E2">
        <w:rPr>
          <w:rFonts w:ascii="Times New Roman" w:hAnsi="Times New Roman" w:cs="Times New Roman"/>
          <w:i/>
          <w:iCs/>
          <w:sz w:val="20"/>
          <w:szCs w:val="20"/>
        </w:rPr>
        <w:t xml:space="preserve"> and </w:t>
      </w:r>
      <w:proofErr w:type="spellStart"/>
      <w:r w:rsidRPr="00EA11E2">
        <w:rPr>
          <w:rFonts w:ascii="Times New Roman" w:hAnsi="Times New Roman" w:cs="Times New Roman"/>
          <w:i/>
          <w:iCs/>
          <w:sz w:val="20"/>
          <w:szCs w:val="20"/>
        </w:rPr>
        <w:t>Ente</w:t>
      </w:r>
      <w:proofErr w:type="spellEnd"/>
      <w:r w:rsidRPr="00EA11E2">
        <w:rPr>
          <w:rFonts w:ascii="Times New Roman" w:hAnsi="Times New Roman" w:cs="Times New Roman"/>
          <w:i/>
          <w:iCs/>
          <w:sz w:val="20"/>
          <w:szCs w:val="20"/>
        </w:rPr>
        <w:t xml:space="preserve"> per le Ville </w:t>
      </w:r>
      <w:proofErr w:type="spellStart"/>
      <w:r w:rsidRPr="00EA11E2">
        <w:rPr>
          <w:rFonts w:ascii="Times New Roman" w:hAnsi="Times New Roman" w:cs="Times New Roman"/>
          <w:i/>
          <w:iCs/>
          <w:sz w:val="20"/>
          <w:szCs w:val="20"/>
        </w:rPr>
        <w:t>vesuviane</w:t>
      </w:r>
      <w:proofErr w:type="spellEnd"/>
      <w:r w:rsidRPr="00EA11E2">
        <w:rPr>
          <w:rFonts w:ascii="Times New Roman" w:hAnsi="Times New Roman" w:cs="Times New Roman"/>
          <w:i/>
          <w:iCs/>
          <w:sz w:val="20"/>
          <w:szCs w:val="20"/>
        </w:rPr>
        <w:t xml:space="preserve"> </w:t>
      </w:r>
      <w:r w:rsidRPr="00EA11E2">
        <w:rPr>
          <w:rFonts w:ascii="Times New Roman" w:hAnsi="Times New Roman" w:cs="Times New Roman"/>
          <w:i/>
          <w:sz w:val="20"/>
          <w:szCs w:val="20"/>
        </w:rPr>
        <w:t xml:space="preserve">v </w:t>
      </w:r>
      <w:r w:rsidRPr="00EA11E2">
        <w:rPr>
          <w:rFonts w:ascii="Times New Roman" w:hAnsi="Times New Roman" w:cs="Times New Roman"/>
          <w:i/>
          <w:iCs/>
          <w:sz w:val="20"/>
          <w:szCs w:val="20"/>
        </w:rPr>
        <w:t xml:space="preserve">Commission </w:t>
      </w:r>
      <w:r w:rsidRPr="00EA11E2">
        <w:rPr>
          <w:rFonts w:ascii="Times New Roman" w:hAnsi="Times New Roman" w:cs="Times New Roman"/>
          <w:i/>
          <w:sz w:val="20"/>
          <w:szCs w:val="20"/>
        </w:rPr>
        <w:t xml:space="preserve">[2009] ECR I-7993, paragraph 45). </w:t>
      </w:r>
    </w:p>
    <w:p w14:paraId="6552B676" w14:textId="77777777" w:rsidR="00925295" w:rsidRPr="00EA11E2" w:rsidRDefault="00433BA6" w:rsidP="0092529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w:t>
      </w:r>
      <w:proofErr w:type="spellStart"/>
      <w:r w:rsidR="008A4BC7" w:rsidRPr="00EA11E2">
        <w:rPr>
          <w:rFonts w:ascii="Times New Roman" w:hAnsi="Times New Roman" w:cs="Times New Roman"/>
          <w:i/>
          <w:sz w:val="20"/>
          <w:szCs w:val="20"/>
        </w:rPr>
        <w:t>Microban</w:t>
      </w:r>
      <w:proofErr w:type="spellEnd"/>
      <w:r w:rsidR="008A4BC7"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case provides </w:t>
      </w:r>
      <w:r w:rsidR="008A4BC7" w:rsidRPr="00EA11E2">
        <w:rPr>
          <w:rFonts w:ascii="Times New Roman" w:hAnsi="Times New Roman" w:cs="Times New Roman"/>
          <w:sz w:val="20"/>
          <w:szCs w:val="20"/>
        </w:rPr>
        <w:t>a practical example of an organization that met the “direct concern” condition. In that case the applicants</w:t>
      </w:r>
      <w:r w:rsidRPr="00EA11E2">
        <w:rPr>
          <w:rFonts w:ascii="Times New Roman" w:hAnsi="Times New Roman" w:cs="Times New Roman"/>
          <w:sz w:val="20"/>
          <w:szCs w:val="20"/>
        </w:rPr>
        <w:t xml:space="preserve">, who were found to be directly concerned by a particular measure, </w:t>
      </w:r>
      <w:r w:rsidR="008A4BC7" w:rsidRPr="00EA11E2">
        <w:rPr>
          <w:rFonts w:ascii="Times New Roman" w:hAnsi="Times New Roman" w:cs="Times New Roman"/>
          <w:sz w:val="20"/>
          <w:szCs w:val="20"/>
        </w:rPr>
        <w:t>bought a particular substance</w:t>
      </w:r>
      <w:r w:rsidRPr="00EA11E2">
        <w:rPr>
          <w:rFonts w:ascii="Times New Roman" w:hAnsi="Times New Roman" w:cs="Times New Roman"/>
          <w:sz w:val="20"/>
          <w:szCs w:val="20"/>
        </w:rPr>
        <w:t xml:space="preserve"> regulated by the measure concerned</w:t>
      </w:r>
      <w:r w:rsidR="008A4BC7" w:rsidRPr="00EA11E2">
        <w:rPr>
          <w:rFonts w:ascii="Times New Roman" w:hAnsi="Times New Roman" w:cs="Times New Roman"/>
          <w:sz w:val="20"/>
          <w:szCs w:val="20"/>
        </w:rPr>
        <w:t xml:space="preserve"> and used it to manufacture a product with particular properties, which was subsequently sold on for us</w:t>
      </w:r>
      <w:r w:rsidRPr="00EA11E2">
        <w:rPr>
          <w:rFonts w:ascii="Times New Roman" w:hAnsi="Times New Roman" w:cs="Times New Roman"/>
          <w:sz w:val="20"/>
          <w:szCs w:val="20"/>
        </w:rPr>
        <w:t>e</w:t>
      </w:r>
      <w:r w:rsidR="008A4BC7" w:rsidRPr="00EA11E2">
        <w:rPr>
          <w:rFonts w:ascii="Times New Roman" w:hAnsi="Times New Roman" w:cs="Times New Roman"/>
          <w:sz w:val="20"/>
          <w:szCs w:val="20"/>
        </w:rPr>
        <w:t xml:space="preserve"> in manufacture</w:t>
      </w:r>
      <w:r w:rsidR="00925295" w:rsidRPr="00EA11E2">
        <w:rPr>
          <w:rFonts w:ascii="Times New Roman" w:hAnsi="Times New Roman" w:cs="Times New Roman"/>
          <w:sz w:val="20"/>
          <w:szCs w:val="20"/>
        </w:rPr>
        <w:t xml:space="preserve">. Thus by being economically affected they were considered by the Court to be directly concerned. </w:t>
      </w:r>
    </w:p>
    <w:p w14:paraId="312EB1CC" w14:textId="77777777" w:rsidR="008A4BC7" w:rsidRPr="00EA11E2" w:rsidRDefault="008A4BC7" w:rsidP="0092529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 </w:t>
      </w:r>
    </w:p>
    <w:p w14:paraId="6767AC49" w14:textId="6AFA3D4A"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It follows from </w:t>
      </w:r>
      <w:r w:rsidR="005305A6" w:rsidRPr="00EA11E2">
        <w:rPr>
          <w:rFonts w:ascii="Times New Roman" w:hAnsi="Times New Roman" w:cs="Times New Roman"/>
          <w:sz w:val="20"/>
          <w:szCs w:val="20"/>
        </w:rPr>
        <w:t xml:space="preserve">the </w:t>
      </w:r>
      <w:proofErr w:type="spellStart"/>
      <w:r w:rsidRPr="00EA11E2">
        <w:rPr>
          <w:rFonts w:ascii="Times New Roman" w:hAnsi="Times New Roman" w:cs="Times New Roman"/>
          <w:i/>
          <w:sz w:val="20"/>
          <w:szCs w:val="20"/>
        </w:rPr>
        <w:t>Microban</w:t>
      </w:r>
      <w:proofErr w:type="spellEnd"/>
      <w:r w:rsidRPr="00EA11E2">
        <w:rPr>
          <w:rFonts w:ascii="Times New Roman" w:hAnsi="Times New Roman" w:cs="Times New Roman"/>
          <w:sz w:val="20"/>
          <w:szCs w:val="20"/>
        </w:rPr>
        <w:t xml:space="preserve"> </w:t>
      </w:r>
      <w:r w:rsidR="005305A6" w:rsidRPr="00EA11E2">
        <w:rPr>
          <w:rFonts w:ascii="Times New Roman" w:hAnsi="Times New Roman" w:cs="Times New Roman"/>
          <w:sz w:val="20"/>
          <w:szCs w:val="20"/>
        </w:rPr>
        <w:t xml:space="preserve">case </w:t>
      </w:r>
      <w:r w:rsidRPr="00EA11E2">
        <w:rPr>
          <w:rFonts w:ascii="Times New Roman" w:hAnsi="Times New Roman" w:cs="Times New Roman"/>
          <w:sz w:val="20"/>
          <w:szCs w:val="20"/>
        </w:rPr>
        <w:t xml:space="preserve">and the case </w:t>
      </w:r>
      <w:r w:rsidR="005305A6" w:rsidRPr="00EA11E2">
        <w:rPr>
          <w:rFonts w:ascii="Times New Roman" w:hAnsi="Times New Roman" w:cs="Times New Roman"/>
          <w:sz w:val="20"/>
          <w:szCs w:val="20"/>
        </w:rPr>
        <w:t>law referred to in that judgement</w:t>
      </w:r>
      <w:r w:rsidRPr="00EA11E2">
        <w:rPr>
          <w:rFonts w:ascii="Times New Roman" w:hAnsi="Times New Roman" w:cs="Times New Roman"/>
          <w:sz w:val="20"/>
          <w:szCs w:val="20"/>
        </w:rPr>
        <w:t xml:space="preserve"> that a </w:t>
      </w:r>
      <w:r w:rsidR="00350924" w:rsidRPr="00EA11E2">
        <w:rPr>
          <w:rFonts w:ascii="Times New Roman" w:hAnsi="Times New Roman" w:cs="Times New Roman"/>
          <w:sz w:val="20"/>
          <w:szCs w:val="20"/>
        </w:rPr>
        <w:t>NGO</w:t>
      </w:r>
      <w:r w:rsidRPr="00EA11E2">
        <w:rPr>
          <w:rFonts w:ascii="Times New Roman" w:hAnsi="Times New Roman" w:cs="Times New Roman"/>
          <w:sz w:val="20"/>
          <w:szCs w:val="20"/>
        </w:rPr>
        <w:t xml:space="preserve"> promoting environmental protection would not be directly concerned </w:t>
      </w:r>
      <w:r w:rsidR="005305A6" w:rsidRPr="00EA11E2">
        <w:rPr>
          <w:rFonts w:ascii="Times New Roman" w:hAnsi="Times New Roman" w:cs="Times New Roman"/>
          <w:sz w:val="20"/>
          <w:szCs w:val="20"/>
        </w:rPr>
        <w:t xml:space="preserve">with </w:t>
      </w:r>
      <w:r w:rsidRPr="00EA11E2">
        <w:rPr>
          <w:rFonts w:ascii="Times New Roman" w:hAnsi="Times New Roman" w:cs="Times New Roman"/>
          <w:sz w:val="20"/>
          <w:szCs w:val="20"/>
        </w:rPr>
        <w:t xml:space="preserve">a contested measure </w:t>
      </w:r>
      <w:r w:rsidR="005305A6" w:rsidRPr="00EA11E2">
        <w:rPr>
          <w:rFonts w:ascii="Times New Roman" w:hAnsi="Times New Roman" w:cs="Times New Roman"/>
          <w:sz w:val="20"/>
          <w:szCs w:val="20"/>
        </w:rPr>
        <w:t xml:space="preserve">unless the measure in question </w:t>
      </w:r>
      <w:r w:rsidRPr="00EA11E2">
        <w:rPr>
          <w:rFonts w:ascii="Times New Roman" w:hAnsi="Times New Roman" w:cs="Times New Roman"/>
          <w:sz w:val="20"/>
          <w:szCs w:val="20"/>
        </w:rPr>
        <w:t xml:space="preserve">directly affected </w:t>
      </w:r>
      <w:r w:rsidR="005305A6" w:rsidRPr="00EA11E2">
        <w:rPr>
          <w:rFonts w:ascii="Times New Roman" w:hAnsi="Times New Roman" w:cs="Times New Roman"/>
          <w:sz w:val="20"/>
          <w:szCs w:val="20"/>
        </w:rPr>
        <w:t xml:space="preserve">the organisation’s </w:t>
      </w:r>
      <w:r w:rsidRPr="00EA11E2">
        <w:rPr>
          <w:rFonts w:ascii="Times New Roman" w:hAnsi="Times New Roman" w:cs="Times New Roman"/>
          <w:sz w:val="20"/>
          <w:szCs w:val="20"/>
        </w:rPr>
        <w:t>legal position. Such a</w:t>
      </w:r>
      <w:r w:rsidR="005305A6" w:rsidRPr="00EA11E2">
        <w:rPr>
          <w:rFonts w:ascii="Times New Roman" w:hAnsi="Times New Roman" w:cs="Times New Roman"/>
          <w:sz w:val="20"/>
          <w:szCs w:val="20"/>
        </w:rPr>
        <w:t xml:space="preserve">n </w:t>
      </w:r>
      <w:r w:rsidRPr="00EA11E2">
        <w:rPr>
          <w:rFonts w:ascii="Times New Roman" w:hAnsi="Times New Roman" w:cs="Times New Roman"/>
          <w:sz w:val="20"/>
          <w:szCs w:val="20"/>
        </w:rPr>
        <w:t xml:space="preserve">organization would always be excluded from instituting proceedings under the third limb of Article 236(4) when it acted purely for the purposes of promoting environmental protection. The Committee considers that whilst Parties have a margin of discretion when establishing criteria for the purposes of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of the Convention, that margin of discretion does not allow them to exclude all non-governmental organisations acting solely for the purposes of promoting environmental protection from judicial redress</w:t>
      </w:r>
      <w:r w:rsidR="005D1D68" w:rsidRPr="00EA11E2">
        <w:rPr>
          <w:rFonts w:ascii="Times New Roman" w:hAnsi="Times New Roman" w:cs="Times New Roman"/>
          <w:sz w:val="20"/>
          <w:szCs w:val="20"/>
        </w:rPr>
        <w:t xml:space="preserve"> (see findings on communication ACCC/C/2005/11 (Belgium)</w:t>
      </w:r>
      <w:r w:rsidR="00350924" w:rsidRPr="00EA11E2">
        <w:rPr>
          <w:rFonts w:ascii="Times New Roman" w:hAnsi="Times New Roman" w:cs="Times New Roman"/>
          <w:sz w:val="20"/>
          <w:szCs w:val="20"/>
        </w:rPr>
        <w:t>, para. 35</w:t>
      </w:r>
      <w:r w:rsidR="005D1D68" w:rsidRPr="00EA11E2">
        <w:rPr>
          <w:rFonts w:ascii="Times New Roman" w:hAnsi="Times New Roman" w:cs="Times New Roman"/>
          <w:sz w:val="20"/>
          <w:szCs w:val="20"/>
        </w:rPr>
        <w:t>)</w:t>
      </w:r>
      <w:r w:rsidRPr="00EA11E2">
        <w:rPr>
          <w:rFonts w:ascii="Times New Roman" w:hAnsi="Times New Roman" w:cs="Times New Roman"/>
          <w:sz w:val="20"/>
          <w:szCs w:val="20"/>
        </w:rPr>
        <w:t>.</w:t>
      </w:r>
    </w:p>
    <w:p w14:paraId="0F4949CF"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9A14326" w14:textId="1D0E2DCE"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It follows that the direct concern criterion alone prevents Article 236(4) from implementing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of the Convention. But even if this were not the case, the final criterion in the third limb would be problematical.</w:t>
      </w:r>
    </w:p>
    <w:p w14:paraId="0A99BE15" w14:textId="77777777" w:rsidR="002E746F" w:rsidRPr="009B3316" w:rsidRDefault="008A4BC7" w:rsidP="002E746F">
      <w:pPr>
        <w:widowControl w:val="0"/>
        <w:tabs>
          <w:tab w:val="left" w:pos="220"/>
          <w:tab w:val="left" w:pos="720"/>
        </w:tabs>
        <w:autoSpaceDE w:val="0"/>
        <w:autoSpaceDN w:val="0"/>
        <w:adjustRightInd w:val="0"/>
        <w:spacing w:after="240" w:line="240" w:lineRule="auto"/>
        <w:rPr>
          <w:rFonts w:ascii="Times New Roman" w:hAnsi="Times New Roman" w:cs="Times New Roman"/>
          <w:sz w:val="20"/>
          <w:szCs w:val="20"/>
          <w:u w:val="single"/>
        </w:rPr>
      </w:pPr>
      <w:r w:rsidRPr="009B3316">
        <w:rPr>
          <w:rFonts w:ascii="Times New Roman" w:hAnsi="Times New Roman" w:cs="Times New Roman"/>
          <w:color w:val="303F49"/>
          <w:sz w:val="20"/>
          <w:szCs w:val="20"/>
          <w:u w:val="single"/>
        </w:rPr>
        <w:t>Does not entail implementing measures</w:t>
      </w:r>
    </w:p>
    <w:p w14:paraId="471DE4B9" w14:textId="77777777" w:rsidR="008A4BC7" w:rsidRPr="00EA11E2" w:rsidRDefault="00DC3FEC"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w:t>
      </w:r>
      <w:r w:rsidR="008A4BC7" w:rsidRPr="00EA11E2">
        <w:rPr>
          <w:rFonts w:ascii="Times New Roman" w:hAnsi="Times New Roman" w:cs="Times New Roman"/>
          <w:sz w:val="20"/>
          <w:szCs w:val="20"/>
        </w:rPr>
        <w:t>n</w:t>
      </w:r>
      <w:r w:rsidR="005305A6" w:rsidRPr="00EA11E2">
        <w:rPr>
          <w:rFonts w:ascii="Times New Roman" w:hAnsi="Times New Roman" w:cs="Times New Roman"/>
          <w:sz w:val="20"/>
          <w:szCs w:val="20"/>
        </w:rPr>
        <w:t xml:space="preserve"> the</w:t>
      </w:r>
      <w:r w:rsidR="008A4BC7" w:rsidRPr="00EA11E2">
        <w:rPr>
          <w:rFonts w:ascii="Times New Roman" w:hAnsi="Times New Roman" w:cs="Times New Roman"/>
          <w:sz w:val="20"/>
          <w:szCs w:val="20"/>
        </w:rPr>
        <w:t xml:space="preserve"> </w:t>
      </w:r>
      <w:proofErr w:type="spellStart"/>
      <w:r w:rsidR="008A4BC7" w:rsidRPr="00EA11E2">
        <w:rPr>
          <w:rFonts w:ascii="Times New Roman" w:hAnsi="Times New Roman" w:cs="Times New Roman"/>
          <w:i/>
          <w:sz w:val="20"/>
          <w:szCs w:val="20"/>
        </w:rPr>
        <w:t>Microban</w:t>
      </w:r>
      <w:proofErr w:type="spellEnd"/>
      <w:r w:rsidR="005305A6" w:rsidRPr="00EA11E2">
        <w:rPr>
          <w:rFonts w:ascii="Times New Roman" w:hAnsi="Times New Roman" w:cs="Times New Roman"/>
          <w:sz w:val="20"/>
          <w:szCs w:val="20"/>
        </w:rPr>
        <w:t xml:space="preserve"> case</w:t>
      </w:r>
      <w:r w:rsidR="00773F28" w:rsidRPr="00EA11E2">
        <w:rPr>
          <w:rFonts w:ascii="Times New Roman" w:hAnsi="Times New Roman" w:cs="Times New Roman"/>
          <w:sz w:val="20"/>
          <w:szCs w:val="20"/>
        </w:rPr>
        <w:t>,</w:t>
      </w:r>
      <w:r w:rsidR="005305A6" w:rsidRPr="00EA11E2">
        <w:rPr>
          <w:rFonts w:ascii="Times New Roman" w:hAnsi="Times New Roman" w:cs="Times New Roman"/>
          <w:sz w:val="20"/>
          <w:szCs w:val="20"/>
        </w:rPr>
        <w:t xml:space="preserve"> the </w:t>
      </w:r>
      <w:r w:rsidR="00DE5F74" w:rsidRPr="00EA11E2">
        <w:rPr>
          <w:rFonts w:ascii="Times New Roman" w:hAnsi="Times New Roman" w:cs="Times New Roman"/>
          <w:sz w:val="20"/>
          <w:szCs w:val="20"/>
        </w:rPr>
        <w:t xml:space="preserve">Court </w:t>
      </w:r>
      <w:r w:rsidR="005305A6" w:rsidRPr="00EA11E2">
        <w:rPr>
          <w:rFonts w:ascii="Times New Roman" w:hAnsi="Times New Roman" w:cs="Times New Roman"/>
          <w:sz w:val="20"/>
          <w:szCs w:val="20"/>
        </w:rPr>
        <w:t xml:space="preserve">reiterated that </w:t>
      </w:r>
      <w:r w:rsidR="008A4BC7" w:rsidRPr="00EA11E2">
        <w:rPr>
          <w:rFonts w:ascii="Times New Roman" w:hAnsi="Times New Roman" w:cs="Times New Roman"/>
          <w:sz w:val="20"/>
          <w:szCs w:val="20"/>
        </w:rPr>
        <w:t>an act within the scope of the third limb of Article 236(4) must leave no discretion to its addressees, who are entrusted with the task of implementing it, such implementation being purely automatic and resulting from Community rules without the application of other intermediate rules.</w:t>
      </w:r>
    </w:p>
    <w:p w14:paraId="60DC76C8"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4C5ADE0" w14:textId="77777777" w:rsidR="005305A6" w:rsidRPr="00EA11E2" w:rsidRDefault="008A4BC7" w:rsidP="005305A6">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It is clear to the Committee that at least some acts that should be susceptible to administrative or judicial review under </w:t>
      </w:r>
      <w:r w:rsidR="005A3774" w:rsidRPr="00EA11E2">
        <w:rPr>
          <w:rFonts w:ascii="Times New Roman" w:hAnsi="Times New Roman" w:cs="Times New Roman"/>
          <w:sz w:val="20"/>
          <w:szCs w:val="20"/>
        </w:rPr>
        <w:t>article 9, paragraph 3</w:t>
      </w:r>
      <w:r w:rsidR="00A10992" w:rsidRPr="00EA11E2">
        <w:rPr>
          <w:rFonts w:ascii="Times New Roman" w:hAnsi="Times New Roman" w:cs="Times New Roman"/>
          <w:sz w:val="20"/>
          <w:szCs w:val="20"/>
        </w:rPr>
        <w:t>,</w:t>
      </w:r>
      <w:r w:rsidRPr="00EA11E2">
        <w:rPr>
          <w:rFonts w:ascii="Times New Roman" w:hAnsi="Times New Roman" w:cs="Times New Roman"/>
          <w:sz w:val="20"/>
          <w:szCs w:val="20"/>
        </w:rPr>
        <w:t xml:space="preserve"> </w:t>
      </w:r>
      <w:r w:rsidR="005305A6" w:rsidRPr="00EA11E2">
        <w:rPr>
          <w:rFonts w:ascii="Times New Roman" w:hAnsi="Times New Roman" w:cs="Times New Roman"/>
          <w:sz w:val="20"/>
          <w:szCs w:val="20"/>
        </w:rPr>
        <w:t xml:space="preserve">of the Convention </w:t>
      </w:r>
      <w:r w:rsidRPr="00EA11E2">
        <w:rPr>
          <w:rFonts w:ascii="Times New Roman" w:hAnsi="Times New Roman" w:cs="Times New Roman"/>
          <w:sz w:val="20"/>
          <w:szCs w:val="20"/>
        </w:rPr>
        <w:t xml:space="preserve">would not meet this criterion. </w:t>
      </w:r>
    </w:p>
    <w:p w14:paraId="2EAC2E56"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E7A696B" w14:textId="77777777" w:rsidR="008A4BC7" w:rsidRPr="00EA11E2" w:rsidRDefault="008A4BC7" w:rsidP="005D1D68">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It follows that the third limb of Article 236(4) TFEU, as applied by the European Courts, does not implement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of the Convention</w:t>
      </w:r>
      <w:r w:rsidR="005D1D68" w:rsidRPr="00EA11E2">
        <w:rPr>
          <w:rFonts w:ascii="Times New Roman" w:hAnsi="Times New Roman" w:cs="Times New Roman"/>
          <w:sz w:val="20"/>
          <w:szCs w:val="20"/>
        </w:rPr>
        <w:t>; there is no basis in the Convention for excluding from the scope of this provision acts which include implementing measures.</w:t>
      </w:r>
    </w:p>
    <w:p w14:paraId="592AEEFC" w14:textId="77777777" w:rsidR="005305A6" w:rsidRPr="00EA11E2" w:rsidRDefault="005305A6" w:rsidP="005305A6">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 </w:t>
      </w:r>
    </w:p>
    <w:p w14:paraId="5F1F0D77" w14:textId="77777777" w:rsidR="00EE1FF9" w:rsidRPr="00EA11E2" w:rsidRDefault="005305A6" w:rsidP="00EE1FF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Committee reiterates tha</w:t>
      </w:r>
      <w:r w:rsidR="00EE1FF9" w:rsidRPr="00EA11E2">
        <w:rPr>
          <w:rFonts w:ascii="Times New Roman" w:hAnsi="Times New Roman" w:cs="Times New Roman"/>
          <w:sz w:val="20"/>
          <w:szCs w:val="20"/>
        </w:rPr>
        <w:t xml:space="preserve">t whilst </w:t>
      </w:r>
      <w:r w:rsidR="005A3774" w:rsidRPr="00EA11E2">
        <w:rPr>
          <w:rFonts w:ascii="Times New Roman" w:hAnsi="Times New Roman" w:cs="Times New Roman"/>
          <w:sz w:val="20"/>
          <w:szCs w:val="20"/>
        </w:rPr>
        <w:t xml:space="preserve">article 9, paragraph 3 </w:t>
      </w:r>
      <w:r w:rsidR="00EE1FF9" w:rsidRPr="00EA11E2">
        <w:rPr>
          <w:rFonts w:ascii="Times New Roman" w:hAnsi="Times New Roman" w:cs="Times New Roman"/>
          <w:sz w:val="20"/>
          <w:szCs w:val="20"/>
        </w:rPr>
        <w:t>allows Parties a degree of discretion to provide criteria that must be met by members of the public before they have access to justice, it does not allow Parties any discretion as to the acts that may be excluded from implementing laws.</w:t>
      </w:r>
    </w:p>
    <w:p w14:paraId="455478DA" w14:textId="77777777" w:rsidR="008A4BC7" w:rsidRPr="009B3316" w:rsidRDefault="008A4BC7" w:rsidP="008A4BC7">
      <w:pPr>
        <w:spacing w:line="240" w:lineRule="auto"/>
        <w:rPr>
          <w:rFonts w:ascii="Times New Roman" w:hAnsi="Times New Roman" w:cs="Times New Roman"/>
          <w:b/>
          <w:i/>
          <w:sz w:val="20"/>
          <w:szCs w:val="20"/>
        </w:rPr>
      </w:pPr>
      <w:r w:rsidRPr="009B3316">
        <w:rPr>
          <w:rFonts w:ascii="Times New Roman" w:hAnsi="Times New Roman" w:cs="Times New Roman"/>
          <w:b/>
          <w:i/>
          <w:sz w:val="20"/>
          <w:szCs w:val="20"/>
        </w:rPr>
        <w:t xml:space="preserve">Concluding remarks on jurisprudence </w:t>
      </w:r>
    </w:p>
    <w:p w14:paraId="54AD2F3E"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21" w:name="_Toc302830032"/>
      <w:bookmarkEnd w:id="20"/>
      <w:r w:rsidRPr="00EA11E2">
        <w:rPr>
          <w:rFonts w:ascii="Times New Roman" w:hAnsi="Times New Roman" w:cs="Times New Roman"/>
          <w:sz w:val="20"/>
          <w:szCs w:val="20"/>
        </w:rPr>
        <w:t>Having considered the main jurisprudence of the EU Courts since Part I, the Committee finds that there has been no new direction of the jurisprudence of the EU Courts that will ensure compliance with the Convention.</w:t>
      </w:r>
      <w:bookmarkEnd w:id="21"/>
    </w:p>
    <w:p w14:paraId="12FA3485"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23BD8160" w14:textId="77777777"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In this regard, the Committee notes that in</w:t>
      </w:r>
      <w:r w:rsidR="00714EE5" w:rsidRPr="00EA11E2">
        <w:rPr>
          <w:rFonts w:ascii="Times New Roman" w:hAnsi="Times New Roman" w:cs="Times New Roman"/>
          <w:sz w:val="20"/>
          <w:szCs w:val="20"/>
        </w:rPr>
        <w:t xml:space="preserve"> the </w:t>
      </w:r>
      <w:r w:rsidR="00714EE5" w:rsidRPr="00EA11E2">
        <w:rPr>
          <w:rFonts w:ascii="Times New Roman" w:hAnsi="Times New Roman" w:cs="Times New Roman"/>
          <w:i/>
          <w:sz w:val="20"/>
          <w:szCs w:val="20"/>
        </w:rPr>
        <w:t xml:space="preserve">Slovak Bears </w:t>
      </w:r>
      <w:r w:rsidR="00714EE5" w:rsidRPr="00EA11E2">
        <w:rPr>
          <w:rFonts w:ascii="Times New Roman" w:hAnsi="Times New Roman" w:cs="Times New Roman"/>
          <w:sz w:val="20"/>
          <w:szCs w:val="20"/>
        </w:rPr>
        <w:t>case</w:t>
      </w:r>
      <w:r w:rsidRPr="00EA11E2">
        <w:rPr>
          <w:rFonts w:ascii="Times New Roman" w:hAnsi="Times New Roman" w:cs="Times New Roman"/>
          <w:bCs/>
          <w:sz w:val="20"/>
          <w:szCs w:val="20"/>
        </w:rPr>
        <w:t>, the CJEU made the following findings.</w:t>
      </w:r>
    </w:p>
    <w:p w14:paraId="3818F60D" w14:textId="77777777" w:rsidR="008A4BC7" w:rsidRPr="00EA11E2" w:rsidRDefault="008A4BC7" w:rsidP="008A4BC7">
      <w:pPr>
        <w:widowControl w:val="0"/>
        <w:autoSpaceDE w:val="0"/>
        <w:autoSpaceDN w:val="0"/>
        <w:adjustRightInd w:val="0"/>
        <w:spacing w:after="320" w:line="240" w:lineRule="auto"/>
        <w:ind w:left="720"/>
        <w:jc w:val="both"/>
        <w:rPr>
          <w:rFonts w:ascii="Times New Roman" w:hAnsi="Times New Roman" w:cs="Times New Roman"/>
          <w:i/>
          <w:sz w:val="20"/>
          <w:szCs w:val="20"/>
        </w:rPr>
      </w:pPr>
      <w:r w:rsidRPr="00EA11E2">
        <w:rPr>
          <w:rFonts w:ascii="Times New Roman" w:hAnsi="Times New Roman" w:cs="Times New Roman"/>
          <w:i/>
          <w:sz w:val="20"/>
          <w:szCs w:val="20"/>
        </w:rPr>
        <w:t xml:space="preserve">49 … if the effective protection of EU environmental law is not to be undermined, it is inconceivable that Article 9(3) of the Aarhus Convention be interpreted in such a way as to make it in practice impossible or excessively difficult to exercise rights conferred by EU law. </w:t>
      </w:r>
    </w:p>
    <w:p w14:paraId="30A410B6" w14:textId="77777777" w:rsidR="008A4BC7" w:rsidRPr="00EA11E2" w:rsidRDefault="008A4BC7" w:rsidP="008A4BC7">
      <w:pPr>
        <w:widowControl w:val="0"/>
        <w:autoSpaceDE w:val="0"/>
        <w:autoSpaceDN w:val="0"/>
        <w:adjustRightInd w:val="0"/>
        <w:spacing w:after="320" w:line="240" w:lineRule="auto"/>
        <w:ind w:left="720"/>
        <w:jc w:val="both"/>
        <w:rPr>
          <w:rFonts w:ascii="Times New Roman" w:hAnsi="Times New Roman" w:cs="Times New Roman"/>
          <w:i/>
          <w:sz w:val="20"/>
          <w:szCs w:val="20"/>
        </w:rPr>
      </w:pPr>
      <w:r w:rsidRPr="00EA11E2">
        <w:rPr>
          <w:rFonts w:ascii="Times New Roman" w:hAnsi="Times New Roman" w:cs="Times New Roman"/>
          <w:i/>
          <w:sz w:val="20"/>
          <w:szCs w:val="20"/>
        </w:rPr>
        <w:t xml:space="preserve">50. It follows that … it is for the national court, in order to ensure effective judicial protection in the fields covered by EU environmental law, to interpret its national law in a way which, to the fullest extent possible, is consistent with the objectives laid down in Article 9(3) of the Aarhus Convention. </w:t>
      </w:r>
    </w:p>
    <w:p w14:paraId="2121F49B" w14:textId="77777777" w:rsidR="008A4BC7" w:rsidRPr="00EA11E2" w:rsidRDefault="008A4BC7" w:rsidP="008A4BC7">
      <w:pPr>
        <w:widowControl w:val="0"/>
        <w:autoSpaceDE w:val="0"/>
        <w:autoSpaceDN w:val="0"/>
        <w:adjustRightInd w:val="0"/>
        <w:spacing w:after="320" w:line="240" w:lineRule="auto"/>
        <w:ind w:left="720"/>
        <w:jc w:val="both"/>
        <w:rPr>
          <w:rFonts w:ascii="Times New Roman" w:hAnsi="Times New Roman" w:cs="Times New Roman"/>
          <w:i/>
          <w:sz w:val="20"/>
          <w:szCs w:val="20"/>
        </w:rPr>
      </w:pPr>
      <w:r w:rsidRPr="00EA11E2">
        <w:rPr>
          <w:rFonts w:ascii="Times New Roman" w:hAnsi="Times New Roman" w:cs="Times New Roman"/>
          <w:i/>
          <w:sz w:val="20"/>
          <w:szCs w:val="20"/>
        </w:rPr>
        <w:t xml:space="preserve">51. Therefore, it is for the referring court to interpret, to the fullest extent possible, the procedural rules relating to the conditions to be met in order to bring administrative or judicial proceedings in accordance with the objectives of Article 9(3) of the Aarhus Convention and the objective of effective judicial protection of the rights conferred by EU law, so as to enable an environmental protection organisation, such as the </w:t>
      </w:r>
      <w:proofErr w:type="spellStart"/>
      <w:r w:rsidRPr="00EA11E2">
        <w:rPr>
          <w:rFonts w:ascii="Times New Roman" w:hAnsi="Times New Roman" w:cs="Times New Roman"/>
          <w:i/>
          <w:sz w:val="20"/>
          <w:szCs w:val="20"/>
        </w:rPr>
        <w:t>zoskupenie</w:t>
      </w:r>
      <w:proofErr w:type="spellEnd"/>
      <w:r w:rsidRPr="00EA11E2">
        <w:rPr>
          <w:rFonts w:ascii="Times New Roman" w:hAnsi="Times New Roman" w:cs="Times New Roman"/>
          <w:i/>
          <w:sz w:val="20"/>
          <w:szCs w:val="20"/>
        </w:rPr>
        <w:t>, to challenge before a court a decision taken following administrative proceedings liable to be contrary to EU environmental law (see, to that effect, Case C</w:t>
      </w:r>
      <w:r w:rsidRPr="00EA11E2">
        <w:rPr>
          <w:rFonts w:ascii="MS Mincho" w:eastAsia="MS Mincho" w:hAnsi="MS Mincho" w:cs="MS Mincho" w:hint="eastAsia"/>
          <w:i/>
          <w:sz w:val="20"/>
          <w:szCs w:val="20"/>
        </w:rPr>
        <w:t>‑</w:t>
      </w:r>
      <w:r w:rsidRPr="00EA11E2">
        <w:rPr>
          <w:rFonts w:ascii="Times New Roman" w:hAnsi="Times New Roman" w:cs="Times New Roman"/>
          <w:i/>
          <w:sz w:val="20"/>
          <w:szCs w:val="20"/>
        </w:rPr>
        <w:t xml:space="preserve">432/05 </w:t>
      </w:r>
      <w:proofErr w:type="spellStart"/>
      <w:r w:rsidRPr="00EA11E2">
        <w:rPr>
          <w:rFonts w:ascii="Times New Roman" w:hAnsi="Times New Roman" w:cs="Times New Roman"/>
          <w:i/>
          <w:iCs/>
          <w:sz w:val="20"/>
          <w:szCs w:val="20"/>
        </w:rPr>
        <w:t>Unibet</w:t>
      </w:r>
      <w:proofErr w:type="spellEnd"/>
      <w:r w:rsidRPr="00EA11E2">
        <w:rPr>
          <w:rFonts w:ascii="Times New Roman" w:hAnsi="Times New Roman" w:cs="Times New Roman"/>
          <w:i/>
          <w:sz w:val="20"/>
          <w:szCs w:val="20"/>
        </w:rPr>
        <w:t xml:space="preserve"> [2007] ECR I</w:t>
      </w:r>
      <w:r w:rsidRPr="00EA11E2">
        <w:rPr>
          <w:rFonts w:ascii="MS Mincho" w:eastAsia="MS Mincho" w:hAnsi="MS Mincho" w:cs="MS Mincho" w:hint="eastAsia"/>
          <w:i/>
          <w:sz w:val="20"/>
          <w:szCs w:val="20"/>
        </w:rPr>
        <w:t>‑</w:t>
      </w:r>
      <w:r w:rsidRPr="00EA11E2">
        <w:rPr>
          <w:rFonts w:ascii="Times New Roman" w:hAnsi="Times New Roman" w:cs="Times New Roman"/>
          <w:i/>
          <w:sz w:val="20"/>
          <w:szCs w:val="20"/>
        </w:rPr>
        <w:t xml:space="preserve">2271, paragraph 44, and </w:t>
      </w:r>
      <w:r w:rsidRPr="00EA11E2">
        <w:rPr>
          <w:rFonts w:ascii="Times New Roman" w:hAnsi="Times New Roman" w:cs="Times New Roman"/>
          <w:i/>
          <w:iCs/>
          <w:sz w:val="20"/>
          <w:szCs w:val="20"/>
        </w:rPr>
        <w:t>Impact</w:t>
      </w:r>
      <w:r w:rsidRPr="00EA11E2">
        <w:rPr>
          <w:rFonts w:ascii="Times New Roman" w:hAnsi="Times New Roman" w:cs="Times New Roman"/>
          <w:i/>
          <w:sz w:val="20"/>
          <w:szCs w:val="20"/>
        </w:rPr>
        <w:t xml:space="preserve">, paragraph 54). </w:t>
      </w:r>
    </w:p>
    <w:p w14:paraId="2EB193A9" w14:textId="77777777" w:rsidR="008A4BC7" w:rsidRPr="00EA11E2" w:rsidRDefault="008A4BC7" w:rsidP="008A4BC7">
      <w:pPr>
        <w:widowControl w:val="0"/>
        <w:autoSpaceDE w:val="0"/>
        <w:autoSpaceDN w:val="0"/>
        <w:adjustRightInd w:val="0"/>
        <w:spacing w:after="320" w:line="240" w:lineRule="auto"/>
        <w:ind w:left="720"/>
        <w:jc w:val="both"/>
        <w:rPr>
          <w:rFonts w:ascii="Times New Roman" w:hAnsi="Times New Roman" w:cs="Times New Roman"/>
          <w:i/>
          <w:sz w:val="20"/>
          <w:szCs w:val="20"/>
        </w:rPr>
      </w:pPr>
      <w:r w:rsidRPr="00EA11E2">
        <w:rPr>
          <w:rFonts w:ascii="Times New Roman" w:hAnsi="Times New Roman" w:cs="Times New Roman"/>
          <w:i/>
          <w:sz w:val="20"/>
          <w:szCs w:val="20"/>
        </w:rPr>
        <w:t xml:space="preserve">52. In those circumstances … Article 9(3) of the Aarhus Convention does not have direct effect in EU law. It is, however, for the referring court to interpret, to the fullest extent possible, the procedural rules relating to the conditions to be met in order to bring administrative or judicial proceedings in accordance with the objectives of Article 9(3) of that convention and the objective of effective judicial protection of the rights conferred by EU law, in order to enable an environmental protection organization …  to challenge before a court a decision taken following administrative proceedings liable to be contrary to EU environmental law. </w:t>
      </w:r>
    </w:p>
    <w:p w14:paraId="6D7A7A75" w14:textId="77777777" w:rsidR="00FF3C73" w:rsidRPr="00EA11E2" w:rsidRDefault="00DC3FEC" w:rsidP="00FF3C73">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Committee regrets</w:t>
      </w:r>
      <w:r w:rsidR="008A4BC7" w:rsidRPr="00EA11E2">
        <w:rPr>
          <w:rFonts w:ascii="Times New Roman" w:hAnsi="Times New Roman" w:cs="Times New Roman"/>
          <w:sz w:val="20"/>
          <w:szCs w:val="20"/>
        </w:rPr>
        <w:t xml:space="preserve"> that</w:t>
      </w:r>
      <w:r w:rsidRPr="00EA11E2">
        <w:rPr>
          <w:rFonts w:ascii="Times New Roman" w:hAnsi="Times New Roman" w:cs="Times New Roman"/>
          <w:sz w:val="20"/>
          <w:szCs w:val="20"/>
        </w:rPr>
        <w:t>,</w:t>
      </w:r>
      <w:r w:rsidR="008A4BC7"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while the ECJ has held that national courts </w:t>
      </w:r>
      <w:r w:rsidR="008A4BC7" w:rsidRPr="00EA11E2">
        <w:rPr>
          <w:rFonts w:ascii="Times New Roman" w:hAnsi="Times New Roman" w:cs="Times New Roman"/>
          <w:sz w:val="20"/>
          <w:szCs w:val="20"/>
        </w:rPr>
        <w:t xml:space="preserve">are bound to interpret, to the fullest extent possible, procedural rules relating to the conditions to be met in order to bring administrative or judicial proceedings in accordance with the objectives of </w:t>
      </w:r>
      <w:r w:rsidR="005A3774" w:rsidRPr="00EA11E2">
        <w:rPr>
          <w:rFonts w:ascii="Times New Roman" w:hAnsi="Times New Roman" w:cs="Times New Roman"/>
          <w:sz w:val="20"/>
          <w:szCs w:val="20"/>
        </w:rPr>
        <w:t>article 9, paragraph 3</w:t>
      </w:r>
      <w:r w:rsidRPr="00EA11E2">
        <w:rPr>
          <w:rFonts w:ascii="Times New Roman" w:hAnsi="Times New Roman" w:cs="Times New Roman"/>
          <w:sz w:val="20"/>
          <w:szCs w:val="20"/>
        </w:rPr>
        <w:t>, it d</w:t>
      </w:r>
      <w:r w:rsidR="00EB483A" w:rsidRPr="00EA11E2">
        <w:rPr>
          <w:rFonts w:ascii="Times New Roman" w:hAnsi="Times New Roman" w:cs="Times New Roman"/>
          <w:sz w:val="20"/>
          <w:szCs w:val="20"/>
        </w:rPr>
        <w:t>oes</w:t>
      </w:r>
      <w:r w:rsidRPr="00EA11E2">
        <w:rPr>
          <w:rFonts w:ascii="Times New Roman" w:hAnsi="Times New Roman" w:cs="Times New Roman"/>
          <w:sz w:val="20"/>
          <w:szCs w:val="20"/>
        </w:rPr>
        <w:t xml:space="preserve"> not apply this principle to itself</w:t>
      </w:r>
      <w:r w:rsidR="008A4BC7" w:rsidRPr="00EA11E2">
        <w:rPr>
          <w:rFonts w:ascii="Times New Roman" w:hAnsi="Times New Roman" w:cs="Times New Roman"/>
          <w:sz w:val="20"/>
          <w:szCs w:val="20"/>
        </w:rPr>
        <w:t xml:space="preserve">. </w:t>
      </w:r>
    </w:p>
    <w:p w14:paraId="0EB8BFF6" w14:textId="77777777" w:rsidR="00FF3C73" w:rsidRPr="00EA11E2" w:rsidRDefault="00FF3C73" w:rsidP="00FF3C73">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60A8F1BE" w14:textId="77777777" w:rsidR="00172CBB" w:rsidRPr="00EA11E2" w:rsidRDefault="008A4BC7" w:rsidP="00172CBB">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Committee considers that if the EU Courts had been bound in the same way as the national courts, the EU might have moved </w:t>
      </w:r>
      <w:r w:rsidR="00A10992" w:rsidRPr="00EA11E2">
        <w:rPr>
          <w:rFonts w:ascii="Times New Roman" w:hAnsi="Times New Roman" w:cs="Times New Roman"/>
          <w:sz w:val="20"/>
          <w:szCs w:val="20"/>
        </w:rPr>
        <w:t>towards</w:t>
      </w:r>
      <w:r w:rsidRPr="00EA11E2">
        <w:rPr>
          <w:rFonts w:ascii="Times New Roman" w:hAnsi="Times New Roman" w:cs="Times New Roman"/>
          <w:sz w:val="20"/>
          <w:szCs w:val="20"/>
        </w:rPr>
        <w:t xml:space="preserve"> compliance with </w:t>
      </w:r>
      <w:r w:rsidR="005A3774" w:rsidRPr="00EA11E2">
        <w:rPr>
          <w:rFonts w:ascii="Times New Roman" w:hAnsi="Times New Roman" w:cs="Times New Roman"/>
          <w:sz w:val="20"/>
          <w:szCs w:val="20"/>
        </w:rPr>
        <w:t>article 9, paragraph 3</w:t>
      </w:r>
      <w:r w:rsidRPr="00EA11E2">
        <w:rPr>
          <w:rFonts w:ascii="Times New Roman" w:hAnsi="Times New Roman" w:cs="Times New Roman"/>
          <w:sz w:val="20"/>
          <w:szCs w:val="20"/>
        </w:rPr>
        <w:t>.</w:t>
      </w:r>
    </w:p>
    <w:p w14:paraId="4C4EFAC3" w14:textId="77777777" w:rsidR="00172CBB" w:rsidRPr="00EA11E2" w:rsidRDefault="00172CBB" w:rsidP="00110518">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 </w:t>
      </w:r>
    </w:p>
    <w:p w14:paraId="0CF6E488" w14:textId="2D31A472" w:rsidR="00172CBB" w:rsidRPr="00EA11E2" w:rsidRDefault="00172CBB" w:rsidP="005D1D68">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The Committee adds that, according to the current jurisprudence the EU</w:t>
      </w:r>
      <w:r w:rsidR="0034756A" w:rsidRPr="00EA11E2">
        <w:rPr>
          <w:rFonts w:ascii="Times New Roman" w:hAnsi="Times New Roman" w:cs="Times New Roman"/>
          <w:color w:val="000000"/>
          <w:sz w:val="20"/>
          <w:szCs w:val="20"/>
        </w:rPr>
        <w:t xml:space="preserve"> Courts may not</w:t>
      </w:r>
      <w:r w:rsidRPr="00EA11E2">
        <w:rPr>
          <w:rFonts w:ascii="Times New Roman" w:hAnsi="Times New Roman" w:cs="Times New Roman"/>
          <w:color w:val="000000"/>
          <w:sz w:val="20"/>
          <w:szCs w:val="20"/>
        </w:rPr>
        <w:t xml:space="preserve"> assess whether key provisions in the Aarhus Regulation implemen</w:t>
      </w:r>
      <w:r w:rsidR="0034756A" w:rsidRPr="00EA11E2">
        <w:rPr>
          <w:rFonts w:ascii="Times New Roman" w:hAnsi="Times New Roman" w:cs="Times New Roman"/>
          <w:color w:val="000000"/>
          <w:sz w:val="20"/>
          <w:szCs w:val="20"/>
        </w:rPr>
        <w:t xml:space="preserve">t or comply with </w:t>
      </w:r>
      <w:r w:rsidR="00773F28" w:rsidRPr="00EA11E2">
        <w:rPr>
          <w:rFonts w:ascii="Times New Roman" w:hAnsi="Times New Roman" w:cs="Times New Roman"/>
          <w:color w:val="000000"/>
          <w:sz w:val="20"/>
          <w:szCs w:val="20"/>
        </w:rPr>
        <w:t xml:space="preserve">article 9, </w:t>
      </w:r>
      <w:r w:rsidR="0034756A" w:rsidRPr="00EA11E2">
        <w:rPr>
          <w:rFonts w:ascii="Times New Roman" w:hAnsi="Times New Roman" w:cs="Times New Roman"/>
          <w:color w:val="000000"/>
          <w:sz w:val="20"/>
          <w:szCs w:val="20"/>
        </w:rPr>
        <w:t>paragraph 3</w:t>
      </w:r>
      <w:r w:rsidRPr="00EA11E2">
        <w:rPr>
          <w:rFonts w:ascii="Times New Roman" w:hAnsi="Times New Roman" w:cs="Times New Roman"/>
          <w:color w:val="000000"/>
          <w:sz w:val="20"/>
          <w:szCs w:val="20"/>
        </w:rPr>
        <w:t>.</w:t>
      </w:r>
      <w:r w:rsidR="00431A87" w:rsidRPr="00EA11E2">
        <w:rPr>
          <w:rFonts w:ascii="Times New Roman" w:hAnsi="Times New Roman" w:cs="Times New Roman"/>
          <w:color w:val="000000"/>
          <w:sz w:val="20"/>
          <w:szCs w:val="20"/>
        </w:rPr>
        <w:t xml:space="preserve"> So the Committee is obliged, in accordance with its mandate, to assess whether the provisions of the Aarhus Regulation are consistent with the Convention. </w:t>
      </w:r>
      <w:r w:rsidR="00C71E05" w:rsidRPr="00EA11E2">
        <w:rPr>
          <w:rFonts w:ascii="Times New Roman" w:hAnsi="Times New Roman" w:cs="Times New Roman"/>
          <w:color w:val="000000"/>
          <w:sz w:val="20"/>
          <w:szCs w:val="20"/>
        </w:rPr>
        <w:t>I</w:t>
      </w:r>
      <w:r w:rsidR="0034756A" w:rsidRPr="00EA11E2">
        <w:rPr>
          <w:rFonts w:ascii="Times New Roman" w:hAnsi="Times New Roman" w:cs="Times New Roman"/>
          <w:color w:val="000000"/>
          <w:sz w:val="20"/>
          <w:szCs w:val="20"/>
        </w:rPr>
        <w:t>f</w:t>
      </w:r>
      <w:r w:rsidR="00C71E05" w:rsidRPr="00EA11E2">
        <w:rPr>
          <w:rFonts w:ascii="Times New Roman" w:hAnsi="Times New Roman" w:cs="Times New Roman"/>
          <w:color w:val="000000"/>
          <w:sz w:val="20"/>
          <w:szCs w:val="20"/>
        </w:rPr>
        <w:t>, however,</w:t>
      </w:r>
      <w:r w:rsidR="0034756A" w:rsidRPr="00EA11E2">
        <w:rPr>
          <w:rFonts w:ascii="Times New Roman" w:hAnsi="Times New Roman" w:cs="Times New Roman"/>
          <w:color w:val="000000"/>
          <w:sz w:val="20"/>
          <w:szCs w:val="20"/>
        </w:rPr>
        <w:t xml:space="preserve"> the EU Courts had allowed themselves to rely on </w:t>
      </w:r>
      <w:r w:rsidR="00773F28" w:rsidRPr="00EA11E2">
        <w:rPr>
          <w:rFonts w:ascii="Times New Roman" w:hAnsi="Times New Roman" w:cs="Times New Roman"/>
          <w:color w:val="000000"/>
          <w:sz w:val="20"/>
          <w:szCs w:val="20"/>
        </w:rPr>
        <w:t xml:space="preserve">article 9, </w:t>
      </w:r>
      <w:r w:rsidR="0034756A" w:rsidRPr="00EA11E2">
        <w:rPr>
          <w:rFonts w:ascii="Times New Roman" w:hAnsi="Times New Roman" w:cs="Times New Roman"/>
          <w:color w:val="000000"/>
          <w:sz w:val="20"/>
          <w:szCs w:val="20"/>
        </w:rPr>
        <w:t>paragraph 3</w:t>
      </w:r>
      <w:r w:rsidR="00773F28" w:rsidRPr="00EA11E2">
        <w:rPr>
          <w:rFonts w:ascii="Times New Roman" w:hAnsi="Times New Roman" w:cs="Times New Roman"/>
          <w:color w:val="000000"/>
          <w:sz w:val="20"/>
          <w:szCs w:val="20"/>
        </w:rPr>
        <w:t>,</w:t>
      </w:r>
      <w:r w:rsidR="0034756A" w:rsidRPr="00EA11E2">
        <w:rPr>
          <w:rFonts w:ascii="Times New Roman" w:hAnsi="Times New Roman" w:cs="Times New Roman"/>
          <w:color w:val="000000"/>
          <w:sz w:val="20"/>
          <w:szCs w:val="20"/>
        </w:rPr>
        <w:t xml:space="preserve"> of the Convention to assess the legality of Article 10(1) of the Aarhus Regulation that could have assisted the Party concerned to comply with its obligations under the Convention.</w:t>
      </w:r>
    </w:p>
    <w:p w14:paraId="76A9F923" w14:textId="77777777" w:rsidR="008A4BC7" w:rsidRPr="009B3316" w:rsidRDefault="008A4BC7" w:rsidP="008A4BC7">
      <w:pPr>
        <w:spacing w:line="240" w:lineRule="auto"/>
        <w:rPr>
          <w:rFonts w:ascii="Times New Roman" w:hAnsi="Times New Roman" w:cs="Times New Roman"/>
          <w:i/>
          <w:sz w:val="20"/>
          <w:szCs w:val="20"/>
        </w:rPr>
      </w:pPr>
      <w:bookmarkStart w:id="22" w:name="_Toc302830034"/>
      <w:r w:rsidRPr="009B3316">
        <w:rPr>
          <w:rFonts w:ascii="Times New Roman" w:hAnsi="Times New Roman" w:cs="Times New Roman"/>
          <w:b/>
          <w:i/>
          <w:sz w:val="20"/>
          <w:szCs w:val="20"/>
        </w:rPr>
        <w:t>The Aarhus Regulation: introduction</w:t>
      </w:r>
      <w:bookmarkEnd w:id="22"/>
    </w:p>
    <w:p w14:paraId="71C7BBB5"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23" w:name="_Toc302830035"/>
      <w:r w:rsidRPr="00EA11E2">
        <w:rPr>
          <w:rFonts w:ascii="Times New Roman" w:hAnsi="Times New Roman" w:cs="Times New Roman"/>
          <w:sz w:val="20"/>
          <w:szCs w:val="20"/>
        </w:rPr>
        <w:t>I</w:t>
      </w:r>
      <w:bookmarkStart w:id="24" w:name="_Toc302830036"/>
      <w:bookmarkEnd w:id="23"/>
      <w:r w:rsidRPr="00EA11E2">
        <w:rPr>
          <w:rFonts w:ascii="Times New Roman" w:hAnsi="Times New Roman" w:cs="Times New Roman"/>
          <w:sz w:val="20"/>
          <w:szCs w:val="20"/>
        </w:rPr>
        <w:t>t now falls to the Committee to consider whether the Aarhus Regulation compensates for the shortcomings in EU law that have been identified in the discussion of the jurisprudence by introducing adequate review procedures</w:t>
      </w:r>
      <w:r w:rsidRPr="00EA11E2">
        <w:rPr>
          <w:rStyle w:val="FootnoteReference"/>
          <w:rFonts w:ascii="Times New Roman" w:hAnsi="Times New Roman" w:cs="Times New Roman"/>
          <w:sz w:val="20"/>
          <w:szCs w:val="20"/>
        </w:rPr>
        <w:footnoteReference w:id="64"/>
      </w:r>
      <w:r w:rsidRPr="00EA11E2">
        <w:rPr>
          <w:rFonts w:ascii="Times New Roman" w:hAnsi="Times New Roman" w:cs="Times New Roman"/>
          <w:sz w:val="20"/>
          <w:szCs w:val="20"/>
        </w:rPr>
        <w:t>.</w:t>
      </w:r>
      <w:bookmarkEnd w:id="24"/>
    </w:p>
    <w:p w14:paraId="167902AC"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B6833F6" w14:textId="77777777" w:rsidR="006A10F9" w:rsidRPr="00EA11E2" w:rsidRDefault="006A10F9" w:rsidP="006A10F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25" w:name="_Toc302830038"/>
      <w:r w:rsidRPr="00EA11E2">
        <w:rPr>
          <w:rFonts w:ascii="Times New Roman" w:hAnsi="Times New Roman" w:cs="Times New Roman"/>
          <w:sz w:val="20"/>
          <w:szCs w:val="20"/>
        </w:rPr>
        <w:t>Article 10(1) of the Aarhus Regulation provides that -</w:t>
      </w:r>
    </w:p>
    <w:p w14:paraId="279E360A" w14:textId="77777777" w:rsidR="006A10F9" w:rsidRPr="00EA11E2" w:rsidRDefault="006A10F9" w:rsidP="006A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Any non-governmental organisation which meets the criteria set out in Article 11 is entitled to make a request for internal review to the Community institution or body that has adopted an administrative act under environmental law or, in case of an alleged administrative omission, should have adopted such an act.</w:t>
      </w:r>
    </w:p>
    <w:p w14:paraId="7B8BF705" w14:textId="647E84D3"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In their update on Court of Justice rulings in cases C-401/12 P to C- 405/12 P dated 23 February 2015 the communicants complained that the Aarhus Regulation failed to implement </w:t>
      </w:r>
      <w:r w:rsidR="005A3774" w:rsidRPr="00EA11E2">
        <w:rPr>
          <w:rFonts w:ascii="Times New Roman" w:hAnsi="Times New Roman" w:cs="Times New Roman"/>
          <w:sz w:val="20"/>
          <w:szCs w:val="20"/>
        </w:rPr>
        <w:t>article 9, paragraph 3</w:t>
      </w:r>
      <w:r w:rsidR="00773F28" w:rsidRPr="00EA11E2">
        <w:rPr>
          <w:rFonts w:ascii="Times New Roman" w:hAnsi="Times New Roman" w:cs="Times New Roman"/>
          <w:sz w:val="20"/>
          <w:szCs w:val="20"/>
        </w:rPr>
        <w:t>,</w:t>
      </w:r>
      <w:r w:rsidRPr="00EA11E2">
        <w:rPr>
          <w:rFonts w:ascii="Times New Roman" w:hAnsi="Times New Roman" w:cs="Times New Roman"/>
          <w:sz w:val="20"/>
          <w:szCs w:val="20"/>
        </w:rPr>
        <w:t xml:space="preserve"> of the Convention in five particular areas: with respect to acts of individual scope</w:t>
      </w:r>
      <w:r w:rsidR="006D5C63" w:rsidRPr="00EA11E2">
        <w:rPr>
          <w:rStyle w:val="FootnoteReference"/>
          <w:rFonts w:ascii="Times New Roman" w:hAnsi="Times New Roman" w:cs="Times New Roman"/>
          <w:sz w:val="20"/>
          <w:szCs w:val="20"/>
        </w:rPr>
        <w:footnoteReference w:id="65"/>
      </w:r>
      <w:r w:rsidRPr="00EA11E2">
        <w:rPr>
          <w:rFonts w:ascii="Times New Roman" w:hAnsi="Times New Roman" w:cs="Times New Roman"/>
          <w:sz w:val="20"/>
          <w:szCs w:val="20"/>
        </w:rPr>
        <w:t>, acts not adopted under environmental law</w:t>
      </w:r>
      <w:r w:rsidR="00CB2AB7" w:rsidRPr="00EA11E2">
        <w:rPr>
          <w:rStyle w:val="FootnoteReference"/>
          <w:rFonts w:ascii="Times New Roman" w:hAnsi="Times New Roman" w:cs="Times New Roman"/>
          <w:sz w:val="20"/>
          <w:szCs w:val="20"/>
        </w:rPr>
        <w:footnoteReference w:id="66"/>
      </w:r>
      <w:r w:rsidRPr="00EA11E2">
        <w:rPr>
          <w:rFonts w:ascii="Times New Roman" w:hAnsi="Times New Roman" w:cs="Times New Roman"/>
          <w:sz w:val="20"/>
          <w:szCs w:val="20"/>
        </w:rPr>
        <w:t>, acts not having legally binding and external effects</w:t>
      </w:r>
      <w:r w:rsidR="00CB2AB7" w:rsidRPr="00EA11E2">
        <w:rPr>
          <w:rStyle w:val="FootnoteReference"/>
          <w:rFonts w:ascii="Times New Roman" w:hAnsi="Times New Roman" w:cs="Times New Roman"/>
          <w:sz w:val="20"/>
          <w:szCs w:val="20"/>
        </w:rPr>
        <w:footnoteReference w:id="67"/>
      </w:r>
      <w:r w:rsidRPr="00EA11E2">
        <w:rPr>
          <w:rFonts w:ascii="Times New Roman" w:hAnsi="Times New Roman" w:cs="Times New Roman"/>
          <w:sz w:val="20"/>
          <w:szCs w:val="20"/>
        </w:rPr>
        <w:t>, arbitrary exemptions to the administrative acts definition</w:t>
      </w:r>
      <w:r w:rsidR="00CB2AB7" w:rsidRPr="00EA11E2">
        <w:rPr>
          <w:rStyle w:val="FootnoteReference"/>
          <w:rFonts w:ascii="Times New Roman" w:hAnsi="Times New Roman" w:cs="Times New Roman"/>
          <w:sz w:val="20"/>
          <w:szCs w:val="20"/>
        </w:rPr>
        <w:footnoteReference w:id="68"/>
      </w:r>
      <w:r w:rsidRPr="00EA11E2">
        <w:rPr>
          <w:rFonts w:ascii="Times New Roman" w:hAnsi="Times New Roman" w:cs="Times New Roman"/>
          <w:sz w:val="20"/>
          <w:szCs w:val="20"/>
        </w:rPr>
        <w:t>, and whether the internal review procedure is an adequate and effective remedy</w:t>
      </w:r>
      <w:r w:rsidR="00CB2AB7" w:rsidRPr="00EA11E2">
        <w:rPr>
          <w:rStyle w:val="FootnoteReference"/>
          <w:rFonts w:ascii="Times New Roman" w:hAnsi="Times New Roman" w:cs="Times New Roman"/>
          <w:sz w:val="20"/>
          <w:szCs w:val="20"/>
        </w:rPr>
        <w:footnoteReference w:id="69"/>
      </w:r>
      <w:r w:rsidRPr="00EA11E2">
        <w:rPr>
          <w:rFonts w:ascii="Times New Roman" w:hAnsi="Times New Roman" w:cs="Times New Roman"/>
          <w:sz w:val="20"/>
          <w:szCs w:val="20"/>
        </w:rPr>
        <w:t xml:space="preserve">. </w:t>
      </w:r>
    </w:p>
    <w:p w14:paraId="43906F68"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70EB489" w14:textId="23062821" w:rsidR="00FB6EDF" w:rsidRPr="00EA11E2" w:rsidRDefault="008A4BC7" w:rsidP="00FB6ED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In order to focus on the main alleg</w:t>
      </w:r>
      <w:r w:rsidR="00EE1FF9" w:rsidRPr="00EA11E2">
        <w:rPr>
          <w:rFonts w:ascii="Times New Roman" w:hAnsi="Times New Roman" w:cs="Times New Roman"/>
          <w:sz w:val="20"/>
          <w:szCs w:val="20"/>
        </w:rPr>
        <w:t xml:space="preserve">ations of the communicant, </w:t>
      </w:r>
      <w:r w:rsidRPr="00EA11E2">
        <w:rPr>
          <w:rFonts w:ascii="Times New Roman" w:hAnsi="Times New Roman" w:cs="Times New Roman"/>
          <w:sz w:val="20"/>
          <w:szCs w:val="20"/>
        </w:rPr>
        <w:t>the Committee will consider those principal complaints, rath</w:t>
      </w:r>
      <w:r w:rsidR="00FF3C73" w:rsidRPr="00EA11E2">
        <w:rPr>
          <w:rFonts w:ascii="Times New Roman" w:hAnsi="Times New Roman" w:cs="Times New Roman"/>
          <w:sz w:val="20"/>
          <w:szCs w:val="20"/>
        </w:rPr>
        <w:t xml:space="preserve">er than forensically examining </w:t>
      </w:r>
      <w:r w:rsidRPr="00EA11E2">
        <w:rPr>
          <w:rFonts w:ascii="Times New Roman" w:hAnsi="Times New Roman" w:cs="Times New Roman"/>
          <w:sz w:val="20"/>
          <w:szCs w:val="20"/>
        </w:rPr>
        <w:t>every one of the alleged flaws in the Regulation.</w:t>
      </w:r>
      <w:bookmarkEnd w:id="25"/>
      <w:r w:rsidR="00FB6EDF" w:rsidRPr="00EA11E2">
        <w:rPr>
          <w:rFonts w:ascii="Times New Roman" w:hAnsi="Times New Roman" w:cs="Times New Roman"/>
          <w:sz w:val="20"/>
          <w:szCs w:val="20"/>
        </w:rPr>
        <w:t xml:space="preserve"> </w:t>
      </w:r>
      <w:r w:rsidR="00773F28" w:rsidRPr="00EA11E2">
        <w:rPr>
          <w:rFonts w:ascii="Times New Roman" w:hAnsi="Times New Roman" w:cs="Times New Roman"/>
          <w:sz w:val="20"/>
          <w:szCs w:val="20"/>
        </w:rPr>
        <w:t>Before doing so, t</w:t>
      </w:r>
      <w:r w:rsidR="00FB6EDF" w:rsidRPr="00EA11E2">
        <w:rPr>
          <w:rFonts w:ascii="Times New Roman" w:hAnsi="Times New Roman" w:cs="Times New Roman"/>
          <w:sz w:val="20"/>
          <w:szCs w:val="20"/>
        </w:rPr>
        <w:t xml:space="preserve">he Committee will </w:t>
      </w:r>
      <w:r w:rsidR="00773F28" w:rsidRPr="00EA11E2">
        <w:rPr>
          <w:rFonts w:ascii="Times New Roman" w:hAnsi="Times New Roman" w:cs="Times New Roman"/>
          <w:sz w:val="20"/>
          <w:szCs w:val="20"/>
        </w:rPr>
        <w:t xml:space="preserve">first </w:t>
      </w:r>
      <w:r w:rsidR="00FB6EDF" w:rsidRPr="00EA11E2">
        <w:rPr>
          <w:rFonts w:ascii="Times New Roman" w:hAnsi="Times New Roman" w:cs="Times New Roman"/>
          <w:sz w:val="20"/>
          <w:szCs w:val="20"/>
        </w:rPr>
        <w:t xml:space="preserve">briefly consider the communicant’s </w:t>
      </w:r>
      <w:r w:rsidR="00773F28" w:rsidRPr="00EA11E2">
        <w:rPr>
          <w:rFonts w:ascii="Times New Roman" w:hAnsi="Times New Roman" w:cs="Times New Roman"/>
          <w:sz w:val="20"/>
          <w:szCs w:val="20"/>
        </w:rPr>
        <w:t xml:space="preserve">further </w:t>
      </w:r>
      <w:r w:rsidR="00FB6EDF" w:rsidRPr="00EA11E2">
        <w:rPr>
          <w:rFonts w:ascii="Times New Roman" w:hAnsi="Times New Roman" w:cs="Times New Roman"/>
          <w:sz w:val="20"/>
          <w:szCs w:val="20"/>
        </w:rPr>
        <w:t>allegation that the Aarhus Regulation fails to grant to individuals or entities, other than NGOs, such as regional and municipal authorities, access to internal review</w:t>
      </w:r>
      <w:r w:rsidR="001F55A1" w:rsidRPr="00EA11E2">
        <w:rPr>
          <w:rStyle w:val="FootnoteReference"/>
          <w:rFonts w:ascii="Times New Roman" w:hAnsi="Times New Roman" w:cs="Times New Roman"/>
          <w:sz w:val="20"/>
          <w:szCs w:val="20"/>
        </w:rPr>
        <w:footnoteReference w:id="70"/>
      </w:r>
      <w:r w:rsidR="00FB6EDF" w:rsidRPr="00EA11E2">
        <w:rPr>
          <w:rFonts w:ascii="Times New Roman" w:hAnsi="Times New Roman" w:cs="Times New Roman"/>
          <w:sz w:val="20"/>
          <w:szCs w:val="20"/>
        </w:rPr>
        <w:t>.</w:t>
      </w:r>
    </w:p>
    <w:p w14:paraId="2A30B7C0" w14:textId="77777777" w:rsidR="00FB6EDF" w:rsidRPr="00EA11E2" w:rsidRDefault="00FB6EDF" w:rsidP="0017389C">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rPr>
      </w:pPr>
    </w:p>
    <w:p w14:paraId="2A05FB45" w14:textId="77777777" w:rsidR="00FB6EDF" w:rsidRPr="009B3316" w:rsidRDefault="00FB6EDF" w:rsidP="0017389C">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u w:val="single"/>
        </w:rPr>
      </w:pPr>
      <w:r w:rsidRPr="009B3316">
        <w:rPr>
          <w:rFonts w:ascii="Times New Roman" w:hAnsi="Times New Roman" w:cs="Times New Roman"/>
          <w:sz w:val="20"/>
          <w:szCs w:val="20"/>
          <w:u w:val="single"/>
        </w:rPr>
        <w:t>Entities other than NGOs</w:t>
      </w:r>
    </w:p>
    <w:p w14:paraId="42855A96" w14:textId="77777777" w:rsidR="00F129CC" w:rsidRPr="00EA11E2" w:rsidRDefault="00F129CC" w:rsidP="0017389C">
      <w:pPr>
        <w:pStyle w:val="ListParagraph"/>
        <w:widowControl w:val="0"/>
        <w:autoSpaceDE w:val="0"/>
        <w:autoSpaceDN w:val="0"/>
        <w:adjustRightInd w:val="0"/>
        <w:spacing w:before="4" w:after="240" w:line="240" w:lineRule="auto"/>
        <w:ind w:left="0" w:right="109"/>
        <w:jc w:val="both"/>
        <w:rPr>
          <w:rFonts w:ascii="Times New Roman" w:hAnsi="Times New Roman" w:cs="Times New Roman"/>
          <w:b/>
          <w:color w:val="000000"/>
          <w:sz w:val="20"/>
          <w:szCs w:val="20"/>
        </w:rPr>
      </w:pPr>
    </w:p>
    <w:p w14:paraId="10F10223" w14:textId="12B84F46" w:rsidR="00F129CC" w:rsidRPr="009B3316" w:rsidRDefault="00F129CC" w:rsidP="0017389C">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It is clear that Article 10(1) of the Aarhus Regulation only entitles NGOs th</w:t>
      </w:r>
      <w:r w:rsidR="00805D3D" w:rsidRPr="00EA11E2">
        <w:rPr>
          <w:rFonts w:ascii="Times New Roman" w:hAnsi="Times New Roman" w:cs="Times New Roman"/>
          <w:sz w:val="20"/>
          <w:szCs w:val="20"/>
        </w:rPr>
        <w:t xml:space="preserve">at meet particular criteria </w:t>
      </w:r>
      <w:r w:rsidRPr="00EA11E2">
        <w:rPr>
          <w:rFonts w:ascii="Times New Roman" w:hAnsi="Times New Roman" w:cs="Times New Roman"/>
          <w:sz w:val="20"/>
          <w:szCs w:val="20"/>
        </w:rPr>
        <w:t xml:space="preserve">to make a request for an internal review; yet </w:t>
      </w:r>
      <w:r w:rsidR="005A3774" w:rsidRPr="00EA11E2">
        <w:rPr>
          <w:rFonts w:ascii="Times New Roman" w:hAnsi="Times New Roman" w:cs="Times New Roman"/>
          <w:sz w:val="20"/>
          <w:szCs w:val="20"/>
        </w:rPr>
        <w:t>article 9, paragraph 3</w:t>
      </w:r>
      <w:r w:rsidR="00773F28" w:rsidRPr="00EA11E2">
        <w:rPr>
          <w:rFonts w:ascii="Times New Roman" w:hAnsi="Times New Roman" w:cs="Times New Roman"/>
          <w:sz w:val="20"/>
          <w:szCs w:val="20"/>
        </w:rPr>
        <w:t>,</w:t>
      </w:r>
      <w:r w:rsidR="005A3774" w:rsidRPr="00EA11E2">
        <w:rPr>
          <w:rFonts w:ascii="Times New Roman" w:hAnsi="Times New Roman" w:cs="Times New Roman"/>
          <w:sz w:val="20"/>
          <w:szCs w:val="20"/>
        </w:rPr>
        <w:t xml:space="preserve"> </w:t>
      </w:r>
      <w:r w:rsidRPr="00EA11E2">
        <w:rPr>
          <w:rFonts w:ascii="Times New Roman" w:hAnsi="Times New Roman" w:cs="Times New Roman"/>
          <w:sz w:val="20"/>
          <w:szCs w:val="20"/>
        </w:rPr>
        <w:t>requires “members of the public” to be given access to administrative or judicial procedures.</w:t>
      </w:r>
    </w:p>
    <w:p w14:paraId="43C5DC7D" w14:textId="77777777" w:rsidR="009B3316" w:rsidRPr="00EA11E2" w:rsidRDefault="009B3316" w:rsidP="009B3316">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8EBC3CC" w14:textId="6097C1CC" w:rsidR="00354644" w:rsidRPr="00EA11E2" w:rsidRDefault="00F129CC" w:rsidP="00A54659">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term “members of the public” in the Convention includes NGOs, but is not limited to NGOs. It follows that the Aarhus Regulation fails to </w:t>
      </w:r>
      <w:r w:rsidR="00A54659" w:rsidRPr="00EA11E2">
        <w:rPr>
          <w:rFonts w:ascii="Times New Roman" w:hAnsi="Times New Roman" w:cs="Times New Roman"/>
          <w:sz w:val="20"/>
          <w:szCs w:val="20"/>
        </w:rPr>
        <w:t xml:space="preserve">correctly </w:t>
      </w:r>
      <w:r w:rsidRPr="00EA11E2">
        <w:rPr>
          <w:rFonts w:ascii="Times New Roman" w:hAnsi="Times New Roman" w:cs="Times New Roman"/>
          <w:sz w:val="20"/>
          <w:szCs w:val="20"/>
        </w:rPr>
        <w:t xml:space="preserve">implement </w:t>
      </w:r>
      <w:r w:rsidR="005A3774" w:rsidRPr="00EA11E2">
        <w:rPr>
          <w:rFonts w:ascii="Times New Roman" w:hAnsi="Times New Roman" w:cs="Times New Roman"/>
          <w:sz w:val="20"/>
          <w:szCs w:val="20"/>
        </w:rPr>
        <w:t>article 9, paragraph 3</w:t>
      </w:r>
      <w:r w:rsidR="00773F28" w:rsidRPr="00EA11E2">
        <w:rPr>
          <w:rFonts w:ascii="Times New Roman" w:hAnsi="Times New Roman" w:cs="Times New Roman"/>
          <w:sz w:val="20"/>
          <w:szCs w:val="20"/>
        </w:rPr>
        <w:t>,</w:t>
      </w:r>
      <w:r w:rsidR="00805D3D" w:rsidRPr="00EA11E2">
        <w:rPr>
          <w:rFonts w:ascii="Times New Roman" w:hAnsi="Times New Roman" w:cs="Times New Roman"/>
          <w:sz w:val="20"/>
          <w:szCs w:val="20"/>
        </w:rPr>
        <w:t xml:space="preserve"> in this respect</w:t>
      </w:r>
      <w:r w:rsidR="00F5073B" w:rsidRPr="00EA11E2">
        <w:rPr>
          <w:rFonts w:ascii="Times New Roman" w:hAnsi="Times New Roman" w:cs="Times New Roman"/>
          <w:sz w:val="20"/>
          <w:szCs w:val="20"/>
        </w:rPr>
        <w:t xml:space="preserve"> (see findings on communication ACCC/C/2006/18 (Denmark)</w:t>
      </w:r>
      <w:r w:rsidR="00773F28" w:rsidRPr="00EA11E2">
        <w:rPr>
          <w:rFonts w:ascii="Times New Roman" w:hAnsi="Times New Roman" w:cs="Times New Roman"/>
          <w:sz w:val="20"/>
          <w:szCs w:val="20"/>
        </w:rPr>
        <w:t>, paras.30-31</w:t>
      </w:r>
      <w:r w:rsidR="00F5073B" w:rsidRPr="00EA11E2">
        <w:rPr>
          <w:rFonts w:ascii="Times New Roman" w:hAnsi="Times New Roman" w:cs="Times New Roman"/>
          <w:sz w:val="20"/>
          <w:szCs w:val="20"/>
        </w:rPr>
        <w:t>)</w:t>
      </w:r>
      <w:r w:rsidRPr="00EA11E2">
        <w:rPr>
          <w:rFonts w:ascii="Times New Roman" w:hAnsi="Times New Roman" w:cs="Times New Roman"/>
          <w:sz w:val="20"/>
          <w:szCs w:val="20"/>
        </w:rPr>
        <w:t xml:space="preserve">. </w:t>
      </w:r>
    </w:p>
    <w:p w14:paraId="194EE523" w14:textId="77777777" w:rsidR="009B3316" w:rsidRDefault="009B3316" w:rsidP="009B3316">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u w:val="single"/>
        </w:rPr>
      </w:pPr>
      <w:bookmarkStart w:id="26" w:name="_Toc302830039"/>
    </w:p>
    <w:p w14:paraId="57C31CBC" w14:textId="77777777" w:rsidR="008A4BC7" w:rsidRDefault="008A4BC7" w:rsidP="009B3316">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u w:val="single"/>
        </w:rPr>
      </w:pPr>
      <w:r w:rsidRPr="009B3316">
        <w:rPr>
          <w:rFonts w:ascii="Times New Roman" w:hAnsi="Times New Roman" w:cs="Times New Roman"/>
          <w:sz w:val="20"/>
          <w:szCs w:val="20"/>
          <w:u w:val="single"/>
        </w:rPr>
        <w:t>Acts of individual scope</w:t>
      </w:r>
      <w:bookmarkEnd w:id="26"/>
    </w:p>
    <w:p w14:paraId="02B93660" w14:textId="77777777" w:rsidR="009B3316" w:rsidRPr="009B3316" w:rsidRDefault="009B3316" w:rsidP="009B3316">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u w:val="single"/>
        </w:rPr>
      </w:pPr>
    </w:p>
    <w:p w14:paraId="733237E7" w14:textId="2CAD5718" w:rsidR="008A4BC7" w:rsidRPr="00EA11E2" w:rsidRDefault="008A4BC7" w:rsidP="00F5073B">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b/>
          <w:sz w:val="20"/>
          <w:szCs w:val="20"/>
        </w:rPr>
      </w:pPr>
      <w:r w:rsidRPr="00EA11E2">
        <w:rPr>
          <w:rFonts w:ascii="Times New Roman" w:hAnsi="Times New Roman" w:cs="Times New Roman"/>
          <w:sz w:val="20"/>
          <w:szCs w:val="20"/>
        </w:rPr>
        <w:t xml:space="preserve">As the Committee has already </w:t>
      </w:r>
      <w:r w:rsidR="006A10F9" w:rsidRPr="00EA11E2">
        <w:rPr>
          <w:rFonts w:ascii="Times New Roman" w:hAnsi="Times New Roman" w:cs="Times New Roman"/>
          <w:sz w:val="20"/>
          <w:szCs w:val="20"/>
        </w:rPr>
        <w:t xml:space="preserve">found in paragraphs </w:t>
      </w:r>
      <w:r w:rsidR="006A10F9" w:rsidRPr="00EA11E2">
        <w:rPr>
          <w:rFonts w:ascii="Times New Roman" w:hAnsi="Times New Roman" w:cs="Times New Roman"/>
          <w:sz w:val="20"/>
          <w:szCs w:val="20"/>
        </w:rPr>
        <w:fldChar w:fldCharType="begin"/>
      </w:r>
      <w:r w:rsidR="006A10F9" w:rsidRPr="00EA11E2">
        <w:rPr>
          <w:rFonts w:ascii="Times New Roman" w:hAnsi="Times New Roman" w:cs="Times New Roman"/>
          <w:sz w:val="20"/>
          <w:szCs w:val="20"/>
        </w:rPr>
        <w:instrText xml:space="preserve"> REF _Ref454514905 \r \h </w:instrText>
      </w:r>
      <w:r w:rsidR="00DF128C" w:rsidRPr="00EA11E2">
        <w:rPr>
          <w:rFonts w:ascii="Times New Roman" w:hAnsi="Times New Roman" w:cs="Times New Roman"/>
          <w:sz w:val="20"/>
          <w:szCs w:val="20"/>
        </w:rPr>
        <w:instrText xml:space="preserve"> \* MERGEFORMAT </w:instrText>
      </w:r>
      <w:r w:rsidR="006A10F9" w:rsidRPr="00EA11E2">
        <w:rPr>
          <w:rFonts w:ascii="Times New Roman" w:hAnsi="Times New Roman" w:cs="Times New Roman"/>
          <w:sz w:val="20"/>
          <w:szCs w:val="20"/>
        </w:rPr>
      </w:r>
      <w:r w:rsidR="006A10F9" w:rsidRPr="00EA11E2">
        <w:rPr>
          <w:rFonts w:ascii="Times New Roman" w:hAnsi="Times New Roman" w:cs="Times New Roman"/>
          <w:sz w:val="20"/>
          <w:szCs w:val="20"/>
        </w:rPr>
        <w:fldChar w:fldCharType="separate"/>
      </w:r>
      <w:r w:rsidR="00551E42">
        <w:rPr>
          <w:rFonts w:ascii="Times New Roman" w:hAnsi="Times New Roman" w:cs="Times New Roman"/>
          <w:sz w:val="20"/>
          <w:szCs w:val="20"/>
        </w:rPr>
        <w:t>46</w:t>
      </w:r>
      <w:r w:rsidR="006A10F9" w:rsidRPr="00EA11E2">
        <w:rPr>
          <w:rFonts w:ascii="Times New Roman" w:hAnsi="Times New Roman" w:cs="Times New Roman"/>
          <w:sz w:val="20"/>
          <w:szCs w:val="20"/>
        </w:rPr>
        <w:fldChar w:fldCharType="end"/>
      </w:r>
      <w:r w:rsidR="006A10F9" w:rsidRPr="00EA11E2">
        <w:rPr>
          <w:rFonts w:ascii="Times New Roman" w:hAnsi="Times New Roman" w:cs="Times New Roman"/>
          <w:sz w:val="20"/>
          <w:szCs w:val="20"/>
        </w:rPr>
        <w:t>-</w:t>
      </w:r>
      <w:r w:rsidR="006A10F9" w:rsidRPr="00EA11E2">
        <w:rPr>
          <w:rFonts w:ascii="Times New Roman" w:hAnsi="Times New Roman" w:cs="Times New Roman"/>
          <w:sz w:val="20"/>
          <w:szCs w:val="20"/>
        </w:rPr>
        <w:fldChar w:fldCharType="begin"/>
      </w:r>
      <w:r w:rsidR="006A10F9" w:rsidRPr="00EA11E2">
        <w:rPr>
          <w:rFonts w:ascii="Times New Roman" w:hAnsi="Times New Roman" w:cs="Times New Roman"/>
          <w:sz w:val="20"/>
          <w:szCs w:val="20"/>
        </w:rPr>
        <w:instrText xml:space="preserve"> REF _Ref454514909 \r \h </w:instrText>
      </w:r>
      <w:r w:rsidR="00DF128C" w:rsidRPr="00EA11E2">
        <w:rPr>
          <w:rFonts w:ascii="Times New Roman" w:hAnsi="Times New Roman" w:cs="Times New Roman"/>
          <w:sz w:val="20"/>
          <w:szCs w:val="20"/>
        </w:rPr>
        <w:instrText xml:space="preserve"> \* MERGEFORMAT </w:instrText>
      </w:r>
      <w:r w:rsidR="006A10F9" w:rsidRPr="00EA11E2">
        <w:rPr>
          <w:rFonts w:ascii="Times New Roman" w:hAnsi="Times New Roman" w:cs="Times New Roman"/>
          <w:sz w:val="20"/>
          <w:szCs w:val="20"/>
        </w:rPr>
      </w:r>
      <w:r w:rsidR="006A10F9" w:rsidRPr="00EA11E2">
        <w:rPr>
          <w:rFonts w:ascii="Times New Roman" w:hAnsi="Times New Roman" w:cs="Times New Roman"/>
          <w:sz w:val="20"/>
          <w:szCs w:val="20"/>
        </w:rPr>
        <w:fldChar w:fldCharType="separate"/>
      </w:r>
      <w:r w:rsidR="00551E42">
        <w:rPr>
          <w:rFonts w:ascii="Times New Roman" w:hAnsi="Times New Roman" w:cs="Times New Roman"/>
          <w:sz w:val="20"/>
          <w:szCs w:val="20"/>
        </w:rPr>
        <w:t>47</w:t>
      </w:r>
      <w:r w:rsidR="006A10F9" w:rsidRPr="00EA11E2">
        <w:rPr>
          <w:rFonts w:ascii="Times New Roman" w:hAnsi="Times New Roman" w:cs="Times New Roman"/>
          <w:sz w:val="20"/>
          <w:szCs w:val="20"/>
        </w:rPr>
        <w:fldChar w:fldCharType="end"/>
      </w:r>
      <w:r w:rsidR="006A10F9" w:rsidRPr="00EA11E2">
        <w:rPr>
          <w:rFonts w:ascii="Times New Roman" w:hAnsi="Times New Roman" w:cs="Times New Roman"/>
          <w:sz w:val="20"/>
          <w:szCs w:val="20"/>
        </w:rPr>
        <w:t xml:space="preserve"> above</w:t>
      </w:r>
      <w:r w:rsidRPr="00EA11E2">
        <w:rPr>
          <w:rFonts w:ascii="Times New Roman" w:hAnsi="Times New Roman" w:cs="Times New Roman"/>
          <w:sz w:val="20"/>
          <w:szCs w:val="20"/>
        </w:rPr>
        <w:t xml:space="preserve">, Article 10(1) of the Aarhus Regulation fails correctly to implement </w:t>
      </w:r>
      <w:r w:rsidR="005A3774" w:rsidRPr="00EA11E2">
        <w:rPr>
          <w:rFonts w:ascii="Times New Roman" w:hAnsi="Times New Roman" w:cs="Times New Roman"/>
          <w:sz w:val="20"/>
          <w:szCs w:val="20"/>
        </w:rPr>
        <w:t>article 9, paragraph 3</w:t>
      </w:r>
      <w:r w:rsidR="00773F28" w:rsidRPr="00EA11E2">
        <w:rPr>
          <w:rFonts w:ascii="Times New Roman" w:hAnsi="Times New Roman" w:cs="Times New Roman"/>
          <w:sz w:val="20"/>
          <w:szCs w:val="20"/>
        </w:rPr>
        <w:t>,</w:t>
      </w:r>
      <w:r w:rsidR="005A1FA7"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of the </w:t>
      </w:r>
      <w:r w:rsidR="00F5073B" w:rsidRPr="00EA11E2">
        <w:rPr>
          <w:rFonts w:ascii="Times New Roman" w:hAnsi="Times New Roman" w:cs="Times New Roman"/>
          <w:sz w:val="20"/>
          <w:szCs w:val="20"/>
        </w:rPr>
        <w:t xml:space="preserve">Convention </w:t>
      </w:r>
      <w:r w:rsidRPr="00EA11E2">
        <w:rPr>
          <w:rFonts w:ascii="Times New Roman" w:hAnsi="Times New Roman" w:cs="Times New Roman"/>
          <w:sz w:val="20"/>
          <w:szCs w:val="20"/>
        </w:rPr>
        <w:t>because the former provision covers only acts of individual scope</w:t>
      </w:r>
      <w:r w:rsidR="006A10F9" w:rsidRPr="00EA11E2">
        <w:rPr>
          <w:rFonts w:ascii="Times New Roman" w:hAnsi="Times New Roman" w:cs="Times New Roman"/>
          <w:sz w:val="20"/>
          <w:szCs w:val="20"/>
        </w:rPr>
        <w:t>.</w:t>
      </w:r>
      <w:r w:rsidRPr="00EA11E2">
        <w:rPr>
          <w:rFonts w:ascii="Times New Roman" w:hAnsi="Times New Roman" w:cs="Times New Roman"/>
          <w:sz w:val="20"/>
          <w:szCs w:val="20"/>
        </w:rPr>
        <w:t xml:space="preserve"> </w:t>
      </w:r>
      <w:bookmarkStart w:id="27" w:name="_Toc302830040"/>
    </w:p>
    <w:p w14:paraId="6897906D" w14:textId="77777777" w:rsidR="008A4BC7" w:rsidRPr="009B3316" w:rsidRDefault="008A4BC7" w:rsidP="008A4BC7">
      <w:pPr>
        <w:spacing w:line="240" w:lineRule="auto"/>
        <w:rPr>
          <w:rFonts w:ascii="Times New Roman" w:hAnsi="Times New Roman" w:cs="Times New Roman"/>
          <w:sz w:val="20"/>
          <w:szCs w:val="20"/>
          <w:u w:val="single"/>
        </w:rPr>
      </w:pPr>
      <w:r w:rsidRPr="009B3316">
        <w:rPr>
          <w:rFonts w:ascii="Times New Roman" w:hAnsi="Times New Roman" w:cs="Times New Roman"/>
          <w:sz w:val="20"/>
          <w:szCs w:val="20"/>
          <w:u w:val="single"/>
        </w:rPr>
        <w:t>Acts not adopted under environmental law</w:t>
      </w:r>
      <w:bookmarkEnd w:id="27"/>
    </w:p>
    <w:p w14:paraId="69028393" w14:textId="18A879C2"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Under Article 2(1)(g) </w:t>
      </w:r>
      <w:r w:rsidR="006A10F9" w:rsidRPr="00EA11E2">
        <w:rPr>
          <w:rFonts w:ascii="Times New Roman" w:hAnsi="Times New Roman" w:cs="Times New Roman"/>
          <w:sz w:val="20"/>
          <w:szCs w:val="20"/>
        </w:rPr>
        <w:t>of the Aarhus Regulation:</w:t>
      </w:r>
    </w:p>
    <w:p w14:paraId="207E8368" w14:textId="77777777"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‘administrative act’ means any measure of individual scope under environmental law, taken by a Community institution or body, and having legally binding and external effects;</w:t>
      </w:r>
    </w:p>
    <w:p w14:paraId="308400ED" w14:textId="1253D2DC"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Under Article 2(1)(f)</w:t>
      </w:r>
      <w:r w:rsidR="006A10F9" w:rsidRPr="00EA11E2">
        <w:rPr>
          <w:rFonts w:ascii="Times New Roman" w:hAnsi="Times New Roman" w:cs="Times New Roman"/>
          <w:sz w:val="20"/>
          <w:szCs w:val="20"/>
        </w:rPr>
        <w:t>:</w:t>
      </w:r>
    </w:p>
    <w:p w14:paraId="53245D43" w14:textId="77777777" w:rsidR="008A4BC7" w:rsidRPr="00EA11E2" w:rsidRDefault="008A4BC7"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 xml:space="preserve">‘environmental law’ means Community legislation which, irrespective of its legal basis, contributes to the pursuit of the objectives of Community policy on the environment as set out in the Treaty: preserving, protecting and improving the quality of the environment, protecting human health, the prudent and rational utilisation of natural resources, and promoting measures at international level to deal with regional or worldwide environmental problems; </w:t>
      </w:r>
      <w:r w:rsidRPr="00EA11E2">
        <w:rPr>
          <w:rFonts w:ascii="MS Mincho" w:eastAsia="MS Mincho" w:hAnsi="MS Mincho" w:cs="MS Mincho" w:hint="eastAsia"/>
          <w:i/>
          <w:sz w:val="20"/>
          <w:szCs w:val="20"/>
        </w:rPr>
        <w:t> </w:t>
      </w:r>
    </w:p>
    <w:p w14:paraId="351AB306" w14:textId="77777777" w:rsidR="00EE1FF9" w:rsidRPr="00EA11E2" w:rsidRDefault="008A4BC7" w:rsidP="006B7A0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combined effect of these provisions is too narrow. </w:t>
      </w:r>
    </w:p>
    <w:p w14:paraId="5C52C54B" w14:textId="1667BF5E" w:rsidR="00EE1FF9" w:rsidRPr="00EA11E2" w:rsidRDefault="00EE1FF9" w:rsidP="00EE1FF9">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6E67BF76" w14:textId="3F51C35C" w:rsidR="008A4BC7" w:rsidRPr="00EA11E2" w:rsidRDefault="008A4BC7" w:rsidP="006B7A0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Article</w:t>
      </w:r>
      <w:r w:rsidR="005A3774" w:rsidRPr="00EA11E2">
        <w:rPr>
          <w:rFonts w:ascii="Times New Roman" w:hAnsi="Times New Roman" w:cs="Times New Roman"/>
          <w:sz w:val="20"/>
          <w:szCs w:val="20"/>
        </w:rPr>
        <w:t xml:space="preserve"> 9, paragraph 3</w:t>
      </w:r>
      <w:r w:rsidR="006A10F9" w:rsidRPr="00EA11E2">
        <w:rPr>
          <w:rFonts w:ascii="Times New Roman" w:hAnsi="Times New Roman" w:cs="Times New Roman"/>
          <w:sz w:val="20"/>
          <w:szCs w:val="20"/>
        </w:rPr>
        <w:t>,</w:t>
      </w:r>
      <w:r w:rsidR="005A1FA7"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requires Parties to ensure members of the public have access </w:t>
      </w:r>
      <w:r w:rsidR="00EE1FF9" w:rsidRPr="00EA11E2">
        <w:rPr>
          <w:rFonts w:ascii="Times New Roman" w:hAnsi="Times New Roman" w:cs="Times New Roman"/>
          <w:sz w:val="20"/>
          <w:szCs w:val="20"/>
        </w:rPr>
        <w:t xml:space="preserve">to </w:t>
      </w:r>
      <w:r w:rsidRPr="00EA11E2">
        <w:rPr>
          <w:rFonts w:ascii="Times New Roman" w:hAnsi="Times New Roman" w:cs="Times New Roman"/>
          <w:sz w:val="20"/>
          <w:szCs w:val="20"/>
        </w:rPr>
        <w:t xml:space="preserve">administrative or judicial procedures to challenge acts and omissions by private persons and public authorities which </w:t>
      </w:r>
      <w:r w:rsidRPr="00EA11E2">
        <w:rPr>
          <w:rFonts w:ascii="Times New Roman" w:hAnsi="Times New Roman" w:cs="Times New Roman"/>
          <w:i/>
          <w:sz w:val="20"/>
          <w:szCs w:val="20"/>
        </w:rPr>
        <w:t>contravene</w:t>
      </w:r>
      <w:r w:rsidRPr="00EA11E2">
        <w:rPr>
          <w:rFonts w:ascii="Times New Roman" w:hAnsi="Times New Roman" w:cs="Times New Roman"/>
          <w:sz w:val="20"/>
          <w:szCs w:val="20"/>
        </w:rPr>
        <w:t xml:space="preserve"> provisions of its national law relating to the environment. </w:t>
      </w:r>
    </w:p>
    <w:p w14:paraId="1D28FD51"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488AD22F" w14:textId="3EC06668" w:rsidR="008A4BC7" w:rsidRPr="00EA11E2" w:rsidRDefault="008A4BC7" w:rsidP="00F5073B">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This is not implemented by the Aarhus Regulation, which simply provides for internal review where a Community institution or body has </w:t>
      </w:r>
      <w:r w:rsidRPr="00EA11E2">
        <w:rPr>
          <w:rFonts w:ascii="Times New Roman" w:hAnsi="Times New Roman" w:cs="Times New Roman"/>
          <w:i/>
          <w:sz w:val="20"/>
          <w:szCs w:val="20"/>
        </w:rPr>
        <w:t>adopted an act under</w:t>
      </w:r>
      <w:r w:rsidRPr="00EA11E2">
        <w:rPr>
          <w:rFonts w:ascii="Times New Roman" w:hAnsi="Times New Roman" w:cs="Times New Roman"/>
          <w:sz w:val="20"/>
          <w:szCs w:val="20"/>
        </w:rPr>
        <w:t xml:space="preserve"> environmental law. But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 xml:space="preserve">is broader than that; </w:t>
      </w:r>
      <w:r w:rsidR="00AB6F12" w:rsidRPr="00EA11E2">
        <w:rPr>
          <w:rFonts w:ascii="Times New Roman" w:hAnsi="Times New Roman" w:cs="Times New Roman"/>
          <w:sz w:val="20"/>
          <w:szCs w:val="20"/>
        </w:rPr>
        <w:t xml:space="preserve">its </w:t>
      </w:r>
      <w:r w:rsidRPr="00EA11E2">
        <w:rPr>
          <w:rFonts w:ascii="Times New Roman" w:hAnsi="Times New Roman" w:cs="Times New Roman"/>
          <w:sz w:val="20"/>
          <w:szCs w:val="20"/>
        </w:rPr>
        <w:t xml:space="preserve">requirement is to provide a right of challenge where an act </w:t>
      </w:r>
      <w:r w:rsidRPr="00EA11E2">
        <w:rPr>
          <w:rFonts w:ascii="Times New Roman" w:hAnsi="Times New Roman" w:cs="Times New Roman"/>
          <w:i/>
          <w:sz w:val="20"/>
          <w:szCs w:val="20"/>
        </w:rPr>
        <w:t xml:space="preserve">contravenes </w:t>
      </w:r>
      <w:r w:rsidRPr="00EA11E2">
        <w:rPr>
          <w:rFonts w:ascii="Times New Roman" w:hAnsi="Times New Roman" w:cs="Times New Roman"/>
          <w:sz w:val="20"/>
          <w:szCs w:val="20"/>
        </w:rPr>
        <w:t xml:space="preserve">law relating to the environment. It is clear that an act may </w:t>
      </w:r>
      <w:r w:rsidRPr="00EA11E2">
        <w:rPr>
          <w:rFonts w:ascii="Times New Roman" w:hAnsi="Times New Roman" w:cs="Times New Roman"/>
          <w:i/>
          <w:sz w:val="20"/>
          <w:szCs w:val="20"/>
        </w:rPr>
        <w:t xml:space="preserve">contravene </w:t>
      </w:r>
      <w:r w:rsidRPr="00EA11E2">
        <w:rPr>
          <w:rFonts w:ascii="Times New Roman" w:hAnsi="Times New Roman" w:cs="Times New Roman"/>
          <w:sz w:val="20"/>
          <w:szCs w:val="20"/>
        </w:rPr>
        <w:t>law</w:t>
      </w:r>
      <w:r w:rsidR="00F5073B" w:rsidRPr="00EA11E2">
        <w:rPr>
          <w:rFonts w:ascii="Times New Roman" w:hAnsi="Times New Roman" w:cs="Times New Roman"/>
          <w:sz w:val="20"/>
          <w:szCs w:val="20"/>
        </w:rPr>
        <w:t>s</w:t>
      </w:r>
      <w:r w:rsidRPr="00EA11E2">
        <w:rPr>
          <w:rFonts w:ascii="Times New Roman" w:hAnsi="Times New Roman" w:cs="Times New Roman"/>
          <w:sz w:val="20"/>
          <w:szCs w:val="20"/>
        </w:rPr>
        <w:t xml:space="preserve"> relating to the environment </w:t>
      </w:r>
      <w:r w:rsidR="00F5073B" w:rsidRPr="00EA11E2">
        <w:rPr>
          <w:rFonts w:ascii="Times New Roman" w:hAnsi="Times New Roman" w:cs="Times New Roman"/>
          <w:sz w:val="20"/>
          <w:szCs w:val="20"/>
        </w:rPr>
        <w:t xml:space="preserve">under the Convention </w:t>
      </w:r>
      <w:r w:rsidRPr="00EA11E2">
        <w:rPr>
          <w:rFonts w:ascii="Times New Roman" w:hAnsi="Times New Roman" w:cs="Times New Roman"/>
          <w:sz w:val="20"/>
          <w:szCs w:val="20"/>
        </w:rPr>
        <w:t xml:space="preserve">without being </w:t>
      </w:r>
      <w:r w:rsidRPr="00EA11E2">
        <w:rPr>
          <w:rFonts w:ascii="Times New Roman" w:hAnsi="Times New Roman" w:cs="Times New Roman"/>
          <w:i/>
          <w:sz w:val="20"/>
          <w:szCs w:val="20"/>
        </w:rPr>
        <w:t xml:space="preserve">adopted </w:t>
      </w:r>
      <w:r w:rsidRPr="00EA11E2">
        <w:rPr>
          <w:rFonts w:ascii="Times New Roman" w:hAnsi="Times New Roman" w:cs="Times New Roman"/>
          <w:sz w:val="20"/>
          <w:szCs w:val="20"/>
        </w:rPr>
        <w:t>under environmental law</w:t>
      </w:r>
      <w:r w:rsidR="00F5073B" w:rsidRPr="00EA11E2">
        <w:rPr>
          <w:rFonts w:ascii="Times New Roman" w:hAnsi="Times New Roman" w:cs="Times New Roman"/>
          <w:sz w:val="20"/>
          <w:szCs w:val="20"/>
        </w:rPr>
        <w:t xml:space="preserve"> within the meaning of Article 10(1) of the Regulation</w:t>
      </w:r>
      <w:r w:rsidR="00DD40DE" w:rsidRPr="00EA11E2">
        <w:rPr>
          <w:rFonts w:ascii="Times New Roman" w:hAnsi="Times New Roman" w:cs="Times New Roman"/>
          <w:sz w:val="20"/>
          <w:szCs w:val="20"/>
        </w:rPr>
        <w:t xml:space="preserve">: </w:t>
      </w:r>
      <w:r w:rsidR="004D327D" w:rsidRPr="00EA11E2">
        <w:rPr>
          <w:rFonts w:ascii="Times New Roman" w:hAnsi="Times New Roman" w:cs="Times New Roman"/>
          <w:sz w:val="20"/>
          <w:szCs w:val="20"/>
        </w:rPr>
        <w:t>an act without an environmental legal base</w:t>
      </w:r>
      <w:r w:rsidR="004F7095" w:rsidRPr="00EA11E2">
        <w:rPr>
          <w:rFonts w:ascii="Times New Roman" w:hAnsi="Times New Roman" w:cs="Times New Roman"/>
          <w:sz w:val="20"/>
          <w:szCs w:val="20"/>
        </w:rPr>
        <w:t xml:space="preserve"> in EU law</w:t>
      </w:r>
      <w:r w:rsidR="00C62F58" w:rsidRPr="00EA11E2">
        <w:rPr>
          <w:rFonts w:ascii="Times New Roman" w:hAnsi="Times New Roman" w:cs="Times New Roman"/>
          <w:sz w:val="20"/>
          <w:szCs w:val="20"/>
        </w:rPr>
        <w:t>, in the field of energy or fisheries for example,</w:t>
      </w:r>
      <w:r w:rsidR="004D327D" w:rsidRPr="00EA11E2">
        <w:rPr>
          <w:rFonts w:ascii="Times New Roman" w:hAnsi="Times New Roman" w:cs="Times New Roman"/>
          <w:sz w:val="20"/>
          <w:szCs w:val="20"/>
        </w:rPr>
        <w:t xml:space="preserve"> may contravene </w:t>
      </w:r>
      <w:r w:rsidR="004F7095" w:rsidRPr="00EA11E2">
        <w:rPr>
          <w:rFonts w:ascii="Times New Roman" w:hAnsi="Times New Roman" w:cs="Times New Roman"/>
          <w:sz w:val="20"/>
          <w:szCs w:val="20"/>
        </w:rPr>
        <w:t xml:space="preserve">a law relating to the environment. </w:t>
      </w:r>
      <w:r w:rsidR="004D327D" w:rsidRPr="00EA11E2">
        <w:rPr>
          <w:rFonts w:ascii="Times New Roman" w:hAnsi="Times New Roman" w:cs="Times New Roman"/>
          <w:sz w:val="20"/>
          <w:szCs w:val="20"/>
        </w:rPr>
        <w:t xml:space="preserve"> </w:t>
      </w:r>
      <w:bookmarkStart w:id="28" w:name="_Toc302830041"/>
    </w:p>
    <w:p w14:paraId="10AE330A" w14:textId="77777777" w:rsidR="008A4BC7" w:rsidRPr="001C7421" w:rsidRDefault="008A4BC7" w:rsidP="006B7A05">
      <w:pPr>
        <w:spacing w:line="240" w:lineRule="auto"/>
        <w:rPr>
          <w:rFonts w:ascii="Times New Roman" w:hAnsi="Times New Roman" w:cs="Times New Roman"/>
          <w:sz w:val="20"/>
          <w:szCs w:val="20"/>
          <w:u w:val="single"/>
        </w:rPr>
      </w:pPr>
      <w:r w:rsidRPr="001C7421">
        <w:rPr>
          <w:rFonts w:ascii="Times New Roman" w:hAnsi="Times New Roman" w:cs="Times New Roman"/>
          <w:sz w:val="20"/>
          <w:szCs w:val="20"/>
          <w:u w:val="single"/>
        </w:rPr>
        <w:t>Acts not having legally binding and external effects</w:t>
      </w:r>
      <w:bookmarkEnd w:id="28"/>
    </w:p>
    <w:p w14:paraId="05E8B192"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The communicant also complains that Article 2</w:t>
      </w:r>
      <w:r w:rsidR="00AB6F12" w:rsidRPr="00EA11E2">
        <w:rPr>
          <w:rFonts w:ascii="Times New Roman" w:hAnsi="Times New Roman" w:cs="Times New Roman"/>
          <w:sz w:val="20"/>
          <w:szCs w:val="20"/>
        </w:rPr>
        <w:t>(1)</w:t>
      </w:r>
      <w:r w:rsidRPr="00EA11E2">
        <w:rPr>
          <w:rFonts w:ascii="Times New Roman" w:hAnsi="Times New Roman" w:cs="Times New Roman"/>
          <w:sz w:val="20"/>
          <w:szCs w:val="20"/>
        </w:rPr>
        <w:t xml:space="preserve">(g) </w:t>
      </w:r>
      <w:r w:rsidR="00493A94" w:rsidRPr="00EA11E2">
        <w:rPr>
          <w:rFonts w:ascii="Times New Roman" w:hAnsi="Times New Roman" w:cs="Times New Roman"/>
          <w:sz w:val="20"/>
          <w:szCs w:val="20"/>
        </w:rPr>
        <w:t xml:space="preserve">of the Aarhus Regulation </w:t>
      </w:r>
      <w:r w:rsidRPr="00EA11E2">
        <w:rPr>
          <w:rFonts w:ascii="Times New Roman" w:hAnsi="Times New Roman" w:cs="Times New Roman"/>
          <w:sz w:val="20"/>
          <w:szCs w:val="20"/>
        </w:rPr>
        <w:t>requires a measure to have “legally binding and external effects” before that measure falls within the definition of “administrative act”, and thus within the scope of Article 2</w:t>
      </w:r>
      <w:r w:rsidR="00AB6F12" w:rsidRPr="00EA11E2">
        <w:rPr>
          <w:rFonts w:ascii="Times New Roman" w:hAnsi="Times New Roman" w:cs="Times New Roman"/>
          <w:sz w:val="20"/>
          <w:szCs w:val="20"/>
        </w:rPr>
        <w:t>(1)</w:t>
      </w:r>
      <w:r w:rsidRPr="00EA11E2">
        <w:rPr>
          <w:rFonts w:ascii="Times New Roman" w:hAnsi="Times New Roman" w:cs="Times New Roman"/>
          <w:sz w:val="20"/>
          <w:szCs w:val="20"/>
        </w:rPr>
        <w:t xml:space="preserve">(g). The communicant gives evidence that on a number of occasions administrative review of an act has been refused because of this requirement and argues that the "legally binding and external effect" criterion provided in Article 2(1)(g) of the Regulation constitutes another barrier to the right to challenge decisions and does not have a basis in </w:t>
      </w:r>
      <w:r w:rsidR="005A3774" w:rsidRPr="00EA11E2">
        <w:rPr>
          <w:rFonts w:ascii="Times New Roman" w:hAnsi="Times New Roman" w:cs="Times New Roman"/>
          <w:sz w:val="20"/>
          <w:szCs w:val="20"/>
        </w:rPr>
        <w:t>article 9, paragraph 3</w:t>
      </w:r>
      <w:r w:rsidR="00AB6F12" w:rsidRPr="00EA11E2">
        <w:rPr>
          <w:rFonts w:ascii="Times New Roman" w:hAnsi="Times New Roman" w:cs="Times New Roman"/>
          <w:sz w:val="20"/>
          <w:szCs w:val="20"/>
        </w:rPr>
        <w:t>,</w:t>
      </w:r>
      <w:r w:rsidR="005A3774"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of the Convention. </w:t>
      </w:r>
    </w:p>
    <w:p w14:paraId="4AF0E496"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rPr>
      </w:pPr>
    </w:p>
    <w:p w14:paraId="167E3153" w14:textId="20FC7E78"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The Aarhus Regulation does not provide much explanation for the use of this criterion. Whilst recital (11) is related to the issue, it simply contains the following bald assertion</w:t>
      </w:r>
      <w:r w:rsidR="009B3316">
        <w:rPr>
          <w:rFonts w:ascii="Times New Roman" w:hAnsi="Times New Roman" w:cs="Times New Roman"/>
          <w:sz w:val="20"/>
          <w:szCs w:val="20"/>
        </w:rPr>
        <w:t>:</w:t>
      </w:r>
      <w:r w:rsidRPr="00EA11E2">
        <w:rPr>
          <w:rFonts w:ascii="Times New Roman" w:hAnsi="Times New Roman" w:cs="Times New Roman"/>
          <w:sz w:val="20"/>
          <w:szCs w:val="20"/>
        </w:rPr>
        <w:t xml:space="preserve"> </w:t>
      </w:r>
    </w:p>
    <w:p w14:paraId="02370709" w14:textId="77777777" w:rsidR="008A4BC7" w:rsidRPr="00EA11E2" w:rsidRDefault="008A4BC7" w:rsidP="00350924">
      <w:pPr>
        <w:pStyle w:val="NormalWeb"/>
        <w:ind w:left="720"/>
        <w:rPr>
          <w:i/>
          <w:color w:val="303F49"/>
          <w:sz w:val="20"/>
          <w:szCs w:val="20"/>
          <w:lang w:val="en-GB"/>
        </w:rPr>
      </w:pPr>
      <w:r w:rsidRPr="00EA11E2">
        <w:rPr>
          <w:i/>
          <w:sz w:val="20"/>
          <w:szCs w:val="20"/>
          <w:lang w:val="en-GB"/>
        </w:rPr>
        <w:t>“Administrative acts of individual scope should be open to possible internal review where they have legally binding and external effects…”</w:t>
      </w:r>
    </w:p>
    <w:p w14:paraId="14159B7F"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In this context the reasoning used by the Committee</w:t>
      </w:r>
      <w:r w:rsidR="00EE1FF9" w:rsidRPr="00EA11E2">
        <w:rPr>
          <w:rFonts w:ascii="Times New Roman" w:hAnsi="Times New Roman" w:cs="Times New Roman"/>
          <w:sz w:val="20"/>
          <w:szCs w:val="20"/>
        </w:rPr>
        <w:t xml:space="preserve"> </w:t>
      </w:r>
      <w:r w:rsidRPr="00EA11E2">
        <w:rPr>
          <w:rFonts w:ascii="Times New Roman" w:hAnsi="Times New Roman" w:cs="Times New Roman"/>
          <w:sz w:val="20"/>
          <w:szCs w:val="20"/>
        </w:rPr>
        <w:t>to find that the “individual sco</w:t>
      </w:r>
      <w:r w:rsidR="00EE1FF9" w:rsidRPr="00EA11E2">
        <w:rPr>
          <w:rFonts w:ascii="Times New Roman" w:hAnsi="Times New Roman" w:cs="Times New Roman"/>
          <w:sz w:val="20"/>
          <w:szCs w:val="20"/>
        </w:rPr>
        <w:t xml:space="preserve">pe” criterion is invalid </w:t>
      </w:r>
      <w:r w:rsidRPr="00EA11E2">
        <w:rPr>
          <w:rFonts w:ascii="Times New Roman" w:hAnsi="Times New Roman" w:cs="Times New Roman"/>
          <w:sz w:val="20"/>
          <w:szCs w:val="20"/>
        </w:rPr>
        <w:t>applies by analogy.</w:t>
      </w:r>
    </w:p>
    <w:p w14:paraId="1BFB0599"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8127A61" w14:textId="6EADF12C" w:rsidR="00EE1FF9" w:rsidRPr="00EA11E2" w:rsidRDefault="008A4BC7" w:rsidP="0067035E">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In short, the concept of “acts” in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 xml:space="preserve">of the Convention </w:t>
      </w:r>
      <w:r w:rsidR="00C71E05" w:rsidRPr="00EA11E2">
        <w:rPr>
          <w:rFonts w:ascii="Times New Roman" w:hAnsi="Times New Roman" w:cs="Times New Roman"/>
          <w:sz w:val="20"/>
          <w:szCs w:val="20"/>
        </w:rPr>
        <w:t xml:space="preserve">must not be construed </w:t>
      </w:r>
      <w:r w:rsidRPr="00EA11E2">
        <w:rPr>
          <w:rFonts w:ascii="Times New Roman" w:hAnsi="Times New Roman" w:cs="Times New Roman"/>
          <w:sz w:val="20"/>
          <w:szCs w:val="20"/>
        </w:rPr>
        <w:t>as covering only acts that have legally bi</w:t>
      </w:r>
      <w:r w:rsidR="00AB6F12" w:rsidRPr="00EA11E2">
        <w:rPr>
          <w:rFonts w:ascii="Times New Roman" w:hAnsi="Times New Roman" w:cs="Times New Roman"/>
          <w:sz w:val="20"/>
          <w:szCs w:val="20"/>
        </w:rPr>
        <w:t>n</w:t>
      </w:r>
      <w:r w:rsidRPr="00EA11E2">
        <w:rPr>
          <w:rFonts w:ascii="Times New Roman" w:hAnsi="Times New Roman" w:cs="Times New Roman"/>
          <w:sz w:val="20"/>
          <w:szCs w:val="20"/>
        </w:rPr>
        <w:t>ding and external effects</w:t>
      </w:r>
      <w:r w:rsidR="00097AD3" w:rsidRPr="00EA11E2">
        <w:rPr>
          <w:rFonts w:ascii="Times New Roman" w:hAnsi="Times New Roman" w:cs="Times New Roman"/>
          <w:sz w:val="20"/>
          <w:szCs w:val="20"/>
        </w:rPr>
        <w:t>. I</w:t>
      </w:r>
      <w:r w:rsidRPr="00EA11E2">
        <w:rPr>
          <w:rFonts w:ascii="Times New Roman" w:hAnsi="Times New Roman" w:cs="Times New Roman"/>
          <w:sz w:val="20"/>
          <w:szCs w:val="20"/>
        </w:rPr>
        <w:t xml:space="preserve">t follows that Article 10(1) of the Aarhus Regulation fails </w:t>
      </w:r>
      <w:r w:rsidR="00097AD3" w:rsidRPr="00EA11E2">
        <w:rPr>
          <w:rFonts w:ascii="Times New Roman" w:hAnsi="Times New Roman" w:cs="Times New Roman"/>
          <w:sz w:val="20"/>
          <w:szCs w:val="20"/>
        </w:rPr>
        <w:t xml:space="preserve">to </w:t>
      </w:r>
      <w:r w:rsidRPr="00EA11E2">
        <w:rPr>
          <w:rFonts w:ascii="Times New Roman" w:hAnsi="Times New Roman" w:cs="Times New Roman"/>
          <w:sz w:val="20"/>
          <w:szCs w:val="20"/>
        </w:rPr>
        <w:t xml:space="preserve">implement </w:t>
      </w:r>
      <w:r w:rsidR="003D7120" w:rsidRPr="00EA11E2">
        <w:rPr>
          <w:rFonts w:ascii="Times New Roman" w:hAnsi="Times New Roman" w:cs="Times New Roman"/>
          <w:sz w:val="20"/>
          <w:szCs w:val="20"/>
        </w:rPr>
        <w:t xml:space="preserve">correctly </w:t>
      </w:r>
      <w:r w:rsidR="005A3774" w:rsidRPr="00EA11E2">
        <w:rPr>
          <w:rFonts w:ascii="Times New Roman" w:hAnsi="Times New Roman" w:cs="Times New Roman"/>
          <w:sz w:val="20"/>
          <w:szCs w:val="20"/>
        </w:rPr>
        <w:t xml:space="preserve">article 9, paragraph 3 </w:t>
      </w:r>
      <w:r w:rsidRPr="00EA11E2">
        <w:rPr>
          <w:rFonts w:ascii="Times New Roman" w:hAnsi="Times New Roman" w:cs="Times New Roman"/>
          <w:sz w:val="20"/>
          <w:szCs w:val="20"/>
        </w:rPr>
        <w:t xml:space="preserve">of the </w:t>
      </w:r>
      <w:r w:rsidR="0067035E" w:rsidRPr="00EA11E2">
        <w:rPr>
          <w:rFonts w:ascii="Times New Roman" w:hAnsi="Times New Roman" w:cs="Times New Roman"/>
          <w:sz w:val="20"/>
          <w:szCs w:val="20"/>
        </w:rPr>
        <w:t xml:space="preserve">Convention </w:t>
      </w:r>
      <w:r w:rsidRPr="00EA11E2">
        <w:rPr>
          <w:rFonts w:ascii="Times New Roman" w:hAnsi="Times New Roman" w:cs="Times New Roman"/>
          <w:sz w:val="20"/>
          <w:szCs w:val="20"/>
        </w:rPr>
        <w:t xml:space="preserve">in so far as it covers only acts that have legally binding and external effects. </w:t>
      </w:r>
    </w:p>
    <w:p w14:paraId="47ED8CC4" w14:textId="77777777" w:rsidR="00EE1FF9" w:rsidRPr="00EA11E2" w:rsidRDefault="00EE1FF9" w:rsidP="00EE1FF9">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 </w:t>
      </w:r>
    </w:p>
    <w:p w14:paraId="7F3E1783" w14:textId="77777777" w:rsidR="008A4BC7" w:rsidRPr="00EA11E2" w:rsidRDefault="00097AD3"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w:t>
      </w:r>
      <w:r w:rsidR="008A4BC7" w:rsidRPr="00EA11E2">
        <w:rPr>
          <w:rFonts w:ascii="Times New Roman" w:hAnsi="Times New Roman" w:cs="Times New Roman"/>
          <w:sz w:val="20"/>
          <w:szCs w:val="20"/>
        </w:rPr>
        <w:t xml:space="preserve">he Committee </w:t>
      </w:r>
      <w:r w:rsidRPr="00EA11E2">
        <w:rPr>
          <w:rFonts w:ascii="Times New Roman" w:hAnsi="Times New Roman" w:cs="Times New Roman"/>
          <w:sz w:val="20"/>
          <w:szCs w:val="20"/>
        </w:rPr>
        <w:t>reiterates</w:t>
      </w:r>
      <w:r w:rsidR="008A4BC7" w:rsidRPr="00EA11E2">
        <w:rPr>
          <w:rFonts w:ascii="Times New Roman" w:hAnsi="Times New Roman" w:cs="Times New Roman"/>
          <w:sz w:val="20"/>
          <w:szCs w:val="20"/>
        </w:rPr>
        <w:t xml:space="preserve"> that whilst </w:t>
      </w:r>
      <w:r w:rsidR="005A3774" w:rsidRPr="00EA11E2">
        <w:rPr>
          <w:rFonts w:ascii="Times New Roman" w:hAnsi="Times New Roman" w:cs="Times New Roman"/>
          <w:sz w:val="20"/>
          <w:szCs w:val="20"/>
        </w:rPr>
        <w:t xml:space="preserve">article 9, paragraph 3 </w:t>
      </w:r>
      <w:r w:rsidR="008A4BC7" w:rsidRPr="00EA11E2">
        <w:rPr>
          <w:rFonts w:ascii="Times New Roman" w:hAnsi="Times New Roman" w:cs="Times New Roman"/>
          <w:sz w:val="20"/>
          <w:szCs w:val="20"/>
        </w:rPr>
        <w:t>allows Parties a degree of discretion to provide criteria that must be met by members of the public before they have access to justice, it does not allow Parties any discretion as to the acts that may be excluded from implementing laws.</w:t>
      </w:r>
      <w:bookmarkStart w:id="29" w:name="_Toc302830042"/>
    </w:p>
    <w:p w14:paraId="0C18F467" w14:textId="77777777" w:rsidR="008A4BC7" w:rsidRPr="001C7421" w:rsidRDefault="008A4BC7" w:rsidP="008A4BC7">
      <w:pPr>
        <w:spacing w:line="240" w:lineRule="auto"/>
        <w:rPr>
          <w:rFonts w:ascii="Times New Roman" w:hAnsi="Times New Roman" w:cs="Times New Roman"/>
          <w:sz w:val="20"/>
          <w:szCs w:val="20"/>
          <w:u w:val="single"/>
        </w:rPr>
      </w:pPr>
      <w:r w:rsidRPr="001C7421">
        <w:rPr>
          <w:rFonts w:ascii="Times New Roman" w:hAnsi="Times New Roman" w:cs="Times New Roman"/>
          <w:sz w:val="20"/>
          <w:szCs w:val="20"/>
          <w:u w:val="single"/>
        </w:rPr>
        <w:t>The exemption of administrative review</w:t>
      </w:r>
      <w:bookmarkEnd w:id="29"/>
    </w:p>
    <w:p w14:paraId="3464D7FA" w14:textId="77777777"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Article 2(2) of the Aarhus Regulation provides</w:t>
      </w:r>
      <w:r w:rsidR="00AB6F12" w:rsidRPr="00EA11E2">
        <w:rPr>
          <w:rFonts w:ascii="Times New Roman" w:hAnsi="Times New Roman" w:cs="Times New Roman"/>
          <w:sz w:val="20"/>
          <w:szCs w:val="20"/>
        </w:rPr>
        <w:t>:</w:t>
      </w:r>
    </w:p>
    <w:p w14:paraId="1BBE7361" w14:textId="77777777" w:rsidR="008A4BC7" w:rsidRPr="00EA11E2" w:rsidRDefault="008A4BC7" w:rsidP="00EE1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Administrative acts and administrative omissions shall not include measures taken or omissions by a Community institution or body in its capacity as an administrative review body, such as under:</w:t>
      </w:r>
    </w:p>
    <w:p w14:paraId="745D16BE" w14:textId="5025C989"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(a)</w:t>
      </w:r>
      <w:r w:rsidR="001C7421">
        <w:rPr>
          <w:rFonts w:ascii="Times New Roman" w:hAnsi="Times New Roman" w:cs="Times New Roman"/>
          <w:i/>
          <w:sz w:val="20"/>
          <w:szCs w:val="20"/>
        </w:rPr>
        <w:tab/>
      </w:r>
      <w:r w:rsidRPr="00EA11E2">
        <w:rPr>
          <w:rFonts w:ascii="Times New Roman" w:hAnsi="Times New Roman" w:cs="Times New Roman"/>
          <w:i/>
          <w:sz w:val="20"/>
          <w:szCs w:val="20"/>
        </w:rPr>
        <w:t>Articles 81, 82, 86 and 87 of the Treaty (competition rules);</w:t>
      </w:r>
    </w:p>
    <w:p w14:paraId="323E744E" w14:textId="54B1609D"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(b)</w:t>
      </w:r>
      <w:r w:rsidR="001C7421">
        <w:rPr>
          <w:rFonts w:ascii="Times New Roman" w:hAnsi="Times New Roman" w:cs="Times New Roman"/>
          <w:i/>
          <w:sz w:val="20"/>
          <w:szCs w:val="20"/>
        </w:rPr>
        <w:tab/>
      </w:r>
      <w:r w:rsidRPr="00EA11E2">
        <w:rPr>
          <w:rFonts w:ascii="Times New Roman" w:hAnsi="Times New Roman" w:cs="Times New Roman"/>
          <w:i/>
          <w:sz w:val="20"/>
          <w:szCs w:val="20"/>
        </w:rPr>
        <w:t>Articles 226 and 228 of the Treaty (infringement proceedings);</w:t>
      </w:r>
    </w:p>
    <w:p w14:paraId="2100A2CA" w14:textId="33D44AB1"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(c)</w:t>
      </w:r>
      <w:r w:rsidR="001C7421">
        <w:rPr>
          <w:rFonts w:ascii="Times New Roman" w:hAnsi="Times New Roman" w:cs="Times New Roman"/>
          <w:i/>
          <w:sz w:val="20"/>
          <w:szCs w:val="20"/>
        </w:rPr>
        <w:tab/>
      </w:r>
      <w:r w:rsidRPr="00EA11E2">
        <w:rPr>
          <w:rFonts w:ascii="Times New Roman" w:hAnsi="Times New Roman" w:cs="Times New Roman"/>
          <w:i/>
          <w:sz w:val="20"/>
          <w:szCs w:val="20"/>
        </w:rPr>
        <w:t>Article 195 of the Treaty (Ombudsman proceedings);</w:t>
      </w:r>
    </w:p>
    <w:p w14:paraId="3071D9AE" w14:textId="7242321A"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(d)</w:t>
      </w:r>
      <w:r w:rsidR="001C7421">
        <w:rPr>
          <w:rFonts w:ascii="Times New Roman" w:hAnsi="Times New Roman" w:cs="Times New Roman"/>
          <w:i/>
          <w:sz w:val="20"/>
          <w:szCs w:val="20"/>
        </w:rPr>
        <w:tab/>
      </w:r>
      <w:r w:rsidRPr="00EA11E2">
        <w:rPr>
          <w:rFonts w:ascii="Times New Roman" w:hAnsi="Times New Roman" w:cs="Times New Roman"/>
          <w:i/>
          <w:sz w:val="20"/>
          <w:szCs w:val="20"/>
        </w:rPr>
        <w:t>Article 280 of the Treaty (OLAF proceedings).</w:t>
      </w:r>
    </w:p>
    <w:p w14:paraId="1AB8A7D4" w14:textId="77777777"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It is important to note that the list of provisions in subparagraphs (a) to (d) do not amount to an exhaustive list of measures taken in the capacity of a review body; the list is simply illustrative (as is indicated by the words “such as” in the chapeau to the provision). Article 2(2) therefore excludes from the scope of Article 10(1)</w:t>
      </w:r>
      <w:r w:rsidR="00FF3C73" w:rsidRPr="00EA11E2">
        <w:rPr>
          <w:rFonts w:ascii="Times New Roman" w:hAnsi="Times New Roman" w:cs="Times New Roman"/>
          <w:sz w:val="20"/>
          <w:szCs w:val="20"/>
        </w:rPr>
        <w:t xml:space="preserve"> </w:t>
      </w:r>
      <w:r w:rsidRPr="00EA11E2">
        <w:rPr>
          <w:rFonts w:ascii="Times New Roman" w:hAnsi="Times New Roman" w:cs="Times New Roman"/>
          <w:i/>
          <w:sz w:val="20"/>
          <w:szCs w:val="20"/>
        </w:rPr>
        <w:t xml:space="preserve">all </w:t>
      </w:r>
      <w:r w:rsidRPr="00EA11E2">
        <w:rPr>
          <w:rFonts w:ascii="Times New Roman" w:hAnsi="Times New Roman" w:cs="Times New Roman"/>
          <w:sz w:val="20"/>
          <w:szCs w:val="20"/>
        </w:rPr>
        <w:t xml:space="preserve">measures taken in the capacity of an administrative review body; and subparagraphs (a) to (d) simply include examples of such measures. </w:t>
      </w:r>
    </w:p>
    <w:p w14:paraId="390B2BA9"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7C96BC58" w14:textId="77777777" w:rsidR="008A4BC7"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Article 2(2) should be read in the light of recital (11) to the Aarhus Regulation, which says</w:t>
      </w:r>
      <w:r w:rsidR="00AB6F12" w:rsidRPr="00EA11E2">
        <w:rPr>
          <w:rFonts w:ascii="Times New Roman" w:hAnsi="Times New Roman" w:cs="Times New Roman"/>
          <w:sz w:val="20"/>
          <w:szCs w:val="20"/>
        </w:rPr>
        <w:t>:</w:t>
      </w:r>
      <w:r w:rsidRPr="00EA11E2">
        <w:rPr>
          <w:rFonts w:ascii="Times New Roman" w:hAnsi="Times New Roman" w:cs="Times New Roman"/>
          <w:sz w:val="20"/>
          <w:szCs w:val="20"/>
        </w:rPr>
        <w:t xml:space="preserve"> </w:t>
      </w:r>
    </w:p>
    <w:p w14:paraId="3DC486E3" w14:textId="77777777" w:rsidR="008A4BC7" w:rsidRPr="00EA11E2" w:rsidRDefault="008A4BC7"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….Given that acts adopted by a Community institution or body acting in a judicial or legislative capacity can be excluded, the same should apply to other inquiry procedures where the Community institution or body acts as an administrative review body under provisions of the Treaty.</w:t>
      </w:r>
    </w:p>
    <w:p w14:paraId="37778350" w14:textId="77777777" w:rsidR="00EE1FF9" w:rsidRPr="00EA11E2" w:rsidRDefault="008A4BC7"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There is, however, no express exemption from the Convention of measures taken in the capacity of an administrative review body from a provision of a measure implementing </w:t>
      </w:r>
      <w:r w:rsidR="005A3774" w:rsidRPr="00EA11E2">
        <w:rPr>
          <w:rFonts w:ascii="Times New Roman" w:hAnsi="Times New Roman" w:cs="Times New Roman"/>
          <w:sz w:val="20"/>
          <w:szCs w:val="20"/>
        </w:rPr>
        <w:t>article 9, paragraph 3</w:t>
      </w:r>
      <w:r w:rsidR="005A1FA7"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of the Convention; and notwithstanding the wording of recital (11) it is difficult to imagine how a Community institution or body acting as an administrative review body could be acting in a legislative capacity. </w:t>
      </w:r>
    </w:p>
    <w:p w14:paraId="7EF56D86" w14:textId="77777777" w:rsidR="00EE1FF9" w:rsidRPr="00EA11E2" w:rsidRDefault="00EE1FF9" w:rsidP="00EE1FF9">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 </w:t>
      </w:r>
    </w:p>
    <w:p w14:paraId="2877A93D" w14:textId="77777777" w:rsidR="008A4BC7" w:rsidRPr="00EA11E2" w:rsidRDefault="00502E78" w:rsidP="002E746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w:t>
      </w:r>
      <w:r w:rsidR="00FF3C73" w:rsidRPr="00EA11E2">
        <w:rPr>
          <w:rFonts w:ascii="Times New Roman" w:hAnsi="Times New Roman" w:cs="Times New Roman"/>
          <w:sz w:val="20"/>
          <w:szCs w:val="20"/>
        </w:rPr>
        <w:t xml:space="preserve">he exemption in </w:t>
      </w:r>
      <w:r w:rsidR="008A4BC7" w:rsidRPr="00EA11E2">
        <w:rPr>
          <w:rFonts w:ascii="Times New Roman" w:hAnsi="Times New Roman" w:cs="Times New Roman"/>
          <w:sz w:val="20"/>
          <w:szCs w:val="20"/>
        </w:rPr>
        <w:t xml:space="preserve">Article 2(2) of the Regulation relies on the proposition that acting as an administrative review body is somehow acting in a judicial capacity. </w:t>
      </w:r>
      <w:r w:rsidR="00097AD3" w:rsidRPr="00EA11E2">
        <w:rPr>
          <w:rFonts w:ascii="Times New Roman" w:hAnsi="Times New Roman" w:cs="Times New Roman"/>
          <w:sz w:val="20"/>
          <w:szCs w:val="20"/>
        </w:rPr>
        <w:t>Yet,</w:t>
      </w:r>
      <w:r w:rsidR="008A4BC7" w:rsidRPr="00EA11E2">
        <w:rPr>
          <w:rFonts w:ascii="Times New Roman" w:hAnsi="Times New Roman" w:cs="Times New Roman"/>
          <w:sz w:val="20"/>
          <w:szCs w:val="20"/>
        </w:rPr>
        <w:t xml:space="preserve"> the wording of the Convention provides no support for such a proposition; indeed the wording of the Convention leads to the opposite conclusion.</w:t>
      </w:r>
    </w:p>
    <w:p w14:paraId="11A450DF"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67BF27F7" w14:textId="304F3F9A"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Article </w:t>
      </w:r>
      <w:r w:rsidR="005A3774" w:rsidRPr="00EA11E2">
        <w:rPr>
          <w:rFonts w:ascii="Times New Roman" w:hAnsi="Times New Roman" w:cs="Times New Roman"/>
          <w:sz w:val="20"/>
          <w:szCs w:val="20"/>
        </w:rPr>
        <w:t xml:space="preserve">9, paragraph 3 </w:t>
      </w:r>
      <w:r w:rsidRPr="00EA11E2">
        <w:rPr>
          <w:rFonts w:ascii="Times New Roman" w:hAnsi="Times New Roman" w:cs="Times New Roman"/>
          <w:sz w:val="20"/>
          <w:szCs w:val="20"/>
        </w:rPr>
        <w:t xml:space="preserve">of the Convention provides for access to administrative or judicial procedures, but the tail to </w:t>
      </w:r>
      <w:r w:rsidR="00AB6F12" w:rsidRPr="00EA11E2">
        <w:rPr>
          <w:rFonts w:ascii="Times New Roman" w:hAnsi="Times New Roman" w:cs="Times New Roman"/>
          <w:sz w:val="20"/>
          <w:szCs w:val="20"/>
        </w:rPr>
        <w:t>a</w:t>
      </w:r>
      <w:r w:rsidRPr="00EA11E2">
        <w:rPr>
          <w:rFonts w:ascii="Times New Roman" w:hAnsi="Times New Roman" w:cs="Times New Roman"/>
          <w:sz w:val="20"/>
          <w:szCs w:val="20"/>
        </w:rPr>
        <w:t>rticle 2</w:t>
      </w:r>
      <w:r w:rsidR="00AB6F12" w:rsidRPr="00EA11E2">
        <w:rPr>
          <w:rFonts w:ascii="Times New Roman" w:hAnsi="Times New Roman" w:cs="Times New Roman"/>
          <w:sz w:val="20"/>
          <w:szCs w:val="20"/>
        </w:rPr>
        <w:t xml:space="preserve">, paragraph </w:t>
      </w:r>
      <w:r w:rsidRPr="00EA11E2">
        <w:rPr>
          <w:rFonts w:ascii="Times New Roman" w:hAnsi="Times New Roman" w:cs="Times New Roman"/>
          <w:sz w:val="20"/>
          <w:szCs w:val="20"/>
        </w:rPr>
        <w:t>2 of the Convention excludes from the definition of “public authority</w:t>
      </w:r>
      <w:r w:rsidR="00502E78" w:rsidRPr="00EA11E2">
        <w:rPr>
          <w:rFonts w:ascii="Times New Roman" w:hAnsi="Times New Roman" w:cs="Times New Roman"/>
          <w:sz w:val="20"/>
          <w:szCs w:val="20"/>
        </w:rPr>
        <w:t>”</w:t>
      </w:r>
      <w:r w:rsidRPr="00EA11E2">
        <w:rPr>
          <w:rFonts w:ascii="Times New Roman" w:hAnsi="Times New Roman" w:cs="Times New Roman"/>
          <w:sz w:val="20"/>
          <w:szCs w:val="20"/>
        </w:rPr>
        <w:t xml:space="preserve"> “bodies acting in a judicial or legislative capacity” but not bodies acting in the capacity of an administrative review body. The conclusion that must be drawn </w:t>
      </w:r>
      <w:r w:rsidR="00502E78" w:rsidRPr="00EA11E2">
        <w:rPr>
          <w:rFonts w:ascii="Times New Roman" w:hAnsi="Times New Roman" w:cs="Times New Roman"/>
          <w:sz w:val="20"/>
          <w:szCs w:val="20"/>
        </w:rPr>
        <w:t xml:space="preserve">from this is clear: </w:t>
      </w:r>
      <w:r w:rsidRPr="00EA11E2">
        <w:rPr>
          <w:rFonts w:ascii="Times New Roman" w:hAnsi="Times New Roman" w:cs="Times New Roman"/>
          <w:sz w:val="20"/>
          <w:szCs w:val="20"/>
        </w:rPr>
        <w:t xml:space="preserve">the Convention distinguishes between judicial and administrative procedures, and excludes public authorities </w:t>
      </w:r>
      <w:r w:rsidR="00097AD3" w:rsidRPr="00EA11E2">
        <w:rPr>
          <w:rFonts w:ascii="Times New Roman" w:hAnsi="Times New Roman" w:cs="Times New Roman"/>
          <w:sz w:val="20"/>
          <w:szCs w:val="20"/>
        </w:rPr>
        <w:t xml:space="preserve">only </w:t>
      </w:r>
      <w:r w:rsidRPr="00EA11E2">
        <w:rPr>
          <w:rFonts w:ascii="Times New Roman" w:hAnsi="Times New Roman" w:cs="Times New Roman"/>
          <w:sz w:val="20"/>
          <w:szCs w:val="20"/>
        </w:rPr>
        <w:t>when they act in a judicial capacity, but not when they act by way of administrative review.</w:t>
      </w:r>
    </w:p>
    <w:p w14:paraId="2B6D2E56"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6975989"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It follows that Article 2(2) of the Regulation is not consistent with the requirements of the Convention.</w:t>
      </w:r>
    </w:p>
    <w:p w14:paraId="47528A67" w14:textId="77777777" w:rsidR="008A4BC7" w:rsidRPr="001C7421" w:rsidRDefault="008A4BC7" w:rsidP="008A4BC7">
      <w:pPr>
        <w:widowControl w:val="0"/>
        <w:autoSpaceDE w:val="0"/>
        <w:autoSpaceDN w:val="0"/>
        <w:adjustRightInd w:val="0"/>
        <w:spacing w:after="240" w:line="240" w:lineRule="auto"/>
        <w:rPr>
          <w:rFonts w:ascii="Times New Roman" w:hAnsi="Times New Roman" w:cs="Times New Roman"/>
          <w:sz w:val="20"/>
          <w:szCs w:val="20"/>
          <w:u w:val="single"/>
        </w:rPr>
      </w:pPr>
      <w:bookmarkStart w:id="30" w:name="_Toc302830043"/>
      <w:r w:rsidRPr="001C7421">
        <w:rPr>
          <w:rFonts w:ascii="Times New Roman" w:hAnsi="Times New Roman" w:cs="Times New Roman"/>
          <w:sz w:val="20"/>
          <w:szCs w:val="20"/>
          <w:u w:val="single"/>
        </w:rPr>
        <w:t>Is the internal review procedure an adequate and effective remedy?</w:t>
      </w:r>
      <w:bookmarkEnd w:id="30"/>
    </w:p>
    <w:p w14:paraId="44945CA5"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31" w:name="_Toc302830044"/>
      <w:r w:rsidRPr="00EA11E2">
        <w:rPr>
          <w:rFonts w:ascii="Times New Roman" w:hAnsi="Times New Roman" w:cs="Times New Roman"/>
          <w:sz w:val="20"/>
          <w:szCs w:val="20"/>
        </w:rPr>
        <w:t xml:space="preserve">The communicant argues that the internal review procedure set out in Article 10 of Regulation 1367/2006 does not constitute an administrative review mechanism for the purpose of </w:t>
      </w:r>
      <w:r w:rsidR="005A3774" w:rsidRPr="00EA11E2">
        <w:rPr>
          <w:rFonts w:ascii="Times New Roman" w:hAnsi="Times New Roman" w:cs="Times New Roman"/>
          <w:sz w:val="20"/>
          <w:szCs w:val="20"/>
        </w:rPr>
        <w:t>article 9, paragraphs 3 and 4</w:t>
      </w:r>
      <w:r w:rsidR="00AB6F12" w:rsidRPr="00EA11E2">
        <w:rPr>
          <w:rFonts w:ascii="Times New Roman" w:hAnsi="Times New Roman" w:cs="Times New Roman"/>
          <w:sz w:val="20"/>
          <w:szCs w:val="20"/>
        </w:rPr>
        <w:t>,</w:t>
      </w:r>
      <w:r w:rsidR="005A3774" w:rsidRPr="00EA11E2">
        <w:rPr>
          <w:rFonts w:ascii="Times New Roman" w:hAnsi="Times New Roman" w:cs="Times New Roman"/>
          <w:sz w:val="20"/>
          <w:szCs w:val="20"/>
        </w:rPr>
        <w:t xml:space="preserve"> </w:t>
      </w:r>
      <w:r w:rsidRPr="00EA11E2">
        <w:rPr>
          <w:rFonts w:ascii="Times New Roman" w:hAnsi="Times New Roman" w:cs="Times New Roman"/>
          <w:sz w:val="20"/>
          <w:szCs w:val="20"/>
        </w:rPr>
        <w:t>as it is neither adequate nor effective and fair.</w:t>
      </w:r>
      <w:bookmarkEnd w:id="31"/>
    </w:p>
    <w:p w14:paraId="0AB30DDF"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227D505" w14:textId="6B47B535"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32" w:name="_Toc302830045"/>
      <w:r w:rsidRPr="00EA11E2">
        <w:rPr>
          <w:rFonts w:ascii="Times New Roman" w:hAnsi="Times New Roman" w:cs="Times New Roman"/>
          <w:sz w:val="20"/>
          <w:szCs w:val="20"/>
        </w:rPr>
        <w:t>The communicant points out that under Article 10 of the Aarhus Regulation the EU institution that adopted a contested decision conducts an internal review; this leads the communicant to observe that it is only natural that the institution will be biased and consider that all the legal and due diligence checks have been made when adopting the decision.</w:t>
      </w:r>
      <w:bookmarkEnd w:id="32"/>
    </w:p>
    <w:p w14:paraId="1D23CC5A"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16360A1" w14:textId="77777777" w:rsidR="003D7120" w:rsidRPr="00EA11E2" w:rsidRDefault="008A4BC7" w:rsidP="00097AD3">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33" w:name="_Toc302830046"/>
      <w:r w:rsidRPr="00EA11E2">
        <w:rPr>
          <w:rFonts w:ascii="Times New Roman" w:hAnsi="Times New Roman" w:cs="Times New Roman"/>
          <w:sz w:val="20"/>
          <w:szCs w:val="20"/>
        </w:rPr>
        <w:t>Had the internal review procedure been the only available remedy, the Committee would have questioned whether the procedure met the requirements of the Convention; there would be doubts about whether the procedure was adequate, effective, fair, and equitable as required by the Convention.</w:t>
      </w:r>
      <w:bookmarkEnd w:id="33"/>
      <w:r w:rsidR="00097AD3" w:rsidRPr="00EA11E2">
        <w:rPr>
          <w:rFonts w:ascii="Times New Roman" w:hAnsi="Times New Roman" w:cs="Times New Roman"/>
          <w:sz w:val="20"/>
          <w:szCs w:val="20"/>
        </w:rPr>
        <w:t xml:space="preserve"> </w:t>
      </w:r>
      <w:r w:rsidR="003D7120" w:rsidRPr="00EA11E2">
        <w:rPr>
          <w:rFonts w:ascii="Times New Roman" w:hAnsi="Times New Roman" w:cs="Times New Roman"/>
          <w:sz w:val="20"/>
          <w:szCs w:val="20"/>
        </w:rPr>
        <w:br/>
      </w:r>
    </w:p>
    <w:p w14:paraId="5C7EC259" w14:textId="34FC5A6D" w:rsidR="008A4BC7" w:rsidRPr="00EA11E2" w:rsidRDefault="00CA796B" w:rsidP="00097AD3">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34" w:name="_Toc302830047"/>
      <w:bookmarkEnd w:id="34"/>
      <w:r w:rsidRPr="00EA11E2">
        <w:rPr>
          <w:rFonts w:ascii="Times New Roman" w:hAnsi="Times New Roman" w:cs="Times New Roman"/>
          <w:sz w:val="20"/>
          <w:szCs w:val="20"/>
        </w:rPr>
        <w:t>The</w:t>
      </w:r>
      <w:r w:rsidR="008A4BC7" w:rsidRPr="00EA11E2">
        <w:rPr>
          <w:rFonts w:ascii="Times New Roman" w:hAnsi="Times New Roman" w:cs="Times New Roman"/>
          <w:sz w:val="20"/>
          <w:szCs w:val="20"/>
        </w:rPr>
        <w:t xml:space="preserve"> internal review</w:t>
      </w:r>
      <w:r w:rsidRPr="00EA11E2">
        <w:rPr>
          <w:rFonts w:ascii="Times New Roman" w:hAnsi="Times New Roman" w:cs="Times New Roman"/>
          <w:sz w:val="20"/>
          <w:szCs w:val="20"/>
        </w:rPr>
        <w:t>, however,</w:t>
      </w:r>
      <w:r w:rsidR="008A4BC7" w:rsidRPr="00EA11E2">
        <w:rPr>
          <w:rFonts w:ascii="Times New Roman" w:hAnsi="Times New Roman" w:cs="Times New Roman"/>
          <w:sz w:val="20"/>
          <w:szCs w:val="20"/>
        </w:rPr>
        <w:t xml:space="preserve"> is supplemented by Article 12 of the Aarhus Regulation, which provides</w:t>
      </w:r>
      <w:r w:rsidR="001C7421">
        <w:rPr>
          <w:rFonts w:ascii="Times New Roman" w:hAnsi="Times New Roman" w:cs="Times New Roman"/>
          <w:sz w:val="20"/>
          <w:szCs w:val="20"/>
        </w:rPr>
        <w:t>:</w:t>
      </w:r>
    </w:p>
    <w:p w14:paraId="05F2C394" w14:textId="77777777" w:rsidR="008A4BC7" w:rsidRPr="00EA11E2" w:rsidRDefault="008A4BC7"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 xml:space="preserve">1. The non-governmental organisation which made the request for internal review pursuant to Article 10 may institute proceedings before the Court of Justice in accordance with the relevant provisions of the Treaty. </w:t>
      </w:r>
    </w:p>
    <w:p w14:paraId="4D45AB47" w14:textId="77777777" w:rsidR="008A4BC7" w:rsidRPr="00EA11E2" w:rsidRDefault="008A4BC7"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sidRPr="00EA11E2">
        <w:rPr>
          <w:rFonts w:ascii="Times New Roman" w:hAnsi="Times New Roman" w:cs="Times New Roman"/>
          <w:i/>
          <w:sz w:val="20"/>
          <w:szCs w:val="20"/>
        </w:rPr>
        <w:t xml:space="preserve">2. Where the Community institution or body fails to act in accordance with Article 10(2) or (3) the non-governmental organisation may institute proceedings before the Court of Justice in accordance with the relevant provisions of the Treaty. </w:t>
      </w:r>
    </w:p>
    <w:p w14:paraId="04C8AA93" w14:textId="77777777" w:rsidR="008A4BC7" w:rsidRPr="00EA11E2" w:rsidRDefault="008A4BC7" w:rsidP="006B7A0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This provision should be read in the light of the following recitals to the Aarhus Regulation. </w:t>
      </w:r>
    </w:p>
    <w:p w14:paraId="21446C79" w14:textId="06D983E7" w:rsidR="008A4BC7" w:rsidRPr="00EA11E2" w:rsidRDefault="001C7421"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Pr>
          <w:rFonts w:ascii="Times New Roman" w:hAnsi="Times New Roman" w:cs="Times New Roman"/>
          <w:i/>
          <w:sz w:val="20"/>
          <w:szCs w:val="20"/>
        </w:rPr>
        <w:t>(19)</w:t>
      </w:r>
      <w:r>
        <w:rPr>
          <w:rFonts w:ascii="Times New Roman" w:hAnsi="Times New Roman" w:cs="Times New Roman"/>
          <w:i/>
          <w:sz w:val="20"/>
          <w:szCs w:val="20"/>
        </w:rPr>
        <w:tab/>
      </w:r>
      <w:r w:rsidR="008A4BC7" w:rsidRPr="00EA11E2">
        <w:rPr>
          <w:rFonts w:ascii="Times New Roman" w:hAnsi="Times New Roman" w:cs="Times New Roman"/>
          <w:i/>
          <w:sz w:val="20"/>
          <w:szCs w:val="20"/>
        </w:rPr>
        <w:t xml:space="preserve">To ensure adequate and effective remedies, including those available before the Court of Justice of the European Communities under the relevant provisions of the Treaty, it is appropriate that the Community institution or body which issued the act to be challenged or which, in the case of an alleged administrative omission, omitted to act, be given the opportunity to reconsider its former decision, or, in the case of an omission, to act. </w:t>
      </w:r>
      <w:r w:rsidR="008A4BC7" w:rsidRPr="00EA11E2">
        <w:rPr>
          <w:rFonts w:ascii="MS Mincho" w:eastAsia="MS Mincho" w:hAnsi="MS Mincho" w:cs="MS Mincho" w:hint="eastAsia"/>
          <w:i/>
          <w:sz w:val="20"/>
          <w:szCs w:val="20"/>
        </w:rPr>
        <w:t> </w:t>
      </w:r>
    </w:p>
    <w:p w14:paraId="590211BB" w14:textId="603A008F" w:rsidR="008A4BC7" w:rsidRPr="00EA11E2" w:rsidRDefault="001C7421" w:rsidP="006B7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Pr>
          <w:rFonts w:ascii="Times New Roman" w:hAnsi="Times New Roman" w:cs="Times New Roman"/>
          <w:i/>
          <w:sz w:val="20"/>
          <w:szCs w:val="20"/>
        </w:rPr>
        <w:t xml:space="preserve">(20) </w:t>
      </w:r>
      <w:r>
        <w:rPr>
          <w:rFonts w:ascii="Times New Roman" w:hAnsi="Times New Roman" w:cs="Times New Roman"/>
          <w:i/>
          <w:sz w:val="20"/>
          <w:szCs w:val="20"/>
        </w:rPr>
        <w:tab/>
      </w:r>
      <w:r w:rsidR="008A4BC7" w:rsidRPr="00EA11E2">
        <w:rPr>
          <w:rFonts w:ascii="Times New Roman" w:hAnsi="Times New Roman" w:cs="Times New Roman"/>
          <w:i/>
          <w:sz w:val="20"/>
          <w:szCs w:val="20"/>
        </w:rPr>
        <w:t xml:space="preserve">Non-governmental organisations active in the field of environmental protection which meet certain criteria, in particular in order to ensure that they are independent and accountable organisations that have demonstrated that their primary objective is to promote environmental protection, should be entitled to request internal review at Community level of acts adopted or of omissions under environmental law by a Community institution or body, with a view to their reconsideration by the institution or body in question. </w:t>
      </w:r>
      <w:r w:rsidR="008A4BC7" w:rsidRPr="00EA11E2">
        <w:rPr>
          <w:rFonts w:ascii="MS Mincho" w:eastAsia="MS Mincho" w:hAnsi="MS Mincho" w:cs="MS Mincho" w:hint="eastAsia"/>
          <w:i/>
          <w:sz w:val="20"/>
          <w:szCs w:val="20"/>
        </w:rPr>
        <w:t> </w:t>
      </w:r>
    </w:p>
    <w:p w14:paraId="3F6F207B" w14:textId="60B6B535" w:rsidR="008A4BC7" w:rsidRPr="00EA11E2" w:rsidRDefault="001C7421" w:rsidP="008A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s="Times New Roman"/>
          <w:i/>
          <w:sz w:val="20"/>
          <w:szCs w:val="20"/>
        </w:rPr>
      </w:pPr>
      <w:r>
        <w:rPr>
          <w:rFonts w:ascii="Times New Roman" w:hAnsi="Times New Roman" w:cs="Times New Roman"/>
          <w:i/>
          <w:sz w:val="20"/>
          <w:szCs w:val="20"/>
        </w:rPr>
        <w:t xml:space="preserve">(21) </w:t>
      </w:r>
      <w:r>
        <w:rPr>
          <w:rFonts w:ascii="Times New Roman" w:hAnsi="Times New Roman" w:cs="Times New Roman"/>
          <w:i/>
          <w:sz w:val="20"/>
          <w:szCs w:val="20"/>
        </w:rPr>
        <w:tab/>
      </w:r>
      <w:r w:rsidR="008A4BC7" w:rsidRPr="00EA11E2">
        <w:rPr>
          <w:rFonts w:ascii="Times New Roman" w:hAnsi="Times New Roman" w:cs="Times New Roman"/>
          <w:i/>
          <w:sz w:val="20"/>
          <w:szCs w:val="20"/>
        </w:rPr>
        <w:t xml:space="preserve">Where previous requests for internal review have been unsuccessful, the non-governmental organisation concerned should be able to institute proceedings before the Court of Justice in accordance with the relevant provisions of the Treaty. </w:t>
      </w:r>
      <w:r w:rsidR="008A4BC7" w:rsidRPr="00EA11E2">
        <w:rPr>
          <w:rFonts w:ascii="MS Mincho" w:eastAsia="MS Mincho" w:hAnsi="MS Mincho" w:cs="MS Mincho" w:hint="eastAsia"/>
          <w:i/>
          <w:sz w:val="20"/>
          <w:szCs w:val="20"/>
        </w:rPr>
        <w:t> </w:t>
      </w:r>
    </w:p>
    <w:p w14:paraId="253DD797"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communicants argue that the judicial procedure established under </w:t>
      </w:r>
      <w:r w:rsidR="005A3774" w:rsidRPr="00EA11E2">
        <w:rPr>
          <w:rFonts w:ascii="Times New Roman" w:hAnsi="Times New Roman" w:cs="Times New Roman"/>
          <w:sz w:val="20"/>
          <w:szCs w:val="20"/>
        </w:rPr>
        <w:t>A</w:t>
      </w:r>
      <w:r w:rsidRPr="00EA11E2">
        <w:rPr>
          <w:rFonts w:ascii="Times New Roman" w:hAnsi="Times New Roman" w:cs="Times New Roman"/>
          <w:sz w:val="20"/>
          <w:szCs w:val="20"/>
        </w:rPr>
        <w:t xml:space="preserve">rticle 12 might not allow challenging the initial act adopted by the institution and forming the object of the review; if the internal review request has been considered inadmissible, the measure that will be subject of the judicial proceedings established under </w:t>
      </w:r>
      <w:r w:rsidR="005A3774" w:rsidRPr="00EA11E2">
        <w:rPr>
          <w:rFonts w:ascii="Times New Roman" w:hAnsi="Times New Roman" w:cs="Times New Roman"/>
          <w:sz w:val="20"/>
          <w:szCs w:val="20"/>
        </w:rPr>
        <w:t>A</w:t>
      </w:r>
      <w:r w:rsidRPr="00EA11E2">
        <w:rPr>
          <w:rFonts w:ascii="Times New Roman" w:hAnsi="Times New Roman" w:cs="Times New Roman"/>
          <w:sz w:val="20"/>
          <w:szCs w:val="20"/>
        </w:rPr>
        <w:t xml:space="preserve">rticle 12 of the Aarhus Regulation will be the “written reply” from the institution not the original act. The </w:t>
      </w:r>
      <w:r w:rsidR="00FF3C73" w:rsidRPr="00EA11E2">
        <w:rPr>
          <w:rFonts w:ascii="Times New Roman" w:hAnsi="Times New Roman" w:cs="Times New Roman"/>
          <w:sz w:val="20"/>
          <w:szCs w:val="20"/>
        </w:rPr>
        <w:t xml:space="preserve">communicant fears that the </w:t>
      </w:r>
      <w:r w:rsidRPr="00EA11E2">
        <w:rPr>
          <w:rFonts w:ascii="Times New Roman" w:hAnsi="Times New Roman" w:cs="Times New Roman"/>
          <w:sz w:val="20"/>
          <w:szCs w:val="20"/>
        </w:rPr>
        <w:t xml:space="preserve">court will thus only examine the way the institution has dealt with the internal review request and whether it complied with the procedural requirements of the Aarhus </w:t>
      </w:r>
      <w:r w:rsidR="00714EE5" w:rsidRPr="00EA11E2">
        <w:rPr>
          <w:rFonts w:ascii="Times New Roman" w:hAnsi="Times New Roman" w:cs="Times New Roman"/>
          <w:sz w:val="20"/>
          <w:szCs w:val="20"/>
        </w:rPr>
        <w:t>R</w:t>
      </w:r>
      <w:r w:rsidRPr="00EA11E2">
        <w:rPr>
          <w:rFonts w:ascii="Times New Roman" w:hAnsi="Times New Roman" w:cs="Times New Roman"/>
          <w:sz w:val="20"/>
          <w:szCs w:val="20"/>
        </w:rPr>
        <w:t xml:space="preserve">egulation leaving the initial act unexamined. </w:t>
      </w:r>
    </w:p>
    <w:p w14:paraId="50848B94"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07EB90CC" w14:textId="77777777" w:rsidR="008A4BC7" w:rsidRPr="00EA11E2" w:rsidRDefault="008A4BC7" w:rsidP="006B7A05">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It is for the E</w:t>
      </w:r>
      <w:r w:rsidR="005A1FA7" w:rsidRPr="00EA11E2">
        <w:rPr>
          <w:rFonts w:ascii="Times New Roman" w:hAnsi="Times New Roman" w:cs="Times New Roman"/>
          <w:sz w:val="20"/>
          <w:szCs w:val="20"/>
        </w:rPr>
        <w:t>U</w:t>
      </w:r>
      <w:r w:rsidRPr="00EA11E2">
        <w:rPr>
          <w:rFonts w:ascii="Times New Roman" w:hAnsi="Times New Roman" w:cs="Times New Roman"/>
          <w:sz w:val="20"/>
          <w:szCs w:val="20"/>
        </w:rPr>
        <w:t xml:space="preserve"> Courts to interpret Article 12. For the time being the Committee notes that whilst proceedings under Article 12(2) may relate only to the failure of a Community institution or body to act in accordance with Article 10(2) or (3), Article 12(1) appears to provide for proceedings that </w:t>
      </w:r>
      <w:r w:rsidR="00097AD3" w:rsidRPr="00EA11E2">
        <w:rPr>
          <w:rFonts w:ascii="Times New Roman" w:hAnsi="Times New Roman" w:cs="Times New Roman"/>
          <w:sz w:val="20"/>
          <w:szCs w:val="20"/>
        </w:rPr>
        <w:t>c</w:t>
      </w:r>
      <w:r w:rsidRPr="00EA11E2">
        <w:rPr>
          <w:rFonts w:ascii="Times New Roman" w:hAnsi="Times New Roman" w:cs="Times New Roman"/>
          <w:sz w:val="20"/>
          <w:szCs w:val="20"/>
        </w:rPr>
        <w:t xml:space="preserve">ould have a broader remit and that </w:t>
      </w:r>
      <w:r w:rsidR="00097AD3" w:rsidRPr="00EA11E2">
        <w:rPr>
          <w:rFonts w:ascii="Times New Roman" w:hAnsi="Times New Roman" w:cs="Times New Roman"/>
          <w:sz w:val="20"/>
          <w:szCs w:val="20"/>
        </w:rPr>
        <w:t>c</w:t>
      </w:r>
      <w:r w:rsidRPr="00EA11E2">
        <w:rPr>
          <w:rFonts w:ascii="Times New Roman" w:hAnsi="Times New Roman" w:cs="Times New Roman"/>
          <w:sz w:val="20"/>
          <w:szCs w:val="20"/>
        </w:rPr>
        <w:t>ould go to the substance of an ac</w:t>
      </w:r>
      <w:r w:rsidR="00FF3C73" w:rsidRPr="00EA11E2">
        <w:rPr>
          <w:rFonts w:ascii="Times New Roman" w:hAnsi="Times New Roman" w:cs="Times New Roman"/>
          <w:sz w:val="20"/>
          <w:szCs w:val="20"/>
        </w:rPr>
        <w:t xml:space="preserve">t as well as </w:t>
      </w:r>
      <w:r w:rsidR="00502E78" w:rsidRPr="00EA11E2">
        <w:rPr>
          <w:rFonts w:ascii="Times New Roman" w:hAnsi="Times New Roman" w:cs="Times New Roman"/>
          <w:sz w:val="20"/>
          <w:szCs w:val="20"/>
        </w:rPr>
        <w:t xml:space="preserve">to </w:t>
      </w:r>
      <w:r w:rsidR="00FF3C73" w:rsidRPr="00EA11E2">
        <w:rPr>
          <w:rFonts w:ascii="Times New Roman" w:hAnsi="Times New Roman" w:cs="Times New Roman"/>
          <w:sz w:val="20"/>
          <w:szCs w:val="20"/>
        </w:rPr>
        <w:t>whether there was compliance with Article 10(2) or (3)</w:t>
      </w:r>
      <w:r w:rsidRPr="00EA11E2">
        <w:rPr>
          <w:rFonts w:ascii="Times New Roman" w:hAnsi="Times New Roman" w:cs="Times New Roman"/>
          <w:sz w:val="20"/>
          <w:szCs w:val="20"/>
        </w:rPr>
        <w:t>. It would be consistent with this interpretation to construe Article 12(1) particularly in the light of recitals (20) and (21)</w:t>
      </w:r>
      <w:r w:rsidR="00510653" w:rsidRPr="00EA11E2">
        <w:rPr>
          <w:rFonts w:ascii="Times New Roman" w:hAnsi="Times New Roman" w:cs="Times New Roman"/>
          <w:sz w:val="20"/>
          <w:szCs w:val="20"/>
        </w:rPr>
        <w:t xml:space="preserve">; </w:t>
      </w:r>
      <w:r w:rsidRPr="00EA11E2">
        <w:rPr>
          <w:rFonts w:ascii="Times New Roman" w:hAnsi="Times New Roman" w:cs="Times New Roman"/>
          <w:sz w:val="20"/>
          <w:szCs w:val="20"/>
        </w:rPr>
        <w:t xml:space="preserve">Article 12(2) </w:t>
      </w:r>
      <w:r w:rsidR="00510653" w:rsidRPr="00EA11E2">
        <w:rPr>
          <w:rFonts w:ascii="Times New Roman" w:hAnsi="Times New Roman" w:cs="Times New Roman"/>
          <w:sz w:val="20"/>
          <w:szCs w:val="20"/>
        </w:rPr>
        <w:t xml:space="preserve">would be construed </w:t>
      </w:r>
      <w:r w:rsidRPr="00EA11E2">
        <w:rPr>
          <w:rFonts w:ascii="Times New Roman" w:hAnsi="Times New Roman" w:cs="Times New Roman"/>
          <w:sz w:val="20"/>
          <w:szCs w:val="20"/>
        </w:rPr>
        <w:t xml:space="preserve">in the light of recital (19). </w:t>
      </w:r>
    </w:p>
    <w:p w14:paraId="731EA864"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7A2EECB3" w14:textId="38FFB049" w:rsidR="00F33BEB" w:rsidRPr="00EA11E2" w:rsidRDefault="008A4BC7" w:rsidP="00F33BEB">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sz w:val="20"/>
          <w:szCs w:val="20"/>
        </w:rPr>
        <w:t>For the time being it therefore seems to the Committee that it is possible for the European Courts to interpret Article 12 in a way that wou</w:t>
      </w:r>
      <w:r w:rsidR="00510653" w:rsidRPr="00EA11E2">
        <w:rPr>
          <w:rFonts w:ascii="Times New Roman" w:hAnsi="Times New Roman" w:cs="Times New Roman"/>
          <w:sz w:val="20"/>
          <w:szCs w:val="20"/>
        </w:rPr>
        <w:t>ld allow them both to consider failure to comply with Article 10(2) and (3) as well as the substance of an act falling within Article 10(1)</w:t>
      </w:r>
      <w:r w:rsidRPr="00EA11E2">
        <w:rPr>
          <w:rFonts w:ascii="Times New Roman" w:hAnsi="Times New Roman" w:cs="Times New Roman"/>
          <w:sz w:val="20"/>
          <w:szCs w:val="20"/>
        </w:rPr>
        <w:t xml:space="preserve">. </w:t>
      </w:r>
      <w:r w:rsidR="000E5E74" w:rsidRPr="00EA11E2">
        <w:rPr>
          <w:rFonts w:ascii="Times New Roman" w:hAnsi="Times New Roman" w:cs="Times New Roman"/>
          <w:sz w:val="20"/>
          <w:szCs w:val="20"/>
        </w:rPr>
        <w:t xml:space="preserve">If the </w:t>
      </w:r>
      <w:r w:rsidR="00CA796B" w:rsidRPr="00EA11E2">
        <w:rPr>
          <w:rFonts w:ascii="Times New Roman" w:hAnsi="Times New Roman" w:cs="Times New Roman"/>
          <w:sz w:val="20"/>
          <w:szCs w:val="20"/>
        </w:rPr>
        <w:t xml:space="preserve">European Courts </w:t>
      </w:r>
      <w:r w:rsidR="000E5E74" w:rsidRPr="00EA11E2">
        <w:rPr>
          <w:rFonts w:ascii="Times New Roman" w:hAnsi="Times New Roman" w:cs="Times New Roman"/>
          <w:sz w:val="20"/>
          <w:szCs w:val="20"/>
        </w:rPr>
        <w:t xml:space="preserve">fail to </w:t>
      </w:r>
      <w:r w:rsidR="00CA796B" w:rsidRPr="00EA11E2">
        <w:rPr>
          <w:rFonts w:ascii="Times New Roman" w:hAnsi="Times New Roman" w:cs="Times New Roman"/>
          <w:sz w:val="20"/>
          <w:szCs w:val="20"/>
        </w:rPr>
        <w:t>interpret Article 12 in that way</w:t>
      </w:r>
      <w:r w:rsidR="00E15E4A" w:rsidRPr="00EA11E2">
        <w:rPr>
          <w:rFonts w:ascii="Times New Roman" w:hAnsi="Times New Roman" w:cs="Times New Roman"/>
          <w:sz w:val="20"/>
          <w:szCs w:val="20"/>
        </w:rPr>
        <w:t>,</w:t>
      </w:r>
      <w:r w:rsidR="00C71E05" w:rsidRPr="00EA11E2">
        <w:rPr>
          <w:rFonts w:ascii="Times New Roman" w:hAnsi="Times New Roman" w:cs="Times New Roman"/>
          <w:sz w:val="20"/>
          <w:szCs w:val="20"/>
        </w:rPr>
        <w:t xml:space="preserve"> </w:t>
      </w:r>
      <w:r w:rsidR="00CA796B" w:rsidRPr="00EA11E2">
        <w:rPr>
          <w:rFonts w:ascii="Times New Roman" w:hAnsi="Times New Roman" w:cs="Times New Roman"/>
          <w:sz w:val="20"/>
          <w:szCs w:val="20"/>
        </w:rPr>
        <w:t>that Artic</w:t>
      </w:r>
      <w:r w:rsidR="00E15E4A" w:rsidRPr="00EA11E2">
        <w:rPr>
          <w:rFonts w:ascii="Times New Roman" w:hAnsi="Times New Roman" w:cs="Times New Roman"/>
          <w:sz w:val="20"/>
          <w:szCs w:val="20"/>
        </w:rPr>
        <w:t>le will not</w:t>
      </w:r>
      <w:r w:rsidR="00CA796B" w:rsidRPr="00EA11E2">
        <w:rPr>
          <w:rFonts w:ascii="Times New Roman" w:hAnsi="Times New Roman" w:cs="Times New Roman"/>
          <w:sz w:val="20"/>
          <w:szCs w:val="20"/>
        </w:rPr>
        <w:t xml:space="preserve"> be in </w:t>
      </w:r>
      <w:r w:rsidR="000E5E74" w:rsidRPr="00EA11E2">
        <w:rPr>
          <w:rFonts w:ascii="Times New Roman" w:hAnsi="Times New Roman" w:cs="Times New Roman"/>
          <w:sz w:val="20"/>
          <w:szCs w:val="20"/>
        </w:rPr>
        <w:t xml:space="preserve">compliance with </w:t>
      </w:r>
      <w:r w:rsidR="00F33BEB" w:rsidRPr="00EA11E2">
        <w:rPr>
          <w:rFonts w:ascii="Times New Roman" w:hAnsi="Times New Roman" w:cs="Times New Roman"/>
          <w:sz w:val="20"/>
          <w:szCs w:val="20"/>
        </w:rPr>
        <w:t>the Convention.</w:t>
      </w:r>
    </w:p>
    <w:p w14:paraId="753B9047" w14:textId="77777777" w:rsidR="00510653" w:rsidRPr="009B3316" w:rsidRDefault="00510653" w:rsidP="00510653">
      <w:pPr>
        <w:widowControl w:val="0"/>
        <w:autoSpaceDE w:val="0"/>
        <w:autoSpaceDN w:val="0"/>
        <w:adjustRightInd w:val="0"/>
        <w:spacing w:before="4" w:after="240" w:line="240" w:lineRule="auto"/>
        <w:ind w:right="109"/>
        <w:jc w:val="both"/>
        <w:rPr>
          <w:rFonts w:ascii="Times New Roman" w:hAnsi="Times New Roman" w:cs="Times New Roman"/>
          <w:b/>
          <w:i/>
          <w:color w:val="000000"/>
          <w:sz w:val="20"/>
          <w:szCs w:val="20"/>
        </w:rPr>
      </w:pPr>
      <w:r w:rsidRPr="009B3316">
        <w:rPr>
          <w:rFonts w:ascii="Times New Roman" w:hAnsi="Times New Roman" w:cs="Times New Roman"/>
          <w:b/>
          <w:i/>
          <w:color w:val="000000"/>
          <w:sz w:val="20"/>
          <w:szCs w:val="20"/>
        </w:rPr>
        <w:t>The Aarhus Regulation: conclusion</w:t>
      </w:r>
    </w:p>
    <w:p w14:paraId="091ADA60"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35" w:name="_Toc302830049"/>
      <w:r w:rsidRPr="00EA11E2">
        <w:rPr>
          <w:rFonts w:ascii="Times New Roman" w:hAnsi="Times New Roman" w:cs="Times New Roman"/>
          <w:sz w:val="20"/>
          <w:szCs w:val="20"/>
        </w:rPr>
        <w:t xml:space="preserve">To conclude, an examination of the </w:t>
      </w:r>
      <w:r w:rsidR="00F33BEB" w:rsidRPr="00EA11E2">
        <w:rPr>
          <w:rFonts w:ascii="Times New Roman" w:hAnsi="Times New Roman" w:cs="Times New Roman"/>
          <w:sz w:val="20"/>
          <w:szCs w:val="20"/>
        </w:rPr>
        <w:t xml:space="preserve">communicant’s </w:t>
      </w:r>
      <w:r w:rsidRPr="00EA11E2">
        <w:rPr>
          <w:rFonts w:ascii="Times New Roman" w:hAnsi="Times New Roman" w:cs="Times New Roman"/>
          <w:sz w:val="20"/>
          <w:szCs w:val="20"/>
        </w:rPr>
        <w:t xml:space="preserve">main complaints about the Aarhus Regulation leads to the following conclusion: the Regulation does not correct the failings in the EU jurisprudence, and leaves the Party concerned in non-compliance with </w:t>
      </w:r>
      <w:r w:rsidR="005A3774" w:rsidRPr="00EA11E2">
        <w:rPr>
          <w:rFonts w:ascii="Times New Roman" w:hAnsi="Times New Roman" w:cs="Times New Roman"/>
          <w:sz w:val="20"/>
          <w:szCs w:val="20"/>
        </w:rPr>
        <w:t>article 9, paragraph</w:t>
      </w:r>
      <w:r w:rsidR="005A1FA7" w:rsidRPr="00EA11E2">
        <w:rPr>
          <w:rFonts w:ascii="Times New Roman" w:hAnsi="Times New Roman" w:cs="Times New Roman"/>
          <w:sz w:val="20"/>
          <w:szCs w:val="20"/>
        </w:rPr>
        <w:t>s</w:t>
      </w:r>
      <w:r w:rsidR="005A3774" w:rsidRPr="00EA11E2">
        <w:rPr>
          <w:rFonts w:ascii="Times New Roman" w:hAnsi="Times New Roman" w:cs="Times New Roman"/>
          <w:sz w:val="20"/>
          <w:szCs w:val="20"/>
        </w:rPr>
        <w:t xml:space="preserve"> 3 </w:t>
      </w:r>
      <w:r w:rsidR="005A1FA7" w:rsidRPr="00EA11E2">
        <w:rPr>
          <w:rFonts w:ascii="Times New Roman" w:hAnsi="Times New Roman" w:cs="Times New Roman"/>
          <w:sz w:val="20"/>
          <w:szCs w:val="20"/>
        </w:rPr>
        <w:t xml:space="preserve">and 4 </w:t>
      </w:r>
      <w:r w:rsidRPr="00EA11E2">
        <w:rPr>
          <w:rFonts w:ascii="Times New Roman" w:hAnsi="Times New Roman" w:cs="Times New Roman"/>
          <w:sz w:val="20"/>
          <w:szCs w:val="20"/>
        </w:rPr>
        <w:t>of the Convention.</w:t>
      </w:r>
      <w:bookmarkEnd w:id="35"/>
    </w:p>
    <w:p w14:paraId="66383B9C" w14:textId="77777777" w:rsidR="006B7A05" w:rsidRPr="00EA11E2" w:rsidRDefault="006B7A05" w:rsidP="006B7A05">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1653CC5B" w14:textId="77777777"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bookmarkStart w:id="36" w:name="_Toc302830050"/>
      <w:r w:rsidRPr="00EA11E2">
        <w:rPr>
          <w:rFonts w:ascii="Times New Roman" w:hAnsi="Times New Roman" w:cs="Times New Roman"/>
          <w:sz w:val="20"/>
          <w:szCs w:val="20"/>
        </w:rPr>
        <w:t xml:space="preserve">In the absence of the development of any positive </w:t>
      </w:r>
      <w:r w:rsidR="00502E78" w:rsidRPr="00EA11E2">
        <w:rPr>
          <w:rFonts w:ascii="Times New Roman" w:hAnsi="Times New Roman" w:cs="Times New Roman"/>
          <w:sz w:val="20"/>
          <w:szCs w:val="20"/>
        </w:rPr>
        <w:t xml:space="preserve">and extensive </w:t>
      </w:r>
      <w:r w:rsidRPr="00EA11E2">
        <w:rPr>
          <w:rFonts w:ascii="Times New Roman" w:hAnsi="Times New Roman" w:cs="Times New Roman"/>
          <w:sz w:val="20"/>
          <w:szCs w:val="20"/>
        </w:rPr>
        <w:t xml:space="preserve">jurisprudence an amendment of the Aarhus Regulation will be required to bring the Party concerned into compliance with </w:t>
      </w:r>
      <w:r w:rsidR="005A3774" w:rsidRPr="00EA11E2">
        <w:rPr>
          <w:rFonts w:ascii="Times New Roman" w:hAnsi="Times New Roman" w:cs="Times New Roman"/>
          <w:sz w:val="20"/>
          <w:szCs w:val="20"/>
        </w:rPr>
        <w:t>article 9, paragraph</w:t>
      </w:r>
      <w:r w:rsidR="005A1FA7" w:rsidRPr="00EA11E2">
        <w:rPr>
          <w:rFonts w:ascii="Times New Roman" w:hAnsi="Times New Roman" w:cs="Times New Roman"/>
          <w:sz w:val="20"/>
          <w:szCs w:val="20"/>
        </w:rPr>
        <w:t>s</w:t>
      </w:r>
      <w:r w:rsidR="005A3774" w:rsidRPr="00EA11E2">
        <w:rPr>
          <w:rFonts w:ascii="Times New Roman" w:hAnsi="Times New Roman" w:cs="Times New Roman"/>
          <w:sz w:val="20"/>
          <w:szCs w:val="20"/>
        </w:rPr>
        <w:t xml:space="preserve"> 3</w:t>
      </w:r>
      <w:r w:rsidR="005A1FA7" w:rsidRPr="00EA11E2">
        <w:rPr>
          <w:rFonts w:ascii="Times New Roman" w:hAnsi="Times New Roman" w:cs="Times New Roman"/>
          <w:sz w:val="20"/>
          <w:szCs w:val="20"/>
        </w:rPr>
        <w:t xml:space="preserve"> and 4</w:t>
      </w:r>
      <w:r w:rsidR="00F33BEB" w:rsidRPr="00EA11E2">
        <w:rPr>
          <w:rFonts w:ascii="Times New Roman" w:hAnsi="Times New Roman" w:cs="Times New Roman"/>
          <w:sz w:val="20"/>
          <w:szCs w:val="20"/>
        </w:rPr>
        <w:t>,</w:t>
      </w:r>
      <w:r w:rsidR="005A3774" w:rsidRPr="00EA11E2">
        <w:rPr>
          <w:rFonts w:ascii="Times New Roman" w:hAnsi="Times New Roman" w:cs="Times New Roman"/>
          <w:sz w:val="20"/>
          <w:szCs w:val="20"/>
        </w:rPr>
        <w:t xml:space="preserve"> </w:t>
      </w:r>
      <w:r w:rsidRPr="00EA11E2">
        <w:rPr>
          <w:rFonts w:ascii="Times New Roman" w:hAnsi="Times New Roman" w:cs="Times New Roman"/>
          <w:sz w:val="20"/>
          <w:szCs w:val="20"/>
        </w:rPr>
        <w:t>of the Convention.</w:t>
      </w:r>
      <w:bookmarkEnd w:id="36"/>
    </w:p>
    <w:p w14:paraId="27D37C21" w14:textId="77777777" w:rsidR="00F33BEB" w:rsidRPr="00EA11E2" w:rsidRDefault="00F33BEB" w:rsidP="00F33BEB">
      <w:pPr>
        <w:pStyle w:val="ListParagraph"/>
        <w:rPr>
          <w:rFonts w:ascii="Times New Roman" w:hAnsi="Times New Roman" w:cs="Times New Roman"/>
          <w:color w:val="000000"/>
          <w:sz w:val="20"/>
          <w:szCs w:val="20"/>
        </w:rPr>
      </w:pPr>
    </w:p>
    <w:p w14:paraId="774DB2E2" w14:textId="77777777" w:rsidR="00F33BEB" w:rsidRPr="00EA11E2" w:rsidRDefault="00F33BEB" w:rsidP="00F33BEB">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7AD49171" w14:textId="77777777" w:rsidR="008A4BC7" w:rsidRPr="001C7421" w:rsidRDefault="008A4BC7" w:rsidP="008A4BC7">
      <w:pPr>
        <w:spacing w:line="240" w:lineRule="auto"/>
        <w:rPr>
          <w:rFonts w:ascii="Times New Roman" w:hAnsi="Times New Roman" w:cs="Times New Roman"/>
          <w:b/>
          <w:sz w:val="24"/>
          <w:szCs w:val="24"/>
        </w:rPr>
      </w:pPr>
      <w:bookmarkStart w:id="37" w:name="_Toc302830051"/>
      <w:r w:rsidRPr="001C7421">
        <w:rPr>
          <w:rFonts w:ascii="Times New Roman" w:hAnsi="Times New Roman" w:cs="Times New Roman"/>
          <w:b/>
          <w:sz w:val="24"/>
          <w:szCs w:val="24"/>
        </w:rPr>
        <w:t>IV. Conclusions and recommendations</w:t>
      </w:r>
      <w:bookmarkEnd w:id="37"/>
    </w:p>
    <w:p w14:paraId="47DC9A4E" w14:textId="77777777" w:rsidR="008A4BC7" w:rsidRPr="00EA11E2" w:rsidRDefault="008A4BC7" w:rsidP="008A4BC7">
      <w:pPr>
        <w:spacing w:line="240" w:lineRule="auto"/>
        <w:rPr>
          <w:rFonts w:ascii="Times New Roman" w:hAnsi="Times New Roman" w:cs="Times New Roman"/>
          <w:b/>
          <w:sz w:val="20"/>
          <w:szCs w:val="20"/>
        </w:rPr>
      </w:pPr>
      <w:bookmarkStart w:id="38" w:name="_Toc302830052"/>
      <w:r w:rsidRPr="00EA11E2">
        <w:rPr>
          <w:rFonts w:ascii="Times New Roman" w:hAnsi="Times New Roman" w:cs="Times New Roman"/>
          <w:b/>
          <w:sz w:val="20"/>
          <w:szCs w:val="20"/>
        </w:rPr>
        <w:t xml:space="preserve">A. </w:t>
      </w:r>
      <w:r w:rsidR="00F33BEB" w:rsidRPr="00EA11E2">
        <w:rPr>
          <w:rFonts w:ascii="Times New Roman" w:hAnsi="Times New Roman" w:cs="Times New Roman"/>
          <w:b/>
          <w:sz w:val="20"/>
          <w:szCs w:val="20"/>
        </w:rPr>
        <w:tab/>
      </w:r>
      <w:r w:rsidRPr="00EA11E2">
        <w:rPr>
          <w:rFonts w:ascii="Times New Roman" w:hAnsi="Times New Roman" w:cs="Times New Roman"/>
          <w:b/>
          <w:sz w:val="20"/>
          <w:szCs w:val="20"/>
        </w:rPr>
        <w:t>Main findings with regard to non-compliance</w:t>
      </w:r>
      <w:bookmarkEnd w:id="38"/>
    </w:p>
    <w:p w14:paraId="75187EB8" w14:textId="3A389DD2"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The Committee finds that the Party concerned fails to comply with article 9, paragraphs 3 and 4, of the Convention with regard to access to justice by members of the public</w:t>
      </w:r>
      <w:r w:rsidR="00087AAF" w:rsidRPr="00EA11E2">
        <w:rPr>
          <w:rFonts w:ascii="Times New Roman" w:hAnsi="Times New Roman" w:cs="Times New Roman"/>
          <w:sz w:val="20"/>
          <w:szCs w:val="20"/>
        </w:rPr>
        <w:t xml:space="preserve"> because neither the Aarhus Regulation nor the jurisprudence of the ECJ implements or complies with the obligations arising under those paragraphs</w:t>
      </w:r>
      <w:r w:rsidR="009B3316">
        <w:rPr>
          <w:rFonts w:ascii="Times New Roman" w:hAnsi="Times New Roman" w:cs="Times New Roman"/>
          <w:sz w:val="20"/>
          <w:szCs w:val="20"/>
        </w:rPr>
        <w:t>.</w:t>
      </w:r>
    </w:p>
    <w:p w14:paraId="47C2579F" w14:textId="77777777" w:rsidR="008A4BC7" w:rsidRPr="00EA11E2" w:rsidRDefault="008A4BC7" w:rsidP="008A4BC7">
      <w:pPr>
        <w:spacing w:line="240" w:lineRule="auto"/>
        <w:rPr>
          <w:rFonts w:ascii="Times New Roman" w:hAnsi="Times New Roman" w:cs="Times New Roman"/>
          <w:b/>
          <w:sz w:val="20"/>
          <w:szCs w:val="20"/>
        </w:rPr>
      </w:pPr>
      <w:bookmarkStart w:id="39" w:name="_Toc302830053"/>
      <w:r w:rsidRPr="00EA11E2">
        <w:rPr>
          <w:rFonts w:ascii="Times New Roman" w:hAnsi="Times New Roman" w:cs="Times New Roman"/>
          <w:b/>
          <w:sz w:val="20"/>
          <w:szCs w:val="20"/>
        </w:rPr>
        <w:t xml:space="preserve">B. </w:t>
      </w:r>
      <w:r w:rsidR="00F33BEB" w:rsidRPr="00EA11E2">
        <w:rPr>
          <w:rFonts w:ascii="Times New Roman" w:hAnsi="Times New Roman" w:cs="Times New Roman"/>
          <w:b/>
          <w:sz w:val="20"/>
          <w:szCs w:val="20"/>
        </w:rPr>
        <w:tab/>
      </w:r>
      <w:r w:rsidRPr="00EA11E2">
        <w:rPr>
          <w:rFonts w:ascii="Times New Roman" w:hAnsi="Times New Roman" w:cs="Times New Roman"/>
          <w:b/>
          <w:sz w:val="20"/>
          <w:szCs w:val="20"/>
        </w:rPr>
        <w:t>Recommendations</w:t>
      </w:r>
      <w:bookmarkEnd w:id="39"/>
    </w:p>
    <w:p w14:paraId="05A8557E" w14:textId="7FC3C15B" w:rsidR="008A4BC7" w:rsidRPr="00EA11E2" w:rsidRDefault="008A4BC7" w:rsidP="008A4BC7">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sz w:val="20"/>
          <w:szCs w:val="20"/>
        </w:rPr>
        <w:t xml:space="preserve">The Committee, pursuant to paragraph 36 (b) of the annex to decision I/7, </w:t>
      </w:r>
      <w:r w:rsidR="001315E8" w:rsidRPr="00EA11E2">
        <w:rPr>
          <w:rFonts w:ascii="Times New Roman" w:hAnsi="Times New Roman" w:cs="Times New Roman"/>
          <w:sz w:val="20"/>
          <w:szCs w:val="20"/>
        </w:rPr>
        <w:t xml:space="preserve">recommends </w:t>
      </w:r>
      <w:r w:rsidRPr="00EA11E2">
        <w:rPr>
          <w:rFonts w:ascii="Times New Roman" w:hAnsi="Times New Roman" w:cs="Times New Roman"/>
          <w:sz w:val="20"/>
          <w:szCs w:val="20"/>
        </w:rPr>
        <w:t>that all relevant EU institutions within their competences take the steps necessary to provide the public concerned with access to justice in environmental matters</w:t>
      </w:r>
      <w:r w:rsidR="002D5DDE" w:rsidRPr="00EA11E2">
        <w:rPr>
          <w:rFonts w:ascii="Times New Roman" w:hAnsi="Times New Roman" w:cs="Times New Roman"/>
          <w:sz w:val="20"/>
          <w:szCs w:val="20"/>
        </w:rPr>
        <w:t xml:space="preserve"> in accordance with article 9, paragraphs 3 and 4 of the Convention</w:t>
      </w:r>
      <w:r w:rsidRPr="00EA11E2">
        <w:rPr>
          <w:rFonts w:ascii="Times New Roman" w:hAnsi="Times New Roman" w:cs="Times New Roman"/>
          <w:sz w:val="20"/>
          <w:szCs w:val="20"/>
        </w:rPr>
        <w:t xml:space="preserve">. </w:t>
      </w:r>
    </w:p>
    <w:p w14:paraId="25E47760" w14:textId="77777777" w:rsidR="00053437" w:rsidRPr="00EA11E2" w:rsidRDefault="00053437" w:rsidP="00110518">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48C464FB" w14:textId="0FD93C59" w:rsidR="00FC606A" w:rsidRPr="00EA11E2" w:rsidRDefault="00053437" w:rsidP="00110518">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If and to the extent that the Party concerned intends to rely on the Aarhus Regulation</w:t>
      </w:r>
      <w:r w:rsidR="0034756A" w:rsidRPr="00EA11E2">
        <w:rPr>
          <w:rFonts w:ascii="Times New Roman" w:hAnsi="Times New Roman" w:cs="Times New Roman"/>
          <w:color w:val="000000"/>
          <w:sz w:val="20"/>
          <w:szCs w:val="20"/>
        </w:rPr>
        <w:t xml:space="preserve"> or other</w:t>
      </w:r>
      <w:r w:rsidRPr="00EA11E2">
        <w:rPr>
          <w:rFonts w:ascii="Times New Roman" w:hAnsi="Times New Roman" w:cs="Times New Roman"/>
          <w:color w:val="000000"/>
          <w:sz w:val="20"/>
          <w:szCs w:val="20"/>
        </w:rPr>
        <w:t xml:space="preserve"> EU </w:t>
      </w:r>
      <w:r w:rsidR="00172CBB" w:rsidRPr="00EA11E2">
        <w:rPr>
          <w:rFonts w:ascii="Times New Roman" w:hAnsi="Times New Roman" w:cs="Times New Roman"/>
          <w:color w:val="000000"/>
          <w:sz w:val="20"/>
          <w:szCs w:val="20"/>
        </w:rPr>
        <w:t>legislation</w:t>
      </w:r>
      <w:r w:rsidRPr="00EA11E2">
        <w:rPr>
          <w:rFonts w:ascii="Times New Roman" w:hAnsi="Times New Roman" w:cs="Times New Roman"/>
          <w:color w:val="000000"/>
          <w:sz w:val="20"/>
          <w:szCs w:val="20"/>
        </w:rPr>
        <w:t xml:space="preserve"> to implemen</w:t>
      </w:r>
      <w:r w:rsidR="0034756A" w:rsidRPr="00EA11E2">
        <w:rPr>
          <w:rFonts w:ascii="Times New Roman" w:hAnsi="Times New Roman" w:cs="Times New Roman"/>
          <w:color w:val="000000"/>
          <w:sz w:val="20"/>
          <w:szCs w:val="20"/>
        </w:rPr>
        <w:t xml:space="preserve">t </w:t>
      </w:r>
      <w:r w:rsidR="00686373" w:rsidRPr="00EA11E2">
        <w:rPr>
          <w:rFonts w:ascii="Times New Roman" w:hAnsi="Times New Roman" w:cs="Times New Roman"/>
          <w:color w:val="000000"/>
          <w:sz w:val="20"/>
          <w:szCs w:val="20"/>
        </w:rPr>
        <w:t xml:space="preserve">article 9, </w:t>
      </w:r>
      <w:r w:rsidR="0034756A" w:rsidRPr="00EA11E2">
        <w:rPr>
          <w:rFonts w:ascii="Times New Roman" w:hAnsi="Times New Roman" w:cs="Times New Roman"/>
          <w:color w:val="000000"/>
          <w:sz w:val="20"/>
          <w:szCs w:val="20"/>
        </w:rPr>
        <w:t>paragraph</w:t>
      </w:r>
      <w:r w:rsidR="00FC606A" w:rsidRPr="00EA11E2">
        <w:rPr>
          <w:rFonts w:ascii="Times New Roman" w:hAnsi="Times New Roman" w:cs="Times New Roman"/>
          <w:color w:val="000000"/>
          <w:sz w:val="20"/>
          <w:szCs w:val="20"/>
        </w:rPr>
        <w:t>s</w:t>
      </w:r>
      <w:r w:rsidR="0034756A" w:rsidRPr="00EA11E2">
        <w:rPr>
          <w:rFonts w:ascii="Times New Roman" w:hAnsi="Times New Roman" w:cs="Times New Roman"/>
          <w:color w:val="000000"/>
          <w:sz w:val="20"/>
          <w:szCs w:val="20"/>
        </w:rPr>
        <w:t xml:space="preserve"> 3</w:t>
      </w:r>
      <w:r w:rsidR="00FC606A" w:rsidRPr="00EA11E2">
        <w:rPr>
          <w:rFonts w:ascii="Times New Roman" w:hAnsi="Times New Roman" w:cs="Times New Roman"/>
          <w:color w:val="000000"/>
          <w:sz w:val="20"/>
          <w:szCs w:val="20"/>
        </w:rPr>
        <w:t xml:space="preserve"> and 4</w:t>
      </w:r>
      <w:r w:rsidR="0034756A" w:rsidRPr="00EA11E2">
        <w:rPr>
          <w:rFonts w:ascii="Times New Roman" w:hAnsi="Times New Roman" w:cs="Times New Roman"/>
          <w:color w:val="000000"/>
          <w:sz w:val="20"/>
          <w:szCs w:val="20"/>
        </w:rPr>
        <w:t xml:space="preserve"> of </w:t>
      </w:r>
      <w:r w:rsidRPr="00EA11E2">
        <w:rPr>
          <w:rFonts w:ascii="Times New Roman" w:hAnsi="Times New Roman" w:cs="Times New Roman"/>
          <w:color w:val="000000"/>
          <w:sz w:val="20"/>
          <w:szCs w:val="20"/>
        </w:rPr>
        <w:t xml:space="preserve">the Convention, the Committee recommends </w:t>
      </w:r>
      <w:r w:rsidR="00D44224" w:rsidRPr="00EA11E2">
        <w:rPr>
          <w:rFonts w:ascii="Times New Roman" w:hAnsi="Times New Roman" w:cs="Times New Roman"/>
          <w:color w:val="000000"/>
          <w:sz w:val="20"/>
          <w:szCs w:val="20"/>
        </w:rPr>
        <w:t xml:space="preserve">to the Party concerned </w:t>
      </w:r>
      <w:r w:rsidRPr="00EA11E2">
        <w:rPr>
          <w:rFonts w:ascii="Times New Roman" w:hAnsi="Times New Roman" w:cs="Times New Roman"/>
          <w:color w:val="000000"/>
          <w:sz w:val="20"/>
          <w:szCs w:val="20"/>
        </w:rPr>
        <w:t>that</w:t>
      </w:r>
      <w:r w:rsidR="001C7421">
        <w:rPr>
          <w:rFonts w:ascii="Times New Roman" w:hAnsi="Times New Roman" w:cs="Times New Roman"/>
          <w:color w:val="000000"/>
          <w:sz w:val="20"/>
          <w:szCs w:val="20"/>
        </w:rPr>
        <w:t>:</w:t>
      </w:r>
    </w:p>
    <w:p w14:paraId="3162D97C" w14:textId="77777777" w:rsidR="00053437" w:rsidRPr="00EA11E2" w:rsidRDefault="00053437" w:rsidP="00110518">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83E3DE4" w14:textId="45EDDDC9" w:rsidR="00053437" w:rsidRPr="00EA11E2" w:rsidRDefault="00053437" w:rsidP="00110518">
      <w:pPr>
        <w:pStyle w:val="ListParagraph"/>
        <w:widowControl w:val="0"/>
        <w:numPr>
          <w:ilvl w:val="1"/>
          <w:numId w:val="6"/>
        </w:numPr>
        <w:autoSpaceDE w:val="0"/>
        <w:autoSpaceDN w:val="0"/>
        <w:adjustRightInd w:val="0"/>
        <w:spacing w:before="4" w:after="240" w:line="240" w:lineRule="auto"/>
        <w:ind w:right="109"/>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the Aarhus Regulation is amended in a way, or any new EU legislation is drafted in a way</w:t>
      </w:r>
      <w:r w:rsidR="00172CBB" w:rsidRPr="00EA11E2">
        <w:rPr>
          <w:rFonts w:ascii="Times New Roman" w:hAnsi="Times New Roman" w:cs="Times New Roman"/>
          <w:color w:val="000000"/>
          <w:sz w:val="20"/>
          <w:szCs w:val="20"/>
        </w:rPr>
        <w:t>, that</w:t>
      </w:r>
      <w:r w:rsidRPr="00EA11E2">
        <w:rPr>
          <w:rFonts w:ascii="Times New Roman" w:hAnsi="Times New Roman" w:cs="Times New Roman"/>
          <w:color w:val="000000"/>
          <w:sz w:val="20"/>
          <w:szCs w:val="20"/>
        </w:rPr>
        <w:t xml:space="preserve"> would leave it clear to the ECJ that legislation is in</w:t>
      </w:r>
      <w:r w:rsidR="003448D5" w:rsidRPr="00EA11E2">
        <w:rPr>
          <w:rFonts w:ascii="Times New Roman" w:hAnsi="Times New Roman" w:cs="Times New Roman"/>
          <w:color w:val="000000"/>
          <w:sz w:val="20"/>
          <w:szCs w:val="20"/>
        </w:rPr>
        <w:t xml:space="preserve">tended to implement </w:t>
      </w:r>
      <w:r w:rsidR="00350924" w:rsidRPr="00EA11E2">
        <w:rPr>
          <w:rFonts w:ascii="Times New Roman" w:hAnsi="Times New Roman" w:cs="Times New Roman"/>
          <w:color w:val="000000"/>
          <w:sz w:val="20"/>
          <w:szCs w:val="20"/>
        </w:rPr>
        <w:t xml:space="preserve">article 9, </w:t>
      </w:r>
      <w:r w:rsidR="003448D5" w:rsidRPr="00EA11E2">
        <w:rPr>
          <w:rFonts w:ascii="Times New Roman" w:hAnsi="Times New Roman" w:cs="Times New Roman"/>
          <w:color w:val="000000"/>
          <w:sz w:val="20"/>
          <w:szCs w:val="20"/>
        </w:rPr>
        <w:t xml:space="preserve">paragraph 3 </w:t>
      </w:r>
      <w:r w:rsidRPr="00EA11E2">
        <w:rPr>
          <w:rFonts w:ascii="Times New Roman" w:hAnsi="Times New Roman" w:cs="Times New Roman"/>
          <w:color w:val="000000"/>
          <w:sz w:val="20"/>
          <w:szCs w:val="20"/>
        </w:rPr>
        <w:t>of the Convention</w:t>
      </w:r>
      <w:r w:rsidR="0034756A" w:rsidRPr="00EA11E2">
        <w:rPr>
          <w:rFonts w:ascii="Times New Roman" w:hAnsi="Times New Roman" w:cs="Times New Roman"/>
          <w:color w:val="000000"/>
          <w:sz w:val="20"/>
          <w:szCs w:val="20"/>
        </w:rPr>
        <w:t xml:space="preserve">; and </w:t>
      </w:r>
    </w:p>
    <w:p w14:paraId="46D9377C" w14:textId="77777777" w:rsidR="0034756A" w:rsidRPr="00EA11E2" w:rsidRDefault="0034756A" w:rsidP="00110518">
      <w:pPr>
        <w:pStyle w:val="ListParagraph"/>
        <w:widowControl w:val="0"/>
        <w:autoSpaceDE w:val="0"/>
        <w:autoSpaceDN w:val="0"/>
        <w:adjustRightInd w:val="0"/>
        <w:spacing w:before="4" w:after="240" w:line="240" w:lineRule="auto"/>
        <w:ind w:left="1440" w:right="109"/>
        <w:jc w:val="both"/>
        <w:rPr>
          <w:rFonts w:ascii="Times New Roman" w:hAnsi="Times New Roman" w:cs="Times New Roman"/>
          <w:color w:val="000000"/>
          <w:sz w:val="20"/>
          <w:szCs w:val="20"/>
        </w:rPr>
      </w:pPr>
    </w:p>
    <w:p w14:paraId="163259DB" w14:textId="77777777" w:rsidR="00053437" w:rsidRPr="00EA11E2" w:rsidRDefault="00053437" w:rsidP="00110518">
      <w:pPr>
        <w:pStyle w:val="ListParagraph"/>
        <w:widowControl w:val="0"/>
        <w:numPr>
          <w:ilvl w:val="1"/>
          <w:numId w:val="6"/>
        </w:numPr>
        <w:autoSpaceDE w:val="0"/>
        <w:autoSpaceDN w:val="0"/>
        <w:adjustRightInd w:val="0"/>
        <w:spacing w:before="4" w:after="240" w:line="240" w:lineRule="auto"/>
        <w:ind w:right="109"/>
        <w:jc w:val="both"/>
        <w:rPr>
          <w:rFonts w:ascii="Times New Roman" w:hAnsi="Times New Roman" w:cs="Times New Roman"/>
          <w:color w:val="000000"/>
          <w:sz w:val="20"/>
          <w:szCs w:val="20"/>
        </w:rPr>
      </w:pPr>
      <w:r w:rsidRPr="00EA11E2">
        <w:rPr>
          <w:rFonts w:ascii="Times New Roman" w:hAnsi="Times New Roman" w:cs="Times New Roman"/>
          <w:color w:val="000000"/>
          <w:sz w:val="20"/>
          <w:szCs w:val="20"/>
        </w:rPr>
        <w:t xml:space="preserve">new or amended legislation implementing the Aarhus Convention uses wording that clearly and fully transposes the Convention; in particular it would be important to correct failures in implementation that are caused by the use of words or terms that do not fully correspond to </w:t>
      </w:r>
      <w:r w:rsidR="00FC606A" w:rsidRPr="00EA11E2">
        <w:rPr>
          <w:rFonts w:ascii="Times New Roman" w:hAnsi="Times New Roman" w:cs="Times New Roman"/>
          <w:color w:val="000000"/>
          <w:sz w:val="20"/>
          <w:szCs w:val="20"/>
        </w:rPr>
        <w:t xml:space="preserve">the terms of </w:t>
      </w:r>
      <w:r w:rsidRPr="00EA11E2">
        <w:rPr>
          <w:rFonts w:ascii="Times New Roman" w:hAnsi="Times New Roman" w:cs="Times New Roman"/>
          <w:color w:val="000000"/>
          <w:sz w:val="20"/>
          <w:szCs w:val="20"/>
        </w:rPr>
        <w:t xml:space="preserve">the </w:t>
      </w:r>
      <w:r w:rsidR="00172CBB" w:rsidRPr="00EA11E2">
        <w:rPr>
          <w:rFonts w:ascii="Times New Roman" w:hAnsi="Times New Roman" w:cs="Times New Roman"/>
          <w:color w:val="000000"/>
          <w:sz w:val="20"/>
          <w:szCs w:val="20"/>
        </w:rPr>
        <w:t xml:space="preserve">Convention. </w:t>
      </w:r>
    </w:p>
    <w:p w14:paraId="24ADD6D0" w14:textId="77777777" w:rsidR="00053437" w:rsidRPr="00EA11E2" w:rsidRDefault="00053437" w:rsidP="00110518">
      <w:pPr>
        <w:pStyle w:val="ListParagraph"/>
        <w:widowControl w:val="0"/>
        <w:autoSpaceDE w:val="0"/>
        <w:autoSpaceDN w:val="0"/>
        <w:adjustRightInd w:val="0"/>
        <w:spacing w:before="4" w:after="240" w:line="240" w:lineRule="auto"/>
        <w:ind w:left="0" w:right="109"/>
        <w:jc w:val="both"/>
        <w:rPr>
          <w:rFonts w:ascii="Times New Roman" w:hAnsi="Times New Roman" w:cs="Times New Roman"/>
          <w:color w:val="000000"/>
          <w:sz w:val="20"/>
          <w:szCs w:val="20"/>
        </w:rPr>
      </w:pPr>
    </w:p>
    <w:p w14:paraId="3C16C281" w14:textId="168C9451" w:rsidR="00BA1CCF" w:rsidRPr="00EA11E2" w:rsidRDefault="00053437" w:rsidP="00AF658F">
      <w:pPr>
        <w:pStyle w:val="ListParagraph"/>
        <w:widowControl w:val="0"/>
        <w:numPr>
          <w:ilvl w:val="0"/>
          <w:numId w:val="6"/>
        </w:numPr>
        <w:autoSpaceDE w:val="0"/>
        <w:autoSpaceDN w:val="0"/>
        <w:adjustRightInd w:val="0"/>
        <w:spacing w:before="4" w:after="240" w:line="240" w:lineRule="auto"/>
        <w:ind w:left="0" w:right="109" w:firstLine="0"/>
        <w:jc w:val="both"/>
        <w:rPr>
          <w:rFonts w:ascii="Times New Roman" w:hAnsi="Times New Roman" w:cs="Times New Roman"/>
          <w:sz w:val="20"/>
          <w:szCs w:val="20"/>
        </w:rPr>
      </w:pPr>
      <w:r w:rsidRPr="00EA11E2">
        <w:rPr>
          <w:rFonts w:ascii="Times New Roman" w:hAnsi="Times New Roman" w:cs="Times New Roman"/>
          <w:color w:val="000000"/>
          <w:sz w:val="20"/>
          <w:szCs w:val="20"/>
        </w:rPr>
        <w:t xml:space="preserve">If and to the extent that the Party concerned is going to rely on the </w:t>
      </w:r>
      <w:r w:rsidR="00FC606A" w:rsidRPr="00EA11E2">
        <w:rPr>
          <w:rFonts w:ascii="Times New Roman" w:hAnsi="Times New Roman" w:cs="Times New Roman"/>
          <w:color w:val="000000"/>
          <w:sz w:val="20"/>
          <w:szCs w:val="20"/>
        </w:rPr>
        <w:t xml:space="preserve">jurisprudence of the </w:t>
      </w:r>
      <w:r w:rsidRPr="00EA11E2">
        <w:rPr>
          <w:rFonts w:ascii="Times New Roman" w:hAnsi="Times New Roman" w:cs="Times New Roman"/>
          <w:color w:val="000000"/>
          <w:sz w:val="20"/>
          <w:szCs w:val="20"/>
        </w:rPr>
        <w:t xml:space="preserve">ECJ to ensure that </w:t>
      </w:r>
      <w:r w:rsidR="00FC606A" w:rsidRPr="00EA11E2">
        <w:rPr>
          <w:rFonts w:ascii="Times New Roman" w:hAnsi="Times New Roman" w:cs="Times New Roman"/>
          <w:color w:val="000000"/>
          <w:sz w:val="20"/>
          <w:szCs w:val="20"/>
        </w:rPr>
        <w:t xml:space="preserve">the obligations arising under </w:t>
      </w:r>
      <w:r w:rsidR="00350924" w:rsidRPr="00EA11E2">
        <w:rPr>
          <w:rFonts w:ascii="Times New Roman" w:hAnsi="Times New Roman" w:cs="Times New Roman"/>
          <w:color w:val="000000"/>
          <w:sz w:val="20"/>
          <w:szCs w:val="20"/>
        </w:rPr>
        <w:t xml:space="preserve">article 9, </w:t>
      </w:r>
      <w:r w:rsidR="00FC606A" w:rsidRPr="00EA11E2">
        <w:rPr>
          <w:rFonts w:ascii="Times New Roman" w:hAnsi="Times New Roman" w:cs="Times New Roman"/>
          <w:color w:val="000000"/>
          <w:sz w:val="20"/>
          <w:szCs w:val="20"/>
        </w:rPr>
        <w:t>paragraphs 3 and 4 of the Convention are implemented</w:t>
      </w:r>
      <w:r w:rsidR="00AF658F" w:rsidRPr="00EA11E2">
        <w:rPr>
          <w:rFonts w:ascii="Times New Roman" w:hAnsi="Times New Roman" w:cs="Times New Roman"/>
          <w:color w:val="000000"/>
          <w:sz w:val="20"/>
          <w:szCs w:val="20"/>
        </w:rPr>
        <w:t>,</w:t>
      </w:r>
      <w:r w:rsidR="00BA1CCF" w:rsidRPr="00EA11E2">
        <w:rPr>
          <w:rFonts w:ascii="Times New Roman" w:hAnsi="Times New Roman" w:cs="Times New Roman"/>
          <w:color w:val="000000"/>
          <w:sz w:val="20"/>
          <w:szCs w:val="20"/>
        </w:rPr>
        <w:t xml:space="preserve"> the Committee recommends </w:t>
      </w:r>
      <w:r w:rsidR="00D44224" w:rsidRPr="00EA11E2">
        <w:rPr>
          <w:rFonts w:ascii="Times New Roman" w:hAnsi="Times New Roman" w:cs="Times New Roman"/>
          <w:color w:val="000000"/>
          <w:sz w:val="20"/>
          <w:szCs w:val="20"/>
        </w:rPr>
        <w:t xml:space="preserve">to the Party concerned </w:t>
      </w:r>
      <w:r w:rsidR="00BA1CCF" w:rsidRPr="00EA11E2">
        <w:rPr>
          <w:rFonts w:ascii="Times New Roman" w:hAnsi="Times New Roman" w:cs="Times New Roman"/>
          <w:color w:val="000000"/>
          <w:sz w:val="20"/>
          <w:szCs w:val="20"/>
        </w:rPr>
        <w:t>that</w:t>
      </w:r>
      <w:r w:rsidR="00AF658F" w:rsidRPr="00EA11E2">
        <w:rPr>
          <w:rFonts w:ascii="Times New Roman" w:hAnsi="Times New Roman" w:cs="Times New Roman"/>
          <w:color w:val="000000"/>
          <w:sz w:val="20"/>
          <w:szCs w:val="20"/>
        </w:rPr>
        <w:t xml:space="preserve"> </w:t>
      </w:r>
      <w:r w:rsidR="0021678C" w:rsidRPr="00EA11E2">
        <w:rPr>
          <w:rFonts w:ascii="Times New Roman" w:hAnsi="Times New Roman" w:cs="Times New Roman"/>
          <w:color w:val="000000"/>
          <w:sz w:val="20"/>
          <w:szCs w:val="20"/>
        </w:rPr>
        <w:t xml:space="preserve">the </w:t>
      </w:r>
      <w:r w:rsidR="00AF658F" w:rsidRPr="00EA11E2">
        <w:rPr>
          <w:rFonts w:ascii="Times New Roman" w:hAnsi="Times New Roman" w:cs="Times New Roman"/>
          <w:color w:val="000000"/>
          <w:sz w:val="20"/>
          <w:szCs w:val="20"/>
        </w:rPr>
        <w:t>ECJ</w:t>
      </w:r>
      <w:r w:rsidR="001C7421">
        <w:rPr>
          <w:rFonts w:ascii="Times New Roman" w:hAnsi="Times New Roman" w:cs="Times New Roman"/>
          <w:color w:val="000000"/>
          <w:sz w:val="20"/>
          <w:szCs w:val="20"/>
        </w:rPr>
        <w:t>:</w:t>
      </w:r>
    </w:p>
    <w:p w14:paraId="503099A4" w14:textId="77777777" w:rsidR="00BA1CCF" w:rsidRPr="00EA11E2" w:rsidRDefault="00BA1CCF" w:rsidP="00AF658F">
      <w:pPr>
        <w:pStyle w:val="ListParagraph"/>
        <w:widowControl w:val="0"/>
        <w:autoSpaceDE w:val="0"/>
        <w:autoSpaceDN w:val="0"/>
        <w:adjustRightInd w:val="0"/>
        <w:spacing w:before="4" w:after="240" w:line="240" w:lineRule="auto"/>
        <w:ind w:left="0" w:right="109"/>
        <w:jc w:val="both"/>
        <w:rPr>
          <w:rFonts w:ascii="Times New Roman" w:hAnsi="Times New Roman" w:cs="Times New Roman"/>
          <w:sz w:val="20"/>
          <w:szCs w:val="20"/>
        </w:rPr>
      </w:pPr>
    </w:p>
    <w:p w14:paraId="73830D0E" w14:textId="722C3AFE" w:rsidR="00BA1CCF" w:rsidRPr="00EA11E2" w:rsidRDefault="00FC606A" w:rsidP="001C7421">
      <w:pPr>
        <w:pStyle w:val="ListParagraph"/>
        <w:widowControl w:val="0"/>
        <w:numPr>
          <w:ilvl w:val="1"/>
          <w:numId w:val="27"/>
        </w:numPr>
        <w:autoSpaceDE w:val="0"/>
        <w:autoSpaceDN w:val="0"/>
        <w:adjustRightInd w:val="0"/>
        <w:spacing w:before="4" w:after="240" w:line="240" w:lineRule="auto"/>
        <w:ind w:right="109"/>
        <w:jc w:val="both"/>
        <w:rPr>
          <w:rFonts w:ascii="Times New Roman" w:hAnsi="Times New Roman" w:cs="Times New Roman"/>
          <w:sz w:val="20"/>
          <w:szCs w:val="20"/>
        </w:rPr>
      </w:pPr>
      <w:r w:rsidRPr="00EA11E2">
        <w:rPr>
          <w:rFonts w:ascii="Times New Roman" w:hAnsi="Times New Roman" w:cs="Times New Roman"/>
          <w:color w:val="000000"/>
          <w:sz w:val="20"/>
          <w:szCs w:val="20"/>
        </w:rPr>
        <w:t>assess</w:t>
      </w:r>
      <w:r w:rsidR="00BA1CCF" w:rsidRPr="00EA11E2">
        <w:rPr>
          <w:rFonts w:ascii="Times New Roman" w:hAnsi="Times New Roman" w:cs="Times New Roman"/>
          <w:color w:val="000000"/>
          <w:sz w:val="20"/>
          <w:szCs w:val="20"/>
        </w:rPr>
        <w:t>es</w:t>
      </w:r>
      <w:r w:rsidRPr="00EA11E2">
        <w:rPr>
          <w:rFonts w:ascii="Times New Roman" w:hAnsi="Times New Roman" w:cs="Times New Roman"/>
          <w:color w:val="000000"/>
          <w:sz w:val="20"/>
          <w:szCs w:val="20"/>
        </w:rPr>
        <w:t xml:space="preserve"> the legality of </w:t>
      </w:r>
      <w:r w:rsidR="00BA1CCF" w:rsidRPr="00EA11E2">
        <w:rPr>
          <w:rFonts w:ascii="Times New Roman" w:hAnsi="Times New Roman" w:cs="Times New Roman"/>
          <w:color w:val="000000"/>
          <w:sz w:val="20"/>
          <w:szCs w:val="20"/>
        </w:rPr>
        <w:t xml:space="preserve">the EU’s </w:t>
      </w:r>
      <w:r w:rsidRPr="00EA11E2">
        <w:rPr>
          <w:rFonts w:ascii="Times New Roman" w:hAnsi="Times New Roman" w:cs="Times New Roman"/>
          <w:color w:val="000000"/>
          <w:sz w:val="20"/>
          <w:szCs w:val="20"/>
        </w:rPr>
        <w:t xml:space="preserve">implementing </w:t>
      </w:r>
      <w:r w:rsidR="00BA1CCF" w:rsidRPr="00EA11E2">
        <w:rPr>
          <w:rFonts w:ascii="Times New Roman" w:hAnsi="Times New Roman" w:cs="Times New Roman"/>
          <w:color w:val="000000"/>
          <w:sz w:val="20"/>
          <w:szCs w:val="20"/>
        </w:rPr>
        <w:t>measures</w:t>
      </w:r>
      <w:r w:rsidRPr="00EA11E2">
        <w:rPr>
          <w:rFonts w:ascii="Times New Roman" w:hAnsi="Times New Roman" w:cs="Times New Roman"/>
          <w:color w:val="000000"/>
          <w:sz w:val="20"/>
          <w:szCs w:val="20"/>
        </w:rPr>
        <w:t xml:space="preserve"> in the light of those obligations and act</w:t>
      </w:r>
      <w:r w:rsidR="00AF658F" w:rsidRPr="00EA11E2">
        <w:rPr>
          <w:rFonts w:ascii="Times New Roman" w:hAnsi="Times New Roman" w:cs="Times New Roman"/>
          <w:color w:val="000000"/>
          <w:sz w:val="20"/>
          <w:szCs w:val="20"/>
        </w:rPr>
        <w:t>s</w:t>
      </w:r>
      <w:r w:rsidRPr="00EA11E2">
        <w:rPr>
          <w:rFonts w:ascii="Times New Roman" w:hAnsi="Times New Roman" w:cs="Times New Roman"/>
          <w:color w:val="000000"/>
          <w:sz w:val="20"/>
          <w:szCs w:val="20"/>
        </w:rPr>
        <w:t xml:space="preserve"> accordingly</w:t>
      </w:r>
      <w:r w:rsidR="00BA1CCF" w:rsidRPr="00EA11E2">
        <w:rPr>
          <w:rFonts w:ascii="Times New Roman" w:hAnsi="Times New Roman" w:cs="Times New Roman"/>
          <w:color w:val="000000"/>
          <w:sz w:val="20"/>
          <w:szCs w:val="20"/>
        </w:rPr>
        <w:t>; and</w:t>
      </w:r>
    </w:p>
    <w:p w14:paraId="0598C22F" w14:textId="3253659F" w:rsidR="00BA1CCF" w:rsidRPr="00EA11E2" w:rsidRDefault="00BA1CCF" w:rsidP="001C7421">
      <w:pPr>
        <w:pStyle w:val="ListParagraph"/>
        <w:widowControl w:val="0"/>
        <w:autoSpaceDE w:val="0"/>
        <w:autoSpaceDN w:val="0"/>
        <w:adjustRightInd w:val="0"/>
        <w:spacing w:before="4" w:after="240" w:line="240" w:lineRule="auto"/>
        <w:ind w:left="1440" w:right="109" w:firstLine="45"/>
        <w:jc w:val="both"/>
        <w:rPr>
          <w:rFonts w:ascii="Times New Roman" w:hAnsi="Times New Roman" w:cs="Times New Roman"/>
          <w:sz w:val="20"/>
          <w:szCs w:val="20"/>
        </w:rPr>
      </w:pPr>
    </w:p>
    <w:p w14:paraId="505E2E5C" w14:textId="435431C6" w:rsidR="00EB00FD" w:rsidRPr="001C7421" w:rsidRDefault="00AF658F" w:rsidP="001C7421">
      <w:pPr>
        <w:pStyle w:val="ListParagraph"/>
        <w:widowControl w:val="0"/>
        <w:numPr>
          <w:ilvl w:val="1"/>
          <w:numId w:val="27"/>
        </w:numPr>
        <w:autoSpaceDE w:val="0"/>
        <w:autoSpaceDN w:val="0"/>
        <w:adjustRightInd w:val="0"/>
        <w:spacing w:before="4" w:after="240" w:line="240" w:lineRule="auto"/>
        <w:ind w:right="109"/>
        <w:jc w:val="both"/>
        <w:rPr>
          <w:rFonts w:ascii="Times New Roman" w:hAnsi="Times New Roman" w:cs="Times New Roman"/>
          <w:sz w:val="20"/>
          <w:szCs w:val="20"/>
        </w:rPr>
      </w:pPr>
      <w:r w:rsidRPr="00EA11E2">
        <w:rPr>
          <w:rFonts w:ascii="Times New Roman" w:hAnsi="Times New Roman" w:cs="Times New Roman"/>
          <w:color w:val="000000"/>
          <w:sz w:val="20"/>
          <w:szCs w:val="20"/>
        </w:rPr>
        <w:t>i</w:t>
      </w:r>
      <w:r w:rsidR="00BA1CCF" w:rsidRPr="00EA11E2">
        <w:rPr>
          <w:rFonts w:ascii="Times New Roman" w:hAnsi="Times New Roman" w:cs="Times New Roman"/>
          <w:color w:val="000000"/>
          <w:sz w:val="20"/>
          <w:szCs w:val="20"/>
        </w:rPr>
        <w:t xml:space="preserve">nterprets EU law in a way which, to the fullest extent possible, is consistent with the objectives laid down in </w:t>
      </w:r>
      <w:r w:rsidR="00E21B71" w:rsidRPr="00EA11E2">
        <w:rPr>
          <w:rFonts w:ascii="Times New Roman" w:hAnsi="Times New Roman" w:cs="Times New Roman"/>
          <w:color w:val="000000"/>
          <w:sz w:val="20"/>
          <w:szCs w:val="20"/>
        </w:rPr>
        <w:t xml:space="preserve">article 9, </w:t>
      </w:r>
      <w:r w:rsidR="00BA1CCF" w:rsidRPr="00EA11E2">
        <w:rPr>
          <w:rFonts w:ascii="Times New Roman" w:hAnsi="Times New Roman" w:cs="Times New Roman"/>
          <w:color w:val="000000"/>
          <w:sz w:val="20"/>
          <w:szCs w:val="20"/>
        </w:rPr>
        <w:t>paragraphs 3 and 4.</w:t>
      </w:r>
    </w:p>
    <w:p w14:paraId="1A5D585B" w14:textId="77777777" w:rsidR="001C7421" w:rsidRPr="001C7421" w:rsidRDefault="001C7421" w:rsidP="001C7421">
      <w:pPr>
        <w:pStyle w:val="ListParagraph"/>
        <w:rPr>
          <w:rFonts w:ascii="Times New Roman" w:hAnsi="Times New Roman" w:cs="Times New Roman"/>
          <w:sz w:val="20"/>
          <w:szCs w:val="20"/>
        </w:rPr>
      </w:pPr>
    </w:p>
    <w:p w14:paraId="3061288C" w14:textId="048DFCC5" w:rsidR="001C7421" w:rsidRPr="00EA11E2" w:rsidRDefault="001C7421" w:rsidP="001C7421">
      <w:pPr>
        <w:pStyle w:val="ListParagraph"/>
        <w:widowControl w:val="0"/>
        <w:autoSpaceDE w:val="0"/>
        <w:autoSpaceDN w:val="0"/>
        <w:adjustRightInd w:val="0"/>
        <w:spacing w:before="4" w:after="240" w:line="240" w:lineRule="auto"/>
        <w:ind w:left="0" w:right="109"/>
        <w:jc w:val="center"/>
        <w:rPr>
          <w:rFonts w:ascii="Times New Roman" w:hAnsi="Times New Roman" w:cs="Times New Roman"/>
          <w:sz w:val="20"/>
          <w:szCs w:val="20"/>
        </w:rPr>
      </w:pPr>
      <w:r>
        <w:rPr>
          <w:rFonts w:ascii="Times New Roman" w:hAnsi="Times New Roman" w:cs="Times New Roman"/>
          <w:sz w:val="20"/>
          <w:szCs w:val="20"/>
        </w:rPr>
        <w:t>______________</w:t>
      </w:r>
    </w:p>
    <w:sectPr w:rsidR="001C7421" w:rsidRPr="00EA11E2" w:rsidSect="00EA11E2">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12940" w14:textId="77777777" w:rsidR="00EA11E2" w:rsidRDefault="00EA11E2" w:rsidP="00EE3E72">
      <w:pPr>
        <w:spacing w:after="0" w:line="240" w:lineRule="auto"/>
      </w:pPr>
      <w:r>
        <w:separator/>
      </w:r>
    </w:p>
  </w:endnote>
  <w:endnote w:type="continuationSeparator" w:id="0">
    <w:p w14:paraId="4970FFA1" w14:textId="77777777" w:rsidR="00EA11E2" w:rsidRDefault="00EA11E2" w:rsidP="00EE3E72">
      <w:pPr>
        <w:spacing w:after="0" w:line="240" w:lineRule="auto"/>
      </w:pPr>
      <w:r>
        <w:continuationSeparator/>
      </w:r>
    </w:p>
  </w:endnote>
  <w:endnote w:type="continuationNotice" w:id="1">
    <w:p w14:paraId="4B5D5429" w14:textId="77777777" w:rsidR="00EA11E2" w:rsidRDefault="00EA1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rPr>
      <w:id w:val="-1273541357"/>
      <w:docPartObj>
        <w:docPartGallery w:val="Page Numbers (Bottom of Page)"/>
        <w:docPartUnique/>
      </w:docPartObj>
    </w:sdtPr>
    <w:sdtEndPr>
      <w:rPr>
        <w:noProof/>
      </w:rPr>
    </w:sdtEndPr>
    <w:sdtContent>
      <w:p w14:paraId="3AE495BB" w14:textId="77777777" w:rsidR="00EA11E2" w:rsidRPr="00152DDA" w:rsidRDefault="00EA11E2">
        <w:pPr>
          <w:pStyle w:val="Footer"/>
          <w:jc w:val="right"/>
          <w:rPr>
            <w:rFonts w:ascii="Times New Roman" w:hAnsi="Times New Roman" w:cs="Times New Roman"/>
            <w:b/>
          </w:rPr>
        </w:pPr>
        <w:r w:rsidRPr="00152DDA">
          <w:rPr>
            <w:rFonts w:ascii="Times New Roman" w:hAnsi="Times New Roman" w:cs="Times New Roman"/>
            <w:b/>
          </w:rPr>
          <w:fldChar w:fldCharType="begin"/>
        </w:r>
        <w:r w:rsidRPr="00152DDA">
          <w:rPr>
            <w:rFonts w:ascii="Times New Roman" w:hAnsi="Times New Roman" w:cs="Times New Roman"/>
            <w:b/>
          </w:rPr>
          <w:instrText xml:space="preserve"> PAGE   \* MERGEFORMAT </w:instrText>
        </w:r>
        <w:r w:rsidRPr="00152DDA">
          <w:rPr>
            <w:rFonts w:ascii="Times New Roman" w:hAnsi="Times New Roman" w:cs="Times New Roman"/>
            <w:b/>
          </w:rPr>
          <w:fldChar w:fldCharType="separate"/>
        </w:r>
        <w:r w:rsidR="00D05A82">
          <w:rPr>
            <w:rFonts w:ascii="Times New Roman" w:hAnsi="Times New Roman" w:cs="Times New Roman"/>
            <w:b/>
            <w:noProof/>
          </w:rPr>
          <w:t>1</w:t>
        </w:r>
        <w:r w:rsidRPr="00152DDA">
          <w:rPr>
            <w:rFonts w:ascii="Times New Roman" w:hAnsi="Times New Roman" w:cs="Times New Roman"/>
            <w:b/>
            <w:noProof/>
          </w:rPr>
          <w:fldChar w:fldCharType="end"/>
        </w:r>
      </w:p>
    </w:sdtContent>
  </w:sdt>
  <w:p w14:paraId="6E50F47B" w14:textId="77777777" w:rsidR="00EA11E2" w:rsidRPr="00152DDA" w:rsidRDefault="00EA11E2">
    <w:pPr>
      <w:pStyle w:val="Foo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90BD8" w14:textId="77777777" w:rsidR="00EA11E2" w:rsidRDefault="00EA11E2" w:rsidP="00EE3E72">
      <w:pPr>
        <w:spacing w:after="0" w:line="240" w:lineRule="auto"/>
      </w:pPr>
      <w:r>
        <w:separator/>
      </w:r>
    </w:p>
  </w:footnote>
  <w:footnote w:type="continuationSeparator" w:id="0">
    <w:p w14:paraId="6E6D38A2" w14:textId="77777777" w:rsidR="00EA11E2" w:rsidRDefault="00EA11E2" w:rsidP="00EE3E72">
      <w:pPr>
        <w:spacing w:after="0" w:line="240" w:lineRule="auto"/>
      </w:pPr>
      <w:r>
        <w:continuationSeparator/>
      </w:r>
    </w:p>
  </w:footnote>
  <w:footnote w:type="continuationNotice" w:id="1">
    <w:p w14:paraId="1EA7175C" w14:textId="77777777" w:rsidR="00EA11E2" w:rsidRDefault="00EA11E2">
      <w:pPr>
        <w:spacing w:after="0" w:line="240" w:lineRule="auto"/>
      </w:pPr>
    </w:p>
  </w:footnote>
  <w:footnote w:id="2">
    <w:p w14:paraId="5C59CB73" w14:textId="77777777" w:rsidR="00EA11E2" w:rsidRPr="00EA11E2" w:rsidRDefault="00EA11E2" w:rsidP="001C7421">
      <w:pPr>
        <w:pStyle w:val="FootnoteText"/>
        <w:jc w:val="both"/>
        <w:rPr>
          <w:sz w:val="18"/>
          <w:szCs w:val="18"/>
          <w:lang w:val="en-GB"/>
        </w:rPr>
      </w:pPr>
      <w:r w:rsidRPr="00EA11E2">
        <w:rPr>
          <w:rStyle w:val="FootnoteReference"/>
          <w:sz w:val="18"/>
          <w:szCs w:val="18"/>
          <w:lang w:val="en-GB"/>
        </w:rPr>
        <w:footnoteRef/>
      </w:r>
      <w:r w:rsidRPr="00EA11E2">
        <w:rPr>
          <w:sz w:val="18"/>
          <w:szCs w:val="18"/>
          <w:lang w:val="en-GB"/>
        </w:rPr>
        <w:t xml:space="preserve"> The present communication was originally submitted by the communicant concerning non-compliance by the European Community. As of 1 December 2009, the European Union succeeded the European Community in its obligations arising from the Convention (Treaty of Lisbon amending the Treaty on European Union and the Treaty establishing the European Community). EC law has become EU law. The present findings will systematically refer to EU law and EU institutions and bodies, even if they refer to the status before the entry into force of the Lisbon Treaty. </w:t>
      </w:r>
    </w:p>
  </w:footnote>
  <w:footnote w:id="3">
    <w:p w14:paraId="7BDEE2C6" w14:textId="609D1541" w:rsidR="00EA11E2" w:rsidRPr="00EA11E2" w:rsidRDefault="00EA11E2" w:rsidP="001C7421">
      <w:pPr>
        <w:pStyle w:val="FootnoteText"/>
        <w:jc w:val="both"/>
        <w:rPr>
          <w:sz w:val="18"/>
          <w:szCs w:val="18"/>
          <w:lang w:val="en-GB"/>
        </w:rPr>
      </w:pPr>
      <w:r w:rsidRPr="00EA11E2">
        <w:rPr>
          <w:rStyle w:val="FootnoteReference"/>
          <w:sz w:val="18"/>
          <w:szCs w:val="18"/>
          <w:lang w:val="en-GB"/>
        </w:rPr>
        <w:footnoteRef/>
      </w:r>
      <w:r w:rsidRPr="00EA11E2">
        <w:rPr>
          <w:sz w:val="18"/>
          <w:szCs w:val="18"/>
          <w:lang w:val="en-GB"/>
        </w:rPr>
        <w:t xml:space="preserve"> </w:t>
      </w:r>
      <w:r w:rsidR="00DB4C99">
        <w:rPr>
          <w:sz w:val="18"/>
          <w:szCs w:val="18"/>
          <w:lang w:val="en-GB"/>
        </w:rPr>
        <w:t xml:space="preserve">See footnote 2 of </w:t>
      </w:r>
      <w:r w:rsidR="00DB4C99" w:rsidRPr="00EA11E2">
        <w:rPr>
          <w:sz w:val="18"/>
          <w:szCs w:val="18"/>
        </w:rPr>
        <w:t>ECE/MP.PP/C.1/2011/4/Add.1 of 24 August 2011</w:t>
      </w:r>
      <w:r w:rsidRPr="00EA11E2">
        <w:rPr>
          <w:sz w:val="18"/>
          <w:szCs w:val="18"/>
          <w:lang w:val="en-GB"/>
        </w:rPr>
        <w:t>.</w:t>
      </w:r>
    </w:p>
  </w:footnote>
  <w:footnote w:id="4">
    <w:p w14:paraId="30AECAA1" w14:textId="77777777"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sz w:val="18"/>
          <w:szCs w:val="18"/>
          <w:lang w:val="en-US"/>
        </w:rPr>
      </w:pPr>
      <w:r w:rsidRPr="00EA11E2">
        <w:rPr>
          <w:rStyle w:val="FootnoteReference"/>
          <w:sz w:val="18"/>
          <w:szCs w:val="18"/>
        </w:rPr>
        <w:footnoteRef/>
      </w:r>
      <w:r w:rsidRPr="00EA11E2">
        <w:rPr>
          <w:sz w:val="18"/>
          <w:szCs w:val="18"/>
        </w:rPr>
        <w:t xml:space="preserve"> </w:t>
      </w:r>
      <w:r w:rsidRPr="00EA11E2">
        <w:rPr>
          <w:rFonts w:ascii="Times New Roman" w:hAnsi="Times New Roman" w:cs="Times New Roman"/>
          <w:sz w:val="18"/>
          <w:szCs w:val="18"/>
          <w:lang w:val="en-US"/>
        </w:rPr>
        <w:t>ECE/MP.PP/C.1/2011/4/Add.1 of 24 August 2011. Those findings are referred to as “Part I”.</w:t>
      </w:r>
      <w:r w:rsidRPr="00EA11E2">
        <w:rPr>
          <w:rFonts w:ascii="Helvetica Neue" w:hAnsi="Helvetica Neue" w:cs="Helvetica Neue"/>
          <w:sz w:val="18"/>
          <w:szCs w:val="18"/>
          <w:lang w:val="en-US"/>
        </w:rPr>
        <w:t xml:space="preserve"> </w:t>
      </w:r>
      <w:r w:rsidRPr="00EA11E2">
        <w:rPr>
          <w:rFonts w:ascii="Times New Roman" w:hAnsi="Times New Roman" w:cs="Times New Roman"/>
          <w:sz w:val="18"/>
          <w:szCs w:val="18"/>
        </w:rPr>
        <w:t xml:space="preserve"> </w:t>
      </w:r>
    </w:p>
  </w:footnote>
  <w:footnote w:id="5">
    <w:p w14:paraId="3CA05057"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w:t>
      </w:r>
      <w:r w:rsidRPr="00B91405">
        <w:rPr>
          <w:i/>
          <w:sz w:val="18"/>
          <w:szCs w:val="18"/>
          <w:lang w:val="en-GB"/>
        </w:rPr>
        <w:t>Council, European Parliament,</w:t>
      </w:r>
      <w:r w:rsidRPr="00EA11E2">
        <w:rPr>
          <w:sz w:val="18"/>
          <w:szCs w:val="18"/>
          <w:lang w:val="en-GB"/>
        </w:rPr>
        <w:t xml:space="preserve"> </w:t>
      </w:r>
      <w:r w:rsidRPr="00B91405">
        <w:rPr>
          <w:i/>
          <w:sz w:val="18"/>
          <w:szCs w:val="18"/>
          <w:lang w:val="en-GB"/>
        </w:rPr>
        <w:t xml:space="preserve">Commission v. </w:t>
      </w:r>
      <w:proofErr w:type="spellStart"/>
      <w:r w:rsidRPr="00B91405">
        <w:rPr>
          <w:i/>
          <w:sz w:val="18"/>
          <w:szCs w:val="18"/>
          <w:lang w:val="en-GB"/>
        </w:rPr>
        <w:t>Vereniging</w:t>
      </w:r>
      <w:proofErr w:type="spellEnd"/>
      <w:r w:rsidRPr="00B91405">
        <w:rPr>
          <w:i/>
          <w:sz w:val="18"/>
          <w:szCs w:val="18"/>
          <w:lang w:val="en-GB"/>
        </w:rPr>
        <w:t xml:space="preserve"> </w:t>
      </w:r>
      <w:proofErr w:type="spellStart"/>
      <w:r w:rsidRPr="00B91405">
        <w:rPr>
          <w:i/>
          <w:sz w:val="18"/>
          <w:szCs w:val="18"/>
          <w:lang w:val="en-GB"/>
        </w:rPr>
        <w:t>Milieudefensie</w:t>
      </w:r>
      <w:proofErr w:type="spellEnd"/>
      <w:r w:rsidRPr="00B91405">
        <w:rPr>
          <w:i/>
          <w:sz w:val="18"/>
          <w:szCs w:val="18"/>
          <w:lang w:val="en-GB"/>
        </w:rPr>
        <w:t xml:space="preserve">, </w:t>
      </w:r>
      <w:proofErr w:type="spellStart"/>
      <w:r w:rsidRPr="00B91405">
        <w:rPr>
          <w:i/>
          <w:sz w:val="18"/>
          <w:szCs w:val="18"/>
          <w:lang w:val="en-GB"/>
        </w:rPr>
        <w:t>Stichting</w:t>
      </w:r>
      <w:proofErr w:type="spellEnd"/>
      <w:r w:rsidRPr="00B91405">
        <w:rPr>
          <w:i/>
          <w:sz w:val="18"/>
          <w:szCs w:val="18"/>
          <w:lang w:val="en-GB"/>
        </w:rPr>
        <w:t xml:space="preserve"> Stop </w:t>
      </w:r>
      <w:proofErr w:type="spellStart"/>
      <w:r w:rsidRPr="00B91405">
        <w:rPr>
          <w:i/>
          <w:sz w:val="18"/>
          <w:szCs w:val="18"/>
          <w:lang w:val="en-GB"/>
        </w:rPr>
        <w:t>Luchtverontreiniging</w:t>
      </w:r>
      <w:proofErr w:type="spellEnd"/>
      <w:r w:rsidRPr="00B91405">
        <w:rPr>
          <w:i/>
          <w:sz w:val="18"/>
          <w:szCs w:val="18"/>
          <w:lang w:val="en-GB"/>
        </w:rPr>
        <w:t xml:space="preserve"> Utrecht</w:t>
      </w:r>
      <w:r w:rsidRPr="00EA11E2">
        <w:rPr>
          <w:sz w:val="18"/>
          <w:szCs w:val="18"/>
          <w:lang w:val="en-GB"/>
        </w:rPr>
        <w:t>, joined cases C-401/12 P to C-403/12 P, 13 January 2015.</w:t>
      </w:r>
    </w:p>
  </w:footnote>
  <w:footnote w:id="6">
    <w:p w14:paraId="6D36E8E1" w14:textId="77777777" w:rsidR="00EA11E2" w:rsidRPr="00EA11E2" w:rsidRDefault="00EA11E2" w:rsidP="001C7421">
      <w:pPr>
        <w:pStyle w:val="FootnoteText"/>
        <w:jc w:val="both"/>
        <w:rPr>
          <w:sz w:val="18"/>
          <w:szCs w:val="18"/>
          <w:lang w:val="en-GB"/>
        </w:rPr>
      </w:pPr>
      <w:r w:rsidRPr="00EA11E2">
        <w:rPr>
          <w:rStyle w:val="FootnoteReference"/>
          <w:sz w:val="18"/>
          <w:szCs w:val="18"/>
          <w:lang w:val="en-GB"/>
        </w:rPr>
        <w:footnoteRef/>
      </w:r>
      <w:r w:rsidRPr="00EA11E2">
        <w:rPr>
          <w:sz w:val="18"/>
          <w:szCs w:val="18"/>
          <w:lang w:val="en-GB"/>
        </w:rPr>
        <w:t xml:space="preserve"> </w:t>
      </w:r>
      <w:r w:rsidRPr="00B91405">
        <w:rPr>
          <w:i/>
          <w:sz w:val="18"/>
          <w:szCs w:val="18"/>
          <w:lang w:val="en-GB"/>
        </w:rPr>
        <w:t xml:space="preserve">Council and Commission v. </w:t>
      </w:r>
      <w:proofErr w:type="spellStart"/>
      <w:r w:rsidRPr="00B91405">
        <w:rPr>
          <w:i/>
          <w:sz w:val="18"/>
          <w:szCs w:val="18"/>
          <w:lang w:val="en-GB"/>
        </w:rPr>
        <w:t>Stichting</w:t>
      </w:r>
      <w:proofErr w:type="spellEnd"/>
      <w:r w:rsidRPr="00B91405">
        <w:rPr>
          <w:i/>
          <w:sz w:val="18"/>
          <w:szCs w:val="18"/>
          <w:lang w:val="en-GB"/>
        </w:rPr>
        <w:t xml:space="preserve"> </w:t>
      </w:r>
      <w:proofErr w:type="spellStart"/>
      <w:r w:rsidRPr="00B91405">
        <w:rPr>
          <w:i/>
          <w:sz w:val="18"/>
          <w:szCs w:val="18"/>
          <w:lang w:val="en-GB"/>
        </w:rPr>
        <w:t>Natuur</w:t>
      </w:r>
      <w:proofErr w:type="spellEnd"/>
      <w:r w:rsidRPr="00B91405">
        <w:rPr>
          <w:i/>
          <w:sz w:val="18"/>
          <w:szCs w:val="18"/>
          <w:lang w:val="en-GB"/>
        </w:rPr>
        <w:t xml:space="preserve"> </w:t>
      </w:r>
      <w:proofErr w:type="spellStart"/>
      <w:r w:rsidRPr="00B91405">
        <w:rPr>
          <w:i/>
          <w:sz w:val="18"/>
          <w:szCs w:val="18"/>
          <w:lang w:val="en-GB"/>
        </w:rPr>
        <w:t>en</w:t>
      </w:r>
      <w:proofErr w:type="spellEnd"/>
      <w:r w:rsidRPr="00B91405">
        <w:rPr>
          <w:i/>
          <w:sz w:val="18"/>
          <w:szCs w:val="18"/>
          <w:lang w:val="en-GB"/>
        </w:rPr>
        <w:t xml:space="preserve"> Milieu and Pesticide Action Network Europe</w:t>
      </w:r>
      <w:r w:rsidRPr="00EA11E2">
        <w:rPr>
          <w:sz w:val="18"/>
          <w:szCs w:val="18"/>
          <w:lang w:val="en-GB"/>
        </w:rPr>
        <w:t>, joined cases C-404/12 P and C-405/12 P, 13 January 2015.</w:t>
      </w:r>
    </w:p>
  </w:footnote>
  <w:footnote w:id="7">
    <w:p w14:paraId="46FA88DF" w14:textId="42949F1B"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In addition, a number of observers have provided written statements. Their statements are available at http://www.unece.org/env/pp/compliance/Compliancecommittee/32TableEC.html</w:t>
      </w:r>
      <w:r w:rsidR="00DB4C99">
        <w:rPr>
          <w:sz w:val="18"/>
          <w:szCs w:val="18"/>
        </w:rPr>
        <w:t>.</w:t>
      </w:r>
    </w:p>
  </w:footnote>
  <w:footnote w:id="8">
    <w:p w14:paraId="05A7E16A" w14:textId="34BE831E" w:rsidR="00C5475B" w:rsidRPr="00C5475B" w:rsidRDefault="00C5475B">
      <w:pPr>
        <w:pStyle w:val="FootnoteText"/>
        <w:rPr>
          <w:lang w:val="en-GB"/>
        </w:rPr>
      </w:pPr>
      <w:r>
        <w:rPr>
          <w:rStyle w:val="FootnoteReference"/>
        </w:rPr>
        <w:footnoteRef/>
      </w:r>
      <w:r>
        <w:t xml:space="preserve"> </w:t>
      </w:r>
      <w:r w:rsidRPr="00EA11E2">
        <w:rPr>
          <w:sz w:val="18"/>
          <w:szCs w:val="18"/>
          <w:lang w:val="en-GB"/>
        </w:rPr>
        <w:t>This section summarizes only the main facts, evidence and issues considered to be relevant to the question of compliance, as presented to and considered by the Committee.</w:t>
      </w:r>
    </w:p>
  </w:footnote>
  <w:footnote w:id="9">
    <w:p w14:paraId="3F8E239A" w14:textId="2F35C92F" w:rsidR="003C3DD9" w:rsidRPr="003C3DD9" w:rsidRDefault="003C3DD9">
      <w:pPr>
        <w:pStyle w:val="FootnoteText"/>
        <w:rPr>
          <w:sz w:val="18"/>
          <w:szCs w:val="18"/>
          <w:lang w:val="en-GB"/>
        </w:rPr>
      </w:pPr>
      <w:r>
        <w:rPr>
          <w:rStyle w:val="FootnoteReference"/>
        </w:rPr>
        <w:footnoteRef/>
      </w:r>
      <w:r>
        <w:t xml:space="preserve"> </w:t>
      </w:r>
      <w:r w:rsidRPr="003C3DD9">
        <w:rPr>
          <w:sz w:val="18"/>
          <w:szCs w:val="18"/>
          <w:lang w:val="en-GB"/>
        </w:rPr>
        <w:t>Comments of the Party concerned on the CJEU judgements of 13 January 2015, paras 42-25.</w:t>
      </w:r>
    </w:p>
  </w:footnote>
  <w:footnote w:id="10">
    <w:p w14:paraId="65A8C732" w14:textId="7E66BE9B" w:rsidR="003C3DD9" w:rsidRPr="003C3DD9" w:rsidRDefault="003C3DD9">
      <w:pPr>
        <w:pStyle w:val="FootnoteText"/>
        <w:rPr>
          <w:lang w:val="en-GB"/>
        </w:rPr>
      </w:pPr>
      <w:r w:rsidRPr="003C3DD9">
        <w:rPr>
          <w:rStyle w:val="FootnoteReference"/>
          <w:sz w:val="18"/>
          <w:szCs w:val="18"/>
        </w:rPr>
        <w:footnoteRef/>
      </w:r>
      <w:r w:rsidRPr="003C3DD9">
        <w:rPr>
          <w:sz w:val="18"/>
          <w:szCs w:val="18"/>
        </w:rPr>
        <w:t xml:space="preserve"> </w:t>
      </w:r>
      <w:r w:rsidRPr="003C3DD9">
        <w:rPr>
          <w:i/>
          <w:sz w:val="18"/>
          <w:szCs w:val="18"/>
          <w:lang w:val="en-GB"/>
        </w:rPr>
        <w:t>Commission of the European Communities v. European Central Bank</w:t>
      </w:r>
      <w:r w:rsidRPr="00735875">
        <w:rPr>
          <w:sz w:val="18"/>
          <w:szCs w:val="18"/>
          <w:lang w:val="en-GB"/>
        </w:rPr>
        <w:t>, Case C-11/00, 10 July 2003, paras. 74-78.</w:t>
      </w:r>
    </w:p>
  </w:footnote>
  <w:footnote w:id="11">
    <w:p w14:paraId="36F72FE0"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n-GB"/>
        </w:rPr>
        <w:t xml:space="preserve"> Communicant’s update on Court of Justice rulings in cases C-401/12 P to C-405/12 P, 23 February 2015, para. </w:t>
      </w:r>
      <w:r w:rsidRPr="00EA11E2">
        <w:rPr>
          <w:sz w:val="18"/>
          <w:szCs w:val="18"/>
          <w:lang w:val="es-ES"/>
        </w:rPr>
        <w:t>16.</w:t>
      </w:r>
    </w:p>
  </w:footnote>
  <w:footnote w:id="12">
    <w:p w14:paraId="43F480B0"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xml:space="preserve">., para. </w:t>
      </w:r>
      <w:r w:rsidRPr="00EA11E2">
        <w:rPr>
          <w:sz w:val="18"/>
          <w:szCs w:val="18"/>
          <w:lang w:val="en-GB"/>
        </w:rPr>
        <w:t>23.</w:t>
      </w:r>
    </w:p>
  </w:footnote>
  <w:footnote w:id="13">
    <w:p w14:paraId="15F9B163"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w:t>
      </w:r>
      <w:r w:rsidRPr="009B3316">
        <w:rPr>
          <w:i/>
          <w:sz w:val="18"/>
          <w:szCs w:val="18"/>
          <w:lang w:val="en-GB"/>
        </w:rPr>
        <w:t xml:space="preserve">Kingdom of the Netherlands v. European Parliament and Council, </w:t>
      </w:r>
      <w:r w:rsidRPr="00EA11E2">
        <w:rPr>
          <w:sz w:val="18"/>
          <w:szCs w:val="18"/>
          <w:lang w:val="en-GB"/>
        </w:rPr>
        <w:t>Case C-377/98, 9 October 2011.</w:t>
      </w:r>
    </w:p>
  </w:footnote>
  <w:footnote w:id="14">
    <w:p w14:paraId="2716E773"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Opinion of Advocate General </w:t>
      </w:r>
      <w:proofErr w:type="spellStart"/>
      <w:r w:rsidRPr="00EA11E2">
        <w:rPr>
          <w:sz w:val="18"/>
          <w:szCs w:val="18"/>
          <w:lang w:val="en-GB"/>
        </w:rPr>
        <w:t>Jääskinen</w:t>
      </w:r>
      <w:proofErr w:type="spellEnd"/>
      <w:r w:rsidRPr="00EA11E2">
        <w:rPr>
          <w:sz w:val="18"/>
          <w:szCs w:val="18"/>
          <w:lang w:val="en-GB"/>
        </w:rPr>
        <w:t xml:space="preserve"> delivered on 8 May 2014 joined cases C-401/12 P, C-402/12 P and C-403/12 P </w:t>
      </w:r>
    </w:p>
  </w:footnote>
  <w:footnote w:id="15">
    <w:p w14:paraId="34BA015E"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Communicant’s update, 23 February 2015, para. 26.</w:t>
      </w:r>
    </w:p>
  </w:footnote>
  <w:footnote w:id="16">
    <w:p w14:paraId="5ED33DC7" w14:textId="77777777" w:rsidR="00EA11E2" w:rsidRPr="00EA11E2" w:rsidRDefault="00EA11E2" w:rsidP="001C7421">
      <w:pPr>
        <w:pStyle w:val="ListParagraph"/>
        <w:autoSpaceDE w:val="0"/>
        <w:autoSpaceDN w:val="0"/>
        <w:adjustRightInd w:val="0"/>
        <w:spacing w:after="0" w:line="240" w:lineRule="auto"/>
        <w:ind w:left="0"/>
        <w:jc w:val="both"/>
        <w:rPr>
          <w:rFonts w:ascii="Times New Roman" w:hAnsi="Times New Roman" w:cs="Times New Roman"/>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Ibid., para. 27.</w:t>
      </w:r>
    </w:p>
  </w:footnote>
  <w:footnote w:id="17">
    <w:p w14:paraId="68F5D1D5"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23 February 2015, para. 31.</w:t>
      </w:r>
    </w:p>
  </w:footnote>
  <w:footnote w:id="18">
    <w:p w14:paraId="397FD0B7"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w:t>
      </w:r>
      <w:r w:rsidRPr="009B3316">
        <w:rPr>
          <w:i/>
          <w:sz w:val="18"/>
          <w:szCs w:val="18"/>
          <w:lang w:val="en-GB"/>
        </w:rPr>
        <w:t xml:space="preserve">Inuit </w:t>
      </w:r>
      <w:proofErr w:type="spellStart"/>
      <w:r w:rsidRPr="009B3316">
        <w:rPr>
          <w:i/>
          <w:sz w:val="18"/>
          <w:szCs w:val="18"/>
          <w:lang w:val="en-GB"/>
        </w:rPr>
        <w:t>Tapiriit</w:t>
      </w:r>
      <w:proofErr w:type="spellEnd"/>
      <w:r w:rsidRPr="009B3316">
        <w:rPr>
          <w:i/>
          <w:sz w:val="18"/>
          <w:szCs w:val="18"/>
          <w:lang w:val="en-GB"/>
        </w:rPr>
        <w:t xml:space="preserve"> </w:t>
      </w:r>
      <w:proofErr w:type="spellStart"/>
      <w:r w:rsidRPr="009B3316">
        <w:rPr>
          <w:i/>
          <w:sz w:val="18"/>
          <w:szCs w:val="18"/>
          <w:lang w:val="en-GB"/>
        </w:rPr>
        <w:t>Kanatami</w:t>
      </w:r>
      <w:proofErr w:type="spellEnd"/>
      <w:r w:rsidRPr="009B3316">
        <w:rPr>
          <w:i/>
          <w:sz w:val="18"/>
          <w:szCs w:val="18"/>
          <w:lang w:val="en-GB"/>
        </w:rPr>
        <w:t xml:space="preserve"> v. European Parliament</w:t>
      </w:r>
      <w:r w:rsidRPr="00EA11E2">
        <w:rPr>
          <w:sz w:val="18"/>
          <w:szCs w:val="18"/>
          <w:lang w:val="en-GB"/>
        </w:rPr>
        <w:t>, Council of the EU, Case C-583/11 P, 3 October 2013, para. 72.</w:t>
      </w:r>
    </w:p>
  </w:footnote>
  <w:footnote w:id="19">
    <w:p w14:paraId="7776CB60"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Communicant’s update, 23 February 2015, para. 33.</w:t>
      </w:r>
    </w:p>
  </w:footnote>
  <w:footnote w:id="20">
    <w:p w14:paraId="23652C58"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In the </w:t>
      </w:r>
      <w:proofErr w:type="spellStart"/>
      <w:r w:rsidRPr="009B3316">
        <w:rPr>
          <w:i/>
          <w:sz w:val="18"/>
          <w:szCs w:val="18"/>
          <w:lang w:val="en-GB"/>
        </w:rPr>
        <w:t>Plaumann</w:t>
      </w:r>
      <w:proofErr w:type="spellEnd"/>
      <w:r w:rsidRPr="00EA11E2">
        <w:rPr>
          <w:sz w:val="18"/>
          <w:szCs w:val="18"/>
          <w:lang w:val="en-GB"/>
        </w:rPr>
        <w:t xml:space="preserve"> case, the Court held that: “Persons other than those to whom a decision is addressed may only claim to be individually concerned if that decision affects them by reason of certain attributes which are peculiar to them or by reason of circumstances in which they are differentiated from all other persons and by virtue of these factors distinguishes them individually just as in the case of the person addressed”. The criteria for standing established in this decision have since then been referred to as the “</w:t>
      </w:r>
      <w:proofErr w:type="spellStart"/>
      <w:r w:rsidRPr="00EA11E2">
        <w:rPr>
          <w:sz w:val="18"/>
          <w:szCs w:val="18"/>
          <w:lang w:val="en-GB"/>
        </w:rPr>
        <w:t>Plaumann</w:t>
      </w:r>
      <w:proofErr w:type="spellEnd"/>
      <w:r w:rsidRPr="00EA11E2">
        <w:rPr>
          <w:sz w:val="18"/>
          <w:szCs w:val="18"/>
          <w:lang w:val="en-GB"/>
        </w:rPr>
        <w:t xml:space="preserve"> test”.</w:t>
      </w:r>
    </w:p>
  </w:footnote>
  <w:footnote w:id="21">
    <w:p w14:paraId="7B62F937"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Communicant’s update, 23 February 2015, para. 34.</w:t>
      </w:r>
    </w:p>
  </w:footnote>
  <w:footnote w:id="22">
    <w:p w14:paraId="1EFFBD9A"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para. 60.</w:t>
      </w:r>
    </w:p>
  </w:footnote>
  <w:footnote w:id="23">
    <w:p w14:paraId="541971EB"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para. 69.</w:t>
      </w:r>
    </w:p>
  </w:footnote>
  <w:footnote w:id="24">
    <w:p w14:paraId="6F342E51"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para.73.</w:t>
      </w:r>
    </w:p>
  </w:footnote>
  <w:footnote w:id="25">
    <w:p w14:paraId="3FE1D37C"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para. 77.</w:t>
      </w:r>
    </w:p>
  </w:footnote>
  <w:footnote w:id="26">
    <w:p w14:paraId="557B11D7"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para. 78.</w:t>
      </w:r>
    </w:p>
  </w:footnote>
  <w:footnote w:id="27">
    <w:p w14:paraId="6D683E1E"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para. 82.</w:t>
      </w:r>
    </w:p>
  </w:footnote>
  <w:footnote w:id="28">
    <w:p w14:paraId="5323FD02"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xml:space="preserve">., para. </w:t>
      </w:r>
      <w:r w:rsidRPr="00EA11E2">
        <w:rPr>
          <w:sz w:val="18"/>
          <w:szCs w:val="18"/>
          <w:lang w:val="en-GB"/>
        </w:rPr>
        <w:t>83.</w:t>
      </w:r>
    </w:p>
  </w:footnote>
  <w:footnote w:id="29">
    <w:p w14:paraId="26AE1629"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Observations by the European Union to the Communicant’s commentary on the judgments by the Court of Justice of the European Union of 13 January 2015, para. 20.</w:t>
      </w:r>
    </w:p>
  </w:footnote>
  <w:footnote w:id="30">
    <w:p w14:paraId="7F94F3F7"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Observations by the European Union to the Communicant’s commentary on the judgments by the Court of Justice, 11 June 2015, para. 53.</w:t>
      </w:r>
    </w:p>
  </w:footnote>
  <w:footnote w:id="31">
    <w:p w14:paraId="1060391A"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 21.</w:t>
      </w:r>
    </w:p>
  </w:footnote>
  <w:footnote w:id="32">
    <w:p w14:paraId="567B6359"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 24.</w:t>
      </w:r>
    </w:p>
  </w:footnote>
  <w:footnote w:id="33">
    <w:p w14:paraId="569F436B"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The Party concerned cites a body of EU legislation. See paragraph 25 of the observations by the European Union to the Communicant’s commentary on the judgments by the Court of Justice, 11 June 2015, para. 25.</w:t>
      </w:r>
    </w:p>
  </w:footnote>
  <w:footnote w:id="34">
    <w:p w14:paraId="36EA43E7"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n-GB"/>
        </w:rPr>
        <w:t xml:space="preserve"> Observations by the European Union to the Communicant’s commentary on the judgments by the Court of Justice, 11 June 2015, para. </w:t>
      </w:r>
      <w:r w:rsidRPr="00EA11E2">
        <w:rPr>
          <w:sz w:val="18"/>
          <w:szCs w:val="18"/>
          <w:lang w:val="es-ES"/>
        </w:rPr>
        <w:t>32.</w:t>
      </w:r>
    </w:p>
  </w:footnote>
  <w:footnote w:id="35">
    <w:p w14:paraId="543BBB33"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w:t>
      </w:r>
      <w:proofErr w:type="spellStart"/>
      <w:r w:rsidRPr="00EA11E2">
        <w:rPr>
          <w:sz w:val="18"/>
          <w:szCs w:val="18"/>
          <w:lang w:val="es-ES"/>
        </w:rPr>
        <w:t>Ibid</w:t>
      </w:r>
      <w:proofErr w:type="spellEnd"/>
      <w:r w:rsidRPr="00EA11E2">
        <w:rPr>
          <w:sz w:val="18"/>
          <w:szCs w:val="18"/>
          <w:lang w:val="es-ES"/>
        </w:rPr>
        <w:t>., para. 26.</w:t>
      </w:r>
    </w:p>
  </w:footnote>
  <w:footnote w:id="36">
    <w:p w14:paraId="12897BE8" w14:textId="77777777"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See</w:t>
      </w:r>
      <w:proofErr w:type="spellEnd"/>
      <w:r w:rsidRPr="00EA11E2">
        <w:rPr>
          <w:sz w:val="18"/>
          <w:szCs w:val="18"/>
          <w:lang w:val="es-ES"/>
        </w:rPr>
        <w:t xml:space="preserve"> </w:t>
      </w:r>
      <w:proofErr w:type="spellStart"/>
      <w:r w:rsidRPr="00EA11E2">
        <w:rPr>
          <w:sz w:val="18"/>
          <w:szCs w:val="18"/>
          <w:lang w:val="es-ES"/>
        </w:rPr>
        <w:t>footnote</w:t>
      </w:r>
      <w:proofErr w:type="spellEnd"/>
      <w:r w:rsidRPr="00EA11E2">
        <w:rPr>
          <w:sz w:val="18"/>
          <w:szCs w:val="18"/>
          <w:lang w:val="es-ES"/>
        </w:rPr>
        <w:t xml:space="preserve"> 41.</w:t>
      </w:r>
    </w:p>
  </w:footnote>
  <w:footnote w:id="37">
    <w:p w14:paraId="3F6327BB" w14:textId="5A379DE6" w:rsidR="00EA11E2" w:rsidRPr="00EA11E2" w:rsidRDefault="00EA11E2" w:rsidP="001C7421">
      <w:pPr>
        <w:pStyle w:val="FootnoteText"/>
        <w:rPr>
          <w:sz w:val="18"/>
          <w:szCs w:val="18"/>
          <w:lang w:val="es-ES"/>
        </w:rPr>
      </w:pPr>
      <w:r w:rsidRPr="00EA11E2">
        <w:rPr>
          <w:rStyle w:val="FootnoteReference"/>
          <w:sz w:val="18"/>
          <w:szCs w:val="18"/>
          <w:lang w:val="en-GB"/>
        </w:rPr>
        <w:footnoteRef/>
      </w:r>
      <w:r w:rsidRPr="00EA11E2">
        <w:rPr>
          <w:sz w:val="18"/>
          <w:szCs w:val="18"/>
          <w:lang w:val="es-ES"/>
        </w:rPr>
        <w:t xml:space="preserve"> </w:t>
      </w:r>
      <w:proofErr w:type="spellStart"/>
      <w:r w:rsidRPr="00EA11E2">
        <w:rPr>
          <w:sz w:val="18"/>
          <w:szCs w:val="18"/>
          <w:lang w:val="es-ES"/>
        </w:rPr>
        <w:t>Ibid</w:t>
      </w:r>
      <w:proofErr w:type="spellEnd"/>
      <w:r w:rsidRPr="00EA11E2">
        <w:rPr>
          <w:sz w:val="18"/>
          <w:szCs w:val="18"/>
          <w:lang w:val="es-ES"/>
        </w:rPr>
        <w:t xml:space="preserve">., para. 34. </w:t>
      </w:r>
    </w:p>
  </w:footnote>
  <w:footnote w:id="38">
    <w:p w14:paraId="59F81077"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w:t>
      </w:r>
      <w:r w:rsidRPr="00B91405">
        <w:rPr>
          <w:i/>
          <w:sz w:val="18"/>
          <w:szCs w:val="18"/>
          <w:lang w:val="en-GB"/>
        </w:rPr>
        <w:t xml:space="preserve">T &amp; L Sugars Ltd and </w:t>
      </w:r>
      <w:proofErr w:type="spellStart"/>
      <w:r w:rsidRPr="00B91405">
        <w:rPr>
          <w:i/>
          <w:sz w:val="18"/>
          <w:szCs w:val="18"/>
          <w:lang w:val="en-GB"/>
        </w:rPr>
        <w:t>Sidul</w:t>
      </w:r>
      <w:proofErr w:type="spellEnd"/>
      <w:r w:rsidRPr="00B91405">
        <w:rPr>
          <w:i/>
          <w:sz w:val="18"/>
          <w:szCs w:val="18"/>
          <w:lang w:val="en-GB"/>
        </w:rPr>
        <w:t xml:space="preserve"> </w:t>
      </w:r>
      <w:proofErr w:type="spellStart"/>
      <w:r w:rsidRPr="00B91405">
        <w:rPr>
          <w:i/>
          <w:sz w:val="18"/>
          <w:szCs w:val="18"/>
          <w:lang w:val="en-GB"/>
        </w:rPr>
        <w:t>Acucares</w:t>
      </w:r>
      <w:proofErr w:type="spellEnd"/>
      <w:r w:rsidRPr="00B91405">
        <w:rPr>
          <w:i/>
          <w:sz w:val="18"/>
          <w:szCs w:val="18"/>
          <w:lang w:val="en-GB"/>
        </w:rPr>
        <w:t>/Commission</w:t>
      </w:r>
      <w:r w:rsidRPr="00EA11E2">
        <w:rPr>
          <w:sz w:val="18"/>
          <w:szCs w:val="18"/>
          <w:lang w:val="en-GB"/>
        </w:rPr>
        <w:t>, Case C</w:t>
      </w:r>
      <w:r w:rsidRPr="00EA11E2">
        <w:rPr>
          <w:rFonts w:ascii="MS Mincho" w:eastAsia="MS Mincho" w:hAnsi="MS Mincho" w:cs="MS Mincho" w:hint="eastAsia"/>
          <w:sz w:val="18"/>
          <w:szCs w:val="18"/>
          <w:lang w:val="en-GB"/>
        </w:rPr>
        <w:t>‑</w:t>
      </w:r>
      <w:r w:rsidRPr="00EA11E2">
        <w:rPr>
          <w:sz w:val="18"/>
          <w:szCs w:val="18"/>
          <w:lang w:val="en-GB"/>
        </w:rPr>
        <w:t>456/13 P, 28 April 2015. Ibid, para. 42.</w:t>
      </w:r>
    </w:p>
  </w:footnote>
  <w:footnote w:id="39">
    <w:p w14:paraId="1C9C95C6"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Article 19(1) of the TEU states that: The Court of Justice of the European Union shall include the Court of Justice, the General Court and specialised courts. It shall ensure that in the interpretation and application of the Treaties the law is observed. Member States shall provide remedies sufficient to ensure effective legal protection in the fields covered by Union law.</w:t>
      </w:r>
    </w:p>
  </w:footnote>
  <w:footnote w:id="40">
    <w:p w14:paraId="3E2AA007" w14:textId="09F999F4"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Observations by the European Union to</w:t>
      </w:r>
      <w:r w:rsidR="009B3316">
        <w:rPr>
          <w:sz w:val="18"/>
          <w:szCs w:val="18"/>
          <w:lang w:val="en-GB"/>
        </w:rPr>
        <w:t xml:space="preserve"> the Communicant’s commentary, </w:t>
      </w:r>
      <w:r w:rsidRPr="00EA11E2">
        <w:rPr>
          <w:sz w:val="18"/>
          <w:szCs w:val="18"/>
          <w:lang w:val="en-GB"/>
        </w:rPr>
        <w:t>para. 51.</w:t>
      </w:r>
    </w:p>
  </w:footnote>
  <w:footnote w:id="41">
    <w:p w14:paraId="0449F0E2" w14:textId="777777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OJ L 124 of 17.5.2005, pp. 1–3.</w:t>
      </w:r>
    </w:p>
  </w:footnote>
  <w:footnote w:id="42">
    <w:p w14:paraId="23AAB464" w14:textId="777777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Paragraphs 57 and 58 of Part I.</w:t>
      </w:r>
    </w:p>
  </w:footnote>
  <w:footnote w:id="43">
    <w:p w14:paraId="20FFE0E6" w14:textId="6A6D1C60" w:rsidR="001A09D8" w:rsidRPr="001A09D8" w:rsidRDefault="001A09D8">
      <w:pPr>
        <w:pStyle w:val="FootnoteText"/>
        <w:rPr>
          <w:lang w:val="en-GB"/>
        </w:rPr>
      </w:pPr>
      <w:r>
        <w:rPr>
          <w:rStyle w:val="FootnoteReference"/>
        </w:rPr>
        <w:footnoteRef/>
      </w:r>
      <w:r>
        <w:t xml:space="preserve"> </w:t>
      </w:r>
      <w:r w:rsidR="00880500">
        <w:rPr>
          <w:sz w:val="18"/>
          <w:szCs w:val="18"/>
          <w:lang w:val="en-GB"/>
        </w:rPr>
        <w:t>P</w:t>
      </w:r>
      <w:r w:rsidRPr="00735875">
        <w:rPr>
          <w:sz w:val="18"/>
          <w:szCs w:val="18"/>
          <w:lang w:val="en-GB"/>
        </w:rPr>
        <w:t xml:space="preserve">aragraph 1 of </w:t>
      </w:r>
      <w:r w:rsidR="004F60AC">
        <w:rPr>
          <w:sz w:val="18"/>
          <w:szCs w:val="18"/>
          <w:lang w:val="en-GB"/>
        </w:rPr>
        <w:t xml:space="preserve">the annex to </w:t>
      </w:r>
      <w:r w:rsidRPr="00735875">
        <w:rPr>
          <w:sz w:val="18"/>
          <w:szCs w:val="18"/>
          <w:lang w:val="en-GB"/>
        </w:rPr>
        <w:t>Decision I/7.</w:t>
      </w:r>
    </w:p>
  </w:footnote>
  <w:footnote w:id="44">
    <w:p w14:paraId="4E549A46" w14:textId="5D3116E9" w:rsidR="001A09D8" w:rsidRPr="001A09D8" w:rsidRDefault="001A09D8">
      <w:pPr>
        <w:pStyle w:val="FootnoteText"/>
        <w:rPr>
          <w:lang w:val="en-GB"/>
        </w:rPr>
      </w:pPr>
      <w:r>
        <w:rPr>
          <w:rStyle w:val="FootnoteReference"/>
        </w:rPr>
        <w:footnoteRef/>
      </w:r>
      <w:r>
        <w:t xml:space="preserve"> </w:t>
      </w:r>
      <w:r>
        <w:rPr>
          <w:sz w:val="18"/>
          <w:szCs w:val="18"/>
        </w:rPr>
        <w:t xml:space="preserve">Ibid., </w:t>
      </w:r>
      <w:r w:rsidRPr="00735875">
        <w:rPr>
          <w:sz w:val="18"/>
          <w:szCs w:val="18"/>
        </w:rPr>
        <w:t>paragraph 14</w:t>
      </w:r>
      <w:r>
        <w:rPr>
          <w:sz w:val="18"/>
          <w:szCs w:val="18"/>
        </w:rPr>
        <w:t>.</w:t>
      </w:r>
    </w:p>
  </w:footnote>
  <w:footnote w:id="45">
    <w:p w14:paraId="03DAC65F" w14:textId="3F48D8E3" w:rsidR="001A09D8" w:rsidRPr="001A09D8" w:rsidRDefault="001A09D8">
      <w:pPr>
        <w:pStyle w:val="FootnoteText"/>
        <w:rPr>
          <w:lang w:val="en-GB"/>
        </w:rPr>
      </w:pPr>
      <w:r>
        <w:rPr>
          <w:rStyle w:val="FootnoteReference"/>
        </w:rPr>
        <w:footnoteRef/>
      </w:r>
      <w:r>
        <w:t xml:space="preserve"> </w:t>
      </w:r>
      <w:r>
        <w:rPr>
          <w:sz w:val="18"/>
          <w:szCs w:val="18"/>
        </w:rPr>
        <w:t xml:space="preserve">Ibid., </w:t>
      </w:r>
      <w:r w:rsidRPr="00735875">
        <w:rPr>
          <w:sz w:val="18"/>
          <w:szCs w:val="18"/>
        </w:rPr>
        <w:t>paragraph 35</w:t>
      </w:r>
      <w:r>
        <w:rPr>
          <w:sz w:val="18"/>
          <w:szCs w:val="18"/>
        </w:rPr>
        <w:t>.</w:t>
      </w:r>
    </w:p>
  </w:footnote>
  <w:footnote w:id="46">
    <w:p w14:paraId="22CF46ED" w14:textId="68B55A0C" w:rsidR="001A09D8" w:rsidRPr="001A09D8" w:rsidRDefault="001A09D8">
      <w:pPr>
        <w:pStyle w:val="FootnoteText"/>
        <w:rPr>
          <w:lang w:val="en-GB"/>
        </w:rPr>
      </w:pPr>
      <w:r>
        <w:rPr>
          <w:rStyle w:val="FootnoteReference"/>
        </w:rPr>
        <w:footnoteRef/>
      </w:r>
      <w:r>
        <w:t xml:space="preserve"> </w:t>
      </w:r>
      <w:r>
        <w:rPr>
          <w:sz w:val="18"/>
          <w:szCs w:val="18"/>
        </w:rPr>
        <w:t xml:space="preserve">Ibid., </w:t>
      </w:r>
      <w:r w:rsidRPr="00735875">
        <w:rPr>
          <w:sz w:val="18"/>
          <w:szCs w:val="18"/>
        </w:rPr>
        <w:t>paragraph 37</w:t>
      </w:r>
      <w:r>
        <w:rPr>
          <w:sz w:val="18"/>
          <w:szCs w:val="18"/>
        </w:rPr>
        <w:t>.</w:t>
      </w:r>
    </w:p>
  </w:footnote>
  <w:footnote w:id="47">
    <w:p w14:paraId="5BE7D814"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Paragraph 74 of Part I.</w:t>
      </w:r>
    </w:p>
  </w:footnote>
  <w:footnote w:id="48">
    <w:p w14:paraId="68596615" w14:textId="777777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Ibid., paragraph 86.</w:t>
      </w:r>
    </w:p>
  </w:footnote>
  <w:footnote w:id="49">
    <w:p w14:paraId="48AE2645" w14:textId="6FEAE59E"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87.</w:t>
      </w:r>
    </w:p>
  </w:footnote>
  <w:footnote w:id="50">
    <w:p w14:paraId="5BFEFB75" w14:textId="6667D38C"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88.</w:t>
      </w:r>
    </w:p>
  </w:footnote>
  <w:footnote w:id="51">
    <w:p w14:paraId="6001A1E7" w14:textId="2177CD98"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90.</w:t>
      </w:r>
    </w:p>
  </w:footnote>
  <w:footnote w:id="52">
    <w:p w14:paraId="39ACF20F"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91.</w:t>
      </w:r>
    </w:p>
  </w:footnote>
  <w:footnote w:id="53">
    <w:p w14:paraId="3ACF0CCE"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92.</w:t>
      </w:r>
    </w:p>
  </w:footnote>
  <w:footnote w:id="54">
    <w:p w14:paraId="342B0F22"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93.</w:t>
      </w:r>
    </w:p>
  </w:footnote>
  <w:footnote w:id="55">
    <w:p w14:paraId="72F04C16" w14:textId="4B26CDF9" w:rsidR="00EA11E2" w:rsidRPr="00EA11E2" w:rsidRDefault="00EA11E2" w:rsidP="001C7421">
      <w:pPr>
        <w:spacing w:after="0"/>
        <w:rPr>
          <w:rFonts w:ascii="Times New Roman" w:hAnsi="Times New Roman" w:cs="Times New Roman"/>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This is similar to the approach of t</w:t>
      </w:r>
      <w:r w:rsidR="00B91405">
        <w:rPr>
          <w:rFonts w:ascii="Times New Roman" w:hAnsi="Times New Roman" w:cs="Times New Roman"/>
          <w:sz w:val="18"/>
          <w:szCs w:val="18"/>
        </w:rPr>
        <w:t xml:space="preserve">he Committee in Part I: ibid., </w:t>
      </w:r>
      <w:r w:rsidRPr="00EA11E2">
        <w:rPr>
          <w:rFonts w:ascii="Times New Roman" w:hAnsi="Times New Roman" w:cs="Times New Roman"/>
          <w:sz w:val="18"/>
          <w:szCs w:val="18"/>
        </w:rPr>
        <w:t>paragraph 63</w:t>
      </w:r>
      <w:r w:rsidR="009B3316">
        <w:rPr>
          <w:rFonts w:ascii="Times New Roman" w:hAnsi="Times New Roman" w:cs="Times New Roman"/>
          <w:sz w:val="18"/>
          <w:szCs w:val="18"/>
        </w:rPr>
        <w:t>.</w:t>
      </w:r>
    </w:p>
  </w:footnote>
  <w:footnote w:id="56">
    <w:p w14:paraId="07A3E5CD" w14:textId="34BC46C3"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Ibid., paragraph 10</w:t>
      </w:r>
      <w:r w:rsidR="009B3316">
        <w:rPr>
          <w:rFonts w:ascii="Times New Roman" w:hAnsi="Times New Roman" w:cs="Times New Roman"/>
          <w:sz w:val="18"/>
          <w:szCs w:val="18"/>
        </w:rPr>
        <w:t>.</w:t>
      </w:r>
    </w:p>
  </w:footnote>
  <w:footnote w:id="57">
    <w:p w14:paraId="35B39C0D" w14:textId="290B6206"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Ibid., paragraph 64</w:t>
      </w:r>
      <w:r w:rsidR="009B3316">
        <w:rPr>
          <w:rFonts w:ascii="Times New Roman" w:hAnsi="Times New Roman" w:cs="Times New Roman"/>
          <w:sz w:val="18"/>
          <w:szCs w:val="18"/>
        </w:rPr>
        <w:t>.</w:t>
      </w:r>
    </w:p>
  </w:footnote>
  <w:footnote w:id="58">
    <w:p w14:paraId="46766980" w14:textId="777777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w:t>
      </w:r>
      <w:r w:rsidRPr="001C7421">
        <w:rPr>
          <w:i/>
          <w:sz w:val="18"/>
          <w:szCs w:val="18"/>
          <w:lang w:val="en-GB"/>
        </w:rPr>
        <w:t xml:space="preserve">Council and Commission v. </w:t>
      </w:r>
      <w:proofErr w:type="spellStart"/>
      <w:r w:rsidRPr="001C7421">
        <w:rPr>
          <w:i/>
          <w:sz w:val="18"/>
          <w:szCs w:val="18"/>
          <w:lang w:val="en-GB"/>
        </w:rPr>
        <w:t>Stichting</w:t>
      </w:r>
      <w:proofErr w:type="spellEnd"/>
      <w:r w:rsidRPr="001C7421">
        <w:rPr>
          <w:i/>
          <w:sz w:val="18"/>
          <w:szCs w:val="18"/>
          <w:lang w:val="en-GB"/>
        </w:rPr>
        <w:t xml:space="preserve"> </w:t>
      </w:r>
      <w:proofErr w:type="spellStart"/>
      <w:r w:rsidRPr="001C7421">
        <w:rPr>
          <w:i/>
          <w:sz w:val="18"/>
          <w:szCs w:val="18"/>
          <w:lang w:val="en-GB"/>
        </w:rPr>
        <w:t>Natuur</w:t>
      </w:r>
      <w:proofErr w:type="spellEnd"/>
      <w:r w:rsidRPr="001C7421">
        <w:rPr>
          <w:i/>
          <w:sz w:val="18"/>
          <w:szCs w:val="18"/>
          <w:lang w:val="en-GB"/>
        </w:rPr>
        <w:t xml:space="preserve"> </w:t>
      </w:r>
      <w:proofErr w:type="spellStart"/>
      <w:r w:rsidRPr="001C7421">
        <w:rPr>
          <w:i/>
          <w:sz w:val="18"/>
          <w:szCs w:val="18"/>
          <w:lang w:val="en-GB"/>
        </w:rPr>
        <w:t>en</w:t>
      </w:r>
      <w:proofErr w:type="spellEnd"/>
      <w:r w:rsidRPr="001C7421">
        <w:rPr>
          <w:i/>
          <w:sz w:val="18"/>
          <w:szCs w:val="18"/>
          <w:lang w:val="en-GB"/>
        </w:rPr>
        <w:t xml:space="preserve"> Milieu and Pesticide Action Network Europe</w:t>
      </w:r>
      <w:r w:rsidRPr="00EA11E2">
        <w:rPr>
          <w:sz w:val="18"/>
          <w:szCs w:val="18"/>
          <w:lang w:val="en-GB"/>
        </w:rPr>
        <w:t>, joined cases C-404/12 P and C-405/12 P, 13 January 2015.</w:t>
      </w:r>
    </w:p>
  </w:footnote>
  <w:footnote w:id="59">
    <w:p w14:paraId="47BA37FB" w14:textId="0652D791" w:rsidR="00EA11E2" w:rsidRPr="00EA11E2" w:rsidRDefault="00EA11E2" w:rsidP="001C7421">
      <w:pPr>
        <w:pStyle w:val="NormalWeb"/>
        <w:spacing w:before="0" w:beforeAutospacing="0" w:after="0" w:afterAutospacing="0"/>
        <w:rPr>
          <w:sz w:val="18"/>
          <w:szCs w:val="18"/>
        </w:rPr>
      </w:pPr>
      <w:r w:rsidRPr="00EA11E2">
        <w:rPr>
          <w:rStyle w:val="FootnoteReference"/>
          <w:sz w:val="18"/>
          <w:szCs w:val="18"/>
          <w:lang w:val="en-GB"/>
        </w:rPr>
        <w:footnoteRef/>
      </w:r>
      <w:r w:rsidRPr="00EA11E2">
        <w:rPr>
          <w:sz w:val="18"/>
          <w:szCs w:val="18"/>
          <w:lang w:val="en-GB"/>
        </w:rPr>
        <w:t xml:space="preserve"> Case C-240/09, </w:t>
      </w:r>
      <w:proofErr w:type="spellStart"/>
      <w:r w:rsidRPr="00A43157">
        <w:rPr>
          <w:i/>
          <w:sz w:val="18"/>
          <w:szCs w:val="18"/>
          <w:lang w:val="en-GB"/>
        </w:rPr>
        <w:t>Lesoochranárske</w:t>
      </w:r>
      <w:proofErr w:type="spellEnd"/>
      <w:r w:rsidRPr="00A43157">
        <w:rPr>
          <w:i/>
          <w:sz w:val="18"/>
          <w:szCs w:val="18"/>
          <w:lang w:val="en-GB"/>
        </w:rPr>
        <w:t xml:space="preserve"> </w:t>
      </w:r>
      <w:proofErr w:type="spellStart"/>
      <w:r w:rsidRPr="00A43157">
        <w:rPr>
          <w:i/>
          <w:sz w:val="18"/>
          <w:szCs w:val="18"/>
          <w:lang w:val="en-GB"/>
        </w:rPr>
        <w:t>zoskupenie</w:t>
      </w:r>
      <w:proofErr w:type="spellEnd"/>
      <w:r w:rsidRPr="00EA11E2">
        <w:rPr>
          <w:sz w:val="18"/>
          <w:szCs w:val="18"/>
          <w:lang w:val="en-GB"/>
        </w:rPr>
        <w:t>, Case C-115/09</w:t>
      </w:r>
      <w:r w:rsidRPr="00A43157">
        <w:rPr>
          <w:i/>
          <w:sz w:val="18"/>
          <w:szCs w:val="18"/>
          <w:lang w:val="en-GB"/>
        </w:rPr>
        <w:t xml:space="preserve">, Bund </w:t>
      </w:r>
      <w:proofErr w:type="spellStart"/>
      <w:r w:rsidRPr="00A43157">
        <w:rPr>
          <w:i/>
          <w:sz w:val="18"/>
          <w:szCs w:val="18"/>
          <w:lang w:val="en-GB"/>
        </w:rPr>
        <w:t>für</w:t>
      </w:r>
      <w:proofErr w:type="spellEnd"/>
      <w:r w:rsidRPr="00A43157">
        <w:rPr>
          <w:i/>
          <w:sz w:val="18"/>
          <w:szCs w:val="18"/>
          <w:lang w:val="en-GB"/>
        </w:rPr>
        <w:t xml:space="preserve"> Umwelt und </w:t>
      </w:r>
      <w:proofErr w:type="spellStart"/>
      <w:r w:rsidRPr="00A43157">
        <w:rPr>
          <w:i/>
          <w:sz w:val="18"/>
          <w:szCs w:val="18"/>
          <w:lang w:val="en-GB"/>
        </w:rPr>
        <w:t>Naturschutz</w:t>
      </w:r>
      <w:proofErr w:type="spellEnd"/>
      <w:r w:rsidRPr="00EA11E2">
        <w:rPr>
          <w:sz w:val="18"/>
          <w:szCs w:val="18"/>
          <w:lang w:val="en-GB"/>
        </w:rPr>
        <w:t xml:space="preserve">, Joined Cases C-128/09 to C-131/09, C-134/09 and C-135/09, </w:t>
      </w:r>
      <w:proofErr w:type="spellStart"/>
      <w:r w:rsidRPr="00A43157">
        <w:rPr>
          <w:i/>
          <w:sz w:val="18"/>
          <w:szCs w:val="18"/>
          <w:lang w:val="en-GB"/>
        </w:rPr>
        <w:t>Boxus</w:t>
      </w:r>
      <w:proofErr w:type="spellEnd"/>
      <w:r w:rsidRPr="00EA11E2">
        <w:rPr>
          <w:sz w:val="18"/>
          <w:szCs w:val="18"/>
          <w:lang w:val="en-GB"/>
        </w:rPr>
        <w:t xml:space="preserve">, Case C-182/10, Solvay, Case C-416/10, </w:t>
      </w:r>
      <w:proofErr w:type="spellStart"/>
      <w:r w:rsidRPr="00A43157">
        <w:rPr>
          <w:i/>
          <w:sz w:val="18"/>
          <w:szCs w:val="18"/>
          <w:lang w:val="en-GB"/>
        </w:rPr>
        <w:t>Krizan</w:t>
      </w:r>
      <w:proofErr w:type="spellEnd"/>
      <w:r w:rsidRPr="00EA11E2">
        <w:rPr>
          <w:sz w:val="18"/>
          <w:szCs w:val="18"/>
          <w:lang w:val="en-GB"/>
        </w:rPr>
        <w:t xml:space="preserve">, Case C-260/11, </w:t>
      </w:r>
      <w:r w:rsidRPr="00A43157">
        <w:rPr>
          <w:i/>
          <w:sz w:val="18"/>
          <w:szCs w:val="18"/>
          <w:lang w:val="en-GB"/>
        </w:rPr>
        <w:t>Edwards</w:t>
      </w:r>
      <w:r w:rsidR="00A43157">
        <w:rPr>
          <w:sz w:val="18"/>
          <w:szCs w:val="18"/>
          <w:lang w:val="en-GB"/>
        </w:rPr>
        <w:t>,</w:t>
      </w:r>
      <w:r w:rsidRPr="00EA11E2">
        <w:rPr>
          <w:sz w:val="18"/>
          <w:szCs w:val="18"/>
          <w:lang w:val="en-GB"/>
        </w:rPr>
        <w:t xml:space="preserve"> Case C-72/12, and </w:t>
      </w:r>
      <w:proofErr w:type="spellStart"/>
      <w:r w:rsidR="00A43157" w:rsidRPr="00A43157">
        <w:rPr>
          <w:i/>
          <w:sz w:val="18"/>
          <w:szCs w:val="18"/>
          <w:lang w:val="en-GB"/>
        </w:rPr>
        <w:t>Altrip</w:t>
      </w:r>
      <w:proofErr w:type="spellEnd"/>
      <w:r w:rsidR="00A43157" w:rsidRPr="00EA11E2">
        <w:rPr>
          <w:sz w:val="18"/>
          <w:szCs w:val="18"/>
          <w:lang w:val="en-GB"/>
        </w:rPr>
        <w:t>,</w:t>
      </w:r>
      <w:r w:rsidR="00A43157">
        <w:rPr>
          <w:sz w:val="18"/>
          <w:szCs w:val="18"/>
          <w:lang w:val="en-GB"/>
        </w:rPr>
        <w:t xml:space="preserve"> </w:t>
      </w:r>
      <w:r w:rsidRPr="00EA11E2">
        <w:rPr>
          <w:sz w:val="18"/>
          <w:szCs w:val="18"/>
          <w:lang w:val="en-GB"/>
        </w:rPr>
        <w:t xml:space="preserve">Case C-404/13. </w:t>
      </w:r>
    </w:p>
  </w:footnote>
  <w:footnote w:id="60">
    <w:p w14:paraId="4E0261EA" w14:textId="777777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Part I, paragraph 90.</w:t>
      </w:r>
    </w:p>
  </w:footnote>
  <w:footnote w:id="61">
    <w:p w14:paraId="77459317" w14:textId="30A21AA5" w:rsidR="00EA11E2" w:rsidRPr="00EA11E2" w:rsidRDefault="00EA11E2" w:rsidP="009B3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8"/>
          <w:szCs w:val="18"/>
        </w:rPr>
      </w:pPr>
      <w:r w:rsidRPr="00EA11E2">
        <w:rPr>
          <w:rStyle w:val="FootnoteReference"/>
          <w:sz w:val="18"/>
          <w:szCs w:val="18"/>
        </w:rPr>
        <w:footnoteRef/>
      </w:r>
      <w:r w:rsidRPr="00EA11E2">
        <w:rPr>
          <w:sz w:val="18"/>
          <w:szCs w:val="18"/>
        </w:rPr>
        <w:t xml:space="preserve"> </w:t>
      </w:r>
      <w:r w:rsidRPr="00A43157">
        <w:rPr>
          <w:rFonts w:ascii="Times New Roman" w:hAnsi="Times New Roman" w:cs="Times New Roman"/>
          <w:i/>
          <w:sz w:val="18"/>
          <w:szCs w:val="18"/>
          <w:lang w:val="en-US"/>
        </w:rPr>
        <w:t xml:space="preserve">SRL CILFIT — in liquidation — and 54 Others, Rome, v Ministry Of Health and </w:t>
      </w:r>
      <w:r w:rsidRPr="00A43157">
        <w:rPr>
          <w:rFonts w:ascii="MS Mincho" w:eastAsia="MS Mincho" w:hAnsi="MS Mincho" w:cs="MS Mincho" w:hint="eastAsia"/>
          <w:i/>
          <w:sz w:val="18"/>
          <w:szCs w:val="18"/>
          <w:lang w:val="en-US"/>
        </w:rPr>
        <w:t> </w:t>
      </w:r>
      <w:proofErr w:type="spellStart"/>
      <w:r w:rsidRPr="00A43157">
        <w:rPr>
          <w:rFonts w:ascii="Times New Roman" w:hAnsi="Times New Roman" w:cs="Times New Roman"/>
          <w:i/>
          <w:sz w:val="18"/>
          <w:szCs w:val="18"/>
          <w:lang w:val="en-US"/>
        </w:rPr>
        <w:t>Lanificio</w:t>
      </w:r>
      <w:proofErr w:type="spellEnd"/>
      <w:r w:rsidRPr="00A43157">
        <w:rPr>
          <w:rFonts w:ascii="Times New Roman" w:hAnsi="Times New Roman" w:cs="Times New Roman"/>
          <w:i/>
          <w:sz w:val="18"/>
          <w:szCs w:val="18"/>
          <w:lang w:val="en-US"/>
        </w:rPr>
        <w:t xml:space="preserve"> di </w:t>
      </w:r>
      <w:proofErr w:type="spellStart"/>
      <w:r w:rsidRPr="00A43157">
        <w:rPr>
          <w:rFonts w:ascii="Times New Roman" w:hAnsi="Times New Roman" w:cs="Times New Roman"/>
          <w:i/>
          <w:sz w:val="18"/>
          <w:szCs w:val="18"/>
          <w:lang w:val="en-US"/>
        </w:rPr>
        <w:t>Gavardo</w:t>
      </w:r>
      <w:proofErr w:type="spellEnd"/>
      <w:r w:rsidRPr="00A43157">
        <w:rPr>
          <w:rFonts w:ascii="Times New Roman" w:hAnsi="Times New Roman" w:cs="Times New Roman"/>
          <w:i/>
          <w:sz w:val="18"/>
          <w:szCs w:val="18"/>
          <w:lang w:val="en-US"/>
        </w:rPr>
        <w:t xml:space="preserve"> SPA, Milan</w:t>
      </w:r>
      <w:r w:rsidRPr="00EA11E2">
        <w:rPr>
          <w:rFonts w:ascii="Times New Roman" w:hAnsi="Times New Roman" w:cs="Times New Roman"/>
          <w:sz w:val="18"/>
          <w:szCs w:val="18"/>
          <w:lang w:val="en-US"/>
        </w:rPr>
        <w:t>, Case 283/81, 6th October 1982.</w:t>
      </w:r>
    </w:p>
  </w:footnote>
  <w:footnote w:id="62">
    <w:p w14:paraId="4328CA1F" w14:textId="77777777" w:rsidR="00EA11E2" w:rsidRPr="00EA11E2" w:rsidRDefault="00EA11E2" w:rsidP="001C7421">
      <w:pPr>
        <w:pStyle w:val="FootnoteText"/>
        <w:rPr>
          <w:sz w:val="18"/>
          <w:szCs w:val="18"/>
          <w:lang w:val="en-GB"/>
        </w:rPr>
      </w:pPr>
      <w:r w:rsidRPr="00EA11E2">
        <w:rPr>
          <w:rStyle w:val="FootnoteReference"/>
          <w:sz w:val="18"/>
          <w:szCs w:val="18"/>
          <w:lang w:val="en-GB"/>
        </w:rPr>
        <w:footnoteRef/>
      </w:r>
      <w:r w:rsidRPr="00EA11E2">
        <w:rPr>
          <w:sz w:val="18"/>
          <w:szCs w:val="18"/>
          <w:lang w:val="en-GB"/>
        </w:rPr>
        <w:t xml:space="preserve"> Ibid., paragraph 91.</w:t>
      </w:r>
    </w:p>
    <w:p w14:paraId="0EDEEF57" w14:textId="77777777" w:rsidR="00EA11E2" w:rsidRPr="00EA11E2" w:rsidRDefault="00EA11E2" w:rsidP="001C7421">
      <w:pPr>
        <w:pStyle w:val="FootnoteText"/>
        <w:rPr>
          <w:sz w:val="18"/>
          <w:szCs w:val="18"/>
          <w:lang w:val="en-GB"/>
        </w:rPr>
      </w:pPr>
    </w:p>
  </w:footnote>
  <w:footnote w:id="63">
    <w:p w14:paraId="737577A1" w14:textId="77777777" w:rsidR="00EA11E2" w:rsidRPr="00EA11E2" w:rsidRDefault="00EA11E2" w:rsidP="001C7421">
      <w:pPr>
        <w:widowControl w:val="0"/>
        <w:autoSpaceDE w:val="0"/>
        <w:autoSpaceDN w:val="0"/>
        <w:adjustRightInd w:val="0"/>
        <w:spacing w:after="0"/>
        <w:rPr>
          <w:rFonts w:ascii="Times New Roman" w:hAnsi="Times New Roman" w:cs="Times New Roman"/>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See, for example, paragraph 32 of the </w:t>
      </w:r>
      <w:proofErr w:type="spellStart"/>
      <w:r w:rsidRPr="009B3316">
        <w:rPr>
          <w:rFonts w:ascii="Times New Roman" w:hAnsi="Times New Roman" w:cs="Times New Roman"/>
          <w:i/>
          <w:sz w:val="18"/>
          <w:szCs w:val="18"/>
        </w:rPr>
        <w:t>Microban</w:t>
      </w:r>
      <w:proofErr w:type="spellEnd"/>
      <w:r w:rsidRPr="009B3316">
        <w:rPr>
          <w:rFonts w:ascii="Times New Roman" w:hAnsi="Times New Roman" w:cs="Times New Roman"/>
          <w:i/>
          <w:sz w:val="18"/>
          <w:szCs w:val="18"/>
        </w:rPr>
        <w:t xml:space="preserve"> </w:t>
      </w:r>
      <w:r w:rsidRPr="00EA11E2">
        <w:rPr>
          <w:rFonts w:ascii="Times New Roman" w:hAnsi="Times New Roman" w:cs="Times New Roman"/>
          <w:sz w:val="18"/>
          <w:szCs w:val="18"/>
        </w:rPr>
        <w:t xml:space="preserve">case and paragraph 35 of the </w:t>
      </w:r>
      <w:r w:rsidRPr="009B3316">
        <w:rPr>
          <w:rFonts w:ascii="Times New Roman" w:hAnsi="Times New Roman" w:cs="Times New Roman"/>
          <w:i/>
          <w:sz w:val="18"/>
          <w:szCs w:val="18"/>
        </w:rPr>
        <w:t>Inuit</w:t>
      </w:r>
      <w:r w:rsidRPr="00EA11E2">
        <w:rPr>
          <w:rFonts w:ascii="Times New Roman" w:hAnsi="Times New Roman" w:cs="Times New Roman"/>
          <w:sz w:val="18"/>
          <w:szCs w:val="18"/>
        </w:rPr>
        <w:t xml:space="preserve"> case. </w:t>
      </w:r>
    </w:p>
    <w:p w14:paraId="7C7B6308" w14:textId="77777777" w:rsidR="00EA11E2" w:rsidRPr="00EA11E2" w:rsidRDefault="00EA11E2" w:rsidP="001C7421">
      <w:pPr>
        <w:pStyle w:val="FootnoteText"/>
        <w:rPr>
          <w:sz w:val="18"/>
          <w:szCs w:val="18"/>
          <w:lang w:val="en-GB"/>
        </w:rPr>
      </w:pPr>
    </w:p>
  </w:footnote>
  <w:footnote w:id="64">
    <w:p w14:paraId="24931A60" w14:textId="4AC8C19C" w:rsidR="00EA11E2" w:rsidRPr="00EA11E2" w:rsidRDefault="00EA11E2" w:rsidP="001C7421">
      <w:pPr>
        <w:spacing w:after="0"/>
        <w:rPr>
          <w:rFonts w:ascii="Times New Roman" w:hAnsi="Times New Roman" w:cs="Times New Roman"/>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In </w:t>
      </w:r>
      <w:r w:rsidR="009B3316">
        <w:rPr>
          <w:rFonts w:ascii="Times New Roman" w:hAnsi="Times New Roman" w:cs="Times New Roman"/>
          <w:sz w:val="18"/>
          <w:szCs w:val="18"/>
        </w:rPr>
        <w:t>P</w:t>
      </w:r>
      <w:r w:rsidRPr="00EA11E2">
        <w:rPr>
          <w:rFonts w:ascii="Times New Roman" w:hAnsi="Times New Roman" w:cs="Times New Roman"/>
          <w:sz w:val="18"/>
          <w:szCs w:val="18"/>
        </w:rPr>
        <w:t>art I the Committee did not examine the Aarhus Regulation, although it indicated that an examination of the Regulation would be forthcoming: see paragraph 88.</w:t>
      </w:r>
    </w:p>
    <w:p w14:paraId="3A67A114" w14:textId="77777777" w:rsidR="00EA11E2" w:rsidRPr="00EA11E2" w:rsidRDefault="00EA11E2" w:rsidP="001C7421">
      <w:pPr>
        <w:pStyle w:val="FootnoteText"/>
        <w:rPr>
          <w:sz w:val="18"/>
          <w:szCs w:val="18"/>
          <w:lang w:val="en-GB"/>
        </w:rPr>
      </w:pPr>
    </w:p>
  </w:footnote>
  <w:footnote w:id="65">
    <w:p w14:paraId="349B4BB1" w14:textId="777777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Communicant’s update on Court of Justice rulings in cases C-401/12 P to C- 405/12 P, dated 23 February 2015, paragraphs 42-49.</w:t>
      </w:r>
    </w:p>
  </w:footnote>
  <w:footnote w:id="66">
    <w:p w14:paraId="44B38D75" w14:textId="77777777"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w:t>
      </w:r>
      <w:r w:rsidRPr="00EA11E2">
        <w:rPr>
          <w:rFonts w:ascii="Times New Roman" w:hAnsi="Times New Roman" w:cs="Times New Roman"/>
          <w:sz w:val="18"/>
          <w:szCs w:val="18"/>
          <w:lang w:val="en-US"/>
        </w:rPr>
        <w:t>Ibid.,  paragraphs 50-60.</w:t>
      </w:r>
    </w:p>
  </w:footnote>
  <w:footnote w:id="67">
    <w:p w14:paraId="37469846" w14:textId="34CCEB0F"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Ibid., p</w:t>
      </w:r>
      <w:proofErr w:type="spellStart"/>
      <w:r w:rsidRPr="00EA11E2">
        <w:rPr>
          <w:rFonts w:ascii="Times New Roman" w:hAnsi="Times New Roman" w:cs="Times New Roman"/>
          <w:sz w:val="18"/>
          <w:szCs w:val="18"/>
          <w:lang w:val="en-US"/>
        </w:rPr>
        <w:t>aragraphs</w:t>
      </w:r>
      <w:proofErr w:type="spellEnd"/>
      <w:r w:rsidRPr="00EA11E2">
        <w:rPr>
          <w:rFonts w:ascii="Times New Roman" w:hAnsi="Times New Roman" w:cs="Times New Roman"/>
          <w:sz w:val="18"/>
          <w:szCs w:val="18"/>
          <w:lang w:val="en-US"/>
        </w:rPr>
        <w:t xml:space="preserve"> 61-71</w:t>
      </w:r>
      <w:r w:rsidR="009B3316">
        <w:rPr>
          <w:rFonts w:ascii="Times New Roman" w:hAnsi="Times New Roman" w:cs="Times New Roman"/>
          <w:sz w:val="18"/>
          <w:szCs w:val="18"/>
          <w:lang w:val="en-US"/>
        </w:rPr>
        <w:t>.</w:t>
      </w:r>
    </w:p>
  </w:footnote>
  <w:footnote w:id="68">
    <w:p w14:paraId="2A4C75F2" w14:textId="34626D93"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Ibid., p</w:t>
      </w:r>
      <w:proofErr w:type="spellStart"/>
      <w:r w:rsidRPr="00EA11E2">
        <w:rPr>
          <w:rFonts w:ascii="Times New Roman" w:hAnsi="Times New Roman" w:cs="Times New Roman"/>
          <w:sz w:val="18"/>
          <w:szCs w:val="18"/>
          <w:lang w:val="en-US"/>
        </w:rPr>
        <w:t>aragraphs</w:t>
      </w:r>
      <w:proofErr w:type="spellEnd"/>
      <w:r w:rsidRPr="00EA11E2">
        <w:rPr>
          <w:rFonts w:ascii="Times New Roman" w:hAnsi="Times New Roman" w:cs="Times New Roman"/>
          <w:sz w:val="18"/>
          <w:szCs w:val="18"/>
          <w:lang w:val="en-US"/>
        </w:rPr>
        <w:t xml:space="preserve"> 72-81</w:t>
      </w:r>
      <w:r w:rsidR="009B3316">
        <w:rPr>
          <w:rFonts w:ascii="Times New Roman" w:hAnsi="Times New Roman" w:cs="Times New Roman"/>
          <w:sz w:val="18"/>
          <w:szCs w:val="18"/>
          <w:lang w:val="en-US"/>
        </w:rPr>
        <w:t>.</w:t>
      </w:r>
    </w:p>
  </w:footnote>
  <w:footnote w:id="69">
    <w:p w14:paraId="52558773" w14:textId="3F12730C" w:rsidR="00EA11E2" w:rsidRPr="00EA11E2" w:rsidRDefault="00EA11E2" w:rsidP="001C7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18"/>
          <w:szCs w:val="18"/>
        </w:rPr>
      </w:pPr>
      <w:r w:rsidRPr="00EA11E2">
        <w:rPr>
          <w:rStyle w:val="FootnoteReference"/>
          <w:rFonts w:ascii="Times New Roman" w:hAnsi="Times New Roman" w:cs="Times New Roman"/>
          <w:sz w:val="18"/>
          <w:szCs w:val="18"/>
        </w:rPr>
        <w:footnoteRef/>
      </w:r>
      <w:r w:rsidRPr="00EA11E2">
        <w:rPr>
          <w:rFonts w:ascii="Times New Roman" w:hAnsi="Times New Roman" w:cs="Times New Roman"/>
          <w:sz w:val="18"/>
          <w:szCs w:val="18"/>
        </w:rPr>
        <w:t xml:space="preserve"> Ibid., p</w:t>
      </w:r>
      <w:proofErr w:type="spellStart"/>
      <w:r w:rsidRPr="00EA11E2">
        <w:rPr>
          <w:rFonts w:ascii="Times New Roman" w:hAnsi="Times New Roman" w:cs="Times New Roman"/>
          <w:sz w:val="18"/>
          <w:szCs w:val="18"/>
          <w:lang w:val="en-US"/>
        </w:rPr>
        <w:t>aragraphs</w:t>
      </w:r>
      <w:proofErr w:type="spellEnd"/>
      <w:r w:rsidRPr="00EA11E2">
        <w:rPr>
          <w:rFonts w:ascii="Times New Roman" w:hAnsi="Times New Roman" w:cs="Times New Roman"/>
          <w:sz w:val="18"/>
          <w:szCs w:val="18"/>
          <w:lang w:val="en-US"/>
        </w:rPr>
        <w:t xml:space="preserve"> 82-84</w:t>
      </w:r>
      <w:r w:rsidR="009B3316">
        <w:rPr>
          <w:rFonts w:ascii="Times New Roman" w:hAnsi="Times New Roman" w:cs="Times New Roman"/>
          <w:sz w:val="18"/>
          <w:szCs w:val="18"/>
          <w:lang w:val="en-US"/>
        </w:rPr>
        <w:t>.</w:t>
      </w:r>
    </w:p>
  </w:footnote>
  <w:footnote w:id="70">
    <w:p w14:paraId="363A2C02" w14:textId="01079177" w:rsidR="00EA11E2" w:rsidRPr="00EA11E2" w:rsidRDefault="00EA11E2" w:rsidP="001C7421">
      <w:pPr>
        <w:pStyle w:val="FootnoteText"/>
        <w:rPr>
          <w:sz w:val="18"/>
          <w:szCs w:val="18"/>
        </w:rPr>
      </w:pPr>
      <w:r w:rsidRPr="00EA11E2">
        <w:rPr>
          <w:rStyle w:val="FootnoteReference"/>
          <w:sz w:val="18"/>
          <w:szCs w:val="18"/>
        </w:rPr>
        <w:footnoteRef/>
      </w:r>
      <w:r w:rsidRPr="00EA11E2">
        <w:rPr>
          <w:sz w:val="18"/>
          <w:szCs w:val="18"/>
        </w:rPr>
        <w:t xml:space="preserve"> </w:t>
      </w:r>
      <w:r w:rsidR="009B3316">
        <w:rPr>
          <w:sz w:val="18"/>
          <w:szCs w:val="18"/>
        </w:rPr>
        <w:t>C</w:t>
      </w:r>
      <w:r w:rsidRPr="00EA11E2">
        <w:rPr>
          <w:sz w:val="18"/>
          <w:szCs w:val="18"/>
        </w:rPr>
        <w:t>ommunication</w:t>
      </w:r>
      <w:r w:rsidR="009B3316">
        <w:rPr>
          <w:sz w:val="18"/>
          <w:szCs w:val="18"/>
        </w:rPr>
        <w:t>, paragraph 3</w:t>
      </w:r>
      <w:r w:rsidRPr="00EA11E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AE4F" w14:textId="5BDED58B" w:rsidR="00EA11E2" w:rsidRPr="00B16F55" w:rsidRDefault="00EA11E2">
    <w:pPr>
      <w:pStyle w:val="Header"/>
      <w:rPr>
        <w:rFonts w:ascii="Times New Roman" w:hAnsi="Times New Roman" w:cs="Times New Roman"/>
      </w:rPr>
    </w:pPr>
    <w:r w:rsidRPr="00B16F55">
      <w:rPr>
        <w:rFonts w:ascii="Times New Roman" w:hAnsi="Times New Roman" w:cs="Times New Roman"/>
      </w:rPr>
      <w:t>C32</w:t>
    </w:r>
    <w:r w:rsidRPr="00B16F55">
      <w:rPr>
        <w:rFonts w:ascii="Times New Roman" w:hAnsi="Times New Roman" w:cs="Times New Roman"/>
      </w:rPr>
      <w:tab/>
      <w:t>Draft Findings</w:t>
    </w:r>
    <w:r w:rsidRPr="00B16F55">
      <w:rPr>
        <w:rFonts w:ascii="Times New Roman" w:hAnsi="Times New Roman" w:cs="Times New Roman"/>
      </w:rPr>
      <w:tab/>
    </w:r>
    <w:r w:rsidRPr="00B12304">
      <w:rPr>
        <w:rFonts w:ascii="Times New Roman" w:hAnsi="Times New Roman" w:cs="Times New Roman"/>
      </w:rPr>
      <w:t xml:space="preserve">Version </w:t>
    </w:r>
    <w:r>
      <w:rPr>
        <w:rFonts w:ascii="Times New Roman" w:hAnsi="Times New Roman" w:cs="Times New Roman"/>
      </w:rPr>
      <w:t>23.06</w:t>
    </w:r>
    <w:r w:rsidRPr="00B12304">
      <w:rPr>
        <w:rFonts w:ascii="Times New Roman" w:hAnsi="Times New Roman" w:cs="Times New Roman"/>
      </w:rPr>
      <w:t>.2016</w:t>
    </w:r>
  </w:p>
  <w:p w14:paraId="0E54ED96" w14:textId="77777777" w:rsidR="00EA11E2" w:rsidRDefault="00EA1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FEA8" w14:textId="56C782A4" w:rsidR="00EA11E2" w:rsidRDefault="00EA11E2" w:rsidP="00EA11E2">
    <w:pPr>
      <w:pStyle w:val="Header"/>
      <w:jc w:val="right"/>
      <w:rPr>
        <w:rFonts w:ascii="Times New Roman" w:hAnsi="Times New Roman" w:cs="Times New Roman"/>
      </w:rPr>
    </w:pPr>
    <w:r>
      <w:rPr>
        <w:rFonts w:ascii="Times New Roman" w:hAnsi="Times New Roman" w:cs="Times New Roman"/>
      </w:rPr>
      <w:t>ACCC/C/2008/</w:t>
    </w:r>
    <w:r w:rsidRPr="00B12304">
      <w:rPr>
        <w:rFonts w:ascii="Times New Roman" w:hAnsi="Times New Roman" w:cs="Times New Roman"/>
      </w:rPr>
      <w:t>32</w:t>
    </w:r>
    <w:r>
      <w:rPr>
        <w:rFonts w:ascii="Times New Roman" w:hAnsi="Times New Roman" w:cs="Times New Roman"/>
      </w:rPr>
      <w:t>, part II</w:t>
    </w:r>
  </w:p>
  <w:p w14:paraId="758252F2" w14:textId="3EEBB162" w:rsidR="00EA11E2" w:rsidRPr="00B12304" w:rsidRDefault="00EA11E2" w:rsidP="00EA11E2">
    <w:pPr>
      <w:pStyle w:val="Header"/>
      <w:jc w:val="right"/>
      <w:rPr>
        <w:rFonts w:ascii="Times New Roman" w:hAnsi="Times New Roman" w:cs="Times New Roman"/>
      </w:rPr>
    </w:pPr>
    <w:r w:rsidRPr="00B12304">
      <w:rPr>
        <w:rFonts w:ascii="Times New Roman" w:hAnsi="Times New Roman" w:cs="Times New Roman"/>
      </w:rPr>
      <w:t xml:space="preserve">Draft </w:t>
    </w:r>
    <w:r>
      <w:rPr>
        <w:rFonts w:ascii="Times New Roman" w:hAnsi="Times New Roman" w:cs="Times New Roman"/>
      </w:rPr>
      <w:t>f</w:t>
    </w:r>
    <w:r w:rsidRPr="00B12304">
      <w:rPr>
        <w:rFonts w:ascii="Times New Roman" w:hAnsi="Times New Roman" w:cs="Times New Roman"/>
      </w:rPr>
      <w:t>indings</w:t>
    </w:r>
    <w:r>
      <w:rPr>
        <w:rFonts w:ascii="Times New Roman" w:hAnsi="Times New Roman" w:cs="Times New Roman"/>
      </w:rPr>
      <w:t xml:space="preserve"> for parties’ comment</w:t>
    </w:r>
  </w:p>
  <w:p w14:paraId="23B4FF6F" w14:textId="77777777" w:rsidR="00EA11E2" w:rsidRPr="00F552B8" w:rsidRDefault="00EA11E2" w:rsidP="00EE3E72">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ACC2B8"/>
    <w:lvl w:ilvl="0" w:tplc="00000001">
      <w:start w:val="3"/>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upperLetter"/>
      <w:lvlText w:val="%1."/>
      <w:lvlJc w:val="left"/>
      <w:pPr>
        <w:tabs>
          <w:tab w:val="num" w:pos="0"/>
        </w:tabs>
        <w:ind w:left="1128" w:hanging="504"/>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
    <w:nsid w:val="0BED3C0C"/>
    <w:multiLevelType w:val="hybridMultilevel"/>
    <w:tmpl w:val="6846A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D62B5"/>
    <w:multiLevelType w:val="hybridMultilevel"/>
    <w:tmpl w:val="FFB0A97A"/>
    <w:lvl w:ilvl="0" w:tplc="AE349BEE">
      <w:start w:val="1"/>
      <w:numFmt w:val="decimal"/>
      <w:lvlText w:val="%1."/>
      <w:lvlJc w:val="left"/>
      <w:pPr>
        <w:ind w:left="720" w:hanging="720"/>
      </w:pPr>
      <w:rPr>
        <w:rFonts w:hint="default"/>
        <w:b w:val="0"/>
        <w:color w:val="auto"/>
      </w:rPr>
    </w:lvl>
    <w:lvl w:ilvl="1" w:tplc="B06A77A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A264A"/>
    <w:multiLevelType w:val="hybridMultilevel"/>
    <w:tmpl w:val="9AE604C4"/>
    <w:lvl w:ilvl="0" w:tplc="2F1EF2A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C548B"/>
    <w:multiLevelType w:val="hybridMultilevel"/>
    <w:tmpl w:val="1D5A5588"/>
    <w:lvl w:ilvl="0" w:tplc="88E4FE6A">
      <w:start w:val="1"/>
      <w:numFmt w:val="lowerLetter"/>
      <w:lvlText w:val="(%1)"/>
      <w:lvlJc w:val="left"/>
      <w:pPr>
        <w:ind w:left="720" w:hanging="360"/>
      </w:pPr>
      <w:rPr>
        <w:rFonts w:hint="default"/>
        <w:sz w:val="20"/>
        <w:szCs w:val="20"/>
      </w:rPr>
    </w:lvl>
    <w:lvl w:ilvl="1" w:tplc="08090019">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40915"/>
    <w:multiLevelType w:val="hybridMultilevel"/>
    <w:tmpl w:val="281E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A1ACC"/>
    <w:multiLevelType w:val="hybridMultilevel"/>
    <w:tmpl w:val="90EACF48"/>
    <w:lvl w:ilvl="0" w:tplc="AE349BEE">
      <w:start w:val="1"/>
      <w:numFmt w:val="decimal"/>
      <w:lvlText w:val="%1."/>
      <w:lvlJc w:val="left"/>
      <w:pPr>
        <w:ind w:left="720" w:hanging="72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A56E19"/>
    <w:multiLevelType w:val="hybridMultilevel"/>
    <w:tmpl w:val="791CC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E36991"/>
    <w:multiLevelType w:val="hybridMultilevel"/>
    <w:tmpl w:val="46A45630"/>
    <w:lvl w:ilvl="0" w:tplc="88E4FE6A">
      <w:start w:val="1"/>
      <w:numFmt w:val="lowerLetter"/>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8181A"/>
    <w:multiLevelType w:val="hybridMultilevel"/>
    <w:tmpl w:val="A04E4568"/>
    <w:lvl w:ilvl="0" w:tplc="676871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123112E"/>
    <w:multiLevelType w:val="hybridMultilevel"/>
    <w:tmpl w:val="BB9830FE"/>
    <w:lvl w:ilvl="0" w:tplc="0409000F">
      <w:start w:val="1"/>
      <w:numFmt w:val="decimal"/>
      <w:lvlText w:val="%1."/>
      <w:lvlJc w:val="left"/>
      <w:pPr>
        <w:tabs>
          <w:tab w:val="num" w:pos="1260"/>
        </w:tabs>
        <w:ind w:left="1260" w:hanging="360"/>
      </w:pPr>
    </w:lvl>
    <w:lvl w:ilvl="1" w:tplc="4C8AAB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F03CE"/>
    <w:multiLevelType w:val="hybridMultilevel"/>
    <w:tmpl w:val="42869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97667"/>
    <w:multiLevelType w:val="hybridMultilevel"/>
    <w:tmpl w:val="1DB4D418"/>
    <w:lvl w:ilvl="0" w:tplc="4E80EBA0">
      <w:start w:val="1"/>
      <w:numFmt w:val="decimal"/>
      <w:lvlText w:val="%1."/>
      <w:lvlJc w:val="left"/>
      <w:pPr>
        <w:ind w:left="131" w:hanging="220"/>
      </w:pPr>
      <w:rPr>
        <w:rFonts w:ascii="Times New Roman" w:eastAsia="Times New Roman" w:hAnsi="Times New Roman" w:hint="default"/>
        <w:b/>
        <w:bCs/>
        <w:spacing w:val="2"/>
        <w:w w:val="102"/>
        <w:sz w:val="21"/>
        <w:szCs w:val="21"/>
      </w:rPr>
    </w:lvl>
    <w:lvl w:ilvl="1" w:tplc="0E0C4982">
      <w:start w:val="1"/>
      <w:numFmt w:val="bullet"/>
      <w:lvlText w:val="•"/>
      <w:lvlJc w:val="left"/>
      <w:pPr>
        <w:ind w:left="973" w:hanging="220"/>
      </w:pPr>
      <w:rPr>
        <w:rFonts w:hint="default"/>
      </w:rPr>
    </w:lvl>
    <w:lvl w:ilvl="2" w:tplc="60C26A88">
      <w:start w:val="1"/>
      <w:numFmt w:val="bullet"/>
      <w:lvlText w:val="•"/>
      <w:lvlJc w:val="left"/>
      <w:pPr>
        <w:ind w:left="1814" w:hanging="220"/>
      </w:pPr>
      <w:rPr>
        <w:rFonts w:hint="default"/>
      </w:rPr>
    </w:lvl>
    <w:lvl w:ilvl="3" w:tplc="5C8603B6">
      <w:start w:val="1"/>
      <w:numFmt w:val="bullet"/>
      <w:lvlText w:val="•"/>
      <w:lvlJc w:val="left"/>
      <w:pPr>
        <w:ind w:left="2655" w:hanging="220"/>
      </w:pPr>
      <w:rPr>
        <w:rFonts w:hint="default"/>
      </w:rPr>
    </w:lvl>
    <w:lvl w:ilvl="4" w:tplc="C6925820">
      <w:start w:val="1"/>
      <w:numFmt w:val="bullet"/>
      <w:lvlText w:val="•"/>
      <w:lvlJc w:val="left"/>
      <w:pPr>
        <w:ind w:left="3497" w:hanging="220"/>
      </w:pPr>
      <w:rPr>
        <w:rFonts w:hint="default"/>
      </w:rPr>
    </w:lvl>
    <w:lvl w:ilvl="5" w:tplc="3F10C1B4">
      <w:start w:val="1"/>
      <w:numFmt w:val="bullet"/>
      <w:lvlText w:val="•"/>
      <w:lvlJc w:val="left"/>
      <w:pPr>
        <w:ind w:left="4338" w:hanging="220"/>
      </w:pPr>
      <w:rPr>
        <w:rFonts w:hint="default"/>
      </w:rPr>
    </w:lvl>
    <w:lvl w:ilvl="6" w:tplc="B80AC9EA">
      <w:start w:val="1"/>
      <w:numFmt w:val="bullet"/>
      <w:lvlText w:val="•"/>
      <w:lvlJc w:val="left"/>
      <w:pPr>
        <w:ind w:left="5179" w:hanging="220"/>
      </w:pPr>
      <w:rPr>
        <w:rFonts w:hint="default"/>
      </w:rPr>
    </w:lvl>
    <w:lvl w:ilvl="7" w:tplc="BBEAB336">
      <w:start w:val="1"/>
      <w:numFmt w:val="bullet"/>
      <w:lvlText w:val="•"/>
      <w:lvlJc w:val="left"/>
      <w:pPr>
        <w:ind w:left="6021" w:hanging="220"/>
      </w:pPr>
      <w:rPr>
        <w:rFonts w:hint="default"/>
      </w:rPr>
    </w:lvl>
    <w:lvl w:ilvl="8" w:tplc="A78ADCD8">
      <w:start w:val="1"/>
      <w:numFmt w:val="bullet"/>
      <w:lvlText w:val="•"/>
      <w:lvlJc w:val="left"/>
      <w:pPr>
        <w:ind w:left="6862" w:hanging="220"/>
      </w:pPr>
      <w:rPr>
        <w:rFonts w:hint="default"/>
      </w:rPr>
    </w:lvl>
  </w:abstractNum>
  <w:abstractNum w:abstractNumId="14">
    <w:nsid w:val="4DD475C2"/>
    <w:multiLevelType w:val="hybridMultilevel"/>
    <w:tmpl w:val="D0E8C95E"/>
    <w:lvl w:ilvl="0" w:tplc="6FACB97E">
      <w:start w:val="8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292F26"/>
    <w:multiLevelType w:val="hybridMultilevel"/>
    <w:tmpl w:val="1DDA7A0A"/>
    <w:lvl w:ilvl="0" w:tplc="726042E8">
      <w:start w:val="1"/>
      <w:numFmt w:val="decimal"/>
      <w:lvlText w:val="%1."/>
      <w:lvlJc w:val="left"/>
      <w:pPr>
        <w:ind w:left="510" w:hanging="358"/>
      </w:pPr>
      <w:rPr>
        <w:rFonts w:ascii="Arial" w:eastAsia="Arial" w:hAnsi="Arial" w:hint="default"/>
        <w:color w:val="314149"/>
        <w:spacing w:val="-1"/>
        <w:sz w:val="22"/>
        <w:szCs w:val="22"/>
      </w:rPr>
    </w:lvl>
    <w:lvl w:ilvl="1" w:tplc="17F43462">
      <w:start w:val="1"/>
      <w:numFmt w:val="bullet"/>
      <w:lvlText w:val="•"/>
      <w:lvlJc w:val="left"/>
      <w:pPr>
        <w:ind w:left="1446" w:hanging="358"/>
      </w:pPr>
      <w:rPr>
        <w:rFonts w:hint="default"/>
      </w:rPr>
    </w:lvl>
    <w:lvl w:ilvl="2" w:tplc="F8A2FB26">
      <w:start w:val="1"/>
      <w:numFmt w:val="bullet"/>
      <w:lvlText w:val="•"/>
      <w:lvlJc w:val="left"/>
      <w:pPr>
        <w:ind w:left="2382" w:hanging="358"/>
      </w:pPr>
      <w:rPr>
        <w:rFonts w:hint="default"/>
      </w:rPr>
    </w:lvl>
    <w:lvl w:ilvl="3" w:tplc="A782C514">
      <w:start w:val="1"/>
      <w:numFmt w:val="bullet"/>
      <w:lvlText w:val="•"/>
      <w:lvlJc w:val="left"/>
      <w:pPr>
        <w:ind w:left="3317" w:hanging="358"/>
      </w:pPr>
      <w:rPr>
        <w:rFonts w:hint="default"/>
      </w:rPr>
    </w:lvl>
    <w:lvl w:ilvl="4" w:tplc="17A4428C">
      <w:start w:val="1"/>
      <w:numFmt w:val="bullet"/>
      <w:lvlText w:val="•"/>
      <w:lvlJc w:val="left"/>
      <w:pPr>
        <w:ind w:left="4253" w:hanging="358"/>
      </w:pPr>
      <w:rPr>
        <w:rFonts w:hint="default"/>
      </w:rPr>
    </w:lvl>
    <w:lvl w:ilvl="5" w:tplc="674EB344">
      <w:start w:val="1"/>
      <w:numFmt w:val="bullet"/>
      <w:lvlText w:val="•"/>
      <w:lvlJc w:val="left"/>
      <w:pPr>
        <w:ind w:left="5188" w:hanging="358"/>
      </w:pPr>
      <w:rPr>
        <w:rFonts w:hint="default"/>
      </w:rPr>
    </w:lvl>
    <w:lvl w:ilvl="6" w:tplc="B6A0B2D2">
      <w:start w:val="1"/>
      <w:numFmt w:val="bullet"/>
      <w:lvlText w:val="•"/>
      <w:lvlJc w:val="left"/>
      <w:pPr>
        <w:ind w:left="6124" w:hanging="358"/>
      </w:pPr>
      <w:rPr>
        <w:rFonts w:hint="default"/>
      </w:rPr>
    </w:lvl>
    <w:lvl w:ilvl="7" w:tplc="B62C65DE">
      <w:start w:val="1"/>
      <w:numFmt w:val="bullet"/>
      <w:lvlText w:val="•"/>
      <w:lvlJc w:val="left"/>
      <w:pPr>
        <w:ind w:left="7059" w:hanging="358"/>
      </w:pPr>
      <w:rPr>
        <w:rFonts w:hint="default"/>
      </w:rPr>
    </w:lvl>
    <w:lvl w:ilvl="8" w:tplc="5DA84CC0">
      <w:start w:val="1"/>
      <w:numFmt w:val="bullet"/>
      <w:lvlText w:val="•"/>
      <w:lvlJc w:val="left"/>
      <w:pPr>
        <w:ind w:left="7995" w:hanging="358"/>
      </w:pPr>
      <w:rPr>
        <w:rFonts w:hint="default"/>
      </w:rPr>
    </w:lvl>
  </w:abstractNum>
  <w:abstractNum w:abstractNumId="16">
    <w:nsid w:val="55816B02"/>
    <w:multiLevelType w:val="hybridMultilevel"/>
    <w:tmpl w:val="30E6368A"/>
    <w:lvl w:ilvl="0" w:tplc="01A448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8C246E"/>
    <w:multiLevelType w:val="hybridMultilevel"/>
    <w:tmpl w:val="444A1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CA6D02"/>
    <w:multiLevelType w:val="hybridMultilevel"/>
    <w:tmpl w:val="7096CA2A"/>
    <w:lvl w:ilvl="0" w:tplc="00000001">
      <w:start w:val="3"/>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205219"/>
    <w:multiLevelType w:val="hybridMultilevel"/>
    <w:tmpl w:val="841A5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1D3B45"/>
    <w:multiLevelType w:val="hybridMultilevel"/>
    <w:tmpl w:val="F2984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6F40B9"/>
    <w:multiLevelType w:val="hybridMultilevel"/>
    <w:tmpl w:val="D6CAB7AE"/>
    <w:lvl w:ilvl="0" w:tplc="1688A98C">
      <w:start w:val="1"/>
      <w:numFmt w:val="upperLetter"/>
      <w:lvlText w:val="%1."/>
      <w:lvlJc w:val="left"/>
      <w:pPr>
        <w:ind w:left="360" w:hanging="360"/>
      </w:pPr>
      <w:rPr>
        <w:rFonts w:hint="default"/>
        <w:sz w:val="23"/>
        <w:szCs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5B20A5"/>
    <w:multiLevelType w:val="hybridMultilevel"/>
    <w:tmpl w:val="23B070F4"/>
    <w:lvl w:ilvl="0" w:tplc="88E4FE6A">
      <w:start w:val="1"/>
      <w:numFmt w:val="lowerLetter"/>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51374"/>
    <w:multiLevelType w:val="hybridMultilevel"/>
    <w:tmpl w:val="497693A0"/>
    <w:lvl w:ilvl="0" w:tplc="201E5FB0">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4">
    <w:nsid w:val="71DD7F30"/>
    <w:multiLevelType w:val="hybridMultilevel"/>
    <w:tmpl w:val="70AC123E"/>
    <w:lvl w:ilvl="0" w:tplc="AE349BEE">
      <w:start w:val="1"/>
      <w:numFmt w:val="decimal"/>
      <w:lvlText w:val="%1."/>
      <w:lvlJc w:val="left"/>
      <w:pPr>
        <w:ind w:left="720" w:hanging="720"/>
      </w:pPr>
      <w:rPr>
        <w:rFonts w:hint="default"/>
        <w:b w:val="0"/>
        <w:color w:val="auto"/>
      </w:rPr>
    </w:lvl>
    <w:lvl w:ilvl="1" w:tplc="B06A77A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DC05A8"/>
    <w:multiLevelType w:val="hybridMultilevel"/>
    <w:tmpl w:val="D31C8B82"/>
    <w:lvl w:ilvl="0" w:tplc="701092D8">
      <w:start w:val="2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364F84"/>
    <w:multiLevelType w:val="hybridMultilevel"/>
    <w:tmpl w:val="8E54B7FA"/>
    <w:lvl w:ilvl="0" w:tplc="88E4FE6A">
      <w:start w:val="1"/>
      <w:numFmt w:val="lowerLetter"/>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21"/>
  </w:num>
  <w:num w:numId="4">
    <w:abstractNumId w:val="17"/>
  </w:num>
  <w:num w:numId="5">
    <w:abstractNumId w:val="12"/>
  </w:num>
  <w:num w:numId="6">
    <w:abstractNumId w:val="7"/>
  </w:num>
  <w:num w:numId="7">
    <w:abstractNumId w:val="10"/>
  </w:num>
  <w:num w:numId="8">
    <w:abstractNumId w:val="11"/>
  </w:num>
  <w:num w:numId="9">
    <w:abstractNumId w:val="25"/>
  </w:num>
  <w:num w:numId="10">
    <w:abstractNumId w:val="20"/>
  </w:num>
  <w:num w:numId="11">
    <w:abstractNumId w:val="19"/>
  </w:num>
  <w:num w:numId="12">
    <w:abstractNumId w:val="1"/>
  </w:num>
  <w:num w:numId="13">
    <w:abstractNumId w:val="14"/>
  </w:num>
  <w:num w:numId="14">
    <w:abstractNumId w:val="23"/>
  </w:num>
  <w:num w:numId="15">
    <w:abstractNumId w:val="2"/>
  </w:num>
  <w:num w:numId="16">
    <w:abstractNumId w:val="15"/>
  </w:num>
  <w:num w:numId="17">
    <w:abstractNumId w:val="4"/>
  </w:num>
  <w:num w:numId="18">
    <w:abstractNumId w:val="13"/>
  </w:num>
  <w:num w:numId="19">
    <w:abstractNumId w:val="0"/>
  </w:num>
  <w:num w:numId="20">
    <w:abstractNumId w:val="6"/>
  </w:num>
  <w:num w:numId="21">
    <w:abstractNumId w:val="18"/>
  </w:num>
  <w:num w:numId="22">
    <w:abstractNumId w:val="24"/>
  </w:num>
  <w:num w:numId="23">
    <w:abstractNumId w:val="3"/>
  </w:num>
  <w:num w:numId="24">
    <w:abstractNumId w:val="26"/>
  </w:num>
  <w:num w:numId="25">
    <w:abstractNumId w:val="22"/>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es-ES" w:vendorID="64" w:dllVersion="131078" w:nlCheck="1" w:checkStyle="1"/>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72"/>
    <w:rsid w:val="00003964"/>
    <w:rsid w:val="0000401E"/>
    <w:rsid w:val="00011582"/>
    <w:rsid w:val="00012F90"/>
    <w:rsid w:val="00013B6D"/>
    <w:rsid w:val="00015C42"/>
    <w:rsid w:val="00016A4B"/>
    <w:rsid w:val="00025C15"/>
    <w:rsid w:val="00030297"/>
    <w:rsid w:val="00033865"/>
    <w:rsid w:val="0004010F"/>
    <w:rsid w:val="00053437"/>
    <w:rsid w:val="0006507E"/>
    <w:rsid w:val="00065A94"/>
    <w:rsid w:val="000717E2"/>
    <w:rsid w:val="00075822"/>
    <w:rsid w:val="00081404"/>
    <w:rsid w:val="00085518"/>
    <w:rsid w:val="0008686C"/>
    <w:rsid w:val="00086CD2"/>
    <w:rsid w:val="00087AAF"/>
    <w:rsid w:val="00092147"/>
    <w:rsid w:val="00097AD3"/>
    <w:rsid w:val="000A6353"/>
    <w:rsid w:val="000B27BC"/>
    <w:rsid w:val="000C62BD"/>
    <w:rsid w:val="000C75FF"/>
    <w:rsid w:val="000C7EAA"/>
    <w:rsid w:val="000D248E"/>
    <w:rsid w:val="000D2FF1"/>
    <w:rsid w:val="000D5BE4"/>
    <w:rsid w:val="000E44FE"/>
    <w:rsid w:val="000E5E74"/>
    <w:rsid w:val="000E7A0F"/>
    <w:rsid w:val="000E7A24"/>
    <w:rsid w:val="000F43B9"/>
    <w:rsid w:val="000F46F9"/>
    <w:rsid w:val="00103964"/>
    <w:rsid w:val="00106D10"/>
    <w:rsid w:val="00110518"/>
    <w:rsid w:val="00122E53"/>
    <w:rsid w:val="001315E8"/>
    <w:rsid w:val="00134F6F"/>
    <w:rsid w:val="00135FB1"/>
    <w:rsid w:val="00136B94"/>
    <w:rsid w:val="001418A4"/>
    <w:rsid w:val="001474FF"/>
    <w:rsid w:val="00152DDA"/>
    <w:rsid w:val="00157816"/>
    <w:rsid w:val="00160C47"/>
    <w:rsid w:val="00163DE2"/>
    <w:rsid w:val="00172CBB"/>
    <w:rsid w:val="0017389C"/>
    <w:rsid w:val="00173CEF"/>
    <w:rsid w:val="00175AC9"/>
    <w:rsid w:val="0019329A"/>
    <w:rsid w:val="00194354"/>
    <w:rsid w:val="00194FD8"/>
    <w:rsid w:val="001A07CA"/>
    <w:rsid w:val="001A09D8"/>
    <w:rsid w:val="001A0DAB"/>
    <w:rsid w:val="001A33CD"/>
    <w:rsid w:val="001B1BF5"/>
    <w:rsid w:val="001B222C"/>
    <w:rsid w:val="001B3F57"/>
    <w:rsid w:val="001C27FB"/>
    <w:rsid w:val="001C5335"/>
    <w:rsid w:val="001C62F3"/>
    <w:rsid w:val="001C6582"/>
    <w:rsid w:val="001C7421"/>
    <w:rsid w:val="001D4EDD"/>
    <w:rsid w:val="001D611A"/>
    <w:rsid w:val="001E4A89"/>
    <w:rsid w:val="001E5F9F"/>
    <w:rsid w:val="001E6A08"/>
    <w:rsid w:val="001F55A1"/>
    <w:rsid w:val="002007D0"/>
    <w:rsid w:val="00207D26"/>
    <w:rsid w:val="00213935"/>
    <w:rsid w:val="002157BA"/>
    <w:rsid w:val="00215A2E"/>
    <w:rsid w:val="0021678C"/>
    <w:rsid w:val="0022658D"/>
    <w:rsid w:val="0023503C"/>
    <w:rsid w:val="00241BB7"/>
    <w:rsid w:val="00244AA2"/>
    <w:rsid w:val="00244DE1"/>
    <w:rsid w:val="002470ED"/>
    <w:rsid w:val="00247C64"/>
    <w:rsid w:val="00260FEF"/>
    <w:rsid w:val="002670FD"/>
    <w:rsid w:val="002676A4"/>
    <w:rsid w:val="002727ED"/>
    <w:rsid w:val="00273FBA"/>
    <w:rsid w:val="00276B6B"/>
    <w:rsid w:val="00296C83"/>
    <w:rsid w:val="002A5048"/>
    <w:rsid w:val="002A690A"/>
    <w:rsid w:val="002B3385"/>
    <w:rsid w:val="002B49B3"/>
    <w:rsid w:val="002B4CCA"/>
    <w:rsid w:val="002B620A"/>
    <w:rsid w:val="002C17F5"/>
    <w:rsid w:val="002D1054"/>
    <w:rsid w:val="002D2E98"/>
    <w:rsid w:val="002D4503"/>
    <w:rsid w:val="002D5925"/>
    <w:rsid w:val="002D5DDE"/>
    <w:rsid w:val="002E4B4D"/>
    <w:rsid w:val="002E68CC"/>
    <w:rsid w:val="002E746F"/>
    <w:rsid w:val="0030318F"/>
    <w:rsid w:val="003044FE"/>
    <w:rsid w:val="00305C0F"/>
    <w:rsid w:val="00310193"/>
    <w:rsid w:val="00313E44"/>
    <w:rsid w:val="00316C0D"/>
    <w:rsid w:val="00317993"/>
    <w:rsid w:val="00317E66"/>
    <w:rsid w:val="003257D0"/>
    <w:rsid w:val="003265EF"/>
    <w:rsid w:val="00330785"/>
    <w:rsid w:val="003330EC"/>
    <w:rsid w:val="003333A9"/>
    <w:rsid w:val="00337D0C"/>
    <w:rsid w:val="00340D2D"/>
    <w:rsid w:val="00340E55"/>
    <w:rsid w:val="00343EA9"/>
    <w:rsid w:val="003448D5"/>
    <w:rsid w:val="0034756A"/>
    <w:rsid w:val="00350924"/>
    <w:rsid w:val="00353EC2"/>
    <w:rsid w:val="00354128"/>
    <w:rsid w:val="00354644"/>
    <w:rsid w:val="00354C76"/>
    <w:rsid w:val="003627F3"/>
    <w:rsid w:val="00371025"/>
    <w:rsid w:val="003711C2"/>
    <w:rsid w:val="0037567B"/>
    <w:rsid w:val="003839E8"/>
    <w:rsid w:val="00387BA8"/>
    <w:rsid w:val="003A618A"/>
    <w:rsid w:val="003A6D05"/>
    <w:rsid w:val="003B0448"/>
    <w:rsid w:val="003B1935"/>
    <w:rsid w:val="003B2A8B"/>
    <w:rsid w:val="003B4A03"/>
    <w:rsid w:val="003C12D8"/>
    <w:rsid w:val="003C3DD9"/>
    <w:rsid w:val="003D4E9E"/>
    <w:rsid w:val="003D7120"/>
    <w:rsid w:val="003D7CA2"/>
    <w:rsid w:val="003E1E42"/>
    <w:rsid w:val="003E4030"/>
    <w:rsid w:val="003E6D88"/>
    <w:rsid w:val="003F0070"/>
    <w:rsid w:val="004004E8"/>
    <w:rsid w:val="00403082"/>
    <w:rsid w:val="004107B7"/>
    <w:rsid w:val="004128B2"/>
    <w:rsid w:val="0041604F"/>
    <w:rsid w:val="00430D8E"/>
    <w:rsid w:val="00431A87"/>
    <w:rsid w:val="00433BA6"/>
    <w:rsid w:val="00436157"/>
    <w:rsid w:val="0044251E"/>
    <w:rsid w:val="00451B49"/>
    <w:rsid w:val="00461DE4"/>
    <w:rsid w:val="004671D0"/>
    <w:rsid w:val="00471716"/>
    <w:rsid w:val="00472E80"/>
    <w:rsid w:val="0047511C"/>
    <w:rsid w:val="00484C23"/>
    <w:rsid w:val="00485F78"/>
    <w:rsid w:val="00487A24"/>
    <w:rsid w:val="00487D68"/>
    <w:rsid w:val="00491A91"/>
    <w:rsid w:val="00492C80"/>
    <w:rsid w:val="00493A94"/>
    <w:rsid w:val="004945EF"/>
    <w:rsid w:val="00497A20"/>
    <w:rsid w:val="004A57AD"/>
    <w:rsid w:val="004B1F5C"/>
    <w:rsid w:val="004B2E54"/>
    <w:rsid w:val="004B74B0"/>
    <w:rsid w:val="004C14DF"/>
    <w:rsid w:val="004C634D"/>
    <w:rsid w:val="004D0113"/>
    <w:rsid w:val="004D09FE"/>
    <w:rsid w:val="004D327D"/>
    <w:rsid w:val="004D7122"/>
    <w:rsid w:val="004F224C"/>
    <w:rsid w:val="004F60AC"/>
    <w:rsid w:val="004F7095"/>
    <w:rsid w:val="004F7A29"/>
    <w:rsid w:val="00502E78"/>
    <w:rsid w:val="00510653"/>
    <w:rsid w:val="005136FA"/>
    <w:rsid w:val="00515AA0"/>
    <w:rsid w:val="00517671"/>
    <w:rsid w:val="00520B55"/>
    <w:rsid w:val="005305A6"/>
    <w:rsid w:val="0054219C"/>
    <w:rsid w:val="00551E42"/>
    <w:rsid w:val="00555F84"/>
    <w:rsid w:val="00555F8C"/>
    <w:rsid w:val="005643FC"/>
    <w:rsid w:val="005732DF"/>
    <w:rsid w:val="00584D58"/>
    <w:rsid w:val="00595470"/>
    <w:rsid w:val="005966DF"/>
    <w:rsid w:val="005A1FA7"/>
    <w:rsid w:val="005A3774"/>
    <w:rsid w:val="005B6674"/>
    <w:rsid w:val="005B71BF"/>
    <w:rsid w:val="005C1CD6"/>
    <w:rsid w:val="005C7C12"/>
    <w:rsid w:val="005D081C"/>
    <w:rsid w:val="005D0C68"/>
    <w:rsid w:val="005D1D68"/>
    <w:rsid w:val="005D4B3A"/>
    <w:rsid w:val="005D5660"/>
    <w:rsid w:val="005E0C5F"/>
    <w:rsid w:val="005E1835"/>
    <w:rsid w:val="005E1F7E"/>
    <w:rsid w:val="005E7233"/>
    <w:rsid w:val="005F2318"/>
    <w:rsid w:val="00611E49"/>
    <w:rsid w:val="00614444"/>
    <w:rsid w:val="00617A9B"/>
    <w:rsid w:val="00627571"/>
    <w:rsid w:val="00627DC7"/>
    <w:rsid w:val="006371F6"/>
    <w:rsid w:val="0064452B"/>
    <w:rsid w:val="00652076"/>
    <w:rsid w:val="00663056"/>
    <w:rsid w:val="0067035E"/>
    <w:rsid w:val="00674873"/>
    <w:rsid w:val="006757F5"/>
    <w:rsid w:val="00686373"/>
    <w:rsid w:val="00686488"/>
    <w:rsid w:val="00686843"/>
    <w:rsid w:val="0068696F"/>
    <w:rsid w:val="00693E37"/>
    <w:rsid w:val="006A10F9"/>
    <w:rsid w:val="006A180F"/>
    <w:rsid w:val="006A24E6"/>
    <w:rsid w:val="006A2ADA"/>
    <w:rsid w:val="006A663F"/>
    <w:rsid w:val="006B0F5F"/>
    <w:rsid w:val="006B1204"/>
    <w:rsid w:val="006B3A2A"/>
    <w:rsid w:val="006B7A05"/>
    <w:rsid w:val="006C1A56"/>
    <w:rsid w:val="006C5E03"/>
    <w:rsid w:val="006D177F"/>
    <w:rsid w:val="006D3290"/>
    <w:rsid w:val="006D5C63"/>
    <w:rsid w:val="006D7D24"/>
    <w:rsid w:val="006D7EDB"/>
    <w:rsid w:val="006F2814"/>
    <w:rsid w:val="006F4E93"/>
    <w:rsid w:val="00700578"/>
    <w:rsid w:val="007105FE"/>
    <w:rsid w:val="00713465"/>
    <w:rsid w:val="00714EE5"/>
    <w:rsid w:val="007161C0"/>
    <w:rsid w:val="00735875"/>
    <w:rsid w:val="0074026D"/>
    <w:rsid w:val="00745AB5"/>
    <w:rsid w:val="007509D3"/>
    <w:rsid w:val="00756583"/>
    <w:rsid w:val="00756BEB"/>
    <w:rsid w:val="00760090"/>
    <w:rsid w:val="007619DF"/>
    <w:rsid w:val="00770ABD"/>
    <w:rsid w:val="00773F28"/>
    <w:rsid w:val="007758CF"/>
    <w:rsid w:val="00776841"/>
    <w:rsid w:val="00790384"/>
    <w:rsid w:val="007A02C9"/>
    <w:rsid w:val="007A3E69"/>
    <w:rsid w:val="007A5007"/>
    <w:rsid w:val="007A6CD6"/>
    <w:rsid w:val="007B00C7"/>
    <w:rsid w:val="007B14B9"/>
    <w:rsid w:val="007C1A18"/>
    <w:rsid w:val="007C40B8"/>
    <w:rsid w:val="007E61D9"/>
    <w:rsid w:val="007E7F47"/>
    <w:rsid w:val="007F2067"/>
    <w:rsid w:val="007F2168"/>
    <w:rsid w:val="007F751C"/>
    <w:rsid w:val="00801592"/>
    <w:rsid w:val="00805823"/>
    <w:rsid w:val="00805D3D"/>
    <w:rsid w:val="00812DFA"/>
    <w:rsid w:val="0081626F"/>
    <w:rsid w:val="00816FBD"/>
    <w:rsid w:val="00822E13"/>
    <w:rsid w:val="00823A19"/>
    <w:rsid w:val="00824934"/>
    <w:rsid w:val="0084200B"/>
    <w:rsid w:val="00842FEA"/>
    <w:rsid w:val="00847FBA"/>
    <w:rsid w:val="00850F60"/>
    <w:rsid w:val="00855668"/>
    <w:rsid w:val="00857014"/>
    <w:rsid w:val="0085706A"/>
    <w:rsid w:val="00857685"/>
    <w:rsid w:val="00857F16"/>
    <w:rsid w:val="00865744"/>
    <w:rsid w:val="00877DF4"/>
    <w:rsid w:val="00880500"/>
    <w:rsid w:val="008A1BDA"/>
    <w:rsid w:val="008A34EA"/>
    <w:rsid w:val="008A4BC7"/>
    <w:rsid w:val="008B029B"/>
    <w:rsid w:val="008B45A4"/>
    <w:rsid w:val="008C110E"/>
    <w:rsid w:val="008C6094"/>
    <w:rsid w:val="008C77D8"/>
    <w:rsid w:val="008D5E95"/>
    <w:rsid w:val="008D7F71"/>
    <w:rsid w:val="008E2B7F"/>
    <w:rsid w:val="008E6E7F"/>
    <w:rsid w:val="00903B8F"/>
    <w:rsid w:val="009103CE"/>
    <w:rsid w:val="00915D8B"/>
    <w:rsid w:val="009165A5"/>
    <w:rsid w:val="009224B4"/>
    <w:rsid w:val="009226FA"/>
    <w:rsid w:val="00922973"/>
    <w:rsid w:val="00922C9C"/>
    <w:rsid w:val="00925295"/>
    <w:rsid w:val="0093391A"/>
    <w:rsid w:val="00941687"/>
    <w:rsid w:val="00944BE8"/>
    <w:rsid w:val="0094580B"/>
    <w:rsid w:val="00971CE3"/>
    <w:rsid w:val="00972254"/>
    <w:rsid w:val="00977B02"/>
    <w:rsid w:val="00985DC1"/>
    <w:rsid w:val="00990F0E"/>
    <w:rsid w:val="00993469"/>
    <w:rsid w:val="009B3316"/>
    <w:rsid w:val="009C3478"/>
    <w:rsid w:val="009E1937"/>
    <w:rsid w:val="009E4F92"/>
    <w:rsid w:val="009E5ACB"/>
    <w:rsid w:val="00A0125D"/>
    <w:rsid w:val="00A070E4"/>
    <w:rsid w:val="00A10992"/>
    <w:rsid w:val="00A13106"/>
    <w:rsid w:val="00A14916"/>
    <w:rsid w:val="00A202FA"/>
    <w:rsid w:val="00A2377F"/>
    <w:rsid w:val="00A24A2A"/>
    <w:rsid w:val="00A30865"/>
    <w:rsid w:val="00A347F4"/>
    <w:rsid w:val="00A43157"/>
    <w:rsid w:val="00A469EB"/>
    <w:rsid w:val="00A50280"/>
    <w:rsid w:val="00A51506"/>
    <w:rsid w:val="00A54659"/>
    <w:rsid w:val="00A55702"/>
    <w:rsid w:val="00A650AA"/>
    <w:rsid w:val="00A8063B"/>
    <w:rsid w:val="00A819EE"/>
    <w:rsid w:val="00A9755F"/>
    <w:rsid w:val="00AB6F12"/>
    <w:rsid w:val="00AC1A2F"/>
    <w:rsid w:val="00AE14D7"/>
    <w:rsid w:val="00AE31F8"/>
    <w:rsid w:val="00AF3C20"/>
    <w:rsid w:val="00AF4AB6"/>
    <w:rsid w:val="00AF658F"/>
    <w:rsid w:val="00AF751A"/>
    <w:rsid w:val="00B01BC9"/>
    <w:rsid w:val="00B0737A"/>
    <w:rsid w:val="00B12304"/>
    <w:rsid w:val="00B13398"/>
    <w:rsid w:val="00B13399"/>
    <w:rsid w:val="00B1410A"/>
    <w:rsid w:val="00B15FA7"/>
    <w:rsid w:val="00B16F55"/>
    <w:rsid w:val="00B177DA"/>
    <w:rsid w:val="00B203A8"/>
    <w:rsid w:val="00B22239"/>
    <w:rsid w:val="00B26A7C"/>
    <w:rsid w:val="00B359DC"/>
    <w:rsid w:val="00B409F8"/>
    <w:rsid w:val="00B413A4"/>
    <w:rsid w:val="00B46985"/>
    <w:rsid w:val="00B515E2"/>
    <w:rsid w:val="00B528D9"/>
    <w:rsid w:val="00B56ECB"/>
    <w:rsid w:val="00B619F8"/>
    <w:rsid w:val="00B71966"/>
    <w:rsid w:val="00B75F1A"/>
    <w:rsid w:val="00B766F8"/>
    <w:rsid w:val="00B8426D"/>
    <w:rsid w:val="00B85DE6"/>
    <w:rsid w:val="00B91405"/>
    <w:rsid w:val="00B92330"/>
    <w:rsid w:val="00B94B0C"/>
    <w:rsid w:val="00B97947"/>
    <w:rsid w:val="00BA1881"/>
    <w:rsid w:val="00BA1CCF"/>
    <w:rsid w:val="00BA2816"/>
    <w:rsid w:val="00BC17C3"/>
    <w:rsid w:val="00BC2DE1"/>
    <w:rsid w:val="00BC6569"/>
    <w:rsid w:val="00BD6CE7"/>
    <w:rsid w:val="00BE129E"/>
    <w:rsid w:val="00BE198B"/>
    <w:rsid w:val="00BF53D4"/>
    <w:rsid w:val="00BF7A3B"/>
    <w:rsid w:val="00C04578"/>
    <w:rsid w:val="00C05420"/>
    <w:rsid w:val="00C11F0A"/>
    <w:rsid w:val="00C2041D"/>
    <w:rsid w:val="00C2606E"/>
    <w:rsid w:val="00C32FD5"/>
    <w:rsid w:val="00C44BA8"/>
    <w:rsid w:val="00C5475B"/>
    <w:rsid w:val="00C62F58"/>
    <w:rsid w:val="00C637BD"/>
    <w:rsid w:val="00C66F73"/>
    <w:rsid w:val="00C71E05"/>
    <w:rsid w:val="00C77621"/>
    <w:rsid w:val="00C77A68"/>
    <w:rsid w:val="00C77DE8"/>
    <w:rsid w:val="00C82194"/>
    <w:rsid w:val="00C925F1"/>
    <w:rsid w:val="00C94A77"/>
    <w:rsid w:val="00C94B6B"/>
    <w:rsid w:val="00CA6618"/>
    <w:rsid w:val="00CA67C9"/>
    <w:rsid w:val="00CA796B"/>
    <w:rsid w:val="00CB2AB7"/>
    <w:rsid w:val="00CB545D"/>
    <w:rsid w:val="00CB572F"/>
    <w:rsid w:val="00CC0AD1"/>
    <w:rsid w:val="00CC2911"/>
    <w:rsid w:val="00CE7A8C"/>
    <w:rsid w:val="00CF23F7"/>
    <w:rsid w:val="00CF2B94"/>
    <w:rsid w:val="00CF4951"/>
    <w:rsid w:val="00CF6DD8"/>
    <w:rsid w:val="00D03B9A"/>
    <w:rsid w:val="00D05A82"/>
    <w:rsid w:val="00D064A5"/>
    <w:rsid w:val="00D20956"/>
    <w:rsid w:val="00D21903"/>
    <w:rsid w:val="00D379CB"/>
    <w:rsid w:val="00D44224"/>
    <w:rsid w:val="00D51F04"/>
    <w:rsid w:val="00D63477"/>
    <w:rsid w:val="00D636FE"/>
    <w:rsid w:val="00D64FBB"/>
    <w:rsid w:val="00D65E88"/>
    <w:rsid w:val="00D74ABC"/>
    <w:rsid w:val="00D8054F"/>
    <w:rsid w:val="00D84CDB"/>
    <w:rsid w:val="00D910BF"/>
    <w:rsid w:val="00DA450C"/>
    <w:rsid w:val="00DA5405"/>
    <w:rsid w:val="00DA6EE7"/>
    <w:rsid w:val="00DA79A2"/>
    <w:rsid w:val="00DB4C99"/>
    <w:rsid w:val="00DC3FEC"/>
    <w:rsid w:val="00DD40DE"/>
    <w:rsid w:val="00DD4551"/>
    <w:rsid w:val="00DD58F6"/>
    <w:rsid w:val="00DD7E8D"/>
    <w:rsid w:val="00DE5F74"/>
    <w:rsid w:val="00DF128C"/>
    <w:rsid w:val="00DF3ECA"/>
    <w:rsid w:val="00DF6DA0"/>
    <w:rsid w:val="00E0031D"/>
    <w:rsid w:val="00E13C8C"/>
    <w:rsid w:val="00E14F0A"/>
    <w:rsid w:val="00E15E4A"/>
    <w:rsid w:val="00E2042C"/>
    <w:rsid w:val="00E21B71"/>
    <w:rsid w:val="00E44DD2"/>
    <w:rsid w:val="00E458D5"/>
    <w:rsid w:val="00E47351"/>
    <w:rsid w:val="00E510C8"/>
    <w:rsid w:val="00E56BC9"/>
    <w:rsid w:val="00E62508"/>
    <w:rsid w:val="00E71407"/>
    <w:rsid w:val="00E76F6A"/>
    <w:rsid w:val="00E87201"/>
    <w:rsid w:val="00E937A6"/>
    <w:rsid w:val="00E94443"/>
    <w:rsid w:val="00E96D93"/>
    <w:rsid w:val="00EA11E2"/>
    <w:rsid w:val="00EA613C"/>
    <w:rsid w:val="00EB00FD"/>
    <w:rsid w:val="00EB46EB"/>
    <w:rsid w:val="00EB483A"/>
    <w:rsid w:val="00EC1D59"/>
    <w:rsid w:val="00EC3D64"/>
    <w:rsid w:val="00ED1989"/>
    <w:rsid w:val="00EE1FF9"/>
    <w:rsid w:val="00EE3E72"/>
    <w:rsid w:val="00EE65D5"/>
    <w:rsid w:val="00F00DCE"/>
    <w:rsid w:val="00F018BE"/>
    <w:rsid w:val="00F04FE2"/>
    <w:rsid w:val="00F129CC"/>
    <w:rsid w:val="00F2573B"/>
    <w:rsid w:val="00F2592B"/>
    <w:rsid w:val="00F33BEB"/>
    <w:rsid w:val="00F35C9B"/>
    <w:rsid w:val="00F45CD8"/>
    <w:rsid w:val="00F478BB"/>
    <w:rsid w:val="00F5073B"/>
    <w:rsid w:val="00F5402A"/>
    <w:rsid w:val="00F552B8"/>
    <w:rsid w:val="00F63A2C"/>
    <w:rsid w:val="00F673AB"/>
    <w:rsid w:val="00F673E0"/>
    <w:rsid w:val="00F67FDE"/>
    <w:rsid w:val="00F707D8"/>
    <w:rsid w:val="00F7273E"/>
    <w:rsid w:val="00F7717E"/>
    <w:rsid w:val="00F86D5A"/>
    <w:rsid w:val="00F86F43"/>
    <w:rsid w:val="00F90D3B"/>
    <w:rsid w:val="00FA4F88"/>
    <w:rsid w:val="00FB6EDF"/>
    <w:rsid w:val="00FB72F2"/>
    <w:rsid w:val="00FC0A3E"/>
    <w:rsid w:val="00FC2111"/>
    <w:rsid w:val="00FC27CD"/>
    <w:rsid w:val="00FC606A"/>
    <w:rsid w:val="00FC672A"/>
    <w:rsid w:val="00FD0542"/>
    <w:rsid w:val="00FD1418"/>
    <w:rsid w:val="00FD20FF"/>
    <w:rsid w:val="00FE26A3"/>
    <w:rsid w:val="00FE4792"/>
    <w:rsid w:val="00FE4E32"/>
    <w:rsid w:val="00FE571F"/>
    <w:rsid w:val="00FE7F26"/>
    <w:rsid w:val="00FF10B1"/>
    <w:rsid w:val="00FF3C73"/>
    <w:rsid w:val="00FF73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7567B"/>
    <w:pPr>
      <w:widowControl w:val="0"/>
      <w:spacing w:after="0" w:line="240" w:lineRule="auto"/>
      <w:ind w:left="131"/>
      <w:outlineLvl w:val="0"/>
    </w:pPr>
    <w:rPr>
      <w:rFonts w:ascii="Times New Roman" w:eastAsia="Times New Roman" w:hAnsi="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E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72"/>
  </w:style>
  <w:style w:type="paragraph" w:styleId="Footer">
    <w:name w:val="footer"/>
    <w:basedOn w:val="Normal"/>
    <w:link w:val="FooterChar"/>
    <w:uiPriority w:val="99"/>
    <w:unhideWhenUsed/>
    <w:rsid w:val="00EE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72"/>
  </w:style>
  <w:style w:type="paragraph" w:styleId="ListParagraph">
    <w:name w:val="List Paragraph"/>
    <w:basedOn w:val="Normal"/>
    <w:uiPriority w:val="1"/>
    <w:qFormat/>
    <w:rsid w:val="00EE3E72"/>
    <w:pPr>
      <w:ind w:left="720"/>
      <w:contextualSpacing/>
    </w:pPr>
  </w:style>
  <w:style w:type="paragraph" w:styleId="FootnoteText">
    <w:name w:val="footnote text"/>
    <w:basedOn w:val="Normal"/>
    <w:link w:val="FootnoteTextChar"/>
    <w:uiPriority w:val="99"/>
    <w:rsid w:val="0061444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144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614444"/>
    <w:rPr>
      <w:vertAlign w:val="superscript"/>
    </w:rPr>
  </w:style>
  <w:style w:type="character" w:styleId="Hyperlink">
    <w:name w:val="Hyperlink"/>
    <w:basedOn w:val="DefaultParagraphFont"/>
    <w:uiPriority w:val="99"/>
    <w:semiHidden/>
    <w:unhideWhenUsed/>
    <w:rsid w:val="00244AA2"/>
    <w:rPr>
      <w:color w:val="0000FF"/>
      <w:u w:val="single"/>
    </w:rPr>
  </w:style>
  <w:style w:type="paragraph" w:customStyle="1" w:styleId="c01pointnumerotealtn">
    <w:name w:val="c01pointnumerotealtn"/>
    <w:basedOn w:val="Normal"/>
    <w:rsid w:val="00595470"/>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571F"/>
    <w:rPr>
      <w:i/>
      <w:iCs/>
    </w:rPr>
  </w:style>
  <w:style w:type="character" w:styleId="CommentReference">
    <w:name w:val="annotation reference"/>
    <w:basedOn w:val="DefaultParagraphFont"/>
    <w:uiPriority w:val="99"/>
    <w:semiHidden/>
    <w:unhideWhenUsed/>
    <w:rsid w:val="004C634D"/>
    <w:rPr>
      <w:sz w:val="16"/>
      <w:szCs w:val="16"/>
    </w:rPr>
  </w:style>
  <w:style w:type="paragraph" w:styleId="CommentText">
    <w:name w:val="annotation text"/>
    <w:basedOn w:val="Normal"/>
    <w:link w:val="CommentTextChar"/>
    <w:uiPriority w:val="99"/>
    <w:semiHidden/>
    <w:unhideWhenUsed/>
    <w:rsid w:val="004C634D"/>
    <w:pPr>
      <w:spacing w:line="240" w:lineRule="auto"/>
    </w:pPr>
    <w:rPr>
      <w:sz w:val="20"/>
      <w:szCs w:val="20"/>
    </w:rPr>
  </w:style>
  <w:style w:type="character" w:customStyle="1" w:styleId="CommentTextChar">
    <w:name w:val="Comment Text Char"/>
    <w:basedOn w:val="DefaultParagraphFont"/>
    <w:link w:val="CommentText"/>
    <w:uiPriority w:val="99"/>
    <w:semiHidden/>
    <w:rsid w:val="004C634D"/>
    <w:rPr>
      <w:sz w:val="20"/>
      <w:szCs w:val="20"/>
    </w:rPr>
  </w:style>
  <w:style w:type="paragraph" w:styleId="CommentSubject">
    <w:name w:val="annotation subject"/>
    <w:basedOn w:val="CommentText"/>
    <w:next w:val="CommentText"/>
    <w:link w:val="CommentSubjectChar"/>
    <w:uiPriority w:val="99"/>
    <w:semiHidden/>
    <w:unhideWhenUsed/>
    <w:rsid w:val="004C634D"/>
    <w:rPr>
      <w:b/>
      <w:bCs/>
    </w:rPr>
  </w:style>
  <w:style w:type="character" w:customStyle="1" w:styleId="CommentSubjectChar">
    <w:name w:val="Comment Subject Char"/>
    <w:basedOn w:val="CommentTextChar"/>
    <w:link w:val="CommentSubject"/>
    <w:uiPriority w:val="99"/>
    <w:semiHidden/>
    <w:rsid w:val="004C634D"/>
    <w:rPr>
      <w:b/>
      <w:bCs/>
      <w:sz w:val="20"/>
      <w:szCs w:val="20"/>
    </w:rPr>
  </w:style>
  <w:style w:type="paragraph" w:styleId="BalloonText">
    <w:name w:val="Balloon Text"/>
    <w:basedOn w:val="Normal"/>
    <w:link w:val="BalloonTextChar"/>
    <w:uiPriority w:val="99"/>
    <w:semiHidden/>
    <w:unhideWhenUsed/>
    <w:rsid w:val="004C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4D"/>
    <w:rPr>
      <w:rFonts w:ascii="Tahoma" w:hAnsi="Tahoma" w:cs="Tahoma"/>
      <w:sz w:val="16"/>
      <w:szCs w:val="16"/>
    </w:rPr>
  </w:style>
  <w:style w:type="paragraph" w:customStyle="1" w:styleId="SingleTxtG">
    <w:name w:val="_ Single Txt_G"/>
    <w:basedOn w:val="Normal"/>
    <w:rsid w:val="00484C23"/>
    <w:pPr>
      <w:suppressAutoHyphens/>
      <w:spacing w:after="120" w:line="240" w:lineRule="atLeast"/>
      <w:ind w:left="1134" w:right="1134"/>
      <w:jc w:val="both"/>
    </w:pPr>
    <w:rPr>
      <w:rFonts w:ascii="Times New Roman" w:eastAsia="Times New Roman" w:hAnsi="Times New Roman" w:cs="Times New Roman"/>
      <w:kern w:val="1"/>
      <w:sz w:val="20"/>
      <w:szCs w:val="20"/>
      <w:lang w:eastAsia="ar-SA"/>
    </w:rPr>
  </w:style>
  <w:style w:type="paragraph" w:customStyle="1" w:styleId="HChG">
    <w:name w:val="_ H _Ch_G"/>
    <w:basedOn w:val="Normal"/>
    <w:rsid w:val="00484C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kern w:val="1"/>
      <w:sz w:val="28"/>
      <w:szCs w:val="20"/>
      <w:lang w:eastAsia="ar-SA"/>
    </w:rPr>
  </w:style>
  <w:style w:type="paragraph" w:customStyle="1" w:styleId="H1G">
    <w:name w:val="_ H_1_G"/>
    <w:basedOn w:val="Normal"/>
    <w:rsid w:val="00484C2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kern w:val="1"/>
      <w:sz w:val="24"/>
      <w:szCs w:val="20"/>
      <w:lang w:eastAsia="ar-SA"/>
    </w:rPr>
  </w:style>
  <w:style w:type="paragraph" w:styleId="NormalWeb">
    <w:name w:val="Normal (Web)"/>
    <w:basedOn w:val="Normal"/>
    <w:uiPriority w:val="99"/>
    <w:unhideWhenUsed/>
    <w:rsid w:val="00484C2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BodyText">
    <w:name w:val="Body Text"/>
    <w:basedOn w:val="Normal"/>
    <w:link w:val="BodyTextChar"/>
    <w:uiPriority w:val="1"/>
    <w:qFormat/>
    <w:rsid w:val="00296C83"/>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96C83"/>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37567B"/>
    <w:rPr>
      <w:rFonts w:ascii="Times New Roman" w:eastAsia="Times New Roman" w:hAnsi="Times New Roman"/>
      <w:b/>
      <w:bCs/>
      <w:sz w:val="21"/>
      <w:szCs w:val="21"/>
      <w:lang w:val="en-US"/>
    </w:rPr>
  </w:style>
  <w:style w:type="paragraph" w:customStyle="1" w:styleId="TableParagraph">
    <w:name w:val="Table Paragraph"/>
    <w:basedOn w:val="Normal"/>
    <w:uiPriority w:val="1"/>
    <w:qFormat/>
    <w:rsid w:val="0037567B"/>
    <w:pPr>
      <w:widowControl w:val="0"/>
      <w:spacing w:after="0" w:line="240" w:lineRule="auto"/>
    </w:pPr>
    <w:rPr>
      <w:lang w:val="en-US"/>
    </w:rPr>
  </w:style>
  <w:style w:type="paragraph" w:styleId="Revision">
    <w:name w:val="Revision"/>
    <w:hidden/>
    <w:uiPriority w:val="99"/>
    <w:semiHidden/>
    <w:rsid w:val="00487D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7567B"/>
    <w:pPr>
      <w:widowControl w:val="0"/>
      <w:spacing w:after="0" w:line="240" w:lineRule="auto"/>
      <w:ind w:left="131"/>
      <w:outlineLvl w:val="0"/>
    </w:pPr>
    <w:rPr>
      <w:rFonts w:ascii="Times New Roman" w:eastAsia="Times New Roman" w:hAnsi="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E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72"/>
  </w:style>
  <w:style w:type="paragraph" w:styleId="Footer">
    <w:name w:val="footer"/>
    <w:basedOn w:val="Normal"/>
    <w:link w:val="FooterChar"/>
    <w:uiPriority w:val="99"/>
    <w:unhideWhenUsed/>
    <w:rsid w:val="00EE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72"/>
  </w:style>
  <w:style w:type="paragraph" w:styleId="ListParagraph">
    <w:name w:val="List Paragraph"/>
    <w:basedOn w:val="Normal"/>
    <w:uiPriority w:val="1"/>
    <w:qFormat/>
    <w:rsid w:val="00EE3E72"/>
    <w:pPr>
      <w:ind w:left="720"/>
      <w:contextualSpacing/>
    </w:pPr>
  </w:style>
  <w:style w:type="paragraph" w:styleId="FootnoteText">
    <w:name w:val="footnote text"/>
    <w:basedOn w:val="Normal"/>
    <w:link w:val="FootnoteTextChar"/>
    <w:uiPriority w:val="99"/>
    <w:rsid w:val="0061444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144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614444"/>
    <w:rPr>
      <w:vertAlign w:val="superscript"/>
    </w:rPr>
  </w:style>
  <w:style w:type="character" w:styleId="Hyperlink">
    <w:name w:val="Hyperlink"/>
    <w:basedOn w:val="DefaultParagraphFont"/>
    <w:uiPriority w:val="99"/>
    <w:semiHidden/>
    <w:unhideWhenUsed/>
    <w:rsid w:val="00244AA2"/>
    <w:rPr>
      <w:color w:val="0000FF"/>
      <w:u w:val="single"/>
    </w:rPr>
  </w:style>
  <w:style w:type="paragraph" w:customStyle="1" w:styleId="c01pointnumerotealtn">
    <w:name w:val="c01pointnumerotealtn"/>
    <w:basedOn w:val="Normal"/>
    <w:rsid w:val="00595470"/>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571F"/>
    <w:rPr>
      <w:i/>
      <w:iCs/>
    </w:rPr>
  </w:style>
  <w:style w:type="character" w:styleId="CommentReference">
    <w:name w:val="annotation reference"/>
    <w:basedOn w:val="DefaultParagraphFont"/>
    <w:uiPriority w:val="99"/>
    <w:semiHidden/>
    <w:unhideWhenUsed/>
    <w:rsid w:val="004C634D"/>
    <w:rPr>
      <w:sz w:val="16"/>
      <w:szCs w:val="16"/>
    </w:rPr>
  </w:style>
  <w:style w:type="paragraph" w:styleId="CommentText">
    <w:name w:val="annotation text"/>
    <w:basedOn w:val="Normal"/>
    <w:link w:val="CommentTextChar"/>
    <w:uiPriority w:val="99"/>
    <w:semiHidden/>
    <w:unhideWhenUsed/>
    <w:rsid w:val="004C634D"/>
    <w:pPr>
      <w:spacing w:line="240" w:lineRule="auto"/>
    </w:pPr>
    <w:rPr>
      <w:sz w:val="20"/>
      <w:szCs w:val="20"/>
    </w:rPr>
  </w:style>
  <w:style w:type="character" w:customStyle="1" w:styleId="CommentTextChar">
    <w:name w:val="Comment Text Char"/>
    <w:basedOn w:val="DefaultParagraphFont"/>
    <w:link w:val="CommentText"/>
    <w:uiPriority w:val="99"/>
    <w:semiHidden/>
    <w:rsid w:val="004C634D"/>
    <w:rPr>
      <w:sz w:val="20"/>
      <w:szCs w:val="20"/>
    </w:rPr>
  </w:style>
  <w:style w:type="paragraph" w:styleId="CommentSubject">
    <w:name w:val="annotation subject"/>
    <w:basedOn w:val="CommentText"/>
    <w:next w:val="CommentText"/>
    <w:link w:val="CommentSubjectChar"/>
    <w:uiPriority w:val="99"/>
    <w:semiHidden/>
    <w:unhideWhenUsed/>
    <w:rsid w:val="004C634D"/>
    <w:rPr>
      <w:b/>
      <w:bCs/>
    </w:rPr>
  </w:style>
  <w:style w:type="character" w:customStyle="1" w:styleId="CommentSubjectChar">
    <w:name w:val="Comment Subject Char"/>
    <w:basedOn w:val="CommentTextChar"/>
    <w:link w:val="CommentSubject"/>
    <w:uiPriority w:val="99"/>
    <w:semiHidden/>
    <w:rsid w:val="004C634D"/>
    <w:rPr>
      <w:b/>
      <w:bCs/>
      <w:sz w:val="20"/>
      <w:szCs w:val="20"/>
    </w:rPr>
  </w:style>
  <w:style w:type="paragraph" w:styleId="BalloonText">
    <w:name w:val="Balloon Text"/>
    <w:basedOn w:val="Normal"/>
    <w:link w:val="BalloonTextChar"/>
    <w:uiPriority w:val="99"/>
    <w:semiHidden/>
    <w:unhideWhenUsed/>
    <w:rsid w:val="004C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4D"/>
    <w:rPr>
      <w:rFonts w:ascii="Tahoma" w:hAnsi="Tahoma" w:cs="Tahoma"/>
      <w:sz w:val="16"/>
      <w:szCs w:val="16"/>
    </w:rPr>
  </w:style>
  <w:style w:type="paragraph" w:customStyle="1" w:styleId="SingleTxtG">
    <w:name w:val="_ Single Txt_G"/>
    <w:basedOn w:val="Normal"/>
    <w:rsid w:val="00484C23"/>
    <w:pPr>
      <w:suppressAutoHyphens/>
      <w:spacing w:after="120" w:line="240" w:lineRule="atLeast"/>
      <w:ind w:left="1134" w:right="1134"/>
      <w:jc w:val="both"/>
    </w:pPr>
    <w:rPr>
      <w:rFonts w:ascii="Times New Roman" w:eastAsia="Times New Roman" w:hAnsi="Times New Roman" w:cs="Times New Roman"/>
      <w:kern w:val="1"/>
      <w:sz w:val="20"/>
      <w:szCs w:val="20"/>
      <w:lang w:eastAsia="ar-SA"/>
    </w:rPr>
  </w:style>
  <w:style w:type="paragraph" w:customStyle="1" w:styleId="HChG">
    <w:name w:val="_ H _Ch_G"/>
    <w:basedOn w:val="Normal"/>
    <w:rsid w:val="00484C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kern w:val="1"/>
      <w:sz w:val="28"/>
      <w:szCs w:val="20"/>
      <w:lang w:eastAsia="ar-SA"/>
    </w:rPr>
  </w:style>
  <w:style w:type="paragraph" w:customStyle="1" w:styleId="H1G">
    <w:name w:val="_ H_1_G"/>
    <w:basedOn w:val="Normal"/>
    <w:rsid w:val="00484C2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kern w:val="1"/>
      <w:sz w:val="24"/>
      <w:szCs w:val="20"/>
      <w:lang w:eastAsia="ar-SA"/>
    </w:rPr>
  </w:style>
  <w:style w:type="paragraph" w:styleId="NormalWeb">
    <w:name w:val="Normal (Web)"/>
    <w:basedOn w:val="Normal"/>
    <w:uiPriority w:val="99"/>
    <w:unhideWhenUsed/>
    <w:rsid w:val="00484C2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BodyText">
    <w:name w:val="Body Text"/>
    <w:basedOn w:val="Normal"/>
    <w:link w:val="BodyTextChar"/>
    <w:uiPriority w:val="1"/>
    <w:qFormat/>
    <w:rsid w:val="00296C83"/>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96C83"/>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37567B"/>
    <w:rPr>
      <w:rFonts w:ascii="Times New Roman" w:eastAsia="Times New Roman" w:hAnsi="Times New Roman"/>
      <w:b/>
      <w:bCs/>
      <w:sz w:val="21"/>
      <w:szCs w:val="21"/>
      <w:lang w:val="en-US"/>
    </w:rPr>
  </w:style>
  <w:style w:type="paragraph" w:customStyle="1" w:styleId="TableParagraph">
    <w:name w:val="Table Paragraph"/>
    <w:basedOn w:val="Normal"/>
    <w:uiPriority w:val="1"/>
    <w:qFormat/>
    <w:rsid w:val="0037567B"/>
    <w:pPr>
      <w:widowControl w:val="0"/>
      <w:spacing w:after="0" w:line="240" w:lineRule="auto"/>
    </w:pPr>
    <w:rPr>
      <w:lang w:val="en-US"/>
    </w:rPr>
  </w:style>
  <w:style w:type="paragraph" w:styleId="Revision">
    <w:name w:val="Revision"/>
    <w:hidden/>
    <w:uiPriority w:val="99"/>
    <w:semiHidden/>
    <w:rsid w:val="00487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6399">
      <w:bodyDiv w:val="1"/>
      <w:marLeft w:val="0"/>
      <w:marRight w:val="0"/>
      <w:marTop w:val="0"/>
      <w:marBottom w:val="0"/>
      <w:divBdr>
        <w:top w:val="none" w:sz="0" w:space="0" w:color="auto"/>
        <w:left w:val="none" w:sz="0" w:space="0" w:color="auto"/>
        <w:bottom w:val="none" w:sz="0" w:space="0" w:color="auto"/>
        <w:right w:val="none" w:sz="0" w:space="0" w:color="auto"/>
      </w:divBdr>
      <w:divsChild>
        <w:div w:id="417557609">
          <w:marLeft w:val="0"/>
          <w:marRight w:val="0"/>
          <w:marTop w:val="0"/>
          <w:marBottom w:val="0"/>
          <w:divBdr>
            <w:top w:val="none" w:sz="0" w:space="0" w:color="auto"/>
            <w:left w:val="none" w:sz="0" w:space="0" w:color="auto"/>
            <w:bottom w:val="none" w:sz="0" w:space="0" w:color="auto"/>
            <w:right w:val="none" w:sz="0" w:space="0" w:color="auto"/>
          </w:divBdr>
        </w:div>
        <w:div w:id="710686040">
          <w:marLeft w:val="0"/>
          <w:marRight w:val="0"/>
          <w:marTop w:val="0"/>
          <w:marBottom w:val="0"/>
          <w:divBdr>
            <w:top w:val="none" w:sz="0" w:space="0" w:color="auto"/>
            <w:left w:val="none" w:sz="0" w:space="0" w:color="auto"/>
            <w:bottom w:val="none" w:sz="0" w:space="0" w:color="auto"/>
            <w:right w:val="none" w:sz="0" w:space="0" w:color="auto"/>
          </w:divBdr>
        </w:div>
        <w:div w:id="800926486">
          <w:marLeft w:val="0"/>
          <w:marRight w:val="0"/>
          <w:marTop w:val="0"/>
          <w:marBottom w:val="0"/>
          <w:divBdr>
            <w:top w:val="none" w:sz="0" w:space="0" w:color="auto"/>
            <w:left w:val="none" w:sz="0" w:space="0" w:color="auto"/>
            <w:bottom w:val="none" w:sz="0" w:space="0" w:color="auto"/>
            <w:right w:val="none" w:sz="0" w:space="0" w:color="auto"/>
          </w:divBdr>
        </w:div>
      </w:divsChild>
    </w:div>
    <w:div w:id="746267506">
      <w:bodyDiv w:val="1"/>
      <w:marLeft w:val="0"/>
      <w:marRight w:val="0"/>
      <w:marTop w:val="0"/>
      <w:marBottom w:val="0"/>
      <w:divBdr>
        <w:top w:val="none" w:sz="0" w:space="0" w:color="auto"/>
        <w:left w:val="none" w:sz="0" w:space="0" w:color="auto"/>
        <w:bottom w:val="none" w:sz="0" w:space="0" w:color="auto"/>
        <w:right w:val="none" w:sz="0" w:space="0" w:color="auto"/>
      </w:divBdr>
      <w:divsChild>
        <w:div w:id="516191480">
          <w:marLeft w:val="0"/>
          <w:marRight w:val="0"/>
          <w:marTop w:val="0"/>
          <w:marBottom w:val="0"/>
          <w:divBdr>
            <w:top w:val="none" w:sz="0" w:space="0" w:color="auto"/>
            <w:left w:val="none" w:sz="0" w:space="0" w:color="auto"/>
            <w:bottom w:val="none" w:sz="0" w:space="0" w:color="auto"/>
            <w:right w:val="none" w:sz="0" w:space="0" w:color="auto"/>
          </w:divBdr>
        </w:div>
        <w:div w:id="1813709975">
          <w:marLeft w:val="0"/>
          <w:marRight w:val="0"/>
          <w:marTop w:val="0"/>
          <w:marBottom w:val="0"/>
          <w:divBdr>
            <w:top w:val="none" w:sz="0" w:space="0" w:color="auto"/>
            <w:left w:val="none" w:sz="0" w:space="0" w:color="auto"/>
            <w:bottom w:val="none" w:sz="0" w:space="0" w:color="auto"/>
            <w:right w:val="none" w:sz="0" w:space="0" w:color="auto"/>
          </w:divBdr>
        </w:div>
        <w:div w:id="1988126755">
          <w:marLeft w:val="0"/>
          <w:marRight w:val="0"/>
          <w:marTop w:val="0"/>
          <w:marBottom w:val="0"/>
          <w:divBdr>
            <w:top w:val="none" w:sz="0" w:space="0" w:color="auto"/>
            <w:left w:val="none" w:sz="0" w:space="0" w:color="auto"/>
            <w:bottom w:val="none" w:sz="0" w:space="0" w:color="auto"/>
            <w:right w:val="none" w:sz="0" w:space="0" w:color="auto"/>
          </w:divBdr>
        </w:div>
      </w:divsChild>
    </w:div>
    <w:div w:id="1572737874">
      <w:bodyDiv w:val="1"/>
      <w:marLeft w:val="0"/>
      <w:marRight w:val="0"/>
      <w:marTop w:val="0"/>
      <w:marBottom w:val="0"/>
      <w:divBdr>
        <w:top w:val="none" w:sz="0" w:space="0" w:color="auto"/>
        <w:left w:val="none" w:sz="0" w:space="0" w:color="auto"/>
        <w:bottom w:val="none" w:sz="0" w:space="0" w:color="auto"/>
        <w:right w:val="none" w:sz="0" w:space="0" w:color="auto"/>
      </w:divBdr>
      <w:divsChild>
        <w:div w:id="426266103">
          <w:marLeft w:val="0"/>
          <w:marRight w:val="0"/>
          <w:marTop w:val="0"/>
          <w:marBottom w:val="0"/>
          <w:divBdr>
            <w:top w:val="none" w:sz="0" w:space="0" w:color="auto"/>
            <w:left w:val="none" w:sz="0" w:space="0" w:color="auto"/>
            <w:bottom w:val="none" w:sz="0" w:space="0" w:color="auto"/>
            <w:right w:val="none" w:sz="0" w:space="0" w:color="auto"/>
          </w:divBdr>
        </w:div>
        <w:div w:id="468403230">
          <w:marLeft w:val="0"/>
          <w:marRight w:val="0"/>
          <w:marTop w:val="0"/>
          <w:marBottom w:val="0"/>
          <w:divBdr>
            <w:top w:val="none" w:sz="0" w:space="0" w:color="auto"/>
            <w:left w:val="none" w:sz="0" w:space="0" w:color="auto"/>
            <w:bottom w:val="none" w:sz="0" w:space="0" w:color="auto"/>
            <w:right w:val="none" w:sz="0" w:space="0" w:color="auto"/>
          </w:divBdr>
        </w:div>
        <w:div w:id="623577725">
          <w:marLeft w:val="0"/>
          <w:marRight w:val="0"/>
          <w:marTop w:val="0"/>
          <w:marBottom w:val="0"/>
          <w:divBdr>
            <w:top w:val="none" w:sz="0" w:space="0" w:color="auto"/>
            <w:left w:val="none" w:sz="0" w:space="0" w:color="auto"/>
            <w:bottom w:val="none" w:sz="0" w:space="0" w:color="auto"/>
            <w:right w:val="none" w:sz="0" w:space="0" w:color="auto"/>
          </w:divBdr>
        </w:div>
        <w:div w:id="781648603">
          <w:marLeft w:val="0"/>
          <w:marRight w:val="0"/>
          <w:marTop w:val="0"/>
          <w:marBottom w:val="0"/>
          <w:divBdr>
            <w:top w:val="none" w:sz="0" w:space="0" w:color="auto"/>
            <w:left w:val="none" w:sz="0" w:space="0" w:color="auto"/>
            <w:bottom w:val="none" w:sz="0" w:space="0" w:color="auto"/>
            <w:right w:val="none" w:sz="0" w:space="0" w:color="auto"/>
          </w:divBdr>
        </w:div>
        <w:div w:id="825896457">
          <w:marLeft w:val="0"/>
          <w:marRight w:val="0"/>
          <w:marTop w:val="0"/>
          <w:marBottom w:val="0"/>
          <w:divBdr>
            <w:top w:val="none" w:sz="0" w:space="0" w:color="auto"/>
            <w:left w:val="none" w:sz="0" w:space="0" w:color="auto"/>
            <w:bottom w:val="none" w:sz="0" w:space="0" w:color="auto"/>
            <w:right w:val="none" w:sz="0" w:space="0" w:color="auto"/>
          </w:divBdr>
        </w:div>
        <w:div w:id="1136340761">
          <w:marLeft w:val="0"/>
          <w:marRight w:val="0"/>
          <w:marTop w:val="0"/>
          <w:marBottom w:val="0"/>
          <w:divBdr>
            <w:top w:val="none" w:sz="0" w:space="0" w:color="auto"/>
            <w:left w:val="none" w:sz="0" w:space="0" w:color="auto"/>
            <w:bottom w:val="none" w:sz="0" w:space="0" w:color="auto"/>
            <w:right w:val="none" w:sz="0" w:space="0" w:color="auto"/>
          </w:divBdr>
        </w:div>
        <w:div w:id="1209804912">
          <w:marLeft w:val="0"/>
          <w:marRight w:val="0"/>
          <w:marTop w:val="0"/>
          <w:marBottom w:val="0"/>
          <w:divBdr>
            <w:top w:val="none" w:sz="0" w:space="0" w:color="auto"/>
            <w:left w:val="none" w:sz="0" w:space="0" w:color="auto"/>
            <w:bottom w:val="none" w:sz="0" w:space="0" w:color="auto"/>
            <w:right w:val="none" w:sz="0" w:space="0" w:color="auto"/>
          </w:divBdr>
        </w:div>
        <w:div w:id="1642734375">
          <w:marLeft w:val="0"/>
          <w:marRight w:val="0"/>
          <w:marTop w:val="0"/>
          <w:marBottom w:val="0"/>
          <w:divBdr>
            <w:top w:val="none" w:sz="0" w:space="0" w:color="auto"/>
            <w:left w:val="none" w:sz="0" w:space="0" w:color="auto"/>
            <w:bottom w:val="none" w:sz="0" w:space="0" w:color="auto"/>
            <w:right w:val="none" w:sz="0" w:space="0" w:color="auto"/>
          </w:divBdr>
        </w:div>
        <w:div w:id="1837499027">
          <w:marLeft w:val="0"/>
          <w:marRight w:val="0"/>
          <w:marTop w:val="0"/>
          <w:marBottom w:val="0"/>
          <w:divBdr>
            <w:top w:val="none" w:sz="0" w:space="0" w:color="auto"/>
            <w:left w:val="none" w:sz="0" w:space="0" w:color="auto"/>
            <w:bottom w:val="none" w:sz="0" w:space="0" w:color="auto"/>
            <w:right w:val="none" w:sz="0" w:space="0" w:color="auto"/>
          </w:divBdr>
        </w:div>
      </w:divsChild>
    </w:div>
    <w:div w:id="1998069758">
      <w:bodyDiv w:val="1"/>
      <w:marLeft w:val="0"/>
      <w:marRight w:val="0"/>
      <w:marTop w:val="0"/>
      <w:marBottom w:val="0"/>
      <w:divBdr>
        <w:top w:val="none" w:sz="0" w:space="0" w:color="auto"/>
        <w:left w:val="none" w:sz="0" w:space="0" w:color="auto"/>
        <w:bottom w:val="none" w:sz="0" w:space="0" w:color="auto"/>
        <w:right w:val="none" w:sz="0" w:space="0" w:color="auto"/>
      </w:divBdr>
      <w:divsChild>
        <w:div w:id="322051844">
          <w:marLeft w:val="0"/>
          <w:marRight w:val="0"/>
          <w:marTop w:val="0"/>
          <w:marBottom w:val="0"/>
          <w:divBdr>
            <w:top w:val="none" w:sz="0" w:space="0" w:color="auto"/>
            <w:left w:val="none" w:sz="0" w:space="0" w:color="auto"/>
            <w:bottom w:val="none" w:sz="0" w:space="0" w:color="auto"/>
            <w:right w:val="none" w:sz="0" w:space="0" w:color="auto"/>
          </w:divBdr>
          <w:divsChild>
            <w:div w:id="900019931">
              <w:marLeft w:val="0"/>
              <w:marRight w:val="0"/>
              <w:marTop w:val="0"/>
              <w:marBottom w:val="0"/>
              <w:divBdr>
                <w:top w:val="none" w:sz="0" w:space="0" w:color="auto"/>
                <w:left w:val="none" w:sz="0" w:space="0" w:color="auto"/>
                <w:bottom w:val="none" w:sz="0" w:space="0" w:color="auto"/>
                <w:right w:val="none" w:sz="0" w:space="0" w:color="auto"/>
              </w:divBdr>
              <w:divsChild>
                <w:div w:id="1518423917">
                  <w:marLeft w:val="0"/>
                  <w:marRight w:val="0"/>
                  <w:marTop w:val="0"/>
                  <w:marBottom w:val="0"/>
                  <w:divBdr>
                    <w:top w:val="none" w:sz="0" w:space="0" w:color="auto"/>
                    <w:left w:val="none" w:sz="0" w:space="0" w:color="auto"/>
                    <w:bottom w:val="none" w:sz="0" w:space="0" w:color="auto"/>
                    <w:right w:val="none" w:sz="0" w:space="0" w:color="auto"/>
                  </w:divBdr>
                  <w:divsChild>
                    <w:div w:id="1595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6954-E3DA-4995-BB76-D9BFD579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9075</Words>
  <Characters>51729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Fyaz</dc:creator>
  <cp:lastModifiedBy>marshall</cp:lastModifiedBy>
  <cp:revision>12</cp:revision>
  <cp:lastPrinted>2016-02-01T08:35:00Z</cp:lastPrinted>
  <dcterms:created xsi:type="dcterms:W3CDTF">2016-06-27T18:33:00Z</dcterms:created>
  <dcterms:modified xsi:type="dcterms:W3CDTF">2016-06-27T18:57:00Z</dcterms:modified>
</cp:coreProperties>
</file>