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Tr="00387CD4">
        <w:trPr>
          <w:trHeight w:hRule="exact" w:val="851"/>
        </w:trPr>
        <w:tc>
          <w:tcPr>
            <w:tcW w:w="142" w:type="dxa"/>
            <w:tcBorders>
              <w:bottom w:val="single" w:sz="4" w:space="0" w:color="auto"/>
            </w:tcBorders>
          </w:tcPr>
          <w:p w:rsidR="002D5AAC" w:rsidRDefault="002D5AAC" w:rsidP="00EE7E1C">
            <w:pPr>
              <w:kinsoku w:val="0"/>
              <w:overflowPunct w:val="0"/>
              <w:autoSpaceDE w:val="0"/>
              <w:autoSpaceDN w:val="0"/>
              <w:adjustRightInd w:val="0"/>
              <w:snapToGrid w:val="0"/>
            </w:pPr>
          </w:p>
        </w:tc>
        <w:tc>
          <w:tcPr>
            <w:tcW w:w="4536" w:type="dxa"/>
            <w:gridSpan w:val="2"/>
            <w:tcBorders>
              <w:bottom w:val="single" w:sz="4" w:space="0" w:color="auto"/>
            </w:tcBorders>
            <w:vAlign w:val="bottom"/>
          </w:tcPr>
          <w:p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rsidR="002D5AAC" w:rsidRDefault="00EE7E1C" w:rsidP="00EE7E1C">
            <w:pPr>
              <w:jc w:val="right"/>
            </w:pPr>
            <w:r w:rsidRPr="00EE7E1C">
              <w:rPr>
                <w:sz w:val="40"/>
              </w:rPr>
              <w:t>ECE</w:t>
            </w:r>
            <w:r>
              <w:t>/MP.EIA/WG.2/2019/2</w:t>
            </w:r>
          </w:p>
        </w:tc>
      </w:tr>
      <w:tr w:rsidR="002D5AAC" w:rsidRPr="00AD2750" w:rsidTr="00387CD4">
        <w:trPr>
          <w:trHeight w:hRule="exact" w:val="2835"/>
        </w:trPr>
        <w:tc>
          <w:tcPr>
            <w:tcW w:w="1280" w:type="dxa"/>
            <w:gridSpan w:val="2"/>
            <w:tcBorders>
              <w:top w:val="single" w:sz="4" w:space="0" w:color="auto"/>
              <w:bottom w:val="single" w:sz="12" w:space="0" w:color="auto"/>
            </w:tcBorders>
          </w:tcPr>
          <w:p w:rsidR="002D5AAC" w:rsidRDefault="002E5067" w:rsidP="00387CD4">
            <w:pPr>
              <w:spacing w:before="120"/>
              <w:jc w:val="center"/>
            </w:pPr>
            <w:r>
              <w:rPr>
                <w:noProof/>
                <w:lang w:eastAsia="ru-RU"/>
              </w:rPr>
              <w:drawing>
                <wp:inline distT="0" distB="0" distL="0" distR="0" wp14:anchorId="7E16639B" wp14:editId="3BF8257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rsidR="002D5AAC" w:rsidRDefault="00EE7E1C" w:rsidP="00387CD4">
            <w:pPr>
              <w:spacing w:before="240"/>
              <w:rPr>
                <w:lang w:val="en-US"/>
              </w:rPr>
            </w:pPr>
            <w:r>
              <w:rPr>
                <w:lang w:val="en-US"/>
              </w:rPr>
              <w:t>Distr.: General</w:t>
            </w:r>
          </w:p>
          <w:p w:rsidR="00EE7E1C" w:rsidRDefault="00EE7E1C" w:rsidP="00EE7E1C">
            <w:pPr>
              <w:spacing w:line="240" w:lineRule="exact"/>
              <w:rPr>
                <w:lang w:val="en-US"/>
              </w:rPr>
            </w:pPr>
            <w:r>
              <w:rPr>
                <w:lang w:val="en-US"/>
              </w:rPr>
              <w:t>20 January 2020</w:t>
            </w:r>
          </w:p>
          <w:p w:rsidR="00EE7E1C" w:rsidRDefault="00EE7E1C" w:rsidP="00EE7E1C">
            <w:pPr>
              <w:spacing w:line="240" w:lineRule="exact"/>
              <w:rPr>
                <w:lang w:val="en-US"/>
              </w:rPr>
            </w:pPr>
            <w:r>
              <w:rPr>
                <w:lang w:val="en-US"/>
              </w:rPr>
              <w:t>Russian</w:t>
            </w:r>
          </w:p>
          <w:p w:rsidR="00EE7E1C" w:rsidRPr="008D53B6" w:rsidRDefault="00EE7E1C" w:rsidP="00EE7E1C">
            <w:pPr>
              <w:spacing w:line="240" w:lineRule="exact"/>
              <w:rPr>
                <w:lang w:val="en-US"/>
              </w:rPr>
            </w:pPr>
            <w:r>
              <w:rPr>
                <w:lang w:val="en-US"/>
              </w:rPr>
              <w:t>Original: English</w:t>
            </w:r>
          </w:p>
        </w:tc>
      </w:tr>
    </w:tbl>
    <w:p w:rsidR="00EE7E1C" w:rsidRDefault="008A37C8" w:rsidP="00255343">
      <w:pPr>
        <w:spacing w:before="120"/>
        <w:rPr>
          <w:b/>
          <w:sz w:val="28"/>
          <w:szCs w:val="28"/>
        </w:rPr>
      </w:pPr>
      <w:r w:rsidRPr="00245892">
        <w:rPr>
          <w:b/>
          <w:sz w:val="28"/>
          <w:szCs w:val="28"/>
        </w:rPr>
        <w:t>Европейская экономическая комиссия</w:t>
      </w:r>
    </w:p>
    <w:p w:rsidR="00993805" w:rsidRPr="005A6C63" w:rsidRDefault="00993805" w:rsidP="005A6C63">
      <w:pPr>
        <w:widowControl w:val="0"/>
        <w:suppressAutoHyphens w:val="0"/>
        <w:spacing w:before="120" w:after="120"/>
        <w:rPr>
          <w:bCs/>
          <w:sz w:val="28"/>
          <w:szCs w:val="28"/>
        </w:rPr>
      </w:pPr>
      <w:r w:rsidRPr="005A6C63">
        <w:rPr>
          <w:sz w:val="28"/>
          <w:szCs w:val="28"/>
        </w:rPr>
        <w:t xml:space="preserve">Совещание Сторон Конвенции об оценке </w:t>
      </w:r>
      <w:r w:rsidR="005A6C63">
        <w:rPr>
          <w:sz w:val="28"/>
          <w:szCs w:val="28"/>
        </w:rPr>
        <w:br/>
      </w:r>
      <w:r w:rsidRPr="005A6C63">
        <w:rPr>
          <w:sz w:val="28"/>
          <w:szCs w:val="28"/>
        </w:rPr>
        <w:t xml:space="preserve">воздействия на окружающую среду </w:t>
      </w:r>
      <w:r w:rsidR="005A6C63">
        <w:rPr>
          <w:sz w:val="28"/>
          <w:szCs w:val="28"/>
        </w:rPr>
        <w:br/>
      </w:r>
      <w:r w:rsidRPr="005A6C63">
        <w:rPr>
          <w:sz w:val="28"/>
          <w:szCs w:val="28"/>
        </w:rPr>
        <w:t>в трансграничном контексте</w:t>
      </w:r>
    </w:p>
    <w:p w:rsidR="00993805" w:rsidRPr="005A6C63" w:rsidRDefault="00993805" w:rsidP="005A6C63">
      <w:pPr>
        <w:widowControl w:val="0"/>
        <w:suppressAutoHyphens w:val="0"/>
        <w:autoSpaceDE w:val="0"/>
        <w:autoSpaceDN w:val="0"/>
        <w:adjustRightInd w:val="0"/>
        <w:spacing w:after="120"/>
        <w:rPr>
          <w:sz w:val="28"/>
          <w:szCs w:val="28"/>
        </w:rPr>
      </w:pPr>
      <w:r w:rsidRPr="005A6C63">
        <w:rPr>
          <w:sz w:val="28"/>
          <w:szCs w:val="28"/>
        </w:rPr>
        <w:t xml:space="preserve">Совещание Сторон Конвенции об оценке </w:t>
      </w:r>
      <w:r w:rsidR="005A6C63">
        <w:rPr>
          <w:sz w:val="28"/>
          <w:szCs w:val="28"/>
        </w:rPr>
        <w:br/>
      </w:r>
      <w:r w:rsidRPr="005A6C63">
        <w:rPr>
          <w:sz w:val="28"/>
          <w:szCs w:val="28"/>
        </w:rPr>
        <w:t xml:space="preserve">воздействия на окружающую среду </w:t>
      </w:r>
      <w:r w:rsidR="007E1501">
        <w:rPr>
          <w:sz w:val="28"/>
          <w:szCs w:val="28"/>
        </w:rPr>
        <w:br/>
      </w:r>
      <w:r w:rsidRPr="005A6C63">
        <w:rPr>
          <w:sz w:val="28"/>
          <w:szCs w:val="28"/>
        </w:rPr>
        <w:t xml:space="preserve">в трансграничном контексте, действующее </w:t>
      </w:r>
      <w:r w:rsidR="005A6C63">
        <w:rPr>
          <w:sz w:val="28"/>
          <w:szCs w:val="28"/>
        </w:rPr>
        <w:br/>
      </w:r>
      <w:r w:rsidRPr="005A6C63">
        <w:rPr>
          <w:sz w:val="28"/>
          <w:szCs w:val="28"/>
        </w:rPr>
        <w:t xml:space="preserve">в качестве совещания Сторон Протокола </w:t>
      </w:r>
      <w:r w:rsidR="005A6C63">
        <w:rPr>
          <w:sz w:val="28"/>
          <w:szCs w:val="28"/>
        </w:rPr>
        <w:br/>
      </w:r>
      <w:r w:rsidRPr="005A6C63">
        <w:rPr>
          <w:sz w:val="28"/>
          <w:szCs w:val="28"/>
        </w:rPr>
        <w:t>по стратегической экологической оценке</w:t>
      </w:r>
    </w:p>
    <w:p w:rsidR="00993805" w:rsidRPr="005A6C63" w:rsidRDefault="00993805" w:rsidP="005A6C63">
      <w:pPr>
        <w:widowControl w:val="0"/>
        <w:suppressAutoHyphens w:val="0"/>
        <w:spacing w:after="120"/>
        <w:rPr>
          <w:b/>
          <w:sz w:val="24"/>
          <w:szCs w:val="24"/>
        </w:rPr>
      </w:pPr>
      <w:r w:rsidRPr="005A6C63">
        <w:rPr>
          <w:b/>
          <w:bCs/>
          <w:sz w:val="24"/>
          <w:szCs w:val="24"/>
        </w:rPr>
        <w:t xml:space="preserve">Рабочая группа по оценке воздействия </w:t>
      </w:r>
      <w:r w:rsidR="007E1501">
        <w:rPr>
          <w:b/>
          <w:bCs/>
          <w:sz w:val="24"/>
          <w:szCs w:val="24"/>
        </w:rPr>
        <w:br/>
      </w:r>
      <w:r w:rsidRPr="005A6C63">
        <w:rPr>
          <w:b/>
          <w:bCs/>
          <w:sz w:val="24"/>
          <w:szCs w:val="24"/>
        </w:rPr>
        <w:t xml:space="preserve">на окружающую среду и стратегической </w:t>
      </w:r>
      <w:r w:rsidR="005A6C63">
        <w:rPr>
          <w:b/>
          <w:bCs/>
          <w:sz w:val="24"/>
          <w:szCs w:val="24"/>
        </w:rPr>
        <w:br/>
      </w:r>
      <w:r w:rsidRPr="005A6C63">
        <w:rPr>
          <w:b/>
          <w:bCs/>
          <w:sz w:val="24"/>
          <w:szCs w:val="24"/>
        </w:rPr>
        <w:t>экологической оценке</w:t>
      </w:r>
    </w:p>
    <w:p w:rsidR="00993805" w:rsidRPr="001712D7" w:rsidRDefault="00993805" w:rsidP="005A6C63">
      <w:pPr>
        <w:widowControl w:val="0"/>
        <w:suppressAutoHyphens w:val="0"/>
        <w:rPr>
          <w:b/>
        </w:rPr>
      </w:pPr>
      <w:r w:rsidRPr="001712D7">
        <w:rPr>
          <w:b/>
          <w:bCs/>
        </w:rPr>
        <w:t>Восьмое совещание</w:t>
      </w:r>
    </w:p>
    <w:p w:rsidR="00993805" w:rsidRPr="001712D7" w:rsidRDefault="00993805" w:rsidP="005A6C63">
      <w:pPr>
        <w:widowControl w:val="0"/>
        <w:suppressAutoHyphens w:val="0"/>
        <w:spacing w:after="120"/>
      </w:pPr>
      <w:r w:rsidRPr="001712D7">
        <w:t>Женева, 26–28 ноября 2019 года</w:t>
      </w:r>
    </w:p>
    <w:p w:rsidR="00993805" w:rsidRDefault="00993805" w:rsidP="005A6C63">
      <w:pPr>
        <w:pStyle w:val="HChG"/>
      </w:pPr>
      <w:r w:rsidRPr="00E3304B">
        <w:tab/>
      </w:r>
      <w:r w:rsidR="005A6C63">
        <w:tab/>
      </w:r>
      <w:r w:rsidRPr="00E3304B">
        <w:t>Доклад Рабочей группы по оценке воздействия на</w:t>
      </w:r>
      <w:r w:rsidR="005A6C63">
        <w:rPr>
          <w:lang w:val="en-US"/>
        </w:rPr>
        <w:t> </w:t>
      </w:r>
      <w:r w:rsidRPr="00E3304B">
        <w:t>окружающую среду и стратегической экологической оценке</w:t>
      </w:r>
    </w:p>
    <w:p w:rsidR="005A6C63" w:rsidRDefault="005A6C63" w:rsidP="006255BA">
      <w:pPr>
        <w:spacing w:after="120"/>
        <w:rPr>
          <w:sz w:val="28"/>
        </w:rPr>
      </w:pPr>
      <w:r>
        <w:rPr>
          <w:sz w:val="28"/>
        </w:rPr>
        <w:t>Содержание</w:t>
      </w:r>
    </w:p>
    <w:p w:rsidR="005A6C63" w:rsidRDefault="005A6C63" w:rsidP="006255BA">
      <w:pPr>
        <w:tabs>
          <w:tab w:val="right" w:pos="9638"/>
        </w:tabs>
        <w:spacing w:after="120"/>
        <w:ind w:left="283"/>
        <w:rPr>
          <w:sz w:val="18"/>
        </w:rPr>
      </w:pPr>
      <w:r>
        <w:rPr>
          <w:i/>
          <w:sz w:val="18"/>
        </w:rPr>
        <w:tab/>
        <w:t>Стр.</w:t>
      </w:r>
    </w:p>
    <w:p w:rsidR="005A6C63" w:rsidRDefault="005A6C63" w:rsidP="006255BA">
      <w:pPr>
        <w:tabs>
          <w:tab w:val="right" w:pos="850"/>
          <w:tab w:val="left" w:pos="1134"/>
          <w:tab w:val="left" w:pos="1559"/>
          <w:tab w:val="left" w:pos="1984"/>
          <w:tab w:val="left" w:leader="dot" w:pos="8787"/>
          <w:tab w:val="right" w:pos="9638"/>
        </w:tabs>
        <w:spacing w:after="120"/>
        <w:rPr>
          <w:bCs/>
        </w:rPr>
      </w:pPr>
      <w:r>
        <w:tab/>
      </w:r>
      <w:r w:rsidRPr="001712D7">
        <w:t>I.</w:t>
      </w:r>
      <w:r w:rsidRPr="001712D7">
        <w:tab/>
      </w:r>
      <w:r w:rsidRPr="001712D7">
        <w:rPr>
          <w:bCs/>
        </w:rPr>
        <w:t>Введение</w:t>
      </w:r>
      <w:r>
        <w:rPr>
          <w:bCs/>
        </w:rPr>
        <w:tab/>
      </w:r>
      <w:r>
        <w:rPr>
          <w:bCs/>
        </w:rPr>
        <w:tab/>
      </w:r>
      <w:r>
        <w:rPr>
          <w:bCs/>
        </w:rPr>
        <w:tab/>
      </w:r>
      <w:r w:rsidR="00454D97">
        <w:rPr>
          <w:bCs/>
        </w:rPr>
        <w:t>3</w:t>
      </w:r>
    </w:p>
    <w:p w:rsidR="005A6C63" w:rsidRDefault="005A6C63" w:rsidP="006255BA">
      <w:pPr>
        <w:tabs>
          <w:tab w:val="right" w:pos="850"/>
          <w:tab w:val="left" w:pos="1134"/>
          <w:tab w:val="left" w:pos="1559"/>
          <w:tab w:val="left" w:pos="1984"/>
          <w:tab w:val="left" w:leader="dot" w:pos="8787"/>
          <w:tab w:val="right" w:pos="9638"/>
        </w:tabs>
        <w:spacing w:after="120"/>
        <w:rPr>
          <w:bCs/>
        </w:rPr>
      </w:pPr>
      <w:r>
        <w:rPr>
          <w:bCs/>
        </w:rPr>
        <w:tab/>
      </w:r>
      <w:r>
        <w:rPr>
          <w:bCs/>
        </w:rPr>
        <w:tab/>
      </w:r>
      <w:r w:rsidRPr="001712D7">
        <w:t>A.</w:t>
      </w:r>
      <w:r w:rsidRPr="001712D7">
        <w:tab/>
      </w:r>
      <w:r w:rsidRPr="001712D7">
        <w:rPr>
          <w:bCs/>
        </w:rPr>
        <w:t>Участники</w:t>
      </w:r>
      <w:r>
        <w:rPr>
          <w:bCs/>
        </w:rPr>
        <w:tab/>
      </w:r>
      <w:r>
        <w:rPr>
          <w:bCs/>
        </w:rPr>
        <w:tab/>
      </w:r>
      <w:r w:rsidR="00454D97">
        <w:rPr>
          <w:bCs/>
        </w:rPr>
        <w:t>3</w:t>
      </w:r>
    </w:p>
    <w:p w:rsidR="005A6C63" w:rsidRDefault="005A6C63" w:rsidP="006255BA">
      <w:pPr>
        <w:tabs>
          <w:tab w:val="right" w:pos="850"/>
          <w:tab w:val="left" w:pos="1134"/>
          <w:tab w:val="left" w:pos="1559"/>
          <w:tab w:val="left" w:pos="1984"/>
          <w:tab w:val="left" w:leader="dot" w:pos="8787"/>
          <w:tab w:val="right" w:pos="9638"/>
        </w:tabs>
        <w:spacing w:after="120"/>
        <w:rPr>
          <w:bCs/>
        </w:rPr>
      </w:pPr>
      <w:r>
        <w:rPr>
          <w:bCs/>
        </w:rPr>
        <w:tab/>
      </w:r>
      <w:r>
        <w:rPr>
          <w:bCs/>
        </w:rPr>
        <w:tab/>
      </w:r>
      <w:r w:rsidRPr="001712D7">
        <w:t>B.</w:t>
      </w:r>
      <w:r w:rsidRPr="001712D7">
        <w:tab/>
      </w:r>
      <w:r w:rsidRPr="001712D7">
        <w:rPr>
          <w:bCs/>
        </w:rPr>
        <w:t>Организационные вопросы</w:t>
      </w:r>
      <w:r>
        <w:rPr>
          <w:bCs/>
        </w:rPr>
        <w:tab/>
      </w:r>
      <w:r>
        <w:rPr>
          <w:bCs/>
        </w:rPr>
        <w:tab/>
      </w:r>
      <w:r w:rsidR="00454D97">
        <w:rPr>
          <w:bCs/>
        </w:rPr>
        <w:t>3</w:t>
      </w:r>
    </w:p>
    <w:p w:rsidR="005A6C63" w:rsidRDefault="005A6C63" w:rsidP="006255BA">
      <w:pPr>
        <w:tabs>
          <w:tab w:val="right" w:pos="850"/>
          <w:tab w:val="left" w:pos="1134"/>
          <w:tab w:val="left" w:pos="1559"/>
          <w:tab w:val="left" w:pos="1984"/>
          <w:tab w:val="left" w:leader="dot" w:pos="8787"/>
          <w:tab w:val="right" w:pos="9638"/>
        </w:tabs>
        <w:spacing w:after="120"/>
        <w:rPr>
          <w:bCs/>
        </w:rPr>
      </w:pPr>
      <w:r>
        <w:rPr>
          <w:bCs/>
        </w:rPr>
        <w:tab/>
      </w:r>
      <w:r w:rsidRPr="001712D7">
        <w:t>II.</w:t>
      </w:r>
      <w:r w:rsidRPr="001712D7">
        <w:tab/>
      </w:r>
      <w:r w:rsidRPr="001712D7">
        <w:rPr>
          <w:bCs/>
        </w:rPr>
        <w:t>Бюджет, механизмы финансирования и финансовая помощь</w:t>
      </w:r>
      <w:r>
        <w:rPr>
          <w:bCs/>
        </w:rPr>
        <w:tab/>
      </w:r>
      <w:r>
        <w:rPr>
          <w:bCs/>
        </w:rPr>
        <w:tab/>
      </w:r>
      <w:r w:rsidR="00454D97">
        <w:rPr>
          <w:bCs/>
        </w:rPr>
        <w:t>4</w:t>
      </w:r>
    </w:p>
    <w:p w:rsidR="005A6C63" w:rsidRDefault="005A6C63" w:rsidP="006255BA">
      <w:pPr>
        <w:tabs>
          <w:tab w:val="right" w:pos="850"/>
          <w:tab w:val="left" w:pos="1134"/>
          <w:tab w:val="left" w:pos="1559"/>
          <w:tab w:val="left" w:pos="1984"/>
          <w:tab w:val="left" w:leader="dot" w:pos="8787"/>
          <w:tab w:val="right" w:pos="9638"/>
        </w:tabs>
        <w:spacing w:after="120"/>
        <w:rPr>
          <w:bCs/>
        </w:rPr>
      </w:pPr>
      <w:r>
        <w:rPr>
          <w:bCs/>
        </w:rPr>
        <w:tab/>
      </w:r>
      <w:r w:rsidRPr="001712D7">
        <w:t>III.</w:t>
      </w:r>
      <w:r w:rsidRPr="001712D7">
        <w:tab/>
      </w:r>
      <w:r w:rsidRPr="001712D7">
        <w:rPr>
          <w:bCs/>
        </w:rPr>
        <w:t>Положение дел с ратификацией</w:t>
      </w:r>
      <w:r>
        <w:rPr>
          <w:bCs/>
        </w:rPr>
        <w:tab/>
      </w:r>
      <w:r>
        <w:rPr>
          <w:bCs/>
        </w:rPr>
        <w:tab/>
      </w:r>
      <w:r w:rsidR="00454D97">
        <w:rPr>
          <w:bCs/>
        </w:rPr>
        <w:t>5</w:t>
      </w:r>
    </w:p>
    <w:p w:rsidR="005A6C63" w:rsidRDefault="005A6C63" w:rsidP="006255BA">
      <w:pPr>
        <w:tabs>
          <w:tab w:val="right" w:pos="850"/>
          <w:tab w:val="left" w:pos="1134"/>
          <w:tab w:val="left" w:pos="1559"/>
          <w:tab w:val="left" w:pos="1984"/>
          <w:tab w:val="left" w:leader="dot" w:pos="8787"/>
          <w:tab w:val="right" w:pos="9638"/>
        </w:tabs>
        <w:spacing w:after="120"/>
      </w:pPr>
      <w:r>
        <w:rPr>
          <w:bCs/>
        </w:rPr>
        <w:tab/>
      </w:r>
      <w:r w:rsidRPr="001712D7">
        <w:t>IV.</w:t>
      </w:r>
      <w:r w:rsidRPr="001712D7">
        <w:tab/>
        <w:t>Соблюдение и осуществление</w:t>
      </w:r>
      <w:r>
        <w:tab/>
      </w:r>
      <w:r>
        <w:tab/>
      </w:r>
      <w:r w:rsidR="00454D97">
        <w:t>6</w:t>
      </w:r>
    </w:p>
    <w:p w:rsidR="005A6C63" w:rsidRDefault="005A6C63" w:rsidP="006255BA">
      <w:pPr>
        <w:tabs>
          <w:tab w:val="right" w:pos="850"/>
          <w:tab w:val="left" w:pos="1134"/>
          <w:tab w:val="left" w:pos="1559"/>
          <w:tab w:val="left" w:pos="1984"/>
          <w:tab w:val="left" w:leader="dot" w:pos="8787"/>
          <w:tab w:val="right" w:pos="9638"/>
        </w:tabs>
        <w:spacing w:after="120"/>
        <w:rPr>
          <w:bCs/>
        </w:rPr>
      </w:pPr>
      <w:r>
        <w:tab/>
      </w:r>
      <w:r>
        <w:tab/>
      </w:r>
      <w:r w:rsidRPr="001712D7">
        <w:t>A.</w:t>
      </w:r>
      <w:r w:rsidRPr="001712D7">
        <w:tab/>
      </w:r>
      <w:r w:rsidRPr="001712D7">
        <w:rPr>
          <w:bCs/>
        </w:rPr>
        <w:t>Обзор соблюдения</w:t>
      </w:r>
      <w:r>
        <w:rPr>
          <w:bCs/>
        </w:rPr>
        <w:tab/>
      </w:r>
      <w:r>
        <w:rPr>
          <w:bCs/>
        </w:rPr>
        <w:tab/>
      </w:r>
      <w:r w:rsidR="00454D97">
        <w:rPr>
          <w:bCs/>
        </w:rPr>
        <w:t>6</w:t>
      </w:r>
    </w:p>
    <w:p w:rsidR="005A6C63" w:rsidRDefault="005A6C63" w:rsidP="006255BA">
      <w:pPr>
        <w:tabs>
          <w:tab w:val="right" w:pos="850"/>
          <w:tab w:val="left" w:pos="1134"/>
          <w:tab w:val="left" w:pos="1559"/>
          <w:tab w:val="left" w:pos="1984"/>
          <w:tab w:val="left" w:leader="dot" w:pos="8787"/>
          <w:tab w:val="right" w:pos="9638"/>
        </w:tabs>
        <w:spacing w:after="120"/>
        <w:rPr>
          <w:bCs/>
        </w:rPr>
      </w:pPr>
      <w:r>
        <w:rPr>
          <w:bCs/>
        </w:rPr>
        <w:tab/>
      </w:r>
      <w:r>
        <w:rPr>
          <w:bCs/>
        </w:rPr>
        <w:tab/>
      </w:r>
      <w:r w:rsidRPr="001712D7">
        <w:t>B.</w:t>
      </w:r>
      <w:r w:rsidRPr="001712D7">
        <w:tab/>
      </w:r>
      <w:r w:rsidRPr="001712D7">
        <w:rPr>
          <w:bCs/>
        </w:rPr>
        <w:t>Представление отчетности и обзор осуществления</w:t>
      </w:r>
      <w:r>
        <w:rPr>
          <w:bCs/>
        </w:rPr>
        <w:tab/>
      </w:r>
      <w:r>
        <w:rPr>
          <w:bCs/>
        </w:rPr>
        <w:tab/>
      </w:r>
      <w:r w:rsidR="00454D97">
        <w:rPr>
          <w:bCs/>
        </w:rPr>
        <w:t>6</w:t>
      </w:r>
    </w:p>
    <w:p w:rsidR="005A6C63" w:rsidRDefault="005A6C63" w:rsidP="006255BA">
      <w:pPr>
        <w:tabs>
          <w:tab w:val="right" w:pos="850"/>
          <w:tab w:val="left" w:pos="1134"/>
          <w:tab w:val="left" w:pos="1559"/>
          <w:tab w:val="left" w:pos="1984"/>
          <w:tab w:val="left" w:leader="dot" w:pos="8787"/>
          <w:tab w:val="right" w:pos="9638"/>
        </w:tabs>
        <w:spacing w:after="120"/>
        <w:rPr>
          <w:bCs/>
        </w:rPr>
      </w:pPr>
      <w:r>
        <w:rPr>
          <w:bCs/>
        </w:rPr>
        <w:tab/>
      </w:r>
      <w:r>
        <w:rPr>
          <w:bCs/>
        </w:rPr>
        <w:tab/>
      </w:r>
      <w:r w:rsidRPr="001712D7">
        <w:t>C.</w:t>
      </w:r>
      <w:r w:rsidRPr="001712D7">
        <w:tab/>
      </w:r>
      <w:r w:rsidRPr="001712D7">
        <w:rPr>
          <w:bCs/>
        </w:rPr>
        <w:t>Продление срока эксплуатации атомных электростанций</w:t>
      </w:r>
      <w:r>
        <w:rPr>
          <w:bCs/>
        </w:rPr>
        <w:tab/>
      </w:r>
      <w:r>
        <w:rPr>
          <w:bCs/>
        </w:rPr>
        <w:tab/>
      </w:r>
      <w:r w:rsidR="00454D97">
        <w:rPr>
          <w:bCs/>
        </w:rPr>
        <w:t>7</w:t>
      </w:r>
    </w:p>
    <w:p w:rsidR="005A6C63" w:rsidRDefault="005A6C63" w:rsidP="006255BA">
      <w:pPr>
        <w:tabs>
          <w:tab w:val="right" w:pos="850"/>
          <w:tab w:val="left" w:pos="1134"/>
          <w:tab w:val="left" w:pos="1559"/>
          <w:tab w:val="left" w:pos="1984"/>
          <w:tab w:val="left" w:leader="dot" w:pos="8787"/>
          <w:tab w:val="right" w:pos="9638"/>
        </w:tabs>
        <w:spacing w:after="120"/>
        <w:rPr>
          <w:bCs/>
        </w:rPr>
      </w:pPr>
      <w:r>
        <w:rPr>
          <w:bCs/>
        </w:rPr>
        <w:tab/>
      </w:r>
      <w:r>
        <w:rPr>
          <w:bCs/>
        </w:rPr>
        <w:tab/>
      </w:r>
      <w:r w:rsidRPr="001712D7">
        <w:t>D.</w:t>
      </w:r>
      <w:r w:rsidRPr="001712D7">
        <w:tab/>
      </w:r>
      <w:r w:rsidRPr="001712D7">
        <w:rPr>
          <w:bCs/>
        </w:rPr>
        <w:t xml:space="preserve">Помощь в законодательной области в целях поддержки осуществления </w:t>
      </w:r>
      <w:r>
        <w:rPr>
          <w:bCs/>
        </w:rPr>
        <w:br/>
      </w:r>
      <w:r>
        <w:rPr>
          <w:bCs/>
        </w:rPr>
        <w:tab/>
      </w:r>
      <w:r>
        <w:rPr>
          <w:bCs/>
        </w:rPr>
        <w:tab/>
      </w:r>
      <w:r>
        <w:rPr>
          <w:bCs/>
        </w:rPr>
        <w:tab/>
      </w:r>
      <w:r w:rsidRPr="001712D7">
        <w:rPr>
          <w:bCs/>
        </w:rPr>
        <w:t>и ратификации</w:t>
      </w:r>
      <w:r>
        <w:rPr>
          <w:bCs/>
        </w:rPr>
        <w:tab/>
      </w:r>
      <w:r>
        <w:rPr>
          <w:bCs/>
        </w:rPr>
        <w:tab/>
      </w:r>
      <w:r w:rsidR="00454D97">
        <w:rPr>
          <w:bCs/>
        </w:rPr>
        <w:t>8</w:t>
      </w:r>
    </w:p>
    <w:p w:rsidR="005A6C63" w:rsidRDefault="005A6C63" w:rsidP="006255BA">
      <w:pPr>
        <w:tabs>
          <w:tab w:val="right" w:pos="850"/>
          <w:tab w:val="left" w:pos="1134"/>
          <w:tab w:val="left" w:pos="1559"/>
          <w:tab w:val="left" w:pos="1984"/>
          <w:tab w:val="left" w:leader="dot" w:pos="8787"/>
          <w:tab w:val="right" w:pos="9638"/>
        </w:tabs>
        <w:spacing w:after="120"/>
        <w:rPr>
          <w:bCs/>
        </w:rPr>
      </w:pPr>
      <w:r>
        <w:rPr>
          <w:bCs/>
        </w:rPr>
        <w:lastRenderedPageBreak/>
        <w:tab/>
      </w:r>
      <w:r>
        <w:rPr>
          <w:bCs/>
        </w:rPr>
        <w:tab/>
      </w:r>
      <w:r w:rsidRPr="001712D7">
        <w:t>E.</w:t>
      </w:r>
      <w:r w:rsidRPr="001712D7">
        <w:tab/>
      </w:r>
      <w:r w:rsidRPr="001712D7">
        <w:rPr>
          <w:bCs/>
        </w:rPr>
        <w:t xml:space="preserve">Проект долгосрочной стратегии и плана действий по применению Конвенции </w:t>
      </w:r>
      <w:r>
        <w:rPr>
          <w:bCs/>
        </w:rPr>
        <w:br/>
      </w:r>
      <w:r>
        <w:rPr>
          <w:bCs/>
        </w:rPr>
        <w:tab/>
      </w:r>
      <w:r>
        <w:rPr>
          <w:bCs/>
        </w:rPr>
        <w:tab/>
      </w:r>
      <w:r>
        <w:rPr>
          <w:bCs/>
        </w:rPr>
        <w:tab/>
      </w:r>
      <w:r w:rsidRPr="001712D7">
        <w:rPr>
          <w:bCs/>
        </w:rPr>
        <w:t>и Протокола в будущем</w:t>
      </w:r>
      <w:r>
        <w:rPr>
          <w:bCs/>
        </w:rPr>
        <w:tab/>
      </w:r>
      <w:r>
        <w:rPr>
          <w:bCs/>
        </w:rPr>
        <w:tab/>
      </w:r>
      <w:r w:rsidR="00454D97">
        <w:rPr>
          <w:bCs/>
        </w:rPr>
        <w:t>9</w:t>
      </w:r>
    </w:p>
    <w:p w:rsidR="005A6C63" w:rsidRDefault="005A6C63" w:rsidP="006255BA">
      <w:pPr>
        <w:tabs>
          <w:tab w:val="right" w:pos="850"/>
          <w:tab w:val="left" w:pos="1134"/>
          <w:tab w:val="left" w:pos="1559"/>
          <w:tab w:val="left" w:pos="1984"/>
          <w:tab w:val="left" w:leader="dot" w:pos="8787"/>
          <w:tab w:val="right" w:pos="9638"/>
        </w:tabs>
        <w:spacing w:after="120"/>
        <w:rPr>
          <w:bCs/>
        </w:rPr>
      </w:pPr>
      <w:r>
        <w:rPr>
          <w:bCs/>
        </w:rPr>
        <w:tab/>
      </w:r>
      <w:r w:rsidRPr="001712D7">
        <w:t>V.</w:t>
      </w:r>
      <w:r w:rsidRPr="001712D7">
        <w:tab/>
      </w:r>
      <w:r w:rsidRPr="001712D7">
        <w:rPr>
          <w:bCs/>
        </w:rPr>
        <w:t>Субрегиональное сотрудничество и наращивание потенциала</w:t>
      </w:r>
      <w:r>
        <w:rPr>
          <w:bCs/>
        </w:rPr>
        <w:tab/>
      </w:r>
      <w:r>
        <w:rPr>
          <w:bCs/>
        </w:rPr>
        <w:tab/>
      </w:r>
      <w:r w:rsidR="00454D97">
        <w:rPr>
          <w:bCs/>
        </w:rPr>
        <w:t>9</w:t>
      </w:r>
    </w:p>
    <w:p w:rsidR="005A6C63" w:rsidRDefault="005A6C63" w:rsidP="006255BA">
      <w:pPr>
        <w:tabs>
          <w:tab w:val="right" w:pos="850"/>
          <w:tab w:val="left" w:pos="1134"/>
          <w:tab w:val="left" w:pos="1559"/>
          <w:tab w:val="left" w:pos="1984"/>
          <w:tab w:val="left" w:leader="dot" w:pos="8787"/>
          <w:tab w:val="right" w:pos="9638"/>
        </w:tabs>
        <w:spacing w:after="120"/>
        <w:rPr>
          <w:bCs/>
        </w:rPr>
      </w:pPr>
      <w:r>
        <w:rPr>
          <w:bCs/>
        </w:rPr>
        <w:tab/>
      </w:r>
      <w:r w:rsidRPr="001712D7">
        <w:t>VI.</w:t>
      </w:r>
      <w:r w:rsidRPr="001712D7">
        <w:tab/>
      </w:r>
      <w:r w:rsidRPr="001712D7">
        <w:rPr>
          <w:bCs/>
        </w:rPr>
        <w:t xml:space="preserve">Содействие ратификации и применению Протокола и </w:t>
      </w:r>
      <w:r>
        <w:rPr>
          <w:bCs/>
        </w:rPr>
        <w:t>Конвенции</w:t>
      </w:r>
      <w:r>
        <w:rPr>
          <w:bCs/>
        </w:rPr>
        <w:tab/>
      </w:r>
      <w:r>
        <w:rPr>
          <w:bCs/>
        </w:rPr>
        <w:tab/>
      </w:r>
      <w:r w:rsidR="00454D97">
        <w:rPr>
          <w:bCs/>
        </w:rPr>
        <w:t>10</w:t>
      </w:r>
    </w:p>
    <w:p w:rsidR="005A6C63" w:rsidRDefault="005A6C63" w:rsidP="006255BA">
      <w:pPr>
        <w:tabs>
          <w:tab w:val="right" w:pos="850"/>
          <w:tab w:val="left" w:pos="1134"/>
          <w:tab w:val="left" w:pos="1559"/>
          <w:tab w:val="left" w:pos="1984"/>
          <w:tab w:val="left" w:leader="dot" w:pos="8787"/>
          <w:tab w:val="right" w:pos="9638"/>
        </w:tabs>
        <w:spacing w:after="120"/>
        <w:rPr>
          <w:bCs/>
        </w:rPr>
      </w:pPr>
      <w:r>
        <w:rPr>
          <w:bCs/>
        </w:rPr>
        <w:tab/>
      </w:r>
      <w:r w:rsidRPr="001712D7">
        <w:t>VII.</w:t>
      </w:r>
      <w:r w:rsidRPr="001712D7">
        <w:tab/>
      </w:r>
      <w:r w:rsidRPr="001712D7">
        <w:rPr>
          <w:bCs/>
        </w:rPr>
        <w:t>Обмен информацией о надлежащей практике</w:t>
      </w:r>
      <w:r>
        <w:rPr>
          <w:bCs/>
        </w:rPr>
        <w:tab/>
      </w:r>
      <w:r>
        <w:rPr>
          <w:bCs/>
        </w:rPr>
        <w:tab/>
      </w:r>
      <w:r w:rsidR="00454D97">
        <w:rPr>
          <w:bCs/>
        </w:rPr>
        <w:t>11</w:t>
      </w:r>
    </w:p>
    <w:p w:rsidR="005A6C63" w:rsidRDefault="005A6C63" w:rsidP="006255BA">
      <w:pPr>
        <w:tabs>
          <w:tab w:val="right" w:pos="850"/>
          <w:tab w:val="left" w:pos="1134"/>
          <w:tab w:val="left" w:pos="1559"/>
          <w:tab w:val="left" w:pos="1984"/>
          <w:tab w:val="left" w:leader="dot" w:pos="8787"/>
          <w:tab w:val="right" w:pos="9638"/>
        </w:tabs>
        <w:spacing w:after="120"/>
        <w:rPr>
          <w:bCs/>
        </w:rPr>
      </w:pPr>
      <w:r>
        <w:rPr>
          <w:bCs/>
        </w:rPr>
        <w:tab/>
      </w:r>
      <w:r>
        <w:rPr>
          <w:bCs/>
        </w:rPr>
        <w:tab/>
      </w:r>
      <w:r w:rsidRPr="001712D7">
        <w:t>A.</w:t>
      </w:r>
      <w:r w:rsidRPr="001712D7">
        <w:tab/>
      </w:r>
      <w:r w:rsidRPr="001712D7">
        <w:rPr>
          <w:bCs/>
        </w:rPr>
        <w:t xml:space="preserve">Рабочее совещание по вопросам оценки воздействия на здоровье и участия </w:t>
      </w:r>
      <w:r>
        <w:rPr>
          <w:bCs/>
        </w:rPr>
        <w:br/>
      </w:r>
      <w:r>
        <w:rPr>
          <w:bCs/>
        </w:rPr>
        <w:tab/>
      </w:r>
      <w:r>
        <w:rPr>
          <w:bCs/>
        </w:rPr>
        <w:tab/>
      </w:r>
      <w:r>
        <w:rPr>
          <w:bCs/>
        </w:rPr>
        <w:tab/>
      </w:r>
      <w:r w:rsidRPr="001712D7">
        <w:rPr>
          <w:bCs/>
        </w:rPr>
        <w:t>сектора здравоохранения в стратегической экологической оценке</w:t>
      </w:r>
      <w:r>
        <w:rPr>
          <w:bCs/>
        </w:rPr>
        <w:tab/>
      </w:r>
      <w:r>
        <w:rPr>
          <w:bCs/>
        </w:rPr>
        <w:tab/>
      </w:r>
      <w:r w:rsidR="00454D97">
        <w:rPr>
          <w:bCs/>
        </w:rPr>
        <w:t>11</w:t>
      </w:r>
    </w:p>
    <w:p w:rsidR="005A6C63" w:rsidRDefault="005A6C63" w:rsidP="006255BA">
      <w:pPr>
        <w:tabs>
          <w:tab w:val="right" w:pos="850"/>
          <w:tab w:val="left" w:pos="1134"/>
          <w:tab w:val="left" w:pos="1559"/>
          <w:tab w:val="left" w:pos="1984"/>
          <w:tab w:val="left" w:leader="dot" w:pos="8787"/>
          <w:tab w:val="right" w:pos="9638"/>
        </w:tabs>
        <w:spacing w:after="120"/>
        <w:rPr>
          <w:bCs/>
        </w:rPr>
      </w:pPr>
      <w:r>
        <w:rPr>
          <w:bCs/>
        </w:rPr>
        <w:tab/>
      </w:r>
      <w:r>
        <w:rPr>
          <w:bCs/>
        </w:rPr>
        <w:tab/>
      </w:r>
      <w:r w:rsidRPr="001712D7">
        <w:t>B.</w:t>
      </w:r>
      <w:r w:rsidRPr="001712D7">
        <w:tab/>
      </w:r>
      <w:r w:rsidRPr="001712D7">
        <w:rPr>
          <w:bCs/>
        </w:rPr>
        <w:t xml:space="preserve">Проект руководства по оценке последствий для здоровья в рамках </w:t>
      </w:r>
      <w:r>
        <w:rPr>
          <w:bCs/>
        </w:rPr>
        <w:br/>
      </w:r>
      <w:r>
        <w:rPr>
          <w:bCs/>
        </w:rPr>
        <w:tab/>
      </w:r>
      <w:r>
        <w:rPr>
          <w:bCs/>
        </w:rPr>
        <w:tab/>
      </w:r>
      <w:r>
        <w:rPr>
          <w:bCs/>
        </w:rPr>
        <w:tab/>
      </w:r>
      <w:r w:rsidRPr="001712D7">
        <w:rPr>
          <w:bCs/>
        </w:rPr>
        <w:t>стратегической экологической оценки</w:t>
      </w:r>
      <w:r>
        <w:rPr>
          <w:bCs/>
        </w:rPr>
        <w:tab/>
      </w:r>
      <w:r>
        <w:rPr>
          <w:bCs/>
        </w:rPr>
        <w:tab/>
      </w:r>
      <w:r w:rsidR="00454D97">
        <w:rPr>
          <w:bCs/>
        </w:rPr>
        <w:t>13</w:t>
      </w:r>
    </w:p>
    <w:p w:rsidR="005A6C63" w:rsidRDefault="005A6C63" w:rsidP="006255BA">
      <w:pPr>
        <w:tabs>
          <w:tab w:val="right" w:pos="850"/>
          <w:tab w:val="left" w:pos="1134"/>
          <w:tab w:val="left" w:pos="1559"/>
          <w:tab w:val="left" w:pos="1984"/>
          <w:tab w:val="left" w:leader="dot" w:pos="8787"/>
          <w:tab w:val="right" w:pos="9638"/>
        </w:tabs>
        <w:spacing w:after="120"/>
        <w:rPr>
          <w:bCs/>
        </w:rPr>
      </w:pPr>
      <w:r>
        <w:rPr>
          <w:bCs/>
        </w:rPr>
        <w:tab/>
      </w:r>
      <w:r>
        <w:rPr>
          <w:bCs/>
        </w:rPr>
        <w:tab/>
      </w:r>
      <w:r w:rsidRPr="001712D7">
        <w:t>C.</w:t>
      </w:r>
      <w:r w:rsidRPr="001712D7">
        <w:tab/>
      </w:r>
      <w:r w:rsidRPr="001712D7">
        <w:rPr>
          <w:bCs/>
        </w:rPr>
        <w:t>Другие мероприятия по обмену информацией о надлежащей практике</w:t>
      </w:r>
      <w:r>
        <w:rPr>
          <w:bCs/>
        </w:rPr>
        <w:tab/>
      </w:r>
      <w:r>
        <w:rPr>
          <w:bCs/>
        </w:rPr>
        <w:tab/>
      </w:r>
      <w:r w:rsidR="00454D97">
        <w:rPr>
          <w:bCs/>
        </w:rPr>
        <w:t>13</w:t>
      </w:r>
    </w:p>
    <w:p w:rsidR="005A6C63" w:rsidRDefault="005A6C63" w:rsidP="006255BA">
      <w:pPr>
        <w:tabs>
          <w:tab w:val="right" w:pos="850"/>
          <w:tab w:val="left" w:pos="1134"/>
          <w:tab w:val="left" w:pos="1559"/>
          <w:tab w:val="left" w:pos="1984"/>
          <w:tab w:val="left" w:leader="dot" w:pos="8787"/>
          <w:tab w:val="right" w:pos="9638"/>
        </w:tabs>
        <w:spacing w:after="120"/>
        <w:rPr>
          <w:bCs/>
        </w:rPr>
      </w:pPr>
      <w:r>
        <w:rPr>
          <w:bCs/>
        </w:rPr>
        <w:tab/>
      </w:r>
      <w:r>
        <w:rPr>
          <w:bCs/>
        </w:rPr>
        <w:tab/>
      </w:r>
      <w:r w:rsidRPr="001712D7">
        <w:t>D.</w:t>
      </w:r>
      <w:r w:rsidRPr="001712D7">
        <w:tab/>
      </w:r>
      <w:r w:rsidRPr="001712D7">
        <w:rPr>
          <w:bCs/>
        </w:rPr>
        <w:t>Практика государств из других регионов</w:t>
      </w:r>
      <w:r>
        <w:rPr>
          <w:bCs/>
        </w:rPr>
        <w:tab/>
      </w:r>
      <w:r>
        <w:rPr>
          <w:bCs/>
        </w:rPr>
        <w:tab/>
      </w:r>
      <w:r w:rsidR="00454D97">
        <w:rPr>
          <w:bCs/>
        </w:rPr>
        <w:t>14</w:t>
      </w:r>
    </w:p>
    <w:p w:rsidR="005A6C63" w:rsidRDefault="005A6C63" w:rsidP="006255BA">
      <w:pPr>
        <w:tabs>
          <w:tab w:val="right" w:pos="850"/>
          <w:tab w:val="left" w:pos="1134"/>
          <w:tab w:val="left" w:pos="1559"/>
          <w:tab w:val="left" w:pos="1984"/>
          <w:tab w:val="left" w:leader="dot" w:pos="8787"/>
          <w:tab w:val="right" w:pos="9638"/>
        </w:tabs>
        <w:spacing w:after="120"/>
        <w:rPr>
          <w:bCs/>
        </w:rPr>
      </w:pPr>
      <w:r>
        <w:rPr>
          <w:bCs/>
        </w:rPr>
        <w:tab/>
      </w:r>
      <w:r w:rsidRPr="001712D7">
        <w:t>VIII.</w:t>
      </w:r>
      <w:r w:rsidRPr="001712D7">
        <w:tab/>
      </w:r>
      <w:r w:rsidRPr="001712D7">
        <w:rPr>
          <w:bCs/>
        </w:rPr>
        <w:t>Подготовка к следующим сессиям Совещаний Сторон</w:t>
      </w:r>
      <w:r>
        <w:rPr>
          <w:bCs/>
        </w:rPr>
        <w:tab/>
      </w:r>
      <w:r>
        <w:rPr>
          <w:bCs/>
        </w:rPr>
        <w:tab/>
      </w:r>
      <w:r w:rsidR="00454D97">
        <w:rPr>
          <w:bCs/>
        </w:rPr>
        <w:t>14</w:t>
      </w:r>
    </w:p>
    <w:p w:rsidR="005A6C63" w:rsidRDefault="005A6C63" w:rsidP="006255BA">
      <w:pPr>
        <w:tabs>
          <w:tab w:val="right" w:pos="850"/>
          <w:tab w:val="left" w:pos="1134"/>
          <w:tab w:val="left" w:pos="1559"/>
          <w:tab w:val="left" w:pos="1984"/>
          <w:tab w:val="left" w:leader="dot" w:pos="8787"/>
          <w:tab w:val="right" w:pos="9638"/>
        </w:tabs>
        <w:spacing w:after="120"/>
        <w:rPr>
          <w:bCs/>
        </w:rPr>
      </w:pPr>
      <w:r>
        <w:rPr>
          <w:bCs/>
        </w:rPr>
        <w:tab/>
      </w:r>
      <w:r>
        <w:rPr>
          <w:bCs/>
        </w:rPr>
        <w:tab/>
      </w:r>
      <w:r w:rsidRPr="001712D7">
        <w:t>A.</w:t>
      </w:r>
      <w:r w:rsidRPr="001712D7">
        <w:tab/>
      </w:r>
      <w:r w:rsidRPr="001712D7">
        <w:rPr>
          <w:bCs/>
        </w:rPr>
        <w:t>Уроки, извлеченные из предыдущих сессий</w:t>
      </w:r>
      <w:r>
        <w:rPr>
          <w:bCs/>
        </w:rPr>
        <w:tab/>
      </w:r>
      <w:r>
        <w:rPr>
          <w:bCs/>
        </w:rPr>
        <w:tab/>
      </w:r>
      <w:r w:rsidR="00454D97">
        <w:rPr>
          <w:bCs/>
        </w:rPr>
        <w:t>14</w:t>
      </w:r>
    </w:p>
    <w:p w:rsidR="005A6C63" w:rsidRDefault="005A6C63" w:rsidP="006255BA">
      <w:pPr>
        <w:tabs>
          <w:tab w:val="right" w:pos="850"/>
          <w:tab w:val="left" w:pos="1134"/>
          <w:tab w:val="left" w:pos="1559"/>
          <w:tab w:val="left" w:pos="1984"/>
          <w:tab w:val="left" w:leader="dot" w:pos="8787"/>
          <w:tab w:val="right" w:pos="9638"/>
        </w:tabs>
        <w:spacing w:after="120"/>
        <w:rPr>
          <w:bCs/>
        </w:rPr>
      </w:pPr>
      <w:r>
        <w:rPr>
          <w:bCs/>
        </w:rPr>
        <w:tab/>
      </w:r>
      <w:r>
        <w:rPr>
          <w:bCs/>
        </w:rPr>
        <w:tab/>
      </w:r>
      <w:r w:rsidRPr="001712D7">
        <w:t>B.</w:t>
      </w:r>
      <w:r w:rsidRPr="001712D7">
        <w:tab/>
      </w:r>
      <w:r w:rsidRPr="001712D7">
        <w:rPr>
          <w:bCs/>
        </w:rPr>
        <w:t>Практические аспекты</w:t>
      </w:r>
      <w:r>
        <w:rPr>
          <w:bCs/>
        </w:rPr>
        <w:tab/>
      </w:r>
      <w:r>
        <w:rPr>
          <w:bCs/>
        </w:rPr>
        <w:tab/>
      </w:r>
      <w:r w:rsidR="00454D97">
        <w:rPr>
          <w:bCs/>
        </w:rPr>
        <w:t>14</w:t>
      </w:r>
    </w:p>
    <w:p w:rsidR="005A6C63" w:rsidRDefault="005A6C63" w:rsidP="006255BA">
      <w:pPr>
        <w:tabs>
          <w:tab w:val="right" w:pos="850"/>
          <w:tab w:val="left" w:pos="1134"/>
          <w:tab w:val="left" w:pos="1559"/>
          <w:tab w:val="left" w:pos="1984"/>
          <w:tab w:val="left" w:leader="dot" w:pos="8787"/>
          <w:tab w:val="right" w:pos="9638"/>
        </w:tabs>
        <w:spacing w:after="120"/>
        <w:rPr>
          <w:bCs/>
        </w:rPr>
      </w:pPr>
      <w:r>
        <w:rPr>
          <w:bCs/>
        </w:rPr>
        <w:tab/>
      </w:r>
      <w:r>
        <w:rPr>
          <w:bCs/>
        </w:rPr>
        <w:tab/>
      </w:r>
      <w:r w:rsidRPr="001712D7">
        <w:t>C.</w:t>
      </w:r>
      <w:r w:rsidRPr="001712D7">
        <w:tab/>
      </w:r>
      <w:r w:rsidRPr="001712D7">
        <w:rPr>
          <w:bCs/>
        </w:rPr>
        <w:t>Предварительная программа работы</w:t>
      </w:r>
      <w:r>
        <w:rPr>
          <w:bCs/>
        </w:rPr>
        <w:tab/>
      </w:r>
      <w:r>
        <w:rPr>
          <w:bCs/>
        </w:rPr>
        <w:tab/>
      </w:r>
      <w:r w:rsidR="00454D97">
        <w:rPr>
          <w:bCs/>
        </w:rPr>
        <w:t>14</w:t>
      </w:r>
    </w:p>
    <w:p w:rsidR="005A6C63" w:rsidRDefault="005A6C63" w:rsidP="006255BA">
      <w:pPr>
        <w:tabs>
          <w:tab w:val="right" w:pos="850"/>
          <w:tab w:val="left" w:pos="1134"/>
          <w:tab w:val="left" w:pos="1559"/>
          <w:tab w:val="left" w:pos="1984"/>
          <w:tab w:val="left" w:leader="dot" w:pos="8787"/>
          <w:tab w:val="right" w:pos="9638"/>
        </w:tabs>
        <w:spacing w:after="120"/>
        <w:rPr>
          <w:bCs/>
        </w:rPr>
      </w:pPr>
      <w:r>
        <w:rPr>
          <w:bCs/>
        </w:rPr>
        <w:tab/>
      </w:r>
      <w:r>
        <w:rPr>
          <w:bCs/>
        </w:rPr>
        <w:tab/>
      </w:r>
      <w:r w:rsidRPr="001712D7">
        <w:t>D.</w:t>
      </w:r>
      <w:r w:rsidRPr="001712D7">
        <w:tab/>
      </w:r>
      <w:r w:rsidRPr="001712D7">
        <w:rPr>
          <w:bCs/>
        </w:rPr>
        <w:t>Перечень проектов документов и решений</w:t>
      </w:r>
      <w:r>
        <w:rPr>
          <w:bCs/>
        </w:rPr>
        <w:tab/>
      </w:r>
      <w:r>
        <w:rPr>
          <w:bCs/>
        </w:rPr>
        <w:tab/>
      </w:r>
      <w:r w:rsidR="00454D97">
        <w:rPr>
          <w:bCs/>
        </w:rPr>
        <w:t>15</w:t>
      </w:r>
    </w:p>
    <w:p w:rsidR="005A6C63" w:rsidRDefault="005A6C63" w:rsidP="006255BA">
      <w:pPr>
        <w:tabs>
          <w:tab w:val="right" w:pos="850"/>
          <w:tab w:val="left" w:pos="1134"/>
          <w:tab w:val="left" w:pos="1559"/>
          <w:tab w:val="left" w:pos="1984"/>
          <w:tab w:val="left" w:leader="dot" w:pos="8787"/>
          <w:tab w:val="right" w:pos="9638"/>
        </w:tabs>
        <w:spacing w:after="120"/>
        <w:rPr>
          <w:bCs/>
        </w:rPr>
      </w:pPr>
      <w:r>
        <w:rPr>
          <w:bCs/>
        </w:rPr>
        <w:tab/>
      </w:r>
      <w:r>
        <w:rPr>
          <w:bCs/>
        </w:rPr>
        <w:tab/>
      </w:r>
      <w:r w:rsidRPr="001712D7">
        <w:t>E.</w:t>
      </w:r>
      <w:r w:rsidRPr="001712D7">
        <w:tab/>
      </w:r>
      <w:r w:rsidRPr="001712D7">
        <w:rPr>
          <w:bCs/>
        </w:rPr>
        <w:t>Председатели сессий</w:t>
      </w:r>
      <w:r>
        <w:rPr>
          <w:bCs/>
        </w:rPr>
        <w:tab/>
      </w:r>
      <w:r>
        <w:rPr>
          <w:bCs/>
        </w:rPr>
        <w:tab/>
      </w:r>
      <w:r w:rsidR="00454D97">
        <w:rPr>
          <w:bCs/>
        </w:rPr>
        <w:t>15</w:t>
      </w:r>
    </w:p>
    <w:p w:rsidR="005A6C63" w:rsidRDefault="005A6C63" w:rsidP="006255BA">
      <w:pPr>
        <w:tabs>
          <w:tab w:val="right" w:pos="850"/>
          <w:tab w:val="left" w:pos="1134"/>
          <w:tab w:val="left" w:pos="1559"/>
          <w:tab w:val="left" w:pos="1984"/>
          <w:tab w:val="left" w:leader="dot" w:pos="8787"/>
          <w:tab w:val="right" w:pos="9638"/>
        </w:tabs>
        <w:spacing w:after="120"/>
        <w:rPr>
          <w:bCs/>
        </w:rPr>
      </w:pPr>
      <w:r>
        <w:rPr>
          <w:bCs/>
        </w:rPr>
        <w:tab/>
      </w:r>
      <w:r>
        <w:rPr>
          <w:bCs/>
        </w:rPr>
        <w:tab/>
      </w:r>
      <w:r w:rsidRPr="001712D7">
        <w:t>F.</w:t>
      </w:r>
      <w:r w:rsidRPr="001712D7">
        <w:tab/>
      </w:r>
      <w:r w:rsidRPr="001712D7">
        <w:rPr>
          <w:bCs/>
        </w:rPr>
        <w:t xml:space="preserve">Возможные мероприятия для следующего проекта плана работы </w:t>
      </w:r>
      <w:r>
        <w:rPr>
          <w:bCs/>
        </w:rPr>
        <w:br/>
      </w:r>
      <w:r>
        <w:rPr>
          <w:bCs/>
        </w:rPr>
        <w:tab/>
      </w:r>
      <w:r>
        <w:rPr>
          <w:bCs/>
        </w:rPr>
        <w:tab/>
      </w:r>
      <w:r>
        <w:rPr>
          <w:bCs/>
        </w:rPr>
        <w:tab/>
      </w:r>
      <w:r w:rsidRPr="001712D7">
        <w:rPr>
          <w:bCs/>
        </w:rPr>
        <w:t>(на 2021–2023 годы)</w:t>
      </w:r>
      <w:r>
        <w:rPr>
          <w:bCs/>
        </w:rPr>
        <w:tab/>
      </w:r>
      <w:r>
        <w:rPr>
          <w:bCs/>
        </w:rPr>
        <w:tab/>
      </w:r>
      <w:r w:rsidR="00454D97">
        <w:rPr>
          <w:bCs/>
        </w:rPr>
        <w:t>15</w:t>
      </w:r>
    </w:p>
    <w:p w:rsidR="005A6C63" w:rsidRDefault="005A6C63" w:rsidP="006255BA">
      <w:pPr>
        <w:tabs>
          <w:tab w:val="right" w:pos="850"/>
          <w:tab w:val="left" w:pos="1134"/>
          <w:tab w:val="left" w:pos="1559"/>
          <w:tab w:val="left" w:pos="1984"/>
          <w:tab w:val="left" w:leader="dot" w:pos="8787"/>
          <w:tab w:val="right" w:pos="9638"/>
        </w:tabs>
        <w:spacing w:after="120"/>
        <w:rPr>
          <w:bCs/>
        </w:rPr>
      </w:pPr>
      <w:r>
        <w:rPr>
          <w:bCs/>
        </w:rPr>
        <w:tab/>
      </w:r>
      <w:r>
        <w:rPr>
          <w:bCs/>
        </w:rPr>
        <w:tab/>
      </w:r>
      <w:r w:rsidRPr="001712D7">
        <w:t>G.</w:t>
      </w:r>
      <w:r w:rsidRPr="001712D7">
        <w:tab/>
      </w:r>
      <w:r w:rsidRPr="001712D7">
        <w:rPr>
          <w:bCs/>
        </w:rPr>
        <w:t>Предварительное расписание совещаний на следующий межсессионный период</w:t>
      </w:r>
      <w:r>
        <w:rPr>
          <w:bCs/>
        </w:rPr>
        <w:tab/>
      </w:r>
      <w:r>
        <w:rPr>
          <w:bCs/>
        </w:rPr>
        <w:tab/>
      </w:r>
      <w:r w:rsidR="00454D97">
        <w:rPr>
          <w:bCs/>
        </w:rPr>
        <w:t>16</w:t>
      </w:r>
    </w:p>
    <w:p w:rsidR="005A6C63" w:rsidRDefault="005A6C63" w:rsidP="006255BA">
      <w:pPr>
        <w:tabs>
          <w:tab w:val="right" w:pos="850"/>
          <w:tab w:val="left" w:pos="1134"/>
          <w:tab w:val="left" w:pos="1559"/>
          <w:tab w:val="left" w:pos="1984"/>
          <w:tab w:val="left" w:leader="dot" w:pos="8787"/>
          <w:tab w:val="right" w:pos="9638"/>
        </w:tabs>
        <w:spacing w:after="120"/>
        <w:rPr>
          <w:bCs/>
        </w:rPr>
      </w:pPr>
      <w:r>
        <w:rPr>
          <w:bCs/>
        </w:rPr>
        <w:tab/>
      </w:r>
      <w:r>
        <w:rPr>
          <w:bCs/>
        </w:rPr>
        <w:tab/>
      </w:r>
      <w:r w:rsidRPr="001712D7">
        <w:t>H.</w:t>
      </w:r>
      <w:r w:rsidRPr="001712D7">
        <w:tab/>
      </w:r>
      <w:r w:rsidRPr="001712D7">
        <w:rPr>
          <w:bCs/>
        </w:rPr>
        <w:t>Должностные лица на следующий межсессионный период</w:t>
      </w:r>
      <w:r>
        <w:rPr>
          <w:bCs/>
        </w:rPr>
        <w:tab/>
      </w:r>
      <w:r>
        <w:rPr>
          <w:bCs/>
        </w:rPr>
        <w:tab/>
      </w:r>
      <w:r w:rsidR="00454D97">
        <w:rPr>
          <w:bCs/>
        </w:rPr>
        <w:t>16</w:t>
      </w:r>
    </w:p>
    <w:p w:rsidR="005A6C63" w:rsidRDefault="005A6C63" w:rsidP="006255BA">
      <w:pPr>
        <w:tabs>
          <w:tab w:val="right" w:pos="850"/>
          <w:tab w:val="left" w:pos="1134"/>
          <w:tab w:val="left" w:pos="1559"/>
          <w:tab w:val="left" w:pos="1984"/>
          <w:tab w:val="left" w:leader="dot" w:pos="8787"/>
          <w:tab w:val="right" w:pos="9638"/>
        </w:tabs>
        <w:spacing w:after="120"/>
        <w:rPr>
          <w:bCs/>
        </w:rPr>
      </w:pPr>
      <w:r>
        <w:rPr>
          <w:bCs/>
        </w:rPr>
        <w:tab/>
      </w:r>
      <w:r w:rsidRPr="001712D7">
        <w:t>IX.</w:t>
      </w:r>
      <w:r w:rsidRPr="001712D7">
        <w:tab/>
      </w:r>
      <w:r w:rsidRPr="001712D7">
        <w:rPr>
          <w:bCs/>
        </w:rPr>
        <w:t>Вклад в смежные международные процессы</w:t>
      </w:r>
      <w:r>
        <w:rPr>
          <w:bCs/>
        </w:rPr>
        <w:tab/>
      </w:r>
      <w:r>
        <w:rPr>
          <w:bCs/>
        </w:rPr>
        <w:tab/>
      </w:r>
      <w:r w:rsidR="00454D97">
        <w:rPr>
          <w:bCs/>
        </w:rPr>
        <w:t>16</w:t>
      </w:r>
    </w:p>
    <w:p w:rsidR="005A6C63" w:rsidRDefault="005A6C63" w:rsidP="006255BA">
      <w:pPr>
        <w:tabs>
          <w:tab w:val="right" w:pos="850"/>
          <w:tab w:val="left" w:pos="1134"/>
          <w:tab w:val="left" w:pos="1559"/>
          <w:tab w:val="left" w:pos="1984"/>
          <w:tab w:val="left" w:leader="dot" w:pos="8787"/>
          <w:tab w:val="right" w:pos="9638"/>
        </w:tabs>
        <w:spacing w:after="120"/>
        <w:rPr>
          <w:bCs/>
        </w:rPr>
      </w:pPr>
      <w:r>
        <w:rPr>
          <w:bCs/>
        </w:rPr>
        <w:tab/>
      </w:r>
      <w:r w:rsidRPr="001712D7">
        <w:t>X.</w:t>
      </w:r>
      <w:r w:rsidRPr="001712D7">
        <w:tab/>
      </w:r>
      <w:r w:rsidRPr="001712D7">
        <w:rPr>
          <w:bCs/>
        </w:rPr>
        <w:t>Прочие вопросы</w:t>
      </w:r>
      <w:r>
        <w:rPr>
          <w:bCs/>
        </w:rPr>
        <w:tab/>
      </w:r>
      <w:r>
        <w:rPr>
          <w:bCs/>
        </w:rPr>
        <w:tab/>
      </w:r>
      <w:r w:rsidR="00454D97">
        <w:rPr>
          <w:bCs/>
        </w:rPr>
        <w:t>17</w:t>
      </w:r>
    </w:p>
    <w:p w:rsidR="005A6C63" w:rsidRDefault="005A6C63" w:rsidP="006255BA">
      <w:pPr>
        <w:tabs>
          <w:tab w:val="right" w:pos="850"/>
          <w:tab w:val="left" w:pos="1134"/>
          <w:tab w:val="left" w:pos="1559"/>
          <w:tab w:val="left" w:pos="1984"/>
          <w:tab w:val="left" w:leader="dot" w:pos="8787"/>
          <w:tab w:val="right" w:pos="9638"/>
        </w:tabs>
        <w:spacing w:after="120"/>
        <w:rPr>
          <w:bCs/>
        </w:rPr>
      </w:pPr>
      <w:r>
        <w:rPr>
          <w:bCs/>
        </w:rPr>
        <w:tab/>
      </w:r>
      <w:r w:rsidRPr="001712D7">
        <w:t>XI.</w:t>
      </w:r>
      <w:r w:rsidRPr="001712D7">
        <w:tab/>
      </w:r>
      <w:r w:rsidRPr="001712D7">
        <w:rPr>
          <w:bCs/>
        </w:rPr>
        <w:t>Представление основных принятых решений и закрытие совещания</w:t>
      </w:r>
      <w:r>
        <w:rPr>
          <w:bCs/>
        </w:rPr>
        <w:tab/>
      </w:r>
      <w:r>
        <w:rPr>
          <w:bCs/>
        </w:rPr>
        <w:tab/>
      </w:r>
      <w:r w:rsidR="00454D97">
        <w:rPr>
          <w:bCs/>
        </w:rPr>
        <w:t>17</w:t>
      </w:r>
    </w:p>
    <w:p w:rsidR="005A6C63" w:rsidRDefault="005A6C63" w:rsidP="006255BA">
      <w:pPr>
        <w:tabs>
          <w:tab w:val="right" w:pos="850"/>
          <w:tab w:val="left" w:pos="1134"/>
          <w:tab w:val="left" w:pos="1559"/>
          <w:tab w:val="left" w:pos="1984"/>
          <w:tab w:val="left" w:leader="dot" w:pos="8787"/>
          <w:tab w:val="right" w:pos="9638"/>
        </w:tabs>
        <w:spacing w:after="120"/>
        <w:rPr>
          <w:bCs/>
        </w:rPr>
      </w:pPr>
      <w:r>
        <w:rPr>
          <w:bCs/>
        </w:rPr>
        <w:t>Приложение</w:t>
      </w:r>
    </w:p>
    <w:p w:rsidR="005A6C63" w:rsidRPr="005A6C63" w:rsidRDefault="005A6C63" w:rsidP="006255BA">
      <w:pPr>
        <w:tabs>
          <w:tab w:val="right" w:pos="850"/>
          <w:tab w:val="left" w:pos="1134"/>
          <w:tab w:val="left" w:pos="1559"/>
          <w:tab w:val="left" w:pos="1984"/>
          <w:tab w:val="left" w:leader="dot" w:pos="8787"/>
          <w:tab w:val="right" w:pos="9638"/>
        </w:tabs>
        <w:spacing w:after="120"/>
        <w:rPr>
          <w:bCs/>
        </w:rPr>
      </w:pPr>
      <w:r>
        <w:rPr>
          <w:bCs/>
        </w:rPr>
        <w:tab/>
      </w:r>
      <w:r>
        <w:rPr>
          <w:bCs/>
        </w:rPr>
        <w:tab/>
      </w:r>
      <w:r w:rsidRPr="005A6C63">
        <w:rPr>
          <w:bCs/>
        </w:rPr>
        <w:t xml:space="preserve">Резюме, подготовленное модераторами по итогам рабочего совещания по вопросам </w:t>
      </w:r>
      <w:r>
        <w:rPr>
          <w:bCs/>
        </w:rPr>
        <w:br/>
      </w:r>
      <w:r>
        <w:rPr>
          <w:bCs/>
        </w:rPr>
        <w:tab/>
      </w:r>
      <w:r>
        <w:rPr>
          <w:bCs/>
        </w:rPr>
        <w:tab/>
      </w:r>
      <w:r w:rsidRPr="005A6C63">
        <w:rPr>
          <w:bCs/>
        </w:rPr>
        <w:t xml:space="preserve">оценки воздействия на здоровье и участия сектора здравоохранения в стратегической </w:t>
      </w:r>
      <w:r>
        <w:rPr>
          <w:bCs/>
        </w:rPr>
        <w:tab/>
      </w:r>
      <w:r>
        <w:rPr>
          <w:bCs/>
        </w:rPr>
        <w:tab/>
      </w:r>
      <w:r w:rsidRPr="005A6C63">
        <w:rPr>
          <w:bCs/>
        </w:rPr>
        <w:t>экологической оценке</w:t>
      </w:r>
      <w:r>
        <w:rPr>
          <w:bCs/>
        </w:rPr>
        <w:tab/>
      </w:r>
      <w:r>
        <w:rPr>
          <w:bCs/>
        </w:rPr>
        <w:tab/>
      </w:r>
      <w:r w:rsidR="006E52A5">
        <w:rPr>
          <w:bCs/>
        </w:rPr>
        <w:t>18</w:t>
      </w:r>
    </w:p>
    <w:p w:rsidR="00993805" w:rsidRPr="001712D7" w:rsidRDefault="00993805" w:rsidP="00993805">
      <w:pPr>
        <w:widowControl w:val="0"/>
        <w:suppressAutoHyphens w:val="0"/>
        <w:spacing w:after="120" w:line="276" w:lineRule="auto"/>
        <w:jc w:val="both"/>
      </w:pPr>
      <w:r w:rsidRPr="001712D7">
        <w:br w:type="page"/>
      </w:r>
    </w:p>
    <w:p w:rsidR="00993805" w:rsidRPr="001712D7" w:rsidRDefault="00993805" w:rsidP="001900E3">
      <w:pPr>
        <w:pStyle w:val="HChG"/>
      </w:pPr>
      <w:bookmarkStart w:id="0" w:name="_GoBack"/>
      <w:bookmarkEnd w:id="0"/>
      <w:r w:rsidRPr="001712D7">
        <w:lastRenderedPageBreak/>
        <w:tab/>
        <w:t>I.</w:t>
      </w:r>
      <w:r w:rsidRPr="001712D7">
        <w:tab/>
      </w:r>
      <w:r w:rsidRPr="001900E3">
        <w:t>Введение</w:t>
      </w:r>
    </w:p>
    <w:p w:rsidR="00993805" w:rsidRPr="001712D7" w:rsidRDefault="00993805" w:rsidP="001900E3">
      <w:pPr>
        <w:pStyle w:val="SingleTxtG"/>
      </w:pPr>
      <w:r w:rsidRPr="001712D7">
        <w:t>1.</w:t>
      </w:r>
      <w:r w:rsidRPr="001712D7">
        <w:tab/>
        <w:t xml:space="preserve">Восьмое совещание Рабочей группы по оценке воздействия на окружающую среду и стратегической экологической оценке, действующей в рамках Конвенции об оценке воздействия на окружающую среду в трансграничном контексте (Конвенция Эспо) и </w:t>
      </w:r>
      <w:r w:rsidRPr="001900E3">
        <w:t>Протокола</w:t>
      </w:r>
      <w:r w:rsidRPr="001712D7">
        <w:t xml:space="preserve"> по стратегической экологической оценке к ней</w:t>
      </w:r>
      <w:r w:rsidR="009A3C22">
        <w:t>,</w:t>
      </w:r>
      <w:r w:rsidRPr="001712D7">
        <w:t xml:space="preserve"> состоялось 26−28</w:t>
      </w:r>
      <w:r>
        <w:rPr>
          <w:lang w:val="en-US"/>
        </w:rPr>
        <w:t> </w:t>
      </w:r>
      <w:r w:rsidRPr="001712D7">
        <w:t>ноября 2019 года в Женеве.</w:t>
      </w:r>
    </w:p>
    <w:p w:rsidR="00993805" w:rsidRPr="001712D7" w:rsidRDefault="00993805" w:rsidP="001900E3">
      <w:pPr>
        <w:pStyle w:val="H1G"/>
      </w:pPr>
      <w:r w:rsidRPr="001712D7">
        <w:tab/>
        <w:t>A.</w:t>
      </w:r>
      <w:r w:rsidRPr="001712D7">
        <w:tab/>
      </w:r>
      <w:r w:rsidRPr="001900E3">
        <w:t>Участники</w:t>
      </w:r>
    </w:p>
    <w:p w:rsidR="00993805" w:rsidRPr="001712D7" w:rsidRDefault="00993805" w:rsidP="001900E3">
      <w:pPr>
        <w:pStyle w:val="SingleTxtG"/>
      </w:pPr>
      <w:r w:rsidRPr="001712D7">
        <w:t>2.</w:t>
      </w:r>
      <w:r w:rsidRPr="001712D7">
        <w:tab/>
        <w:t xml:space="preserve">На совещании присутствовали делегации следующих Сторон Конвенции и Протокола и </w:t>
      </w:r>
      <w:r w:rsidRPr="001900E3">
        <w:t>других</w:t>
      </w:r>
      <w:r w:rsidRPr="001712D7">
        <w:t xml:space="preserve"> государств </w:t>
      </w:r>
      <w:r w:rsidR="001900E3">
        <w:t>–</w:t>
      </w:r>
      <w:r w:rsidRPr="001712D7">
        <w:t xml:space="preserve"> членов Европейской экономической комиссии Организации Объединенных Наций (ЕЭК ООН): </w:t>
      </w:r>
      <w:r w:rsidR="00BA6BED" w:rsidRPr="001712D7">
        <w:t>Австрии, Азербайджана, Албании, Армении, Беларуси, Бельгии, Болгарии, Венгрии, Германии, Грузии, Дании, Ирландии, Испании, Италии, Казахстана, Кыргызстана, Литвы, Мальты, Нидерландов, Норвегии, Польши, Португалии, Республики Молдова, Российской Федерации, Северной Македонии, Сербии, Словакии, Словении, Соединенного Королевства Вел</w:t>
      </w:r>
      <w:r w:rsidR="00BA6BED">
        <w:t xml:space="preserve">икобритании и Северной Ирландии, </w:t>
      </w:r>
      <w:r w:rsidR="00BA6BED" w:rsidRPr="001712D7">
        <w:t>Таджикистана, Узбекистана, Украины, Финляндии, Франции, Хорватии, Черногории, Чехии, Швейцарии, Швеции</w:t>
      </w:r>
      <w:r w:rsidR="00BA6BED">
        <w:t xml:space="preserve"> и Эстонии. </w:t>
      </w:r>
      <w:r w:rsidRPr="001712D7">
        <w:t>Европейский союз был представлен Европейской комиссией. С заявлениями от имени Европейского союза и его государств-членов выступили представители Европейской комиссии и Финляндии, которая во втором полугодии 2019 года председательствовала в Совете Европейского союза. Было также представлено Чили, являющееся государством </w:t>
      </w:r>
      <w:r w:rsidR="001900E3">
        <w:t>–</w:t>
      </w:r>
      <w:r w:rsidRPr="001712D7">
        <w:t xml:space="preserve"> членом Организации Объединенных Наций.</w:t>
      </w:r>
    </w:p>
    <w:p w:rsidR="00993805" w:rsidRPr="001712D7" w:rsidRDefault="00993805" w:rsidP="001900E3">
      <w:pPr>
        <w:pStyle w:val="SingleTxtG"/>
      </w:pPr>
      <w:r w:rsidRPr="001712D7">
        <w:t>3.</w:t>
      </w:r>
      <w:r w:rsidRPr="001712D7">
        <w:tab/>
        <w:t xml:space="preserve">На </w:t>
      </w:r>
      <w:r w:rsidRPr="001900E3">
        <w:t>совещании</w:t>
      </w:r>
      <w:r w:rsidRPr="001712D7">
        <w:t xml:space="preserve"> присутствовали представители Европейского инвестиционного банка, Агентства по ядерной энергии Организации экономического сотрудничества и развития (ОЭСР), Организации по безопасности и сотрудничеству в Европе (ОБСЕ) и Всемирной организации здравоохранения (ВОЗ). На совещании присутствовали представители следующих неправительственных организаций (НПО): Сети кавказских природоохранных НПО, Международной ассоциации по оценке воздействия, организации </w:t>
      </w:r>
      <w:r w:rsidR="006255BA">
        <w:t>«</w:t>
      </w:r>
      <w:r w:rsidRPr="001712D7">
        <w:t>Общество и окружающая среда</w:t>
      </w:r>
      <w:r w:rsidR="006255BA">
        <w:t>»</w:t>
      </w:r>
      <w:r w:rsidRPr="001712D7">
        <w:t xml:space="preserve"> (Украина) и Сети по наблюдению за прозрачностью в ядерной области. Кроме того, в совещании приняли участие представитель Эстонского института окружающей среды, ученые из Национального университета Сингапура и Университета Хоккайдо (Япония), а также два независимых эксперта.</w:t>
      </w:r>
      <w:bookmarkStart w:id="1" w:name="_Hlk27752379"/>
      <w:bookmarkEnd w:id="1"/>
    </w:p>
    <w:p w:rsidR="00993805" w:rsidRPr="001712D7" w:rsidRDefault="00993805" w:rsidP="001900E3">
      <w:pPr>
        <w:pStyle w:val="H1G"/>
      </w:pPr>
      <w:r w:rsidRPr="001712D7">
        <w:tab/>
        <w:t>B.</w:t>
      </w:r>
      <w:r w:rsidRPr="001712D7">
        <w:tab/>
      </w:r>
      <w:r w:rsidRPr="001900E3">
        <w:t>Организационные</w:t>
      </w:r>
      <w:r w:rsidRPr="001712D7">
        <w:t xml:space="preserve"> вопросы</w:t>
      </w:r>
    </w:p>
    <w:p w:rsidR="00993805" w:rsidRPr="001712D7" w:rsidRDefault="00993805" w:rsidP="007B1894">
      <w:pPr>
        <w:pStyle w:val="SingleTxtG"/>
      </w:pPr>
      <w:r w:rsidRPr="001712D7">
        <w:t>4.</w:t>
      </w:r>
      <w:r w:rsidRPr="001712D7">
        <w:tab/>
        <w:t>Совещание открыла Председатель Рабочей группы г-жа Весна Колар-Планиншич (Словения).</w:t>
      </w:r>
    </w:p>
    <w:p w:rsidR="00993805" w:rsidRPr="001712D7" w:rsidRDefault="00993805" w:rsidP="001900E3">
      <w:pPr>
        <w:pStyle w:val="SingleTxtG"/>
      </w:pPr>
      <w:r w:rsidRPr="001712D7">
        <w:t>5.</w:t>
      </w:r>
      <w:r w:rsidRPr="001712D7">
        <w:tab/>
        <w:t>С приветственным словом к участникам обратился Директор Отдела окружающей среды ЕЭК. Он сообщил об остром кризисе ликвидности, который отразился на деятельности Организации Объединенных Наций, финансируемой из регулярного бюджета. Он также выразил обеспокоенность по поводу отсутствия бюджета Конвенции и Протокола к ней на второе полугодие 2020 года, в том числе средств для требующей значительных ресурсов подготовки следующих сессий Совещаний Сторон, а также по поводу нехватки в целом добровольных взносов Сторон для финансирования мероприятий по выполнению плана работы и достаточности ресурсов секретариата.</w:t>
      </w:r>
    </w:p>
    <w:p w:rsidR="00993805" w:rsidRPr="001712D7" w:rsidRDefault="00993805" w:rsidP="001900E3">
      <w:pPr>
        <w:pStyle w:val="SingleTxtG"/>
      </w:pPr>
      <w:r w:rsidRPr="001712D7">
        <w:t>6.</w:t>
      </w:r>
      <w:r w:rsidRPr="001712D7">
        <w:tab/>
        <w:t xml:space="preserve">Рабочая </w:t>
      </w:r>
      <w:r w:rsidRPr="001900E3">
        <w:t>группа</w:t>
      </w:r>
      <w:r w:rsidRPr="001712D7">
        <w:t xml:space="preserve"> утвердила проект повестки дня (ECE/MP.EIA/WG.2/2019/1)</w:t>
      </w:r>
      <w:r w:rsidRPr="007B1894">
        <w:rPr>
          <w:sz w:val="18"/>
          <w:szCs w:val="18"/>
          <w:vertAlign w:val="superscript"/>
        </w:rPr>
        <w:footnoteReference w:id="1"/>
      </w:r>
      <w:r w:rsidRPr="001712D7">
        <w:t>.</w:t>
      </w:r>
      <w:bookmarkStart w:id="2" w:name="_Hlk27668062"/>
      <w:bookmarkEnd w:id="2"/>
    </w:p>
    <w:p w:rsidR="00993805" w:rsidRPr="001712D7" w:rsidRDefault="00993805" w:rsidP="001900E3">
      <w:pPr>
        <w:pStyle w:val="HChG"/>
      </w:pPr>
      <w:r w:rsidRPr="001712D7">
        <w:lastRenderedPageBreak/>
        <w:tab/>
        <w:t>II.</w:t>
      </w:r>
      <w:r w:rsidRPr="001712D7">
        <w:tab/>
        <w:t xml:space="preserve">Бюджет, </w:t>
      </w:r>
      <w:r w:rsidRPr="001900E3">
        <w:t>механизмы</w:t>
      </w:r>
      <w:r w:rsidRPr="001712D7">
        <w:t xml:space="preserve"> финансирования и финансовая помощь</w:t>
      </w:r>
    </w:p>
    <w:p w:rsidR="00993805" w:rsidRPr="001712D7" w:rsidRDefault="00993805" w:rsidP="001900E3">
      <w:pPr>
        <w:pStyle w:val="SingleTxtG"/>
      </w:pPr>
      <w:r w:rsidRPr="001712D7">
        <w:t>7.</w:t>
      </w:r>
      <w:r w:rsidRPr="001712D7">
        <w:tab/>
        <w:t>Рабочая группа приняла к сведению подготовленный секретариатом второй ежегодный финансовый доклад за период с 1 июля 2017 года по 30 июня 2019 года</w:t>
      </w:r>
      <w:r w:rsidRPr="001712D7">
        <w:rPr>
          <w:rStyle w:val="FootnoteReference"/>
          <w:szCs w:val="22"/>
        </w:rPr>
        <w:footnoteReference w:id="2"/>
      </w:r>
      <w:r w:rsidRPr="001712D7">
        <w:t>. Секретариат сообщил также о полученных в последнее время взносах в Целевой фонд Конвенции и Протокола и о расходах из него. Рабочая группа отметила, что добровольные взносы Сторон недостаточны, а их поступление невозможно спрогнозировать: объявленные взносы в бюджет на 2017</w:t>
      </w:r>
      <w:r w:rsidR="006C23E3">
        <w:t>–</w:t>
      </w:r>
      <w:r w:rsidRPr="001712D7">
        <w:t>2020 годы</w:t>
      </w:r>
      <w:r w:rsidRPr="001712D7">
        <w:rPr>
          <w:rStyle w:val="FootnoteReference"/>
          <w:szCs w:val="22"/>
        </w:rPr>
        <w:footnoteReference w:id="3"/>
      </w:r>
      <w:r w:rsidRPr="001712D7">
        <w:t xml:space="preserve"> покрывают лишь 60</w:t>
      </w:r>
      <w:r w:rsidR="00B358FA">
        <w:t>%</w:t>
      </w:r>
      <w:r w:rsidRPr="001712D7">
        <w:t xml:space="preserve"> этого бюджета, чего едва хватает для финансирования в течение трех лет в межсессионные периоды одной внебюджетной должности сотрудника секретариата. Финансирование в течение этого периода всех других предусмотренных бюджетом расходов, таких как оказание содействия в организации поездок имеющих на то право участников официальных совещаний и любых поездок сотрудников секретариата, зависит от возможного получения необъявленных и нецелевых взносов. Кроме того, помимо некоторого объема целевых взносов, финансирование предусмотренной планом работы деятельности полностью зависит от усилий секретариата по мобилизации внебюджетных средств, например по линии проектов, финансируемых Европейским союзом. Рабочая группа отметила также, что в настоящее время финансовое бремя распределено между Сторонами неравномерно, причем на три Стороны приходится почти 60</w:t>
      </w:r>
      <w:r w:rsidR="00275F44">
        <w:t>%</w:t>
      </w:r>
      <w:r w:rsidRPr="001712D7">
        <w:t xml:space="preserve"> всех взносов, а одна треть от общего числа Сторон вообще не делает взносов. Такая чрезмерная зависимость от небольшого числа доноров делает ситуацию с финансированием неустойчивой и нестабильной: сокращение объема взносов или полное прекращение уплаты взносов хотя бы одним из основных доноров сможет привести к приостановке выполнения основных функций, предусмотренных договорами, и к увольнению сотрудников.</w:t>
      </w:r>
      <w:bookmarkStart w:id="3" w:name="_Hlk17970056"/>
      <w:bookmarkEnd w:id="3"/>
    </w:p>
    <w:p w:rsidR="00993805" w:rsidRPr="001712D7" w:rsidRDefault="00993805" w:rsidP="001900E3">
      <w:pPr>
        <w:pStyle w:val="SingleTxtG"/>
      </w:pPr>
      <w:r w:rsidRPr="001712D7">
        <w:t>8.</w:t>
      </w:r>
      <w:r w:rsidRPr="001712D7">
        <w:tab/>
        <w:t xml:space="preserve">Рабочая </w:t>
      </w:r>
      <w:r w:rsidRPr="001900E3">
        <w:t>группа</w:t>
      </w:r>
      <w:r w:rsidRPr="001712D7">
        <w:t xml:space="preserve"> прокомментировала предложения Президиума по восполнению шестимесячного дефицита финансовых средств, возникшего </w:t>
      </w:r>
      <w:r w:rsidR="009E4819">
        <w:t>в</w:t>
      </w:r>
      <w:r w:rsidRPr="001712D7">
        <w:t xml:space="preserve">следствие продления нынешнего межсессионного периода, а также, в более долгосрочной перспективе, </w:t>
      </w:r>
      <w:r w:rsidR="001900E3">
        <w:t>–</w:t>
      </w:r>
      <w:r w:rsidRPr="001712D7">
        <w:t xml:space="preserve"> по обеспечению более предсказуемого, устойчивого и равномерно распределяемого финансирования, необходимого для выполнения плана работы и секретариатского обслуживания в соответствии с Конвенцией и Протоколом к ней (ECE/MP.EIA/</w:t>
      </w:r>
      <w:r w:rsidR="006A4484">
        <w:br/>
      </w:r>
      <w:r w:rsidRPr="001712D7">
        <w:t>WG.2/2019/INF.2).</w:t>
      </w:r>
      <w:r w:rsidRPr="004E518F">
        <w:t xml:space="preserve"> </w:t>
      </w:r>
      <w:r w:rsidRPr="001712D7">
        <w:t>Рабочая группа признала всю серьезность положения, связанного с ограниченностью ресурсов, и согласилась с тем, что необходимо, чтобы все Стороны внесли свой вклад в покрытие расходов на финансирование внебюджетной должности сотрудника секретариата и любых других расходов во второй половине 2020 года, с</w:t>
      </w:r>
      <w:r w:rsidR="005E0584">
        <w:t> </w:t>
      </w:r>
      <w:r w:rsidRPr="001712D7">
        <w:t xml:space="preserve">тем чтобы обеспечить функционирование Конвенции и Протокола и созыв следующих сессий Совещаний Сторон, которые планируется провести в Вильнюсе </w:t>
      </w:r>
      <w:r w:rsidR="005E0584">
        <w:br/>
      </w:r>
      <w:r w:rsidRPr="001712D7">
        <w:t>8–11 декабря 2020 года. Рабочая группа признала также, что на фоне существенно увеличившегося за последние десятилетия объема деятельности имеющиеся для обслуживания двух соглашений финансовые и людские ресурсы в целом являются весьма ограниченными по сравнению с секретариатами других многосторонних природоохранных соглашений, осуществляемых под эгидой ЕЭК. Группа признала необходимость обеспечения того, чтобы рабочая нагрузка секретариата в большей степени соответствовала его кадровому составу, достичь чего можно либо путем финансирования дополнительных кадровых ресурсов секретариата, либо путем упразднения некоторых его задач и предоставляемых им услуг.</w:t>
      </w:r>
    </w:p>
    <w:p w:rsidR="00993805" w:rsidRPr="001712D7" w:rsidRDefault="00993805" w:rsidP="001900E3">
      <w:pPr>
        <w:pStyle w:val="SingleTxtG"/>
      </w:pPr>
      <w:r w:rsidRPr="001712D7">
        <w:t>9.</w:t>
      </w:r>
      <w:r w:rsidRPr="001712D7">
        <w:tab/>
      </w:r>
      <w:r w:rsidRPr="001900E3">
        <w:t>Рабочая</w:t>
      </w:r>
      <w:r w:rsidRPr="001712D7">
        <w:t xml:space="preserve"> группа предложила Исполнительному секретарю ЕЭК направить письма министрам иностранных дел и министрам охраны окружающей среды Сторон в конце 2019 года и вновь в 2020 году до начала следующих сессий совещаний Сторон и предложить всем Сторонам изыскать финансовые средства для восполнения шестимесячного бюджетного дефицита и увеличить финансирование двух документов в предстоящий межсессионный период и после него. В письмах следует указывать на </w:t>
      </w:r>
      <w:r w:rsidRPr="001712D7">
        <w:lastRenderedPageBreak/>
        <w:t>вероятные последствия отсутствия дополнительных ресурсов, в том числе в краткосрочной перспективе</w:t>
      </w:r>
      <w:r w:rsidR="005E0584">
        <w:t xml:space="preserve"> </w:t>
      </w:r>
      <w:r w:rsidR="001900E3">
        <w:t>–</w:t>
      </w:r>
      <w:r w:rsidRPr="001712D7">
        <w:t xml:space="preserve"> отсутствие возможности гарантировать организацию следующих сессий совещаний Сторон, а в более долгосрочной перспективе </w:t>
      </w:r>
      <w:r w:rsidR="001900E3">
        <w:t>–</w:t>
      </w:r>
      <w:r w:rsidRPr="001712D7">
        <w:t xml:space="preserve"> сокращение и/или снижение уровня выполнения некоторых задач секретариата. Рабочая группа предложила Президиуму провести обзор выполняемых секретариатом задач и определить, какие услуги и виды деятельности могут быть сокращены в случае отсутствия дальнейшего финансирования. Рабочая группа приняла также решение обсудить на своем следующем совещании в июне 2020 года полное содержание писем, которые будут направлены Сторонам в 2020 году.</w:t>
      </w:r>
    </w:p>
    <w:p w:rsidR="00993805" w:rsidRPr="001712D7" w:rsidRDefault="00993805" w:rsidP="001900E3">
      <w:pPr>
        <w:pStyle w:val="SingleTxtG"/>
      </w:pPr>
      <w:r w:rsidRPr="001712D7">
        <w:t>10.</w:t>
      </w:r>
      <w:r w:rsidRPr="001712D7">
        <w:tab/>
      </w:r>
      <w:r w:rsidRPr="001900E3">
        <w:t>Рабочая</w:t>
      </w:r>
      <w:r w:rsidRPr="001712D7">
        <w:t xml:space="preserve"> группа рассмотрела предложенные системы финансовых взносов для покрытия бюджетных расходов по Конвенции и Протоколу к ней в межсессионный период 2021–2023 годов, которые содержались в подготовленном Президиумом проекте решения Совещаний Сторон о бюджете, финансовых механизмах и финансовой помощи (ECE/MP.EIA/WG.2/2019/INF.2, приложение I). Группа пришла к выводу о том, что любая принимаемая система должна обеспечивать более предсказуемое, устойчивое и равноправное внебюджетное финансирование. Группа согласилась также с тем, что все Стороны следует призвать ежегодно принимать участие в обеспечении устойчивого финансирования деятельности и в равноправном и пропорциональном распределении финансового бремени между Сторонами. Рабочая группа просила Президиум, чтобы он до своего следующего совещания провел при поддержке секретариата обзор предлагаемых финансовых систем и проекта решения и при необходимости пересмотрел их с учетом высказанных замечаний.</w:t>
      </w:r>
    </w:p>
    <w:p w:rsidR="00993805" w:rsidRPr="001712D7" w:rsidRDefault="00993805" w:rsidP="001900E3">
      <w:pPr>
        <w:pStyle w:val="SingleTxtG"/>
      </w:pPr>
      <w:r w:rsidRPr="001712D7">
        <w:t>11.</w:t>
      </w:r>
      <w:r w:rsidRPr="001712D7">
        <w:tab/>
        <w:t xml:space="preserve">В </w:t>
      </w:r>
      <w:r w:rsidRPr="001900E3">
        <w:t>заключение</w:t>
      </w:r>
      <w:r w:rsidRPr="001712D7">
        <w:t xml:space="preserve"> Рабочая группа вновь предложила делегациям рассмотреть вопрос о финансировании должности младшего сотрудника-специалиста для пополнения штатного расписания секретариата.</w:t>
      </w:r>
    </w:p>
    <w:p w:rsidR="00993805" w:rsidRPr="001712D7" w:rsidRDefault="00993805" w:rsidP="001900E3">
      <w:pPr>
        <w:pStyle w:val="HChG"/>
      </w:pPr>
      <w:r w:rsidRPr="001712D7">
        <w:tab/>
        <w:t>III.</w:t>
      </w:r>
      <w:r w:rsidRPr="001712D7">
        <w:tab/>
        <w:t xml:space="preserve">Положение дел с </w:t>
      </w:r>
      <w:r w:rsidRPr="001900E3">
        <w:t>ратификацией</w:t>
      </w:r>
    </w:p>
    <w:p w:rsidR="00993805" w:rsidRPr="001712D7" w:rsidRDefault="00993805" w:rsidP="006C23E3">
      <w:pPr>
        <w:pStyle w:val="SingleTxtG"/>
      </w:pPr>
      <w:r w:rsidRPr="001712D7">
        <w:t>12.</w:t>
      </w:r>
      <w:r w:rsidRPr="001712D7">
        <w:tab/>
        <w:t xml:space="preserve">Секретариат доложил о положении дел с ратификацией Конвенции, двух поправок и Протокола к ней (ECE/MP.EIA/WG.2/2019/INF.3). Рабочая группа приветствовала недавнюю ратификацию Азербайджаном обеих поправок к Конвенции. Группа приняла также к сведению представленную делегациями информацию о шагах, предпринятых некоторыми Сторонами в деле ратификации, при этом Бельгия, Ирландия и Северная Македония продвинулись дальше всех в том, что касается первой поправки, а Северная Македония сделала те же шаги в направлении ратификации второй поправки. Вместе с тем Рабочая группа по-прежнему с озабоченностью отмечает, что для введения первой поправки в действие требуется еще пять ратификаций, после чего страны, не являющимся членами ЕЭК, смогут присоединиться к Конвенции. В этой связи Группа настоятельно призвала </w:t>
      </w:r>
      <w:r w:rsidR="006C23E3" w:rsidRPr="001712D7">
        <w:t xml:space="preserve">Армению, Бельгию, Северную Македонию, Соединенное Королевство Великобритании и Северной Ирландии </w:t>
      </w:r>
      <w:r w:rsidR="006C23E3">
        <w:t xml:space="preserve">и </w:t>
      </w:r>
      <w:r w:rsidR="006C23E3" w:rsidRPr="001712D7">
        <w:t xml:space="preserve">Украину </w:t>
      </w:r>
      <w:r w:rsidRPr="001712D7">
        <w:t xml:space="preserve">приложить все усилия для скорейшей ратификации этой поправки. Кроме того, в целях обеспечения единообразного применения Конвенции всеми ее Сторонами Рабочая группа подчеркнула важность того, чтобы все Стороны, которые еще не сделали этого, ратифицировали вторую поправку. Она настоятельно призвала девять соответствующих Сторон </w:t>
      </w:r>
      <w:r w:rsidR="001900E3">
        <w:t>–</w:t>
      </w:r>
      <w:r w:rsidRPr="001712D7">
        <w:t xml:space="preserve"> </w:t>
      </w:r>
      <w:r w:rsidR="0047537E" w:rsidRPr="001712D7">
        <w:t>Армению, Беларусь, Боснию и Герцеговину, Ирландию,</w:t>
      </w:r>
      <w:r w:rsidR="0047537E">
        <w:t xml:space="preserve"> </w:t>
      </w:r>
      <w:r w:rsidR="0047537E" w:rsidRPr="001712D7">
        <w:t>Казахстан, Кыргызстан, Северную Македонию, Соединенное Королевство Великобритании и Северной Ирландии</w:t>
      </w:r>
      <w:r w:rsidR="0047537E">
        <w:t xml:space="preserve"> и </w:t>
      </w:r>
      <w:r w:rsidR="0047537E" w:rsidRPr="001712D7">
        <w:t xml:space="preserve">Украину </w:t>
      </w:r>
      <w:r w:rsidR="001900E3">
        <w:t>–</w:t>
      </w:r>
      <w:r w:rsidRPr="001712D7">
        <w:t xml:space="preserve"> начать процедуру ратификации этой поправки. Наконец, Рабочая группа призвала государства, подписавшие Протокол, но не ратифицировавшие его (</w:t>
      </w:r>
      <w:r w:rsidR="002F42C1" w:rsidRPr="001712D7">
        <w:t>Бельгию, Грецию, Грузию, Ирландию, Соединенное Королевство Великобритании и Северной Ирландии</w:t>
      </w:r>
      <w:r w:rsidR="002F42C1">
        <w:t xml:space="preserve"> и </w:t>
      </w:r>
      <w:r w:rsidR="002F42C1" w:rsidRPr="001712D7">
        <w:t>Францию</w:t>
      </w:r>
      <w:r w:rsidRPr="001712D7">
        <w:t>), сделать это. Всем вышеупомянутым Сторонам было предложено сообщить о достигнутом ими прогрессе на следующем совещании Рабочей группы (Женева, 9–11 июня 2020 года).</w:t>
      </w:r>
      <w:bookmarkStart w:id="4" w:name="_Hlk29385916"/>
      <w:bookmarkStart w:id="5" w:name="_Hlk27756290"/>
      <w:bookmarkEnd w:id="4"/>
      <w:bookmarkEnd w:id="5"/>
    </w:p>
    <w:p w:rsidR="00993805" w:rsidRPr="001712D7" w:rsidRDefault="00993805" w:rsidP="001900E3">
      <w:pPr>
        <w:pStyle w:val="SingleTxtG"/>
      </w:pPr>
      <w:r w:rsidRPr="001712D7">
        <w:t>13.</w:t>
      </w:r>
      <w:r w:rsidRPr="001712D7">
        <w:tab/>
      </w:r>
      <w:r w:rsidRPr="001900E3">
        <w:t>Рабочая</w:t>
      </w:r>
      <w:r w:rsidRPr="001712D7">
        <w:t xml:space="preserve"> группа просила секретариат </w:t>
      </w:r>
      <w:r>
        <w:t>поспособствовать тому</w:t>
      </w:r>
      <w:r w:rsidRPr="001712D7">
        <w:t>, чтобы в письмах с</w:t>
      </w:r>
      <w:r>
        <w:t xml:space="preserve"> </w:t>
      </w:r>
      <w:r w:rsidRPr="001712D7">
        <w:t>приглашениями к участию в следующих сессиях Совещаний Сторон Исполнительный секретарь ЕЭК настоятельно призвала Стороны Конвенции, которые приняли поправки и подписали Протокол, безотлагательно приступить к их ратификации.</w:t>
      </w:r>
    </w:p>
    <w:p w:rsidR="00993805" w:rsidRPr="001712D7" w:rsidRDefault="00993805" w:rsidP="001900E3">
      <w:pPr>
        <w:pStyle w:val="HChG"/>
      </w:pPr>
      <w:r w:rsidRPr="001712D7">
        <w:lastRenderedPageBreak/>
        <w:tab/>
        <w:t>IV.</w:t>
      </w:r>
      <w:r w:rsidRPr="001712D7">
        <w:tab/>
        <w:t xml:space="preserve">Соблюдение и </w:t>
      </w:r>
      <w:r w:rsidRPr="001900E3">
        <w:t>осуществление</w:t>
      </w:r>
    </w:p>
    <w:p w:rsidR="00993805" w:rsidRPr="001712D7" w:rsidRDefault="00993805" w:rsidP="001900E3">
      <w:pPr>
        <w:pStyle w:val="H1G"/>
      </w:pPr>
      <w:r w:rsidRPr="001712D7">
        <w:tab/>
        <w:t>A.</w:t>
      </w:r>
      <w:r w:rsidRPr="001712D7">
        <w:tab/>
        <w:t>Обзор соблюдения</w:t>
      </w:r>
    </w:p>
    <w:p w:rsidR="00993805" w:rsidRPr="001712D7" w:rsidRDefault="00993805" w:rsidP="001900E3">
      <w:pPr>
        <w:pStyle w:val="SingleTxtG"/>
      </w:pPr>
      <w:r w:rsidRPr="001712D7">
        <w:t>14.</w:t>
      </w:r>
      <w:r w:rsidRPr="001712D7">
        <w:tab/>
      </w:r>
      <w:r w:rsidRPr="001900E3">
        <w:t>Председатель</w:t>
      </w:r>
      <w:r w:rsidRPr="001712D7">
        <w:t xml:space="preserve"> Комитета по осуществлению проинформировал Рабочую группу об основных результатах работы сорок четвертой и сорок пятой сессий Комитета (Женева, 12–15 марта и 10–13 сентября 2019 года соответственно)</w:t>
      </w:r>
      <w:r w:rsidRPr="001712D7">
        <w:rPr>
          <w:rStyle w:val="FootnoteReference"/>
          <w:szCs w:val="22"/>
        </w:rPr>
        <w:footnoteReference w:id="4"/>
      </w:r>
      <w:r w:rsidRPr="001712D7">
        <w:t xml:space="preserve"> и озвучил основные цели сорок шестой сессии Комитета (Женева, 10–13 декабря 2019 года). Он</w:t>
      </w:r>
      <w:r w:rsidR="00113B2E">
        <w:t xml:space="preserve"> </w:t>
      </w:r>
      <w:r w:rsidR="0020620B">
        <w:t>т</w:t>
      </w:r>
      <w:r w:rsidRPr="001712D7">
        <w:t>акже рассказал о планах работы по подготовке к следующим сессиям Совещаний Сторон.</w:t>
      </w:r>
      <w:bookmarkStart w:id="6" w:name="_Hlk13500170"/>
      <w:bookmarkEnd w:id="6"/>
    </w:p>
    <w:p w:rsidR="00993805" w:rsidRPr="001712D7" w:rsidRDefault="00993805" w:rsidP="001900E3">
      <w:pPr>
        <w:pStyle w:val="SingleTxtG"/>
      </w:pPr>
      <w:r w:rsidRPr="001712D7">
        <w:t>15.</w:t>
      </w:r>
      <w:r w:rsidRPr="001712D7">
        <w:tab/>
        <w:t xml:space="preserve">Рабочая </w:t>
      </w:r>
      <w:r w:rsidRPr="001900E3">
        <w:t>группа</w:t>
      </w:r>
      <w:r w:rsidRPr="001712D7">
        <w:t xml:space="preserve"> приняла к сведению устный доклад Председателя Комитета о ходе обзора соблюдения и осуществления и приветствовала план Комитета относительно подготовки проектов решений о соблюдении Конвенции и Протокола на его сорок седьмой сессии (Женева, 16–19 марта 2020 года). Секретариат распространит проекты решений в качестве неофициальных документов, с тем чтобы Стороны могли высказать свои замечания до, во время и после следующего совещания Рабочей группы. Затем, на своей сорок восьмой сессии (Женева, 1–4 сентября 2020 года), Комитет завершит подготовку проектов решений с учетом замечаний и другой информации, полученной к 31 июля 2020 года, и препроводит проекты решений Совещаниям Сторон на их следующих сессиях.</w:t>
      </w:r>
    </w:p>
    <w:p w:rsidR="00993805" w:rsidRPr="001712D7" w:rsidRDefault="00993805" w:rsidP="001900E3">
      <w:pPr>
        <w:pStyle w:val="SingleTxtG"/>
      </w:pPr>
      <w:r w:rsidRPr="001712D7">
        <w:t>16.</w:t>
      </w:r>
      <w:r w:rsidRPr="001712D7">
        <w:tab/>
      </w:r>
      <w:r w:rsidRPr="001900E3">
        <w:t>Рабочая</w:t>
      </w:r>
      <w:r w:rsidRPr="001712D7">
        <w:t xml:space="preserve"> группа отметила, что работе Комитета препятствовали задержки и недостаточное качество ответов некоторых Сторон, а в отдельном случае даже отказ одной из Сторон предоставить ответ и сотрудничать. Группа предложила всем заинтересованным сторонам содействовать рассмотрению Комитетом переданных ему вопросов, касающихся соблюдения, путем своевременного и полного представления Комитету требующейся информации. Рабочая группа приветствовала также предпринимаемые Комитетом усилия по повышению эффективности и действенности его собственных методов работы, включая, при необходимости, подготовку возможных поправок, касающихся изменения структуры и функций Комитета и его рабочих правил.</w:t>
      </w:r>
    </w:p>
    <w:p w:rsidR="00993805" w:rsidRPr="001712D7" w:rsidRDefault="00993805" w:rsidP="001900E3">
      <w:pPr>
        <w:pStyle w:val="SingleTxtG"/>
      </w:pPr>
      <w:r w:rsidRPr="001712D7">
        <w:t>17.</w:t>
      </w:r>
      <w:r w:rsidRPr="001712D7">
        <w:tab/>
      </w:r>
      <w:r w:rsidRPr="001900E3">
        <w:t>Приняв</w:t>
      </w:r>
      <w:r w:rsidRPr="001712D7">
        <w:t xml:space="preserve"> во внимание большой объем работы Комитета, Рабочая группа предложила Сторонам при назначении в будущем членов Комитета убеждаться в том, что кандидаты смогут выделять достаточное время и ресурсы для выполнения требуемых задач, к числу которых относится участие в каждой сессии Комитета; выполнение в периоды между сессиями работы по анализу сложных вопросов, касающихся соблюдения, и, при необходимости, участие в виртуальных заседаниях или в принятии решений в электронной форме; заблаговременная подготовка до начала сессий, на которых они должны обсуждаться Комитетом, докладов куратора или проектов выводов и рекомендаций по отдельным вопросам.</w:t>
      </w:r>
    </w:p>
    <w:p w:rsidR="00993805" w:rsidRPr="001712D7" w:rsidRDefault="00993805" w:rsidP="001900E3">
      <w:pPr>
        <w:pStyle w:val="H1G"/>
      </w:pPr>
      <w:bookmarkStart w:id="7" w:name="_Hlk506473266"/>
      <w:r w:rsidRPr="001712D7">
        <w:tab/>
        <w:t>B.</w:t>
      </w:r>
      <w:r w:rsidRPr="001712D7">
        <w:tab/>
        <w:t>Представление отчетности и обзор осуществления</w:t>
      </w:r>
      <w:bookmarkEnd w:id="7"/>
    </w:p>
    <w:p w:rsidR="00993805" w:rsidRPr="001712D7" w:rsidRDefault="00993805" w:rsidP="001900E3">
      <w:pPr>
        <w:pStyle w:val="SingleTxtG"/>
      </w:pPr>
      <w:r w:rsidRPr="001712D7">
        <w:t>18.</w:t>
      </w:r>
      <w:r w:rsidRPr="001712D7">
        <w:tab/>
        <w:t xml:space="preserve">Рабочая группа рассмотрела </w:t>
      </w:r>
      <w:r w:rsidRPr="001900E3">
        <w:t>проект</w:t>
      </w:r>
      <w:r w:rsidRPr="001712D7">
        <w:t xml:space="preserve"> шестого обзора хода осуществления Конвенции (ECE/MP.EIA/WG.2/2019/3) и проект третьего обзора хода осуществления Протокола (ECE/MP.EIA/WG.2/2019/4) в период 2016–2018 годов, которые были подготовлены секретариатом при содействии консультантов и на основе полученных от Сторон докладов. В основу первого документа легли доклады, полученные до 2</w:t>
      </w:r>
      <w:r w:rsidR="001900E3">
        <w:t> </w:t>
      </w:r>
      <w:r w:rsidRPr="001712D7">
        <w:t>июля 2019 года от 42 из 45 Сторон Конвенции, а также от Грузии, а в основу второго документа </w:t>
      </w:r>
      <w:r w:rsidR="001900E3">
        <w:t>–</w:t>
      </w:r>
      <w:r w:rsidRPr="001712D7">
        <w:t xml:space="preserve"> доклады, полученные до 30 июня 2019 года от 30 из 33 Сторон Протокола, а также от Грузии и Казахстана. К установленному сроку, 31 марта 2019 года, свои ответы представили лишь 50</w:t>
      </w:r>
      <w:r w:rsidR="001447B0">
        <w:t>%</w:t>
      </w:r>
      <w:r w:rsidRPr="001712D7">
        <w:t xml:space="preserve"> Сторон. Рабочая группа с удовлетворением отметила </w:t>
      </w:r>
      <w:r w:rsidRPr="001712D7">
        <w:lastRenderedPageBreak/>
        <w:t>тот факт, что несколько государств, не являющихся Сторонам</w:t>
      </w:r>
      <w:r w:rsidR="008D17E4">
        <w:t>и</w:t>
      </w:r>
      <w:r w:rsidRPr="001712D7">
        <w:t>, также представили доклады об осуществлении ими Конвенции и Протокола.</w:t>
      </w:r>
      <w:bookmarkStart w:id="8" w:name="_Hlk27746978"/>
      <w:bookmarkEnd w:id="8"/>
    </w:p>
    <w:p w:rsidR="00993805" w:rsidRPr="001712D7" w:rsidRDefault="00993805" w:rsidP="001900E3">
      <w:pPr>
        <w:pStyle w:val="SingleTxtG"/>
      </w:pPr>
      <w:r w:rsidRPr="001712D7">
        <w:t>19.</w:t>
      </w:r>
      <w:r w:rsidRPr="001712D7">
        <w:tab/>
        <w:t xml:space="preserve">Рабочая группа приняла </w:t>
      </w:r>
      <w:r w:rsidRPr="001900E3">
        <w:t>основные</w:t>
      </w:r>
      <w:r w:rsidRPr="001712D7">
        <w:t xml:space="preserve"> выводы, содержавшиеся в обоих проектах докладов, внеся в них поправки. Группа приняла также к сведению замечания и исправления по проектам, представленные делегациями в отношении ответов своих стран, и предложила Сторонам направлять в секретариат любые дополнительные замечания в письменном виде до 31 декабря 2019 года. Рабочая группа просила секретариат завершить работу над проектами с учетом полученных замечаний и направить их Совещаниям Сторон на их следующих сессиях. Группа просила Кипр как можно скорее, но не позднее 31 декабря 2019 года, представить просроченный доклад об осуществлении Протокола.</w:t>
      </w:r>
    </w:p>
    <w:p w:rsidR="00993805" w:rsidRPr="001712D7" w:rsidRDefault="00993805" w:rsidP="001900E3">
      <w:pPr>
        <w:pStyle w:val="SingleTxtG"/>
      </w:pPr>
      <w:r w:rsidRPr="001712D7">
        <w:t>20.</w:t>
      </w:r>
      <w:r w:rsidRPr="001712D7">
        <w:tab/>
        <w:t xml:space="preserve">Рабочая </w:t>
      </w:r>
      <w:r w:rsidRPr="001900E3">
        <w:t>группа</w:t>
      </w:r>
      <w:r w:rsidRPr="001712D7">
        <w:t xml:space="preserve"> приняла к сведению предлагаемые усовершенствования к вопроснику об осуществлении Конвенции и Протокола (ECE/MP.EIA/</w:t>
      </w:r>
      <w:r w:rsidR="00F2038A">
        <w:br/>
      </w:r>
      <w:r w:rsidRPr="001712D7">
        <w:t>WG.2/2019/INF.5) и предложила секретариату направить их Комитету по осуществлению, с тем чтобы он принял их во внимание в ходе корректировки вопросников для следующего цикла представления докладов о выполнении Сторонами документов в период 2019–2021 годов. В заключение Рабочая группа отметила, что для следующего цикла отчетности секретариат едва ли сможет наладить средства представления отчетности в режиме онлайн.</w:t>
      </w:r>
    </w:p>
    <w:p w:rsidR="00993805" w:rsidRPr="001712D7" w:rsidRDefault="00993805" w:rsidP="001900E3">
      <w:pPr>
        <w:pStyle w:val="H1G"/>
      </w:pPr>
      <w:bookmarkStart w:id="9" w:name="_Hlk25240410"/>
      <w:r w:rsidRPr="001712D7">
        <w:tab/>
        <w:t>C.</w:t>
      </w:r>
      <w:r w:rsidRPr="001712D7">
        <w:tab/>
        <w:t>Продление срока эксплуатации атомных электростанций</w:t>
      </w:r>
      <w:bookmarkEnd w:id="9"/>
    </w:p>
    <w:p w:rsidR="00993805" w:rsidRPr="001712D7" w:rsidRDefault="00993805" w:rsidP="001900E3">
      <w:pPr>
        <w:pStyle w:val="SingleTxtG"/>
      </w:pPr>
      <w:r w:rsidRPr="001712D7">
        <w:t>21.</w:t>
      </w:r>
      <w:r w:rsidRPr="001712D7">
        <w:tab/>
        <w:t>Делегация Германии представила Рабочей группе обновленную информацию о ходе подготовки специальной рабочей группой, в которой она совместно с Соединенным Королевством Великобритании и Северной Ирландии выступает сопредседателем, проекта руководства по применимости Конвенции к продлению срока эксплуатации атомных электростанций (ECE/MP.EIA/WG.2/2019/INF.6). В</w:t>
      </w:r>
      <w:r w:rsidR="00F2038A">
        <w:t> </w:t>
      </w:r>
      <w:r w:rsidRPr="001712D7">
        <w:t>доклад о ходе работы включены итоги совещаний группы, которые состоялись после промежуточных сессий Совещаний Сторон (Женева, 5–7 февраля 2019 года): в том числе состоявшиеся в Женеве 25 и 26 марта 2019 года, в Лиссабоне 3 и 4 июня 2019</w:t>
      </w:r>
      <w:r w:rsidR="00F2038A">
        <w:t> </w:t>
      </w:r>
      <w:r w:rsidRPr="001712D7">
        <w:t>года и в Роттердаме (Нидерланды) 8 и 9 октября 2019 года. Сопредседатель специальной группы от Германии сообщил также о планах группы подготовить проект руководства в качестве неофициального документа для рассмотрения Рабочей группой на ее следующем совещании, доработать его с учетом замечаний, которые будут высказаны, а затем представить в качестве официального документа следующим сессиям Совещаний Сторон Конвенции. С этой целью группа намеревалась провести дополнительные совещания: 3 и 4 декабря 2019 года в Вене (в преддверии которых 2</w:t>
      </w:r>
      <w:r w:rsidR="00F2038A">
        <w:t> </w:t>
      </w:r>
      <w:r w:rsidRPr="001712D7">
        <w:t xml:space="preserve">декабря для участников будет проведен семинар-практикум), 2–4 марта 2020 года в Риме, 27–29 апреля 2020 года в Софии и 23 и 24 июня 2020 года в </w:t>
      </w:r>
      <w:r w:rsidRPr="00236CCF">
        <w:rPr>
          <w:color w:val="000000" w:themeColor="text1"/>
        </w:rPr>
        <w:t xml:space="preserve">Эспо </w:t>
      </w:r>
      <w:r w:rsidRPr="001712D7">
        <w:t>(Финляндия).</w:t>
      </w:r>
      <w:bookmarkStart w:id="10" w:name="_Hlk29572311"/>
      <w:bookmarkStart w:id="11" w:name="_Hlk29572400"/>
      <w:bookmarkStart w:id="12" w:name="_Hlk27769320"/>
      <w:bookmarkStart w:id="13" w:name="_Hlk29572698"/>
      <w:bookmarkEnd w:id="10"/>
      <w:bookmarkEnd w:id="11"/>
      <w:bookmarkEnd w:id="12"/>
      <w:bookmarkEnd w:id="13"/>
    </w:p>
    <w:p w:rsidR="00993805" w:rsidRPr="001712D7" w:rsidRDefault="00993805" w:rsidP="001900E3">
      <w:pPr>
        <w:pStyle w:val="SingleTxtG"/>
      </w:pPr>
      <w:r w:rsidRPr="001712D7">
        <w:t>22.</w:t>
      </w:r>
      <w:r w:rsidRPr="001712D7">
        <w:tab/>
        <w:t xml:space="preserve">Рабочая группа приняла к сведению доклад о ходе работы и план дальнейшей работы специальной рабочей группы. Рабочая группа предложила специальной рабочей группе представить проект руководства для рассмотрения Рабочей группой не позднее 15 мая 2020 года, за три недели до ее следующего совещания. Рабочая группа приветствовала поступившее от Германии предложение подготовить неофициальный письменный перевод проекта руководства на русский язык, с тем чтобы содействовать его рассмотрению русскоязычными делегациями на совещании Рабочей группы. Рабочая группа отметила, что франкоязычные делегации Бельгии и Швейцарии согласились в порядке исключения обсудить проект руководства на английском языке в июне 2020 года. Делегация Франции проинформировала совещание о том, что она проконсультируется со столицей относительно необходимости письменного перевода на французский язык и в случае его необходимости </w:t>
      </w:r>
      <w:r w:rsidR="001900E3">
        <w:t>–</w:t>
      </w:r>
      <w:r w:rsidRPr="001712D7">
        <w:t xml:space="preserve"> относительно возможности подготовки Францией неофициального письменного перевода проекта. Рабочая группа поручила секретариату связаться с Канадой и Люксембургом, которые не были представлены на совещании, и обсудить с ними вопрос о необходимости в письменном переводе.</w:t>
      </w:r>
      <w:bookmarkStart w:id="14" w:name="_Hlk29303213"/>
      <w:bookmarkEnd w:id="14"/>
    </w:p>
    <w:p w:rsidR="00993805" w:rsidRPr="001712D7" w:rsidRDefault="00993805" w:rsidP="001900E3">
      <w:pPr>
        <w:pStyle w:val="SingleTxtG"/>
      </w:pPr>
      <w:r w:rsidRPr="001712D7">
        <w:lastRenderedPageBreak/>
        <w:t>23.</w:t>
      </w:r>
      <w:r w:rsidRPr="001712D7">
        <w:tab/>
        <w:t>Рабочая группа приняла к сведению выводы международного рабочего совещания по воздействию продления срока эксплуатации атомных электростанций на окружающую среду и здоровье населения, котор</w:t>
      </w:r>
      <w:r w:rsidR="00462902">
        <w:t>ое</w:t>
      </w:r>
      <w:r w:rsidRPr="001712D7">
        <w:t xml:space="preserve"> Международная ассоциация по оценке воздействия организовала в Лиссабоне 5 июня 2019 года в целях содействия работе по подготовке проекта руководства</w:t>
      </w:r>
      <w:r w:rsidRPr="001712D7">
        <w:rPr>
          <w:rStyle w:val="FootnoteReference"/>
          <w:szCs w:val="22"/>
        </w:rPr>
        <w:footnoteReference w:id="5"/>
      </w:r>
      <w:r w:rsidRPr="001712D7">
        <w:t>. Она приняла также к сведению вынесенное Судом Европейского союза решение о толковании по вопросу о продлении срока эксплуатации энергоблоков №</w:t>
      </w:r>
      <w:r w:rsidR="004720F1">
        <w:t xml:space="preserve"> </w:t>
      </w:r>
      <w:r w:rsidRPr="001712D7">
        <w:t>1 и №</w:t>
      </w:r>
      <w:r w:rsidR="004720F1">
        <w:t xml:space="preserve"> </w:t>
      </w:r>
      <w:r w:rsidRPr="001712D7">
        <w:t>2 атомной электростанции в Дуле в Бельгии</w:t>
      </w:r>
      <w:r w:rsidRPr="001712D7">
        <w:rPr>
          <w:rStyle w:val="FootnoteReference"/>
          <w:szCs w:val="22"/>
        </w:rPr>
        <w:footnoteReference w:id="6"/>
      </w:r>
      <w:r w:rsidRPr="001712D7">
        <w:t xml:space="preserve">. В заключение Рабочая группа отметила недавнюю публикацию Агентства по ядерной энергии ОЭСР, озаглавленную </w:t>
      </w:r>
      <w:r w:rsidR="006255BA">
        <w:t>«</w:t>
      </w:r>
      <w:r w:rsidRPr="001712D7">
        <w:t>Правовые основы долгосрочной эксплуатации ядерных энергетических реакторов</w:t>
      </w:r>
      <w:r w:rsidR="006255BA">
        <w:t>»</w:t>
      </w:r>
      <w:r w:rsidRPr="001712D7">
        <w:rPr>
          <w:rStyle w:val="FootnoteReference"/>
          <w:szCs w:val="22"/>
        </w:rPr>
        <w:footnoteReference w:id="7"/>
      </w:r>
      <w:r w:rsidRPr="001712D7">
        <w:t>.</w:t>
      </w:r>
    </w:p>
    <w:p w:rsidR="00993805" w:rsidRPr="001712D7" w:rsidRDefault="00993805" w:rsidP="001900E3">
      <w:pPr>
        <w:pStyle w:val="H1G"/>
      </w:pPr>
      <w:r w:rsidRPr="001712D7">
        <w:tab/>
        <w:t>D.</w:t>
      </w:r>
      <w:r w:rsidRPr="001712D7">
        <w:tab/>
        <w:t>Помощь в законодательной области в целях поддержки осуществления и ратификации</w:t>
      </w:r>
    </w:p>
    <w:p w:rsidR="00993805" w:rsidRPr="001712D7" w:rsidRDefault="00993805" w:rsidP="001900E3">
      <w:pPr>
        <w:pStyle w:val="SingleTxtG"/>
      </w:pPr>
      <w:r w:rsidRPr="001712D7">
        <w:t>24.</w:t>
      </w:r>
      <w:r w:rsidRPr="001712D7">
        <w:tab/>
        <w:t xml:space="preserve">Рабочая </w:t>
      </w:r>
      <w:r w:rsidRPr="001900E3">
        <w:t>группа</w:t>
      </w:r>
      <w:r w:rsidRPr="001712D7">
        <w:t xml:space="preserve"> с удовлетворением отметила недавнюю публикацию </w:t>
      </w:r>
      <w:r w:rsidRPr="004720F1">
        <w:rPr>
          <w:i/>
        </w:rPr>
        <w:t>Пересмотренных руководящих принципов по оценке воздействия на окружающую среду в трансграничном контексте для стран Центральной Азии</w:t>
      </w:r>
      <w:r w:rsidRPr="001712D7">
        <w:rPr>
          <w:rStyle w:val="FootnoteReference"/>
          <w:szCs w:val="22"/>
        </w:rPr>
        <w:footnoteReference w:id="8"/>
      </w:r>
      <w:r w:rsidRPr="001712D7">
        <w:t>, которые были одобрены Совещанием Сторон Конвенции на его промежуточной сессии решением</w:t>
      </w:r>
      <w:r w:rsidR="004720F1">
        <w:t> </w:t>
      </w:r>
      <w:r w:rsidRPr="001712D7">
        <w:t>IS/3 (см. ECE/MP.EIA/27/Add.1−ECE/MP.EIA/SEA/11/Add.1).</w:t>
      </w:r>
    </w:p>
    <w:p w:rsidR="00993805" w:rsidRPr="001712D7" w:rsidRDefault="00993805" w:rsidP="001900E3">
      <w:pPr>
        <w:pStyle w:val="SingleTxtG"/>
      </w:pPr>
      <w:r w:rsidRPr="001712D7">
        <w:t>25.</w:t>
      </w:r>
      <w:r w:rsidRPr="001712D7">
        <w:tab/>
        <w:t xml:space="preserve">Рабочая группа </w:t>
      </w:r>
      <w:r w:rsidRPr="001900E3">
        <w:t>рассмотрела</w:t>
      </w:r>
      <w:r w:rsidRPr="001712D7">
        <w:t xml:space="preserve"> ход оказания помощи в законодательной области, предусмотренной в плане работы на 2017–2020 годы или связанной с ним, в период после проведения промежуточных сессий Совещаний Сторон. Рабочая группа с удовлетворением отметила информацию, полученную от делегаций Казахстана, Таджикистана и Узбекистана и от секретариата и касающуюся помощи в законодательной области, которую секретариат оказал в 2019 году в сотрудничестве с ОБСЕ в поддержку правовых реформ в этих странах и их усилий по осуществлению и ратификации Конвенции и/или Протокола. Был проведен ряд технических совещаний, в том числе в Таджикистане (Душанбе, 10 и 11 октября 2019 года) в поддержку внесения изменений в законодательство страны о первичной и вторичной экологической экспертизе и в Узбекистане (Ташкент, 19 и 20 августа и 19 декабря 2019</w:t>
      </w:r>
      <w:r w:rsidR="00F74130">
        <w:t> </w:t>
      </w:r>
      <w:r w:rsidRPr="001712D7">
        <w:t>года) в поддержку внесения изменений в базовое законодательство и в поддержку разработки подзаконных нормативных актов.</w:t>
      </w:r>
      <w:bookmarkStart w:id="15" w:name="_Hlk27754202"/>
      <w:bookmarkEnd w:id="15"/>
    </w:p>
    <w:p w:rsidR="00993805" w:rsidRPr="001712D7" w:rsidRDefault="00993805" w:rsidP="001900E3">
      <w:pPr>
        <w:pStyle w:val="SingleTxtG"/>
      </w:pPr>
      <w:r w:rsidRPr="001712D7">
        <w:t>26.</w:t>
      </w:r>
      <w:r w:rsidRPr="001712D7">
        <w:tab/>
        <w:t xml:space="preserve">Рабочая группа c </w:t>
      </w:r>
      <w:r w:rsidRPr="001900E3">
        <w:t>удовлетворением</w:t>
      </w:r>
      <w:r w:rsidRPr="001712D7">
        <w:t xml:space="preserve"> отметила предоставление Германией, Швейцарией и Офисом программ ОБСЕ в Нур-Султане</w:t>
      </w:r>
      <w:r w:rsidRPr="00216215">
        <w:t xml:space="preserve"> </w:t>
      </w:r>
      <w:r w:rsidRPr="001712D7">
        <w:t xml:space="preserve">финансовых средств для проведения мероприятий в странах Центральной Азии. Рабочая группа с удовлетворением отметила также усилия стран субрегиона, делегации которых присутствовали на совещании, и призвала их продолжать проводить реформы в правовой сфере и рассмотреть вопрос о принятии мер по ратификации Протокола, а в случае Таджикистана и Узбекистана </w:t>
      </w:r>
      <w:r w:rsidR="001900E3">
        <w:t>–</w:t>
      </w:r>
      <w:r w:rsidRPr="001712D7">
        <w:t xml:space="preserve"> по присоединению к Конвенции.</w:t>
      </w:r>
    </w:p>
    <w:p w:rsidR="00993805" w:rsidRPr="001712D7" w:rsidRDefault="00993805" w:rsidP="001900E3">
      <w:pPr>
        <w:pStyle w:val="SingleTxtG"/>
      </w:pPr>
      <w:r w:rsidRPr="001712D7">
        <w:t>27.</w:t>
      </w:r>
      <w:r w:rsidRPr="001712D7">
        <w:tab/>
        <w:t xml:space="preserve">Секретариат сообщил о </w:t>
      </w:r>
      <w:r w:rsidRPr="001900E3">
        <w:t>планируемой</w:t>
      </w:r>
      <w:r w:rsidRPr="001712D7">
        <w:t xml:space="preserve"> им </w:t>
      </w:r>
      <w:r w:rsidR="001900E3">
        <w:t>–</w:t>
      </w:r>
      <w:r w:rsidRPr="001712D7">
        <w:t xml:space="preserve"> при финансировании по линии проекта Европейского союза </w:t>
      </w:r>
      <w:r w:rsidR="004720F1">
        <w:t>«</w:t>
      </w:r>
      <w:r w:rsidRPr="001712D7">
        <w:t>EU4Environment</w:t>
      </w:r>
      <w:r w:rsidR="004720F1">
        <w:t>»</w:t>
      </w:r>
      <w:r w:rsidR="008B7E57">
        <w:t xml:space="preserve"> </w:t>
      </w:r>
      <w:r w:rsidR="001900E3">
        <w:t>–</w:t>
      </w:r>
      <w:r w:rsidRPr="001712D7">
        <w:t xml:space="preserve"> дальнейшей помощи в законодательной области Азербайджану, Армении, Беларуси и Республике Молдова. Секретариат приветствовал дальнейшее финансирование со стороны Европейского союза (Генерального директората по вопросам добрососедства и переговоров о расширении), а также предпринимаемые при его поддержке усилия стран по завершению проводимых ими реформ в правовой сфере. Рабочая группа призвала все страны, которым была оказана помощь, полностью привести свое законодательство в соответствие с Конвенцией и Протоколом. Она также призвала Азербайджан и </w:t>
      </w:r>
      <w:r w:rsidRPr="001712D7">
        <w:lastRenderedPageBreak/>
        <w:t>Беларусь ратифицировать Протокол, а Грузию </w:t>
      </w:r>
      <w:r w:rsidR="001900E3">
        <w:t>–</w:t>
      </w:r>
      <w:r w:rsidRPr="001712D7">
        <w:t xml:space="preserve"> ратифицировать оба документа/</w:t>
      </w:r>
      <w:r w:rsidR="00F74130">
        <w:br/>
      </w:r>
      <w:r w:rsidRPr="001712D7">
        <w:t>присоединиться к ним.</w:t>
      </w:r>
    </w:p>
    <w:p w:rsidR="00993805" w:rsidRPr="001712D7" w:rsidRDefault="00993805" w:rsidP="001900E3">
      <w:pPr>
        <w:pStyle w:val="H1G"/>
      </w:pPr>
      <w:r w:rsidRPr="001712D7">
        <w:tab/>
        <w:t>E.</w:t>
      </w:r>
      <w:r w:rsidRPr="001712D7">
        <w:tab/>
        <w:t>Проект долгосрочной стратегии и плана действий по применению Конвенции и Протокола в будущем</w:t>
      </w:r>
    </w:p>
    <w:p w:rsidR="00993805" w:rsidRPr="001712D7" w:rsidRDefault="00993805" w:rsidP="001900E3">
      <w:pPr>
        <w:pStyle w:val="SingleTxtG"/>
      </w:pPr>
      <w:r w:rsidRPr="001712D7">
        <w:t>28.</w:t>
      </w:r>
      <w:r w:rsidRPr="001712D7">
        <w:tab/>
        <w:t>Делегация Австрии представила записку о проекте долгосрочной стратегии и плана действий по применению Конвенции и Протокола в будущем, который она разработала совместно с Нидерландами и при поддержке секретариата (ECE/MP.EIA/WG.2/2019/INF.7). В этом документе учтены итоги неофициальных обсуждений со Сторонами Конвенции и Протокола, состоявшихся в Роттердаме (Нидерланды) 7 октября 2019 года. Рабочая группа с удовлетворением отметила представленную информацию и работу, проделанную Австрией, Нидерландами и секретариатом.</w:t>
      </w:r>
    </w:p>
    <w:p w:rsidR="00993805" w:rsidRPr="001712D7" w:rsidRDefault="00993805" w:rsidP="001900E3">
      <w:pPr>
        <w:pStyle w:val="SingleTxtG"/>
      </w:pPr>
      <w:r w:rsidRPr="001712D7">
        <w:t>29.</w:t>
      </w:r>
      <w:r w:rsidRPr="001712D7">
        <w:tab/>
        <w:t xml:space="preserve">Рабочая группа сочла этот документ всеобъемлющим и согласилась с тем, что все затрагиваемые в нем вопросы имеют важное значение. Однако ввиду ограниченности ресурсов в настоящее время и </w:t>
      </w:r>
      <w:r w:rsidRPr="001900E3">
        <w:t>неопределенности</w:t>
      </w:r>
      <w:r w:rsidRPr="001712D7">
        <w:t xml:space="preserve"> в отношении объема финансирования Сторонами Конвенции и Протокола к ней в будущем Рабочая группа приняла решение о необходимости определить приоритеты и ограничить сферу охвата стратегических целей и приоритетных направлений деятельности, которые необходимо осуществлять, и изучить возможность повторного рассмотрения положения дел через 10 лет. Делегация Европейского союза представила ряд конкретных замечаний и предложений относительно пересмотра документа.</w:t>
      </w:r>
    </w:p>
    <w:p w:rsidR="00993805" w:rsidRPr="001712D7" w:rsidRDefault="00993805" w:rsidP="001900E3">
      <w:pPr>
        <w:pStyle w:val="SingleTxtG"/>
      </w:pPr>
      <w:r w:rsidRPr="001712D7">
        <w:t>30.</w:t>
      </w:r>
      <w:r w:rsidRPr="001712D7">
        <w:tab/>
        <w:t xml:space="preserve">Рабочая группа отметила, что Австрия была </w:t>
      </w:r>
      <w:r w:rsidRPr="001900E3">
        <w:t>вынуждена</w:t>
      </w:r>
      <w:r w:rsidRPr="001712D7">
        <w:t xml:space="preserve"> отказаться от выполнения функций одной из ведущих стран по данному виду деятельности, и выразила Польше признательность за то, что она выступила с инициативой взять на себя выполнение этой функции. Рабочая группа предложила Нидерландам и Польше совместно подготовить более предметный и осуществимый проект долгосрочной стратегии и плана действий с учетом ресурсов Сторон и секретариата и высказанных замечаний. Рабочая группа приняла решение о том, что пересмотренный проект должен быть подготовлен к середине февраля и представлен для рассмотрения Президиумом до его следующего совещания (Женева, 25 и 26 февраля 2020 года). Это позволит Президиуму доработать проект и представить его в качестве официального документа к следующему совещанию Рабочей группы.</w:t>
      </w:r>
    </w:p>
    <w:p w:rsidR="00993805" w:rsidRPr="001712D7" w:rsidRDefault="00993805" w:rsidP="001900E3">
      <w:pPr>
        <w:pStyle w:val="SingleTxtG"/>
      </w:pPr>
      <w:r w:rsidRPr="001712D7">
        <w:t>31.</w:t>
      </w:r>
      <w:r w:rsidRPr="001712D7">
        <w:tab/>
        <w:t xml:space="preserve">Рабочая группа приняла к </w:t>
      </w:r>
      <w:r w:rsidRPr="001900E3">
        <w:t>сведению</w:t>
      </w:r>
      <w:r w:rsidRPr="001712D7">
        <w:t xml:space="preserve"> планы Польши и Нидерландов организовать в январе 2020 года третье неофициальное консультативное совещание Сторон по разработке долгосрочной стратегии</w:t>
      </w:r>
      <w:r w:rsidRPr="001712D7">
        <w:rPr>
          <w:rStyle w:val="FootnoteReference"/>
          <w:szCs w:val="22"/>
        </w:rPr>
        <w:footnoteReference w:id="9"/>
      </w:r>
      <w:r w:rsidRPr="001712D7">
        <w:t>.</w:t>
      </w:r>
    </w:p>
    <w:p w:rsidR="00993805" w:rsidRPr="001712D7" w:rsidRDefault="00993805" w:rsidP="001900E3">
      <w:pPr>
        <w:pStyle w:val="HChG"/>
      </w:pPr>
      <w:r w:rsidRPr="001712D7">
        <w:tab/>
        <w:t>V.</w:t>
      </w:r>
      <w:r w:rsidRPr="001712D7">
        <w:tab/>
        <w:t xml:space="preserve">Субрегиональное сотрудничество и </w:t>
      </w:r>
      <w:r w:rsidRPr="001900E3">
        <w:t>наращивание</w:t>
      </w:r>
      <w:r w:rsidRPr="001712D7">
        <w:t xml:space="preserve"> потенциала</w:t>
      </w:r>
      <w:bookmarkStart w:id="16" w:name="_Hlk503195904"/>
      <w:bookmarkEnd w:id="16"/>
    </w:p>
    <w:p w:rsidR="00993805" w:rsidRPr="001712D7" w:rsidRDefault="00993805" w:rsidP="00963501">
      <w:pPr>
        <w:pStyle w:val="SingleTxtG"/>
      </w:pPr>
      <w:r w:rsidRPr="001712D7">
        <w:t>32.</w:t>
      </w:r>
      <w:r w:rsidRPr="001712D7">
        <w:tab/>
        <w:t xml:space="preserve">Рабочая группа рассмотрела </w:t>
      </w:r>
      <w:r w:rsidRPr="001900E3">
        <w:t>прогресс</w:t>
      </w:r>
      <w:r w:rsidRPr="001712D7">
        <w:t xml:space="preserve"> в области осуществления субрегионального сотрудничества и деятельности по укреплению </w:t>
      </w:r>
      <w:r w:rsidRPr="00963501">
        <w:t>потенциала</w:t>
      </w:r>
      <w:r w:rsidRPr="001712D7">
        <w:t>, предусмотренной в плане работы или связанной с ним. Она приветствовала доклады, представленные:</w:t>
      </w:r>
    </w:p>
    <w:p w:rsidR="00993805" w:rsidRPr="001712D7" w:rsidRDefault="001900E3" w:rsidP="001900E3">
      <w:pPr>
        <w:pStyle w:val="SingleTxtG"/>
      </w:pPr>
      <w:r>
        <w:tab/>
      </w:r>
      <w:r>
        <w:tab/>
      </w:r>
      <w:r w:rsidR="00993805" w:rsidRPr="001712D7">
        <w:t>a)</w:t>
      </w:r>
      <w:r w:rsidR="00993805" w:rsidRPr="001712D7">
        <w:tab/>
        <w:t>Данией </w:t>
      </w:r>
      <w:r>
        <w:t>–</w:t>
      </w:r>
      <w:r w:rsidR="00993805" w:rsidRPr="001712D7">
        <w:t xml:space="preserve"> о ее планах </w:t>
      </w:r>
      <w:r w:rsidR="00993805" w:rsidRPr="001900E3">
        <w:t>по</w:t>
      </w:r>
      <w:r w:rsidR="00993805" w:rsidRPr="001712D7">
        <w:t xml:space="preserve"> организации в сотрудничестве с Финляндией и Швецией рабочего совещания по вопросам субрегионального сотрудничества для региона Балтийского моря, которое состоится в Копенгагене 25 и 26 марта 2020 года;</w:t>
      </w:r>
    </w:p>
    <w:p w:rsidR="00993805" w:rsidRPr="001712D7" w:rsidRDefault="001900E3" w:rsidP="001900E3">
      <w:pPr>
        <w:pStyle w:val="SingleTxtG"/>
      </w:pPr>
      <w:r>
        <w:tab/>
      </w:r>
      <w:r>
        <w:tab/>
      </w:r>
      <w:r w:rsidR="00993805" w:rsidRPr="001712D7">
        <w:t>b)</w:t>
      </w:r>
      <w:r w:rsidR="00993805" w:rsidRPr="001712D7">
        <w:tab/>
        <w:t xml:space="preserve">Хорватией </w:t>
      </w:r>
      <w:r>
        <w:t>–</w:t>
      </w:r>
      <w:r w:rsidR="00993805" w:rsidRPr="001712D7">
        <w:t xml:space="preserve"> об основных </w:t>
      </w:r>
      <w:r w:rsidR="00993805" w:rsidRPr="00963501">
        <w:rPr>
          <w:color w:val="000000" w:themeColor="text1"/>
        </w:rPr>
        <w:t xml:space="preserve">результатах </w:t>
      </w:r>
      <w:r w:rsidR="00993805" w:rsidRPr="001900E3">
        <w:t>Региональной</w:t>
      </w:r>
      <w:r w:rsidR="00993805" w:rsidRPr="001712D7">
        <w:t xml:space="preserve"> конференции по оценке воздействия на окружающую среду, имеющих отношение к Конвенции и Протоколу (Водице, Хорватия, 18–21 сентября 20191 года);</w:t>
      </w:r>
    </w:p>
    <w:p w:rsidR="00993805" w:rsidRPr="001712D7" w:rsidRDefault="001900E3" w:rsidP="001900E3">
      <w:pPr>
        <w:pStyle w:val="SingleTxtG"/>
      </w:pPr>
      <w:r>
        <w:lastRenderedPageBreak/>
        <w:tab/>
      </w:r>
      <w:r>
        <w:tab/>
      </w:r>
      <w:r w:rsidR="00993805" w:rsidRPr="001712D7">
        <w:t>c)</w:t>
      </w:r>
      <w:r w:rsidR="00993805" w:rsidRPr="001712D7">
        <w:tab/>
      </w:r>
      <w:r w:rsidR="00993805" w:rsidRPr="001900E3">
        <w:t>секретариатом</w:t>
      </w:r>
      <w:r w:rsidR="00993805" w:rsidRPr="001712D7">
        <w:t xml:space="preserve"> и ОБСЕ </w:t>
      </w:r>
      <w:r>
        <w:t>–</w:t>
      </w:r>
      <w:r w:rsidR="00993805" w:rsidRPr="001712D7">
        <w:t xml:space="preserve"> о субрегиональных мероприятиях, ориентированны</w:t>
      </w:r>
      <w:r w:rsidR="00A304C7">
        <w:t>х</w:t>
      </w:r>
      <w:r w:rsidR="00993805" w:rsidRPr="001712D7">
        <w:t xml:space="preserve"> на страны Центральной Азии и проведенны</w:t>
      </w:r>
      <w:r w:rsidR="005C04B4">
        <w:t>х</w:t>
      </w:r>
      <w:r w:rsidR="00993805" w:rsidRPr="001712D7">
        <w:t xml:space="preserve"> или запланированны</w:t>
      </w:r>
      <w:r w:rsidR="005C04B4">
        <w:t>х</w:t>
      </w:r>
      <w:r w:rsidR="00993805" w:rsidRPr="001712D7">
        <w:t xml:space="preserve"> в рамках совместного проекта под названием </w:t>
      </w:r>
      <w:r w:rsidR="006255BA">
        <w:t>«</w:t>
      </w:r>
      <w:r w:rsidR="00993805" w:rsidRPr="001712D7">
        <w:t>Укрепление национального и регионального потенциала и сотрудничества в области стратегической экологической оценки в Центральной Азии, в том числе в качестве ответных мер на изменение климата</w:t>
      </w:r>
      <w:r w:rsidR="006255BA">
        <w:t>»</w:t>
      </w:r>
      <w:r w:rsidR="00993805" w:rsidRPr="001712D7">
        <w:t>, осуществление которого началось в сентябре 2019 года и который финансировался Германией при софинансировании со стороны ОБСЕ и ЕЭК. К числу мероприятий относятся следующие:</w:t>
      </w:r>
    </w:p>
    <w:p w:rsidR="00993805" w:rsidRPr="001712D7" w:rsidRDefault="00993805" w:rsidP="001900E3">
      <w:pPr>
        <w:pStyle w:val="SingleTxtG"/>
        <w:ind w:left="1701"/>
      </w:pPr>
      <w:bookmarkStart w:id="17" w:name="_Hlk27760110"/>
      <w:r w:rsidRPr="001712D7">
        <w:t>i)</w:t>
      </w:r>
      <w:r w:rsidRPr="001712D7">
        <w:tab/>
      </w:r>
      <w:r w:rsidRPr="001900E3">
        <w:t>специальное</w:t>
      </w:r>
      <w:r w:rsidRPr="001712D7">
        <w:t xml:space="preserve"> заседание, посвященное участию общественности в соответствии с Конвенцией и Протоколом к ней, которое прошло в ходе ежегодного совещания орхусских центров, организованного ЕЭК в сотрудничестве с ОБСЕ (Вена, 16 и 17 октября 2019 года);</w:t>
      </w:r>
    </w:p>
    <w:p w:rsidR="00993805" w:rsidRPr="001712D7" w:rsidRDefault="00993805" w:rsidP="001900E3">
      <w:pPr>
        <w:pStyle w:val="SingleTxtG"/>
        <w:ind w:left="1701"/>
      </w:pPr>
      <w:r w:rsidRPr="001712D7">
        <w:t>ii)</w:t>
      </w:r>
      <w:r w:rsidRPr="001712D7">
        <w:tab/>
      </w:r>
      <w:r w:rsidRPr="001900E3">
        <w:t>ознакомительная</w:t>
      </w:r>
      <w:r w:rsidRPr="001712D7">
        <w:t xml:space="preserve"> поездка для обмена опытом с Германией по вопросам осуществления Протокола (Берлин, 2–6 декабря 2019 года);</w:t>
      </w:r>
    </w:p>
    <w:p w:rsidR="00993805" w:rsidRPr="001712D7" w:rsidRDefault="00993805" w:rsidP="001900E3">
      <w:pPr>
        <w:pStyle w:val="SingleTxtG"/>
        <w:ind w:left="1701"/>
      </w:pPr>
      <w:r w:rsidRPr="001712D7">
        <w:t>iii)</w:t>
      </w:r>
      <w:r w:rsidRPr="001712D7">
        <w:tab/>
        <w:t xml:space="preserve">планируемая к проведению субрегиональная конференция для обсуждения результатов проводимых в настоящее время обзоров целесообразности разработки </w:t>
      </w:r>
      <w:r w:rsidRPr="001900E3">
        <w:t>национальных</w:t>
      </w:r>
      <w:r w:rsidRPr="001712D7">
        <w:t xml:space="preserve"> систем стратегической экологической оценки в странах Центральной Азии и их потребностей в этой связи (май/июнь 2020 года, подлежит подтверждению).</w:t>
      </w:r>
    </w:p>
    <w:bookmarkEnd w:id="17"/>
    <w:p w:rsidR="00993805" w:rsidRPr="001712D7" w:rsidRDefault="00993805" w:rsidP="001900E3">
      <w:pPr>
        <w:pStyle w:val="SingleTxtG"/>
      </w:pPr>
      <w:r w:rsidRPr="001712D7">
        <w:t>33.</w:t>
      </w:r>
      <w:r w:rsidRPr="001712D7">
        <w:tab/>
      </w:r>
      <w:r w:rsidRPr="001900E3">
        <w:t>Рабочая</w:t>
      </w:r>
      <w:r w:rsidRPr="001712D7">
        <w:t xml:space="preserve"> группа приветствовала также представленную секретариатом информацию о его планах по организации в 2020 году субрегионального рабочего совещания при финансировании со стороны Европейского союза в рамках программы </w:t>
      </w:r>
      <w:r w:rsidR="00A43F59">
        <w:t>«</w:t>
      </w:r>
      <w:r w:rsidRPr="001712D7">
        <w:t>EU4Environment</w:t>
      </w:r>
      <w:r w:rsidR="00A43F59">
        <w:t>»</w:t>
      </w:r>
      <w:r w:rsidRPr="001712D7">
        <w:t>.</w:t>
      </w:r>
    </w:p>
    <w:p w:rsidR="00993805" w:rsidRPr="001712D7" w:rsidRDefault="00993805" w:rsidP="001900E3">
      <w:pPr>
        <w:pStyle w:val="SingleTxtG"/>
      </w:pPr>
      <w:r w:rsidRPr="001712D7">
        <w:t>34.</w:t>
      </w:r>
      <w:r w:rsidRPr="001712D7">
        <w:tab/>
      </w:r>
      <w:r w:rsidRPr="001900E3">
        <w:t>Рабочая</w:t>
      </w:r>
      <w:r w:rsidRPr="001712D7">
        <w:t xml:space="preserve"> группа с удовлетворением отметила достигнутый прогресс и высоко оценила финансирование со стороны доноров, которые было привлечено для осуществления деятельности.</w:t>
      </w:r>
    </w:p>
    <w:p w:rsidR="00993805" w:rsidRPr="001712D7" w:rsidRDefault="00993805" w:rsidP="001900E3">
      <w:pPr>
        <w:pStyle w:val="HChG"/>
      </w:pPr>
      <w:r w:rsidRPr="001712D7">
        <w:tab/>
        <w:t>VI.</w:t>
      </w:r>
      <w:r w:rsidRPr="001712D7">
        <w:tab/>
        <w:t xml:space="preserve">Содействие ратификации и </w:t>
      </w:r>
      <w:r w:rsidRPr="001900E3">
        <w:t>применению</w:t>
      </w:r>
      <w:r w:rsidRPr="001712D7">
        <w:t xml:space="preserve"> Протокола и</w:t>
      </w:r>
      <w:r w:rsidR="00A43F59">
        <w:t> </w:t>
      </w:r>
      <w:r w:rsidRPr="001712D7">
        <w:t>Конвенции</w:t>
      </w:r>
    </w:p>
    <w:p w:rsidR="00993805" w:rsidRPr="001712D7" w:rsidRDefault="00993805" w:rsidP="001900E3">
      <w:pPr>
        <w:pStyle w:val="SingleTxtG"/>
      </w:pPr>
      <w:r w:rsidRPr="001712D7">
        <w:t>35.</w:t>
      </w:r>
      <w:r w:rsidRPr="001712D7">
        <w:tab/>
        <w:t>Секретариат, ОБСЕ и делегации заинтересованных стран сообщили о следующих мероприятиях, проведенных или запланированных после промежуточных сессий Совещаний Сторон, состоявшихся в Женеве 5–7 февраля 2019 года, в целях поощрения ратификации и применения Протокола и Конвенции:</w:t>
      </w:r>
      <w:bookmarkStart w:id="18" w:name="_Hlk17967070"/>
    </w:p>
    <w:p w:rsidR="00993805" w:rsidRPr="001712D7" w:rsidRDefault="001900E3" w:rsidP="001900E3">
      <w:pPr>
        <w:pStyle w:val="SingleTxtG"/>
      </w:pPr>
      <w:r>
        <w:tab/>
      </w:r>
      <w:r>
        <w:tab/>
      </w:r>
      <w:r w:rsidR="00993805" w:rsidRPr="001712D7">
        <w:t>a)</w:t>
      </w:r>
      <w:r w:rsidR="00993805" w:rsidRPr="001712D7">
        <w:tab/>
      </w:r>
      <w:r w:rsidR="00993805" w:rsidRPr="001900E3">
        <w:t>мероприятиях</w:t>
      </w:r>
      <w:r w:rsidR="00993805" w:rsidRPr="001712D7">
        <w:t xml:space="preserve"> по дальнейшему поощрению осуществления, в частности стратегической экологической оценки в Азербайджане, Армении, Беларуси, Грузии, Республике Молдова и Украине, проводимых при финансировании или софинансировании по линии программы </w:t>
      </w:r>
      <w:r w:rsidR="00264DED">
        <w:t>«</w:t>
      </w:r>
      <w:r w:rsidR="00993805" w:rsidRPr="001712D7">
        <w:t>EU4Environment</w:t>
      </w:r>
      <w:r w:rsidR="00264DED">
        <w:t>»</w:t>
      </w:r>
      <w:r w:rsidR="00993805" w:rsidRPr="001712D7">
        <w:t>;</w:t>
      </w:r>
    </w:p>
    <w:bookmarkEnd w:id="18"/>
    <w:p w:rsidR="00993805" w:rsidRPr="001712D7" w:rsidRDefault="001900E3" w:rsidP="001900E3">
      <w:pPr>
        <w:pStyle w:val="SingleTxtG"/>
      </w:pPr>
      <w:r>
        <w:tab/>
      </w:r>
      <w:r>
        <w:tab/>
      </w:r>
      <w:r w:rsidR="00993805" w:rsidRPr="001712D7">
        <w:t>b)</w:t>
      </w:r>
      <w:r w:rsidR="00993805" w:rsidRPr="001712D7">
        <w:tab/>
        <w:t>запланированных мероприятиях в целях повышения уровня осведомленности стран Центральной Азии о преимуществах Протокола и укрепления потенциала для его практического применения в рамках вышеупомянутого совместного проекта ОБСЕ </w:t>
      </w:r>
      <w:r>
        <w:t>–</w:t>
      </w:r>
      <w:r w:rsidR="00993805" w:rsidRPr="001712D7">
        <w:t xml:space="preserve"> ЕЭК (см. пункт 32 с) выше) при финансировании со стороны Германии, ОБСЕ и ЕЭК, в том числе:</w:t>
      </w:r>
    </w:p>
    <w:p w:rsidR="00993805" w:rsidRPr="001712D7" w:rsidRDefault="00993805" w:rsidP="001900E3">
      <w:pPr>
        <w:pStyle w:val="SingleTxtG"/>
        <w:ind w:left="1701"/>
      </w:pPr>
      <w:r w:rsidRPr="001712D7">
        <w:t>i)</w:t>
      </w:r>
      <w:r w:rsidRPr="001712D7">
        <w:tab/>
        <w:t xml:space="preserve">страновых обзорах с участием полевых миссий для оценки возможности разработки национальных систем стратегической экологической оценки в соответствии с </w:t>
      </w:r>
      <w:r w:rsidRPr="001900E3">
        <w:t>Протоколом</w:t>
      </w:r>
      <w:r w:rsidRPr="001712D7">
        <w:t xml:space="preserve"> и потребностей стран в этой области (в период с декабря 2019 года по июль/август 2020 года);</w:t>
      </w:r>
    </w:p>
    <w:p w:rsidR="00993805" w:rsidRPr="001712D7" w:rsidRDefault="00993805" w:rsidP="001900E3">
      <w:pPr>
        <w:pStyle w:val="SingleTxtG"/>
        <w:ind w:left="1701"/>
      </w:pPr>
      <w:r w:rsidRPr="001712D7">
        <w:t>ii)</w:t>
      </w:r>
      <w:r w:rsidRPr="001712D7">
        <w:tab/>
        <w:t xml:space="preserve">серии национальных </w:t>
      </w:r>
      <w:r w:rsidRPr="001900E3">
        <w:t>семинаров</w:t>
      </w:r>
      <w:r w:rsidRPr="001712D7">
        <w:t xml:space="preserve"> по стратегической экологической оценке (будет организована в период с января по конец апреля</w:t>
      </w:r>
      <w:r w:rsidR="00AB24B8">
        <w:t>/</w:t>
      </w:r>
      <w:r w:rsidRPr="001712D7">
        <w:t>середину мая 2020</w:t>
      </w:r>
      <w:r>
        <w:rPr>
          <w:lang w:val="en-US"/>
        </w:rPr>
        <w:t> </w:t>
      </w:r>
      <w:r w:rsidRPr="001712D7">
        <w:t>года).</w:t>
      </w:r>
    </w:p>
    <w:p w:rsidR="00993805" w:rsidRPr="001712D7" w:rsidRDefault="00993805" w:rsidP="001900E3">
      <w:pPr>
        <w:pStyle w:val="SingleTxtG"/>
      </w:pPr>
      <w:r w:rsidRPr="001712D7">
        <w:t>36.</w:t>
      </w:r>
      <w:r w:rsidRPr="001712D7">
        <w:tab/>
        <w:t>Рабочая группа с удовлетворением отметила доклады о проведенных или запланированных мероприятиях. Рабочая группа предложила странам, в интересах которых проводились мероприятия, рационально использовать получаемую техническую помощь, несмотря на изменения в составе правительств.</w:t>
      </w:r>
    </w:p>
    <w:p w:rsidR="00993805" w:rsidRPr="001712D7" w:rsidRDefault="00993805" w:rsidP="001900E3">
      <w:pPr>
        <w:pStyle w:val="SingleTxtG"/>
      </w:pPr>
      <w:r w:rsidRPr="001712D7">
        <w:lastRenderedPageBreak/>
        <w:t>37.</w:t>
      </w:r>
      <w:r w:rsidRPr="001712D7">
        <w:tab/>
        <w:t xml:space="preserve">Рабочая группа признала ценную многолетнюю работу Международной ассоциации по оценке воздействия, направленную на поощрение передовой практики в области оценки воздействия и содействие повышению во всем мире осведомленности о Конвенции и Протоколе к ней. Она приветствовала разработку секретариатом двух проектов неофициальных брошюр, или подборок </w:t>
      </w:r>
      <w:r w:rsidR="00A43F59">
        <w:t>«</w:t>
      </w:r>
      <w:r w:rsidRPr="001712D7">
        <w:t>FasTips</w:t>
      </w:r>
      <w:r w:rsidR="00A43F59">
        <w:t>»</w:t>
      </w:r>
      <w:r w:rsidRPr="001712D7">
        <w:t xml:space="preserve"> (краткие сведения), о Конвенции и Протоколе (ECE/MP.EIA/WG.2/2019/7 и ECE/MP.EIA/WG.2/2019/6 соответственно). Рабочая группа предложила секретариату пересмотреть проект подборок </w:t>
      </w:r>
      <w:r w:rsidR="00A43F59">
        <w:t>«</w:t>
      </w:r>
      <w:r w:rsidRPr="001712D7">
        <w:t>FasTips</w:t>
      </w:r>
      <w:r w:rsidR="00A43F59">
        <w:t>»</w:t>
      </w:r>
      <w:r w:rsidRPr="001712D7">
        <w:t xml:space="preserve"> c учетом замечаний делегации Европейского союза, в том числе воспроизвести в подборках </w:t>
      </w:r>
      <w:r w:rsidR="00A43F59">
        <w:t>«</w:t>
      </w:r>
      <w:r w:rsidRPr="001712D7">
        <w:t>FasTips</w:t>
      </w:r>
      <w:r w:rsidR="00A43F59">
        <w:t>»</w:t>
      </w:r>
      <w:r w:rsidRPr="001712D7">
        <w:t xml:space="preserve"> точные формулировки положений юридических документов до представления их Международной ассоциации для утверждения и последующей публикации. Представитель Международной ассоциации отметил, что некоторые из вносимых изменений наверняка усложнят процесс утверждения проектов, поскольку предполагалось, что подборки </w:t>
      </w:r>
      <w:r w:rsidR="00A43F59">
        <w:t>«</w:t>
      </w:r>
      <w:r w:rsidRPr="001712D7">
        <w:t>FasTips</w:t>
      </w:r>
      <w:r w:rsidR="00A43F59">
        <w:t>»</w:t>
      </w:r>
      <w:r w:rsidRPr="001712D7">
        <w:t xml:space="preserve"> будут ориентированы на практическую работу и будут написаны простым языком и не будут повторять юридические формулировки документов. Секретариату было предложено вновь представить Рабочей группе подборки </w:t>
      </w:r>
      <w:r w:rsidR="00A43F59">
        <w:t>«</w:t>
      </w:r>
      <w:r w:rsidRPr="001712D7">
        <w:t>FasTips</w:t>
      </w:r>
      <w:r w:rsidR="00A43F59">
        <w:t>»</w:t>
      </w:r>
      <w:r w:rsidRPr="001712D7">
        <w:t xml:space="preserve"> после того, как Международная ассоциация проведет их обзор и представит свои замечания.</w:t>
      </w:r>
      <w:bookmarkStart w:id="19" w:name="_Hlk27762404"/>
      <w:bookmarkStart w:id="20" w:name="_Hlk27762202"/>
      <w:bookmarkEnd w:id="19"/>
      <w:bookmarkEnd w:id="20"/>
    </w:p>
    <w:p w:rsidR="00993805" w:rsidRPr="001712D7" w:rsidRDefault="00993805" w:rsidP="001900E3">
      <w:pPr>
        <w:pStyle w:val="HChG"/>
      </w:pPr>
      <w:r w:rsidRPr="001712D7">
        <w:tab/>
        <w:t>VII.</w:t>
      </w:r>
      <w:r w:rsidRPr="001712D7">
        <w:tab/>
        <w:t xml:space="preserve">Обмен информацией о </w:t>
      </w:r>
      <w:r w:rsidRPr="001900E3">
        <w:t>надлежащей</w:t>
      </w:r>
      <w:r w:rsidRPr="001712D7">
        <w:t xml:space="preserve"> практике</w:t>
      </w:r>
    </w:p>
    <w:p w:rsidR="00993805" w:rsidRPr="001712D7" w:rsidRDefault="00993805" w:rsidP="001900E3">
      <w:pPr>
        <w:pStyle w:val="H1G"/>
      </w:pPr>
      <w:r w:rsidRPr="001712D7">
        <w:tab/>
        <w:t>A.</w:t>
      </w:r>
      <w:r w:rsidRPr="001712D7">
        <w:tab/>
        <w:t xml:space="preserve">Рабочее совещание по вопросам </w:t>
      </w:r>
      <w:r w:rsidRPr="001900E3">
        <w:t>оценки</w:t>
      </w:r>
      <w:r w:rsidRPr="001712D7">
        <w:t xml:space="preserve"> воздействия на здоровье и</w:t>
      </w:r>
      <w:r w:rsidR="001900E3">
        <w:t> </w:t>
      </w:r>
      <w:r w:rsidRPr="001712D7">
        <w:t>участия сектора здравоохранения в стратегической экологической оценке</w:t>
      </w:r>
      <w:bookmarkStart w:id="21" w:name="_Hlk29286960"/>
      <w:bookmarkEnd w:id="21"/>
    </w:p>
    <w:p w:rsidR="00993805" w:rsidRPr="001712D7" w:rsidRDefault="00993805" w:rsidP="001900E3">
      <w:pPr>
        <w:pStyle w:val="SingleTxtG"/>
      </w:pPr>
      <w:r w:rsidRPr="001712D7">
        <w:t>38.</w:t>
      </w:r>
      <w:r w:rsidRPr="001712D7">
        <w:tab/>
        <w:t xml:space="preserve">Было проведено рабочее совещание (продолжительностью в полдня) по вопросам оценки воздействия на здоровье и участия сектора здравоохранения в стратегической экологической оценке. Рабочее </w:t>
      </w:r>
      <w:r w:rsidRPr="001900E3">
        <w:t>совещание</w:t>
      </w:r>
      <w:r w:rsidRPr="001712D7">
        <w:t xml:space="preserve"> было организовано секретариатом в сотрудничестве с ВОЗ и предназначалось для представления и обсуждения проекта руководства по этой теме, разрабатываемого двумя консультантами в консультации с секретариатом, ВОЗ и Европейским инвестиционным банком при финансировании со стороны Банка. Рабочее совещание предоставило также возможность осветить соответствующие отдельные виды надлежащей практики в регионе ЕЭК.</w:t>
      </w:r>
      <w:bookmarkStart w:id="22" w:name="_Hlk29805489"/>
      <w:bookmarkEnd w:id="22"/>
    </w:p>
    <w:p w:rsidR="00993805" w:rsidRPr="001712D7" w:rsidRDefault="00993805" w:rsidP="001900E3">
      <w:pPr>
        <w:pStyle w:val="SingleTxtG"/>
      </w:pPr>
      <w:r w:rsidRPr="001712D7">
        <w:t>39.</w:t>
      </w:r>
      <w:r w:rsidRPr="001712D7">
        <w:tab/>
        <w:t xml:space="preserve">Рабочая группа приветствовала проведение рабочего совещания и подтвердила важное значение его темы. Она поблагодарила </w:t>
      </w:r>
      <w:r w:rsidRPr="001900E3">
        <w:t>консультантов</w:t>
      </w:r>
      <w:r w:rsidRPr="001712D7">
        <w:t>, которые выступили также в роли модераторов рабочего совещания, а также докладчиков из Нидерландов, Уэльса (Соединенное Королевство Великобритании и Северной Ирландии), Чехии и Эстонии, представлявших в основном сектор здравоохранения. Рабочая группа отметила, что доклады были подготовлены в консультации с координационными центрами по Протоколу. Секретариату было предложено разместить материалы докладов на веб-странице совещания при условии, что докладчики дадут на это свое согласие.</w:t>
      </w:r>
    </w:p>
    <w:p w:rsidR="00993805" w:rsidRPr="001712D7" w:rsidRDefault="00993805" w:rsidP="001900E3">
      <w:pPr>
        <w:pStyle w:val="SingleTxtG"/>
      </w:pPr>
      <w:r w:rsidRPr="001712D7">
        <w:t>40.</w:t>
      </w:r>
      <w:r w:rsidRPr="001712D7">
        <w:tab/>
        <w:t xml:space="preserve">Рабочая группа приняла к </w:t>
      </w:r>
      <w:r w:rsidRPr="001900E3">
        <w:t>сведению</w:t>
      </w:r>
      <w:r w:rsidRPr="001712D7">
        <w:t xml:space="preserve"> следующие основные выводы рабочего совещания, которые были тезисно представлены консультантами:</w:t>
      </w:r>
    </w:p>
    <w:p w:rsidR="00993805" w:rsidRPr="001900E3" w:rsidRDefault="001900E3" w:rsidP="001900E3">
      <w:pPr>
        <w:pStyle w:val="SingleTxtG"/>
      </w:pPr>
      <w:r>
        <w:tab/>
      </w:r>
      <w:r>
        <w:tab/>
      </w:r>
      <w:r w:rsidR="00993805" w:rsidRPr="001900E3">
        <w:t>a)</w:t>
      </w:r>
      <w:r w:rsidR="00993805" w:rsidRPr="001900E3">
        <w:tab/>
        <w:t>в подходах к здравоохранению в рамках стратегической экологической оценки в разных странах и системах существуют различия (также имеются различия в подходах к стратегической экологической оценке). В ходе обсуждения на рабочем совещании был освещен опыт тех стран, которые в настоящее время применяют более широкий подход к здравоохранению, в частности в том, что касается рассмотрения социальных и поведенческих аспектов и благополучия наряду с биофизической средой;</w:t>
      </w:r>
      <w:bookmarkStart w:id="23" w:name="_Hlk27765736"/>
      <w:bookmarkEnd w:id="23"/>
    </w:p>
    <w:p w:rsidR="00993805" w:rsidRPr="001900E3" w:rsidRDefault="001900E3" w:rsidP="001900E3">
      <w:pPr>
        <w:pStyle w:val="SingleTxtG"/>
      </w:pPr>
      <w:r>
        <w:tab/>
      </w:r>
      <w:r>
        <w:tab/>
      </w:r>
      <w:r w:rsidR="00993805" w:rsidRPr="001900E3">
        <w:t>b)</w:t>
      </w:r>
      <w:r w:rsidR="00993805" w:rsidRPr="001900E3">
        <w:tab/>
        <w:t xml:space="preserve">специалистам, занимающимся оценкой состояния здоровья и стратегической экологической оценкой, необходимо учиться понимать друг друга. Важно предусмотреть время для налаживания диалога. Оптимальным вариантом стало </w:t>
      </w:r>
      <w:r w:rsidR="00993805" w:rsidRPr="001900E3">
        <w:lastRenderedPageBreak/>
        <w:t>бы формирование объединенного подразделения по экологическим вопросам и вопросам здоровья человека;</w:t>
      </w:r>
    </w:p>
    <w:p w:rsidR="00993805" w:rsidRPr="001900E3" w:rsidRDefault="001900E3" w:rsidP="001900E3">
      <w:pPr>
        <w:pStyle w:val="SingleTxtG"/>
      </w:pPr>
      <w:r>
        <w:tab/>
      </w:r>
      <w:r>
        <w:tab/>
      </w:r>
      <w:r w:rsidR="00993805" w:rsidRPr="001900E3">
        <w:t>c)</w:t>
      </w:r>
      <w:r w:rsidR="00993805" w:rsidRPr="001900E3">
        <w:tab/>
        <w:t>исключительно важно на этапе определения сферы охвата привлекать к работе органы здравоохранения. При определении сферы охвата необходимо сосредоточить внимание на релевантных аспектах; необходим соразмерный подход. Все исходные положения, сформулированные на этапе определения сферы охвата, будут определять весь остальной процесс стратегической экологической оценки (анализ, отчетность, последующие действия, консультации и участие);</w:t>
      </w:r>
    </w:p>
    <w:p w:rsidR="00993805" w:rsidRPr="001900E3" w:rsidRDefault="001900E3" w:rsidP="001900E3">
      <w:pPr>
        <w:pStyle w:val="SingleTxtG"/>
      </w:pPr>
      <w:r>
        <w:tab/>
      </w:r>
      <w:r>
        <w:tab/>
      </w:r>
      <w:r w:rsidR="00993805" w:rsidRPr="001900E3">
        <w:t>d)</w:t>
      </w:r>
      <w:r w:rsidR="00993805" w:rsidRPr="001900E3">
        <w:tab/>
        <w:t xml:space="preserve">большое значение для формирования эффективной системы стратегической экологической оценки имеют так называемые </w:t>
      </w:r>
      <w:r w:rsidR="006255BA">
        <w:t>«</w:t>
      </w:r>
      <w:r w:rsidR="00993805" w:rsidRPr="001900E3">
        <w:t>посланники</w:t>
      </w:r>
      <w:r w:rsidR="006255BA">
        <w:t>»</w:t>
      </w:r>
      <w:r w:rsidR="00993805" w:rsidRPr="001900E3">
        <w:t xml:space="preserve"> или </w:t>
      </w:r>
      <w:r w:rsidR="006255BA">
        <w:t>«</w:t>
      </w:r>
      <w:r w:rsidR="00993805" w:rsidRPr="001900E3">
        <w:t>стратегические активисты</w:t>
      </w:r>
      <w:r w:rsidR="006255BA">
        <w:t>»</w:t>
      </w:r>
      <w:r w:rsidR="00993805" w:rsidRPr="001900E3">
        <w:t>;</w:t>
      </w:r>
    </w:p>
    <w:p w:rsidR="00993805" w:rsidRPr="001900E3" w:rsidRDefault="001900E3" w:rsidP="001900E3">
      <w:pPr>
        <w:pStyle w:val="SingleTxtG"/>
      </w:pPr>
      <w:r>
        <w:tab/>
      </w:r>
      <w:r>
        <w:tab/>
      </w:r>
      <w:r w:rsidR="00993805" w:rsidRPr="001900E3">
        <w:t>e)</w:t>
      </w:r>
      <w:r w:rsidR="00993805" w:rsidRPr="001900E3">
        <w:tab/>
        <w:t>органы здравоохранения могли бы предоставлять информацию для стратегической экологической оценки, в частности, путем предоставления соответствующих данных, которые собираются на регулярной основе (для целей мониторинга). Участие органов здравоохранения в стратегической экологической оценке может также способствовать выявлению других важных данных, которые должны собираться и которые имеют отношение к рассматриваемому плану или программе;</w:t>
      </w:r>
    </w:p>
    <w:p w:rsidR="00993805" w:rsidRPr="001900E3" w:rsidRDefault="001900E3" w:rsidP="001900E3">
      <w:pPr>
        <w:pStyle w:val="SingleTxtG"/>
      </w:pPr>
      <w:r>
        <w:tab/>
      </w:r>
      <w:r>
        <w:tab/>
      </w:r>
      <w:r w:rsidR="00993805" w:rsidRPr="001900E3">
        <w:t>f)</w:t>
      </w:r>
      <w:r w:rsidR="00993805" w:rsidRPr="001900E3">
        <w:tab/>
        <w:t>необходимо провести тематические исследования, с тем чтобы показать, каким образом следует осуществлять мониторинг здоровья человека в связи со стратегической экологической оценкой;</w:t>
      </w:r>
    </w:p>
    <w:p w:rsidR="00993805" w:rsidRPr="001900E3" w:rsidRDefault="001900E3" w:rsidP="001900E3">
      <w:pPr>
        <w:pStyle w:val="SingleTxtG"/>
      </w:pPr>
      <w:r>
        <w:tab/>
      </w:r>
      <w:r>
        <w:tab/>
      </w:r>
      <w:r w:rsidR="00993805" w:rsidRPr="001900E3">
        <w:t>g)</w:t>
      </w:r>
      <w:r w:rsidR="00993805" w:rsidRPr="001900E3">
        <w:tab/>
        <w:t xml:space="preserve">создание потенциала или развитие навыков по учету аспектов здоровья в ходе стратегической экологической оценки является жизненно важным элементом проведения эффективной оценки того, какое воздействие планы и программы, осуществляемые в рамках </w:t>
      </w:r>
      <w:r w:rsidR="006255BA">
        <w:t>«</w:t>
      </w:r>
      <w:r w:rsidR="00993805" w:rsidRPr="001900E3">
        <w:t>системы</w:t>
      </w:r>
      <w:r w:rsidR="006255BA">
        <w:t>»</w:t>
      </w:r>
      <w:r w:rsidR="00993805" w:rsidRPr="001900E3">
        <w:t xml:space="preserve"> стратегической экологической оценки, оказывают на здоровье людей. Содержание работы по созданию такого потенциала</w:t>
      </w:r>
      <w:r w:rsidR="0051439B">
        <w:t>,</w:t>
      </w:r>
      <w:r w:rsidR="00993805" w:rsidRPr="001900E3">
        <w:t xml:space="preserve"> вероятно</w:t>
      </w:r>
      <w:r w:rsidR="0051439B">
        <w:t>,</w:t>
      </w:r>
      <w:r w:rsidR="00993805" w:rsidRPr="001900E3">
        <w:t xml:space="preserve"> будет основано на определении понятия </w:t>
      </w:r>
      <w:r w:rsidR="006255BA">
        <w:t>«</w:t>
      </w:r>
      <w:r w:rsidR="00993805" w:rsidRPr="001900E3">
        <w:t>здоровье</w:t>
      </w:r>
      <w:r w:rsidR="006255BA">
        <w:t>»</w:t>
      </w:r>
      <w:r w:rsidR="00993805" w:rsidRPr="001900E3">
        <w:t>, которое лежит в основе оценки;</w:t>
      </w:r>
    </w:p>
    <w:p w:rsidR="00993805" w:rsidRPr="001900E3" w:rsidRDefault="001900E3" w:rsidP="001900E3">
      <w:pPr>
        <w:pStyle w:val="SingleTxtG"/>
      </w:pPr>
      <w:r>
        <w:tab/>
      </w:r>
      <w:r>
        <w:tab/>
      </w:r>
      <w:r w:rsidR="00993805" w:rsidRPr="001900E3">
        <w:t>h)</w:t>
      </w:r>
      <w:r w:rsidR="00993805" w:rsidRPr="001900E3">
        <w:tab/>
        <w:t>при оценке состояния здоровья внимание уделяется положительным аспектам, тогда как стратегическая экологическая оценка традиционно в большей степени ориентирована на смягчение (негативных) экологических последствий. Оба вида оценки могут позаимствовать друг у друга что-то полезное;</w:t>
      </w:r>
    </w:p>
    <w:p w:rsidR="00993805" w:rsidRPr="001900E3" w:rsidRDefault="001900E3" w:rsidP="001900E3">
      <w:pPr>
        <w:pStyle w:val="SingleTxtG"/>
      </w:pPr>
      <w:r>
        <w:tab/>
      </w:r>
      <w:r>
        <w:tab/>
      </w:r>
      <w:r w:rsidR="00993805" w:rsidRPr="001900E3">
        <w:t>i)</w:t>
      </w:r>
      <w:r w:rsidR="00993805" w:rsidRPr="001900E3">
        <w:tab/>
        <w:t>при рассмотрении устойчивых долгосрочных последствий важно учитывать более широкие детерминанты здоровья; в ходе рабочего совещания были приведены практические примеры того, как это можно сделать;</w:t>
      </w:r>
    </w:p>
    <w:p w:rsidR="00993805" w:rsidRPr="001900E3" w:rsidRDefault="001900E3" w:rsidP="001900E3">
      <w:pPr>
        <w:pStyle w:val="SingleTxtG"/>
      </w:pPr>
      <w:r>
        <w:tab/>
      </w:r>
      <w:r>
        <w:tab/>
      </w:r>
      <w:r w:rsidR="00993805" w:rsidRPr="001900E3">
        <w:t>j)</w:t>
      </w:r>
      <w:r w:rsidR="00993805" w:rsidRPr="001900E3">
        <w:tab/>
        <w:t xml:space="preserve">борьба с таким фактором оценки воздействия, как </w:t>
      </w:r>
      <w:r w:rsidR="006255BA">
        <w:t>«</w:t>
      </w:r>
      <w:r w:rsidR="00993805" w:rsidRPr="001900E3">
        <w:t>усталость</w:t>
      </w:r>
      <w:r w:rsidR="006255BA">
        <w:t>»</w:t>
      </w:r>
      <w:r w:rsidR="00993805" w:rsidRPr="001900E3">
        <w:t xml:space="preserve"> (например, вследствие необходимости проведения слишком большого числа оценок), путем включения оценки воздействия на здоровье в стратегическую экологическую оценку может иметь положительный эффект. Однако в этом контексте важно иметь набор четких правил, с тем чтобы все аспекты были действительно надлежащим образом учтены;</w:t>
      </w:r>
    </w:p>
    <w:p w:rsidR="00993805" w:rsidRPr="001900E3" w:rsidRDefault="001900E3" w:rsidP="001900E3">
      <w:pPr>
        <w:pStyle w:val="SingleTxtG"/>
      </w:pPr>
      <w:r>
        <w:tab/>
      </w:r>
      <w:r>
        <w:tab/>
      </w:r>
      <w:r w:rsidR="00993805" w:rsidRPr="001900E3">
        <w:t>k)</w:t>
      </w:r>
      <w:r w:rsidR="00993805" w:rsidRPr="001900E3">
        <w:tab/>
        <w:t xml:space="preserve">важно представлять сложную информацию о здоровье и благополучии в доступном виде. В этой связи был отмечен успешный опыт Нидерландов, где используется круговая </w:t>
      </w:r>
      <w:r w:rsidR="006255BA">
        <w:t>«</w:t>
      </w:r>
      <w:r w:rsidR="00993805" w:rsidRPr="001900E3">
        <w:t>диаграмма воздействия</w:t>
      </w:r>
      <w:r w:rsidR="006255BA">
        <w:t>»</w:t>
      </w:r>
      <w:r w:rsidR="00993805" w:rsidRPr="001900E3">
        <w:t>;</w:t>
      </w:r>
    </w:p>
    <w:p w:rsidR="00993805" w:rsidRPr="001900E3" w:rsidRDefault="001900E3" w:rsidP="001900E3">
      <w:pPr>
        <w:pStyle w:val="SingleTxtG"/>
      </w:pPr>
      <w:r>
        <w:tab/>
      </w:r>
      <w:r>
        <w:tab/>
      </w:r>
      <w:r w:rsidR="00993805" w:rsidRPr="001900E3">
        <w:t>l)</w:t>
      </w:r>
      <w:r w:rsidR="00993805" w:rsidRPr="001900E3">
        <w:tab/>
        <w:t>был обсужден пример оценки социальных последствий. Участники согласились с тем, что в некоторых случаях дополнительную оценку воздействия, например оценку социальных последствий, можно было бы проводить отдельно от стратегической экологической оценки. Подготовка отдельной оценки воздействия может быть целесообразной, так как она позволит избежать включения слишком большого числа тем в стратегическую экологическую оценку и снижения ее эффективности. Было также отмечено, что в настоящее время юридических обязательств по проведению оценки социальных последствий не существует, но страны могут внедрять ее по своему усмотрению.</w:t>
      </w:r>
    </w:p>
    <w:p w:rsidR="00993805" w:rsidRPr="001900E3" w:rsidRDefault="00993805" w:rsidP="001900E3">
      <w:pPr>
        <w:pStyle w:val="SingleTxtG"/>
      </w:pPr>
      <w:r w:rsidRPr="001900E3">
        <w:lastRenderedPageBreak/>
        <w:t>41.</w:t>
      </w:r>
      <w:r w:rsidRPr="001900E3">
        <w:tab/>
        <w:t>Рабочая группа предложила консультантам представить секретариату резюме докладов на рабочем совещании, объем которого не будет превышать двух страниц и которое будет включено в доклад (см. приложение к настоящему докладу).</w:t>
      </w:r>
    </w:p>
    <w:p w:rsidR="00993805" w:rsidRPr="001712D7" w:rsidRDefault="00993805" w:rsidP="001900E3">
      <w:pPr>
        <w:pStyle w:val="H1G"/>
      </w:pPr>
      <w:r w:rsidRPr="001712D7">
        <w:tab/>
        <w:t>B.</w:t>
      </w:r>
      <w:r w:rsidRPr="001712D7">
        <w:tab/>
        <w:t>Проект руководства по оценке последствий для здоровья в рамках стратегической экологической оценки</w:t>
      </w:r>
    </w:p>
    <w:p w:rsidR="00993805" w:rsidRPr="001712D7" w:rsidRDefault="00993805" w:rsidP="001900E3">
      <w:pPr>
        <w:pStyle w:val="SingleTxtG"/>
      </w:pPr>
      <w:r w:rsidRPr="001712D7">
        <w:tab/>
        <w:t>42.</w:t>
      </w:r>
      <w:r w:rsidRPr="001712D7">
        <w:tab/>
      </w:r>
      <w:r w:rsidRPr="001900E3">
        <w:t>Рабочая</w:t>
      </w:r>
      <w:r w:rsidRPr="001712D7">
        <w:t xml:space="preserve"> группа рассмотрела текст проекта руководства по оценке последствий для здоровья в рамках стратегической экологической оценки (ECE/MP.EIA/</w:t>
      </w:r>
      <w:r w:rsidR="004B0372">
        <w:br/>
      </w:r>
      <w:r w:rsidRPr="001712D7">
        <w:t>WG.2/2019/5), высказала замечания по нему и дала указания по его окончательной доработке.</w:t>
      </w:r>
      <w:bookmarkStart w:id="24" w:name="_Hlk29565359"/>
      <w:bookmarkStart w:id="25" w:name="_Hlk27769049"/>
      <w:bookmarkEnd w:id="24"/>
      <w:bookmarkEnd w:id="25"/>
    </w:p>
    <w:p w:rsidR="00993805" w:rsidRPr="001712D7" w:rsidRDefault="00993805" w:rsidP="001900E3">
      <w:pPr>
        <w:pStyle w:val="SingleTxtG"/>
      </w:pPr>
      <w:bookmarkStart w:id="26" w:name="_Hlk30420081"/>
      <w:r w:rsidRPr="001712D7">
        <w:t>43.</w:t>
      </w:r>
      <w:r w:rsidRPr="001712D7">
        <w:tab/>
        <w:t xml:space="preserve">Группа согласилась с </w:t>
      </w:r>
      <w:r w:rsidRPr="001900E3">
        <w:t>необходимостью</w:t>
      </w:r>
      <w:r w:rsidRPr="001712D7">
        <w:t xml:space="preserve"> пересмотра проекта руководства в соответствии с требованиями Протокола и повышения его практической полезности для государственных органов и специалистов по стратегической экологической оценке, в том числе за счет опоры на практический опыт Сторон и сосредоточение внимания на практических методах и инструментах оценки. Рабочая группа согласилась также с предложением Европейского союза о создании целевой группы в составе представителей Австрии, Ирландии, Словении, Финляндии и, возможно, Италии при поддержке со стороны секретариата. Рабочая группа предложила целевой группе представить консультантам подробные замечания по тексту проекта руководства к 13 января 2020 года. Целевая группа будет работать в электронном формате, при этом все замечания и материалы будут доступны всем ее членам, консультантам и сотрудникам секретариата, а также представителям Европейского инвестиционного банка и ВОЗ. При необходимости целевая группа будет также отвечать на запросы консультантов о предоставлении разъяснений.</w:t>
      </w:r>
      <w:bookmarkStart w:id="27" w:name="_Hlk29565219"/>
      <w:bookmarkEnd w:id="26"/>
    </w:p>
    <w:p w:rsidR="00993805" w:rsidRPr="001712D7" w:rsidRDefault="00993805" w:rsidP="001900E3">
      <w:pPr>
        <w:pStyle w:val="SingleTxtG"/>
      </w:pPr>
      <w:r w:rsidRPr="001712D7">
        <w:t>44.</w:t>
      </w:r>
      <w:r w:rsidRPr="001712D7">
        <w:tab/>
        <w:t>Рабочая группа предложила консультантам к 14 февраля 2020 года подготовить под руководством целевой группы пересмотренный проект руководства, с тем чтобы на своем следующем совещании Президиум мог высказать замечания по нему. Было также принято решение обсудить пересмотренный проект на следующем совещании в июне 2020 года.</w:t>
      </w:r>
    </w:p>
    <w:bookmarkEnd w:id="27"/>
    <w:p w:rsidR="00993805" w:rsidRPr="001712D7" w:rsidRDefault="00993805" w:rsidP="001900E3">
      <w:pPr>
        <w:pStyle w:val="H1G"/>
      </w:pPr>
      <w:r w:rsidRPr="001712D7">
        <w:tab/>
        <w:t>C.</w:t>
      </w:r>
      <w:r w:rsidRPr="001712D7">
        <w:tab/>
        <w:t xml:space="preserve">Другие мероприятия по обмену </w:t>
      </w:r>
      <w:r w:rsidRPr="001900E3">
        <w:t>информацией</w:t>
      </w:r>
      <w:r w:rsidRPr="001712D7">
        <w:t xml:space="preserve"> о надлежащей практике</w:t>
      </w:r>
    </w:p>
    <w:p w:rsidR="00993805" w:rsidRPr="001712D7" w:rsidRDefault="00993805" w:rsidP="001900E3">
      <w:pPr>
        <w:pStyle w:val="SingleTxtG"/>
      </w:pPr>
      <w:r w:rsidRPr="001712D7">
        <w:t>45.</w:t>
      </w:r>
      <w:r w:rsidRPr="001712D7">
        <w:tab/>
        <w:t>Рабочая группа приняла к сведению представленную секретариатом информацию о деятельности в рамках Конвенции о трансграничном воздействии промышленных аварий (Конвенция о промышленных авариях), которая содействует применению совместного Руководства по планированию землепользования, размещению объектов, на которых осуществляется опасная деятельность, и связанным с ними аспектам безопасности, которое было одобрено Совещанием Сторон в 2017</w:t>
      </w:r>
      <w:r w:rsidR="009A24F9">
        <w:t> </w:t>
      </w:r>
      <w:r w:rsidRPr="001712D7">
        <w:t>году (ECE/MP.EIA/23–ECE/MP.EIA/SEA/7, пункт 65 c)). В рамках этой деятельности было проведено субрегиональное рабочее совещание по планированию землепользования и промышленной безопасности в Восточной Европе и на Кавказе (Кишинев, 22–24 мая 2019 года) и будет проведено еще одно субрегиональное рабочее совещание для стран Юго-Восточной Европы, предварительно запланированное на 18–20 марта 2020 года в Белграде. Кроме того, в 2020 году в рамках Конвенции о промышленных авариях при финансировании со стороны Европейского инвестиционного банка планируется создать информационный архив по вопросам планирования землепользования и промышленной безопасности. Рабочая группа предложила секретариату распространять среди национальных координационных центров Конвенции и Протокола к ней любую информацию о предстоящих мероприятиях, которая будет поступать в будущем.</w:t>
      </w:r>
    </w:p>
    <w:p w:rsidR="00993805" w:rsidRPr="001712D7" w:rsidRDefault="00993805" w:rsidP="001900E3">
      <w:pPr>
        <w:pStyle w:val="SingleTxtG"/>
      </w:pPr>
      <w:r w:rsidRPr="001712D7">
        <w:t>46.</w:t>
      </w:r>
      <w:r w:rsidRPr="001712D7">
        <w:tab/>
        <w:t xml:space="preserve">Ни одна из делегаций не представила отзывов о полезности Рекомендаций, касающихся надлежащей практики применения Конвенции к деятельности в области атомной энергетики, утвержденных в 2017 году и впоследствии изданных в виде </w:t>
      </w:r>
      <w:r w:rsidRPr="001712D7">
        <w:lastRenderedPageBreak/>
        <w:t>публикации</w:t>
      </w:r>
      <w:r w:rsidRPr="001712D7">
        <w:rPr>
          <w:rStyle w:val="FootnoteReference"/>
          <w:szCs w:val="22"/>
        </w:rPr>
        <w:footnoteReference w:id="10"/>
      </w:r>
      <w:r w:rsidRPr="001712D7">
        <w:t>. Делегация Европейского союза отметила, что этот документ используется в работе специальной рабочей группы по продлению срока эксплуатации атомных электростанций.</w:t>
      </w:r>
    </w:p>
    <w:p w:rsidR="00993805" w:rsidRPr="001712D7" w:rsidRDefault="00993805" w:rsidP="001900E3">
      <w:pPr>
        <w:pStyle w:val="H1G"/>
      </w:pPr>
      <w:r w:rsidRPr="001712D7">
        <w:tab/>
        <w:t>D.</w:t>
      </w:r>
      <w:r w:rsidRPr="001712D7">
        <w:tab/>
        <w:t xml:space="preserve">Практика государств из других </w:t>
      </w:r>
      <w:r w:rsidRPr="001900E3">
        <w:t>регионов</w:t>
      </w:r>
    </w:p>
    <w:p w:rsidR="00993805" w:rsidRPr="001712D7" w:rsidRDefault="00993805" w:rsidP="001900E3">
      <w:pPr>
        <w:pStyle w:val="SingleTxtG"/>
      </w:pPr>
      <w:r w:rsidRPr="001712D7">
        <w:t>47.</w:t>
      </w:r>
      <w:r w:rsidRPr="001712D7">
        <w:tab/>
      </w:r>
      <w:bookmarkStart w:id="28" w:name="_Hlk31842589"/>
      <w:r w:rsidRPr="001712D7">
        <w:t xml:space="preserve">Рабочая группа </w:t>
      </w:r>
      <w:bookmarkEnd w:id="28"/>
      <w:r w:rsidRPr="001712D7">
        <w:t xml:space="preserve">приняла к сведению информацию представителя Чили об обзоре нормативной базы и практики проведения </w:t>
      </w:r>
      <w:r w:rsidRPr="001900E3">
        <w:t>оценки</w:t>
      </w:r>
      <w:r w:rsidRPr="001712D7">
        <w:t xml:space="preserve"> воздействия на окружающую среду и стратегической экологической оценки в его стране. Рабочая группа приняла также к сведению сообщение представителя Национального университета Сингапура о существующей в ее стране и регионе нормативной базе и практике проведения оценки воздействия на окружающую среду и стратегической экологической оценки.</w:t>
      </w:r>
      <w:bookmarkStart w:id="29" w:name="_Hlk27769131"/>
      <w:bookmarkEnd w:id="29"/>
    </w:p>
    <w:p w:rsidR="00993805" w:rsidRPr="001712D7" w:rsidRDefault="00993805" w:rsidP="001900E3">
      <w:pPr>
        <w:pStyle w:val="HChG"/>
      </w:pPr>
      <w:r w:rsidRPr="001712D7">
        <w:tab/>
        <w:t>VIII.</w:t>
      </w:r>
      <w:r w:rsidRPr="001712D7">
        <w:tab/>
        <w:t xml:space="preserve">Подготовка к </w:t>
      </w:r>
      <w:r w:rsidRPr="001900E3">
        <w:t>следующим</w:t>
      </w:r>
      <w:r w:rsidRPr="001712D7">
        <w:t xml:space="preserve"> сессиям Совещаний Сторон</w:t>
      </w:r>
    </w:p>
    <w:p w:rsidR="00993805" w:rsidRPr="001712D7" w:rsidRDefault="00993805" w:rsidP="001900E3">
      <w:pPr>
        <w:pStyle w:val="H1G"/>
      </w:pPr>
      <w:r w:rsidRPr="001712D7">
        <w:tab/>
        <w:t>A.</w:t>
      </w:r>
      <w:r w:rsidRPr="001712D7">
        <w:tab/>
        <w:t xml:space="preserve">Уроки, извлеченные из предыдущих </w:t>
      </w:r>
      <w:r w:rsidRPr="001900E3">
        <w:t>сессий</w:t>
      </w:r>
    </w:p>
    <w:p w:rsidR="00993805" w:rsidRPr="001712D7" w:rsidRDefault="00993805" w:rsidP="001900E3">
      <w:pPr>
        <w:pStyle w:val="SingleTxtG"/>
      </w:pPr>
      <w:r w:rsidRPr="001712D7">
        <w:t>48.</w:t>
      </w:r>
      <w:r w:rsidRPr="001712D7">
        <w:tab/>
        <w:t>Председатель и Председатель Президиума проинформировали Рабочую Группу о результатах подведения Президиумом итогов промежуточных сессий Совещаний Сторон в феврале 2019 года, в том числе о своих мнениях в отношении извлеченных уроков и рекомендаций на будущее</w:t>
      </w:r>
      <w:r w:rsidRPr="001712D7">
        <w:rPr>
          <w:rStyle w:val="FootnoteReference"/>
          <w:szCs w:val="22"/>
        </w:rPr>
        <w:footnoteReference w:id="11"/>
      </w:r>
      <w:r w:rsidRPr="001712D7">
        <w:t>.</w:t>
      </w:r>
    </w:p>
    <w:p w:rsidR="00993805" w:rsidRPr="001712D7" w:rsidRDefault="00993805" w:rsidP="001900E3">
      <w:pPr>
        <w:pStyle w:val="SingleTxtG"/>
      </w:pPr>
      <w:bookmarkStart w:id="30" w:name="_Hlk25243918"/>
      <w:r w:rsidRPr="001712D7">
        <w:t>49.</w:t>
      </w:r>
      <w:r w:rsidRPr="001712D7">
        <w:tab/>
        <w:t>Рабочая группа приняла к сведению рекомендации Президиума в отношении уроков, извлеченных из предыдущих сессий Совещаний Сторон, согласившись с важностью конструктивного диалога и сотрудничества. Было также принято решение о том, что предложения о поправках к официальной документации совещаний следует направлять как можно раньше до начала сессий, с тем чтобы помочь Сторонам заблаговременно подготовить и согласовать свои точки зрения по соответствующим вопросам. Те же выводы должны также распространяться на совещания Рабочей группы в целях обеспечения эффективной подготовки Совещаний Сторон и содействия достижению консенсуса по нерешенным вопросам.</w:t>
      </w:r>
    </w:p>
    <w:bookmarkEnd w:id="30"/>
    <w:p w:rsidR="00993805" w:rsidRPr="001712D7" w:rsidRDefault="00993805" w:rsidP="001900E3">
      <w:pPr>
        <w:pStyle w:val="H1G"/>
      </w:pPr>
      <w:r w:rsidRPr="001712D7">
        <w:tab/>
        <w:t>B.</w:t>
      </w:r>
      <w:r w:rsidRPr="001712D7">
        <w:tab/>
      </w:r>
      <w:r w:rsidRPr="001900E3">
        <w:t>Практические</w:t>
      </w:r>
      <w:r w:rsidRPr="001712D7">
        <w:t xml:space="preserve"> аспекты</w:t>
      </w:r>
    </w:p>
    <w:p w:rsidR="00993805" w:rsidRPr="001712D7" w:rsidRDefault="00993805" w:rsidP="001900E3">
      <w:pPr>
        <w:pStyle w:val="SingleTxtG"/>
      </w:pPr>
      <w:r w:rsidRPr="001712D7">
        <w:t>50.</w:t>
      </w:r>
      <w:r w:rsidRPr="001712D7">
        <w:tab/>
        <w:t>Рабочая группа поблагодарила Литву за ее предложение выступить принимающей стороной восьмой сессии Совещания Сторон Конвенции и четвертой сессии Совещания Сторон Протокола, которые пройдут в Вильнюсе 8–11 декабря 2020 года). Секретариат проинформировал Рабочую группу о том, что в качестве следующего шага между Литвой и ЕЭК будет заключено подробное соглашение с принимающей стороной.</w:t>
      </w:r>
    </w:p>
    <w:p w:rsidR="00993805" w:rsidRPr="001712D7" w:rsidRDefault="00993805" w:rsidP="001900E3">
      <w:pPr>
        <w:pStyle w:val="SingleTxtG"/>
      </w:pPr>
      <w:r w:rsidRPr="001712D7">
        <w:t>51.</w:t>
      </w:r>
      <w:r w:rsidRPr="001712D7">
        <w:tab/>
        <w:t>Секретариат сообщил также о графике проведения других подготовительных мероприятий к предстоящим сессиям Совещаний Сторон. Рабочая группа поддержала ориентировочное расписание работы по подготовке к сессиям, содержащееся в неофициальном документе ECE/MP.EIA/WG.2/2019/INF.9.</w:t>
      </w:r>
    </w:p>
    <w:p w:rsidR="00993805" w:rsidRPr="001712D7" w:rsidRDefault="00993805" w:rsidP="001900E3">
      <w:pPr>
        <w:pStyle w:val="H1G"/>
      </w:pPr>
      <w:r w:rsidRPr="001712D7">
        <w:tab/>
        <w:t>C.</w:t>
      </w:r>
      <w:r w:rsidRPr="001712D7">
        <w:tab/>
        <w:t xml:space="preserve">Предварительная </w:t>
      </w:r>
      <w:r w:rsidRPr="001900E3">
        <w:t>программа</w:t>
      </w:r>
      <w:r w:rsidRPr="001712D7">
        <w:t xml:space="preserve"> работы</w:t>
      </w:r>
    </w:p>
    <w:p w:rsidR="00993805" w:rsidRPr="001712D7" w:rsidRDefault="00993805" w:rsidP="001900E3">
      <w:pPr>
        <w:pStyle w:val="SingleTxtG"/>
      </w:pPr>
      <w:r w:rsidRPr="001712D7">
        <w:t>52.</w:t>
      </w:r>
      <w:r w:rsidRPr="001712D7">
        <w:tab/>
        <w:t xml:space="preserve">Председатель представила предложение Президиума по предварительной программе следующих сессий Совещаний Сторон, подготовленное с учетом соображений Президиума относительно оптимальной продолжительности этих сессий. Рабочая группа согласовала проект программы, представленный в </w:t>
      </w:r>
      <w:r w:rsidRPr="001712D7">
        <w:lastRenderedPageBreak/>
        <w:t>неофициальном документе ECE/MP.EIA/WG.2/2019/INF.9, и предложила Президиуму подготовить при поддержке секретариата аннотированную предварительную повестку дня сессий до начала следующего совещания Рабочей группы.</w:t>
      </w:r>
      <w:bookmarkStart w:id="31" w:name="_Hlk29290480"/>
      <w:bookmarkEnd w:id="31"/>
    </w:p>
    <w:p w:rsidR="00993805" w:rsidRPr="001712D7" w:rsidRDefault="00993805" w:rsidP="001900E3">
      <w:pPr>
        <w:pStyle w:val="SingleTxtG"/>
      </w:pPr>
      <w:r w:rsidRPr="001712D7">
        <w:t>53.</w:t>
      </w:r>
      <w:r w:rsidRPr="001712D7">
        <w:tab/>
        <w:t xml:space="preserve">Рабочая группа согласилась с предложением Президиума посвятить групповые обсуждения в ходе сегмента высокого уровня сессий празднованию тридцатой годовщины Конвенции. Рабочая группа предложила также, чтобы групповые обсуждения в ходе общего сегмента сессий проходили по одной из следующих тем: </w:t>
      </w:r>
      <w:r w:rsidR="006255BA">
        <w:t>«</w:t>
      </w:r>
      <w:r w:rsidRPr="001712D7">
        <w:t>умные</w:t>
      </w:r>
      <w:r w:rsidR="006255BA">
        <w:t>»</w:t>
      </w:r>
      <w:r w:rsidRPr="001712D7">
        <w:t xml:space="preserve"> и устойчивые города; устойчивая инфраструктура; переход к устойчивой энергетике; циркуляционная экономика. Рабочая группа предложила делегациям высказать свои замечания по предложенным темам. Им также было предложено высказать до 10 января 2020 года свои предложения относительно возможных докладчиков и модераторов групповых обсуждений, а также на добровольной основе поучаствовать в качестве ведущих стран и субъектов в работе по организации групповых обсуждений. Рабочая группа просила также Президиум продолжить рассмотрение этих тем и выбрать из их числа две ключевые приоритетные темы, по которым Рабочая группа должна будет принять решение на своем следующем совещании.</w:t>
      </w:r>
    </w:p>
    <w:p w:rsidR="00993805" w:rsidRPr="001712D7" w:rsidRDefault="00993805" w:rsidP="001900E3">
      <w:pPr>
        <w:pStyle w:val="H1G"/>
      </w:pPr>
      <w:r w:rsidRPr="001712D7">
        <w:tab/>
        <w:t>D.</w:t>
      </w:r>
      <w:r w:rsidRPr="001712D7">
        <w:tab/>
        <w:t xml:space="preserve">Перечень </w:t>
      </w:r>
      <w:r w:rsidRPr="001900E3">
        <w:t>проектов</w:t>
      </w:r>
      <w:r w:rsidRPr="001712D7">
        <w:t xml:space="preserve"> документов и решений</w:t>
      </w:r>
    </w:p>
    <w:p w:rsidR="00993805" w:rsidRPr="001712D7" w:rsidRDefault="00993805" w:rsidP="001900E3">
      <w:pPr>
        <w:pStyle w:val="SingleTxtG"/>
      </w:pPr>
      <w:r w:rsidRPr="001712D7">
        <w:t>54.</w:t>
      </w:r>
      <w:r w:rsidRPr="001712D7">
        <w:tab/>
        <w:t>С учетом предложения Президиума (см. ECE/MP.EIA/WG.2/2019/INF.9) Рабочая группа согласовала первоначальный перечень проектов решений и официальных документов для рассмотрения Совещанием Сторон на его следующих сессиях, но приняла решение заключить проект решения о руководстве по вопросам здравоохранения в скобки до его пересмотра и дальнейшей разработки проекта руководства по этой теме. Рабочая группа предложила Президиуму подготовить при поддержке секретариата к следующему совещанию Рабочей группы все проекты решений, за исключением проектов решений об обзоре соблюдения, которые будут подготовлены Комитетом по осуществлению.</w:t>
      </w:r>
      <w:bookmarkStart w:id="32" w:name="_Hlk29292617"/>
      <w:bookmarkEnd w:id="32"/>
    </w:p>
    <w:p w:rsidR="00993805" w:rsidRPr="001712D7" w:rsidRDefault="00993805" w:rsidP="001900E3">
      <w:pPr>
        <w:pStyle w:val="SingleTxtG"/>
      </w:pPr>
      <w:r w:rsidRPr="001712D7">
        <w:t>55.</w:t>
      </w:r>
      <w:r w:rsidRPr="001712D7">
        <w:tab/>
        <w:t>Рабочая группа приняла к сведению элементы проекта декларации, подготовленные Президиумом при поддержке секретариата (ECE/MP.EIA/WG.2/</w:t>
      </w:r>
      <w:r w:rsidR="00CF4675">
        <w:br/>
      </w:r>
      <w:r w:rsidRPr="001712D7">
        <w:t>2019/INF.10), но не обсуждала их и не высказала по ним замечаний. Вместо этого Рабочая группа предложила делегациям представить свои замечания по этому документу к 10 января 2020 года и просила Президиум принять их к сведению. Рабочая группа приняла решение рассмотреть проект декларации на своем следующем совещании, как только он будет издан в качестве официального документа.</w:t>
      </w:r>
      <w:bookmarkStart w:id="33" w:name="_Hlk29292098"/>
      <w:bookmarkEnd w:id="33"/>
    </w:p>
    <w:p w:rsidR="00993805" w:rsidRPr="001712D7" w:rsidRDefault="00993805" w:rsidP="001900E3">
      <w:pPr>
        <w:pStyle w:val="H1G"/>
      </w:pPr>
      <w:r w:rsidRPr="001712D7">
        <w:tab/>
        <w:t>E.</w:t>
      </w:r>
      <w:r w:rsidRPr="001712D7">
        <w:tab/>
        <w:t xml:space="preserve">Председатели </w:t>
      </w:r>
      <w:r w:rsidRPr="001900E3">
        <w:t>сессий</w:t>
      </w:r>
    </w:p>
    <w:p w:rsidR="00993805" w:rsidRPr="001712D7" w:rsidRDefault="00993805" w:rsidP="001900E3">
      <w:pPr>
        <w:pStyle w:val="SingleTxtG"/>
      </w:pPr>
      <w:r w:rsidRPr="001712D7">
        <w:t>56.</w:t>
      </w:r>
      <w:r w:rsidRPr="001712D7">
        <w:tab/>
        <w:t>Рабочая группа рассмотрела вопрос о председательстве на общих сегментах и сегментах высокого уровня предстоящих сессий и отметила, что председателем на сегментах высокого уровня обычно выступает представитель принимающей страны, а</w:t>
      </w:r>
      <w:r w:rsidR="00E13CFE">
        <w:t> </w:t>
      </w:r>
      <w:r w:rsidRPr="001712D7">
        <w:t xml:space="preserve">на общих сегментах </w:t>
      </w:r>
      <w:r w:rsidR="001900E3">
        <w:t>–</w:t>
      </w:r>
      <w:r w:rsidRPr="001712D7">
        <w:t xml:space="preserve"> Председатель или заместитель Председателя Президиума. Рабочая группа предложила делегациям выдвинуть кандидатуры председателей двух сегментов для их согласования Рабочей группой на ее следующем </w:t>
      </w:r>
      <w:r>
        <w:t>совещании</w:t>
      </w:r>
      <w:r w:rsidRPr="001712D7">
        <w:t>.</w:t>
      </w:r>
    </w:p>
    <w:p w:rsidR="00993805" w:rsidRPr="001712D7" w:rsidRDefault="00993805" w:rsidP="001900E3">
      <w:pPr>
        <w:pStyle w:val="H1G"/>
      </w:pPr>
      <w:r w:rsidRPr="001712D7">
        <w:tab/>
        <w:t>F.</w:t>
      </w:r>
      <w:r w:rsidRPr="001712D7">
        <w:tab/>
        <w:t>Возможные мероприятия для следующего проекта плана работы (на 2021–2023 годы)</w:t>
      </w:r>
    </w:p>
    <w:p w:rsidR="00993805" w:rsidRPr="001712D7" w:rsidRDefault="00993805" w:rsidP="001900E3">
      <w:pPr>
        <w:pStyle w:val="SingleTxtG"/>
      </w:pPr>
      <w:r w:rsidRPr="001712D7">
        <w:t>57.</w:t>
      </w:r>
      <w:r w:rsidRPr="001712D7">
        <w:tab/>
        <w:t>Рабочая группа рассмотрела предложенные Президиумом первоначальные элементы плана работы на следующий межсессионный период (2021–2023 годы) и согласилась с тем, что план работы должен соответствовать имеющимся ресурсам и что в нем должна быть приведена информация о потребностях в ресурсах для осуществления деятельности, в том числе со стороны секретариата (ECE/MP.EIA/</w:t>
      </w:r>
      <w:r w:rsidR="00E13CFE">
        <w:br/>
      </w:r>
      <w:r w:rsidRPr="001712D7">
        <w:t>WG.2/2019/INF.11). Группа поддержала предложенный новый формат плана работы.</w:t>
      </w:r>
    </w:p>
    <w:p w:rsidR="00993805" w:rsidRPr="001712D7" w:rsidRDefault="00993805" w:rsidP="001900E3">
      <w:pPr>
        <w:pStyle w:val="SingleTxtG"/>
      </w:pPr>
      <w:r w:rsidRPr="001712D7">
        <w:lastRenderedPageBreak/>
        <w:t>58.</w:t>
      </w:r>
      <w:r w:rsidRPr="001712D7">
        <w:tab/>
        <w:t>Рабочая группа приняла к сведению следующие предложенные делегациями возможные мероприятия по плану работы:</w:t>
      </w:r>
    </w:p>
    <w:p w:rsidR="00993805" w:rsidRPr="001712D7" w:rsidRDefault="007E4011" w:rsidP="001900E3">
      <w:pPr>
        <w:pStyle w:val="SingleTxtG"/>
      </w:pPr>
      <w:r>
        <w:tab/>
      </w:r>
      <w:r w:rsidR="00993805" w:rsidRPr="001712D7">
        <w:tab/>
        <w:t>a)</w:t>
      </w:r>
      <w:r w:rsidR="00993805" w:rsidRPr="001712D7">
        <w:tab/>
        <w:t>предложение делегации Беларуси</w:t>
      </w:r>
      <w:r w:rsidR="005108D0">
        <w:t xml:space="preserve"> </w:t>
      </w:r>
      <w:r w:rsidR="00993805" w:rsidRPr="001712D7">
        <w:t>о разработке руководства по добросовестной практике для рассмотрения альтернативных вариантов и обоснования выбора участка;</w:t>
      </w:r>
    </w:p>
    <w:p w:rsidR="00993805" w:rsidRPr="001712D7" w:rsidRDefault="007E4011" w:rsidP="001900E3">
      <w:pPr>
        <w:pStyle w:val="SingleTxtG"/>
      </w:pPr>
      <w:r>
        <w:tab/>
      </w:r>
      <w:r w:rsidR="00993805" w:rsidRPr="001712D7">
        <w:tab/>
        <w:t>b)</w:t>
      </w:r>
      <w:r w:rsidR="00993805" w:rsidRPr="001712D7">
        <w:tab/>
        <w:t xml:space="preserve">предложение делегации Черногории о наращивании потенциала в целях </w:t>
      </w:r>
      <w:r>
        <w:tab/>
      </w:r>
      <w:r w:rsidR="00993805" w:rsidRPr="001712D7">
        <w:t>осуществления заключенного в 2008 году многостороннего соглашения между странами Юго-Восточной Европы по осуществлению Конвенции об оценке воздействия на окружающую среду в трансграничном контексте и в целях содействия субрегиональной сети по трансграничной оценке воздействия на окружающую среду.</w:t>
      </w:r>
    </w:p>
    <w:p w:rsidR="00993805" w:rsidRPr="001712D7" w:rsidRDefault="007E4011" w:rsidP="001900E3">
      <w:pPr>
        <w:pStyle w:val="SingleTxtG"/>
      </w:pPr>
      <w:r>
        <w:tab/>
      </w:r>
      <w:r w:rsidR="00993805" w:rsidRPr="001712D7">
        <w:t>59.</w:t>
      </w:r>
      <w:r w:rsidR="00993805" w:rsidRPr="001712D7">
        <w:tab/>
        <w:t xml:space="preserve">Рабочая группа приняла к сведению предложение Европейского союза о том, чтобы Совещания Сторон приняли план работы на период 2021–2023 годов, который включал бы только те виды деятельности, финансирование которых будет полностью подтверждено, исключив из него ранее составленный </w:t>
      </w:r>
      <w:r w:rsidR="006255BA">
        <w:t>«</w:t>
      </w:r>
      <w:r w:rsidR="00993805" w:rsidRPr="001712D7">
        <w:t>список ожидания</w:t>
      </w:r>
      <w:r w:rsidR="006255BA">
        <w:t>»</w:t>
      </w:r>
      <w:r w:rsidR="00993805" w:rsidRPr="001712D7">
        <w:t>, включающий виды деятельности, которые были запрошены делегациями и средства для финансирования которых еще предстоит изыскать. Делегация Европейского союза отметила также, что разработка новых руководящих документов и пересмотр существующих требует весьма много времени и ресурсов и что такая работа должна инициироваться только после тщательного рассмотрения вопроса о наличии ресурсов.</w:t>
      </w:r>
      <w:bookmarkStart w:id="34" w:name="_Hlk29292895"/>
      <w:bookmarkEnd w:id="34"/>
    </w:p>
    <w:p w:rsidR="00993805" w:rsidRPr="001712D7" w:rsidRDefault="00993805" w:rsidP="007E4011">
      <w:pPr>
        <w:pStyle w:val="SingleTxtG"/>
        <w:rPr>
          <w:b/>
          <w:bCs/>
        </w:rPr>
      </w:pPr>
      <w:r w:rsidRPr="001712D7">
        <w:t>60.</w:t>
      </w:r>
      <w:r w:rsidRPr="001712D7">
        <w:tab/>
        <w:t xml:space="preserve">Рабочая группа предложила Президиуму </w:t>
      </w:r>
      <w:r w:rsidRPr="007E4011">
        <w:t>подготовить</w:t>
      </w:r>
      <w:r w:rsidRPr="001712D7">
        <w:t xml:space="preserve"> при поддержке секретариата пересмотренный проект плана работы с учетом высказанных замечаний.</w:t>
      </w:r>
    </w:p>
    <w:p w:rsidR="00993805" w:rsidRPr="001712D7" w:rsidRDefault="00993805" w:rsidP="001900E3">
      <w:pPr>
        <w:pStyle w:val="H1G"/>
      </w:pPr>
      <w:r w:rsidRPr="001712D7">
        <w:tab/>
        <w:t>G.</w:t>
      </w:r>
      <w:r w:rsidRPr="001712D7">
        <w:tab/>
        <w:t xml:space="preserve">Предварительное расписание совещаний на следующий </w:t>
      </w:r>
      <w:r w:rsidRPr="001900E3">
        <w:t>межсессионный</w:t>
      </w:r>
      <w:r w:rsidRPr="001712D7">
        <w:t xml:space="preserve"> период</w:t>
      </w:r>
    </w:p>
    <w:p w:rsidR="00993805" w:rsidRPr="001712D7" w:rsidRDefault="00993805" w:rsidP="007E4011">
      <w:pPr>
        <w:pStyle w:val="SingleTxtG"/>
      </w:pPr>
      <w:r w:rsidRPr="001712D7">
        <w:t>61.</w:t>
      </w:r>
      <w:r w:rsidRPr="001712D7">
        <w:tab/>
        <w:t xml:space="preserve">Рабочая группа отметила, что принятое Совещаниями Сторон на их промежуточных сессиях решение о продлении нынешнего межсессионного периода, который должен был завершиться в июне 2020 года, до декабря 2020 года (ECE/MP.EIA/27–ECE/MP.EIA/SEA/11, пункт 7) повлекло за собой изменение обычного расписания и последовательности </w:t>
      </w:r>
      <w:r>
        <w:t xml:space="preserve">совещаний </w:t>
      </w:r>
      <w:r w:rsidRPr="001712D7">
        <w:t>Президиума и Рабочей группы в течение этого периода. Рабочая группа приняла к сведению первоначальное предложение Президиума о том, как наиболее оптимально спланировать совещания договорных органов на следующий межсессионный период, который, как ожидается, продлится с января 2021 года по декабрь 2023 года (ECE/MP.EIA/WG.2/2019/INF.13).</w:t>
      </w:r>
    </w:p>
    <w:p w:rsidR="00993805" w:rsidRPr="001712D7" w:rsidRDefault="00993805" w:rsidP="001900E3">
      <w:pPr>
        <w:pStyle w:val="H1G"/>
      </w:pPr>
      <w:r w:rsidRPr="001712D7">
        <w:tab/>
        <w:t>H.</w:t>
      </w:r>
      <w:r w:rsidRPr="001712D7">
        <w:tab/>
        <w:t xml:space="preserve">Должностные лица на следующий </w:t>
      </w:r>
      <w:r w:rsidRPr="001900E3">
        <w:t>межсессионный</w:t>
      </w:r>
      <w:r w:rsidRPr="001712D7">
        <w:t xml:space="preserve"> период</w:t>
      </w:r>
    </w:p>
    <w:p w:rsidR="00993805" w:rsidRPr="001712D7" w:rsidRDefault="00993805" w:rsidP="007E4011">
      <w:pPr>
        <w:pStyle w:val="SingleTxtG"/>
      </w:pPr>
      <w:r w:rsidRPr="001712D7">
        <w:t>62.</w:t>
      </w:r>
      <w:r w:rsidRPr="001712D7">
        <w:tab/>
        <w:t>Рабочая группа предложила делегациям к следующему совещанию Рабочей группы выдвинуть предварительные кандидатуры для избрания их Совещаниями Сторон должностными лицами на следующий межсессионный период, а именно Председателя и заместителей Председателя Рабочей группы, Председателя и членов Президиума и пятерых членов Комитета по осуществлению. Рабочая группа предложила</w:t>
      </w:r>
      <w:r w:rsidRPr="001712D7">
        <w:rPr>
          <w:b/>
          <w:bCs/>
        </w:rPr>
        <w:t xml:space="preserve"> </w:t>
      </w:r>
      <w:r w:rsidRPr="001712D7">
        <w:t>также Президиуму предложить возможные критерии для избрания должностных лиц.</w:t>
      </w:r>
    </w:p>
    <w:p w:rsidR="00993805" w:rsidRPr="001712D7" w:rsidRDefault="00993805" w:rsidP="001900E3">
      <w:pPr>
        <w:pStyle w:val="HChG"/>
      </w:pPr>
      <w:r w:rsidRPr="001712D7">
        <w:tab/>
        <w:t>IX.</w:t>
      </w:r>
      <w:r w:rsidRPr="001712D7">
        <w:tab/>
        <w:t xml:space="preserve">Вклад в смежные </w:t>
      </w:r>
      <w:r w:rsidRPr="001900E3">
        <w:t>международные</w:t>
      </w:r>
      <w:r w:rsidRPr="001712D7">
        <w:t xml:space="preserve"> процессы</w:t>
      </w:r>
    </w:p>
    <w:p w:rsidR="00993805" w:rsidRPr="001712D7" w:rsidRDefault="00993805" w:rsidP="001900E3">
      <w:pPr>
        <w:pStyle w:val="SingleTxtG"/>
      </w:pPr>
      <w:r w:rsidRPr="001712D7">
        <w:t>63.</w:t>
      </w:r>
      <w:r w:rsidRPr="001712D7">
        <w:tab/>
        <w:t>Рабочая группа приняла к сведению представленную секретариатом информацию о его вкладе в следующие соответствующие международные процессы:</w:t>
      </w:r>
    </w:p>
    <w:p w:rsidR="00993805" w:rsidRPr="001712D7" w:rsidRDefault="00993805" w:rsidP="001900E3">
      <w:pPr>
        <w:pStyle w:val="SingleTxtG"/>
      </w:pPr>
      <w:r w:rsidRPr="001712D7">
        <w:tab/>
      </w:r>
      <w:r w:rsidR="001900E3">
        <w:tab/>
      </w:r>
      <w:r w:rsidRPr="001712D7">
        <w:t>a)</w:t>
      </w:r>
      <w:r w:rsidRPr="001712D7">
        <w:tab/>
        <w:t>рабочее совещание по региональному сотрудничеству в целях укрепления трансграничных консультаций по развитию ядерной энергетики в странах Юго-Восточной Азии (Сингапур, 8 и 9 мая 2019 года);</w:t>
      </w:r>
      <w:bookmarkStart w:id="35" w:name="_Hlk505105376"/>
    </w:p>
    <w:bookmarkEnd w:id="35"/>
    <w:p w:rsidR="00993805" w:rsidRPr="001712D7" w:rsidRDefault="00993805" w:rsidP="001900E3">
      <w:pPr>
        <w:pStyle w:val="SingleTxtG"/>
      </w:pPr>
      <w:r w:rsidRPr="001712D7">
        <w:tab/>
      </w:r>
      <w:r w:rsidRPr="001712D7">
        <w:tab/>
        <w:t>b)</w:t>
      </w:r>
      <w:r w:rsidRPr="001712D7">
        <w:tab/>
        <w:t xml:space="preserve">консультативное совещание по разработке материалов для укрепления потенциала в области стратегических экологических оценок программ развития </w:t>
      </w:r>
      <w:r w:rsidRPr="001712D7">
        <w:lastRenderedPageBreak/>
        <w:t>ядерной энергетики, организованное Международным агентством по атомной энергии (Вена, 3–5 июля 2019 года), и предложения по дальнейшему сотрудничеству;</w:t>
      </w:r>
      <w:bookmarkStart w:id="36" w:name="_Hlk505105437"/>
      <w:bookmarkEnd w:id="36"/>
    </w:p>
    <w:p w:rsidR="00993805" w:rsidRPr="001712D7" w:rsidRDefault="00993805" w:rsidP="001900E3">
      <w:pPr>
        <w:pStyle w:val="SingleTxtG"/>
      </w:pPr>
      <w:r w:rsidRPr="001712D7">
        <w:tab/>
      </w:r>
      <w:r w:rsidRPr="001712D7">
        <w:tab/>
        <w:t>c)</w:t>
      </w:r>
      <w:r w:rsidRPr="001712D7">
        <w:tab/>
        <w:t>седьмое совещание Группы восточноевропейского партнерства [Европейского союза] по вопросам окружающей среды и изменения климата (Вена, 27</w:t>
      </w:r>
      <w:r w:rsidR="009A24F9">
        <w:t> </w:t>
      </w:r>
      <w:r w:rsidRPr="001712D7">
        <w:t>и 28 мая 2019 года);</w:t>
      </w:r>
    </w:p>
    <w:p w:rsidR="00993805" w:rsidRPr="001712D7" w:rsidRDefault="00993805" w:rsidP="001900E3">
      <w:pPr>
        <w:pStyle w:val="SingleTxtG"/>
      </w:pPr>
      <w:r w:rsidRPr="001712D7">
        <w:tab/>
      </w:r>
      <w:r w:rsidRPr="001712D7">
        <w:tab/>
        <w:t>d)</w:t>
      </w:r>
      <w:r w:rsidRPr="001712D7">
        <w:tab/>
        <w:t>организованное ОБСЕ совещание по осуществлению деятельности в экономической и экологической сферах (Вена, 14–15 октября 2019 года).</w:t>
      </w:r>
    </w:p>
    <w:p w:rsidR="00993805" w:rsidRPr="001712D7" w:rsidRDefault="00993805" w:rsidP="001900E3">
      <w:pPr>
        <w:pStyle w:val="HChG"/>
      </w:pPr>
      <w:r w:rsidRPr="001712D7">
        <w:tab/>
        <w:t>X.</w:t>
      </w:r>
      <w:r w:rsidRPr="001712D7">
        <w:tab/>
        <w:t xml:space="preserve">Прочие </w:t>
      </w:r>
      <w:r w:rsidRPr="001900E3">
        <w:t>вопросы</w:t>
      </w:r>
    </w:p>
    <w:p w:rsidR="00993805" w:rsidRPr="001712D7" w:rsidRDefault="00993805" w:rsidP="007E4011">
      <w:pPr>
        <w:pStyle w:val="SingleTxtG"/>
      </w:pPr>
      <w:r w:rsidRPr="001712D7">
        <w:t>64.</w:t>
      </w:r>
      <w:r w:rsidRPr="001712D7">
        <w:tab/>
        <w:t>Рабочая группа приняла к сведению представленную делегацией Финляндии информацию о докладе Арктического совета о передовой практике оценки воздействия на окружающую среду и значимого присутствия в Арктике, в который вошли рекомендации о передовой практике</w:t>
      </w:r>
      <w:r w:rsidRPr="001712D7">
        <w:rPr>
          <w:rStyle w:val="FootnoteReference"/>
        </w:rPr>
        <w:footnoteReference w:id="12"/>
      </w:r>
      <w:r w:rsidRPr="001712D7">
        <w:t>.</w:t>
      </w:r>
    </w:p>
    <w:p w:rsidR="00993805" w:rsidRPr="001712D7" w:rsidRDefault="00993805" w:rsidP="001900E3">
      <w:pPr>
        <w:pStyle w:val="HChG"/>
      </w:pPr>
      <w:r w:rsidRPr="001712D7">
        <w:tab/>
        <w:t>XI.</w:t>
      </w:r>
      <w:r w:rsidRPr="001712D7">
        <w:tab/>
        <w:t xml:space="preserve">Представление основных </w:t>
      </w:r>
      <w:r w:rsidRPr="001900E3">
        <w:t>принятых</w:t>
      </w:r>
      <w:r w:rsidRPr="001712D7">
        <w:t xml:space="preserve"> решений и закрытие совещания</w:t>
      </w:r>
    </w:p>
    <w:p w:rsidR="00993805" w:rsidRPr="001712D7" w:rsidRDefault="00993805" w:rsidP="007E4011">
      <w:pPr>
        <w:pStyle w:val="SingleTxtG"/>
      </w:pPr>
      <w:r w:rsidRPr="001712D7">
        <w:t>65.</w:t>
      </w:r>
      <w:r w:rsidRPr="001712D7">
        <w:tab/>
        <w:t xml:space="preserve">Рабочая группа одобрила основные согласованные на совещании решения, которые были представлены секретариатом, и просила </w:t>
      </w:r>
      <w:r w:rsidRPr="001900E3">
        <w:t>секретариат</w:t>
      </w:r>
      <w:r w:rsidRPr="001712D7">
        <w:t xml:space="preserve"> подготовить доклад о работе совещания под руководством Председателя. Председатель официально объявила о закрытии совещания в четверг, 28 ноября 2019 года.</w:t>
      </w:r>
    </w:p>
    <w:p w:rsidR="00993805" w:rsidRPr="001712D7" w:rsidRDefault="00993805" w:rsidP="00993805">
      <w:pPr>
        <w:widowControl w:val="0"/>
        <w:suppressAutoHyphens w:val="0"/>
        <w:spacing w:after="120" w:line="276" w:lineRule="auto"/>
      </w:pPr>
      <w:r w:rsidRPr="001712D7">
        <w:br w:type="page"/>
      </w:r>
    </w:p>
    <w:p w:rsidR="00993805" w:rsidRPr="001712D7" w:rsidRDefault="00993805" w:rsidP="001900E3">
      <w:pPr>
        <w:pStyle w:val="HChG"/>
      </w:pPr>
      <w:r w:rsidRPr="001712D7">
        <w:lastRenderedPageBreak/>
        <w:tab/>
        <w:t>Приложение</w:t>
      </w:r>
    </w:p>
    <w:p w:rsidR="00993805" w:rsidRPr="001712D7" w:rsidRDefault="00993805" w:rsidP="001900E3">
      <w:pPr>
        <w:pStyle w:val="HChG"/>
      </w:pPr>
      <w:r w:rsidRPr="001712D7">
        <w:tab/>
      </w:r>
      <w:r w:rsidRPr="001712D7">
        <w:tab/>
      </w:r>
      <w:r w:rsidRPr="001712D7">
        <w:tab/>
        <w:t>Резюме, подготовленное модераторами по итогам рабочего совещания по вопросам оценки воздействия на</w:t>
      </w:r>
      <w:r w:rsidR="001900E3">
        <w:t> </w:t>
      </w:r>
      <w:r w:rsidRPr="001712D7">
        <w:t>здоровье и участия сектора здравоохранения в</w:t>
      </w:r>
      <w:r w:rsidR="009A24F9">
        <w:t> </w:t>
      </w:r>
      <w:r w:rsidRPr="001712D7">
        <w:t>стратегической экологической оценке</w:t>
      </w:r>
      <w:bookmarkStart w:id="37" w:name="_Hlk29805343"/>
      <w:bookmarkStart w:id="38" w:name="_Hlk29299357"/>
      <w:bookmarkEnd w:id="37"/>
    </w:p>
    <w:bookmarkEnd w:id="38"/>
    <w:p w:rsidR="00993805" w:rsidRPr="001900E3" w:rsidRDefault="00993805" w:rsidP="001900E3">
      <w:pPr>
        <w:pStyle w:val="SingleTxtG"/>
      </w:pPr>
      <w:r w:rsidRPr="001900E3">
        <w:t>1.</w:t>
      </w:r>
      <w:r w:rsidRPr="001900E3">
        <w:tab/>
        <w:t>Рабочее совещание по вопросам оценки воздействия на здоровье и участия сектора здравоохранения в стратегической экологической оценке было организовано секретариатом в сотрудничестве со Всемирной организацией здравоохранения (ВОЗ) и предназначалось для представления и обсуждения проекта руководства по этой теме, разрабатываемого двумя консультантами в консультации с секретариатом, ВОЗ и Европейским инвестиционным банком при финансировании со стороны Банка. Рабочее совещание предоставило также возможность осветить соответствующие отдельные виды надлежащей практики в регионе ЕЭК. Большинство сообщений были представлены докладчиками, занятыми в секторе здравоохранения, и подготовлены в консультации с их коллегами, работающими в секторе охраны окружающей среды.</w:t>
      </w:r>
    </w:p>
    <w:p w:rsidR="00993805" w:rsidRPr="001900E3" w:rsidRDefault="00993805" w:rsidP="001900E3">
      <w:pPr>
        <w:pStyle w:val="SingleTxtG"/>
      </w:pPr>
      <w:r w:rsidRPr="001900E3">
        <w:t>2.</w:t>
      </w:r>
      <w:r w:rsidRPr="001900E3">
        <w:tab/>
        <w:t>Рабочее совещание началось со вступительного слова секретаря Конвенции Эспо и Протокола к ней и г-жи Ангелы Филипас (Европейский инвестиционный банк).</w:t>
      </w:r>
    </w:p>
    <w:p w:rsidR="00993805" w:rsidRPr="001900E3" w:rsidRDefault="00993805" w:rsidP="001900E3">
      <w:pPr>
        <w:pStyle w:val="SingleTxtG"/>
      </w:pPr>
      <w:r w:rsidRPr="001900E3">
        <w:t>3.</w:t>
      </w:r>
      <w:r w:rsidRPr="001900E3">
        <w:tab/>
        <w:t>Г-жа Джулия Новацки (Европейское региональное бюро ВОЗ) представила важную справочную информацию, пояснив, что высокий уровень охраны окружающей среды имеет исключительно важное значение для охраны и улучшения здоровья людей. Доля глобального бремени болезней, связанных с окружающей средой, составляет 22</w:t>
      </w:r>
      <w:r w:rsidR="00000F01">
        <w:t>%</w:t>
      </w:r>
      <w:r w:rsidRPr="001900E3">
        <w:t>, а их воздействие на детей еще больше. Планы, программы и меры политического характера в области здравоохранения и в других областях взаимозависимы, а связанные с ними темы были включены, например, в принятую в 2017 году Декларацию шестой Конференции на уровне министров по окружающей среде и охране здоровья</w:t>
      </w:r>
      <w:r w:rsidRPr="00F465DB">
        <w:rPr>
          <w:rStyle w:val="FootnoteReference"/>
          <w:szCs w:val="18"/>
        </w:rPr>
        <w:footnoteReference w:id="13"/>
      </w:r>
      <w:r w:rsidRPr="001900E3">
        <w:t>. В этом контексте почти 100</w:t>
      </w:r>
      <w:r w:rsidR="00D01D16">
        <w:t>%</w:t>
      </w:r>
      <w:r w:rsidRPr="001900E3">
        <w:t xml:space="preserve"> городского населения в Европейском союзе подвергается воздействию загрязнителей воздуха в концентрациях, превышающих контрольные уровни ВОЗ.</w:t>
      </w:r>
    </w:p>
    <w:p w:rsidR="00993805" w:rsidRPr="001900E3" w:rsidRDefault="00993805" w:rsidP="001900E3">
      <w:pPr>
        <w:pStyle w:val="SingleTxtG"/>
      </w:pPr>
      <w:r w:rsidRPr="001900E3">
        <w:t>4.</w:t>
      </w:r>
      <w:r w:rsidRPr="001900E3">
        <w:tab/>
        <w:t xml:space="preserve">Два консультанта, г-н Томас Фишер (Ливерпульский университет, Соединенное Королевство Великобритании и Северной Ирландии) и г-н Бен Кейв (организация </w:t>
      </w:r>
      <w:r w:rsidR="006255BA">
        <w:t>«</w:t>
      </w:r>
      <w:r w:rsidRPr="001900E3">
        <w:t>Бен Кейв Асоусиейтс</w:t>
      </w:r>
      <w:r w:rsidR="006255BA">
        <w:t>»</w:t>
      </w:r>
      <w:r w:rsidRPr="001900E3">
        <w:t>)</w:t>
      </w:r>
      <w:r w:rsidR="00B15F69">
        <w:t>,</w:t>
      </w:r>
      <w:r w:rsidRPr="001900E3">
        <w:t xml:space="preserve"> представили проект руководства по оценке воздействия на здоровье в рамках стратегической экологической оценки. В своем выступлении они сосредоточили внимание на двух основных частях руководства: a) принципах рассмотрения аспектов здоровья в рамках стратегической экологической оценки и b)</w:t>
      </w:r>
      <w:r w:rsidR="009A24F9">
        <w:t> </w:t>
      </w:r>
      <w:r w:rsidRPr="001900E3">
        <w:t>стратегической экологической оценке и здоровье населения на практике.</w:t>
      </w:r>
      <w:bookmarkStart w:id="39" w:name="_Hlk29230554"/>
      <w:bookmarkEnd w:id="39"/>
    </w:p>
    <w:p w:rsidR="00993805" w:rsidRPr="001900E3" w:rsidRDefault="00993805" w:rsidP="001900E3">
      <w:pPr>
        <w:pStyle w:val="SingleTxtG"/>
      </w:pPr>
      <w:r w:rsidRPr="001900E3">
        <w:t>5.</w:t>
      </w:r>
      <w:r w:rsidRPr="001900E3">
        <w:tab/>
        <w:t xml:space="preserve">Г-н Ярослав Вольф (Университетский госпиталь города Острава, Чехия) и </w:t>
      </w:r>
      <w:r w:rsidR="009A24F9">
        <w:br/>
      </w:r>
      <w:r w:rsidRPr="001900E3">
        <w:t xml:space="preserve">г-жа Хелена Казмарова (Национальный институт здравоохранения, Чехия) рассказали о чешском опыте интеграции оценки здоровья/воздействия на здоровье в стратегическую экологическую оценку и представили конкретное тематическое исследование, а именно обновленную Региональную энергетическую концепцию края Высочина на период 2017–2042 годов. Оценка воздействия на здоровье была начата в 1990-х годах, а стратегическая экологическая оценка </w:t>
      </w:r>
      <w:r w:rsidR="001900E3" w:rsidRPr="001900E3">
        <w:t>–</w:t>
      </w:r>
      <w:r w:rsidRPr="001900E3">
        <w:t xml:space="preserve"> в 2006 году, и на сегодняшний день подготовлено 288 стратегических экологических оценок. В Чехии эксперты по стратегической экологической оценке и оценке воздействия на здоровье сформировали группы и одновременно инициировали проведение стратегической экологической оценки и оценки воздействия на здоровье. В рамках данного тематического исследования была проведена оценка экологических, социальных и экономических детерминант здоровья, и при этом особое внимание было уделено атомной электростанции в Дукованах. Авторы отметили, что основное внимание уделялось негативному воздействию, и лишь в нескольких примерах рассматривалось </w:t>
      </w:r>
      <w:r w:rsidRPr="001900E3">
        <w:lastRenderedPageBreak/>
        <w:t>положительное воздействие. По их мнению</w:t>
      </w:r>
      <w:r w:rsidR="001900E3">
        <w:t>,</w:t>
      </w:r>
      <w:r w:rsidRPr="001900E3">
        <w:t xml:space="preserve"> такое положение дел является проблематичным.</w:t>
      </w:r>
    </w:p>
    <w:p w:rsidR="00993805" w:rsidRPr="001900E3" w:rsidRDefault="00993805" w:rsidP="001900E3">
      <w:pPr>
        <w:pStyle w:val="SingleTxtG"/>
      </w:pPr>
      <w:r w:rsidRPr="001900E3">
        <w:t>6.</w:t>
      </w:r>
      <w:r w:rsidRPr="001900E3">
        <w:tab/>
        <w:t>Г-жа Бригит Статсен (Национальный институт здравоохранения и охраны окружающей среды, Нидерланды) объяснила, как факторы здоровья учитывались при разработке Национальной стратегии в области территориального планирования и окружающей среды. Особое значение в этой связи имеет новый закон об окружающей среде, призванный способствовать созданию безопасной и здоровой физической среды проживания. Стратегическая экологическая оценка Стратегии позволила получить общее представление о текущем положени</w:t>
      </w:r>
      <w:r w:rsidR="00D01D16">
        <w:t xml:space="preserve">и </w:t>
      </w:r>
      <w:r w:rsidRPr="001900E3">
        <w:t xml:space="preserve">дел и качественную оценку тенденций на период до 2030 года на основе общих целей и связанных с ними показателей. К числу наиболее сложных проблем были отнесены несколько размытый характер Стратегии и неопределенность в отношении будущих сценариев. В этом контексте аспекты здравоохранения были включены в задачи, касающиеся обеспечения социальной сплоченности и жилищного обеспечения, а результаты оценки были представлены в виде круговой диаграммы. К числу факторов, способствующих эффективному учету вопросов здравоохранения, относятся наличие </w:t>
      </w:r>
      <w:r w:rsidR="006255BA">
        <w:t>«</w:t>
      </w:r>
      <w:r w:rsidRPr="001900E3">
        <w:t>посланника</w:t>
      </w:r>
      <w:r w:rsidR="006255BA">
        <w:t>»</w:t>
      </w:r>
      <w:r w:rsidRPr="001900E3">
        <w:t xml:space="preserve"> по вопросам здравоохранения, учет в экологическом законодательстве задач, связанных со здравоохранением, заинтересованность со стороны министерств здравоохранения и сотрудничество между экспертами в области здравоохранения и планирования.</w:t>
      </w:r>
    </w:p>
    <w:p w:rsidR="00993805" w:rsidRPr="001900E3" w:rsidRDefault="00993805" w:rsidP="001900E3">
      <w:pPr>
        <w:pStyle w:val="SingleTxtG"/>
      </w:pPr>
      <w:r w:rsidRPr="001900E3">
        <w:t>7.</w:t>
      </w:r>
      <w:r w:rsidRPr="001900E3">
        <w:tab/>
        <w:t xml:space="preserve">Г-н Хейкки Калле (Эстонский институт окружающей среды) выступил с сообщением о рассмотрении медицинских аспектов стратегической экологической оценки проекта высокоскоростной железной дороги </w:t>
      </w:r>
      <w:r w:rsidR="006255BA">
        <w:t>«</w:t>
      </w:r>
      <w:r w:rsidRPr="001900E3">
        <w:t>Рэйл Балтика</w:t>
      </w:r>
      <w:r w:rsidR="006255BA">
        <w:t>»</w:t>
      </w:r>
      <w:r w:rsidRPr="001900E3">
        <w:t>. В ходе оценки было проведено различие между разными уровнями, включая глобальный/</w:t>
      </w:r>
      <w:r w:rsidR="0071370E">
        <w:br/>
      </w:r>
      <w:r w:rsidRPr="001900E3">
        <w:t>национальный, региональный и местный. Важный извлеченный урок заключается в том, что при участии в стратегической экологической оценке органов здравоохранения требуется время, чтобы найти точки соприкосновения, поскольку органы здравоохранения с такой оценкой не вполне знакомы. Кроме того, необходимо ясно представлять задачи в области здравоохранения на государственном и региональном уровнях, однако в настоящее время они не определены. Оценка должна быть организована в соответствии с пространственно-временными шкалами. Наконец, в</w:t>
      </w:r>
      <w:r w:rsidR="0071370E">
        <w:t> </w:t>
      </w:r>
      <w:r w:rsidRPr="001900E3">
        <w:t>стратегической экологической оценке могут и должны учитываться и положительные факторы воздействия. Что касается последующих шагов, то докладчик отметил необходимость наличия пространственных данных, которые позволяли бы отследить связь между детерминантами здоровья, показателями здоровья, факторами риска и последствиями для здоровья. Кроме того, требуется проводить обучение и кураторскую работу.</w:t>
      </w:r>
    </w:p>
    <w:p w:rsidR="00E12C5F" w:rsidRPr="001900E3" w:rsidRDefault="00993805" w:rsidP="001900E3">
      <w:pPr>
        <w:pStyle w:val="SingleTxtG"/>
      </w:pPr>
      <w:r w:rsidRPr="001900E3">
        <w:t>8.</w:t>
      </w:r>
      <w:r w:rsidRPr="001900E3">
        <w:tab/>
        <w:t>В заключение г-жа Лиз Грин (Агентство по здравоохранению Уэльса, Соединенное Королевство Великобритании и Северной Ирландии) рассказала о национальной рамочной программе развития [Уэльса], задача которой состоит в интеграции в стратегическую экологическую оценку вопросов здоровья и благополучия. Важно отметить, что были приняты различные нормативные акты, которые служат стратегическими движущими силами и факторами развития в области здравоохранения и планирования, а вспомогательная группа по оценке воздействия на здоровье населения Уэльса играет ключевую роль в обеспечении эффективного учета вопросов здравоохранения в рамках стратегической экологической оценки. В рамках национальной рамочной программы развития была проведена комплексная оценка устойчивости, включая стратегическую экологическую оценку, оценку воздействия на здоровье и другие виды оценки. Был выявлен ряд проблем, включая ограниченные возможности и неполное понимание того, какие именно аспекты должно охватывать здравоохранение. Необходимы люди, выступающие в поддержку охраны здоровья, а</w:t>
      </w:r>
      <w:r w:rsidR="000814C5">
        <w:t> </w:t>
      </w:r>
      <w:r w:rsidRPr="001900E3">
        <w:t>также подход, в рамках которого разные вопросы рассматривались бы сквозь призму здравоохранения. Необходимые медицинские данные не всегда доступны.</w:t>
      </w:r>
    </w:p>
    <w:p w:rsidR="00993805" w:rsidRPr="00993805" w:rsidRDefault="00993805" w:rsidP="00993805">
      <w:pPr>
        <w:pStyle w:val="SingleTxtG"/>
        <w:spacing w:before="240" w:after="0"/>
        <w:jc w:val="center"/>
        <w:rPr>
          <w:u w:val="single"/>
        </w:rPr>
      </w:pPr>
      <w:r w:rsidRPr="00236CCF">
        <w:rPr>
          <w:u w:val="single"/>
        </w:rPr>
        <w:tab/>
      </w:r>
      <w:r w:rsidRPr="00236CCF">
        <w:rPr>
          <w:u w:val="single"/>
        </w:rPr>
        <w:tab/>
      </w:r>
      <w:r w:rsidRPr="00236CCF">
        <w:rPr>
          <w:u w:val="single"/>
        </w:rPr>
        <w:tab/>
      </w:r>
      <w:r w:rsidRPr="00236CCF">
        <w:rPr>
          <w:u w:val="single"/>
        </w:rPr>
        <w:tab/>
      </w:r>
    </w:p>
    <w:sectPr w:rsidR="00993805" w:rsidRPr="00993805" w:rsidSect="00EE7E1C">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55BA" w:rsidRPr="00A312BC" w:rsidRDefault="006255BA" w:rsidP="00A312BC"/>
  </w:endnote>
  <w:endnote w:type="continuationSeparator" w:id="0">
    <w:p w:rsidR="006255BA" w:rsidRPr="00A312BC" w:rsidRDefault="006255BA"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55BA" w:rsidRPr="00EE7E1C" w:rsidRDefault="006255BA">
    <w:pPr>
      <w:pStyle w:val="Footer"/>
    </w:pPr>
    <w:r w:rsidRPr="00EE7E1C">
      <w:rPr>
        <w:b/>
        <w:sz w:val="18"/>
      </w:rPr>
      <w:fldChar w:fldCharType="begin"/>
    </w:r>
    <w:r w:rsidRPr="00EE7E1C">
      <w:rPr>
        <w:b/>
        <w:sz w:val="18"/>
      </w:rPr>
      <w:instrText xml:space="preserve"> PAGE  \* MERGEFORMAT </w:instrText>
    </w:r>
    <w:r w:rsidRPr="00EE7E1C">
      <w:rPr>
        <w:b/>
        <w:sz w:val="18"/>
      </w:rPr>
      <w:fldChar w:fldCharType="separate"/>
    </w:r>
    <w:r w:rsidR="00923723">
      <w:rPr>
        <w:b/>
        <w:noProof/>
        <w:sz w:val="18"/>
      </w:rPr>
      <w:t>18</w:t>
    </w:r>
    <w:r w:rsidRPr="00EE7E1C">
      <w:rPr>
        <w:b/>
        <w:sz w:val="18"/>
      </w:rPr>
      <w:fldChar w:fldCharType="end"/>
    </w:r>
    <w:r>
      <w:rPr>
        <w:b/>
        <w:sz w:val="18"/>
      </w:rPr>
      <w:tab/>
    </w:r>
    <w:r>
      <w:t>GE.20-00802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55BA" w:rsidRPr="00EE7E1C" w:rsidRDefault="006255BA" w:rsidP="00EE7E1C">
    <w:pPr>
      <w:pStyle w:val="Footer"/>
      <w:tabs>
        <w:tab w:val="clear" w:pos="9639"/>
        <w:tab w:val="right" w:pos="9638"/>
      </w:tabs>
      <w:rPr>
        <w:b/>
        <w:sz w:val="18"/>
      </w:rPr>
    </w:pPr>
    <w:r>
      <w:t>GE.20-00802</w:t>
    </w:r>
    <w:r>
      <w:tab/>
    </w:r>
    <w:r w:rsidRPr="00EE7E1C">
      <w:rPr>
        <w:b/>
        <w:sz w:val="18"/>
      </w:rPr>
      <w:fldChar w:fldCharType="begin"/>
    </w:r>
    <w:r w:rsidRPr="00EE7E1C">
      <w:rPr>
        <w:b/>
        <w:sz w:val="18"/>
      </w:rPr>
      <w:instrText xml:space="preserve"> PAGE  \* MERGEFORMAT </w:instrText>
    </w:r>
    <w:r w:rsidRPr="00EE7E1C">
      <w:rPr>
        <w:b/>
        <w:sz w:val="18"/>
      </w:rPr>
      <w:fldChar w:fldCharType="separate"/>
    </w:r>
    <w:r w:rsidR="00923723">
      <w:rPr>
        <w:b/>
        <w:noProof/>
        <w:sz w:val="18"/>
      </w:rPr>
      <w:t>19</w:t>
    </w:r>
    <w:r w:rsidRPr="00EE7E1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55BA" w:rsidRPr="00EE7E1C" w:rsidRDefault="006255BA" w:rsidP="00EE7E1C">
    <w:pPr>
      <w:spacing w:before="120" w:line="240" w:lineRule="auto"/>
    </w:pPr>
    <w:r>
      <w:t>GE.</w:t>
    </w:r>
    <w:r>
      <w:rPr>
        <w:b/>
        <w:noProof/>
        <w:lang w:eastAsia="ru-RU"/>
      </w:rPr>
      <w:drawing>
        <wp:anchor distT="0" distB="0" distL="114300" distR="114300" simplePos="0" relativeHeight="251658240" behindDoc="0" locked="0" layoutInCell="1" allowOverlap="1" wp14:anchorId="698A042D" wp14:editId="6ECF259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20-</w:t>
    </w:r>
    <w:proofErr w:type="gramStart"/>
    <w:r>
      <w:t>00802  (</w:t>
    </w:r>
    <w:proofErr w:type="gramEnd"/>
    <w:r>
      <w:t>R)</w:t>
    </w:r>
    <w:r>
      <w:rPr>
        <w:lang w:val="en-US"/>
      </w:rPr>
      <w:t xml:space="preserve">  060220  </w:t>
    </w:r>
    <w:r w:rsidR="001622B0">
      <w:rPr>
        <w:lang w:val="en-US"/>
      </w:rPr>
      <w:t>07</w:t>
    </w:r>
    <w:r>
      <w:rPr>
        <w:lang w:val="en-US"/>
      </w:rPr>
      <w:t>0220</w:t>
    </w:r>
    <w:r>
      <w:br/>
    </w:r>
    <w:r w:rsidRPr="00EE7E1C">
      <w:rPr>
        <w:rFonts w:ascii="C39T30Lfz" w:hAnsi="C39T30Lfz"/>
        <w:kern w:val="14"/>
        <w:sz w:val="56"/>
      </w:rPr>
      <w:t></w:t>
    </w:r>
    <w:r w:rsidRPr="00EE7E1C">
      <w:rPr>
        <w:rFonts w:ascii="C39T30Lfz" w:hAnsi="C39T30Lfz"/>
        <w:kern w:val="14"/>
        <w:sz w:val="56"/>
      </w:rPr>
      <w:t></w:t>
    </w:r>
    <w:r w:rsidRPr="00EE7E1C">
      <w:rPr>
        <w:rFonts w:ascii="C39T30Lfz" w:hAnsi="C39T30Lfz"/>
        <w:kern w:val="14"/>
        <w:sz w:val="56"/>
      </w:rPr>
      <w:t></w:t>
    </w:r>
    <w:r w:rsidRPr="00EE7E1C">
      <w:rPr>
        <w:rFonts w:ascii="C39T30Lfz" w:hAnsi="C39T30Lfz"/>
        <w:kern w:val="14"/>
        <w:sz w:val="56"/>
      </w:rPr>
      <w:t></w:t>
    </w:r>
    <w:r w:rsidRPr="00EE7E1C">
      <w:rPr>
        <w:rFonts w:ascii="C39T30Lfz" w:hAnsi="C39T30Lfz"/>
        <w:kern w:val="14"/>
        <w:sz w:val="56"/>
      </w:rPr>
      <w:t></w:t>
    </w:r>
    <w:r w:rsidRPr="00EE7E1C">
      <w:rPr>
        <w:rFonts w:ascii="C39T30Lfz" w:hAnsi="C39T30Lfz"/>
        <w:kern w:val="14"/>
        <w:sz w:val="56"/>
      </w:rPr>
      <w:t></w:t>
    </w:r>
    <w:r w:rsidRPr="00EE7E1C">
      <w:rPr>
        <w:rFonts w:ascii="C39T30Lfz" w:hAnsi="C39T30Lfz"/>
        <w:kern w:val="14"/>
        <w:sz w:val="56"/>
      </w:rPr>
      <w:t></w:t>
    </w:r>
    <w:r w:rsidRPr="00EE7E1C">
      <w:rPr>
        <w:rFonts w:ascii="C39T30Lfz" w:hAnsi="C39T30Lfz"/>
        <w:kern w:val="14"/>
        <w:sz w:val="56"/>
      </w:rPr>
      <w:t></w:t>
    </w:r>
    <w:r w:rsidRPr="00EE7E1C">
      <w:rPr>
        <w:rFonts w:ascii="C39T30Lfz" w:hAnsi="C39T30Lfz"/>
        <w:kern w:val="14"/>
        <w:sz w:val="56"/>
      </w:rPr>
      <w:t></w:t>
    </w:r>
    <w:r>
      <w:rPr>
        <w:noProof/>
        <w:lang w:eastAsia="ru-RU"/>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CE/MP.EIA/WG.2/2019/2&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MP.EIA/WG.2/2019/2&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55BA" w:rsidRPr="001075E9" w:rsidRDefault="006255BA" w:rsidP="001075E9">
      <w:pPr>
        <w:tabs>
          <w:tab w:val="right" w:pos="2155"/>
        </w:tabs>
        <w:spacing w:after="80" w:line="240" w:lineRule="auto"/>
        <w:ind w:left="680"/>
        <w:rPr>
          <w:u w:val="single"/>
        </w:rPr>
      </w:pPr>
      <w:r>
        <w:rPr>
          <w:u w:val="single"/>
        </w:rPr>
        <w:tab/>
      </w:r>
    </w:p>
  </w:footnote>
  <w:footnote w:type="continuationSeparator" w:id="0">
    <w:p w:rsidR="006255BA" w:rsidRDefault="006255BA" w:rsidP="00407B78">
      <w:pPr>
        <w:tabs>
          <w:tab w:val="right" w:pos="2155"/>
        </w:tabs>
        <w:spacing w:after="80"/>
        <w:ind w:left="680"/>
        <w:rPr>
          <w:u w:val="single"/>
        </w:rPr>
      </w:pPr>
      <w:r>
        <w:rPr>
          <w:u w:val="single"/>
        </w:rPr>
        <w:tab/>
      </w:r>
    </w:p>
  </w:footnote>
  <w:footnote w:id="1">
    <w:p w:rsidR="006255BA" w:rsidRPr="006C2094" w:rsidRDefault="006255BA" w:rsidP="006C23E3">
      <w:pPr>
        <w:pStyle w:val="FootnoteText"/>
        <w:rPr>
          <w:rStyle w:val="FootnoteTextChar"/>
        </w:rPr>
      </w:pPr>
      <w:r>
        <w:rPr>
          <w:rStyle w:val="FootnoteTextChar"/>
        </w:rPr>
        <w:tab/>
      </w:r>
      <w:r w:rsidRPr="006C23E3">
        <w:rPr>
          <w:vertAlign w:val="superscript"/>
        </w:rPr>
        <w:footnoteRef/>
      </w:r>
      <w:r>
        <w:tab/>
      </w:r>
      <w:r w:rsidRPr="001900E3">
        <w:t>Официальные</w:t>
      </w:r>
      <w:r>
        <w:t xml:space="preserve"> и неофициальные </w:t>
      </w:r>
      <w:r w:rsidRPr="006C23E3">
        <w:t>документы</w:t>
      </w:r>
      <w:r>
        <w:t xml:space="preserve"> совещания, справочные документы и материалы, представленные секретариату, размещены по адресу </w:t>
      </w:r>
      <w:hyperlink r:id="rId1" w:history="1">
        <w:r w:rsidR="007B1894" w:rsidRPr="00D868B2">
          <w:rPr>
            <w:rStyle w:val="Hyperlink"/>
          </w:rPr>
          <w:t>https://www.unece.org/index.php?id=50466</w:t>
        </w:r>
      </w:hyperlink>
      <w:r>
        <w:t>.</w:t>
      </w:r>
      <w:r w:rsidR="007B1894">
        <w:t xml:space="preserve"> </w:t>
      </w:r>
    </w:p>
  </w:footnote>
  <w:footnote w:id="2">
    <w:p w:rsidR="006255BA" w:rsidRPr="006C2094" w:rsidRDefault="006255BA" w:rsidP="00993805">
      <w:pPr>
        <w:pStyle w:val="FootnoteText"/>
      </w:pPr>
      <w:r>
        <w:tab/>
      </w:r>
      <w:r w:rsidRPr="006C23E3">
        <w:rPr>
          <w:rStyle w:val="FootnoteReference"/>
        </w:rPr>
        <w:footnoteRef/>
      </w:r>
      <w:r>
        <w:tab/>
        <w:t xml:space="preserve">См. </w:t>
      </w:r>
      <w:hyperlink r:id="rId2" w:history="1">
        <w:r w:rsidRPr="00D868B2">
          <w:rPr>
            <w:rStyle w:val="Hyperlink"/>
          </w:rPr>
          <w:t>https://www.unece.org/env/eia/budget.html</w:t>
        </w:r>
      </w:hyperlink>
      <w:r>
        <w:t xml:space="preserve">. </w:t>
      </w:r>
    </w:p>
  </w:footnote>
  <w:footnote w:id="3">
    <w:p w:rsidR="006255BA" w:rsidRPr="006C2094" w:rsidRDefault="006255BA" w:rsidP="00993805">
      <w:pPr>
        <w:pStyle w:val="FootnoteText"/>
      </w:pPr>
      <w:r>
        <w:tab/>
      </w:r>
      <w:r w:rsidRPr="006C23E3">
        <w:rPr>
          <w:rStyle w:val="FootnoteReference"/>
        </w:rPr>
        <w:footnoteRef/>
      </w:r>
      <w:r>
        <w:tab/>
        <w:t>См. приложение к решению VII/4–III/4 (ECE/MP.EIA/2017/23/Add.1–ECE/MP.EIA/SEA/7/Add.1).</w:t>
      </w:r>
    </w:p>
  </w:footnote>
  <w:footnote w:id="4">
    <w:p w:rsidR="006255BA" w:rsidRPr="006C2094" w:rsidRDefault="006255BA" w:rsidP="00993805">
      <w:pPr>
        <w:pStyle w:val="FootnoteText"/>
        <w:tabs>
          <w:tab w:val="clear" w:pos="1021"/>
          <w:tab w:val="right" w:pos="1020"/>
        </w:tabs>
      </w:pPr>
      <w:r w:rsidRPr="00796BEA">
        <w:tab/>
      </w:r>
      <w:r w:rsidRPr="006C23E3">
        <w:rPr>
          <w:rStyle w:val="FootnoteReference"/>
        </w:rPr>
        <w:footnoteRef/>
      </w:r>
      <w:r>
        <w:tab/>
        <w:t xml:space="preserve">Доклады о работе сессий Комитета по осуществлению, состоявшихся в 2019 году, размещены по адресу </w:t>
      </w:r>
      <w:hyperlink r:id="rId3" w:anchor="/0/0/0/28089/19940" w:history="1">
        <w:r w:rsidRPr="00D868B2">
          <w:rPr>
            <w:rStyle w:val="Hyperlink"/>
          </w:rPr>
          <w:t>www.unece.org/environmental-policy/conventions/environmental-assessment/meetings-and-events.html#/0/0/0/28089/19940</w:t>
        </w:r>
      </w:hyperlink>
      <w:r>
        <w:t xml:space="preserve">. </w:t>
      </w:r>
    </w:p>
  </w:footnote>
  <w:footnote w:id="5">
    <w:p w:rsidR="006255BA" w:rsidRPr="006C2094" w:rsidRDefault="006255BA" w:rsidP="00993805">
      <w:pPr>
        <w:pStyle w:val="FootnoteText"/>
      </w:pPr>
      <w:r>
        <w:tab/>
      </w:r>
      <w:r w:rsidRPr="006C23E3">
        <w:rPr>
          <w:rStyle w:val="FootnoteReference"/>
        </w:rPr>
        <w:footnoteRef/>
      </w:r>
      <w:r>
        <w:tab/>
        <w:t xml:space="preserve">См. </w:t>
      </w:r>
      <w:hyperlink r:id="rId4" w:history="1">
        <w:r w:rsidRPr="00D868B2">
          <w:rPr>
            <w:rStyle w:val="Hyperlink"/>
          </w:rPr>
          <w:t>www.unece.org/index.php?id=51625</w:t>
        </w:r>
      </w:hyperlink>
      <w:r>
        <w:t xml:space="preserve">. </w:t>
      </w:r>
    </w:p>
  </w:footnote>
  <w:footnote w:id="6">
    <w:p w:rsidR="006255BA" w:rsidRPr="00993805" w:rsidRDefault="006255BA" w:rsidP="00993805">
      <w:pPr>
        <w:pStyle w:val="FootnoteText"/>
        <w:rPr>
          <w:lang w:val="en-US"/>
        </w:rPr>
      </w:pPr>
      <w:r>
        <w:tab/>
      </w:r>
      <w:r w:rsidRPr="006C23E3">
        <w:rPr>
          <w:rStyle w:val="FootnoteReference"/>
        </w:rPr>
        <w:footnoteRef/>
      </w:r>
      <w:r w:rsidRPr="006C2094">
        <w:rPr>
          <w:lang w:val="en-US"/>
        </w:rPr>
        <w:tab/>
      </w:r>
      <w:r w:rsidRPr="00447660">
        <w:rPr>
          <w:i/>
          <w:lang w:val="en-US"/>
        </w:rPr>
        <w:t>Inter-Environnement Wallonie ASBL and Bond Beter Leefmilieu Vlaanderen ASBL v Conseil des ministers</w:t>
      </w:r>
      <w:r w:rsidRPr="006C2094">
        <w:rPr>
          <w:lang w:val="en-US"/>
        </w:rPr>
        <w:t>, Case No. C-411/17, Judgment of the Court, 29 July 2019.</w:t>
      </w:r>
    </w:p>
  </w:footnote>
  <w:footnote w:id="7">
    <w:p w:rsidR="006255BA" w:rsidRPr="006C2094" w:rsidRDefault="006255BA" w:rsidP="00993805">
      <w:pPr>
        <w:pStyle w:val="FootnoteText"/>
      </w:pPr>
      <w:r w:rsidRPr="006C2094">
        <w:rPr>
          <w:lang w:val="en-US"/>
        </w:rPr>
        <w:tab/>
      </w:r>
      <w:r w:rsidRPr="006C23E3">
        <w:rPr>
          <w:rStyle w:val="FootnoteReference"/>
        </w:rPr>
        <w:footnoteRef/>
      </w:r>
      <w:r w:rsidRPr="006C2094">
        <w:rPr>
          <w:lang w:val="en-US"/>
        </w:rPr>
        <w:tab/>
        <w:t xml:space="preserve">Kimberly Sexton Nick and Pierre Bourdon, eds., Nuclear Energy Agency No. 7504 (Paris, Organization for Economic Cooperation and Development Nuclear Energy Agency, 2019). </w:t>
      </w:r>
      <w:r>
        <w:t xml:space="preserve">Представлено на веб-сайте </w:t>
      </w:r>
      <w:hyperlink r:id="rId5" w:history="1">
        <w:r w:rsidRPr="00D868B2">
          <w:rPr>
            <w:rStyle w:val="Hyperlink"/>
          </w:rPr>
          <w:t>www.oecd-nea.org/law/pubs/2019/7504-long-term-operation-npp.pdf</w:t>
        </w:r>
      </w:hyperlink>
      <w:r>
        <w:t xml:space="preserve">. </w:t>
      </w:r>
    </w:p>
  </w:footnote>
  <w:footnote w:id="8">
    <w:p w:rsidR="006255BA" w:rsidRPr="006C2094" w:rsidRDefault="006255BA" w:rsidP="00993805">
      <w:pPr>
        <w:pStyle w:val="FootnoteText"/>
      </w:pPr>
      <w:r>
        <w:tab/>
      </w:r>
      <w:r w:rsidRPr="006C23E3">
        <w:rPr>
          <w:rStyle w:val="FootnoteReference"/>
        </w:rPr>
        <w:footnoteRef/>
      </w:r>
      <w:r>
        <w:tab/>
        <w:t xml:space="preserve">Издание Организации Объединенных Наций, в продаже под номером </w:t>
      </w:r>
      <w:r w:rsidR="00905597">
        <w:rPr>
          <w:lang w:val="en-US"/>
        </w:rPr>
        <w:t>R</w:t>
      </w:r>
      <w:r>
        <w:t>.19.II.E.27.</w:t>
      </w:r>
    </w:p>
  </w:footnote>
  <w:footnote w:id="9">
    <w:p w:rsidR="006255BA" w:rsidRPr="006C2094" w:rsidRDefault="006255BA" w:rsidP="001900E3">
      <w:pPr>
        <w:pStyle w:val="FootnoteText"/>
      </w:pPr>
      <w:r>
        <w:tab/>
      </w:r>
      <w:r w:rsidRPr="006C23E3">
        <w:rPr>
          <w:rStyle w:val="FootnoteReference"/>
        </w:rPr>
        <w:footnoteRef/>
      </w:r>
      <w:r>
        <w:tab/>
        <w:t xml:space="preserve">Впоследствии была достигнута </w:t>
      </w:r>
      <w:r w:rsidRPr="001900E3">
        <w:t>договоренность</w:t>
      </w:r>
      <w:r>
        <w:t xml:space="preserve"> о том, что совещание состоится в Варшаве </w:t>
      </w:r>
      <w:r w:rsidR="00F44DE5">
        <w:br/>
      </w:r>
      <w:r>
        <w:t>23 и 24 января 2020 года.</w:t>
      </w:r>
    </w:p>
  </w:footnote>
  <w:footnote w:id="10">
    <w:p w:rsidR="006255BA" w:rsidRPr="006C2094" w:rsidRDefault="006255BA" w:rsidP="00993805">
      <w:pPr>
        <w:pStyle w:val="FootnoteText"/>
        <w:ind w:left="0" w:firstLine="0"/>
      </w:pPr>
      <w:r>
        <w:tab/>
      </w:r>
      <w:r w:rsidRPr="006C23E3">
        <w:rPr>
          <w:rStyle w:val="FootnoteReference"/>
        </w:rPr>
        <w:footnoteRef/>
      </w:r>
      <w:r>
        <w:tab/>
        <w:t>Издание Организации Объединенных Наций, ECE/MP.EIA/24.</w:t>
      </w:r>
    </w:p>
  </w:footnote>
  <w:footnote w:id="11">
    <w:p w:rsidR="006255BA" w:rsidRPr="006C2094" w:rsidRDefault="006255BA" w:rsidP="00993805">
      <w:pPr>
        <w:pStyle w:val="FootnoteText"/>
      </w:pPr>
      <w:r>
        <w:tab/>
      </w:r>
      <w:r w:rsidRPr="006C23E3">
        <w:rPr>
          <w:rStyle w:val="FootnoteReference"/>
        </w:rPr>
        <w:footnoteRef/>
      </w:r>
      <w:r>
        <w:tab/>
        <w:t>См. соответствующие выводы Президиума в неофициальных записках о совещании Президиума, состоявшемся 17 и 18 июня 2019 года, пункты 7</w:t>
      </w:r>
      <w:r w:rsidRPr="003A7738">
        <w:t>–</w:t>
      </w:r>
      <w:r>
        <w:t>9. Размещен</w:t>
      </w:r>
      <w:r w:rsidR="00795EFF">
        <w:t>ы</w:t>
      </w:r>
      <w:r>
        <w:t xml:space="preserve"> по адресу </w:t>
      </w:r>
      <w:hyperlink r:id="rId6" w:history="1">
        <w:r w:rsidR="009A24F9" w:rsidRPr="00D868B2">
          <w:rPr>
            <w:rStyle w:val="Hyperlink"/>
          </w:rPr>
          <w:t>http://www.unece.org/index.php?id=50461</w:t>
        </w:r>
      </w:hyperlink>
      <w:r>
        <w:t>.</w:t>
      </w:r>
      <w:r w:rsidR="009A24F9">
        <w:t xml:space="preserve"> </w:t>
      </w:r>
    </w:p>
  </w:footnote>
  <w:footnote w:id="12">
    <w:p w:rsidR="006255BA" w:rsidRPr="00993805" w:rsidRDefault="006255BA" w:rsidP="00993805">
      <w:pPr>
        <w:pStyle w:val="FootnoteText"/>
        <w:rPr>
          <w:lang w:val="en-US"/>
        </w:rPr>
      </w:pPr>
      <w:r>
        <w:tab/>
      </w:r>
      <w:r w:rsidRPr="006C23E3">
        <w:rPr>
          <w:vertAlign w:val="superscript"/>
        </w:rPr>
        <w:footnoteRef/>
      </w:r>
      <w:r w:rsidRPr="006C2094">
        <w:rPr>
          <w:lang w:val="en-US"/>
        </w:rPr>
        <w:tab/>
        <w:t xml:space="preserve">Päivi A. Karvinen and Seija Rantakallio, eds., </w:t>
      </w:r>
      <w:r w:rsidRPr="007D0AEA">
        <w:rPr>
          <w:i/>
          <w:lang w:val="en-US"/>
        </w:rPr>
        <w:t>Good Practices for Environmental Impact Assessment and Meaningful Engagement in the Arctic – Including Good Practice Recommendations</w:t>
      </w:r>
      <w:r w:rsidRPr="006C2094">
        <w:rPr>
          <w:lang w:val="en-US"/>
        </w:rPr>
        <w:t xml:space="preserve"> (Arctic Council, 2019). </w:t>
      </w:r>
    </w:p>
  </w:footnote>
  <w:footnote w:id="13">
    <w:p w:rsidR="006255BA" w:rsidRPr="006C2094" w:rsidRDefault="006255BA" w:rsidP="00993805">
      <w:pPr>
        <w:pStyle w:val="FootnoteText"/>
      </w:pPr>
      <w:r w:rsidRPr="006C2094">
        <w:rPr>
          <w:lang w:val="en-US"/>
        </w:rPr>
        <w:tab/>
      </w:r>
      <w:r w:rsidRPr="006C23E3">
        <w:rPr>
          <w:vertAlign w:val="superscript"/>
        </w:rPr>
        <w:footnoteRef/>
      </w:r>
      <w:r>
        <w:tab/>
        <w:t xml:space="preserve">См. </w:t>
      </w:r>
      <w:hyperlink r:id="rId7" w:history="1">
        <w:r w:rsidRPr="00D868B2">
          <w:rPr>
            <w:rStyle w:val="Hyperlink"/>
          </w:rPr>
          <w:t>www.euro.who.int/__data/assets/pdf_file/0007/341944/OstravaDeclaration_SIGNED.pdf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55BA" w:rsidRPr="00EE7E1C" w:rsidRDefault="00A34D28">
    <w:pPr>
      <w:pStyle w:val="Header"/>
    </w:pPr>
    <w:r>
      <w:fldChar w:fldCharType="begin"/>
    </w:r>
    <w:r>
      <w:instrText xml:space="preserve"> TITLE  \* MERGEFORMAT </w:instrText>
    </w:r>
    <w:r>
      <w:fldChar w:fldCharType="separate"/>
    </w:r>
    <w:r w:rsidR="00923723">
      <w:t>ECE/MP.EIA/WG.2/2019/2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55BA" w:rsidRPr="00EE7E1C" w:rsidRDefault="00A34D28" w:rsidP="00EE7E1C">
    <w:pPr>
      <w:pStyle w:val="Header"/>
      <w:jc w:val="right"/>
    </w:pPr>
    <w:r>
      <w:fldChar w:fldCharType="begin"/>
    </w:r>
    <w:r>
      <w:instrText xml:space="preserve"> TITLE  \* MERGEFORMAT </w:instrText>
    </w:r>
    <w:r>
      <w:fldChar w:fldCharType="separate"/>
    </w:r>
    <w:r w:rsidR="00923723">
      <w:t>ECE/MP.EIA/WG.2/2019/2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55BA" w:rsidRDefault="006255BA" w:rsidP="00EE7E1C">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8666E7"/>
    <w:multiLevelType w:val="hybridMultilevel"/>
    <w:tmpl w:val="D7D6B46C"/>
    <w:lvl w:ilvl="0" w:tplc="DBD40758">
      <w:start w:val="1"/>
      <w:numFmt w:val="lowerLetter"/>
      <w:lvlText w:val="%1)"/>
      <w:lvlJc w:val="left"/>
      <w:pPr>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6CDC7CAA"/>
    <w:multiLevelType w:val="hybridMultilevel"/>
    <w:tmpl w:val="B97EA8DE"/>
    <w:lvl w:ilvl="0" w:tplc="DBD40758">
      <w:start w:val="1"/>
      <w:numFmt w:val="lowerLetter"/>
      <w:lvlText w:val="%1)"/>
      <w:lvlJc w:val="left"/>
      <w:pPr>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12"/>
  </w:num>
  <w:num w:numId="3">
    <w:abstractNumId w:val="11"/>
  </w:num>
  <w:num w:numId="4">
    <w:abstractNumId w:val="18"/>
  </w:num>
  <w:num w:numId="5">
    <w:abstractNumId w:val="1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3"/>
  </w:num>
  <w:num w:numId="18">
    <w:abstractNumId w:val="15"/>
  </w:num>
  <w:num w:numId="19">
    <w:abstractNumId w:val="16"/>
  </w:num>
  <w:num w:numId="20">
    <w:abstractNumId w:val="13"/>
  </w:num>
  <w:num w:numId="21">
    <w:abstractNumId w:val="15"/>
  </w:num>
  <w:num w:numId="22">
    <w:abstractNumId w:val="19"/>
  </w:num>
  <w:num w:numId="23">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9E8"/>
    <w:rsid w:val="00000F01"/>
    <w:rsid w:val="00025F05"/>
    <w:rsid w:val="00033EE1"/>
    <w:rsid w:val="000352F5"/>
    <w:rsid w:val="00036D94"/>
    <w:rsid w:val="00042B72"/>
    <w:rsid w:val="000509E8"/>
    <w:rsid w:val="000558BD"/>
    <w:rsid w:val="000766BA"/>
    <w:rsid w:val="000814C5"/>
    <w:rsid w:val="000A7707"/>
    <w:rsid w:val="000B57E7"/>
    <w:rsid w:val="000B6373"/>
    <w:rsid w:val="000C609E"/>
    <w:rsid w:val="000E25C2"/>
    <w:rsid w:val="000E4E5B"/>
    <w:rsid w:val="000F09DF"/>
    <w:rsid w:val="000F61B2"/>
    <w:rsid w:val="001075E9"/>
    <w:rsid w:val="00113B2E"/>
    <w:rsid w:val="0014152F"/>
    <w:rsid w:val="001447B0"/>
    <w:rsid w:val="001622B0"/>
    <w:rsid w:val="0017310B"/>
    <w:rsid w:val="00180183"/>
    <w:rsid w:val="0018024D"/>
    <w:rsid w:val="0018649F"/>
    <w:rsid w:val="001900E3"/>
    <w:rsid w:val="00196389"/>
    <w:rsid w:val="001A5007"/>
    <w:rsid w:val="001B3EF6"/>
    <w:rsid w:val="001C7A89"/>
    <w:rsid w:val="00201031"/>
    <w:rsid w:val="0020620B"/>
    <w:rsid w:val="00236CCF"/>
    <w:rsid w:val="00255343"/>
    <w:rsid w:val="00264DED"/>
    <w:rsid w:val="0027151D"/>
    <w:rsid w:val="00275F44"/>
    <w:rsid w:val="002A02AF"/>
    <w:rsid w:val="002A2EFC"/>
    <w:rsid w:val="002B0106"/>
    <w:rsid w:val="002B74B1"/>
    <w:rsid w:val="002C0E18"/>
    <w:rsid w:val="002D5AAC"/>
    <w:rsid w:val="002E5067"/>
    <w:rsid w:val="002F405F"/>
    <w:rsid w:val="002F42C1"/>
    <w:rsid w:val="002F7EEC"/>
    <w:rsid w:val="00301299"/>
    <w:rsid w:val="00305C08"/>
    <w:rsid w:val="00307FB6"/>
    <w:rsid w:val="00317339"/>
    <w:rsid w:val="00322004"/>
    <w:rsid w:val="003402C2"/>
    <w:rsid w:val="00341F94"/>
    <w:rsid w:val="003436FF"/>
    <w:rsid w:val="00381C24"/>
    <w:rsid w:val="00387CD4"/>
    <w:rsid w:val="003958D0"/>
    <w:rsid w:val="003A0D43"/>
    <w:rsid w:val="003A48CE"/>
    <w:rsid w:val="003B00E5"/>
    <w:rsid w:val="003E0B46"/>
    <w:rsid w:val="00407B78"/>
    <w:rsid w:val="00424203"/>
    <w:rsid w:val="0043176C"/>
    <w:rsid w:val="00447660"/>
    <w:rsid w:val="00452493"/>
    <w:rsid w:val="00453318"/>
    <w:rsid w:val="00454AF2"/>
    <w:rsid w:val="00454D97"/>
    <w:rsid w:val="00454E07"/>
    <w:rsid w:val="00462902"/>
    <w:rsid w:val="00465680"/>
    <w:rsid w:val="004720F1"/>
    <w:rsid w:val="00472C5C"/>
    <w:rsid w:val="0047537E"/>
    <w:rsid w:val="004B0372"/>
    <w:rsid w:val="004E05B7"/>
    <w:rsid w:val="0050108D"/>
    <w:rsid w:val="005062F4"/>
    <w:rsid w:val="005108D0"/>
    <w:rsid w:val="00513081"/>
    <w:rsid w:val="0051439B"/>
    <w:rsid w:val="00517901"/>
    <w:rsid w:val="00526683"/>
    <w:rsid w:val="005639C1"/>
    <w:rsid w:val="005709E0"/>
    <w:rsid w:val="00572E19"/>
    <w:rsid w:val="00581CBF"/>
    <w:rsid w:val="005937E7"/>
    <w:rsid w:val="005961C8"/>
    <w:rsid w:val="005966F1"/>
    <w:rsid w:val="005A6C63"/>
    <w:rsid w:val="005C04B4"/>
    <w:rsid w:val="005D7914"/>
    <w:rsid w:val="005E0584"/>
    <w:rsid w:val="005E2B41"/>
    <w:rsid w:val="005F0B42"/>
    <w:rsid w:val="006171EE"/>
    <w:rsid w:val="00617A43"/>
    <w:rsid w:val="006255BA"/>
    <w:rsid w:val="006345DB"/>
    <w:rsid w:val="00640F49"/>
    <w:rsid w:val="00654401"/>
    <w:rsid w:val="00676885"/>
    <w:rsid w:val="00680D03"/>
    <w:rsid w:val="00681A10"/>
    <w:rsid w:val="006A1ED8"/>
    <w:rsid w:val="006A4484"/>
    <w:rsid w:val="006C2031"/>
    <w:rsid w:val="006C23E3"/>
    <w:rsid w:val="006D2AC2"/>
    <w:rsid w:val="006D461A"/>
    <w:rsid w:val="006E52A5"/>
    <w:rsid w:val="006F35EE"/>
    <w:rsid w:val="007021FF"/>
    <w:rsid w:val="00712895"/>
    <w:rsid w:val="0071370E"/>
    <w:rsid w:val="00734ACB"/>
    <w:rsid w:val="00757357"/>
    <w:rsid w:val="00766197"/>
    <w:rsid w:val="00792497"/>
    <w:rsid w:val="00795EFF"/>
    <w:rsid w:val="007B1894"/>
    <w:rsid w:val="007D0AEA"/>
    <w:rsid w:val="007E1501"/>
    <w:rsid w:val="007E4011"/>
    <w:rsid w:val="00806737"/>
    <w:rsid w:val="00825F8D"/>
    <w:rsid w:val="00834B71"/>
    <w:rsid w:val="0086445C"/>
    <w:rsid w:val="00894693"/>
    <w:rsid w:val="008A08D7"/>
    <w:rsid w:val="008A37C8"/>
    <w:rsid w:val="008B6909"/>
    <w:rsid w:val="008B7E57"/>
    <w:rsid w:val="008D17E4"/>
    <w:rsid w:val="008D53B6"/>
    <w:rsid w:val="008F7609"/>
    <w:rsid w:val="00902267"/>
    <w:rsid w:val="00905597"/>
    <w:rsid w:val="00906890"/>
    <w:rsid w:val="00911BE4"/>
    <w:rsid w:val="00923723"/>
    <w:rsid w:val="00942EAA"/>
    <w:rsid w:val="00951972"/>
    <w:rsid w:val="009608F3"/>
    <w:rsid w:val="00963501"/>
    <w:rsid w:val="00993805"/>
    <w:rsid w:val="009A24AC"/>
    <w:rsid w:val="009A24F9"/>
    <w:rsid w:val="009A3C22"/>
    <w:rsid w:val="009C2F27"/>
    <w:rsid w:val="009C59D7"/>
    <w:rsid w:val="009C6FE6"/>
    <w:rsid w:val="009D7E7D"/>
    <w:rsid w:val="009E4819"/>
    <w:rsid w:val="00A14DA8"/>
    <w:rsid w:val="00A304C7"/>
    <w:rsid w:val="00A312BC"/>
    <w:rsid w:val="00A34D28"/>
    <w:rsid w:val="00A43F59"/>
    <w:rsid w:val="00A65530"/>
    <w:rsid w:val="00A84021"/>
    <w:rsid w:val="00A84D35"/>
    <w:rsid w:val="00A917B3"/>
    <w:rsid w:val="00AB24B8"/>
    <w:rsid w:val="00AB4B51"/>
    <w:rsid w:val="00AC52D7"/>
    <w:rsid w:val="00AD2750"/>
    <w:rsid w:val="00AE09F6"/>
    <w:rsid w:val="00B06B01"/>
    <w:rsid w:val="00B10CC7"/>
    <w:rsid w:val="00B12A0D"/>
    <w:rsid w:val="00B15F69"/>
    <w:rsid w:val="00B358FA"/>
    <w:rsid w:val="00B36DF7"/>
    <w:rsid w:val="00B539E7"/>
    <w:rsid w:val="00B62458"/>
    <w:rsid w:val="00B8674C"/>
    <w:rsid w:val="00BA6BED"/>
    <w:rsid w:val="00BB466D"/>
    <w:rsid w:val="00BC18B2"/>
    <w:rsid w:val="00BD33EE"/>
    <w:rsid w:val="00BE1CC7"/>
    <w:rsid w:val="00C106D6"/>
    <w:rsid w:val="00C119AE"/>
    <w:rsid w:val="00C132C6"/>
    <w:rsid w:val="00C60F0C"/>
    <w:rsid w:val="00C71E84"/>
    <w:rsid w:val="00C805C9"/>
    <w:rsid w:val="00C819EA"/>
    <w:rsid w:val="00C92939"/>
    <w:rsid w:val="00CA1679"/>
    <w:rsid w:val="00CB151C"/>
    <w:rsid w:val="00CE5A1A"/>
    <w:rsid w:val="00CF4675"/>
    <w:rsid w:val="00CF55F6"/>
    <w:rsid w:val="00D01D16"/>
    <w:rsid w:val="00D11480"/>
    <w:rsid w:val="00D33D63"/>
    <w:rsid w:val="00D5253A"/>
    <w:rsid w:val="00D67A4B"/>
    <w:rsid w:val="00D873A8"/>
    <w:rsid w:val="00D90028"/>
    <w:rsid w:val="00D90138"/>
    <w:rsid w:val="00D9145B"/>
    <w:rsid w:val="00DA28D5"/>
    <w:rsid w:val="00DD78D1"/>
    <w:rsid w:val="00DE32CD"/>
    <w:rsid w:val="00DF5767"/>
    <w:rsid w:val="00DF71B9"/>
    <w:rsid w:val="00E12C5F"/>
    <w:rsid w:val="00E13CFE"/>
    <w:rsid w:val="00E259BC"/>
    <w:rsid w:val="00E73F76"/>
    <w:rsid w:val="00E97345"/>
    <w:rsid w:val="00EA2C9F"/>
    <w:rsid w:val="00EA2CBE"/>
    <w:rsid w:val="00EA420E"/>
    <w:rsid w:val="00EC760D"/>
    <w:rsid w:val="00ED0BDA"/>
    <w:rsid w:val="00EE142A"/>
    <w:rsid w:val="00EE7E1C"/>
    <w:rsid w:val="00EF1360"/>
    <w:rsid w:val="00EF3220"/>
    <w:rsid w:val="00F2038A"/>
    <w:rsid w:val="00F2523A"/>
    <w:rsid w:val="00F43903"/>
    <w:rsid w:val="00F44DE5"/>
    <w:rsid w:val="00F465DB"/>
    <w:rsid w:val="00F74130"/>
    <w:rsid w:val="00F94155"/>
    <w:rsid w:val="00F9783F"/>
    <w:rsid w:val="00FB557A"/>
    <w:rsid w:val="00FC09C4"/>
    <w:rsid w:val="00FD2EF7"/>
    <w:rsid w:val="00FE447E"/>
    <w:rsid w:val="00FF3D7C"/>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24A4A79C-4CA0-486A-8D96-90368A9CF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9145B"/>
    <w:pPr>
      <w:suppressAutoHyphens/>
      <w:spacing w:line="240" w:lineRule="atLeast"/>
    </w:pPr>
    <w:rPr>
      <w:rFonts w:eastAsiaTheme="minorHAnsi" w:cstheme="minorBidi"/>
      <w:szCs w:val="22"/>
      <w:lang w:val="ru-RU" w:eastAsia="en-US"/>
    </w:rPr>
  </w:style>
  <w:style w:type="paragraph" w:styleId="Heading1">
    <w:name w:val="heading 1"/>
    <w:aliases w:val="Table_G"/>
    <w:basedOn w:val="Normal"/>
    <w:next w:val="Normal"/>
    <w:link w:val="Heading1Char"/>
    <w:qFormat/>
    <w:rsid w:val="00617A43"/>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9C6FE6"/>
    <w:pPr>
      <w:keepNext/>
      <w:outlineLvl w:val="1"/>
    </w:pPr>
    <w:rPr>
      <w:rFonts w:cs="Arial"/>
      <w:bCs/>
      <w:iCs/>
      <w:szCs w:val="28"/>
    </w:rPr>
  </w:style>
  <w:style w:type="paragraph" w:styleId="Heading3">
    <w:name w:val="heading 3"/>
    <w:basedOn w:val="Normal"/>
    <w:next w:val="Normal"/>
    <w:semiHidden/>
    <w:rsid w:val="009C6FE6"/>
    <w:pPr>
      <w:keepNext/>
      <w:spacing w:before="240" w:after="60"/>
      <w:outlineLvl w:val="2"/>
    </w:pPr>
    <w:rPr>
      <w:rFonts w:ascii="Arial" w:hAnsi="Arial" w:cs="Arial"/>
      <w:b/>
      <w:bCs/>
      <w:sz w:val="26"/>
      <w:szCs w:val="26"/>
    </w:rPr>
  </w:style>
  <w:style w:type="paragraph" w:styleId="Heading4">
    <w:name w:val="heading 4"/>
    <w:basedOn w:val="Normal"/>
    <w:next w:val="Normal"/>
    <w:semiHidden/>
    <w:rsid w:val="009C6FE6"/>
    <w:pPr>
      <w:keepNext/>
      <w:spacing w:before="240" w:after="60"/>
      <w:outlineLvl w:val="3"/>
    </w:pPr>
    <w:rPr>
      <w:b/>
      <w:bCs/>
      <w:sz w:val="28"/>
      <w:szCs w:val="28"/>
    </w:rPr>
  </w:style>
  <w:style w:type="paragraph" w:styleId="Heading5">
    <w:name w:val="heading 5"/>
    <w:basedOn w:val="Normal"/>
    <w:next w:val="Normal"/>
    <w:semiHidden/>
    <w:rsid w:val="009C6FE6"/>
    <w:pPr>
      <w:spacing w:before="240" w:after="60"/>
      <w:outlineLvl w:val="4"/>
    </w:pPr>
    <w:rPr>
      <w:b/>
      <w:bCs/>
      <w:i/>
      <w:iCs/>
      <w:sz w:val="26"/>
      <w:szCs w:val="26"/>
    </w:rPr>
  </w:style>
  <w:style w:type="paragraph" w:styleId="Heading6">
    <w:name w:val="heading 6"/>
    <w:basedOn w:val="Normal"/>
    <w:next w:val="Normal"/>
    <w:semiHidden/>
    <w:rsid w:val="009C6FE6"/>
    <w:pPr>
      <w:spacing w:before="240" w:after="60"/>
      <w:outlineLvl w:val="5"/>
    </w:pPr>
    <w:rPr>
      <w:b/>
      <w:bCs/>
      <w:sz w:val="22"/>
    </w:rPr>
  </w:style>
  <w:style w:type="paragraph" w:styleId="Heading7">
    <w:name w:val="heading 7"/>
    <w:basedOn w:val="Normal"/>
    <w:next w:val="Normal"/>
    <w:semiHidden/>
    <w:rsid w:val="009C6FE6"/>
    <w:pPr>
      <w:spacing w:before="240" w:after="60"/>
      <w:outlineLvl w:val="6"/>
    </w:pPr>
    <w:rPr>
      <w:sz w:val="24"/>
      <w:szCs w:val="24"/>
    </w:rPr>
  </w:style>
  <w:style w:type="paragraph" w:styleId="Heading8">
    <w:name w:val="heading 8"/>
    <w:basedOn w:val="Normal"/>
    <w:next w:val="Normal"/>
    <w:semiHidden/>
    <w:rsid w:val="009C6FE6"/>
    <w:pPr>
      <w:spacing w:before="240" w:after="60"/>
      <w:outlineLvl w:val="7"/>
    </w:pPr>
    <w:rPr>
      <w:i/>
      <w:iCs/>
      <w:sz w:val="24"/>
      <w:szCs w:val="24"/>
    </w:rPr>
  </w:style>
  <w:style w:type="paragraph" w:styleId="Heading9">
    <w:name w:val="heading 9"/>
    <w:basedOn w:val="Normal"/>
    <w:next w:val="Normal"/>
    <w:semiHidden/>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1"/>
    <w:semiHidden/>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1"/>
    <w:semiHidden/>
    <w:rsid w:val="00C71E84"/>
    <w:rPr>
      <w:rFonts w:ascii="Tahoma" w:eastAsiaTheme="minorHAnsi" w:hAnsi="Tahoma" w:cs="Tahoma"/>
      <w:sz w:val="16"/>
      <w:szCs w:val="16"/>
      <w:lang w:val="ru-RU" w:eastAsia="en-US"/>
    </w:rPr>
  </w:style>
  <w:style w:type="paragraph" w:customStyle="1" w:styleId="HMG">
    <w:name w:val="_ H __M_G"/>
    <w:basedOn w:val="Normal"/>
    <w:next w:val="Normal"/>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Normal"/>
    <w:next w:val="Normal"/>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Normal"/>
    <w:next w:val="Normal"/>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Normal"/>
    <w:next w:val="Normal"/>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Normal"/>
    <w:link w:val="SingleTxtGChar"/>
    <w:qFormat/>
    <w:rsid w:val="00C71E84"/>
    <w:pPr>
      <w:spacing w:after="120"/>
      <w:ind w:left="1134" w:right="1134"/>
      <w:jc w:val="both"/>
    </w:pPr>
    <w:rPr>
      <w:rFonts w:eastAsia="Times New Roman" w:cs="Times New Roman"/>
      <w:szCs w:val="20"/>
    </w:rPr>
  </w:style>
  <w:style w:type="paragraph" w:customStyle="1" w:styleId="SLG">
    <w:name w:val="__S_L_G"/>
    <w:basedOn w:val="Normal"/>
    <w:next w:val="Normal"/>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Normal"/>
    <w:next w:val="Normal"/>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Normal"/>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Normal"/>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Normal"/>
    <w:next w:val="Normal"/>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
    <w:basedOn w:val="Normal"/>
    <w:next w:val="Normal"/>
    <w:link w:val="HeaderChar"/>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HeaderChar">
    <w:name w:val="Header Char"/>
    <w:aliases w:val="6_G Char"/>
    <w:basedOn w:val="DefaultParagraphFont"/>
    <w:link w:val="Header"/>
    <w:rsid w:val="00617A43"/>
    <w:rPr>
      <w:b/>
      <w:sz w:val="18"/>
      <w:lang w:val="en-GB" w:eastAsia="ru-RU"/>
    </w:rPr>
  </w:style>
  <w:style w:type="character" w:styleId="PageNumber">
    <w:name w:val="page number"/>
    <w:aliases w:val="7_G"/>
    <w:basedOn w:val="DefaultParagraphFont"/>
    <w:qFormat/>
    <w:rsid w:val="00617A43"/>
    <w:rPr>
      <w:rFonts w:ascii="Times New Roman" w:hAnsi="Times New Roman"/>
      <w:b/>
      <w:sz w:val="18"/>
    </w:rPr>
  </w:style>
  <w:style w:type="paragraph" w:styleId="Footer">
    <w:name w:val="footer"/>
    <w:aliases w:val="3_G"/>
    <w:basedOn w:val="Normal"/>
    <w:link w:val="FooterChar"/>
    <w:qFormat/>
    <w:rsid w:val="00617A43"/>
    <w:pPr>
      <w:tabs>
        <w:tab w:val="right" w:pos="9639"/>
      </w:tabs>
    </w:pPr>
    <w:rPr>
      <w:rFonts w:eastAsia="Times New Roman" w:cs="Times New Roman"/>
      <w:sz w:val="16"/>
      <w:szCs w:val="20"/>
      <w:lang w:val="en-GB" w:eastAsia="ru-RU"/>
    </w:rPr>
  </w:style>
  <w:style w:type="character" w:customStyle="1" w:styleId="FooterChar">
    <w:name w:val="Footer Char"/>
    <w:aliases w:val="3_G Char"/>
    <w:basedOn w:val="DefaultParagraphFont"/>
    <w:link w:val="Footer"/>
    <w:rsid w:val="00617A43"/>
    <w:rPr>
      <w:sz w:val="16"/>
      <w:lang w:val="en-GB" w:eastAsia="ru-RU"/>
    </w:rPr>
  </w:style>
  <w:style w:type="character" w:styleId="FootnoteReference">
    <w:name w:val="footnote reference"/>
    <w:aliases w:val="4_G,4_GR,Footnote Reference Superscript,BVI fnr,Footnote symbol,Footnote call,SUPERS,(Footnote Reference),Footnote,Voetnootverwijzing,Times 10 Point,Exposant 3 Point,Footnote reference number,note TESI,Footnotes refss"/>
    <w:basedOn w:val="DefaultParagraphFont"/>
    <w:qFormat/>
    <w:rsid w:val="00617A43"/>
    <w:rPr>
      <w:rFonts w:ascii="Times New Roman" w:hAnsi="Times New Roman"/>
      <w:dstrike w:val="0"/>
      <w:sz w:val="18"/>
      <w:vertAlign w:val="superscript"/>
    </w:rPr>
  </w:style>
  <w:style w:type="character" w:styleId="EndnoteReference">
    <w:name w:val="endnote reference"/>
    <w:aliases w:val="1_G"/>
    <w:basedOn w:val="FootnoteReference"/>
    <w:qFormat/>
    <w:rsid w:val="00617A43"/>
    <w:rPr>
      <w:rFonts w:ascii="Times New Roman" w:hAnsi="Times New Roman"/>
      <w:dstrike w:val="0"/>
      <w:sz w:val="18"/>
      <w:vertAlign w:val="superscript"/>
    </w:rPr>
  </w:style>
  <w:style w:type="table" w:styleId="TableGrid">
    <w:name w:val="Table Grid"/>
    <w:basedOn w:val="TableNormal"/>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FootnoteText">
    <w:name w:val="footnote text"/>
    <w:aliases w:val="5_G,Fußnotentextf,Footnote text,fn,Schriftart: 9 pt,Schriftart: 10 pt,Schriftart: 8 pt,WB-Fußnotentext,o,Podrozdział,Schriftart: 8 p,Char,Tekst przypisu,WB-Fuﬂnotentext,Voetnoottekst Char,Voetnoottekst Char1"/>
    <w:basedOn w:val="Normal"/>
    <w:link w:val="FootnoteTextChar"/>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FootnoteTextChar">
    <w:name w:val="Footnote Text Char"/>
    <w:aliases w:val="5_G Char,Fußnotentextf Char,Footnote text Char,fn Char,Schriftart: 9 pt Char,Schriftart: 10 pt Char,Schriftart: 8 pt Char,WB-Fußnotentext Char,o Char,Podrozdział Char,Schriftart: 8 p Char,Char Char,Tekst przypisu Char"/>
    <w:basedOn w:val="DefaultParagraphFont"/>
    <w:link w:val="FootnoteText"/>
    <w:uiPriority w:val="99"/>
    <w:rsid w:val="00617A43"/>
    <w:rPr>
      <w:sz w:val="18"/>
      <w:lang w:val="ru-RU" w:eastAsia="ru-RU"/>
    </w:rPr>
  </w:style>
  <w:style w:type="paragraph" w:styleId="EndnoteText">
    <w:name w:val="endnote text"/>
    <w:aliases w:val="2_G"/>
    <w:basedOn w:val="FootnoteText"/>
    <w:link w:val="EndnoteTextChar"/>
    <w:qFormat/>
    <w:rsid w:val="00617A43"/>
  </w:style>
  <w:style w:type="character" w:customStyle="1" w:styleId="EndnoteTextChar">
    <w:name w:val="Endnote Text Char"/>
    <w:aliases w:val="2_G Char"/>
    <w:basedOn w:val="DefaultParagraphFont"/>
    <w:link w:val="EndnoteText"/>
    <w:rsid w:val="00617A43"/>
    <w:rPr>
      <w:sz w:val="18"/>
      <w:lang w:val="ru-RU" w:eastAsia="ru-RU"/>
    </w:rPr>
  </w:style>
  <w:style w:type="character" w:customStyle="1" w:styleId="Heading1Char">
    <w:name w:val="Heading 1 Char"/>
    <w:aliases w:val="Table_G Char"/>
    <w:basedOn w:val="DefaultParagraphFont"/>
    <w:link w:val="Heading1"/>
    <w:rsid w:val="00617A43"/>
    <w:rPr>
      <w:rFonts w:cs="Arial"/>
      <w:b/>
      <w:bCs/>
      <w:szCs w:val="32"/>
      <w:lang w:val="ru-RU" w:eastAsia="ru-RU"/>
    </w:rPr>
  </w:style>
  <w:style w:type="character" w:styleId="Hyperlink">
    <w:name w:val="Hyperlink"/>
    <w:basedOn w:val="DefaultParagraphFont"/>
    <w:rsid w:val="00617A43"/>
    <w:rPr>
      <w:color w:val="0000FF" w:themeColor="hyperlink"/>
      <w:u w:val="none"/>
    </w:rPr>
  </w:style>
  <w:style w:type="character" w:styleId="FollowedHyperlink">
    <w:name w:val="FollowedHyperlink"/>
    <w:basedOn w:val="DefaultParagraphFont"/>
    <w:rsid w:val="00617A43"/>
    <w:rPr>
      <w:color w:val="800080" w:themeColor="followedHyperlink"/>
      <w:u w:val="none"/>
    </w:rPr>
  </w:style>
  <w:style w:type="character" w:customStyle="1" w:styleId="SingleTxtGChar">
    <w:name w:val="_ Single Txt_G Char"/>
    <w:link w:val="SingleTxtG"/>
    <w:rsid w:val="00993805"/>
    <w:rPr>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unece.org/environmental-policy/conventions/environmental-assessment/meetings-and-events.html" TargetMode="External"/><Relationship Id="rId7" Type="http://schemas.openxmlformats.org/officeDocument/2006/relationships/hyperlink" Target="http://www.euro.who.int/__data/assets/pdf_file/0007/341944/OstravaDeclaration_SIGNED.pdf" TargetMode="External"/><Relationship Id="rId2" Type="http://schemas.openxmlformats.org/officeDocument/2006/relationships/hyperlink" Target="https://www.unece.org/env/eia/budget.html" TargetMode="External"/><Relationship Id="rId1" Type="http://schemas.openxmlformats.org/officeDocument/2006/relationships/hyperlink" Target="https://www.unece.org/index.php?id=50466" TargetMode="External"/><Relationship Id="rId6" Type="http://schemas.openxmlformats.org/officeDocument/2006/relationships/hyperlink" Target="http://www.unece.org/index.php?id=50461" TargetMode="External"/><Relationship Id="rId5" Type="http://schemas.openxmlformats.org/officeDocument/2006/relationships/hyperlink" Target="http://www.oecd-nea.org/law/pubs/2019/7504-long-term-operation-npp.pdf" TargetMode="External"/><Relationship Id="rId4" Type="http://schemas.openxmlformats.org/officeDocument/2006/relationships/hyperlink" Target="http://www.unece.org/index.php?id=51625"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476252-32F9-49E4-A995-B6598D717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8772</Words>
  <Characters>50001</Characters>
  <Application>Microsoft Office Word</Application>
  <DocSecurity>4</DocSecurity>
  <Lines>416</Lines>
  <Paragraphs>117</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ECE/MP.EIA/WG.2/2019/2</vt:lpstr>
      <vt:lpstr>ECE/MP.EIA/WG.2/2019/2</vt:lpstr>
      <vt:lpstr>A/</vt:lpstr>
    </vt:vector>
  </TitlesOfParts>
  <Company>DCM</Company>
  <LinksUpToDate>false</LinksUpToDate>
  <CharactersWithSpaces>58656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ECE/MP.EIA/WG.2/2019/2</dc:title>
  <dc:subject/>
  <dc:creator>Olga OVTCHINNIKOVA</dc:creator>
  <cp:keywords/>
  <cp:lastModifiedBy>Elisabeth James</cp:lastModifiedBy>
  <cp:revision>2</cp:revision>
  <cp:lastPrinted>2020-02-07T10:16:00Z</cp:lastPrinted>
  <dcterms:created xsi:type="dcterms:W3CDTF">2020-02-24T15:41:00Z</dcterms:created>
  <dcterms:modified xsi:type="dcterms:W3CDTF">2020-02-24T15:41:00Z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