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D29F2" w14:paraId="118FAB1B" w14:textId="77777777" w:rsidTr="009E6CB7">
        <w:trPr>
          <w:cantSplit/>
          <w:trHeight w:hRule="exact" w:val="851"/>
        </w:trPr>
        <w:tc>
          <w:tcPr>
            <w:tcW w:w="1276" w:type="dxa"/>
            <w:tcBorders>
              <w:bottom w:val="single" w:sz="4" w:space="0" w:color="auto"/>
            </w:tcBorders>
            <w:vAlign w:val="bottom"/>
          </w:tcPr>
          <w:p w14:paraId="75BE4318" w14:textId="77777777" w:rsidR="009E6CB7" w:rsidRPr="008D29F2" w:rsidRDefault="009E6CB7" w:rsidP="006124D1">
            <w:pPr>
              <w:spacing w:line="20" w:lineRule="exact"/>
              <w:jc w:val="both"/>
              <w:rPr>
                <w:sz w:val="2"/>
              </w:rPr>
            </w:pPr>
            <w:bookmarkStart w:id="0" w:name="_GoBack"/>
            <w:bookmarkEnd w:id="0"/>
          </w:p>
          <w:p w14:paraId="1F20E2A9" w14:textId="77777777" w:rsidR="00F600EF" w:rsidRPr="008D29F2" w:rsidRDefault="00F600EF" w:rsidP="006124D1">
            <w:pPr>
              <w:spacing w:after="80"/>
              <w:jc w:val="both"/>
            </w:pPr>
          </w:p>
        </w:tc>
        <w:tc>
          <w:tcPr>
            <w:tcW w:w="2268" w:type="dxa"/>
            <w:tcBorders>
              <w:bottom w:val="single" w:sz="4" w:space="0" w:color="auto"/>
            </w:tcBorders>
            <w:vAlign w:val="bottom"/>
          </w:tcPr>
          <w:p w14:paraId="4BA43972" w14:textId="77777777" w:rsidR="009E6CB7" w:rsidRPr="008D29F2" w:rsidRDefault="009E6CB7" w:rsidP="006124D1">
            <w:pPr>
              <w:spacing w:after="80" w:line="300" w:lineRule="exact"/>
              <w:jc w:val="both"/>
              <w:rPr>
                <w:b/>
                <w:sz w:val="24"/>
                <w:szCs w:val="24"/>
              </w:rPr>
            </w:pPr>
            <w:r w:rsidRPr="008D29F2">
              <w:rPr>
                <w:sz w:val="28"/>
                <w:szCs w:val="28"/>
              </w:rPr>
              <w:t>United Nations</w:t>
            </w:r>
          </w:p>
        </w:tc>
        <w:tc>
          <w:tcPr>
            <w:tcW w:w="6095" w:type="dxa"/>
            <w:gridSpan w:val="2"/>
            <w:tcBorders>
              <w:bottom w:val="single" w:sz="4" w:space="0" w:color="auto"/>
            </w:tcBorders>
            <w:vAlign w:val="bottom"/>
          </w:tcPr>
          <w:p w14:paraId="763CB243" w14:textId="4699F9C4" w:rsidR="009E6CB7" w:rsidRPr="008D29F2" w:rsidRDefault="006673C4" w:rsidP="00894268">
            <w:pPr>
              <w:jc w:val="right"/>
            </w:pPr>
            <w:r w:rsidRPr="008D29F2">
              <w:rPr>
                <w:sz w:val="40"/>
              </w:rPr>
              <w:t>ECE</w:t>
            </w:r>
            <w:r w:rsidR="00FD23F5" w:rsidRPr="00FD23F5">
              <w:t>/MP.EIA/WG.2/2019/2</w:t>
            </w:r>
          </w:p>
        </w:tc>
      </w:tr>
      <w:tr w:rsidR="009E6CB7" w:rsidRPr="008D29F2" w14:paraId="354E85A7" w14:textId="77777777" w:rsidTr="009E6CB7">
        <w:trPr>
          <w:cantSplit/>
          <w:trHeight w:hRule="exact" w:val="2835"/>
        </w:trPr>
        <w:tc>
          <w:tcPr>
            <w:tcW w:w="1276" w:type="dxa"/>
            <w:tcBorders>
              <w:top w:val="single" w:sz="4" w:space="0" w:color="auto"/>
              <w:bottom w:val="single" w:sz="12" w:space="0" w:color="auto"/>
            </w:tcBorders>
          </w:tcPr>
          <w:p w14:paraId="4FA3DA8A" w14:textId="77777777" w:rsidR="009E6CB7" w:rsidRPr="008D29F2" w:rsidRDefault="00BC7F91" w:rsidP="006124D1">
            <w:pPr>
              <w:spacing w:before="120"/>
              <w:jc w:val="both"/>
            </w:pPr>
            <w:r w:rsidRPr="008D29F2">
              <w:rPr>
                <w:noProof/>
                <w:lang w:val="en-US" w:eastAsia="zh-CN"/>
              </w:rPr>
              <w:drawing>
                <wp:inline distT="0" distB="0" distL="0" distR="0" wp14:anchorId="27F2489C" wp14:editId="14D8595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03AEA8" w14:textId="77777777" w:rsidR="009E6CB7" w:rsidRPr="008D29F2" w:rsidRDefault="009E6CB7" w:rsidP="006124D1">
            <w:pPr>
              <w:spacing w:before="120" w:line="420" w:lineRule="exact"/>
              <w:jc w:val="both"/>
              <w:rPr>
                <w:sz w:val="40"/>
                <w:szCs w:val="40"/>
              </w:rPr>
            </w:pPr>
            <w:r w:rsidRPr="008D29F2">
              <w:rPr>
                <w:b/>
                <w:sz w:val="40"/>
                <w:szCs w:val="40"/>
              </w:rPr>
              <w:t>Economic and Social Council</w:t>
            </w:r>
          </w:p>
        </w:tc>
        <w:tc>
          <w:tcPr>
            <w:tcW w:w="2835" w:type="dxa"/>
            <w:tcBorders>
              <w:top w:val="single" w:sz="4" w:space="0" w:color="auto"/>
              <w:bottom w:val="single" w:sz="12" w:space="0" w:color="auto"/>
            </w:tcBorders>
          </w:tcPr>
          <w:p w14:paraId="14504AA9" w14:textId="77777777" w:rsidR="009E6CB7" w:rsidRPr="008D29F2" w:rsidRDefault="006673C4" w:rsidP="006124D1">
            <w:pPr>
              <w:spacing w:before="240" w:line="240" w:lineRule="exact"/>
              <w:jc w:val="both"/>
            </w:pPr>
            <w:r w:rsidRPr="008D29F2">
              <w:t>Distr.: General</w:t>
            </w:r>
          </w:p>
          <w:p w14:paraId="674CF0E3" w14:textId="75752B10" w:rsidR="006673C4" w:rsidRPr="008D29F2" w:rsidRDefault="00C97164" w:rsidP="006124D1">
            <w:pPr>
              <w:spacing w:line="240" w:lineRule="exact"/>
              <w:jc w:val="both"/>
            </w:pPr>
            <w:r>
              <w:rPr>
                <w:lang w:val="en-US"/>
              </w:rPr>
              <w:t>20</w:t>
            </w:r>
            <w:r w:rsidR="00F40F05">
              <w:rPr>
                <w:lang w:val="en-US"/>
              </w:rPr>
              <w:t xml:space="preserve"> </w:t>
            </w:r>
            <w:r w:rsidR="00163E98">
              <w:rPr>
                <w:lang w:val="en-US"/>
              </w:rPr>
              <w:t>January</w:t>
            </w:r>
            <w:r w:rsidR="00894268">
              <w:t xml:space="preserve"> </w:t>
            </w:r>
            <w:r w:rsidR="00112F6B" w:rsidRPr="008D29F2">
              <w:t>20</w:t>
            </w:r>
            <w:r w:rsidR="00163E98">
              <w:t>20</w:t>
            </w:r>
          </w:p>
          <w:p w14:paraId="0DC216D9" w14:textId="77777777" w:rsidR="006673C4" w:rsidRPr="008D29F2" w:rsidRDefault="006673C4" w:rsidP="006124D1">
            <w:pPr>
              <w:spacing w:line="240" w:lineRule="exact"/>
              <w:jc w:val="both"/>
            </w:pPr>
          </w:p>
          <w:p w14:paraId="69F34943" w14:textId="77777777" w:rsidR="006673C4" w:rsidRPr="008D29F2" w:rsidRDefault="006673C4" w:rsidP="006124D1">
            <w:pPr>
              <w:spacing w:line="240" w:lineRule="exact"/>
              <w:jc w:val="both"/>
            </w:pPr>
            <w:r w:rsidRPr="008D29F2">
              <w:t>Original: English</w:t>
            </w:r>
          </w:p>
        </w:tc>
      </w:tr>
    </w:tbl>
    <w:p w14:paraId="206A2A3E" w14:textId="77777777" w:rsidR="009F38B6" w:rsidRPr="008D29F2" w:rsidRDefault="009F38B6" w:rsidP="000400C2">
      <w:pPr>
        <w:spacing w:before="120"/>
        <w:jc w:val="both"/>
        <w:rPr>
          <w:b/>
          <w:sz w:val="28"/>
          <w:szCs w:val="28"/>
        </w:rPr>
      </w:pPr>
      <w:r w:rsidRPr="008D29F2">
        <w:rPr>
          <w:b/>
          <w:sz w:val="28"/>
          <w:szCs w:val="28"/>
        </w:rPr>
        <w:t>Economic Commission for Europe</w:t>
      </w:r>
    </w:p>
    <w:p w14:paraId="23E34672" w14:textId="77777777" w:rsidR="009F38B6" w:rsidRPr="008D29F2" w:rsidRDefault="009F38B6" w:rsidP="000400C2">
      <w:pPr>
        <w:spacing w:before="120" w:line="240" w:lineRule="auto"/>
        <w:rPr>
          <w:bCs/>
          <w:sz w:val="28"/>
          <w:szCs w:val="28"/>
        </w:rPr>
      </w:pPr>
      <w:r w:rsidRPr="008D29F2">
        <w:rPr>
          <w:bCs/>
          <w:sz w:val="28"/>
          <w:szCs w:val="28"/>
        </w:rPr>
        <w:t xml:space="preserve">Meeting of the Parties to the Convention </w:t>
      </w:r>
      <w:r w:rsidRPr="008D29F2">
        <w:rPr>
          <w:bCs/>
          <w:sz w:val="28"/>
          <w:szCs w:val="28"/>
        </w:rPr>
        <w:br/>
        <w:t xml:space="preserve">on Environmental Impact Assessment </w:t>
      </w:r>
      <w:r w:rsidRPr="008D29F2">
        <w:rPr>
          <w:bCs/>
          <w:sz w:val="28"/>
          <w:szCs w:val="28"/>
        </w:rPr>
        <w:br/>
        <w:t>in a Transboundary Context</w:t>
      </w:r>
    </w:p>
    <w:p w14:paraId="6112468C" w14:textId="77777777" w:rsidR="009F38B6" w:rsidRPr="008D29F2" w:rsidRDefault="009F38B6" w:rsidP="000400C2">
      <w:pPr>
        <w:suppressAutoHyphens w:val="0"/>
        <w:autoSpaceDE w:val="0"/>
        <w:autoSpaceDN w:val="0"/>
        <w:adjustRightInd w:val="0"/>
        <w:spacing w:before="120"/>
        <w:rPr>
          <w:sz w:val="28"/>
          <w:szCs w:val="28"/>
        </w:rPr>
      </w:pPr>
      <w:r w:rsidRPr="008D29F2">
        <w:rPr>
          <w:sz w:val="28"/>
          <w:szCs w:val="28"/>
        </w:rPr>
        <w:t xml:space="preserve">Meeting of the Parties to the Convention </w:t>
      </w:r>
      <w:r w:rsidRPr="008D29F2">
        <w:rPr>
          <w:sz w:val="28"/>
          <w:szCs w:val="28"/>
        </w:rPr>
        <w:br/>
        <w:t xml:space="preserve">on Environmental Impact Assessment in </w:t>
      </w:r>
      <w:r w:rsidRPr="008D29F2">
        <w:rPr>
          <w:sz w:val="28"/>
          <w:szCs w:val="28"/>
        </w:rPr>
        <w:br/>
        <w:t xml:space="preserve">a Transboundary Context serving as the </w:t>
      </w:r>
      <w:r w:rsidRPr="008D29F2">
        <w:rPr>
          <w:sz w:val="28"/>
          <w:szCs w:val="28"/>
        </w:rPr>
        <w:br/>
        <w:t xml:space="preserve">Meeting of the Parties to the Protocol on </w:t>
      </w:r>
      <w:r w:rsidRPr="008D29F2">
        <w:rPr>
          <w:sz w:val="28"/>
          <w:szCs w:val="28"/>
        </w:rPr>
        <w:br/>
        <w:t>Strategic Environmental Assessment</w:t>
      </w:r>
    </w:p>
    <w:p w14:paraId="15295F79" w14:textId="77777777" w:rsidR="009F38B6" w:rsidRPr="008D29F2" w:rsidRDefault="009F38B6" w:rsidP="000400C2">
      <w:pPr>
        <w:spacing w:before="120" w:line="240" w:lineRule="auto"/>
        <w:rPr>
          <w:b/>
          <w:sz w:val="24"/>
          <w:szCs w:val="24"/>
        </w:rPr>
      </w:pPr>
      <w:r w:rsidRPr="008D29F2">
        <w:rPr>
          <w:b/>
          <w:sz w:val="24"/>
          <w:szCs w:val="24"/>
        </w:rPr>
        <w:t>Working Group on Environmental Impact Assessment</w:t>
      </w:r>
      <w:r w:rsidRPr="008D29F2">
        <w:rPr>
          <w:b/>
          <w:sz w:val="24"/>
          <w:szCs w:val="24"/>
        </w:rPr>
        <w:br/>
        <w:t>and Strategic Environmental Assessment</w:t>
      </w:r>
    </w:p>
    <w:p w14:paraId="2592A332" w14:textId="77777777" w:rsidR="00225B54" w:rsidRPr="00055E82" w:rsidRDefault="00225B54" w:rsidP="00225B54">
      <w:pPr>
        <w:spacing w:before="120"/>
        <w:rPr>
          <w:b/>
        </w:rPr>
      </w:pPr>
      <w:r>
        <w:rPr>
          <w:b/>
        </w:rPr>
        <w:t>Eighth</w:t>
      </w:r>
      <w:r w:rsidRPr="00055E82">
        <w:rPr>
          <w:b/>
        </w:rPr>
        <w:t xml:space="preserve"> meeting</w:t>
      </w:r>
    </w:p>
    <w:p w14:paraId="058B8F02" w14:textId="77777777" w:rsidR="00225B54" w:rsidRPr="00055E82" w:rsidRDefault="00225B54" w:rsidP="00225B54">
      <w:r w:rsidRPr="00055E82">
        <w:t xml:space="preserve">Geneva, </w:t>
      </w:r>
      <w:r>
        <w:t>26</w:t>
      </w:r>
      <w:r w:rsidRPr="00055E82">
        <w:t>–</w:t>
      </w:r>
      <w:r>
        <w:t>28</w:t>
      </w:r>
      <w:r w:rsidRPr="00055E82">
        <w:t xml:space="preserve"> </w:t>
      </w:r>
      <w:r>
        <w:t>November</w:t>
      </w:r>
      <w:r w:rsidRPr="00055E82">
        <w:t xml:space="preserve"> 201</w:t>
      </w:r>
      <w:r>
        <w:t>9</w:t>
      </w:r>
    </w:p>
    <w:p w14:paraId="4C18AF08" w14:textId="704214EE" w:rsidR="009F38B6" w:rsidRPr="008D29F2" w:rsidRDefault="009F38B6" w:rsidP="00294D3B">
      <w:pPr>
        <w:pStyle w:val="HChG"/>
      </w:pPr>
      <w:r w:rsidRPr="008D29F2">
        <w:tab/>
      </w:r>
      <w:r w:rsidRPr="008D29F2">
        <w:tab/>
        <w:t>Report of the Working Group on Environmental Impact Assessment and Strategic Envir</w:t>
      </w:r>
      <w:r w:rsidR="009F55FA" w:rsidRPr="008D29F2">
        <w:t xml:space="preserve">onmental Assessment on </w:t>
      </w:r>
      <w:r w:rsidR="009F55FA" w:rsidRPr="008D29F2">
        <w:br/>
        <w:t xml:space="preserve">its </w:t>
      </w:r>
      <w:r w:rsidR="00225B54">
        <w:t>eighth</w:t>
      </w:r>
      <w:r w:rsidRPr="008D29F2">
        <w:t xml:space="preserve"> meeting</w:t>
      </w:r>
    </w:p>
    <w:p w14:paraId="32521733" w14:textId="77777777" w:rsidR="00C4026E" w:rsidRPr="000400C2" w:rsidRDefault="00C4026E" w:rsidP="000400C2">
      <w:pPr>
        <w:spacing w:after="120"/>
        <w:jc w:val="both"/>
        <w:rPr>
          <w:sz w:val="28"/>
          <w:lang w:val="fr-FR"/>
        </w:rPr>
      </w:pPr>
      <w:r w:rsidRPr="000400C2">
        <w:rPr>
          <w:sz w:val="28"/>
          <w:lang w:val="fr-FR"/>
        </w:rPr>
        <w:t>Contents</w:t>
      </w:r>
    </w:p>
    <w:p w14:paraId="1250C60A" w14:textId="77777777" w:rsidR="00C4026E" w:rsidRPr="000400C2" w:rsidRDefault="00C4026E" w:rsidP="000400C2">
      <w:pPr>
        <w:tabs>
          <w:tab w:val="right" w:pos="9638"/>
        </w:tabs>
        <w:spacing w:after="120"/>
        <w:ind w:left="283"/>
        <w:jc w:val="both"/>
        <w:rPr>
          <w:sz w:val="18"/>
          <w:lang w:val="fr-FR"/>
        </w:rPr>
      </w:pPr>
      <w:r w:rsidRPr="000400C2">
        <w:rPr>
          <w:i/>
          <w:sz w:val="18"/>
          <w:lang w:val="fr-FR"/>
        </w:rPr>
        <w:tab/>
        <w:t>Page</w:t>
      </w:r>
    </w:p>
    <w:p w14:paraId="02FFC58A" w14:textId="77777777" w:rsidR="0023447A" w:rsidRPr="006F5CD0" w:rsidRDefault="00C4026E" w:rsidP="000400C2">
      <w:pPr>
        <w:tabs>
          <w:tab w:val="right" w:pos="850"/>
          <w:tab w:val="left" w:pos="1134"/>
          <w:tab w:val="left" w:pos="1559"/>
          <w:tab w:val="left" w:pos="1984"/>
          <w:tab w:val="left" w:leader="dot" w:pos="8929"/>
          <w:tab w:val="right" w:pos="9638"/>
        </w:tabs>
        <w:spacing w:after="120"/>
        <w:jc w:val="both"/>
        <w:rPr>
          <w:lang w:val="fr-FR"/>
        </w:rPr>
      </w:pPr>
      <w:r w:rsidRPr="000400C2">
        <w:rPr>
          <w:lang w:val="fr-FR"/>
        </w:rPr>
        <w:tab/>
      </w:r>
      <w:r w:rsidR="0023447A" w:rsidRPr="006F5CD0">
        <w:rPr>
          <w:lang w:val="fr-FR"/>
        </w:rPr>
        <w:t>I.</w:t>
      </w:r>
      <w:r w:rsidR="0023447A" w:rsidRPr="006F5CD0">
        <w:rPr>
          <w:lang w:val="fr-FR"/>
        </w:rPr>
        <w:tab/>
        <w:t>Introduction</w:t>
      </w:r>
      <w:r w:rsidR="0023447A" w:rsidRPr="006F5CD0">
        <w:rPr>
          <w:lang w:val="fr-FR"/>
        </w:rPr>
        <w:tab/>
      </w:r>
      <w:r w:rsidR="0023447A" w:rsidRPr="006F5CD0">
        <w:rPr>
          <w:lang w:val="fr-FR"/>
        </w:rPr>
        <w:tab/>
        <w:t>3</w:t>
      </w:r>
    </w:p>
    <w:p w14:paraId="2949E0B4" w14:textId="77777777" w:rsidR="0023447A" w:rsidRPr="006F5CD0" w:rsidRDefault="0023447A" w:rsidP="000400C2">
      <w:pPr>
        <w:tabs>
          <w:tab w:val="right" w:pos="850"/>
          <w:tab w:val="left" w:pos="1134"/>
          <w:tab w:val="left" w:pos="1559"/>
          <w:tab w:val="left" w:pos="1984"/>
          <w:tab w:val="left" w:leader="dot" w:pos="8929"/>
          <w:tab w:val="right" w:pos="9638"/>
        </w:tabs>
        <w:spacing w:after="120"/>
        <w:jc w:val="both"/>
        <w:rPr>
          <w:lang w:val="fr-FR"/>
        </w:rPr>
      </w:pPr>
      <w:r w:rsidRPr="006F5CD0">
        <w:rPr>
          <w:lang w:val="fr-FR"/>
        </w:rPr>
        <w:tab/>
      </w:r>
      <w:r w:rsidRPr="006F5CD0">
        <w:rPr>
          <w:lang w:val="fr-FR"/>
        </w:rPr>
        <w:tab/>
      </w:r>
      <w:bookmarkStart w:id="1" w:name="_Hlk24967014"/>
      <w:r w:rsidRPr="006F5CD0">
        <w:rPr>
          <w:lang w:val="fr-FR"/>
        </w:rPr>
        <w:t>A.</w:t>
      </w:r>
      <w:r w:rsidRPr="006F5CD0">
        <w:rPr>
          <w:lang w:val="fr-FR"/>
        </w:rPr>
        <w:tab/>
        <w:t>Attendance</w:t>
      </w:r>
      <w:r w:rsidRPr="006F5CD0">
        <w:rPr>
          <w:lang w:val="fr-FR"/>
        </w:rPr>
        <w:tab/>
      </w:r>
      <w:r w:rsidRPr="006F5CD0">
        <w:rPr>
          <w:lang w:val="fr-FR"/>
        </w:rPr>
        <w:tab/>
        <w:t>3</w:t>
      </w:r>
    </w:p>
    <w:p w14:paraId="123E1B42" w14:textId="77777777" w:rsidR="0023447A" w:rsidRPr="006F5CD0" w:rsidRDefault="0023447A" w:rsidP="000400C2">
      <w:pPr>
        <w:tabs>
          <w:tab w:val="right" w:pos="850"/>
          <w:tab w:val="left" w:pos="1134"/>
          <w:tab w:val="left" w:pos="1559"/>
          <w:tab w:val="left" w:pos="1984"/>
          <w:tab w:val="left" w:leader="dot" w:pos="8929"/>
          <w:tab w:val="right" w:pos="9638"/>
        </w:tabs>
        <w:spacing w:after="120"/>
        <w:jc w:val="both"/>
      </w:pPr>
      <w:r w:rsidRPr="006F5CD0">
        <w:rPr>
          <w:lang w:val="fr-FR"/>
        </w:rPr>
        <w:tab/>
      </w:r>
      <w:r w:rsidRPr="006F5CD0">
        <w:rPr>
          <w:lang w:val="fr-FR"/>
        </w:rPr>
        <w:tab/>
      </w:r>
      <w:r w:rsidRPr="006F5CD0">
        <w:t>B.</w:t>
      </w:r>
      <w:r w:rsidRPr="006F5CD0">
        <w:tab/>
        <w:t>Organizational matters</w:t>
      </w:r>
      <w:r w:rsidRPr="006F5CD0">
        <w:tab/>
      </w:r>
      <w:r w:rsidRPr="006F5CD0">
        <w:tab/>
        <w:t>3</w:t>
      </w:r>
    </w:p>
    <w:bookmarkEnd w:id="1"/>
    <w:p w14:paraId="73A8707D" w14:textId="7C105564" w:rsidR="0023447A" w:rsidRPr="006F5CD0" w:rsidRDefault="0023447A" w:rsidP="000400C2">
      <w:pPr>
        <w:tabs>
          <w:tab w:val="right" w:pos="850"/>
          <w:tab w:val="left" w:pos="1134"/>
          <w:tab w:val="left" w:pos="1559"/>
          <w:tab w:val="left" w:pos="1984"/>
          <w:tab w:val="left" w:leader="dot" w:pos="8929"/>
          <w:tab w:val="right" w:pos="9638"/>
        </w:tabs>
        <w:spacing w:after="120"/>
        <w:jc w:val="both"/>
      </w:pPr>
      <w:r w:rsidRPr="006F5CD0">
        <w:tab/>
        <w:t>II.</w:t>
      </w:r>
      <w:r w:rsidRPr="006F5CD0">
        <w:tab/>
      </w:r>
      <w:r w:rsidR="00824AA5" w:rsidRPr="006F5CD0">
        <w:t>Budget, financial arrangements and financial assistance</w:t>
      </w:r>
      <w:r w:rsidRPr="006F5CD0">
        <w:tab/>
      </w:r>
      <w:r w:rsidRPr="006F5CD0">
        <w:tab/>
        <w:t>4</w:t>
      </w:r>
    </w:p>
    <w:p w14:paraId="1FF0707C" w14:textId="53516047" w:rsidR="0023447A" w:rsidRPr="006F5CD0" w:rsidRDefault="0023447A" w:rsidP="000400C2">
      <w:pPr>
        <w:tabs>
          <w:tab w:val="right" w:pos="850"/>
          <w:tab w:val="left" w:pos="1134"/>
          <w:tab w:val="left" w:pos="1559"/>
          <w:tab w:val="left" w:pos="1984"/>
          <w:tab w:val="left" w:leader="dot" w:pos="8929"/>
          <w:tab w:val="right" w:pos="9638"/>
        </w:tabs>
        <w:spacing w:after="120"/>
        <w:jc w:val="both"/>
      </w:pPr>
      <w:r w:rsidRPr="006F5CD0">
        <w:tab/>
        <w:t>III.</w:t>
      </w:r>
      <w:r w:rsidRPr="006F5CD0">
        <w:tab/>
      </w:r>
      <w:r w:rsidR="00B22565" w:rsidRPr="006F5CD0">
        <w:t>Status of ratification</w:t>
      </w:r>
      <w:r w:rsidRPr="006F5CD0">
        <w:tab/>
      </w:r>
      <w:r w:rsidRPr="006F5CD0">
        <w:tab/>
      </w:r>
      <w:r w:rsidR="00313D90">
        <w:t>5</w:t>
      </w:r>
    </w:p>
    <w:p w14:paraId="56EC5E34" w14:textId="4244E623" w:rsidR="00B22565" w:rsidRDefault="0023447A" w:rsidP="00B22565">
      <w:pPr>
        <w:tabs>
          <w:tab w:val="right" w:pos="850"/>
          <w:tab w:val="left" w:pos="1134"/>
          <w:tab w:val="left" w:pos="1559"/>
          <w:tab w:val="left" w:pos="1984"/>
          <w:tab w:val="left" w:leader="dot" w:pos="8929"/>
          <w:tab w:val="right" w:pos="9638"/>
        </w:tabs>
        <w:spacing w:after="120"/>
        <w:jc w:val="both"/>
      </w:pPr>
      <w:r w:rsidRPr="006F5CD0">
        <w:tab/>
        <w:t>IV.</w:t>
      </w:r>
      <w:r w:rsidRPr="006F5CD0">
        <w:tab/>
      </w:r>
      <w:r w:rsidR="00B22565" w:rsidRPr="006F5CD0">
        <w:t xml:space="preserve">Compliance and implementation </w:t>
      </w:r>
      <w:r w:rsidR="00B22565" w:rsidRPr="006F5CD0">
        <w:tab/>
      </w:r>
      <w:r w:rsidR="00B22565" w:rsidRPr="006F5CD0">
        <w:tab/>
      </w:r>
      <w:r w:rsidR="00313D90">
        <w:t>5</w:t>
      </w:r>
    </w:p>
    <w:p w14:paraId="683DA667" w14:textId="774537E6" w:rsidR="00050408" w:rsidRDefault="00050408" w:rsidP="00B22565">
      <w:pPr>
        <w:tabs>
          <w:tab w:val="right" w:pos="850"/>
          <w:tab w:val="left" w:pos="1134"/>
          <w:tab w:val="left" w:pos="1559"/>
          <w:tab w:val="left" w:pos="1984"/>
          <w:tab w:val="left" w:leader="dot" w:pos="8929"/>
          <w:tab w:val="right" w:pos="9638"/>
        </w:tabs>
        <w:spacing w:after="120"/>
        <w:jc w:val="both"/>
      </w:pPr>
      <w:r>
        <w:tab/>
      </w:r>
      <w:r>
        <w:tab/>
        <w:t>A.</w:t>
      </w:r>
      <w:r>
        <w:tab/>
        <w:t>Review of compliance…………………………………………………………………………</w:t>
      </w:r>
      <w:r>
        <w:tab/>
        <w:t>5</w:t>
      </w:r>
    </w:p>
    <w:p w14:paraId="357E7634" w14:textId="0672B559" w:rsidR="00050408" w:rsidRDefault="00050408" w:rsidP="00B22565">
      <w:pPr>
        <w:tabs>
          <w:tab w:val="right" w:pos="850"/>
          <w:tab w:val="left" w:pos="1134"/>
          <w:tab w:val="left" w:pos="1559"/>
          <w:tab w:val="left" w:pos="1984"/>
          <w:tab w:val="left" w:leader="dot" w:pos="8929"/>
          <w:tab w:val="right" w:pos="9638"/>
        </w:tabs>
        <w:spacing w:after="120"/>
        <w:jc w:val="both"/>
      </w:pPr>
      <w:r>
        <w:tab/>
      </w:r>
      <w:r>
        <w:tab/>
        <w:t>B.</w:t>
      </w:r>
      <w:r>
        <w:tab/>
      </w:r>
      <w:r w:rsidRPr="00050408">
        <w:t>Reporting and review of implementation</w:t>
      </w:r>
      <w:r>
        <w:t>………………………………………………………</w:t>
      </w:r>
      <w:r>
        <w:tab/>
        <w:t>6</w:t>
      </w:r>
    </w:p>
    <w:p w14:paraId="79A3C1F7" w14:textId="5597325D" w:rsidR="00050408" w:rsidRDefault="00050408" w:rsidP="00B22565">
      <w:pPr>
        <w:tabs>
          <w:tab w:val="right" w:pos="850"/>
          <w:tab w:val="left" w:pos="1134"/>
          <w:tab w:val="left" w:pos="1559"/>
          <w:tab w:val="left" w:pos="1984"/>
          <w:tab w:val="left" w:leader="dot" w:pos="8929"/>
          <w:tab w:val="right" w:pos="9638"/>
        </w:tabs>
        <w:spacing w:after="120"/>
        <w:jc w:val="both"/>
      </w:pPr>
      <w:r>
        <w:tab/>
      </w:r>
      <w:r>
        <w:tab/>
        <w:t>C.</w:t>
      </w:r>
      <w:r>
        <w:tab/>
      </w:r>
      <w:r w:rsidRPr="00050408">
        <w:t>The lifetime extension of nuclear power plants</w:t>
      </w:r>
      <w:r>
        <w:t>……………………………………………….</w:t>
      </w:r>
      <w:r>
        <w:tab/>
        <w:t>7</w:t>
      </w:r>
    </w:p>
    <w:p w14:paraId="08242C7E" w14:textId="60101967" w:rsidR="00050408" w:rsidRDefault="00050408" w:rsidP="00B22565">
      <w:pPr>
        <w:tabs>
          <w:tab w:val="right" w:pos="850"/>
          <w:tab w:val="left" w:pos="1134"/>
          <w:tab w:val="left" w:pos="1559"/>
          <w:tab w:val="left" w:pos="1984"/>
          <w:tab w:val="left" w:leader="dot" w:pos="8929"/>
          <w:tab w:val="right" w:pos="9638"/>
        </w:tabs>
        <w:spacing w:after="120"/>
        <w:jc w:val="both"/>
      </w:pPr>
      <w:r>
        <w:lastRenderedPageBreak/>
        <w:tab/>
      </w:r>
      <w:r>
        <w:tab/>
        <w:t>D.</w:t>
      </w:r>
      <w:r>
        <w:tab/>
      </w:r>
      <w:r w:rsidRPr="00050408">
        <w:t>Legislative assistance to support implementation and ratification</w:t>
      </w:r>
      <w:r>
        <w:t>……………………………</w:t>
      </w:r>
      <w:r>
        <w:tab/>
      </w:r>
      <w:r>
        <w:tab/>
      </w:r>
      <w:r w:rsidR="00AC1148">
        <w:t>8</w:t>
      </w:r>
    </w:p>
    <w:p w14:paraId="7BC1E849" w14:textId="77777777" w:rsidR="00050408" w:rsidRDefault="00050408" w:rsidP="00B22565">
      <w:pPr>
        <w:tabs>
          <w:tab w:val="right" w:pos="850"/>
          <w:tab w:val="left" w:pos="1134"/>
          <w:tab w:val="left" w:pos="1559"/>
          <w:tab w:val="left" w:pos="1984"/>
          <w:tab w:val="left" w:leader="dot" w:pos="8929"/>
          <w:tab w:val="right" w:pos="9638"/>
        </w:tabs>
        <w:spacing w:after="120"/>
        <w:jc w:val="both"/>
      </w:pPr>
      <w:r>
        <w:tab/>
      </w:r>
      <w:r>
        <w:tab/>
        <w:t>E.</w:t>
      </w:r>
      <w:r>
        <w:tab/>
      </w:r>
      <w:r w:rsidRPr="00050408">
        <w:t>Draft long-term strategy and an action plan for future application of the Convention</w:t>
      </w:r>
    </w:p>
    <w:p w14:paraId="74A7EA84" w14:textId="1CBAA39D" w:rsidR="00050408" w:rsidRPr="006F5CD0" w:rsidRDefault="00050408" w:rsidP="00012987">
      <w:pPr>
        <w:tabs>
          <w:tab w:val="right" w:pos="850"/>
          <w:tab w:val="left" w:pos="1134"/>
          <w:tab w:val="left" w:pos="1559"/>
          <w:tab w:val="left" w:pos="1984"/>
          <w:tab w:val="left" w:leader="dot" w:pos="8929"/>
          <w:tab w:val="right" w:pos="9638"/>
        </w:tabs>
        <w:spacing w:after="120"/>
        <w:jc w:val="both"/>
      </w:pPr>
      <w:r>
        <w:tab/>
      </w:r>
      <w:r>
        <w:tab/>
      </w:r>
      <w:r>
        <w:tab/>
      </w:r>
      <w:r w:rsidRPr="00050408">
        <w:t>and the Protocol</w:t>
      </w:r>
      <w:r>
        <w:t>……………………………………………………………………………….</w:t>
      </w:r>
      <w:r>
        <w:tab/>
      </w:r>
      <w:r>
        <w:tab/>
        <w:t>8</w:t>
      </w:r>
    </w:p>
    <w:p w14:paraId="38D75F22" w14:textId="5C0272F8" w:rsidR="00B22565" w:rsidRPr="006F5CD0" w:rsidRDefault="00B22565" w:rsidP="00B22565">
      <w:pPr>
        <w:tabs>
          <w:tab w:val="right" w:pos="850"/>
          <w:tab w:val="left" w:pos="1134"/>
          <w:tab w:val="left" w:pos="1559"/>
          <w:tab w:val="left" w:pos="1984"/>
          <w:tab w:val="left" w:leader="dot" w:pos="8929"/>
          <w:tab w:val="right" w:pos="9638"/>
        </w:tabs>
        <w:spacing w:after="120"/>
        <w:jc w:val="both"/>
      </w:pPr>
      <w:r w:rsidRPr="006F5CD0">
        <w:tab/>
        <w:t>V.</w:t>
      </w:r>
      <w:r w:rsidRPr="006F5CD0">
        <w:tab/>
      </w:r>
      <w:proofErr w:type="spellStart"/>
      <w:r w:rsidRPr="006F5CD0">
        <w:t>Subregional</w:t>
      </w:r>
      <w:proofErr w:type="spellEnd"/>
      <w:r w:rsidRPr="006F5CD0">
        <w:t xml:space="preserve"> cooperation and capacity-building </w:t>
      </w:r>
      <w:r w:rsidRPr="006F5CD0">
        <w:tab/>
      </w:r>
      <w:r w:rsidRPr="006F5CD0">
        <w:tab/>
      </w:r>
      <w:r w:rsidR="00313D90">
        <w:t>9</w:t>
      </w:r>
    </w:p>
    <w:p w14:paraId="67BF621F" w14:textId="64AB7FF9" w:rsidR="00B22565" w:rsidRPr="006F5CD0" w:rsidRDefault="00B22565" w:rsidP="00012987">
      <w:pPr>
        <w:tabs>
          <w:tab w:val="right" w:pos="850"/>
          <w:tab w:val="left" w:pos="1134"/>
          <w:tab w:val="left" w:pos="1559"/>
          <w:tab w:val="left" w:pos="1984"/>
          <w:tab w:val="left" w:leader="dot" w:pos="8929"/>
          <w:tab w:val="right" w:pos="9638"/>
        </w:tabs>
        <w:spacing w:after="120"/>
        <w:jc w:val="both"/>
      </w:pPr>
      <w:r w:rsidRPr="006F5CD0">
        <w:tab/>
        <w:t>VI.</w:t>
      </w:r>
      <w:r w:rsidRPr="006F5CD0">
        <w:tab/>
        <w:t>Promoting ratification and application of the Protocol and the Convention</w:t>
      </w:r>
      <w:r w:rsidRPr="006F5CD0">
        <w:tab/>
      </w:r>
      <w:r w:rsidRPr="006F5CD0">
        <w:tab/>
      </w:r>
      <w:r w:rsidR="00AC1148">
        <w:t>10</w:t>
      </w:r>
    </w:p>
    <w:p w14:paraId="61A3DE45" w14:textId="01926C56" w:rsidR="0023447A" w:rsidRPr="006F5CD0" w:rsidRDefault="0023447A" w:rsidP="000400C2">
      <w:pPr>
        <w:tabs>
          <w:tab w:val="right" w:pos="850"/>
          <w:tab w:val="left" w:pos="1134"/>
          <w:tab w:val="left" w:pos="1559"/>
          <w:tab w:val="left" w:pos="1984"/>
          <w:tab w:val="left" w:leader="dot" w:pos="8929"/>
          <w:tab w:val="right" w:pos="9638"/>
        </w:tabs>
        <w:spacing w:after="120"/>
        <w:jc w:val="both"/>
      </w:pPr>
      <w:r w:rsidRPr="006F5CD0">
        <w:tab/>
        <w:t>VI</w:t>
      </w:r>
      <w:r w:rsidR="00B22565" w:rsidRPr="006F5CD0">
        <w:t>I</w:t>
      </w:r>
      <w:r w:rsidRPr="006F5CD0">
        <w:t>.</w:t>
      </w:r>
      <w:r w:rsidRPr="006F5CD0">
        <w:tab/>
        <w:t>Exchange of good practices</w:t>
      </w:r>
      <w:r w:rsidRPr="006F5CD0">
        <w:tab/>
      </w:r>
      <w:r w:rsidRPr="006F5CD0">
        <w:tab/>
        <w:t>1</w:t>
      </w:r>
      <w:r w:rsidR="007A32C3">
        <w:t>1</w:t>
      </w:r>
    </w:p>
    <w:p w14:paraId="37595036" w14:textId="22596174" w:rsidR="00B22565" w:rsidRPr="006F5CD0" w:rsidRDefault="00B22565" w:rsidP="005135D5">
      <w:pPr>
        <w:tabs>
          <w:tab w:val="right" w:pos="850"/>
          <w:tab w:val="left" w:pos="1134"/>
          <w:tab w:val="left" w:pos="1559"/>
          <w:tab w:val="left" w:pos="1984"/>
          <w:tab w:val="left" w:leader="dot" w:pos="8929"/>
          <w:tab w:val="right" w:pos="9638"/>
        </w:tabs>
        <w:spacing w:after="120"/>
        <w:ind w:left="1560" w:hanging="1560"/>
      </w:pPr>
      <w:r w:rsidRPr="006F5CD0">
        <w:tab/>
      </w:r>
      <w:r w:rsidRPr="006F5CD0">
        <w:tab/>
        <w:t>A.</w:t>
      </w:r>
      <w:r w:rsidRPr="006F5CD0">
        <w:tab/>
      </w:r>
      <w:bookmarkStart w:id="2" w:name="_Hlk8896077"/>
      <w:r w:rsidR="005135D5" w:rsidRPr="006F5CD0">
        <w:t xml:space="preserve">Workshop on the assessment of health impacts and health sector involvement </w:t>
      </w:r>
      <w:r w:rsidR="005135D5" w:rsidRPr="006F5CD0">
        <w:br/>
        <w:t>in strategic environmental assessment</w:t>
      </w:r>
      <w:bookmarkEnd w:id="2"/>
      <w:r w:rsidRPr="006F5CD0">
        <w:tab/>
      </w:r>
      <w:r w:rsidRPr="006F5CD0">
        <w:tab/>
      </w:r>
      <w:r w:rsidR="005135D5" w:rsidRPr="006F5CD0">
        <w:t>1</w:t>
      </w:r>
      <w:r w:rsidR="00AC1148">
        <w:t>1</w:t>
      </w:r>
    </w:p>
    <w:p w14:paraId="7866FED5" w14:textId="5F8C63AB" w:rsidR="00B22565" w:rsidRPr="006F5CD0" w:rsidRDefault="00B22565" w:rsidP="00B22565">
      <w:pPr>
        <w:tabs>
          <w:tab w:val="right" w:pos="850"/>
          <w:tab w:val="left" w:pos="1134"/>
          <w:tab w:val="left" w:pos="1559"/>
          <w:tab w:val="left" w:pos="1984"/>
          <w:tab w:val="left" w:leader="dot" w:pos="8929"/>
          <w:tab w:val="right" w:pos="9638"/>
        </w:tabs>
        <w:spacing w:after="120"/>
        <w:jc w:val="both"/>
      </w:pPr>
      <w:r w:rsidRPr="006F5CD0">
        <w:tab/>
      </w:r>
      <w:r w:rsidRPr="006F5CD0">
        <w:tab/>
        <w:t>B.</w:t>
      </w:r>
      <w:r w:rsidRPr="006F5CD0">
        <w:tab/>
      </w:r>
      <w:r w:rsidR="005135D5" w:rsidRPr="006F5CD0">
        <w:t>Draft guidance on assessing health impacts in strategic environmental assessment</w:t>
      </w:r>
      <w:r w:rsidRPr="006F5CD0">
        <w:tab/>
      </w:r>
      <w:r w:rsidRPr="006F5CD0">
        <w:tab/>
      </w:r>
      <w:r w:rsidR="005135D5" w:rsidRPr="006F5CD0">
        <w:t>1</w:t>
      </w:r>
      <w:r w:rsidR="00B62B21">
        <w:t>2</w:t>
      </w:r>
    </w:p>
    <w:p w14:paraId="0098059B" w14:textId="59FC6B7E" w:rsidR="00B22565" w:rsidRPr="006F5CD0" w:rsidRDefault="00B22565" w:rsidP="00B22565">
      <w:pPr>
        <w:tabs>
          <w:tab w:val="right" w:pos="850"/>
          <w:tab w:val="left" w:pos="1134"/>
          <w:tab w:val="left" w:pos="1559"/>
          <w:tab w:val="left" w:pos="1984"/>
          <w:tab w:val="left" w:leader="dot" w:pos="8929"/>
          <w:tab w:val="right" w:pos="9638"/>
        </w:tabs>
        <w:spacing w:after="120"/>
        <w:jc w:val="both"/>
      </w:pPr>
      <w:r w:rsidRPr="006F5CD0">
        <w:tab/>
      </w:r>
      <w:r w:rsidRPr="006F5CD0">
        <w:tab/>
      </w:r>
      <w:r w:rsidR="005135D5" w:rsidRPr="006F5CD0">
        <w:t>C</w:t>
      </w:r>
      <w:r w:rsidRPr="006F5CD0">
        <w:t>.</w:t>
      </w:r>
      <w:r w:rsidRPr="006F5CD0">
        <w:tab/>
      </w:r>
      <w:r w:rsidR="005135D5" w:rsidRPr="006F5CD0">
        <w:t>Other activities for the exchange of good practices</w:t>
      </w:r>
      <w:r w:rsidRPr="006F5CD0">
        <w:tab/>
      </w:r>
      <w:r w:rsidRPr="006F5CD0">
        <w:tab/>
      </w:r>
      <w:r w:rsidR="005135D5" w:rsidRPr="006F5CD0">
        <w:t>1</w:t>
      </w:r>
      <w:r w:rsidR="00AC1148">
        <w:t>3</w:t>
      </w:r>
    </w:p>
    <w:p w14:paraId="631BBC3C" w14:textId="67A96F07" w:rsidR="00B22565" w:rsidRPr="006F5CD0" w:rsidRDefault="00B22565" w:rsidP="00B22565">
      <w:pPr>
        <w:tabs>
          <w:tab w:val="right" w:pos="850"/>
          <w:tab w:val="left" w:pos="1134"/>
          <w:tab w:val="left" w:pos="1559"/>
          <w:tab w:val="left" w:pos="1984"/>
          <w:tab w:val="left" w:leader="dot" w:pos="8929"/>
          <w:tab w:val="right" w:pos="9638"/>
        </w:tabs>
        <w:spacing w:after="120"/>
        <w:jc w:val="both"/>
      </w:pPr>
      <w:r w:rsidRPr="006F5CD0">
        <w:tab/>
      </w:r>
      <w:r w:rsidRPr="006F5CD0">
        <w:tab/>
      </w:r>
      <w:r w:rsidR="005135D5" w:rsidRPr="006F5CD0">
        <w:t>D</w:t>
      </w:r>
      <w:r w:rsidRPr="006F5CD0">
        <w:t>.</w:t>
      </w:r>
      <w:r w:rsidRPr="006F5CD0">
        <w:tab/>
      </w:r>
      <w:r w:rsidR="005135D5" w:rsidRPr="006F5CD0">
        <w:t>Practices of States from other regions</w:t>
      </w:r>
      <w:r w:rsidRPr="006F5CD0">
        <w:tab/>
      </w:r>
      <w:r w:rsidRPr="006F5CD0">
        <w:tab/>
      </w:r>
      <w:r w:rsidR="005135D5" w:rsidRPr="006F5CD0">
        <w:t>1</w:t>
      </w:r>
      <w:r w:rsidR="00D53220">
        <w:t>3</w:t>
      </w:r>
    </w:p>
    <w:p w14:paraId="7B364305" w14:textId="6D13D976" w:rsidR="0023447A" w:rsidRPr="006F5CD0" w:rsidRDefault="0023447A" w:rsidP="000400C2">
      <w:pPr>
        <w:tabs>
          <w:tab w:val="right" w:pos="850"/>
          <w:tab w:val="left" w:pos="1134"/>
          <w:tab w:val="left" w:pos="1559"/>
          <w:tab w:val="left" w:pos="1984"/>
          <w:tab w:val="left" w:leader="dot" w:pos="8929"/>
          <w:tab w:val="right" w:pos="9638"/>
        </w:tabs>
        <w:spacing w:after="120"/>
        <w:jc w:val="both"/>
      </w:pPr>
      <w:r w:rsidRPr="006F5CD0">
        <w:tab/>
      </w:r>
      <w:r w:rsidR="00B22565" w:rsidRPr="006F5CD0">
        <w:t>VIII</w:t>
      </w:r>
      <w:r w:rsidRPr="006F5CD0">
        <w:t>.</w:t>
      </w:r>
      <w:r w:rsidRPr="006F5CD0">
        <w:tab/>
        <w:t>Preparations for the next sessions of the Meetings of the Parties</w:t>
      </w:r>
      <w:r w:rsidRPr="006F5CD0">
        <w:tab/>
      </w:r>
      <w:r w:rsidRPr="006F5CD0">
        <w:tab/>
        <w:t>1</w:t>
      </w:r>
      <w:r w:rsidR="0068623E">
        <w:t>3</w:t>
      </w:r>
    </w:p>
    <w:p w14:paraId="6BB6033C" w14:textId="35753E3C" w:rsidR="0023447A" w:rsidRPr="006F5CD0" w:rsidRDefault="0023447A" w:rsidP="000400C2">
      <w:pPr>
        <w:tabs>
          <w:tab w:val="right" w:pos="850"/>
          <w:tab w:val="left" w:pos="1134"/>
          <w:tab w:val="left" w:pos="1559"/>
          <w:tab w:val="left" w:pos="1984"/>
          <w:tab w:val="left" w:leader="dot" w:pos="8929"/>
          <w:tab w:val="right" w:pos="9638"/>
        </w:tabs>
        <w:spacing w:after="120"/>
        <w:jc w:val="both"/>
      </w:pPr>
      <w:r w:rsidRPr="006F5CD0">
        <w:tab/>
      </w:r>
      <w:r w:rsidRPr="006F5CD0">
        <w:tab/>
        <w:t>A.</w:t>
      </w:r>
      <w:r w:rsidRPr="006F5CD0">
        <w:tab/>
      </w:r>
      <w:r w:rsidR="00A01188" w:rsidRPr="006F5CD0">
        <w:t>Lessons learned from the previous sessions</w:t>
      </w:r>
      <w:r w:rsidRPr="006F5CD0">
        <w:tab/>
      </w:r>
      <w:r w:rsidRPr="006F5CD0">
        <w:tab/>
        <w:t>1</w:t>
      </w:r>
      <w:r w:rsidR="0068623E">
        <w:t>3</w:t>
      </w:r>
    </w:p>
    <w:p w14:paraId="40A70EB5" w14:textId="43B49E22" w:rsidR="0023447A" w:rsidRPr="006F5CD0" w:rsidRDefault="0023447A" w:rsidP="000400C2">
      <w:pPr>
        <w:tabs>
          <w:tab w:val="right" w:pos="850"/>
          <w:tab w:val="left" w:pos="1134"/>
          <w:tab w:val="left" w:pos="1559"/>
          <w:tab w:val="left" w:pos="1984"/>
          <w:tab w:val="left" w:leader="dot" w:pos="8929"/>
          <w:tab w:val="right" w:pos="9638"/>
        </w:tabs>
        <w:spacing w:after="120"/>
        <w:jc w:val="both"/>
      </w:pPr>
      <w:r w:rsidRPr="006F5CD0">
        <w:tab/>
      </w:r>
      <w:r w:rsidRPr="006F5CD0">
        <w:tab/>
        <w:t>B.</w:t>
      </w:r>
      <w:r w:rsidRPr="006F5CD0">
        <w:tab/>
      </w:r>
      <w:r w:rsidR="00A01188" w:rsidRPr="006F5CD0">
        <w:t xml:space="preserve">Practical arrangements </w:t>
      </w:r>
      <w:r w:rsidRPr="006F5CD0">
        <w:tab/>
      </w:r>
      <w:r w:rsidRPr="006F5CD0">
        <w:tab/>
        <w:t>1</w:t>
      </w:r>
      <w:r w:rsidR="00AC1148">
        <w:t>4</w:t>
      </w:r>
    </w:p>
    <w:p w14:paraId="3F0E0A10" w14:textId="032364A2" w:rsidR="00B22565" w:rsidRPr="006F5CD0" w:rsidRDefault="00B22565" w:rsidP="00B22565">
      <w:pPr>
        <w:tabs>
          <w:tab w:val="right" w:pos="850"/>
          <w:tab w:val="left" w:pos="1134"/>
          <w:tab w:val="left" w:pos="1559"/>
          <w:tab w:val="left" w:pos="1984"/>
          <w:tab w:val="left" w:leader="dot" w:pos="8929"/>
          <w:tab w:val="right" w:pos="9638"/>
        </w:tabs>
        <w:spacing w:after="120"/>
        <w:jc w:val="both"/>
      </w:pPr>
      <w:r w:rsidRPr="006F5CD0">
        <w:tab/>
      </w:r>
      <w:r w:rsidRPr="006F5CD0">
        <w:tab/>
      </w:r>
      <w:r w:rsidR="005C626C" w:rsidRPr="006F5CD0">
        <w:t>C</w:t>
      </w:r>
      <w:r w:rsidRPr="006F5CD0">
        <w:t>.</w:t>
      </w:r>
      <w:r w:rsidRPr="006F5CD0">
        <w:tab/>
      </w:r>
      <w:r w:rsidR="00A01188" w:rsidRPr="006F5CD0">
        <w:t xml:space="preserve">Provisional programme </w:t>
      </w:r>
      <w:r w:rsidRPr="006F5CD0">
        <w:tab/>
      </w:r>
      <w:r w:rsidRPr="006F5CD0">
        <w:tab/>
      </w:r>
      <w:r w:rsidR="009C4B82" w:rsidRPr="006F5CD0">
        <w:t>1</w:t>
      </w:r>
      <w:r w:rsidR="00AC1148">
        <w:t>4</w:t>
      </w:r>
    </w:p>
    <w:p w14:paraId="18A4DFC8" w14:textId="0CC02CCC" w:rsidR="00B22565" w:rsidRPr="006F5CD0" w:rsidRDefault="00B22565" w:rsidP="00B22565">
      <w:pPr>
        <w:tabs>
          <w:tab w:val="right" w:pos="850"/>
          <w:tab w:val="left" w:pos="1134"/>
          <w:tab w:val="left" w:pos="1559"/>
          <w:tab w:val="left" w:pos="1984"/>
          <w:tab w:val="left" w:leader="dot" w:pos="8929"/>
          <w:tab w:val="right" w:pos="9638"/>
        </w:tabs>
        <w:spacing w:after="120"/>
        <w:jc w:val="both"/>
      </w:pPr>
      <w:r w:rsidRPr="006F5CD0">
        <w:tab/>
      </w:r>
      <w:r w:rsidRPr="006F5CD0">
        <w:tab/>
      </w:r>
      <w:r w:rsidR="005C626C" w:rsidRPr="006F5CD0">
        <w:t>D</w:t>
      </w:r>
      <w:r w:rsidRPr="006F5CD0">
        <w:t>.</w:t>
      </w:r>
      <w:r w:rsidRPr="006F5CD0">
        <w:tab/>
      </w:r>
      <w:r w:rsidR="00A01188" w:rsidRPr="006F5CD0">
        <w:t>List of draft documents and decisions</w:t>
      </w:r>
      <w:r w:rsidRPr="006F5CD0">
        <w:tab/>
      </w:r>
      <w:r w:rsidRPr="006F5CD0">
        <w:tab/>
      </w:r>
      <w:r w:rsidR="009C4B82" w:rsidRPr="006F5CD0">
        <w:t>14</w:t>
      </w:r>
    </w:p>
    <w:p w14:paraId="0829B894" w14:textId="7FD84C00" w:rsidR="00B22565" w:rsidRPr="006F5CD0" w:rsidRDefault="00B22565" w:rsidP="00B22565">
      <w:pPr>
        <w:tabs>
          <w:tab w:val="right" w:pos="850"/>
          <w:tab w:val="left" w:pos="1134"/>
          <w:tab w:val="left" w:pos="1559"/>
          <w:tab w:val="left" w:pos="1984"/>
          <w:tab w:val="left" w:leader="dot" w:pos="8929"/>
          <w:tab w:val="right" w:pos="9638"/>
        </w:tabs>
        <w:spacing w:after="120"/>
        <w:jc w:val="both"/>
      </w:pPr>
      <w:r w:rsidRPr="006F5CD0">
        <w:tab/>
      </w:r>
      <w:r w:rsidRPr="006F5CD0">
        <w:tab/>
      </w:r>
      <w:r w:rsidR="005C626C" w:rsidRPr="006F5CD0">
        <w:t>E</w:t>
      </w:r>
      <w:r w:rsidRPr="006F5CD0">
        <w:t>.</w:t>
      </w:r>
      <w:r w:rsidRPr="006F5CD0">
        <w:tab/>
      </w:r>
      <w:r w:rsidR="00A01188" w:rsidRPr="006F5CD0">
        <w:t xml:space="preserve">Chairs of the sessions </w:t>
      </w:r>
      <w:r w:rsidRPr="006F5CD0">
        <w:tab/>
      </w:r>
      <w:r w:rsidRPr="006F5CD0">
        <w:tab/>
      </w:r>
      <w:r w:rsidR="009C4B82" w:rsidRPr="006F5CD0">
        <w:t>1</w:t>
      </w:r>
      <w:r w:rsidR="00AC1148">
        <w:t>5</w:t>
      </w:r>
    </w:p>
    <w:p w14:paraId="439AACBA" w14:textId="27E8A233" w:rsidR="00B22565" w:rsidRPr="006F5CD0" w:rsidRDefault="00B22565" w:rsidP="00B22565">
      <w:pPr>
        <w:tabs>
          <w:tab w:val="right" w:pos="850"/>
          <w:tab w:val="left" w:pos="1134"/>
          <w:tab w:val="left" w:pos="1559"/>
          <w:tab w:val="left" w:pos="1984"/>
          <w:tab w:val="left" w:leader="dot" w:pos="8929"/>
          <w:tab w:val="right" w:pos="9638"/>
        </w:tabs>
        <w:spacing w:after="120"/>
        <w:jc w:val="both"/>
      </w:pPr>
      <w:r w:rsidRPr="006F5CD0">
        <w:tab/>
      </w:r>
      <w:r w:rsidRPr="006F5CD0">
        <w:tab/>
      </w:r>
      <w:r w:rsidR="005C626C" w:rsidRPr="006F5CD0">
        <w:t>F</w:t>
      </w:r>
      <w:r w:rsidRPr="006F5CD0">
        <w:t>.</w:t>
      </w:r>
      <w:r w:rsidRPr="006F5CD0">
        <w:tab/>
      </w:r>
      <w:r w:rsidR="00A01188" w:rsidRPr="006F5CD0">
        <w:t>Possible activities for the next draft workplan (2021–2023)</w:t>
      </w:r>
      <w:r w:rsidRPr="006F5CD0">
        <w:tab/>
      </w:r>
      <w:r w:rsidRPr="006F5CD0">
        <w:tab/>
      </w:r>
      <w:r w:rsidR="009C4B82" w:rsidRPr="006F5CD0">
        <w:t>1</w:t>
      </w:r>
      <w:r w:rsidR="00AC1148">
        <w:t>5</w:t>
      </w:r>
    </w:p>
    <w:p w14:paraId="1FE146CC" w14:textId="721AA94F" w:rsidR="00B22565" w:rsidRPr="006F5CD0" w:rsidRDefault="00B22565" w:rsidP="00B22565">
      <w:pPr>
        <w:tabs>
          <w:tab w:val="right" w:pos="850"/>
          <w:tab w:val="left" w:pos="1134"/>
          <w:tab w:val="left" w:pos="1559"/>
          <w:tab w:val="left" w:pos="1984"/>
          <w:tab w:val="left" w:leader="dot" w:pos="8929"/>
          <w:tab w:val="right" w:pos="9638"/>
        </w:tabs>
        <w:spacing w:after="120"/>
        <w:jc w:val="both"/>
      </w:pPr>
      <w:r w:rsidRPr="006F5CD0">
        <w:tab/>
      </w:r>
      <w:r w:rsidRPr="006F5CD0">
        <w:tab/>
      </w:r>
      <w:r w:rsidR="005C626C" w:rsidRPr="006F5CD0">
        <w:t>G</w:t>
      </w:r>
      <w:r w:rsidRPr="006F5CD0">
        <w:t>.</w:t>
      </w:r>
      <w:r w:rsidRPr="006F5CD0">
        <w:tab/>
      </w:r>
      <w:r w:rsidR="00A01188" w:rsidRPr="006F5CD0">
        <w:t xml:space="preserve">Tentative sequence of meetings in the next intersessional period </w:t>
      </w:r>
      <w:r w:rsidRPr="006F5CD0">
        <w:tab/>
      </w:r>
      <w:r w:rsidRPr="006F5CD0">
        <w:tab/>
      </w:r>
      <w:r w:rsidR="009C4B82" w:rsidRPr="006F5CD0">
        <w:t>1</w:t>
      </w:r>
      <w:r w:rsidR="00235B56">
        <w:t>5</w:t>
      </w:r>
    </w:p>
    <w:p w14:paraId="62A069F7" w14:textId="22A35539" w:rsidR="00B22565" w:rsidRPr="006F5CD0" w:rsidRDefault="00B22565" w:rsidP="00B22565">
      <w:pPr>
        <w:tabs>
          <w:tab w:val="right" w:pos="850"/>
          <w:tab w:val="left" w:pos="1134"/>
          <w:tab w:val="left" w:pos="1559"/>
          <w:tab w:val="left" w:pos="1984"/>
          <w:tab w:val="left" w:leader="dot" w:pos="8929"/>
          <w:tab w:val="right" w:pos="9638"/>
        </w:tabs>
        <w:spacing w:after="120"/>
        <w:jc w:val="both"/>
      </w:pPr>
      <w:r w:rsidRPr="006F5CD0">
        <w:tab/>
      </w:r>
      <w:r w:rsidRPr="006F5CD0">
        <w:tab/>
      </w:r>
      <w:r w:rsidR="005C626C" w:rsidRPr="006F5CD0">
        <w:t>H</w:t>
      </w:r>
      <w:r w:rsidRPr="006F5CD0">
        <w:t>.</w:t>
      </w:r>
      <w:r w:rsidRPr="006F5CD0">
        <w:tab/>
      </w:r>
      <w:r w:rsidR="00A01188" w:rsidRPr="006F5CD0">
        <w:t xml:space="preserve">Officers for the next intersessional period </w:t>
      </w:r>
      <w:r w:rsidRPr="006F5CD0">
        <w:tab/>
      </w:r>
      <w:r w:rsidRPr="006F5CD0">
        <w:tab/>
      </w:r>
      <w:r w:rsidR="009C4B82" w:rsidRPr="006F5CD0">
        <w:t>1</w:t>
      </w:r>
      <w:r w:rsidR="00AC1148">
        <w:t>6</w:t>
      </w:r>
    </w:p>
    <w:p w14:paraId="63EBFD9C" w14:textId="6F092540" w:rsidR="0023447A" w:rsidRPr="006F5CD0" w:rsidRDefault="0023447A" w:rsidP="000400C2">
      <w:pPr>
        <w:tabs>
          <w:tab w:val="right" w:pos="850"/>
          <w:tab w:val="left" w:pos="1134"/>
          <w:tab w:val="left" w:pos="1559"/>
          <w:tab w:val="left" w:pos="1984"/>
          <w:tab w:val="left" w:leader="dot" w:pos="8929"/>
          <w:tab w:val="right" w:pos="9638"/>
        </w:tabs>
        <w:spacing w:after="120"/>
        <w:jc w:val="both"/>
      </w:pPr>
      <w:r w:rsidRPr="006F5CD0">
        <w:tab/>
      </w:r>
      <w:r w:rsidR="00B22565" w:rsidRPr="006F5CD0">
        <w:t>I</w:t>
      </w:r>
      <w:r w:rsidRPr="006F5CD0">
        <w:t>X.</w:t>
      </w:r>
      <w:r w:rsidRPr="006F5CD0">
        <w:tab/>
        <w:t>Inputs to related international processes</w:t>
      </w:r>
      <w:r w:rsidRPr="006F5CD0">
        <w:tab/>
      </w:r>
      <w:r w:rsidRPr="006F5CD0">
        <w:tab/>
        <w:t>1</w:t>
      </w:r>
      <w:r w:rsidR="00AC1148">
        <w:t>6</w:t>
      </w:r>
    </w:p>
    <w:p w14:paraId="6F6D2AED" w14:textId="6A1548BD" w:rsidR="0023447A" w:rsidRDefault="0023447A" w:rsidP="000400C2">
      <w:pPr>
        <w:tabs>
          <w:tab w:val="right" w:pos="850"/>
          <w:tab w:val="left" w:pos="1134"/>
          <w:tab w:val="left" w:pos="1559"/>
          <w:tab w:val="left" w:pos="1984"/>
          <w:tab w:val="left" w:leader="dot" w:pos="8929"/>
          <w:tab w:val="right" w:pos="9638"/>
        </w:tabs>
        <w:spacing w:after="120"/>
        <w:jc w:val="both"/>
      </w:pPr>
      <w:r w:rsidRPr="006F5CD0">
        <w:tab/>
        <w:t>X.</w:t>
      </w:r>
      <w:r w:rsidRPr="006F5CD0">
        <w:tab/>
      </w:r>
      <w:r w:rsidR="00291EB2">
        <w:t>Other business</w:t>
      </w:r>
      <w:r w:rsidRPr="006F5CD0">
        <w:tab/>
      </w:r>
      <w:r w:rsidRPr="006F5CD0">
        <w:tab/>
        <w:t>1</w:t>
      </w:r>
      <w:r w:rsidR="00D53220">
        <w:t>6</w:t>
      </w:r>
    </w:p>
    <w:p w14:paraId="470AE2EB" w14:textId="33094F7B" w:rsidR="00235B56" w:rsidRPr="006F5CD0" w:rsidRDefault="00235B56" w:rsidP="00291EB2">
      <w:pPr>
        <w:tabs>
          <w:tab w:val="right" w:pos="850"/>
          <w:tab w:val="left" w:pos="1134"/>
          <w:tab w:val="left" w:pos="1559"/>
          <w:tab w:val="left" w:pos="1984"/>
          <w:tab w:val="left" w:leader="dot" w:pos="8929"/>
          <w:tab w:val="right" w:pos="9638"/>
        </w:tabs>
        <w:spacing w:after="120"/>
      </w:pPr>
      <w:r>
        <w:tab/>
      </w:r>
      <w:r w:rsidR="00E72408">
        <w:t>IX.</w:t>
      </w:r>
      <w:r w:rsidR="00E72408">
        <w:tab/>
      </w:r>
      <w:r w:rsidR="00291EB2" w:rsidRPr="00CD6BE2">
        <w:t>Presentation of the main decisions taken and closing of the meeting</w:t>
      </w:r>
      <w:r w:rsidR="00E72408">
        <w:tab/>
      </w:r>
      <w:r w:rsidR="00291EB2">
        <w:tab/>
        <w:t>16</w:t>
      </w:r>
    </w:p>
    <w:p w14:paraId="4A14BD75" w14:textId="77777777" w:rsidR="0023447A" w:rsidRPr="006F5CD0" w:rsidRDefault="0023447A" w:rsidP="000400C2">
      <w:pPr>
        <w:tabs>
          <w:tab w:val="right" w:pos="850"/>
          <w:tab w:val="left" w:pos="1134"/>
          <w:tab w:val="left" w:pos="1559"/>
          <w:tab w:val="left" w:pos="1984"/>
          <w:tab w:val="left" w:leader="dot" w:pos="8929"/>
          <w:tab w:val="right" w:pos="9638"/>
        </w:tabs>
        <w:spacing w:after="120"/>
        <w:jc w:val="both"/>
      </w:pPr>
    </w:p>
    <w:p w14:paraId="18B518FC" w14:textId="5008E813" w:rsidR="0023447A" w:rsidRPr="006F5CD0" w:rsidRDefault="0023447A" w:rsidP="000400C2">
      <w:pPr>
        <w:tabs>
          <w:tab w:val="right" w:pos="850"/>
          <w:tab w:val="left" w:pos="1134"/>
          <w:tab w:val="left" w:pos="1559"/>
          <w:tab w:val="left" w:pos="1984"/>
          <w:tab w:val="left" w:leader="dot" w:pos="8929"/>
          <w:tab w:val="right" w:pos="9638"/>
        </w:tabs>
        <w:spacing w:after="120"/>
        <w:jc w:val="both"/>
      </w:pPr>
      <w:r w:rsidRPr="006F5CD0">
        <w:tab/>
        <w:t>Annex</w:t>
      </w:r>
    </w:p>
    <w:p w14:paraId="768C291A" w14:textId="440783E0" w:rsidR="0023447A" w:rsidRPr="00CD6BE2" w:rsidRDefault="0023447A" w:rsidP="003136CE">
      <w:pPr>
        <w:tabs>
          <w:tab w:val="right" w:pos="850"/>
          <w:tab w:val="left" w:pos="1134"/>
          <w:tab w:val="left" w:pos="1559"/>
          <w:tab w:val="left" w:pos="1984"/>
          <w:tab w:val="left" w:leader="dot" w:pos="8929"/>
          <w:tab w:val="right" w:pos="9638"/>
        </w:tabs>
        <w:spacing w:after="120"/>
        <w:ind w:left="1134" w:hanging="1134"/>
      </w:pPr>
      <w:r w:rsidRPr="006F5CD0">
        <w:tab/>
      </w:r>
      <w:r w:rsidRPr="006F5CD0">
        <w:tab/>
      </w:r>
      <w:r w:rsidR="00B426E4" w:rsidRPr="006F5CD0">
        <w:t xml:space="preserve">Moderators’ summary report on the assessment of health impacts and health sector involvement in strategic environmental assessment </w:t>
      </w:r>
      <w:r w:rsidR="00BA2D90" w:rsidRPr="006F5CD0">
        <w:t xml:space="preserve">  </w:t>
      </w:r>
      <w:r w:rsidRPr="006F5CD0">
        <w:tab/>
      </w:r>
      <w:r w:rsidR="00BA2D90" w:rsidRPr="006F5CD0">
        <w:tab/>
      </w:r>
      <w:r w:rsidRPr="006F5CD0">
        <w:t>1</w:t>
      </w:r>
      <w:r w:rsidR="00A02465">
        <w:t>7</w:t>
      </w:r>
    </w:p>
    <w:p w14:paraId="7A11B511" w14:textId="5D0E5D16" w:rsidR="0023447A" w:rsidRPr="00523D62" w:rsidRDefault="0023447A" w:rsidP="00182A86">
      <w:pPr>
        <w:tabs>
          <w:tab w:val="right" w:pos="850"/>
          <w:tab w:val="left" w:pos="1134"/>
          <w:tab w:val="left" w:pos="1559"/>
          <w:tab w:val="left" w:pos="1984"/>
          <w:tab w:val="left" w:leader="dot" w:pos="8929"/>
          <w:tab w:val="right" w:pos="9638"/>
        </w:tabs>
        <w:spacing w:after="120"/>
        <w:ind w:left="1134" w:hanging="1134"/>
      </w:pPr>
      <w:r w:rsidRPr="00CD6BE2">
        <w:tab/>
      </w:r>
    </w:p>
    <w:p w14:paraId="2232F6E3" w14:textId="4C9C07F5" w:rsidR="00347DB7" w:rsidRPr="00FD23F5" w:rsidRDefault="0023447A" w:rsidP="00BA2D90">
      <w:pPr>
        <w:tabs>
          <w:tab w:val="right" w:pos="850"/>
          <w:tab w:val="left" w:pos="1134"/>
          <w:tab w:val="left" w:pos="1559"/>
          <w:tab w:val="left" w:pos="1984"/>
          <w:tab w:val="left" w:leader="dot" w:pos="8929"/>
          <w:tab w:val="right" w:pos="9638"/>
        </w:tabs>
        <w:spacing w:after="120"/>
        <w:ind w:left="1134" w:hanging="1134"/>
        <w:jc w:val="both"/>
      </w:pPr>
      <w:r w:rsidRPr="00523D62">
        <w:tab/>
      </w:r>
    </w:p>
    <w:p w14:paraId="7423A03F" w14:textId="77777777" w:rsidR="0023447A" w:rsidRPr="000400C2" w:rsidRDefault="0023447A" w:rsidP="000400C2">
      <w:pPr>
        <w:suppressAutoHyphens w:val="0"/>
        <w:spacing w:line="240" w:lineRule="auto"/>
        <w:jc w:val="both"/>
      </w:pPr>
      <w:r w:rsidRPr="000400C2">
        <w:br w:type="page"/>
      </w:r>
    </w:p>
    <w:p w14:paraId="12D8AA09" w14:textId="3319E1FF" w:rsidR="009F38B6" w:rsidRPr="00CD6BE2" w:rsidRDefault="009F38B6" w:rsidP="000400C2">
      <w:pPr>
        <w:pStyle w:val="HChG"/>
        <w:jc w:val="both"/>
      </w:pPr>
      <w:r w:rsidRPr="000400C2">
        <w:lastRenderedPageBreak/>
        <w:tab/>
      </w:r>
      <w:r w:rsidRPr="005153C8">
        <w:t>I.</w:t>
      </w:r>
      <w:r w:rsidR="00B5777D" w:rsidRPr="00CD6BE2">
        <w:tab/>
      </w:r>
      <w:r w:rsidRPr="00CD6BE2">
        <w:t>Introduction</w:t>
      </w:r>
    </w:p>
    <w:p w14:paraId="1CFFC9BA" w14:textId="5B689A54" w:rsidR="009F38B6" w:rsidRPr="00CD6BE2" w:rsidRDefault="007025CD">
      <w:pPr>
        <w:pStyle w:val="SingleTxtG"/>
      </w:pPr>
      <w:r w:rsidRPr="00CD6BE2">
        <w:t>1.</w:t>
      </w:r>
      <w:r w:rsidRPr="00CD6BE2">
        <w:tab/>
      </w:r>
      <w:r w:rsidR="000E76B8" w:rsidRPr="00CD6BE2">
        <w:t xml:space="preserve">The </w:t>
      </w:r>
      <w:r w:rsidR="00824AA5">
        <w:t>eigh</w:t>
      </w:r>
      <w:r w:rsidR="009F38B6" w:rsidRPr="00CD6BE2">
        <w:t xml:space="preserve">th meeting of the Working Group on Environmental Impact Assessment and Strategic Environmental Assessment under the Convention on Environmental Impact Assessment in a Transboundary Context (Espoo Convention) and its Protocol on Strategic Environmental Assessment </w:t>
      </w:r>
      <w:r w:rsidR="000E76B8" w:rsidRPr="00CD6BE2">
        <w:t xml:space="preserve">was held from </w:t>
      </w:r>
      <w:r w:rsidR="00230EAD">
        <w:t>26 to 28</w:t>
      </w:r>
      <w:r w:rsidR="00230EAD" w:rsidRPr="00055E82">
        <w:t xml:space="preserve"> </w:t>
      </w:r>
      <w:r w:rsidR="00230EAD">
        <w:t>November</w:t>
      </w:r>
      <w:r w:rsidR="00230EAD" w:rsidRPr="00055E82">
        <w:t xml:space="preserve"> 201</w:t>
      </w:r>
      <w:r w:rsidR="00230EAD">
        <w:t xml:space="preserve">9 </w:t>
      </w:r>
      <w:r w:rsidR="009F38B6" w:rsidRPr="00CD6BE2">
        <w:t>in Geneva.</w:t>
      </w:r>
    </w:p>
    <w:p w14:paraId="1BEAAFBA" w14:textId="77777777" w:rsidR="009F38B6" w:rsidRPr="00CD6BE2" w:rsidRDefault="007025CD" w:rsidP="00BE7475">
      <w:pPr>
        <w:pStyle w:val="H1G"/>
        <w:jc w:val="both"/>
      </w:pPr>
      <w:r w:rsidRPr="00CD6BE2">
        <w:tab/>
      </w:r>
      <w:r w:rsidR="009F38B6" w:rsidRPr="00CD6BE2">
        <w:t>A.</w:t>
      </w:r>
      <w:r w:rsidR="009F38B6" w:rsidRPr="00CD6BE2">
        <w:tab/>
        <w:t>Attendance</w:t>
      </w:r>
    </w:p>
    <w:p w14:paraId="15642D2B" w14:textId="565FA2CA" w:rsidR="009F38B6" w:rsidRPr="00CD6BE2" w:rsidRDefault="007025CD">
      <w:pPr>
        <w:pStyle w:val="SingleTxtG"/>
      </w:pPr>
      <w:r w:rsidRPr="00CD6BE2">
        <w:t>2</w:t>
      </w:r>
      <w:r w:rsidR="00026BB4" w:rsidRPr="00CD6BE2">
        <w:t>.</w:t>
      </w:r>
      <w:r w:rsidRPr="00CD6BE2">
        <w:tab/>
      </w:r>
      <w:r w:rsidR="009F38B6" w:rsidRPr="00CD6BE2">
        <w:t xml:space="preserve">The meeting was attended by delegations from the following Parties to the Convention and the Protocol and other member States of the United Nations Economic Commission for Europe (ECE): Albania, Armenia, Austria, Azerbaijan, Belarus, Belgium, </w:t>
      </w:r>
      <w:r w:rsidR="00EA239B" w:rsidRPr="00CD6BE2">
        <w:t>Bulgaria, Croatia,</w:t>
      </w:r>
      <w:r w:rsidR="009F38B6" w:rsidRPr="00CD6BE2">
        <w:t xml:space="preserve"> Czech</w:t>
      </w:r>
      <w:r w:rsidR="00D21EBC">
        <w:t>ia</w:t>
      </w:r>
      <w:r w:rsidR="009F38B6" w:rsidRPr="005153C8">
        <w:t xml:space="preserve">, Denmark, Estonia, Finland, France, Georgia, Germany, Hungary, </w:t>
      </w:r>
      <w:r w:rsidR="00EA239B" w:rsidRPr="00CD6BE2">
        <w:t xml:space="preserve">Ireland, Italy, Kazakhstan, Kyrgyzstan, </w:t>
      </w:r>
      <w:r w:rsidR="009F38B6" w:rsidRPr="00CD6BE2">
        <w:t xml:space="preserve">Lithuania, Malta, </w:t>
      </w:r>
      <w:r w:rsidR="00EA239B" w:rsidRPr="00CD6BE2">
        <w:t xml:space="preserve">Montenegro, </w:t>
      </w:r>
      <w:r w:rsidR="009F38B6" w:rsidRPr="00CD6BE2">
        <w:t xml:space="preserve">Netherlands, </w:t>
      </w:r>
      <w:r w:rsidR="00BB79AF">
        <w:t xml:space="preserve">North Macedonia, </w:t>
      </w:r>
      <w:r w:rsidR="009F38B6" w:rsidRPr="00CD6BE2">
        <w:t xml:space="preserve">Norway, Poland, </w:t>
      </w:r>
      <w:r w:rsidR="00EA239B" w:rsidRPr="00CD6BE2">
        <w:t xml:space="preserve">Portugal, </w:t>
      </w:r>
      <w:r w:rsidR="009F38B6" w:rsidRPr="00CD6BE2">
        <w:t xml:space="preserve">Republic of Moldova, </w:t>
      </w:r>
      <w:r w:rsidR="00EA239B" w:rsidRPr="00CD6BE2">
        <w:t xml:space="preserve">Russian Federation, </w:t>
      </w:r>
      <w:r w:rsidR="009F38B6" w:rsidRPr="00CD6BE2">
        <w:t xml:space="preserve">Serbia, Slovakia, Slovenia, Spain, Sweden, </w:t>
      </w:r>
      <w:r w:rsidR="00EA239B" w:rsidRPr="00CD6BE2">
        <w:t xml:space="preserve">Switzerland, Tajikistan, </w:t>
      </w:r>
      <w:r w:rsidR="00BB79AF">
        <w:t xml:space="preserve">Ukraine, Uzbekistan </w:t>
      </w:r>
      <w:r w:rsidR="009F38B6" w:rsidRPr="00CD6BE2">
        <w:t>and United Kingdom of Great Britain and Northern Ireland. The European Union was represented by the European Commission. Statements on behalf of the E</w:t>
      </w:r>
      <w:r w:rsidR="0014712F" w:rsidRPr="00CD6BE2">
        <w:t xml:space="preserve">uropean </w:t>
      </w:r>
      <w:r w:rsidR="009F38B6" w:rsidRPr="00CD6BE2">
        <w:t>U</w:t>
      </w:r>
      <w:r w:rsidR="0014712F" w:rsidRPr="00CD6BE2">
        <w:t>nion</w:t>
      </w:r>
      <w:r w:rsidR="009F38B6" w:rsidRPr="00CD6BE2">
        <w:t xml:space="preserve"> and its member States were made b</w:t>
      </w:r>
      <w:r w:rsidR="00EA239B" w:rsidRPr="00CD6BE2">
        <w:t xml:space="preserve">y both the </w:t>
      </w:r>
      <w:r w:rsidR="00912B42">
        <w:t xml:space="preserve">European </w:t>
      </w:r>
      <w:r w:rsidR="00EA239B" w:rsidRPr="00CD6BE2">
        <w:t xml:space="preserve">Commission and </w:t>
      </w:r>
      <w:r w:rsidR="00A327DB" w:rsidRPr="00823FFA">
        <w:t>Finland</w:t>
      </w:r>
      <w:r w:rsidR="009F38B6" w:rsidRPr="00823FFA">
        <w:t xml:space="preserve">, which held the Presidency of the Council of </w:t>
      </w:r>
      <w:r w:rsidR="00EA239B" w:rsidRPr="00823FFA">
        <w:t>the E</w:t>
      </w:r>
      <w:r w:rsidR="0014712F" w:rsidRPr="00823FFA">
        <w:t xml:space="preserve">uropean </w:t>
      </w:r>
      <w:r w:rsidR="00EA239B" w:rsidRPr="00823FFA">
        <w:t>U</w:t>
      </w:r>
      <w:r w:rsidR="0014712F" w:rsidRPr="00823FFA">
        <w:t>nion</w:t>
      </w:r>
      <w:r w:rsidR="00EA239B" w:rsidRPr="00823FFA">
        <w:t xml:space="preserve"> in the </w:t>
      </w:r>
      <w:r w:rsidR="00EF475F" w:rsidRPr="00823FFA">
        <w:t>second</w:t>
      </w:r>
      <w:r w:rsidR="00EA239B" w:rsidRPr="00823FFA">
        <w:t xml:space="preserve"> half of 201</w:t>
      </w:r>
      <w:r w:rsidR="00EF475F" w:rsidRPr="00491839">
        <w:t>9</w:t>
      </w:r>
      <w:r w:rsidR="009F38B6" w:rsidRPr="00491839">
        <w:t>.</w:t>
      </w:r>
      <w:r w:rsidR="000D7C40">
        <w:t xml:space="preserve"> Chile</w:t>
      </w:r>
      <w:r w:rsidR="002A7594">
        <w:t>,</w:t>
      </w:r>
      <w:r w:rsidR="000D7C40">
        <w:t xml:space="preserve"> as </w:t>
      </w:r>
      <w:r w:rsidR="002A7594">
        <w:t xml:space="preserve">a </w:t>
      </w:r>
      <w:r w:rsidR="000D7C40">
        <w:t>State Member of the United Nations</w:t>
      </w:r>
      <w:r w:rsidR="002A7594">
        <w:t>,</w:t>
      </w:r>
      <w:r w:rsidR="000D7C40">
        <w:t xml:space="preserve"> was also represented.</w:t>
      </w:r>
    </w:p>
    <w:p w14:paraId="6089BC14" w14:textId="37969566" w:rsidR="009D58E1" w:rsidRDefault="00B258E2">
      <w:pPr>
        <w:pStyle w:val="SingleTxtG"/>
      </w:pPr>
      <w:r w:rsidRPr="00CD6BE2">
        <w:t>3.</w:t>
      </w:r>
      <w:r w:rsidRPr="00CD6BE2">
        <w:tab/>
      </w:r>
      <w:r w:rsidR="009F38B6" w:rsidRPr="00CD6BE2">
        <w:t xml:space="preserve">Representatives of the </w:t>
      </w:r>
      <w:r w:rsidR="00491839">
        <w:t>European Investment Bank</w:t>
      </w:r>
      <w:r w:rsidR="000D232C">
        <w:t xml:space="preserve">, </w:t>
      </w:r>
      <w:bookmarkStart w:id="3" w:name="_Hlk27752379"/>
      <w:r w:rsidR="000D232C">
        <w:t>the</w:t>
      </w:r>
      <w:r w:rsidR="000D232C" w:rsidRPr="00CD6BE2">
        <w:t xml:space="preserve"> </w:t>
      </w:r>
      <w:r w:rsidR="00AB3072" w:rsidRPr="00CD6BE2">
        <w:t xml:space="preserve">Nuclear Energy Agency of the </w:t>
      </w:r>
      <w:bookmarkEnd w:id="3"/>
      <w:r w:rsidR="00375B3D" w:rsidRPr="00CD6BE2">
        <w:t>Organi</w:t>
      </w:r>
      <w:r w:rsidR="00E810B1">
        <w:t>z</w:t>
      </w:r>
      <w:r w:rsidR="00375B3D" w:rsidRPr="00CD6BE2">
        <w:t xml:space="preserve">ation </w:t>
      </w:r>
      <w:r w:rsidR="00AB3072" w:rsidRPr="00CD6BE2">
        <w:t xml:space="preserve">for Economic Cooperation and Development (OECD), </w:t>
      </w:r>
      <w:r w:rsidR="00322F93" w:rsidRPr="00CD6BE2">
        <w:t xml:space="preserve">the Organization for Security and Cooperation in Europe (OSCE) </w:t>
      </w:r>
      <w:r w:rsidR="00AB3072" w:rsidRPr="00CD6BE2">
        <w:t>and</w:t>
      </w:r>
      <w:r w:rsidR="009F38B6" w:rsidRPr="00CD6BE2">
        <w:t xml:space="preserve"> the World Health Organ</w:t>
      </w:r>
      <w:r w:rsidR="00322F93" w:rsidRPr="00CD6BE2">
        <w:t xml:space="preserve">ization (WHO) attended </w:t>
      </w:r>
      <w:r w:rsidR="009F38B6" w:rsidRPr="00CD6BE2">
        <w:t xml:space="preserve">the meeting. </w:t>
      </w:r>
      <w:r w:rsidR="00E96789">
        <w:t>Representatives of t</w:t>
      </w:r>
      <w:r w:rsidR="009F38B6" w:rsidRPr="00CD6BE2">
        <w:t>he following non-governmental organizations (NGOs) were present:</w:t>
      </w:r>
      <w:r w:rsidR="00190EEF" w:rsidRPr="00CD6BE2">
        <w:t xml:space="preserve"> </w:t>
      </w:r>
      <w:r w:rsidR="007350D8">
        <w:t xml:space="preserve">the </w:t>
      </w:r>
      <w:r w:rsidR="009F38B6" w:rsidRPr="00CD6BE2">
        <w:t>Caucasus Environmental NGO Network</w:t>
      </w:r>
      <w:r w:rsidR="00EE3FC0">
        <w:t xml:space="preserve">; </w:t>
      </w:r>
      <w:r w:rsidR="00375B3D" w:rsidRPr="00CD6BE2">
        <w:t xml:space="preserve">the </w:t>
      </w:r>
      <w:r w:rsidR="003F38E4" w:rsidRPr="00CD6BE2">
        <w:t>International Association for Impact Assessment</w:t>
      </w:r>
      <w:r w:rsidR="00F778B6">
        <w:t>; Society</w:t>
      </w:r>
      <w:r w:rsidR="003F38E4" w:rsidRPr="00CD6BE2">
        <w:t xml:space="preserve"> and Environment (Ukraine)</w:t>
      </w:r>
      <w:r w:rsidR="00EE3FC0">
        <w:t>;</w:t>
      </w:r>
      <w:r w:rsidR="00EE3FC0" w:rsidRPr="00EE3FC0">
        <w:t xml:space="preserve"> </w:t>
      </w:r>
      <w:r w:rsidR="00EE3FC0">
        <w:t xml:space="preserve">and </w:t>
      </w:r>
      <w:r w:rsidR="00EE3FC0" w:rsidRPr="00CD6BE2">
        <w:t>Nuclear Transparency Watch</w:t>
      </w:r>
      <w:r w:rsidR="009D58E1">
        <w:t xml:space="preserve">. </w:t>
      </w:r>
      <w:r w:rsidR="00F4466E">
        <w:t xml:space="preserve">In addition, </w:t>
      </w:r>
      <w:r w:rsidR="00B426E4">
        <w:t xml:space="preserve">a representative of </w:t>
      </w:r>
      <w:r w:rsidR="007350D8">
        <w:t xml:space="preserve">the </w:t>
      </w:r>
      <w:r w:rsidR="00B426E4" w:rsidRPr="00EE3FC0">
        <w:t>Estonian Environment Institute</w:t>
      </w:r>
      <w:r w:rsidR="007350D8">
        <w:t>,</w:t>
      </w:r>
      <w:r w:rsidR="00B426E4">
        <w:t xml:space="preserve"> </w:t>
      </w:r>
      <w:r w:rsidR="00F4466E">
        <w:t xml:space="preserve">academics from </w:t>
      </w:r>
      <w:r w:rsidR="009D58E1">
        <w:t>the National University of Singapore</w:t>
      </w:r>
      <w:r w:rsidR="00F4466E">
        <w:t xml:space="preserve"> and</w:t>
      </w:r>
      <w:r w:rsidR="003F0719">
        <w:t xml:space="preserve"> </w:t>
      </w:r>
      <w:r w:rsidR="009D58E1">
        <w:t xml:space="preserve">Hokkaido University </w:t>
      </w:r>
      <w:r w:rsidR="007350D8">
        <w:t>(Japan) and</w:t>
      </w:r>
      <w:r w:rsidR="00F4466E">
        <w:t xml:space="preserve"> </w:t>
      </w:r>
      <w:r w:rsidR="009D58E1">
        <w:t>two independent experts attended the meeting.</w:t>
      </w:r>
    </w:p>
    <w:p w14:paraId="1CA293E9" w14:textId="77777777" w:rsidR="009F38B6" w:rsidRPr="00CD6BE2" w:rsidRDefault="009F38B6" w:rsidP="00BE7475">
      <w:pPr>
        <w:pStyle w:val="H1G"/>
        <w:jc w:val="both"/>
      </w:pPr>
      <w:r w:rsidRPr="00CD6BE2">
        <w:tab/>
        <w:t>B.</w:t>
      </w:r>
      <w:r w:rsidRPr="00CD6BE2">
        <w:tab/>
        <w:t>Organizational matters</w:t>
      </w:r>
    </w:p>
    <w:p w14:paraId="52747995" w14:textId="77777777" w:rsidR="00F778B6" w:rsidRDefault="00B258E2" w:rsidP="00EE3FC0">
      <w:pPr>
        <w:spacing w:after="120"/>
        <w:ind w:left="1134" w:right="1134"/>
        <w:jc w:val="both"/>
      </w:pPr>
      <w:r w:rsidRPr="00CD6BE2">
        <w:t>4.</w:t>
      </w:r>
      <w:r w:rsidRPr="00CD6BE2">
        <w:tab/>
      </w:r>
      <w:r w:rsidR="009F38B6" w:rsidRPr="00CD6BE2">
        <w:t>The Chair</w:t>
      </w:r>
      <w:r w:rsidR="004D2472" w:rsidRPr="00CD6BE2">
        <w:t xml:space="preserve"> of the Working Group, Ms. </w:t>
      </w:r>
      <w:r w:rsidR="00B64BC5" w:rsidRPr="00CD6BE2">
        <w:t>V</w:t>
      </w:r>
      <w:r w:rsidR="0014712F" w:rsidRPr="00CD6BE2">
        <w:t>esna</w:t>
      </w:r>
      <w:r w:rsidR="00B64BC5" w:rsidRPr="00CD6BE2">
        <w:t xml:space="preserve"> Kolar-</w:t>
      </w:r>
      <w:proofErr w:type="spellStart"/>
      <w:r w:rsidR="00B64BC5" w:rsidRPr="00CD6BE2">
        <w:t>Planinšič</w:t>
      </w:r>
      <w:proofErr w:type="spellEnd"/>
      <w:r w:rsidR="009F38B6" w:rsidRPr="00CD6BE2">
        <w:t xml:space="preserve"> </w:t>
      </w:r>
      <w:r w:rsidR="00DC47D8" w:rsidRPr="00CD6BE2">
        <w:t>(</w:t>
      </w:r>
      <w:r w:rsidR="00B64BC5" w:rsidRPr="00CD6BE2">
        <w:t>Slovenia</w:t>
      </w:r>
      <w:r w:rsidR="009F38B6" w:rsidRPr="00CD6BE2">
        <w:t>), opened the meeting.</w:t>
      </w:r>
      <w:r w:rsidR="00DC47D8" w:rsidRPr="00CD6BE2">
        <w:t xml:space="preserve"> </w:t>
      </w:r>
    </w:p>
    <w:p w14:paraId="3F961E8D" w14:textId="7637177A" w:rsidR="009F38B6" w:rsidRPr="003A08F7" w:rsidRDefault="00F778B6" w:rsidP="00EE3FC0">
      <w:pPr>
        <w:spacing w:after="120"/>
        <w:ind w:left="1134" w:right="1134"/>
        <w:jc w:val="both"/>
      </w:pPr>
      <w:r>
        <w:t>5.</w:t>
      </w:r>
      <w:r>
        <w:tab/>
      </w:r>
      <w:r w:rsidR="00DC47D8" w:rsidRPr="00CD6BE2">
        <w:t xml:space="preserve">The Director of the </w:t>
      </w:r>
      <w:r w:rsidR="00ED1F81" w:rsidRPr="00CD6BE2">
        <w:t>ECE</w:t>
      </w:r>
      <w:r w:rsidR="00DC47D8" w:rsidRPr="00CD6BE2">
        <w:t xml:space="preserve"> Environment Division welcomed the participants</w:t>
      </w:r>
      <w:r w:rsidR="00EE3FC0">
        <w:t>. He reported</w:t>
      </w:r>
      <w:r w:rsidR="00EE3FC0" w:rsidRPr="00EE3FC0">
        <w:t xml:space="preserve"> </w:t>
      </w:r>
      <w:r w:rsidR="00F40B39">
        <w:t>on</w:t>
      </w:r>
      <w:r w:rsidR="00F40B39" w:rsidRPr="00EE3FC0">
        <w:t xml:space="preserve"> </w:t>
      </w:r>
      <w:r w:rsidR="00EE3FC0">
        <w:t xml:space="preserve">the </w:t>
      </w:r>
      <w:r w:rsidR="00A235AA">
        <w:t xml:space="preserve">acute </w:t>
      </w:r>
      <w:r w:rsidR="00EE3FC0" w:rsidRPr="00EE3FC0">
        <w:t>cash</w:t>
      </w:r>
      <w:r w:rsidR="00F40B39">
        <w:t xml:space="preserve"> </w:t>
      </w:r>
      <w:r w:rsidR="00EE3FC0" w:rsidRPr="00EE3FC0">
        <w:t xml:space="preserve">flow crisis affecting </w:t>
      </w:r>
      <w:r w:rsidR="00EE3FC0">
        <w:t xml:space="preserve">the </w:t>
      </w:r>
      <w:r>
        <w:t>r</w:t>
      </w:r>
      <w:r w:rsidR="00EE3FC0" w:rsidRPr="00EE3FC0">
        <w:t>egular budget operations</w:t>
      </w:r>
      <w:r w:rsidR="00A235AA">
        <w:t xml:space="preserve"> of the</w:t>
      </w:r>
      <w:r w:rsidR="00A235AA" w:rsidRPr="00A235AA">
        <w:t xml:space="preserve"> </w:t>
      </w:r>
      <w:r w:rsidR="00A235AA">
        <w:t>United Nations</w:t>
      </w:r>
      <w:r>
        <w:t>. He also expressed concerns about the absence of</w:t>
      </w:r>
      <w:r w:rsidR="00A235AA">
        <w:t xml:space="preserve"> </w:t>
      </w:r>
      <w:r w:rsidR="00B426E4">
        <w:t xml:space="preserve">a </w:t>
      </w:r>
      <w:r w:rsidR="00A235AA">
        <w:t>budget f</w:t>
      </w:r>
      <w:r>
        <w:t xml:space="preserve">or the </w:t>
      </w:r>
      <w:r w:rsidR="00A235AA">
        <w:t>C</w:t>
      </w:r>
      <w:r>
        <w:t>onvention and its Protocol in the second half of 2020</w:t>
      </w:r>
      <w:r w:rsidR="0096378D">
        <w:t xml:space="preserve">, including for the </w:t>
      </w:r>
      <w:r w:rsidR="00B426E4">
        <w:t>resource</w:t>
      </w:r>
      <w:r w:rsidR="00F40B39">
        <w:t>-</w:t>
      </w:r>
      <w:r w:rsidR="00B426E4">
        <w:t xml:space="preserve">intensive </w:t>
      </w:r>
      <w:r w:rsidR="0096378D">
        <w:t>preparation of the Meetings of the Parties’ next sessions</w:t>
      </w:r>
      <w:r>
        <w:t>, and</w:t>
      </w:r>
      <w:r w:rsidR="00085ABF">
        <w:t xml:space="preserve"> about</w:t>
      </w:r>
      <w:r>
        <w:t xml:space="preserve"> the </w:t>
      </w:r>
      <w:r w:rsidR="00455AFF">
        <w:t>general</w:t>
      </w:r>
      <w:r w:rsidR="00A235AA">
        <w:t xml:space="preserve"> insufficiency of </w:t>
      </w:r>
      <w:r w:rsidR="00B426E4">
        <w:t>Parties’</w:t>
      </w:r>
      <w:r w:rsidR="00A235AA">
        <w:t xml:space="preserve"> voluntary contributions to </w:t>
      </w:r>
      <w:r w:rsidR="000D079C">
        <w:t xml:space="preserve">finance </w:t>
      </w:r>
      <w:r w:rsidR="00A235AA">
        <w:t xml:space="preserve">the </w:t>
      </w:r>
      <w:r w:rsidR="00F40B39">
        <w:t xml:space="preserve">implementation of the </w:t>
      </w:r>
      <w:r w:rsidR="00A235AA">
        <w:t xml:space="preserve">workplan and </w:t>
      </w:r>
      <w:r w:rsidR="000D079C">
        <w:t>sufficient</w:t>
      </w:r>
      <w:r w:rsidR="00A235AA">
        <w:t xml:space="preserve"> secretariat </w:t>
      </w:r>
      <w:r w:rsidR="000D079C">
        <w:t>resources</w:t>
      </w:r>
      <w:r w:rsidR="00507A39" w:rsidRPr="00CD6BE2">
        <w:t>.</w:t>
      </w:r>
    </w:p>
    <w:p w14:paraId="7D1ED239" w14:textId="60E50BD5" w:rsidR="00EF4CDB" w:rsidRPr="005153C8" w:rsidRDefault="00085ABF">
      <w:pPr>
        <w:pStyle w:val="SingleTxtG"/>
      </w:pPr>
      <w:r>
        <w:t>6.</w:t>
      </w:r>
      <w:r w:rsidR="00B258E2" w:rsidRPr="005153C8">
        <w:tab/>
      </w:r>
      <w:r w:rsidR="009F38B6" w:rsidRPr="00CD6BE2">
        <w:t xml:space="preserve">The Working Group adopted </w:t>
      </w:r>
      <w:r w:rsidR="000D232C">
        <w:t>the draft</w:t>
      </w:r>
      <w:r w:rsidR="000D232C" w:rsidRPr="00CD6BE2">
        <w:t xml:space="preserve"> </w:t>
      </w:r>
      <w:r w:rsidR="009F38B6" w:rsidRPr="00CD6BE2">
        <w:t xml:space="preserve">agenda </w:t>
      </w:r>
      <w:bookmarkStart w:id="4" w:name="_Hlk27668062"/>
      <w:r w:rsidR="000D232C">
        <w:t>(</w:t>
      </w:r>
      <w:r w:rsidR="002D0D29" w:rsidRPr="00CD6BE2">
        <w:t>ECE/MP.EIA/WG.2/201</w:t>
      </w:r>
      <w:r w:rsidR="003F1E02">
        <w:t>9</w:t>
      </w:r>
      <w:r w:rsidR="009F38B6" w:rsidRPr="00CD6BE2">
        <w:t>/1</w:t>
      </w:r>
      <w:r w:rsidR="000D232C">
        <w:t>)</w:t>
      </w:r>
      <w:bookmarkEnd w:id="4"/>
      <w:r w:rsidR="00305B8B" w:rsidRPr="00CD6BE2">
        <w:t>.</w:t>
      </w:r>
      <w:r w:rsidR="009F38B6" w:rsidRPr="005153C8">
        <w:rPr>
          <w:sz w:val="18"/>
          <w:vertAlign w:val="superscript"/>
        </w:rPr>
        <w:footnoteReference w:id="2"/>
      </w:r>
    </w:p>
    <w:p w14:paraId="70F7B20D" w14:textId="423335FF" w:rsidR="00EF4CDB" w:rsidRPr="00CD6BE2" w:rsidRDefault="00EF4CDB" w:rsidP="00BE7475">
      <w:pPr>
        <w:suppressAutoHyphens w:val="0"/>
        <w:spacing w:line="240" w:lineRule="auto"/>
        <w:jc w:val="both"/>
      </w:pPr>
    </w:p>
    <w:p w14:paraId="2273CE18" w14:textId="0B78703C" w:rsidR="009F38B6" w:rsidRPr="00CD6BE2" w:rsidRDefault="009F38B6" w:rsidP="00BE7475">
      <w:pPr>
        <w:pStyle w:val="HChG"/>
        <w:jc w:val="both"/>
      </w:pPr>
      <w:r w:rsidRPr="00CD6BE2">
        <w:lastRenderedPageBreak/>
        <w:tab/>
        <w:t>II.</w:t>
      </w:r>
      <w:r w:rsidRPr="00CD6BE2">
        <w:tab/>
      </w:r>
      <w:r w:rsidR="000C34B3" w:rsidRPr="00055E82">
        <w:t>Budget, financial arrangements and financial assistance</w:t>
      </w:r>
    </w:p>
    <w:p w14:paraId="1E539F0A" w14:textId="3AE19BB3" w:rsidR="002064A9" w:rsidRDefault="00085ABF" w:rsidP="00C41A8F">
      <w:pPr>
        <w:spacing w:after="120"/>
        <w:ind w:left="1134" w:right="1134"/>
        <w:jc w:val="both"/>
      </w:pPr>
      <w:r>
        <w:t>7</w:t>
      </w:r>
      <w:r w:rsidR="000C34B3" w:rsidRPr="00CD6BE2">
        <w:t>.</w:t>
      </w:r>
      <w:r w:rsidR="000C34B3" w:rsidRPr="00CD6BE2">
        <w:tab/>
      </w:r>
      <w:r w:rsidR="00395DB4">
        <w:t xml:space="preserve">The Working Group took note of the </w:t>
      </w:r>
      <w:r w:rsidR="000C34B3">
        <w:t xml:space="preserve">second annual financial report </w:t>
      </w:r>
      <w:r>
        <w:t xml:space="preserve">for </w:t>
      </w:r>
      <w:r w:rsidR="000C34B3">
        <w:t xml:space="preserve">the period </w:t>
      </w:r>
      <w:r>
        <w:t>1 July 2017 to 30 June 2019</w:t>
      </w:r>
      <w:r w:rsidR="00082A96">
        <w:t xml:space="preserve"> prepared by the secretariat</w:t>
      </w:r>
      <w:r w:rsidR="000C34B3">
        <w:t>.</w:t>
      </w:r>
      <w:r w:rsidR="005A720D">
        <w:rPr>
          <w:rStyle w:val="FootnoteReference"/>
        </w:rPr>
        <w:footnoteReference w:id="3"/>
      </w:r>
      <w:r w:rsidR="000C34B3">
        <w:t xml:space="preserve"> The </w:t>
      </w:r>
      <w:r w:rsidR="000C34B3" w:rsidRPr="00472C96">
        <w:t xml:space="preserve">secretariat also </w:t>
      </w:r>
      <w:r w:rsidR="000C34B3">
        <w:t xml:space="preserve">reported </w:t>
      </w:r>
      <w:r w:rsidR="000C34B3" w:rsidRPr="00472C96">
        <w:t xml:space="preserve">on recently received contributions to, and expenditure from, </w:t>
      </w:r>
      <w:bookmarkStart w:id="5" w:name="_Hlk17970056"/>
      <w:r w:rsidR="000C34B3" w:rsidRPr="00472C96">
        <w:t xml:space="preserve">the Convention’s and </w:t>
      </w:r>
      <w:r w:rsidR="000C34B3">
        <w:t xml:space="preserve">the </w:t>
      </w:r>
      <w:r w:rsidR="000C34B3" w:rsidRPr="00472C96">
        <w:t>Protocol’s</w:t>
      </w:r>
      <w:r w:rsidR="00082A96">
        <w:t xml:space="preserve"> </w:t>
      </w:r>
      <w:r w:rsidR="000C34B3" w:rsidRPr="00472C96">
        <w:t>trust fund</w:t>
      </w:r>
      <w:r w:rsidR="000C34B3">
        <w:t>.</w:t>
      </w:r>
      <w:r w:rsidR="000C34B3" w:rsidRPr="00D96D53">
        <w:t xml:space="preserve"> </w:t>
      </w:r>
      <w:bookmarkEnd w:id="5"/>
      <w:r>
        <w:t>The Working</w:t>
      </w:r>
      <w:r w:rsidR="00F316E7">
        <w:t xml:space="preserve"> Group </w:t>
      </w:r>
      <w:r w:rsidR="000A3771">
        <w:t>noted that</w:t>
      </w:r>
      <w:r w:rsidR="00841917">
        <w:t xml:space="preserve"> </w:t>
      </w:r>
      <w:r w:rsidR="00E020AD">
        <w:t>Parties</w:t>
      </w:r>
      <w:r w:rsidR="00A126E5">
        <w:t xml:space="preserve">’ </w:t>
      </w:r>
      <w:r w:rsidR="00E020AD">
        <w:t>voluntary contributions were insufficient</w:t>
      </w:r>
      <w:r w:rsidR="007B1389" w:rsidRPr="007B1389">
        <w:t xml:space="preserve"> </w:t>
      </w:r>
      <w:r w:rsidR="007B1389">
        <w:t>and unpredictable:</w:t>
      </w:r>
      <w:r w:rsidR="00E020AD">
        <w:t xml:space="preserve"> </w:t>
      </w:r>
      <w:r w:rsidR="00A126E5">
        <w:t>the</w:t>
      </w:r>
      <w:r w:rsidR="00E020AD">
        <w:t xml:space="preserve"> </w:t>
      </w:r>
      <w:r w:rsidR="000A3771">
        <w:t>pledge</w:t>
      </w:r>
      <w:r w:rsidR="00E020AD">
        <w:t>d contributions to the budget for 2017–2020</w:t>
      </w:r>
      <w:r w:rsidR="00E020AD">
        <w:rPr>
          <w:rStyle w:val="FootnoteReference"/>
        </w:rPr>
        <w:footnoteReference w:id="4"/>
      </w:r>
      <w:r w:rsidR="00E020AD">
        <w:t xml:space="preserve"> </w:t>
      </w:r>
      <w:r w:rsidR="000A3771">
        <w:t>cover</w:t>
      </w:r>
      <w:r w:rsidR="00E020AD">
        <w:t>ed o</w:t>
      </w:r>
      <w:r w:rsidR="000A3771">
        <w:t>nly 6</w:t>
      </w:r>
      <w:r w:rsidR="00796BEA">
        <w:t>0 per cent</w:t>
      </w:r>
      <w:r w:rsidR="000A3771">
        <w:t xml:space="preserve"> of </w:t>
      </w:r>
      <w:r w:rsidR="00796BEA">
        <w:t>th</w:t>
      </w:r>
      <w:r w:rsidR="00E020AD">
        <w:t>at</w:t>
      </w:r>
      <w:r w:rsidR="00796BEA">
        <w:t xml:space="preserve"> </w:t>
      </w:r>
      <w:r w:rsidR="000A3771">
        <w:t>budget</w:t>
      </w:r>
      <w:r w:rsidR="00C41A8F">
        <w:t>,</w:t>
      </w:r>
      <w:r w:rsidR="00BF11BF">
        <w:t xml:space="preserve"> </w:t>
      </w:r>
      <w:r w:rsidR="00E020AD">
        <w:t xml:space="preserve">barely </w:t>
      </w:r>
      <w:r w:rsidR="00C41A8F">
        <w:t xml:space="preserve">financing </w:t>
      </w:r>
      <w:r w:rsidR="00567813">
        <w:t xml:space="preserve">an </w:t>
      </w:r>
      <w:r w:rsidR="000A3771">
        <w:t xml:space="preserve">extrabudgetary </w:t>
      </w:r>
      <w:r w:rsidR="007B1389">
        <w:t xml:space="preserve">secretariat </w:t>
      </w:r>
      <w:r w:rsidR="000A3771">
        <w:t>staff</w:t>
      </w:r>
      <w:r w:rsidR="00E020AD">
        <w:t xml:space="preserve"> member for a three-year intersessional period</w:t>
      </w:r>
      <w:r w:rsidR="000A3771">
        <w:t xml:space="preserve">. </w:t>
      </w:r>
      <w:r w:rsidR="00E020AD">
        <w:t>The funding of a</w:t>
      </w:r>
      <w:r w:rsidR="007B1389">
        <w:t xml:space="preserve">ll other </w:t>
      </w:r>
      <w:r w:rsidR="000A3771">
        <w:t>budgeted expenses</w:t>
      </w:r>
      <w:r w:rsidR="007B1389">
        <w:t xml:space="preserve"> for the period</w:t>
      </w:r>
      <w:r w:rsidR="00E020AD">
        <w:t xml:space="preserve">, such as travel support </w:t>
      </w:r>
      <w:r w:rsidR="00C41A8F">
        <w:t>to</w:t>
      </w:r>
      <w:r w:rsidR="007B1389">
        <w:t xml:space="preserve"> eligible participants to official meetings or any travel of the secretariat</w:t>
      </w:r>
      <w:r w:rsidR="00BF11BF">
        <w:t>,</w:t>
      </w:r>
      <w:r w:rsidR="000A3771">
        <w:t xml:space="preserve"> depended on </w:t>
      </w:r>
      <w:r w:rsidR="007B1389">
        <w:t xml:space="preserve">the possible receipt of </w:t>
      </w:r>
      <w:r w:rsidR="000A3771">
        <w:t>unpledged unearmarked contributions</w:t>
      </w:r>
      <w:r w:rsidR="00BF11BF">
        <w:t>.</w:t>
      </w:r>
      <w:r w:rsidR="00ED0BF2">
        <w:t xml:space="preserve"> </w:t>
      </w:r>
      <w:r w:rsidR="00B426E4">
        <w:t>Moreover,</w:t>
      </w:r>
      <w:r w:rsidR="0036742E">
        <w:t xml:space="preserve"> </w:t>
      </w:r>
      <w:r w:rsidR="00BF11BF">
        <w:t xml:space="preserve">aside for some earmarked contributions, </w:t>
      </w:r>
      <w:r w:rsidR="00395DB4">
        <w:t xml:space="preserve">the </w:t>
      </w:r>
      <w:r w:rsidR="00BF11BF">
        <w:t xml:space="preserve">financing of </w:t>
      </w:r>
      <w:r w:rsidR="003038B2">
        <w:t xml:space="preserve">the </w:t>
      </w:r>
      <w:r w:rsidR="00395DB4">
        <w:t xml:space="preserve">workplan activities </w:t>
      </w:r>
      <w:r w:rsidR="00BF11BF">
        <w:t xml:space="preserve">relied </w:t>
      </w:r>
      <w:r w:rsidR="00567813">
        <w:t xml:space="preserve">entirely </w:t>
      </w:r>
      <w:r w:rsidR="00BF11BF">
        <w:t xml:space="preserve">on </w:t>
      </w:r>
      <w:r w:rsidR="00395DB4">
        <w:t>the secretariat’s efforts to raise extrabudgetary funds</w:t>
      </w:r>
      <w:r w:rsidR="00BF11BF">
        <w:t xml:space="preserve">, </w:t>
      </w:r>
      <w:r w:rsidR="00F25E37">
        <w:t>for example,</w:t>
      </w:r>
      <w:r w:rsidR="00BF11BF">
        <w:t xml:space="preserve"> through </w:t>
      </w:r>
      <w:r w:rsidR="00A126E5">
        <w:t xml:space="preserve">the </w:t>
      </w:r>
      <w:r w:rsidR="00BF11BF">
        <w:t>European Union</w:t>
      </w:r>
      <w:r w:rsidR="00F25E37">
        <w:t>-</w:t>
      </w:r>
      <w:r w:rsidR="00BF11BF">
        <w:t>funded projects</w:t>
      </w:r>
      <w:r w:rsidR="00395DB4">
        <w:t xml:space="preserve">. </w:t>
      </w:r>
      <w:r w:rsidR="00567813">
        <w:t xml:space="preserve">The Working Group also noted </w:t>
      </w:r>
      <w:r w:rsidR="003038B2">
        <w:t>that,</w:t>
      </w:r>
      <w:r w:rsidR="00C41A8F">
        <w:t xml:space="preserve"> </w:t>
      </w:r>
      <w:r w:rsidR="00F25E37">
        <w:t>currently</w:t>
      </w:r>
      <w:r w:rsidR="00C41A8F">
        <w:t>,</w:t>
      </w:r>
      <w:r w:rsidR="00A126E5">
        <w:t xml:space="preserve"> the financial burden was unequally distributed among the Parties, </w:t>
      </w:r>
      <w:r w:rsidR="00567813">
        <w:t xml:space="preserve">with three </w:t>
      </w:r>
      <w:r w:rsidR="00C41A8F">
        <w:t xml:space="preserve">of them </w:t>
      </w:r>
      <w:r w:rsidR="00567813">
        <w:t xml:space="preserve">providing nearly 60 </w:t>
      </w:r>
      <w:r w:rsidR="00BF11BF">
        <w:t>per cent of all</w:t>
      </w:r>
      <w:r w:rsidR="000A3771">
        <w:t xml:space="preserve"> </w:t>
      </w:r>
      <w:r w:rsidR="00567813">
        <w:t xml:space="preserve">the </w:t>
      </w:r>
      <w:r w:rsidR="000A3771">
        <w:t>contributions</w:t>
      </w:r>
      <w:r w:rsidR="00A126E5">
        <w:t xml:space="preserve"> and one third of the Parties not contributing at all. </w:t>
      </w:r>
      <w:r w:rsidR="003F14A6">
        <w:t xml:space="preserve">Such an </w:t>
      </w:r>
      <w:r w:rsidR="00A126E5">
        <w:t xml:space="preserve">overreliance on only a few donors </w:t>
      </w:r>
      <w:r w:rsidR="00C41A8F">
        <w:t xml:space="preserve">made the funding situation unsustainable and vulnerable to changes: </w:t>
      </w:r>
      <w:r w:rsidR="004224DA" w:rsidRPr="004224DA">
        <w:t>a reduction of funding or a complete withdrawal of</w:t>
      </w:r>
      <w:r w:rsidR="00F25E37">
        <w:t xml:space="preserve"> only </w:t>
      </w:r>
      <w:r w:rsidR="004224DA" w:rsidRPr="004224DA">
        <w:t xml:space="preserve">one </w:t>
      </w:r>
      <w:r w:rsidR="00F25E37">
        <w:t xml:space="preserve">of </w:t>
      </w:r>
      <w:r w:rsidR="004224DA" w:rsidRPr="004224DA">
        <w:t xml:space="preserve">the few main donors would </w:t>
      </w:r>
      <w:r w:rsidR="00C41A8F">
        <w:t xml:space="preserve">be enough to </w:t>
      </w:r>
      <w:r w:rsidR="004224DA" w:rsidRPr="004224DA">
        <w:t xml:space="preserve">stop </w:t>
      </w:r>
      <w:r w:rsidR="00C41A8F">
        <w:t xml:space="preserve">the </w:t>
      </w:r>
      <w:r w:rsidR="004224DA" w:rsidRPr="004224DA">
        <w:t xml:space="preserve">key functions of the treaties and lead to </w:t>
      </w:r>
      <w:r w:rsidR="00C41A8F">
        <w:t xml:space="preserve">the </w:t>
      </w:r>
      <w:r w:rsidR="004224DA" w:rsidRPr="004224DA">
        <w:t xml:space="preserve">laying </w:t>
      </w:r>
      <w:r w:rsidR="00F97AEC" w:rsidRPr="004224DA">
        <w:t>off</w:t>
      </w:r>
      <w:r w:rsidR="00C41A8F">
        <w:t xml:space="preserve"> </w:t>
      </w:r>
      <w:r w:rsidR="00F25E37">
        <w:t xml:space="preserve">of </w:t>
      </w:r>
      <w:r w:rsidR="004224DA" w:rsidRPr="004224DA">
        <w:t>its staff.</w:t>
      </w:r>
      <w:r w:rsidR="00E02920">
        <w:t xml:space="preserve"> </w:t>
      </w:r>
    </w:p>
    <w:p w14:paraId="25DC99BF" w14:textId="7A567E0F" w:rsidR="00B97B35" w:rsidRDefault="00F97AEC" w:rsidP="008F031F">
      <w:pPr>
        <w:pStyle w:val="SingleTxtG"/>
        <w:spacing w:after="0"/>
      </w:pPr>
      <w:r>
        <w:t>8</w:t>
      </w:r>
      <w:r w:rsidR="000A3771">
        <w:t>.</w:t>
      </w:r>
      <w:r w:rsidR="000A3771">
        <w:tab/>
        <w:t>The Working Group commented</w:t>
      </w:r>
      <w:r w:rsidR="00F316E7">
        <w:t xml:space="preserve"> </w:t>
      </w:r>
      <w:r w:rsidR="006C01D3">
        <w:t xml:space="preserve">on </w:t>
      </w:r>
      <w:r w:rsidR="00F316E7">
        <w:t xml:space="preserve">the Bureau’s proposals </w:t>
      </w:r>
      <w:r w:rsidR="003038B2">
        <w:t xml:space="preserve">for the </w:t>
      </w:r>
      <w:r w:rsidR="00D37EA4" w:rsidRPr="00472C96">
        <w:t>fill</w:t>
      </w:r>
      <w:r w:rsidR="003038B2">
        <w:t>ing of</w:t>
      </w:r>
      <w:r w:rsidR="00D37EA4" w:rsidRPr="00472C96">
        <w:t xml:space="preserve"> the</w:t>
      </w:r>
      <w:r w:rsidR="00B97B35">
        <w:t xml:space="preserve"> six-month</w:t>
      </w:r>
      <w:r w:rsidR="00D37EA4" w:rsidRPr="00472C96">
        <w:t xml:space="preserve"> </w:t>
      </w:r>
      <w:r w:rsidR="0096378D">
        <w:t xml:space="preserve">funding </w:t>
      </w:r>
      <w:r w:rsidR="00F57BEA">
        <w:t>gap</w:t>
      </w:r>
      <w:r w:rsidR="0096378D">
        <w:t xml:space="preserve"> created by the extension of the </w:t>
      </w:r>
      <w:r w:rsidR="00C86C5A">
        <w:t xml:space="preserve">current </w:t>
      </w:r>
      <w:r w:rsidR="0096378D">
        <w:t>intersessional period</w:t>
      </w:r>
      <w:r w:rsidR="00B97B35">
        <w:t xml:space="preserve"> and</w:t>
      </w:r>
      <w:r w:rsidR="00B426E4">
        <w:t xml:space="preserve">, in </w:t>
      </w:r>
      <w:r w:rsidR="00C86C5A">
        <w:t>the</w:t>
      </w:r>
      <w:r w:rsidR="00B426E4">
        <w:t xml:space="preserve"> long run,</w:t>
      </w:r>
      <w:r w:rsidR="00B97B35">
        <w:t xml:space="preserve"> </w:t>
      </w:r>
      <w:r w:rsidR="003038B2">
        <w:t xml:space="preserve">for a </w:t>
      </w:r>
      <w:r w:rsidR="00B97B35" w:rsidRPr="00B97B35">
        <w:t>more predictable, sustainable and equitably distribute</w:t>
      </w:r>
      <w:r w:rsidR="00495BFC">
        <w:t xml:space="preserve">d funding for the workplan </w:t>
      </w:r>
      <w:r w:rsidR="00B97B35" w:rsidRPr="00B97B35">
        <w:t>implementation and the secretariat</w:t>
      </w:r>
      <w:r w:rsidR="00801F31">
        <w:t xml:space="preserve"> services</w:t>
      </w:r>
      <w:r w:rsidR="00B97B35" w:rsidRPr="00B97B35">
        <w:t xml:space="preserve"> under the Convention and </w:t>
      </w:r>
      <w:r w:rsidR="00495BFC">
        <w:t>its Protocol (</w:t>
      </w:r>
      <w:r w:rsidR="00495BFC" w:rsidRPr="00CD6BE2">
        <w:t>ECE/MP.EIA/WG.2/201</w:t>
      </w:r>
      <w:r w:rsidR="00495BFC">
        <w:t>9</w:t>
      </w:r>
      <w:r w:rsidR="00495BFC" w:rsidRPr="00CD6BE2">
        <w:t>/</w:t>
      </w:r>
      <w:r w:rsidR="00D80DFF">
        <w:t>INF.</w:t>
      </w:r>
      <w:r w:rsidR="00801F31">
        <w:t>2</w:t>
      </w:r>
      <w:r w:rsidR="00495BFC">
        <w:t>).</w:t>
      </w:r>
      <w:r w:rsidR="00B97B35" w:rsidRPr="00B97B35">
        <w:t xml:space="preserve"> The Working Group </w:t>
      </w:r>
      <w:r w:rsidR="00495BFC" w:rsidRPr="00495BFC">
        <w:t>acknowledged the</w:t>
      </w:r>
      <w:r w:rsidR="00495BFC">
        <w:t xml:space="preserve"> gravity of the</w:t>
      </w:r>
      <w:r w:rsidR="00495BFC" w:rsidRPr="00495BFC">
        <w:t xml:space="preserve"> resource constraint</w:t>
      </w:r>
      <w:r w:rsidR="00495BFC">
        <w:t>s</w:t>
      </w:r>
      <w:r w:rsidR="00801F31">
        <w:t xml:space="preserve"> and</w:t>
      </w:r>
      <w:r w:rsidR="00495BFC">
        <w:t xml:space="preserve"> a</w:t>
      </w:r>
      <w:r w:rsidR="00B97B35" w:rsidRPr="00B97B35">
        <w:t>greed that</w:t>
      </w:r>
      <w:r w:rsidR="00B97B35">
        <w:t xml:space="preserve"> it was necessary for all Parties to</w:t>
      </w:r>
      <w:r w:rsidR="00876D45">
        <w:t xml:space="preserve"> contribute</w:t>
      </w:r>
      <w:r w:rsidR="00801F31">
        <w:t xml:space="preserve"> </w:t>
      </w:r>
      <w:r w:rsidR="00876D45">
        <w:t>to cover</w:t>
      </w:r>
      <w:r w:rsidR="00800281">
        <w:t>ing</w:t>
      </w:r>
      <w:r w:rsidR="00876D45">
        <w:t xml:space="preserve"> </w:t>
      </w:r>
      <w:r w:rsidR="00B97B35" w:rsidRPr="00B97B35">
        <w:t xml:space="preserve">the costs of the </w:t>
      </w:r>
      <w:r w:rsidR="00B97B35">
        <w:t>extrabudgetary staff member of the secretariat</w:t>
      </w:r>
      <w:r w:rsidR="00876D45">
        <w:t xml:space="preserve"> and any other costs in the second half of 2020</w:t>
      </w:r>
      <w:r w:rsidR="00801F31">
        <w:t xml:space="preserve"> in order </w:t>
      </w:r>
      <w:r w:rsidR="00B97B35" w:rsidRPr="00B97B35">
        <w:t xml:space="preserve">to </w:t>
      </w:r>
      <w:r w:rsidR="00876D45">
        <w:t xml:space="preserve">secure the functioning of the </w:t>
      </w:r>
      <w:r w:rsidR="00B97B35" w:rsidRPr="00B97B35">
        <w:t>Convention</w:t>
      </w:r>
      <w:r w:rsidR="00876D45">
        <w:t xml:space="preserve"> and the Protocol and </w:t>
      </w:r>
      <w:r w:rsidR="00B97B35" w:rsidRPr="00B97B35">
        <w:t>the</w:t>
      </w:r>
      <w:r w:rsidR="00876D45">
        <w:t xml:space="preserve"> convening of the next sessions of the</w:t>
      </w:r>
      <w:r w:rsidR="00B97B35" w:rsidRPr="00B97B35">
        <w:t xml:space="preserve"> Meetings of the Parties</w:t>
      </w:r>
      <w:r w:rsidR="00876D45">
        <w:t xml:space="preserve">, </w:t>
      </w:r>
      <w:r w:rsidR="00B97B35" w:rsidRPr="00B97B35">
        <w:t xml:space="preserve">scheduled </w:t>
      </w:r>
      <w:r w:rsidR="00012987">
        <w:t>to be held in Vilnius, from</w:t>
      </w:r>
      <w:r w:rsidR="00B97B35" w:rsidRPr="00B97B35">
        <w:t xml:space="preserve"> 8</w:t>
      </w:r>
      <w:r w:rsidR="00012987">
        <w:t xml:space="preserve"> to </w:t>
      </w:r>
      <w:r w:rsidR="00B97B35" w:rsidRPr="00B97B35">
        <w:t>11 December 2020.</w:t>
      </w:r>
      <w:r w:rsidR="000B5931">
        <w:t xml:space="preserve"> The Working Group also </w:t>
      </w:r>
      <w:r w:rsidR="00120B81">
        <w:t xml:space="preserve">acknowledged in general that </w:t>
      </w:r>
      <w:r w:rsidR="00911AB8">
        <w:t>the financial and human</w:t>
      </w:r>
      <w:r w:rsidR="000B5931">
        <w:t xml:space="preserve"> </w:t>
      </w:r>
      <w:r w:rsidR="00321EB8">
        <w:t>resources</w:t>
      </w:r>
      <w:r w:rsidR="00911AB8">
        <w:t xml:space="preserve"> available for servicing the two treaties</w:t>
      </w:r>
      <w:r w:rsidR="00120B81">
        <w:t xml:space="preserve"> </w:t>
      </w:r>
      <w:r w:rsidR="00B426E4">
        <w:t>were limited</w:t>
      </w:r>
      <w:r w:rsidR="00120B81">
        <w:t xml:space="preserve"> in comparison with the secretariats of the other </w:t>
      </w:r>
      <w:r w:rsidR="008F031F">
        <w:t xml:space="preserve">ECE </w:t>
      </w:r>
      <w:r w:rsidR="00120B81">
        <w:t>multilateral environmental agreements</w:t>
      </w:r>
      <w:r w:rsidR="008F031F">
        <w:t xml:space="preserve">, </w:t>
      </w:r>
      <w:r w:rsidR="00120B81">
        <w:t xml:space="preserve">while </w:t>
      </w:r>
      <w:r w:rsidR="008F031F">
        <w:t xml:space="preserve">activities </w:t>
      </w:r>
      <w:r w:rsidR="001B5B1F">
        <w:t xml:space="preserve">had considerably increased </w:t>
      </w:r>
      <w:r w:rsidR="007C1768">
        <w:t>over the past decades.</w:t>
      </w:r>
      <w:r w:rsidR="00120B81">
        <w:t xml:space="preserve"> It recognized the </w:t>
      </w:r>
      <w:r w:rsidR="00120B81" w:rsidRPr="00120B81">
        <w:t xml:space="preserve">need </w:t>
      </w:r>
      <w:r w:rsidR="00EA5371">
        <w:t>to</w:t>
      </w:r>
      <w:r w:rsidR="008F031F">
        <w:t xml:space="preserve"> </w:t>
      </w:r>
      <w:r w:rsidR="00EA5371">
        <w:t xml:space="preserve">ensure that </w:t>
      </w:r>
      <w:r w:rsidR="008F031F">
        <w:t>the</w:t>
      </w:r>
      <w:r w:rsidR="00120B81">
        <w:t xml:space="preserve"> </w:t>
      </w:r>
      <w:r w:rsidR="00120B81" w:rsidRPr="00120B81">
        <w:t xml:space="preserve">secretariat’s </w:t>
      </w:r>
      <w:r w:rsidR="008F031F">
        <w:t xml:space="preserve">workload </w:t>
      </w:r>
      <w:r w:rsidR="00EA5371">
        <w:t xml:space="preserve">better </w:t>
      </w:r>
      <w:r w:rsidR="008F031F">
        <w:t>match</w:t>
      </w:r>
      <w:r w:rsidR="00EA5371">
        <w:t>ed</w:t>
      </w:r>
      <w:r w:rsidR="008F031F">
        <w:t xml:space="preserve"> its workforce, e</w:t>
      </w:r>
      <w:r w:rsidR="00120B81">
        <w:t>ither through funding further</w:t>
      </w:r>
      <w:r w:rsidR="008F031F">
        <w:t xml:space="preserve"> staffing of the</w:t>
      </w:r>
      <w:r w:rsidR="00120B81">
        <w:t xml:space="preserve"> </w:t>
      </w:r>
      <w:r w:rsidR="008F031F">
        <w:t xml:space="preserve">secretariat </w:t>
      </w:r>
      <w:r w:rsidR="00120B81">
        <w:t xml:space="preserve">or through </w:t>
      </w:r>
      <w:r w:rsidR="00120B81" w:rsidRPr="00120B81">
        <w:t xml:space="preserve">cutting </w:t>
      </w:r>
      <w:r w:rsidR="008F031F">
        <w:t xml:space="preserve">some of its </w:t>
      </w:r>
      <w:r w:rsidR="00120B81" w:rsidRPr="00120B81">
        <w:t xml:space="preserve">tasks and services. </w:t>
      </w:r>
    </w:p>
    <w:p w14:paraId="59AB5047" w14:textId="77777777" w:rsidR="00B97B35" w:rsidRDefault="00B97B35" w:rsidP="00F316E7">
      <w:pPr>
        <w:pStyle w:val="SingleTxtG"/>
        <w:spacing w:after="0"/>
      </w:pPr>
    </w:p>
    <w:p w14:paraId="40139D88" w14:textId="23514DBD" w:rsidR="00C30EC9" w:rsidRPr="00C30EC9" w:rsidRDefault="00801F31" w:rsidP="00C30EC9">
      <w:pPr>
        <w:pStyle w:val="SingleTxtG"/>
        <w:rPr>
          <w:lang w:val="en-US"/>
        </w:rPr>
      </w:pPr>
      <w:r>
        <w:t>9</w:t>
      </w:r>
      <w:r w:rsidR="00526EE0">
        <w:t>.</w:t>
      </w:r>
      <w:r w:rsidR="00526EE0">
        <w:tab/>
      </w:r>
      <w:r w:rsidR="001B5B1F">
        <w:t>T</w:t>
      </w:r>
      <w:r w:rsidR="008B0FCE">
        <w:rPr>
          <w:lang w:val="en-US"/>
        </w:rPr>
        <w:t>he Working Group</w:t>
      </w:r>
      <w:r w:rsidR="00705174">
        <w:rPr>
          <w:lang w:val="en-US"/>
        </w:rPr>
        <w:t xml:space="preserve"> invited the </w:t>
      </w:r>
      <w:r w:rsidR="00705174" w:rsidRPr="003E1118">
        <w:t>Executive Secretary of ECE to send letters to Parties’ foreign ministers and environment ministers in late 2019</w:t>
      </w:r>
      <w:r w:rsidR="00705174">
        <w:t xml:space="preserve"> and</w:t>
      </w:r>
      <w:r w:rsidR="00813224">
        <w:t xml:space="preserve"> again i</w:t>
      </w:r>
      <w:r w:rsidR="00705174" w:rsidRPr="003E1118">
        <w:t xml:space="preserve">n </w:t>
      </w:r>
      <w:r w:rsidR="00813224">
        <w:t xml:space="preserve">2020, in </w:t>
      </w:r>
      <w:r w:rsidR="00705174" w:rsidRPr="003E1118">
        <w:t>advance of the next sessions of the Meetings of the Parties</w:t>
      </w:r>
      <w:r w:rsidR="00813224">
        <w:t>,</w:t>
      </w:r>
      <w:r w:rsidR="004D26DD">
        <w:t xml:space="preserve"> </w:t>
      </w:r>
      <w:r w:rsidR="00705174">
        <w:t>i</w:t>
      </w:r>
      <w:r w:rsidR="00705174" w:rsidRPr="003E1118">
        <w:t>nvit</w:t>
      </w:r>
      <w:r w:rsidR="00DA4045">
        <w:t>ing</w:t>
      </w:r>
      <w:r w:rsidR="00705174">
        <w:t xml:space="preserve"> </w:t>
      </w:r>
      <w:r w:rsidR="00813224">
        <w:t xml:space="preserve">all </w:t>
      </w:r>
      <w:r w:rsidR="00705174">
        <w:t xml:space="preserve">Parties </w:t>
      </w:r>
      <w:r w:rsidR="00705174" w:rsidRPr="003E1118">
        <w:t>to identify funding</w:t>
      </w:r>
      <w:r w:rsidR="00705174" w:rsidRPr="00D1677A">
        <w:t xml:space="preserve"> to </w:t>
      </w:r>
      <w:r w:rsidR="003427CE">
        <w:t xml:space="preserve">fill </w:t>
      </w:r>
      <w:r w:rsidR="00705174" w:rsidRPr="00D1677A">
        <w:t>the</w:t>
      </w:r>
      <w:r w:rsidR="00B426E4">
        <w:t xml:space="preserve"> six-month</w:t>
      </w:r>
      <w:r w:rsidR="00705174" w:rsidRPr="00D1677A">
        <w:t xml:space="preserve"> budgetary </w:t>
      </w:r>
      <w:r w:rsidR="003427CE">
        <w:t>gap</w:t>
      </w:r>
      <w:r w:rsidR="00705174" w:rsidRPr="00D1677A">
        <w:t>, and to</w:t>
      </w:r>
      <w:r w:rsidR="00813224">
        <w:t xml:space="preserve"> </w:t>
      </w:r>
      <w:r w:rsidR="00705174" w:rsidRPr="00D1677A">
        <w:t>increas</w:t>
      </w:r>
      <w:r w:rsidR="00941750">
        <w:t>e</w:t>
      </w:r>
      <w:r w:rsidR="00705174" w:rsidRPr="00D1677A">
        <w:t xml:space="preserve"> funding for the two treaties </w:t>
      </w:r>
      <w:r w:rsidR="003427CE">
        <w:t xml:space="preserve">for the </w:t>
      </w:r>
      <w:r w:rsidR="00705174" w:rsidRPr="00D1677A">
        <w:t>forthcoming intersessional period</w:t>
      </w:r>
      <w:r w:rsidR="003427CE">
        <w:t xml:space="preserve"> and beyond</w:t>
      </w:r>
      <w:r w:rsidR="00E80B63">
        <w:t>.</w:t>
      </w:r>
      <w:r w:rsidR="004D26DD">
        <w:t xml:space="preserve"> </w:t>
      </w:r>
      <w:r w:rsidR="004D26DD" w:rsidRPr="004D26DD">
        <w:rPr>
          <w:lang w:val="en-US"/>
        </w:rPr>
        <w:t>The letter</w:t>
      </w:r>
      <w:r w:rsidR="004D26DD">
        <w:rPr>
          <w:lang w:val="en-US"/>
        </w:rPr>
        <w:t>s</w:t>
      </w:r>
      <w:r w:rsidR="004D26DD" w:rsidRPr="004D26DD">
        <w:rPr>
          <w:lang w:val="en-US"/>
        </w:rPr>
        <w:t xml:space="preserve"> </w:t>
      </w:r>
      <w:r w:rsidR="00327C47">
        <w:rPr>
          <w:lang w:val="en-US"/>
        </w:rPr>
        <w:t>sh</w:t>
      </w:r>
      <w:r w:rsidR="00F460EA">
        <w:rPr>
          <w:lang w:val="en-US"/>
        </w:rPr>
        <w:t>ould</w:t>
      </w:r>
      <w:r w:rsidR="004D26DD" w:rsidRPr="004D26DD">
        <w:rPr>
          <w:lang w:val="en-US"/>
        </w:rPr>
        <w:t xml:space="preserve"> </w:t>
      </w:r>
      <w:r w:rsidR="00941750">
        <w:rPr>
          <w:lang w:val="en-US"/>
        </w:rPr>
        <w:t>indicate the</w:t>
      </w:r>
      <w:r w:rsidR="004D26DD" w:rsidRPr="004D26DD">
        <w:rPr>
          <w:lang w:val="en-US"/>
        </w:rPr>
        <w:t xml:space="preserve"> likely consequences of the </w:t>
      </w:r>
      <w:r w:rsidR="00B426E4">
        <w:rPr>
          <w:lang w:val="en-US"/>
        </w:rPr>
        <w:t xml:space="preserve">lack of further resources, </w:t>
      </w:r>
      <w:r w:rsidR="003427CE">
        <w:rPr>
          <w:lang w:val="en-US"/>
        </w:rPr>
        <w:t xml:space="preserve">including, </w:t>
      </w:r>
      <w:r w:rsidR="00941750">
        <w:rPr>
          <w:lang w:val="en-US"/>
        </w:rPr>
        <w:t xml:space="preserve">in </w:t>
      </w:r>
      <w:r w:rsidR="00DA4045">
        <w:rPr>
          <w:lang w:val="en-US"/>
        </w:rPr>
        <w:t>the</w:t>
      </w:r>
      <w:r w:rsidR="00941750">
        <w:rPr>
          <w:lang w:val="en-US"/>
        </w:rPr>
        <w:t xml:space="preserve"> short term, </w:t>
      </w:r>
      <w:r w:rsidR="003427CE">
        <w:rPr>
          <w:lang w:val="en-US"/>
        </w:rPr>
        <w:t xml:space="preserve">the incapacity to </w:t>
      </w:r>
      <w:r w:rsidR="008F031F">
        <w:rPr>
          <w:lang w:val="en-US"/>
        </w:rPr>
        <w:t xml:space="preserve">guarantee the </w:t>
      </w:r>
      <w:r w:rsidR="003427CE">
        <w:rPr>
          <w:lang w:val="en-US"/>
        </w:rPr>
        <w:t>organiz</w:t>
      </w:r>
      <w:r w:rsidR="008F031F">
        <w:rPr>
          <w:lang w:val="en-US"/>
        </w:rPr>
        <w:t xml:space="preserve">ation of </w:t>
      </w:r>
      <w:r w:rsidR="00941750">
        <w:rPr>
          <w:lang w:val="en-US"/>
        </w:rPr>
        <w:t>the next sessions of the Meetings of the Parties</w:t>
      </w:r>
      <w:r w:rsidR="00B426E4">
        <w:rPr>
          <w:lang w:val="en-US"/>
        </w:rPr>
        <w:t>, and</w:t>
      </w:r>
      <w:r w:rsidR="00DA4045">
        <w:rPr>
          <w:lang w:val="en-US"/>
        </w:rPr>
        <w:t>,</w:t>
      </w:r>
      <w:r w:rsidR="00B426E4">
        <w:rPr>
          <w:lang w:val="en-US"/>
        </w:rPr>
        <w:t xml:space="preserve"> i</w:t>
      </w:r>
      <w:r w:rsidR="00941750">
        <w:rPr>
          <w:lang w:val="en-US"/>
        </w:rPr>
        <w:t xml:space="preserve">n </w:t>
      </w:r>
      <w:r w:rsidR="00DA4045">
        <w:rPr>
          <w:lang w:val="en-US"/>
        </w:rPr>
        <w:t>the</w:t>
      </w:r>
      <w:r w:rsidR="00941750">
        <w:rPr>
          <w:lang w:val="en-US"/>
        </w:rPr>
        <w:t xml:space="preserve"> longer term, </w:t>
      </w:r>
      <w:r w:rsidR="00DA4045">
        <w:rPr>
          <w:lang w:val="en-US"/>
        </w:rPr>
        <w:t xml:space="preserve">the </w:t>
      </w:r>
      <w:r w:rsidR="00623D13">
        <w:rPr>
          <w:lang w:val="en-US"/>
        </w:rPr>
        <w:t>cut</w:t>
      </w:r>
      <w:r w:rsidR="00DA4045">
        <w:rPr>
          <w:lang w:val="en-US"/>
        </w:rPr>
        <w:t>ting</w:t>
      </w:r>
      <w:r w:rsidR="00623D13">
        <w:rPr>
          <w:lang w:val="en-US"/>
        </w:rPr>
        <w:t xml:space="preserve"> and/or downscal</w:t>
      </w:r>
      <w:r w:rsidR="00DA4045">
        <w:rPr>
          <w:lang w:val="en-US"/>
        </w:rPr>
        <w:t>ing of</w:t>
      </w:r>
      <w:r w:rsidR="00623D13">
        <w:rPr>
          <w:lang w:val="en-US"/>
        </w:rPr>
        <w:t xml:space="preserve"> </w:t>
      </w:r>
      <w:r w:rsidR="003427CE">
        <w:rPr>
          <w:lang w:val="en-US"/>
        </w:rPr>
        <w:t xml:space="preserve">some of the secretariat’s </w:t>
      </w:r>
      <w:r w:rsidR="00C30EF4">
        <w:rPr>
          <w:lang w:val="en-US"/>
        </w:rPr>
        <w:t>tasks</w:t>
      </w:r>
      <w:r w:rsidR="00455E82">
        <w:rPr>
          <w:lang w:val="en-US"/>
        </w:rPr>
        <w:t xml:space="preserve">. </w:t>
      </w:r>
      <w:r w:rsidR="008F031F">
        <w:rPr>
          <w:lang w:val="en-US"/>
        </w:rPr>
        <w:t>T</w:t>
      </w:r>
      <w:r w:rsidR="008F031F" w:rsidRPr="008F031F">
        <w:rPr>
          <w:lang w:val="en-US"/>
        </w:rPr>
        <w:t xml:space="preserve">he </w:t>
      </w:r>
      <w:r w:rsidR="008F031F">
        <w:rPr>
          <w:lang w:val="en-US"/>
        </w:rPr>
        <w:t xml:space="preserve">Working Group invited the </w:t>
      </w:r>
      <w:r w:rsidR="008F031F" w:rsidRPr="008F031F">
        <w:rPr>
          <w:lang w:val="en-US"/>
        </w:rPr>
        <w:t xml:space="preserve">Bureau </w:t>
      </w:r>
      <w:r w:rsidR="008F031F">
        <w:rPr>
          <w:lang w:val="en-US"/>
        </w:rPr>
        <w:t>t</w:t>
      </w:r>
      <w:r w:rsidR="008F031F" w:rsidRPr="008F031F">
        <w:rPr>
          <w:lang w:val="en-US"/>
        </w:rPr>
        <w:t>o review the secretariat</w:t>
      </w:r>
      <w:r w:rsidR="00DA4045">
        <w:rPr>
          <w:lang w:val="en-US"/>
        </w:rPr>
        <w:t>’s</w:t>
      </w:r>
      <w:r w:rsidR="008F031F" w:rsidRPr="008F031F">
        <w:rPr>
          <w:lang w:val="en-US"/>
        </w:rPr>
        <w:t xml:space="preserve"> tasks and to identify services and activities </w:t>
      </w:r>
      <w:r w:rsidR="00DA4045">
        <w:rPr>
          <w:lang w:val="en-US"/>
        </w:rPr>
        <w:t xml:space="preserve">that </w:t>
      </w:r>
      <w:r w:rsidR="008F031F" w:rsidRPr="008F031F">
        <w:rPr>
          <w:lang w:val="en-US"/>
        </w:rPr>
        <w:t>could be cut</w:t>
      </w:r>
      <w:r w:rsidR="008F031F">
        <w:rPr>
          <w:lang w:val="en-US"/>
        </w:rPr>
        <w:t xml:space="preserve"> should further funding not be forthcoming. </w:t>
      </w:r>
      <w:r w:rsidR="003F3EC9">
        <w:rPr>
          <w:lang w:val="en-US"/>
        </w:rPr>
        <w:t>At its next meeting in June 2020, t</w:t>
      </w:r>
      <w:r w:rsidR="004224DA">
        <w:rPr>
          <w:lang w:val="en-US"/>
        </w:rPr>
        <w:t xml:space="preserve">he Working Group </w:t>
      </w:r>
      <w:r w:rsidR="003F3EC9">
        <w:rPr>
          <w:lang w:val="en-US"/>
        </w:rPr>
        <w:t xml:space="preserve">also </w:t>
      </w:r>
      <w:r w:rsidR="004224DA">
        <w:rPr>
          <w:lang w:val="en-US"/>
        </w:rPr>
        <w:t xml:space="preserve">agreed to discuss </w:t>
      </w:r>
      <w:r w:rsidR="003F3EC9">
        <w:rPr>
          <w:lang w:val="en-US"/>
        </w:rPr>
        <w:t xml:space="preserve">the full contents </w:t>
      </w:r>
      <w:r w:rsidR="004224DA" w:rsidRPr="004224DA">
        <w:rPr>
          <w:lang w:val="en-US"/>
        </w:rPr>
        <w:t>of</w:t>
      </w:r>
      <w:r w:rsidR="004224DA">
        <w:rPr>
          <w:lang w:val="en-US"/>
        </w:rPr>
        <w:t xml:space="preserve"> </w:t>
      </w:r>
      <w:r w:rsidR="003F3EC9">
        <w:rPr>
          <w:lang w:val="en-US"/>
        </w:rPr>
        <w:t xml:space="preserve">the </w:t>
      </w:r>
      <w:r w:rsidR="004224DA" w:rsidRPr="004224DA">
        <w:rPr>
          <w:lang w:val="en-US"/>
        </w:rPr>
        <w:t>letters to be</w:t>
      </w:r>
      <w:r w:rsidR="004224DA">
        <w:rPr>
          <w:lang w:val="en-US"/>
        </w:rPr>
        <w:t xml:space="preserve"> sent</w:t>
      </w:r>
      <w:r w:rsidR="003F3EC9">
        <w:rPr>
          <w:lang w:val="en-US"/>
        </w:rPr>
        <w:t xml:space="preserve"> to Parties</w:t>
      </w:r>
      <w:r w:rsidR="00285CED">
        <w:rPr>
          <w:lang w:val="en-US"/>
        </w:rPr>
        <w:t xml:space="preserve"> in 2020</w:t>
      </w:r>
      <w:r w:rsidR="004224DA">
        <w:rPr>
          <w:lang w:val="en-US"/>
        </w:rPr>
        <w:t xml:space="preserve">. </w:t>
      </w:r>
      <w:r w:rsidR="004D26DD">
        <w:rPr>
          <w:lang w:val="en-US"/>
        </w:rPr>
        <w:br/>
      </w:r>
      <w:r w:rsidR="004D26DD">
        <w:rPr>
          <w:lang w:val="en-US"/>
        </w:rPr>
        <w:br/>
      </w:r>
      <w:r w:rsidR="003F3EC9">
        <w:rPr>
          <w:lang w:val="en-US"/>
        </w:rPr>
        <w:lastRenderedPageBreak/>
        <w:t>10</w:t>
      </w:r>
      <w:r w:rsidR="00796BEA">
        <w:rPr>
          <w:lang w:val="en-US"/>
        </w:rPr>
        <w:t xml:space="preserve">. </w:t>
      </w:r>
      <w:r w:rsidR="00796BEA">
        <w:rPr>
          <w:lang w:val="en-US"/>
        </w:rPr>
        <w:tab/>
      </w:r>
      <w:r w:rsidR="00BB687E">
        <w:rPr>
          <w:lang w:val="en-US"/>
        </w:rPr>
        <w:t xml:space="preserve">The Working Group </w:t>
      </w:r>
      <w:r w:rsidR="00EE2C1B">
        <w:rPr>
          <w:lang w:val="en-US"/>
        </w:rPr>
        <w:t xml:space="preserve">considered </w:t>
      </w:r>
      <w:r w:rsidR="00CC14A3">
        <w:rPr>
          <w:lang w:val="en-US"/>
        </w:rPr>
        <w:t xml:space="preserve">the </w:t>
      </w:r>
      <w:r w:rsidR="00EE2C1B">
        <w:rPr>
          <w:lang w:val="en-US"/>
        </w:rPr>
        <w:t xml:space="preserve">proposed </w:t>
      </w:r>
      <w:r w:rsidR="00BB687E" w:rsidRPr="007864C5">
        <w:t>scheme</w:t>
      </w:r>
      <w:r w:rsidR="00EE2C1B">
        <w:t>s</w:t>
      </w:r>
      <w:r w:rsidR="00BB687E" w:rsidRPr="007864C5">
        <w:t xml:space="preserve"> of financial contributions for covering the budgeted costs </w:t>
      </w:r>
      <w:r w:rsidR="00CC14A3">
        <w:t xml:space="preserve">under the Convention and the Protocol in </w:t>
      </w:r>
      <w:r w:rsidR="00BB687E" w:rsidRPr="007864C5">
        <w:t>the next intersessional period</w:t>
      </w:r>
      <w:r w:rsidR="00CC14A3">
        <w:t xml:space="preserve"> 2021</w:t>
      </w:r>
      <w:r w:rsidR="00C135A8">
        <w:t>–</w:t>
      </w:r>
      <w:r w:rsidR="00CC14A3">
        <w:t xml:space="preserve">2023 in </w:t>
      </w:r>
      <w:r w:rsidR="00A96EE5">
        <w:t xml:space="preserve">the </w:t>
      </w:r>
      <w:r w:rsidR="00CC14A3">
        <w:t xml:space="preserve">draft </w:t>
      </w:r>
      <w:r w:rsidR="00A32D77" w:rsidRPr="00796BEA">
        <w:rPr>
          <w:lang w:val="en-US"/>
        </w:rPr>
        <w:t>decision</w:t>
      </w:r>
      <w:r w:rsidR="00796BEA" w:rsidRPr="00796BEA">
        <w:rPr>
          <w:lang w:val="en-US"/>
        </w:rPr>
        <w:t xml:space="preserve"> </w:t>
      </w:r>
      <w:r w:rsidR="00CC14A3">
        <w:rPr>
          <w:lang w:val="en-US"/>
        </w:rPr>
        <w:t xml:space="preserve">of the Meetings of the Parties </w:t>
      </w:r>
      <w:r w:rsidR="00BB687E">
        <w:rPr>
          <w:lang w:val="en-US"/>
        </w:rPr>
        <w:t>on b</w:t>
      </w:r>
      <w:proofErr w:type="spellStart"/>
      <w:r w:rsidR="00BB687E" w:rsidRPr="007864C5">
        <w:t>udget</w:t>
      </w:r>
      <w:proofErr w:type="spellEnd"/>
      <w:r w:rsidR="00BB687E" w:rsidRPr="007864C5">
        <w:t>, financial arrangements and financial assistance</w:t>
      </w:r>
      <w:r w:rsidR="00EE2C1B">
        <w:t xml:space="preserve"> prepared by the Bureau</w:t>
      </w:r>
      <w:r w:rsidR="002F131E">
        <w:t xml:space="preserve"> (</w:t>
      </w:r>
      <w:r w:rsidR="002F131E" w:rsidRPr="002F131E">
        <w:t>ECE/MP.EIA/WG.2/2019/INF.2</w:t>
      </w:r>
      <w:r w:rsidR="00A61683">
        <w:t>, annex I</w:t>
      </w:r>
      <w:r w:rsidR="002F131E">
        <w:t>)</w:t>
      </w:r>
      <w:r w:rsidR="00EE2C1B">
        <w:t xml:space="preserve">. It agreed that </w:t>
      </w:r>
      <w:r w:rsidR="008A6C04">
        <w:t xml:space="preserve">any </w:t>
      </w:r>
      <w:r w:rsidR="00EE2C1B">
        <w:t>scheme</w:t>
      </w:r>
      <w:r w:rsidR="00BB687E" w:rsidRPr="00796BEA">
        <w:rPr>
          <w:lang w:val="en-US"/>
        </w:rPr>
        <w:t xml:space="preserve"> </w:t>
      </w:r>
      <w:r w:rsidR="00537BDC">
        <w:rPr>
          <w:lang w:val="en-US"/>
        </w:rPr>
        <w:t xml:space="preserve">adopted </w:t>
      </w:r>
      <w:r w:rsidR="00796BEA" w:rsidRPr="00796BEA">
        <w:rPr>
          <w:lang w:val="en-US"/>
        </w:rPr>
        <w:t xml:space="preserve">should provide for </w:t>
      </w:r>
      <w:r w:rsidR="00CC14A3">
        <w:rPr>
          <w:lang w:val="en-US"/>
        </w:rPr>
        <w:t xml:space="preserve">a </w:t>
      </w:r>
      <w:r w:rsidR="00796BEA" w:rsidRPr="00796BEA">
        <w:rPr>
          <w:lang w:val="en-US"/>
        </w:rPr>
        <w:t xml:space="preserve">more predictable, sustainable </w:t>
      </w:r>
      <w:r w:rsidR="00BB687E">
        <w:rPr>
          <w:lang w:val="en-US"/>
        </w:rPr>
        <w:t>and</w:t>
      </w:r>
      <w:r w:rsidR="00796BEA" w:rsidRPr="00796BEA">
        <w:rPr>
          <w:lang w:val="en-US"/>
        </w:rPr>
        <w:t xml:space="preserve"> equitable </w:t>
      </w:r>
      <w:r w:rsidR="00BB687E">
        <w:rPr>
          <w:lang w:val="en-US"/>
        </w:rPr>
        <w:t>extrabudgetary</w:t>
      </w:r>
      <w:r w:rsidR="00796BEA" w:rsidRPr="00796BEA">
        <w:rPr>
          <w:lang w:val="en-US"/>
        </w:rPr>
        <w:t xml:space="preserve"> funding</w:t>
      </w:r>
      <w:r w:rsidR="00BB687E">
        <w:rPr>
          <w:lang w:val="en-US"/>
        </w:rPr>
        <w:t>. It</w:t>
      </w:r>
      <w:r w:rsidR="00CC14A3">
        <w:rPr>
          <w:lang w:val="en-US"/>
        </w:rPr>
        <w:t xml:space="preserve"> </w:t>
      </w:r>
      <w:r w:rsidR="00EE2C1B">
        <w:rPr>
          <w:lang w:val="en-US"/>
        </w:rPr>
        <w:t xml:space="preserve">also </w:t>
      </w:r>
      <w:r w:rsidR="00CC14A3">
        <w:rPr>
          <w:lang w:val="en-US"/>
        </w:rPr>
        <w:t xml:space="preserve">agreed that all the </w:t>
      </w:r>
      <w:r w:rsidR="00BB687E">
        <w:rPr>
          <w:lang w:val="en-US"/>
        </w:rPr>
        <w:t xml:space="preserve">Parties </w:t>
      </w:r>
      <w:r w:rsidR="00CC14A3">
        <w:rPr>
          <w:lang w:val="en-US"/>
        </w:rPr>
        <w:t xml:space="preserve">should be invited to </w:t>
      </w:r>
      <w:r w:rsidR="00BB687E" w:rsidRPr="00B04B6D">
        <w:t>contribute each year</w:t>
      </w:r>
      <w:r w:rsidR="00BB687E" w:rsidRPr="007864C5">
        <w:t xml:space="preserve"> </w:t>
      </w:r>
      <w:r w:rsidR="008A6C04">
        <w:t>to</w:t>
      </w:r>
      <w:r w:rsidR="00CC14A3">
        <w:t xml:space="preserve"> </w:t>
      </w:r>
      <w:r w:rsidR="00BB687E">
        <w:t>ensuring</w:t>
      </w:r>
      <w:r w:rsidR="00CC14A3">
        <w:t xml:space="preserve"> a</w:t>
      </w:r>
      <w:r w:rsidR="00BB687E">
        <w:t xml:space="preserve"> </w:t>
      </w:r>
      <w:r w:rsidR="00BB687E" w:rsidRPr="007864C5">
        <w:t>sustainable funding of activities and an equitable and proportionate sharing of the financial burden among the Parties</w:t>
      </w:r>
      <w:r w:rsidR="00BB687E">
        <w:t>.</w:t>
      </w:r>
      <w:r w:rsidR="00CC14A3">
        <w:t xml:space="preserve"> </w:t>
      </w:r>
      <w:r w:rsidR="00033019">
        <w:rPr>
          <w:lang w:val="en-US"/>
        </w:rPr>
        <w:t>The Working Group r</w:t>
      </w:r>
      <w:r w:rsidR="00796BEA" w:rsidRPr="00796BEA">
        <w:rPr>
          <w:lang w:val="en-US"/>
        </w:rPr>
        <w:t xml:space="preserve">equested </w:t>
      </w:r>
      <w:r w:rsidR="00CC14A3">
        <w:rPr>
          <w:lang w:val="en-US"/>
        </w:rPr>
        <w:t xml:space="preserve">the </w:t>
      </w:r>
      <w:r w:rsidR="00796BEA" w:rsidRPr="00796BEA">
        <w:rPr>
          <w:lang w:val="en-US"/>
        </w:rPr>
        <w:t>Bureau</w:t>
      </w:r>
      <w:r w:rsidR="00537BDC">
        <w:rPr>
          <w:lang w:val="en-US"/>
        </w:rPr>
        <w:t>,</w:t>
      </w:r>
      <w:r w:rsidR="00796BEA" w:rsidRPr="00796BEA">
        <w:rPr>
          <w:lang w:val="en-US"/>
        </w:rPr>
        <w:t xml:space="preserve"> with </w:t>
      </w:r>
      <w:r w:rsidR="00CC14A3">
        <w:rPr>
          <w:lang w:val="en-US"/>
        </w:rPr>
        <w:t xml:space="preserve">support from the </w:t>
      </w:r>
      <w:r w:rsidR="00796BEA" w:rsidRPr="00796BEA">
        <w:rPr>
          <w:lang w:val="en-US"/>
        </w:rPr>
        <w:t>secretariat</w:t>
      </w:r>
      <w:r w:rsidR="00537BDC">
        <w:rPr>
          <w:lang w:val="en-US"/>
        </w:rPr>
        <w:t>,</w:t>
      </w:r>
      <w:r w:rsidR="00796BEA" w:rsidRPr="00796BEA">
        <w:rPr>
          <w:lang w:val="en-US"/>
        </w:rPr>
        <w:t xml:space="preserve"> to review</w:t>
      </w:r>
      <w:r w:rsidR="00C30EC9">
        <w:rPr>
          <w:lang w:val="en-US"/>
        </w:rPr>
        <w:t xml:space="preserve"> and, as needed, revise </w:t>
      </w:r>
      <w:r w:rsidR="00CC14A3">
        <w:rPr>
          <w:lang w:val="en-US"/>
        </w:rPr>
        <w:t xml:space="preserve">the </w:t>
      </w:r>
      <w:r w:rsidR="00796BEA" w:rsidRPr="00796BEA">
        <w:rPr>
          <w:lang w:val="en-US"/>
        </w:rPr>
        <w:t xml:space="preserve">proposed financial schemes </w:t>
      </w:r>
      <w:r w:rsidR="00EE2C1B">
        <w:rPr>
          <w:lang w:val="en-US"/>
        </w:rPr>
        <w:t xml:space="preserve">and the </w:t>
      </w:r>
      <w:r w:rsidR="00CC14A3">
        <w:rPr>
          <w:lang w:val="en-US"/>
        </w:rPr>
        <w:t xml:space="preserve">draft decision </w:t>
      </w:r>
      <w:r w:rsidR="00796BEA" w:rsidRPr="00796BEA">
        <w:rPr>
          <w:lang w:val="en-US"/>
        </w:rPr>
        <w:t>based on</w:t>
      </w:r>
      <w:r w:rsidR="00CC14A3">
        <w:rPr>
          <w:lang w:val="en-US"/>
        </w:rPr>
        <w:t xml:space="preserve"> the</w:t>
      </w:r>
      <w:r w:rsidR="00796BEA" w:rsidRPr="00796BEA">
        <w:rPr>
          <w:lang w:val="en-US"/>
        </w:rPr>
        <w:t xml:space="preserve"> comments</w:t>
      </w:r>
      <w:r w:rsidR="00CC14A3">
        <w:rPr>
          <w:lang w:val="en-US"/>
        </w:rPr>
        <w:t xml:space="preserve"> made</w:t>
      </w:r>
      <w:r w:rsidR="00EE2C1B">
        <w:rPr>
          <w:lang w:val="en-US"/>
        </w:rPr>
        <w:t>,</w:t>
      </w:r>
      <w:r w:rsidR="00C30EC9">
        <w:rPr>
          <w:lang w:val="en-US"/>
        </w:rPr>
        <w:t xml:space="preserve"> in advance of </w:t>
      </w:r>
      <w:r w:rsidR="00C30EC9" w:rsidRPr="00C30EC9">
        <w:rPr>
          <w:lang w:val="en-US"/>
        </w:rPr>
        <w:t>its next meeting</w:t>
      </w:r>
      <w:r w:rsidR="008A6C04">
        <w:rPr>
          <w:lang w:val="en-US"/>
        </w:rPr>
        <w:t>.</w:t>
      </w:r>
    </w:p>
    <w:p w14:paraId="5A21EEDD" w14:textId="715BA97A" w:rsidR="00FE5FB5" w:rsidRPr="00FE5FB5" w:rsidRDefault="00EE2C1B" w:rsidP="00C30EC9">
      <w:pPr>
        <w:pStyle w:val="SingleTxtG"/>
        <w:rPr>
          <w:lang w:val="en-US"/>
        </w:rPr>
      </w:pPr>
      <w:r>
        <w:rPr>
          <w:lang w:val="en-US"/>
        </w:rPr>
        <w:t>11</w:t>
      </w:r>
      <w:r w:rsidR="00C82B8F">
        <w:rPr>
          <w:lang w:val="en-US"/>
        </w:rPr>
        <w:t>.</w:t>
      </w:r>
      <w:r w:rsidR="00C82B8F">
        <w:rPr>
          <w:lang w:val="en-US"/>
        </w:rPr>
        <w:tab/>
      </w:r>
      <w:r w:rsidR="00537BDC">
        <w:rPr>
          <w:lang w:val="en-US"/>
        </w:rPr>
        <w:t>Lastly, t</w:t>
      </w:r>
      <w:r w:rsidR="00C82B8F">
        <w:rPr>
          <w:lang w:val="en-US"/>
        </w:rPr>
        <w:t>he Working Group r</w:t>
      </w:r>
      <w:r w:rsidR="00C82B8F" w:rsidRPr="00C82B8F">
        <w:rPr>
          <w:lang w:val="en-US"/>
        </w:rPr>
        <w:t xml:space="preserve">eiterated </w:t>
      </w:r>
      <w:r>
        <w:rPr>
          <w:lang w:val="en-US"/>
        </w:rPr>
        <w:t>the</w:t>
      </w:r>
      <w:r w:rsidR="00C82B8F" w:rsidRPr="00C82B8F">
        <w:rPr>
          <w:lang w:val="en-US"/>
        </w:rPr>
        <w:t xml:space="preserve"> invitation to delegations to consider sponsoring a Junior Professional Officer to supplement the secretariat’s staffing</w:t>
      </w:r>
      <w:r w:rsidR="00C82B8F">
        <w:rPr>
          <w:lang w:val="en-US"/>
        </w:rPr>
        <w:t>.</w:t>
      </w:r>
    </w:p>
    <w:p w14:paraId="162D4B44" w14:textId="4254DAD0" w:rsidR="00F316E7" w:rsidRPr="00CD6BE2" w:rsidRDefault="00F316E7" w:rsidP="00F316E7">
      <w:pPr>
        <w:pStyle w:val="HChG"/>
        <w:jc w:val="both"/>
      </w:pPr>
      <w:r>
        <w:tab/>
      </w:r>
      <w:r w:rsidRPr="00CD6BE2">
        <w:t>III.</w:t>
      </w:r>
      <w:r w:rsidRPr="00CD6BE2">
        <w:tab/>
      </w:r>
      <w:r>
        <w:t>Status of ratification</w:t>
      </w:r>
    </w:p>
    <w:p w14:paraId="50ECA44F" w14:textId="4A7E6BCD" w:rsidR="007C3FF7" w:rsidRPr="005465F1" w:rsidRDefault="00A32D77" w:rsidP="000961D2">
      <w:pPr>
        <w:spacing w:after="120"/>
        <w:ind w:left="1134" w:right="1134"/>
        <w:jc w:val="both"/>
      </w:pPr>
      <w:r>
        <w:t>12</w:t>
      </w:r>
      <w:r w:rsidR="00B258E2" w:rsidRPr="00CD6BE2">
        <w:t>.</w:t>
      </w:r>
      <w:r w:rsidR="00B258E2" w:rsidRPr="00CD6BE2">
        <w:tab/>
      </w:r>
      <w:r w:rsidR="009F38B6" w:rsidRPr="00CD6BE2">
        <w:t xml:space="preserve">The secretariat </w:t>
      </w:r>
      <w:r>
        <w:t xml:space="preserve">reported </w:t>
      </w:r>
      <w:r w:rsidR="009F38B6" w:rsidRPr="00CD6BE2">
        <w:t>on the status of ratification of the Convention</w:t>
      </w:r>
      <w:r w:rsidR="00F41807" w:rsidRPr="00CD6BE2">
        <w:t xml:space="preserve">, </w:t>
      </w:r>
      <w:r w:rsidR="009F38B6" w:rsidRPr="00CD6BE2">
        <w:t xml:space="preserve">its two amendments and </w:t>
      </w:r>
      <w:r w:rsidR="00537BDC">
        <w:t>the P</w:t>
      </w:r>
      <w:r w:rsidR="009F38B6" w:rsidRPr="00CD6BE2">
        <w:t xml:space="preserve">rotocol </w:t>
      </w:r>
      <w:bookmarkStart w:id="6" w:name="_Hlk27756290"/>
      <w:r w:rsidR="004554CD" w:rsidRPr="00CD6BE2">
        <w:t>(</w:t>
      </w:r>
      <w:bookmarkStart w:id="7" w:name="_Hlk29385916"/>
      <w:r w:rsidR="00F316E7" w:rsidRPr="00546522">
        <w:t>ECE/MP.EIA/WG.2/201</w:t>
      </w:r>
      <w:r w:rsidR="00F316E7">
        <w:t>9/</w:t>
      </w:r>
      <w:r w:rsidR="00F316E7" w:rsidRPr="00546522">
        <w:t>INF.</w:t>
      </w:r>
      <w:r w:rsidR="00F316E7">
        <w:t>3</w:t>
      </w:r>
      <w:bookmarkEnd w:id="7"/>
      <w:r w:rsidR="004554CD" w:rsidRPr="00CD6BE2">
        <w:t>)</w:t>
      </w:r>
      <w:bookmarkEnd w:id="6"/>
      <w:r w:rsidR="00F41807" w:rsidRPr="00CD6BE2">
        <w:t>.</w:t>
      </w:r>
      <w:r w:rsidR="009F38B6" w:rsidRPr="00CD6BE2">
        <w:t xml:space="preserve"> </w:t>
      </w:r>
      <w:r w:rsidR="003D202F">
        <w:t>The Working Group welcomed</w:t>
      </w:r>
      <w:r w:rsidR="004554CD" w:rsidRPr="00CD6BE2">
        <w:t xml:space="preserve"> the </w:t>
      </w:r>
      <w:r w:rsidR="004D1618" w:rsidRPr="00CD6BE2">
        <w:t xml:space="preserve">recent </w:t>
      </w:r>
      <w:r w:rsidR="00F41807" w:rsidRPr="00CD6BE2">
        <w:t xml:space="preserve">ratification </w:t>
      </w:r>
      <w:r w:rsidR="00537BDC">
        <w:t xml:space="preserve">by Azerbaijan </w:t>
      </w:r>
      <w:r w:rsidR="00F41807" w:rsidRPr="00CD6BE2">
        <w:t xml:space="preserve">of </w:t>
      </w:r>
      <w:r w:rsidR="009B1BDC" w:rsidRPr="00CD6BE2">
        <w:t xml:space="preserve">both </w:t>
      </w:r>
      <w:r w:rsidR="00F41807" w:rsidRPr="00CD6BE2">
        <w:t>amendments</w:t>
      </w:r>
      <w:r w:rsidR="00C8615E" w:rsidRPr="00CD6BE2">
        <w:t xml:space="preserve"> to the Convention</w:t>
      </w:r>
      <w:r w:rsidR="003D202F">
        <w:t xml:space="preserve">. </w:t>
      </w:r>
      <w:r w:rsidR="000961D2">
        <w:t>It also noted the</w:t>
      </w:r>
      <w:r w:rsidR="00A61683">
        <w:t xml:space="preserve"> information provided by delegations regarding </w:t>
      </w:r>
      <w:r w:rsidR="000961D2">
        <w:t xml:space="preserve">steps taken </w:t>
      </w:r>
      <w:r w:rsidR="002949BF">
        <w:t xml:space="preserve">by </w:t>
      </w:r>
      <w:r w:rsidR="00A16146">
        <w:t xml:space="preserve">certain Parties </w:t>
      </w:r>
      <w:r w:rsidR="000961D2">
        <w:t xml:space="preserve">towards ratification, </w:t>
      </w:r>
      <w:r w:rsidR="000961D2" w:rsidRPr="000961D2">
        <w:t>with Belgium</w:t>
      </w:r>
      <w:r w:rsidR="00A61683">
        <w:t>,</w:t>
      </w:r>
      <w:r w:rsidR="000961D2" w:rsidRPr="000961D2">
        <w:t xml:space="preserve"> Ireland</w:t>
      </w:r>
      <w:r w:rsidR="00A61683">
        <w:t xml:space="preserve"> and North Macedonia</w:t>
      </w:r>
      <w:r w:rsidR="000961D2" w:rsidRPr="000961D2">
        <w:t xml:space="preserve"> </w:t>
      </w:r>
      <w:r w:rsidR="000961D2">
        <w:t xml:space="preserve">having advanced the furthest regarding </w:t>
      </w:r>
      <w:r w:rsidR="000961D2" w:rsidRPr="000961D2">
        <w:t xml:space="preserve">the first amendment, and North Macedonia </w:t>
      </w:r>
      <w:r w:rsidR="00A61683">
        <w:t xml:space="preserve">having done the same </w:t>
      </w:r>
      <w:r w:rsidR="000961D2">
        <w:t xml:space="preserve">regarding </w:t>
      </w:r>
      <w:r w:rsidR="00A61683">
        <w:t>the second</w:t>
      </w:r>
      <w:r w:rsidR="00A61683" w:rsidRPr="000961D2">
        <w:t xml:space="preserve"> </w:t>
      </w:r>
      <w:r w:rsidR="000961D2" w:rsidRPr="000961D2">
        <w:t>amendment</w:t>
      </w:r>
      <w:r w:rsidR="000961D2">
        <w:t xml:space="preserve">. However, the Working Group </w:t>
      </w:r>
      <w:r w:rsidR="00A16146">
        <w:t>remained</w:t>
      </w:r>
      <w:r w:rsidR="000961D2">
        <w:t xml:space="preserve"> </w:t>
      </w:r>
      <w:r w:rsidR="009125BE" w:rsidRPr="00CD6BE2">
        <w:t>concern</w:t>
      </w:r>
      <w:r w:rsidR="000961D2">
        <w:t>ed</w:t>
      </w:r>
      <w:r w:rsidR="004554CD" w:rsidRPr="00CD6BE2">
        <w:t xml:space="preserve"> </w:t>
      </w:r>
      <w:r w:rsidR="009125BE" w:rsidRPr="00CD6BE2">
        <w:t xml:space="preserve">that </w:t>
      </w:r>
      <w:r w:rsidR="00D61CBE">
        <w:t>five</w:t>
      </w:r>
      <w:r w:rsidR="009125BE" w:rsidRPr="00CD6BE2">
        <w:t xml:space="preserve"> </w:t>
      </w:r>
      <w:r w:rsidR="00834DC8">
        <w:t>more</w:t>
      </w:r>
      <w:r w:rsidR="00834DC8" w:rsidRPr="00CD6BE2">
        <w:t xml:space="preserve"> </w:t>
      </w:r>
      <w:r w:rsidR="009125BE" w:rsidRPr="00CD6BE2">
        <w:t xml:space="preserve">ratifications </w:t>
      </w:r>
      <w:r w:rsidR="004D1618" w:rsidRPr="00CD6BE2">
        <w:t xml:space="preserve">were </w:t>
      </w:r>
      <w:r w:rsidR="000961D2">
        <w:t xml:space="preserve">still </w:t>
      </w:r>
      <w:r w:rsidR="004D1618" w:rsidRPr="00CD6BE2">
        <w:t>needed for the fir</w:t>
      </w:r>
      <w:r w:rsidR="009125BE" w:rsidRPr="00CD6BE2">
        <w:t>st amen</w:t>
      </w:r>
      <w:r w:rsidR="00FA00F5" w:rsidRPr="00CD6BE2">
        <w:t>dment</w:t>
      </w:r>
      <w:r w:rsidR="00834DC8">
        <w:t xml:space="preserve"> </w:t>
      </w:r>
      <w:r w:rsidR="004554CD" w:rsidRPr="005465F1">
        <w:t xml:space="preserve">to </w:t>
      </w:r>
      <w:r>
        <w:t>become operational</w:t>
      </w:r>
      <w:r w:rsidR="00294D3B">
        <w:t xml:space="preserve">, </w:t>
      </w:r>
      <w:r w:rsidR="00294D3B" w:rsidRPr="005465F1">
        <w:t xml:space="preserve">allowing </w:t>
      </w:r>
      <w:r w:rsidRPr="005465F1">
        <w:t xml:space="preserve">non-ECE </w:t>
      </w:r>
      <w:r>
        <w:t xml:space="preserve">countries to accede to the </w:t>
      </w:r>
      <w:r w:rsidR="00294D3B" w:rsidRPr="005465F1">
        <w:t>Convention</w:t>
      </w:r>
      <w:r>
        <w:t>. Consequently, it u</w:t>
      </w:r>
      <w:r w:rsidR="00F90A8D" w:rsidRPr="00CD6BE2">
        <w:t>rged</w:t>
      </w:r>
      <w:r w:rsidR="0077231D" w:rsidRPr="00CD6BE2">
        <w:t xml:space="preserve"> </w:t>
      </w:r>
      <w:r w:rsidR="00D61CBE" w:rsidRPr="00D61CBE">
        <w:t>Armenia</w:t>
      </w:r>
      <w:r w:rsidR="00D61CBE">
        <w:t>,</w:t>
      </w:r>
      <w:r w:rsidR="00D61CBE" w:rsidRPr="00D61CBE">
        <w:t xml:space="preserve"> Belgium</w:t>
      </w:r>
      <w:r w:rsidR="00D61CBE">
        <w:t>,</w:t>
      </w:r>
      <w:r w:rsidR="00D61CBE" w:rsidRPr="00D61CBE">
        <w:t xml:space="preserve"> North Macedonia</w:t>
      </w:r>
      <w:r w:rsidR="00D61CBE">
        <w:t>,</w:t>
      </w:r>
      <w:r w:rsidR="00D61CBE" w:rsidRPr="00D61CBE">
        <w:t xml:space="preserve"> Ukraine and the United Kingdom </w:t>
      </w:r>
      <w:r w:rsidR="00257631">
        <w:t>of Great Britain and Northern Ireland to make every effort to ratify the amendment as soon as possible.</w:t>
      </w:r>
      <w:r w:rsidR="007C3FF7" w:rsidRPr="0087190F">
        <w:t xml:space="preserve"> </w:t>
      </w:r>
      <w:r w:rsidR="00257631">
        <w:t xml:space="preserve">Moreover, to ensure unified application of the Convention by all its Parties, the Working Group stressed the importance </w:t>
      </w:r>
      <w:r w:rsidR="002949BF">
        <w:t>of all Parties that had not yet done so ratify</w:t>
      </w:r>
      <w:r w:rsidR="00442624">
        <w:t>ing</w:t>
      </w:r>
      <w:r w:rsidR="00257631">
        <w:t xml:space="preserve"> the second amendment</w:t>
      </w:r>
      <w:r w:rsidR="002949BF">
        <w:t>. It urged the nine Parties concerned</w:t>
      </w:r>
      <w:r w:rsidR="00842F38">
        <w:t xml:space="preserve"> –</w:t>
      </w:r>
      <w:r w:rsidR="002949BF">
        <w:t xml:space="preserve"> Ar</w:t>
      </w:r>
      <w:r w:rsidR="00257631">
        <w:t>menia</w:t>
      </w:r>
      <w:r w:rsidR="00842F38">
        <w:t>,</w:t>
      </w:r>
      <w:r w:rsidR="00257631">
        <w:t xml:space="preserve"> Belarus</w:t>
      </w:r>
      <w:r w:rsidR="00842F38">
        <w:t>,</w:t>
      </w:r>
      <w:r w:rsidR="00257631">
        <w:t xml:space="preserve"> Bosnia and Herzegovina</w:t>
      </w:r>
      <w:r w:rsidR="00842F38">
        <w:t>,</w:t>
      </w:r>
      <w:r w:rsidR="002949BF">
        <w:t xml:space="preserve"> Ireland</w:t>
      </w:r>
      <w:r w:rsidR="00842F38">
        <w:t>,</w:t>
      </w:r>
      <w:r w:rsidR="002949BF">
        <w:t xml:space="preserve"> Kazakhstan</w:t>
      </w:r>
      <w:r w:rsidR="00842F38">
        <w:t>,</w:t>
      </w:r>
      <w:r w:rsidR="002949BF">
        <w:t xml:space="preserve"> Kyrgyzstan</w:t>
      </w:r>
      <w:r w:rsidR="00842F38">
        <w:t>,</w:t>
      </w:r>
      <w:r w:rsidR="002949BF">
        <w:t xml:space="preserve"> North Macedonia</w:t>
      </w:r>
      <w:r w:rsidR="00842F38">
        <w:t>,</w:t>
      </w:r>
      <w:r w:rsidR="002949BF">
        <w:t xml:space="preserve"> Ukraine and the United Kingdom </w:t>
      </w:r>
      <w:r w:rsidR="00C135A8">
        <w:t xml:space="preserve">of Great Britain and Northern Ireland </w:t>
      </w:r>
      <w:r w:rsidR="00842F38">
        <w:t xml:space="preserve">– </w:t>
      </w:r>
      <w:r w:rsidR="002949BF">
        <w:t xml:space="preserve">to </w:t>
      </w:r>
      <w:r w:rsidR="00A16146">
        <w:t xml:space="preserve">proceed with the ratification of that amendment. </w:t>
      </w:r>
      <w:r w:rsidR="002949BF">
        <w:t xml:space="preserve"> Lastly, the Working Group called on the signatory States of the Protocol that had not already done so (Belgium, France, Georgia, Greece, Ireland and the United Kingdom</w:t>
      </w:r>
      <w:r w:rsidR="00C135A8" w:rsidRPr="00C135A8">
        <w:t xml:space="preserve"> of Great Britain and Northern Ireland</w:t>
      </w:r>
      <w:r w:rsidR="002949BF">
        <w:t>)</w:t>
      </w:r>
      <w:r w:rsidR="00A16146">
        <w:t xml:space="preserve"> to ratify the instrument</w:t>
      </w:r>
      <w:r w:rsidR="002949BF">
        <w:t xml:space="preserve">. All the </w:t>
      </w:r>
      <w:r w:rsidR="00A16146" w:rsidRPr="00A16146">
        <w:t>a</w:t>
      </w:r>
      <w:r w:rsidR="002C61FA">
        <w:t>bove-</w:t>
      </w:r>
      <w:r w:rsidR="00A16146" w:rsidRPr="00A16146">
        <w:t xml:space="preserve">mentioned </w:t>
      </w:r>
      <w:r w:rsidR="002949BF">
        <w:t xml:space="preserve">Parties were invited to report on </w:t>
      </w:r>
      <w:r w:rsidR="00074905">
        <w:t xml:space="preserve">their </w:t>
      </w:r>
      <w:r w:rsidR="002949BF">
        <w:t>progress</w:t>
      </w:r>
      <w:r w:rsidR="00A16146">
        <w:t xml:space="preserve"> at the next meeting of the Working Group</w:t>
      </w:r>
      <w:r w:rsidR="00074905">
        <w:t xml:space="preserve"> (</w:t>
      </w:r>
      <w:r w:rsidR="00537BDC">
        <w:t xml:space="preserve">Geneva, </w:t>
      </w:r>
      <w:r w:rsidR="00D47DAF">
        <w:t>9</w:t>
      </w:r>
      <w:r w:rsidR="00537BDC">
        <w:t>–</w:t>
      </w:r>
      <w:r w:rsidR="00074905">
        <w:t>11 June 2020)</w:t>
      </w:r>
      <w:r w:rsidR="00A16146">
        <w:t>.</w:t>
      </w:r>
      <w:r w:rsidR="002949BF">
        <w:t xml:space="preserve"> </w:t>
      </w:r>
    </w:p>
    <w:p w14:paraId="4FB62C16" w14:textId="51380C86" w:rsidR="009F38B6" w:rsidRPr="0087190F" w:rsidRDefault="00A16146" w:rsidP="004A106F">
      <w:pPr>
        <w:pStyle w:val="SingleTxtG"/>
      </w:pPr>
      <w:r>
        <w:t>13</w:t>
      </w:r>
      <w:r w:rsidR="007C3FF7" w:rsidRPr="0087190F">
        <w:t>.</w:t>
      </w:r>
      <w:r w:rsidR="007C3FF7" w:rsidRPr="0087190F">
        <w:tab/>
      </w:r>
      <w:r w:rsidR="00E16D1B" w:rsidRPr="005153C8">
        <w:t xml:space="preserve">The Working Group </w:t>
      </w:r>
      <w:r w:rsidR="00E16D1B" w:rsidRPr="0087190F">
        <w:t xml:space="preserve">requested </w:t>
      </w:r>
      <w:r w:rsidR="00C8615E" w:rsidRPr="0087190F">
        <w:t xml:space="preserve">the </w:t>
      </w:r>
      <w:r w:rsidR="00E16D1B" w:rsidRPr="0087190F">
        <w:t xml:space="preserve">secretariat to </w:t>
      </w:r>
      <w:r w:rsidR="00435BE7" w:rsidRPr="0087190F">
        <w:t>ensure that</w:t>
      </w:r>
      <w:r w:rsidR="00395C9E">
        <w:t>,</w:t>
      </w:r>
      <w:r w:rsidR="00435BE7" w:rsidRPr="0087190F">
        <w:t xml:space="preserve"> in </w:t>
      </w:r>
      <w:r w:rsidR="0077231D" w:rsidRPr="0087190F">
        <w:t>the</w:t>
      </w:r>
      <w:r w:rsidR="0081620B" w:rsidRPr="0087190F">
        <w:t xml:space="preserve"> </w:t>
      </w:r>
      <w:r w:rsidR="004554CD" w:rsidRPr="0087190F">
        <w:t xml:space="preserve">letters of </w:t>
      </w:r>
      <w:r w:rsidR="0081620B" w:rsidRPr="0087190F">
        <w:t xml:space="preserve">invitation to the </w:t>
      </w:r>
      <w:r w:rsidR="00627076">
        <w:t>next sessions</w:t>
      </w:r>
      <w:r w:rsidR="0081620B" w:rsidRPr="0087190F">
        <w:t xml:space="preserve"> of the Meeting</w:t>
      </w:r>
      <w:r w:rsidR="001A5CAA" w:rsidRPr="0087190F">
        <w:t>s</w:t>
      </w:r>
      <w:r w:rsidR="0081620B" w:rsidRPr="0087190F">
        <w:t xml:space="preserve"> of the Parties, the ECE Executive Secretary urge</w:t>
      </w:r>
      <w:r w:rsidR="004554CD" w:rsidRPr="0087190F">
        <w:t>d</w:t>
      </w:r>
      <w:r w:rsidR="0081620B" w:rsidRPr="0087190F">
        <w:t xml:space="preserve"> the Parties to the Convention that had adopted the amendments</w:t>
      </w:r>
      <w:r w:rsidR="004554CD" w:rsidRPr="0087190F">
        <w:t xml:space="preserve"> </w:t>
      </w:r>
      <w:r w:rsidR="0081620B" w:rsidRPr="0087190F">
        <w:t>or signed the Protocol to proceed promptly with their ratification.</w:t>
      </w:r>
      <w:r w:rsidR="008F63DE" w:rsidRPr="0087190F">
        <w:t xml:space="preserve"> </w:t>
      </w:r>
    </w:p>
    <w:p w14:paraId="75F76439" w14:textId="43F1D1F1" w:rsidR="009F38B6" w:rsidRPr="00CD6BE2" w:rsidRDefault="008E0A66" w:rsidP="005465F1">
      <w:pPr>
        <w:pStyle w:val="HChG"/>
        <w:jc w:val="both"/>
      </w:pPr>
      <w:r w:rsidRPr="00CD6BE2">
        <w:tab/>
      </w:r>
      <w:r w:rsidR="009F38B6" w:rsidRPr="00CD6BE2">
        <w:t>I</w:t>
      </w:r>
      <w:r w:rsidR="00523D62">
        <w:t>V</w:t>
      </w:r>
      <w:r w:rsidR="009F38B6" w:rsidRPr="00CD6BE2">
        <w:t>.</w:t>
      </w:r>
      <w:r w:rsidR="009F38B6" w:rsidRPr="00CD6BE2">
        <w:tab/>
        <w:t>Compliance and implementation</w:t>
      </w:r>
    </w:p>
    <w:p w14:paraId="0B251399" w14:textId="6EFA8072" w:rsidR="00F54302" w:rsidRPr="00B11B3A" w:rsidRDefault="002247FC" w:rsidP="004A106F">
      <w:pPr>
        <w:pStyle w:val="H23G"/>
        <w:jc w:val="both"/>
        <w:rPr>
          <w:sz w:val="24"/>
          <w:szCs w:val="24"/>
        </w:rPr>
      </w:pPr>
      <w:r w:rsidRPr="00CD6BE2">
        <w:tab/>
      </w:r>
      <w:r w:rsidR="00050408" w:rsidRPr="00B11B3A">
        <w:rPr>
          <w:sz w:val="24"/>
          <w:szCs w:val="24"/>
        </w:rPr>
        <w:t>A</w:t>
      </w:r>
      <w:r w:rsidR="00004F58" w:rsidRPr="00B11B3A">
        <w:rPr>
          <w:sz w:val="24"/>
          <w:szCs w:val="24"/>
        </w:rPr>
        <w:t>.</w:t>
      </w:r>
      <w:r w:rsidR="00004F58" w:rsidRPr="00B11B3A">
        <w:rPr>
          <w:sz w:val="24"/>
          <w:szCs w:val="24"/>
        </w:rPr>
        <w:tab/>
        <w:t>Review of compliance</w:t>
      </w:r>
    </w:p>
    <w:p w14:paraId="1F2A71D5" w14:textId="1B1E819D" w:rsidR="006F2158" w:rsidRPr="000A3370" w:rsidRDefault="00074905" w:rsidP="006F2158">
      <w:pPr>
        <w:pStyle w:val="SingleTxtG"/>
      </w:pPr>
      <w:r>
        <w:t>14</w:t>
      </w:r>
      <w:r w:rsidR="00727214" w:rsidRPr="00CD6BE2">
        <w:t>.</w:t>
      </w:r>
      <w:r w:rsidR="00727214" w:rsidRPr="00CD6BE2">
        <w:tab/>
      </w:r>
      <w:r w:rsidR="00004F58" w:rsidRPr="00CD6BE2">
        <w:t>The Chair of the Implementation Committee</w:t>
      </w:r>
      <w:r w:rsidR="00727214" w:rsidRPr="00CD6BE2">
        <w:t xml:space="preserve"> </w:t>
      </w:r>
      <w:r w:rsidR="00004F58" w:rsidRPr="00CD6BE2">
        <w:t xml:space="preserve">informed the Working Group about the main outcomes of the Committee’s </w:t>
      </w:r>
      <w:r w:rsidR="006F2158" w:rsidRPr="001068C4">
        <w:t>forty-f</w:t>
      </w:r>
      <w:r w:rsidR="006F2158">
        <w:t>ourth</w:t>
      </w:r>
      <w:r w:rsidR="006F2158" w:rsidRPr="001068C4">
        <w:t xml:space="preserve"> </w:t>
      </w:r>
      <w:r w:rsidR="006F2158">
        <w:t xml:space="preserve">and forty-fifth </w:t>
      </w:r>
      <w:r w:rsidR="006F2158" w:rsidRPr="001068C4">
        <w:t>sessions</w:t>
      </w:r>
      <w:r w:rsidR="006F2158">
        <w:t xml:space="preserve"> (Geneva, 12</w:t>
      </w:r>
      <w:r w:rsidR="006F2158" w:rsidRPr="001068C4">
        <w:t>–</w:t>
      </w:r>
      <w:r w:rsidR="006F2158">
        <w:t>15</w:t>
      </w:r>
      <w:r w:rsidR="006F2158" w:rsidRPr="001068C4">
        <w:t xml:space="preserve"> </w:t>
      </w:r>
      <w:r w:rsidR="006F2158">
        <w:lastRenderedPageBreak/>
        <w:t>March</w:t>
      </w:r>
      <w:r w:rsidR="006F2158" w:rsidRPr="001068C4">
        <w:t xml:space="preserve"> </w:t>
      </w:r>
      <w:r w:rsidR="006F2158">
        <w:t xml:space="preserve">and </w:t>
      </w:r>
      <w:r w:rsidR="006F2158" w:rsidRPr="000A3370">
        <w:t xml:space="preserve">10–13 </w:t>
      </w:r>
      <w:r w:rsidR="006F2158">
        <w:t>September 2019, respectively</w:t>
      </w:r>
      <w:r w:rsidR="006F2158" w:rsidRPr="001068C4">
        <w:t>)</w:t>
      </w:r>
      <w:r w:rsidR="006F2158">
        <w:t>,</w:t>
      </w:r>
      <w:r w:rsidR="006F2158">
        <w:rPr>
          <w:rStyle w:val="FootnoteReference"/>
        </w:rPr>
        <w:footnoteReference w:id="5"/>
      </w:r>
      <w:r w:rsidR="006F2158">
        <w:t xml:space="preserve"> </w:t>
      </w:r>
      <w:r w:rsidR="006F2158" w:rsidRPr="000A3370">
        <w:t>and the main objectives for the Committee’s forty-</w:t>
      </w:r>
      <w:r w:rsidR="006F2158">
        <w:t>sixth</w:t>
      </w:r>
      <w:r w:rsidR="006F2158" w:rsidRPr="000A3370">
        <w:t xml:space="preserve"> session (Geneva, </w:t>
      </w:r>
      <w:bookmarkStart w:id="8" w:name="_Hlk13500170"/>
      <w:r w:rsidR="006F2158" w:rsidRPr="000A3370">
        <w:t xml:space="preserve">10–13 December </w:t>
      </w:r>
      <w:bookmarkEnd w:id="8"/>
      <w:r w:rsidR="006F2158" w:rsidRPr="000A3370">
        <w:t>2019).</w:t>
      </w:r>
      <w:r w:rsidR="006F2158">
        <w:t xml:space="preserve"> He also presented the plans for the preparatory work for the next sessions of the Meetings of the Parties.</w:t>
      </w:r>
    </w:p>
    <w:p w14:paraId="2C348F0A" w14:textId="168A9610" w:rsidR="008304CC" w:rsidRDefault="007D0646" w:rsidP="008304CC">
      <w:pPr>
        <w:pStyle w:val="SingleTxtG"/>
      </w:pPr>
      <w:r>
        <w:t>15</w:t>
      </w:r>
      <w:r w:rsidR="0064037B" w:rsidRPr="00CD6BE2">
        <w:t>.</w:t>
      </w:r>
      <w:r w:rsidR="00747567" w:rsidRPr="00CD6BE2">
        <w:tab/>
      </w:r>
      <w:r w:rsidR="00F14455" w:rsidRPr="00CD6BE2">
        <w:t xml:space="preserve">The Working Group </w:t>
      </w:r>
      <w:r w:rsidR="00A3010B" w:rsidRPr="00CD6BE2">
        <w:t>to</w:t>
      </w:r>
      <w:r w:rsidR="003671AF" w:rsidRPr="00CD6BE2">
        <w:t>ok</w:t>
      </w:r>
      <w:r w:rsidR="00A3010B" w:rsidRPr="00CD6BE2">
        <w:t xml:space="preserve"> note of the </w:t>
      </w:r>
      <w:r w:rsidR="00F71724">
        <w:t xml:space="preserve">oral </w:t>
      </w:r>
      <w:r w:rsidR="00183D60" w:rsidRPr="00CD6BE2">
        <w:t>report of the Committee</w:t>
      </w:r>
      <w:r w:rsidR="0045612B" w:rsidRPr="00CD6BE2">
        <w:t>’s</w:t>
      </w:r>
      <w:r w:rsidR="00183D60" w:rsidRPr="00CD6BE2">
        <w:t xml:space="preserve"> Chair</w:t>
      </w:r>
      <w:r w:rsidR="008304CC">
        <w:t xml:space="preserve"> </w:t>
      </w:r>
      <w:r w:rsidR="00F71724">
        <w:t xml:space="preserve">on progress in the review of compliance and implementation </w:t>
      </w:r>
      <w:r w:rsidR="008304CC">
        <w:t>and</w:t>
      </w:r>
      <w:r w:rsidR="00183D60" w:rsidRPr="00CD6BE2">
        <w:t xml:space="preserve"> </w:t>
      </w:r>
      <w:r w:rsidR="00F14455" w:rsidRPr="00CD6BE2">
        <w:t xml:space="preserve">welcomed </w:t>
      </w:r>
      <w:r w:rsidR="008304CC" w:rsidRPr="008304CC">
        <w:t xml:space="preserve">the Committee’s plan to prepare draft </w:t>
      </w:r>
      <w:r w:rsidR="00036275">
        <w:t xml:space="preserve">decisions on compliance with the Convention and the Protocol </w:t>
      </w:r>
      <w:r w:rsidR="00036275" w:rsidRPr="00036275">
        <w:t xml:space="preserve">at its forty-seventh </w:t>
      </w:r>
      <w:r w:rsidR="00036275">
        <w:t>session</w:t>
      </w:r>
      <w:r w:rsidR="008C6A06">
        <w:t xml:space="preserve"> (Geneva</w:t>
      </w:r>
      <w:r w:rsidR="00A7345E">
        <w:t>, 16</w:t>
      </w:r>
      <w:r w:rsidR="00C135A8">
        <w:t>–</w:t>
      </w:r>
      <w:r w:rsidR="00A7345E">
        <w:t xml:space="preserve">19 </w:t>
      </w:r>
      <w:r w:rsidR="00A7345E" w:rsidRPr="008304CC">
        <w:t>March 2020</w:t>
      </w:r>
      <w:r w:rsidR="008C6A06">
        <w:t>)</w:t>
      </w:r>
      <w:r w:rsidR="00036275">
        <w:t xml:space="preserve">. The secretariat would transmit the draft decisions as </w:t>
      </w:r>
      <w:r w:rsidR="008304CC" w:rsidRPr="008304CC">
        <w:t>informal documents</w:t>
      </w:r>
      <w:r w:rsidR="00036275">
        <w:t xml:space="preserve"> for Parties to comment </w:t>
      </w:r>
      <w:r w:rsidR="008C6A06">
        <w:t xml:space="preserve">on </w:t>
      </w:r>
      <w:r w:rsidR="00036275">
        <w:t>before</w:t>
      </w:r>
      <w:r w:rsidR="008304CC" w:rsidRPr="008304CC">
        <w:t xml:space="preserve">, during and after </w:t>
      </w:r>
      <w:r w:rsidR="008304CC">
        <w:t xml:space="preserve">the next </w:t>
      </w:r>
      <w:r w:rsidR="00036275">
        <w:t xml:space="preserve">meeting of the </w:t>
      </w:r>
      <w:r w:rsidR="008304CC">
        <w:t>Working Group</w:t>
      </w:r>
      <w:r w:rsidR="00757C0E">
        <w:t>. The Committee would</w:t>
      </w:r>
      <w:r w:rsidR="00A7345E">
        <w:t xml:space="preserve"> then finalize the draft decisions at its </w:t>
      </w:r>
      <w:r w:rsidR="00A7345E" w:rsidRPr="00036275">
        <w:t>forty-eighth session</w:t>
      </w:r>
      <w:r w:rsidR="00A7345E">
        <w:t xml:space="preserve"> (</w:t>
      </w:r>
      <w:r w:rsidR="008C6A06">
        <w:t xml:space="preserve">Geneva, </w:t>
      </w:r>
      <w:r w:rsidR="00A7345E">
        <w:t>1</w:t>
      </w:r>
      <w:r w:rsidR="00C135A8">
        <w:t>–</w:t>
      </w:r>
      <w:r w:rsidR="00A7345E">
        <w:t xml:space="preserve">4 </w:t>
      </w:r>
      <w:r w:rsidR="00A7345E" w:rsidRPr="00036275">
        <w:t>September</w:t>
      </w:r>
      <w:r w:rsidR="00A7345E">
        <w:t xml:space="preserve"> 2020) considering the comments and </w:t>
      </w:r>
      <w:r>
        <w:t xml:space="preserve">other </w:t>
      </w:r>
      <w:r w:rsidR="00A7345E">
        <w:t xml:space="preserve">information </w:t>
      </w:r>
      <w:r>
        <w:t>received by 31 July 2020 and</w:t>
      </w:r>
      <w:r w:rsidR="00A7345E">
        <w:t xml:space="preserve"> forward the draft decisions</w:t>
      </w:r>
      <w:r>
        <w:t xml:space="preserve"> to the Meetings of the Parties at their next sessions</w:t>
      </w:r>
      <w:r w:rsidR="008304CC">
        <w:t>.</w:t>
      </w:r>
    </w:p>
    <w:p w14:paraId="1CA96B8D" w14:textId="24A9C911" w:rsidR="002E1C19" w:rsidRPr="002E1C19" w:rsidRDefault="00960593" w:rsidP="002E1C19">
      <w:pPr>
        <w:pStyle w:val="SingleTxtG"/>
      </w:pPr>
      <w:r>
        <w:t>16</w:t>
      </w:r>
      <w:r w:rsidR="0064037B" w:rsidRPr="00CD6BE2">
        <w:t>.</w:t>
      </w:r>
      <w:r w:rsidR="002E1C19">
        <w:tab/>
        <w:t xml:space="preserve">The Working Group noted that the Committee’s work had been hindered by the lateness </w:t>
      </w:r>
      <w:r w:rsidR="00BE44E9">
        <w:t xml:space="preserve">and </w:t>
      </w:r>
      <w:r w:rsidR="002E1C19">
        <w:t>the insufficient quality of some Parties’ responses, and</w:t>
      </w:r>
      <w:r w:rsidR="007B5CE1">
        <w:t>,</w:t>
      </w:r>
      <w:r w:rsidR="002E1C19">
        <w:t xml:space="preserve"> in some cases</w:t>
      </w:r>
      <w:r w:rsidR="007B5CE1">
        <w:t>,</w:t>
      </w:r>
      <w:r w:rsidR="002E1C19">
        <w:t xml:space="preserve"> even by a </w:t>
      </w:r>
      <w:r>
        <w:t xml:space="preserve">Party’s </w:t>
      </w:r>
      <w:r w:rsidR="002E1C19">
        <w:t>refusal</w:t>
      </w:r>
      <w:r>
        <w:t xml:space="preserve"> </w:t>
      </w:r>
      <w:r w:rsidR="002E1C19">
        <w:t>to respond and to cooperate</w:t>
      </w:r>
      <w:r>
        <w:t>. It i</w:t>
      </w:r>
      <w:r w:rsidR="002E1C19">
        <w:t xml:space="preserve">nvited </w:t>
      </w:r>
      <w:r w:rsidR="00DA34D7">
        <w:t>all</w:t>
      </w:r>
      <w:r>
        <w:t xml:space="preserve"> concerned</w:t>
      </w:r>
      <w:r w:rsidR="002E1C19">
        <w:t xml:space="preserve"> Parties to facilitate the Committee’s </w:t>
      </w:r>
      <w:r w:rsidR="00DA34D7">
        <w:t xml:space="preserve">examination of the compliance matters submitted to it, </w:t>
      </w:r>
      <w:r w:rsidR="002E1C19">
        <w:t xml:space="preserve">by providing </w:t>
      </w:r>
      <w:r w:rsidR="00DA34D7">
        <w:t>the Committee with</w:t>
      </w:r>
      <w:r w:rsidR="002E1C19">
        <w:t xml:space="preserve"> the requested information in a timely </w:t>
      </w:r>
      <w:r w:rsidR="00DA34D7">
        <w:t xml:space="preserve">and complete </w:t>
      </w:r>
      <w:r w:rsidR="002E1C19">
        <w:t xml:space="preserve">manner. The Working Group also welcomed the ongoing efforts of the Committee to improve the effectiveness and efficiency of its </w:t>
      </w:r>
      <w:r w:rsidR="00DA34D7">
        <w:t xml:space="preserve">own </w:t>
      </w:r>
      <w:r w:rsidR="002E1C19">
        <w:t>working methods,</w:t>
      </w:r>
      <w:r w:rsidR="00DA34D7">
        <w:t xml:space="preserve"> involving, as needed, drafting possible </w:t>
      </w:r>
      <w:r w:rsidR="002E1C19">
        <w:t>amendments to the Committee’s structure and functions and its operating rules.</w:t>
      </w:r>
    </w:p>
    <w:p w14:paraId="42ECE071" w14:textId="6797B312" w:rsidR="008304CC" w:rsidRDefault="00DF690D" w:rsidP="006F2158">
      <w:pPr>
        <w:pStyle w:val="SingleTxtG"/>
      </w:pPr>
      <w:r>
        <w:t>17</w:t>
      </w:r>
      <w:r w:rsidR="0064037B" w:rsidRPr="00CD6BE2">
        <w:t>.</w:t>
      </w:r>
      <w:r w:rsidR="000C6F7B">
        <w:tab/>
      </w:r>
      <w:r w:rsidR="00BE44E9">
        <w:t>C</w:t>
      </w:r>
      <w:r>
        <w:t xml:space="preserve">onsidering the Committee’s </w:t>
      </w:r>
      <w:r w:rsidR="007B5CE1">
        <w:t xml:space="preserve">heavy </w:t>
      </w:r>
      <w:r>
        <w:t xml:space="preserve">workload, </w:t>
      </w:r>
      <w:r w:rsidR="00BE44E9">
        <w:t>t</w:t>
      </w:r>
      <w:r w:rsidR="000C6F7B">
        <w:t>he Working Group i</w:t>
      </w:r>
      <w:r w:rsidR="000C6F7B" w:rsidRPr="000C6F7B">
        <w:t>nvited the Parties to ensure</w:t>
      </w:r>
      <w:r w:rsidR="007B5CE1">
        <w:t>,</w:t>
      </w:r>
      <w:r w:rsidR="000C6F7B" w:rsidRPr="000C6F7B">
        <w:t xml:space="preserve"> when nominating </w:t>
      </w:r>
      <w:r w:rsidR="00BE44E9">
        <w:t xml:space="preserve">future </w:t>
      </w:r>
      <w:r w:rsidR="000C6F7B" w:rsidRPr="000C6F7B">
        <w:t>Committee members</w:t>
      </w:r>
      <w:r w:rsidR="007B5CE1">
        <w:t>,</w:t>
      </w:r>
      <w:r w:rsidR="00BE44E9">
        <w:t xml:space="preserve"> th</w:t>
      </w:r>
      <w:r w:rsidR="00397B4E">
        <w:t xml:space="preserve">at </w:t>
      </w:r>
      <w:r w:rsidR="007B5CE1">
        <w:t>nominees</w:t>
      </w:r>
      <w:r w:rsidR="00397B4E">
        <w:t xml:space="preserve"> </w:t>
      </w:r>
      <w:r w:rsidR="00CB7693">
        <w:t xml:space="preserve">could </w:t>
      </w:r>
      <w:r w:rsidR="00BE44E9">
        <w:t>allocat</w:t>
      </w:r>
      <w:r w:rsidR="00397B4E">
        <w:t xml:space="preserve">e </w:t>
      </w:r>
      <w:r w:rsidR="000C6F7B" w:rsidRPr="000C6F7B">
        <w:t>appropriate time and resources</w:t>
      </w:r>
      <w:r w:rsidR="00BE44E9">
        <w:t xml:space="preserve"> </w:t>
      </w:r>
      <w:r w:rsidR="007B5CE1">
        <w:t>to</w:t>
      </w:r>
      <w:r w:rsidR="00397B4E">
        <w:t xml:space="preserve"> the </w:t>
      </w:r>
      <w:r w:rsidR="0031137F">
        <w:t>required tasks, which</w:t>
      </w:r>
      <w:r w:rsidR="00397B4E">
        <w:t xml:space="preserve"> in</w:t>
      </w:r>
      <w:r w:rsidR="000C6F7B" w:rsidRPr="000C6F7B">
        <w:t>clud</w:t>
      </w:r>
      <w:r w:rsidR="0031137F">
        <w:t>ed:</w:t>
      </w:r>
      <w:r w:rsidR="000C6F7B" w:rsidRPr="000C6F7B">
        <w:t xml:space="preserve"> participati</w:t>
      </w:r>
      <w:r w:rsidR="00397B4E">
        <w:t xml:space="preserve">ng </w:t>
      </w:r>
      <w:r w:rsidR="007B5CE1">
        <w:t>in</w:t>
      </w:r>
      <w:r w:rsidR="00397B4E">
        <w:t xml:space="preserve"> each of the </w:t>
      </w:r>
      <w:r w:rsidR="000C6F7B" w:rsidRPr="000C6F7B">
        <w:t>Committee’s sessions</w:t>
      </w:r>
      <w:r w:rsidR="00397B4E">
        <w:t xml:space="preserve">; carrying out work in between sessions to analyse complex compliance issues, </w:t>
      </w:r>
      <w:r w:rsidR="0031137F">
        <w:t xml:space="preserve">and, as needed, taking part in virtual meetings or electronic decision-making; </w:t>
      </w:r>
      <w:r w:rsidR="007B5CE1">
        <w:t>and</w:t>
      </w:r>
      <w:r w:rsidR="0031137F">
        <w:t xml:space="preserve"> </w:t>
      </w:r>
      <w:r w:rsidR="00397B4E">
        <w:t xml:space="preserve">preparing curator’s reports or draft findings and recommendations </w:t>
      </w:r>
      <w:r w:rsidR="0031137F">
        <w:t xml:space="preserve">on selected issues, </w:t>
      </w:r>
      <w:r w:rsidR="00397B4E">
        <w:t>well in advance of the sessions</w:t>
      </w:r>
      <w:r w:rsidR="0031137F">
        <w:t xml:space="preserve"> at which the</w:t>
      </w:r>
      <w:r w:rsidR="007B5CE1">
        <w:t>y were to be discussed by the</w:t>
      </w:r>
      <w:r w:rsidR="0031137F">
        <w:t xml:space="preserve"> Committee.</w:t>
      </w:r>
    </w:p>
    <w:p w14:paraId="464F08D9" w14:textId="6E812CDA" w:rsidR="00004F58" w:rsidRPr="00910EDB" w:rsidRDefault="00860183" w:rsidP="005465F1">
      <w:pPr>
        <w:pStyle w:val="H23G"/>
        <w:jc w:val="both"/>
        <w:rPr>
          <w:sz w:val="24"/>
          <w:szCs w:val="24"/>
        </w:rPr>
      </w:pPr>
      <w:bookmarkStart w:id="9" w:name="_Hlk506473266"/>
      <w:r w:rsidRPr="00CD6BE2">
        <w:tab/>
      </w:r>
      <w:r w:rsidR="00050408" w:rsidRPr="00910EDB">
        <w:rPr>
          <w:sz w:val="24"/>
          <w:szCs w:val="24"/>
        </w:rPr>
        <w:t>B</w:t>
      </w:r>
      <w:r w:rsidR="00C840BE" w:rsidRPr="00910EDB">
        <w:rPr>
          <w:sz w:val="24"/>
          <w:szCs w:val="24"/>
        </w:rPr>
        <w:t>.</w:t>
      </w:r>
      <w:r w:rsidR="00C840BE" w:rsidRPr="00910EDB">
        <w:rPr>
          <w:sz w:val="24"/>
          <w:szCs w:val="24"/>
        </w:rPr>
        <w:tab/>
        <w:t>Reporting and review of implementation</w:t>
      </w:r>
      <w:bookmarkEnd w:id="9"/>
    </w:p>
    <w:p w14:paraId="185C620D" w14:textId="796B9064" w:rsidR="00CB7693" w:rsidRDefault="00CB7693" w:rsidP="00CC2CCD">
      <w:pPr>
        <w:pStyle w:val="SingleTxtG"/>
      </w:pPr>
      <w:r>
        <w:t>18</w:t>
      </w:r>
      <w:r w:rsidR="0064037B" w:rsidRPr="00CD6BE2">
        <w:t>.</w:t>
      </w:r>
      <w:r w:rsidR="00004F58" w:rsidRPr="00CD6BE2">
        <w:tab/>
      </w:r>
      <w:r w:rsidR="0064037B" w:rsidRPr="00546522">
        <w:t xml:space="preserve">The </w:t>
      </w:r>
      <w:r>
        <w:t xml:space="preserve">Working Group considered </w:t>
      </w:r>
      <w:r w:rsidR="0064037B" w:rsidRPr="00546522">
        <w:t xml:space="preserve">the draft </w:t>
      </w:r>
      <w:r w:rsidR="0064037B">
        <w:t>sixth</w:t>
      </w:r>
      <w:r w:rsidR="0064037B" w:rsidRPr="00546522">
        <w:t xml:space="preserve"> review of implementation of the Convention</w:t>
      </w:r>
      <w:r w:rsidRPr="00CB7693">
        <w:t xml:space="preserve"> </w:t>
      </w:r>
      <w:bookmarkStart w:id="10" w:name="_Hlk27746978"/>
      <w:r w:rsidR="000C3FA8">
        <w:t>(</w:t>
      </w:r>
      <w:r w:rsidR="000C3FA8" w:rsidRPr="000C3FA8">
        <w:t>ECE/MP.EIA/WG.2/2019/3</w:t>
      </w:r>
      <w:r w:rsidR="000C3FA8">
        <w:t xml:space="preserve">) </w:t>
      </w:r>
      <w:bookmarkEnd w:id="10"/>
      <w:r w:rsidRPr="00546522">
        <w:t xml:space="preserve">and the draft </w:t>
      </w:r>
      <w:r>
        <w:t xml:space="preserve">third </w:t>
      </w:r>
      <w:r w:rsidRPr="00546522">
        <w:t>review of implementation of the Protocol</w:t>
      </w:r>
      <w:r>
        <w:t xml:space="preserve"> </w:t>
      </w:r>
      <w:r w:rsidR="000C3FA8" w:rsidRPr="000C3FA8">
        <w:t>(ECE/MP.EIA/WG.2/2019/</w:t>
      </w:r>
      <w:r w:rsidR="000C3FA8">
        <w:t>4</w:t>
      </w:r>
      <w:r w:rsidR="000C3FA8" w:rsidRPr="000C3FA8">
        <w:t xml:space="preserve">) </w:t>
      </w:r>
      <w:r>
        <w:t xml:space="preserve">in </w:t>
      </w:r>
      <w:r w:rsidRPr="00CB7693">
        <w:t>the period 2016–2018</w:t>
      </w:r>
      <w:r>
        <w:t>,</w:t>
      </w:r>
      <w:r w:rsidR="0064037B" w:rsidRPr="00546522">
        <w:t xml:space="preserve"> </w:t>
      </w:r>
      <w:r w:rsidRPr="00546522">
        <w:t xml:space="preserve">which </w:t>
      </w:r>
      <w:r>
        <w:t>the secretariat</w:t>
      </w:r>
      <w:r w:rsidRPr="00546522">
        <w:t xml:space="preserve"> </w:t>
      </w:r>
      <w:r>
        <w:t xml:space="preserve">had </w:t>
      </w:r>
      <w:r w:rsidRPr="00546522">
        <w:t>prepared with the assistance of consultant</w:t>
      </w:r>
      <w:r>
        <w:t>s</w:t>
      </w:r>
      <w:r w:rsidRPr="00546522">
        <w:t xml:space="preserve"> based on reports </w:t>
      </w:r>
      <w:r>
        <w:t xml:space="preserve">received </w:t>
      </w:r>
      <w:r w:rsidR="00CE2889">
        <w:t xml:space="preserve">from </w:t>
      </w:r>
      <w:r>
        <w:t xml:space="preserve">Parties. </w:t>
      </w:r>
      <w:r w:rsidR="000C3FA8">
        <w:t xml:space="preserve">The former </w:t>
      </w:r>
      <w:r w:rsidR="008F3730">
        <w:t xml:space="preserve">document </w:t>
      </w:r>
      <w:r w:rsidR="000C3FA8">
        <w:t xml:space="preserve">was based on reports received by </w:t>
      </w:r>
      <w:r>
        <w:t xml:space="preserve">2 July 2019 from 42 </w:t>
      </w:r>
      <w:r w:rsidR="000C3FA8">
        <w:t xml:space="preserve">out of the 45 </w:t>
      </w:r>
      <w:r w:rsidRPr="00546522">
        <w:t>Parties</w:t>
      </w:r>
      <w:r>
        <w:t xml:space="preserve"> to the Conventio</w:t>
      </w:r>
      <w:r w:rsidR="000C3FA8">
        <w:t>n</w:t>
      </w:r>
      <w:r w:rsidR="00CE2889">
        <w:t>,</w:t>
      </w:r>
      <w:r w:rsidR="000C3FA8">
        <w:t xml:space="preserve"> as well as from Georgia</w:t>
      </w:r>
      <w:r w:rsidR="00CE2889">
        <w:t>,</w:t>
      </w:r>
      <w:r w:rsidR="000C3FA8">
        <w:t xml:space="preserve"> and the latter </w:t>
      </w:r>
      <w:r w:rsidR="008F3730">
        <w:t xml:space="preserve">document </w:t>
      </w:r>
      <w:r w:rsidR="00CE2889">
        <w:t xml:space="preserve">was based </w:t>
      </w:r>
      <w:r w:rsidR="000C3FA8">
        <w:t xml:space="preserve">on reports received by 30 June 2019 from 30 out of </w:t>
      </w:r>
      <w:r w:rsidR="00CE2889">
        <w:t xml:space="preserve">the </w:t>
      </w:r>
      <w:r w:rsidR="000C3FA8">
        <w:t>33 Parties to the Protocol</w:t>
      </w:r>
      <w:r w:rsidR="00CE2889">
        <w:t>,</w:t>
      </w:r>
      <w:r w:rsidR="000C3FA8">
        <w:t xml:space="preserve"> as well as from Georgia and Kazakhstan. Only </w:t>
      </w:r>
      <w:r w:rsidR="000C3FA8" w:rsidRPr="000C3FA8">
        <w:t xml:space="preserve">50 per cent of the Parties </w:t>
      </w:r>
      <w:r w:rsidR="000C3FA8">
        <w:t xml:space="preserve">had </w:t>
      </w:r>
      <w:r w:rsidR="000C3FA8" w:rsidRPr="000C3FA8">
        <w:t>reported by the deadline of 31 March 2019</w:t>
      </w:r>
      <w:r w:rsidR="000C3FA8">
        <w:t xml:space="preserve">. </w:t>
      </w:r>
      <w:r w:rsidR="00BD6F0A" w:rsidRPr="00BD6F0A">
        <w:t xml:space="preserve">The Working Group welcomed </w:t>
      </w:r>
      <w:r w:rsidR="00BD6F0A">
        <w:t xml:space="preserve">the fact that a few non-Parties had </w:t>
      </w:r>
      <w:r w:rsidR="00CE2889">
        <w:t xml:space="preserve">also </w:t>
      </w:r>
      <w:r w:rsidR="00BD6F0A">
        <w:t xml:space="preserve">reported </w:t>
      </w:r>
      <w:r w:rsidR="00BD6F0A" w:rsidRPr="00BD6F0A">
        <w:t>on the</w:t>
      </w:r>
      <w:r w:rsidR="008F3730">
        <w:t>ir</w:t>
      </w:r>
      <w:r w:rsidR="00BD6F0A" w:rsidRPr="00BD6F0A">
        <w:t xml:space="preserve"> implementation of the Convention and of the Protocol.</w:t>
      </w:r>
    </w:p>
    <w:p w14:paraId="0C72004A" w14:textId="1EC1F8E6" w:rsidR="007C48E8" w:rsidRDefault="00BD6F0A" w:rsidP="00F01A41">
      <w:pPr>
        <w:pStyle w:val="SingleTxtG"/>
      </w:pPr>
      <w:r>
        <w:t xml:space="preserve">19. </w:t>
      </w:r>
      <w:r>
        <w:tab/>
        <w:t xml:space="preserve">The Working Group agreed on the main findings of both draft reports, as amended. It also noted </w:t>
      </w:r>
      <w:r w:rsidR="00E901BA">
        <w:t xml:space="preserve">the </w:t>
      </w:r>
      <w:r w:rsidR="00CE2889">
        <w:t xml:space="preserve">delegations’ </w:t>
      </w:r>
      <w:r>
        <w:t xml:space="preserve">comments </w:t>
      </w:r>
      <w:r w:rsidR="00CE2889">
        <w:t>on</w:t>
      </w:r>
      <w:r w:rsidR="00427606">
        <w:t>,</w:t>
      </w:r>
      <w:r w:rsidR="00CE2889">
        <w:t xml:space="preserve"> </w:t>
      </w:r>
      <w:r>
        <w:t>and corrections to</w:t>
      </w:r>
      <w:r w:rsidR="00427606">
        <w:t>,</w:t>
      </w:r>
      <w:r>
        <w:t xml:space="preserve"> the drafts regarding their own countries’ responses and invited Parties to provide the secretariat with any further comments in writing by </w:t>
      </w:r>
      <w:r w:rsidR="007C48E8">
        <w:t>31 December</w:t>
      </w:r>
      <w:r w:rsidR="00873FCD">
        <w:t xml:space="preserve"> 2019</w:t>
      </w:r>
      <w:r w:rsidR="0060001C">
        <w:t>.</w:t>
      </w:r>
      <w:r>
        <w:t xml:space="preserve"> </w:t>
      </w:r>
      <w:r w:rsidR="00F41906">
        <w:t>The Working Group a</w:t>
      </w:r>
      <w:r w:rsidR="007C48E8">
        <w:t xml:space="preserve">sked </w:t>
      </w:r>
      <w:r>
        <w:t xml:space="preserve">the </w:t>
      </w:r>
      <w:r w:rsidR="007C48E8">
        <w:t>secretariat to finalize the drafts</w:t>
      </w:r>
      <w:r>
        <w:t>,</w:t>
      </w:r>
      <w:r w:rsidR="007C48E8">
        <w:t xml:space="preserve"> </w:t>
      </w:r>
      <w:r>
        <w:t xml:space="preserve">taking into account the comments received, and to forward </w:t>
      </w:r>
      <w:r w:rsidR="007C48E8">
        <w:t xml:space="preserve">them to </w:t>
      </w:r>
      <w:r>
        <w:t>the Meeti</w:t>
      </w:r>
      <w:r w:rsidR="00DB68A7">
        <w:t xml:space="preserve">ngs of </w:t>
      </w:r>
      <w:r w:rsidR="00DB68A7">
        <w:lastRenderedPageBreak/>
        <w:t xml:space="preserve">the Parties at their next sessions. </w:t>
      </w:r>
      <w:r w:rsidR="00D27499">
        <w:t xml:space="preserve">It invited </w:t>
      </w:r>
      <w:r w:rsidR="007C48E8">
        <w:t xml:space="preserve">Cyprus to provide its overdue report on </w:t>
      </w:r>
      <w:r w:rsidR="0060001C">
        <w:t xml:space="preserve">the </w:t>
      </w:r>
      <w:r w:rsidR="007C48E8">
        <w:t xml:space="preserve">implementation </w:t>
      </w:r>
      <w:r w:rsidR="0060001C">
        <w:t xml:space="preserve">of the Protocol </w:t>
      </w:r>
      <w:r w:rsidR="00F41906">
        <w:t>as soon as possible but no later than</w:t>
      </w:r>
      <w:r w:rsidR="007C48E8">
        <w:t xml:space="preserve"> 31</w:t>
      </w:r>
      <w:r w:rsidR="000A701C">
        <w:t xml:space="preserve"> </w:t>
      </w:r>
      <w:r w:rsidR="007C48E8">
        <w:t>December</w:t>
      </w:r>
      <w:r w:rsidR="0060001C">
        <w:t xml:space="preserve"> 2019</w:t>
      </w:r>
      <w:r w:rsidR="000A701C">
        <w:t>.</w:t>
      </w:r>
    </w:p>
    <w:p w14:paraId="4B128D27" w14:textId="5DB43E8D" w:rsidR="000B21A8" w:rsidRDefault="000B21A8" w:rsidP="000B21A8">
      <w:pPr>
        <w:pStyle w:val="SingleTxtG"/>
      </w:pPr>
      <w:r>
        <w:t>20</w:t>
      </w:r>
      <w:r w:rsidR="007C48E8">
        <w:t xml:space="preserve">. </w:t>
      </w:r>
      <w:r w:rsidR="007C48E8">
        <w:tab/>
      </w:r>
      <w:r w:rsidR="000A701C">
        <w:t xml:space="preserve">The Working Group </w:t>
      </w:r>
      <w:r w:rsidRPr="000B21A8">
        <w:t>noted</w:t>
      </w:r>
      <w:r>
        <w:t xml:space="preserve"> the</w:t>
      </w:r>
      <w:r w:rsidRPr="000B21A8">
        <w:t xml:space="preserve"> suggested improvements to the questionnaires on the implementation of the Convention and the Protocol </w:t>
      </w:r>
      <w:r w:rsidR="00E901BA">
        <w:t>(</w:t>
      </w:r>
      <w:r w:rsidR="00E901BA" w:rsidRPr="00E901BA">
        <w:t>ECE/MP.EIA/WG.2/2019/INF.5</w:t>
      </w:r>
      <w:r w:rsidR="00E901BA">
        <w:t xml:space="preserve">) </w:t>
      </w:r>
      <w:r w:rsidRPr="000B21A8">
        <w:t xml:space="preserve">and invited the secretariat to </w:t>
      </w:r>
      <w:r>
        <w:t>forward them to t</w:t>
      </w:r>
      <w:r w:rsidRPr="000B21A8">
        <w:t>he Implementation Committee</w:t>
      </w:r>
      <w:r>
        <w:t xml:space="preserve"> for it to consider when adjusting the questionnaires for the next reporting round </w:t>
      </w:r>
      <w:r w:rsidR="009E7FF9">
        <w:t xml:space="preserve">on </w:t>
      </w:r>
      <w:r>
        <w:t xml:space="preserve">Parties’ implementation of the treaties in the period </w:t>
      </w:r>
      <w:r w:rsidRPr="000B21A8">
        <w:t>2019</w:t>
      </w:r>
      <w:r w:rsidR="00FB4F67">
        <w:t>–</w:t>
      </w:r>
      <w:r w:rsidRPr="000B21A8">
        <w:t>2021</w:t>
      </w:r>
      <w:r>
        <w:t xml:space="preserve">. Lastly, </w:t>
      </w:r>
      <w:r w:rsidRPr="000B21A8">
        <w:t>the Working Group noted t</w:t>
      </w:r>
      <w:r>
        <w:t xml:space="preserve">hat </w:t>
      </w:r>
      <w:r w:rsidR="00727B70">
        <w:t xml:space="preserve">it was unlikely that the secretariat would be able to arrange for </w:t>
      </w:r>
      <w:r w:rsidRPr="000B21A8">
        <w:t>online reporting in the next reporting round.</w:t>
      </w:r>
    </w:p>
    <w:p w14:paraId="5F35A747" w14:textId="66D092AB" w:rsidR="00B65B05" w:rsidRDefault="005C7875" w:rsidP="005465F1">
      <w:pPr>
        <w:pStyle w:val="H23G"/>
        <w:jc w:val="both"/>
      </w:pPr>
      <w:bookmarkStart w:id="11" w:name="_Hlk25240410"/>
      <w:r w:rsidRPr="00CD6BE2">
        <w:tab/>
      </w:r>
      <w:r w:rsidR="00050408">
        <w:t>C</w:t>
      </w:r>
      <w:r w:rsidR="00004F58" w:rsidRPr="00CD6BE2">
        <w:t>.</w:t>
      </w:r>
      <w:r w:rsidR="00004F58" w:rsidRPr="00CD6BE2">
        <w:tab/>
      </w:r>
      <w:r w:rsidR="00B65B05" w:rsidRPr="00B65B05">
        <w:t>The lifetime extension of nuclear power plants</w:t>
      </w:r>
      <w:bookmarkEnd w:id="11"/>
    </w:p>
    <w:p w14:paraId="1BC491F2" w14:textId="40AE805C" w:rsidR="00EA4E8E" w:rsidRDefault="00D678EC" w:rsidP="009E7FF9">
      <w:pPr>
        <w:ind w:left="1134" w:right="1179" w:firstLine="6"/>
        <w:jc w:val="both"/>
      </w:pPr>
      <w:r>
        <w:t>21</w:t>
      </w:r>
      <w:r w:rsidR="00B65B05">
        <w:t>.</w:t>
      </w:r>
      <w:r w:rsidR="00B65B05">
        <w:tab/>
      </w:r>
      <w:r w:rsidR="00B65B05" w:rsidRPr="00B65B05">
        <w:t xml:space="preserve">The delegation of Germany </w:t>
      </w:r>
      <w:r w:rsidR="000848C5">
        <w:t xml:space="preserve">updated </w:t>
      </w:r>
      <w:r w:rsidR="009E7FF9">
        <w:t xml:space="preserve">the Working Group </w:t>
      </w:r>
      <w:r w:rsidR="00B65B05" w:rsidRPr="00B65B05">
        <w:t xml:space="preserve">on progress in </w:t>
      </w:r>
      <w:bookmarkStart w:id="12" w:name="_Hlk29572311"/>
      <w:bookmarkStart w:id="13" w:name="_Hlk29572400"/>
      <w:r w:rsidR="00B65B05" w:rsidRPr="00B65B05">
        <w:t>draft</w:t>
      </w:r>
      <w:r w:rsidR="00844093">
        <w:t>ing</w:t>
      </w:r>
      <w:r w:rsidR="00B65B05" w:rsidRPr="00B65B05">
        <w:t xml:space="preserve"> guidance on the applicability of the Convention to the lifetime extension of nuclear power plants by the ad hoc working group</w:t>
      </w:r>
      <w:r w:rsidR="006A1F14">
        <w:t xml:space="preserve"> </w:t>
      </w:r>
      <w:r w:rsidR="008F3730">
        <w:t xml:space="preserve">that it </w:t>
      </w:r>
      <w:r w:rsidR="006A1F14">
        <w:t xml:space="preserve">co-chaired </w:t>
      </w:r>
      <w:r w:rsidR="008F3730">
        <w:t xml:space="preserve">together with </w:t>
      </w:r>
      <w:r w:rsidR="006A1F14" w:rsidRPr="006A1F14">
        <w:t>the United Kingdom of Great Britain and Northern Ireland</w:t>
      </w:r>
      <w:bookmarkEnd w:id="12"/>
      <w:r w:rsidR="00F2638C">
        <w:t xml:space="preserve"> </w:t>
      </w:r>
      <w:bookmarkStart w:id="14" w:name="_Hlk27769320"/>
      <w:bookmarkEnd w:id="13"/>
      <w:r w:rsidR="00F2638C" w:rsidRPr="00F2638C">
        <w:t>(ECE/MP.EIA/WG.2/2019/INF.</w:t>
      </w:r>
      <w:r w:rsidR="00F2638C">
        <w:t>6</w:t>
      </w:r>
      <w:r w:rsidR="00F2638C" w:rsidRPr="00F2638C">
        <w:t>)</w:t>
      </w:r>
      <w:r w:rsidR="006A1F14">
        <w:t>.</w:t>
      </w:r>
      <w:bookmarkEnd w:id="14"/>
      <w:r w:rsidR="006A1F14">
        <w:t xml:space="preserve"> The progress report covered </w:t>
      </w:r>
      <w:r w:rsidR="00B65B05" w:rsidRPr="00B65B05">
        <w:t xml:space="preserve">the </w:t>
      </w:r>
      <w:r w:rsidR="000848C5">
        <w:t xml:space="preserve">outcomes of the </w:t>
      </w:r>
      <w:r w:rsidR="00B65B05" w:rsidRPr="00B65B05">
        <w:t xml:space="preserve">group’s </w:t>
      </w:r>
      <w:r w:rsidR="000848C5">
        <w:t xml:space="preserve">meetings </w:t>
      </w:r>
      <w:r w:rsidR="006A1F14">
        <w:t>since the intermediary session</w:t>
      </w:r>
      <w:r w:rsidR="00EB668E">
        <w:t>s</w:t>
      </w:r>
      <w:r w:rsidR="006A1F14">
        <w:t xml:space="preserve"> of the Meetings of the Parties</w:t>
      </w:r>
      <w:r w:rsidR="00B65B05" w:rsidRPr="00B65B05">
        <w:t xml:space="preserve"> </w:t>
      </w:r>
      <w:r w:rsidR="006A1F14">
        <w:t>(</w:t>
      </w:r>
      <w:r w:rsidR="004147DA">
        <w:t xml:space="preserve">Geneva, </w:t>
      </w:r>
      <w:r w:rsidR="006A1F14">
        <w:t>5</w:t>
      </w:r>
      <w:r w:rsidR="00C135A8">
        <w:t>–</w:t>
      </w:r>
      <w:r w:rsidR="006A1F14">
        <w:t xml:space="preserve">7 February 2019), </w:t>
      </w:r>
      <w:r w:rsidR="008F3730">
        <w:t>which had been</w:t>
      </w:r>
      <w:r w:rsidR="000848C5">
        <w:t xml:space="preserve"> held in</w:t>
      </w:r>
      <w:r w:rsidR="004147DA">
        <w:t>:</w:t>
      </w:r>
      <w:r w:rsidR="000848C5">
        <w:t xml:space="preserve"> </w:t>
      </w:r>
      <w:r w:rsidR="00B65B05" w:rsidRPr="00B65B05">
        <w:t>Geneva, on 25 and 26 March</w:t>
      </w:r>
      <w:r w:rsidR="004147DA">
        <w:t xml:space="preserve"> 2019;</w:t>
      </w:r>
      <w:r w:rsidR="00B65B05" w:rsidRPr="00B65B05">
        <w:t xml:space="preserve"> Lisbon, on 3 and 4 June</w:t>
      </w:r>
      <w:r w:rsidR="004147DA">
        <w:t xml:space="preserve"> 2019;</w:t>
      </w:r>
      <w:r w:rsidR="00B65B05" w:rsidRPr="00B65B05">
        <w:t xml:space="preserve"> and Rotterdam </w:t>
      </w:r>
      <w:r w:rsidR="004F7E0E">
        <w:t>(</w:t>
      </w:r>
      <w:r w:rsidR="00B65B05" w:rsidRPr="00B65B05">
        <w:t>Netherlands</w:t>
      </w:r>
      <w:r w:rsidR="004F7E0E">
        <w:t>)</w:t>
      </w:r>
      <w:r w:rsidR="00B65B05" w:rsidRPr="00B65B05">
        <w:t>, on 8 and 9 October 2019.</w:t>
      </w:r>
      <w:r w:rsidR="00B65B05">
        <w:t xml:space="preserve"> </w:t>
      </w:r>
      <w:r w:rsidR="000848C5">
        <w:t xml:space="preserve">The German </w:t>
      </w:r>
      <w:r w:rsidR="008F3730">
        <w:t>C</w:t>
      </w:r>
      <w:r w:rsidR="000848C5">
        <w:t xml:space="preserve">o-Chair of the ad hoc group also reported on the group’s plans to </w:t>
      </w:r>
      <w:r w:rsidR="009C374E">
        <w:t>prepar</w:t>
      </w:r>
      <w:r w:rsidR="006A1F14">
        <w:t>e</w:t>
      </w:r>
      <w:r w:rsidR="009C374E">
        <w:t xml:space="preserve"> draft guidance </w:t>
      </w:r>
      <w:bookmarkStart w:id="15" w:name="_Hlk29572698"/>
      <w:r w:rsidR="009C374E">
        <w:t xml:space="preserve">for consideration </w:t>
      </w:r>
      <w:r w:rsidR="004147DA">
        <w:t>by</w:t>
      </w:r>
      <w:r w:rsidR="009C374E">
        <w:t xml:space="preserve"> the Working Group at its next meeting</w:t>
      </w:r>
      <w:r w:rsidR="006A1F14">
        <w:t xml:space="preserve">, </w:t>
      </w:r>
      <w:r w:rsidR="000848C5">
        <w:t>as an informal document</w:t>
      </w:r>
      <w:bookmarkEnd w:id="15"/>
      <w:r w:rsidR="000848C5">
        <w:t xml:space="preserve">, </w:t>
      </w:r>
      <w:r w:rsidR="009C374E">
        <w:t xml:space="preserve">and </w:t>
      </w:r>
      <w:r w:rsidR="006A1F14">
        <w:t xml:space="preserve">to finalize it based on the comments made </w:t>
      </w:r>
      <w:r w:rsidR="000A49A3">
        <w:t xml:space="preserve">prior to </w:t>
      </w:r>
      <w:r w:rsidR="008F3730">
        <w:t xml:space="preserve">its submission </w:t>
      </w:r>
      <w:r w:rsidR="000A49A3">
        <w:t xml:space="preserve">to </w:t>
      </w:r>
      <w:r w:rsidR="006A1F14">
        <w:t>the next sessions of the Meeting of the Parties to the Convention</w:t>
      </w:r>
      <w:r w:rsidR="008F3730">
        <w:t xml:space="preserve"> as an official document</w:t>
      </w:r>
      <w:r w:rsidR="006A1F14">
        <w:t>. T</w:t>
      </w:r>
      <w:r w:rsidR="000848C5">
        <w:t>o that end</w:t>
      </w:r>
      <w:r w:rsidR="008F3730">
        <w:t>,</w:t>
      </w:r>
      <w:r w:rsidR="000848C5">
        <w:t xml:space="preserve"> t</w:t>
      </w:r>
      <w:r w:rsidR="006A1F14">
        <w:t>he</w:t>
      </w:r>
      <w:r w:rsidR="000848C5">
        <w:t xml:space="preserve"> group intended to hold further meetings </w:t>
      </w:r>
      <w:r w:rsidR="0001211E">
        <w:t>in</w:t>
      </w:r>
      <w:r w:rsidR="000848C5">
        <w:t>: Vienna</w:t>
      </w:r>
      <w:r w:rsidR="0001211E">
        <w:t>,</w:t>
      </w:r>
      <w:r w:rsidR="000848C5">
        <w:t xml:space="preserve"> on </w:t>
      </w:r>
      <w:r w:rsidR="00EA4E8E" w:rsidRPr="00EA4E8E">
        <w:t>3</w:t>
      </w:r>
      <w:r w:rsidR="009E7FF9">
        <w:t xml:space="preserve"> and </w:t>
      </w:r>
      <w:r w:rsidR="00EA4E8E" w:rsidRPr="00EA4E8E">
        <w:t>4 Dec</w:t>
      </w:r>
      <w:r w:rsidR="00900316">
        <w:t>ember 2019</w:t>
      </w:r>
      <w:r w:rsidR="000848C5">
        <w:t xml:space="preserve">, </w:t>
      </w:r>
      <w:r w:rsidR="002D7371">
        <w:t xml:space="preserve">preceded by a stakeholder workshop on 2 December; </w:t>
      </w:r>
      <w:r w:rsidR="000848C5">
        <w:t>Rome</w:t>
      </w:r>
      <w:r w:rsidR="0001211E">
        <w:t>,</w:t>
      </w:r>
      <w:r w:rsidR="000848C5">
        <w:t xml:space="preserve"> from 2 to </w:t>
      </w:r>
      <w:r w:rsidR="002D7371">
        <w:t>4</w:t>
      </w:r>
      <w:r w:rsidR="00EA4E8E" w:rsidRPr="00EA4E8E">
        <w:t xml:space="preserve"> March</w:t>
      </w:r>
      <w:r w:rsidR="00900316">
        <w:t xml:space="preserve"> 2020</w:t>
      </w:r>
      <w:r w:rsidR="000848C5">
        <w:t>; Sofia</w:t>
      </w:r>
      <w:r w:rsidR="0001211E">
        <w:t>,</w:t>
      </w:r>
      <w:r w:rsidR="000848C5">
        <w:t xml:space="preserve"> from </w:t>
      </w:r>
      <w:r w:rsidR="00EA4E8E" w:rsidRPr="00EA4E8E">
        <w:t>27</w:t>
      </w:r>
      <w:r w:rsidR="000848C5">
        <w:t xml:space="preserve"> to </w:t>
      </w:r>
      <w:r w:rsidR="00EA4E8E" w:rsidRPr="00EA4E8E">
        <w:t xml:space="preserve">29 April </w:t>
      </w:r>
      <w:r w:rsidR="00900316">
        <w:t>2020</w:t>
      </w:r>
      <w:r w:rsidR="006A1F14">
        <w:t xml:space="preserve">; and </w:t>
      </w:r>
      <w:r w:rsidR="000848C5">
        <w:t>Espoo (Finland)</w:t>
      </w:r>
      <w:r w:rsidR="0001211E">
        <w:t>,</w:t>
      </w:r>
      <w:r w:rsidR="000848C5">
        <w:t xml:space="preserve"> on 23 and 24 June 2020</w:t>
      </w:r>
      <w:r w:rsidR="00EA4E8E">
        <w:t>.</w:t>
      </w:r>
    </w:p>
    <w:p w14:paraId="78FDC761" w14:textId="3AD6BDD0" w:rsidR="00EA4E8E" w:rsidRDefault="00EA4E8E" w:rsidP="00B65B05">
      <w:pPr>
        <w:ind w:left="1134" w:right="1179" w:firstLine="6"/>
        <w:jc w:val="both"/>
      </w:pPr>
    </w:p>
    <w:p w14:paraId="12249B27" w14:textId="3C6C322F" w:rsidR="004E562E" w:rsidRDefault="00342839" w:rsidP="000848C5">
      <w:pPr>
        <w:ind w:left="1134" w:right="1179" w:firstLine="6"/>
        <w:jc w:val="both"/>
      </w:pPr>
      <w:r>
        <w:t>22</w:t>
      </w:r>
      <w:r w:rsidR="00EA4E8E">
        <w:t>.</w:t>
      </w:r>
      <w:r w:rsidR="00EA4E8E">
        <w:tab/>
        <w:t xml:space="preserve">The Working Group </w:t>
      </w:r>
      <w:r w:rsidR="000848C5">
        <w:t>noted the progress report and the plans for further work of the ad hoc group. It invited the</w:t>
      </w:r>
      <w:r w:rsidR="005B4B2C" w:rsidRPr="005B4B2C">
        <w:t xml:space="preserve"> group to deliver </w:t>
      </w:r>
      <w:r w:rsidR="0064235C">
        <w:t>the</w:t>
      </w:r>
      <w:r>
        <w:t xml:space="preserve"> </w:t>
      </w:r>
      <w:r w:rsidR="005B4B2C" w:rsidRPr="005B4B2C">
        <w:t xml:space="preserve">draft guidance </w:t>
      </w:r>
      <w:r w:rsidR="008E2A09">
        <w:t xml:space="preserve">for consideration </w:t>
      </w:r>
      <w:r w:rsidR="00E90C7F">
        <w:t xml:space="preserve">by </w:t>
      </w:r>
      <w:r w:rsidR="008E2A09">
        <w:t xml:space="preserve">the Working Group </w:t>
      </w:r>
      <w:r w:rsidR="005B4B2C" w:rsidRPr="005B4B2C">
        <w:t>by</w:t>
      </w:r>
      <w:r w:rsidR="000848C5">
        <w:t xml:space="preserve"> </w:t>
      </w:r>
      <w:r w:rsidR="000A49A3">
        <w:t xml:space="preserve">no later than </w:t>
      </w:r>
      <w:r w:rsidR="005B4B2C" w:rsidRPr="005B4B2C">
        <w:t>15 May</w:t>
      </w:r>
      <w:r w:rsidR="005B4B2C">
        <w:t xml:space="preserve"> 2020</w:t>
      </w:r>
      <w:r w:rsidR="000848C5">
        <w:t xml:space="preserve">, </w:t>
      </w:r>
      <w:r w:rsidR="006B2E98">
        <w:t xml:space="preserve">three </w:t>
      </w:r>
      <w:r w:rsidR="000848C5">
        <w:t xml:space="preserve">weeks in advance of </w:t>
      </w:r>
      <w:r w:rsidR="008E2A09">
        <w:t>its next meeting</w:t>
      </w:r>
      <w:r w:rsidR="000848C5">
        <w:t xml:space="preserve">. It </w:t>
      </w:r>
      <w:r w:rsidR="000A49A3">
        <w:t xml:space="preserve">welcomed </w:t>
      </w:r>
      <w:r w:rsidR="00E90C7F">
        <w:t xml:space="preserve">the offer of </w:t>
      </w:r>
      <w:r w:rsidR="000A49A3">
        <w:t>Germany</w:t>
      </w:r>
      <w:r w:rsidR="000848C5">
        <w:t xml:space="preserve"> to </w:t>
      </w:r>
      <w:r w:rsidR="000A49A3">
        <w:t xml:space="preserve">informally </w:t>
      </w:r>
      <w:r w:rsidR="000848C5">
        <w:t>translate the</w:t>
      </w:r>
      <w:r w:rsidR="000A49A3">
        <w:t xml:space="preserve"> draft guidance into Russian to facilitate its consideration by the Russian</w:t>
      </w:r>
      <w:r w:rsidR="007A6B20">
        <w:t>-</w:t>
      </w:r>
      <w:r w:rsidR="000A49A3">
        <w:t>speaking delegations at the Working Group’s meeting. It noted that out of the French</w:t>
      </w:r>
      <w:r w:rsidR="007A6B20">
        <w:t>-</w:t>
      </w:r>
      <w:r w:rsidR="000A49A3">
        <w:t xml:space="preserve">speaking delegations, those of </w:t>
      </w:r>
      <w:bookmarkStart w:id="16" w:name="_Hlk29303213"/>
      <w:r w:rsidR="004E562E" w:rsidRPr="004E562E">
        <w:t>Belgium</w:t>
      </w:r>
      <w:r w:rsidR="00E03068">
        <w:t xml:space="preserve"> and </w:t>
      </w:r>
      <w:r w:rsidR="004E562E" w:rsidRPr="004E562E">
        <w:t xml:space="preserve">Switzerland </w:t>
      </w:r>
      <w:r w:rsidR="000A49A3">
        <w:t xml:space="preserve">had </w:t>
      </w:r>
      <w:r w:rsidR="004E562E" w:rsidRPr="004E562E">
        <w:t xml:space="preserve">agreed to exceptionally discuss the draft guidance in English </w:t>
      </w:r>
      <w:r w:rsidR="000A49A3">
        <w:t>in June 2020</w:t>
      </w:r>
      <w:r w:rsidR="003F1261">
        <w:t xml:space="preserve">. France informed the meeting that </w:t>
      </w:r>
      <w:bookmarkEnd w:id="16"/>
      <w:r w:rsidR="003F1261">
        <w:t xml:space="preserve">it would consult </w:t>
      </w:r>
      <w:r w:rsidR="006B2E98">
        <w:t>its</w:t>
      </w:r>
      <w:r w:rsidR="000A49A3">
        <w:t xml:space="preserve"> capital on the need </w:t>
      </w:r>
      <w:r w:rsidR="00616BAF" w:rsidRPr="00616BAF">
        <w:t xml:space="preserve">for </w:t>
      </w:r>
      <w:r w:rsidR="000A49A3">
        <w:t xml:space="preserve">a </w:t>
      </w:r>
      <w:r w:rsidR="00616BAF" w:rsidRPr="00616BAF">
        <w:t>French translation, a</w:t>
      </w:r>
      <w:r w:rsidR="000A49A3">
        <w:t xml:space="preserve">nd, as </w:t>
      </w:r>
      <w:r w:rsidR="008E2A09">
        <w:t>required, o</w:t>
      </w:r>
      <w:r w:rsidR="000A49A3">
        <w:t>n the</w:t>
      </w:r>
      <w:r w:rsidR="00616BAF" w:rsidRPr="00616BAF">
        <w:t xml:space="preserve"> possibilit</w:t>
      </w:r>
      <w:r w:rsidR="000A49A3">
        <w:t>ies</w:t>
      </w:r>
      <w:r w:rsidR="00616BAF" w:rsidRPr="00616BAF">
        <w:t xml:space="preserve"> </w:t>
      </w:r>
      <w:r w:rsidR="000A49A3">
        <w:t xml:space="preserve">of France </w:t>
      </w:r>
      <w:r w:rsidR="00616BAF" w:rsidRPr="00616BAF">
        <w:t>informally translat</w:t>
      </w:r>
      <w:r w:rsidR="00C458B6">
        <w:t>ing</w:t>
      </w:r>
      <w:r w:rsidR="000A49A3">
        <w:t xml:space="preserve"> the draft</w:t>
      </w:r>
      <w:r w:rsidR="00616BAF" w:rsidRPr="00616BAF">
        <w:t xml:space="preserve">. </w:t>
      </w:r>
      <w:r w:rsidR="00616BAF">
        <w:t>The Working Group i</w:t>
      </w:r>
      <w:r w:rsidR="00616BAF" w:rsidRPr="00616BAF">
        <w:t xml:space="preserve">nvited </w:t>
      </w:r>
      <w:r w:rsidR="008E2A09">
        <w:t xml:space="preserve">the </w:t>
      </w:r>
      <w:r w:rsidR="00616BAF" w:rsidRPr="00616BAF">
        <w:t>secretariat to follow</w:t>
      </w:r>
      <w:r w:rsidR="00C458B6">
        <w:t xml:space="preserve"> </w:t>
      </w:r>
      <w:r w:rsidR="00616BAF" w:rsidRPr="00616BAF">
        <w:t xml:space="preserve">up with </w:t>
      </w:r>
      <w:r w:rsidR="00616BAF">
        <w:t>Canada and Luxembourg</w:t>
      </w:r>
      <w:r w:rsidR="000A49A3">
        <w:t>,</w:t>
      </w:r>
      <w:r w:rsidR="008E2A09">
        <w:t xml:space="preserve"> </w:t>
      </w:r>
      <w:r w:rsidR="00C458B6">
        <w:t xml:space="preserve">which </w:t>
      </w:r>
      <w:r w:rsidR="008E2A09">
        <w:t>were</w:t>
      </w:r>
      <w:r w:rsidR="000A49A3">
        <w:t xml:space="preserve"> not represented at the meeting,</w:t>
      </w:r>
      <w:r w:rsidR="00616BAF">
        <w:t xml:space="preserve"> </w:t>
      </w:r>
      <w:r w:rsidR="000A49A3">
        <w:t>regarding the translation issue</w:t>
      </w:r>
      <w:r w:rsidR="00616BAF">
        <w:t>.</w:t>
      </w:r>
    </w:p>
    <w:p w14:paraId="4D225C28" w14:textId="3A364412" w:rsidR="00616BAF" w:rsidRDefault="00616BAF" w:rsidP="00B65B05">
      <w:pPr>
        <w:ind w:left="1134" w:right="1179" w:firstLine="6"/>
        <w:jc w:val="both"/>
      </w:pPr>
    </w:p>
    <w:p w14:paraId="4EDE42B3" w14:textId="3A421FB4" w:rsidR="00616BAF" w:rsidRDefault="008E2A09" w:rsidP="0098659F">
      <w:pPr>
        <w:ind w:left="1134" w:right="1179" w:firstLine="6"/>
        <w:jc w:val="both"/>
      </w:pPr>
      <w:r>
        <w:t>23</w:t>
      </w:r>
      <w:r w:rsidR="00616BAF">
        <w:t>.</w:t>
      </w:r>
      <w:r w:rsidR="00616BAF">
        <w:tab/>
        <w:t xml:space="preserve">The Working Group noted </w:t>
      </w:r>
      <w:r>
        <w:t xml:space="preserve">the </w:t>
      </w:r>
      <w:r w:rsidR="00616BAF">
        <w:t xml:space="preserve">conclusions of the </w:t>
      </w:r>
      <w:r>
        <w:t>i</w:t>
      </w:r>
      <w:r w:rsidR="00616BAF" w:rsidRPr="00616BAF">
        <w:t>nternational workshop on environmental and health impacts of</w:t>
      </w:r>
      <w:r>
        <w:t xml:space="preserve"> </w:t>
      </w:r>
      <w:r w:rsidR="00616BAF" w:rsidRPr="00616BAF">
        <w:t xml:space="preserve">lifetime extension of nuclear power plants </w:t>
      </w:r>
      <w:r>
        <w:t>that the International Association f</w:t>
      </w:r>
      <w:r w:rsidR="00B33D3B">
        <w:t>or</w:t>
      </w:r>
      <w:r>
        <w:t xml:space="preserve"> Impact Assessment had organized in </w:t>
      </w:r>
      <w:r w:rsidR="00616BAF">
        <w:t>Lisbon</w:t>
      </w:r>
      <w:r w:rsidR="00B33D3B">
        <w:t>,</w:t>
      </w:r>
      <w:r>
        <w:t xml:space="preserve"> on </w:t>
      </w:r>
      <w:r w:rsidR="00616BAF">
        <w:t>5 June 2019</w:t>
      </w:r>
      <w:r w:rsidR="00B33D3B">
        <w:t>,</w:t>
      </w:r>
      <w:r>
        <w:t xml:space="preserve"> to contribute to the development of the draft guidance</w:t>
      </w:r>
      <w:r w:rsidR="00A52C0E">
        <w:t>.</w:t>
      </w:r>
      <w:r w:rsidR="00A52C0E">
        <w:rPr>
          <w:rStyle w:val="FootnoteReference"/>
        </w:rPr>
        <w:footnoteReference w:id="6"/>
      </w:r>
      <w:r>
        <w:t xml:space="preserve"> </w:t>
      </w:r>
      <w:r w:rsidR="00616BAF">
        <w:t>It also took note of the</w:t>
      </w:r>
      <w:r>
        <w:t xml:space="preserve"> interpretative ruling</w:t>
      </w:r>
      <w:r w:rsidR="00B33D3B">
        <w:t xml:space="preserve"> issued by</w:t>
      </w:r>
      <w:r>
        <w:t xml:space="preserve"> the</w:t>
      </w:r>
      <w:r w:rsidR="00616BAF">
        <w:t xml:space="preserve"> </w:t>
      </w:r>
      <w:r>
        <w:t xml:space="preserve">Court of Justice </w:t>
      </w:r>
      <w:r w:rsidR="001B708C">
        <w:t xml:space="preserve">of the European Union </w:t>
      </w:r>
      <w:r>
        <w:t xml:space="preserve">on the </w:t>
      </w:r>
      <w:r w:rsidR="00616BAF" w:rsidRPr="00616BAF">
        <w:t>lifetime extension</w:t>
      </w:r>
      <w:r w:rsidR="00616BAF">
        <w:t xml:space="preserve"> of </w:t>
      </w:r>
      <w:r>
        <w:t xml:space="preserve">the </w:t>
      </w:r>
      <w:r w:rsidR="00B33D3B" w:rsidRPr="00B33D3B">
        <w:t xml:space="preserve">Doel 1 and 2 </w:t>
      </w:r>
      <w:r>
        <w:t>nuclear power plants in Belgium</w:t>
      </w:r>
      <w:r w:rsidR="00616BAF">
        <w:t>.</w:t>
      </w:r>
      <w:r w:rsidR="00A52C0E">
        <w:rPr>
          <w:rStyle w:val="FootnoteReference"/>
        </w:rPr>
        <w:footnoteReference w:id="7"/>
      </w:r>
      <w:r>
        <w:t xml:space="preserve"> Lastly, t</w:t>
      </w:r>
      <w:r w:rsidR="00616BAF">
        <w:t xml:space="preserve">he Working Group noted </w:t>
      </w:r>
      <w:r w:rsidR="0020376F">
        <w:t xml:space="preserve">the </w:t>
      </w:r>
      <w:r w:rsidR="00616BAF">
        <w:t xml:space="preserve">recent </w:t>
      </w:r>
      <w:r w:rsidR="007F458A">
        <w:lastRenderedPageBreak/>
        <w:t xml:space="preserve">OECD </w:t>
      </w:r>
      <w:r w:rsidR="007F458A" w:rsidRPr="007F458A">
        <w:t>Nuclear Energy Agency</w:t>
      </w:r>
      <w:r w:rsidR="007B3BEE">
        <w:t xml:space="preserve"> publication</w:t>
      </w:r>
      <w:r w:rsidR="007F458A" w:rsidRPr="007F458A">
        <w:t xml:space="preserve"> </w:t>
      </w:r>
      <w:r w:rsidR="007D4985">
        <w:t>entitled</w:t>
      </w:r>
      <w:r w:rsidR="00616BAF">
        <w:t xml:space="preserve"> </w:t>
      </w:r>
      <w:r w:rsidR="007D4985">
        <w:t>“</w:t>
      </w:r>
      <w:r w:rsidR="007F458A">
        <w:t>L</w:t>
      </w:r>
      <w:r w:rsidR="00616BAF">
        <w:t xml:space="preserve">egal </w:t>
      </w:r>
      <w:r w:rsidR="007F458A">
        <w:t>F</w:t>
      </w:r>
      <w:r w:rsidR="00616BAF">
        <w:t xml:space="preserve">rameworks for </w:t>
      </w:r>
      <w:r w:rsidR="007F458A">
        <w:t>Long-term Operation of Nuclear Power Reactors</w:t>
      </w:r>
      <w:r w:rsidR="007D4985">
        <w:t>”</w:t>
      </w:r>
      <w:r w:rsidR="007F458A">
        <w:t>.</w:t>
      </w:r>
      <w:r w:rsidR="007F458A">
        <w:rPr>
          <w:rStyle w:val="FootnoteReference"/>
        </w:rPr>
        <w:footnoteReference w:id="8"/>
      </w:r>
    </w:p>
    <w:p w14:paraId="1AD63D19" w14:textId="15C71914" w:rsidR="00004F58" w:rsidRPr="00CD6BE2" w:rsidRDefault="00291AA1" w:rsidP="00291AA1">
      <w:pPr>
        <w:pStyle w:val="H23G"/>
        <w:jc w:val="both"/>
      </w:pPr>
      <w:r w:rsidRPr="00CD6BE2">
        <w:tab/>
      </w:r>
      <w:r w:rsidR="00050408">
        <w:t>D</w:t>
      </w:r>
      <w:r w:rsidRPr="00CD6BE2">
        <w:t>.</w:t>
      </w:r>
      <w:r w:rsidRPr="00CD6BE2">
        <w:tab/>
      </w:r>
      <w:r w:rsidR="00004F58" w:rsidRPr="00CD6BE2">
        <w:t>Legislative assistance to support implementation and ratification</w:t>
      </w:r>
    </w:p>
    <w:p w14:paraId="6BE4A3C3" w14:textId="6063AA75" w:rsidR="00475ACA" w:rsidRDefault="00AA127A" w:rsidP="00475ACA">
      <w:pPr>
        <w:pStyle w:val="SingleTxtG"/>
      </w:pPr>
      <w:r>
        <w:t>24</w:t>
      </w:r>
      <w:r w:rsidR="00475ACA" w:rsidRPr="00561160">
        <w:t>.</w:t>
      </w:r>
      <w:r w:rsidR="00475ACA" w:rsidRPr="00561160">
        <w:tab/>
      </w:r>
      <w:r w:rsidR="00475ACA">
        <w:t xml:space="preserve">The Working Group welcomed the recent publication of </w:t>
      </w:r>
      <w:r w:rsidR="00475ACA" w:rsidRPr="00015B8D">
        <w:t xml:space="preserve">the </w:t>
      </w:r>
      <w:r w:rsidR="00475ACA" w:rsidRPr="00910EDB">
        <w:rPr>
          <w:i/>
          <w:iCs/>
        </w:rPr>
        <w:t>Revised Guidelines on Environmental Impact Assessment in a Transboundary Context for Central Asian Countries</w:t>
      </w:r>
      <w:r w:rsidR="00475ACA">
        <w:t>,</w:t>
      </w:r>
      <w:r w:rsidR="008E5AF9">
        <w:rPr>
          <w:rStyle w:val="FootnoteReference"/>
        </w:rPr>
        <w:footnoteReference w:id="9"/>
      </w:r>
      <w:r w:rsidR="008E5AF9">
        <w:t xml:space="preserve"> </w:t>
      </w:r>
      <w:r w:rsidR="00475ACA">
        <w:t>as endorsed by the Meeting of the Parties to the Convention at its intermediary</w:t>
      </w:r>
      <w:r w:rsidR="008C5A67">
        <w:t xml:space="preserve"> </w:t>
      </w:r>
      <w:r w:rsidR="00475ACA">
        <w:t>session through decision IS/3 (</w:t>
      </w:r>
      <w:r w:rsidR="00475ACA" w:rsidRPr="00417777">
        <w:t>see ECE/MP.EIA/27/Add.1−ECE/MP.EIA/SEA/11/Add.1</w:t>
      </w:r>
      <w:r w:rsidR="00475ACA">
        <w:t>).</w:t>
      </w:r>
    </w:p>
    <w:p w14:paraId="5414B4ED" w14:textId="4F8C38F5" w:rsidR="00840BC2" w:rsidRDefault="003D6D3F" w:rsidP="006821EB">
      <w:pPr>
        <w:pStyle w:val="SingleTxtG"/>
      </w:pPr>
      <w:r>
        <w:t>25</w:t>
      </w:r>
      <w:r w:rsidR="00C840BE" w:rsidRPr="00CD6BE2">
        <w:t>.</w:t>
      </w:r>
      <w:r w:rsidR="00C840BE" w:rsidRPr="00CD6BE2">
        <w:tab/>
      </w:r>
      <w:r w:rsidR="00BB5514" w:rsidRPr="00CD6BE2">
        <w:t xml:space="preserve">The Working Group reviewed </w:t>
      </w:r>
      <w:r w:rsidR="008E5AF9">
        <w:t>progress in implementing legislative assistance foreseen in, or related to</w:t>
      </w:r>
      <w:r w:rsidR="00FC4582">
        <w:t>,</w:t>
      </w:r>
      <w:r w:rsidR="008E5AF9">
        <w:t xml:space="preserve"> </w:t>
      </w:r>
      <w:r w:rsidR="00BB5514" w:rsidRPr="00CD6BE2">
        <w:t>the workplan for 201</w:t>
      </w:r>
      <w:r w:rsidR="00370F01" w:rsidRPr="00CD6BE2">
        <w:t>7</w:t>
      </w:r>
      <w:r w:rsidR="00BB5514" w:rsidRPr="00CD6BE2">
        <w:t>–2020</w:t>
      </w:r>
      <w:r w:rsidR="008E5AF9">
        <w:t xml:space="preserve"> since the intermediary sessions of the Meetings of the Parties</w:t>
      </w:r>
      <w:r w:rsidR="00BB5514" w:rsidRPr="00CD6BE2">
        <w:t xml:space="preserve">. It welcomed the information </w:t>
      </w:r>
      <w:r w:rsidR="008E5AF9">
        <w:t xml:space="preserve">from the delegations of </w:t>
      </w:r>
      <w:r w:rsidR="00840BC2">
        <w:t>Kazakhstan, Tajikistan</w:t>
      </w:r>
      <w:r w:rsidR="008E5AF9">
        <w:t xml:space="preserve"> and</w:t>
      </w:r>
      <w:r w:rsidR="00840BC2">
        <w:t xml:space="preserve"> Uzbekistan</w:t>
      </w:r>
      <w:r w:rsidR="00AC55C2" w:rsidRPr="00CD6BE2">
        <w:t xml:space="preserve"> and the secretariat on the legislative assistance </w:t>
      </w:r>
      <w:r w:rsidR="00BC1104" w:rsidRPr="00CD6BE2">
        <w:t xml:space="preserve">that the secretariat had </w:t>
      </w:r>
      <w:r w:rsidR="00AC55C2" w:rsidRPr="00CD6BE2">
        <w:t xml:space="preserve">provided </w:t>
      </w:r>
      <w:r w:rsidR="00840BC2">
        <w:t>in 2019</w:t>
      </w:r>
      <w:r w:rsidR="006821EB">
        <w:t xml:space="preserve"> in cooperation with OSCE</w:t>
      </w:r>
      <w:r w:rsidR="00840BC2">
        <w:t xml:space="preserve"> to support th</w:t>
      </w:r>
      <w:r w:rsidR="008D3BB0">
        <w:t>o</w:t>
      </w:r>
      <w:r w:rsidR="006821EB">
        <w:t>se</w:t>
      </w:r>
      <w:r w:rsidR="00840BC2">
        <w:t xml:space="preserve"> countries’ legal reforms and their efforts in implementing and ratifying the Convention and/or the Protocol. </w:t>
      </w:r>
      <w:r w:rsidR="006821EB">
        <w:t>A</w:t>
      </w:r>
      <w:r>
        <w:t xml:space="preserve"> series of technical meetings</w:t>
      </w:r>
      <w:r w:rsidR="006821EB">
        <w:t xml:space="preserve"> </w:t>
      </w:r>
      <w:r w:rsidR="008C5A67">
        <w:t xml:space="preserve">had been </w:t>
      </w:r>
      <w:r w:rsidR="006821EB">
        <w:t>held, including</w:t>
      </w:r>
      <w:r>
        <w:t xml:space="preserve"> in Tajikistan (Dushanbe, 10</w:t>
      </w:r>
      <w:r w:rsidR="00C135A8">
        <w:t xml:space="preserve"> and </w:t>
      </w:r>
      <w:r>
        <w:t>11 October 2019) to support the amend</w:t>
      </w:r>
      <w:r w:rsidR="006821EB">
        <w:t xml:space="preserve">ment of </w:t>
      </w:r>
      <w:r w:rsidR="00F56EC1">
        <w:t>the country’s</w:t>
      </w:r>
      <w:r>
        <w:t xml:space="preserve"> primary and secondary environmental assessment legislation</w:t>
      </w:r>
      <w:r w:rsidR="00C0076D">
        <w:t>,</w:t>
      </w:r>
      <w:r>
        <w:t xml:space="preserve"> </w:t>
      </w:r>
      <w:bookmarkStart w:id="17" w:name="_Hlk27754202"/>
      <w:r>
        <w:t>and in Uzbekistan (Tashkent, 19</w:t>
      </w:r>
      <w:r w:rsidR="00C135A8">
        <w:t xml:space="preserve"> and </w:t>
      </w:r>
      <w:r>
        <w:t xml:space="preserve">20 August and 19 December 2019) to </w:t>
      </w:r>
      <w:r w:rsidR="006821EB">
        <w:t xml:space="preserve">support the amendment of </w:t>
      </w:r>
      <w:r>
        <w:t>primary legislation a</w:t>
      </w:r>
      <w:r w:rsidR="006821EB">
        <w:t xml:space="preserve">nd the development of secondary legislation. </w:t>
      </w:r>
      <w:bookmarkEnd w:id="17"/>
    </w:p>
    <w:p w14:paraId="4A8B57F1" w14:textId="4B1FE74C" w:rsidR="002E6561" w:rsidRDefault="006821EB" w:rsidP="00475ACA">
      <w:pPr>
        <w:pStyle w:val="SingleTxtG"/>
      </w:pPr>
      <w:r>
        <w:t>26</w:t>
      </w:r>
      <w:r w:rsidR="005E1F17">
        <w:t>.</w:t>
      </w:r>
      <w:r w:rsidR="005E1F17">
        <w:tab/>
      </w:r>
      <w:r w:rsidR="00475ACA" w:rsidRPr="00CD6BE2">
        <w:t xml:space="preserve">The Working Group </w:t>
      </w:r>
      <w:r w:rsidR="00475ACA">
        <w:t>w</w:t>
      </w:r>
      <w:r w:rsidR="00475ACA" w:rsidRPr="00475ACA">
        <w:t xml:space="preserve">elcomed </w:t>
      </w:r>
      <w:r>
        <w:t xml:space="preserve">the </w:t>
      </w:r>
      <w:r w:rsidR="00475ACA" w:rsidRPr="00475ACA">
        <w:t>funding</w:t>
      </w:r>
      <w:r>
        <w:t xml:space="preserve"> provided by </w:t>
      </w:r>
      <w:r w:rsidR="00475ACA" w:rsidRPr="00475ACA">
        <w:t xml:space="preserve">Germany, Switzerland and </w:t>
      </w:r>
      <w:r w:rsidR="005A7066">
        <w:t xml:space="preserve">the </w:t>
      </w:r>
      <w:r w:rsidR="00475ACA" w:rsidRPr="00475ACA">
        <w:t xml:space="preserve">OSCE </w:t>
      </w:r>
      <w:r w:rsidR="00045BC0">
        <w:t>P</w:t>
      </w:r>
      <w:r w:rsidR="00475ACA" w:rsidRPr="00475ACA">
        <w:t>rogramme</w:t>
      </w:r>
      <w:r w:rsidR="00475ACA">
        <w:t xml:space="preserve"> </w:t>
      </w:r>
      <w:r w:rsidR="00045BC0">
        <w:t>O</w:t>
      </w:r>
      <w:r w:rsidR="00475ACA" w:rsidRPr="00475ACA">
        <w:t xml:space="preserve">ffice in </w:t>
      </w:r>
      <w:r w:rsidR="00045BC0">
        <w:t>Nur-Sultan</w:t>
      </w:r>
      <w:r w:rsidR="00475ACA" w:rsidRPr="00475ACA">
        <w:t xml:space="preserve"> for </w:t>
      </w:r>
      <w:r>
        <w:t xml:space="preserve">the activities in the </w:t>
      </w:r>
      <w:r w:rsidR="00475ACA" w:rsidRPr="00475ACA">
        <w:t>Central Asian countries</w:t>
      </w:r>
      <w:r>
        <w:t xml:space="preserve">. It also welcomed the </w:t>
      </w:r>
      <w:r w:rsidR="00475ACA" w:rsidRPr="00475ACA">
        <w:t>efforts by the countries</w:t>
      </w:r>
      <w:r w:rsidR="001E302A">
        <w:t xml:space="preserve"> from the subregion present at the meeting</w:t>
      </w:r>
      <w:r w:rsidR="00024BD1">
        <w:t xml:space="preserve">, </w:t>
      </w:r>
      <w:r w:rsidR="00475ACA">
        <w:t>e</w:t>
      </w:r>
      <w:r w:rsidR="00475ACA" w:rsidRPr="00475ACA">
        <w:t>ncourag</w:t>
      </w:r>
      <w:r w:rsidR="00024BD1">
        <w:t xml:space="preserve">ing </w:t>
      </w:r>
      <w:r>
        <w:t xml:space="preserve">them to </w:t>
      </w:r>
      <w:r w:rsidR="00475ACA" w:rsidRPr="00475ACA">
        <w:t xml:space="preserve">pursue their legal reforms and to consider taking steps to ratify the Protocol and, in </w:t>
      </w:r>
      <w:r>
        <w:t xml:space="preserve">the </w:t>
      </w:r>
      <w:r w:rsidR="00475ACA" w:rsidRPr="00475ACA">
        <w:t xml:space="preserve">case of Tajikistan </w:t>
      </w:r>
      <w:r w:rsidR="00475ACA">
        <w:t>and</w:t>
      </w:r>
      <w:r w:rsidR="00475ACA" w:rsidRPr="00475ACA">
        <w:t xml:space="preserve"> Uzbekistan, to </w:t>
      </w:r>
      <w:r>
        <w:t>become Part</w:t>
      </w:r>
      <w:r w:rsidR="00230675">
        <w:t>ies</w:t>
      </w:r>
      <w:r>
        <w:t xml:space="preserve"> to </w:t>
      </w:r>
      <w:r w:rsidR="00475ACA" w:rsidRPr="00475ACA">
        <w:t>the Convention.</w:t>
      </w:r>
    </w:p>
    <w:p w14:paraId="104CC1E6" w14:textId="2D541D36" w:rsidR="0031062A" w:rsidRDefault="005F19AE" w:rsidP="0031062A">
      <w:pPr>
        <w:pStyle w:val="SingleTxtG"/>
      </w:pPr>
      <w:r>
        <w:t>27</w:t>
      </w:r>
      <w:r w:rsidR="0031062A">
        <w:t>.</w:t>
      </w:r>
      <w:r w:rsidR="0031062A">
        <w:tab/>
      </w:r>
      <w:r w:rsidR="0031062A" w:rsidRPr="00CD6BE2">
        <w:t xml:space="preserve">The </w:t>
      </w:r>
      <w:r w:rsidR="0031062A" w:rsidRPr="0031062A">
        <w:t>secretariat report</w:t>
      </w:r>
      <w:r w:rsidR="00CF4E4B">
        <w:t>ed</w:t>
      </w:r>
      <w:r w:rsidR="0031062A" w:rsidRPr="0031062A">
        <w:t xml:space="preserve"> on </w:t>
      </w:r>
      <w:r w:rsidR="00CF4E4B">
        <w:t xml:space="preserve">the </w:t>
      </w:r>
      <w:r w:rsidR="0031062A" w:rsidRPr="0031062A">
        <w:t>planned further legislative assistance to Armenia, Azerbaijan, Belarus and the Republic of Moldova</w:t>
      </w:r>
      <w:r w:rsidR="00F56EC1">
        <w:t>,</w:t>
      </w:r>
      <w:r w:rsidR="0031062A" w:rsidRPr="0031062A">
        <w:t xml:space="preserve"> with </w:t>
      </w:r>
      <w:r w:rsidR="00CF4E4B">
        <w:t xml:space="preserve">funding from the European Union under the EU4Environment </w:t>
      </w:r>
      <w:r w:rsidR="0031062A" w:rsidRPr="0031062A">
        <w:t>project</w:t>
      </w:r>
      <w:r w:rsidR="0031062A">
        <w:t xml:space="preserve">. It </w:t>
      </w:r>
      <w:r w:rsidR="00CF4E4B">
        <w:t>welcomed the further funding from the European Union (</w:t>
      </w:r>
      <w:r w:rsidR="00CF4E4B" w:rsidRPr="00CF4E4B">
        <w:t xml:space="preserve">the Directorate-General for Neighbourhood and Enlargement Negotiations) </w:t>
      </w:r>
      <w:r w:rsidR="0031062A" w:rsidRPr="0031062A">
        <w:t xml:space="preserve">and </w:t>
      </w:r>
      <w:r w:rsidR="00CF4E4B">
        <w:t xml:space="preserve">the </w:t>
      </w:r>
      <w:r w:rsidR="0031062A" w:rsidRPr="0031062A">
        <w:t xml:space="preserve">countries’ efforts to finalize their legal reforms with </w:t>
      </w:r>
      <w:r w:rsidR="00CF4E4B">
        <w:t xml:space="preserve">support from the </w:t>
      </w:r>
      <w:r w:rsidR="0031062A" w:rsidRPr="0031062A">
        <w:t>secretariat</w:t>
      </w:r>
      <w:r w:rsidR="0031062A">
        <w:t>. The Working Group e</w:t>
      </w:r>
      <w:r w:rsidR="0031062A" w:rsidRPr="0031062A">
        <w:t xml:space="preserve">ncouraged all </w:t>
      </w:r>
      <w:r w:rsidR="00CF4E4B">
        <w:t xml:space="preserve">the </w:t>
      </w:r>
      <w:r w:rsidR="0031062A" w:rsidRPr="0031062A">
        <w:t xml:space="preserve">assisted countries to fully align their legislation with the Convention </w:t>
      </w:r>
      <w:r w:rsidR="0031062A">
        <w:t>and the</w:t>
      </w:r>
      <w:r w:rsidR="0031062A" w:rsidRPr="0031062A">
        <w:t xml:space="preserve"> Protocol</w:t>
      </w:r>
      <w:r w:rsidR="0031062A">
        <w:t xml:space="preserve">. It also </w:t>
      </w:r>
      <w:r w:rsidR="0031062A" w:rsidRPr="0031062A">
        <w:t xml:space="preserve">encouraged Azerbaijan and Belarus to ratify the Protocol and Georgia </w:t>
      </w:r>
      <w:r w:rsidR="008C5A67">
        <w:t xml:space="preserve">to ratify/accede to </w:t>
      </w:r>
      <w:r w:rsidR="0031062A" w:rsidRPr="0031062A">
        <w:t>both instruments</w:t>
      </w:r>
      <w:r w:rsidR="0031062A">
        <w:t>.</w:t>
      </w:r>
    </w:p>
    <w:p w14:paraId="5912B5EC" w14:textId="5FD718FA" w:rsidR="00C840BE" w:rsidRPr="00CD6BE2" w:rsidRDefault="005C7875" w:rsidP="00EB395E">
      <w:pPr>
        <w:pStyle w:val="H23G"/>
        <w:jc w:val="both"/>
      </w:pPr>
      <w:r w:rsidRPr="00CD6BE2">
        <w:tab/>
      </w:r>
      <w:r w:rsidR="00050408">
        <w:t>E</w:t>
      </w:r>
      <w:r w:rsidR="00C840BE" w:rsidRPr="00CD6BE2">
        <w:t>.</w:t>
      </w:r>
      <w:r w:rsidR="00C840BE" w:rsidRPr="00CD6BE2">
        <w:tab/>
      </w:r>
      <w:r w:rsidR="004A7A72">
        <w:t>Draft long-term s</w:t>
      </w:r>
      <w:r w:rsidR="00C840BE" w:rsidRPr="00CD6BE2">
        <w:t>trategy and an action plan for future application of the Convention and the Protocol</w:t>
      </w:r>
    </w:p>
    <w:p w14:paraId="5F174182" w14:textId="6C7C03CF" w:rsidR="009D5C7A" w:rsidRDefault="00897EDA" w:rsidP="006F13B2">
      <w:pPr>
        <w:pStyle w:val="SingleTxtG"/>
      </w:pPr>
      <w:r>
        <w:t>28</w:t>
      </w:r>
      <w:r w:rsidR="00C41418" w:rsidRPr="00736C9A">
        <w:t>.</w:t>
      </w:r>
      <w:r w:rsidR="00C41418" w:rsidRPr="00736C9A">
        <w:tab/>
      </w:r>
      <w:r w:rsidR="009D5C7A">
        <w:t xml:space="preserve">The delegation of Austria presented </w:t>
      </w:r>
      <w:r w:rsidR="00F2638C">
        <w:t xml:space="preserve">a note on the </w:t>
      </w:r>
      <w:r w:rsidR="004A7A72">
        <w:t xml:space="preserve">draft long-term </w:t>
      </w:r>
      <w:r w:rsidR="00F2638C">
        <w:t>s</w:t>
      </w:r>
      <w:r w:rsidR="009D5C7A">
        <w:t>trategy and an action plan for the future application of the Convention and the Protocol</w:t>
      </w:r>
      <w:r>
        <w:t xml:space="preserve"> </w:t>
      </w:r>
      <w:r w:rsidR="00F2638C">
        <w:t>that it had developed together with the Netherlands</w:t>
      </w:r>
      <w:r w:rsidR="00A57A64">
        <w:t>,</w:t>
      </w:r>
      <w:r w:rsidR="00F2638C">
        <w:t xml:space="preserve"> with support from the secretariat </w:t>
      </w:r>
      <w:r w:rsidR="00F2638C" w:rsidRPr="00F2638C">
        <w:t>(ECE/MP.EIA/WG.2/2019/INF.</w:t>
      </w:r>
      <w:r w:rsidR="00F2638C">
        <w:t>7</w:t>
      </w:r>
      <w:r w:rsidR="00F2638C" w:rsidRPr="00F2638C">
        <w:t>)</w:t>
      </w:r>
      <w:r w:rsidR="00F2638C">
        <w:t xml:space="preserve">. The document built on </w:t>
      </w:r>
      <w:r w:rsidR="009D5C7A">
        <w:t xml:space="preserve">the outcomes of </w:t>
      </w:r>
      <w:r w:rsidR="00F2638C">
        <w:t xml:space="preserve">the </w:t>
      </w:r>
      <w:r w:rsidR="009D5C7A">
        <w:t>informal discussions</w:t>
      </w:r>
      <w:r w:rsidR="00F2638C">
        <w:t xml:space="preserve"> with Parties to the Convention and the Protocol</w:t>
      </w:r>
      <w:r w:rsidR="009D5C7A">
        <w:t xml:space="preserve"> </w:t>
      </w:r>
      <w:r w:rsidR="00F2638C">
        <w:t xml:space="preserve">that </w:t>
      </w:r>
      <w:r w:rsidR="00A57A64">
        <w:t xml:space="preserve">had been </w:t>
      </w:r>
      <w:r w:rsidR="009D5C7A">
        <w:t xml:space="preserve">held in Rotterdam </w:t>
      </w:r>
      <w:r w:rsidR="00F56EC1">
        <w:t>(</w:t>
      </w:r>
      <w:r w:rsidR="009D5C7A">
        <w:t>Netherlands</w:t>
      </w:r>
      <w:r w:rsidR="00F56EC1">
        <w:t>)</w:t>
      </w:r>
      <w:r w:rsidR="009D5C7A">
        <w:t xml:space="preserve">, on 7 October 2019. </w:t>
      </w:r>
      <w:r w:rsidR="006F13B2">
        <w:t xml:space="preserve">The Working Group </w:t>
      </w:r>
      <w:r w:rsidR="00A57A64">
        <w:t xml:space="preserve">welcomed </w:t>
      </w:r>
      <w:r w:rsidR="006F13B2">
        <w:t>th</w:t>
      </w:r>
      <w:r w:rsidR="00A57A64">
        <w:t>e</w:t>
      </w:r>
      <w:r w:rsidR="006F13B2">
        <w:t xml:space="preserve"> information and t</w:t>
      </w:r>
      <w:r w:rsidR="006F13B2" w:rsidRPr="006F13B2">
        <w:t>h</w:t>
      </w:r>
      <w:r w:rsidR="00A57A64">
        <w:t xml:space="preserve">e efforts of </w:t>
      </w:r>
      <w:r w:rsidR="006F13B2" w:rsidRPr="006F13B2">
        <w:t>Austria, the Netherlands and the secretariat</w:t>
      </w:r>
      <w:r w:rsidR="006F13B2">
        <w:t xml:space="preserve">. </w:t>
      </w:r>
    </w:p>
    <w:p w14:paraId="27E5BE8C" w14:textId="5EE9F958" w:rsidR="00B93E21" w:rsidRDefault="00B93E21" w:rsidP="006F13B2">
      <w:pPr>
        <w:pStyle w:val="SingleTxtG"/>
      </w:pPr>
      <w:r>
        <w:t>29</w:t>
      </w:r>
      <w:r w:rsidR="006F13B2">
        <w:t>.</w:t>
      </w:r>
      <w:r w:rsidR="006F13B2">
        <w:tab/>
        <w:t>The Working Group</w:t>
      </w:r>
      <w:r w:rsidR="00F2638C">
        <w:t xml:space="preserve"> </w:t>
      </w:r>
      <w:r w:rsidR="008B6D5E">
        <w:t xml:space="preserve">found </w:t>
      </w:r>
      <w:r w:rsidR="00F2638C">
        <w:t xml:space="preserve">the </w:t>
      </w:r>
      <w:r w:rsidR="00A57A64">
        <w:t>document</w:t>
      </w:r>
      <w:r w:rsidR="008B6D5E">
        <w:t xml:space="preserve"> to be comprehensive and agreed that all the issues</w:t>
      </w:r>
      <w:r w:rsidR="000330D1">
        <w:t xml:space="preserve"> that it covered </w:t>
      </w:r>
      <w:r w:rsidR="008B6D5E">
        <w:t xml:space="preserve">were important. </w:t>
      </w:r>
      <w:r w:rsidR="000330D1">
        <w:t xml:space="preserve">However, due to </w:t>
      </w:r>
      <w:r w:rsidR="006559A6">
        <w:t>current</w:t>
      </w:r>
      <w:r w:rsidR="000330D1">
        <w:t xml:space="preserve"> resource constraints and uncertainty </w:t>
      </w:r>
      <w:r w:rsidR="006559A6">
        <w:t xml:space="preserve">over </w:t>
      </w:r>
      <w:r w:rsidR="000330D1">
        <w:t xml:space="preserve">the extent </w:t>
      </w:r>
      <w:r w:rsidR="00F244AD">
        <w:t xml:space="preserve">of </w:t>
      </w:r>
      <w:r>
        <w:t xml:space="preserve">Parties’ </w:t>
      </w:r>
      <w:r w:rsidR="00F244AD">
        <w:t xml:space="preserve">future </w:t>
      </w:r>
      <w:r w:rsidR="000330D1">
        <w:t>funding</w:t>
      </w:r>
      <w:r>
        <w:t xml:space="preserve"> for the Convention and its Protocol, </w:t>
      </w:r>
      <w:r w:rsidR="000330D1">
        <w:t xml:space="preserve">it </w:t>
      </w:r>
      <w:r w:rsidR="00DC6C2F">
        <w:lastRenderedPageBreak/>
        <w:t>d</w:t>
      </w:r>
      <w:r w:rsidR="00DC6C2F" w:rsidRPr="00DC6C2F">
        <w:t xml:space="preserve">ecided </w:t>
      </w:r>
      <w:r w:rsidR="006559A6">
        <w:t>that there was a</w:t>
      </w:r>
      <w:r>
        <w:t xml:space="preserve"> need to </w:t>
      </w:r>
      <w:r w:rsidR="00DC6C2F" w:rsidRPr="00DC6C2F">
        <w:t xml:space="preserve">prioritize and limit </w:t>
      </w:r>
      <w:r>
        <w:t>the scope of the strategic goals and priority activities</w:t>
      </w:r>
      <w:r w:rsidR="00741A66">
        <w:t xml:space="preserve"> to be covered</w:t>
      </w:r>
      <w:r>
        <w:t xml:space="preserve">, </w:t>
      </w:r>
      <w:r w:rsidR="00741A66">
        <w:t xml:space="preserve">with </w:t>
      </w:r>
      <w:r w:rsidR="006559A6">
        <w:t>the</w:t>
      </w:r>
      <w:r w:rsidR="00741A66">
        <w:t xml:space="preserve"> possibility </w:t>
      </w:r>
      <w:r w:rsidR="006559A6">
        <w:t>of</w:t>
      </w:r>
      <w:r w:rsidR="00741A66">
        <w:t xml:space="preserve"> </w:t>
      </w:r>
      <w:r w:rsidR="00DC6C2F" w:rsidRPr="00DC6C2F">
        <w:t>review</w:t>
      </w:r>
      <w:r w:rsidR="006559A6">
        <w:t>ing</w:t>
      </w:r>
      <w:r w:rsidR="00DC6C2F" w:rsidRPr="00DC6C2F">
        <w:t xml:space="preserve"> </w:t>
      </w:r>
      <w:r>
        <w:t xml:space="preserve">the </w:t>
      </w:r>
      <w:r w:rsidR="00DC6C2F" w:rsidRPr="00DC6C2F">
        <w:t>situation</w:t>
      </w:r>
      <w:r>
        <w:t xml:space="preserve"> again in </w:t>
      </w:r>
      <w:r w:rsidR="00DC6C2F" w:rsidRPr="00DC6C2F">
        <w:t>10 years</w:t>
      </w:r>
      <w:r w:rsidR="001D4410">
        <w:t>’ time</w:t>
      </w:r>
      <w:r w:rsidR="00027893">
        <w:t>.</w:t>
      </w:r>
      <w:r>
        <w:t xml:space="preserve"> The delegation of the European Union provided several </w:t>
      </w:r>
      <w:r w:rsidR="00741A66">
        <w:t xml:space="preserve">specific </w:t>
      </w:r>
      <w:r>
        <w:t xml:space="preserve">comments and suggestions for revising the document.  </w:t>
      </w:r>
    </w:p>
    <w:p w14:paraId="307EE1E3" w14:textId="4FB4B9DE" w:rsidR="00027893" w:rsidRDefault="00B93E21" w:rsidP="006F737D">
      <w:pPr>
        <w:pStyle w:val="SingleTxtG"/>
      </w:pPr>
      <w:r>
        <w:t>30.</w:t>
      </w:r>
      <w:r>
        <w:tab/>
        <w:t xml:space="preserve">The Working Group noted that Austria had to step down as a co-lead country for the activity and </w:t>
      </w:r>
      <w:r w:rsidR="00741A66">
        <w:t xml:space="preserve">appreciated </w:t>
      </w:r>
      <w:r>
        <w:t>Poland volunteer</w:t>
      </w:r>
      <w:r w:rsidR="00741A66">
        <w:t>ing</w:t>
      </w:r>
      <w:r>
        <w:t xml:space="preserve"> to </w:t>
      </w:r>
      <w:r w:rsidR="00FE0AB5">
        <w:t>take on that role</w:t>
      </w:r>
      <w:r>
        <w:t xml:space="preserve">. It invited the Netherlands and Poland to </w:t>
      </w:r>
      <w:r w:rsidR="00741A66">
        <w:t xml:space="preserve">jointly </w:t>
      </w:r>
      <w:r>
        <w:t>develop a more focused and feasible draft</w:t>
      </w:r>
      <w:r w:rsidR="00825222" w:rsidRPr="00825222">
        <w:t xml:space="preserve"> </w:t>
      </w:r>
      <w:r w:rsidR="006F737D">
        <w:t>long-term</w:t>
      </w:r>
      <w:r w:rsidR="00825222">
        <w:t xml:space="preserve"> strategy and action plan</w:t>
      </w:r>
      <w:r>
        <w:t xml:space="preserve"> </w:t>
      </w:r>
      <w:r w:rsidR="00825222">
        <w:t xml:space="preserve">reflecting </w:t>
      </w:r>
      <w:r w:rsidR="00FE0AB5">
        <w:t xml:space="preserve">the </w:t>
      </w:r>
      <w:r>
        <w:t xml:space="preserve">Parties’ and </w:t>
      </w:r>
      <w:r w:rsidR="00FE0AB5">
        <w:t xml:space="preserve">the </w:t>
      </w:r>
      <w:r w:rsidR="00825222">
        <w:t>secretariat’s resources</w:t>
      </w:r>
      <w:r>
        <w:t xml:space="preserve"> and considering </w:t>
      </w:r>
      <w:r w:rsidR="00825222">
        <w:t xml:space="preserve">the </w:t>
      </w:r>
      <w:r>
        <w:t>comments</w:t>
      </w:r>
      <w:r w:rsidR="00825222">
        <w:t xml:space="preserve"> made. </w:t>
      </w:r>
      <w:r w:rsidRPr="00B93E21">
        <w:t xml:space="preserve">The Working Group agreed that </w:t>
      </w:r>
      <w:r w:rsidR="00825222">
        <w:t xml:space="preserve">the </w:t>
      </w:r>
      <w:r w:rsidRPr="00B93E21">
        <w:t>revised draft should be developed by mid-February</w:t>
      </w:r>
      <w:r w:rsidR="00FE0AB5">
        <w:t>,</w:t>
      </w:r>
      <w:r w:rsidRPr="00B93E21">
        <w:t xml:space="preserve"> for </w:t>
      </w:r>
      <w:r w:rsidR="00825222">
        <w:t xml:space="preserve">the </w:t>
      </w:r>
      <w:r w:rsidRPr="00B93E21">
        <w:t>consideration of the Bureau</w:t>
      </w:r>
      <w:r w:rsidR="00825222">
        <w:t xml:space="preserve"> in advance of its next meeting (Geneva, 25 and 26 February 2020)</w:t>
      </w:r>
      <w:r w:rsidR="006F737D">
        <w:t>. That would</w:t>
      </w:r>
      <w:r w:rsidR="00825222">
        <w:t xml:space="preserve"> allow the Bureau to </w:t>
      </w:r>
      <w:r w:rsidR="006F737D">
        <w:t xml:space="preserve">further revise the draft and to submit it as an official document </w:t>
      </w:r>
      <w:r w:rsidRPr="00B93E21">
        <w:t xml:space="preserve">for the next meeting of the Working Group. </w:t>
      </w:r>
      <w:r w:rsidR="00024BD1">
        <w:t xml:space="preserve"> </w:t>
      </w:r>
    </w:p>
    <w:p w14:paraId="0CB26953" w14:textId="4F4572D3" w:rsidR="00027893" w:rsidRDefault="006F737D" w:rsidP="0097582C">
      <w:pPr>
        <w:pStyle w:val="SingleTxtG"/>
      </w:pPr>
      <w:r>
        <w:t>31</w:t>
      </w:r>
      <w:r w:rsidR="00027893">
        <w:t>.</w:t>
      </w:r>
      <w:r w:rsidR="00027893">
        <w:tab/>
        <w:t xml:space="preserve">The Working Group noted </w:t>
      </w:r>
      <w:r>
        <w:t xml:space="preserve">the </w:t>
      </w:r>
      <w:r w:rsidR="00027893">
        <w:t xml:space="preserve">plans of </w:t>
      </w:r>
      <w:r>
        <w:t xml:space="preserve">Poland and the </w:t>
      </w:r>
      <w:r w:rsidR="00027893">
        <w:t>Netherlands to organize</w:t>
      </w:r>
      <w:r>
        <w:t xml:space="preserve"> a</w:t>
      </w:r>
      <w:r w:rsidR="00027893">
        <w:t xml:space="preserve"> third informal </w:t>
      </w:r>
      <w:r>
        <w:t>consultation meeting of Parties for the development of the long-term strategy</w:t>
      </w:r>
      <w:r w:rsidR="0097582C">
        <w:t xml:space="preserve"> in January 2020.</w:t>
      </w:r>
      <w:r>
        <w:rPr>
          <w:rStyle w:val="FootnoteReference"/>
        </w:rPr>
        <w:footnoteReference w:id="10"/>
      </w:r>
    </w:p>
    <w:p w14:paraId="0EEADABF" w14:textId="77777777" w:rsidR="006F13B2" w:rsidRPr="00CD6BE2" w:rsidRDefault="006F13B2" w:rsidP="006F13B2">
      <w:pPr>
        <w:pStyle w:val="HChG"/>
        <w:jc w:val="both"/>
      </w:pPr>
      <w:r w:rsidRPr="00CD6BE2">
        <w:tab/>
        <w:t>V.</w:t>
      </w:r>
      <w:r w:rsidRPr="00CD6BE2">
        <w:tab/>
      </w:r>
      <w:bookmarkStart w:id="18" w:name="_Hlk503195904"/>
      <w:proofErr w:type="spellStart"/>
      <w:r w:rsidRPr="00055E82">
        <w:t>Subregional</w:t>
      </w:r>
      <w:proofErr w:type="spellEnd"/>
      <w:r w:rsidRPr="00055E82">
        <w:t xml:space="preserve"> cooperation and capacity-building</w:t>
      </w:r>
      <w:bookmarkEnd w:id="18"/>
    </w:p>
    <w:p w14:paraId="56A2CC88" w14:textId="5BC33499" w:rsidR="007944F1" w:rsidRPr="00CD6BE2" w:rsidRDefault="00832489" w:rsidP="007944F1">
      <w:pPr>
        <w:pStyle w:val="SingleTxtG"/>
      </w:pPr>
      <w:r>
        <w:t>32</w:t>
      </w:r>
      <w:r w:rsidR="006F13B2">
        <w:t>.</w:t>
      </w:r>
      <w:r w:rsidR="006F13B2">
        <w:tab/>
      </w:r>
      <w:r w:rsidR="007944F1" w:rsidRPr="00CD6BE2">
        <w:t xml:space="preserve">The Working Group reviewed progress </w:t>
      </w:r>
      <w:r w:rsidR="004A7A72">
        <w:t>regarding</w:t>
      </w:r>
      <w:r w:rsidR="004A7A72" w:rsidRPr="00CD6BE2">
        <w:t xml:space="preserve"> </w:t>
      </w:r>
      <w:r w:rsidR="007944F1" w:rsidRPr="00CD6BE2">
        <w:t xml:space="preserve">the </w:t>
      </w:r>
      <w:proofErr w:type="spellStart"/>
      <w:r w:rsidR="007944F1" w:rsidRPr="00CD6BE2">
        <w:t>subregional</w:t>
      </w:r>
      <w:proofErr w:type="spellEnd"/>
      <w:r w:rsidR="007944F1" w:rsidRPr="00CD6BE2">
        <w:t xml:space="preserve"> cooperation and capacity-building activities envisaged in</w:t>
      </w:r>
      <w:r w:rsidR="00A01CC8">
        <w:t xml:space="preserve"> or related to</w:t>
      </w:r>
      <w:r w:rsidR="007944F1" w:rsidRPr="00CD6BE2">
        <w:t xml:space="preserve"> the workplan. It welcomed the reports provided by:</w:t>
      </w:r>
    </w:p>
    <w:p w14:paraId="60EBC272" w14:textId="6965472F" w:rsidR="007944F1" w:rsidRDefault="007944F1" w:rsidP="007944F1">
      <w:pPr>
        <w:pStyle w:val="SingleTxtG"/>
        <w:ind w:firstLine="567"/>
      </w:pPr>
      <w:r w:rsidRPr="00CD6BE2">
        <w:t>(a)</w:t>
      </w:r>
      <w:r w:rsidRPr="00CD6BE2">
        <w:tab/>
      </w:r>
      <w:r w:rsidRPr="007944F1">
        <w:t>Denmark</w:t>
      </w:r>
      <w:r w:rsidR="004A7A72">
        <w:t>,</w:t>
      </w:r>
      <w:r w:rsidR="00EF6F39">
        <w:t xml:space="preserve"> </w:t>
      </w:r>
      <w:r w:rsidRPr="007944F1">
        <w:t xml:space="preserve">on </w:t>
      </w:r>
      <w:r w:rsidR="00EF6F39">
        <w:t>its</w:t>
      </w:r>
      <w:r w:rsidR="0097582C">
        <w:t xml:space="preserve"> plans to o</w:t>
      </w:r>
      <w:r w:rsidRPr="007944F1">
        <w:t>rganiz</w:t>
      </w:r>
      <w:r w:rsidR="0097582C">
        <w:t>e</w:t>
      </w:r>
      <w:r w:rsidR="004A7A72">
        <w:t>,</w:t>
      </w:r>
      <w:r w:rsidR="00EF6F39" w:rsidRPr="00EF6F39">
        <w:t xml:space="preserve"> </w:t>
      </w:r>
      <w:r w:rsidR="00EF6F39">
        <w:t>in cooperation with Finland and Sweden</w:t>
      </w:r>
      <w:r w:rsidR="004A7A72">
        <w:t>,</w:t>
      </w:r>
      <w:r w:rsidR="0097582C">
        <w:t xml:space="preserve"> </w:t>
      </w:r>
      <w:r w:rsidRPr="007944F1">
        <w:t xml:space="preserve">a </w:t>
      </w:r>
      <w:proofErr w:type="spellStart"/>
      <w:r w:rsidRPr="007944F1">
        <w:t>subregional</w:t>
      </w:r>
      <w:proofErr w:type="spellEnd"/>
      <w:r w:rsidRPr="007944F1">
        <w:t xml:space="preserve"> cooperation workshop for the Baltic Sea area</w:t>
      </w:r>
      <w:r w:rsidR="006A0C60">
        <w:t xml:space="preserve"> </w:t>
      </w:r>
      <w:r w:rsidR="0097582C">
        <w:t xml:space="preserve">in Copenhagen, </w:t>
      </w:r>
      <w:r w:rsidR="006A0C60">
        <w:t>on 25</w:t>
      </w:r>
      <w:r w:rsidR="0097582C">
        <w:t xml:space="preserve"> and </w:t>
      </w:r>
      <w:r w:rsidR="006A0C60">
        <w:t>26 March 2020</w:t>
      </w:r>
      <w:r w:rsidR="00EF6F39">
        <w:t>;</w:t>
      </w:r>
      <w:r>
        <w:t xml:space="preserve"> </w:t>
      </w:r>
    </w:p>
    <w:p w14:paraId="4E282B44" w14:textId="3EB5443B" w:rsidR="007944F1" w:rsidRPr="005153C8" w:rsidRDefault="007944F1" w:rsidP="007944F1">
      <w:pPr>
        <w:pStyle w:val="SingleTxtG"/>
        <w:ind w:firstLine="567"/>
      </w:pPr>
      <w:r w:rsidRPr="00CD6BE2">
        <w:t>(b)</w:t>
      </w:r>
      <w:r w:rsidRPr="00CD6BE2">
        <w:tab/>
      </w:r>
      <w:r w:rsidRPr="007944F1">
        <w:t>Croatia</w:t>
      </w:r>
      <w:r>
        <w:t xml:space="preserve">, </w:t>
      </w:r>
      <w:r w:rsidRPr="007944F1">
        <w:t>on the key outcomes of relevance to the Convention and the Protocol of the fourth Regional Conference on Environmental Impact Assessment (</w:t>
      </w:r>
      <w:proofErr w:type="spellStart"/>
      <w:r w:rsidR="004A7A72">
        <w:t>Vodice</w:t>
      </w:r>
      <w:proofErr w:type="spellEnd"/>
      <w:r w:rsidR="004A7A72">
        <w:t xml:space="preserve">, Croatia, </w:t>
      </w:r>
      <w:r w:rsidRPr="007944F1">
        <w:t>18</w:t>
      </w:r>
      <w:r w:rsidR="00024BD1">
        <w:t xml:space="preserve"> </w:t>
      </w:r>
      <w:r w:rsidR="004A7A72">
        <w:t>to 21</w:t>
      </w:r>
      <w:r w:rsidRPr="007944F1">
        <w:t xml:space="preserve"> September 2019)</w:t>
      </w:r>
      <w:r>
        <w:t xml:space="preserve">; </w:t>
      </w:r>
    </w:p>
    <w:p w14:paraId="3C288A70" w14:textId="4B6E88B3" w:rsidR="007944F1" w:rsidRDefault="007944F1" w:rsidP="007944F1">
      <w:pPr>
        <w:pStyle w:val="SingleTxtG"/>
        <w:ind w:firstLine="567"/>
      </w:pPr>
      <w:r w:rsidRPr="005153C8">
        <w:t>(c)</w:t>
      </w:r>
      <w:r w:rsidRPr="005153C8">
        <w:tab/>
      </w:r>
      <w:r w:rsidRPr="00CD6BE2">
        <w:t>The secretariat and</w:t>
      </w:r>
      <w:r w:rsidR="00EB04CC">
        <w:t xml:space="preserve"> </w:t>
      </w:r>
      <w:r>
        <w:t>OSCE</w:t>
      </w:r>
      <w:r w:rsidRPr="00CD6BE2">
        <w:t xml:space="preserve">, on </w:t>
      </w:r>
      <w:r>
        <w:t>the</w:t>
      </w:r>
      <w:r w:rsidRPr="007944F1">
        <w:t xml:space="preserve"> </w:t>
      </w:r>
      <w:proofErr w:type="spellStart"/>
      <w:r w:rsidR="00A01CC8">
        <w:t>subregional</w:t>
      </w:r>
      <w:proofErr w:type="spellEnd"/>
      <w:r w:rsidR="00A01CC8">
        <w:t xml:space="preserve"> </w:t>
      </w:r>
      <w:r w:rsidRPr="007944F1">
        <w:t xml:space="preserve">events </w:t>
      </w:r>
      <w:r w:rsidR="006625AC">
        <w:t xml:space="preserve">targeting Central Asian </w:t>
      </w:r>
      <w:r w:rsidR="004A7A72">
        <w:t>c</w:t>
      </w:r>
      <w:r w:rsidR="006625AC">
        <w:t xml:space="preserve">ountries </w:t>
      </w:r>
      <w:r w:rsidR="00A01CC8">
        <w:t xml:space="preserve">that </w:t>
      </w:r>
      <w:r w:rsidR="004A7A72">
        <w:t xml:space="preserve">had been </w:t>
      </w:r>
      <w:r w:rsidR="00A01CC8">
        <w:t xml:space="preserve">held or planned </w:t>
      </w:r>
      <w:r w:rsidR="006625AC">
        <w:t xml:space="preserve">for </w:t>
      </w:r>
      <w:r w:rsidR="00A01CC8">
        <w:t xml:space="preserve">under </w:t>
      </w:r>
      <w:r w:rsidR="00A01CC8" w:rsidRPr="00A01CC8">
        <w:t xml:space="preserve">a joint </w:t>
      </w:r>
      <w:r w:rsidR="00A01CC8">
        <w:t>p</w:t>
      </w:r>
      <w:r w:rsidR="00A01CC8" w:rsidRPr="00A01CC8">
        <w:t xml:space="preserve">roject </w:t>
      </w:r>
      <w:r w:rsidR="001C5147">
        <w:t xml:space="preserve">entitled </w:t>
      </w:r>
      <w:r w:rsidR="00A01CC8" w:rsidRPr="00A01CC8">
        <w:t xml:space="preserve">“Strengthening national and regional capacities and cooperation on </w:t>
      </w:r>
      <w:r w:rsidR="00A01CC8">
        <w:t>s</w:t>
      </w:r>
      <w:r w:rsidR="00A01CC8" w:rsidRPr="00A01CC8">
        <w:t xml:space="preserve">trategic </w:t>
      </w:r>
      <w:r w:rsidR="00A01CC8">
        <w:t>e</w:t>
      </w:r>
      <w:r w:rsidR="00A01CC8" w:rsidRPr="00A01CC8">
        <w:t xml:space="preserve">nvironmental </w:t>
      </w:r>
      <w:r w:rsidR="00A01CC8">
        <w:t>a</w:t>
      </w:r>
      <w:r w:rsidR="00A01CC8" w:rsidRPr="00A01CC8">
        <w:t xml:space="preserve">ssessment in Central Asia, including as a response to climate change”, </w:t>
      </w:r>
      <w:r w:rsidR="001C5147">
        <w:t xml:space="preserve">which </w:t>
      </w:r>
      <w:r w:rsidR="004A7A72">
        <w:t xml:space="preserve">had been </w:t>
      </w:r>
      <w:r w:rsidR="00A01CC8" w:rsidRPr="00A01CC8">
        <w:t>launched in September 2019</w:t>
      </w:r>
      <w:r w:rsidR="006625AC">
        <w:t xml:space="preserve"> and</w:t>
      </w:r>
      <w:r w:rsidR="00A01CC8" w:rsidRPr="00A01CC8">
        <w:t xml:space="preserve"> </w:t>
      </w:r>
      <w:r w:rsidR="00A01CC8">
        <w:t xml:space="preserve">funded by </w:t>
      </w:r>
      <w:r w:rsidR="00A01CC8" w:rsidRPr="00A01CC8">
        <w:t>Germany</w:t>
      </w:r>
      <w:r w:rsidR="00A01CC8">
        <w:t xml:space="preserve"> with co-funding from </w:t>
      </w:r>
      <w:r w:rsidR="00A01CC8" w:rsidRPr="00A01CC8">
        <w:t>OSCE and</w:t>
      </w:r>
      <w:r w:rsidR="00A01CC8">
        <w:t xml:space="preserve"> </w:t>
      </w:r>
      <w:r w:rsidR="00A01CC8" w:rsidRPr="00A01CC8">
        <w:t>ECE</w:t>
      </w:r>
      <w:r w:rsidR="006625AC">
        <w:t>. The</w:t>
      </w:r>
      <w:r w:rsidR="004A7A72">
        <w:t xml:space="preserve"> events</w:t>
      </w:r>
      <w:r w:rsidR="006625AC">
        <w:t xml:space="preserve"> included the following:</w:t>
      </w:r>
    </w:p>
    <w:p w14:paraId="63D97380" w14:textId="14731803" w:rsidR="006625AC" w:rsidRDefault="006625AC" w:rsidP="006625AC">
      <w:pPr>
        <w:pStyle w:val="SingleTxtG"/>
        <w:ind w:left="1701"/>
        <w:jc w:val="left"/>
      </w:pPr>
      <w:bookmarkStart w:id="19" w:name="_Hlk27760110"/>
      <w:r>
        <w:t xml:space="preserve">(i) </w:t>
      </w:r>
      <w:r>
        <w:tab/>
        <w:t>A dedicated session on p</w:t>
      </w:r>
      <w:r w:rsidRPr="00AE54E5">
        <w:t xml:space="preserve">ublic participation under the </w:t>
      </w:r>
      <w:r>
        <w:t xml:space="preserve">Convention and its </w:t>
      </w:r>
      <w:r w:rsidRPr="00AE54E5">
        <w:t>Protocol</w:t>
      </w:r>
      <w:r>
        <w:t xml:space="preserve"> during </w:t>
      </w:r>
      <w:r w:rsidR="00EB04CC">
        <w:t xml:space="preserve">the 2019 Aarhus Centres </w:t>
      </w:r>
      <w:r w:rsidR="002548D6">
        <w:t xml:space="preserve">Annual </w:t>
      </w:r>
      <w:r w:rsidR="00EB04CC">
        <w:t xml:space="preserve">Meeting </w:t>
      </w:r>
      <w:r>
        <w:t>organi</w:t>
      </w:r>
      <w:r w:rsidR="002548D6">
        <w:t>z</w:t>
      </w:r>
      <w:r>
        <w:t xml:space="preserve">ed </w:t>
      </w:r>
      <w:r w:rsidR="00EB04CC">
        <w:t xml:space="preserve">by ECE </w:t>
      </w:r>
      <w:r>
        <w:t>in cooperation with OSCE (</w:t>
      </w:r>
      <w:r w:rsidRPr="00AE54E5">
        <w:t>Vienna</w:t>
      </w:r>
      <w:r>
        <w:t>, 16</w:t>
      </w:r>
      <w:r w:rsidR="00C135A8">
        <w:t xml:space="preserve"> and </w:t>
      </w:r>
      <w:r>
        <w:t>17 October 2019);</w:t>
      </w:r>
    </w:p>
    <w:p w14:paraId="2830F1F5" w14:textId="1E6CF379" w:rsidR="006625AC" w:rsidRDefault="006625AC" w:rsidP="006625AC">
      <w:pPr>
        <w:pStyle w:val="SingleTxtG"/>
        <w:ind w:left="1701"/>
        <w:jc w:val="left"/>
      </w:pPr>
      <w:r>
        <w:t>(ii)</w:t>
      </w:r>
      <w:r>
        <w:tab/>
        <w:t>A study tour for the exchange of experience with Germany on the implementation of the Protocol (Berlin, 2</w:t>
      </w:r>
      <w:r w:rsidR="002548D6">
        <w:t>–</w:t>
      </w:r>
      <w:r>
        <w:t>6 December 2019);</w:t>
      </w:r>
    </w:p>
    <w:p w14:paraId="78BF1287" w14:textId="2B8CC138" w:rsidR="006625AC" w:rsidRDefault="006625AC" w:rsidP="006625AC">
      <w:pPr>
        <w:pStyle w:val="SingleTxtG"/>
        <w:ind w:left="1701"/>
        <w:jc w:val="left"/>
      </w:pPr>
      <w:r>
        <w:t>(iii)</w:t>
      </w:r>
      <w:r>
        <w:tab/>
        <w:t xml:space="preserve">Plans for a </w:t>
      </w:r>
      <w:proofErr w:type="spellStart"/>
      <w:r>
        <w:t>subregional</w:t>
      </w:r>
      <w:proofErr w:type="spellEnd"/>
      <w:r>
        <w:t xml:space="preserve"> conference to discuss the results of the ongoing reviews</w:t>
      </w:r>
      <w:r w:rsidR="00EB04CC">
        <w:t xml:space="preserve"> of </w:t>
      </w:r>
      <w:r>
        <w:t xml:space="preserve">the feasibility of developing national strategic environmental assessment systems in the </w:t>
      </w:r>
      <w:r w:rsidR="00EB04CC">
        <w:t xml:space="preserve">Central Asian </w:t>
      </w:r>
      <w:r>
        <w:t>countries and their needs in th</w:t>
      </w:r>
      <w:r w:rsidR="002548D6">
        <w:t>at</w:t>
      </w:r>
      <w:r>
        <w:t xml:space="preserve"> regard (May/June 2020, t</w:t>
      </w:r>
      <w:r w:rsidR="00C135A8">
        <w:t xml:space="preserve">o </w:t>
      </w:r>
      <w:r>
        <w:t>b</w:t>
      </w:r>
      <w:r w:rsidR="00C135A8">
        <w:t xml:space="preserve">e </w:t>
      </w:r>
      <w:r>
        <w:t>c</w:t>
      </w:r>
      <w:r w:rsidR="00C135A8">
        <w:t>onfirmed</w:t>
      </w:r>
      <w:r>
        <w:t>).</w:t>
      </w:r>
    </w:p>
    <w:bookmarkEnd w:id="19"/>
    <w:p w14:paraId="7A6CF256" w14:textId="61E9EBD7" w:rsidR="007944F1" w:rsidRPr="00CD6BE2" w:rsidRDefault="00832489" w:rsidP="007944F1">
      <w:pPr>
        <w:pStyle w:val="SingleTxtG"/>
      </w:pPr>
      <w:r>
        <w:t>33</w:t>
      </w:r>
      <w:r w:rsidR="007944F1" w:rsidRPr="00CD6BE2">
        <w:t>.</w:t>
      </w:r>
      <w:r w:rsidR="007944F1" w:rsidRPr="00CD6BE2">
        <w:tab/>
        <w:t xml:space="preserve">The Working Group also welcomed the information provided by the secretariat </w:t>
      </w:r>
      <w:r>
        <w:t xml:space="preserve">on its plans </w:t>
      </w:r>
      <w:r w:rsidR="00EB04CC">
        <w:t>to o</w:t>
      </w:r>
      <w:r>
        <w:t>rganiz</w:t>
      </w:r>
      <w:r w:rsidR="00EB04CC">
        <w:t>e</w:t>
      </w:r>
      <w:r>
        <w:t xml:space="preserve"> a</w:t>
      </w:r>
      <w:r w:rsidR="007944F1" w:rsidRPr="007944F1">
        <w:t xml:space="preserve"> </w:t>
      </w:r>
      <w:proofErr w:type="spellStart"/>
      <w:r w:rsidR="007944F1" w:rsidRPr="007944F1">
        <w:t>subregional</w:t>
      </w:r>
      <w:proofErr w:type="spellEnd"/>
      <w:r w:rsidR="007944F1" w:rsidRPr="007944F1">
        <w:t xml:space="preserve"> workshop in 2020</w:t>
      </w:r>
      <w:r w:rsidR="002548D6">
        <w:t>,</w:t>
      </w:r>
      <w:r w:rsidR="007944F1" w:rsidRPr="007944F1">
        <w:t xml:space="preserve"> </w:t>
      </w:r>
      <w:r>
        <w:t xml:space="preserve">with </w:t>
      </w:r>
      <w:r w:rsidR="007944F1" w:rsidRPr="007944F1">
        <w:t>fun</w:t>
      </w:r>
      <w:r>
        <w:t>ding from the European Union u</w:t>
      </w:r>
      <w:r w:rsidR="007944F1" w:rsidRPr="007944F1">
        <w:t xml:space="preserve">nder the EU4Environment programme. </w:t>
      </w:r>
    </w:p>
    <w:p w14:paraId="233EEB43" w14:textId="517FDCB5" w:rsidR="007944F1" w:rsidRDefault="00832489" w:rsidP="007944F1">
      <w:pPr>
        <w:pStyle w:val="SingleTxtG"/>
      </w:pPr>
      <w:r>
        <w:lastRenderedPageBreak/>
        <w:t>34</w:t>
      </w:r>
      <w:r w:rsidR="007944F1" w:rsidRPr="00CD6BE2">
        <w:t>.</w:t>
      </w:r>
      <w:r w:rsidR="007944F1" w:rsidRPr="00CD6BE2">
        <w:tab/>
        <w:t xml:space="preserve">The Working Group </w:t>
      </w:r>
      <w:r w:rsidR="007944F1" w:rsidRPr="007944F1">
        <w:t xml:space="preserve">welcomed the </w:t>
      </w:r>
      <w:r>
        <w:t xml:space="preserve">progress made and </w:t>
      </w:r>
      <w:r w:rsidR="007944F1" w:rsidRPr="007944F1">
        <w:t>appreciated the donor funding raised for th</w:t>
      </w:r>
      <w:r w:rsidR="00EB04CC">
        <w:t>e implementation of the activities.</w:t>
      </w:r>
    </w:p>
    <w:p w14:paraId="7904A09D" w14:textId="5C562C36" w:rsidR="007944F1" w:rsidRDefault="007944F1" w:rsidP="007944F1">
      <w:pPr>
        <w:pStyle w:val="HChG"/>
        <w:jc w:val="both"/>
      </w:pPr>
      <w:r w:rsidRPr="00CD6BE2">
        <w:tab/>
        <w:t>VI.</w:t>
      </w:r>
      <w:r w:rsidRPr="00CD6BE2">
        <w:tab/>
      </w:r>
      <w:r w:rsidRPr="00055E82">
        <w:t xml:space="preserve">Promoting ratification and application of the Protocol </w:t>
      </w:r>
      <w:r>
        <w:t>and the Convention</w:t>
      </w:r>
    </w:p>
    <w:p w14:paraId="7DEFA135" w14:textId="181B69A7" w:rsidR="007944F1" w:rsidRDefault="007944F1" w:rsidP="007944F1">
      <w:pPr>
        <w:pStyle w:val="SingleTxtG"/>
      </w:pPr>
      <w:r>
        <w:tab/>
      </w:r>
      <w:r w:rsidR="009561A9">
        <w:t>35</w:t>
      </w:r>
      <w:r>
        <w:t xml:space="preserve">. </w:t>
      </w:r>
      <w:r>
        <w:tab/>
      </w:r>
      <w:bookmarkStart w:id="20" w:name="_Hlk17967070"/>
      <w:r w:rsidRPr="000A6E05">
        <w:t>The secretariat</w:t>
      </w:r>
      <w:r w:rsidR="00D27499">
        <w:t>, OSCE</w:t>
      </w:r>
      <w:r w:rsidRPr="000A6E05">
        <w:t xml:space="preserve"> and </w:t>
      </w:r>
      <w:r>
        <w:t xml:space="preserve">delegations from the </w:t>
      </w:r>
      <w:r w:rsidR="00D27499">
        <w:t xml:space="preserve">concerned </w:t>
      </w:r>
      <w:r w:rsidRPr="000A6E05">
        <w:t>countries</w:t>
      </w:r>
      <w:r>
        <w:t xml:space="preserve"> </w:t>
      </w:r>
      <w:r w:rsidRPr="000A6E05">
        <w:t>report</w:t>
      </w:r>
      <w:r>
        <w:t>ed</w:t>
      </w:r>
      <w:r w:rsidRPr="000A6E05">
        <w:t xml:space="preserve"> on the following activities</w:t>
      </w:r>
      <w:r w:rsidRPr="00E215B1">
        <w:t xml:space="preserve"> undertaken </w:t>
      </w:r>
      <w:r>
        <w:t xml:space="preserve">or planned for </w:t>
      </w:r>
      <w:r w:rsidRPr="00E215B1">
        <w:t xml:space="preserve">since </w:t>
      </w:r>
      <w:r>
        <w:t>the intermediary sessions of the Meetings of the Parties</w:t>
      </w:r>
      <w:r w:rsidR="003E54DB">
        <w:t xml:space="preserve"> held</w:t>
      </w:r>
      <w:r>
        <w:t xml:space="preserve"> in </w:t>
      </w:r>
      <w:r w:rsidR="003E54DB">
        <w:t xml:space="preserve">Geneva, from 5 to 7 </w:t>
      </w:r>
      <w:r>
        <w:t xml:space="preserve">February </w:t>
      </w:r>
      <w:r w:rsidRPr="00E215B1">
        <w:t>201</w:t>
      </w:r>
      <w:r>
        <w:t>9</w:t>
      </w:r>
      <w:r w:rsidR="003E54DB">
        <w:t>,</w:t>
      </w:r>
      <w:r w:rsidRPr="00E215B1">
        <w:t xml:space="preserve"> </w:t>
      </w:r>
      <w:r>
        <w:t xml:space="preserve">to </w:t>
      </w:r>
      <w:r w:rsidRPr="00E215B1">
        <w:t>promot</w:t>
      </w:r>
      <w:r>
        <w:t>e</w:t>
      </w:r>
      <w:r w:rsidRPr="00E215B1">
        <w:t xml:space="preserve"> </w:t>
      </w:r>
      <w:r w:rsidR="009561A9">
        <w:t xml:space="preserve">the </w:t>
      </w:r>
      <w:r w:rsidRPr="00E215B1">
        <w:t xml:space="preserve">ratification and </w:t>
      </w:r>
      <w:r w:rsidR="009561A9">
        <w:t xml:space="preserve">the </w:t>
      </w:r>
      <w:r w:rsidRPr="00E215B1">
        <w:t>application of the Protocol</w:t>
      </w:r>
      <w:r>
        <w:t xml:space="preserve"> and the Convention</w:t>
      </w:r>
      <w:r w:rsidRPr="00E215B1">
        <w:t>:</w:t>
      </w:r>
    </w:p>
    <w:p w14:paraId="6D085E45" w14:textId="09D217A6" w:rsidR="007944F1" w:rsidRDefault="007944F1" w:rsidP="007944F1">
      <w:pPr>
        <w:pStyle w:val="SingleTxtG"/>
        <w:ind w:firstLine="567"/>
      </w:pPr>
      <w:r w:rsidRPr="000A6E05">
        <w:t>(a)</w:t>
      </w:r>
      <w:r>
        <w:tab/>
      </w:r>
      <w:r w:rsidRPr="009A7EE6">
        <w:t xml:space="preserve">Activities to </w:t>
      </w:r>
      <w:r>
        <w:t xml:space="preserve">further </w:t>
      </w:r>
      <w:r w:rsidRPr="009A7EE6">
        <w:t xml:space="preserve">promote the implementation </w:t>
      </w:r>
      <w:r>
        <w:t xml:space="preserve">in particular of </w:t>
      </w:r>
      <w:r w:rsidRPr="009A7EE6">
        <w:t xml:space="preserve">strategic environmental assessment </w:t>
      </w:r>
      <w:r>
        <w:t xml:space="preserve">in </w:t>
      </w:r>
      <w:r w:rsidRPr="001E21C9">
        <w:t>Armenia, Azerbaijan, Belarus, Georgia, the Republic of Moldova and Ukraine</w:t>
      </w:r>
      <w:r w:rsidR="006578B1">
        <w:t>,</w:t>
      </w:r>
      <w:r>
        <w:t xml:space="preserve"> f</w:t>
      </w:r>
      <w:r w:rsidRPr="009A7EE6">
        <w:t>unded</w:t>
      </w:r>
      <w:r>
        <w:t xml:space="preserve"> or co-funded</w:t>
      </w:r>
      <w:r w:rsidRPr="009A7EE6">
        <w:t xml:space="preserve"> by the EU4Environment </w:t>
      </w:r>
      <w:r>
        <w:t>p</w:t>
      </w:r>
      <w:r w:rsidRPr="009A7EE6">
        <w:t>rogramme</w:t>
      </w:r>
      <w:r>
        <w:t xml:space="preserve">;  </w:t>
      </w:r>
    </w:p>
    <w:bookmarkEnd w:id="20"/>
    <w:p w14:paraId="1A357664" w14:textId="6A3CFF7F" w:rsidR="00D27499" w:rsidRDefault="007944F1" w:rsidP="00D27499">
      <w:pPr>
        <w:pStyle w:val="SingleTxtG"/>
        <w:ind w:firstLine="567"/>
      </w:pPr>
      <w:r>
        <w:t>(</w:t>
      </w:r>
      <w:r w:rsidR="00D27499">
        <w:t>b</w:t>
      </w:r>
      <w:r>
        <w:t>)</w:t>
      </w:r>
      <w:r>
        <w:tab/>
      </w:r>
      <w:r w:rsidR="00D27499">
        <w:t xml:space="preserve">Planned activities to raise Central Asian countries’ awareness of the Protocol’s benefits and to build capacity on </w:t>
      </w:r>
      <w:r w:rsidR="006D72B9">
        <w:t>its</w:t>
      </w:r>
      <w:r w:rsidR="00D27499">
        <w:t xml:space="preserve"> practical application under the </w:t>
      </w:r>
      <w:r w:rsidR="006D72B9">
        <w:t>a</w:t>
      </w:r>
      <w:r w:rsidR="006578B1">
        <w:t>bove-</w:t>
      </w:r>
      <w:r w:rsidR="006D72B9">
        <w:t xml:space="preserve">mentioned </w:t>
      </w:r>
      <w:r w:rsidR="00D27499">
        <w:t xml:space="preserve">joint OSCE-ECE </w:t>
      </w:r>
      <w:r w:rsidR="006578B1">
        <w:t>p</w:t>
      </w:r>
      <w:r w:rsidR="00D27499">
        <w:t>roject</w:t>
      </w:r>
      <w:r w:rsidR="006D72B9">
        <w:t xml:space="preserve"> (see para. 32 (c)</w:t>
      </w:r>
      <w:r w:rsidR="00ED1E7A">
        <w:t xml:space="preserve"> above</w:t>
      </w:r>
      <w:r w:rsidR="006D72B9">
        <w:t xml:space="preserve">) with </w:t>
      </w:r>
      <w:r w:rsidR="00D27499">
        <w:t>funding from Germany, OSCE and ECE, including:</w:t>
      </w:r>
    </w:p>
    <w:p w14:paraId="100B9081" w14:textId="4122A3D9" w:rsidR="00D27499" w:rsidRDefault="00D27499" w:rsidP="00D3334A">
      <w:pPr>
        <w:pStyle w:val="SingleTxtG"/>
        <w:ind w:left="1701"/>
      </w:pPr>
      <w:r>
        <w:t xml:space="preserve">(i) </w:t>
      </w:r>
      <w:r w:rsidR="00D3334A">
        <w:tab/>
        <w:t>C</w:t>
      </w:r>
      <w:r>
        <w:t xml:space="preserve">ountry reviews, involving field missions, to assess the feasibility of developing national strategic environmental assessment systems in </w:t>
      </w:r>
      <w:r w:rsidR="006D72B9">
        <w:t xml:space="preserve">accordance </w:t>
      </w:r>
      <w:r>
        <w:t>with the Protocol and the countries’ needs in th</w:t>
      </w:r>
      <w:r w:rsidR="00BB6F47">
        <w:t>at</w:t>
      </w:r>
      <w:r>
        <w:t xml:space="preserve"> regard (between December 2019 and July/August 2020);</w:t>
      </w:r>
    </w:p>
    <w:p w14:paraId="3F5E753E" w14:textId="07F3F21F" w:rsidR="00D27499" w:rsidRDefault="00D27499" w:rsidP="00D3334A">
      <w:pPr>
        <w:pStyle w:val="SingleTxtG"/>
        <w:ind w:left="1701"/>
      </w:pPr>
      <w:r>
        <w:t>(ii)</w:t>
      </w:r>
      <w:r w:rsidR="00D3334A">
        <w:tab/>
      </w:r>
      <w:r>
        <w:t xml:space="preserve"> </w:t>
      </w:r>
      <w:r w:rsidR="00D3334A">
        <w:t>A</w:t>
      </w:r>
      <w:r>
        <w:t xml:space="preserve"> series of national workshops on strategic environmental assessment (to be organi</w:t>
      </w:r>
      <w:r w:rsidR="008B2CEE">
        <w:t>z</w:t>
      </w:r>
      <w:r>
        <w:t xml:space="preserve">ed from January to </w:t>
      </w:r>
      <w:r w:rsidR="008B2CEE">
        <w:t xml:space="preserve">the </w:t>
      </w:r>
      <w:r>
        <w:t>end of April/mid</w:t>
      </w:r>
      <w:r w:rsidR="008B2CEE">
        <w:t>-</w:t>
      </w:r>
      <w:r>
        <w:t>May 2020).</w:t>
      </w:r>
    </w:p>
    <w:p w14:paraId="5DDF3C0B" w14:textId="681E10D3" w:rsidR="006F13B2" w:rsidRDefault="00D27499" w:rsidP="00637E14">
      <w:pPr>
        <w:ind w:left="1134" w:right="1179" w:firstLine="6"/>
        <w:jc w:val="both"/>
      </w:pPr>
      <w:r>
        <w:t>36.</w:t>
      </w:r>
      <w:r w:rsidR="007944F1">
        <w:tab/>
      </w:r>
      <w:r w:rsidR="007944F1" w:rsidRPr="007944F1">
        <w:t xml:space="preserve">The Working Group welcomed the reports on the activities that </w:t>
      </w:r>
      <w:r w:rsidR="00577694">
        <w:t>had been</w:t>
      </w:r>
      <w:r w:rsidR="00577694" w:rsidRPr="007944F1">
        <w:t xml:space="preserve"> </w:t>
      </w:r>
      <w:r w:rsidR="007944F1" w:rsidRPr="007944F1">
        <w:t>implemented or planned for</w:t>
      </w:r>
      <w:r w:rsidR="006D72B9">
        <w:t xml:space="preserve">. It </w:t>
      </w:r>
      <w:r w:rsidR="007944F1" w:rsidRPr="007944F1">
        <w:t xml:space="preserve">invited the beneficiary countries to </w:t>
      </w:r>
      <w:r w:rsidR="006D72B9">
        <w:t>make e</w:t>
      </w:r>
      <w:r w:rsidR="007944F1" w:rsidRPr="007944F1">
        <w:t>fficient use of the technical assistance received</w:t>
      </w:r>
      <w:r w:rsidR="006D72B9">
        <w:t xml:space="preserve"> despite </w:t>
      </w:r>
      <w:r w:rsidR="007944F1" w:rsidRPr="007944F1">
        <w:t>governmental changes.</w:t>
      </w:r>
    </w:p>
    <w:p w14:paraId="23627C64" w14:textId="144AD07D" w:rsidR="00D27499" w:rsidRDefault="00D27499" w:rsidP="00637E14">
      <w:pPr>
        <w:ind w:left="1134" w:right="1179" w:firstLine="6"/>
        <w:jc w:val="both"/>
      </w:pPr>
    </w:p>
    <w:p w14:paraId="4046712E" w14:textId="199D597B" w:rsidR="00D27499" w:rsidRDefault="00D27499" w:rsidP="00674741">
      <w:pPr>
        <w:pStyle w:val="SingleTxtG"/>
      </w:pPr>
      <w:r>
        <w:t>37.</w:t>
      </w:r>
      <w:r>
        <w:tab/>
      </w:r>
      <w:r w:rsidR="00273150" w:rsidRPr="00273150">
        <w:t xml:space="preserve">The </w:t>
      </w:r>
      <w:r w:rsidR="00273150">
        <w:t xml:space="preserve">Working Group </w:t>
      </w:r>
      <w:r w:rsidR="00273150" w:rsidRPr="00273150">
        <w:t>recognize</w:t>
      </w:r>
      <w:r w:rsidR="00273150">
        <w:t>d</w:t>
      </w:r>
      <w:r w:rsidR="00273150" w:rsidRPr="00273150">
        <w:t xml:space="preserve"> the valuable work </w:t>
      </w:r>
      <w:r w:rsidR="00577694">
        <w:t>of</w:t>
      </w:r>
      <w:r w:rsidR="00273150" w:rsidRPr="00273150">
        <w:t xml:space="preserve"> </w:t>
      </w:r>
      <w:bookmarkStart w:id="21" w:name="_Hlk27762404"/>
      <w:r w:rsidR="00273150" w:rsidRPr="00273150">
        <w:t xml:space="preserve">the International Association for Impact Assessment </w:t>
      </w:r>
      <w:bookmarkEnd w:id="21"/>
      <w:r w:rsidR="00273150" w:rsidRPr="00273150">
        <w:t>over the years in promoting best practices in impact assessment</w:t>
      </w:r>
      <w:r w:rsidR="00273150">
        <w:t xml:space="preserve"> and in contributing to raising awareness o</w:t>
      </w:r>
      <w:r w:rsidR="00577694">
        <w:t>f</w:t>
      </w:r>
      <w:r w:rsidR="00273150">
        <w:t xml:space="preserve"> the Convention and its Protocol globally. It </w:t>
      </w:r>
      <w:r w:rsidR="00273150" w:rsidRPr="00273150">
        <w:t>welcome</w:t>
      </w:r>
      <w:r w:rsidR="00273150">
        <w:t>d</w:t>
      </w:r>
      <w:r w:rsidR="00273150" w:rsidRPr="00273150">
        <w:t xml:space="preserve"> the development </w:t>
      </w:r>
      <w:r w:rsidR="00273150">
        <w:t xml:space="preserve">by the secretariat </w:t>
      </w:r>
      <w:r w:rsidR="00273150" w:rsidRPr="00273150">
        <w:t xml:space="preserve">of the </w:t>
      </w:r>
      <w:r w:rsidR="00273150">
        <w:t xml:space="preserve">two </w:t>
      </w:r>
      <w:r w:rsidR="00273150" w:rsidRPr="00273150">
        <w:t>draft</w:t>
      </w:r>
      <w:r w:rsidR="00273150">
        <w:t xml:space="preserve"> informal pamphlets, or</w:t>
      </w:r>
      <w:r w:rsidR="00273150" w:rsidRPr="00273150">
        <w:t xml:space="preserve"> “</w:t>
      </w:r>
      <w:proofErr w:type="spellStart"/>
      <w:r w:rsidR="00273150" w:rsidRPr="00273150">
        <w:t>FasTips</w:t>
      </w:r>
      <w:proofErr w:type="spellEnd"/>
      <w:r w:rsidR="00273150" w:rsidRPr="00273150">
        <w:t>”</w:t>
      </w:r>
      <w:r w:rsidR="00273150">
        <w:t>,</w:t>
      </w:r>
      <w:r w:rsidR="00273150" w:rsidRPr="00273150">
        <w:t xml:space="preserve"> on the Convention and the Protocol</w:t>
      </w:r>
      <w:r w:rsidR="00273150">
        <w:t xml:space="preserve"> (</w:t>
      </w:r>
      <w:bookmarkStart w:id="22" w:name="_Hlk27762202"/>
      <w:r w:rsidR="00273150" w:rsidRPr="00CD6BE2">
        <w:t>ECE/MP.EIA/WG.2/201</w:t>
      </w:r>
      <w:r w:rsidR="00273150">
        <w:t>9</w:t>
      </w:r>
      <w:r w:rsidR="00273150" w:rsidRPr="00CD6BE2">
        <w:t>/</w:t>
      </w:r>
      <w:r w:rsidR="00273150">
        <w:t>7</w:t>
      </w:r>
      <w:bookmarkEnd w:id="22"/>
      <w:r w:rsidR="00273150">
        <w:t xml:space="preserve"> and </w:t>
      </w:r>
      <w:r w:rsidR="00273150" w:rsidRPr="00CD6BE2">
        <w:t>ECE/MP.EIA/WG.2/201</w:t>
      </w:r>
      <w:r w:rsidR="00273150">
        <w:t>9</w:t>
      </w:r>
      <w:r w:rsidR="00273150" w:rsidRPr="00CD6BE2">
        <w:t>/</w:t>
      </w:r>
      <w:r w:rsidR="00273150">
        <w:t>6</w:t>
      </w:r>
      <w:r w:rsidR="00763053">
        <w:t>, respectively</w:t>
      </w:r>
      <w:r w:rsidR="00273150">
        <w:t>)</w:t>
      </w:r>
      <w:r w:rsidR="00D3334A">
        <w:t xml:space="preserve"> </w:t>
      </w:r>
      <w:r w:rsidR="00F33F0C">
        <w:t xml:space="preserve">It </w:t>
      </w:r>
      <w:r w:rsidR="00D3334A">
        <w:t xml:space="preserve">invited the secretariat to revise the </w:t>
      </w:r>
      <w:r w:rsidR="009A0866">
        <w:t xml:space="preserve">draft </w:t>
      </w:r>
      <w:proofErr w:type="spellStart"/>
      <w:r w:rsidR="00D3334A">
        <w:t>FasTips</w:t>
      </w:r>
      <w:proofErr w:type="spellEnd"/>
      <w:r w:rsidR="00D3334A">
        <w:t xml:space="preserve"> based on the comments made by the delegation of the European Union, </w:t>
      </w:r>
      <w:r w:rsidR="001C5B66">
        <w:t xml:space="preserve">including </w:t>
      </w:r>
      <w:r w:rsidR="00E30F68">
        <w:t xml:space="preserve">by </w:t>
      </w:r>
      <w:r w:rsidR="00F33F0C">
        <w:t xml:space="preserve">replicating </w:t>
      </w:r>
      <w:r w:rsidR="00E30F68">
        <w:t>in the</w:t>
      </w:r>
      <w:r w:rsidR="00E66F9F">
        <w:t xml:space="preserve"> </w:t>
      </w:r>
      <w:proofErr w:type="spellStart"/>
      <w:r w:rsidR="00E66F9F">
        <w:t>FasTips</w:t>
      </w:r>
      <w:proofErr w:type="spellEnd"/>
      <w:r w:rsidR="00E30F68">
        <w:t xml:space="preserve"> </w:t>
      </w:r>
      <w:r w:rsidR="001C5B66">
        <w:t xml:space="preserve">the exact language of the legal provisions, </w:t>
      </w:r>
      <w:r w:rsidR="00D3334A">
        <w:t xml:space="preserve">prior to </w:t>
      </w:r>
      <w:r w:rsidR="00E30F68">
        <w:t xml:space="preserve">submitting them </w:t>
      </w:r>
      <w:r w:rsidR="00D3334A">
        <w:t xml:space="preserve">to </w:t>
      </w:r>
      <w:r w:rsidR="00D3334A" w:rsidRPr="00273150">
        <w:t xml:space="preserve">the International Association </w:t>
      </w:r>
      <w:r w:rsidR="00D3334A">
        <w:t>for approval and subsequent publishing.</w:t>
      </w:r>
      <w:r w:rsidR="001C5B66">
        <w:t xml:space="preserve"> The representative of </w:t>
      </w:r>
      <w:r w:rsidR="00E30F68">
        <w:t xml:space="preserve">the </w:t>
      </w:r>
      <w:r w:rsidR="00E66F9F">
        <w:t xml:space="preserve">International </w:t>
      </w:r>
      <w:r w:rsidR="00E30F68">
        <w:t>Association n</w:t>
      </w:r>
      <w:r w:rsidR="001C5B66">
        <w:t xml:space="preserve">oted that </w:t>
      </w:r>
      <w:r w:rsidR="00E30F68">
        <w:t xml:space="preserve">some of </w:t>
      </w:r>
      <w:r w:rsidR="009A0866">
        <w:t xml:space="preserve">the changes </w:t>
      </w:r>
      <w:r w:rsidR="00E30F68">
        <w:t xml:space="preserve">to be </w:t>
      </w:r>
      <w:r w:rsidR="009A0866">
        <w:t xml:space="preserve">introduced were likely to make the approval of the drafts more difficult, since the </w:t>
      </w:r>
      <w:proofErr w:type="spellStart"/>
      <w:r w:rsidR="001C5B66" w:rsidRPr="001C5B66">
        <w:t>FasTips</w:t>
      </w:r>
      <w:proofErr w:type="spellEnd"/>
      <w:r w:rsidR="009A0866">
        <w:t xml:space="preserve"> were intended to be </w:t>
      </w:r>
      <w:r w:rsidR="001C5B66" w:rsidRPr="001C5B66">
        <w:t xml:space="preserve">practice oriented </w:t>
      </w:r>
      <w:r w:rsidR="00E30F68">
        <w:t>and</w:t>
      </w:r>
      <w:r w:rsidR="00F17E50">
        <w:t xml:space="preserve"> to</w:t>
      </w:r>
      <w:r w:rsidR="00E30F68">
        <w:t xml:space="preserve"> </w:t>
      </w:r>
      <w:r w:rsidR="00F17E50">
        <w:t xml:space="preserve">be written in </w:t>
      </w:r>
      <w:r w:rsidR="009A0866">
        <w:t>plain language instead of re</w:t>
      </w:r>
      <w:r w:rsidR="001C5B66" w:rsidRPr="001C5B66">
        <w:t>stat</w:t>
      </w:r>
      <w:r w:rsidR="009A0866">
        <w:t>ing</w:t>
      </w:r>
      <w:r w:rsidR="001C5B66" w:rsidRPr="001C5B66">
        <w:t xml:space="preserve"> the legal terminology</w:t>
      </w:r>
      <w:r w:rsidR="009A0866">
        <w:t xml:space="preserve"> of </w:t>
      </w:r>
      <w:r w:rsidR="00E30F68">
        <w:t xml:space="preserve">the </w:t>
      </w:r>
      <w:r w:rsidR="009A0866">
        <w:t>treaty texts.</w:t>
      </w:r>
      <w:r w:rsidR="00E30F68">
        <w:t xml:space="preserve"> The </w:t>
      </w:r>
      <w:r w:rsidR="009A0866">
        <w:t xml:space="preserve">secretariat was invited to </w:t>
      </w:r>
      <w:r w:rsidR="00E30F68">
        <w:t>re</w:t>
      </w:r>
      <w:r w:rsidR="009A0866">
        <w:t>submit</w:t>
      </w:r>
      <w:r w:rsidR="00E30F68">
        <w:t xml:space="preserve"> the </w:t>
      </w:r>
      <w:proofErr w:type="spellStart"/>
      <w:r w:rsidR="00E30F68">
        <w:t>Fa</w:t>
      </w:r>
      <w:r w:rsidR="009A0866">
        <w:t>sTips</w:t>
      </w:r>
      <w:proofErr w:type="spellEnd"/>
      <w:r w:rsidR="00E30F68">
        <w:t xml:space="preserve"> to t</w:t>
      </w:r>
      <w:r w:rsidR="009A0866">
        <w:t>he Working Group</w:t>
      </w:r>
      <w:r w:rsidR="00E30F68">
        <w:t xml:space="preserve"> once they had been reviewed and commented </w:t>
      </w:r>
      <w:r w:rsidR="00E66F9F">
        <w:t xml:space="preserve">on </w:t>
      </w:r>
      <w:r w:rsidR="00032862">
        <w:t xml:space="preserve">by </w:t>
      </w:r>
      <w:r w:rsidR="00577694">
        <w:t xml:space="preserve">the </w:t>
      </w:r>
      <w:r w:rsidR="00577694" w:rsidRPr="00577694">
        <w:t>International Association</w:t>
      </w:r>
      <w:r w:rsidR="00674741">
        <w:t xml:space="preserve">. </w:t>
      </w:r>
    </w:p>
    <w:p w14:paraId="3B3A4CF3" w14:textId="43ED117B" w:rsidR="006F13B2" w:rsidRDefault="00A512E6" w:rsidP="00A512E6">
      <w:pPr>
        <w:pStyle w:val="HChG"/>
        <w:jc w:val="both"/>
      </w:pPr>
      <w:r>
        <w:lastRenderedPageBreak/>
        <w:tab/>
      </w:r>
      <w:r w:rsidRPr="00CD6BE2">
        <w:t>VI</w:t>
      </w:r>
      <w:r w:rsidR="001228E0">
        <w:t>I</w:t>
      </w:r>
      <w:r w:rsidRPr="00CD6BE2">
        <w:t>.</w:t>
      </w:r>
      <w:r w:rsidRPr="00CD6BE2">
        <w:tab/>
      </w:r>
      <w:r w:rsidRPr="00055E82">
        <w:t>Exchange of good practices</w:t>
      </w:r>
    </w:p>
    <w:p w14:paraId="2A4DC91F" w14:textId="37620836" w:rsidR="00453685" w:rsidRPr="00CD6BE2" w:rsidRDefault="00A512E6" w:rsidP="006124D1">
      <w:pPr>
        <w:pStyle w:val="H1G"/>
        <w:jc w:val="both"/>
      </w:pPr>
      <w:r>
        <w:tab/>
      </w:r>
      <w:r w:rsidR="00453685" w:rsidRPr="00CD6BE2">
        <w:t>A.</w:t>
      </w:r>
      <w:r w:rsidR="00453685" w:rsidRPr="00CD6BE2">
        <w:tab/>
        <w:t>Workshop</w:t>
      </w:r>
      <w:r w:rsidR="00637E14">
        <w:t xml:space="preserve"> </w:t>
      </w:r>
      <w:bookmarkStart w:id="23" w:name="_Hlk29286960"/>
      <w:r w:rsidR="00637E14" w:rsidRPr="000D19E3">
        <w:t xml:space="preserve">on </w:t>
      </w:r>
      <w:r w:rsidR="00637E14">
        <w:t xml:space="preserve">the assessment of </w:t>
      </w:r>
      <w:r w:rsidR="00637E14" w:rsidRPr="000D19E3">
        <w:t>health</w:t>
      </w:r>
      <w:r w:rsidR="00637E14">
        <w:t xml:space="preserve"> impacts</w:t>
      </w:r>
      <w:r w:rsidR="00637E14" w:rsidRPr="000D19E3">
        <w:t xml:space="preserve"> and health sector involvement in strategic environmental assessment</w:t>
      </w:r>
      <w:bookmarkEnd w:id="23"/>
    </w:p>
    <w:p w14:paraId="32057A07" w14:textId="32D35840" w:rsidR="005307C7" w:rsidRDefault="00DC4125" w:rsidP="00DF7854">
      <w:pPr>
        <w:pStyle w:val="SingleTxtG"/>
        <w:tabs>
          <w:tab w:val="left" w:pos="1217"/>
        </w:tabs>
      </w:pPr>
      <w:r>
        <w:t>38</w:t>
      </w:r>
      <w:r w:rsidR="00156135" w:rsidRPr="00CD6BE2">
        <w:t>.</w:t>
      </w:r>
      <w:r w:rsidR="00156135" w:rsidRPr="00CD6BE2">
        <w:tab/>
      </w:r>
      <w:r w:rsidR="00B00A51">
        <w:t xml:space="preserve">A half-day </w:t>
      </w:r>
      <w:r w:rsidR="00DF7854">
        <w:t xml:space="preserve">workshop </w:t>
      </w:r>
      <w:r w:rsidR="00B00A51">
        <w:t xml:space="preserve">was held </w:t>
      </w:r>
      <w:r w:rsidR="00637E14" w:rsidRPr="00637E14">
        <w:t>on the assessment of health impacts and health sector involvement in strategic environmental assessment</w:t>
      </w:r>
      <w:r w:rsidR="004E2FA1">
        <w:t xml:space="preserve">. </w:t>
      </w:r>
      <w:bookmarkStart w:id="24" w:name="_Hlk29805489"/>
      <w:r w:rsidR="00DF7854">
        <w:t xml:space="preserve">The workshop </w:t>
      </w:r>
      <w:r w:rsidR="00B00A51">
        <w:t>had been organized by t</w:t>
      </w:r>
      <w:r w:rsidR="00B00A51" w:rsidRPr="00B00A51">
        <w:t xml:space="preserve">he secretariat, in cooperation with WHO, </w:t>
      </w:r>
      <w:r w:rsidR="00B00A51">
        <w:t xml:space="preserve">to </w:t>
      </w:r>
      <w:r w:rsidR="00DF7854">
        <w:t>present and discuss the draft guidance on that topic being developed by two consultants</w:t>
      </w:r>
      <w:r w:rsidR="0030179A">
        <w:t>,</w:t>
      </w:r>
      <w:r w:rsidR="00DF7854">
        <w:t xml:space="preserve"> in consultation with the secretariat, WHO and </w:t>
      </w:r>
      <w:r w:rsidR="0030179A">
        <w:t xml:space="preserve">the </w:t>
      </w:r>
      <w:r w:rsidR="00DF7854">
        <w:t>E</w:t>
      </w:r>
      <w:r w:rsidR="0030179A">
        <w:t>uropean Investment Bank</w:t>
      </w:r>
      <w:r w:rsidR="00DF7854">
        <w:t xml:space="preserve">, with funding from </w:t>
      </w:r>
      <w:r w:rsidR="0030179A">
        <w:t>the Bank</w:t>
      </w:r>
      <w:r w:rsidR="00DF7854">
        <w:t xml:space="preserve">. The workshop also </w:t>
      </w:r>
      <w:r w:rsidR="00155D27">
        <w:t xml:space="preserve">provided an opportunity to </w:t>
      </w:r>
      <w:r w:rsidR="00DF7854">
        <w:t>showcas</w:t>
      </w:r>
      <w:r w:rsidR="00155D27">
        <w:t>e</w:t>
      </w:r>
      <w:r w:rsidR="00DF7854">
        <w:t xml:space="preserve"> relevant selected good practices</w:t>
      </w:r>
      <w:r w:rsidR="0030179A">
        <w:t xml:space="preserve"> in the ECE region</w:t>
      </w:r>
      <w:r w:rsidR="00DF7854">
        <w:t xml:space="preserve">. </w:t>
      </w:r>
      <w:bookmarkEnd w:id="24"/>
    </w:p>
    <w:p w14:paraId="7C433E05" w14:textId="70F96833" w:rsidR="00637E14" w:rsidRPr="00637E14" w:rsidRDefault="00DF7854" w:rsidP="00637E14">
      <w:pPr>
        <w:pStyle w:val="SingleTxtG"/>
        <w:tabs>
          <w:tab w:val="left" w:pos="1217"/>
        </w:tabs>
        <w:rPr>
          <w:lang w:val="nl-BE"/>
        </w:rPr>
      </w:pPr>
      <w:r>
        <w:t>39.</w:t>
      </w:r>
      <w:r>
        <w:tab/>
      </w:r>
      <w:r w:rsidR="00666E25">
        <w:t xml:space="preserve">The </w:t>
      </w:r>
      <w:r>
        <w:t>Working Group w</w:t>
      </w:r>
      <w:r w:rsidRPr="00637E14">
        <w:t>elcomed the workshop</w:t>
      </w:r>
      <w:r>
        <w:t xml:space="preserve"> </w:t>
      </w:r>
      <w:r w:rsidR="00AA2EE4">
        <w:t xml:space="preserve">and </w:t>
      </w:r>
      <w:r>
        <w:t>agree</w:t>
      </w:r>
      <w:r w:rsidR="00AA2EE4">
        <w:t>d</w:t>
      </w:r>
      <w:r>
        <w:t xml:space="preserve"> on the importance of </w:t>
      </w:r>
      <w:r w:rsidR="00666E25">
        <w:t>its topic. It thanked</w:t>
      </w:r>
      <w:r>
        <w:t xml:space="preserve"> the consultants</w:t>
      </w:r>
      <w:r w:rsidR="00AA2EE4">
        <w:t>, who</w:t>
      </w:r>
      <w:r>
        <w:t xml:space="preserve"> also moderated the workshop, as well as the speakers from Estonia, Czechia, the Netherlands and Wales (United Kingdom</w:t>
      </w:r>
      <w:r w:rsidR="00C135A8" w:rsidRPr="00C135A8">
        <w:t xml:space="preserve"> of Great Britain and Northern Ireland</w:t>
      </w:r>
      <w:r>
        <w:t>)</w:t>
      </w:r>
      <w:r w:rsidR="00AA2EE4">
        <w:t xml:space="preserve"> represent</w:t>
      </w:r>
      <w:r w:rsidR="001C1806">
        <w:t>ing</w:t>
      </w:r>
      <w:r w:rsidR="00A76853">
        <w:t>,</w:t>
      </w:r>
      <w:r w:rsidR="00AA2EE4">
        <w:t xml:space="preserve"> for the most part</w:t>
      </w:r>
      <w:r w:rsidR="00A76853">
        <w:t>,</w:t>
      </w:r>
      <w:r w:rsidR="00AA2EE4">
        <w:t xml:space="preserve"> </w:t>
      </w:r>
      <w:r w:rsidR="001C1806">
        <w:t xml:space="preserve">the </w:t>
      </w:r>
      <w:r w:rsidR="00AA2EE4">
        <w:t>health sector</w:t>
      </w:r>
      <w:r>
        <w:t>.</w:t>
      </w:r>
      <w:r w:rsidR="00AA2EE4">
        <w:t xml:space="preserve"> It noted that the presentations had been prepared </w:t>
      </w:r>
      <w:r w:rsidR="001C1806">
        <w:t xml:space="preserve">in consultation with the focal points </w:t>
      </w:r>
      <w:r w:rsidR="006800BD">
        <w:t>for</w:t>
      </w:r>
      <w:r w:rsidR="001C1806">
        <w:t xml:space="preserve"> the Protocol.</w:t>
      </w:r>
      <w:r>
        <w:t xml:space="preserve"> </w:t>
      </w:r>
      <w:r w:rsidR="0030179A">
        <w:t>The</w:t>
      </w:r>
      <w:r w:rsidR="00637E14" w:rsidRPr="00637E14">
        <w:t xml:space="preserve"> secretariat </w:t>
      </w:r>
      <w:r w:rsidR="0030179A">
        <w:t xml:space="preserve">was invited </w:t>
      </w:r>
      <w:r w:rsidR="00637E14" w:rsidRPr="00637E14">
        <w:t xml:space="preserve">to post the presentations on the </w:t>
      </w:r>
      <w:r w:rsidR="00666E25">
        <w:t xml:space="preserve">meeting </w:t>
      </w:r>
      <w:r w:rsidR="00637E14" w:rsidRPr="00637E14">
        <w:t>web</w:t>
      </w:r>
      <w:r w:rsidR="00A76853">
        <w:t xml:space="preserve"> </w:t>
      </w:r>
      <w:r w:rsidR="00637E14" w:rsidRPr="00637E14">
        <w:t>page</w:t>
      </w:r>
      <w:r w:rsidR="00A76853">
        <w:t xml:space="preserve"> </w:t>
      </w:r>
      <w:r w:rsidR="00A77585">
        <w:t>subject to</w:t>
      </w:r>
      <w:r w:rsidR="00666E25">
        <w:t xml:space="preserve"> </w:t>
      </w:r>
      <w:r w:rsidR="00A76853">
        <w:t xml:space="preserve">the </w:t>
      </w:r>
      <w:r w:rsidR="00666E25">
        <w:t>agreement of the speakers</w:t>
      </w:r>
      <w:r w:rsidR="00637E14">
        <w:t xml:space="preserve">. </w:t>
      </w:r>
    </w:p>
    <w:p w14:paraId="2DA8AE10" w14:textId="57895E02" w:rsidR="00637E14" w:rsidRPr="00CD6BE2" w:rsidRDefault="001C1806" w:rsidP="00637E14">
      <w:pPr>
        <w:pStyle w:val="SingleTxtG"/>
        <w:tabs>
          <w:tab w:val="left" w:pos="1217"/>
        </w:tabs>
      </w:pPr>
      <w:r>
        <w:t>40</w:t>
      </w:r>
      <w:r w:rsidR="00637E14" w:rsidRPr="00CD6BE2">
        <w:t>.</w:t>
      </w:r>
      <w:r w:rsidR="00637E14" w:rsidRPr="00CD6BE2">
        <w:tab/>
        <w:t>The Working Group took note of the following main conclusions of the workshop</w:t>
      </w:r>
      <w:r w:rsidR="004E2FA1">
        <w:t xml:space="preserve"> </w:t>
      </w:r>
      <w:r w:rsidR="004E2FA1" w:rsidRPr="004E2FA1">
        <w:t>as summarized by the consultants</w:t>
      </w:r>
      <w:r w:rsidR="00637E14" w:rsidRPr="00CD6BE2">
        <w:t>:</w:t>
      </w:r>
    </w:p>
    <w:p w14:paraId="5B482E3F" w14:textId="337F7C2D" w:rsidR="004E2FA1" w:rsidRDefault="00637E14" w:rsidP="00DC4125">
      <w:pPr>
        <w:pStyle w:val="SingleTxtG"/>
        <w:ind w:firstLine="567"/>
      </w:pPr>
      <w:r w:rsidRPr="00CD6BE2">
        <w:t>(a)</w:t>
      </w:r>
      <w:r w:rsidRPr="00CD6BE2">
        <w:tab/>
      </w:r>
      <w:r w:rsidR="004E2FA1">
        <w:t xml:space="preserve">There </w:t>
      </w:r>
      <w:r w:rsidR="00A76853">
        <w:t>we</w:t>
      </w:r>
      <w:r w:rsidR="001C1806">
        <w:t>re</w:t>
      </w:r>
      <w:r w:rsidR="004E2FA1">
        <w:t xml:space="preserve"> variations </w:t>
      </w:r>
      <w:r w:rsidR="00BF1043" w:rsidRPr="00BF1043">
        <w:t xml:space="preserve">in the ways that </w:t>
      </w:r>
      <w:r w:rsidR="004E2FA1">
        <w:t xml:space="preserve">health </w:t>
      </w:r>
      <w:r w:rsidR="00A76853">
        <w:t>wa</w:t>
      </w:r>
      <w:r w:rsidR="001C1806">
        <w:t>s</w:t>
      </w:r>
      <w:r w:rsidR="004E2FA1">
        <w:t xml:space="preserve"> currently approached in </w:t>
      </w:r>
      <w:bookmarkStart w:id="25" w:name="_Hlk27765736"/>
      <w:r w:rsidR="001C1806">
        <w:t>strategic environmental assessment</w:t>
      </w:r>
      <w:bookmarkEnd w:id="25"/>
      <w:r w:rsidR="001C1806">
        <w:t xml:space="preserve"> i</w:t>
      </w:r>
      <w:r w:rsidR="004E2FA1">
        <w:t xml:space="preserve">n different countries and systems (there </w:t>
      </w:r>
      <w:r w:rsidR="00A76853">
        <w:t>we</w:t>
      </w:r>
      <w:r w:rsidR="004E2FA1">
        <w:t xml:space="preserve">re also variations </w:t>
      </w:r>
      <w:r w:rsidR="00A76853">
        <w:t>i</w:t>
      </w:r>
      <w:r w:rsidR="004E2FA1">
        <w:t xml:space="preserve">n how </w:t>
      </w:r>
      <w:r w:rsidR="001C1806">
        <w:t xml:space="preserve">strategic environmental assessment </w:t>
      </w:r>
      <w:r w:rsidR="00A76853">
        <w:t>wa</w:t>
      </w:r>
      <w:r w:rsidR="004E2FA1">
        <w:t>s approached). T</w:t>
      </w:r>
      <w:r w:rsidR="001C1806">
        <w:t xml:space="preserve">he </w:t>
      </w:r>
      <w:r w:rsidR="004E2FA1">
        <w:t>discussion</w:t>
      </w:r>
      <w:r w:rsidR="001C1806">
        <w:t xml:space="preserve"> at the workshop</w:t>
      </w:r>
      <w:r w:rsidR="004E2FA1">
        <w:t xml:space="preserve"> reflected </w:t>
      </w:r>
      <w:r w:rsidR="00A76853">
        <w:t xml:space="preserve">the </w:t>
      </w:r>
      <w:r w:rsidR="004E2FA1">
        <w:t>experiences of those countries that currently ha</w:t>
      </w:r>
      <w:r w:rsidR="00A76853">
        <w:t>d</w:t>
      </w:r>
      <w:r w:rsidR="004E2FA1">
        <w:t xml:space="preserve"> a wider approach to health, in particular with regard to the consideration of social and behavioural aspects </w:t>
      </w:r>
      <w:r w:rsidR="00BF1043">
        <w:t xml:space="preserve">and </w:t>
      </w:r>
      <w:r w:rsidR="004E2FA1">
        <w:t xml:space="preserve">well-being </w:t>
      </w:r>
      <w:r w:rsidR="00A76853">
        <w:t>alongside</w:t>
      </w:r>
      <w:r w:rsidR="004E2FA1">
        <w:t xml:space="preserve"> the biophysical environment</w:t>
      </w:r>
      <w:r w:rsidR="001C1806">
        <w:t>;</w:t>
      </w:r>
    </w:p>
    <w:p w14:paraId="7B22FBED" w14:textId="071CDDE8" w:rsidR="004E2FA1" w:rsidRDefault="004E2FA1" w:rsidP="00DC4125">
      <w:pPr>
        <w:pStyle w:val="SingleTxtG"/>
        <w:ind w:firstLine="567"/>
      </w:pPr>
      <w:r>
        <w:t>(b)</w:t>
      </w:r>
      <w:r>
        <w:tab/>
        <w:t xml:space="preserve"> Health and </w:t>
      </w:r>
      <w:r w:rsidR="001C1806" w:rsidRPr="001C1806">
        <w:t xml:space="preserve">strategic environmental assessment </w:t>
      </w:r>
      <w:r>
        <w:t>practitioners need</w:t>
      </w:r>
      <w:r w:rsidR="00CF0C4A">
        <w:t>ed</w:t>
      </w:r>
      <w:r>
        <w:t xml:space="preserve"> to be able to develop an understanding </w:t>
      </w:r>
      <w:r w:rsidR="009F42B7">
        <w:t>of</w:t>
      </w:r>
      <w:r>
        <w:t xml:space="preserve"> each other</w:t>
      </w:r>
      <w:r w:rsidR="005E43AD">
        <w:t xml:space="preserve">. It would be important to </w:t>
      </w:r>
      <w:r>
        <w:t>hav</w:t>
      </w:r>
      <w:r w:rsidR="005E43AD">
        <w:t>e</w:t>
      </w:r>
      <w:r>
        <w:t xml:space="preserve"> time to develop a dialogue</w:t>
      </w:r>
      <w:r w:rsidR="005E43AD">
        <w:t>.</w:t>
      </w:r>
      <w:r>
        <w:t xml:space="preserve"> </w:t>
      </w:r>
      <w:r w:rsidR="005E43AD">
        <w:t>I</w:t>
      </w:r>
      <w:r>
        <w:t>deally, joint environmental and health forces should be developed</w:t>
      </w:r>
      <w:r w:rsidR="001C1806">
        <w:t>;</w:t>
      </w:r>
    </w:p>
    <w:p w14:paraId="7704F80F" w14:textId="127B8A95" w:rsidR="004E2FA1" w:rsidRDefault="008301F0" w:rsidP="00DC4125">
      <w:pPr>
        <w:pStyle w:val="SingleTxtG"/>
        <w:ind w:firstLine="567"/>
      </w:pPr>
      <w:r>
        <w:t xml:space="preserve"> </w:t>
      </w:r>
      <w:r w:rsidR="004E2FA1">
        <w:t>(</w:t>
      </w:r>
      <w:r>
        <w:t>c</w:t>
      </w:r>
      <w:r w:rsidR="004E2FA1">
        <w:t xml:space="preserve">) </w:t>
      </w:r>
      <w:r w:rsidR="001C1806">
        <w:tab/>
      </w:r>
      <w:r w:rsidR="00CB3277">
        <w:t xml:space="preserve">It was extremely important to involve </w:t>
      </w:r>
      <w:r w:rsidR="004E2FA1">
        <w:t>health authorities at the scoping stage. Scoping need</w:t>
      </w:r>
      <w:r w:rsidR="00CB3277">
        <w:t>ed</w:t>
      </w:r>
      <w:r w:rsidR="004E2FA1">
        <w:t xml:space="preserve"> to focus on those aspects that </w:t>
      </w:r>
      <w:r w:rsidR="00CB3277">
        <w:t>we</w:t>
      </w:r>
      <w:r w:rsidR="004E2FA1">
        <w:t>re relevant; a proportiona</w:t>
      </w:r>
      <w:r>
        <w:t>te</w:t>
      </w:r>
      <w:r w:rsidR="004E2FA1">
        <w:t xml:space="preserve"> approach </w:t>
      </w:r>
      <w:r w:rsidR="00CB3277">
        <w:t>wa</w:t>
      </w:r>
      <w:r w:rsidR="004E2FA1">
        <w:t xml:space="preserve">s needed. Everything that </w:t>
      </w:r>
      <w:r w:rsidR="00CB3277">
        <w:t>wa</w:t>
      </w:r>
      <w:r w:rsidR="004E2FA1">
        <w:t>s decided during the scoping stage w</w:t>
      </w:r>
      <w:r w:rsidR="00CB3277">
        <w:t>ou</w:t>
      </w:r>
      <w:r w:rsidR="004E2FA1">
        <w:t>l</w:t>
      </w:r>
      <w:r w:rsidR="00CB3277">
        <w:t>d</w:t>
      </w:r>
      <w:r w:rsidR="004E2FA1">
        <w:t xml:space="preserve"> feed through to the rest of the </w:t>
      </w:r>
      <w:r w:rsidR="001C1806">
        <w:t xml:space="preserve">strategic environmental assessment </w:t>
      </w:r>
      <w:r w:rsidR="004E2FA1">
        <w:t>process (analysis, reporting, follow-up, consultation and participation)</w:t>
      </w:r>
      <w:r w:rsidR="001C1806">
        <w:t>;</w:t>
      </w:r>
    </w:p>
    <w:p w14:paraId="14AD4200" w14:textId="5A3E74A8" w:rsidR="004E2FA1" w:rsidRDefault="004E2FA1" w:rsidP="00DC4125">
      <w:pPr>
        <w:pStyle w:val="SingleTxtG"/>
        <w:ind w:firstLine="567"/>
      </w:pPr>
      <w:r>
        <w:t>(</w:t>
      </w:r>
      <w:r w:rsidR="003E0249">
        <w:t>d</w:t>
      </w:r>
      <w:r>
        <w:t xml:space="preserve">) </w:t>
      </w:r>
      <w:r w:rsidR="001C1806">
        <w:tab/>
      </w:r>
      <w:r>
        <w:t>Health in</w:t>
      </w:r>
      <w:r w:rsidR="001C1806" w:rsidRPr="001C1806">
        <w:t xml:space="preserve"> strategic environmental assessment</w:t>
      </w:r>
      <w:r w:rsidR="001C1806">
        <w:t xml:space="preserve"> “</w:t>
      </w:r>
      <w:r>
        <w:t>ambassadors</w:t>
      </w:r>
      <w:r w:rsidR="001C1806">
        <w:t>” or “</w:t>
      </w:r>
      <w:r>
        <w:t>strategic advocates</w:t>
      </w:r>
      <w:r w:rsidR="001C1806">
        <w:t>”</w:t>
      </w:r>
      <w:r>
        <w:t xml:space="preserve"> </w:t>
      </w:r>
      <w:r w:rsidR="002C20E0">
        <w:t>we</w:t>
      </w:r>
      <w:r>
        <w:t xml:space="preserve">re of great importance </w:t>
      </w:r>
      <w:r w:rsidR="002C20E0">
        <w:t>in</w:t>
      </w:r>
      <w:r>
        <w:t xml:space="preserve"> creating effective </w:t>
      </w:r>
      <w:r w:rsidR="001C1806" w:rsidRPr="001C1806">
        <w:t>strategic environmental assessment</w:t>
      </w:r>
      <w:r w:rsidR="001C1806">
        <w:t>;</w:t>
      </w:r>
    </w:p>
    <w:p w14:paraId="55C9B8DD" w14:textId="7491DB08" w:rsidR="004E2FA1" w:rsidRDefault="004E2FA1" w:rsidP="00DC4125">
      <w:pPr>
        <w:pStyle w:val="SingleTxtG"/>
        <w:ind w:firstLine="567"/>
      </w:pPr>
      <w:r>
        <w:t>(</w:t>
      </w:r>
      <w:r w:rsidR="003E0249">
        <w:t>e</w:t>
      </w:r>
      <w:r>
        <w:t xml:space="preserve">) </w:t>
      </w:r>
      <w:r>
        <w:tab/>
        <w:t>Health authorities c</w:t>
      </w:r>
      <w:r w:rsidR="002C20E0">
        <w:t>ould</w:t>
      </w:r>
      <w:r>
        <w:t xml:space="preserve"> inform </w:t>
      </w:r>
      <w:r w:rsidR="001C1806">
        <w:t>strategic environmental assessment</w:t>
      </w:r>
      <w:r w:rsidR="00CD5F72">
        <w:t xml:space="preserve">, in particular, by providing relevant data that </w:t>
      </w:r>
      <w:r w:rsidR="00976236">
        <w:t>we</w:t>
      </w:r>
      <w:r w:rsidR="00CD5F72">
        <w:t xml:space="preserve">re routinely collected </w:t>
      </w:r>
      <w:r>
        <w:t>(for monitoring purposes)</w:t>
      </w:r>
      <w:r w:rsidR="00700974">
        <w:t>.</w:t>
      </w:r>
      <w:r>
        <w:t xml:space="preserve"> </w:t>
      </w:r>
      <w:r w:rsidR="00CD5F72">
        <w:t xml:space="preserve"> Health authorities’ participation in</w:t>
      </w:r>
      <w:r>
        <w:t xml:space="preserve"> </w:t>
      </w:r>
      <w:r w:rsidR="001C1806">
        <w:t xml:space="preserve">strategic environmental assessment </w:t>
      </w:r>
      <w:r w:rsidR="00CD5F72">
        <w:t xml:space="preserve">could also contribute to the identification of other </w:t>
      </w:r>
      <w:r>
        <w:t>important</w:t>
      </w:r>
      <w:r w:rsidR="00CD5F72">
        <w:t xml:space="preserve"> data to be collected of relevance to the plan or programme in question</w:t>
      </w:r>
      <w:r w:rsidR="001C1806">
        <w:t>;</w:t>
      </w:r>
    </w:p>
    <w:p w14:paraId="35C77432" w14:textId="31487820" w:rsidR="008301F0" w:rsidRDefault="008301F0" w:rsidP="00DC4125">
      <w:pPr>
        <w:pStyle w:val="SingleTxtG"/>
        <w:ind w:firstLine="567"/>
      </w:pPr>
      <w:r>
        <w:t>(</w:t>
      </w:r>
      <w:r w:rsidR="003E0249">
        <w:t>f</w:t>
      </w:r>
      <w:r>
        <w:t>)</w:t>
      </w:r>
      <w:r>
        <w:tab/>
      </w:r>
      <w:r w:rsidRPr="008301F0">
        <w:t xml:space="preserve">Case studies </w:t>
      </w:r>
      <w:r w:rsidR="002C20E0">
        <w:t>we</w:t>
      </w:r>
      <w:r w:rsidRPr="008301F0">
        <w:t xml:space="preserve">re required to show how monitoring of human health should be conducted with regard to </w:t>
      </w:r>
      <w:r w:rsidR="002C20E0" w:rsidRPr="002C20E0">
        <w:t>strategic environmental assessment</w:t>
      </w:r>
      <w:r w:rsidR="002C20E0">
        <w:t>;</w:t>
      </w:r>
    </w:p>
    <w:p w14:paraId="36C5DF56" w14:textId="7290C071" w:rsidR="004E2FA1" w:rsidRDefault="004E2FA1" w:rsidP="00DC4125">
      <w:pPr>
        <w:pStyle w:val="SingleTxtG"/>
        <w:ind w:firstLine="567"/>
      </w:pPr>
      <w:r>
        <w:t>(</w:t>
      </w:r>
      <w:r w:rsidR="003E0249">
        <w:t>g</w:t>
      </w:r>
      <w:r>
        <w:t>)</w:t>
      </w:r>
      <w:r>
        <w:tab/>
        <w:t xml:space="preserve"> Capacity</w:t>
      </w:r>
      <w:r w:rsidR="002C20E0">
        <w:t>-</w:t>
      </w:r>
      <w:r>
        <w:t>building</w:t>
      </w:r>
      <w:r w:rsidR="001C1806">
        <w:t xml:space="preserve"> or</w:t>
      </w:r>
      <w:r>
        <w:t xml:space="preserve"> developing skills on </w:t>
      </w:r>
      <w:r w:rsidR="00CD5F72">
        <w:t>addressing</w:t>
      </w:r>
      <w:r>
        <w:t xml:space="preserve"> health in </w:t>
      </w:r>
      <w:r w:rsidR="001C1806">
        <w:t xml:space="preserve">strategic environmental assessment </w:t>
      </w:r>
      <w:r w:rsidR="002C20E0">
        <w:t>wa</w:t>
      </w:r>
      <w:r>
        <w:t xml:space="preserve">s a vital element </w:t>
      </w:r>
      <w:r w:rsidR="00976236">
        <w:t>in</w:t>
      </w:r>
      <w:r>
        <w:t xml:space="preserve"> creating an effective </w:t>
      </w:r>
      <w:r w:rsidR="00CD5F72">
        <w:t xml:space="preserve">assessment of </w:t>
      </w:r>
      <w:r>
        <w:t>health</w:t>
      </w:r>
      <w:r w:rsidR="00CD5F72">
        <w:t>-related impacts of plans and programmes with</w:t>
      </w:r>
      <w:r>
        <w:t xml:space="preserve">in </w:t>
      </w:r>
      <w:r w:rsidR="00CD5F72">
        <w:t xml:space="preserve">the </w:t>
      </w:r>
      <w:r w:rsidR="001C1806">
        <w:t xml:space="preserve">strategic environmental assessment </w:t>
      </w:r>
      <w:r w:rsidR="001C1806">
        <w:lastRenderedPageBreak/>
        <w:t>“</w:t>
      </w:r>
      <w:r>
        <w:t>system</w:t>
      </w:r>
      <w:r w:rsidR="001C1806">
        <w:t>”</w:t>
      </w:r>
      <w:r w:rsidR="00CD5F72">
        <w:t>. The content of that capacity-building w</w:t>
      </w:r>
      <w:r w:rsidR="00700974">
        <w:t>as</w:t>
      </w:r>
      <w:r w:rsidR="00CD5F72">
        <w:t xml:space="preserve"> </w:t>
      </w:r>
      <w:r>
        <w:t xml:space="preserve">likely </w:t>
      </w:r>
      <w:r w:rsidR="00CD5F72">
        <w:t>to be informed by the</w:t>
      </w:r>
      <w:r>
        <w:t xml:space="preserve"> definition of health</w:t>
      </w:r>
      <w:r w:rsidR="00CD5F72">
        <w:t xml:space="preserve"> underpin</w:t>
      </w:r>
      <w:r w:rsidR="00976236">
        <w:t>ning</w:t>
      </w:r>
      <w:r w:rsidR="00CD5F72">
        <w:t xml:space="preserve"> the assessment</w:t>
      </w:r>
      <w:r w:rsidR="001C1806">
        <w:t>;</w:t>
      </w:r>
    </w:p>
    <w:p w14:paraId="6015B30B" w14:textId="70CA45D0" w:rsidR="004E2FA1" w:rsidRDefault="004E2FA1" w:rsidP="00DC4125">
      <w:pPr>
        <w:pStyle w:val="SingleTxtG"/>
        <w:ind w:firstLine="567"/>
      </w:pPr>
      <w:r>
        <w:t>(</w:t>
      </w:r>
      <w:r w:rsidR="003E0249">
        <w:t>h</w:t>
      </w:r>
      <w:r>
        <w:t>)</w:t>
      </w:r>
      <w:r>
        <w:tab/>
        <w:t xml:space="preserve"> Health assessment ha</w:t>
      </w:r>
      <w:r w:rsidR="00FC2482">
        <w:t>d</w:t>
      </w:r>
      <w:r>
        <w:t xml:space="preserve"> a positive outlook</w:t>
      </w:r>
      <w:r w:rsidR="00FC2482">
        <w:t>,</w:t>
      </w:r>
      <w:r>
        <w:t xml:space="preserve"> </w:t>
      </w:r>
      <w:r w:rsidR="00FC2482">
        <w:t xml:space="preserve">while </w:t>
      </w:r>
      <w:r w:rsidR="001C1806">
        <w:t xml:space="preserve">strategic environmental </w:t>
      </w:r>
      <w:r w:rsidR="00003CA5">
        <w:t>assessment traditionally</w:t>
      </w:r>
      <w:r>
        <w:t xml:space="preserve"> focuse</w:t>
      </w:r>
      <w:r w:rsidR="00FC2482">
        <w:t>d</w:t>
      </w:r>
      <w:r>
        <w:t xml:space="preserve"> more on mitigating (negative) environmental impacts</w:t>
      </w:r>
      <w:r w:rsidR="00AE34A7">
        <w:t>. B</w:t>
      </w:r>
      <w:r>
        <w:t xml:space="preserve">oth </w:t>
      </w:r>
      <w:r w:rsidR="00FC2482">
        <w:t xml:space="preserve">types of assessment </w:t>
      </w:r>
      <w:r>
        <w:t>c</w:t>
      </w:r>
      <w:r w:rsidR="00FC2482">
        <w:t>ould</w:t>
      </w:r>
      <w:r>
        <w:t xml:space="preserve"> learn from each other</w:t>
      </w:r>
      <w:r w:rsidR="001C1806">
        <w:t>;</w:t>
      </w:r>
    </w:p>
    <w:p w14:paraId="3B828DCE" w14:textId="369A6177" w:rsidR="004E2FA1" w:rsidRDefault="004E2FA1" w:rsidP="00DC4125">
      <w:pPr>
        <w:pStyle w:val="SingleTxtG"/>
        <w:ind w:firstLine="567"/>
      </w:pPr>
      <w:r>
        <w:t>(</w:t>
      </w:r>
      <w:r w:rsidR="003E0249">
        <w:t>i</w:t>
      </w:r>
      <w:r>
        <w:t>)</w:t>
      </w:r>
      <w:r>
        <w:tab/>
        <w:t xml:space="preserve"> When </w:t>
      </w:r>
      <w:r w:rsidR="00FC2482">
        <w:t xml:space="preserve">considering </w:t>
      </w:r>
      <w:r>
        <w:t xml:space="preserve">sustainable long-term effects, </w:t>
      </w:r>
      <w:r w:rsidR="002D352E">
        <w:t xml:space="preserve">it </w:t>
      </w:r>
      <w:r w:rsidR="00FC2482">
        <w:t>wa</w:t>
      </w:r>
      <w:r w:rsidR="002D352E">
        <w:t xml:space="preserve">s important to </w:t>
      </w:r>
      <w:r>
        <w:t>take the broader health determinants on board; in the workshop</w:t>
      </w:r>
      <w:r w:rsidR="00712918">
        <w:t>,</w:t>
      </w:r>
      <w:r>
        <w:t xml:space="preserve"> practical examples were provided on how to do that</w:t>
      </w:r>
      <w:r w:rsidR="001C1806">
        <w:t>;</w:t>
      </w:r>
    </w:p>
    <w:p w14:paraId="1A86E564" w14:textId="2CA8B7C1" w:rsidR="004E2FA1" w:rsidRDefault="004E2FA1" w:rsidP="00DC4125">
      <w:pPr>
        <w:pStyle w:val="SingleTxtG"/>
        <w:ind w:firstLine="567"/>
      </w:pPr>
      <w:r>
        <w:t>(</w:t>
      </w:r>
      <w:r w:rsidR="003E0249">
        <w:t>j</w:t>
      </w:r>
      <w:r>
        <w:t>)</w:t>
      </w:r>
      <w:r>
        <w:tab/>
        <w:t xml:space="preserve"> Countering impact assessment </w:t>
      </w:r>
      <w:r w:rsidR="001C1806">
        <w:t>“</w:t>
      </w:r>
      <w:r>
        <w:t>fatigue</w:t>
      </w:r>
      <w:r w:rsidR="001C1806">
        <w:t>”</w:t>
      </w:r>
      <w:r>
        <w:t xml:space="preserve"> (</w:t>
      </w:r>
      <w:r w:rsidR="00AA555C">
        <w:t>for example,</w:t>
      </w:r>
      <w:r>
        <w:t xml:space="preserve"> due to having to </w:t>
      </w:r>
      <w:r w:rsidR="008351C6">
        <w:t>carry out</w:t>
      </w:r>
      <w:r>
        <w:t xml:space="preserve"> too many assessments) through integration </w:t>
      </w:r>
      <w:r w:rsidR="00BA7FC2">
        <w:t xml:space="preserve">of health impact assessment </w:t>
      </w:r>
      <w:r>
        <w:t>in</w:t>
      </w:r>
      <w:r w:rsidR="008473C0">
        <w:t>to</w:t>
      </w:r>
      <w:r>
        <w:t xml:space="preserve"> </w:t>
      </w:r>
      <w:r w:rsidR="001C1806">
        <w:t xml:space="preserve">strategic environmental assessment </w:t>
      </w:r>
      <w:r>
        <w:t>c</w:t>
      </w:r>
      <w:r w:rsidR="00FC2482">
        <w:t>ould</w:t>
      </w:r>
      <w:r>
        <w:t xml:space="preserve"> be positive. However, in th</w:t>
      </w:r>
      <w:r w:rsidR="00FC2482">
        <w:t>at</w:t>
      </w:r>
      <w:r>
        <w:t xml:space="preserve"> context, it </w:t>
      </w:r>
      <w:r w:rsidR="00FC2482">
        <w:t>wa</w:t>
      </w:r>
      <w:r>
        <w:t xml:space="preserve">s important to have a set of clear rules so that all aspects </w:t>
      </w:r>
      <w:r w:rsidR="00FC2482">
        <w:t>we</w:t>
      </w:r>
      <w:r>
        <w:t>re actually adequately considered</w:t>
      </w:r>
      <w:r w:rsidR="001C1806">
        <w:t>;</w:t>
      </w:r>
    </w:p>
    <w:p w14:paraId="441AE0BB" w14:textId="5473CAB8" w:rsidR="004E2FA1" w:rsidRDefault="004E2FA1" w:rsidP="00DC4125">
      <w:pPr>
        <w:pStyle w:val="SingleTxtG"/>
        <w:ind w:firstLine="567"/>
      </w:pPr>
      <w:r>
        <w:t>(</w:t>
      </w:r>
      <w:r w:rsidR="003E0249">
        <w:t>k</w:t>
      </w:r>
      <w:r>
        <w:t>)</w:t>
      </w:r>
      <w:r>
        <w:tab/>
        <w:t xml:space="preserve">Presenting complex information about health and well-being in a simple way </w:t>
      </w:r>
      <w:r w:rsidR="008351C6">
        <w:t>wa</w:t>
      </w:r>
      <w:r>
        <w:t xml:space="preserve">s important. The </w:t>
      </w:r>
      <w:r w:rsidR="00FC2482">
        <w:t xml:space="preserve">Netherlands </w:t>
      </w:r>
      <w:r>
        <w:t>example of an impact wheel was positively noted</w:t>
      </w:r>
      <w:r w:rsidR="001C1806">
        <w:t>;</w:t>
      </w:r>
    </w:p>
    <w:p w14:paraId="3B2A6CD0" w14:textId="73D61FCB" w:rsidR="00637E14" w:rsidRPr="00CD6BE2" w:rsidRDefault="004E2FA1" w:rsidP="00DC4125">
      <w:pPr>
        <w:pStyle w:val="SingleTxtG"/>
        <w:ind w:firstLine="567"/>
      </w:pPr>
      <w:r>
        <w:t>(</w:t>
      </w:r>
      <w:r w:rsidR="003E0249">
        <w:t>l</w:t>
      </w:r>
      <w:r>
        <w:t>)</w:t>
      </w:r>
      <w:r>
        <w:tab/>
        <w:t>The example of social impact assessment was discussed. It was agreed that</w:t>
      </w:r>
      <w:r w:rsidR="008473C0">
        <w:t>,</w:t>
      </w:r>
      <w:r>
        <w:t xml:space="preserve"> in some cases</w:t>
      </w:r>
      <w:r w:rsidR="008473C0">
        <w:t>,</w:t>
      </w:r>
      <w:r>
        <w:t xml:space="preserve"> additional impact assessment, for example</w:t>
      </w:r>
      <w:r w:rsidR="008473C0">
        <w:t>,</w:t>
      </w:r>
      <w:r>
        <w:t xml:space="preserve"> social impact assessment, </w:t>
      </w:r>
      <w:r w:rsidR="008473C0">
        <w:t>could</w:t>
      </w:r>
      <w:r>
        <w:t xml:space="preserve"> be prepared separate</w:t>
      </w:r>
      <w:r w:rsidR="008473C0">
        <w:t>ly from</w:t>
      </w:r>
      <w:r>
        <w:t xml:space="preserve"> </w:t>
      </w:r>
      <w:r w:rsidR="001C1806">
        <w:t>strategic environmental assessment</w:t>
      </w:r>
      <w:r>
        <w:t xml:space="preserve">. Preparing a separate </w:t>
      </w:r>
      <w:r w:rsidR="001C1806">
        <w:t>impact assessment m</w:t>
      </w:r>
      <w:r w:rsidR="008473C0">
        <w:t>ight</w:t>
      </w:r>
      <w:r>
        <w:t xml:space="preserve"> be considered desirable in order to avoid integrating too many topics into </w:t>
      </w:r>
      <w:r w:rsidR="001C1806">
        <w:t xml:space="preserve">strategic environmental assessment </w:t>
      </w:r>
      <w:r>
        <w:t xml:space="preserve">and impeding its effectiveness. It was also noted that there </w:t>
      </w:r>
      <w:r w:rsidR="001C1806">
        <w:t>were</w:t>
      </w:r>
      <w:r>
        <w:t xml:space="preserve"> currently no legal obligations </w:t>
      </w:r>
      <w:r w:rsidR="008473C0">
        <w:t>to carry out</w:t>
      </w:r>
      <w:r>
        <w:t xml:space="preserve"> social impact assessment, but </w:t>
      </w:r>
      <w:r w:rsidR="008473C0">
        <w:t xml:space="preserve">that </w:t>
      </w:r>
      <w:r>
        <w:t xml:space="preserve">countries </w:t>
      </w:r>
      <w:r w:rsidR="001C1806">
        <w:t>were</w:t>
      </w:r>
      <w:r>
        <w:t xml:space="preserve"> free to introduce it.</w:t>
      </w:r>
    </w:p>
    <w:p w14:paraId="446906D6" w14:textId="4D9DC240" w:rsidR="00637E14" w:rsidRDefault="001C1806" w:rsidP="00F52749">
      <w:pPr>
        <w:pStyle w:val="SingleTxtG"/>
      </w:pPr>
      <w:r>
        <w:t>41</w:t>
      </w:r>
      <w:r w:rsidR="00637E14">
        <w:t>.</w:t>
      </w:r>
      <w:r w:rsidR="00637E14">
        <w:tab/>
      </w:r>
      <w:r w:rsidR="00637E14" w:rsidRPr="00CD6BE2">
        <w:t>The Working Group</w:t>
      </w:r>
      <w:r w:rsidR="00637E14" w:rsidRPr="00637E14">
        <w:t xml:space="preserve"> </w:t>
      </w:r>
      <w:r w:rsidR="00637E14">
        <w:t>i</w:t>
      </w:r>
      <w:r w:rsidR="00637E14" w:rsidRPr="00637E14">
        <w:t xml:space="preserve">nvited the consultants to provide the secretariat </w:t>
      </w:r>
      <w:r w:rsidR="008473C0">
        <w:t xml:space="preserve">with </w:t>
      </w:r>
      <w:r w:rsidR="00637E14" w:rsidRPr="00637E14">
        <w:t xml:space="preserve">a </w:t>
      </w:r>
      <w:r w:rsidR="004E2FA1">
        <w:t>two</w:t>
      </w:r>
      <w:r w:rsidR="00637E14" w:rsidRPr="00637E14">
        <w:t>-page summary of the</w:t>
      </w:r>
      <w:r w:rsidR="0093607D">
        <w:t xml:space="preserve"> </w:t>
      </w:r>
      <w:r w:rsidR="008473C0">
        <w:t xml:space="preserve">workshop </w:t>
      </w:r>
      <w:r w:rsidR="0093607D">
        <w:t>presentations to be included in t</w:t>
      </w:r>
      <w:r w:rsidR="00637E14" w:rsidRPr="00637E14">
        <w:t>he report</w:t>
      </w:r>
      <w:r w:rsidR="0093607D" w:rsidRPr="0093607D">
        <w:t xml:space="preserve"> (see annex to the present report).</w:t>
      </w:r>
    </w:p>
    <w:p w14:paraId="586B5254" w14:textId="77777777" w:rsidR="00F52749" w:rsidRPr="003866D3" w:rsidRDefault="00F52749" w:rsidP="003866D3">
      <w:pPr>
        <w:pStyle w:val="H1G"/>
        <w:jc w:val="both"/>
      </w:pPr>
      <w:r w:rsidRPr="00F52749">
        <w:tab/>
        <w:t>B.</w:t>
      </w:r>
      <w:r w:rsidRPr="00F52749">
        <w:tab/>
      </w:r>
      <w:r w:rsidRPr="003866D3">
        <w:t xml:space="preserve">Draft guidance on assessing health impacts in strategic environmental assessment </w:t>
      </w:r>
    </w:p>
    <w:p w14:paraId="284238DC" w14:textId="03A4AEF7" w:rsidR="00F52749" w:rsidRDefault="00F52749" w:rsidP="00F52749">
      <w:pPr>
        <w:pStyle w:val="H1G"/>
        <w:tabs>
          <w:tab w:val="clear" w:pos="851"/>
          <w:tab w:val="left" w:pos="1260"/>
        </w:tabs>
        <w:jc w:val="both"/>
      </w:pPr>
      <w:r>
        <w:tab/>
      </w:r>
      <w:r w:rsidR="00003CA5">
        <w:rPr>
          <w:b w:val="0"/>
          <w:sz w:val="20"/>
        </w:rPr>
        <w:t>42.</w:t>
      </w:r>
      <w:r w:rsidR="00003CA5">
        <w:rPr>
          <w:b w:val="0"/>
          <w:sz w:val="20"/>
        </w:rPr>
        <w:tab/>
      </w:r>
      <w:r>
        <w:rPr>
          <w:b w:val="0"/>
          <w:sz w:val="20"/>
        </w:rPr>
        <w:t>T</w:t>
      </w:r>
      <w:r w:rsidRPr="00F52749">
        <w:rPr>
          <w:b w:val="0"/>
          <w:sz w:val="20"/>
        </w:rPr>
        <w:t xml:space="preserve">he Working Group </w:t>
      </w:r>
      <w:bookmarkStart w:id="26" w:name="_Hlk29565359"/>
      <w:r>
        <w:rPr>
          <w:b w:val="0"/>
          <w:sz w:val="20"/>
        </w:rPr>
        <w:t>r</w:t>
      </w:r>
      <w:r w:rsidRPr="00F52749">
        <w:rPr>
          <w:b w:val="0"/>
          <w:sz w:val="20"/>
        </w:rPr>
        <w:t xml:space="preserve">eviewed and commented </w:t>
      </w:r>
      <w:r w:rsidR="00874F6F">
        <w:rPr>
          <w:b w:val="0"/>
          <w:sz w:val="20"/>
        </w:rPr>
        <w:t xml:space="preserve">on </w:t>
      </w:r>
      <w:r w:rsidRPr="00F52749">
        <w:rPr>
          <w:b w:val="0"/>
          <w:sz w:val="20"/>
        </w:rPr>
        <w:t xml:space="preserve">the text of the draft guidance on assessing health impacts in </w:t>
      </w:r>
      <w:bookmarkStart w:id="27" w:name="_Hlk27769049"/>
      <w:r w:rsidRPr="00F52749">
        <w:rPr>
          <w:b w:val="0"/>
          <w:sz w:val="20"/>
        </w:rPr>
        <w:t xml:space="preserve">strategic environmental assessment </w:t>
      </w:r>
      <w:bookmarkEnd w:id="26"/>
      <w:bookmarkEnd w:id="27"/>
      <w:r w:rsidR="00712918">
        <w:rPr>
          <w:b w:val="0"/>
          <w:sz w:val="20"/>
        </w:rPr>
        <w:t>(</w:t>
      </w:r>
      <w:r w:rsidR="00712918" w:rsidRPr="00712918">
        <w:rPr>
          <w:b w:val="0"/>
          <w:sz w:val="20"/>
        </w:rPr>
        <w:t>ECE/MP.EIA/WG.2/2019/5</w:t>
      </w:r>
      <w:r w:rsidR="00712918">
        <w:rPr>
          <w:b w:val="0"/>
          <w:sz w:val="20"/>
        </w:rPr>
        <w:t>)</w:t>
      </w:r>
      <w:r w:rsidR="00712918" w:rsidRPr="00712918">
        <w:rPr>
          <w:b w:val="0"/>
          <w:sz w:val="20"/>
        </w:rPr>
        <w:t xml:space="preserve"> </w:t>
      </w:r>
      <w:r w:rsidRPr="00F52749">
        <w:rPr>
          <w:b w:val="0"/>
          <w:sz w:val="20"/>
        </w:rPr>
        <w:t>and provide</w:t>
      </w:r>
      <w:r>
        <w:rPr>
          <w:b w:val="0"/>
          <w:sz w:val="20"/>
        </w:rPr>
        <w:t>d</w:t>
      </w:r>
      <w:r w:rsidRPr="00F52749">
        <w:rPr>
          <w:b w:val="0"/>
          <w:sz w:val="20"/>
        </w:rPr>
        <w:t xml:space="preserve"> guidance for its finalization. </w:t>
      </w:r>
    </w:p>
    <w:p w14:paraId="04F58FD0" w14:textId="71957AAD" w:rsidR="00001E0A" w:rsidRDefault="00003CA5" w:rsidP="00003CA5">
      <w:pPr>
        <w:pStyle w:val="SingleTxtG"/>
      </w:pPr>
      <w:bookmarkStart w:id="28" w:name="_Hlk30420081"/>
      <w:r>
        <w:t>43</w:t>
      </w:r>
      <w:r w:rsidR="00F52749">
        <w:t>.</w:t>
      </w:r>
      <w:r w:rsidR="00F52749">
        <w:tab/>
      </w:r>
      <w:bookmarkStart w:id="29" w:name="_Hlk29565219"/>
      <w:r w:rsidR="00712918">
        <w:t xml:space="preserve">It </w:t>
      </w:r>
      <w:r w:rsidR="00EE2F03">
        <w:t>a</w:t>
      </w:r>
      <w:r w:rsidR="00EE2F03" w:rsidRPr="00EE2F03">
        <w:t xml:space="preserve">greed on </w:t>
      </w:r>
      <w:r>
        <w:t xml:space="preserve">the need to </w:t>
      </w:r>
      <w:r w:rsidR="00EE2F03" w:rsidRPr="00EE2F03">
        <w:t>re</w:t>
      </w:r>
      <w:r>
        <w:t xml:space="preserve">vise the draft guidance </w:t>
      </w:r>
      <w:r w:rsidR="00285CED">
        <w:t xml:space="preserve">in keeping with the requirements of the Protocol and </w:t>
      </w:r>
      <w:r w:rsidR="00EE2F03" w:rsidRPr="00EE2F03">
        <w:t>to i</w:t>
      </w:r>
      <w:r w:rsidR="00DC4D3E">
        <w:t>ncrease</w:t>
      </w:r>
      <w:r>
        <w:t xml:space="preserve"> its p</w:t>
      </w:r>
      <w:r w:rsidR="00EE2F03" w:rsidRPr="00EE2F03">
        <w:t>ractical usefulness for</w:t>
      </w:r>
      <w:r>
        <w:t xml:space="preserve"> </w:t>
      </w:r>
      <w:r w:rsidR="00EE2F03" w:rsidRPr="00EE2F03">
        <w:t xml:space="preserve">authorities and </w:t>
      </w:r>
      <w:r>
        <w:t>strategic environmental assessment</w:t>
      </w:r>
      <w:r w:rsidR="00EE2F03" w:rsidRPr="00EE2F03">
        <w:t xml:space="preserve"> practitioners, </w:t>
      </w:r>
      <w:r>
        <w:t xml:space="preserve">including by </w:t>
      </w:r>
      <w:r w:rsidR="00EE2F03" w:rsidRPr="00EE2F03">
        <w:t xml:space="preserve">referring to Parties’ practical implementation and by focusing on practical assessment methods </w:t>
      </w:r>
      <w:r w:rsidR="00001E0A">
        <w:t>and</w:t>
      </w:r>
      <w:r w:rsidR="00EE2F03" w:rsidRPr="00EE2F03">
        <w:t xml:space="preserve"> tools</w:t>
      </w:r>
      <w:r w:rsidR="00001E0A">
        <w:t>. It also a</w:t>
      </w:r>
      <w:r w:rsidR="00001E0A" w:rsidRPr="00001E0A">
        <w:t xml:space="preserve">greed </w:t>
      </w:r>
      <w:r w:rsidR="00F5562B">
        <w:t>to</w:t>
      </w:r>
      <w:r w:rsidR="00001E0A" w:rsidRPr="00001E0A">
        <w:t xml:space="preserve"> </w:t>
      </w:r>
      <w:r>
        <w:t>the</w:t>
      </w:r>
      <w:r w:rsidR="00001E0A" w:rsidRPr="00001E0A">
        <w:t xml:space="preserve"> </w:t>
      </w:r>
      <w:r>
        <w:t xml:space="preserve">European Union </w:t>
      </w:r>
      <w:r w:rsidR="00EA20A9">
        <w:t xml:space="preserve">proposal </w:t>
      </w:r>
      <w:r w:rsidR="00001E0A" w:rsidRPr="00001E0A">
        <w:t xml:space="preserve">to set up a </w:t>
      </w:r>
      <w:r w:rsidR="00712918">
        <w:t>t</w:t>
      </w:r>
      <w:r w:rsidR="00001E0A">
        <w:t xml:space="preserve">ask </w:t>
      </w:r>
      <w:r w:rsidR="00712918">
        <w:t>f</w:t>
      </w:r>
      <w:r w:rsidR="00001E0A">
        <w:t>orce</w:t>
      </w:r>
      <w:r w:rsidR="00001E0A" w:rsidRPr="00001E0A">
        <w:t xml:space="preserve"> </w:t>
      </w:r>
      <w:r>
        <w:t xml:space="preserve">composed of representatives </w:t>
      </w:r>
      <w:r w:rsidR="00001E0A" w:rsidRPr="00001E0A">
        <w:t>of Austria, Finland, Ireland, Slovenia</w:t>
      </w:r>
      <w:r>
        <w:t xml:space="preserve"> and possibly Italy, </w:t>
      </w:r>
      <w:r w:rsidR="00712918">
        <w:t>and supported</w:t>
      </w:r>
      <w:r w:rsidR="00001E0A" w:rsidRPr="00001E0A">
        <w:t xml:space="preserve"> by </w:t>
      </w:r>
      <w:r>
        <w:t xml:space="preserve">the </w:t>
      </w:r>
      <w:r w:rsidR="00001E0A" w:rsidRPr="00001E0A">
        <w:t>secretariat</w:t>
      </w:r>
      <w:bookmarkEnd w:id="28"/>
      <w:r>
        <w:t xml:space="preserve">. It invited the </w:t>
      </w:r>
      <w:r w:rsidR="00712918">
        <w:t>t</w:t>
      </w:r>
      <w:r>
        <w:t xml:space="preserve">ask </w:t>
      </w:r>
      <w:r w:rsidR="00712918">
        <w:t>f</w:t>
      </w:r>
      <w:r>
        <w:t xml:space="preserve">orce to </w:t>
      </w:r>
      <w:r w:rsidR="00001E0A" w:rsidRPr="00001E0A">
        <w:t xml:space="preserve">provide </w:t>
      </w:r>
      <w:r>
        <w:t xml:space="preserve">the </w:t>
      </w:r>
      <w:r w:rsidR="00001E0A" w:rsidRPr="00001E0A">
        <w:t xml:space="preserve">consultants with detailed comments on </w:t>
      </w:r>
      <w:r>
        <w:t xml:space="preserve">the </w:t>
      </w:r>
      <w:r w:rsidR="00001E0A" w:rsidRPr="00001E0A">
        <w:t>draft text</w:t>
      </w:r>
      <w:r w:rsidR="00712918">
        <w:t xml:space="preserve"> of the guidance</w:t>
      </w:r>
      <w:r w:rsidR="00001E0A" w:rsidRPr="00001E0A">
        <w:t xml:space="preserve"> by 13 January</w:t>
      </w:r>
      <w:r w:rsidR="00001E0A">
        <w:t xml:space="preserve"> 2020. </w:t>
      </w:r>
      <w:r>
        <w:t>T</w:t>
      </w:r>
      <w:r w:rsidR="00001E0A">
        <w:t xml:space="preserve">he </w:t>
      </w:r>
      <w:r w:rsidR="00F5562B">
        <w:t>t</w:t>
      </w:r>
      <w:r w:rsidR="00001E0A">
        <w:t xml:space="preserve">ask </w:t>
      </w:r>
      <w:r w:rsidR="00F5562B">
        <w:t>f</w:t>
      </w:r>
      <w:r w:rsidR="00001E0A">
        <w:t>orce</w:t>
      </w:r>
      <w:r w:rsidR="00001E0A" w:rsidRPr="00001E0A">
        <w:t xml:space="preserve"> </w:t>
      </w:r>
      <w:r>
        <w:t xml:space="preserve">was </w:t>
      </w:r>
      <w:r w:rsidR="00001E0A" w:rsidRPr="00001E0A">
        <w:t>to work electronically, with</w:t>
      </w:r>
      <w:r>
        <w:t xml:space="preserve"> each</w:t>
      </w:r>
      <w:r w:rsidR="00001E0A" w:rsidRPr="00001E0A">
        <w:t xml:space="preserve"> </w:t>
      </w:r>
      <w:r w:rsidR="00443BBB">
        <w:t xml:space="preserve">comment and </w:t>
      </w:r>
      <w:r w:rsidR="00001E0A" w:rsidRPr="00001E0A">
        <w:t xml:space="preserve">input shared with all </w:t>
      </w:r>
      <w:r>
        <w:t xml:space="preserve">its </w:t>
      </w:r>
      <w:r w:rsidR="00001E0A" w:rsidRPr="00001E0A">
        <w:t xml:space="preserve">members, </w:t>
      </w:r>
      <w:r>
        <w:t xml:space="preserve">the </w:t>
      </w:r>
      <w:r w:rsidR="00001E0A" w:rsidRPr="00001E0A">
        <w:t xml:space="preserve">consultants, </w:t>
      </w:r>
      <w:r>
        <w:t xml:space="preserve">the </w:t>
      </w:r>
      <w:r w:rsidR="00001E0A" w:rsidRPr="00001E0A">
        <w:t>secretariat</w:t>
      </w:r>
      <w:r w:rsidR="00871B75">
        <w:t xml:space="preserve"> and</w:t>
      </w:r>
      <w:r w:rsidR="00001E0A" w:rsidRPr="00001E0A">
        <w:t xml:space="preserve"> </w:t>
      </w:r>
      <w:r w:rsidR="00001E0A">
        <w:t xml:space="preserve">the </w:t>
      </w:r>
      <w:r>
        <w:t>representative</w:t>
      </w:r>
      <w:r w:rsidR="00871B75">
        <w:t>s</w:t>
      </w:r>
      <w:r>
        <w:t xml:space="preserve"> of the </w:t>
      </w:r>
      <w:r w:rsidR="00001E0A">
        <w:t>European Investment Bank</w:t>
      </w:r>
      <w:r w:rsidR="00001E0A" w:rsidRPr="00001E0A">
        <w:t xml:space="preserve"> and W</w:t>
      </w:r>
      <w:r>
        <w:t xml:space="preserve">HO. </w:t>
      </w:r>
      <w:r w:rsidR="00443BBB">
        <w:t>As needed, t</w:t>
      </w:r>
      <w:r w:rsidR="00001E0A">
        <w:t xml:space="preserve">he </w:t>
      </w:r>
      <w:r w:rsidR="00EF68B0">
        <w:t>t</w:t>
      </w:r>
      <w:r w:rsidR="00001E0A">
        <w:t>ask</w:t>
      </w:r>
      <w:r w:rsidR="00EF68B0">
        <w:t xml:space="preserve"> f</w:t>
      </w:r>
      <w:r w:rsidR="00001E0A">
        <w:t>orce</w:t>
      </w:r>
      <w:r w:rsidR="00001E0A" w:rsidRPr="00001E0A">
        <w:t xml:space="preserve"> should </w:t>
      </w:r>
      <w:r w:rsidR="00443BBB">
        <w:t xml:space="preserve">also </w:t>
      </w:r>
      <w:r w:rsidR="00001E0A" w:rsidRPr="00001E0A">
        <w:t xml:space="preserve">respond to </w:t>
      </w:r>
      <w:r>
        <w:t xml:space="preserve">the </w:t>
      </w:r>
      <w:r w:rsidR="00712918">
        <w:t xml:space="preserve">consultants’ </w:t>
      </w:r>
      <w:r w:rsidR="00065B69">
        <w:t>requests for clarification</w:t>
      </w:r>
      <w:r w:rsidR="00001E0A" w:rsidRPr="00001E0A">
        <w:t>.</w:t>
      </w:r>
    </w:p>
    <w:p w14:paraId="781C52DD" w14:textId="0E902AD3" w:rsidR="00001E0A" w:rsidRDefault="00003CA5" w:rsidP="00001E0A">
      <w:pPr>
        <w:pStyle w:val="SingleTxtG"/>
      </w:pPr>
      <w:r>
        <w:t>44</w:t>
      </w:r>
      <w:r w:rsidR="00001E0A">
        <w:t>.</w:t>
      </w:r>
      <w:r w:rsidR="00001E0A">
        <w:tab/>
        <w:t xml:space="preserve">The Working Group invited </w:t>
      </w:r>
      <w:r>
        <w:t xml:space="preserve">the </w:t>
      </w:r>
      <w:r w:rsidR="00001E0A">
        <w:t xml:space="preserve">consultants, steered by the </w:t>
      </w:r>
      <w:r w:rsidR="00F5562B">
        <w:t>t</w:t>
      </w:r>
      <w:r w:rsidR="00001E0A">
        <w:t xml:space="preserve">ask </w:t>
      </w:r>
      <w:r w:rsidR="00F5562B">
        <w:t>f</w:t>
      </w:r>
      <w:r w:rsidR="00001E0A">
        <w:t xml:space="preserve">orce, to prepare revised draft </w:t>
      </w:r>
      <w:r w:rsidR="00443BBB">
        <w:t xml:space="preserve">guidance </w:t>
      </w:r>
      <w:r>
        <w:t>by 14 February 2020</w:t>
      </w:r>
      <w:r w:rsidR="00065B69">
        <w:t xml:space="preserve"> for comments by the Bureau at its next meeting. It also </w:t>
      </w:r>
      <w:r w:rsidR="00001E0A">
        <w:t>agreed to discuss the revised draft at its next meeting in June 2020.</w:t>
      </w:r>
    </w:p>
    <w:bookmarkEnd w:id="29"/>
    <w:p w14:paraId="1156EBDE" w14:textId="63F657D2" w:rsidR="00453685" w:rsidRPr="00CD6BE2" w:rsidRDefault="00F52749" w:rsidP="00001E0A">
      <w:pPr>
        <w:pStyle w:val="H1G"/>
        <w:ind w:left="0" w:firstLine="0"/>
        <w:jc w:val="both"/>
      </w:pPr>
      <w:r>
        <w:lastRenderedPageBreak/>
        <w:tab/>
        <w:t>C.</w:t>
      </w:r>
      <w:r>
        <w:tab/>
      </w:r>
      <w:r w:rsidR="0067167C" w:rsidRPr="00C73011">
        <w:rPr>
          <w:bCs/>
          <w:szCs w:val="24"/>
          <w:lang w:val="en-US"/>
        </w:rPr>
        <w:t>Other activities for the exchange of good practices</w:t>
      </w:r>
    </w:p>
    <w:p w14:paraId="6015E007" w14:textId="039F30BA" w:rsidR="00F52749" w:rsidRDefault="009519C7" w:rsidP="00BF762A">
      <w:pPr>
        <w:pStyle w:val="SingleTxtG"/>
        <w:tabs>
          <w:tab w:val="left" w:pos="1217"/>
        </w:tabs>
      </w:pPr>
      <w:r>
        <w:t>45</w:t>
      </w:r>
      <w:r w:rsidR="00334996" w:rsidRPr="00CD6BE2">
        <w:t>.</w:t>
      </w:r>
      <w:r w:rsidR="00334996" w:rsidRPr="00CD6BE2">
        <w:tab/>
        <w:t xml:space="preserve">The Working Group </w:t>
      </w:r>
      <w:r w:rsidR="00F52749">
        <w:rPr>
          <w:lang w:val="en-US"/>
        </w:rPr>
        <w:t>n</w:t>
      </w:r>
      <w:r w:rsidR="00F52749" w:rsidRPr="00F52749">
        <w:rPr>
          <w:lang w:val="en-US"/>
        </w:rPr>
        <w:t xml:space="preserve">oted the information from the secretariat on the activities under the </w:t>
      </w:r>
      <w:r w:rsidR="00EF68B0">
        <w:rPr>
          <w:lang w:val="en-US"/>
        </w:rPr>
        <w:t xml:space="preserve">Convention on the Transboundary Effects of </w:t>
      </w:r>
      <w:r w:rsidR="00F52749" w:rsidRPr="00F52749">
        <w:rPr>
          <w:lang w:val="en-US"/>
        </w:rPr>
        <w:t xml:space="preserve">Industrial Accidents </w:t>
      </w:r>
      <w:r w:rsidR="00EF68B0">
        <w:rPr>
          <w:lang w:val="en-US"/>
        </w:rPr>
        <w:t>(</w:t>
      </w:r>
      <w:r w:rsidR="00EF68B0" w:rsidRPr="00EF68B0">
        <w:rPr>
          <w:lang w:val="en-US"/>
        </w:rPr>
        <w:t xml:space="preserve">Industrial Accidents </w:t>
      </w:r>
      <w:r w:rsidR="00F52749" w:rsidRPr="00F52749">
        <w:rPr>
          <w:lang w:val="en-US"/>
        </w:rPr>
        <w:t>Convention</w:t>
      </w:r>
      <w:r w:rsidR="00EF68B0">
        <w:rPr>
          <w:lang w:val="en-US"/>
        </w:rPr>
        <w:t>)</w:t>
      </w:r>
      <w:r w:rsidR="00F52749" w:rsidRPr="00F52749">
        <w:rPr>
          <w:lang w:val="en-US"/>
        </w:rPr>
        <w:t xml:space="preserve"> that promoted the application of the joint </w:t>
      </w:r>
      <w:r w:rsidR="00F52749" w:rsidRPr="001723BB">
        <w:rPr>
          <w:lang w:val="en-US"/>
        </w:rPr>
        <w:t>Guidance on Land-use Planning, the Siting of Hazardous Activities and related Safety Aspects</w:t>
      </w:r>
      <w:r w:rsidR="00F52749" w:rsidRPr="00F52749">
        <w:rPr>
          <w:lang w:val="en-US"/>
        </w:rPr>
        <w:t xml:space="preserve"> </w:t>
      </w:r>
      <w:r w:rsidR="00EF68B0">
        <w:rPr>
          <w:lang w:val="en-US"/>
        </w:rPr>
        <w:t>endorsed by</w:t>
      </w:r>
      <w:r w:rsidR="00EF68B0" w:rsidRPr="00F52749">
        <w:rPr>
          <w:lang w:val="en-US"/>
        </w:rPr>
        <w:t xml:space="preserve"> </w:t>
      </w:r>
      <w:r w:rsidR="00F52749" w:rsidRPr="00F52749">
        <w:rPr>
          <w:lang w:val="en-US"/>
        </w:rPr>
        <w:t>the M</w:t>
      </w:r>
      <w:r w:rsidR="00001E0A">
        <w:rPr>
          <w:lang w:val="en-US"/>
        </w:rPr>
        <w:t>eetings of the Parties</w:t>
      </w:r>
      <w:r w:rsidR="00F52749" w:rsidRPr="00F52749">
        <w:rPr>
          <w:lang w:val="en-US"/>
        </w:rPr>
        <w:t xml:space="preserve"> in 2017</w:t>
      </w:r>
      <w:r w:rsidR="00BF762A" w:rsidRPr="00BF762A">
        <w:t xml:space="preserve"> </w:t>
      </w:r>
      <w:r w:rsidR="00BF762A">
        <w:t>(</w:t>
      </w:r>
      <w:r w:rsidR="00BF762A" w:rsidRPr="00BF762A">
        <w:rPr>
          <w:lang w:val="en-US"/>
        </w:rPr>
        <w:t>ECE/MP.EIA/23</w:t>
      </w:r>
      <w:r w:rsidR="00BF762A">
        <w:rPr>
          <w:lang w:val="en-US"/>
        </w:rPr>
        <w:t>–</w:t>
      </w:r>
      <w:r w:rsidR="00BF762A" w:rsidRPr="00BF762A">
        <w:rPr>
          <w:lang w:val="en-US"/>
        </w:rPr>
        <w:t>ECE/MP.EIA/SEA/7</w:t>
      </w:r>
      <w:r w:rsidR="00BF762A">
        <w:rPr>
          <w:lang w:val="en-US"/>
        </w:rPr>
        <w:t>, para. 65 (c))</w:t>
      </w:r>
      <w:r w:rsidR="00F52749" w:rsidRPr="00F52749">
        <w:rPr>
          <w:lang w:val="en-US"/>
        </w:rPr>
        <w:t>.</w:t>
      </w:r>
      <w:r w:rsidR="00F4067A" w:rsidRPr="00F4067A">
        <w:t xml:space="preserve"> </w:t>
      </w:r>
      <w:r w:rsidR="00F4067A" w:rsidRPr="00F4067A">
        <w:rPr>
          <w:lang w:val="en-US"/>
        </w:rPr>
        <w:t>Th</w:t>
      </w:r>
      <w:r w:rsidR="00712918">
        <w:rPr>
          <w:lang w:val="en-US"/>
        </w:rPr>
        <w:t>e</w:t>
      </w:r>
      <w:r w:rsidR="00BF762A">
        <w:rPr>
          <w:lang w:val="en-US"/>
        </w:rPr>
        <w:t xml:space="preserve"> activi</w:t>
      </w:r>
      <w:r w:rsidR="00441182">
        <w:rPr>
          <w:lang w:val="en-US"/>
        </w:rPr>
        <w:t>ti</w:t>
      </w:r>
      <w:r w:rsidR="00BF762A">
        <w:rPr>
          <w:lang w:val="en-US"/>
        </w:rPr>
        <w:t>es</w:t>
      </w:r>
      <w:r w:rsidR="00712918">
        <w:rPr>
          <w:lang w:val="en-US"/>
        </w:rPr>
        <w:t xml:space="preserve"> included </w:t>
      </w:r>
      <w:r w:rsidR="00F4067A">
        <w:rPr>
          <w:lang w:val="en-US"/>
        </w:rPr>
        <w:t xml:space="preserve">a </w:t>
      </w:r>
      <w:proofErr w:type="spellStart"/>
      <w:r w:rsidR="00F4067A">
        <w:rPr>
          <w:lang w:val="en-US"/>
        </w:rPr>
        <w:t>s</w:t>
      </w:r>
      <w:r w:rsidR="00F4067A" w:rsidRPr="00F4067A">
        <w:rPr>
          <w:lang w:val="en-US"/>
        </w:rPr>
        <w:t>ub</w:t>
      </w:r>
      <w:r w:rsidR="00F4067A">
        <w:rPr>
          <w:lang w:val="en-US"/>
        </w:rPr>
        <w:t>r</w:t>
      </w:r>
      <w:r w:rsidR="00F4067A" w:rsidRPr="00F4067A">
        <w:rPr>
          <w:lang w:val="en-US"/>
        </w:rPr>
        <w:t>egional</w:t>
      </w:r>
      <w:proofErr w:type="spellEnd"/>
      <w:r w:rsidR="00F4067A" w:rsidRPr="00F4067A">
        <w:rPr>
          <w:lang w:val="en-US"/>
        </w:rPr>
        <w:t xml:space="preserve"> </w:t>
      </w:r>
      <w:r w:rsidR="00F4067A">
        <w:rPr>
          <w:lang w:val="en-US"/>
        </w:rPr>
        <w:t>w</w:t>
      </w:r>
      <w:r w:rsidR="00F4067A" w:rsidRPr="00F4067A">
        <w:rPr>
          <w:lang w:val="en-US"/>
        </w:rPr>
        <w:t>orkshop on land-use planning and industrial safety for Eastern Europe and the Caucasus</w:t>
      </w:r>
      <w:r w:rsidR="00F4067A" w:rsidRPr="00F4067A">
        <w:rPr>
          <w:cs/>
          <w:lang w:val="en-US"/>
        </w:rPr>
        <w:t>‎</w:t>
      </w:r>
      <w:r w:rsidR="00F4067A" w:rsidRPr="00F4067A">
        <w:rPr>
          <w:lang w:val="en-US"/>
        </w:rPr>
        <w:t xml:space="preserve"> </w:t>
      </w:r>
      <w:r w:rsidR="00F4067A">
        <w:rPr>
          <w:lang w:val="en-US"/>
        </w:rPr>
        <w:t xml:space="preserve">(Chisinau, </w:t>
      </w:r>
      <w:r w:rsidR="00F4067A" w:rsidRPr="00F4067A">
        <w:rPr>
          <w:lang w:val="en-US"/>
        </w:rPr>
        <w:t>22</w:t>
      </w:r>
      <w:r w:rsidR="00712918">
        <w:rPr>
          <w:lang w:val="en-US"/>
        </w:rPr>
        <w:t>–</w:t>
      </w:r>
      <w:r w:rsidR="00F4067A" w:rsidRPr="00F4067A">
        <w:rPr>
          <w:lang w:val="en-US"/>
        </w:rPr>
        <w:t xml:space="preserve"> 24 May 2019</w:t>
      </w:r>
      <w:r w:rsidR="00F4067A">
        <w:rPr>
          <w:lang w:val="en-US"/>
        </w:rPr>
        <w:t>)</w:t>
      </w:r>
      <w:r w:rsidR="00F4067A">
        <w:t xml:space="preserve">, </w:t>
      </w:r>
      <w:r w:rsidR="006800BD">
        <w:t>which</w:t>
      </w:r>
      <w:r w:rsidR="00F4067A">
        <w:t xml:space="preserve"> would be followed by another </w:t>
      </w:r>
      <w:proofErr w:type="spellStart"/>
      <w:r w:rsidR="00F4067A" w:rsidRPr="00F4067A">
        <w:rPr>
          <w:lang w:val="en-US"/>
        </w:rPr>
        <w:t>subregional</w:t>
      </w:r>
      <w:proofErr w:type="spellEnd"/>
      <w:r w:rsidR="00F4067A" w:rsidRPr="00F4067A">
        <w:rPr>
          <w:lang w:val="en-US"/>
        </w:rPr>
        <w:t xml:space="preserve"> workshop for S</w:t>
      </w:r>
      <w:r w:rsidR="00F4067A">
        <w:rPr>
          <w:lang w:val="en-US"/>
        </w:rPr>
        <w:t>outh-Eastern Europe</w:t>
      </w:r>
      <w:r w:rsidR="00871B75">
        <w:rPr>
          <w:lang w:val="en-US"/>
        </w:rPr>
        <w:t>,</w:t>
      </w:r>
      <w:r w:rsidR="00F4067A">
        <w:rPr>
          <w:lang w:val="en-US"/>
        </w:rPr>
        <w:t xml:space="preserve"> </w:t>
      </w:r>
      <w:r w:rsidR="00871B75">
        <w:rPr>
          <w:lang w:val="en-US"/>
        </w:rPr>
        <w:t xml:space="preserve">preliminarily scheduled to be held in </w:t>
      </w:r>
      <w:r w:rsidR="00712918">
        <w:rPr>
          <w:lang w:val="en-US"/>
        </w:rPr>
        <w:t>Be</w:t>
      </w:r>
      <w:r w:rsidR="00F4067A">
        <w:rPr>
          <w:lang w:val="en-US"/>
        </w:rPr>
        <w:t>lgrade</w:t>
      </w:r>
      <w:r w:rsidR="00712918">
        <w:rPr>
          <w:lang w:val="en-US"/>
        </w:rPr>
        <w:t xml:space="preserve">, </w:t>
      </w:r>
      <w:r w:rsidR="00871B75">
        <w:rPr>
          <w:lang w:val="en-US"/>
        </w:rPr>
        <w:t xml:space="preserve">from </w:t>
      </w:r>
      <w:r w:rsidR="00712918">
        <w:rPr>
          <w:lang w:val="en-US"/>
        </w:rPr>
        <w:t>1</w:t>
      </w:r>
      <w:r w:rsidR="00F4067A" w:rsidRPr="00F4067A">
        <w:rPr>
          <w:lang w:val="en-US"/>
        </w:rPr>
        <w:t>8</w:t>
      </w:r>
      <w:r w:rsidR="00871B75">
        <w:rPr>
          <w:lang w:val="en-US"/>
        </w:rPr>
        <w:t xml:space="preserve"> to </w:t>
      </w:r>
      <w:r w:rsidR="00F4067A" w:rsidRPr="00F4067A">
        <w:rPr>
          <w:lang w:val="en-US"/>
        </w:rPr>
        <w:t>20 March 2020.</w:t>
      </w:r>
      <w:r w:rsidR="00F4067A" w:rsidRPr="00F4067A">
        <w:t xml:space="preserve"> </w:t>
      </w:r>
      <w:r w:rsidR="00F4067A">
        <w:t xml:space="preserve">The Industrial Accidents Convention also planned to </w:t>
      </w:r>
      <w:r w:rsidR="00F4067A" w:rsidRPr="00F4067A">
        <w:rPr>
          <w:lang w:val="en-US"/>
        </w:rPr>
        <w:t>develop an information repository on</w:t>
      </w:r>
      <w:r w:rsidR="00F4067A">
        <w:rPr>
          <w:lang w:val="en-US"/>
        </w:rPr>
        <w:t xml:space="preserve"> land-use planning</w:t>
      </w:r>
      <w:r w:rsidR="00F4067A" w:rsidRPr="00F4067A">
        <w:rPr>
          <w:lang w:val="en-US"/>
        </w:rPr>
        <w:t xml:space="preserve"> and </w:t>
      </w:r>
      <w:r w:rsidR="00F4067A">
        <w:rPr>
          <w:lang w:val="en-US"/>
        </w:rPr>
        <w:t>i</w:t>
      </w:r>
      <w:r w:rsidR="00F4067A" w:rsidRPr="00F4067A">
        <w:rPr>
          <w:lang w:val="en-US"/>
        </w:rPr>
        <w:t xml:space="preserve">ndustrial </w:t>
      </w:r>
      <w:r w:rsidR="00F4067A">
        <w:rPr>
          <w:lang w:val="en-US"/>
        </w:rPr>
        <w:t>s</w:t>
      </w:r>
      <w:r w:rsidR="00F4067A" w:rsidRPr="00F4067A">
        <w:rPr>
          <w:lang w:val="en-US"/>
        </w:rPr>
        <w:t xml:space="preserve">afety in the course of </w:t>
      </w:r>
      <w:r w:rsidR="00F4067A">
        <w:rPr>
          <w:lang w:val="en-US"/>
        </w:rPr>
        <w:t xml:space="preserve">2020, with funding from the European Investment Bank. The Working Group invited the secretariat to circulate </w:t>
      </w:r>
      <w:r w:rsidR="00712918">
        <w:rPr>
          <w:lang w:val="en-US"/>
        </w:rPr>
        <w:t xml:space="preserve">any future </w:t>
      </w:r>
      <w:r w:rsidR="00F4067A">
        <w:rPr>
          <w:lang w:val="en-US"/>
        </w:rPr>
        <w:t xml:space="preserve">information on the forthcoming events to the national focal points </w:t>
      </w:r>
      <w:r w:rsidR="006800BD">
        <w:rPr>
          <w:lang w:val="en-US"/>
        </w:rPr>
        <w:t xml:space="preserve">for </w:t>
      </w:r>
      <w:r w:rsidR="00F4067A">
        <w:rPr>
          <w:lang w:val="en-US"/>
        </w:rPr>
        <w:t xml:space="preserve">the Convention and its Protocol. </w:t>
      </w:r>
    </w:p>
    <w:p w14:paraId="2B7F1B0E" w14:textId="46E60135" w:rsidR="00F52749" w:rsidRDefault="00D855B7" w:rsidP="00F52749">
      <w:pPr>
        <w:pStyle w:val="SingleTxtG"/>
        <w:tabs>
          <w:tab w:val="left" w:pos="1217"/>
        </w:tabs>
      </w:pPr>
      <w:r>
        <w:t>46</w:t>
      </w:r>
      <w:r w:rsidR="00334996" w:rsidRPr="00CD6BE2">
        <w:t>.</w:t>
      </w:r>
      <w:r w:rsidR="00334996" w:rsidRPr="00CD6BE2">
        <w:tab/>
      </w:r>
      <w:r w:rsidR="001C7420">
        <w:t>N</w:t>
      </w:r>
      <w:r w:rsidR="00001E0A">
        <w:t>o delegation</w:t>
      </w:r>
      <w:r w:rsidR="001C7420">
        <w:t xml:space="preserve"> </w:t>
      </w:r>
      <w:r w:rsidR="00001E0A">
        <w:t>provided f</w:t>
      </w:r>
      <w:r w:rsidR="00F52749" w:rsidRPr="00F52749">
        <w:t>eedback on the</w:t>
      </w:r>
      <w:r>
        <w:t xml:space="preserve"> usefulness of the </w:t>
      </w:r>
      <w:r w:rsidR="00F52749" w:rsidRPr="00F52749">
        <w:t xml:space="preserve">Good Practice Recommendations on the Application of the Convention to Nuclear Energy-related Activities, adopted in 2017 </w:t>
      </w:r>
      <w:r>
        <w:t>and subsequently</w:t>
      </w:r>
      <w:r w:rsidR="001C7420">
        <w:t xml:space="preserve"> </w:t>
      </w:r>
      <w:r w:rsidR="003A5DB8">
        <w:t xml:space="preserve">issued </w:t>
      </w:r>
      <w:r w:rsidR="00F52749" w:rsidRPr="00F52749">
        <w:t>as a publication</w:t>
      </w:r>
      <w:r w:rsidR="003A5DB8">
        <w:t>.</w:t>
      </w:r>
      <w:r w:rsidR="003A5DB8">
        <w:rPr>
          <w:rStyle w:val="FootnoteReference"/>
        </w:rPr>
        <w:footnoteReference w:id="11"/>
      </w:r>
      <w:r w:rsidR="00001E0A">
        <w:t xml:space="preserve"> </w:t>
      </w:r>
      <w:r w:rsidR="003A5DB8">
        <w:t xml:space="preserve">The </w:t>
      </w:r>
      <w:r w:rsidR="00001E0A" w:rsidRPr="00001E0A">
        <w:t>delegation</w:t>
      </w:r>
      <w:r w:rsidR="003A5DB8">
        <w:t xml:space="preserve"> of the European Union</w:t>
      </w:r>
      <w:r w:rsidR="00001E0A" w:rsidRPr="00001E0A">
        <w:t xml:space="preserve"> </w:t>
      </w:r>
      <w:r w:rsidR="001C7420">
        <w:t>pointed out</w:t>
      </w:r>
      <w:r w:rsidR="00001E0A" w:rsidRPr="00001E0A">
        <w:t xml:space="preserve"> that </w:t>
      </w:r>
      <w:r w:rsidR="00001E0A">
        <w:t xml:space="preserve">the </w:t>
      </w:r>
      <w:r w:rsidR="00001E0A" w:rsidRPr="00001E0A">
        <w:t xml:space="preserve">document was being used in </w:t>
      </w:r>
      <w:r w:rsidR="003A5DB8">
        <w:t xml:space="preserve">the </w:t>
      </w:r>
      <w:r w:rsidR="00001E0A" w:rsidRPr="00001E0A">
        <w:t xml:space="preserve">work of </w:t>
      </w:r>
      <w:r w:rsidR="001C7420">
        <w:t xml:space="preserve">the </w:t>
      </w:r>
      <w:r w:rsidR="00001E0A" w:rsidRPr="00001E0A">
        <w:t xml:space="preserve">ad hoc working group on </w:t>
      </w:r>
      <w:r w:rsidR="00001E0A">
        <w:t>lifetime extension of nuclear power plants.</w:t>
      </w:r>
    </w:p>
    <w:p w14:paraId="521358BF" w14:textId="3EBDA318" w:rsidR="001228E0" w:rsidRDefault="001228E0" w:rsidP="001228E0">
      <w:pPr>
        <w:pStyle w:val="H1G"/>
        <w:jc w:val="both"/>
      </w:pPr>
      <w:r>
        <w:tab/>
        <w:t>D.</w:t>
      </w:r>
      <w:r>
        <w:tab/>
      </w:r>
      <w:r w:rsidRPr="001228E0">
        <w:t>Practices in States from other regions</w:t>
      </w:r>
    </w:p>
    <w:p w14:paraId="1D827A4F" w14:textId="49728D97" w:rsidR="00F52749" w:rsidRDefault="001360E3" w:rsidP="00F52749">
      <w:pPr>
        <w:pStyle w:val="SingleTxtG"/>
        <w:tabs>
          <w:tab w:val="left" w:pos="1217"/>
        </w:tabs>
      </w:pPr>
      <w:r w:rsidRPr="00C47557">
        <w:t>47</w:t>
      </w:r>
      <w:r w:rsidR="00AB3169" w:rsidRPr="00C47557">
        <w:t>.</w:t>
      </w:r>
      <w:r w:rsidR="00AB3169" w:rsidRPr="00C47557">
        <w:tab/>
        <w:t xml:space="preserve">The Working Group </w:t>
      </w:r>
      <w:r w:rsidR="00F52749" w:rsidRPr="00C47557">
        <w:t xml:space="preserve">noted the information from a representative of Chile on the overview of the </w:t>
      </w:r>
      <w:bookmarkStart w:id="30" w:name="_Hlk27769131"/>
      <w:r w:rsidRPr="00C47557">
        <w:t xml:space="preserve">environmental impact assessment </w:t>
      </w:r>
      <w:bookmarkEnd w:id="30"/>
      <w:r w:rsidR="00F52749" w:rsidRPr="00C47557">
        <w:t xml:space="preserve">and </w:t>
      </w:r>
      <w:r w:rsidRPr="00C47557">
        <w:t xml:space="preserve">strategic environmental assessment </w:t>
      </w:r>
      <w:r w:rsidR="00F52749" w:rsidRPr="00C47557">
        <w:t xml:space="preserve">frameworks and practice in his country. It also noted the </w:t>
      </w:r>
      <w:r w:rsidR="00C47557" w:rsidRPr="00C47557">
        <w:t xml:space="preserve">presentation </w:t>
      </w:r>
      <w:r w:rsidR="00F52749" w:rsidRPr="00C47557">
        <w:t xml:space="preserve">by </w:t>
      </w:r>
      <w:r w:rsidRPr="00C47557">
        <w:t xml:space="preserve">a </w:t>
      </w:r>
      <w:r w:rsidR="00E831D5" w:rsidRPr="00C47557">
        <w:t>representative of the National University of Singapore</w:t>
      </w:r>
      <w:r w:rsidR="00F52749" w:rsidRPr="00C47557">
        <w:t xml:space="preserve"> o</w:t>
      </w:r>
      <w:r w:rsidR="00C47557" w:rsidRPr="00C47557">
        <w:t>f</w:t>
      </w:r>
      <w:r w:rsidR="00F52749" w:rsidRPr="00C47557">
        <w:t xml:space="preserve"> </w:t>
      </w:r>
      <w:r w:rsidRPr="00C47557">
        <w:t>her</w:t>
      </w:r>
      <w:r w:rsidR="00F52749" w:rsidRPr="00C47557">
        <w:t xml:space="preserve"> country’s and region’s </w:t>
      </w:r>
      <w:r w:rsidRPr="00C47557">
        <w:t xml:space="preserve">environmental impact assessment </w:t>
      </w:r>
      <w:r w:rsidR="00F52749" w:rsidRPr="00C47557">
        <w:t xml:space="preserve">and </w:t>
      </w:r>
      <w:r w:rsidRPr="00C47557">
        <w:t xml:space="preserve">strategic environmental assessment </w:t>
      </w:r>
      <w:r w:rsidR="00F52749" w:rsidRPr="00C47557">
        <w:t>frameworks and practice.</w:t>
      </w:r>
      <w:r w:rsidR="00F52749" w:rsidRPr="00F52749">
        <w:t xml:space="preserve"> </w:t>
      </w:r>
    </w:p>
    <w:p w14:paraId="70F04F0B" w14:textId="5AFF2FD4" w:rsidR="00413482" w:rsidRPr="00CD6BE2" w:rsidRDefault="0068518D" w:rsidP="00BB656C">
      <w:pPr>
        <w:pStyle w:val="HChG"/>
        <w:jc w:val="both"/>
      </w:pPr>
      <w:r w:rsidRPr="00CD6BE2">
        <w:tab/>
      </w:r>
      <w:r w:rsidR="001228E0">
        <w:t>VIII</w:t>
      </w:r>
      <w:r w:rsidRPr="00CD6BE2">
        <w:t>.</w:t>
      </w:r>
      <w:r w:rsidRPr="00CD6BE2">
        <w:tab/>
        <w:t>Pre</w:t>
      </w:r>
      <w:r w:rsidR="000D3CF0" w:rsidRPr="00CD6BE2">
        <w:t>para</w:t>
      </w:r>
      <w:r w:rsidRPr="00CD6BE2">
        <w:t>tions for the next sessions of the Meetings of the Parties</w:t>
      </w:r>
    </w:p>
    <w:p w14:paraId="24328F6E" w14:textId="0C9BC27F" w:rsidR="0068518D" w:rsidRPr="00CD6BE2" w:rsidRDefault="0068518D" w:rsidP="00BB656C">
      <w:pPr>
        <w:pStyle w:val="H1G"/>
        <w:jc w:val="both"/>
      </w:pPr>
      <w:r w:rsidRPr="00CD6BE2">
        <w:tab/>
        <w:t>A.</w:t>
      </w:r>
      <w:r w:rsidRPr="00CD6BE2">
        <w:tab/>
      </w:r>
      <w:r w:rsidR="001228E0" w:rsidRPr="00583346">
        <w:t>Lessons learned</w:t>
      </w:r>
      <w:r w:rsidR="001228E0">
        <w:t xml:space="preserve"> from the previous sessions</w:t>
      </w:r>
    </w:p>
    <w:p w14:paraId="3E793D90" w14:textId="00C922B4" w:rsidR="001228E0" w:rsidRDefault="00E831D5" w:rsidP="001228E0">
      <w:pPr>
        <w:spacing w:after="120"/>
        <w:ind w:left="1134" w:right="1134"/>
        <w:jc w:val="both"/>
      </w:pPr>
      <w:r>
        <w:t>48</w:t>
      </w:r>
      <w:r w:rsidR="00741370" w:rsidRPr="00567D53">
        <w:t>.</w:t>
      </w:r>
      <w:r w:rsidR="00741370" w:rsidRPr="00567D53">
        <w:tab/>
      </w:r>
      <w:r w:rsidR="001228E0" w:rsidRPr="00583346">
        <w:t xml:space="preserve">The </w:t>
      </w:r>
      <w:r w:rsidR="001228E0">
        <w:t xml:space="preserve">Chair and the Chair of the </w:t>
      </w:r>
      <w:r w:rsidR="001228E0" w:rsidRPr="00583346">
        <w:t xml:space="preserve">Bureau </w:t>
      </w:r>
      <w:r w:rsidR="001228E0">
        <w:t>informed the Working Group o</w:t>
      </w:r>
      <w:r w:rsidR="00C82271">
        <w:t>f</w:t>
      </w:r>
      <w:r w:rsidR="001228E0">
        <w:t xml:space="preserve"> the outcomes of the Bureau’s stocktaking of the </w:t>
      </w:r>
      <w:r w:rsidR="001228E0" w:rsidRPr="00583346">
        <w:t>intermediary sessions of the Meetings of the Parties</w:t>
      </w:r>
      <w:r w:rsidR="001228E0">
        <w:t xml:space="preserve"> in February 2019, including its views on lessons to be learned and recommendations for the future.</w:t>
      </w:r>
      <w:r w:rsidR="004E5236">
        <w:rPr>
          <w:rStyle w:val="FootnoteReference"/>
        </w:rPr>
        <w:footnoteReference w:id="12"/>
      </w:r>
      <w:r w:rsidR="001228E0">
        <w:t xml:space="preserve"> </w:t>
      </w:r>
    </w:p>
    <w:p w14:paraId="50F8E08B" w14:textId="4114D879" w:rsidR="00B955D4" w:rsidRPr="00583346" w:rsidRDefault="00E831D5" w:rsidP="00AC49F9">
      <w:pPr>
        <w:spacing w:after="120"/>
        <w:ind w:left="1134" w:right="1134"/>
        <w:jc w:val="both"/>
      </w:pPr>
      <w:bookmarkStart w:id="31" w:name="_Hlk25243918"/>
      <w:r>
        <w:t>49</w:t>
      </w:r>
      <w:r w:rsidR="00B955D4">
        <w:t>.</w:t>
      </w:r>
      <w:r w:rsidR="00B955D4">
        <w:tab/>
      </w:r>
      <w:r w:rsidR="002F627B">
        <w:t>The Working Group n</w:t>
      </w:r>
      <w:r w:rsidR="002F627B" w:rsidRPr="002F627B">
        <w:t xml:space="preserve">oted </w:t>
      </w:r>
      <w:r>
        <w:t xml:space="preserve">the </w:t>
      </w:r>
      <w:r w:rsidR="002F627B" w:rsidRPr="002F627B">
        <w:t xml:space="preserve">Bureau’s recommendations on lessons learned from </w:t>
      </w:r>
      <w:r w:rsidR="00EA0BA3">
        <w:t xml:space="preserve">the </w:t>
      </w:r>
      <w:r w:rsidR="007B1AB1">
        <w:t>previous sessions of the Meetings of the Parties</w:t>
      </w:r>
      <w:r w:rsidR="002F627B" w:rsidRPr="002F627B">
        <w:t xml:space="preserve">, agreeing on </w:t>
      </w:r>
      <w:r>
        <w:t xml:space="preserve">the </w:t>
      </w:r>
      <w:r w:rsidR="002F627B" w:rsidRPr="002F627B">
        <w:t xml:space="preserve">importance </w:t>
      </w:r>
      <w:r w:rsidR="004E5236" w:rsidRPr="002F627B">
        <w:t>of</w:t>
      </w:r>
      <w:r>
        <w:t xml:space="preserve"> </w:t>
      </w:r>
      <w:r w:rsidR="002F627B" w:rsidRPr="002F627B">
        <w:t>constructive dialogue</w:t>
      </w:r>
      <w:r w:rsidR="0012017A">
        <w:t xml:space="preserve"> and cooperation</w:t>
      </w:r>
      <w:r w:rsidR="00F26B27">
        <w:t xml:space="preserve">. It also agreed that </w:t>
      </w:r>
      <w:r w:rsidR="00477563">
        <w:t xml:space="preserve">proposals for </w:t>
      </w:r>
      <w:r w:rsidR="00F26B27">
        <w:t>amendment</w:t>
      </w:r>
      <w:r w:rsidR="00477563">
        <w:t>s</w:t>
      </w:r>
      <w:r w:rsidR="00F26B27" w:rsidRPr="002F627B">
        <w:t xml:space="preserve"> </w:t>
      </w:r>
      <w:r w:rsidR="00F26B27">
        <w:t xml:space="preserve">to official meeting documentation should be communicated as early as possible prior to the sessions to </w:t>
      </w:r>
      <w:r w:rsidR="00094AB1">
        <w:t xml:space="preserve">help </w:t>
      </w:r>
      <w:r w:rsidR="00F26B27">
        <w:t xml:space="preserve">Parties to prepare and coordinate their </w:t>
      </w:r>
      <w:r w:rsidR="00027243">
        <w:t xml:space="preserve">corresponding </w:t>
      </w:r>
      <w:r w:rsidR="00F26B27">
        <w:t>views in advance</w:t>
      </w:r>
      <w:r w:rsidR="007B1AB1">
        <w:t>.</w:t>
      </w:r>
      <w:r w:rsidR="00142EFB">
        <w:t xml:space="preserve"> </w:t>
      </w:r>
      <w:r w:rsidR="0012017A">
        <w:t xml:space="preserve">The </w:t>
      </w:r>
      <w:r w:rsidR="00AC49F9">
        <w:t xml:space="preserve">same conclusions were to </w:t>
      </w:r>
      <w:r w:rsidR="00AA2ACE">
        <w:t>appl</w:t>
      </w:r>
      <w:r w:rsidR="00AC49F9">
        <w:t>y</w:t>
      </w:r>
      <w:r w:rsidR="00AA2ACE">
        <w:t xml:space="preserve"> also to the </w:t>
      </w:r>
      <w:r w:rsidR="0012017A">
        <w:t xml:space="preserve">meetings of the Working Group </w:t>
      </w:r>
      <w:r w:rsidR="00AC49F9">
        <w:t xml:space="preserve">with a view to </w:t>
      </w:r>
      <w:r w:rsidR="00AC49F9">
        <w:lastRenderedPageBreak/>
        <w:t xml:space="preserve">ensuring efficient </w:t>
      </w:r>
      <w:r w:rsidR="00AA2ACE">
        <w:t xml:space="preserve">preparations of the Meetings of the Parties’ sessions and </w:t>
      </w:r>
      <w:r w:rsidR="00AC49F9">
        <w:t xml:space="preserve">to facilitating </w:t>
      </w:r>
      <w:r w:rsidR="00AA2ACE">
        <w:t xml:space="preserve">consensus on outstanding issues. </w:t>
      </w:r>
    </w:p>
    <w:bookmarkEnd w:id="31"/>
    <w:p w14:paraId="0E35FF3D" w14:textId="6D4A969A" w:rsidR="00B955D4" w:rsidRPr="00CD6BE2" w:rsidRDefault="00B955D4" w:rsidP="00B955D4">
      <w:pPr>
        <w:pStyle w:val="H1G"/>
        <w:jc w:val="both"/>
      </w:pPr>
      <w:r w:rsidRPr="00CD6BE2">
        <w:tab/>
      </w:r>
      <w:r>
        <w:t>B</w:t>
      </w:r>
      <w:r w:rsidRPr="00CD6BE2">
        <w:t>.</w:t>
      </w:r>
      <w:r w:rsidRPr="00CD6BE2">
        <w:tab/>
      </w:r>
      <w:r w:rsidRPr="00583346">
        <w:t>Practical arrangements</w:t>
      </w:r>
    </w:p>
    <w:p w14:paraId="6C0C572C" w14:textId="333F2DE3" w:rsidR="007B1AB1" w:rsidRDefault="00E831D5" w:rsidP="00B955D4">
      <w:pPr>
        <w:spacing w:after="120"/>
        <w:ind w:left="1134" w:right="1134"/>
        <w:jc w:val="both"/>
      </w:pPr>
      <w:r>
        <w:t>50</w:t>
      </w:r>
      <w:r w:rsidR="00B955D4">
        <w:t>.</w:t>
      </w:r>
      <w:r w:rsidR="00B955D4">
        <w:tab/>
      </w:r>
      <w:r w:rsidR="007B1AB1">
        <w:t>The Working Group t</w:t>
      </w:r>
      <w:r w:rsidR="007B1AB1" w:rsidRPr="007B1AB1">
        <w:t xml:space="preserve">hanked Lithuania for offering to host </w:t>
      </w:r>
      <w:r w:rsidR="00EA0BA3">
        <w:t xml:space="preserve">the </w:t>
      </w:r>
      <w:r w:rsidR="00A71149" w:rsidRPr="00A71149">
        <w:t xml:space="preserve">eighth session of the Meeting of the Parties to the Convention and the fourth session of the Meeting of the Parties to the Protocol </w:t>
      </w:r>
      <w:r w:rsidR="007B1AB1" w:rsidRPr="007B1AB1">
        <w:t>in Vilnius</w:t>
      </w:r>
      <w:r w:rsidR="006578B1">
        <w:t>,</w:t>
      </w:r>
      <w:r w:rsidR="007B1AB1" w:rsidRPr="007B1AB1">
        <w:t xml:space="preserve"> </w:t>
      </w:r>
      <w:r w:rsidR="00EA0BA3">
        <w:t xml:space="preserve">from </w:t>
      </w:r>
      <w:r w:rsidR="007B1AB1" w:rsidRPr="007B1AB1">
        <w:t>8</w:t>
      </w:r>
      <w:r w:rsidR="00EA0BA3">
        <w:t xml:space="preserve"> to </w:t>
      </w:r>
      <w:r w:rsidR="007B1AB1" w:rsidRPr="007B1AB1">
        <w:t>11 December 2020</w:t>
      </w:r>
      <w:r w:rsidR="007B1AB1">
        <w:t>.</w:t>
      </w:r>
      <w:r w:rsidR="002C2872">
        <w:t xml:space="preserve"> </w:t>
      </w:r>
      <w:r w:rsidR="00A71149">
        <w:t>The secretariat informed the Working Group that, a</w:t>
      </w:r>
      <w:r w:rsidR="002C2872">
        <w:t>s</w:t>
      </w:r>
      <w:r w:rsidR="00A71149">
        <w:t xml:space="preserve"> </w:t>
      </w:r>
      <w:r w:rsidR="00CC6593">
        <w:t xml:space="preserve">a </w:t>
      </w:r>
      <w:r w:rsidR="002C2872">
        <w:t xml:space="preserve">next step, a detailed host country agreement between Lithuania and ECE would be completed.  </w:t>
      </w:r>
    </w:p>
    <w:p w14:paraId="5661C729" w14:textId="35622947" w:rsidR="00B955D4" w:rsidRDefault="00E831D5" w:rsidP="00B955D4">
      <w:pPr>
        <w:spacing w:after="120"/>
        <w:ind w:left="1134" w:right="1134"/>
        <w:jc w:val="both"/>
      </w:pPr>
      <w:r>
        <w:t>51</w:t>
      </w:r>
      <w:r w:rsidR="007B1AB1">
        <w:t>.</w:t>
      </w:r>
      <w:r w:rsidR="007B1AB1">
        <w:tab/>
      </w:r>
      <w:r w:rsidR="00B955D4" w:rsidRPr="00A1727D">
        <w:t>The secretariat</w:t>
      </w:r>
      <w:r w:rsidR="00B955D4">
        <w:t xml:space="preserve"> </w:t>
      </w:r>
      <w:r w:rsidR="00A71149">
        <w:t xml:space="preserve">also </w:t>
      </w:r>
      <w:r w:rsidR="00B955D4" w:rsidRPr="00A1727D">
        <w:t>report</w:t>
      </w:r>
      <w:r w:rsidR="00B955D4">
        <w:t>ed</w:t>
      </w:r>
      <w:r w:rsidR="00B955D4" w:rsidRPr="00A1727D">
        <w:t xml:space="preserve"> on </w:t>
      </w:r>
      <w:r w:rsidR="00B955D4">
        <w:t xml:space="preserve">the schedule </w:t>
      </w:r>
      <w:r w:rsidR="00D633E1">
        <w:t xml:space="preserve">of </w:t>
      </w:r>
      <w:r w:rsidR="00B955D4">
        <w:t xml:space="preserve">the </w:t>
      </w:r>
      <w:r w:rsidR="00A71149">
        <w:t xml:space="preserve">other </w:t>
      </w:r>
      <w:r w:rsidR="00B955D4">
        <w:t>p</w:t>
      </w:r>
      <w:r w:rsidR="00B955D4" w:rsidRPr="00A1727D">
        <w:t xml:space="preserve">reparations </w:t>
      </w:r>
      <w:r w:rsidR="00B955D4">
        <w:t xml:space="preserve">of the </w:t>
      </w:r>
      <w:r w:rsidR="0060486F">
        <w:t>upcoming</w:t>
      </w:r>
      <w:r w:rsidR="00A71149">
        <w:t xml:space="preserve"> </w:t>
      </w:r>
      <w:r w:rsidR="00B955D4">
        <w:t>session</w:t>
      </w:r>
      <w:r w:rsidR="00A71149">
        <w:t>s</w:t>
      </w:r>
      <w:r w:rsidR="00B955D4">
        <w:t xml:space="preserve"> </w:t>
      </w:r>
      <w:r w:rsidR="00B955D4" w:rsidRPr="00546522">
        <w:t>of the Meeting</w:t>
      </w:r>
      <w:r w:rsidR="00A71149">
        <w:t xml:space="preserve">s </w:t>
      </w:r>
      <w:r w:rsidR="00B955D4" w:rsidRPr="00546522">
        <w:t>of the Parties</w:t>
      </w:r>
      <w:r w:rsidR="00B955D4">
        <w:t xml:space="preserve">. </w:t>
      </w:r>
      <w:r w:rsidR="007B1AB1">
        <w:t>The Working Group s</w:t>
      </w:r>
      <w:r w:rsidR="007B1AB1" w:rsidRPr="007B1AB1">
        <w:t>upported</w:t>
      </w:r>
      <w:r w:rsidR="007B1AB1">
        <w:t xml:space="preserve"> the</w:t>
      </w:r>
      <w:r w:rsidR="007B1AB1" w:rsidRPr="007B1AB1">
        <w:t xml:space="preserve"> indicative </w:t>
      </w:r>
      <w:r w:rsidR="00103958">
        <w:t xml:space="preserve">time </w:t>
      </w:r>
      <w:r w:rsidR="007B1AB1" w:rsidRPr="007B1AB1">
        <w:t xml:space="preserve">schedule </w:t>
      </w:r>
      <w:r w:rsidR="006919A7">
        <w:t>for</w:t>
      </w:r>
      <w:r w:rsidR="007B1AB1">
        <w:t xml:space="preserve"> the </w:t>
      </w:r>
      <w:r w:rsidR="007B1AB1" w:rsidRPr="007B1AB1">
        <w:t>preparatory work</w:t>
      </w:r>
      <w:r w:rsidR="007B1AB1">
        <w:t xml:space="preserve"> for the </w:t>
      </w:r>
      <w:r w:rsidR="00EA0BA3">
        <w:t>sessions</w:t>
      </w:r>
      <w:r>
        <w:t xml:space="preserve">, as </w:t>
      </w:r>
      <w:r w:rsidR="00103958">
        <w:t xml:space="preserve">contained </w:t>
      </w:r>
      <w:r>
        <w:t>in</w:t>
      </w:r>
      <w:r w:rsidR="00EA0BA3">
        <w:t xml:space="preserve"> </w:t>
      </w:r>
      <w:r>
        <w:t>informal document</w:t>
      </w:r>
      <w:r w:rsidRPr="00E831D5">
        <w:t xml:space="preserve"> ECE/MP.EIA/WG.2/2019/INF.</w:t>
      </w:r>
      <w:r w:rsidR="00103958">
        <w:t>9</w:t>
      </w:r>
      <w:r w:rsidRPr="00E831D5">
        <w:t>.</w:t>
      </w:r>
    </w:p>
    <w:p w14:paraId="67552664" w14:textId="4B6C53DE" w:rsidR="00B955D4" w:rsidRPr="00CD6BE2" w:rsidRDefault="00B955D4" w:rsidP="00B955D4">
      <w:pPr>
        <w:pStyle w:val="H1G"/>
        <w:jc w:val="both"/>
      </w:pPr>
      <w:r w:rsidRPr="00CD6BE2">
        <w:tab/>
      </w:r>
      <w:r>
        <w:t>C</w:t>
      </w:r>
      <w:r w:rsidRPr="00CD6BE2">
        <w:t>.</w:t>
      </w:r>
      <w:r w:rsidRPr="00CD6BE2">
        <w:tab/>
      </w:r>
      <w:r w:rsidRPr="00754761">
        <w:rPr>
          <w:bCs/>
        </w:rPr>
        <w:t>Provisional programme</w:t>
      </w:r>
    </w:p>
    <w:p w14:paraId="6037FF85" w14:textId="616859B7" w:rsidR="00B955D4" w:rsidRDefault="002C2872" w:rsidP="007B1AB1">
      <w:pPr>
        <w:pStyle w:val="SingleTxtG"/>
      </w:pPr>
      <w:r>
        <w:t>52</w:t>
      </w:r>
      <w:r w:rsidR="00B955D4">
        <w:t>.</w:t>
      </w:r>
      <w:r w:rsidR="00B955D4">
        <w:tab/>
      </w:r>
      <w:r w:rsidR="00B955D4" w:rsidRPr="00A1727D">
        <w:t>The Chair present</w:t>
      </w:r>
      <w:r w:rsidR="00B955D4">
        <w:t>ed</w:t>
      </w:r>
      <w:r w:rsidR="00B955D4" w:rsidRPr="00A1727D">
        <w:t xml:space="preserve"> a Bureau proposal for the </w:t>
      </w:r>
      <w:r w:rsidR="00B955D4">
        <w:t>provisional programme for the next sessions of the Meetings of the Parties</w:t>
      </w:r>
      <w:r w:rsidR="00A71149">
        <w:t xml:space="preserve"> that reflected </w:t>
      </w:r>
      <w:r w:rsidR="00B955D4">
        <w:t>the Bureau’s views on the optimal duration of the session</w:t>
      </w:r>
      <w:r w:rsidR="00BB6E76">
        <w:t>s</w:t>
      </w:r>
      <w:r w:rsidR="00B955D4">
        <w:t xml:space="preserve">. </w:t>
      </w:r>
      <w:r w:rsidR="00B955D4" w:rsidRPr="00A1727D">
        <w:t xml:space="preserve">The Working Group </w:t>
      </w:r>
      <w:r w:rsidR="007B1AB1">
        <w:t>a</w:t>
      </w:r>
      <w:r w:rsidR="007B1AB1" w:rsidRPr="007B1AB1">
        <w:t>greed</w:t>
      </w:r>
      <w:r w:rsidR="00094AB1">
        <w:t xml:space="preserve"> </w:t>
      </w:r>
      <w:r w:rsidR="007B1AB1" w:rsidRPr="007B1AB1">
        <w:t>on</w:t>
      </w:r>
      <w:r w:rsidR="007B1AB1">
        <w:t xml:space="preserve"> the</w:t>
      </w:r>
      <w:r w:rsidR="007B1AB1" w:rsidRPr="007B1AB1">
        <w:t xml:space="preserve"> draft programme</w:t>
      </w:r>
      <w:r w:rsidR="00BB6E76">
        <w:t>, as presented in informal document</w:t>
      </w:r>
      <w:r w:rsidR="007B1AB1">
        <w:t xml:space="preserve"> </w:t>
      </w:r>
      <w:bookmarkStart w:id="32" w:name="_Hlk29290480"/>
      <w:r w:rsidR="00BB6E76" w:rsidRPr="00BB6E76">
        <w:t>ECE/MP.EIA/WG.2/2019/INF.</w:t>
      </w:r>
      <w:bookmarkEnd w:id="32"/>
      <w:r w:rsidR="00103958">
        <w:t>9</w:t>
      </w:r>
      <w:r w:rsidR="00BB6E76">
        <w:t xml:space="preserve">, </w:t>
      </w:r>
      <w:r w:rsidR="007B1AB1">
        <w:t xml:space="preserve">and </w:t>
      </w:r>
      <w:r w:rsidR="00B955D4" w:rsidRPr="00B955D4">
        <w:t>invited the Bureau</w:t>
      </w:r>
      <w:r w:rsidR="00F533F1">
        <w:t>,</w:t>
      </w:r>
      <w:r w:rsidR="00B955D4" w:rsidRPr="00B955D4">
        <w:t xml:space="preserve"> with </w:t>
      </w:r>
      <w:r w:rsidR="00F533F1">
        <w:t xml:space="preserve">the </w:t>
      </w:r>
      <w:r w:rsidR="00B955D4" w:rsidRPr="00B955D4">
        <w:t>support of the secretariat</w:t>
      </w:r>
      <w:r w:rsidR="00F533F1">
        <w:t>,</w:t>
      </w:r>
      <w:r w:rsidR="00B955D4" w:rsidRPr="00B955D4">
        <w:t xml:space="preserve"> to prepare </w:t>
      </w:r>
      <w:r w:rsidR="00BB6E76">
        <w:t>the</w:t>
      </w:r>
      <w:r w:rsidR="00B955D4" w:rsidRPr="00B955D4">
        <w:t xml:space="preserve"> </w:t>
      </w:r>
      <w:r w:rsidR="00BB6E76">
        <w:t xml:space="preserve">annotated </w:t>
      </w:r>
      <w:r w:rsidR="00B955D4" w:rsidRPr="00B955D4">
        <w:t>provisional agenda for the sessions in advance of the next meeting of the Working Group</w:t>
      </w:r>
      <w:r w:rsidR="00B955D4">
        <w:t>.</w:t>
      </w:r>
    </w:p>
    <w:p w14:paraId="55ABD27C" w14:textId="74EBC3FB" w:rsidR="003D50D0" w:rsidRPr="007B1AB1" w:rsidRDefault="002C2872" w:rsidP="003D50D0">
      <w:pPr>
        <w:pStyle w:val="SingleTxtG"/>
      </w:pPr>
      <w:r>
        <w:t>53</w:t>
      </w:r>
      <w:r w:rsidR="003433C2">
        <w:t>.</w:t>
      </w:r>
      <w:r w:rsidR="003433C2">
        <w:tab/>
      </w:r>
      <w:r w:rsidR="007B1AB1">
        <w:t xml:space="preserve">The Working Group </w:t>
      </w:r>
      <w:r w:rsidR="008E2044">
        <w:t xml:space="preserve">agreed with the proposal of the Bureau </w:t>
      </w:r>
      <w:r w:rsidR="00DD7279">
        <w:t xml:space="preserve">to dedicate </w:t>
      </w:r>
      <w:r w:rsidR="008E2044">
        <w:t xml:space="preserve">the panel discussions during the high-level segment </w:t>
      </w:r>
      <w:r w:rsidR="00375E9B">
        <w:t xml:space="preserve">of the sessions </w:t>
      </w:r>
      <w:r w:rsidR="00DD7279">
        <w:t xml:space="preserve">to a </w:t>
      </w:r>
      <w:r w:rsidR="008E2044">
        <w:t xml:space="preserve">celebration of </w:t>
      </w:r>
      <w:r w:rsidR="00375E9B">
        <w:t>t</w:t>
      </w:r>
      <w:r w:rsidR="008E2044">
        <w:t xml:space="preserve">he </w:t>
      </w:r>
      <w:r w:rsidR="0011692C">
        <w:t>thirtieth</w:t>
      </w:r>
      <w:r w:rsidR="008E2044">
        <w:t xml:space="preserve"> anniversary of the Convention. </w:t>
      </w:r>
      <w:r w:rsidR="00375E9B">
        <w:t xml:space="preserve">The Working Group also </w:t>
      </w:r>
      <w:r w:rsidR="007B1AB1">
        <w:t>suggested that</w:t>
      </w:r>
      <w:r>
        <w:t xml:space="preserve"> the panel discussions during the</w:t>
      </w:r>
      <w:r w:rsidR="007B1AB1">
        <w:t xml:space="preserve"> </w:t>
      </w:r>
      <w:r w:rsidR="007B1AB1" w:rsidRPr="007B1AB1">
        <w:t>general segment</w:t>
      </w:r>
      <w:r w:rsidR="00351F43">
        <w:t xml:space="preserve"> of the sessions</w:t>
      </w:r>
      <w:r w:rsidR="007B1AB1" w:rsidRPr="007B1AB1">
        <w:t xml:space="preserve"> focus </w:t>
      </w:r>
      <w:r>
        <w:t xml:space="preserve">on one of the following topics: </w:t>
      </w:r>
      <w:r w:rsidR="007B1AB1" w:rsidRPr="007B1AB1">
        <w:t xml:space="preserve">smart </w:t>
      </w:r>
      <w:r w:rsidR="007B1AB1">
        <w:t>and</w:t>
      </w:r>
      <w:r w:rsidR="007B1AB1" w:rsidRPr="007B1AB1">
        <w:t xml:space="preserve"> sustainable cities; sustainable infrastructure; energy transition</w:t>
      </w:r>
      <w:r w:rsidR="00976363">
        <w:t>;</w:t>
      </w:r>
      <w:r w:rsidR="007B1AB1" w:rsidRPr="007B1AB1">
        <w:t xml:space="preserve"> or circular economy.</w:t>
      </w:r>
      <w:r w:rsidR="007B1AB1">
        <w:t xml:space="preserve"> The Working Group </w:t>
      </w:r>
      <w:r w:rsidR="007B1AB1" w:rsidRPr="007B1AB1">
        <w:t>invited delegations to comment on</w:t>
      </w:r>
      <w:r w:rsidR="00F533F1">
        <w:t xml:space="preserve"> the</w:t>
      </w:r>
      <w:r w:rsidR="007B1AB1" w:rsidRPr="007B1AB1">
        <w:t xml:space="preserve"> proposed topics</w:t>
      </w:r>
      <w:r w:rsidR="00637720">
        <w:t>. They were also invited to</w:t>
      </w:r>
      <w:r w:rsidR="007B1AB1" w:rsidRPr="007B1AB1">
        <w:t xml:space="preserve"> suggest</w:t>
      </w:r>
      <w:r w:rsidR="00976363">
        <w:t>,</w:t>
      </w:r>
      <w:r w:rsidR="007B1AB1" w:rsidRPr="007B1AB1">
        <w:t xml:space="preserve"> </w:t>
      </w:r>
      <w:r w:rsidR="00F533F1">
        <w:t>b</w:t>
      </w:r>
      <w:r w:rsidR="00F533F1" w:rsidRPr="007B1AB1">
        <w:t>y 10 January</w:t>
      </w:r>
      <w:r w:rsidR="00F533F1">
        <w:t xml:space="preserve"> 2020</w:t>
      </w:r>
      <w:r w:rsidR="00976363">
        <w:t>,</w:t>
      </w:r>
      <w:r w:rsidR="00F533F1">
        <w:t xml:space="preserve"> possible </w:t>
      </w:r>
      <w:r w:rsidR="007B1AB1" w:rsidRPr="007B1AB1">
        <w:t>speakers and facilitators</w:t>
      </w:r>
      <w:r w:rsidR="00F533F1">
        <w:t xml:space="preserve"> for the panels</w:t>
      </w:r>
      <w:r w:rsidR="00637720">
        <w:t xml:space="preserve">, and to volunteer as lead countries and organizations for </w:t>
      </w:r>
      <w:r w:rsidR="00D50AC1">
        <w:t xml:space="preserve">the </w:t>
      </w:r>
      <w:r w:rsidR="00637720">
        <w:t>organiz</w:t>
      </w:r>
      <w:r w:rsidR="00D50AC1">
        <w:t>ation of</w:t>
      </w:r>
      <w:r w:rsidR="00637720">
        <w:t xml:space="preserve"> the panel discussions</w:t>
      </w:r>
      <w:r w:rsidR="007B1AB1" w:rsidRPr="007B1AB1">
        <w:t>.</w:t>
      </w:r>
      <w:r w:rsidR="007B1AB1">
        <w:t xml:space="preserve"> It also </w:t>
      </w:r>
      <w:r w:rsidR="00637720">
        <w:t xml:space="preserve">requested </w:t>
      </w:r>
      <w:r>
        <w:t xml:space="preserve">the </w:t>
      </w:r>
      <w:r w:rsidR="007B1AB1" w:rsidRPr="007B1AB1">
        <w:t xml:space="preserve">Bureau to further consider the topics and </w:t>
      </w:r>
      <w:r>
        <w:t xml:space="preserve">to </w:t>
      </w:r>
      <w:r w:rsidR="00637720">
        <w:t>narrow them down to t</w:t>
      </w:r>
      <w:r w:rsidR="007B1AB1">
        <w:t>wo</w:t>
      </w:r>
      <w:r w:rsidR="007B1AB1" w:rsidRPr="007B1AB1">
        <w:t xml:space="preserve"> key </w:t>
      </w:r>
      <w:r w:rsidR="00F533F1">
        <w:t xml:space="preserve">priority </w:t>
      </w:r>
      <w:r w:rsidR="00637720">
        <w:t xml:space="preserve">topics for </w:t>
      </w:r>
      <w:r w:rsidR="007B1AB1" w:rsidRPr="00B955D4">
        <w:t>the Working Group</w:t>
      </w:r>
      <w:r w:rsidR="00637720">
        <w:t xml:space="preserve"> to decide on at its next meeting</w:t>
      </w:r>
      <w:r w:rsidR="007B1AB1">
        <w:t>.</w:t>
      </w:r>
    </w:p>
    <w:p w14:paraId="5E111780" w14:textId="571C9F7E" w:rsidR="003433C2" w:rsidRDefault="003433C2" w:rsidP="003433C2">
      <w:pPr>
        <w:pStyle w:val="H1G"/>
        <w:jc w:val="both"/>
        <w:rPr>
          <w:bCs/>
        </w:rPr>
      </w:pPr>
      <w:r w:rsidRPr="00CD6BE2">
        <w:tab/>
      </w:r>
      <w:r>
        <w:t>D</w:t>
      </w:r>
      <w:r w:rsidRPr="00CD6BE2">
        <w:t>.</w:t>
      </w:r>
      <w:r w:rsidRPr="00CD6BE2">
        <w:tab/>
      </w:r>
      <w:r w:rsidRPr="00D91DE6">
        <w:rPr>
          <w:bCs/>
        </w:rPr>
        <w:t>List of draft documents and decisions</w:t>
      </w:r>
    </w:p>
    <w:p w14:paraId="001F8536" w14:textId="7B46BB63" w:rsidR="003433C2" w:rsidRDefault="002C2872" w:rsidP="007B1AB1">
      <w:pPr>
        <w:ind w:left="1134" w:right="1179" w:firstLine="6"/>
        <w:jc w:val="both"/>
      </w:pPr>
      <w:r>
        <w:t>54</w:t>
      </w:r>
      <w:r w:rsidR="003433C2">
        <w:t>.</w:t>
      </w:r>
      <w:r w:rsidR="003433C2">
        <w:tab/>
      </w:r>
      <w:r w:rsidR="000B3C86">
        <w:t>Based on a proposal by the Bureau</w:t>
      </w:r>
      <w:r w:rsidR="00254BCC" w:rsidRPr="00254BCC">
        <w:t xml:space="preserve"> </w:t>
      </w:r>
      <w:r w:rsidR="00254BCC">
        <w:t>(</w:t>
      </w:r>
      <w:bookmarkStart w:id="33" w:name="_Hlk29292617"/>
      <w:r w:rsidR="00C66F71">
        <w:t xml:space="preserve">see </w:t>
      </w:r>
      <w:r w:rsidR="00254BCC" w:rsidRPr="00254BCC">
        <w:t>ECE/MP.EIA/WG.2/2019/INF.</w:t>
      </w:r>
      <w:bookmarkEnd w:id="33"/>
      <w:r w:rsidR="00103958">
        <w:t>9</w:t>
      </w:r>
      <w:r w:rsidR="00254BCC">
        <w:t>)</w:t>
      </w:r>
      <w:r w:rsidR="000B3C86">
        <w:t>, t</w:t>
      </w:r>
      <w:r w:rsidR="00801420" w:rsidRPr="00801420">
        <w:t xml:space="preserve">he Working Group agreed on </w:t>
      </w:r>
      <w:r w:rsidR="00F5627D">
        <w:t>an</w:t>
      </w:r>
      <w:r w:rsidR="00801420" w:rsidRPr="00801420">
        <w:t xml:space="preserve"> </w:t>
      </w:r>
      <w:r w:rsidR="007B1AB1" w:rsidRPr="007B1AB1">
        <w:t>initial list of draft decisions and official documents</w:t>
      </w:r>
      <w:r w:rsidR="00F5627D">
        <w:t xml:space="preserve"> to be considered by the Meetings of the Parties at their next </w:t>
      </w:r>
      <w:r w:rsidR="00CC6593">
        <w:t>sessions</w:t>
      </w:r>
      <w:r w:rsidR="00CC6593" w:rsidRPr="007B1AB1">
        <w:t xml:space="preserve"> but</w:t>
      </w:r>
      <w:r w:rsidR="00EA0BA3">
        <w:t xml:space="preserve"> </w:t>
      </w:r>
      <w:r>
        <w:t>decided to</w:t>
      </w:r>
      <w:r w:rsidR="007B1AB1" w:rsidRPr="007B1AB1">
        <w:t xml:space="preserve"> p</w:t>
      </w:r>
      <w:r w:rsidR="00103958">
        <w:t>lace</w:t>
      </w:r>
      <w:r w:rsidR="007B1AB1" w:rsidRPr="007B1AB1">
        <w:t xml:space="preserve"> in</w:t>
      </w:r>
      <w:r w:rsidR="008536A3">
        <w:t xml:space="preserve"> betwe</w:t>
      </w:r>
      <w:r w:rsidR="00103958">
        <w:t>e</w:t>
      </w:r>
      <w:r w:rsidR="008536A3">
        <w:t>n</w:t>
      </w:r>
      <w:r w:rsidR="007B1AB1" w:rsidRPr="007B1AB1">
        <w:t xml:space="preserve"> brackets </w:t>
      </w:r>
      <w:r w:rsidR="00103958">
        <w:t xml:space="preserve">the </w:t>
      </w:r>
      <w:r w:rsidR="00F15C40">
        <w:t xml:space="preserve">draft </w:t>
      </w:r>
      <w:r w:rsidR="007B1AB1" w:rsidRPr="007B1AB1">
        <w:t xml:space="preserve">decision on health guidance pending </w:t>
      </w:r>
      <w:r>
        <w:t>the revision</w:t>
      </w:r>
      <w:r w:rsidR="00EA0BA3">
        <w:t xml:space="preserve"> and the further development</w:t>
      </w:r>
      <w:r>
        <w:t xml:space="preserve"> of the </w:t>
      </w:r>
      <w:r w:rsidR="00EA0BA3">
        <w:t xml:space="preserve">draft </w:t>
      </w:r>
      <w:r w:rsidR="007B1AB1" w:rsidRPr="007B1AB1">
        <w:t>guidance</w:t>
      </w:r>
      <w:r w:rsidR="00F15C40">
        <w:t xml:space="preserve"> on that topic</w:t>
      </w:r>
      <w:r w:rsidR="007B1AB1">
        <w:t xml:space="preserve">. It </w:t>
      </w:r>
      <w:r w:rsidR="007B1AB1" w:rsidRPr="007B1AB1">
        <w:t xml:space="preserve">invited </w:t>
      </w:r>
      <w:r w:rsidR="007B1AB1" w:rsidRPr="00801420">
        <w:t>the Bureau</w:t>
      </w:r>
      <w:r w:rsidR="00F5627D">
        <w:t>,</w:t>
      </w:r>
      <w:r w:rsidR="007B1AB1" w:rsidRPr="00801420">
        <w:t xml:space="preserve"> with </w:t>
      </w:r>
      <w:r w:rsidR="00F5627D">
        <w:t xml:space="preserve">support from </w:t>
      </w:r>
      <w:r w:rsidR="007B1AB1" w:rsidRPr="00801420">
        <w:t>the secretariat</w:t>
      </w:r>
      <w:r w:rsidR="00F5627D">
        <w:t>,</w:t>
      </w:r>
      <w:r w:rsidR="007B1AB1" w:rsidRPr="00801420">
        <w:t xml:space="preserve"> to prepare</w:t>
      </w:r>
      <w:r w:rsidR="00F5627D">
        <w:t xml:space="preserve"> for the next meeting of the Working Group all the</w:t>
      </w:r>
      <w:r w:rsidR="007B1AB1" w:rsidRPr="00801420">
        <w:t xml:space="preserve"> draft</w:t>
      </w:r>
      <w:r>
        <w:t xml:space="preserve"> </w:t>
      </w:r>
      <w:r w:rsidR="00F5627D">
        <w:t xml:space="preserve">decisions, </w:t>
      </w:r>
      <w:r w:rsidR="002663DC">
        <w:t>except for</w:t>
      </w:r>
      <w:r w:rsidR="00F5627D">
        <w:t xml:space="preserve"> the </w:t>
      </w:r>
      <w:r w:rsidR="007B1AB1" w:rsidRPr="00801420">
        <w:t xml:space="preserve">draft decisions on </w:t>
      </w:r>
      <w:r w:rsidR="00F5627D">
        <w:t xml:space="preserve">the </w:t>
      </w:r>
      <w:r w:rsidR="007B1AB1" w:rsidRPr="00801420">
        <w:t>review of compliance</w:t>
      </w:r>
      <w:r w:rsidR="00871B75">
        <w:t>, which</w:t>
      </w:r>
      <w:r w:rsidR="00F5627D">
        <w:t xml:space="preserve"> would be drafted </w:t>
      </w:r>
      <w:r w:rsidR="007B1AB1" w:rsidRPr="00801420">
        <w:t>by the Implementation Committee.</w:t>
      </w:r>
    </w:p>
    <w:p w14:paraId="380D57B9" w14:textId="72EB1312" w:rsidR="007B1AB1" w:rsidRDefault="007B1AB1" w:rsidP="007B1AB1">
      <w:pPr>
        <w:ind w:left="1134" w:right="1179" w:firstLine="6"/>
        <w:jc w:val="both"/>
      </w:pPr>
    </w:p>
    <w:p w14:paraId="1D972CC0" w14:textId="3EE7F004" w:rsidR="00B955D4" w:rsidRDefault="00F5627D" w:rsidP="00F5627D">
      <w:pPr>
        <w:ind w:left="1134" w:right="1179"/>
        <w:jc w:val="both"/>
      </w:pPr>
      <w:r>
        <w:t>55</w:t>
      </w:r>
      <w:r w:rsidR="007B1AB1">
        <w:t>.</w:t>
      </w:r>
      <w:r w:rsidR="007B1AB1">
        <w:tab/>
      </w:r>
      <w:r w:rsidR="007B1AB1" w:rsidRPr="00801420">
        <w:t>The Working Group</w:t>
      </w:r>
      <w:r w:rsidR="007B1AB1">
        <w:t xml:space="preserve"> </w:t>
      </w:r>
      <w:r w:rsidR="00254BCC">
        <w:t xml:space="preserve">took note of the </w:t>
      </w:r>
      <w:r>
        <w:t>elements for the draft declaration pr</w:t>
      </w:r>
      <w:r w:rsidR="00254BCC">
        <w:t>epare</w:t>
      </w:r>
      <w:r>
        <w:t xml:space="preserve">d by the Bureau with the support of the secretariat </w:t>
      </w:r>
      <w:bookmarkStart w:id="34" w:name="_Hlk29292098"/>
      <w:r>
        <w:t>(ECE/MP.EIA/WG.2/2019/INF.10)</w:t>
      </w:r>
      <w:bookmarkEnd w:id="34"/>
      <w:r>
        <w:t xml:space="preserve"> </w:t>
      </w:r>
      <w:r w:rsidR="007B1AB1" w:rsidRPr="007B1AB1">
        <w:t>but</w:t>
      </w:r>
      <w:r>
        <w:t xml:space="preserve"> </w:t>
      </w:r>
      <w:r w:rsidR="007B1AB1" w:rsidRPr="007B1AB1">
        <w:t xml:space="preserve">did not </w:t>
      </w:r>
      <w:r w:rsidR="00254BCC">
        <w:t xml:space="preserve">deliberate or </w:t>
      </w:r>
      <w:r w:rsidR="007B1AB1" w:rsidRPr="007B1AB1">
        <w:t xml:space="preserve">comment </w:t>
      </w:r>
      <w:r w:rsidR="00254BCC">
        <w:t xml:space="preserve">on </w:t>
      </w:r>
      <w:r w:rsidR="007B1AB1">
        <w:t xml:space="preserve">the </w:t>
      </w:r>
      <w:r w:rsidR="007B1AB1" w:rsidRPr="007B1AB1">
        <w:t>draft</w:t>
      </w:r>
      <w:r w:rsidR="007B1AB1">
        <w:t xml:space="preserve">. </w:t>
      </w:r>
      <w:r>
        <w:t xml:space="preserve">Instead, it invited </w:t>
      </w:r>
      <w:r w:rsidRPr="007B1AB1">
        <w:t xml:space="preserve">delegations </w:t>
      </w:r>
      <w:r>
        <w:t xml:space="preserve">to provide </w:t>
      </w:r>
      <w:r w:rsidR="00254BCC">
        <w:t xml:space="preserve">their comments </w:t>
      </w:r>
      <w:r w:rsidR="00EB67E0">
        <w:t>on</w:t>
      </w:r>
      <w:r w:rsidR="00254BCC">
        <w:t xml:space="preserve"> the document </w:t>
      </w:r>
      <w:r>
        <w:t xml:space="preserve">by </w:t>
      </w:r>
      <w:r w:rsidR="00254BCC">
        <w:t>1</w:t>
      </w:r>
      <w:r w:rsidR="00254BCC" w:rsidRPr="007B1AB1">
        <w:t>0 January</w:t>
      </w:r>
      <w:r w:rsidR="00254BCC">
        <w:t xml:space="preserve"> 2020 and</w:t>
      </w:r>
      <w:r>
        <w:t xml:space="preserve"> </w:t>
      </w:r>
      <w:r w:rsidR="00CC6593">
        <w:t xml:space="preserve">requested </w:t>
      </w:r>
      <w:r>
        <w:t xml:space="preserve">the Bureau to </w:t>
      </w:r>
      <w:r w:rsidR="007B1AB1" w:rsidRPr="007B1AB1">
        <w:t xml:space="preserve">take </w:t>
      </w:r>
      <w:r w:rsidR="00EA0BA3">
        <w:t xml:space="preserve">them </w:t>
      </w:r>
      <w:r w:rsidR="007B1AB1" w:rsidRPr="007B1AB1">
        <w:t>on board</w:t>
      </w:r>
      <w:r>
        <w:t>.</w:t>
      </w:r>
      <w:r w:rsidR="00254BCC">
        <w:t xml:space="preserve"> The </w:t>
      </w:r>
      <w:r w:rsidR="00254BCC">
        <w:lastRenderedPageBreak/>
        <w:t xml:space="preserve">Working Group agreed to consider the draft declaration at its next meeting, once </w:t>
      </w:r>
      <w:r w:rsidR="002C5DF5">
        <w:t xml:space="preserve">it had been </w:t>
      </w:r>
      <w:r w:rsidR="00254BCC">
        <w:t xml:space="preserve">issued as an official document. </w:t>
      </w:r>
    </w:p>
    <w:p w14:paraId="560168E0" w14:textId="4F5AC819" w:rsidR="00487C5C" w:rsidRDefault="00487C5C" w:rsidP="00487C5C">
      <w:pPr>
        <w:pStyle w:val="H1G"/>
        <w:jc w:val="both"/>
        <w:rPr>
          <w:bCs/>
        </w:rPr>
      </w:pPr>
      <w:r w:rsidRPr="00CD6BE2">
        <w:tab/>
      </w:r>
      <w:r>
        <w:t>E</w:t>
      </w:r>
      <w:r w:rsidRPr="00CD6BE2">
        <w:t>.</w:t>
      </w:r>
      <w:r w:rsidRPr="00CD6BE2">
        <w:tab/>
      </w:r>
      <w:r w:rsidRPr="001817AE">
        <w:rPr>
          <w:bCs/>
        </w:rPr>
        <w:t>Chairs of the sessions</w:t>
      </w:r>
    </w:p>
    <w:p w14:paraId="1790BE12" w14:textId="1AAADA09" w:rsidR="00445004" w:rsidRDefault="00EA0BA3" w:rsidP="002663DC">
      <w:pPr>
        <w:ind w:left="1134" w:right="1179" w:firstLine="6"/>
        <w:jc w:val="both"/>
      </w:pPr>
      <w:r>
        <w:t>56</w:t>
      </w:r>
      <w:r w:rsidR="00F5627D">
        <w:t>.</w:t>
      </w:r>
      <w:r w:rsidR="00487C5C">
        <w:tab/>
      </w:r>
      <w:r w:rsidR="00EA334A" w:rsidRPr="00801420">
        <w:t>The Working Group</w:t>
      </w:r>
      <w:r w:rsidR="00EA334A">
        <w:t xml:space="preserve"> </w:t>
      </w:r>
      <w:r w:rsidR="00A502E6" w:rsidRPr="00A502E6">
        <w:t>consider</w:t>
      </w:r>
      <w:r w:rsidR="00A502E6">
        <w:t>ed</w:t>
      </w:r>
      <w:r w:rsidR="00A502E6" w:rsidRPr="00A502E6">
        <w:t xml:space="preserve"> the </w:t>
      </w:r>
      <w:r w:rsidR="002C5DF5" w:rsidRPr="00A502E6">
        <w:t>chair</w:t>
      </w:r>
      <w:r w:rsidR="002C5DF5">
        <w:t>ing</w:t>
      </w:r>
      <w:r w:rsidR="002C5DF5" w:rsidRPr="00A502E6">
        <w:t xml:space="preserve"> </w:t>
      </w:r>
      <w:r w:rsidR="00A502E6" w:rsidRPr="00A502E6">
        <w:t>of the general and high-level segments of the</w:t>
      </w:r>
      <w:r w:rsidR="00B55124">
        <w:t xml:space="preserve"> upcoming</w:t>
      </w:r>
      <w:r w:rsidR="00A502E6" w:rsidRPr="00A502E6">
        <w:t xml:space="preserve"> sessions, </w:t>
      </w:r>
      <w:r>
        <w:t xml:space="preserve">noting </w:t>
      </w:r>
      <w:r w:rsidR="00A502E6" w:rsidRPr="00A502E6">
        <w:t xml:space="preserve">that </w:t>
      </w:r>
      <w:r w:rsidR="00AA062C">
        <w:t>t</w:t>
      </w:r>
      <w:r w:rsidR="00A502E6" w:rsidRPr="00A502E6">
        <w:t xml:space="preserve">he high-level segments </w:t>
      </w:r>
      <w:r>
        <w:t>ha</w:t>
      </w:r>
      <w:r w:rsidR="002663DC">
        <w:t xml:space="preserve">d </w:t>
      </w:r>
      <w:r w:rsidR="002C5DF5">
        <w:t xml:space="preserve">usually </w:t>
      </w:r>
      <w:r>
        <w:t>been</w:t>
      </w:r>
      <w:r w:rsidR="00A502E6" w:rsidRPr="00A502E6">
        <w:t xml:space="preserve"> chaired by a host country representative and the general segments by the </w:t>
      </w:r>
      <w:r>
        <w:t>C</w:t>
      </w:r>
      <w:r w:rsidR="00A502E6" w:rsidRPr="00A502E6">
        <w:t>hair</w:t>
      </w:r>
      <w:r w:rsidR="002663DC">
        <w:t xml:space="preserve"> or a Vice-Chair of the Bureau</w:t>
      </w:r>
      <w:r w:rsidR="00A502E6" w:rsidRPr="00A502E6">
        <w:t xml:space="preserve">. </w:t>
      </w:r>
      <w:r w:rsidR="002663DC">
        <w:t xml:space="preserve">It </w:t>
      </w:r>
      <w:r w:rsidR="00445004">
        <w:t>i</w:t>
      </w:r>
      <w:r w:rsidR="00445004" w:rsidRPr="00445004">
        <w:t xml:space="preserve">nvited </w:t>
      </w:r>
      <w:r>
        <w:t xml:space="preserve">delegations to come forward with </w:t>
      </w:r>
      <w:r w:rsidR="002663DC">
        <w:t>nominations for t</w:t>
      </w:r>
      <w:r>
        <w:t xml:space="preserve">he </w:t>
      </w:r>
      <w:r w:rsidR="002C5DF5">
        <w:t>Chairs</w:t>
      </w:r>
      <w:r w:rsidR="002C5DF5" w:rsidRPr="00445004">
        <w:t xml:space="preserve"> </w:t>
      </w:r>
      <w:r w:rsidR="00445004" w:rsidRPr="00445004">
        <w:t xml:space="preserve">of </w:t>
      </w:r>
      <w:r w:rsidR="002663DC">
        <w:t>the two segments</w:t>
      </w:r>
      <w:r w:rsidR="002C5DF5">
        <w:t>,</w:t>
      </w:r>
      <w:r w:rsidR="002663DC">
        <w:t xml:space="preserve"> </w:t>
      </w:r>
      <w:r w:rsidR="00445004" w:rsidRPr="00445004">
        <w:t xml:space="preserve">for agreement </w:t>
      </w:r>
      <w:r w:rsidR="002663DC">
        <w:t>by</w:t>
      </w:r>
      <w:r w:rsidR="00445004">
        <w:t xml:space="preserve"> the Working Group </w:t>
      </w:r>
      <w:r w:rsidR="00AA062C">
        <w:t xml:space="preserve">at its next </w:t>
      </w:r>
      <w:r w:rsidR="00445004">
        <w:t xml:space="preserve">meeting. </w:t>
      </w:r>
    </w:p>
    <w:p w14:paraId="0BBBA85B" w14:textId="64D33A49" w:rsidR="00487C5C" w:rsidRDefault="00487C5C" w:rsidP="00A502E6">
      <w:pPr>
        <w:pStyle w:val="H1G"/>
        <w:ind w:left="0" w:firstLine="0"/>
        <w:jc w:val="both"/>
        <w:rPr>
          <w:bCs/>
        </w:rPr>
      </w:pPr>
      <w:r w:rsidRPr="00CD6BE2">
        <w:tab/>
      </w:r>
      <w:r>
        <w:t>F</w:t>
      </w:r>
      <w:r w:rsidRPr="00CD6BE2">
        <w:t>.</w:t>
      </w:r>
      <w:r w:rsidRPr="00CD6BE2">
        <w:tab/>
      </w:r>
      <w:r w:rsidRPr="00E42AAB">
        <w:rPr>
          <w:bCs/>
        </w:rPr>
        <w:t>Possible activities for the next draft workplan</w:t>
      </w:r>
      <w:r>
        <w:rPr>
          <w:bCs/>
        </w:rPr>
        <w:t xml:space="preserve"> (</w:t>
      </w:r>
      <w:r w:rsidRPr="00E42AAB">
        <w:rPr>
          <w:bCs/>
        </w:rPr>
        <w:t>2021–2023</w:t>
      </w:r>
      <w:r>
        <w:rPr>
          <w:bCs/>
        </w:rPr>
        <w:t>)</w:t>
      </w:r>
    </w:p>
    <w:p w14:paraId="56232C51" w14:textId="277B54ED" w:rsidR="00094AB1" w:rsidRDefault="0030625F" w:rsidP="00EA334A">
      <w:pPr>
        <w:ind w:left="1134" w:right="999" w:firstLine="6"/>
        <w:jc w:val="both"/>
      </w:pPr>
      <w:r>
        <w:t>5</w:t>
      </w:r>
      <w:r w:rsidR="00541349">
        <w:t>7</w:t>
      </w:r>
      <w:r w:rsidR="00487C5C">
        <w:t>.</w:t>
      </w:r>
      <w:r w:rsidR="00487C5C">
        <w:tab/>
      </w:r>
      <w:r w:rsidR="00EA334A">
        <w:t xml:space="preserve">The </w:t>
      </w:r>
      <w:r w:rsidR="00EA334A" w:rsidRPr="00EA334A">
        <w:t>Working Group review</w:t>
      </w:r>
      <w:r w:rsidR="00EA334A">
        <w:t>ed</w:t>
      </w:r>
      <w:r w:rsidR="00EA334A" w:rsidRPr="00EA334A">
        <w:t xml:space="preserve"> the initial workplan elements for the next intersessional period (2021–2023), as proposed by the Bureau, </w:t>
      </w:r>
      <w:r w:rsidR="00445004" w:rsidRPr="00445004">
        <w:t>agree</w:t>
      </w:r>
      <w:r>
        <w:t>ing</w:t>
      </w:r>
      <w:r w:rsidR="00445004" w:rsidRPr="00445004">
        <w:t xml:space="preserve"> that </w:t>
      </w:r>
      <w:r>
        <w:t>the workplan</w:t>
      </w:r>
      <w:r w:rsidR="00445004" w:rsidRPr="00445004">
        <w:t xml:space="preserve"> should match with </w:t>
      </w:r>
      <w:r>
        <w:t xml:space="preserve">the </w:t>
      </w:r>
      <w:r w:rsidR="00445004" w:rsidRPr="00445004">
        <w:t>available resources and indicate resource requirements for activities</w:t>
      </w:r>
      <w:r w:rsidR="00094AB1">
        <w:t>,</w:t>
      </w:r>
      <w:r w:rsidR="00445004" w:rsidRPr="00445004">
        <w:t xml:space="preserve"> including from </w:t>
      </w:r>
      <w:r>
        <w:t xml:space="preserve">the </w:t>
      </w:r>
      <w:r w:rsidR="00445004" w:rsidRPr="00445004">
        <w:t>secretariat</w:t>
      </w:r>
      <w:r w:rsidR="00094AB1">
        <w:t xml:space="preserve"> (</w:t>
      </w:r>
      <w:r w:rsidR="00094AB1" w:rsidRPr="00094AB1">
        <w:t>ECE/MP.EIA/WG.2/2019/INF.1</w:t>
      </w:r>
      <w:r w:rsidR="00094AB1">
        <w:t>1)</w:t>
      </w:r>
      <w:r w:rsidR="00EA334A" w:rsidRPr="00EA334A">
        <w:t xml:space="preserve">. </w:t>
      </w:r>
      <w:r w:rsidR="00094AB1">
        <w:t xml:space="preserve">It supported the proposed new format of the workplan. </w:t>
      </w:r>
    </w:p>
    <w:p w14:paraId="19B22AC3" w14:textId="77777777" w:rsidR="00094AB1" w:rsidRDefault="00094AB1" w:rsidP="00EA334A">
      <w:pPr>
        <w:ind w:left="1134" w:right="999" w:firstLine="6"/>
        <w:jc w:val="both"/>
      </w:pPr>
    </w:p>
    <w:p w14:paraId="393672EA" w14:textId="335D0B3C" w:rsidR="00487C5C" w:rsidRDefault="00094AB1" w:rsidP="00EA334A">
      <w:pPr>
        <w:ind w:left="1134" w:right="999" w:firstLine="6"/>
        <w:jc w:val="both"/>
      </w:pPr>
      <w:r>
        <w:t>58.</w:t>
      </w:r>
      <w:r>
        <w:tab/>
      </w:r>
      <w:r w:rsidR="00287DE4">
        <w:t>The Working Group</w:t>
      </w:r>
      <w:r w:rsidR="00B0374D">
        <w:t xml:space="preserve"> noted </w:t>
      </w:r>
      <w:r w:rsidR="00287DE4">
        <w:t xml:space="preserve">the following </w:t>
      </w:r>
      <w:r w:rsidR="00714EC0">
        <w:t xml:space="preserve">possible </w:t>
      </w:r>
      <w:r w:rsidR="00B0374D">
        <w:t xml:space="preserve">workplan activities </w:t>
      </w:r>
      <w:r w:rsidR="00714EC0">
        <w:t xml:space="preserve">proposed </w:t>
      </w:r>
      <w:r w:rsidR="00B0374D">
        <w:t>by the delegations:</w:t>
      </w:r>
    </w:p>
    <w:p w14:paraId="240ABDF6" w14:textId="77777777" w:rsidR="00B0374D" w:rsidRDefault="00B0374D" w:rsidP="00EA334A">
      <w:pPr>
        <w:ind w:left="1134" w:right="999" w:firstLine="6"/>
        <w:jc w:val="both"/>
      </w:pPr>
    </w:p>
    <w:p w14:paraId="47D2B935" w14:textId="1BEA8120" w:rsidR="007E01AE" w:rsidRDefault="00B0374D" w:rsidP="00B0374D">
      <w:pPr>
        <w:ind w:left="1134" w:right="999" w:firstLine="6"/>
        <w:jc w:val="both"/>
      </w:pPr>
      <w:r>
        <w:tab/>
        <w:t>(a)</w:t>
      </w:r>
      <w:r>
        <w:tab/>
        <w:t>D</w:t>
      </w:r>
      <w:r w:rsidR="00445004" w:rsidRPr="00445004">
        <w:t>evelop</w:t>
      </w:r>
      <w:r>
        <w:t xml:space="preserve">ment of </w:t>
      </w:r>
      <w:r w:rsidR="00445004" w:rsidRPr="00445004">
        <w:t>good practice guidelines for considering alternatives and rationale for site selection</w:t>
      </w:r>
      <w:r>
        <w:t>,</w:t>
      </w:r>
      <w:r w:rsidR="00445004" w:rsidRPr="00445004">
        <w:t xml:space="preserve"> </w:t>
      </w:r>
      <w:r>
        <w:t xml:space="preserve">proposed by </w:t>
      </w:r>
      <w:r w:rsidR="00714EC0">
        <w:t xml:space="preserve">the delegation of </w:t>
      </w:r>
      <w:r>
        <w:t xml:space="preserve">Belarus; </w:t>
      </w:r>
    </w:p>
    <w:p w14:paraId="676D488C" w14:textId="191B36F7" w:rsidR="00B0374D" w:rsidRDefault="00B0374D" w:rsidP="00B0374D">
      <w:pPr>
        <w:ind w:left="1134" w:right="999" w:firstLine="6"/>
        <w:jc w:val="both"/>
      </w:pPr>
      <w:r>
        <w:tab/>
      </w:r>
    </w:p>
    <w:p w14:paraId="573AF690" w14:textId="1E719863" w:rsidR="00445004" w:rsidRDefault="00B0374D" w:rsidP="00B0374D">
      <w:pPr>
        <w:ind w:left="1134" w:right="999" w:firstLine="6"/>
        <w:jc w:val="both"/>
      </w:pPr>
      <w:r>
        <w:tab/>
        <w:t>(b)</w:t>
      </w:r>
      <w:r>
        <w:tab/>
        <w:t xml:space="preserve"> </w:t>
      </w:r>
      <w:r w:rsidR="00714EC0">
        <w:t xml:space="preserve">Proposal by the delegation of Montenegro </w:t>
      </w:r>
      <w:r w:rsidR="00C66F71">
        <w:t>for</w:t>
      </w:r>
      <w:r w:rsidR="00714EC0">
        <w:t xml:space="preserve"> c</w:t>
      </w:r>
      <w:r w:rsidRPr="00445004">
        <w:t>apacity</w:t>
      </w:r>
      <w:r w:rsidR="00287DE4">
        <w:t>-</w:t>
      </w:r>
      <w:r w:rsidRPr="00445004">
        <w:t xml:space="preserve">building to implement </w:t>
      </w:r>
      <w:r>
        <w:t xml:space="preserve">the </w:t>
      </w:r>
      <w:r w:rsidR="00714EC0">
        <w:t xml:space="preserve">2008 </w:t>
      </w:r>
      <w:r w:rsidR="00C05445">
        <w:t>M</w:t>
      </w:r>
      <w:r w:rsidR="00714EC0">
        <w:t xml:space="preserve">ultilateral agreement among the countries of South-Eastern Europe for implementation of the Convention on Environmental Impact Assessment in a Transboundary Context </w:t>
      </w:r>
      <w:r w:rsidRPr="00445004">
        <w:t xml:space="preserve">and </w:t>
      </w:r>
      <w:r>
        <w:t xml:space="preserve">to </w:t>
      </w:r>
      <w:r w:rsidRPr="00445004">
        <w:t xml:space="preserve">promote </w:t>
      </w:r>
      <w:proofErr w:type="spellStart"/>
      <w:r w:rsidRPr="00445004">
        <w:t>subregional</w:t>
      </w:r>
      <w:proofErr w:type="spellEnd"/>
      <w:r w:rsidRPr="00445004">
        <w:t xml:space="preserve"> networking for transboundary </w:t>
      </w:r>
      <w:r>
        <w:t xml:space="preserve">environmental impact assessment. </w:t>
      </w:r>
    </w:p>
    <w:p w14:paraId="5C71C8EA" w14:textId="143590C0" w:rsidR="00445004" w:rsidRDefault="00445004" w:rsidP="00EA334A">
      <w:pPr>
        <w:ind w:left="1134" w:right="999" w:firstLine="6"/>
        <w:jc w:val="both"/>
      </w:pPr>
    </w:p>
    <w:p w14:paraId="65FEE41F" w14:textId="4175D0C7" w:rsidR="00445004" w:rsidRDefault="00B0374D" w:rsidP="00EA334A">
      <w:pPr>
        <w:ind w:left="1134" w:right="999" w:firstLine="6"/>
        <w:jc w:val="both"/>
      </w:pPr>
      <w:r>
        <w:t>5</w:t>
      </w:r>
      <w:r w:rsidR="00C47557">
        <w:t>9</w:t>
      </w:r>
      <w:r w:rsidR="00445004">
        <w:t>.</w:t>
      </w:r>
      <w:r w:rsidR="00445004">
        <w:tab/>
        <w:t xml:space="preserve">The </w:t>
      </w:r>
      <w:r w:rsidR="00445004" w:rsidRPr="00EA334A">
        <w:t>Working Group</w:t>
      </w:r>
      <w:r w:rsidR="00445004">
        <w:t xml:space="preserve"> n</w:t>
      </w:r>
      <w:r w:rsidR="00445004" w:rsidRPr="00445004">
        <w:t xml:space="preserve">oted </w:t>
      </w:r>
      <w:r w:rsidR="00445004">
        <w:t xml:space="preserve">the </w:t>
      </w:r>
      <w:r w:rsidR="00445004" w:rsidRPr="00445004">
        <w:t xml:space="preserve">proposal </w:t>
      </w:r>
      <w:r w:rsidR="00445004">
        <w:t xml:space="preserve">of the European Union </w:t>
      </w:r>
      <w:r>
        <w:t xml:space="preserve">that the Meetings of the Parties adopt </w:t>
      </w:r>
      <w:r w:rsidR="00714EC0">
        <w:t xml:space="preserve">a </w:t>
      </w:r>
      <w:r w:rsidR="00445004" w:rsidRPr="00445004">
        <w:t xml:space="preserve">workplan </w:t>
      </w:r>
      <w:r>
        <w:t xml:space="preserve">for the period </w:t>
      </w:r>
      <w:r w:rsidRPr="00445004">
        <w:t>2021</w:t>
      </w:r>
      <w:r w:rsidR="00094AB1">
        <w:t>–</w:t>
      </w:r>
      <w:r w:rsidRPr="00445004">
        <w:t>2023</w:t>
      </w:r>
      <w:r>
        <w:t xml:space="preserve"> </w:t>
      </w:r>
      <w:r w:rsidR="00714EC0">
        <w:t xml:space="preserve">that </w:t>
      </w:r>
      <w:r>
        <w:t>consist</w:t>
      </w:r>
      <w:r w:rsidR="00714EC0">
        <w:t>ed only</w:t>
      </w:r>
      <w:r>
        <w:t xml:space="preserve"> of activities for which funding would be </w:t>
      </w:r>
      <w:r w:rsidR="00C46B0A">
        <w:t xml:space="preserve">fully </w:t>
      </w:r>
      <w:r>
        <w:t xml:space="preserve">confirmed, </w:t>
      </w:r>
      <w:r w:rsidR="00D3738D">
        <w:t xml:space="preserve">leaving out the previously compiled </w:t>
      </w:r>
      <w:r w:rsidR="00445004" w:rsidRPr="00445004">
        <w:t>“waiting</w:t>
      </w:r>
      <w:r w:rsidR="00060C4E">
        <w:t xml:space="preserve"> </w:t>
      </w:r>
      <w:r w:rsidR="00445004" w:rsidRPr="00445004">
        <w:t>list” of activities</w:t>
      </w:r>
      <w:r>
        <w:t xml:space="preserve"> requested by delegations for which funding </w:t>
      </w:r>
      <w:r w:rsidR="00060C4E">
        <w:t>had</w:t>
      </w:r>
      <w:r>
        <w:t xml:space="preserve"> yet to be identified. </w:t>
      </w:r>
      <w:r w:rsidR="00094AB1">
        <w:t xml:space="preserve">The delegation of the European Union also </w:t>
      </w:r>
      <w:r w:rsidR="00E665E9">
        <w:t xml:space="preserve">noted that the development of new guidance documents and the revision of existing ones required so much time and resources </w:t>
      </w:r>
      <w:r w:rsidR="00C47557">
        <w:t xml:space="preserve">that </w:t>
      </w:r>
      <w:r w:rsidR="00E665E9">
        <w:t>th</w:t>
      </w:r>
      <w:bookmarkStart w:id="35" w:name="_Hlk29292895"/>
      <w:r w:rsidR="00C47557">
        <w:t xml:space="preserve">eir initiation </w:t>
      </w:r>
      <w:r w:rsidR="00E665E9">
        <w:t xml:space="preserve">should be subject to </w:t>
      </w:r>
      <w:bookmarkEnd w:id="35"/>
      <w:r w:rsidR="00E665E9">
        <w:t xml:space="preserve">thorough consideration in the light of available resources. </w:t>
      </w:r>
    </w:p>
    <w:p w14:paraId="1A6B3434" w14:textId="1DBE710E" w:rsidR="00445004" w:rsidRDefault="00445004" w:rsidP="00EA334A">
      <w:pPr>
        <w:ind w:left="1134" w:right="999" w:firstLine="6"/>
        <w:jc w:val="both"/>
      </w:pPr>
    </w:p>
    <w:p w14:paraId="17FF8A1F" w14:textId="5FD74379" w:rsidR="00445004" w:rsidRPr="00445004" w:rsidRDefault="00C47557" w:rsidP="00C46B0A">
      <w:pPr>
        <w:ind w:left="1134" w:right="999" w:firstLine="6"/>
        <w:jc w:val="both"/>
        <w:rPr>
          <w:b/>
          <w:bCs/>
        </w:rPr>
      </w:pPr>
      <w:r>
        <w:t>60</w:t>
      </w:r>
      <w:r w:rsidR="00445004">
        <w:t>.</w:t>
      </w:r>
      <w:r w:rsidR="00445004">
        <w:tab/>
        <w:t xml:space="preserve">The </w:t>
      </w:r>
      <w:r w:rsidR="00445004" w:rsidRPr="00EA334A">
        <w:t>Working Group</w:t>
      </w:r>
      <w:r w:rsidR="00445004">
        <w:t xml:space="preserve"> i</w:t>
      </w:r>
      <w:r w:rsidR="00445004" w:rsidRPr="00445004">
        <w:t xml:space="preserve">nvited </w:t>
      </w:r>
      <w:r w:rsidR="00C46B0A">
        <w:t xml:space="preserve">the </w:t>
      </w:r>
      <w:r w:rsidR="00445004" w:rsidRPr="00445004">
        <w:t>Bureau</w:t>
      </w:r>
      <w:r w:rsidR="00D3738D">
        <w:t>, with support from the secretariat,</w:t>
      </w:r>
      <w:r w:rsidR="00445004" w:rsidRPr="00445004">
        <w:t xml:space="preserve"> to </w:t>
      </w:r>
      <w:r w:rsidR="00C46B0A">
        <w:t>prepare a revised d</w:t>
      </w:r>
      <w:r w:rsidR="00445004" w:rsidRPr="00445004">
        <w:t xml:space="preserve">raft workplan </w:t>
      </w:r>
      <w:r w:rsidR="00C46B0A">
        <w:t xml:space="preserve">taking into account the comments made. </w:t>
      </w:r>
    </w:p>
    <w:p w14:paraId="78E35C43" w14:textId="79B2C332" w:rsidR="00487C5C" w:rsidRDefault="00487C5C" w:rsidP="00487C5C">
      <w:pPr>
        <w:pStyle w:val="H1G"/>
        <w:jc w:val="both"/>
        <w:rPr>
          <w:bCs/>
        </w:rPr>
      </w:pPr>
      <w:r w:rsidRPr="00CD6BE2">
        <w:tab/>
      </w:r>
      <w:r>
        <w:t>G</w:t>
      </w:r>
      <w:r w:rsidRPr="00CD6BE2">
        <w:t>.</w:t>
      </w:r>
      <w:r w:rsidRPr="00CD6BE2">
        <w:tab/>
      </w:r>
      <w:r w:rsidRPr="00E42AAB">
        <w:rPr>
          <w:bCs/>
        </w:rPr>
        <w:t>Tentative sequence of meetings in the next intersessional period</w:t>
      </w:r>
    </w:p>
    <w:p w14:paraId="45576DB3" w14:textId="60446959" w:rsidR="00487C5C" w:rsidRPr="003433C2" w:rsidRDefault="00541349" w:rsidP="00375E9B">
      <w:pPr>
        <w:ind w:left="1134" w:right="999" w:firstLine="6"/>
        <w:jc w:val="both"/>
      </w:pPr>
      <w:r>
        <w:t>6</w:t>
      </w:r>
      <w:r w:rsidR="00C47557">
        <w:t>1</w:t>
      </w:r>
      <w:r w:rsidR="00487C5C">
        <w:t>.</w:t>
      </w:r>
      <w:r w:rsidR="00487C5C">
        <w:tab/>
      </w:r>
      <w:r w:rsidR="00A502E6">
        <w:t xml:space="preserve">The Working Group </w:t>
      </w:r>
      <w:r w:rsidR="00C66F71">
        <w:t xml:space="preserve">noted that the decision of the Meetings of the Parties </w:t>
      </w:r>
      <w:r w:rsidR="00A502E6">
        <w:t>a</w:t>
      </w:r>
      <w:r w:rsidR="00A502E6" w:rsidRPr="00A502E6">
        <w:t xml:space="preserve">t their intermediary sessions to extend the </w:t>
      </w:r>
      <w:r w:rsidR="00FB2442">
        <w:t>curr</w:t>
      </w:r>
      <w:r w:rsidR="00FB2442" w:rsidRPr="00A502E6">
        <w:t xml:space="preserve">ent </w:t>
      </w:r>
      <w:r w:rsidR="00A502E6" w:rsidRPr="00A502E6">
        <w:t xml:space="preserve">intersessional period from June </w:t>
      </w:r>
      <w:r w:rsidR="003C5D8A">
        <w:t xml:space="preserve">2020 </w:t>
      </w:r>
      <w:r w:rsidR="00A502E6" w:rsidRPr="00A502E6">
        <w:t>until December 2020</w:t>
      </w:r>
      <w:r w:rsidR="0073414E">
        <w:t xml:space="preserve"> (ECE/MP.EIA/27–ECE/MP.EIA/SEA/11, para. 7)</w:t>
      </w:r>
      <w:r w:rsidR="00A502E6" w:rsidRPr="00A502E6">
        <w:t xml:space="preserve"> </w:t>
      </w:r>
      <w:r w:rsidR="00C66F71">
        <w:t xml:space="preserve">had </w:t>
      </w:r>
      <w:r w:rsidR="00A502E6" w:rsidRPr="00A502E6">
        <w:t>alter</w:t>
      </w:r>
      <w:r w:rsidR="00C66F71">
        <w:t>ed</w:t>
      </w:r>
      <w:r w:rsidR="00A502E6" w:rsidRPr="00A502E6">
        <w:t xml:space="preserve"> the </w:t>
      </w:r>
      <w:r w:rsidR="003C5D8A">
        <w:t xml:space="preserve">usual </w:t>
      </w:r>
      <w:r w:rsidR="00C66F71">
        <w:t xml:space="preserve">schedule </w:t>
      </w:r>
      <w:r w:rsidR="003C5D8A">
        <w:t xml:space="preserve">and sequence </w:t>
      </w:r>
      <w:r w:rsidR="00C66F71">
        <w:t xml:space="preserve">of </w:t>
      </w:r>
      <w:r w:rsidR="00A502E6" w:rsidRPr="00A502E6">
        <w:t xml:space="preserve">meetings of the Bureau and the Working Group </w:t>
      </w:r>
      <w:r w:rsidR="003C5D8A">
        <w:t>d</w:t>
      </w:r>
      <w:r w:rsidR="00A502E6" w:rsidRPr="00A502E6">
        <w:t xml:space="preserve">uring the period. The Working Group </w:t>
      </w:r>
      <w:r w:rsidR="00D3738D">
        <w:t xml:space="preserve">took note of </w:t>
      </w:r>
      <w:r w:rsidR="00A502E6" w:rsidRPr="00A502E6">
        <w:t>a</w:t>
      </w:r>
      <w:r w:rsidR="00D3738D">
        <w:t>n initial</w:t>
      </w:r>
      <w:r w:rsidR="00A502E6" w:rsidRPr="00A502E6">
        <w:t xml:space="preserve"> Bureau proposal </w:t>
      </w:r>
      <w:r w:rsidR="00D3738D">
        <w:t xml:space="preserve">on </w:t>
      </w:r>
      <w:r w:rsidR="00A502E6" w:rsidRPr="00A502E6">
        <w:t xml:space="preserve">how the meetings of the treaty bodies should best be scheduled in the </w:t>
      </w:r>
      <w:r w:rsidR="00D3738D">
        <w:t xml:space="preserve">next </w:t>
      </w:r>
      <w:r w:rsidR="00A502E6" w:rsidRPr="00A502E6">
        <w:t>intersessional period</w:t>
      </w:r>
      <w:r w:rsidR="006444AB">
        <w:t>, which</w:t>
      </w:r>
      <w:r w:rsidR="00D3738D">
        <w:t xml:space="preserve"> </w:t>
      </w:r>
      <w:r w:rsidR="003C5D8A">
        <w:t>was</w:t>
      </w:r>
      <w:r w:rsidR="00D3738D">
        <w:t xml:space="preserve"> expected to extend from </w:t>
      </w:r>
      <w:r w:rsidR="00A502E6" w:rsidRPr="00A502E6">
        <w:t>January 202</w:t>
      </w:r>
      <w:r w:rsidR="00D3738D">
        <w:t xml:space="preserve">1 to </w:t>
      </w:r>
      <w:r w:rsidR="00A502E6" w:rsidRPr="00A502E6">
        <w:t>December 2023</w:t>
      </w:r>
      <w:r w:rsidR="009B25E1">
        <w:t xml:space="preserve"> </w:t>
      </w:r>
      <w:r w:rsidR="00D3738D" w:rsidRPr="00D3738D">
        <w:t>(ECE/MP.EIA/WG.2/2019/INF.1</w:t>
      </w:r>
      <w:r w:rsidR="00D3738D">
        <w:t>3</w:t>
      </w:r>
      <w:r w:rsidR="00D3738D" w:rsidRPr="00D3738D">
        <w:t>)</w:t>
      </w:r>
      <w:r w:rsidR="00A502E6">
        <w:t>.</w:t>
      </w:r>
    </w:p>
    <w:p w14:paraId="2D623A80" w14:textId="112DE71F" w:rsidR="00487C5C" w:rsidRDefault="00487C5C" w:rsidP="00487C5C">
      <w:pPr>
        <w:pStyle w:val="H1G"/>
        <w:jc w:val="both"/>
        <w:rPr>
          <w:bCs/>
        </w:rPr>
      </w:pPr>
      <w:r w:rsidRPr="00CD6BE2">
        <w:lastRenderedPageBreak/>
        <w:tab/>
      </w:r>
      <w:r>
        <w:t>H</w:t>
      </w:r>
      <w:r w:rsidRPr="00CD6BE2">
        <w:t>.</w:t>
      </w:r>
      <w:r w:rsidRPr="00CD6BE2">
        <w:tab/>
      </w:r>
      <w:r w:rsidRPr="00E42AAB">
        <w:rPr>
          <w:bCs/>
        </w:rPr>
        <w:t>Officers for the next intersessional period</w:t>
      </w:r>
    </w:p>
    <w:p w14:paraId="2C8CC457" w14:textId="3B8A66DB" w:rsidR="00541349" w:rsidRDefault="00C47557" w:rsidP="00541349">
      <w:pPr>
        <w:ind w:left="1134" w:right="1179" w:firstLine="6"/>
        <w:jc w:val="both"/>
      </w:pPr>
      <w:r>
        <w:t>62</w:t>
      </w:r>
      <w:r w:rsidR="00541349">
        <w:t>.</w:t>
      </w:r>
      <w:r w:rsidR="00541349">
        <w:tab/>
      </w:r>
      <w:r w:rsidR="00541349" w:rsidRPr="00801420">
        <w:t>The Working Group</w:t>
      </w:r>
      <w:r w:rsidR="00541349">
        <w:t xml:space="preserve"> i</w:t>
      </w:r>
      <w:r w:rsidR="00541349" w:rsidRPr="00445004">
        <w:t>nvited delegations</w:t>
      </w:r>
      <w:r w:rsidR="00FB2442">
        <w:t>,</w:t>
      </w:r>
      <w:r w:rsidR="00541349" w:rsidRPr="00445004">
        <w:t xml:space="preserve"> by </w:t>
      </w:r>
      <w:r w:rsidR="00541349">
        <w:t>the next meeting of the Working Group</w:t>
      </w:r>
      <w:r w:rsidR="00FB2442">
        <w:t>,</w:t>
      </w:r>
      <w:r w:rsidR="00541349">
        <w:t xml:space="preserve"> </w:t>
      </w:r>
      <w:r w:rsidR="00541349" w:rsidRPr="00445004">
        <w:t xml:space="preserve">to come forward with preliminary nominations </w:t>
      </w:r>
      <w:r w:rsidR="009B25E1">
        <w:t>of candidates for election as</w:t>
      </w:r>
      <w:r w:rsidR="00541349" w:rsidRPr="00445004">
        <w:t xml:space="preserve"> officers</w:t>
      </w:r>
      <w:r w:rsidR="00541349">
        <w:t xml:space="preserve"> by the Meetings of the Parties </w:t>
      </w:r>
      <w:r w:rsidR="00541349" w:rsidRPr="00445004">
        <w:t xml:space="preserve">for </w:t>
      </w:r>
      <w:r w:rsidR="00541349">
        <w:t xml:space="preserve">the </w:t>
      </w:r>
      <w:r w:rsidR="00541349" w:rsidRPr="00445004">
        <w:t>next intersessional period</w:t>
      </w:r>
      <w:r w:rsidR="00541349">
        <w:t>, namely</w:t>
      </w:r>
      <w:r w:rsidR="00541349" w:rsidRPr="00445004">
        <w:t xml:space="preserve">: </w:t>
      </w:r>
      <w:r w:rsidR="00054B41">
        <w:t xml:space="preserve">the </w:t>
      </w:r>
      <w:r w:rsidR="00541349" w:rsidRPr="00445004">
        <w:t xml:space="preserve">Chair and Vice-Chairs of </w:t>
      </w:r>
      <w:r w:rsidR="00541349">
        <w:t>the Working Group</w:t>
      </w:r>
      <w:r w:rsidR="00541349" w:rsidRPr="00445004">
        <w:t xml:space="preserve">; </w:t>
      </w:r>
      <w:r w:rsidR="00054B41">
        <w:t xml:space="preserve">the </w:t>
      </w:r>
      <w:r w:rsidR="00541349" w:rsidRPr="00445004">
        <w:t xml:space="preserve">Chair and members of </w:t>
      </w:r>
      <w:r w:rsidR="00FB2442">
        <w:t xml:space="preserve">the </w:t>
      </w:r>
      <w:r w:rsidR="00541349" w:rsidRPr="00445004">
        <w:t>Bureau</w:t>
      </w:r>
      <w:r w:rsidR="00541349">
        <w:t xml:space="preserve">; </w:t>
      </w:r>
      <w:r w:rsidR="00541349" w:rsidRPr="00445004">
        <w:t xml:space="preserve">and </w:t>
      </w:r>
      <w:r w:rsidR="00541349">
        <w:t>five</w:t>
      </w:r>
      <w:r w:rsidR="00541349" w:rsidRPr="00445004">
        <w:t xml:space="preserve"> members</w:t>
      </w:r>
      <w:r w:rsidR="00541349">
        <w:t xml:space="preserve"> of the Implementation Committee. It also i</w:t>
      </w:r>
      <w:r w:rsidR="00541349" w:rsidRPr="00445004">
        <w:t xml:space="preserve">nvited </w:t>
      </w:r>
      <w:r w:rsidR="00541349">
        <w:t xml:space="preserve">the </w:t>
      </w:r>
      <w:r w:rsidR="00541349" w:rsidRPr="00445004">
        <w:t>Bureau to propose possible criteria for officers to be elected</w:t>
      </w:r>
      <w:r w:rsidR="00541349">
        <w:t>.</w:t>
      </w:r>
    </w:p>
    <w:p w14:paraId="666EEF7B" w14:textId="77777777" w:rsidR="00541349" w:rsidRDefault="00541349" w:rsidP="00445004">
      <w:pPr>
        <w:ind w:left="1134" w:right="1179" w:firstLine="6"/>
        <w:jc w:val="both"/>
      </w:pPr>
    </w:p>
    <w:p w14:paraId="061AAD6B" w14:textId="4C947848" w:rsidR="009F38B6" w:rsidRPr="005153C8" w:rsidRDefault="0068518D" w:rsidP="006124D1">
      <w:pPr>
        <w:pStyle w:val="HChG"/>
        <w:jc w:val="both"/>
      </w:pPr>
      <w:r w:rsidRPr="005153C8">
        <w:tab/>
      </w:r>
      <w:r w:rsidR="00BA16EE">
        <w:t>I</w:t>
      </w:r>
      <w:r w:rsidRPr="005153C8">
        <w:t>X.</w:t>
      </w:r>
      <w:r w:rsidRPr="005153C8">
        <w:tab/>
        <w:t>Inputs to related international processes</w:t>
      </w:r>
    </w:p>
    <w:p w14:paraId="3A108E05" w14:textId="05E6FF1D" w:rsidR="00413482" w:rsidRPr="00CD6BE2" w:rsidRDefault="00C47557" w:rsidP="00C47557">
      <w:pPr>
        <w:pStyle w:val="SingleTxtG"/>
      </w:pPr>
      <w:r>
        <w:t>63</w:t>
      </w:r>
      <w:r w:rsidR="00A175B6" w:rsidRPr="00CD6BE2">
        <w:t>.</w:t>
      </w:r>
      <w:r w:rsidR="00A175B6" w:rsidRPr="00CD6BE2">
        <w:tab/>
        <w:t xml:space="preserve">The Working Group </w:t>
      </w:r>
      <w:r w:rsidR="000D3CF0" w:rsidRPr="00CD6BE2">
        <w:t>took note of</w:t>
      </w:r>
      <w:r w:rsidR="00A175B6" w:rsidRPr="00CD6BE2">
        <w:t xml:space="preserve"> th</w:t>
      </w:r>
      <w:r w:rsidR="003C5D8A">
        <w:t>e</w:t>
      </w:r>
      <w:r w:rsidR="00A175B6" w:rsidRPr="00CD6BE2">
        <w:t xml:space="preserve"> information </w:t>
      </w:r>
      <w:r w:rsidR="003C5D8A">
        <w:t xml:space="preserve">provided by the secretariat on its inputs to the following </w:t>
      </w:r>
      <w:r w:rsidR="00A175B6" w:rsidRPr="00CD6BE2">
        <w:t>related international processes:</w:t>
      </w:r>
    </w:p>
    <w:p w14:paraId="2FD3C770" w14:textId="77777777" w:rsidR="00E62486" w:rsidRDefault="00002A3A" w:rsidP="00E62486">
      <w:pPr>
        <w:spacing w:after="120"/>
        <w:ind w:left="1134" w:right="1134" w:firstLine="567"/>
        <w:jc w:val="both"/>
      </w:pPr>
      <w:r>
        <w:tab/>
      </w:r>
      <w:r w:rsidR="00A175B6" w:rsidRPr="00CD6BE2">
        <w:t>(a)</w:t>
      </w:r>
      <w:r w:rsidR="00A175B6" w:rsidRPr="00CD6BE2">
        <w:tab/>
      </w:r>
      <w:bookmarkStart w:id="36" w:name="_Hlk505105376"/>
      <w:r w:rsidR="00E62486">
        <w:t>The</w:t>
      </w:r>
      <w:r w:rsidR="00E62486" w:rsidRPr="00FD6909">
        <w:t xml:space="preserve"> </w:t>
      </w:r>
      <w:r w:rsidR="00E62486">
        <w:t>W</w:t>
      </w:r>
      <w:r w:rsidR="00E62486" w:rsidRPr="00FD6909">
        <w:t xml:space="preserve">orkshop on </w:t>
      </w:r>
      <w:r w:rsidR="00E62486">
        <w:t>R</w:t>
      </w:r>
      <w:r w:rsidR="00E62486" w:rsidRPr="00FD6909">
        <w:t xml:space="preserve">egional </w:t>
      </w:r>
      <w:r w:rsidR="00E62486">
        <w:t>C</w:t>
      </w:r>
      <w:r w:rsidR="00E62486" w:rsidRPr="00FD6909">
        <w:t xml:space="preserve">ooperation to </w:t>
      </w:r>
      <w:r w:rsidR="00E62486">
        <w:t>E</w:t>
      </w:r>
      <w:r w:rsidR="00E62486" w:rsidRPr="00FD6909">
        <w:t xml:space="preserve">nhance </w:t>
      </w:r>
      <w:r w:rsidR="00E62486">
        <w:t>T</w:t>
      </w:r>
      <w:r w:rsidR="00E62486" w:rsidRPr="00FD6909">
        <w:t xml:space="preserve">ransboundary </w:t>
      </w:r>
      <w:r w:rsidR="00E62486">
        <w:t>C</w:t>
      </w:r>
      <w:r w:rsidR="00E62486" w:rsidRPr="00FD6909">
        <w:t xml:space="preserve">onsultation on </w:t>
      </w:r>
      <w:r w:rsidR="00E62486">
        <w:t>N</w:t>
      </w:r>
      <w:r w:rsidR="00E62486" w:rsidRPr="00FD6909">
        <w:t xml:space="preserve">uclear </w:t>
      </w:r>
      <w:r w:rsidR="00E62486">
        <w:t>P</w:t>
      </w:r>
      <w:r w:rsidR="00E62486" w:rsidRPr="00FD6909">
        <w:t xml:space="preserve">ower </w:t>
      </w:r>
      <w:r w:rsidR="00E62486">
        <w:t>D</w:t>
      </w:r>
      <w:r w:rsidR="00E62486" w:rsidRPr="00FD6909">
        <w:t>evelopment in South-East Asia (Singapore, 8</w:t>
      </w:r>
      <w:r w:rsidR="00E62486">
        <w:t xml:space="preserve"> and </w:t>
      </w:r>
      <w:r w:rsidR="00E62486" w:rsidRPr="00FD6909">
        <w:t>9 May 2019</w:t>
      </w:r>
      <w:r w:rsidR="00E62486">
        <w:t>);</w:t>
      </w:r>
      <w:r w:rsidR="00E62486" w:rsidRPr="00FD6909">
        <w:t xml:space="preserve"> </w:t>
      </w:r>
    </w:p>
    <w:bookmarkEnd w:id="36"/>
    <w:p w14:paraId="280568D8" w14:textId="0E2A8B09" w:rsidR="00A175B6" w:rsidRPr="00CD6BE2" w:rsidRDefault="00E62486">
      <w:pPr>
        <w:pStyle w:val="SingleTxtG"/>
      </w:pPr>
      <w:r>
        <w:tab/>
      </w:r>
      <w:r w:rsidR="00002A3A">
        <w:tab/>
      </w:r>
      <w:r w:rsidR="00A175B6" w:rsidRPr="00CD6BE2">
        <w:t>(b)</w:t>
      </w:r>
      <w:r w:rsidR="00A175B6" w:rsidRPr="00CD6BE2">
        <w:tab/>
      </w:r>
      <w:bookmarkStart w:id="37" w:name="_Hlk505105437"/>
      <w:r>
        <w:t>The Consultancy Meeting to Develop Capacity-building Material on Strategic Environmental Assessments of Nuclear Power Programmes, organized by the International Atomic Energy Agency (Vienna, 3–5 July 2019) and proposals for further collaboration</w:t>
      </w:r>
      <w:r w:rsidR="00A175B6" w:rsidRPr="00CD6BE2">
        <w:t>;</w:t>
      </w:r>
      <w:bookmarkEnd w:id="37"/>
    </w:p>
    <w:p w14:paraId="487B96C5" w14:textId="6FF2F937" w:rsidR="009F38B6" w:rsidRDefault="00E62486">
      <w:pPr>
        <w:pStyle w:val="SingleTxtG"/>
      </w:pPr>
      <w:r>
        <w:tab/>
      </w:r>
      <w:r w:rsidR="00002A3A">
        <w:tab/>
      </w:r>
      <w:r w:rsidR="00A175B6" w:rsidRPr="00CD6BE2">
        <w:t>(c)</w:t>
      </w:r>
      <w:r w:rsidR="00A175B6" w:rsidRPr="00CD6BE2">
        <w:tab/>
      </w:r>
      <w:r>
        <w:t xml:space="preserve">The Seventh Meeting of the </w:t>
      </w:r>
      <w:r w:rsidR="00EE1393">
        <w:t>[</w:t>
      </w:r>
      <w:r>
        <w:t>European Union</w:t>
      </w:r>
      <w:r w:rsidR="00EE1393">
        <w:t>]</w:t>
      </w:r>
      <w:r>
        <w:t xml:space="preserve"> Eastern Partnership Panel on Environment and Climate Change (Vienna, 27 and 28 May 2019);</w:t>
      </w:r>
    </w:p>
    <w:p w14:paraId="5CD5E08E" w14:textId="6E856338" w:rsidR="00E62486" w:rsidRPr="00CD6BE2" w:rsidRDefault="00E62486">
      <w:pPr>
        <w:pStyle w:val="SingleTxtG"/>
      </w:pPr>
      <w:r>
        <w:tab/>
      </w:r>
      <w:r>
        <w:tab/>
        <w:t>(d)</w:t>
      </w:r>
      <w:r>
        <w:tab/>
        <w:t>T</w:t>
      </w:r>
      <w:r w:rsidRPr="00E62486">
        <w:t>he Economic and Environmental Dimension Implementation Meeting</w:t>
      </w:r>
      <w:r w:rsidR="00EE1393">
        <w:t>, organized by OSCE</w:t>
      </w:r>
      <w:r w:rsidRPr="00E62486">
        <w:t xml:space="preserve"> (Vienna, 14</w:t>
      </w:r>
      <w:r w:rsidR="00C135A8">
        <w:t xml:space="preserve"> and </w:t>
      </w:r>
      <w:r w:rsidRPr="00E62486">
        <w:t>15 October 2019)</w:t>
      </w:r>
      <w:r w:rsidR="00182A86" w:rsidRPr="00182A86">
        <w:t>.</w:t>
      </w:r>
    </w:p>
    <w:p w14:paraId="64567305" w14:textId="69E4BD10" w:rsidR="00182A86" w:rsidRDefault="00D37DB9" w:rsidP="006124D1">
      <w:pPr>
        <w:pStyle w:val="HChG"/>
        <w:jc w:val="both"/>
      </w:pPr>
      <w:r w:rsidRPr="00CD6BE2">
        <w:tab/>
      </w:r>
      <w:r w:rsidR="0068518D" w:rsidRPr="00CD6BE2">
        <w:t>X.</w:t>
      </w:r>
      <w:r w:rsidR="0068518D" w:rsidRPr="00CD6BE2">
        <w:tab/>
      </w:r>
      <w:r w:rsidR="00182A86">
        <w:t>Other business</w:t>
      </w:r>
    </w:p>
    <w:p w14:paraId="5F5F72FD" w14:textId="3C86FB39" w:rsidR="00182A86" w:rsidRDefault="00C47557" w:rsidP="00182A86">
      <w:pPr>
        <w:ind w:left="1134" w:firstLine="6"/>
      </w:pPr>
      <w:r>
        <w:t>64</w:t>
      </w:r>
      <w:r w:rsidR="00182A86">
        <w:t>.</w:t>
      </w:r>
      <w:r w:rsidR="00182A86">
        <w:tab/>
      </w:r>
      <w:r w:rsidR="00182A86" w:rsidRPr="00CD6BE2">
        <w:t xml:space="preserve">The Working Group took note </w:t>
      </w:r>
      <w:r w:rsidR="00541349" w:rsidRPr="00CD6BE2">
        <w:t xml:space="preserve">of </w:t>
      </w:r>
      <w:r w:rsidR="00541349">
        <w:t>the</w:t>
      </w:r>
      <w:r w:rsidR="00182A86">
        <w:t xml:space="preserve"> information provided by </w:t>
      </w:r>
      <w:r>
        <w:t xml:space="preserve">the delegation of </w:t>
      </w:r>
      <w:r w:rsidR="00182A86">
        <w:t xml:space="preserve">Finland </w:t>
      </w:r>
      <w:r w:rsidR="00EE1393">
        <w:t xml:space="preserve">on </w:t>
      </w:r>
      <w:r w:rsidR="00E05FC8">
        <w:t xml:space="preserve">an </w:t>
      </w:r>
      <w:r w:rsidR="00182A86">
        <w:br/>
        <w:t xml:space="preserve">Arctic Council report on </w:t>
      </w:r>
      <w:r w:rsidR="00F86062">
        <w:t>g</w:t>
      </w:r>
      <w:r w:rsidR="00182A86">
        <w:t xml:space="preserve">ood </w:t>
      </w:r>
      <w:r w:rsidR="00F86062">
        <w:t>p</w:t>
      </w:r>
      <w:r w:rsidR="00182A86">
        <w:t xml:space="preserve">ractices for </w:t>
      </w:r>
      <w:r w:rsidR="00F86062">
        <w:t>e</w:t>
      </w:r>
      <w:r>
        <w:t xml:space="preserve">nvironmental </w:t>
      </w:r>
      <w:r w:rsidR="00F86062">
        <w:t>i</w:t>
      </w:r>
      <w:r>
        <w:t xml:space="preserve">mpact </w:t>
      </w:r>
      <w:r w:rsidR="00F86062">
        <w:t>a</w:t>
      </w:r>
      <w:r>
        <w:t>ssessment</w:t>
      </w:r>
      <w:r w:rsidR="00182A86">
        <w:t xml:space="preserve"> and </w:t>
      </w:r>
      <w:r w:rsidR="00F86062">
        <w:t>m</w:t>
      </w:r>
      <w:r w:rsidR="00182A86">
        <w:t xml:space="preserve">eaningful </w:t>
      </w:r>
      <w:r w:rsidR="00F86062">
        <w:t>e</w:t>
      </w:r>
      <w:r w:rsidR="00182A86">
        <w:t>ngagement in the Arctic</w:t>
      </w:r>
      <w:r>
        <w:t xml:space="preserve">, </w:t>
      </w:r>
      <w:r w:rsidR="00EE1393">
        <w:t>which</w:t>
      </w:r>
      <w:r>
        <w:t xml:space="preserve"> included good p</w:t>
      </w:r>
      <w:r w:rsidR="00182A86">
        <w:t xml:space="preserve">ractice </w:t>
      </w:r>
      <w:r>
        <w:t>r</w:t>
      </w:r>
      <w:r w:rsidR="00182A86">
        <w:t>ecommendations</w:t>
      </w:r>
      <w:r w:rsidR="00182A86" w:rsidRPr="00CD6BE2">
        <w:t>.</w:t>
      </w:r>
      <w:r>
        <w:rPr>
          <w:rStyle w:val="FootnoteReference"/>
        </w:rPr>
        <w:footnoteReference w:id="13"/>
      </w:r>
      <w:r w:rsidR="00182A86" w:rsidRPr="00CD6BE2">
        <w:tab/>
      </w:r>
    </w:p>
    <w:p w14:paraId="70D42527" w14:textId="15A23119" w:rsidR="00182A86" w:rsidRDefault="00182A86" w:rsidP="00182A86"/>
    <w:p w14:paraId="2A3126C3" w14:textId="4553360D" w:rsidR="00182A86" w:rsidRDefault="00182A86" w:rsidP="00182A86">
      <w:pPr>
        <w:pStyle w:val="HChG"/>
        <w:jc w:val="both"/>
      </w:pPr>
      <w:r w:rsidRPr="00CD6BE2">
        <w:tab/>
        <w:t>X</w:t>
      </w:r>
      <w:r w:rsidR="00A666C5">
        <w:t>I</w:t>
      </w:r>
      <w:r w:rsidRPr="00CD6BE2">
        <w:t>.</w:t>
      </w:r>
      <w:r w:rsidRPr="00CD6BE2">
        <w:tab/>
        <w:t xml:space="preserve">Presentation of the main decisions taken and closing of </w:t>
      </w:r>
      <w:r w:rsidRPr="00CD6BE2">
        <w:br/>
        <w:t>the meeting</w:t>
      </w:r>
    </w:p>
    <w:p w14:paraId="5087FA54" w14:textId="0E29B1F5" w:rsidR="00A666C5" w:rsidRDefault="00182A86" w:rsidP="00182A86">
      <w:pPr>
        <w:pStyle w:val="SingleTxtG"/>
      </w:pPr>
      <w:r>
        <w:tab/>
      </w:r>
      <w:r w:rsidR="00C47557">
        <w:t>65</w:t>
      </w:r>
      <w:r w:rsidRPr="00CD6BE2">
        <w:t>.</w:t>
      </w:r>
      <w:r w:rsidRPr="00CD6BE2">
        <w:tab/>
        <w:t xml:space="preserve">The Working Group </w:t>
      </w:r>
      <w:r>
        <w:t>endorsed</w:t>
      </w:r>
      <w:r w:rsidRPr="00CD6BE2">
        <w:t xml:space="preserve"> the main decisions</w:t>
      </w:r>
      <w:r>
        <w:t xml:space="preserve"> agreed</w:t>
      </w:r>
      <w:r w:rsidRPr="00CD6BE2">
        <w:t xml:space="preserve"> at the meeting, as presented by the secretariat, and </w:t>
      </w:r>
      <w:r>
        <w:t>requested the secretariat to prepare</w:t>
      </w:r>
      <w:r w:rsidRPr="00CD6BE2">
        <w:t xml:space="preserve"> the report on the meeting under the guidance of the Chair. The Chair officially closed the meeting on </w:t>
      </w:r>
      <w:r>
        <w:t>Thursday</w:t>
      </w:r>
      <w:r w:rsidRPr="00CD6BE2">
        <w:t xml:space="preserve">, </w:t>
      </w:r>
      <w:r>
        <w:t xml:space="preserve">28 November </w:t>
      </w:r>
      <w:r w:rsidRPr="00CD6BE2">
        <w:t>201</w:t>
      </w:r>
      <w:r>
        <w:t>9</w:t>
      </w:r>
      <w:r w:rsidRPr="00CD6BE2">
        <w:t>.</w:t>
      </w:r>
    </w:p>
    <w:p w14:paraId="3216C9ED" w14:textId="77777777" w:rsidR="00A666C5" w:rsidRDefault="00A666C5">
      <w:pPr>
        <w:suppressAutoHyphens w:val="0"/>
        <w:spacing w:line="240" w:lineRule="auto"/>
      </w:pPr>
      <w:r>
        <w:br w:type="page"/>
      </w:r>
    </w:p>
    <w:p w14:paraId="5972449E" w14:textId="78097975" w:rsidR="00A666C5" w:rsidRDefault="00A666C5" w:rsidP="00A666C5">
      <w:pPr>
        <w:keepNext/>
        <w:keepLines/>
        <w:tabs>
          <w:tab w:val="right" w:pos="851"/>
        </w:tabs>
        <w:spacing w:after="120" w:line="300" w:lineRule="exact"/>
        <w:ind w:left="1134" w:right="1134" w:hanging="1134"/>
        <w:jc w:val="both"/>
        <w:rPr>
          <w:b/>
          <w:sz w:val="28"/>
          <w:highlight w:val="yellow"/>
        </w:rPr>
      </w:pPr>
      <w:r>
        <w:rPr>
          <w:b/>
          <w:sz w:val="28"/>
        </w:rPr>
        <w:lastRenderedPageBreak/>
        <w:t xml:space="preserve">Annex </w:t>
      </w:r>
    </w:p>
    <w:p w14:paraId="453918C5" w14:textId="1F9F3A98" w:rsidR="00A666C5" w:rsidRDefault="00A666C5" w:rsidP="00E60CF0">
      <w:pPr>
        <w:keepNext/>
        <w:keepLines/>
        <w:tabs>
          <w:tab w:val="right" w:pos="851"/>
        </w:tabs>
        <w:spacing w:after="120" w:line="300" w:lineRule="exact"/>
        <w:ind w:left="1134" w:right="1134" w:hanging="1134"/>
        <w:jc w:val="both"/>
        <w:rPr>
          <w:b/>
          <w:sz w:val="24"/>
        </w:rPr>
      </w:pPr>
      <w:r>
        <w:rPr>
          <w:b/>
          <w:sz w:val="28"/>
        </w:rPr>
        <w:tab/>
      </w:r>
      <w:r>
        <w:rPr>
          <w:b/>
          <w:sz w:val="28"/>
        </w:rPr>
        <w:tab/>
      </w:r>
      <w:r>
        <w:rPr>
          <w:b/>
          <w:sz w:val="28"/>
        </w:rPr>
        <w:tab/>
      </w:r>
      <w:bookmarkStart w:id="38" w:name="_Hlk29299357"/>
      <w:r w:rsidR="00E60CF0">
        <w:rPr>
          <w:b/>
          <w:sz w:val="28"/>
        </w:rPr>
        <w:t>Moderators</w:t>
      </w:r>
      <w:r>
        <w:rPr>
          <w:b/>
          <w:sz w:val="28"/>
        </w:rPr>
        <w:t xml:space="preserve">’ summary report </w:t>
      </w:r>
      <w:bookmarkStart w:id="39" w:name="_Hlk29805343"/>
      <w:r w:rsidR="00E60CF0" w:rsidRPr="00E60CF0">
        <w:rPr>
          <w:b/>
          <w:sz w:val="28"/>
        </w:rPr>
        <w:t>on the assessment of health impacts and health sector involvement in strategic environmental assessment</w:t>
      </w:r>
      <w:bookmarkEnd w:id="39"/>
      <w:r w:rsidR="00E60CF0" w:rsidRPr="00E60CF0">
        <w:rPr>
          <w:b/>
          <w:sz w:val="28"/>
        </w:rPr>
        <w:t xml:space="preserve"> </w:t>
      </w:r>
    </w:p>
    <w:bookmarkEnd w:id="38"/>
    <w:p w14:paraId="610279E4" w14:textId="307810DA" w:rsidR="007935FA" w:rsidRDefault="00A666C5" w:rsidP="00A666C5">
      <w:pPr>
        <w:pStyle w:val="SingleTxtG"/>
      </w:pPr>
      <w:r>
        <w:t>1.</w:t>
      </w:r>
      <w:r>
        <w:tab/>
      </w:r>
      <w:r w:rsidR="00317A51" w:rsidRPr="00317A51">
        <w:t xml:space="preserve">The workshop on the assessment of health impacts and health sector involvement in strategic environmental assessment had been organized by the secretariat, in cooperation with </w:t>
      </w:r>
      <w:r w:rsidR="0011692C">
        <w:t>the World Health Organization (</w:t>
      </w:r>
      <w:r w:rsidR="00317A51" w:rsidRPr="00317A51">
        <w:t>WHO</w:t>
      </w:r>
      <w:r w:rsidR="0011692C">
        <w:t>)</w:t>
      </w:r>
      <w:r w:rsidR="00317A51" w:rsidRPr="00317A51">
        <w:t xml:space="preserve">, to present and discuss the draft guidance on that topic being developed by two consultants, in consultation with the secretariat, WHO and the European Investment Bank, with funding from the Bank. The workshop also provided an opportunity to showcase relevant selected good practices in the ECE region. </w:t>
      </w:r>
      <w:r w:rsidR="007935FA" w:rsidRPr="007935FA">
        <w:t>Most presentations were led by presenters from the health sector, in consultation with colleagues from the environment sector.</w:t>
      </w:r>
    </w:p>
    <w:p w14:paraId="238EF398" w14:textId="59726531" w:rsidR="00317A51" w:rsidRDefault="00317A51" w:rsidP="00A666C5">
      <w:pPr>
        <w:pStyle w:val="SingleTxtG"/>
      </w:pPr>
      <w:r>
        <w:t>2.</w:t>
      </w:r>
      <w:r>
        <w:tab/>
        <w:t xml:space="preserve">The workshop </w:t>
      </w:r>
      <w:r w:rsidR="00282CE3">
        <w:t>began</w:t>
      </w:r>
      <w:r w:rsidRPr="00317A51">
        <w:t xml:space="preserve"> with introductory speeches by the Secretary to the Espoo Convention and its Protocol</w:t>
      </w:r>
      <w:r>
        <w:t xml:space="preserve"> and by Ms. Angela </w:t>
      </w:r>
      <w:proofErr w:type="spellStart"/>
      <w:r>
        <w:t>Filipas</w:t>
      </w:r>
      <w:proofErr w:type="spellEnd"/>
      <w:r w:rsidRPr="00317A51">
        <w:t xml:space="preserve"> </w:t>
      </w:r>
      <w:r w:rsidR="00282CE3">
        <w:t>(</w:t>
      </w:r>
      <w:r w:rsidRPr="00317A51">
        <w:t>European Investment Bank</w:t>
      </w:r>
      <w:r w:rsidR="00282CE3">
        <w:t>)</w:t>
      </w:r>
      <w:r w:rsidRPr="00317A51">
        <w:t>.</w:t>
      </w:r>
    </w:p>
    <w:p w14:paraId="3A780BCB" w14:textId="169DA039" w:rsidR="00A666C5" w:rsidRDefault="00317A51" w:rsidP="00A666C5">
      <w:pPr>
        <w:pStyle w:val="SingleTxtG"/>
      </w:pPr>
      <w:r>
        <w:t>3</w:t>
      </w:r>
      <w:r w:rsidR="007935FA">
        <w:t>.</w:t>
      </w:r>
      <w:r w:rsidR="007935FA">
        <w:tab/>
      </w:r>
      <w:r w:rsidR="00A666C5">
        <w:t>M</w:t>
      </w:r>
      <w:r w:rsidR="007935FA">
        <w:t>s</w:t>
      </w:r>
      <w:r w:rsidR="00A666C5">
        <w:t xml:space="preserve">. </w:t>
      </w:r>
      <w:r w:rsidR="007935FA" w:rsidRPr="007935FA">
        <w:t>Julia Nowacki (</w:t>
      </w:r>
      <w:r w:rsidR="006E39ED">
        <w:t>WHO</w:t>
      </w:r>
      <w:r w:rsidR="007935FA" w:rsidRPr="007935FA">
        <w:t xml:space="preserve"> Regional Office</w:t>
      </w:r>
      <w:r w:rsidR="00E506F0">
        <w:t xml:space="preserve"> for </w:t>
      </w:r>
      <w:r w:rsidR="00E506F0" w:rsidRPr="00E506F0">
        <w:t>Europe</w:t>
      </w:r>
      <w:r w:rsidR="007935FA" w:rsidRPr="007935FA">
        <w:t>) provided important background information</w:t>
      </w:r>
      <w:r w:rsidR="00D20B27">
        <w:t>,</w:t>
      </w:r>
      <w:r w:rsidR="007935FA" w:rsidRPr="007935FA">
        <w:t xml:space="preserve"> explaining that a high level of protection of the environment </w:t>
      </w:r>
      <w:r w:rsidR="00D20B27">
        <w:t>wa</w:t>
      </w:r>
      <w:r w:rsidR="007935FA" w:rsidRPr="007935FA">
        <w:t xml:space="preserve">s </w:t>
      </w:r>
      <w:r w:rsidR="00D20B27">
        <w:t>vital</w:t>
      </w:r>
      <w:r w:rsidR="00D20B27" w:rsidRPr="007935FA">
        <w:t xml:space="preserve"> </w:t>
      </w:r>
      <w:r w:rsidR="007935FA" w:rsidRPr="007935FA">
        <w:t xml:space="preserve">for the protection and improvement of health. </w:t>
      </w:r>
      <w:r w:rsidR="00061687">
        <w:t>T</w:t>
      </w:r>
      <w:r w:rsidR="007935FA" w:rsidRPr="007935FA">
        <w:t xml:space="preserve">he fraction of the global burden of disease due to the environment </w:t>
      </w:r>
      <w:r w:rsidR="007935FA">
        <w:t>was</w:t>
      </w:r>
      <w:r w:rsidR="007935FA" w:rsidRPr="007935FA">
        <w:t xml:space="preserve"> 22</w:t>
      </w:r>
      <w:r w:rsidR="00AA555C">
        <w:t xml:space="preserve"> per cent</w:t>
      </w:r>
      <w:r w:rsidR="007935FA">
        <w:t xml:space="preserve"> </w:t>
      </w:r>
      <w:r w:rsidR="007935FA" w:rsidRPr="007935FA">
        <w:t xml:space="preserve">and the effect on children </w:t>
      </w:r>
      <w:r w:rsidR="007935FA">
        <w:t>wa</w:t>
      </w:r>
      <w:r w:rsidR="007935FA" w:rsidRPr="007935FA">
        <w:t xml:space="preserve">s even </w:t>
      </w:r>
      <w:r w:rsidR="00061687">
        <w:t>great</w:t>
      </w:r>
      <w:r w:rsidR="00061687" w:rsidRPr="007935FA">
        <w:t>er</w:t>
      </w:r>
      <w:r w:rsidR="007935FA" w:rsidRPr="007935FA">
        <w:t>. Health and non-health plans</w:t>
      </w:r>
      <w:r w:rsidR="00061687">
        <w:t>,</w:t>
      </w:r>
      <w:r w:rsidR="007935FA" w:rsidRPr="007935FA">
        <w:t xml:space="preserve"> programmes</w:t>
      </w:r>
      <w:r w:rsidR="00061687">
        <w:t xml:space="preserve"> and policy</w:t>
      </w:r>
      <w:r w:rsidR="007935FA" w:rsidRPr="007935FA">
        <w:t xml:space="preserve"> fields </w:t>
      </w:r>
      <w:r w:rsidR="00061687">
        <w:t>we</w:t>
      </w:r>
      <w:r w:rsidR="007935FA" w:rsidRPr="007935FA">
        <w:t xml:space="preserve">re interlinked and associated themes </w:t>
      </w:r>
      <w:r w:rsidR="00FE46A1">
        <w:t>had been</w:t>
      </w:r>
      <w:r w:rsidR="00FE46A1" w:rsidRPr="007935FA">
        <w:t xml:space="preserve"> </w:t>
      </w:r>
      <w:r w:rsidR="007935FA" w:rsidRPr="007935FA">
        <w:t>introduced by</w:t>
      </w:r>
      <w:r w:rsidR="00AA555C">
        <w:t>, for example,</w:t>
      </w:r>
      <w:r w:rsidR="007935FA" w:rsidRPr="007935FA">
        <w:t xml:space="preserve"> the 2017 Declaration of the Sixth Ministerial Conference on Environment and Health</w:t>
      </w:r>
      <w:r w:rsidR="007935FA">
        <w:t>.</w:t>
      </w:r>
      <w:r w:rsidR="007935FA">
        <w:rPr>
          <w:rStyle w:val="FootnoteReference"/>
        </w:rPr>
        <w:footnoteReference w:id="14"/>
      </w:r>
      <w:r w:rsidR="007935FA" w:rsidRPr="007935FA">
        <w:t xml:space="preserve"> In th</w:t>
      </w:r>
      <w:r w:rsidR="007935FA">
        <w:t>at</w:t>
      </w:r>
      <w:r w:rsidR="007935FA" w:rsidRPr="007935FA">
        <w:t xml:space="preserve"> context, nearly </w:t>
      </w:r>
      <w:r w:rsidR="007935FA">
        <w:t>100</w:t>
      </w:r>
      <w:r w:rsidR="00AA555C">
        <w:t xml:space="preserve"> per cent</w:t>
      </w:r>
      <w:r w:rsidR="007935FA" w:rsidRPr="007935FA">
        <w:t xml:space="preserve"> of </w:t>
      </w:r>
      <w:r w:rsidR="006E39ED">
        <w:t xml:space="preserve">the </w:t>
      </w:r>
      <w:r w:rsidR="007935FA" w:rsidRPr="007935FA">
        <w:t xml:space="preserve">urban population </w:t>
      </w:r>
      <w:r w:rsidR="007935FA">
        <w:t>with</w:t>
      </w:r>
      <w:r w:rsidR="007935FA" w:rsidRPr="007935FA">
        <w:t xml:space="preserve">in the </w:t>
      </w:r>
      <w:r w:rsidR="007935FA">
        <w:t>European Union</w:t>
      </w:r>
      <w:r w:rsidR="007935FA" w:rsidRPr="007935FA">
        <w:t xml:space="preserve"> </w:t>
      </w:r>
      <w:r w:rsidR="00061687">
        <w:t>w</w:t>
      </w:r>
      <w:r w:rsidR="006E39ED">
        <w:t>as</w:t>
      </w:r>
      <w:r w:rsidR="007935FA" w:rsidRPr="007935FA">
        <w:t xml:space="preserve"> exposed to air pollutant concentrations above WHO reference levels.</w:t>
      </w:r>
    </w:p>
    <w:p w14:paraId="2A693680" w14:textId="14E3683B" w:rsidR="00A666C5" w:rsidRDefault="00317A51" w:rsidP="00A666C5">
      <w:pPr>
        <w:pStyle w:val="SingleTxtG"/>
      </w:pPr>
      <w:r>
        <w:t>4</w:t>
      </w:r>
      <w:r w:rsidR="00A666C5">
        <w:t>.</w:t>
      </w:r>
      <w:r w:rsidR="00A666C5">
        <w:tab/>
      </w:r>
      <w:r w:rsidR="007935FA">
        <w:t xml:space="preserve">Two consultants, Mr. </w:t>
      </w:r>
      <w:r w:rsidR="007935FA" w:rsidRPr="007935FA">
        <w:t>Thomas Fischer (University of Liverpool</w:t>
      </w:r>
      <w:r w:rsidR="00D20B27">
        <w:t>, United Kingdom of Great Britain and Northern Ireland</w:t>
      </w:r>
      <w:r w:rsidR="007935FA" w:rsidRPr="007935FA">
        <w:t xml:space="preserve">) and </w:t>
      </w:r>
      <w:r w:rsidR="007935FA">
        <w:t xml:space="preserve">Mr. </w:t>
      </w:r>
      <w:r w:rsidR="007935FA" w:rsidRPr="007935FA">
        <w:t>Ben Cave (Ben Cave Associates)</w:t>
      </w:r>
      <w:r w:rsidR="00D20B27">
        <w:t>,</w:t>
      </w:r>
      <w:r w:rsidR="007935FA" w:rsidRPr="007935FA">
        <w:t xml:space="preserve"> introduced the draft guidance on assessing health impacts in strategic environmental assessment. Th</w:t>
      </w:r>
      <w:r w:rsidR="005938A7">
        <w:t xml:space="preserve">eir presentation focused on </w:t>
      </w:r>
      <w:r w:rsidR="007935FA" w:rsidRPr="007935FA">
        <w:t>the two main parts of the guidance</w:t>
      </w:r>
      <w:r w:rsidR="00AA555C">
        <w:t>:</w:t>
      </w:r>
      <w:r w:rsidR="007935FA" w:rsidRPr="007935FA">
        <w:t xml:space="preserve"> (</w:t>
      </w:r>
      <w:r w:rsidR="00AA555C">
        <w:t>a</w:t>
      </w:r>
      <w:r w:rsidR="007935FA" w:rsidRPr="007935FA">
        <w:t>) the principles for considering health in strategic environmental assessment</w:t>
      </w:r>
      <w:r w:rsidR="00AA555C">
        <w:t>;</w:t>
      </w:r>
      <w:r w:rsidR="007935FA" w:rsidRPr="007935FA">
        <w:t xml:space="preserve"> and (</w:t>
      </w:r>
      <w:r w:rsidR="00AA555C">
        <w:t>b</w:t>
      </w:r>
      <w:r w:rsidR="007935FA" w:rsidRPr="007935FA">
        <w:t xml:space="preserve">) </w:t>
      </w:r>
      <w:bookmarkStart w:id="40" w:name="_Hlk29230554"/>
      <w:r w:rsidR="007935FA" w:rsidRPr="007935FA">
        <w:t xml:space="preserve">strategic environmental assessment </w:t>
      </w:r>
      <w:bookmarkEnd w:id="40"/>
      <w:r w:rsidR="007935FA" w:rsidRPr="007935FA">
        <w:t>and health in practice.</w:t>
      </w:r>
      <w:r w:rsidR="007935FA">
        <w:t xml:space="preserve"> </w:t>
      </w:r>
    </w:p>
    <w:p w14:paraId="215C987B" w14:textId="5C4294CF" w:rsidR="00A666C5" w:rsidRDefault="00463400" w:rsidP="00A666C5">
      <w:pPr>
        <w:pStyle w:val="SingleTxtG"/>
      </w:pPr>
      <w:r>
        <w:t>5.</w:t>
      </w:r>
      <w:r w:rsidR="00A666C5">
        <w:tab/>
        <w:t xml:space="preserve">Mr. </w:t>
      </w:r>
      <w:r w:rsidR="00A61724" w:rsidRPr="00A61724">
        <w:t>Jaroslav Volf (University Hospital Ostrava</w:t>
      </w:r>
      <w:r w:rsidR="00E763A9">
        <w:t>, Czechia) and</w:t>
      </w:r>
      <w:r w:rsidR="00A61724" w:rsidRPr="00A61724">
        <w:t xml:space="preserve"> </w:t>
      </w:r>
      <w:r w:rsidR="00E763A9">
        <w:t xml:space="preserve">Ms. </w:t>
      </w:r>
      <w:r w:rsidR="00A61724" w:rsidRPr="00A61724">
        <w:t xml:space="preserve">Helena Kazmarová, </w:t>
      </w:r>
      <w:r w:rsidR="00E763A9">
        <w:t>(</w:t>
      </w:r>
      <w:r w:rsidR="00A61724" w:rsidRPr="00A61724">
        <w:t>N</w:t>
      </w:r>
      <w:r w:rsidR="00E763A9">
        <w:t xml:space="preserve">ational </w:t>
      </w:r>
      <w:r w:rsidR="00A61724" w:rsidRPr="00A61724">
        <w:t>I</w:t>
      </w:r>
      <w:r w:rsidR="00E763A9">
        <w:t xml:space="preserve">nstitute of </w:t>
      </w:r>
      <w:r w:rsidR="00A61724" w:rsidRPr="00A61724">
        <w:t>P</w:t>
      </w:r>
      <w:r w:rsidR="00E763A9">
        <w:t xml:space="preserve">ublic </w:t>
      </w:r>
      <w:r w:rsidR="00A61724" w:rsidRPr="00A61724">
        <w:t>H</w:t>
      </w:r>
      <w:r w:rsidR="00E763A9">
        <w:t>ealth, Czechia),</w:t>
      </w:r>
      <w:r w:rsidR="00A61724" w:rsidRPr="00A61724">
        <w:t xml:space="preserve"> reported on the Czech experience </w:t>
      </w:r>
      <w:r w:rsidR="0027038E">
        <w:t>of</w:t>
      </w:r>
      <w:r w:rsidR="00A61724" w:rsidRPr="00A61724">
        <w:t xml:space="preserve"> integration of health/</w:t>
      </w:r>
      <w:r w:rsidR="00884118">
        <w:t>health impact assessment</w:t>
      </w:r>
      <w:r w:rsidR="00A61724" w:rsidRPr="00A61724">
        <w:t xml:space="preserve"> into strategic environmental assessment and introduced a specific case study, namely the Regional Energy Concept of </w:t>
      </w:r>
      <w:proofErr w:type="spellStart"/>
      <w:r w:rsidR="00A61724" w:rsidRPr="00A61724">
        <w:t>Vysočina</w:t>
      </w:r>
      <w:proofErr w:type="spellEnd"/>
      <w:r w:rsidR="00A61724" w:rsidRPr="00A61724">
        <w:t xml:space="preserve"> </w:t>
      </w:r>
      <w:r w:rsidR="00DD7279" w:rsidRPr="00A61724">
        <w:t>Region update</w:t>
      </w:r>
      <w:r w:rsidR="00A61724" w:rsidRPr="00A61724">
        <w:t xml:space="preserve"> 2017</w:t>
      </w:r>
      <w:r w:rsidR="00AA555C">
        <w:t>–</w:t>
      </w:r>
      <w:r w:rsidR="00A61724" w:rsidRPr="00A61724">
        <w:t>2042. H</w:t>
      </w:r>
      <w:r w:rsidR="00D331AB">
        <w:t>ealth impact assessment had been initiated</w:t>
      </w:r>
      <w:r w:rsidR="00A61724" w:rsidRPr="00A61724">
        <w:t xml:space="preserve"> in the 1990s and </w:t>
      </w:r>
      <w:r w:rsidR="00D331AB">
        <w:t>strategic environmental assessment</w:t>
      </w:r>
      <w:r w:rsidR="00D331AB" w:rsidRPr="00A61724">
        <w:t xml:space="preserve"> </w:t>
      </w:r>
      <w:r w:rsidR="00A61724" w:rsidRPr="00A61724">
        <w:t xml:space="preserve">in 2006, with 288 strategic environmental assessment cases </w:t>
      </w:r>
      <w:r w:rsidR="00D331AB">
        <w:t xml:space="preserve">having </w:t>
      </w:r>
      <w:r w:rsidR="00A61724" w:rsidRPr="00A61724">
        <w:t>be</w:t>
      </w:r>
      <w:r w:rsidR="00D331AB">
        <w:t>en</w:t>
      </w:r>
      <w:r w:rsidR="00A61724" w:rsidRPr="00A61724">
        <w:t xml:space="preserve"> produced </w:t>
      </w:r>
      <w:r w:rsidR="00D331AB">
        <w:t>to date</w:t>
      </w:r>
      <w:r w:rsidR="00A61724" w:rsidRPr="00A61724">
        <w:t>. In C</w:t>
      </w:r>
      <w:r w:rsidR="00D331AB">
        <w:t>z</w:t>
      </w:r>
      <w:r w:rsidR="00A61724" w:rsidRPr="00A61724">
        <w:t xml:space="preserve">echia, </w:t>
      </w:r>
      <w:r w:rsidR="00A61724" w:rsidRPr="007935FA">
        <w:t xml:space="preserve">strategic environmental assessment </w:t>
      </w:r>
      <w:r w:rsidR="00A61724" w:rsidRPr="00A61724">
        <w:t xml:space="preserve">and </w:t>
      </w:r>
      <w:r w:rsidR="00D331AB">
        <w:t>health impact assessment</w:t>
      </w:r>
      <w:r w:rsidR="00D331AB" w:rsidRPr="00A61724">
        <w:t xml:space="preserve"> </w:t>
      </w:r>
      <w:r w:rsidR="00A61724" w:rsidRPr="00A61724">
        <w:t>experts form</w:t>
      </w:r>
      <w:r w:rsidR="00D331AB">
        <w:t>ed</w:t>
      </w:r>
      <w:r w:rsidR="00A61724" w:rsidRPr="00A61724">
        <w:t xml:space="preserve"> teams and </w:t>
      </w:r>
      <w:r w:rsidR="00D331AB">
        <w:t>initiated</w:t>
      </w:r>
      <w:r w:rsidR="00D331AB" w:rsidRPr="00A61724">
        <w:t xml:space="preserve"> </w:t>
      </w:r>
      <w:r w:rsidR="00A61724" w:rsidRPr="007935FA">
        <w:t xml:space="preserve">strategic environmental assessment </w:t>
      </w:r>
      <w:r w:rsidR="00A61724" w:rsidRPr="00A61724">
        <w:t xml:space="preserve">and </w:t>
      </w:r>
      <w:r w:rsidR="00D331AB">
        <w:t>health impact assessment</w:t>
      </w:r>
      <w:r w:rsidR="00D331AB" w:rsidRPr="00A61724">
        <w:t xml:space="preserve"> </w:t>
      </w:r>
      <w:r w:rsidR="00A61724" w:rsidRPr="00A61724">
        <w:t xml:space="preserve">at the same time. In the case study, environmental, social and economic determinants of health </w:t>
      </w:r>
      <w:r w:rsidR="00D331AB">
        <w:t>had been</w:t>
      </w:r>
      <w:r w:rsidR="00D331AB" w:rsidRPr="00A61724">
        <w:t xml:space="preserve"> </w:t>
      </w:r>
      <w:r w:rsidR="00A61724" w:rsidRPr="00A61724">
        <w:t xml:space="preserve">assessed and the </w:t>
      </w:r>
      <w:proofErr w:type="spellStart"/>
      <w:r w:rsidR="00D331AB">
        <w:t>Dukovany</w:t>
      </w:r>
      <w:proofErr w:type="spellEnd"/>
      <w:r w:rsidR="00D331AB">
        <w:t xml:space="preserve"> </w:t>
      </w:r>
      <w:r w:rsidR="00A61724" w:rsidRPr="00A61724">
        <w:t xml:space="preserve">nuclear power plant </w:t>
      </w:r>
      <w:r w:rsidR="00D331AB">
        <w:t xml:space="preserve">had </w:t>
      </w:r>
      <w:r w:rsidR="00A61724" w:rsidRPr="00A61724">
        <w:t>received particular attention. The authors observed a focus on negative impacts</w:t>
      </w:r>
      <w:r w:rsidR="00D331AB">
        <w:t>,</w:t>
      </w:r>
      <w:r w:rsidR="00A61724" w:rsidRPr="00A61724">
        <w:t xml:space="preserve"> with only </w:t>
      </w:r>
      <w:r w:rsidR="00D331AB">
        <w:t xml:space="preserve">a </w:t>
      </w:r>
      <w:r w:rsidR="00A61724" w:rsidRPr="00A61724">
        <w:t>few examples considering positive effects. They perceived th</w:t>
      </w:r>
      <w:r w:rsidR="00D331AB">
        <w:t>at situation</w:t>
      </w:r>
      <w:r w:rsidR="00A61724" w:rsidRPr="00A61724">
        <w:t xml:space="preserve"> as being problematic.</w:t>
      </w:r>
    </w:p>
    <w:p w14:paraId="78526133" w14:textId="0511F53A" w:rsidR="00A666C5" w:rsidRDefault="00DD7279" w:rsidP="00A61724">
      <w:pPr>
        <w:pStyle w:val="SingleTxtG"/>
      </w:pPr>
      <w:r>
        <w:t>6</w:t>
      </w:r>
      <w:r w:rsidR="00A666C5">
        <w:t>.</w:t>
      </w:r>
      <w:r w:rsidR="00A666C5">
        <w:tab/>
      </w:r>
      <w:r w:rsidR="00A61724">
        <w:t xml:space="preserve">Ms. </w:t>
      </w:r>
      <w:r w:rsidR="00A61724" w:rsidRPr="00A61724">
        <w:t>B</w:t>
      </w:r>
      <w:r w:rsidR="00526D8D">
        <w:t>ri</w:t>
      </w:r>
      <w:r w:rsidR="00A61724" w:rsidRPr="00A61724">
        <w:t>git Staatsen (</w:t>
      </w:r>
      <w:r w:rsidR="00325036">
        <w:t>National Institute for Public Health and the Environment</w:t>
      </w:r>
      <w:r w:rsidR="00A61724" w:rsidRPr="00A61724">
        <w:t xml:space="preserve">, Netherlands) explained how health </w:t>
      </w:r>
      <w:r w:rsidR="00325036">
        <w:t>had been</w:t>
      </w:r>
      <w:r w:rsidR="00A61724" w:rsidRPr="00A61724">
        <w:t xml:space="preserve"> considered in the preparation of the National Strategy on Spatial Planning and the Environment. </w:t>
      </w:r>
      <w:r w:rsidR="00325036">
        <w:t>Of particular importance in that regard was t</w:t>
      </w:r>
      <w:r w:rsidR="00A61724" w:rsidRPr="00A61724">
        <w:t>he new Environment</w:t>
      </w:r>
      <w:r w:rsidR="000A7DA3">
        <w:t>al</w:t>
      </w:r>
      <w:r w:rsidR="00A61724" w:rsidRPr="00A61724">
        <w:t xml:space="preserve"> Act</w:t>
      </w:r>
      <w:r w:rsidR="00012F73">
        <w:t>,</w:t>
      </w:r>
      <w:r w:rsidR="00A61724" w:rsidRPr="00A61724">
        <w:t xml:space="preserve"> which aim</w:t>
      </w:r>
      <w:r w:rsidR="00012F73">
        <w:t>ed</w:t>
      </w:r>
      <w:r w:rsidR="00A61724" w:rsidRPr="00A61724">
        <w:t xml:space="preserve"> </w:t>
      </w:r>
      <w:r w:rsidR="00012F73">
        <w:t>to</w:t>
      </w:r>
      <w:r w:rsidR="00A61724" w:rsidRPr="00A61724">
        <w:t xml:space="preserve"> </w:t>
      </w:r>
      <w:r w:rsidR="00012F73" w:rsidRPr="00A61724">
        <w:t>creat</w:t>
      </w:r>
      <w:r w:rsidR="00012F73">
        <w:t>e</w:t>
      </w:r>
      <w:r w:rsidR="00012F73" w:rsidRPr="00A61724">
        <w:t xml:space="preserve"> </w:t>
      </w:r>
      <w:r w:rsidR="00A61724" w:rsidRPr="00A61724">
        <w:t xml:space="preserve">a safe and healthy physical living environment. The </w:t>
      </w:r>
      <w:r w:rsidR="000A7DA3">
        <w:t>strategic environmental assessment of the Strategy</w:t>
      </w:r>
      <w:r w:rsidR="000A7DA3" w:rsidRPr="00A61724">
        <w:t xml:space="preserve"> </w:t>
      </w:r>
      <w:r w:rsidR="00A61724" w:rsidRPr="00A61724">
        <w:t>provide</w:t>
      </w:r>
      <w:r w:rsidR="00947059">
        <w:t>d</w:t>
      </w:r>
      <w:r w:rsidR="00A61724" w:rsidRPr="00A61724">
        <w:t xml:space="preserve"> for an </w:t>
      </w:r>
      <w:r w:rsidR="00A61724" w:rsidRPr="00A61724">
        <w:lastRenderedPageBreak/>
        <w:t>overview of the current situation and for a qualitative evaluation of trends up to 2030, based on overall objectives and associated indicators. Challenges include</w:t>
      </w:r>
      <w:r w:rsidR="00947059">
        <w:t>d</w:t>
      </w:r>
      <w:r w:rsidR="00A61724" w:rsidRPr="00A61724">
        <w:t xml:space="preserve"> </w:t>
      </w:r>
      <w:r w:rsidR="00947059">
        <w:t>the less than concrete nature of the</w:t>
      </w:r>
      <w:r w:rsidR="00A61724" w:rsidRPr="00A61724">
        <w:t xml:space="preserve"> </w:t>
      </w:r>
      <w:r w:rsidR="00947059">
        <w:t>S</w:t>
      </w:r>
      <w:r w:rsidR="00A61724" w:rsidRPr="00A61724">
        <w:t xml:space="preserve">trategy and uncertainty </w:t>
      </w:r>
      <w:r w:rsidR="00947059">
        <w:t>surrounding</w:t>
      </w:r>
      <w:r w:rsidR="00A61724" w:rsidRPr="00A61724">
        <w:t xml:space="preserve"> future scenarios. In th</w:t>
      </w:r>
      <w:r w:rsidR="00947059">
        <w:t>at</w:t>
      </w:r>
      <w:r w:rsidR="00A61724" w:rsidRPr="00A61724">
        <w:t xml:space="preserve"> context, health </w:t>
      </w:r>
      <w:r w:rsidR="00947059">
        <w:t>had been</w:t>
      </w:r>
      <w:r w:rsidR="00A61724" w:rsidRPr="00A61724">
        <w:t xml:space="preserve"> included in social cohesion and housing objectives and evaluation results </w:t>
      </w:r>
      <w:r w:rsidR="00947059">
        <w:t>had been</w:t>
      </w:r>
      <w:r w:rsidR="00A61724" w:rsidRPr="00A61724">
        <w:t xml:space="preserve"> presented in an evaluation wheel. Enabling factors for an effective inclusion of health </w:t>
      </w:r>
      <w:r w:rsidR="00AD3C3E">
        <w:t xml:space="preserve">had </w:t>
      </w:r>
      <w:r w:rsidR="00A61724" w:rsidRPr="00A61724">
        <w:t>included</w:t>
      </w:r>
      <w:r w:rsidR="00AD3C3E">
        <w:t>:</w:t>
      </w:r>
      <w:r w:rsidR="00A61724" w:rsidRPr="00A61724">
        <w:t xml:space="preserve"> the presence of a health </w:t>
      </w:r>
      <w:r w:rsidR="00012F73">
        <w:t>“</w:t>
      </w:r>
      <w:r w:rsidR="00A61724" w:rsidRPr="00A61724">
        <w:t>ambassador</w:t>
      </w:r>
      <w:r w:rsidR="00012F73">
        <w:t>”</w:t>
      </w:r>
      <w:r w:rsidR="00AD3C3E">
        <w:t>;</w:t>
      </w:r>
      <w:r w:rsidR="00A61724" w:rsidRPr="00A61724">
        <w:t xml:space="preserve"> health objectives in environmental legislation</w:t>
      </w:r>
      <w:r w:rsidR="00AD3C3E">
        <w:t>;</w:t>
      </w:r>
      <w:r w:rsidR="00A61724" w:rsidRPr="00A61724">
        <w:t xml:space="preserve"> </w:t>
      </w:r>
      <w:r w:rsidR="00AD3C3E">
        <w:t xml:space="preserve">the </w:t>
      </w:r>
      <w:r w:rsidR="00A61724" w:rsidRPr="00A61724">
        <w:t xml:space="preserve">interest </w:t>
      </w:r>
      <w:r w:rsidR="00AD3C3E">
        <w:t xml:space="preserve">shown by </w:t>
      </w:r>
      <w:r w:rsidR="00A61724" w:rsidRPr="00A61724">
        <w:t>the Ministry of Health</w:t>
      </w:r>
      <w:r w:rsidR="00AD3C3E">
        <w:t>;</w:t>
      </w:r>
      <w:r w:rsidR="00A61724" w:rsidRPr="00A61724">
        <w:t xml:space="preserve"> and collaboration between health and planning experts.</w:t>
      </w:r>
      <w:r w:rsidR="00A61724">
        <w:t xml:space="preserve"> </w:t>
      </w:r>
    </w:p>
    <w:p w14:paraId="65B91A6E" w14:textId="60B10BD0" w:rsidR="00A61724" w:rsidRDefault="00DD7279" w:rsidP="00A61724">
      <w:pPr>
        <w:pStyle w:val="SingleTxtG"/>
      </w:pPr>
      <w:r>
        <w:t>7</w:t>
      </w:r>
      <w:r w:rsidR="00A61724">
        <w:t>.</w:t>
      </w:r>
      <w:r w:rsidR="00A61724">
        <w:tab/>
        <w:t xml:space="preserve">Mr. </w:t>
      </w:r>
      <w:r w:rsidR="00A61724" w:rsidRPr="00A61724">
        <w:t xml:space="preserve">Heikki Kalle (Estonian Environment Institute) reported on the consideration of health aspects of the </w:t>
      </w:r>
      <w:r w:rsidR="000F0BFC">
        <w:t>strategic environmental assessment</w:t>
      </w:r>
      <w:r w:rsidR="000F0BFC" w:rsidRPr="00A61724">
        <w:t xml:space="preserve"> </w:t>
      </w:r>
      <w:r w:rsidR="00A61724" w:rsidRPr="00A61724">
        <w:t xml:space="preserve">of the Rail </w:t>
      </w:r>
      <w:proofErr w:type="spellStart"/>
      <w:r w:rsidR="00A61724" w:rsidRPr="00A61724">
        <w:t>Baltic</w:t>
      </w:r>
      <w:r w:rsidR="00A1071A">
        <w:t>a</w:t>
      </w:r>
      <w:proofErr w:type="spellEnd"/>
      <w:r w:rsidR="00A61724" w:rsidRPr="00A61724">
        <w:t xml:space="preserve"> high</w:t>
      </w:r>
      <w:r w:rsidR="000F0BFC">
        <w:t>-</w:t>
      </w:r>
      <w:r w:rsidR="00A61724" w:rsidRPr="00A61724">
        <w:t>speed rail p</w:t>
      </w:r>
      <w:r w:rsidR="0052781C">
        <w:t>roject</w:t>
      </w:r>
      <w:r w:rsidR="00A61724" w:rsidRPr="00A61724">
        <w:t xml:space="preserve">. The </w:t>
      </w:r>
      <w:r w:rsidR="000F0BFC">
        <w:t>assessment had</w:t>
      </w:r>
      <w:r w:rsidR="000F0BFC" w:rsidRPr="00A61724">
        <w:t xml:space="preserve"> </w:t>
      </w:r>
      <w:r w:rsidR="00A61724" w:rsidRPr="00A61724">
        <w:t xml:space="preserve">distinguished </w:t>
      </w:r>
      <w:r w:rsidR="00CE7B96">
        <w:t xml:space="preserve">between </w:t>
      </w:r>
      <w:r w:rsidR="00A61724" w:rsidRPr="00A61724">
        <w:t>different tiers, including global/</w:t>
      </w:r>
      <w:r w:rsidR="00A22483">
        <w:t>S</w:t>
      </w:r>
      <w:r w:rsidR="00A61724" w:rsidRPr="00A61724">
        <w:t xml:space="preserve">tate, regional and local. An important lesson </w:t>
      </w:r>
      <w:r w:rsidR="003610B8">
        <w:t>learned wa</w:t>
      </w:r>
      <w:r w:rsidR="00A61724" w:rsidRPr="00A61724">
        <w:t>s that</w:t>
      </w:r>
      <w:r w:rsidR="003610B8">
        <w:t>,</w:t>
      </w:r>
      <w:r w:rsidR="00A61724" w:rsidRPr="00A61724">
        <w:t xml:space="preserve"> </w:t>
      </w:r>
      <w:r w:rsidR="003610B8" w:rsidRPr="00A61724">
        <w:t>wh</w:t>
      </w:r>
      <w:r w:rsidR="003610B8">
        <w:t>en</w:t>
      </w:r>
      <w:r w:rsidR="003610B8" w:rsidRPr="00A61724">
        <w:t xml:space="preserve"> </w:t>
      </w:r>
      <w:r w:rsidR="00A61724" w:rsidRPr="00A61724">
        <w:t xml:space="preserve">health authorities were involved in </w:t>
      </w:r>
      <w:r w:rsidR="003610B8">
        <w:t>strategic environmental assessment</w:t>
      </w:r>
      <w:r w:rsidR="00A61724" w:rsidRPr="00A61724">
        <w:t xml:space="preserve">, it took time to find common ground as they were not familiar with </w:t>
      </w:r>
      <w:r w:rsidR="003610B8">
        <w:t>such assessment</w:t>
      </w:r>
      <w:r w:rsidR="00A61724" w:rsidRPr="00A61724">
        <w:t xml:space="preserve">. Furthermore, state and regional health objectives </w:t>
      </w:r>
      <w:r w:rsidR="003610B8">
        <w:t>we</w:t>
      </w:r>
      <w:r w:rsidR="00A61724" w:rsidRPr="00A61724">
        <w:t xml:space="preserve">re needed, but </w:t>
      </w:r>
      <w:r w:rsidR="003610B8">
        <w:t xml:space="preserve">were </w:t>
      </w:r>
      <w:r w:rsidR="00A61724" w:rsidRPr="00A61724">
        <w:t xml:space="preserve">currently absent. Assessment should be organized according to spatial and temporal scales. Finally, </w:t>
      </w:r>
      <w:r w:rsidR="003610B8">
        <w:t>strategic environmental assessment could</w:t>
      </w:r>
      <w:r w:rsidR="00A61724" w:rsidRPr="00A61724">
        <w:t xml:space="preserve"> and should </w:t>
      </w:r>
      <w:r w:rsidR="003610B8">
        <w:t xml:space="preserve">also </w:t>
      </w:r>
      <w:r w:rsidR="00A61724" w:rsidRPr="00A61724">
        <w:t xml:space="preserve">communicate positive effects. In terms of </w:t>
      </w:r>
      <w:r w:rsidR="003610B8">
        <w:t xml:space="preserve">the </w:t>
      </w:r>
      <w:r w:rsidR="00A61724" w:rsidRPr="00A61724">
        <w:t xml:space="preserve">next steps, the presenter noted a need for spatial data linking determinants of health, health indicators, risk factors and health outcomes. Furthermore, training and guidance </w:t>
      </w:r>
      <w:r w:rsidR="003610B8">
        <w:t>we</w:t>
      </w:r>
      <w:r w:rsidR="00A61724" w:rsidRPr="00A61724">
        <w:t>re required.</w:t>
      </w:r>
    </w:p>
    <w:p w14:paraId="1B2F221D" w14:textId="648E3EEF" w:rsidR="00A02465" w:rsidRDefault="00085C4E" w:rsidP="00A02465">
      <w:pPr>
        <w:pStyle w:val="SingleTxtG"/>
      </w:pPr>
      <w:r>
        <w:t>8.</w:t>
      </w:r>
      <w:r w:rsidR="00A61724">
        <w:tab/>
      </w:r>
      <w:r w:rsidR="003610B8">
        <w:t>Last</w:t>
      </w:r>
      <w:r w:rsidR="003610B8" w:rsidRPr="00A61724">
        <w:t>ly</w:t>
      </w:r>
      <w:r w:rsidR="00A61724" w:rsidRPr="00A61724">
        <w:t xml:space="preserve">, </w:t>
      </w:r>
      <w:r w:rsidR="00822A7B">
        <w:t xml:space="preserve">Ms. </w:t>
      </w:r>
      <w:r w:rsidR="00A61724" w:rsidRPr="00A61724">
        <w:t>Liz Green (Public Health Wales</w:t>
      </w:r>
      <w:r w:rsidR="00822A7B">
        <w:t>, United Kingdom of Great Britain and Northern Ireland</w:t>
      </w:r>
      <w:r w:rsidR="00A61724" w:rsidRPr="00A61724">
        <w:t xml:space="preserve">) </w:t>
      </w:r>
      <w:r w:rsidR="000B1BBE">
        <w:t>spoke about</w:t>
      </w:r>
      <w:r w:rsidR="000B1BBE" w:rsidRPr="00A61724">
        <w:t xml:space="preserve"> </w:t>
      </w:r>
      <w:r w:rsidR="00A61724" w:rsidRPr="00A61724">
        <w:t xml:space="preserve">the </w:t>
      </w:r>
      <w:r w:rsidR="00A22483">
        <w:t xml:space="preserve">[Welsh] </w:t>
      </w:r>
      <w:r w:rsidR="00610013">
        <w:t>N</w:t>
      </w:r>
      <w:r w:rsidR="00A61724" w:rsidRPr="00A61724">
        <w:t xml:space="preserve">ational </w:t>
      </w:r>
      <w:r w:rsidR="000B1BBE">
        <w:t>D</w:t>
      </w:r>
      <w:r w:rsidR="00A61724" w:rsidRPr="00A61724">
        <w:t xml:space="preserve">evelopment </w:t>
      </w:r>
      <w:r w:rsidR="000B1BBE">
        <w:t>F</w:t>
      </w:r>
      <w:r w:rsidR="00A61724" w:rsidRPr="00A61724">
        <w:t>ramework</w:t>
      </w:r>
      <w:r w:rsidR="00822A7B">
        <w:t xml:space="preserve">, which </w:t>
      </w:r>
      <w:r w:rsidR="00A61724" w:rsidRPr="00A61724">
        <w:t>aim</w:t>
      </w:r>
      <w:r w:rsidR="00822A7B">
        <w:t>ed</w:t>
      </w:r>
      <w:r w:rsidR="00A61724" w:rsidRPr="00A61724">
        <w:t xml:space="preserve"> at integrating health and well-being into </w:t>
      </w:r>
      <w:r w:rsidR="00822A7B">
        <w:t>strategic environmental assessment</w:t>
      </w:r>
      <w:r w:rsidR="00A61724" w:rsidRPr="00A61724">
        <w:t xml:space="preserve">. Importantly, there </w:t>
      </w:r>
      <w:r w:rsidR="00822A7B">
        <w:t>we</w:t>
      </w:r>
      <w:r w:rsidR="00A61724" w:rsidRPr="00A61724">
        <w:t>re various acts that function</w:t>
      </w:r>
      <w:r w:rsidR="00822A7B">
        <w:t>ed</w:t>
      </w:r>
      <w:r w:rsidR="00A61724" w:rsidRPr="00A61724">
        <w:t xml:space="preserve"> as strategic drivers and enablers for health and planning and the Wales H</w:t>
      </w:r>
      <w:r w:rsidR="000B1BBE">
        <w:t xml:space="preserve">ealth </w:t>
      </w:r>
      <w:r w:rsidR="00A61724" w:rsidRPr="00A61724">
        <w:t>I</w:t>
      </w:r>
      <w:r w:rsidR="000B1BBE">
        <w:t xml:space="preserve">mpact </w:t>
      </w:r>
      <w:r w:rsidR="00A61724" w:rsidRPr="00A61724">
        <w:t>A</w:t>
      </w:r>
      <w:r w:rsidR="000B1BBE">
        <w:t>ssessment</w:t>
      </w:r>
      <w:r w:rsidR="00A61724" w:rsidRPr="00A61724">
        <w:t xml:space="preserve"> Support Unit play</w:t>
      </w:r>
      <w:r w:rsidR="00822A7B">
        <w:t>ed</w:t>
      </w:r>
      <w:r w:rsidR="00A61724" w:rsidRPr="00A61724">
        <w:t xml:space="preserve"> a key role in enabling the effective consideration of health in </w:t>
      </w:r>
      <w:r w:rsidR="000B1BBE">
        <w:t>strategic environmental assessment</w:t>
      </w:r>
      <w:r w:rsidR="00A61724" w:rsidRPr="00A61724">
        <w:t xml:space="preserve">. </w:t>
      </w:r>
      <w:r w:rsidR="000B1BBE">
        <w:t>As a part of</w:t>
      </w:r>
      <w:r w:rsidR="00A61724" w:rsidRPr="00A61724">
        <w:t xml:space="preserve"> the National Development Framework</w:t>
      </w:r>
      <w:r w:rsidR="000B1BBE">
        <w:t>,</w:t>
      </w:r>
      <w:r w:rsidR="00A61724" w:rsidRPr="00A61724">
        <w:t xml:space="preserve"> an </w:t>
      </w:r>
      <w:r w:rsidR="000B1BBE">
        <w:t>i</w:t>
      </w:r>
      <w:r w:rsidR="00A61724" w:rsidRPr="00A61724">
        <w:t xml:space="preserve">ntegrated </w:t>
      </w:r>
      <w:r w:rsidR="000B1BBE">
        <w:t>s</w:t>
      </w:r>
      <w:r w:rsidR="00A61724" w:rsidRPr="00A61724">
        <w:t xml:space="preserve">ustainability </w:t>
      </w:r>
      <w:r w:rsidR="000B1BBE">
        <w:t>a</w:t>
      </w:r>
      <w:r w:rsidR="00A61724" w:rsidRPr="00A61724">
        <w:t xml:space="preserve">ppraisal </w:t>
      </w:r>
      <w:r w:rsidR="000B1BBE">
        <w:t>had been</w:t>
      </w:r>
      <w:r w:rsidR="00A61724" w:rsidRPr="00A61724">
        <w:t xml:space="preserve"> carried out, including </w:t>
      </w:r>
      <w:r w:rsidR="000B1BBE">
        <w:t>strategic environmental assessment, health impact assessment</w:t>
      </w:r>
      <w:r w:rsidR="00A61724" w:rsidRPr="00A61724">
        <w:t xml:space="preserve"> and other assessments. A number of challenges </w:t>
      </w:r>
      <w:r w:rsidR="000B1BBE">
        <w:t>had been</w:t>
      </w:r>
      <w:r w:rsidR="00A61724" w:rsidRPr="00A61724">
        <w:t xml:space="preserve"> identified, including limited capacity and an </w:t>
      </w:r>
      <w:r w:rsidR="000B1BBE">
        <w:t>incomplete</w:t>
      </w:r>
      <w:r w:rsidR="000B1BBE" w:rsidRPr="00A61724">
        <w:t xml:space="preserve"> </w:t>
      </w:r>
      <w:r w:rsidR="00A61724" w:rsidRPr="00A61724">
        <w:t xml:space="preserve">understanding of what exactly health should include. Advocates for health and a </w:t>
      </w:r>
      <w:r w:rsidR="000B1BBE">
        <w:t>“</w:t>
      </w:r>
      <w:r w:rsidR="00A61724" w:rsidRPr="00A61724">
        <w:t>public health lens</w:t>
      </w:r>
      <w:r w:rsidR="000B1BBE">
        <w:t>”</w:t>
      </w:r>
      <w:r w:rsidR="00A61724" w:rsidRPr="00A61724">
        <w:t xml:space="preserve"> </w:t>
      </w:r>
      <w:r w:rsidR="000B1BBE">
        <w:t>we</w:t>
      </w:r>
      <w:r w:rsidR="00A61724" w:rsidRPr="00A61724">
        <w:t xml:space="preserve">re needed. Necessary health data </w:t>
      </w:r>
      <w:r w:rsidR="000B1BBE">
        <w:t>we</w:t>
      </w:r>
      <w:r w:rsidR="00A61724" w:rsidRPr="00A61724">
        <w:t>re not always readily available.</w:t>
      </w:r>
    </w:p>
    <w:p w14:paraId="3F972BEB" w14:textId="117A1B2F" w:rsidR="0020582A" w:rsidRPr="0020582A" w:rsidRDefault="00A02465" w:rsidP="00A02465">
      <w:pPr>
        <w:spacing w:before="240"/>
        <w:jc w:val="center"/>
        <w:rPr>
          <w:u w:val="single"/>
        </w:rPr>
      </w:pPr>
      <w:r>
        <w:rPr>
          <w:u w:val="single"/>
        </w:rPr>
        <w:tab/>
      </w:r>
      <w:r>
        <w:rPr>
          <w:u w:val="single"/>
        </w:rPr>
        <w:tab/>
      </w:r>
      <w:r>
        <w:rPr>
          <w:u w:val="single"/>
        </w:rPr>
        <w:tab/>
      </w:r>
    </w:p>
    <w:sectPr w:rsidR="0020582A" w:rsidRPr="0020582A" w:rsidSect="00F600E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8B1D7" w14:textId="77777777" w:rsidR="00E52F55" w:rsidRDefault="00E52F55"/>
  </w:endnote>
  <w:endnote w:type="continuationSeparator" w:id="0">
    <w:p w14:paraId="5C835150" w14:textId="77777777" w:rsidR="00E52F55" w:rsidRDefault="00E52F55"/>
  </w:endnote>
  <w:endnote w:type="continuationNotice" w:id="1">
    <w:p w14:paraId="28148444" w14:textId="77777777" w:rsidR="00E52F55" w:rsidRDefault="00E52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AFA8" w14:textId="164289D0" w:rsidR="00F36869" w:rsidRPr="00740D40" w:rsidRDefault="00F36869" w:rsidP="00740D40">
    <w:pPr>
      <w:pStyle w:val="Footer"/>
      <w:tabs>
        <w:tab w:val="right" w:pos="9638"/>
      </w:tabs>
      <w:rPr>
        <w:sz w:val="18"/>
      </w:rPr>
    </w:pPr>
    <w:r w:rsidRPr="006673C4">
      <w:rPr>
        <w:b/>
        <w:sz w:val="18"/>
      </w:rPr>
      <w:fldChar w:fldCharType="begin"/>
    </w:r>
    <w:r w:rsidRPr="006673C4">
      <w:rPr>
        <w:b/>
        <w:sz w:val="18"/>
      </w:rPr>
      <w:instrText xml:space="preserve"> PAGE  \* MERGEFORMAT </w:instrText>
    </w:r>
    <w:r w:rsidRPr="006673C4">
      <w:rPr>
        <w:b/>
        <w:sz w:val="18"/>
      </w:rPr>
      <w:fldChar w:fldCharType="separate"/>
    </w:r>
    <w:r w:rsidR="00490C0D">
      <w:rPr>
        <w:b/>
        <w:noProof/>
        <w:sz w:val="18"/>
      </w:rPr>
      <w:t>2</w:t>
    </w:r>
    <w:r w:rsidRPr="006673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9EE0" w14:textId="4D38C847" w:rsidR="00F36869" w:rsidRPr="00740D40" w:rsidRDefault="00F36869" w:rsidP="00740D40">
    <w:pPr>
      <w:pStyle w:val="Footer"/>
      <w:tabs>
        <w:tab w:val="right" w:pos="9638"/>
      </w:tabs>
      <w:rPr>
        <w:b/>
        <w:sz w:val="18"/>
      </w:rPr>
    </w:pPr>
    <w:r>
      <w:tab/>
    </w:r>
    <w:r w:rsidRPr="006673C4">
      <w:rPr>
        <w:b/>
        <w:sz w:val="18"/>
      </w:rPr>
      <w:fldChar w:fldCharType="begin"/>
    </w:r>
    <w:r w:rsidRPr="006673C4">
      <w:rPr>
        <w:b/>
        <w:sz w:val="18"/>
      </w:rPr>
      <w:instrText xml:space="preserve"> PAGE  \* MERGEFORMAT </w:instrText>
    </w:r>
    <w:r w:rsidRPr="006673C4">
      <w:rPr>
        <w:b/>
        <w:sz w:val="18"/>
      </w:rPr>
      <w:fldChar w:fldCharType="separate"/>
    </w:r>
    <w:r w:rsidR="00490C0D">
      <w:rPr>
        <w:b/>
        <w:noProof/>
        <w:sz w:val="18"/>
      </w:rPr>
      <w:t>3</w:t>
    </w:r>
    <w:r w:rsidRPr="006673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DC87" w14:textId="7B16C699" w:rsidR="00021F7A" w:rsidRDefault="00021F7A" w:rsidP="00021F7A">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45EA190" wp14:editId="7E966B61">
          <wp:simplePos x="0" y="0"/>
          <wp:positionH relativeFrom="margin">
            <wp:posOffset>5478780</wp:posOffset>
          </wp:positionH>
          <wp:positionV relativeFrom="margin">
            <wp:posOffset>8123698</wp:posOffset>
          </wp:positionV>
          <wp:extent cx="561975" cy="561975"/>
          <wp:effectExtent l="0" t="0" r="9525" b="9525"/>
          <wp:wrapNone/>
          <wp:docPr id="2" name="Picture 1" descr="https://undocs.org/m2/QRCode.ashx?DS=ECE/MP.EIA/WG.2/20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6CD57152" wp14:editId="181D2986">
          <wp:simplePos x="0" y="0"/>
          <wp:positionH relativeFrom="margin">
            <wp:posOffset>4467860</wp:posOffset>
          </wp:positionH>
          <wp:positionV relativeFrom="margin">
            <wp:posOffset>8407400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6F053D2" w14:textId="787F4B61" w:rsidR="00021F7A" w:rsidRDefault="00021F7A" w:rsidP="00021F7A">
    <w:pPr>
      <w:pStyle w:val="Footer"/>
      <w:ind w:right="1134"/>
      <w:rPr>
        <w:sz w:val="20"/>
      </w:rPr>
    </w:pPr>
    <w:r>
      <w:rPr>
        <w:sz w:val="20"/>
      </w:rPr>
      <w:t>GE.20-00802(E)</w:t>
    </w:r>
  </w:p>
  <w:p w14:paraId="65927F61" w14:textId="4CE7FE62" w:rsidR="00021F7A" w:rsidRPr="00021F7A" w:rsidRDefault="00021F7A" w:rsidP="00021F7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7AD7" w14:textId="77777777" w:rsidR="00E52F55" w:rsidRPr="000B175B" w:rsidRDefault="00E52F55" w:rsidP="000B175B">
      <w:pPr>
        <w:tabs>
          <w:tab w:val="right" w:pos="2155"/>
        </w:tabs>
        <w:spacing w:after="80"/>
        <w:ind w:left="680"/>
        <w:rPr>
          <w:u w:val="single"/>
        </w:rPr>
      </w:pPr>
      <w:r>
        <w:rPr>
          <w:u w:val="single"/>
        </w:rPr>
        <w:tab/>
      </w:r>
    </w:p>
  </w:footnote>
  <w:footnote w:type="continuationSeparator" w:id="0">
    <w:p w14:paraId="5BBEF28D" w14:textId="77777777" w:rsidR="00E52F55" w:rsidRPr="00FC68B7" w:rsidRDefault="00E52F55" w:rsidP="00FC68B7">
      <w:pPr>
        <w:tabs>
          <w:tab w:val="left" w:pos="2155"/>
        </w:tabs>
        <w:spacing w:after="80"/>
        <w:ind w:left="680"/>
        <w:rPr>
          <w:u w:val="single"/>
        </w:rPr>
      </w:pPr>
      <w:r>
        <w:rPr>
          <w:u w:val="single"/>
        </w:rPr>
        <w:tab/>
      </w:r>
    </w:p>
  </w:footnote>
  <w:footnote w:type="continuationNotice" w:id="1">
    <w:p w14:paraId="1390FDBE" w14:textId="77777777" w:rsidR="00E52F55" w:rsidRDefault="00E52F55"/>
  </w:footnote>
  <w:footnote w:id="2">
    <w:p w14:paraId="051C5ED3" w14:textId="78F0CC37" w:rsidR="00F36869" w:rsidRPr="002247FC" w:rsidRDefault="00F36869" w:rsidP="005465F1">
      <w:pPr>
        <w:pStyle w:val="FootnoteText"/>
        <w:jc w:val="both"/>
        <w:rPr>
          <w:rStyle w:val="FootnoteTextChar"/>
        </w:rPr>
      </w:pPr>
      <w:r>
        <w:rPr>
          <w:rStyle w:val="FootnoteTextChar"/>
        </w:rPr>
        <w:tab/>
      </w:r>
      <w:r w:rsidRPr="002247FC">
        <w:rPr>
          <w:vertAlign w:val="superscript"/>
        </w:rPr>
        <w:footnoteRef/>
      </w:r>
      <w:r>
        <w:rPr>
          <w:rStyle w:val="FootnoteTextChar"/>
        </w:rPr>
        <w:tab/>
      </w:r>
      <w:r w:rsidRPr="002247FC">
        <w:rPr>
          <w:rStyle w:val="FootnoteTextChar"/>
        </w:rPr>
        <w:t xml:space="preserve">Official and informal documents for the meeting, background documents </w:t>
      </w:r>
      <w:r>
        <w:rPr>
          <w:rStyle w:val="FootnoteTextChar"/>
        </w:rPr>
        <w:t>and</w:t>
      </w:r>
      <w:r w:rsidRPr="002247FC">
        <w:rPr>
          <w:rStyle w:val="FootnoteTextChar"/>
        </w:rPr>
        <w:t xml:space="preserve"> presentations provided to the secretariat are available </w:t>
      </w:r>
      <w:r>
        <w:rPr>
          <w:rStyle w:val="FootnoteTextChar"/>
        </w:rPr>
        <w:t>at</w:t>
      </w:r>
      <w:r w:rsidRPr="002247FC">
        <w:rPr>
          <w:rStyle w:val="FootnoteTextChar"/>
        </w:rPr>
        <w:t xml:space="preserve"> </w:t>
      </w:r>
      <w:hyperlink r:id="rId1" w:history="1">
        <w:r>
          <w:rPr>
            <w:rStyle w:val="Hyperlink"/>
          </w:rPr>
          <w:t>https://www.unece.org/index.php?id=50466</w:t>
        </w:r>
      </w:hyperlink>
      <w:r w:rsidRPr="00777F6F">
        <w:rPr>
          <w:rStyle w:val="FootnoteTextChar"/>
          <w:color w:val="000000" w:themeColor="text1"/>
        </w:rPr>
        <w:t>.</w:t>
      </w:r>
    </w:p>
  </w:footnote>
  <w:footnote w:id="3">
    <w:p w14:paraId="5FDF8622" w14:textId="5D5DE5D6" w:rsidR="00F36869" w:rsidRPr="005A720D" w:rsidRDefault="00F36869" w:rsidP="005775EB">
      <w:pPr>
        <w:pStyle w:val="FootnoteText"/>
      </w:pPr>
      <w:r>
        <w:tab/>
      </w:r>
      <w:r>
        <w:rPr>
          <w:rStyle w:val="FootnoteReference"/>
        </w:rPr>
        <w:footnoteRef/>
      </w:r>
      <w:r w:rsidR="005775EB">
        <w:tab/>
      </w:r>
      <w:r>
        <w:t xml:space="preserve">See </w:t>
      </w:r>
      <w:r w:rsidRPr="005A720D">
        <w:t>https://www.unece.org/env/eia/budget.html</w:t>
      </w:r>
      <w:r>
        <w:t>.</w:t>
      </w:r>
    </w:p>
  </w:footnote>
  <w:footnote w:id="4">
    <w:p w14:paraId="65698880" w14:textId="62459144" w:rsidR="00F36869" w:rsidRPr="00796BEA" w:rsidRDefault="00F36869" w:rsidP="00E020AD">
      <w:pPr>
        <w:pStyle w:val="FootnoteText"/>
      </w:pPr>
      <w:r>
        <w:tab/>
      </w:r>
      <w:r>
        <w:rPr>
          <w:rStyle w:val="FootnoteReference"/>
        </w:rPr>
        <w:footnoteRef/>
      </w:r>
      <w:r>
        <w:tab/>
        <w:t>See the annex to decision VII/4–</w:t>
      </w:r>
      <w:r w:rsidRPr="00796BEA">
        <w:t>III/</w:t>
      </w:r>
      <w:r>
        <w:t>4</w:t>
      </w:r>
      <w:r w:rsidRPr="00796BEA">
        <w:t xml:space="preserve"> (ECE/MP.EIA/2017/23/Add.1–ECE/MP.EIA/SEA/7/Add.1).</w:t>
      </w:r>
    </w:p>
  </w:footnote>
  <w:footnote w:id="5">
    <w:p w14:paraId="3A5DB3CC" w14:textId="450DF718" w:rsidR="00F36869" w:rsidRDefault="00F36869" w:rsidP="006F2158">
      <w:pPr>
        <w:pStyle w:val="FootnoteText"/>
        <w:tabs>
          <w:tab w:val="clear" w:pos="1021"/>
          <w:tab w:val="right" w:pos="1020"/>
        </w:tabs>
      </w:pPr>
      <w:r w:rsidRPr="00796BEA">
        <w:tab/>
      </w:r>
      <w:r w:rsidRPr="00B917F4">
        <w:rPr>
          <w:rStyle w:val="FootnoteReference"/>
        </w:rPr>
        <w:footnoteRef/>
      </w:r>
      <w:r w:rsidRPr="00B917F4">
        <w:tab/>
      </w:r>
      <w:r>
        <w:t>The r</w:t>
      </w:r>
      <w:r w:rsidRPr="002618F2">
        <w:t>epor</w:t>
      </w:r>
      <w:r>
        <w:t>t</w:t>
      </w:r>
      <w:r w:rsidRPr="002618F2">
        <w:t>s o</w:t>
      </w:r>
      <w:r>
        <w:t>f</w:t>
      </w:r>
      <w:r w:rsidRPr="002618F2">
        <w:t xml:space="preserve"> the Implementation Committee</w:t>
      </w:r>
      <w:r>
        <w:t xml:space="preserve"> on it</w:t>
      </w:r>
      <w:r w:rsidRPr="002618F2">
        <w:t xml:space="preserve">s </w:t>
      </w:r>
      <w:r>
        <w:t xml:space="preserve">2019 </w:t>
      </w:r>
      <w:r w:rsidRPr="002618F2">
        <w:t>session</w:t>
      </w:r>
      <w:r>
        <w:t>s</w:t>
      </w:r>
      <w:r w:rsidRPr="002618F2">
        <w:t xml:space="preserve"> </w:t>
      </w:r>
      <w:r>
        <w:t>are</w:t>
      </w:r>
      <w:r w:rsidRPr="002618F2">
        <w:t xml:space="preserve"> available </w:t>
      </w:r>
      <w:r>
        <w:t xml:space="preserve">at </w:t>
      </w:r>
      <w:hyperlink r:id="rId2" w:anchor="/0/0/0/28089/19940" w:history="1">
        <w:r w:rsidRPr="00452707">
          <w:rPr>
            <w:rStyle w:val="Hyperlink"/>
          </w:rPr>
          <w:t>www.unece.org/environmental-policy/conventions/environmental-assessment/meetings-and-events.html#/0/0/0/28089/19940</w:t>
        </w:r>
      </w:hyperlink>
      <w:r>
        <w:t>.</w:t>
      </w:r>
    </w:p>
    <w:p w14:paraId="37C77486" w14:textId="77777777" w:rsidR="00F36869" w:rsidRDefault="00F36869" w:rsidP="006F2158">
      <w:pPr>
        <w:pStyle w:val="FootnoteText"/>
        <w:tabs>
          <w:tab w:val="clear" w:pos="1021"/>
          <w:tab w:val="right" w:pos="1020"/>
        </w:tabs>
      </w:pPr>
    </w:p>
    <w:p w14:paraId="79CE033B" w14:textId="77777777" w:rsidR="00F36869" w:rsidRPr="002618F2" w:rsidRDefault="00F36869" w:rsidP="006F2158">
      <w:pPr>
        <w:pStyle w:val="FootnoteText"/>
        <w:tabs>
          <w:tab w:val="clear" w:pos="1021"/>
          <w:tab w:val="right" w:pos="1020"/>
        </w:tabs>
      </w:pPr>
    </w:p>
  </w:footnote>
  <w:footnote w:id="6">
    <w:p w14:paraId="499581AE" w14:textId="7150A4FB" w:rsidR="00F36869" w:rsidRPr="00A52C0E" w:rsidRDefault="00F36869">
      <w:pPr>
        <w:pStyle w:val="FootnoteText"/>
      </w:pPr>
      <w:r>
        <w:tab/>
      </w:r>
      <w:r>
        <w:rPr>
          <w:rStyle w:val="FootnoteReference"/>
        </w:rPr>
        <w:footnoteRef/>
      </w:r>
      <w:r>
        <w:tab/>
        <w:t xml:space="preserve">See </w:t>
      </w:r>
      <w:r w:rsidRPr="00A52C0E">
        <w:t>www.unece.org/index.php?id=51625</w:t>
      </w:r>
      <w:r>
        <w:t>.</w:t>
      </w:r>
    </w:p>
  </w:footnote>
  <w:footnote w:id="7">
    <w:p w14:paraId="558D516F" w14:textId="672BC523" w:rsidR="00F36869" w:rsidRPr="00B33D3B" w:rsidRDefault="00F36869" w:rsidP="00A52C0E">
      <w:pPr>
        <w:pStyle w:val="FootnoteText"/>
      </w:pPr>
      <w:r>
        <w:tab/>
      </w:r>
      <w:r>
        <w:rPr>
          <w:rStyle w:val="FootnoteReference"/>
        </w:rPr>
        <w:footnoteRef/>
      </w:r>
      <w:r w:rsidRPr="00B33D3B">
        <w:tab/>
      </w:r>
      <w:r w:rsidRPr="00910EDB">
        <w:rPr>
          <w:i/>
          <w:iCs/>
        </w:rPr>
        <w:t>Inter-</w:t>
      </w:r>
      <w:proofErr w:type="spellStart"/>
      <w:r w:rsidRPr="00910EDB">
        <w:rPr>
          <w:i/>
          <w:iCs/>
        </w:rPr>
        <w:t>Environnement</w:t>
      </w:r>
      <w:proofErr w:type="spellEnd"/>
      <w:r w:rsidRPr="00910EDB">
        <w:rPr>
          <w:i/>
          <w:iCs/>
        </w:rPr>
        <w:t xml:space="preserve"> </w:t>
      </w:r>
      <w:proofErr w:type="spellStart"/>
      <w:r w:rsidRPr="00910EDB">
        <w:rPr>
          <w:i/>
          <w:iCs/>
        </w:rPr>
        <w:t>Wallonie</w:t>
      </w:r>
      <w:proofErr w:type="spellEnd"/>
      <w:r w:rsidRPr="00910EDB">
        <w:rPr>
          <w:i/>
          <w:iCs/>
        </w:rPr>
        <w:t xml:space="preserve"> ASBL and Bond </w:t>
      </w:r>
      <w:proofErr w:type="spellStart"/>
      <w:r w:rsidRPr="00910EDB">
        <w:rPr>
          <w:i/>
          <w:iCs/>
        </w:rPr>
        <w:t>Beter</w:t>
      </w:r>
      <w:proofErr w:type="spellEnd"/>
      <w:r w:rsidRPr="00910EDB">
        <w:rPr>
          <w:i/>
          <w:iCs/>
        </w:rPr>
        <w:t xml:space="preserve"> </w:t>
      </w:r>
      <w:proofErr w:type="spellStart"/>
      <w:r w:rsidRPr="00910EDB">
        <w:rPr>
          <w:i/>
          <w:iCs/>
        </w:rPr>
        <w:t>Leefmilieu</w:t>
      </w:r>
      <w:proofErr w:type="spellEnd"/>
      <w:r w:rsidRPr="00910EDB">
        <w:rPr>
          <w:i/>
          <w:iCs/>
        </w:rPr>
        <w:t xml:space="preserve"> </w:t>
      </w:r>
      <w:proofErr w:type="spellStart"/>
      <w:r w:rsidRPr="00910EDB">
        <w:rPr>
          <w:i/>
          <w:iCs/>
        </w:rPr>
        <w:t>Vlaanderen</w:t>
      </w:r>
      <w:proofErr w:type="spellEnd"/>
      <w:r w:rsidRPr="00910EDB">
        <w:rPr>
          <w:i/>
          <w:iCs/>
        </w:rPr>
        <w:t xml:space="preserve"> ASBL v Conseil des ministers</w:t>
      </w:r>
      <w:r>
        <w:t>, Case No. C-411/17, Judgment of the Court, 29 July 2019.</w:t>
      </w:r>
    </w:p>
  </w:footnote>
  <w:footnote w:id="8">
    <w:p w14:paraId="7B9C0A03" w14:textId="16A9BE75" w:rsidR="00F36869" w:rsidRPr="00A52C0E" w:rsidRDefault="00F36869">
      <w:pPr>
        <w:pStyle w:val="FootnoteText"/>
      </w:pPr>
      <w:r w:rsidRPr="00B33D3B">
        <w:tab/>
      </w:r>
      <w:r>
        <w:rPr>
          <w:rStyle w:val="FootnoteReference"/>
        </w:rPr>
        <w:footnoteRef/>
      </w:r>
      <w:r>
        <w:tab/>
        <w:t xml:space="preserve">Kimberly Sexton Nick and Pierre Bourdon, eds., </w:t>
      </w:r>
      <w:r w:rsidRPr="00BD7009">
        <w:t>Nuclear Energy Agency No. 7504</w:t>
      </w:r>
      <w:r>
        <w:t xml:space="preserve"> (Paris, Organization for Economic Cooperation and Development Nuclear Energy Agency, 2019). A</w:t>
      </w:r>
      <w:r w:rsidRPr="00A52C0E">
        <w:t xml:space="preserve">vailable </w:t>
      </w:r>
      <w:r>
        <w:t>at</w:t>
      </w:r>
      <w:r w:rsidRPr="00A52C0E">
        <w:t xml:space="preserve"> www.oecd-nea.org/law/pubs/2019/7504-long-term-operation-npp.pdf</w:t>
      </w:r>
      <w:r>
        <w:t>.</w:t>
      </w:r>
    </w:p>
  </w:footnote>
  <w:footnote w:id="9">
    <w:p w14:paraId="641B40BD" w14:textId="6E754FC9" w:rsidR="00F36869" w:rsidRPr="00AA127A" w:rsidRDefault="00F36869" w:rsidP="008E5AF9">
      <w:pPr>
        <w:pStyle w:val="FootnoteText"/>
      </w:pPr>
      <w:r>
        <w:tab/>
      </w:r>
      <w:r>
        <w:rPr>
          <w:rStyle w:val="FootnoteReference"/>
        </w:rPr>
        <w:footnoteRef/>
      </w:r>
      <w:r>
        <w:tab/>
        <w:t>United Nations publication, Sales No. E.19.II.E.27.</w:t>
      </w:r>
    </w:p>
  </w:footnote>
  <w:footnote w:id="10">
    <w:p w14:paraId="212F6392" w14:textId="43CD2577" w:rsidR="00F36869" w:rsidRPr="0097582C" w:rsidRDefault="00F36869">
      <w:pPr>
        <w:pStyle w:val="FootnoteText"/>
      </w:pPr>
      <w:r>
        <w:tab/>
      </w:r>
      <w:r>
        <w:rPr>
          <w:rStyle w:val="FootnoteReference"/>
        </w:rPr>
        <w:footnoteRef/>
      </w:r>
      <w:r>
        <w:tab/>
        <w:t xml:space="preserve">It was subsequently agreed that the meeting would </w:t>
      </w:r>
      <w:r w:rsidRPr="0097582C">
        <w:t>take place in Warsaw, on 23 and 24 January 2020.</w:t>
      </w:r>
    </w:p>
  </w:footnote>
  <w:footnote w:id="11">
    <w:p w14:paraId="564CAD32" w14:textId="3B87F45E" w:rsidR="00F36869" w:rsidRPr="003A5DB8" w:rsidRDefault="00F36869" w:rsidP="003A5DB8">
      <w:pPr>
        <w:pStyle w:val="FootnoteText"/>
        <w:ind w:left="0" w:firstLine="0"/>
      </w:pPr>
      <w:r>
        <w:tab/>
      </w:r>
      <w:r>
        <w:rPr>
          <w:rStyle w:val="FootnoteReference"/>
        </w:rPr>
        <w:footnoteRef/>
      </w:r>
      <w:r>
        <w:tab/>
      </w:r>
      <w:hyperlink r:id="rId3" w:history="1">
        <w:r w:rsidRPr="00914180">
          <w:rPr>
            <w:rStyle w:val="Hyperlink"/>
          </w:rPr>
          <w:t>United</w:t>
        </w:r>
      </w:hyperlink>
      <w:r>
        <w:t xml:space="preserve"> Nations publication, </w:t>
      </w:r>
      <w:r w:rsidRPr="00441182">
        <w:t>ECE/MP.EIA/24</w:t>
      </w:r>
      <w:r>
        <w:t>.</w:t>
      </w:r>
    </w:p>
  </w:footnote>
  <w:footnote w:id="12">
    <w:p w14:paraId="77B9A3F0" w14:textId="15EDE346" w:rsidR="00F36869" w:rsidRPr="004E5236" w:rsidRDefault="00F36869">
      <w:pPr>
        <w:pStyle w:val="FootnoteText"/>
      </w:pPr>
      <w:r>
        <w:tab/>
      </w:r>
      <w:r>
        <w:rPr>
          <w:rStyle w:val="FootnoteReference"/>
        </w:rPr>
        <w:footnoteRef/>
      </w:r>
      <w:r>
        <w:tab/>
        <w:t xml:space="preserve">See the relevant </w:t>
      </w:r>
      <w:r w:rsidRPr="004E5236">
        <w:t xml:space="preserve">conclusions </w:t>
      </w:r>
      <w:r>
        <w:t xml:space="preserve">of the Bureau in the informal notes on the Bureau meeting of 17 and 18 June 2019, </w:t>
      </w:r>
      <w:r w:rsidRPr="004E5236">
        <w:t>paras. 7</w:t>
      </w:r>
      <w:r>
        <w:t>–</w:t>
      </w:r>
      <w:r w:rsidRPr="004E5236">
        <w:t>9</w:t>
      </w:r>
      <w:r>
        <w:t xml:space="preserve">. Available at </w:t>
      </w:r>
      <w:r w:rsidRPr="004E5236">
        <w:t>http://www.unece.org/index.php?id=50461</w:t>
      </w:r>
      <w:r>
        <w:t>.</w:t>
      </w:r>
    </w:p>
  </w:footnote>
  <w:footnote w:id="13">
    <w:p w14:paraId="72F24CC8" w14:textId="787D25BA" w:rsidR="00F36869" w:rsidRPr="00FB48E6" w:rsidRDefault="00F36869" w:rsidP="00FB48E6">
      <w:pPr>
        <w:pStyle w:val="FootnoteText"/>
      </w:pPr>
      <w:r>
        <w:tab/>
      </w:r>
      <w:r w:rsidRPr="00FB48E6">
        <w:rPr>
          <w:vertAlign w:val="superscript"/>
        </w:rPr>
        <w:footnoteRef/>
      </w:r>
      <w:r>
        <w:tab/>
      </w:r>
      <w:proofErr w:type="spellStart"/>
      <w:r w:rsidRPr="0098659F">
        <w:rPr>
          <w:rFonts w:asciiTheme="majorBidi" w:hAnsiTheme="majorBidi" w:cstheme="majorBidi"/>
        </w:rPr>
        <w:t>Pä</w:t>
      </w:r>
      <w:r>
        <w:t>ivi</w:t>
      </w:r>
      <w:proofErr w:type="spellEnd"/>
      <w:r>
        <w:t xml:space="preserve"> A. </w:t>
      </w:r>
      <w:proofErr w:type="spellStart"/>
      <w:r>
        <w:t>Karvinen</w:t>
      </w:r>
      <w:proofErr w:type="spellEnd"/>
      <w:r>
        <w:t xml:space="preserve"> and </w:t>
      </w:r>
      <w:proofErr w:type="spellStart"/>
      <w:r>
        <w:t>Seija</w:t>
      </w:r>
      <w:proofErr w:type="spellEnd"/>
      <w:r>
        <w:t xml:space="preserve"> </w:t>
      </w:r>
      <w:proofErr w:type="spellStart"/>
      <w:r>
        <w:t>Rantakallio</w:t>
      </w:r>
      <w:proofErr w:type="spellEnd"/>
      <w:r>
        <w:t xml:space="preserve">, eds., </w:t>
      </w:r>
      <w:r w:rsidRPr="0098659F">
        <w:rPr>
          <w:i/>
          <w:iCs/>
        </w:rPr>
        <w:t>Good Practices for Environmental Impact Assessment and Meaningful Engagement in the Arctic – Including Good Practice Recommendations</w:t>
      </w:r>
      <w:r>
        <w:t xml:space="preserve"> (Arctic Council, 2019).</w:t>
      </w:r>
      <w:r w:rsidRPr="00FB48E6">
        <w:t xml:space="preserve"> </w:t>
      </w:r>
    </w:p>
  </w:footnote>
  <w:footnote w:id="14">
    <w:p w14:paraId="4A25FC44" w14:textId="430FC6B4" w:rsidR="00F36869" w:rsidRPr="005257D4" w:rsidRDefault="00F36869" w:rsidP="007333C9">
      <w:pPr>
        <w:pStyle w:val="FootnoteText"/>
      </w:pPr>
      <w:r w:rsidRPr="00C47557">
        <w:tab/>
      </w:r>
      <w:r w:rsidRPr="007333C9">
        <w:rPr>
          <w:vertAlign w:val="superscript"/>
        </w:rPr>
        <w:footnoteRef/>
      </w:r>
      <w:r w:rsidRPr="005257D4">
        <w:tab/>
        <w:t>Se</w:t>
      </w:r>
      <w:r w:rsidRPr="0098659F">
        <w:t>e</w:t>
      </w:r>
      <w:r w:rsidRPr="005257D4">
        <w:t xml:space="preserve"> www.euro.who.int/__data/assets/pdf_file/0007/341944/OstravaDeclaration_SIGNED.pdf.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1D8E" w14:textId="04176773" w:rsidR="00F36869" w:rsidRPr="006673C4" w:rsidRDefault="00F36869">
    <w:pPr>
      <w:pStyle w:val="Header"/>
    </w:pPr>
    <w:r>
      <w:t>ECE/MP.EIA/WG.2/2019/2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1A02" w14:textId="20F49A16" w:rsidR="00F36869" w:rsidRPr="006673C4" w:rsidRDefault="00F36869" w:rsidP="006673C4">
    <w:pPr>
      <w:pStyle w:val="Header"/>
      <w:jc w:val="right"/>
    </w:pPr>
    <w:r>
      <w:t>ECE/MP.EIA/WG.2/2019/</w:t>
    </w:r>
    <w:r w:rsidRPr="005C0E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540"/>
        </w:tabs>
        <w:ind w:left="54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787790"/>
    <w:multiLevelType w:val="hybridMultilevel"/>
    <w:tmpl w:val="4BEE699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27F617E"/>
    <w:multiLevelType w:val="hybridMultilevel"/>
    <w:tmpl w:val="BB425258"/>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9019A5"/>
    <w:multiLevelType w:val="hybridMultilevel"/>
    <w:tmpl w:val="1AC2EE16"/>
    <w:lvl w:ilvl="0" w:tplc="040E0017">
      <w:start w:val="1"/>
      <w:numFmt w:val="lowerLetter"/>
      <w:lvlText w:val="%1)"/>
      <w:lvlJc w:val="left"/>
      <w:pPr>
        <w:ind w:left="1443" w:hanging="360"/>
      </w:pPr>
    </w:lvl>
    <w:lvl w:ilvl="1" w:tplc="040E0019" w:tentative="1">
      <w:start w:val="1"/>
      <w:numFmt w:val="lowerLetter"/>
      <w:lvlText w:val="%2."/>
      <w:lvlJc w:val="left"/>
      <w:pPr>
        <w:ind w:left="2163" w:hanging="360"/>
      </w:pPr>
    </w:lvl>
    <w:lvl w:ilvl="2" w:tplc="040E001B" w:tentative="1">
      <w:start w:val="1"/>
      <w:numFmt w:val="lowerRoman"/>
      <w:lvlText w:val="%3."/>
      <w:lvlJc w:val="right"/>
      <w:pPr>
        <w:ind w:left="2883" w:hanging="180"/>
      </w:pPr>
    </w:lvl>
    <w:lvl w:ilvl="3" w:tplc="040E000F" w:tentative="1">
      <w:start w:val="1"/>
      <w:numFmt w:val="decimal"/>
      <w:lvlText w:val="%4."/>
      <w:lvlJc w:val="left"/>
      <w:pPr>
        <w:ind w:left="3603" w:hanging="360"/>
      </w:pPr>
    </w:lvl>
    <w:lvl w:ilvl="4" w:tplc="040E0019" w:tentative="1">
      <w:start w:val="1"/>
      <w:numFmt w:val="lowerLetter"/>
      <w:lvlText w:val="%5."/>
      <w:lvlJc w:val="left"/>
      <w:pPr>
        <w:ind w:left="4323" w:hanging="360"/>
      </w:pPr>
    </w:lvl>
    <w:lvl w:ilvl="5" w:tplc="040E001B" w:tentative="1">
      <w:start w:val="1"/>
      <w:numFmt w:val="lowerRoman"/>
      <w:lvlText w:val="%6."/>
      <w:lvlJc w:val="right"/>
      <w:pPr>
        <w:ind w:left="5043" w:hanging="180"/>
      </w:pPr>
    </w:lvl>
    <w:lvl w:ilvl="6" w:tplc="040E000F" w:tentative="1">
      <w:start w:val="1"/>
      <w:numFmt w:val="decimal"/>
      <w:lvlText w:val="%7."/>
      <w:lvlJc w:val="left"/>
      <w:pPr>
        <w:ind w:left="5763" w:hanging="360"/>
      </w:pPr>
    </w:lvl>
    <w:lvl w:ilvl="7" w:tplc="040E0019" w:tentative="1">
      <w:start w:val="1"/>
      <w:numFmt w:val="lowerLetter"/>
      <w:lvlText w:val="%8."/>
      <w:lvlJc w:val="left"/>
      <w:pPr>
        <w:ind w:left="6483" w:hanging="360"/>
      </w:pPr>
    </w:lvl>
    <w:lvl w:ilvl="8" w:tplc="040E001B" w:tentative="1">
      <w:start w:val="1"/>
      <w:numFmt w:val="lowerRoman"/>
      <w:lvlText w:val="%9."/>
      <w:lvlJc w:val="right"/>
      <w:pPr>
        <w:ind w:left="7203" w:hanging="180"/>
      </w:pPr>
    </w:lvl>
  </w:abstractNum>
  <w:abstractNum w:abstractNumId="7" w15:restartNumberingAfterBreak="0">
    <w:nsid w:val="059B3E0D"/>
    <w:multiLevelType w:val="hybridMultilevel"/>
    <w:tmpl w:val="6582C69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068666E7"/>
    <w:multiLevelType w:val="hybridMultilevel"/>
    <w:tmpl w:val="D7D6B46C"/>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94C6183"/>
    <w:multiLevelType w:val="hybridMultilevel"/>
    <w:tmpl w:val="4CA2477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09983421"/>
    <w:multiLevelType w:val="hybridMultilevel"/>
    <w:tmpl w:val="4AFC2D22"/>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2" w15:restartNumberingAfterBreak="0">
    <w:nsid w:val="0A4E7D91"/>
    <w:multiLevelType w:val="hybridMultilevel"/>
    <w:tmpl w:val="CCFC8C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B7C4A97"/>
    <w:multiLevelType w:val="hybridMultilevel"/>
    <w:tmpl w:val="8E6EB73C"/>
    <w:lvl w:ilvl="0" w:tplc="289A1BD2">
      <w:start w:val="1"/>
      <w:numFmt w:val="bullet"/>
      <w:lvlText w:val="•"/>
      <w:lvlJc w:val="left"/>
      <w:pPr>
        <w:tabs>
          <w:tab w:val="num" w:pos="720"/>
        </w:tabs>
        <w:ind w:left="720" w:hanging="360"/>
      </w:pPr>
      <w:rPr>
        <w:rFonts w:ascii="Times New Roman" w:hAnsi="Times New Roman" w:hint="default"/>
      </w:rPr>
    </w:lvl>
    <w:lvl w:ilvl="1" w:tplc="CBE221B6" w:tentative="1">
      <w:start w:val="1"/>
      <w:numFmt w:val="bullet"/>
      <w:lvlText w:val="•"/>
      <w:lvlJc w:val="left"/>
      <w:pPr>
        <w:tabs>
          <w:tab w:val="num" w:pos="1440"/>
        </w:tabs>
        <w:ind w:left="1440" w:hanging="360"/>
      </w:pPr>
      <w:rPr>
        <w:rFonts w:ascii="Times New Roman" w:hAnsi="Times New Roman" w:hint="default"/>
      </w:rPr>
    </w:lvl>
    <w:lvl w:ilvl="2" w:tplc="847AD8A6" w:tentative="1">
      <w:start w:val="1"/>
      <w:numFmt w:val="bullet"/>
      <w:lvlText w:val="•"/>
      <w:lvlJc w:val="left"/>
      <w:pPr>
        <w:tabs>
          <w:tab w:val="num" w:pos="2160"/>
        </w:tabs>
        <w:ind w:left="2160" w:hanging="360"/>
      </w:pPr>
      <w:rPr>
        <w:rFonts w:ascii="Times New Roman" w:hAnsi="Times New Roman" w:hint="default"/>
      </w:rPr>
    </w:lvl>
    <w:lvl w:ilvl="3" w:tplc="F0847B50" w:tentative="1">
      <w:start w:val="1"/>
      <w:numFmt w:val="bullet"/>
      <w:lvlText w:val="•"/>
      <w:lvlJc w:val="left"/>
      <w:pPr>
        <w:tabs>
          <w:tab w:val="num" w:pos="2880"/>
        </w:tabs>
        <w:ind w:left="2880" w:hanging="360"/>
      </w:pPr>
      <w:rPr>
        <w:rFonts w:ascii="Times New Roman" w:hAnsi="Times New Roman" w:hint="default"/>
      </w:rPr>
    </w:lvl>
    <w:lvl w:ilvl="4" w:tplc="17EAF19A" w:tentative="1">
      <w:start w:val="1"/>
      <w:numFmt w:val="bullet"/>
      <w:lvlText w:val="•"/>
      <w:lvlJc w:val="left"/>
      <w:pPr>
        <w:tabs>
          <w:tab w:val="num" w:pos="3600"/>
        </w:tabs>
        <w:ind w:left="3600" w:hanging="360"/>
      </w:pPr>
      <w:rPr>
        <w:rFonts w:ascii="Times New Roman" w:hAnsi="Times New Roman" w:hint="default"/>
      </w:rPr>
    </w:lvl>
    <w:lvl w:ilvl="5" w:tplc="48569C66" w:tentative="1">
      <w:start w:val="1"/>
      <w:numFmt w:val="bullet"/>
      <w:lvlText w:val="•"/>
      <w:lvlJc w:val="left"/>
      <w:pPr>
        <w:tabs>
          <w:tab w:val="num" w:pos="4320"/>
        </w:tabs>
        <w:ind w:left="4320" w:hanging="360"/>
      </w:pPr>
      <w:rPr>
        <w:rFonts w:ascii="Times New Roman" w:hAnsi="Times New Roman" w:hint="default"/>
      </w:rPr>
    </w:lvl>
    <w:lvl w:ilvl="6" w:tplc="83E43C4E" w:tentative="1">
      <w:start w:val="1"/>
      <w:numFmt w:val="bullet"/>
      <w:lvlText w:val="•"/>
      <w:lvlJc w:val="left"/>
      <w:pPr>
        <w:tabs>
          <w:tab w:val="num" w:pos="5040"/>
        </w:tabs>
        <w:ind w:left="5040" w:hanging="360"/>
      </w:pPr>
      <w:rPr>
        <w:rFonts w:ascii="Times New Roman" w:hAnsi="Times New Roman" w:hint="default"/>
      </w:rPr>
    </w:lvl>
    <w:lvl w:ilvl="7" w:tplc="E012A2CC" w:tentative="1">
      <w:start w:val="1"/>
      <w:numFmt w:val="bullet"/>
      <w:lvlText w:val="•"/>
      <w:lvlJc w:val="left"/>
      <w:pPr>
        <w:tabs>
          <w:tab w:val="num" w:pos="5760"/>
        </w:tabs>
        <w:ind w:left="5760" w:hanging="360"/>
      </w:pPr>
      <w:rPr>
        <w:rFonts w:ascii="Times New Roman" w:hAnsi="Times New Roman" w:hint="default"/>
      </w:rPr>
    </w:lvl>
    <w:lvl w:ilvl="8" w:tplc="FC0AD0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045690C"/>
    <w:multiLevelType w:val="hybridMultilevel"/>
    <w:tmpl w:val="4328CA96"/>
    <w:lvl w:ilvl="0" w:tplc="C7D25BD8">
      <w:start w:val="1"/>
      <w:numFmt w:val="decimal"/>
      <w:lvlText w:val="%1."/>
      <w:lvlJc w:val="left"/>
      <w:pPr>
        <w:tabs>
          <w:tab w:val="num" w:pos="360"/>
        </w:tabs>
        <w:ind w:left="360" w:hanging="360"/>
      </w:pPr>
      <w:rPr>
        <w:rFonts w:ascii="Arial" w:hAnsi="Arial" w:cs="Arial" w:hint="default"/>
        <w:b w:val="0"/>
      </w:rPr>
    </w:lvl>
    <w:lvl w:ilvl="1" w:tplc="DBD40758">
      <w:start w:val="1"/>
      <w:numFmt w:val="lowerLetter"/>
      <w:lvlText w:val="%2)"/>
      <w:lvlJc w:val="left"/>
      <w:pPr>
        <w:ind w:left="1410" w:hanging="69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10914E61"/>
    <w:multiLevelType w:val="hybridMultilevel"/>
    <w:tmpl w:val="14881D9C"/>
    <w:lvl w:ilvl="0" w:tplc="0809000B">
      <w:start w:val="1"/>
      <w:numFmt w:val="bullet"/>
      <w:lvlText w:val=""/>
      <w:lvlJc w:val="left"/>
      <w:pPr>
        <w:ind w:left="1723" w:hanging="360"/>
      </w:pPr>
      <w:rPr>
        <w:rFonts w:ascii="Wingdings" w:hAnsi="Wingdings"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6" w15:restartNumberingAfterBreak="0">
    <w:nsid w:val="114D695D"/>
    <w:multiLevelType w:val="hybridMultilevel"/>
    <w:tmpl w:val="EB28EC1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13543759"/>
    <w:multiLevelType w:val="hybridMultilevel"/>
    <w:tmpl w:val="1BFCD1E2"/>
    <w:lvl w:ilvl="0" w:tplc="C54A3F0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56154E1"/>
    <w:multiLevelType w:val="hybridMultilevel"/>
    <w:tmpl w:val="C21A17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6F60A68"/>
    <w:multiLevelType w:val="hybridMultilevel"/>
    <w:tmpl w:val="DF26303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7926D0A"/>
    <w:multiLevelType w:val="hybridMultilevel"/>
    <w:tmpl w:val="D7DEE912"/>
    <w:lvl w:ilvl="0" w:tplc="DBD40758">
      <w:start w:val="1"/>
      <w:numFmt w:val="lowerLetter"/>
      <w:lvlText w:val="%1)"/>
      <w:lvlJc w:val="left"/>
      <w:pPr>
        <w:ind w:left="9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17B401BC"/>
    <w:multiLevelType w:val="hybridMultilevel"/>
    <w:tmpl w:val="C21A17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1E253887"/>
    <w:multiLevelType w:val="hybridMultilevel"/>
    <w:tmpl w:val="497EC7CC"/>
    <w:styleLink w:val="1ai1"/>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053035"/>
    <w:multiLevelType w:val="hybridMultilevel"/>
    <w:tmpl w:val="910280A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15:restartNumberingAfterBreak="0">
    <w:nsid w:val="1F594AFD"/>
    <w:multiLevelType w:val="hybridMultilevel"/>
    <w:tmpl w:val="EBE8E1C0"/>
    <w:lvl w:ilvl="0" w:tplc="848C612A">
      <w:start w:val="1"/>
      <w:numFmt w:val="lowerRoman"/>
      <w:pStyle w:val="Question"/>
      <w:lvlText w:val="%1."/>
      <w:lvlJc w:val="left"/>
      <w:pPr>
        <w:tabs>
          <w:tab w:val="num" w:pos="1080"/>
        </w:tabs>
        <w:ind w:left="720" w:hanging="360"/>
      </w:pPr>
      <w:rPr>
        <w:rFonts w:hint="default"/>
      </w:rPr>
    </w:lvl>
    <w:lvl w:ilvl="1" w:tplc="14F66292">
      <w:start w:val="1"/>
      <w:numFmt w:val="lowerLetter"/>
      <w:lvlText w:val="%2."/>
      <w:lvlJc w:val="left"/>
      <w:pPr>
        <w:tabs>
          <w:tab w:val="num" w:pos="1440"/>
        </w:tabs>
        <w:ind w:left="1440" w:hanging="360"/>
      </w:pPr>
    </w:lvl>
    <w:lvl w:ilvl="2" w:tplc="172C49F0" w:tentative="1">
      <w:start w:val="1"/>
      <w:numFmt w:val="lowerRoman"/>
      <w:lvlText w:val="%3."/>
      <w:lvlJc w:val="right"/>
      <w:pPr>
        <w:tabs>
          <w:tab w:val="num" w:pos="2160"/>
        </w:tabs>
        <w:ind w:left="2160" w:hanging="180"/>
      </w:pPr>
    </w:lvl>
    <w:lvl w:ilvl="3" w:tplc="EBD25ABE" w:tentative="1">
      <w:start w:val="1"/>
      <w:numFmt w:val="decimal"/>
      <w:lvlText w:val="%4."/>
      <w:lvlJc w:val="left"/>
      <w:pPr>
        <w:tabs>
          <w:tab w:val="num" w:pos="2880"/>
        </w:tabs>
        <w:ind w:left="2880" w:hanging="360"/>
      </w:pPr>
    </w:lvl>
    <w:lvl w:ilvl="4" w:tplc="9C0E6B06" w:tentative="1">
      <w:start w:val="1"/>
      <w:numFmt w:val="lowerLetter"/>
      <w:lvlText w:val="%5."/>
      <w:lvlJc w:val="left"/>
      <w:pPr>
        <w:tabs>
          <w:tab w:val="num" w:pos="3600"/>
        </w:tabs>
        <w:ind w:left="3600" w:hanging="360"/>
      </w:pPr>
    </w:lvl>
    <w:lvl w:ilvl="5" w:tplc="2E409418" w:tentative="1">
      <w:start w:val="1"/>
      <w:numFmt w:val="lowerRoman"/>
      <w:lvlText w:val="%6."/>
      <w:lvlJc w:val="right"/>
      <w:pPr>
        <w:tabs>
          <w:tab w:val="num" w:pos="4320"/>
        </w:tabs>
        <w:ind w:left="4320" w:hanging="180"/>
      </w:pPr>
    </w:lvl>
    <w:lvl w:ilvl="6" w:tplc="F9D29F1C" w:tentative="1">
      <w:start w:val="1"/>
      <w:numFmt w:val="decimal"/>
      <w:lvlText w:val="%7."/>
      <w:lvlJc w:val="left"/>
      <w:pPr>
        <w:tabs>
          <w:tab w:val="num" w:pos="5040"/>
        </w:tabs>
        <w:ind w:left="5040" w:hanging="360"/>
      </w:pPr>
    </w:lvl>
    <w:lvl w:ilvl="7" w:tplc="A2C01DD6" w:tentative="1">
      <w:start w:val="1"/>
      <w:numFmt w:val="lowerLetter"/>
      <w:lvlText w:val="%8."/>
      <w:lvlJc w:val="left"/>
      <w:pPr>
        <w:tabs>
          <w:tab w:val="num" w:pos="5760"/>
        </w:tabs>
        <w:ind w:left="5760" w:hanging="360"/>
      </w:pPr>
    </w:lvl>
    <w:lvl w:ilvl="8" w:tplc="EB78F5CC" w:tentative="1">
      <w:start w:val="1"/>
      <w:numFmt w:val="lowerRoman"/>
      <w:lvlText w:val="%9."/>
      <w:lvlJc w:val="right"/>
      <w:pPr>
        <w:tabs>
          <w:tab w:val="num" w:pos="6480"/>
        </w:tabs>
        <w:ind w:left="6480" w:hanging="180"/>
      </w:pPr>
    </w:lvl>
  </w:abstractNum>
  <w:abstractNum w:abstractNumId="26" w15:restartNumberingAfterBreak="0">
    <w:nsid w:val="2033766A"/>
    <w:multiLevelType w:val="hybridMultilevel"/>
    <w:tmpl w:val="14CE7C5A"/>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7" w15:restartNumberingAfterBreak="0">
    <w:nsid w:val="24B27856"/>
    <w:multiLevelType w:val="hybridMultilevel"/>
    <w:tmpl w:val="8C507C88"/>
    <w:lvl w:ilvl="0" w:tplc="8B92EFC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27053543"/>
    <w:multiLevelType w:val="hybridMultilevel"/>
    <w:tmpl w:val="06AAFF30"/>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27291B3F"/>
    <w:multiLevelType w:val="hybridMultilevel"/>
    <w:tmpl w:val="98022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D47F4D"/>
    <w:multiLevelType w:val="hybridMultilevel"/>
    <w:tmpl w:val="232A63EE"/>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1A12325"/>
    <w:multiLevelType w:val="hybridMultilevel"/>
    <w:tmpl w:val="FF0E5B48"/>
    <w:styleLink w:val="1111111"/>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7B6442"/>
    <w:multiLevelType w:val="hybridMultilevel"/>
    <w:tmpl w:val="FB1854F8"/>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29D62AA"/>
    <w:multiLevelType w:val="hybridMultilevel"/>
    <w:tmpl w:val="9B34879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58311C5"/>
    <w:multiLevelType w:val="hybridMultilevel"/>
    <w:tmpl w:val="BDB2016C"/>
    <w:lvl w:ilvl="0" w:tplc="DBD40758">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CAD7AC0"/>
    <w:multiLevelType w:val="hybridMultilevel"/>
    <w:tmpl w:val="F462E390"/>
    <w:lvl w:ilvl="0" w:tplc="C7D25BD8">
      <w:start w:val="1"/>
      <w:numFmt w:val="decimal"/>
      <w:lvlText w:val="%1."/>
      <w:lvlJc w:val="left"/>
      <w:pPr>
        <w:tabs>
          <w:tab w:val="num" w:pos="360"/>
        </w:tabs>
        <w:ind w:left="360" w:hanging="360"/>
      </w:pPr>
      <w:rPr>
        <w:rFonts w:ascii="Arial" w:hAnsi="Arial" w:cs="Arial" w:hint="default"/>
        <w:b w:val="0"/>
      </w:rPr>
    </w:lvl>
    <w:lvl w:ilvl="1" w:tplc="DBD40758">
      <w:start w:val="1"/>
      <w:numFmt w:val="lowerLetter"/>
      <w:lvlText w:val="%2)"/>
      <w:lvlJc w:val="left"/>
      <w:pPr>
        <w:ind w:left="1410" w:hanging="69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3DCC7F0A"/>
    <w:multiLevelType w:val="hybridMultilevel"/>
    <w:tmpl w:val="FF54FE60"/>
    <w:lvl w:ilvl="0" w:tplc="31FE6ADC">
      <w:start w:val="25"/>
      <w:numFmt w:val="decimal"/>
      <w:lvlText w:val="%1."/>
      <w:lvlJc w:val="left"/>
      <w:pPr>
        <w:ind w:left="720" w:hanging="360"/>
      </w:pPr>
      <w:rPr>
        <w:rFonts w:hint="default"/>
        <w:color w:val="auto"/>
      </w:rPr>
    </w:lvl>
    <w:lvl w:ilvl="1" w:tplc="040E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792094"/>
    <w:multiLevelType w:val="hybridMultilevel"/>
    <w:tmpl w:val="86224F9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8" w15:restartNumberingAfterBreak="0">
    <w:nsid w:val="41FB0B39"/>
    <w:multiLevelType w:val="hybridMultilevel"/>
    <w:tmpl w:val="65D2B1FE"/>
    <w:lvl w:ilvl="0" w:tplc="F24AB4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33685E"/>
    <w:multiLevelType w:val="hybridMultilevel"/>
    <w:tmpl w:val="A8AEAAAC"/>
    <w:lvl w:ilvl="0" w:tplc="87E8367E">
      <w:start w:val="1"/>
      <w:numFmt w:val="lowerRoman"/>
      <w:lvlText w:val="(%1)"/>
      <w:lvlJc w:val="left"/>
      <w:pPr>
        <w:ind w:left="2823" w:hanging="555"/>
      </w:pPr>
      <w:rPr>
        <w:rFonts w:ascii="Times New Roman" w:eastAsia="Times New Roman" w:hAnsi="Times New Roman" w:cs="Times New Roman"/>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0" w15:restartNumberingAfterBreak="0">
    <w:nsid w:val="45FA4ABC"/>
    <w:multiLevelType w:val="hybridMultilevel"/>
    <w:tmpl w:val="910280A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1" w15:restartNumberingAfterBreak="0">
    <w:nsid w:val="47C50E9F"/>
    <w:multiLevelType w:val="hybridMultilevel"/>
    <w:tmpl w:val="312A8DFA"/>
    <w:lvl w:ilvl="0" w:tplc="041B0017">
      <w:start w:val="1"/>
      <w:numFmt w:val="lowerLetter"/>
      <w:lvlText w:val="%1)"/>
      <w:lvlJc w:val="left"/>
      <w:pPr>
        <w:ind w:left="720" w:hanging="360"/>
      </w:pPr>
      <w:rPr>
        <w:rFonts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7CE6C5E"/>
    <w:multiLevelType w:val="hybridMultilevel"/>
    <w:tmpl w:val="65DE929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8B50926"/>
    <w:multiLevelType w:val="hybridMultilevel"/>
    <w:tmpl w:val="3A006436"/>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4" w15:restartNumberingAfterBreak="0">
    <w:nsid w:val="4C74560C"/>
    <w:multiLevelType w:val="hybridMultilevel"/>
    <w:tmpl w:val="8DD239D4"/>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5" w15:restartNumberingAfterBreak="0">
    <w:nsid w:val="4D8939F9"/>
    <w:multiLevelType w:val="hybridMultilevel"/>
    <w:tmpl w:val="BFFCD022"/>
    <w:lvl w:ilvl="0" w:tplc="8910BAF8">
      <w:start w:val="1"/>
      <w:numFmt w:val="decimal"/>
      <w:lvlText w:val="%1."/>
      <w:lvlJc w:val="left"/>
      <w:pPr>
        <w:ind w:left="2799" w:hanging="555"/>
      </w:pPr>
      <w:rPr>
        <w:rFonts w:hint="default"/>
      </w:rPr>
    </w:lvl>
    <w:lvl w:ilvl="1" w:tplc="4AD06164">
      <w:start w:val="1"/>
      <w:numFmt w:val="lowerLetter"/>
      <w:lvlText w:val="(%2)"/>
      <w:lvlJc w:val="left"/>
      <w:pPr>
        <w:ind w:left="4089" w:hanging="1125"/>
      </w:pPr>
      <w:rPr>
        <w:rFonts w:hint="default"/>
      </w:rPr>
    </w:lvl>
    <w:lvl w:ilvl="2" w:tplc="0809001B" w:tentative="1">
      <w:start w:val="1"/>
      <w:numFmt w:val="lowerRoman"/>
      <w:lvlText w:val="%3."/>
      <w:lvlJc w:val="right"/>
      <w:pPr>
        <w:ind w:left="4044" w:hanging="180"/>
      </w:pPr>
    </w:lvl>
    <w:lvl w:ilvl="3" w:tplc="0809000F" w:tentative="1">
      <w:start w:val="1"/>
      <w:numFmt w:val="decimal"/>
      <w:lvlText w:val="%4."/>
      <w:lvlJc w:val="left"/>
      <w:pPr>
        <w:ind w:left="4764" w:hanging="360"/>
      </w:pPr>
    </w:lvl>
    <w:lvl w:ilvl="4" w:tplc="08090019" w:tentative="1">
      <w:start w:val="1"/>
      <w:numFmt w:val="lowerLetter"/>
      <w:lvlText w:val="%5."/>
      <w:lvlJc w:val="left"/>
      <w:pPr>
        <w:ind w:left="5484" w:hanging="360"/>
      </w:pPr>
    </w:lvl>
    <w:lvl w:ilvl="5" w:tplc="0809001B" w:tentative="1">
      <w:start w:val="1"/>
      <w:numFmt w:val="lowerRoman"/>
      <w:lvlText w:val="%6."/>
      <w:lvlJc w:val="right"/>
      <w:pPr>
        <w:ind w:left="6204" w:hanging="180"/>
      </w:pPr>
    </w:lvl>
    <w:lvl w:ilvl="6" w:tplc="0809000F" w:tentative="1">
      <w:start w:val="1"/>
      <w:numFmt w:val="decimal"/>
      <w:lvlText w:val="%7."/>
      <w:lvlJc w:val="left"/>
      <w:pPr>
        <w:ind w:left="6924" w:hanging="360"/>
      </w:pPr>
    </w:lvl>
    <w:lvl w:ilvl="7" w:tplc="08090019" w:tentative="1">
      <w:start w:val="1"/>
      <w:numFmt w:val="lowerLetter"/>
      <w:lvlText w:val="%8."/>
      <w:lvlJc w:val="left"/>
      <w:pPr>
        <w:ind w:left="7644" w:hanging="360"/>
      </w:pPr>
    </w:lvl>
    <w:lvl w:ilvl="8" w:tplc="0809001B" w:tentative="1">
      <w:start w:val="1"/>
      <w:numFmt w:val="lowerRoman"/>
      <w:lvlText w:val="%9."/>
      <w:lvlJc w:val="right"/>
      <w:pPr>
        <w:ind w:left="8364" w:hanging="180"/>
      </w:pPr>
    </w:lvl>
  </w:abstractNum>
  <w:abstractNum w:abstractNumId="46" w15:restartNumberingAfterBreak="0">
    <w:nsid w:val="4F096244"/>
    <w:multiLevelType w:val="hybridMultilevel"/>
    <w:tmpl w:val="3A9CC32E"/>
    <w:lvl w:ilvl="0" w:tplc="45FC214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19C1E04"/>
    <w:multiLevelType w:val="hybridMultilevel"/>
    <w:tmpl w:val="5AC21814"/>
    <w:lvl w:ilvl="0" w:tplc="E312C65E">
      <w:start w:val="3"/>
      <w:numFmt w:val="decimal"/>
      <w:lvlText w:val="%1."/>
      <w:lvlJc w:val="left"/>
      <w:pPr>
        <w:tabs>
          <w:tab w:val="num" w:pos="360"/>
        </w:tabs>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292228"/>
    <w:multiLevelType w:val="hybridMultilevel"/>
    <w:tmpl w:val="3BFEEA80"/>
    <w:lvl w:ilvl="0" w:tplc="C532AF4C">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35F37F8"/>
    <w:multiLevelType w:val="hybridMultilevel"/>
    <w:tmpl w:val="A6C8D332"/>
    <w:lvl w:ilvl="0" w:tplc="0EF657A6">
      <w:start w:val="1"/>
      <w:numFmt w:val="decimal"/>
      <w:lvlText w:val="I.%1."/>
      <w:lvlJc w:val="left"/>
      <w:pPr>
        <w:tabs>
          <w:tab w:val="num" w:pos="360"/>
        </w:tabs>
        <w:ind w:left="360" w:hanging="360"/>
      </w:pPr>
      <w:rPr>
        <w:rFonts w:hint="default"/>
      </w:rPr>
    </w:lvl>
    <w:lvl w:ilvl="1" w:tplc="040E0017">
      <w:start w:val="1"/>
      <w:numFmt w:val="lowerLetter"/>
      <w:lvlText w:val="%2)"/>
      <w:lvlJc w:val="left"/>
      <w:pPr>
        <w:tabs>
          <w:tab w:val="num" w:pos="993"/>
        </w:tabs>
        <w:ind w:left="993"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55501600"/>
    <w:multiLevelType w:val="hybridMultilevel"/>
    <w:tmpl w:val="5E067CEC"/>
    <w:lvl w:ilvl="0" w:tplc="DBD40758">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5AC71ED"/>
    <w:multiLevelType w:val="hybridMultilevel"/>
    <w:tmpl w:val="A9E2B2EA"/>
    <w:lvl w:ilvl="0" w:tplc="B5F04C8A">
      <w:start w:val="16"/>
      <w:numFmt w:val="decimal"/>
      <w:lvlText w:val="%1."/>
      <w:lvlJc w:val="left"/>
      <w:pPr>
        <w:tabs>
          <w:tab w:val="num" w:pos="360"/>
        </w:tabs>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2470CB"/>
    <w:multiLevelType w:val="hybridMultilevel"/>
    <w:tmpl w:val="FAF2C9E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5A2B7595"/>
    <w:multiLevelType w:val="hybridMultilevel"/>
    <w:tmpl w:val="5D7A6C68"/>
    <w:lvl w:ilvl="0" w:tplc="FA6A66FE">
      <w:start w:val="1"/>
      <w:numFmt w:val="bullet"/>
      <w:lvlText w:val=""/>
      <w:lvlJc w:val="left"/>
      <w:pPr>
        <w:ind w:left="720" w:hanging="360"/>
      </w:pPr>
      <w:rPr>
        <w:rFonts w:ascii="Wingdings" w:hAnsi="Wingdings"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C34007B"/>
    <w:multiLevelType w:val="hybridMultilevel"/>
    <w:tmpl w:val="A644F2D4"/>
    <w:lvl w:ilvl="0" w:tplc="18061E3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5" w15:restartNumberingAfterBreak="0">
    <w:nsid w:val="5D24081E"/>
    <w:multiLevelType w:val="hybridMultilevel"/>
    <w:tmpl w:val="BC2C892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7" w15:restartNumberingAfterBreak="0">
    <w:nsid w:val="60F01B25"/>
    <w:multiLevelType w:val="hybridMultilevel"/>
    <w:tmpl w:val="55B2F646"/>
    <w:lvl w:ilvl="0" w:tplc="87E8367E">
      <w:start w:val="1"/>
      <w:numFmt w:val="lowerRoman"/>
      <w:lvlText w:val="(%1)"/>
      <w:lvlJc w:val="left"/>
      <w:pPr>
        <w:ind w:left="2823" w:hanging="555"/>
      </w:pPr>
      <w:rPr>
        <w:rFonts w:ascii="Times New Roman" w:eastAsia="Times New Roman" w:hAnsi="Times New Roman" w:cs="Times New Roman"/>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8" w15:restartNumberingAfterBreak="0">
    <w:nsid w:val="61BA65DE"/>
    <w:multiLevelType w:val="hybridMultilevel"/>
    <w:tmpl w:val="2FC4C1C6"/>
    <w:lvl w:ilvl="0" w:tplc="D0E811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5AC45DB"/>
    <w:multiLevelType w:val="hybridMultilevel"/>
    <w:tmpl w:val="6E425928"/>
    <w:lvl w:ilvl="0" w:tplc="08090001">
      <w:start w:val="1"/>
      <w:numFmt w:val="bullet"/>
      <w:lvlText w:val=""/>
      <w:lvlJc w:val="left"/>
      <w:pPr>
        <w:ind w:left="928"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563109"/>
    <w:multiLevelType w:val="hybridMultilevel"/>
    <w:tmpl w:val="62FCE5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747553B"/>
    <w:multiLevelType w:val="hybridMultilevel"/>
    <w:tmpl w:val="917A8BB6"/>
    <w:lvl w:ilvl="0" w:tplc="24D69432">
      <w:start w:val="1"/>
      <w:numFmt w:val="bullet"/>
      <w:lvlText w:val=""/>
      <w:lvlJc w:val="left"/>
      <w:pPr>
        <w:ind w:left="1003" w:hanging="360"/>
      </w:pPr>
      <w:rPr>
        <w:rFonts w:ascii="Symbol" w:hAnsi="Symbol" w:hint="default"/>
        <w:sz w:val="18"/>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3" w15:restartNumberingAfterBreak="0">
    <w:nsid w:val="6CDC7CAA"/>
    <w:multiLevelType w:val="hybridMultilevel"/>
    <w:tmpl w:val="B97EA8DE"/>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D214CC1"/>
    <w:multiLevelType w:val="hybridMultilevel"/>
    <w:tmpl w:val="A9E2E54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5" w15:restartNumberingAfterBreak="0">
    <w:nsid w:val="6F0B4EFA"/>
    <w:multiLevelType w:val="hybridMultilevel"/>
    <w:tmpl w:val="1C0077C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F8224BC"/>
    <w:multiLevelType w:val="hybridMultilevel"/>
    <w:tmpl w:val="61FEBBDC"/>
    <w:lvl w:ilvl="0" w:tplc="7EE8301A">
      <w:start w:val="1"/>
      <w:numFmt w:val="decimal"/>
      <w:lvlText w:val="II.%1."/>
      <w:lvlJc w:val="left"/>
      <w:pPr>
        <w:tabs>
          <w:tab w:val="num" w:pos="360"/>
        </w:tabs>
        <w:ind w:left="36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316624B"/>
    <w:multiLevelType w:val="hybridMultilevel"/>
    <w:tmpl w:val="087261E4"/>
    <w:lvl w:ilvl="0" w:tplc="040E0017">
      <w:start w:val="1"/>
      <w:numFmt w:val="lowerLetter"/>
      <w:lvlText w:val="%1)"/>
      <w:lvlJc w:val="left"/>
      <w:pPr>
        <w:ind w:left="1090" w:hanging="360"/>
      </w:pPr>
    </w:lvl>
    <w:lvl w:ilvl="1" w:tplc="040E0019" w:tentative="1">
      <w:start w:val="1"/>
      <w:numFmt w:val="lowerLetter"/>
      <w:lvlText w:val="%2."/>
      <w:lvlJc w:val="left"/>
      <w:pPr>
        <w:ind w:left="1810" w:hanging="360"/>
      </w:pPr>
    </w:lvl>
    <w:lvl w:ilvl="2" w:tplc="040E001B" w:tentative="1">
      <w:start w:val="1"/>
      <w:numFmt w:val="lowerRoman"/>
      <w:lvlText w:val="%3."/>
      <w:lvlJc w:val="right"/>
      <w:pPr>
        <w:ind w:left="2530" w:hanging="180"/>
      </w:pPr>
    </w:lvl>
    <w:lvl w:ilvl="3" w:tplc="040E000F" w:tentative="1">
      <w:start w:val="1"/>
      <w:numFmt w:val="decimal"/>
      <w:lvlText w:val="%4."/>
      <w:lvlJc w:val="left"/>
      <w:pPr>
        <w:ind w:left="3250" w:hanging="360"/>
      </w:pPr>
    </w:lvl>
    <w:lvl w:ilvl="4" w:tplc="040E0019" w:tentative="1">
      <w:start w:val="1"/>
      <w:numFmt w:val="lowerLetter"/>
      <w:lvlText w:val="%5."/>
      <w:lvlJc w:val="left"/>
      <w:pPr>
        <w:ind w:left="3970" w:hanging="360"/>
      </w:pPr>
    </w:lvl>
    <w:lvl w:ilvl="5" w:tplc="040E001B" w:tentative="1">
      <w:start w:val="1"/>
      <w:numFmt w:val="lowerRoman"/>
      <w:lvlText w:val="%6."/>
      <w:lvlJc w:val="right"/>
      <w:pPr>
        <w:ind w:left="4690" w:hanging="180"/>
      </w:pPr>
    </w:lvl>
    <w:lvl w:ilvl="6" w:tplc="040E000F" w:tentative="1">
      <w:start w:val="1"/>
      <w:numFmt w:val="decimal"/>
      <w:lvlText w:val="%7."/>
      <w:lvlJc w:val="left"/>
      <w:pPr>
        <w:ind w:left="5410" w:hanging="360"/>
      </w:pPr>
    </w:lvl>
    <w:lvl w:ilvl="7" w:tplc="040E0019" w:tentative="1">
      <w:start w:val="1"/>
      <w:numFmt w:val="lowerLetter"/>
      <w:lvlText w:val="%8."/>
      <w:lvlJc w:val="left"/>
      <w:pPr>
        <w:ind w:left="6130" w:hanging="360"/>
      </w:pPr>
    </w:lvl>
    <w:lvl w:ilvl="8" w:tplc="040E001B" w:tentative="1">
      <w:start w:val="1"/>
      <w:numFmt w:val="lowerRoman"/>
      <w:lvlText w:val="%9."/>
      <w:lvlJc w:val="right"/>
      <w:pPr>
        <w:ind w:left="6850" w:hanging="180"/>
      </w:pPr>
    </w:lvl>
  </w:abstractNum>
  <w:abstractNum w:abstractNumId="6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EC0FD2"/>
    <w:multiLevelType w:val="hybridMultilevel"/>
    <w:tmpl w:val="15F6CA8E"/>
    <w:lvl w:ilvl="0" w:tplc="BF8E200A">
      <w:start w:val="1"/>
      <w:numFmt w:val="bullet"/>
      <w:lvlText w:val="-"/>
      <w:lvlJc w:val="left"/>
      <w:pPr>
        <w:ind w:left="720" w:hanging="360"/>
      </w:pPr>
      <w:rPr>
        <w:rFonts w:ascii="Times New Roman" w:hAnsi="Times New Roman" w:cs="Times New Roman" w:hint="default"/>
      </w:rPr>
    </w:lvl>
    <w:lvl w:ilvl="1" w:tplc="DBD40758">
      <w:start w:val="1"/>
      <w:numFmt w:val="lowerLetter"/>
      <w:lvlText w:val="%2)"/>
      <w:lvlJc w:val="left"/>
      <w:pPr>
        <w:ind w:left="1440" w:hanging="360"/>
      </w:pPr>
      <w:rPr>
        <w:rFonts w:hint="default"/>
      </w:rPr>
    </w:lvl>
    <w:lvl w:ilvl="2" w:tplc="D750CFD0">
      <w:start w:val="33"/>
      <w:numFmt w:val="bullet"/>
      <w:lvlText w:val="-"/>
      <w:lvlJc w:val="left"/>
      <w:pPr>
        <w:ind w:left="2340" w:hanging="360"/>
      </w:pPr>
      <w:rPr>
        <w:rFonts w:ascii="Arial" w:eastAsia="Calibri"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905096B"/>
    <w:multiLevelType w:val="hybridMultilevel"/>
    <w:tmpl w:val="E9B216A0"/>
    <w:lvl w:ilvl="0" w:tplc="DBD40758">
      <w:start w:val="1"/>
      <w:numFmt w:val="lowerLetter"/>
      <w:lvlText w:val="%1)"/>
      <w:lvlJc w:val="left"/>
      <w:pPr>
        <w:tabs>
          <w:tab w:val="num" w:pos="2344"/>
        </w:tabs>
        <w:ind w:left="2344" w:hanging="360"/>
      </w:pPr>
      <w:rPr>
        <w:rFonts w:hint="default"/>
      </w:rPr>
    </w:lvl>
    <w:lvl w:ilvl="1" w:tplc="FFFFFFFF">
      <w:start w:val="1"/>
      <w:numFmt w:val="lowerLetter"/>
      <w:lvlText w:val="%2."/>
      <w:lvlJc w:val="left"/>
      <w:pPr>
        <w:tabs>
          <w:tab w:val="num" w:pos="1707"/>
        </w:tabs>
        <w:ind w:left="1707" w:hanging="360"/>
      </w:pPr>
    </w:lvl>
    <w:lvl w:ilvl="2" w:tplc="FFFFFFFF">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71" w15:restartNumberingAfterBreak="0">
    <w:nsid w:val="7C312BD9"/>
    <w:multiLevelType w:val="hybridMultilevel"/>
    <w:tmpl w:val="58A8934C"/>
    <w:lvl w:ilvl="0" w:tplc="A2F29B9A">
      <w:start w:val="16"/>
      <w:numFmt w:val="decimal"/>
      <w:lvlText w:val="I.%1."/>
      <w:lvlJc w:val="left"/>
      <w:pPr>
        <w:tabs>
          <w:tab w:val="num" w:pos="360"/>
        </w:tabs>
        <w:ind w:left="360" w:hanging="360"/>
      </w:pPr>
      <w:rPr>
        <w:rFonts w:hint="default"/>
      </w:rPr>
    </w:lvl>
    <w:lvl w:ilvl="1" w:tplc="34BC6DB0">
      <w:start w:val="1"/>
      <w:numFmt w:val="lowerLetter"/>
      <w:lvlText w:val="%2."/>
      <w:lvlJc w:val="left"/>
      <w:pPr>
        <w:ind w:left="644" w:hanging="360"/>
      </w:pPr>
      <w:rPr>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1"/>
  </w:num>
  <w:num w:numId="3">
    <w:abstractNumId w:val="23"/>
  </w:num>
  <w:num w:numId="4">
    <w:abstractNumId w:val="3"/>
  </w:num>
  <w:num w:numId="5">
    <w:abstractNumId w:val="59"/>
  </w:num>
  <w:num w:numId="6">
    <w:abstractNumId w:val="68"/>
  </w:num>
  <w:num w:numId="7">
    <w:abstractNumId w:val="56"/>
  </w:num>
  <w:num w:numId="8">
    <w:abstractNumId w:val="19"/>
  </w:num>
  <w:num w:numId="9">
    <w:abstractNumId w:val="9"/>
  </w:num>
  <w:num w:numId="10">
    <w:abstractNumId w:val="45"/>
  </w:num>
  <w:num w:numId="11">
    <w:abstractNumId w:val="25"/>
  </w:num>
  <w:num w:numId="12">
    <w:abstractNumId w:val="49"/>
  </w:num>
  <w:num w:numId="13">
    <w:abstractNumId w:val="36"/>
  </w:num>
  <w:num w:numId="14">
    <w:abstractNumId w:val="70"/>
  </w:num>
  <w:num w:numId="15">
    <w:abstractNumId w:val="69"/>
  </w:num>
  <w:num w:numId="16">
    <w:abstractNumId w:val="34"/>
  </w:num>
  <w:num w:numId="17">
    <w:abstractNumId w:val="5"/>
  </w:num>
  <w:num w:numId="18">
    <w:abstractNumId w:val="50"/>
  </w:num>
  <w:num w:numId="19">
    <w:abstractNumId w:val="33"/>
  </w:num>
  <w:num w:numId="20">
    <w:abstractNumId w:val="63"/>
  </w:num>
  <w:num w:numId="21">
    <w:abstractNumId w:val="8"/>
  </w:num>
  <w:num w:numId="22">
    <w:abstractNumId w:val="55"/>
  </w:num>
  <w:num w:numId="23">
    <w:abstractNumId w:val="65"/>
  </w:num>
  <w:num w:numId="24">
    <w:abstractNumId w:val="32"/>
  </w:num>
  <w:num w:numId="25">
    <w:abstractNumId w:val="30"/>
  </w:num>
  <w:num w:numId="26">
    <w:abstractNumId w:val="66"/>
  </w:num>
  <w:num w:numId="27">
    <w:abstractNumId w:val="6"/>
  </w:num>
  <w:num w:numId="28">
    <w:abstractNumId w:val="67"/>
  </w:num>
  <w:num w:numId="29">
    <w:abstractNumId w:val="64"/>
  </w:num>
  <w:num w:numId="30">
    <w:abstractNumId w:val="7"/>
  </w:num>
  <w:num w:numId="31">
    <w:abstractNumId w:val="53"/>
  </w:num>
  <w:num w:numId="32">
    <w:abstractNumId w:val="48"/>
  </w:num>
  <w:num w:numId="33">
    <w:abstractNumId w:val="21"/>
  </w:num>
  <w:num w:numId="34">
    <w:abstractNumId w:val="71"/>
  </w:num>
  <w:num w:numId="35">
    <w:abstractNumId w:val="2"/>
  </w:num>
  <w:num w:numId="36">
    <w:abstractNumId w:val="14"/>
  </w:num>
  <w:num w:numId="37">
    <w:abstractNumId w:val="40"/>
  </w:num>
  <w:num w:numId="38">
    <w:abstractNumId w:val="24"/>
  </w:num>
  <w:num w:numId="39">
    <w:abstractNumId w:val="43"/>
  </w:num>
  <w:num w:numId="40">
    <w:abstractNumId w:val="10"/>
  </w:num>
  <w:num w:numId="41">
    <w:abstractNumId w:val="11"/>
  </w:num>
  <w:num w:numId="42">
    <w:abstractNumId w:val="26"/>
  </w:num>
  <w:num w:numId="43">
    <w:abstractNumId w:val="20"/>
  </w:num>
  <w:num w:numId="44">
    <w:abstractNumId w:val="37"/>
  </w:num>
  <w:num w:numId="45">
    <w:abstractNumId w:val="22"/>
  </w:num>
  <w:num w:numId="46">
    <w:abstractNumId w:val="18"/>
  </w:num>
  <w:num w:numId="47">
    <w:abstractNumId w:val="52"/>
  </w:num>
  <w:num w:numId="48">
    <w:abstractNumId w:val="41"/>
  </w:num>
  <w:num w:numId="49">
    <w:abstractNumId w:val="42"/>
  </w:num>
  <w:num w:numId="50">
    <w:abstractNumId w:val="4"/>
  </w:num>
  <w:num w:numId="51">
    <w:abstractNumId w:val="44"/>
  </w:num>
  <w:num w:numId="52">
    <w:abstractNumId w:val="16"/>
  </w:num>
  <w:num w:numId="53">
    <w:abstractNumId w:val="46"/>
  </w:num>
  <w:num w:numId="54">
    <w:abstractNumId w:val="35"/>
  </w:num>
  <w:num w:numId="55">
    <w:abstractNumId w:val="28"/>
  </w:num>
  <w:num w:numId="56">
    <w:abstractNumId w:val="47"/>
  </w:num>
  <w:num w:numId="57">
    <w:abstractNumId w:val="51"/>
  </w:num>
  <w:num w:numId="58">
    <w:abstractNumId w:val="29"/>
  </w:num>
  <w:num w:numId="59">
    <w:abstractNumId w:val="58"/>
  </w:num>
  <w:num w:numId="60">
    <w:abstractNumId w:val="17"/>
  </w:num>
  <w:num w:numId="61">
    <w:abstractNumId w:val="12"/>
  </w:num>
  <w:num w:numId="62">
    <w:abstractNumId w:val="38"/>
  </w:num>
  <w:num w:numId="63">
    <w:abstractNumId w:val="13"/>
  </w:num>
  <w:num w:numId="64">
    <w:abstractNumId w:val="61"/>
  </w:num>
  <w:num w:numId="65">
    <w:abstractNumId w:val="57"/>
  </w:num>
  <w:num w:numId="66">
    <w:abstractNumId w:val="39"/>
  </w:num>
  <w:num w:numId="67">
    <w:abstractNumId w:val="1"/>
  </w:num>
  <w:num w:numId="68">
    <w:abstractNumId w:val="60"/>
  </w:num>
  <w:num w:numId="69">
    <w:abstractNumId w:val="62"/>
  </w:num>
  <w:num w:numId="70">
    <w:abstractNumId w:val="15"/>
  </w:num>
  <w:num w:numId="71">
    <w:abstractNumId w:val="27"/>
  </w:num>
  <w:num w:numId="72">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6" w:nlCheck="1" w:checkStyle="1"/>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C4"/>
    <w:rsid w:val="00001DF9"/>
    <w:rsid w:val="00001E0A"/>
    <w:rsid w:val="00002573"/>
    <w:rsid w:val="00002A3A"/>
    <w:rsid w:val="00002A7D"/>
    <w:rsid w:val="00002C2C"/>
    <w:rsid w:val="000038A8"/>
    <w:rsid w:val="00003CA5"/>
    <w:rsid w:val="00004229"/>
    <w:rsid w:val="0000424B"/>
    <w:rsid w:val="00004F58"/>
    <w:rsid w:val="00006790"/>
    <w:rsid w:val="000072FB"/>
    <w:rsid w:val="00007306"/>
    <w:rsid w:val="000102E7"/>
    <w:rsid w:val="0001211E"/>
    <w:rsid w:val="000121EF"/>
    <w:rsid w:val="00012987"/>
    <w:rsid w:val="00012F73"/>
    <w:rsid w:val="00013CF2"/>
    <w:rsid w:val="000140B6"/>
    <w:rsid w:val="00015A8B"/>
    <w:rsid w:val="00015AE3"/>
    <w:rsid w:val="0001768A"/>
    <w:rsid w:val="00017A87"/>
    <w:rsid w:val="00017F39"/>
    <w:rsid w:val="000204D1"/>
    <w:rsid w:val="000205AF"/>
    <w:rsid w:val="00020853"/>
    <w:rsid w:val="00021415"/>
    <w:rsid w:val="00021EE0"/>
    <w:rsid w:val="00021F7A"/>
    <w:rsid w:val="0002213E"/>
    <w:rsid w:val="0002292B"/>
    <w:rsid w:val="00022B06"/>
    <w:rsid w:val="000239B2"/>
    <w:rsid w:val="00023A2F"/>
    <w:rsid w:val="00024BD1"/>
    <w:rsid w:val="000257C4"/>
    <w:rsid w:val="00026393"/>
    <w:rsid w:val="00026BB4"/>
    <w:rsid w:val="00027243"/>
    <w:rsid w:val="00027624"/>
    <w:rsid w:val="0002783F"/>
    <w:rsid w:val="00027893"/>
    <w:rsid w:val="0002789C"/>
    <w:rsid w:val="000306A0"/>
    <w:rsid w:val="00031A9B"/>
    <w:rsid w:val="00032862"/>
    <w:rsid w:val="00033019"/>
    <w:rsid w:val="000330D1"/>
    <w:rsid w:val="00033790"/>
    <w:rsid w:val="00035D65"/>
    <w:rsid w:val="00036040"/>
    <w:rsid w:val="00036275"/>
    <w:rsid w:val="000368C1"/>
    <w:rsid w:val="000400C2"/>
    <w:rsid w:val="00040E8B"/>
    <w:rsid w:val="000422AC"/>
    <w:rsid w:val="000429C2"/>
    <w:rsid w:val="00042A8B"/>
    <w:rsid w:val="00043770"/>
    <w:rsid w:val="00044ADD"/>
    <w:rsid w:val="00045BC0"/>
    <w:rsid w:val="00045D0E"/>
    <w:rsid w:val="00047015"/>
    <w:rsid w:val="00047AE2"/>
    <w:rsid w:val="00050408"/>
    <w:rsid w:val="00050F6B"/>
    <w:rsid w:val="00052594"/>
    <w:rsid w:val="00052D62"/>
    <w:rsid w:val="000535C9"/>
    <w:rsid w:val="000536A9"/>
    <w:rsid w:val="00053FB8"/>
    <w:rsid w:val="00053FDC"/>
    <w:rsid w:val="00054B41"/>
    <w:rsid w:val="00055907"/>
    <w:rsid w:val="000564BE"/>
    <w:rsid w:val="0005777A"/>
    <w:rsid w:val="00060C4E"/>
    <w:rsid w:val="00061687"/>
    <w:rsid w:val="00062257"/>
    <w:rsid w:val="000632FC"/>
    <w:rsid w:val="00063A17"/>
    <w:rsid w:val="00064709"/>
    <w:rsid w:val="00065B69"/>
    <w:rsid w:val="00065C6E"/>
    <w:rsid w:val="000665A1"/>
    <w:rsid w:val="00067167"/>
    <w:rsid w:val="000678CD"/>
    <w:rsid w:val="0007024D"/>
    <w:rsid w:val="000709F5"/>
    <w:rsid w:val="0007181B"/>
    <w:rsid w:val="00072C8C"/>
    <w:rsid w:val="00072F21"/>
    <w:rsid w:val="00074867"/>
    <w:rsid w:val="00074905"/>
    <w:rsid w:val="00076CB3"/>
    <w:rsid w:val="000774F8"/>
    <w:rsid w:val="000807A7"/>
    <w:rsid w:val="00080CEA"/>
    <w:rsid w:val="0008185D"/>
    <w:rsid w:val="00081CE0"/>
    <w:rsid w:val="00082A96"/>
    <w:rsid w:val="000848C5"/>
    <w:rsid w:val="00084D30"/>
    <w:rsid w:val="00085ABF"/>
    <w:rsid w:val="00085C4E"/>
    <w:rsid w:val="0008685A"/>
    <w:rsid w:val="00090320"/>
    <w:rsid w:val="000911A9"/>
    <w:rsid w:val="00091D0B"/>
    <w:rsid w:val="000931C0"/>
    <w:rsid w:val="00093A75"/>
    <w:rsid w:val="000947DB"/>
    <w:rsid w:val="00094AB1"/>
    <w:rsid w:val="00096060"/>
    <w:rsid w:val="000961D2"/>
    <w:rsid w:val="00096594"/>
    <w:rsid w:val="00097741"/>
    <w:rsid w:val="000A28B6"/>
    <w:rsid w:val="000A2E09"/>
    <w:rsid w:val="000A3771"/>
    <w:rsid w:val="000A3ABA"/>
    <w:rsid w:val="000A48E9"/>
    <w:rsid w:val="000A49A3"/>
    <w:rsid w:val="000A4CA5"/>
    <w:rsid w:val="000A5CB6"/>
    <w:rsid w:val="000A6397"/>
    <w:rsid w:val="000A701C"/>
    <w:rsid w:val="000A7DA3"/>
    <w:rsid w:val="000B038B"/>
    <w:rsid w:val="000B175B"/>
    <w:rsid w:val="000B1BBE"/>
    <w:rsid w:val="000B217A"/>
    <w:rsid w:val="000B21A8"/>
    <w:rsid w:val="000B2896"/>
    <w:rsid w:val="000B3A0F"/>
    <w:rsid w:val="000B3C86"/>
    <w:rsid w:val="000B411E"/>
    <w:rsid w:val="000B437D"/>
    <w:rsid w:val="000B4ABD"/>
    <w:rsid w:val="000B5931"/>
    <w:rsid w:val="000B5BD8"/>
    <w:rsid w:val="000C17EA"/>
    <w:rsid w:val="000C20A0"/>
    <w:rsid w:val="000C34B3"/>
    <w:rsid w:val="000C350A"/>
    <w:rsid w:val="000C3D38"/>
    <w:rsid w:val="000C3FA8"/>
    <w:rsid w:val="000C6F7B"/>
    <w:rsid w:val="000C74D4"/>
    <w:rsid w:val="000D079C"/>
    <w:rsid w:val="000D0A41"/>
    <w:rsid w:val="000D0ACD"/>
    <w:rsid w:val="000D232C"/>
    <w:rsid w:val="000D354E"/>
    <w:rsid w:val="000D35EA"/>
    <w:rsid w:val="000D3CF0"/>
    <w:rsid w:val="000D51A2"/>
    <w:rsid w:val="000D66D3"/>
    <w:rsid w:val="000D73A6"/>
    <w:rsid w:val="000D77C7"/>
    <w:rsid w:val="000D7C40"/>
    <w:rsid w:val="000E0415"/>
    <w:rsid w:val="000E107E"/>
    <w:rsid w:val="000E2447"/>
    <w:rsid w:val="000E37F3"/>
    <w:rsid w:val="000E5443"/>
    <w:rsid w:val="000E58C9"/>
    <w:rsid w:val="000E6B4A"/>
    <w:rsid w:val="000E76B8"/>
    <w:rsid w:val="000E7750"/>
    <w:rsid w:val="000F0BFC"/>
    <w:rsid w:val="000F17D2"/>
    <w:rsid w:val="000F2602"/>
    <w:rsid w:val="000F7715"/>
    <w:rsid w:val="00101433"/>
    <w:rsid w:val="00101BE0"/>
    <w:rsid w:val="001025B7"/>
    <w:rsid w:val="00103958"/>
    <w:rsid w:val="00103D93"/>
    <w:rsid w:val="00104EA8"/>
    <w:rsid w:val="001063B7"/>
    <w:rsid w:val="00106731"/>
    <w:rsid w:val="001100B1"/>
    <w:rsid w:val="001103B8"/>
    <w:rsid w:val="00111ACC"/>
    <w:rsid w:val="00112A93"/>
    <w:rsid w:val="00112D4F"/>
    <w:rsid w:val="00112F6B"/>
    <w:rsid w:val="001139F0"/>
    <w:rsid w:val="001144C5"/>
    <w:rsid w:val="001147F1"/>
    <w:rsid w:val="001148FD"/>
    <w:rsid w:val="00116496"/>
    <w:rsid w:val="0011692C"/>
    <w:rsid w:val="00117E40"/>
    <w:rsid w:val="0012017A"/>
    <w:rsid w:val="00120B81"/>
    <w:rsid w:val="001216CF"/>
    <w:rsid w:val="001219A3"/>
    <w:rsid w:val="001228E0"/>
    <w:rsid w:val="00122FA3"/>
    <w:rsid w:val="00123A4B"/>
    <w:rsid w:val="00124C78"/>
    <w:rsid w:val="00125394"/>
    <w:rsid w:val="001268FF"/>
    <w:rsid w:val="001270F2"/>
    <w:rsid w:val="001276F6"/>
    <w:rsid w:val="00127B8B"/>
    <w:rsid w:val="00130167"/>
    <w:rsid w:val="0013217C"/>
    <w:rsid w:val="001323BA"/>
    <w:rsid w:val="00132622"/>
    <w:rsid w:val="00132C5A"/>
    <w:rsid w:val="00133C38"/>
    <w:rsid w:val="0013446A"/>
    <w:rsid w:val="00134B37"/>
    <w:rsid w:val="00134E19"/>
    <w:rsid w:val="00135407"/>
    <w:rsid w:val="001360E3"/>
    <w:rsid w:val="00141180"/>
    <w:rsid w:val="00142EFB"/>
    <w:rsid w:val="00143BEE"/>
    <w:rsid w:val="00144468"/>
    <w:rsid w:val="00146663"/>
    <w:rsid w:val="0014712F"/>
    <w:rsid w:val="001523AF"/>
    <w:rsid w:val="00153ADE"/>
    <w:rsid w:val="00155D27"/>
    <w:rsid w:val="00155D68"/>
    <w:rsid w:val="00155FAC"/>
    <w:rsid w:val="00156135"/>
    <w:rsid w:val="00156B99"/>
    <w:rsid w:val="00157D3D"/>
    <w:rsid w:val="0016050B"/>
    <w:rsid w:val="00160B68"/>
    <w:rsid w:val="0016130B"/>
    <w:rsid w:val="00162139"/>
    <w:rsid w:val="00162B2C"/>
    <w:rsid w:val="00162CB9"/>
    <w:rsid w:val="00163E98"/>
    <w:rsid w:val="00164E65"/>
    <w:rsid w:val="00166124"/>
    <w:rsid w:val="00166201"/>
    <w:rsid w:val="001666F8"/>
    <w:rsid w:val="00166F34"/>
    <w:rsid w:val="00170477"/>
    <w:rsid w:val="0017082E"/>
    <w:rsid w:val="0017099B"/>
    <w:rsid w:val="001709ED"/>
    <w:rsid w:val="00170FB6"/>
    <w:rsid w:val="0017177C"/>
    <w:rsid w:val="001723BB"/>
    <w:rsid w:val="00175A9E"/>
    <w:rsid w:val="0017622A"/>
    <w:rsid w:val="001762AF"/>
    <w:rsid w:val="00176A4E"/>
    <w:rsid w:val="00180AB0"/>
    <w:rsid w:val="00182A86"/>
    <w:rsid w:val="00183344"/>
    <w:rsid w:val="00183D60"/>
    <w:rsid w:val="00184347"/>
    <w:rsid w:val="0018464E"/>
    <w:rsid w:val="00184DDA"/>
    <w:rsid w:val="00185C89"/>
    <w:rsid w:val="00186238"/>
    <w:rsid w:val="001900CD"/>
    <w:rsid w:val="001900FD"/>
    <w:rsid w:val="00190EEF"/>
    <w:rsid w:val="00193A9E"/>
    <w:rsid w:val="00195CC5"/>
    <w:rsid w:val="001A01B7"/>
    <w:rsid w:val="001A0452"/>
    <w:rsid w:val="001A3FAD"/>
    <w:rsid w:val="001A5AD7"/>
    <w:rsid w:val="001A5CAA"/>
    <w:rsid w:val="001B0146"/>
    <w:rsid w:val="001B052E"/>
    <w:rsid w:val="001B10A1"/>
    <w:rsid w:val="001B1DAF"/>
    <w:rsid w:val="001B418A"/>
    <w:rsid w:val="001B447F"/>
    <w:rsid w:val="001B4B04"/>
    <w:rsid w:val="001B4F4F"/>
    <w:rsid w:val="001B54C9"/>
    <w:rsid w:val="001B5875"/>
    <w:rsid w:val="001B5B1F"/>
    <w:rsid w:val="001B6C47"/>
    <w:rsid w:val="001B708C"/>
    <w:rsid w:val="001B70CA"/>
    <w:rsid w:val="001C08DB"/>
    <w:rsid w:val="001C0C46"/>
    <w:rsid w:val="001C1806"/>
    <w:rsid w:val="001C2529"/>
    <w:rsid w:val="001C4B9C"/>
    <w:rsid w:val="001C4CA0"/>
    <w:rsid w:val="001C4D6F"/>
    <w:rsid w:val="001C5147"/>
    <w:rsid w:val="001C5B66"/>
    <w:rsid w:val="001C6663"/>
    <w:rsid w:val="001C7420"/>
    <w:rsid w:val="001C7895"/>
    <w:rsid w:val="001C79B4"/>
    <w:rsid w:val="001C7B06"/>
    <w:rsid w:val="001D07F7"/>
    <w:rsid w:val="001D095A"/>
    <w:rsid w:val="001D1073"/>
    <w:rsid w:val="001D1296"/>
    <w:rsid w:val="001D1B57"/>
    <w:rsid w:val="001D2540"/>
    <w:rsid w:val="001D26DF"/>
    <w:rsid w:val="001D2E04"/>
    <w:rsid w:val="001D3A4E"/>
    <w:rsid w:val="001D3BF0"/>
    <w:rsid w:val="001D3CCC"/>
    <w:rsid w:val="001D3ECD"/>
    <w:rsid w:val="001D4410"/>
    <w:rsid w:val="001D4EDE"/>
    <w:rsid w:val="001D5761"/>
    <w:rsid w:val="001D741F"/>
    <w:rsid w:val="001D7917"/>
    <w:rsid w:val="001D79AD"/>
    <w:rsid w:val="001E0366"/>
    <w:rsid w:val="001E16C4"/>
    <w:rsid w:val="001E1915"/>
    <w:rsid w:val="001E2D36"/>
    <w:rsid w:val="001E302A"/>
    <w:rsid w:val="001E34EF"/>
    <w:rsid w:val="001E5508"/>
    <w:rsid w:val="001E5901"/>
    <w:rsid w:val="001E629D"/>
    <w:rsid w:val="001E6558"/>
    <w:rsid w:val="001E6FC4"/>
    <w:rsid w:val="001E6FDF"/>
    <w:rsid w:val="001E781E"/>
    <w:rsid w:val="001E7C74"/>
    <w:rsid w:val="001F0152"/>
    <w:rsid w:val="001F0D6E"/>
    <w:rsid w:val="001F1599"/>
    <w:rsid w:val="001F19C4"/>
    <w:rsid w:val="001F4152"/>
    <w:rsid w:val="001F4939"/>
    <w:rsid w:val="001F637C"/>
    <w:rsid w:val="001F6473"/>
    <w:rsid w:val="001F746F"/>
    <w:rsid w:val="00203023"/>
    <w:rsid w:val="00203566"/>
    <w:rsid w:val="0020376F"/>
    <w:rsid w:val="002043F0"/>
    <w:rsid w:val="00204619"/>
    <w:rsid w:val="0020582A"/>
    <w:rsid w:val="002064A9"/>
    <w:rsid w:val="00211E0B"/>
    <w:rsid w:val="00212684"/>
    <w:rsid w:val="002135FB"/>
    <w:rsid w:val="00213885"/>
    <w:rsid w:val="00216B0A"/>
    <w:rsid w:val="00216DDD"/>
    <w:rsid w:val="00217C30"/>
    <w:rsid w:val="00217D6F"/>
    <w:rsid w:val="00220D39"/>
    <w:rsid w:val="00220E07"/>
    <w:rsid w:val="0022253D"/>
    <w:rsid w:val="0022361A"/>
    <w:rsid w:val="002247FC"/>
    <w:rsid w:val="002248B4"/>
    <w:rsid w:val="00225635"/>
    <w:rsid w:val="00225B06"/>
    <w:rsid w:val="00225B54"/>
    <w:rsid w:val="002269CC"/>
    <w:rsid w:val="00227644"/>
    <w:rsid w:val="00230675"/>
    <w:rsid w:val="00230EAD"/>
    <w:rsid w:val="00231D71"/>
    <w:rsid w:val="00232575"/>
    <w:rsid w:val="00233FAE"/>
    <w:rsid w:val="0023426E"/>
    <w:rsid w:val="0023447A"/>
    <w:rsid w:val="00234FBA"/>
    <w:rsid w:val="00235B56"/>
    <w:rsid w:val="002369EF"/>
    <w:rsid w:val="00236C64"/>
    <w:rsid w:val="00241BC6"/>
    <w:rsid w:val="00242110"/>
    <w:rsid w:val="00242AE0"/>
    <w:rsid w:val="0024489F"/>
    <w:rsid w:val="00244EBF"/>
    <w:rsid w:val="00246943"/>
    <w:rsid w:val="002470D5"/>
    <w:rsid w:val="00247258"/>
    <w:rsid w:val="002509F9"/>
    <w:rsid w:val="0025191C"/>
    <w:rsid w:val="00251D98"/>
    <w:rsid w:val="00251F85"/>
    <w:rsid w:val="002531B2"/>
    <w:rsid w:val="00253FC4"/>
    <w:rsid w:val="002548D6"/>
    <w:rsid w:val="00254BCC"/>
    <w:rsid w:val="00255AA4"/>
    <w:rsid w:val="00256660"/>
    <w:rsid w:val="00257490"/>
    <w:rsid w:val="00257631"/>
    <w:rsid w:val="00257CAC"/>
    <w:rsid w:val="002603EA"/>
    <w:rsid w:val="00263340"/>
    <w:rsid w:val="002639A4"/>
    <w:rsid w:val="00263C9C"/>
    <w:rsid w:val="00264B38"/>
    <w:rsid w:val="00264FF0"/>
    <w:rsid w:val="00265013"/>
    <w:rsid w:val="00265CB5"/>
    <w:rsid w:val="002663DC"/>
    <w:rsid w:val="0026741B"/>
    <w:rsid w:val="00267926"/>
    <w:rsid w:val="00270000"/>
    <w:rsid w:val="0027038E"/>
    <w:rsid w:val="00270AED"/>
    <w:rsid w:val="0027237A"/>
    <w:rsid w:val="00272F97"/>
    <w:rsid w:val="00273150"/>
    <w:rsid w:val="002733B8"/>
    <w:rsid w:val="002734C2"/>
    <w:rsid w:val="00273EAA"/>
    <w:rsid w:val="00273FA8"/>
    <w:rsid w:val="002744B3"/>
    <w:rsid w:val="00275ECE"/>
    <w:rsid w:val="002807D2"/>
    <w:rsid w:val="00282543"/>
    <w:rsid w:val="00282CE3"/>
    <w:rsid w:val="0028391A"/>
    <w:rsid w:val="00283B88"/>
    <w:rsid w:val="00284FCE"/>
    <w:rsid w:val="00285CED"/>
    <w:rsid w:val="00286896"/>
    <w:rsid w:val="00286F89"/>
    <w:rsid w:val="002873AE"/>
    <w:rsid w:val="00287DE4"/>
    <w:rsid w:val="00287E91"/>
    <w:rsid w:val="00290324"/>
    <w:rsid w:val="00291AA1"/>
    <w:rsid w:val="00291EB2"/>
    <w:rsid w:val="00292AE5"/>
    <w:rsid w:val="0029348C"/>
    <w:rsid w:val="002949BF"/>
    <w:rsid w:val="00294AD6"/>
    <w:rsid w:val="00294D3B"/>
    <w:rsid w:val="0029523C"/>
    <w:rsid w:val="00295F0D"/>
    <w:rsid w:val="002974E9"/>
    <w:rsid w:val="00297826"/>
    <w:rsid w:val="00297F8B"/>
    <w:rsid w:val="002A0393"/>
    <w:rsid w:val="002A088D"/>
    <w:rsid w:val="002A45DE"/>
    <w:rsid w:val="002A48F7"/>
    <w:rsid w:val="002A5126"/>
    <w:rsid w:val="002A7594"/>
    <w:rsid w:val="002A7E01"/>
    <w:rsid w:val="002A7F94"/>
    <w:rsid w:val="002B089A"/>
    <w:rsid w:val="002B109A"/>
    <w:rsid w:val="002B2AD4"/>
    <w:rsid w:val="002B2B5A"/>
    <w:rsid w:val="002B3D0A"/>
    <w:rsid w:val="002B4B45"/>
    <w:rsid w:val="002B4DC9"/>
    <w:rsid w:val="002B6A30"/>
    <w:rsid w:val="002B7239"/>
    <w:rsid w:val="002B760E"/>
    <w:rsid w:val="002C049F"/>
    <w:rsid w:val="002C1869"/>
    <w:rsid w:val="002C18A3"/>
    <w:rsid w:val="002C20C3"/>
    <w:rsid w:val="002C20E0"/>
    <w:rsid w:val="002C2468"/>
    <w:rsid w:val="002C2872"/>
    <w:rsid w:val="002C30E6"/>
    <w:rsid w:val="002C3525"/>
    <w:rsid w:val="002C37E8"/>
    <w:rsid w:val="002C4642"/>
    <w:rsid w:val="002C4E56"/>
    <w:rsid w:val="002C505C"/>
    <w:rsid w:val="002C5DD7"/>
    <w:rsid w:val="002C5DF5"/>
    <w:rsid w:val="002C61FA"/>
    <w:rsid w:val="002C6887"/>
    <w:rsid w:val="002C6D45"/>
    <w:rsid w:val="002C749D"/>
    <w:rsid w:val="002C7875"/>
    <w:rsid w:val="002C7A72"/>
    <w:rsid w:val="002D0236"/>
    <w:rsid w:val="002D0641"/>
    <w:rsid w:val="002D0D29"/>
    <w:rsid w:val="002D1E33"/>
    <w:rsid w:val="002D352E"/>
    <w:rsid w:val="002D3CA3"/>
    <w:rsid w:val="002D408F"/>
    <w:rsid w:val="002D5AE2"/>
    <w:rsid w:val="002D66F1"/>
    <w:rsid w:val="002D6E53"/>
    <w:rsid w:val="002D7371"/>
    <w:rsid w:val="002D7612"/>
    <w:rsid w:val="002D78D4"/>
    <w:rsid w:val="002D7D89"/>
    <w:rsid w:val="002E1C19"/>
    <w:rsid w:val="002E1DDF"/>
    <w:rsid w:val="002E2777"/>
    <w:rsid w:val="002E446A"/>
    <w:rsid w:val="002E6561"/>
    <w:rsid w:val="002E6BA6"/>
    <w:rsid w:val="002E709F"/>
    <w:rsid w:val="002E7D6A"/>
    <w:rsid w:val="002F046D"/>
    <w:rsid w:val="002F06B6"/>
    <w:rsid w:val="002F0A43"/>
    <w:rsid w:val="002F0CF3"/>
    <w:rsid w:val="002F131E"/>
    <w:rsid w:val="002F165B"/>
    <w:rsid w:val="002F2E01"/>
    <w:rsid w:val="002F3D6D"/>
    <w:rsid w:val="002F4BDE"/>
    <w:rsid w:val="002F4F41"/>
    <w:rsid w:val="002F510A"/>
    <w:rsid w:val="002F5962"/>
    <w:rsid w:val="002F623A"/>
    <w:rsid w:val="002F627B"/>
    <w:rsid w:val="002F6B47"/>
    <w:rsid w:val="002F77EC"/>
    <w:rsid w:val="002F7E2F"/>
    <w:rsid w:val="002F7FA7"/>
    <w:rsid w:val="00300C5D"/>
    <w:rsid w:val="00301764"/>
    <w:rsid w:val="0030179A"/>
    <w:rsid w:val="00302E53"/>
    <w:rsid w:val="003038B2"/>
    <w:rsid w:val="00303DD6"/>
    <w:rsid w:val="00305B8B"/>
    <w:rsid w:val="0030617E"/>
    <w:rsid w:val="0030625F"/>
    <w:rsid w:val="003065E6"/>
    <w:rsid w:val="0030743D"/>
    <w:rsid w:val="003079FF"/>
    <w:rsid w:val="0031062A"/>
    <w:rsid w:val="003107AD"/>
    <w:rsid w:val="0031137F"/>
    <w:rsid w:val="003113A0"/>
    <w:rsid w:val="00312FDF"/>
    <w:rsid w:val="003136CE"/>
    <w:rsid w:val="0031374A"/>
    <w:rsid w:val="00313940"/>
    <w:rsid w:val="00313D90"/>
    <w:rsid w:val="00314C48"/>
    <w:rsid w:val="00317A51"/>
    <w:rsid w:val="00321EB8"/>
    <w:rsid w:val="003225CD"/>
    <w:rsid w:val="003229D8"/>
    <w:rsid w:val="00322F93"/>
    <w:rsid w:val="00323094"/>
    <w:rsid w:val="0032318A"/>
    <w:rsid w:val="00324913"/>
    <w:rsid w:val="00325036"/>
    <w:rsid w:val="003252ED"/>
    <w:rsid w:val="0032590E"/>
    <w:rsid w:val="00325A00"/>
    <w:rsid w:val="0032767D"/>
    <w:rsid w:val="00327773"/>
    <w:rsid w:val="00327BC7"/>
    <w:rsid w:val="00327C47"/>
    <w:rsid w:val="0033071F"/>
    <w:rsid w:val="003338E0"/>
    <w:rsid w:val="00334996"/>
    <w:rsid w:val="00335298"/>
    <w:rsid w:val="00336977"/>
    <w:rsid w:val="00336C97"/>
    <w:rsid w:val="00337A89"/>
    <w:rsid w:val="00337F88"/>
    <w:rsid w:val="00342204"/>
    <w:rsid w:val="00342432"/>
    <w:rsid w:val="003427CE"/>
    <w:rsid w:val="00342839"/>
    <w:rsid w:val="003433C2"/>
    <w:rsid w:val="00344084"/>
    <w:rsid w:val="00347DB7"/>
    <w:rsid w:val="00351A64"/>
    <w:rsid w:val="00351EC0"/>
    <w:rsid w:val="00351F43"/>
    <w:rsid w:val="0035223F"/>
    <w:rsid w:val="00352D4B"/>
    <w:rsid w:val="0035309D"/>
    <w:rsid w:val="003543FA"/>
    <w:rsid w:val="0035638C"/>
    <w:rsid w:val="00357B9F"/>
    <w:rsid w:val="00360E10"/>
    <w:rsid w:val="003610B8"/>
    <w:rsid w:val="00361F2F"/>
    <w:rsid w:val="00362889"/>
    <w:rsid w:val="003656CE"/>
    <w:rsid w:val="00366BE6"/>
    <w:rsid w:val="003671AF"/>
    <w:rsid w:val="003672C4"/>
    <w:rsid w:val="0036742E"/>
    <w:rsid w:val="00370F01"/>
    <w:rsid w:val="0037110C"/>
    <w:rsid w:val="003715B0"/>
    <w:rsid w:val="0037343C"/>
    <w:rsid w:val="003734A8"/>
    <w:rsid w:val="00373DA6"/>
    <w:rsid w:val="003741BF"/>
    <w:rsid w:val="00374A31"/>
    <w:rsid w:val="00374FB9"/>
    <w:rsid w:val="003756B8"/>
    <w:rsid w:val="00375B3D"/>
    <w:rsid w:val="00375C39"/>
    <w:rsid w:val="00375E9B"/>
    <w:rsid w:val="003768B1"/>
    <w:rsid w:val="00376FD6"/>
    <w:rsid w:val="00380272"/>
    <w:rsid w:val="00380971"/>
    <w:rsid w:val="00380FCC"/>
    <w:rsid w:val="003829CE"/>
    <w:rsid w:val="00383378"/>
    <w:rsid w:val="00383C9F"/>
    <w:rsid w:val="00383DBD"/>
    <w:rsid w:val="00384634"/>
    <w:rsid w:val="003851E9"/>
    <w:rsid w:val="00385274"/>
    <w:rsid w:val="0038552C"/>
    <w:rsid w:val="00385763"/>
    <w:rsid w:val="003866D3"/>
    <w:rsid w:val="00387886"/>
    <w:rsid w:val="003927A5"/>
    <w:rsid w:val="003929B6"/>
    <w:rsid w:val="00393D39"/>
    <w:rsid w:val="00394C1E"/>
    <w:rsid w:val="00395C9E"/>
    <w:rsid w:val="00395DB4"/>
    <w:rsid w:val="00397259"/>
    <w:rsid w:val="00397B4E"/>
    <w:rsid w:val="003A08F7"/>
    <w:rsid w:val="003A0F74"/>
    <w:rsid w:val="003A22DB"/>
    <w:rsid w:val="003A31AF"/>
    <w:rsid w:val="003A34EE"/>
    <w:rsid w:val="003A3821"/>
    <w:rsid w:val="003A46BB"/>
    <w:rsid w:val="003A4EC7"/>
    <w:rsid w:val="003A56A8"/>
    <w:rsid w:val="003A57E5"/>
    <w:rsid w:val="003A5DB8"/>
    <w:rsid w:val="003A65E5"/>
    <w:rsid w:val="003A6E28"/>
    <w:rsid w:val="003A6EB5"/>
    <w:rsid w:val="003A7295"/>
    <w:rsid w:val="003A7638"/>
    <w:rsid w:val="003B0E66"/>
    <w:rsid w:val="003B1191"/>
    <w:rsid w:val="003B1457"/>
    <w:rsid w:val="003B1F60"/>
    <w:rsid w:val="003B2303"/>
    <w:rsid w:val="003B241A"/>
    <w:rsid w:val="003B34C3"/>
    <w:rsid w:val="003B3DCC"/>
    <w:rsid w:val="003B63B2"/>
    <w:rsid w:val="003B6565"/>
    <w:rsid w:val="003B6AE2"/>
    <w:rsid w:val="003C04B2"/>
    <w:rsid w:val="003C0DFD"/>
    <w:rsid w:val="003C2CC4"/>
    <w:rsid w:val="003C49AA"/>
    <w:rsid w:val="003C5D8A"/>
    <w:rsid w:val="003C63F6"/>
    <w:rsid w:val="003C6A1A"/>
    <w:rsid w:val="003D0800"/>
    <w:rsid w:val="003D202F"/>
    <w:rsid w:val="003D2B7E"/>
    <w:rsid w:val="003D3D37"/>
    <w:rsid w:val="003D4AA6"/>
    <w:rsid w:val="003D4B23"/>
    <w:rsid w:val="003D50D0"/>
    <w:rsid w:val="003D5668"/>
    <w:rsid w:val="003D600C"/>
    <w:rsid w:val="003D6D3F"/>
    <w:rsid w:val="003D704A"/>
    <w:rsid w:val="003E0249"/>
    <w:rsid w:val="003E278A"/>
    <w:rsid w:val="003E281D"/>
    <w:rsid w:val="003E3663"/>
    <w:rsid w:val="003E54DB"/>
    <w:rsid w:val="003E582D"/>
    <w:rsid w:val="003E6886"/>
    <w:rsid w:val="003E7797"/>
    <w:rsid w:val="003F0719"/>
    <w:rsid w:val="003F0740"/>
    <w:rsid w:val="003F1261"/>
    <w:rsid w:val="003F14A6"/>
    <w:rsid w:val="003F1E02"/>
    <w:rsid w:val="003F204C"/>
    <w:rsid w:val="003F38E4"/>
    <w:rsid w:val="003F3EC9"/>
    <w:rsid w:val="003F4BC8"/>
    <w:rsid w:val="003F5955"/>
    <w:rsid w:val="003F747B"/>
    <w:rsid w:val="0040099F"/>
    <w:rsid w:val="0040129E"/>
    <w:rsid w:val="0040176A"/>
    <w:rsid w:val="00401AB2"/>
    <w:rsid w:val="00402B44"/>
    <w:rsid w:val="0040444D"/>
    <w:rsid w:val="00404A14"/>
    <w:rsid w:val="00404CD5"/>
    <w:rsid w:val="00404EB3"/>
    <w:rsid w:val="00411976"/>
    <w:rsid w:val="00413482"/>
    <w:rsid w:val="004134A9"/>
    <w:rsid w:val="00413520"/>
    <w:rsid w:val="004147DA"/>
    <w:rsid w:val="004202D4"/>
    <w:rsid w:val="0042067D"/>
    <w:rsid w:val="0042172A"/>
    <w:rsid w:val="004224DA"/>
    <w:rsid w:val="00422FC0"/>
    <w:rsid w:val="004230C2"/>
    <w:rsid w:val="00423A21"/>
    <w:rsid w:val="00424388"/>
    <w:rsid w:val="004264E7"/>
    <w:rsid w:val="00427064"/>
    <w:rsid w:val="00427606"/>
    <w:rsid w:val="004325CB"/>
    <w:rsid w:val="00435BE7"/>
    <w:rsid w:val="00435F6E"/>
    <w:rsid w:val="004371B5"/>
    <w:rsid w:val="00440A07"/>
    <w:rsid w:val="00441182"/>
    <w:rsid w:val="00441397"/>
    <w:rsid w:val="00441FDC"/>
    <w:rsid w:val="00442624"/>
    <w:rsid w:val="00442CE2"/>
    <w:rsid w:val="00442D90"/>
    <w:rsid w:val="00443BBB"/>
    <w:rsid w:val="0044437B"/>
    <w:rsid w:val="00444D0A"/>
    <w:rsid w:val="00444F38"/>
    <w:rsid w:val="00445004"/>
    <w:rsid w:val="0044598E"/>
    <w:rsid w:val="0044650F"/>
    <w:rsid w:val="00447923"/>
    <w:rsid w:val="00447A86"/>
    <w:rsid w:val="004511DD"/>
    <w:rsid w:val="004520DD"/>
    <w:rsid w:val="004525F5"/>
    <w:rsid w:val="00453685"/>
    <w:rsid w:val="00454E56"/>
    <w:rsid w:val="00454FB7"/>
    <w:rsid w:val="004554CD"/>
    <w:rsid w:val="00455AFF"/>
    <w:rsid w:val="00455BD1"/>
    <w:rsid w:val="00455E82"/>
    <w:rsid w:val="0045612B"/>
    <w:rsid w:val="00460405"/>
    <w:rsid w:val="0046073F"/>
    <w:rsid w:val="00460836"/>
    <w:rsid w:val="00461782"/>
    <w:rsid w:val="00461F9A"/>
    <w:rsid w:val="00462880"/>
    <w:rsid w:val="00463400"/>
    <w:rsid w:val="0046371B"/>
    <w:rsid w:val="004641BB"/>
    <w:rsid w:val="004671F5"/>
    <w:rsid w:val="00470694"/>
    <w:rsid w:val="00471DB5"/>
    <w:rsid w:val="0047283B"/>
    <w:rsid w:val="004728D8"/>
    <w:rsid w:val="004740B6"/>
    <w:rsid w:val="004745FC"/>
    <w:rsid w:val="00475ACA"/>
    <w:rsid w:val="00475E7E"/>
    <w:rsid w:val="00476F24"/>
    <w:rsid w:val="00477288"/>
    <w:rsid w:val="00477563"/>
    <w:rsid w:val="004805E4"/>
    <w:rsid w:val="00481EDB"/>
    <w:rsid w:val="00483298"/>
    <w:rsid w:val="0048352E"/>
    <w:rsid w:val="00483E68"/>
    <w:rsid w:val="004847C6"/>
    <w:rsid w:val="0048568B"/>
    <w:rsid w:val="004860C9"/>
    <w:rsid w:val="0048655B"/>
    <w:rsid w:val="00487C5C"/>
    <w:rsid w:val="00490C0D"/>
    <w:rsid w:val="00491839"/>
    <w:rsid w:val="004919BF"/>
    <w:rsid w:val="0049228C"/>
    <w:rsid w:val="004935A2"/>
    <w:rsid w:val="00495BFC"/>
    <w:rsid w:val="00497417"/>
    <w:rsid w:val="004A013E"/>
    <w:rsid w:val="004A0F91"/>
    <w:rsid w:val="004A106F"/>
    <w:rsid w:val="004A22D5"/>
    <w:rsid w:val="004A27E5"/>
    <w:rsid w:val="004A3252"/>
    <w:rsid w:val="004A3B1E"/>
    <w:rsid w:val="004A54A7"/>
    <w:rsid w:val="004A5EB6"/>
    <w:rsid w:val="004A72B5"/>
    <w:rsid w:val="004A7A72"/>
    <w:rsid w:val="004B0B7A"/>
    <w:rsid w:val="004B2009"/>
    <w:rsid w:val="004B2446"/>
    <w:rsid w:val="004B39C3"/>
    <w:rsid w:val="004B441E"/>
    <w:rsid w:val="004B5876"/>
    <w:rsid w:val="004B5DAD"/>
    <w:rsid w:val="004B79EE"/>
    <w:rsid w:val="004C0A5A"/>
    <w:rsid w:val="004C13AD"/>
    <w:rsid w:val="004C1D17"/>
    <w:rsid w:val="004C24C0"/>
    <w:rsid w:val="004C273A"/>
    <w:rsid w:val="004C2952"/>
    <w:rsid w:val="004C2CD1"/>
    <w:rsid w:val="004C4A7F"/>
    <w:rsid w:val="004C55B0"/>
    <w:rsid w:val="004C7355"/>
    <w:rsid w:val="004C7670"/>
    <w:rsid w:val="004D03D5"/>
    <w:rsid w:val="004D0510"/>
    <w:rsid w:val="004D1618"/>
    <w:rsid w:val="004D2472"/>
    <w:rsid w:val="004D26DD"/>
    <w:rsid w:val="004D33D8"/>
    <w:rsid w:val="004D6173"/>
    <w:rsid w:val="004D79A8"/>
    <w:rsid w:val="004D7F94"/>
    <w:rsid w:val="004E2FA1"/>
    <w:rsid w:val="004E5236"/>
    <w:rsid w:val="004E562E"/>
    <w:rsid w:val="004E7E1C"/>
    <w:rsid w:val="004F3AFE"/>
    <w:rsid w:val="004F3DD1"/>
    <w:rsid w:val="004F477B"/>
    <w:rsid w:val="004F521A"/>
    <w:rsid w:val="004F5306"/>
    <w:rsid w:val="004F5931"/>
    <w:rsid w:val="004F5CC6"/>
    <w:rsid w:val="004F6BA0"/>
    <w:rsid w:val="004F7E0E"/>
    <w:rsid w:val="00500116"/>
    <w:rsid w:val="00500D68"/>
    <w:rsid w:val="00501024"/>
    <w:rsid w:val="0050124E"/>
    <w:rsid w:val="0050164D"/>
    <w:rsid w:val="00503BEA"/>
    <w:rsid w:val="00503F33"/>
    <w:rsid w:val="005045C3"/>
    <w:rsid w:val="0050482C"/>
    <w:rsid w:val="00505640"/>
    <w:rsid w:val="005056B2"/>
    <w:rsid w:val="00505A8F"/>
    <w:rsid w:val="00505E02"/>
    <w:rsid w:val="00507A39"/>
    <w:rsid w:val="00511975"/>
    <w:rsid w:val="00511F85"/>
    <w:rsid w:val="0051200B"/>
    <w:rsid w:val="005135D5"/>
    <w:rsid w:val="0051478C"/>
    <w:rsid w:val="00514C29"/>
    <w:rsid w:val="005153C8"/>
    <w:rsid w:val="005161EA"/>
    <w:rsid w:val="005177C7"/>
    <w:rsid w:val="005216B9"/>
    <w:rsid w:val="005216CA"/>
    <w:rsid w:val="00521C91"/>
    <w:rsid w:val="00522A13"/>
    <w:rsid w:val="00522FCD"/>
    <w:rsid w:val="00523779"/>
    <w:rsid w:val="005237D7"/>
    <w:rsid w:val="00523D62"/>
    <w:rsid w:val="00523ECB"/>
    <w:rsid w:val="00523FDE"/>
    <w:rsid w:val="00524B78"/>
    <w:rsid w:val="005257D4"/>
    <w:rsid w:val="00526ACF"/>
    <w:rsid w:val="00526D8D"/>
    <w:rsid w:val="00526E85"/>
    <w:rsid w:val="00526EE0"/>
    <w:rsid w:val="0052726C"/>
    <w:rsid w:val="0052781C"/>
    <w:rsid w:val="00527C6D"/>
    <w:rsid w:val="005307C7"/>
    <w:rsid w:val="00532341"/>
    <w:rsid w:val="00533616"/>
    <w:rsid w:val="00535ABA"/>
    <w:rsid w:val="0053768B"/>
    <w:rsid w:val="00537BDC"/>
    <w:rsid w:val="00541349"/>
    <w:rsid w:val="005419F1"/>
    <w:rsid w:val="005420F2"/>
    <w:rsid w:val="0054285C"/>
    <w:rsid w:val="00543CCB"/>
    <w:rsid w:val="00544523"/>
    <w:rsid w:val="00545424"/>
    <w:rsid w:val="005465F1"/>
    <w:rsid w:val="005508A9"/>
    <w:rsid w:val="00551098"/>
    <w:rsid w:val="00551859"/>
    <w:rsid w:val="00551B25"/>
    <w:rsid w:val="00552446"/>
    <w:rsid w:val="005528FD"/>
    <w:rsid w:val="005546FB"/>
    <w:rsid w:val="00554835"/>
    <w:rsid w:val="0055491B"/>
    <w:rsid w:val="00554AB6"/>
    <w:rsid w:val="0055799B"/>
    <w:rsid w:val="00560CC0"/>
    <w:rsid w:val="00560E1B"/>
    <w:rsid w:val="00560EFB"/>
    <w:rsid w:val="00561160"/>
    <w:rsid w:val="00561B62"/>
    <w:rsid w:val="00561EF0"/>
    <w:rsid w:val="00562FD8"/>
    <w:rsid w:val="00563E10"/>
    <w:rsid w:val="00564FF0"/>
    <w:rsid w:val="00566900"/>
    <w:rsid w:val="00567813"/>
    <w:rsid w:val="00567D53"/>
    <w:rsid w:val="00573C7A"/>
    <w:rsid w:val="00574AD5"/>
    <w:rsid w:val="00574B5A"/>
    <w:rsid w:val="005751FC"/>
    <w:rsid w:val="005757EB"/>
    <w:rsid w:val="00575A1F"/>
    <w:rsid w:val="0057688D"/>
    <w:rsid w:val="005775EB"/>
    <w:rsid w:val="00577632"/>
    <w:rsid w:val="00577694"/>
    <w:rsid w:val="005801CD"/>
    <w:rsid w:val="005817A8"/>
    <w:rsid w:val="00583285"/>
    <w:rsid w:val="00584173"/>
    <w:rsid w:val="005845D6"/>
    <w:rsid w:val="0058668A"/>
    <w:rsid w:val="00587701"/>
    <w:rsid w:val="005913A2"/>
    <w:rsid w:val="00592507"/>
    <w:rsid w:val="0059284B"/>
    <w:rsid w:val="005938A7"/>
    <w:rsid w:val="0059392F"/>
    <w:rsid w:val="00594D95"/>
    <w:rsid w:val="005954EF"/>
    <w:rsid w:val="00595520"/>
    <w:rsid w:val="0059622D"/>
    <w:rsid w:val="005A0475"/>
    <w:rsid w:val="005A2069"/>
    <w:rsid w:val="005A25A0"/>
    <w:rsid w:val="005A3409"/>
    <w:rsid w:val="005A34B1"/>
    <w:rsid w:val="005A3A94"/>
    <w:rsid w:val="005A44B9"/>
    <w:rsid w:val="005A5556"/>
    <w:rsid w:val="005A7066"/>
    <w:rsid w:val="005A720D"/>
    <w:rsid w:val="005B1BA0"/>
    <w:rsid w:val="005B3DB3"/>
    <w:rsid w:val="005B3E08"/>
    <w:rsid w:val="005B4B2C"/>
    <w:rsid w:val="005B7B60"/>
    <w:rsid w:val="005C0ECF"/>
    <w:rsid w:val="005C1672"/>
    <w:rsid w:val="005C18E1"/>
    <w:rsid w:val="005C2164"/>
    <w:rsid w:val="005C2590"/>
    <w:rsid w:val="005C3254"/>
    <w:rsid w:val="005C39AB"/>
    <w:rsid w:val="005C3B31"/>
    <w:rsid w:val="005C4889"/>
    <w:rsid w:val="005C5A9B"/>
    <w:rsid w:val="005C626C"/>
    <w:rsid w:val="005C7875"/>
    <w:rsid w:val="005D0245"/>
    <w:rsid w:val="005D15CA"/>
    <w:rsid w:val="005D23F8"/>
    <w:rsid w:val="005D3C0A"/>
    <w:rsid w:val="005D3CCB"/>
    <w:rsid w:val="005D674E"/>
    <w:rsid w:val="005D6A15"/>
    <w:rsid w:val="005D7139"/>
    <w:rsid w:val="005D7FC9"/>
    <w:rsid w:val="005E14E4"/>
    <w:rsid w:val="005E1F17"/>
    <w:rsid w:val="005E20B6"/>
    <w:rsid w:val="005E312E"/>
    <w:rsid w:val="005E3B34"/>
    <w:rsid w:val="005E43AD"/>
    <w:rsid w:val="005E45C5"/>
    <w:rsid w:val="005E758A"/>
    <w:rsid w:val="005F019E"/>
    <w:rsid w:val="005F0BC5"/>
    <w:rsid w:val="005F1061"/>
    <w:rsid w:val="005F14BA"/>
    <w:rsid w:val="005F1555"/>
    <w:rsid w:val="005F19AE"/>
    <w:rsid w:val="005F285C"/>
    <w:rsid w:val="005F3066"/>
    <w:rsid w:val="005F342A"/>
    <w:rsid w:val="005F3D8A"/>
    <w:rsid w:val="005F3E61"/>
    <w:rsid w:val="005F3FE5"/>
    <w:rsid w:val="005F4284"/>
    <w:rsid w:val="005F6D94"/>
    <w:rsid w:val="005F7671"/>
    <w:rsid w:val="005F7737"/>
    <w:rsid w:val="0060001C"/>
    <w:rsid w:val="00600C2D"/>
    <w:rsid w:val="00600CEF"/>
    <w:rsid w:val="006021FC"/>
    <w:rsid w:val="00602845"/>
    <w:rsid w:val="006028E7"/>
    <w:rsid w:val="00603283"/>
    <w:rsid w:val="00603298"/>
    <w:rsid w:val="0060486F"/>
    <w:rsid w:val="00604DDD"/>
    <w:rsid w:val="00607F45"/>
    <w:rsid w:val="00610013"/>
    <w:rsid w:val="006115CC"/>
    <w:rsid w:val="00611FC4"/>
    <w:rsid w:val="006124D1"/>
    <w:rsid w:val="00612752"/>
    <w:rsid w:val="00612F3B"/>
    <w:rsid w:val="00615D30"/>
    <w:rsid w:val="00616BAF"/>
    <w:rsid w:val="006176FB"/>
    <w:rsid w:val="00620280"/>
    <w:rsid w:val="00621025"/>
    <w:rsid w:val="00621E30"/>
    <w:rsid w:val="00622D9B"/>
    <w:rsid w:val="00623610"/>
    <w:rsid w:val="00623C4E"/>
    <w:rsid w:val="00623D13"/>
    <w:rsid w:val="0062410F"/>
    <w:rsid w:val="00625D1E"/>
    <w:rsid w:val="00626D16"/>
    <w:rsid w:val="00627076"/>
    <w:rsid w:val="00627642"/>
    <w:rsid w:val="00630FCB"/>
    <w:rsid w:val="006311CB"/>
    <w:rsid w:val="006313BA"/>
    <w:rsid w:val="00633567"/>
    <w:rsid w:val="006350D2"/>
    <w:rsid w:val="00635780"/>
    <w:rsid w:val="006360C3"/>
    <w:rsid w:val="00637720"/>
    <w:rsid w:val="00637E14"/>
    <w:rsid w:val="0064037B"/>
    <w:rsid w:val="00640B26"/>
    <w:rsid w:val="0064235C"/>
    <w:rsid w:val="006444AB"/>
    <w:rsid w:val="006462CC"/>
    <w:rsid w:val="00647830"/>
    <w:rsid w:val="00647CF1"/>
    <w:rsid w:val="00652DC7"/>
    <w:rsid w:val="006547CD"/>
    <w:rsid w:val="006559A6"/>
    <w:rsid w:val="00656629"/>
    <w:rsid w:val="006578B1"/>
    <w:rsid w:val="00657B06"/>
    <w:rsid w:val="006601C6"/>
    <w:rsid w:val="006625AC"/>
    <w:rsid w:val="00662B5C"/>
    <w:rsid w:val="006658EA"/>
    <w:rsid w:val="00666E25"/>
    <w:rsid w:val="006673C4"/>
    <w:rsid w:val="0066795D"/>
    <w:rsid w:val="00667C0D"/>
    <w:rsid w:val="00667C22"/>
    <w:rsid w:val="0067167C"/>
    <w:rsid w:val="00672721"/>
    <w:rsid w:val="00672B65"/>
    <w:rsid w:val="0067438A"/>
    <w:rsid w:val="00674576"/>
    <w:rsid w:val="006745E5"/>
    <w:rsid w:val="00674741"/>
    <w:rsid w:val="00674D4B"/>
    <w:rsid w:val="00675758"/>
    <w:rsid w:val="006764F1"/>
    <w:rsid w:val="00676C52"/>
    <w:rsid w:val="006770B2"/>
    <w:rsid w:val="0067765D"/>
    <w:rsid w:val="006800BD"/>
    <w:rsid w:val="006812FA"/>
    <w:rsid w:val="0068159C"/>
    <w:rsid w:val="00681BFE"/>
    <w:rsid w:val="006821EB"/>
    <w:rsid w:val="0068518D"/>
    <w:rsid w:val="0068623E"/>
    <w:rsid w:val="00686CE2"/>
    <w:rsid w:val="006875D6"/>
    <w:rsid w:val="00687622"/>
    <w:rsid w:val="00687939"/>
    <w:rsid w:val="006907A1"/>
    <w:rsid w:val="006919A7"/>
    <w:rsid w:val="00691F45"/>
    <w:rsid w:val="006924F4"/>
    <w:rsid w:val="00693777"/>
    <w:rsid w:val="006940E1"/>
    <w:rsid w:val="00695CD6"/>
    <w:rsid w:val="006963CC"/>
    <w:rsid w:val="00696482"/>
    <w:rsid w:val="0069716F"/>
    <w:rsid w:val="00697F1D"/>
    <w:rsid w:val="006A0C60"/>
    <w:rsid w:val="006A10AD"/>
    <w:rsid w:val="006A188B"/>
    <w:rsid w:val="006A1F14"/>
    <w:rsid w:val="006A31EF"/>
    <w:rsid w:val="006A3C72"/>
    <w:rsid w:val="006A5ED7"/>
    <w:rsid w:val="006A68FB"/>
    <w:rsid w:val="006A7392"/>
    <w:rsid w:val="006A73D6"/>
    <w:rsid w:val="006B02D7"/>
    <w:rsid w:val="006B03A1"/>
    <w:rsid w:val="006B24F5"/>
    <w:rsid w:val="006B2E98"/>
    <w:rsid w:val="006B351A"/>
    <w:rsid w:val="006B38C5"/>
    <w:rsid w:val="006B6265"/>
    <w:rsid w:val="006B6564"/>
    <w:rsid w:val="006B67D9"/>
    <w:rsid w:val="006C01D3"/>
    <w:rsid w:val="006C0A16"/>
    <w:rsid w:val="006C0A36"/>
    <w:rsid w:val="006C5535"/>
    <w:rsid w:val="006C6249"/>
    <w:rsid w:val="006C6520"/>
    <w:rsid w:val="006C653C"/>
    <w:rsid w:val="006C66BB"/>
    <w:rsid w:val="006C6759"/>
    <w:rsid w:val="006C6E24"/>
    <w:rsid w:val="006C71EC"/>
    <w:rsid w:val="006D0589"/>
    <w:rsid w:val="006D0B09"/>
    <w:rsid w:val="006D0D79"/>
    <w:rsid w:val="006D0DB3"/>
    <w:rsid w:val="006D2F7F"/>
    <w:rsid w:val="006D537B"/>
    <w:rsid w:val="006D53F6"/>
    <w:rsid w:val="006D5542"/>
    <w:rsid w:val="006D5E90"/>
    <w:rsid w:val="006D657C"/>
    <w:rsid w:val="006D72B9"/>
    <w:rsid w:val="006D7B4C"/>
    <w:rsid w:val="006E2D24"/>
    <w:rsid w:val="006E2EFB"/>
    <w:rsid w:val="006E39ED"/>
    <w:rsid w:val="006E564B"/>
    <w:rsid w:val="006E5818"/>
    <w:rsid w:val="006E7154"/>
    <w:rsid w:val="006E79E7"/>
    <w:rsid w:val="006F004F"/>
    <w:rsid w:val="006F0853"/>
    <w:rsid w:val="006F1053"/>
    <w:rsid w:val="006F13B2"/>
    <w:rsid w:val="006F2158"/>
    <w:rsid w:val="006F49EA"/>
    <w:rsid w:val="006F4D5E"/>
    <w:rsid w:val="006F5CD0"/>
    <w:rsid w:val="006F60AD"/>
    <w:rsid w:val="006F737D"/>
    <w:rsid w:val="006F7711"/>
    <w:rsid w:val="007003CD"/>
    <w:rsid w:val="00700974"/>
    <w:rsid w:val="007016DE"/>
    <w:rsid w:val="00701A89"/>
    <w:rsid w:val="007024B4"/>
    <w:rsid w:val="007025CD"/>
    <w:rsid w:val="00702CA0"/>
    <w:rsid w:val="007041E3"/>
    <w:rsid w:val="00704AED"/>
    <w:rsid w:val="00705174"/>
    <w:rsid w:val="00706D19"/>
    <w:rsid w:val="0070701E"/>
    <w:rsid w:val="00710868"/>
    <w:rsid w:val="00710993"/>
    <w:rsid w:val="00710D05"/>
    <w:rsid w:val="00710F87"/>
    <w:rsid w:val="007121B9"/>
    <w:rsid w:val="007127E9"/>
    <w:rsid w:val="00712918"/>
    <w:rsid w:val="00712C00"/>
    <w:rsid w:val="00712EDE"/>
    <w:rsid w:val="0071459E"/>
    <w:rsid w:val="00714EC0"/>
    <w:rsid w:val="00715598"/>
    <w:rsid w:val="00720BB1"/>
    <w:rsid w:val="007226C3"/>
    <w:rsid w:val="00723B0C"/>
    <w:rsid w:val="00723FE9"/>
    <w:rsid w:val="007244F7"/>
    <w:rsid w:val="00724727"/>
    <w:rsid w:val="0072632A"/>
    <w:rsid w:val="007268C5"/>
    <w:rsid w:val="00726E90"/>
    <w:rsid w:val="00727214"/>
    <w:rsid w:val="007273A2"/>
    <w:rsid w:val="00727B70"/>
    <w:rsid w:val="0073092A"/>
    <w:rsid w:val="00732ED0"/>
    <w:rsid w:val="0073309A"/>
    <w:rsid w:val="007333C9"/>
    <w:rsid w:val="00733C12"/>
    <w:rsid w:val="0073414E"/>
    <w:rsid w:val="0073481E"/>
    <w:rsid w:val="007350D8"/>
    <w:rsid w:val="007351B5"/>
    <w:rsid w:val="007358E8"/>
    <w:rsid w:val="00735E7C"/>
    <w:rsid w:val="00735EA7"/>
    <w:rsid w:val="0073645A"/>
    <w:rsid w:val="00736C9A"/>
    <w:rsid w:val="00736ECE"/>
    <w:rsid w:val="007372CC"/>
    <w:rsid w:val="007404BA"/>
    <w:rsid w:val="00740D40"/>
    <w:rsid w:val="007411E5"/>
    <w:rsid w:val="00741370"/>
    <w:rsid w:val="00741A66"/>
    <w:rsid w:val="007430A2"/>
    <w:rsid w:val="00744412"/>
    <w:rsid w:val="00744F35"/>
    <w:rsid w:val="0074533B"/>
    <w:rsid w:val="00745AA8"/>
    <w:rsid w:val="007460C8"/>
    <w:rsid w:val="00746387"/>
    <w:rsid w:val="00747567"/>
    <w:rsid w:val="00750BE3"/>
    <w:rsid w:val="00750FE4"/>
    <w:rsid w:val="007510CB"/>
    <w:rsid w:val="007519DD"/>
    <w:rsid w:val="00751C3D"/>
    <w:rsid w:val="00754167"/>
    <w:rsid w:val="007542A5"/>
    <w:rsid w:val="00757C0E"/>
    <w:rsid w:val="007606AB"/>
    <w:rsid w:val="007612D2"/>
    <w:rsid w:val="00763053"/>
    <w:rsid w:val="007643BC"/>
    <w:rsid w:val="00764421"/>
    <w:rsid w:val="007647B3"/>
    <w:rsid w:val="00764BC6"/>
    <w:rsid w:val="00764FD0"/>
    <w:rsid w:val="0076624D"/>
    <w:rsid w:val="0076770D"/>
    <w:rsid w:val="00767B3F"/>
    <w:rsid w:val="00770FB3"/>
    <w:rsid w:val="0077231D"/>
    <w:rsid w:val="00772521"/>
    <w:rsid w:val="00773EA9"/>
    <w:rsid w:val="00776C57"/>
    <w:rsid w:val="00776D55"/>
    <w:rsid w:val="007778E4"/>
    <w:rsid w:val="00777F6F"/>
    <w:rsid w:val="0078091A"/>
    <w:rsid w:val="00780FAF"/>
    <w:rsid w:val="007811E4"/>
    <w:rsid w:val="007816E4"/>
    <w:rsid w:val="0078316C"/>
    <w:rsid w:val="00786613"/>
    <w:rsid w:val="00787A0F"/>
    <w:rsid w:val="007935FA"/>
    <w:rsid w:val="00794406"/>
    <w:rsid w:val="007944F1"/>
    <w:rsid w:val="00794A8A"/>
    <w:rsid w:val="00795447"/>
    <w:rsid w:val="007959FE"/>
    <w:rsid w:val="0079678A"/>
    <w:rsid w:val="00796BEA"/>
    <w:rsid w:val="00796D6F"/>
    <w:rsid w:val="007977F0"/>
    <w:rsid w:val="00797939"/>
    <w:rsid w:val="00797F10"/>
    <w:rsid w:val="00797F4B"/>
    <w:rsid w:val="007A0CF1"/>
    <w:rsid w:val="007A2588"/>
    <w:rsid w:val="007A29B8"/>
    <w:rsid w:val="007A32C3"/>
    <w:rsid w:val="007A342B"/>
    <w:rsid w:val="007A3BF5"/>
    <w:rsid w:val="007A451D"/>
    <w:rsid w:val="007A621B"/>
    <w:rsid w:val="007A6B20"/>
    <w:rsid w:val="007A75A6"/>
    <w:rsid w:val="007B06DC"/>
    <w:rsid w:val="007B0C07"/>
    <w:rsid w:val="007B12BA"/>
    <w:rsid w:val="007B1389"/>
    <w:rsid w:val="007B1AB1"/>
    <w:rsid w:val="007B3BEE"/>
    <w:rsid w:val="007B4A0A"/>
    <w:rsid w:val="007B4B55"/>
    <w:rsid w:val="007B5CE1"/>
    <w:rsid w:val="007B647C"/>
    <w:rsid w:val="007B6BA5"/>
    <w:rsid w:val="007B6E94"/>
    <w:rsid w:val="007B7BC5"/>
    <w:rsid w:val="007C1439"/>
    <w:rsid w:val="007C1768"/>
    <w:rsid w:val="007C3390"/>
    <w:rsid w:val="007C36B0"/>
    <w:rsid w:val="007C3FF7"/>
    <w:rsid w:val="007C42D8"/>
    <w:rsid w:val="007C48E8"/>
    <w:rsid w:val="007C4F4B"/>
    <w:rsid w:val="007C4F98"/>
    <w:rsid w:val="007C64C2"/>
    <w:rsid w:val="007C70AC"/>
    <w:rsid w:val="007D0646"/>
    <w:rsid w:val="007D06C9"/>
    <w:rsid w:val="007D0927"/>
    <w:rsid w:val="007D0DE7"/>
    <w:rsid w:val="007D161D"/>
    <w:rsid w:val="007D258B"/>
    <w:rsid w:val="007D2C43"/>
    <w:rsid w:val="007D347B"/>
    <w:rsid w:val="007D40D7"/>
    <w:rsid w:val="007D4985"/>
    <w:rsid w:val="007D49DD"/>
    <w:rsid w:val="007D4E6C"/>
    <w:rsid w:val="007D5755"/>
    <w:rsid w:val="007D5D65"/>
    <w:rsid w:val="007D7362"/>
    <w:rsid w:val="007E01AE"/>
    <w:rsid w:val="007E0DC7"/>
    <w:rsid w:val="007E1ACB"/>
    <w:rsid w:val="007E1E5C"/>
    <w:rsid w:val="007E29B0"/>
    <w:rsid w:val="007E3285"/>
    <w:rsid w:val="007E3363"/>
    <w:rsid w:val="007E36DA"/>
    <w:rsid w:val="007E4542"/>
    <w:rsid w:val="007E45BA"/>
    <w:rsid w:val="007E5559"/>
    <w:rsid w:val="007F1E76"/>
    <w:rsid w:val="007F3A1F"/>
    <w:rsid w:val="007F458A"/>
    <w:rsid w:val="007F4E1B"/>
    <w:rsid w:val="007F528B"/>
    <w:rsid w:val="007F5CE2"/>
    <w:rsid w:val="007F6611"/>
    <w:rsid w:val="007F6CE8"/>
    <w:rsid w:val="007F6EF0"/>
    <w:rsid w:val="007F75F4"/>
    <w:rsid w:val="00800232"/>
    <w:rsid w:val="00800281"/>
    <w:rsid w:val="00801420"/>
    <w:rsid w:val="00801F31"/>
    <w:rsid w:val="0080543E"/>
    <w:rsid w:val="00810BAC"/>
    <w:rsid w:val="0081183D"/>
    <w:rsid w:val="00813224"/>
    <w:rsid w:val="0081620B"/>
    <w:rsid w:val="008163F7"/>
    <w:rsid w:val="008166CD"/>
    <w:rsid w:val="00816AC8"/>
    <w:rsid w:val="00816B74"/>
    <w:rsid w:val="00817173"/>
    <w:rsid w:val="008175E9"/>
    <w:rsid w:val="00817D2C"/>
    <w:rsid w:val="0082176B"/>
    <w:rsid w:val="00822A7B"/>
    <w:rsid w:val="00823FFA"/>
    <w:rsid w:val="008242D7"/>
    <w:rsid w:val="00824AA5"/>
    <w:rsid w:val="00824B96"/>
    <w:rsid w:val="00825222"/>
    <w:rsid w:val="0082577B"/>
    <w:rsid w:val="008257E6"/>
    <w:rsid w:val="00825ABC"/>
    <w:rsid w:val="00826EE9"/>
    <w:rsid w:val="00827817"/>
    <w:rsid w:val="008301F0"/>
    <w:rsid w:val="008304CC"/>
    <w:rsid w:val="0083058F"/>
    <w:rsid w:val="00832489"/>
    <w:rsid w:val="00833191"/>
    <w:rsid w:val="00833229"/>
    <w:rsid w:val="008332DE"/>
    <w:rsid w:val="00834807"/>
    <w:rsid w:val="00834DC8"/>
    <w:rsid w:val="008351C6"/>
    <w:rsid w:val="0083596F"/>
    <w:rsid w:val="008373C1"/>
    <w:rsid w:val="00837A7B"/>
    <w:rsid w:val="00840BC2"/>
    <w:rsid w:val="0084106C"/>
    <w:rsid w:val="0084155E"/>
    <w:rsid w:val="00841917"/>
    <w:rsid w:val="008424EE"/>
    <w:rsid w:val="00842F38"/>
    <w:rsid w:val="00843545"/>
    <w:rsid w:val="00844093"/>
    <w:rsid w:val="00844B4C"/>
    <w:rsid w:val="00845C67"/>
    <w:rsid w:val="00846660"/>
    <w:rsid w:val="008473C0"/>
    <w:rsid w:val="00850ACB"/>
    <w:rsid w:val="00852288"/>
    <w:rsid w:val="008534D3"/>
    <w:rsid w:val="008536A3"/>
    <w:rsid w:val="00853897"/>
    <w:rsid w:val="00853ABA"/>
    <w:rsid w:val="00854B91"/>
    <w:rsid w:val="008562CD"/>
    <w:rsid w:val="00860183"/>
    <w:rsid w:val="008615B6"/>
    <w:rsid w:val="00861950"/>
    <w:rsid w:val="0086207F"/>
    <w:rsid w:val="00864D40"/>
    <w:rsid w:val="00865083"/>
    <w:rsid w:val="00865AC5"/>
    <w:rsid w:val="0086626F"/>
    <w:rsid w:val="00866893"/>
    <w:rsid w:val="008669E9"/>
    <w:rsid w:val="00866CA5"/>
    <w:rsid w:val="00866F02"/>
    <w:rsid w:val="00867D18"/>
    <w:rsid w:val="00870FE3"/>
    <w:rsid w:val="0087190F"/>
    <w:rsid w:val="00871B75"/>
    <w:rsid w:val="00871F20"/>
    <w:rsid w:val="00871F9A"/>
    <w:rsid w:val="00871FD5"/>
    <w:rsid w:val="0087225C"/>
    <w:rsid w:val="00872A47"/>
    <w:rsid w:val="00872C35"/>
    <w:rsid w:val="008735CC"/>
    <w:rsid w:val="00873FCD"/>
    <w:rsid w:val="00874C40"/>
    <w:rsid w:val="00874F6F"/>
    <w:rsid w:val="00875CBC"/>
    <w:rsid w:val="00876B24"/>
    <w:rsid w:val="00876C88"/>
    <w:rsid w:val="00876D45"/>
    <w:rsid w:val="008777F5"/>
    <w:rsid w:val="00880803"/>
    <w:rsid w:val="00880FA9"/>
    <w:rsid w:val="00881653"/>
    <w:rsid w:val="0088172E"/>
    <w:rsid w:val="00881B4F"/>
    <w:rsid w:val="00881EFA"/>
    <w:rsid w:val="008823FB"/>
    <w:rsid w:val="00882763"/>
    <w:rsid w:val="00883BA8"/>
    <w:rsid w:val="008840B7"/>
    <w:rsid w:val="00884118"/>
    <w:rsid w:val="008853A3"/>
    <w:rsid w:val="008879CB"/>
    <w:rsid w:val="00887C66"/>
    <w:rsid w:val="00887D93"/>
    <w:rsid w:val="0089017D"/>
    <w:rsid w:val="00891071"/>
    <w:rsid w:val="00892A16"/>
    <w:rsid w:val="00892A5E"/>
    <w:rsid w:val="00894268"/>
    <w:rsid w:val="00894572"/>
    <w:rsid w:val="00894F7D"/>
    <w:rsid w:val="0089503B"/>
    <w:rsid w:val="00895700"/>
    <w:rsid w:val="008979B1"/>
    <w:rsid w:val="00897D07"/>
    <w:rsid w:val="00897EDA"/>
    <w:rsid w:val="008A342E"/>
    <w:rsid w:val="008A368C"/>
    <w:rsid w:val="008A3733"/>
    <w:rsid w:val="008A4202"/>
    <w:rsid w:val="008A49C9"/>
    <w:rsid w:val="008A573E"/>
    <w:rsid w:val="008A6830"/>
    <w:rsid w:val="008A6B25"/>
    <w:rsid w:val="008A6C04"/>
    <w:rsid w:val="008A6C4F"/>
    <w:rsid w:val="008A7E68"/>
    <w:rsid w:val="008B091E"/>
    <w:rsid w:val="008B0FCE"/>
    <w:rsid w:val="008B100D"/>
    <w:rsid w:val="008B16E7"/>
    <w:rsid w:val="008B1E21"/>
    <w:rsid w:val="008B2CEE"/>
    <w:rsid w:val="008B389E"/>
    <w:rsid w:val="008B3A72"/>
    <w:rsid w:val="008B4DD1"/>
    <w:rsid w:val="008B4FEE"/>
    <w:rsid w:val="008B55EA"/>
    <w:rsid w:val="008B652F"/>
    <w:rsid w:val="008B6D5E"/>
    <w:rsid w:val="008C081A"/>
    <w:rsid w:val="008C1054"/>
    <w:rsid w:val="008C21B3"/>
    <w:rsid w:val="008C2E35"/>
    <w:rsid w:val="008C3043"/>
    <w:rsid w:val="008C320A"/>
    <w:rsid w:val="008C4D2A"/>
    <w:rsid w:val="008C58A1"/>
    <w:rsid w:val="008C5A67"/>
    <w:rsid w:val="008C617C"/>
    <w:rsid w:val="008C6A06"/>
    <w:rsid w:val="008C7863"/>
    <w:rsid w:val="008D045E"/>
    <w:rsid w:val="008D046A"/>
    <w:rsid w:val="008D0B2A"/>
    <w:rsid w:val="008D0E8E"/>
    <w:rsid w:val="008D147B"/>
    <w:rsid w:val="008D1503"/>
    <w:rsid w:val="008D29F2"/>
    <w:rsid w:val="008D3BB0"/>
    <w:rsid w:val="008D3F25"/>
    <w:rsid w:val="008D42EF"/>
    <w:rsid w:val="008D4D82"/>
    <w:rsid w:val="008D5FB3"/>
    <w:rsid w:val="008D6AAA"/>
    <w:rsid w:val="008D7D14"/>
    <w:rsid w:val="008E094D"/>
    <w:rsid w:val="008E0A66"/>
    <w:rsid w:val="008E0A7F"/>
    <w:rsid w:val="008E0E46"/>
    <w:rsid w:val="008E1279"/>
    <w:rsid w:val="008E13DE"/>
    <w:rsid w:val="008E1AE1"/>
    <w:rsid w:val="008E2044"/>
    <w:rsid w:val="008E2A09"/>
    <w:rsid w:val="008E2AF2"/>
    <w:rsid w:val="008E2F2F"/>
    <w:rsid w:val="008E3FD3"/>
    <w:rsid w:val="008E5AF9"/>
    <w:rsid w:val="008E65D6"/>
    <w:rsid w:val="008E6C31"/>
    <w:rsid w:val="008E7116"/>
    <w:rsid w:val="008E7C04"/>
    <w:rsid w:val="008F000A"/>
    <w:rsid w:val="008F02AC"/>
    <w:rsid w:val="008F031F"/>
    <w:rsid w:val="008F143B"/>
    <w:rsid w:val="008F17BF"/>
    <w:rsid w:val="008F3730"/>
    <w:rsid w:val="008F3882"/>
    <w:rsid w:val="008F4044"/>
    <w:rsid w:val="008F4B7C"/>
    <w:rsid w:val="008F63DE"/>
    <w:rsid w:val="008F7E50"/>
    <w:rsid w:val="00900316"/>
    <w:rsid w:val="0090190E"/>
    <w:rsid w:val="009020C1"/>
    <w:rsid w:val="00902800"/>
    <w:rsid w:val="00902A0D"/>
    <w:rsid w:val="00902B27"/>
    <w:rsid w:val="009049C6"/>
    <w:rsid w:val="00904B9A"/>
    <w:rsid w:val="0090591D"/>
    <w:rsid w:val="00906F57"/>
    <w:rsid w:val="00907A02"/>
    <w:rsid w:val="00907A7F"/>
    <w:rsid w:val="00910EDB"/>
    <w:rsid w:val="0091125F"/>
    <w:rsid w:val="00911AB8"/>
    <w:rsid w:val="009125BE"/>
    <w:rsid w:val="00912B42"/>
    <w:rsid w:val="0092253B"/>
    <w:rsid w:val="009232D0"/>
    <w:rsid w:val="00925A51"/>
    <w:rsid w:val="00925D9D"/>
    <w:rsid w:val="00926E47"/>
    <w:rsid w:val="00926F71"/>
    <w:rsid w:val="00930597"/>
    <w:rsid w:val="0093072B"/>
    <w:rsid w:val="009308B7"/>
    <w:rsid w:val="00930939"/>
    <w:rsid w:val="00931C49"/>
    <w:rsid w:val="00932166"/>
    <w:rsid w:val="0093231A"/>
    <w:rsid w:val="009342FB"/>
    <w:rsid w:val="009356FB"/>
    <w:rsid w:val="0093607D"/>
    <w:rsid w:val="00937FED"/>
    <w:rsid w:val="009404B8"/>
    <w:rsid w:val="009405E5"/>
    <w:rsid w:val="009407E7"/>
    <w:rsid w:val="00941750"/>
    <w:rsid w:val="00945846"/>
    <w:rsid w:val="009462B8"/>
    <w:rsid w:val="0094640C"/>
    <w:rsid w:val="009465A0"/>
    <w:rsid w:val="009466AD"/>
    <w:rsid w:val="00947059"/>
    <w:rsid w:val="00947162"/>
    <w:rsid w:val="00947EEA"/>
    <w:rsid w:val="00950D97"/>
    <w:rsid w:val="009519C7"/>
    <w:rsid w:val="00952B04"/>
    <w:rsid w:val="00952D04"/>
    <w:rsid w:val="00952FBC"/>
    <w:rsid w:val="00953812"/>
    <w:rsid w:val="009561A9"/>
    <w:rsid w:val="00956796"/>
    <w:rsid w:val="00957711"/>
    <w:rsid w:val="00957A38"/>
    <w:rsid w:val="00957A91"/>
    <w:rsid w:val="00960593"/>
    <w:rsid w:val="009610D0"/>
    <w:rsid w:val="00961807"/>
    <w:rsid w:val="009624BC"/>
    <w:rsid w:val="0096375C"/>
    <w:rsid w:val="0096378D"/>
    <w:rsid w:val="0096382A"/>
    <w:rsid w:val="0096613F"/>
    <w:rsid w:val="009662E6"/>
    <w:rsid w:val="00966DCC"/>
    <w:rsid w:val="0097095E"/>
    <w:rsid w:val="009710DA"/>
    <w:rsid w:val="00972137"/>
    <w:rsid w:val="00972943"/>
    <w:rsid w:val="0097582C"/>
    <w:rsid w:val="00975E11"/>
    <w:rsid w:val="00975F4D"/>
    <w:rsid w:val="00976236"/>
    <w:rsid w:val="00976363"/>
    <w:rsid w:val="00976B4F"/>
    <w:rsid w:val="00976CA6"/>
    <w:rsid w:val="00976FCD"/>
    <w:rsid w:val="009806FA"/>
    <w:rsid w:val="00980736"/>
    <w:rsid w:val="00981077"/>
    <w:rsid w:val="009820AA"/>
    <w:rsid w:val="0098229D"/>
    <w:rsid w:val="0098592B"/>
    <w:rsid w:val="00985FC4"/>
    <w:rsid w:val="00986248"/>
    <w:rsid w:val="0098659F"/>
    <w:rsid w:val="00986F26"/>
    <w:rsid w:val="00987529"/>
    <w:rsid w:val="00990766"/>
    <w:rsid w:val="00990B6E"/>
    <w:rsid w:val="00990D28"/>
    <w:rsid w:val="0099102C"/>
    <w:rsid w:val="00991261"/>
    <w:rsid w:val="0099262C"/>
    <w:rsid w:val="0099393F"/>
    <w:rsid w:val="00993C36"/>
    <w:rsid w:val="00994578"/>
    <w:rsid w:val="009964C4"/>
    <w:rsid w:val="009967E6"/>
    <w:rsid w:val="009A0866"/>
    <w:rsid w:val="009A20CB"/>
    <w:rsid w:val="009A3051"/>
    <w:rsid w:val="009A358C"/>
    <w:rsid w:val="009A36CC"/>
    <w:rsid w:val="009A414C"/>
    <w:rsid w:val="009A4C20"/>
    <w:rsid w:val="009A7B81"/>
    <w:rsid w:val="009B1407"/>
    <w:rsid w:val="009B1BDC"/>
    <w:rsid w:val="009B25E1"/>
    <w:rsid w:val="009B2D23"/>
    <w:rsid w:val="009B43E3"/>
    <w:rsid w:val="009B6359"/>
    <w:rsid w:val="009B7C1A"/>
    <w:rsid w:val="009C0BE7"/>
    <w:rsid w:val="009C1B2A"/>
    <w:rsid w:val="009C2A33"/>
    <w:rsid w:val="009C374E"/>
    <w:rsid w:val="009C4A9C"/>
    <w:rsid w:val="009C4B03"/>
    <w:rsid w:val="009C4B82"/>
    <w:rsid w:val="009C4DCB"/>
    <w:rsid w:val="009C55F6"/>
    <w:rsid w:val="009C63BA"/>
    <w:rsid w:val="009D01C0"/>
    <w:rsid w:val="009D252B"/>
    <w:rsid w:val="009D3FDF"/>
    <w:rsid w:val="009D4D42"/>
    <w:rsid w:val="009D4EEF"/>
    <w:rsid w:val="009D58E1"/>
    <w:rsid w:val="009D5C7A"/>
    <w:rsid w:val="009D6A08"/>
    <w:rsid w:val="009D781F"/>
    <w:rsid w:val="009E0A16"/>
    <w:rsid w:val="009E1167"/>
    <w:rsid w:val="009E2808"/>
    <w:rsid w:val="009E3607"/>
    <w:rsid w:val="009E6CB7"/>
    <w:rsid w:val="009E7970"/>
    <w:rsid w:val="009E7983"/>
    <w:rsid w:val="009E7FF9"/>
    <w:rsid w:val="009F028D"/>
    <w:rsid w:val="009F135A"/>
    <w:rsid w:val="009F188A"/>
    <w:rsid w:val="009F18B9"/>
    <w:rsid w:val="009F1FA0"/>
    <w:rsid w:val="009F2EAC"/>
    <w:rsid w:val="009F38B6"/>
    <w:rsid w:val="009F42B7"/>
    <w:rsid w:val="009F4541"/>
    <w:rsid w:val="009F4651"/>
    <w:rsid w:val="009F4871"/>
    <w:rsid w:val="009F4F95"/>
    <w:rsid w:val="009F55FA"/>
    <w:rsid w:val="009F57E3"/>
    <w:rsid w:val="00A01188"/>
    <w:rsid w:val="00A01B51"/>
    <w:rsid w:val="00A01CC8"/>
    <w:rsid w:val="00A023CC"/>
    <w:rsid w:val="00A023FC"/>
    <w:rsid w:val="00A02465"/>
    <w:rsid w:val="00A049F1"/>
    <w:rsid w:val="00A04C96"/>
    <w:rsid w:val="00A05EF0"/>
    <w:rsid w:val="00A0749B"/>
    <w:rsid w:val="00A1071A"/>
    <w:rsid w:val="00A10CEF"/>
    <w:rsid w:val="00A10F4F"/>
    <w:rsid w:val="00A11067"/>
    <w:rsid w:val="00A126E5"/>
    <w:rsid w:val="00A12AD4"/>
    <w:rsid w:val="00A1332D"/>
    <w:rsid w:val="00A133B3"/>
    <w:rsid w:val="00A147DD"/>
    <w:rsid w:val="00A14FAB"/>
    <w:rsid w:val="00A16146"/>
    <w:rsid w:val="00A1704A"/>
    <w:rsid w:val="00A171AC"/>
    <w:rsid w:val="00A175B6"/>
    <w:rsid w:val="00A22483"/>
    <w:rsid w:val="00A22FAC"/>
    <w:rsid w:val="00A235AA"/>
    <w:rsid w:val="00A24EF9"/>
    <w:rsid w:val="00A273BF"/>
    <w:rsid w:val="00A3010B"/>
    <w:rsid w:val="00A30894"/>
    <w:rsid w:val="00A31776"/>
    <w:rsid w:val="00A327DB"/>
    <w:rsid w:val="00A32D77"/>
    <w:rsid w:val="00A32EF9"/>
    <w:rsid w:val="00A33E8D"/>
    <w:rsid w:val="00A34A5F"/>
    <w:rsid w:val="00A353C9"/>
    <w:rsid w:val="00A36BDF"/>
    <w:rsid w:val="00A417E1"/>
    <w:rsid w:val="00A425EB"/>
    <w:rsid w:val="00A431DF"/>
    <w:rsid w:val="00A432E1"/>
    <w:rsid w:val="00A440D9"/>
    <w:rsid w:val="00A46302"/>
    <w:rsid w:val="00A46564"/>
    <w:rsid w:val="00A46E8E"/>
    <w:rsid w:val="00A502E6"/>
    <w:rsid w:val="00A512E6"/>
    <w:rsid w:val="00A5291F"/>
    <w:rsid w:val="00A52A44"/>
    <w:rsid w:val="00A52C0E"/>
    <w:rsid w:val="00A52DAD"/>
    <w:rsid w:val="00A53BD1"/>
    <w:rsid w:val="00A54ECF"/>
    <w:rsid w:val="00A54FAB"/>
    <w:rsid w:val="00A55512"/>
    <w:rsid w:val="00A5682E"/>
    <w:rsid w:val="00A56CC0"/>
    <w:rsid w:val="00A57A64"/>
    <w:rsid w:val="00A60AA8"/>
    <w:rsid w:val="00A60EC7"/>
    <w:rsid w:val="00A614D3"/>
    <w:rsid w:val="00A61683"/>
    <w:rsid w:val="00A61724"/>
    <w:rsid w:val="00A625E8"/>
    <w:rsid w:val="00A6319D"/>
    <w:rsid w:val="00A6355C"/>
    <w:rsid w:val="00A6411F"/>
    <w:rsid w:val="00A64389"/>
    <w:rsid w:val="00A65911"/>
    <w:rsid w:val="00A666C5"/>
    <w:rsid w:val="00A66CDD"/>
    <w:rsid w:val="00A71149"/>
    <w:rsid w:val="00A71343"/>
    <w:rsid w:val="00A7173E"/>
    <w:rsid w:val="00A71856"/>
    <w:rsid w:val="00A71BFD"/>
    <w:rsid w:val="00A727B3"/>
    <w:rsid w:val="00A72F22"/>
    <w:rsid w:val="00A733BC"/>
    <w:rsid w:val="00A7345E"/>
    <w:rsid w:val="00A73F5B"/>
    <w:rsid w:val="00A748A6"/>
    <w:rsid w:val="00A76853"/>
    <w:rsid w:val="00A76A69"/>
    <w:rsid w:val="00A77585"/>
    <w:rsid w:val="00A83483"/>
    <w:rsid w:val="00A862BB"/>
    <w:rsid w:val="00A86A40"/>
    <w:rsid w:val="00A878D0"/>
    <w:rsid w:val="00A879A4"/>
    <w:rsid w:val="00A91CFA"/>
    <w:rsid w:val="00A9223B"/>
    <w:rsid w:val="00A9235D"/>
    <w:rsid w:val="00A928EA"/>
    <w:rsid w:val="00A93B05"/>
    <w:rsid w:val="00A93F40"/>
    <w:rsid w:val="00A94B69"/>
    <w:rsid w:val="00A96EE5"/>
    <w:rsid w:val="00A973BF"/>
    <w:rsid w:val="00AA062C"/>
    <w:rsid w:val="00AA0FF8"/>
    <w:rsid w:val="00AA1205"/>
    <w:rsid w:val="00AA127A"/>
    <w:rsid w:val="00AA151D"/>
    <w:rsid w:val="00AA159B"/>
    <w:rsid w:val="00AA294A"/>
    <w:rsid w:val="00AA2ACE"/>
    <w:rsid w:val="00AA2EE4"/>
    <w:rsid w:val="00AA3B8F"/>
    <w:rsid w:val="00AA41CD"/>
    <w:rsid w:val="00AA555C"/>
    <w:rsid w:val="00AA746B"/>
    <w:rsid w:val="00AA7EEA"/>
    <w:rsid w:val="00AB0132"/>
    <w:rsid w:val="00AB01DB"/>
    <w:rsid w:val="00AB038A"/>
    <w:rsid w:val="00AB2D60"/>
    <w:rsid w:val="00AB3072"/>
    <w:rsid w:val="00AB3169"/>
    <w:rsid w:val="00AB3896"/>
    <w:rsid w:val="00AB3CDF"/>
    <w:rsid w:val="00AB4009"/>
    <w:rsid w:val="00AB6C06"/>
    <w:rsid w:val="00AB7251"/>
    <w:rsid w:val="00AB7A41"/>
    <w:rsid w:val="00AC0F2C"/>
    <w:rsid w:val="00AC1148"/>
    <w:rsid w:val="00AC1301"/>
    <w:rsid w:val="00AC2616"/>
    <w:rsid w:val="00AC2A3A"/>
    <w:rsid w:val="00AC3143"/>
    <w:rsid w:val="00AC3C8A"/>
    <w:rsid w:val="00AC3D83"/>
    <w:rsid w:val="00AC49F9"/>
    <w:rsid w:val="00AC502A"/>
    <w:rsid w:val="00AC54D6"/>
    <w:rsid w:val="00AC55C2"/>
    <w:rsid w:val="00AC5E6A"/>
    <w:rsid w:val="00AC7476"/>
    <w:rsid w:val="00AC7681"/>
    <w:rsid w:val="00AC79F7"/>
    <w:rsid w:val="00AC7C9E"/>
    <w:rsid w:val="00AD259C"/>
    <w:rsid w:val="00AD3072"/>
    <w:rsid w:val="00AD3C3E"/>
    <w:rsid w:val="00AD410B"/>
    <w:rsid w:val="00AD5AE9"/>
    <w:rsid w:val="00AE0459"/>
    <w:rsid w:val="00AE34A7"/>
    <w:rsid w:val="00AE35DB"/>
    <w:rsid w:val="00AE399B"/>
    <w:rsid w:val="00AE3CC9"/>
    <w:rsid w:val="00AE505D"/>
    <w:rsid w:val="00AE5E8B"/>
    <w:rsid w:val="00AE5FE4"/>
    <w:rsid w:val="00AE7E25"/>
    <w:rsid w:val="00AF2B30"/>
    <w:rsid w:val="00AF58C1"/>
    <w:rsid w:val="00AF6AF6"/>
    <w:rsid w:val="00AF7189"/>
    <w:rsid w:val="00AF7802"/>
    <w:rsid w:val="00B00A51"/>
    <w:rsid w:val="00B01B6D"/>
    <w:rsid w:val="00B030D2"/>
    <w:rsid w:val="00B0374D"/>
    <w:rsid w:val="00B04232"/>
    <w:rsid w:val="00B0499B"/>
    <w:rsid w:val="00B04A3F"/>
    <w:rsid w:val="00B05C28"/>
    <w:rsid w:val="00B06643"/>
    <w:rsid w:val="00B10F81"/>
    <w:rsid w:val="00B11529"/>
    <w:rsid w:val="00B11B3A"/>
    <w:rsid w:val="00B11B76"/>
    <w:rsid w:val="00B12028"/>
    <w:rsid w:val="00B1296C"/>
    <w:rsid w:val="00B13555"/>
    <w:rsid w:val="00B149B4"/>
    <w:rsid w:val="00B15055"/>
    <w:rsid w:val="00B17523"/>
    <w:rsid w:val="00B17772"/>
    <w:rsid w:val="00B17CFC"/>
    <w:rsid w:val="00B20067"/>
    <w:rsid w:val="00B20493"/>
    <w:rsid w:val="00B21326"/>
    <w:rsid w:val="00B22565"/>
    <w:rsid w:val="00B22DFD"/>
    <w:rsid w:val="00B23874"/>
    <w:rsid w:val="00B23F0F"/>
    <w:rsid w:val="00B255CF"/>
    <w:rsid w:val="00B25852"/>
    <w:rsid w:val="00B258E2"/>
    <w:rsid w:val="00B25AEC"/>
    <w:rsid w:val="00B27D5F"/>
    <w:rsid w:val="00B30179"/>
    <w:rsid w:val="00B33091"/>
    <w:rsid w:val="00B33334"/>
    <w:rsid w:val="00B33D3B"/>
    <w:rsid w:val="00B34A9C"/>
    <w:rsid w:val="00B3502C"/>
    <w:rsid w:val="00B35B19"/>
    <w:rsid w:val="00B35CBF"/>
    <w:rsid w:val="00B36FA9"/>
    <w:rsid w:val="00B37B15"/>
    <w:rsid w:val="00B405A8"/>
    <w:rsid w:val="00B41177"/>
    <w:rsid w:val="00B41F04"/>
    <w:rsid w:val="00B426E4"/>
    <w:rsid w:val="00B42EB7"/>
    <w:rsid w:val="00B45C02"/>
    <w:rsid w:val="00B45C44"/>
    <w:rsid w:val="00B47134"/>
    <w:rsid w:val="00B4799C"/>
    <w:rsid w:val="00B53453"/>
    <w:rsid w:val="00B55124"/>
    <w:rsid w:val="00B55910"/>
    <w:rsid w:val="00B56BC3"/>
    <w:rsid w:val="00B56DCF"/>
    <w:rsid w:val="00B5777D"/>
    <w:rsid w:val="00B62015"/>
    <w:rsid w:val="00B62B21"/>
    <w:rsid w:val="00B63674"/>
    <w:rsid w:val="00B63DDE"/>
    <w:rsid w:val="00B6411C"/>
    <w:rsid w:val="00B646BA"/>
    <w:rsid w:val="00B64BC5"/>
    <w:rsid w:val="00B64E2E"/>
    <w:rsid w:val="00B64EB1"/>
    <w:rsid w:val="00B65B05"/>
    <w:rsid w:val="00B65FDF"/>
    <w:rsid w:val="00B71935"/>
    <w:rsid w:val="00B72008"/>
    <w:rsid w:val="00B72280"/>
    <w:rsid w:val="00B72A1E"/>
    <w:rsid w:val="00B72E9C"/>
    <w:rsid w:val="00B72FD2"/>
    <w:rsid w:val="00B75258"/>
    <w:rsid w:val="00B76B92"/>
    <w:rsid w:val="00B773C7"/>
    <w:rsid w:val="00B77F5C"/>
    <w:rsid w:val="00B81E12"/>
    <w:rsid w:val="00B82026"/>
    <w:rsid w:val="00B83BE3"/>
    <w:rsid w:val="00B8647A"/>
    <w:rsid w:val="00B8685F"/>
    <w:rsid w:val="00B86A96"/>
    <w:rsid w:val="00B9007D"/>
    <w:rsid w:val="00B91059"/>
    <w:rsid w:val="00B9174E"/>
    <w:rsid w:val="00B91F15"/>
    <w:rsid w:val="00B927F3"/>
    <w:rsid w:val="00B933CF"/>
    <w:rsid w:val="00B93E21"/>
    <w:rsid w:val="00B955D4"/>
    <w:rsid w:val="00B974E1"/>
    <w:rsid w:val="00B97B35"/>
    <w:rsid w:val="00B97BAF"/>
    <w:rsid w:val="00BA16EE"/>
    <w:rsid w:val="00BA236E"/>
    <w:rsid w:val="00BA2D90"/>
    <w:rsid w:val="00BA339B"/>
    <w:rsid w:val="00BA493C"/>
    <w:rsid w:val="00BA4DD1"/>
    <w:rsid w:val="00BA6146"/>
    <w:rsid w:val="00BA7FC2"/>
    <w:rsid w:val="00BB1617"/>
    <w:rsid w:val="00BB1910"/>
    <w:rsid w:val="00BB1C92"/>
    <w:rsid w:val="00BB2523"/>
    <w:rsid w:val="00BB26D1"/>
    <w:rsid w:val="00BB3AB4"/>
    <w:rsid w:val="00BB3D68"/>
    <w:rsid w:val="00BB42A2"/>
    <w:rsid w:val="00BB4806"/>
    <w:rsid w:val="00BB5167"/>
    <w:rsid w:val="00BB52E6"/>
    <w:rsid w:val="00BB52FB"/>
    <w:rsid w:val="00BB5514"/>
    <w:rsid w:val="00BB656C"/>
    <w:rsid w:val="00BB684F"/>
    <w:rsid w:val="00BB687E"/>
    <w:rsid w:val="00BB6E76"/>
    <w:rsid w:val="00BB6F47"/>
    <w:rsid w:val="00BB6FE0"/>
    <w:rsid w:val="00BB738E"/>
    <w:rsid w:val="00BB79AF"/>
    <w:rsid w:val="00BC06AF"/>
    <w:rsid w:val="00BC07A9"/>
    <w:rsid w:val="00BC0A15"/>
    <w:rsid w:val="00BC1104"/>
    <w:rsid w:val="00BC1E7E"/>
    <w:rsid w:val="00BC27C1"/>
    <w:rsid w:val="00BC4D43"/>
    <w:rsid w:val="00BC74E9"/>
    <w:rsid w:val="00BC7F91"/>
    <w:rsid w:val="00BD1332"/>
    <w:rsid w:val="00BD1AA2"/>
    <w:rsid w:val="00BD1D82"/>
    <w:rsid w:val="00BD2E32"/>
    <w:rsid w:val="00BD3E0F"/>
    <w:rsid w:val="00BD572B"/>
    <w:rsid w:val="00BD6531"/>
    <w:rsid w:val="00BD68AA"/>
    <w:rsid w:val="00BD6F0A"/>
    <w:rsid w:val="00BD7009"/>
    <w:rsid w:val="00BD7972"/>
    <w:rsid w:val="00BE1E0F"/>
    <w:rsid w:val="00BE1F7B"/>
    <w:rsid w:val="00BE2008"/>
    <w:rsid w:val="00BE36A9"/>
    <w:rsid w:val="00BE3971"/>
    <w:rsid w:val="00BE44E9"/>
    <w:rsid w:val="00BE51BA"/>
    <w:rsid w:val="00BE52AB"/>
    <w:rsid w:val="00BE5AAD"/>
    <w:rsid w:val="00BE618E"/>
    <w:rsid w:val="00BE6762"/>
    <w:rsid w:val="00BE68ED"/>
    <w:rsid w:val="00BE7475"/>
    <w:rsid w:val="00BE7BE2"/>
    <w:rsid w:val="00BE7BEC"/>
    <w:rsid w:val="00BF0A5A"/>
    <w:rsid w:val="00BF0E63"/>
    <w:rsid w:val="00BF1043"/>
    <w:rsid w:val="00BF1045"/>
    <w:rsid w:val="00BF11BF"/>
    <w:rsid w:val="00BF12A3"/>
    <w:rsid w:val="00BF16D7"/>
    <w:rsid w:val="00BF2373"/>
    <w:rsid w:val="00BF2499"/>
    <w:rsid w:val="00BF2971"/>
    <w:rsid w:val="00BF30CB"/>
    <w:rsid w:val="00BF447B"/>
    <w:rsid w:val="00BF46F6"/>
    <w:rsid w:val="00BF4E64"/>
    <w:rsid w:val="00BF5096"/>
    <w:rsid w:val="00BF5C26"/>
    <w:rsid w:val="00BF6E12"/>
    <w:rsid w:val="00BF7410"/>
    <w:rsid w:val="00BF762A"/>
    <w:rsid w:val="00BF7A00"/>
    <w:rsid w:val="00BF7D09"/>
    <w:rsid w:val="00C0076D"/>
    <w:rsid w:val="00C00F93"/>
    <w:rsid w:val="00C01839"/>
    <w:rsid w:val="00C02025"/>
    <w:rsid w:val="00C021A3"/>
    <w:rsid w:val="00C02312"/>
    <w:rsid w:val="00C03D40"/>
    <w:rsid w:val="00C0405C"/>
    <w:rsid w:val="00C044E2"/>
    <w:rsid w:val="00C048CB"/>
    <w:rsid w:val="00C04C05"/>
    <w:rsid w:val="00C04D49"/>
    <w:rsid w:val="00C05196"/>
    <w:rsid w:val="00C052F6"/>
    <w:rsid w:val="00C05445"/>
    <w:rsid w:val="00C055EE"/>
    <w:rsid w:val="00C05DA8"/>
    <w:rsid w:val="00C066F3"/>
    <w:rsid w:val="00C06CAC"/>
    <w:rsid w:val="00C0732C"/>
    <w:rsid w:val="00C122F8"/>
    <w:rsid w:val="00C13046"/>
    <w:rsid w:val="00C135A8"/>
    <w:rsid w:val="00C140E4"/>
    <w:rsid w:val="00C14562"/>
    <w:rsid w:val="00C14646"/>
    <w:rsid w:val="00C15D48"/>
    <w:rsid w:val="00C167F2"/>
    <w:rsid w:val="00C172D2"/>
    <w:rsid w:val="00C205E9"/>
    <w:rsid w:val="00C22E8B"/>
    <w:rsid w:val="00C23052"/>
    <w:rsid w:val="00C24017"/>
    <w:rsid w:val="00C24FAD"/>
    <w:rsid w:val="00C253F0"/>
    <w:rsid w:val="00C2654B"/>
    <w:rsid w:val="00C27A7A"/>
    <w:rsid w:val="00C303A3"/>
    <w:rsid w:val="00C30814"/>
    <w:rsid w:val="00C30EC9"/>
    <w:rsid w:val="00C30EF4"/>
    <w:rsid w:val="00C31291"/>
    <w:rsid w:val="00C32365"/>
    <w:rsid w:val="00C33336"/>
    <w:rsid w:val="00C33867"/>
    <w:rsid w:val="00C3606E"/>
    <w:rsid w:val="00C36C0F"/>
    <w:rsid w:val="00C36C34"/>
    <w:rsid w:val="00C36E7A"/>
    <w:rsid w:val="00C4026E"/>
    <w:rsid w:val="00C41057"/>
    <w:rsid w:val="00C41418"/>
    <w:rsid w:val="00C41A8F"/>
    <w:rsid w:val="00C41CD8"/>
    <w:rsid w:val="00C41E3F"/>
    <w:rsid w:val="00C436B3"/>
    <w:rsid w:val="00C43BE9"/>
    <w:rsid w:val="00C458B6"/>
    <w:rsid w:val="00C463DD"/>
    <w:rsid w:val="00C46B0A"/>
    <w:rsid w:val="00C47557"/>
    <w:rsid w:val="00C47869"/>
    <w:rsid w:val="00C50D28"/>
    <w:rsid w:val="00C50F2A"/>
    <w:rsid w:val="00C51024"/>
    <w:rsid w:val="00C51B92"/>
    <w:rsid w:val="00C530F1"/>
    <w:rsid w:val="00C54378"/>
    <w:rsid w:val="00C548CE"/>
    <w:rsid w:val="00C556BA"/>
    <w:rsid w:val="00C56993"/>
    <w:rsid w:val="00C56C55"/>
    <w:rsid w:val="00C5702F"/>
    <w:rsid w:val="00C6006B"/>
    <w:rsid w:val="00C60C2A"/>
    <w:rsid w:val="00C62173"/>
    <w:rsid w:val="00C64219"/>
    <w:rsid w:val="00C65483"/>
    <w:rsid w:val="00C65B03"/>
    <w:rsid w:val="00C66F71"/>
    <w:rsid w:val="00C70414"/>
    <w:rsid w:val="00C70781"/>
    <w:rsid w:val="00C707AE"/>
    <w:rsid w:val="00C70AE4"/>
    <w:rsid w:val="00C70CA4"/>
    <w:rsid w:val="00C7121F"/>
    <w:rsid w:val="00C722F0"/>
    <w:rsid w:val="00C723AE"/>
    <w:rsid w:val="00C745C3"/>
    <w:rsid w:val="00C74C6E"/>
    <w:rsid w:val="00C75FB2"/>
    <w:rsid w:val="00C76456"/>
    <w:rsid w:val="00C776E1"/>
    <w:rsid w:val="00C80980"/>
    <w:rsid w:val="00C817BD"/>
    <w:rsid w:val="00C82271"/>
    <w:rsid w:val="00C82B17"/>
    <w:rsid w:val="00C82B8F"/>
    <w:rsid w:val="00C8399B"/>
    <w:rsid w:val="00C840BE"/>
    <w:rsid w:val="00C8615E"/>
    <w:rsid w:val="00C86C5A"/>
    <w:rsid w:val="00C87055"/>
    <w:rsid w:val="00C906A2"/>
    <w:rsid w:val="00C92697"/>
    <w:rsid w:val="00C93032"/>
    <w:rsid w:val="00C930D9"/>
    <w:rsid w:val="00C933B9"/>
    <w:rsid w:val="00C93AB0"/>
    <w:rsid w:val="00C93CE8"/>
    <w:rsid w:val="00C93E71"/>
    <w:rsid w:val="00C9458D"/>
    <w:rsid w:val="00C94D6D"/>
    <w:rsid w:val="00C9629C"/>
    <w:rsid w:val="00C97164"/>
    <w:rsid w:val="00CA12E6"/>
    <w:rsid w:val="00CA1F61"/>
    <w:rsid w:val="00CA24A4"/>
    <w:rsid w:val="00CA2F9D"/>
    <w:rsid w:val="00CA5098"/>
    <w:rsid w:val="00CA5331"/>
    <w:rsid w:val="00CA555A"/>
    <w:rsid w:val="00CA5E0B"/>
    <w:rsid w:val="00CA715D"/>
    <w:rsid w:val="00CB07F1"/>
    <w:rsid w:val="00CB0AE1"/>
    <w:rsid w:val="00CB1CEC"/>
    <w:rsid w:val="00CB2B81"/>
    <w:rsid w:val="00CB3277"/>
    <w:rsid w:val="00CB348D"/>
    <w:rsid w:val="00CB3A83"/>
    <w:rsid w:val="00CB3B5F"/>
    <w:rsid w:val="00CB4EF2"/>
    <w:rsid w:val="00CB7426"/>
    <w:rsid w:val="00CB7693"/>
    <w:rsid w:val="00CB7E17"/>
    <w:rsid w:val="00CC0244"/>
    <w:rsid w:val="00CC0950"/>
    <w:rsid w:val="00CC1383"/>
    <w:rsid w:val="00CC14A3"/>
    <w:rsid w:val="00CC24E6"/>
    <w:rsid w:val="00CC2CCD"/>
    <w:rsid w:val="00CC2DB2"/>
    <w:rsid w:val="00CC3B27"/>
    <w:rsid w:val="00CC5EA0"/>
    <w:rsid w:val="00CC6593"/>
    <w:rsid w:val="00CD006D"/>
    <w:rsid w:val="00CD01D6"/>
    <w:rsid w:val="00CD0785"/>
    <w:rsid w:val="00CD2372"/>
    <w:rsid w:val="00CD2CDF"/>
    <w:rsid w:val="00CD46F5"/>
    <w:rsid w:val="00CD5F72"/>
    <w:rsid w:val="00CD6174"/>
    <w:rsid w:val="00CD69BB"/>
    <w:rsid w:val="00CD6BE2"/>
    <w:rsid w:val="00CD6BF9"/>
    <w:rsid w:val="00CD6CBF"/>
    <w:rsid w:val="00CD757D"/>
    <w:rsid w:val="00CD7CD9"/>
    <w:rsid w:val="00CE0BDC"/>
    <w:rsid w:val="00CE2055"/>
    <w:rsid w:val="00CE2889"/>
    <w:rsid w:val="00CE2C0F"/>
    <w:rsid w:val="00CE2C7D"/>
    <w:rsid w:val="00CE325F"/>
    <w:rsid w:val="00CE4A8F"/>
    <w:rsid w:val="00CE4FE7"/>
    <w:rsid w:val="00CE6F1D"/>
    <w:rsid w:val="00CE7B96"/>
    <w:rsid w:val="00CF071D"/>
    <w:rsid w:val="00CF0A2C"/>
    <w:rsid w:val="00CF0C4A"/>
    <w:rsid w:val="00CF0D3D"/>
    <w:rsid w:val="00CF381B"/>
    <w:rsid w:val="00CF4E4B"/>
    <w:rsid w:val="00CF64A7"/>
    <w:rsid w:val="00D01058"/>
    <w:rsid w:val="00D02BC1"/>
    <w:rsid w:val="00D02D32"/>
    <w:rsid w:val="00D03AEE"/>
    <w:rsid w:val="00D04D75"/>
    <w:rsid w:val="00D051D7"/>
    <w:rsid w:val="00D114D5"/>
    <w:rsid w:val="00D13835"/>
    <w:rsid w:val="00D13B0D"/>
    <w:rsid w:val="00D13E17"/>
    <w:rsid w:val="00D15B04"/>
    <w:rsid w:val="00D1605D"/>
    <w:rsid w:val="00D17430"/>
    <w:rsid w:val="00D20139"/>
    <w:rsid w:val="00D201BC"/>
    <w:rsid w:val="00D2031B"/>
    <w:rsid w:val="00D20B27"/>
    <w:rsid w:val="00D21EBC"/>
    <w:rsid w:val="00D23144"/>
    <w:rsid w:val="00D2425D"/>
    <w:rsid w:val="00D25EDF"/>
    <w:rsid w:val="00D25FA2"/>
    <w:rsid w:val="00D25FE2"/>
    <w:rsid w:val="00D27499"/>
    <w:rsid w:val="00D331AB"/>
    <w:rsid w:val="00D3334A"/>
    <w:rsid w:val="00D33B11"/>
    <w:rsid w:val="00D3409C"/>
    <w:rsid w:val="00D34EBC"/>
    <w:rsid w:val="00D37237"/>
    <w:rsid w:val="00D3738D"/>
    <w:rsid w:val="00D37ACA"/>
    <w:rsid w:val="00D37DA9"/>
    <w:rsid w:val="00D37DB9"/>
    <w:rsid w:val="00D37EA4"/>
    <w:rsid w:val="00D406A7"/>
    <w:rsid w:val="00D426D0"/>
    <w:rsid w:val="00D43252"/>
    <w:rsid w:val="00D436C2"/>
    <w:rsid w:val="00D43A2F"/>
    <w:rsid w:val="00D44737"/>
    <w:rsid w:val="00D44D86"/>
    <w:rsid w:val="00D47909"/>
    <w:rsid w:val="00D47DAF"/>
    <w:rsid w:val="00D47DB7"/>
    <w:rsid w:val="00D506D0"/>
    <w:rsid w:val="00D50AC1"/>
    <w:rsid w:val="00D50B7D"/>
    <w:rsid w:val="00D52012"/>
    <w:rsid w:val="00D52DBA"/>
    <w:rsid w:val="00D53220"/>
    <w:rsid w:val="00D5417F"/>
    <w:rsid w:val="00D541CA"/>
    <w:rsid w:val="00D573AE"/>
    <w:rsid w:val="00D57647"/>
    <w:rsid w:val="00D61402"/>
    <w:rsid w:val="00D6182E"/>
    <w:rsid w:val="00D61A73"/>
    <w:rsid w:val="00D61CBE"/>
    <w:rsid w:val="00D627B3"/>
    <w:rsid w:val="00D62F3C"/>
    <w:rsid w:val="00D633E1"/>
    <w:rsid w:val="00D63754"/>
    <w:rsid w:val="00D6459A"/>
    <w:rsid w:val="00D64D2D"/>
    <w:rsid w:val="00D678EC"/>
    <w:rsid w:val="00D67BE9"/>
    <w:rsid w:val="00D704E5"/>
    <w:rsid w:val="00D70EE9"/>
    <w:rsid w:val="00D717F7"/>
    <w:rsid w:val="00D72727"/>
    <w:rsid w:val="00D7518F"/>
    <w:rsid w:val="00D751F9"/>
    <w:rsid w:val="00D7538E"/>
    <w:rsid w:val="00D75C19"/>
    <w:rsid w:val="00D766A7"/>
    <w:rsid w:val="00D76B8B"/>
    <w:rsid w:val="00D77367"/>
    <w:rsid w:val="00D80897"/>
    <w:rsid w:val="00D80B1E"/>
    <w:rsid w:val="00D80DFF"/>
    <w:rsid w:val="00D826A1"/>
    <w:rsid w:val="00D827D6"/>
    <w:rsid w:val="00D82D8F"/>
    <w:rsid w:val="00D83EB0"/>
    <w:rsid w:val="00D851BC"/>
    <w:rsid w:val="00D855B7"/>
    <w:rsid w:val="00D90DCC"/>
    <w:rsid w:val="00D91563"/>
    <w:rsid w:val="00D9364C"/>
    <w:rsid w:val="00D93C7D"/>
    <w:rsid w:val="00D94DEF"/>
    <w:rsid w:val="00D956BF"/>
    <w:rsid w:val="00D95A58"/>
    <w:rsid w:val="00D978C6"/>
    <w:rsid w:val="00DA08EE"/>
    <w:rsid w:val="00DA0956"/>
    <w:rsid w:val="00DA18C3"/>
    <w:rsid w:val="00DA190C"/>
    <w:rsid w:val="00DA23B4"/>
    <w:rsid w:val="00DA2EBE"/>
    <w:rsid w:val="00DA345C"/>
    <w:rsid w:val="00DA34D7"/>
    <w:rsid w:val="00DA357F"/>
    <w:rsid w:val="00DA359B"/>
    <w:rsid w:val="00DA374A"/>
    <w:rsid w:val="00DA3C67"/>
    <w:rsid w:val="00DA3E12"/>
    <w:rsid w:val="00DA4045"/>
    <w:rsid w:val="00DA475E"/>
    <w:rsid w:val="00DA5581"/>
    <w:rsid w:val="00DA55DD"/>
    <w:rsid w:val="00DA7A19"/>
    <w:rsid w:val="00DB0D61"/>
    <w:rsid w:val="00DB2744"/>
    <w:rsid w:val="00DB5713"/>
    <w:rsid w:val="00DB5ABD"/>
    <w:rsid w:val="00DB5AC7"/>
    <w:rsid w:val="00DB6022"/>
    <w:rsid w:val="00DB67EC"/>
    <w:rsid w:val="00DB68A7"/>
    <w:rsid w:val="00DC0C24"/>
    <w:rsid w:val="00DC18AD"/>
    <w:rsid w:val="00DC1BAF"/>
    <w:rsid w:val="00DC2F50"/>
    <w:rsid w:val="00DC4054"/>
    <w:rsid w:val="00DC4125"/>
    <w:rsid w:val="00DC47D8"/>
    <w:rsid w:val="00DC4D3E"/>
    <w:rsid w:val="00DC6C2F"/>
    <w:rsid w:val="00DD4654"/>
    <w:rsid w:val="00DD51B6"/>
    <w:rsid w:val="00DD535F"/>
    <w:rsid w:val="00DD7279"/>
    <w:rsid w:val="00DE32AA"/>
    <w:rsid w:val="00DE46FF"/>
    <w:rsid w:val="00DE4B9E"/>
    <w:rsid w:val="00DE75BC"/>
    <w:rsid w:val="00DE7A79"/>
    <w:rsid w:val="00DE7BD9"/>
    <w:rsid w:val="00DF0C83"/>
    <w:rsid w:val="00DF20C3"/>
    <w:rsid w:val="00DF213F"/>
    <w:rsid w:val="00DF2761"/>
    <w:rsid w:val="00DF5A08"/>
    <w:rsid w:val="00DF690D"/>
    <w:rsid w:val="00DF7854"/>
    <w:rsid w:val="00DF7CAE"/>
    <w:rsid w:val="00E00371"/>
    <w:rsid w:val="00E01960"/>
    <w:rsid w:val="00E01CA8"/>
    <w:rsid w:val="00E020AD"/>
    <w:rsid w:val="00E02920"/>
    <w:rsid w:val="00E03068"/>
    <w:rsid w:val="00E03656"/>
    <w:rsid w:val="00E05FC8"/>
    <w:rsid w:val="00E11358"/>
    <w:rsid w:val="00E12A2C"/>
    <w:rsid w:val="00E12C1A"/>
    <w:rsid w:val="00E12E30"/>
    <w:rsid w:val="00E13839"/>
    <w:rsid w:val="00E139F7"/>
    <w:rsid w:val="00E15302"/>
    <w:rsid w:val="00E16A0C"/>
    <w:rsid w:val="00E16CCD"/>
    <w:rsid w:val="00E16D03"/>
    <w:rsid w:val="00E16D1B"/>
    <w:rsid w:val="00E17991"/>
    <w:rsid w:val="00E17F71"/>
    <w:rsid w:val="00E209F2"/>
    <w:rsid w:val="00E20ACD"/>
    <w:rsid w:val="00E20ECB"/>
    <w:rsid w:val="00E30F68"/>
    <w:rsid w:val="00E313A1"/>
    <w:rsid w:val="00E323CA"/>
    <w:rsid w:val="00E4058A"/>
    <w:rsid w:val="00E40C67"/>
    <w:rsid w:val="00E415AB"/>
    <w:rsid w:val="00E41867"/>
    <w:rsid w:val="00E41D77"/>
    <w:rsid w:val="00E423C0"/>
    <w:rsid w:val="00E4523F"/>
    <w:rsid w:val="00E45354"/>
    <w:rsid w:val="00E457A2"/>
    <w:rsid w:val="00E45C35"/>
    <w:rsid w:val="00E46523"/>
    <w:rsid w:val="00E46AC7"/>
    <w:rsid w:val="00E47276"/>
    <w:rsid w:val="00E474E4"/>
    <w:rsid w:val="00E506F0"/>
    <w:rsid w:val="00E50FA1"/>
    <w:rsid w:val="00E517AA"/>
    <w:rsid w:val="00E52F55"/>
    <w:rsid w:val="00E540EE"/>
    <w:rsid w:val="00E54298"/>
    <w:rsid w:val="00E549AC"/>
    <w:rsid w:val="00E549D1"/>
    <w:rsid w:val="00E556B9"/>
    <w:rsid w:val="00E604E0"/>
    <w:rsid w:val="00E60CF0"/>
    <w:rsid w:val="00E61030"/>
    <w:rsid w:val="00E62486"/>
    <w:rsid w:val="00E62FFE"/>
    <w:rsid w:val="00E63835"/>
    <w:rsid w:val="00E6414C"/>
    <w:rsid w:val="00E641A6"/>
    <w:rsid w:val="00E665E9"/>
    <w:rsid w:val="00E66B75"/>
    <w:rsid w:val="00E66F9F"/>
    <w:rsid w:val="00E70503"/>
    <w:rsid w:val="00E70A19"/>
    <w:rsid w:val="00E71CCE"/>
    <w:rsid w:val="00E71F27"/>
    <w:rsid w:val="00E72240"/>
    <w:rsid w:val="00E72408"/>
    <w:rsid w:val="00E7260F"/>
    <w:rsid w:val="00E728BA"/>
    <w:rsid w:val="00E74AF4"/>
    <w:rsid w:val="00E763A9"/>
    <w:rsid w:val="00E77851"/>
    <w:rsid w:val="00E77D70"/>
    <w:rsid w:val="00E80535"/>
    <w:rsid w:val="00E80B63"/>
    <w:rsid w:val="00E810B1"/>
    <w:rsid w:val="00E8130C"/>
    <w:rsid w:val="00E82BA2"/>
    <w:rsid w:val="00E831D5"/>
    <w:rsid w:val="00E8450E"/>
    <w:rsid w:val="00E84DDB"/>
    <w:rsid w:val="00E86A2D"/>
    <w:rsid w:val="00E8702D"/>
    <w:rsid w:val="00E901BA"/>
    <w:rsid w:val="00E90C7F"/>
    <w:rsid w:val="00E916A9"/>
    <w:rsid w:val="00E916DE"/>
    <w:rsid w:val="00E925AD"/>
    <w:rsid w:val="00E92800"/>
    <w:rsid w:val="00E92C18"/>
    <w:rsid w:val="00E92E82"/>
    <w:rsid w:val="00E93087"/>
    <w:rsid w:val="00E94945"/>
    <w:rsid w:val="00E9496E"/>
    <w:rsid w:val="00E96630"/>
    <w:rsid w:val="00E96789"/>
    <w:rsid w:val="00E967D9"/>
    <w:rsid w:val="00E971A6"/>
    <w:rsid w:val="00EA0BA3"/>
    <w:rsid w:val="00EA20A9"/>
    <w:rsid w:val="00EA239B"/>
    <w:rsid w:val="00EA2D46"/>
    <w:rsid w:val="00EA334A"/>
    <w:rsid w:val="00EA4E8E"/>
    <w:rsid w:val="00EA5371"/>
    <w:rsid w:val="00EA5DDC"/>
    <w:rsid w:val="00EA7155"/>
    <w:rsid w:val="00EA755D"/>
    <w:rsid w:val="00EB04CC"/>
    <w:rsid w:val="00EB0C42"/>
    <w:rsid w:val="00EB309C"/>
    <w:rsid w:val="00EB395E"/>
    <w:rsid w:val="00EB3D88"/>
    <w:rsid w:val="00EB4AE9"/>
    <w:rsid w:val="00EB5B77"/>
    <w:rsid w:val="00EB668E"/>
    <w:rsid w:val="00EB67E0"/>
    <w:rsid w:val="00EC0202"/>
    <w:rsid w:val="00EC1267"/>
    <w:rsid w:val="00EC2072"/>
    <w:rsid w:val="00EC3ADF"/>
    <w:rsid w:val="00EC4E37"/>
    <w:rsid w:val="00EC5793"/>
    <w:rsid w:val="00EC6287"/>
    <w:rsid w:val="00EC783F"/>
    <w:rsid w:val="00EC7924"/>
    <w:rsid w:val="00ED0BF2"/>
    <w:rsid w:val="00ED18DC"/>
    <w:rsid w:val="00ED1E7A"/>
    <w:rsid w:val="00ED1F81"/>
    <w:rsid w:val="00ED215F"/>
    <w:rsid w:val="00ED267C"/>
    <w:rsid w:val="00ED35D2"/>
    <w:rsid w:val="00ED3B50"/>
    <w:rsid w:val="00ED6201"/>
    <w:rsid w:val="00ED6453"/>
    <w:rsid w:val="00ED6D3F"/>
    <w:rsid w:val="00ED7A2A"/>
    <w:rsid w:val="00EE1393"/>
    <w:rsid w:val="00EE2C1B"/>
    <w:rsid w:val="00EE2F03"/>
    <w:rsid w:val="00EE3FC0"/>
    <w:rsid w:val="00EE46ED"/>
    <w:rsid w:val="00EE7ECD"/>
    <w:rsid w:val="00EF1D7F"/>
    <w:rsid w:val="00EF23EE"/>
    <w:rsid w:val="00EF3488"/>
    <w:rsid w:val="00EF45F2"/>
    <w:rsid w:val="00EF475F"/>
    <w:rsid w:val="00EF47B4"/>
    <w:rsid w:val="00EF4CDB"/>
    <w:rsid w:val="00EF4ED5"/>
    <w:rsid w:val="00EF530F"/>
    <w:rsid w:val="00EF6366"/>
    <w:rsid w:val="00EF63A3"/>
    <w:rsid w:val="00EF64A4"/>
    <w:rsid w:val="00EF68B0"/>
    <w:rsid w:val="00EF6F39"/>
    <w:rsid w:val="00EF7A41"/>
    <w:rsid w:val="00F0075D"/>
    <w:rsid w:val="00F00D48"/>
    <w:rsid w:val="00F0137E"/>
    <w:rsid w:val="00F01A41"/>
    <w:rsid w:val="00F0236B"/>
    <w:rsid w:val="00F02E84"/>
    <w:rsid w:val="00F0475C"/>
    <w:rsid w:val="00F05124"/>
    <w:rsid w:val="00F065DD"/>
    <w:rsid w:val="00F06F80"/>
    <w:rsid w:val="00F077FE"/>
    <w:rsid w:val="00F103F4"/>
    <w:rsid w:val="00F127C0"/>
    <w:rsid w:val="00F1335D"/>
    <w:rsid w:val="00F141B7"/>
    <w:rsid w:val="00F14455"/>
    <w:rsid w:val="00F145ED"/>
    <w:rsid w:val="00F15C40"/>
    <w:rsid w:val="00F15E5F"/>
    <w:rsid w:val="00F16F38"/>
    <w:rsid w:val="00F170FE"/>
    <w:rsid w:val="00F17E50"/>
    <w:rsid w:val="00F203EB"/>
    <w:rsid w:val="00F20F18"/>
    <w:rsid w:val="00F215CB"/>
    <w:rsid w:val="00F216AB"/>
    <w:rsid w:val="00F21786"/>
    <w:rsid w:val="00F21ADC"/>
    <w:rsid w:val="00F22914"/>
    <w:rsid w:val="00F238DC"/>
    <w:rsid w:val="00F24442"/>
    <w:rsid w:val="00F244AD"/>
    <w:rsid w:val="00F24E22"/>
    <w:rsid w:val="00F25E37"/>
    <w:rsid w:val="00F26075"/>
    <w:rsid w:val="00F2638C"/>
    <w:rsid w:val="00F26A78"/>
    <w:rsid w:val="00F26B27"/>
    <w:rsid w:val="00F27143"/>
    <w:rsid w:val="00F2780B"/>
    <w:rsid w:val="00F3113A"/>
    <w:rsid w:val="00F316E7"/>
    <w:rsid w:val="00F325C3"/>
    <w:rsid w:val="00F332CE"/>
    <w:rsid w:val="00F33CAB"/>
    <w:rsid w:val="00F33E1C"/>
    <w:rsid w:val="00F33F0C"/>
    <w:rsid w:val="00F34BC1"/>
    <w:rsid w:val="00F352B1"/>
    <w:rsid w:val="00F3636D"/>
    <w:rsid w:val="00F36869"/>
    <w:rsid w:val="00F3742B"/>
    <w:rsid w:val="00F37467"/>
    <w:rsid w:val="00F40572"/>
    <w:rsid w:val="00F40665"/>
    <w:rsid w:val="00F4067A"/>
    <w:rsid w:val="00F40B39"/>
    <w:rsid w:val="00F40F05"/>
    <w:rsid w:val="00F41807"/>
    <w:rsid w:val="00F41906"/>
    <w:rsid w:val="00F41E64"/>
    <w:rsid w:val="00F41FDB"/>
    <w:rsid w:val="00F4466E"/>
    <w:rsid w:val="00F460EA"/>
    <w:rsid w:val="00F507EC"/>
    <w:rsid w:val="00F51D1F"/>
    <w:rsid w:val="00F524A3"/>
    <w:rsid w:val="00F52749"/>
    <w:rsid w:val="00F533F1"/>
    <w:rsid w:val="00F53797"/>
    <w:rsid w:val="00F53DC8"/>
    <w:rsid w:val="00F54302"/>
    <w:rsid w:val="00F5562B"/>
    <w:rsid w:val="00F5627D"/>
    <w:rsid w:val="00F5684C"/>
    <w:rsid w:val="00F56D63"/>
    <w:rsid w:val="00F56EC1"/>
    <w:rsid w:val="00F577FD"/>
    <w:rsid w:val="00F57BEA"/>
    <w:rsid w:val="00F600EF"/>
    <w:rsid w:val="00F609A9"/>
    <w:rsid w:val="00F6188B"/>
    <w:rsid w:val="00F62592"/>
    <w:rsid w:val="00F63D4C"/>
    <w:rsid w:val="00F64851"/>
    <w:rsid w:val="00F669A7"/>
    <w:rsid w:val="00F6757C"/>
    <w:rsid w:val="00F71724"/>
    <w:rsid w:val="00F71825"/>
    <w:rsid w:val="00F722DF"/>
    <w:rsid w:val="00F72AD4"/>
    <w:rsid w:val="00F75D6F"/>
    <w:rsid w:val="00F765F5"/>
    <w:rsid w:val="00F774E2"/>
    <w:rsid w:val="00F778B6"/>
    <w:rsid w:val="00F80C99"/>
    <w:rsid w:val="00F810AA"/>
    <w:rsid w:val="00F82266"/>
    <w:rsid w:val="00F86062"/>
    <w:rsid w:val="00F867EC"/>
    <w:rsid w:val="00F86D60"/>
    <w:rsid w:val="00F90040"/>
    <w:rsid w:val="00F90A8D"/>
    <w:rsid w:val="00F91B2B"/>
    <w:rsid w:val="00F92F90"/>
    <w:rsid w:val="00F93DEC"/>
    <w:rsid w:val="00F9474D"/>
    <w:rsid w:val="00F948A8"/>
    <w:rsid w:val="00F95D6C"/>
    <w:rsid w:val="00F97AD8"/>
    <w:rsid w:val="00F97AEC"/>
    <w:rsid w:val="00FA0071"/>
    <w:rsid w:val="00FA00F5"/>
    <w:rsid w:val="00FA259C"/>
    <w:rsid w:val="00FA2FED"/>
    <w:rsid w:val="00FA388C"/>
    <w:rsid w:val="00FB1627"/>
    <w:rsid w:val="00FB2442"/>
    <w:rsid w:val="00FB2952"/>
    <w:rsid w:val="00FB4183"/>
    <w:rsid w:val="00FB4206"/>
    <w:rsid w:val="00FB48E6"/>
    <w:rsid w:val="00FB4F67"/>
    <w:rsid w:val="00FB55EF"/>
    <w:rsid w:val="00FB6F5C"/>
    <w:rsid w:val="00FB7540"/>
    <w:rsid w:val="00FB7AFB"/>
    <w:rsid w:val="00FC03CD"/>
    <w:rsid w:val="00FC0646"/>
    <w:rsid w:val="00FC0989"/>
    <w:rsid w:val="00FC2482"/>
    <w:rsid w:val="00FC4582"/>
    <w:rsid w:val="00FC68B7"/>
    <w:rsid w:val="00FC7425"/>
    <w:rsid w:val="00FD0BAB"/>
    <w:rsid w:val="00FD0E7F"/>
    <w:rsid w:val="00FD0F36"/>
    <w:rsid w:val="00FD23F5"/>
    <w:rsid w:val="00FD2FD4"/>
    <w:rsid w:val="00FD6F37"/>
    <w:rsid w:val="00FD7052"/>
    <w:rsid w:val="00FD72FE"/>
    <w:rsid w:val="00FE0282"/>
    <w:rsid w:val="00FE0AB5"/>
    <w:rsid w:val="00FE34A2"/>
    <w:rsid w:val="00FE409A"/>
    <w:rsid w:val="00FE46A1"/>
    <w:rsid w:val="00FE497F"/>
    <w:rsid w:val="00FE4D1F"/>
    <w:rsid w:val="00FE5900"/>
    <w:rsid w:val="00FE5FB5"/>
    <w:rsid w:val="00FE604B"/>
    <w:rsid w:val="00FE63C6"/>
    <w:rsid w:val="00FE6985"/>
    <w:rsid w:val="00FE6B78"/>
    <w:rsid w:val="00FE6B88"/>
    <w:rsid w:val="00FE6ED0"/>
    <w:rsid w:val="00FF1C99"/>
    <w:rsid w:val="00FF2A58"/>
    <w:rsid w:val="00FF2EC1"/>
    <w:rsid w:val="00FF3FBF"/>
    <w:rsid w:val="00FF5C42"/>
    <w:rsid w:val="00FF69B6"/>
    <w:rsid w:val="00FF7020"/>
    <w:rsid w:val="00FF74F8"/>
    <w:rsid w:val="00FF7C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F114C"/>
  <w15:docId w15:val="{4A92F73C-1241-4AB3-A99B-195BDC4A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65A1"/>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9"/>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9"/>
      </w:numPr>
      <w:spacing w:line="240" w:lineRule="auto"/>
      <w:outlineLvl w:val="1"/>
    </w:pPr>
  </w:style>
  <w:style w:type="paragraph" w:styleId="Heading3">
    <w:name w:val="heading 3"/>
    <w:basedOn w:val="Normal"/>
    <w:next w:val="Normal"/>
    <w:link w:val="Heading3Char"/>
    <w:qFormat/>
    <w:rsid w:val="00E925AD"/>
    <w:pPr>
      <w:numPr>
        <w:ilvl w:val="2"/>
        <w:numId w:val="9"/>
      </w:numPr>
      <w:spacing w:line="240" w:lineRule="auto"/>
      <w:outlineLvl w:val="2"/>
    </w:pPr>
  </w:style>
  <w:style w:type="paragraph" w:styleId="Heading4">
    <w:name w:val="heading 4"/>
    <w:basedOn w:val="Normal"/>
    <w:next w:val="Normal"/>
    <w:link w:val="Heading4Char"/>
    <w:qFormat/>
    <w:rsid w:val="00E925AD"/>
    <w:pPr>
      <w:numPr>
        <w:ilvl w:val="3"/>
        <w:numId w:val="9"/>
      </w:numPr>
      <w:spacing w:line="240" w:lineRule="auto"/>
      <w:outlineLvl w:val="3"/>
    </w:pPr>
  </w:style>
  <w:style w:type="paragraph" w:styleId="Heading5">
    <w:name w:val="heading 5"/>
    <w:basedOn w:val="Normal"/>
    <w:next w:val="Normal"/>
    <w:link w:val="Heading5Char"/>
    <w:qFormat/>
    <w:rsid w:val="00E925AD"/>
    <w:pPr>
      <w:numPr>
        <w:ilvl w:val="4"/>
        <w:numId w:val="9"/>
      </w:numPr>
      <w:spacing w:line="240" w:lineRule="auto"/>
      <w:outlineLvl w:val="4"/>
    </w:pPr>
  </w:style>
  <w:style w:type="paragraph" w:styleId="Heading6">
    <w:name w:val="heading 6"/>
    <w:basedOn w:val="Normal"/>
    <w:next w:val="Normal"/>
    <w:link w:val="Heading6Char"/>
    <w:qFormat/>
    <w:rsid w:val="00E925AD"/>
    <w:pPr>
      <w:numPr>
        <w:ilvl w:val="5"/>
        <w:numId w:val="9"/>
      </w:numPr>
      <w:spacing w:line="240" w:lineRule="auto"/>
      <w:outlineLvl w:val="5"/>
    </w:pPr>
  </w:style>
  <w:style w:type="paragraph" w:styleId="Heading7">
    <w:name w:val="heading 7"/>
    <w:basedOn w:val="Normal"/>
    <w:next w:val="Normal"/>
    <w:link w:val="Heading7Char"/>
    <w:qFormat/>
    <w:rsid w:val="00E925AD"/>
    <w:pPr>
      <w:numPr>
        <w:ilvl w:val="6"/>
        <w:numId w:val="9"/>
      </w:numPr>
      <w:spacing w:line="240" w:lineRule="auto"/>
      <w:outlineLvl w:val="6"/>
    </w:pPr>
  </w:style>
  <w:style w:type="paragraph" w:styleId="Heading8">
    <w:name w:val="heading 8"/>
    <w:basedOn w:val="Normal"/>
    <w:next w:val="Normal"/>
    <w:link w:val="Heading8Char"/>
    <w:qFormat/>
    <w:rsid w:val="00E925AD"/>
    <w:pPr>
      <w:numPr>
        <w:ilvl w:val="7"/>
        <w:numId w:val="9"/>
      </w:numPr>
      <w:spacing w:line="240" w:lineRule="auto"/>
      <w:outlineLvl w:val="7"/>
    </w:pPr>
  </w:style>
  <w:style w:type="paragraph" w:styleId="Heading9">
    <w:name w:val="heading 9"/>
    <w:basedOn w:val="Normal"/>
    <w:next w:val="Normal"/>
    <w:link w:val="Heading9Char"/>
    <w:qFormat/>
    <w:rsid w:val="00E925AD"/>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5"/>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6"/>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6673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73C4"/>
    <w:rPr>
      <w:rFonts w:ascii="Tahoma" w:hAnsi="Tahoma" w:cs="Tahoma"/>
      <w:sz w:val="16"/>
      <w:szCs w:val="16"/>
      <w:lang w:eastAsia="en-US"/>
    </w:rPr>
  </w:style>
  <w:style w:type="paragraph" w:styleId="CommentText">
    <w:name w:val="annotation text"/>
    <w:basedOn w:val="Normal"/>
    <w:link w:val="CommentTextChar"/>
    <w:uiPriority w:val="99"/>
    <w:rsid w:val="006673C4"/>
    <w:pPr>
      <w:spacing w:line="240" w:lineRule="auto"/>
    </w:pPr>
  </w:style>
  <w:style w:type="character" w:customStyle="1" w:styleId="CommentTextChar">
    <w:name w:val="Comment Text Char"/>
    <w:basedOn w:val="DefaultParagraphFont"/>
    <w:link w:val="CommentText"/>
    <w:uiPriority w:val="99"/>
    <w:rsid w:val="006673C4"/>
    <w:rPr>
      <w:lang w:eastAsia="en-US"/>
    </w:rPr>
  </w:style>
  <w:style w:type="paragraph" w:styleId="CommentSubject">
    <w:name w:val="annotation subject"/>
    <w:basedOn w:val="CommentText"/>
    <w:next w:val="CommentText"/>
    <w:link w:val="CommentSubjectChar"/>
    <w:uiPriority w:val="99"/>
    <w:rsid w:val="006673C4"/>
    <w:pPr>
      <w:spacing w:line="240" w:lineRule="atLeast"/>
    </w:pPr>
    <w:rPr>
      <w:b/>
      <w:bCs/>
    </w:rPr>
  </w:style>
  <w:style w:type="character" w:customStyle="1" w:styleId="CommentSubjectChar">
    <w:name w:val="Comment Subject Char"/>
    <w:basedOn w:val="CommentTextChar"/>
    <w:link w:val="CommentSubject"/>
    <w:uiPriority w:val="99"/>
    <w:rsid w:val="006673C4"/>
    <w:rPr>
      <w:b/>
      <w:bCs/>
      <w:lang w:eastAsia="en-US"/>
    </w:rPr>
  </w:style>
  <w:style w:type="paragraph" w:styleId="PlainText">
    <w:name w:val="Plain Text"/>
    <w:basedOn w:val="Normal"/>
    <w:link w:val="PlainTextChar"/>
    <w:uiPriority w:val="99"/>
    <w:rsid w:val="006673C4"/>
    <w:rPr>
      <w:rFonts w:cs="Courier New"/>
    </w:rPr>
  </w:style>
  <w:style w:type="character" w:customStyle="1" w:styleId="PlainTextChar">
    <w:name w:val="Plain Text Char"/>
    <w:basedOn w:val="DefaultParagraphFont"/>
    <w:link w:val="PlainText"/>
    <w:uiPriority w:val="99"/>
    <w:rsid w:val="006673C4"/>
    <w:rPr>
      <w:rFonts w:cs="Courier New"/>
      <w:lang w:eastAsia="en-US"/>
    </w:rPr>
  </w:style>
  <w:style w:type="paragraph" w:styleId="BodyText">
    <w:name w:val="Body Text"/>
    <w:basedOn w:val="Normal"/>
    <w:next w:val="Normal"/>
    <w:link w:val="BodyTextChar"/>
    <w:uiPriority w:val="99"/>
    <w:rsid w:val="006673C4"/>
  </w:style>
  <w:style w:type="character" w:customStyle="1" w:styleId="BodyTextChar">
    <w:name w:val="Body Text Char"/>
    <w:basedOn w:val="DefaultParagraphFont"/>
    <w:link w:val="BodyText"/>
    <w:uiPriority w:val="99"/>
    <w:rsid w:val="006673C4"/>
    <w:rPr>
      <w:lang w:eastAsia="en-US"/>
    </w:rPr>
  </w:style>
  <w:style w:type="paragraph" w:styleId="BodyTextIndent">
    <w:name w:val="Body Text Indent"/>
    <w:basedOn w:val="Normal"/>
    <w:link w:val="BodyTextIndentChar"/>
    <w:rsid w:val="006673C4"/>
    <w:pPr>
      <w:spacing w:after="120"/>
      <w:ind w:left="283"/>
    </w:pPr>
  </w:style>
  <w:style w:type="character" w:customStyle="1" w:styleId="BodyTextIndentChar">
    <w:name w:val="Body Text Indent Char"/>
    <w:basedOn w:val="DefaultParagraphFont"/>
    <w:link w:val="BodyTextIndent"/>
    <w:rsid w:val="006673C4"/>
    <w:rPr>
      <w:lang w:eastAsia="en-US"/>
    </w:rPr>
  </w:style>
  <w:style w:type="paragraph" w:styleId="BlockText">
    <w:name w:val="Block Text"/>
    <w:basedOn w:val="Normal"/>
    <w:rsid w:val="006673C4"/>
    <w:pPr>
      <w:ind w:left="1440" w:right="1440"/>
    </w:pPr>
  </w:style>
  <w:style w:type="character" w:styleId="CommentReference">
    <w:name w:val="annotation reference"/>
    <w:uiPriority w:val="99"/>
    <w:rsid w:val="006673C4"/>
    <w:rPr>
      <w:sz w:val="6"/>
    </w:rPr>
  </w:style>
  <w:style w:type="character" w:styleId="LineNumber">
    <w:name w:val="line number"/>
    <w:rsid w:val="006673C4"/>
    <w:rPr>
      <w:sz w:val="14"/>
    </w:rPr>
  </w:style>
  <w:style w:type="numbering" w:styleId="111111">
    <w:name w:val="Outline List 2"/>
    <w:basedOn w:val="NoList"/>
    <w:rsid w:val="006673C4"/>
    <w:pPr>
      <w:numPr>
        <w:numId w:val="7"/>
      </w:numPr>
    </w:pPr>
  </w:style>
  <w:style w:type="numbering" w:styleId="1ai">
    <w:name w:val="Outline List 1"/>
    <w:basedOn w:val="NoList"/>
    <w:rsid w:val="006673C4"/>
    <w:pPr>
      <w:numPr>
        <w:numId w:val="8"/>
      </w:numPr>
    </w:pPr>
  </w:style>
  <w:style w:type="numbering" w:styleId="ArticleSection">
    <w:name w:val="Outline List 3"/>
    <w:basedOn w:val="NoList"/>
    <w:rsid w:val="006673C4"/>
    <w:pPr>
      <w:numPr>
        <w:numId w:val="9"/>
      </w:numPr>
    </w:pPr>
  </w:style>
  <w:style w:type="paragraph" w:styleId="BodyText2">
    <w:name w:val="Body Text 2"/>
    <w:basedOn w:val="Normal"/>
    <w:link w:val="BodyText2Char"/>
    <w:rsid w:val="006673C4"/>
    <w:pPr>
      <w:spacing w:after="120" w:line="480" w:lineRule="auto"/>
    </w:pPr>
  </w:style>
  <w:style w:type="character" w:customStyle="1" w:styleId="BodyText2Char">
    <w:name w:val="Body Text 2 Char"/>
    <w:basedOn w:val="DefaultParagraphFont"/>
    <w:link w:val="BodyText2"/>
    <w:rsid w:val="006673C4"/>
    <w:rPr>
      <w:lang w:eastAsia="en-US"/>
    </w:rPr>
  </w:style>
  <w:style w:type="paragraph" w:styleId="BodyText3">
    <w:name w:val="Body Text 3"/>
    <w:basedOn w:val="Normal"/>
    <w:link w:val="BodyText3Char"/>
    <w:rsid w:val="006673C4"/>
    <w:pPr>
      <w:spacing w:after="120"/>
    </w:pPr>
    <w:rPr>
      <w:sz w:val="16"/>
      <w:szCs w:val="16"/>
    </w:rPr>
  </w:style>
  <w:style w:type="character" w:customStyle="1" w:styleId="BodyText3Char">
    <w:name w:val="Body Text 3 Char"/>
    <w:basedOn w:val="DefaultParagraphFont"/>
    <w:link w:val="BodyText3"/>
    <w:rsid w:val="006673C4"/>
    <w:rPr>
      <w:sz w:val="16"/>
      <w:szCs w:val="16"/>
      <w:lang w:eastAsia="en-US"/>
    </w:rPr>
  </w:style>
  <w:style w:type="paragraph" w:styleId="BodyTextFirstIndent">
    <w:name w:val="Body Text First Indent"/>
    <w:basedOn w:val="BodyText"/>
    <w:link w:val="BodyTextFirstIndentChar"/>
    <w:rsid w:val="006673C4"/>
    <w:pPr>
      <w:spacing w:after="120"/>
      <w:ind w:firstLine="210"/>
    </w:pPr>
  </w:style>
  <w:style w:type="character" w:customStyle="1" w:styleId="BodyTextFirstIndentChar">
    <w:name w:val="Body Text First Indent Char"/>
    <w:basedOn w:val="BodyTextChar"/>
    <w:link w:val="BodyTextFirstIndent"/>
    <w:rsid w:val="006673C4"/>
    <w:rPr>
      <w:lang w:eastAsia="en-US"/>
    </w:rPr>
  </w:style>
  <w:style w:type="paragraph" w:styleId="BodyTextFirstIndent2">
    <w:name w:val="Body Text First Indent 2"/>
    <w:basedOn w:val="BodyTextIndent"/>
    <w:link w:val="BodyTextFirstIndent2Char"/>
    <w:rsid w:val="006673C4"/>
    <w:pPr>
      <w:ind w:firstLine="210"/>
    </w:pPr>
  </w:style>
  <w:style w:type="character" w:customStyle="1" w:styleId="BodyTextFirstIndent2Char">
    <w:name w:val="Body Text First Indent 2 Char"/>
    <w:basedOn w:val="BodyTextIndentChar"/>
    <w:link w:val="BodyTextFirstIndent2"/>
    <w:rsid w:val="006673C4"/>
    <w:rPr>
      <w:lang w:eastAsia="en-US"/>
    </w:rPr>
  </w:style>
  <w:style w:type="paragraph" w:styleId="BodyTextIndent2">
    <w:name w:val="Body Text Indent 2"/>
    <w:basedOn w:val="Normal"/>
    <w:link w:val="BodyTextIndent2Char"/>
    <w:rsid w:val="006673C4"/>
    <w:pPr>
      <w:spacing w:after="120" w:line="480" w:lineRule="auto"/>
      <w:ind w:left="283"/>
    </w:pPr>
  </w:style>
  <w:style w:type="character" w:customStyle="1" w:styleId="BodyTextIndent2Char">
    <w:name w:val="Body Text Indent 2 Char"/>
    <w:basedOn w:val="DefaultParagraphFont"/>
    <w:link w:val="BodyTextIndent2"/>
    <w:rsid w:val="006673C4"/>
    <w:rPr>
      <w:lang w:eastAsia="en-US"/>
    </w:rPr>
  </w:style>
  <w:style w:type="paragraph" w:styleId="BodyTextIndent3">
    <w:name w:val="Body Text Indent 3"/>
    <w:basedOn w:val="Normal"/>
    <w:link w:val="BodyTextIndent3Char"/>
    <w:rsid w:val="006673C4"/>
    <w:pPr>
      <w:spacing w:after="120"/>
      <w:ind w:left="283"/>
    </w:pPr>
    <w:rPr>
      <w:sz w:val="16"/>
      <w:szCs w:val="16"/>
    </w:rPr>
  </w:style>
  <w:style w:type="character" w:customStyle="1" w:styleId="BodyTextIndent3Char">
    <w:name w:val="Body Text Indent 3 Char"/>
    <w:basedOn w:val="DefaultParagraphFont"/>
    <w:link w:val="BodyTextIndent3"/>
    <w:rsid w:val="006673C4"/>
    <w:rPr>
      <w:sz w:val="16"/>
      <w:szCs w:val="16"/>
      <w:lang w:eastAsia="en-US"/>
    </w:rPr>
  </w:style>
  <w:style w:type="paragraph" w:styleId="Closing">
    <w:name w:val="Closing"/>
    <w:basedOn w:val="Normal"/>
    <w:link w:val="ClosingChar"/>
    <w:rsid w:val="006673C4"/>
    <w:pPr>
      <w:ind w:left="4252"/>
    </w:pPr>
  </w:style>
  <w:style w:type="character" w:customStyle="1" w:styleId="ClosingChar">
    <w:name w:val="Closing Char"/>
    <w:basedOn w:val="DefaultParagraphFont"/>
    <w:link w:val="Closing"/>
    <w:rsid w:val="006673C4"/>
    <w:rPr>
      <w:lang w:eastAsia="en-US"/>
    </w:rPr>
  </w:style>
  <w:style w:type="paragraph" w:styleId="Date">
    <w:name w:val="Date"/>
    <w:basedOn w:val="Normal"/>
    <w:next w:val="Normal"/>
    <w:link w:val="DateChar"/>
    <w:rsid w:val="006673C4"/>
  </w:style>
  <w:style w:type="character" w:customStyle="1" w:styleId="DateChar">
    <w:name w:val="Date Char"/>
    <w:basedOn w:val="DefaultParagraphFont"/>
    <w:link w:val="Date"/>
    <w:rsid w:val="006673C4"/>
    <w:rPr>
      <w:lang w:eastAsia="en-US"/>
    </w:rPr>
  </w:style>
  <w:style w:type="paragraph" w:styleId="E-mailSignature">
    <w:name w:val="E-mail Signature"/>
    <w:basedOn w:val="Normal"/>
    <w:link w:val="E-mailSignatureChar"/>
    <w:rsid w:val="006673C4"/>
  </w:style>
  <w:style w:type="character" w:customStyle="1" w:styleId="E-mailSignatureChar">
    <w:name w:val="E-mail Signature Char"/>
    <w:basedOn w:val="DefaultParagraphFont"/>
    <w:link w:val="E-mailSignature"/>
    <w:rsid w:val="006673C4"/>
    <w:rPr>
      <w:lang w:eastAsia="en-US"/>
    </w:rPr>
  </w:style>
  <w:style w:type="character" w:styleId="Emphasis">
    <w:name w:val="Emphasis"/>
    <w:qFormat/>
    <w:rsid w:val="006673C4"/>
    <w:rPr>
      <w:i/>
      <w:iCs/>
    </w:rPr>
  </w:style>
  <w:style w:type="paragraph" w:styleId="EnvelopeReturn">
    <w:name w:val="envelope return"/>
    <w:basedOn w:val="Normal"/>
    <w:rsid w:val="006673C4"/>
    <w:rPr>
      <w:rFonts w:ascii="Arial" w:hAnsi="Arial" w:cs="Arial"/>
    </w:rPr>
  </w:style>
  <w:style w:type="character" w:styleId="HTMLAcronym">
    <w:name w:val="HTML Acronym"/>
    <w:basedOn w:val="DefaultParagraphFont"/>
    <w:rsid w:val="006673C4"/>
  </w:style>
  <w:style w:type="paragraph" w:styleId="HTMLAddress">
    <w:name w:val="HTML Address"/>
    <w:basedOn w:val="Normal"/>
    <w:link w:val="HTMLAddressChar"/>
    <w:rsid w:val="006673C4"/>
    <w:rPr>
      <w:i/>
      <w:iCs/>
    </w:rPr>
  </w:style>
  <w:style w:type="character" w:customStyle="1" w:styleId="HTMLAddressChar">
    <w:name w:val="HTML Address Char"/>
    <w:basedOn w:val="DefaultParagraphFont"/>
    <w:link w:val="HTMLAddress"/>
    <w:rsid w:val="006673C4"/>
    <w:rPr>
      <w:i/>
      <w:iCs/>
      <w:lang w:eastAsia="en-US"/>
    </w:rPr>
  </w:style>
  <w:style w:type="character" w:styleId="HTMLCite">
    <w:name w:val="HTML Cite"/>
    <w:rsid w:val="006673C4"/>
    <w:rPr>
      <w:i/>
      <w:iCs/>
    </w:rPr>
  </w:style>
  <w:style w:type="character" w:styleId="HTMLCode">
    <w:name w:val="HTML Code"/>
    <w:rsid w:val="006673C4"/>
    <w:rPr>
      <w:rFonts w:ascii="Courier New" w:hAnsi="Courier New" w:cs="Courier New"/>
      <w:sz w:val="20"/>
      <w:szCs w:val="20"/>
    </w:rPr>
  </w:style>
  <w:style w:type="character" w:styleId="HTMLDefinition">
    <w:name w:val="HTML Definition"/>
    <w:rsid w:val="006673C4"/>
    <w:rPr>
      <w:i/>
      <w:iCs/>
    </w:rPr>
  </w:style>
  <w:style w:type="character" w:styleId="HTMLKeyboard">
    <w:name w:val="HTML Keyboard"/>
    <w:rsid w:val="006673C4"/>
    <w:rPr>
      <w:rFonts w:ascii="Courier New" w:hAnsi="Courier New" w:cs="Courier New"/>
      <w:sz w:val="20"/>
      <w:szCs w:val="20"/>
    </w:rPr>
  </w:style>
  <w:style w:type="paragraph" w:styleId="HTMLPreformatted">
    <w:name w:val="HTML Preformatted"/>
    <w:basedOn w:val="Normal"/>
    <w:link w:val="HTMLPreformattedChar"/>
    <w:rsid w:val="006673C4"/>
    <w:rPr>
      <w:rFonts w:ascii="Courier New" w:hAnsi="Courier New" w:cs="Courier New"/>
    </w:rPr>
  </w:style>
  <w:style w:type="character" w:customStyle="1" w:styleId="HTMLPreformattedChar">
    <w:name w:val="HTML Preformatted Char"/>
    <w:basedOn w:val="DefaultParagraphFont"/>
    <w:link w:val="HTMLPreformatted"/>
    <w:rsid w:val="006673C4"/>
    <w:rPr>
      <w:rFonts w:ascii="Courier New" w:hAnsi="Courier New" w:cs="Courier New"/>
      <w:lang w:eastAsia="en-US"/>
    </w:rPr>
  </w:style>
  <w:style w:type="character" w:styleId="HTMLSample">
    <w:name w:val="HTML Sample"/>
    <w:rsid w:val="006673C4"/>
    <w:rPr>
      <w:rFonts w:ascii="Courier New" w:hAnsi="Courier New" w:cs="Courier New"/>
    </w:rPr>
  </w:style>
  <w:style w:type="character" w:styleId="HTMLTypewriter">
    <w:name w:val="HTML Typewriter"/>
    <w:rsid w:val="006673C4"/>
    <w:rPr>
      <w:rFonts w:ascii="Courier New" w:hAnsi="Courier New" w:cs="Courier New"/>
      <w:sz w:val="20"/>
      <w:szCs w:val="20"/>
    </w:rPr>
  </w:style>
  <w:style w:type="character" w:styleId="HTMLVariable">
    <w:name w:val="HTML Variable"/>
    <w:rsid w:val="006673C4"/>
    <w:rPr>
      <w:i/>
      <w:iCs/>
    </w:rPr>
  </w:style>
  <w:style w:type="paragraph" w:styleId="List">
    <w:name w:val="List"/>
    <w:basedOn w:val="Normal"/>
    <w:rsid w:val="006673C4"/>
    <w:pPr>
      <w:ind w:left="283" w:hanging="283"/>
    </w:pPr>
  </w:style>
  <w:style w:type="paragraph" w:styleId="List2">
    <w:name w:val="List 2"/>
    <w:basedOn w:val="Normal"/>
    <w:rsid w:val="006673C4"/>
    <w:pPr>
      <w:ind w:left="566" w:hanging="283"/>
    </w:pPr>
  </w:style>
  <w:style w:type="paragraph" w:styleId="List3">
    <w:name w:val="List 3"/>
    <w:basedOn w:val="Normal"/>
    <w:rsid w:val="006673C4"/>
    <w:pPr>
      <w:ind w:left="849" w:hanging="283"/>
    </w:pPr>
  </w:style>
  <w:style w:type="paragraph" w:styleId="List4">
    <w:name w:val="List 4"/>
    <w:basedOn w:val="Normal"/>
    <w:rsid w:val="006673C4"/>
    <w:pPr>
      <w:ind w:left="1132" w:hanging="283"/>
    </w:pPr>
  </w:style>
  <w:style w:type="paragraph" w:styleId="List5">
    <w:name w:val="List 5"/>
    <w:basedOn w:val="Normal"/>
    <w:rsid w:val="006673C4"/>
    <w:pPr>
      <w:ind w:left="1415" w:hanging="283"/>
    </w:pPr>
  </w:style>
  <w:style w:type="paragraph" w:styleId="ListBullet">
    <w:name w:val="List Bullet"/>
    <w:basedOn w:val="Normal"/>
    <w:rsid w:val="006673C4"/>
    <w:pPr>
      <w:tabs>
        <w:tab w:val="num" w:pos="360"/>
      </w:tabs>
      <w:ind w:left="360" w:hanging="360"/>
    </w:pPr>
  </w:style>
  <w:style w:type="paragraph" w:styleId="ListBullet2">
    <w:name w:val="List Bullet 2"/>
    <w:basedOn w:val="Normal"/>
    <w:rsid w:val="006673C4"/>
    <w:pPr>
      <w:tabs>
        <w:tab w:val="num" w:pos="643"/>
      </w:tabs>
      <w:ind w:left="643" w:hanging="360"/>
    </w:pPr>
  </w:style>
  <w:style w:type="paragraph" w:styleId="ListBullet3">
    <w:name w:val="List Bullet 3"/>
    <w:basedOn w:val="Normal"/>
    <w:rsid w:val="006673C4"/>
    <w:pPr>
      <w:tabs>
        <w:tab w:val="num" w:pos="926"/>
      </w:tabs>
      <w:ind w:left="926" w:hanging="360"/>
    </w:pPr>
  </w:style>
  <w:style w:type="paragraph" w:styleId="ListBullet4">
    <w:name w:val="List Bullet 4"/>
    <w:basedOn w:val="Normal"/>
    <w:rsid w:val="006673C4"/>
    <w:pPr>
      <w:tabs>
        <w:tab w:val="num" w:pos="1209"/>
      </w:tabs>
      <w:ind w:left="1209" w:hanging="360"/>
    </w:pPr>
  </w:style>
  <w:style w:type="paragraph" w:styleId="ListBullet5">
    <w:name w:val="List Bullet 5"/>
    <w:basedOn w:val="Normal"/>
    <w:rsid w:val="006673C4"/>
    <w:pPr>
      <w:tabs>
        <w:tab w:val="num" w:pos="1492"/>
      </w:tabs>
      <w:ind w:left="1492" w:hanging="360"/>
    </w:pPr>
  </w:style>
  <w:style w:type="paragraph" w:styleId="ListContinue">
    <w:name w:val="List Continue"/>
    <w:basedOn w:val="Normal"/>
    <w:rsid w:val="006673C4"/>
    <w:pPr>
      <w:spacing w:after="120"/>
      <w:ind w:left="283"/>
    </w:pPr>
  </w:style>
  <w:style w:type="paragraph" w:styleId="ListContinue2">
    <w:name w:val="List Continue 2"/>
    <w:basedOn w:val="Normal"/>
    <w:rsid w:val="006673C4"/>
    <w:pPr>
      <w:spacing w:after="120"/>
      <w:ind w:left="566"/>
    </w:pPr>
  </w:style>
  <w:style w:type="paragraph" w:styleId="ListContinue3">
    <w:name w:val="List Continue 3"/>
    <w:basedOn w:val="Normal"/>
    <w:rsid w:val="006673C4"/>
    <w:pPr>
      <w:spacing w:after="120"/>
      <w:ind w:left="849"/>
    </w:pPr>
  </w:style>
  <w:style w:type="paragraph" w:styleId="ListContinue4">
    <w:name w:val="List Continue 4"/>
    <w:basedOn w:val="Normal"/>
    <w:rsid w:val="006673C4"/>
    <w:pPr>
      <w:spacing w:after="120"/>
      <w:ind w:left="1132"/>
    </w:pPr>
  </w:style>
  <w:style w:type="paragraph" w:styleId="ListContinue5">
    <w:name w:val="List Continue 5"/>
    <w:basedOn w:val="Normal"/>
    <w:rsid w:val="006673C4"/>
    <w:pPr>
      <w:spacing w:after="120"/>
      <w:ind w:left="1415"/>
    </w:pPr>
  </w:style>
  <w:style w:type="paragraph" w:styleId="ListNumber">
    <w:name w:val="List Number"/>
    <w:basedOn w:val="Normal"/>
    <w:rsid w:val="006673C4"/>
    <w:pPr>
      <w:tabs>
        <w:tab w:val="num" w:pos="360"/>
      </w:tabs>
      <w:ind w:left="360" w:hanging="360"/>
    </w:pPr>
  </w:style>
  <w:style w:type="paragraph" w:styleId="ListNumber2">
    <w:name w:val="List Number 2"/>
    <w:basedOn w:val="Normal"/>
    <w:rsid w:val="006673C4"/>
    <w:pPr>
      <w:tabs>
        <w:tab w:val="num" w:pos="643"/>
      </w:tabs>
      <w:ind w:left="643" w:hanging="360"/>
    </w:pPr>
  </w:style>
  <w:style w:type="paragraph" w:styleId="ListNumber3">
    <w:name w:val="List Number 3"/>
    <w:basedOn w:val="Normal"/>
    <w:rsid w:val="006673C4"/>
    <w:pPr>
      <w:tabs>
        <w:tab w:val="num" w:pos="926"/>
      </w:tabs>
      <w:ind w:left="926" w:hanging="360"/>
    </w:pPr>
  </w:style>
  <w:style w:type="paragraph" w:styleId="ListNumber4">
    <w:name w:val="List Number 4"/>
    <w:basedOn w:val="Normal"/>
    <w:rsid w:val="006673C4"/>
    <w:pPr>
      <w:tabs>
        <w:tab w:val="num" w:pos="1209"/>
      </w:tabs>
      <w:ind w:left="1209" w:hanging="360"/>
    </w:pPr>
  </w:style>
  <w:style w:type="paragraph" w:styleId="ListNumber5">
    <w:name w:val="List Number 5"/>
    <w:basedOn w:val="Normal"/>
    <w:rsid w:val="006673C4"/>
    <w:pPr>
      <w:tabs>
        <w:tab w:val="num" w:pos="1492"/>
      </w:tabs>
      <w:ind w:left="1492" w:hanging="360"/>
    </w:pPr>
  </w:style>
  <w:style w:type="paragraph" w:styleId="MessageHeader">
    <w:name w:val="Message Header"/>
    <w:basedOn w:val="Normal"/>
    <w:link w:val="MessageHeaderChar"/>
    <w:rsid w:val="006673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673C4"/>
    <w:rPr>
      <w:rFonts w:ascii="Arial" w:hAnsi="Arial" w:cs="Arial"/>
      <w:sz w:val="24"/>
      <w:szCs w:val="24"/>
      <w:shd w:val="pct20" w:color="auto" w:fill="auto"/>
      <w:lang w:eastAsia="en-US"/>
    </w:rPr>
  </w:style>
  <w:style w:type="paragraph" w:styleId="NormalWeb">
    <w:name w:val="Normal (Web)"/>
    <w:basedOn w:val="Normal"/>
    <w:rsid w:val="006673C4"/>
    <w:rPr>
      <w:sz w:val="24"/>
      <w:szCs w:val="24"/>
    </w:rPr>
  </w:style>
  <w:style w:type="paragraph" w:styleId="NormalIndent">
    <w:name w:val="Normal Indent"/>
    <w:basedOn w:val="Normal"/>
    <w:rsid w:val="006673C4"/>
    <w:pPr>
      <w:ind w:left="567"/>
    </w:pPr>
  </w:style>
  <w:style w:type="paragraph" w:styleId="NoteHeading">
    <w:name w:val="Note Heading"/>
    <w:basedOn w:val="Normal"/>
    <w:next w:val="Normal"/>
    <w:link w:val="NoteHeadingChar"/>
    <w:rsid w:val="006673C4"/>
  </w:style>
  <w:style w:type="character" w:customStyle="1" w:styleId="NoteHeadingChar">
    <w:name w:val="Note Heading Char"/>
    <w:basedOn w:val="DefaultParagraphFont"/>
    <w:link w:val="NoteHeading"/>
    <w:rsid w:val="006673C4"/>
    <w:rPr>
      <w:lang w:eastAsia="en-US"/>
    </w:rPr>
  </w:style>
  <w:style w:type="paragraph" w:styleId="Salutation">
    <w:name w:val="Salutation"/>
    <w:basedOn w:val="Normal"/>
    <w:next w:val="Normal"/>
    <w:link w:val="SalutationChar"/>
    <w:rsid w:val="006673C4"/>
  </w:style>
  <w:style w:type="character" w:customStyle="1" w:styleId="SalutationChar">
    <w:name w:val="Salutation Char"/>
    <w:basedOn w:val="DefaultParagraphFont"/>
    <w:link w:val="Salutation"/>
    <w:rsid w:val="006673C4"/>
    <w:rPr>
      <w:lang w:eastAsia="en-US"/>
    </w:rPr>
  </w:style>
  <w:style w:type="paragraph" w:styleId="Signature">
    <w:name w:val="Signature"/>
    <w:basedOn w:val="Normal"/>
    <w:link w:val="SignatureChar"/>
    <w:rsid w:val="006673C4"/>
    <w:pPr>
      <w:ind w:left="4252"/>
    </w:pPr>
  </w:style>
  <w:style w:type="character" w:customStyle="1" w:styleId="SignatureChar">
    <w:name w:val="Signature Char"/>
    <w:basedOn w:val="DefaultParagraphFont"/>
    <w:link w:val="Signature"/>
    <w:rsid w:val="006673C4"/>
    <w:rPr>
      <w:lang w:eastAsia="en-US"/>
    </w:rPr>
  </w:style>
  <w:style w:type="character" w:styleId="Strong">
    <w:name w:val="Strong"/>
    <w:uiPriority w:val="22"/>
    <w:qFormat/>
    <w:rsid w:val="006673C4"/>
    <w:rPr>
      <w:b/>
      <w:bCs/>
    </w:rPr>
  </w:style>
  <w:style w:type="paragraph" w:styleId="Subtitle">
    <w:name w:val="Subtitle"/>
    <w:basedOn w:val="Normal"/>
    <w:link w:val="SubtitleChar"/>
    <w:qFormat/>
    <w:rsid w:val="006673C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673C4"/>
    <w:rPr>
      <w:rFonts w:ascii="Arial" w:hAnsi="Arial" w:cs="Arial"/>
      <w:sz w:val="24"/>
      <w:szCs w:val="24"/>
      <w:lang w:eastAsia="en-US"/>
    </w:rPr>
  </w:style>
  <w:style w:type="table" w:styleId="Table3Deffects1">
    <w:name w:val="Table 3D effects 1"/>
    <w:basedOn w:val="TableNormal"/>
    <w:rsid w:val="006673C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73C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73C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73C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73C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73C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73C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73C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73C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73C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73C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73C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73C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73C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73C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73C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73C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73C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73C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73C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73C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73C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73C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73C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73C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73C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73C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73C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73C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73C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73C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73C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73C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73C4"/>
    <w:rPr>
      <w:rFonts w:ascii="Arial" w:hAnsi="Arial" w:cs="Arial"/>
      <w:b/>
      <w:bCs/>
      <w:kern w:val="28"/>
      <w:sz w:val="32"/>
      <w:szCs w:val="32"/>
      <w:lang w:eastAsia="en-US"/>
    </w:rPr>
  </w:style>
  <w:style w:type="paragraph" w:styleId="EnvelopeAddress">
    <w:name w:val="envelope address"/>
    <w:basedOn w:val="Normal"/>
    <w:rsid w:val="006673C4"/>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6673C4"/>
    <w:rPr>
      <w:lang w:eastAsia="en-US"/>
    </w:rPr>
  </w:style>
  <w:style w:type="character" w:customStyle="1" w:styleId="Heading1Char">
    <w:name w:val="Heading 1 Char"/>
    <w:aliases w:val="Table_G Char"/>
    <w:basedOn w:val="DefaultParagraphFont"/>
    <w:link w:val="Heading1"/>
    <w:rsid w:val="009F38B6"/>
    <w:rPr>
      <w:lang w:eastAsia="en-US"/>
    </w:rPr>
  </w:style>
  <w:style w:type="character" w:customStyle="1" w:styleId="Heading2Char">
    <w:name w:val="Heading 2 Char"/>
    <w:basedOn w:val="DefaultParagraphFont"/>
    <w:link w:val="Heading2"/>
    <w:uiPriority w:val="99"/>
    <w:rsid w:val="009F38B6"/>
    <w:rPr>
      <w:lang w:eastAsia="en-US"/>
    </w:rPr>
  </w:style>
  <w:style w:type="character" w:customStyle="1" w:styleId="Heading3Char">
    <w:name w:val="Heading 3 Char"/>
    <w:basedOn w:val="DefaultParagraphFont"/>
    <w:link w:val="Heading3"/>
    <w:rsid w:val="009F38B6"/>
    <w:rPr>
      <w:lang w:eastAsia="en-US"/>
    </w:rPr>
  </w:style>
  <w:style w:type="character" w:customStyle="1" w:styleId="Heading4Char">
    <w:name w:val="Heading 4 Char"/>
    <w:basedOn w:val="DefaultParagraphFont"/>
    <w:link w:val="Heading4"/>
    <w:rsid w:val="009F38B6"/>
    <w:rPr>
      <w:lang w:eastAsia="en-US"/>
    </w:rPr>
  </w:style>
  <w:style w:type="character" w:customStyle="1" w:styleId="Heading5Char">
    <w:name w:val="Heading 5 Char"/>
    <w:basedOn w:val="DefaultParagraphFont"/>
    <w:link w:val="Heading5"/>
    <w:rsid w:val="009F38B6"/>
    <w:rPr>
      <w:lang w:eastAsia="en-US"/>
    </w:rPr>
  </w:style>
  <w:style w:type="character" w:customStyle="1" w:styleId="Heading6Char">
    <w:name w:val="Heading 6 Char"/>
    <w:basedOn w:val="DefaultParagraphFont"/>
    <w:link w:val="Heading6"/>
    <w:rsid w:val="009F38B6"/>
    <w:rPr>
      <w:lang w:eastAsia="en-US"/>
    </w:rPr>
  </w:style>
  <w:style w:type="character" w:customStyle="1" w:styleId="Heading7Char">
    <w:name w:val="Heading 7 Char"/>
    <w:basedOn w:val="DefaultParagraphFont"/>
    <w:link w:val="Heading7"/>
    <w:rsid w:val="009F38B6"/>
    <w:rPr>
      <w:lang w:eastAsia="en-US"/>
    </w:rPr>
  </w:style>
  <w:style w:type="character" w:customStyle="1" w:styleId="Heading8Char">
    <w:name w:val="Heading 8 Char"/>
    <w:basedOn w:val="DefaultParagraphFont"/>
    <w:link w:val="Heading8"/>
    <w:rsid w:val="009F38B6"/>
    <w:rPr>
      <w:lang w:eastAsia="en-US"/>
    </w:rPr>
  </w:style>
  <w:style w:type="character" w:customStyle="1" w:styleId="Heading9Char">
    <w:name w:val="Heading 9 Char"/>
    <w:basedOn w:val="DefaultParagraphFont"/>
    <w:link w:val="Heading9"/>
    <w:rsid w:val="009F38B6"/>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9F38B6"/>
    <w:rPr>
      <w:sz w:val="18"/>
      <w:lang w:eastAsia="en-US"/>
    </w:rPr>
  </w:style>
  <w:style w:type="character" w:customStyle="1" w:styleId="EndnoteTextChar">
    <w:name w:val="Endnote Text Char"/>
    <w:aliases w:val="2_G Char"/>
    <w:basedOn w:val="DefaultParagraphFont"/>
    <w:link w:val="EndnoteText"/>
    <w:rsid w:val="009F38B6"/>
    <w:rPr>
      <w:sz w:val="18"/>
      <w:lang w:eastAsia="en-US"/>
    </w:rPr>
  </w:style>
  <w:style w:type="numbering" w:customStyle="1" w:styleId="1111111">
    <w:name w:val="1 / 1.1 / 1.1.11"/>
    <w:basedOn w:val="NoList"/>
    <w:next w:val="111111"/>
    <w:semiHidden/>
    <w:rsid w:val="009F38B6"/>
    <w:pPr>
      <w:numPr>
        <w:numId w:val="2"/>
      </w:numPr>
    </w:pPr>
  </w:style>
  <w:style w:type="numbering" w:customStyle="1" w:styleId="1ai1">
    <w:name w:val="1 / a / i1"/>
    <w:basedOn w:val="NoList"/>
    <w:next w:val="1ai"/>
    <w:semiHidden/>
    <w:rsid w:val="009F38B6"/>
    <w:pPr>
      <w:numPr>
        <w:numId w:val="3"/>
      </w:numPr>
    </w:pPr>
  </w:style>
  <w:style w:type="numbering" w:customStyle="1" w:styleId="ArticleSection1">
    <w:name w:val="Article / Section1"/>
    <w:basedOn w:val="NoList"/>
    <w:next w:val="ArticleSection"/>
    <w:semiHidden/>
    <w:rsid w:val="009F38B6"/>
    <w:pPr>
      <w:numPr>
        <w:numId w:val="4"/>
      </w:numPr>
    </w:pPr>
  </w:style>
  <w:style w:type="character" w:customStyle="1" w:styleId="FooterChar">
    <w:name w:val="Footer Char"/>
    <w:aliases w:val="3_G Char"/>
    <w:basedOn w:val="DefaultParagraphFont"/>
    <w:link w:val="Footer"/>
    <w:uiPriority w:val="99"/>
    <w:rsid w:val="009F38B6"/>
    <w:rPr>
      <w:sz w:val="16"/>
      <w:lang w:eastAsia="en-US"/>
    </w:rPr>
  </w:style>
  <w:style w:type="character" w:customStyle="1" w:styleId="HeaderChar">
    <w:name w:val="Header Char"/>
    <w:aliases w:val="6_G Char"/>
    <w:basedOn w:val="DefaultParagraphFont"/>
    <w:link w:val="Header"/>
    <w:uiPriority w:val="99"/>
    <w:rsid w:val="009F38B6"/>
    <w:rPr>
      <w:b/>
      <w:sz w:val="18"/>
      <w:lang w:eastAsia="en-US"/>
    </w:rPr>
  </w:style>
  <w:style w:type="paragraph" w:styleId="ListParagraph">
    <w:name w:val="List Paragraph"/>
    <w:basedOn w:val="Normal"/>
    <w:uiPriority w:val="34"/>
    <w:qFormat/>
    <w:rsid w:val="009F38B6"/>
    <w:pPr>
      <w:suppressAutoHyphens w:val="0"/>
      <w:spacing w:after="200" w:line="276" w:lineRule="auto"/>
      <w:ind w:left="720"/>
      <w:contextualSpacing/>
    </w:pPr>
    <w:rPr>
      <w:rFonts w:ascii="Calibri" w:eastAsia="Calibri" w:hAnsi="Calibri"/>
      <w:sz w:val="22"/>
      <w:szCs w:val="22"/>
      <w:lang w:val="nl-BE"/>
    </w:rPr>
  </w:style>
  <w:style w:type="paragraph" w:customStyle="1" w:styleId="Default">
    <w:name w:val="Default"/>
    <w:rsid w:val="009F38B6"/>
    <w:pPr>
      <w:autoSpaceDE w:val="0"/>
      <w:autoSpaceDN w:val="0"/>
      <w:adjustRightInd w:val="0"/>
    </w:pPr>
    <w:rPr>
      <w:color w:val="000000"/>
      <w:sz w:val="24"/>
      <w:szCs w:val="24"/>
    </w:rPr>
  </w:style>
  <w:style w:type="character" w:customStyle="1" w:styleId="ng-binding">
    <w:name w:val="ng-binding"/>
    <w:rsid w:val="009F38B6"/>
  </w:style>
  <w:style w:type="character" w:customStyle="1" w:styleId="highlight">
    <w:name w:val="highlight"/>
    <w:rsid w:val="009F38B6"/>
  </w:style>
  <w:style w:type="paragraph" w:customStyle="1" w:styleId="Part">
    <w:name w:val="Part"/>
    <w:basedOn w:val="Normal"/>
    <w:uiPriority w:val="99"/>
    <w:rsid w:val="009F38B6"/>
    <w:pPr>
      <w:keepNext/>
      <w:suppressAutoHyphens w:val="0"/>
      <w:spacing w:before="100" w:beforeAutospacing="1" w:after="100" w:afterAutospacing="1" w:line="240" w:lineRule="auto"/>
    </w:pPr>
    <w:rPr>
      <w:b/>
      <w:smallCaps/>
      <w:sz w:val="40"/>
      <w:szCs w:val="24"/>
    </w:rPr>
  </w:style>
  <w:style w:type="paragraph" w:customStyle="1" w:styleId="Question">
    <w:name w:val="Question"/>
    <w:basedOn w:val="Normal"/>
    <w:next w:val="Normal"/>
    <w:uiPriority w:val="99"/>
    <w:rsid w:val="009F38B6"/>
    <w:pPr>
      <w:numPr>
        <w:numId w:val="11"/>
      </w:numPr>
      <w:tabs>
        <w:tab w:val="left" w:pos="868"/>
      </w:tabs>
      <w:suppressAutoHyphens w:val="0"/>
      <w:spacing w:before="120" w:after="120" w:line="240" w:lineRule="auto"/>
    </w:pPr>
    <w:rPr>
      <w:i/>
      <w:sz w:val="24"/>
      <w:szCs w:val="24"/>
    </w:rPr>
  </w:style>
  <w:style w:type="paragraph" w:customStyle="1" w:styleId="Sub-part">
    <w:name w:val="Sub-part"/>
    <w:basedOn w:val="Normal"/>
    <w:next w:val="Normal"/>
    <w:uiPriority w:val="99"/>
    <w:rsid w:val="009F38B6"/>
    <w:pPr>
      <w:keepNext/>
      <w:suppressAutoHyphens w:val="0"/>
      <w:spacing w:before="100" w:beforeAutospacing="1" w:after="100" w:afterAutospacing="1" w:line="240" w:lineRule="auto"/>
      <w:ind w:left="357"/>
    </w:pPr>
    <w:rPr>
      <w:smallCaps/>
      <w:sz w:val="24"/>
      <w:szCs w:val="24"/>
    </w:rPr>
  </w:style>
  <w:style w:type="paragraph" w:customStyle="1" w:styleId="Tyyli1">
    <w:name w:val="Tyyli1"/>
    <w:basedOn w:val="Question"/>
    <w:next w:val="ListNumber"/>
    <w:rsid w:val="009F38B6"/>
  </w:style>
  <w:style w:type="paragraph" w:customStyle="1" w:styleId="ListParagraph1">
    <w:name w:val="List Paragraph1"/>
    <w:basedOn w:val="Normal"/>
    <w:qFormat/>
    <w:rsid w:val="009F38B6"/>
    <w:pPr>
      <w:suppressAutoHyphens w:val="0"/>
      <w:spacing w:after="200" w:line="276" w:lineRule="auto"/>
      <w:ind w:left="720"/>
      <w:contextualSpacing/>
    </w:pPr>
    <w:rPr>
      <w:rFonts w:ascii="Calibri" w:eastAsia="Calibri" w:hAnsi="Calibri"/>
      <w:sz w:val="22"/>
      <w:szCs w:val="22"/>
      <w:lang w:val="sk-SK"/>
    </w:rPr>
  </w:style>
  <w:style w:type="character" w:customStyle="1" w:styleId="SingleTxtGChar">
    <w:name w:val="_ Single Txt_G Char"/>
    <w:link w:val="SingleTxtG"/>
    <w:rsid w:val="009F38B6"/>
    <w:rPr>
      <w:lang w:eastAsia="en-US"/>
    </w:rPr>
  </w:style>
  <w:style w:type="character" w:customStyle="1" w:styleId="Odkaznakomentr1">
    <w:name w:val="Odkaz na komentár1"/>
    <w:uiPriority w:val="99"/>
    <w:rsid w:val="009F38B6"/>
    <w:rPr>
      <w:sz w:val="16"/>
    </w:rPr>
  </w:style>
  <w:style w:type="paragraph" w:customStyle="1" w:styleId="meetingdate">
    <w:name w:val="meetingdate"/>
    <w:basedOn w:val="Normal"/>
    <w:rsid w:val="009F38B6"/>
    <w:pPr>
      <w:suppressAutoHyphens w:val="0"/>
      <w:spacing w:before="100" w:beforeAutospacing="1" w:after="100" w:afterAutospacing="1" w:line="240" w:lineRule="auto"/>
    </w:pPr>
    <w:rPr>
      <w:sz w:val="24"/>
      <w:szCs w:val="24"/>
      <w:lang w:eastAsia="en-GB"/>
    </w:rPr>
  </w:style>
  <w:style w:type="character" w:customStyle="1" w:styleId="apple-tab-span">
    <w:name w:val="apple-tab-span"/>
    <w:basedOn w:val="DefaultParagraphFont"/>
    <w:rsid w:val="00D02BC1"/>
  </w:style>
  <w:style w:type="character" w:customStyle="1" w:styleId="UnresolvedMention1">
    <w:name w:val="Unresolved Mention1"/>
    <w:basedOn w:val="DefaultParagraphFont"/>
    <w:uiPriority w:val="99"/>
    <w:semiHidden/>
    <w:unhideWhenUsed/>
    <w:rsid w:val="004554CD"/>
    <w:rPr>
      <w:color w:val="808080"/>
      <w:shd w:val="clear" w:color="auto" w:fill="E6E6E6"/>
    </w:rPr>
  </w:style>
  <w:style w:type="character" w:customStyle="1" w:styleId="UnresolvedMention2">
    <w:name w:val="Unresolved Mention2"/>
    <w:basedOn w:val="DefaultParagraphFont"/>
    <w:uiPriority w:val="99"/>
    <w:semiHidden/>
    <w:unhideWhenUsed/>
    <w:rsid w:val="004E5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622">
      <w:bodyDiv w:val="1"/>
      <w:marLeft w:val="0"/>
      <w:marRight w:val="0"/>
      <w:marTop w:val="0"/>
      <w:marBottom w:val="0"/>
      <w:divBdr>
        <w:top w:val="none" w:sz="0" w:space="0" w:color="auto"/>
        <w:left w:val="none" w:sz="0" w:space="0" w:color="auto"/>
        <w:bottom w:val="none" w:sz="0" w:space="0" w:color="auto"/>
        <w:right w:val="none" w:sz="0" w:space="0" w:color="auto"/>
      </w:divBdr>
    </w:div>
    <w:div w:id="77989315">
      <w:bodyDiv w:val="1"/>
      <w:marLeft w:val="0"/>
      <w:marRight w:val="0"/>
      <w:marTop w:val="0"/>
      <w:marBottom w:val="0"/>
      <w:divBdr>
        <w:top w:val="none" w:sz="0" w:space="0" w:color="auto"/>
        <w:left w:val="none" w:sz="0" w:space="0" w:color="auto"/>
        <w:bottom w:val="none" w:sz="0" w:space="0" w:color="auto"/>
        <w:right w:val="none" w:sz="0" w:space="0" w:color="auto"/>
      </w:divBdr>
      <w:divsChild>
        <w:div w:id="402261434">
          <w:marLeft w:val="547"/>
          <w:marRight w:val="0"/>
          <w:marTop w:val="115"/>
          <w:marBottom w:val="0"/>
          <w:divBdr>
            <w:top w:val="none" w:sz="0" w:space="0" w:color="auto"/>
            <w:left w:val="none" w:sz="0" w:space="0" w:color="auto"/>
            <w:bottom w:val="none" w:sz="0" w:space="0" w:color="auto"/>
            <w:right w:val="none" w:sz="0" w:space="0" w:color="auto"/>
          </w:divBdr>
        </w:div>
        <w:div w:id="1885479378">
          <w:marLeft w:val="547"/>
          <w:marRight w:val="0"/>
          <w:marTop w:val="115"/>
          <w:marBottom w:val="0"/>
          <w:divBdr>
            <w:top w:val="none" w:sz="0" w:space="0" w:color="auto"/>
            <w:left w:val="none" w:sz="0" w:space="0" w:color="auto"/>
            <w:bottom w:val="none" w:sz="0" w:space="0" w:color="auto"/>
            <w:right w:val="none" w:sz="0" w:space="0" w:color="auto"/>
          </w:divBdr>
        </w:div>
      </w:divsChild>
    </w:div>
    <w:div w:id="107507520">
      <w:bodyDiv w:val="1"/>
      <w:marLeft w:val="0"/>
      <w:marRight w:val="0"/>
      <w:marTop w:val="0"/>
      <w:marBottom w:val="0"/>
      <w:divBdr>
        <w:top w:val="none" w:sz="0" w:space="0" w:color="auto"/>
        <w:left w:val="none" w:sz="0" w:space="0" w:color="auto"/>
        <w:bottom w:val="none" w:sz="0" w:space="0" w:color="auto"/>
        <w:right w:val="none" w:sz="0" w:space="0" w:color="auto"/>
      </w:divBdr>
      <w:divsChild>
        <w:div w:id="1149326729">
          <w:marLeft w:val="547"/>
          <w:marRight w:val="0"/>
          <w:marTop w:val="96"/>
          <w:marBottom w:val="0"/>
          <w:divBdr>
            <w:top w:val="none" w:sz="0" w:space="0" w:color="auto"/>
            <w:left w:val="none" w:sz="0" w:space="0" w:color="auto"/>
            <w:bottom w:val="none" w:sz="0" w:space="0" w:color="auto"/>
            <w:right w:val="none" w:sz="0" w:space="0" w:color="auto"/>
          </w:divBdr>
        </w:div>
      </w:divsChild>
    </w:div>
    <w:div w:id="116263125">
      <w:bodyDiv w:val="1"/>
      <w:marLeft w:val="0"/>
      <w:marRight w:val="0"/>
      <w:marTop w:val="0"/>
      <w:marBottom w:val="0"/>
      <w:divBdr>
        <w:top w:val="none" w:sz="0" w:space="0" w:color="auto"/>
        <w:left w:val="none" w:sz="0" w:space="0" w:color="auto"/>
        <w:bottom w:val="none" w:sz="0" w:space="0" w:color="auto"/>
        <w:right w:val="none" w:sz="0" w:space="0" w:color="auto"/>
      </w:divBdr>
    </w:div>
    <w:div w:id="140318732">
      <w:bodyDiv w:val="1"/>
      <w:marLeft w:val="0"/>
      <w:marRight w:val="0"/>
      <w:marTop w:val="0"/>
      <w:marBottom w:val="0"/>
      <w:divBdr>
        <w:top w:val="none" w:sz="0" w:space="0" w:color="auto"/>
        <w:left w:val="none" w:sz="0" w:space="0" w:color="auto"/>
        <w:bottom w:val="none" w:sz="0" w:space="0" w:color="auto"/>
        <w:right w:val="none" w:sz="0" w:space="0" w:color="auto"/>
      </w:divBdr>
      <w:divsChild>
        <w:div w:id="1248492247">
          <w:marLeft w:val="547"/>
          <w:marRight w:val="0"/>
          <w:marTop w:val="115"/>
          <w:marBottom w:val="0"/>
          <w:divBdr>
            <w:top w:val="none" w:sz="0" w:space="0" w:color="auto"/>
            <w:left w:val="none" w:sz="0" w:space="0" w:color="auto"/>
            <w:bottom w:val="none" w:sz="0" w:space="0" w:color="auto"/>
            <w:right w:val="none" w:sz="0" w:space="0" w:color="auto"/>
          </w:divBdr>
        </w:div>
        <w:div w:id="268241675">
          <w:marLeft w:val="547"/>
          <w:marRight w:val="0"/>
          <w:marTop w:val="115"/>
          <w:marBottom w:val="0"/>
          <w:divBdr>
            <w:top w:val="none" w:sz="0" w:space="0" w:color="auto"/>
            <w:left w:val="none" w:sz="0" w:space="0" w:color="auto"/>
            <w:bottom w:val="none" w:sz="0" w:space="0" w:color="auto"/>
            <w:right w:val="none" w:sz="0" w:space="0" w:color="auto"/>
          </w:divBdr>
        </w:div>
        <w:div w:id="1802378866">
          <w:marLeft w:val="547"/>
          <w:marRight w:val="0"/>
          <w:marTop w:val="115"/>
          <w:marBottom w:val="0"/>
          <w:divBdr>
            <w:top w:val="none" w:sz="0" w:space="0" w:color="auto"/>
            <w:left w:val="none" w:sz="0" w:space="0" w:color="auto"/>
            <w:bottom w:val="none" w:sz="0" w:space="0" w:color="auto"/>
            <w:right w:val="none" w:sz="0" w:space="0" w:color="auto"/>
          </w:divBdr>
        </w:div>
      </w:divsChild>
    </w:div>
    <w:div w:id="159808905">
      <w:bodyDiv w:val="1"/>
      <w:marLeft w:val="0"/>
      <w:marRight w:val="0"/>
      <w:marTop w:val="0"/>
      <w:marBottom w:val="0"/>
      <w:divBdr>
        <w:top w:val="none" w:sz="0" w:space="0" w:color="auto"/>
        <w:left w:val="none" w:sz="0" w:space="0" w:color="auto"/>
        <w:bottom w:val="none" w:sz="0" w:space="0" w:color="auto"/>
        <w:right w:val="none" w:sz="0" w:space="0" w:color="auto"/>
      </w:divBdr>
      <w:divsChild>
        <w:div w:id="766970380">
          <w:marLeft w:val="547"/>
          <w:marRight w:val="0"/>
          <w:marTop w:val="96"/>
          <w:marBottom w:val="0"/>
          <w:divBdr>
            <w:top w:val="none" w:sz="0" w:space="0" w:color="auto"/>
            <w:left w:val="none" w:sz="0" w:space="0" w:color="auto"/>
            <w:bottom w:val="none" w:sz="0" w:space="0" w:color="auto"/>
            <w:right w:val="none" w:sz="0" w:space="0" w:color="auto"/>
          </w:divBdr>
        </w:div>
      </w:divsChild>
    </w:div>
    <w:div w:id="174076961">
      <w:bodyDiv w:val="1"/>
      <w:marLeft w:val="0"/>
      <w:marRight w:val="0"/>
      <w:marTop w:val="0"/>
      <w:marBottom w:val="0"/>
      <w:divBdr>
        <w:top w:val="none" w:sz="0" w:space="0" w:color="auto"/>
        <w:left w:val="none" w:sz="0" w:space="0" w:color="auto"/>
        <w:bottom w:val="none" w:sz="0" w:space="0" w:color="auto"/>
        <w:right w:val="none" w:sz="0" w:space="0" w:color="auto"/>
      </w:divBdr>
      <w:divsChild>
        <w:div w:id="1653412270">
          <w:marLeft w:val="0"/>
          <w:marRight w:val="0"/>
          <w:marTop w:val="0"/>
          <w:marBottom w:val="0"/>
          <w:divBdr>
            <w:top w:val="none" w:sz="0" w:space="0" w:color="auto"/>
            <w:left w:val="none" w:sz="0" w:space="0" w:color="auto"/>
            <w:bottom w:val="none" w:sz="0" w:space="0" w:color="auto"/>
            <w:right w:val="none" w:sz="0" w:space="0" w:color="auto"/>
          </w:divBdr>
        </w:div>
        <w:div w:id="1549417820">
          <w:marLeft w:val="0"/>
          <w:marRight w:val="0"/>
          <w:marTop w:val="0"/>
          <w:marBottom w:val="0"/>
          <w:divBdr>
            <w:top w:val="none" w:sz="0" w:space="0" w:color="auto"/>
            <w:left w:val="none" w:sz="0" w:space="0" w:color="auto"/>
            <w:bottom w:val="none" w:sz="0" w:space="0" w:color="auto"/>
            <w:right w:val="none" w:sz="0" w:space="0" w:color="auto"/>
          </w:divBdr>
        </w:div>
        <w:div w:id="527257463">
          <w:marLeft w:val="0"/>
          <w:marRight w:val="0"/>
          <w:marTop w:val="0"/>
          <w:marBottom w:val="0"/>
          <w:divBdr>
            <w:top w:val="none" w:sz="0" w:space="0" w:color="auto"/>
            <w:left w:val="none" w:sz="0" w:space="0" w:color="auto"/>
            <w:bottom w:val="none" w:sz="0" w:space="0" w:color="auto"/>
            <w:right w:val="none" w:sz="0" w:space="0" w:color="auto"/>
          </w:divBdr>
        </w:div>
        <w:div w:id="873074392">
          <w:marLeft w:val="0"/>
          <w:marRight w:val="0"/>
          <w:marTop w:val="0"/>
          <w:marBottom w:val="0"/>
          <w:divBdr>
            <w:top w:val="none" w:sz="0" w:space="0" w:color="auto"/>
            <w:left w:val="none" w:sz="0" w:space="0" w:color="auto"/>
            <w:bottom w:val="none" w:sz="0" w:space="0" w:color="auto"/>
            <w:right w:val="none" w:sz="0" w:space="0" w:color="auto"/>
          </w:divBdr>
        </w:div>
      </w:divsChild>
    </w:div>
    <w:div w:id="211355080">
      <w:bodyDiv w:val="1"/>
      <w:marLeft w:val="0"/>
      <w:marRight w:val="0"/>
      <w:marTop w:val="0"/>
      <w:marBottom w:val="0"/>
      <w:divBdr>
        <w:top w:val="none" w:sz="0" w:space="0" w:color="auto"/>
        <w:left w:val="none" w:sz="0" w:space="0" w:color="auto"/>
        <w:bottom w:val="none" w:sz="0" w:space="0" w:color="auto"/>
        <w:right w:val="none" w:sz="0" w:space="0" w:color="auto"/>
      </w:divBdr>
      <w:divsChild>
        <w:div w:id="1093167992">
          <w:marLeft w:val="547"/>
          <w:marRight w:val="0"/>
          <w:marTop w:val="115"/>
          <w:marBottom w:val="0"/>
          <w:divBdr>
            <w:top w:val="none" w:sz="0" w:space="0" w:color="auto"/>
            <w:left w:val="none" w:sz="0" w:space="0" w:color="auto"/>
            <w:bottom w:val="none" w:sz="0" w:space="0" w:color="auto"/>
            <w:right w:val="none" w:sz="0" w:space="0" w:color="auto"/>
          </w:divBdr>
        </w:div>
        <w:div w:id="1132863024">
          <w:marLeft w:val="547"/>
          <w:marRight w:val="0"/>
          <w:marTop w:val="115"/>
          <w:marBottom w:val="0"/>
          <w:divBdr>
            <w:top w:val="none" w:sz="0" w:space="0" w:color="auto"/>
            <w:left w:val="none" w:sz="0" w:space="0" w:color="auto"/>
            <w:bottom w:val="none" w:sz="0" w:space="0" w:color="auto"/>
            <w:right w:val="none" w:sz="0" w:space="0" w:color="auto"/>
          </w:divBdr>
        </w:div>
        <w:div w:id="595601941">
          <w:marLeft w:val="547"/>
          <w:marRight w:val="0"/>
          <w:marTop w:val="115"/>
          <w:marBottom w:val="0"/>
          <w:divBdr>
            <w:top w:val="none" w:sz="0" w:space="0" w:color="auto"/>
            <w:left w:val="none" w:sz="0" w:space="0" w:color="auto"/>
            <w:bottom w:val="none" w:sz="0" w:space="0" w:color="auto"/>
            <w:right w:val="none" w:sz="0" w:space="0" w:color="auto"/>
          </w:divBdr>
        </w:div>
        <w:div w:id="1612973073">
          <w:marLeft w:val="547"/>
          <w:marRight w:val="0"/>
          <w:marTop w:val="115"/>
          <w:marBottom w:val="0"/>
          <w:divBdr>
            <w:top w:val="none" w:sz="0" w:space="0" w:color="auto"/>
            <w:left w:val="none" w:sz="0" w:space="0" w:color="auto"/>
            <w:bottom w:val="none" w:sz="0" w:space="0" w:color="auto"/>
            <w:right w:val="none" w:sz="0" w:space="0" w:color="auto"/>
          </w:divBdr>
        </w:div>
      </w:divsChild>
    </w:div>
    <w:div w:id="248464099">
      <w:bodyDiv w:val="1"/>
      <w:marLeft w:val="0"/>
      <w:marRight w:val="0"/>
      <w:marTop w:val="0"/>
      <w:marBottom w:val="0"/>
      <w:divBdr>
        <w:top w:val="none" w:sz="0" w:space="0" w:color="auto"/>
        <w:left w:val="none" w:sz="0" w:space="0" w:color="auto"/>
        <w:bottom w:val="none" w:sz="0" w:space="0" w:color="auto"/>
        <w:right w:val="none" w:sz="0" w:space="0" w:color="auto"/>
      </w:divBdr>
      <w:divsChild>
        <w:div w:id="1857501060">
          <w:marLeft w:val="547"/>
          <w:marRight w:val="0"/>
          <w:marTop w:val="115"/>
          <w:marBottom w:val="0"/>
          <w:divBdr>
            <w:top w:val="none" w:sz="0" w:space="0" w:color="auto"/>
            <w:left w:val="none" w:sz="0" w:space="0" w:color="auto"/>
            <w:bottom w:val="none" w:sz="0" w:space="0" w:color="auto"/>
            <w:right w:val="none" w:sz="0" w:space="0" w:color="auto"/>
          </w:divBdr>
        </w:div>
        <w:div w:id="605388326">
          <w:marLeft w:val="1166"/>
          <w:marRight w:val="0"/>
          <w:marTop w:val="106"/>
          <w:marBottom w:val="0"/>
          <w:divBdr>
            <w:top w:val="none" w:sz="0" w:space="0" w:color="auto"/>
            <w:left w:val="none" w:sz="0" w:space="0" w:color="auto"/>
            <w:bottom w:val="none" w:sz="0" w:space="0" w:color="auto"/>
            <w:right w:val="none" w:sz="0" w:space="0" w:color="auto"/>
          </w:divBdr>
        </w:div>
        <w:div w:id="1316956440">
          <w:marLeft w:val="1166"/>
          <w:marRight w:val="0"/>
          <w:marTop w:val="106"/>
          <w:marBottom w:val="0"/>
          <w:divBdr>
            <w:top w:val="none" w:sz="0" w:space="0" w:color="auto"/>
            <w:left w:val="none" w:sz="0" w:space="0" w:color="auto"/>
            <w:bottom w:val="none" w:sz="0" w:space="0" w:color="auto"/>
            <w:right w:val="none" w:sz="0" w:space="0" w:color="auto"/>
          </w:divBdr>
        </w:div>
      </w:divsChild>
    </w:div>
    <w:div w:id="300044210">
      <w:bodyDiv w:val="1"/>
      <w:marLeft w:val="0"/>
      <w:marRight w:val="0"/>
      <w:marTop w:val="0"/>
      <w:marBottom w:val="0"/>
      <w:divBdr>
        <w:top w:val="none" w:sz="0" w:space="0" w:color="auto"/>
        <w:left w:val="none" w:sz="0" w:space="0" w:color="auto"/>
        <w:bottom w:val="none" w:sz="0" w:space="0" w:color="auto"/>
        <w:right w:val="none" w:sz="0" w:space="0" w:color="auto"/>
      </w:divBdr>
      <w:divsChild>
        <w:div w:id="1462268487">
          <w:marLeft w:val="547"/>
          <w:marRight w:val="0"/>
          <w:marTop w:val="86"/>
          <w:marBottom w:val="0"/>
          <w:divBdr>
            <w:top w:val="none" w:sz="0" w:space="0" w:color="auto"/>
            <w:left w:val="none" w:sz="0" w:space="0" w:color="auto"/>
            <w:bottom w:val="none" w:sz="0" w:space="0" w:color="auto"/>
            <w:right w:val="none" w:sz="0" w:space="0" w:color="auto"/>
          </w:divBdr>
        </w:div>
        <w:div w:id="473986855">
          <w:marLeft w:val="547"/>
          <w:marRight w:val="0"/>
          <w:marTop w:val="86"/>
          <w:marBottom w:val="0"/>
          <w:divBdr>
            <w:top w:val="none" w:sz="0" w:space="0" w:color="auto"/>
            <w:left w:val="none" w:sz="0" w:space="0" w:color="auto"/>
            <w:bottom w:val="none" w:sz="0" w:space="0" w:color="auto"/>
            <w:right w:val="none" w:sz="0" w:space="0" w:color="auto"/>
          </w:divBdr>
        </w:div>
        <w:div w:id="1571113105">
          <w:marLeft w:val="547"/>
          <w:marRight w:val="0"/>
          <w:marTop w:val="86"/>
          <w:marBottom w:val="0"/>
          <w:divBdr>
            <w:top w:val="none" w:sz="0" w:space="0" w:color="auto"/>
            <w:left w:val="none" w:sz="0" w:space="0" w:color="auto"/>
            <w:bottom w:val="none" w:sz="0" w:space="0" w:color="auto"/>
            <w:right w:val="none" w:sz="0" w:space="0" w:color="auto"/>
          </w:divBdr>
        </w:div>
      </w:divsChild>
    </w:div>
    <w:div w:id="308218559">
      <w:bodyDiv w:val="1"/>
      <w:marLeft w:val="0"/>
      <w:marRight w:val="0"/>
      <w:marTop w:val="0"/>
      <w:marBottom w:val="0"/>
      <w:divBdr>
        <w:top w:val="none" w:sz="0" w:space="0" w:color="auto"/>
        <w:left w:val="none" w:sz="0" w:space="0" w:color="auto"/>
        <w:bottom w:val="none" w:sz="0" w:space="0" w:color="auto"/>
        <w:right w:val="none" w:sz="0" w:space="0" w:color="auto"/>
      </w:divBdr>
    </w:div>
    <w:div w:id="346718081">
      <w:bodyDiv w:val="1"/>
      <w:marLeft w:val="0"/>
      <w:marRight w:val="0"/>
      <w:marTop w:val="0"/>
      <w:marBottom w:val="0"/>
      <w:divBdr>
        <w:top w:val="none" w:sz="0" w:space="0" w:color="auto"/>
        <w:left w:val="none" w:sz="0" w:space="0" w:color="auto"/>
        <w:bottom w:val="none" w:sz="0" w:space="0" w:color="auto"/>
        <w:right w:val="none" w:sz="0" w:space="0" w:color="auto"/>
      </w:divBdr>
      <w:divsChild>
        <w:div w:id="1912544499">
          <w:marLeft w:val="547"/>
          <w:marRight w:val="0"/>
          <w:marTop w:val="96"/>
          <w:marBottom w:val="0"/>
          <w:divBdr>
            <w:top w:val="none" w:sz="0" w:space="0" w:color="auto"/>
            <w:left w:val="none" w:sz="0" w:space="0" w:color="auto"/>
            <w:bottom w:val="none" w:sz="0" w:space="0" w:color="auto"/>
            <w:right w:val="none" w:sz="0" w:space="0" w:color="auto"/>
          </w:divBdr>
        </w:div>
        <w:div w:id="547767020">
          <w:marLeft w:val="547"/>
          <w:marRight w:val="0"/>
          <w:marTop w:val="96"/>
          <w:marBottom w:val="0"/>
          <w:divBdr>
            <w:top w:val="none" w:sz="0" w:space="0" w:color="auto"/>
            <w:left w:val="none" w:sz="0" w:space="0" w:color="auto"/>
            <w:bottom w:val="none" w:sz="0" w:space="0" w:color="auto"/>
            <w:right w:val="none" w:sz="0" w:space="0" w:color="auto"/>
          </w:divBdr>
        </w:div>
        <w:div w:id="1059598315">
          <w:marLeft w:val="547"/>
          <w:marRight w:val="0"/>
          <w:marTop w:val="96"/>
          <w:marBottom w:val="0"/>
          <w:divBdr>
            <w:top w:val="none" w:sz="0" w:space="0" w:color="auto"/>
            <w:left w:val="none" w:sz="0" w:space="0" w:color="auto"/>
            <w:bottom w:val="none" w:sz="0" w:space="0" w:color="auto"/>
            <w:right w:val="none" w:sz="0" w:space="0" w:color="auto"/>
          </w:divBdr>
        </w:div>
        <w:div w:id="1871215933">
          <w:marLeft w:val="547"/>
          <w:marRight w:val="0"/>
          <w:marTop w:val="96"/>
          <w:marBottom w:val="0"/>
          <w:divBdr>
            <w:top w:val="none" w:sz="0" w:space="0" w:color="auto"/>
            <w:left w:val="none" w:sz="0" w:space="0" w:color="auto"/>
            <w:bottom w:val="none" w:sz="0" w:space="0" w:color="auto"/>
            <w:right w:val="none" w:sz="0" w:space="0" w:color="auto"/>
          </w:divBdr>
        </w:div>
        <w:div w:id="1739671217">
          <w:marLeft w:val="547"/>
          <w:marRight w:val="0"/>
          <w:marTop w:val="96"/>
          <w:marBottom w:val="0"/>
          <w:divBdr>
            <w:top w:val="none" w:sz="0" w:space="0" w:color="auto"/>
            <w:left w:val="none" w:sz="0" w:space="0" w:color="auto"/>
            <w:bottom w:val="none" w:sz="0" w:space="0" w:color="auto"/>
            <w:right w:val="none" w:sz="0" w:space="0" w:color="auto"/>
          </w:divBdr>
        </w:div>
      </w:divsChild>
    </w:div>
    <w:div w:id="361177048">
      <w:bodyDiv w:val="1"/>
      <w:marLeft w:val="0"/>
      <w:marRight w:val="0"/>
      <w:marTop w:val="0"/>
      <w:marBottom w:val="0"/>
      <w:divBdr>
        <w:top w:val="none" w:sz="0" w:space="0" w:color="auto"/>
        <w:left w:val="none" w:sz="0" w:space="0" w:color="auto"/>
        <w:bottom w:val="none" w:sz="0" w:space="0" w:color="auto"/>
        <w:right w:val="none" w:sz="0" w:space="0" w:color="auto"/>
      </w:divBdr>
      <w:divsChild>
        <w:div w:id="406730239">
          <w:marLeft w:val="547"/>
          <w:marRight w:val="0"/>
          <w:marTop w:val="115"/>
          <w:marBottom w:val="0"/>
          <w:divBdr>
            <w:top w:val="none" w:sz="0" w:space="0" w:color="auto"/>
            <w:left w:val="none" w:sz="0" w:space="0" w:color="auto"/>
            <w:bottom w:val="none" w:sz="0" w:space="0" w:color="auto"/>
            <w:right w:val="none" w:sz="0" w:space="0" w:color="auto"/>
          </w:divBdr>
        </w:div>
      </w:divsChild>
    </w:div>
    <w:div w:id="411858419">
      <w:bodyDiv w:val="1"/>
      <w:marLeft w:val="0"/>
      <w:marRight w:val="0"/>
      <w:marTop w:val="0"/>
      <w:marBottom w:val="0"/>
      <w:divBdr>
        <w:top w:val="none" w:sz="0" w:space="0" w:color="auto"/>
        <w:left w:val="none" w:sz="0" w:space="0" w:color="auto"/>
        <w:bottom w:val="none" w:sz="0" w:space="0" w:color="auto"/>
        <w:right w:val="none" w:sz="0" w:space="0" w:color="auto"/>
      </w:divBdr>
      <w:divsChild>
        <w:div w:id="1420711333">
          <w:marLeft w:val="547"/>
          <w:marRight w:val="0"/>
          <w:marTop w:val="115"/>
          <w:marBottom w:val="0"/>
          <w:divBdr>
            <w:top w:val="none" w:sz="0" w:space="0" w:color="auto"/>
            <w:left w:val="none" w:sz="0" w:space="0" w:color="auto"/>
            <w:bottom w:val="none" w:sz="0" w:space="0" w:color="auto"/>
            <w:right w:val="none" w:sz="0" w:space="0" w:color="auto"/>
          </w:divBdr>
        </w:div>
        <w:div w:id="301616270">
          <w:marLeft w:val="547"/>
          <w:marRight w:val="0"/>
          <w:marTop w:val="115"/>
          <w:marBottom w:val="0"/>
          <w:divBdr>
            <w:top w:val="none" w:sz="0" w:space="0" w:color="auto"/>
            <w:left w:val="none" w:sz="0" w:space="0" w:color="auto"/>
            <w:bottom w:val="none" w:sz="0" w:space="0" w:color="auto"/>
            <w:right w:val="none" w:sz="0" w:space="0" w:color="auto"/>
          </w:divBdr>
        </w:div>
        <w:div w:id="803082259">
          <w:marLeft w:val="547"/>
          <w:marRight w:val="0"/>
          <w:marTop w:val="115"/>
          <w:marBottom w:val="0"/>
          <w:divBdr>
            <w:top w:val="none" w:sz="0" w:space="0" w:color="auto"/>
            <w:left w:val="none" w:sz="0" w:space="0" w:color="auto"/>
            <w:bottom w:val="none" w:sz="0" w:space="0" w:color="auto"/>
            <w:right w:val="none" w:sz="0" w:space="0" w:color="auto"/>
          </w:divBdr>
        </w:div>
        <w:div w:id="694235240">
          <w:marLeft w:val="547"/>
          <w:marRight w:val="0"/>
          <w:marTop w:val="115"/>
          <w:marBottom w:val="0"/>
          <w:divBdr>
            <w:top w:val="none" w:sz="0" w:space="0" w:color="auto"/>
            <w:left w:val="none" w:sz="0" w:space="0" w:color="auto"/>
            <w:bottom w:val="none" w:sz="0" w:space="0" w:color="auto"/>
            <w:right w:val="none" w:sz="0" w:space="0" w:color="auto"/>
          </w:divBdr>
        </w:div>
        <w:div w:id="147482018">
          <w:marLeft w:val="547"/>
          <w:marRight w:val="0"/>
          <w:marTop w:val="115"/>
          <w:marBottom w:val="0"/>
          <w:divBdr>
            <w:top w:val="none" w:sz="0" w:space="0" w:color="auto"/>
            <w:left w:val="none" w:sz="0" w:space="0" w:color="auto"/>
            <w:bottom w:val="none" w:sz="0" w:space="0" w:color="auto"/>
            <w:right w:val="none" w:sz="0" w:space="0" w:color="auto"/>
          </w:divBdr>
        </w:div>
      </w:divsChild>
    </w:div>
    <w:div w:id="445082261">
      <w:bodyDiv w:val="1"/>
      <w:marLeft w:val="0"/>
      <w:marRight w:val="0"/>
      <w:marTop w:val="0"/>
      <w:marBottom w:val="0"/>
      <w:divBdr>
        <w:top w:val="none" w:sz="0" w:space="0" w:color="auto"/>
        <w:left w:val="none" w:sz="0" w:space="0" w:color="auto"/>
        <w:bottom w:val="none" w:sz="0" w:space="0" w:color="auto"/>
        <w:right w:val="none" w:sz="0" w:space="0" w:color="auto"/>
      </w:divBdr>
      <w:divsChild>
        <w:div w:id="1223367452">
          <w:marLeft w:val="547"/>
          <w:marRight w:val="0"/>
          <w:marTop w:val="115"/>
          <w:marBottom w:val="0"/>
          <w:divBdr>
            <w:top w:val="none" w:sz="0" w:space="0" w:color="auto"/>
            <w:left w:val="none" w:sz="0" w:space="0" w:color="auto"/>
            <w:bottom w:val="none" w:sz="0" w:space="0" w:color="auto"/>
            <w:right w:val="none" w:sz="0" w:space="0" w:color="auto"/>
          </w:divBdr>
        </w:div>
        <w:div w:id="651642071">
          <w:marLeft w:val="547"/>
          <w:marRight w:val="0"/>
          <w:marTop w:val="115"/>
          <w:marBottom w:val="0"/>
          <w:divBdr>
            <w:top w:val="none" w:sz="0" w:space="0" w:color="auto"/>
            <w:left w:val="none" w:sz="0" w:space="0" w:color="auto"/>
            <w:bottom w:val="none" w:sz="0" w:space="0" w:color="auto"/>
            <w:right w:val="none" w:sz="0" w:space="0" w:color="auto"/>
          </w:divBdr>
        </w:div>
      </w:divsChild>
    </w:div>
    <w:div w:id="610168150">
      <w:bodyDiv w:val="1"/>
      <w:marLeft w:val="0"/>
      <w:marRight w:val="0"/>
      <w:marTop w:val="0"/>
      <w:marBottom w:val="0"/>
      <w:divBdr>
        <w:top w:val="none" w:sz="0" w:space="0" w:color="auto"/>
        <w:left w:val="none" w:sz="0" w:space="0" w:color="auto"/>
        <w:bottom w:val="none" w:sz="0" w:space="0" w:color="auto"/>
        <w:right w:val="none" w:sz="0" w:space="0" w:color="auto"/>
      </w:divBdr>
      <w:divsChild>
        <w:div w:id="1595212289">
          <w:marLeft w:val="547"/>
          <w:marRight w:val="0"/>
          <w:marTop w:val="96"/>
          <w:marBottom w:val="0"/>
          <w:divBdr>
            <w:top w:val="none" w:sz="0" w:space="0" w:color="auto"/>
            <w:left w:val="none" w:sz="0" w:space="0" w:color="auto"/>
            <w:bottom w:val="none" w:sz="0" w:space="0" w:color="auto"/>
            <w:right w:val="none" w:sz="0" w:space="0" w:color="auto"/>
          </w:divBdr>
        </w:div>
        <w:div w:id="1265724416">
          <w:marLeft w:val="547"/>
          <w:marRight w:val="0"/>
          <w:marTop w:val="96"/>
          <w:marBottom w:val="0"/>
          <w:divBdr>
            <w:top w:val="none" w:sz="0" w:space="0" w:color="auto"/>
            <w:left w:val="none" w:sz="0" w:space="0" w:color="auto"/>
            <w:bottom w:val="none" w:sz="0" w:space="0" w:color="auto"/>
            <w:right w:val="none" w:sz="0" w:space="0" w:color="auto"/>
          </w:divBdr>
        </w:div>
        <w:div w:id="951010116">
          <w:marLeft w:val="547"/>
          <w:marRight w:val="0"/>
          <w:marTop w:val="96"/>
          <w:marBottom w:val="0"/>
          <w:divBdr>
            <w:top w:val="none" w:sz="0" w:space="0" w:color="auto"/>
            <w:left w:val="none" w:sz="0" w:space="0" w:color="auto"/>
            <w:bottom w:val="none" w:sz="0" w:space="0" w:color="auto"/>
            <w:right w:val="none" w:sz="0" w:space="0" w:color="auto"/>
          </w:divBdr>
        </w:div>
      </w:divsChild>
    </w:div>
    <w:div w:id="676076055">
      <w:bodyDiv w:val="1"/>
      <w:marLeft w:val="0"/>
      <w:marRight w:val="0"/>
      <w:marTop w:val="0"/>
      <w:marBottom w:val="0"/>
      <w:divBdr>
        <w:top w:val="none" w:sz="0" w:space="0" w:color="auto"/>
        <w:left w:val="none" w:sz="0" w:space="0" w:color="auto"/>
        <w:bottom w:val="none" w:sz="0" w:space="0" w:color="auto"/>
        <w:right w:val="none" w:sz="0" w:space="0" w:color="auto"/>
      </w:divBdr>
      <w:divsChild>
        <w:div w:id="1453284831">
          <w:marLeft w:val="0"/>
          <w:marRight w:val="0"/>
          <w:marTop w:val="0"/>
          <w:marBottom w:val="0"/>
          <w:divBdr>
            <w:top w:val="none" w:sz="0" w:space="0" w:color="auto"/>
            <w:left w:val="none" w:sz="0" w:space="0" w:color="auto"/>
            <w:bottom w:val="none" w:sz="0" w:space="0" w:color="auto"/>
            <w:right w:val="none" w:sz="0" w:space="0" w:color="auto"/>
          </w:divBdr>
        </w:div>
        <w:div w:id="1364789493">
          <w:marLeft w:val="0"/>
          <w:marRight w:val="0"/>
          <w:marTop w:val="0"/>
          <w:marBottom w:val="0"/>
          <w:divBdr>
            <w:top w:val="none" w:sz="0" w:space="0" w:color="auto"/>
            <w:left w:val="none" w:sz="0" w:space="0" w:color="auto"/>
            <w:bottom w:val="none" w:sz="0" w:space="0" w:color="auto"/>
            <w:right w:val="none" w:sz="0" w:space="0" w:color="auto"/>
          </w:divBdr>
        </w:div>
        <w:div w:id="645863258">
          <w:marLeft w:val="0"/>
          <w:marRight w:val="0"/>
          <w:marTop w:val="0"/>
          <w:marBottom w:val="0"/>
          <w:divBdr>
            <w:top w:val="none" w:sz="0" w:space="0" w:color="auto"/>
            <w:left w:val="none" w:sz="0" w:space="0" w:color="auto"/>
            <w:bottom w:val="none" w:sz="0" w:space="0" w:color="auto"/>
            <w:right w:val="none" w:sz="0" w:space="0" w:color="auto"/>
          </w:divBdr>
        </w:div>
        <w:div w:id="1413116450">
          <w:marLeft w:val="0"/>
          <w:marRight w:val="0"/>
          <w:marTop w:val="0"/>
          <w:marBottom w:val="0"/>
          <w:divBdr>
            <w:top w:val="none" w:sz="0" w:space="0" w:color="auto"/>
            <w:left w:val="none" w:sz="0" w:space="0" w:color="auto"/>
            <w:bottom w:val="none" w:sz="0" w:space="0" w:color="auto"/>
            <w:right w:val="none" w:sz="0" w:space="0" w:color="auto"/>
          </w:divBdr>
        </w:div>
      </w:divsChild>
    </w:div>
    <w:div w:id="677199305">
      <w:bodyDiv w:val="1"/>
      <w:marLeft w:val="0"/>
      <w:marRight w:val="0"/>
      <w:marTop w:val="0"/>
      <w:marBottom w:val="0"/>
      <w:divBdr>
        <w:top w:val="none" w:sz="0" w:space="0" w:color="auto"/>
        <w:left w:val="none" w:sz="0" w:space="0" w:color="auto"/>
        <w:bottom w:val="none" w:sz="0" w:space="0" w:color="auto"/>
        <w:right w:val="none" w:sz="0" w:space="0" w:color="auto"/>
      </w:divBdr>
      <w:divsChild>
        <w:div w:id="1334454372">
          <w:marLeft w:val="547"/>
          <w:marRight w:val="0"/>
          <w:marTop w:val="96"/>
          <w:marBottom w:val="0"/>
          <w:divBdr>
            <w:top w:val="none" w:sz="0" w:space="0" w:color="auto"/>
            <w:left w:val="none" w:sz="0" w:space="0" w:color="auto"/>
            <w:bottom w:val="none" w:sz="0" w:space="0" w:color="auto"/>
            <w:right w:val="none" w:sz="0" w:space="0" w:color="auto"/>
          </w:divBdr>
        </w:div>
      </w:divsChild>
    </w:div>
    <w:div w:id="681858693">
      <w:bodyDiv w:val="1"/>
      <w:marLeft w:val="0"/>
      <w:marRight w:val="0"/>
      <w:marTop w:val="0"/>
      <w:marBottom w:val="0"/>
      <w:divBdr>
        <w:top w:val="none" w:sz="0" w:space="0" w:color="auto"/>
        <w:left w:val="none" w:sz="0" w:space="0" w:color="auto"/>
        <w:bottom w:val="none" w:sz="0" w:space="0" w:color="auto"/>
        <w:right w:val="none" w:sz="0" w:space="0" w:color="auto"/>
      </w:divBdr>
      <w:divsChild>
        <w:div w:id="1078406913">
          <w:marLeft w:val="547"/>
          <w:marRight w:val="0"/>
          <w:marTop w:val="96"/>
          <w:marBottom w:val="0"/>
          <w:divBdr>
            <w:top w:val="none" w:sz="0" w:space="0" w:color="auto"/>
            <w:left w:val="none" w:sz="0" w:space="0" w:color="auto"/>
            <w:bottom w:val="none" w:sz="0" w:space="0" w:color="auto"/>
            <w:right w:val="none" w:sz="0" w:space="0" w:color="auto"/>
          </w:divBdr>
        </w:div>
        <w:div w:id="148644464">
          <w:marLeft w:val="547"/>
          <w:marRight w:val="0"/>
          <w:marTop w:val="96"/>
          <w:marBottom w:val="0"/>
          <w:divBdr>
            <w:top w:val="none" w:sz="0" w:space="0" w:color="auto"/>
            <w:left w:val="none" w:sz="0" w:space="0" w:color="auto"/>
            <w:bottom w:val="none" w:sz="0" w:space="0" w:color="auto"/>
            <w:right w:val="none" w:sz="0" w:space="0" w:color="auto"/>
          </w:divBdr>
        </w:div>
      </w:divsChild>
    </w:div>
    <w:div w:id="694038974">
      <w:bodyDiv w:val="1"/>
      <w:marLeft w:val="0"/>
      <w:marRight w:val="0"/>
      <w:marTop w:val="0"/>
      <w:marBottom w:val="0"/>
      <w:divBdr>
        <w:top w:val="none" w:sz="0" w:space="0" w:color="auto"/>
        <w:left w:val="none" w:sz="0" w:space="0" w:color="auto"/>
        <w:bottom w:val="none" w:sz="0" w:space="0" w:color="auto"/>
        <w:right w:val="none" w:sz="0" w:space="0" w:color="auto"/>
      </w:divBdr>
      <w:divsChild>
        <w:div w:id="1548175805">
          <w:marLeft w:val="0"/>
          <w:marRight w:val="0"/>
          <w:marTop w:val="115"/>
          <w:marBottom w:val="0"/>
          <w:divBdr>
            <w:top w:val="none" w:sz="0" w:space="0" w:color="auto"/>
            <w:left w:val="none" w:sz="0" w:space="0" w:color="auto"/>
            <w:bottom w:val="none" w:sz="0" w:space="0" w:color="auto"/>
            <w:right w:val="none" w:sz="0" w:space="0" w:color="auto"/>
          </w:divBdr>
        </w:div>
        <w:div w:id="146479703">
          <w:marLeft w:val="0"/>
          <w:marRight w:val="0"/>
          <w:marTop w:val="115"/>
          <w:marBottom w:val="0"/>
          <w:divBdr>
            <w:top w:val="none" w:sz="0" w:space="0" w:color="auto"/>
            <w:left w:val="none" w:sz="0" w:space="0" w:color="auto"/>
            <w:bottom w:val="none" w:sz="0" w:space="0" w:color="auto"/>
            <w:right w:val="none" w:sz="0" w:space="0" w:color="auto"/>
          </w:divBdr>
        </w:div>
        <w:div w:id="2063090257">
          <w:marLeft w:val="0"/>
          <w:marRight w:val="0"/>
          <w:marTop w:val="115"/>
          <w:marBottom w:val="0"/>
          <w:divBdr>
            <w:top w:val="none" w:sz="0" w:space="0" w:color="auto"/>
            <w:left w:val="none" w:sz="0" w:space="0" w:color="auto"/>
            <w:bottom w:val="none" w:sz="0" w:space="0" w:color="auto"/>
            <w:right w:val="none" w:sz="0" w:space="0" w:color="auto"/>
          </w:divBdr>
        </w:div>
      </w:divsChild>
    </w:div>
    <w:div w:id="710495949">
      <w:bodyDiv w:val="1"/>
      <w:marLeft w:val="0"/>
      <w:marRight w:val="0"/>
      <w:marTop w:val="0"/>
      <w:marBottom w:val="0"/>
      <w:divBdr>
        <w:top w:val="none" w:sz="0" w:space="0" w:color="auto"/>
        <w:left w:val="none" w:sz="0" w:space="0" w:color="auto"/>
        <w:bottom w:val="none" w:sz="0" w:space="0" w:color="auto"/>
        <w:right w:val="none" w:sz="0" w:space="0" w:color="auto"/>
      </w:divBdr>
    </w:div>
    <w:div w:id="750542993">
      <w:bodyDiv w:val="1"/>
      <w:marLeft w:val="0"/>
      <w:marRight w:val="0"/>
      <w:marTop w:val="0"/>
      <w:marBottom w:val="0"/>
      <w:divBdr>
        <w:top w:val="none" w:sz="0" w:space="0" w:color="auto"/>
        <w:left w:val="none" w:sz="0" w:space="0" w:color="auto"/>
        <w:bottom w:val="none" w:sz="0" w:space="0" w:color="auto"/>
        <w:right w:val="none" w:sz="0" w:space="0" w:color="auto"/>
      </w:divBdr>
      <w:divsChild>
        <w:div w:id="932543768">
          <w:marLeft w:val="547"/>
          <w:marRight w:val="0"/>
          <w:marTop w:val="115"/>
          <w:marBottom w:val="0"/>
          <w:divBdr>
            <w:top w:val="none" w:sz="0" w:space="0" w:color="auto"/>
            <w:left w:val="none" w:sz="0" w:space="0" w:color="auto"/>
            <w:bottom w:val="none" w:sz="0" w:space="0" w:color="auto"/>
            <w:right w:val="none" w:sz="0" w:space="0" w:color="auto"/>
          </w:divBdr>
        </w:div>
        <w:div w:id="632447102">
          <w:marLeft w:val="547"/>
          <w:marRight w:val="0"/>
          <w:marTop w:val="115"/>
          <w:marBottom w:val="0"/>
          <w:divBdr>
            <w:top w:val="none" w:sz="0" w:space="0" w:color="auto"/>
            <w:left w:val="none" w:sz="0" w:space="0" w:color="auto"/>
            <w:bottom w:val="none" w:sz="0" w:space="0" w:color="auto"/>
            <w:right w:val="none" w:sz="0" w:space="0" w:color="auto"/>
          </w:divBdr>
        </w:div>
        <w:div w:id="881478632">
          <w:marLeft w:val="547"/>
          <w:marRight w:val="0"/>
          <w:marTop w:val="115"/>
          <w:marBottom w:val="0"/>
          <w:divBdr>
            <w:top w:val="none" w:sz="0" w:space="0" w:color="auto"/>
            <w:left w:val="none" w:sz="0" w:space="0" w:color="auto"/>
            <w:bottom w:val="none" w:sz="0" w:space="0" w:color="auto"/>
            <w:right w:val="none" w:sz="0" w:space="0" w:color="auto"/>
          </w:divBdr>
        </w:div>
      </w:divsChild>
    </w:div>
    <w:div w:id="808518151">
      <w:bodyDiv w:val="1"/>
      <w:marLeft w:val="0"/>
      <w:marRight w:val="0"/>
      <w:marTop w:val="0"/>
      <w:marBottom w:val="0"/>
      <w:divBdr>
        <w:top w:val="none" w:sz="0" w:space="0" w:color="auto"/>
        <w:left w:val="none" w:sz="0" w:space="0" w:color="auto"/>
        <w:bottom w:val="none" w:sz="0" w:space="0" w:color="auto"/>
        <w:right w:val="none" w:sz="0" w:space="0" w:color="auto"/>
      </w:divBdr>
      <w:divsChild>
        <w:div w:id="698435910">
          <w:marLeft w:val="547"/>
          <w:marRight w:val="0"/>
          <w:marTop w:val="96"/>
          <w:marBottom w:val="0"/>
          <w:divBdr>
            <w:top w:val="none" w:sz="0" w:space="0" w:color="auto"/>
            <w:left w:val="none" w:sz="0" w:space="0" w:color="auto"/>
            <w:bottom w:val="none" w:sz="0" w:space="0" w:color="auto"/>
            <w:right w:val="none" w:sz="0" w:space="0" w:color="auto"/>
          </w:divBdr>
        </w:div>
        <w:div w:id="762411043">
          <w:marLeft w:val="547"/>
          <w:marRight w:val="0"/>
          <w:marTop w:val="96"/>
          <w:marBottom w:val="0"/>
          <w:divBdr>
            <w:top w:val="none" w:sz="0" w:space="0" w:color="auto"/>
            <w:left w:val="none" w:sz="0" w:space="0" w:color="auto"/>
            <w:bottom w:val="none" w:sz="0" w:space="0" w:color="auto"/>
            <w:right w:val="none" w:sz="0" w:space="0" w:color="auto"/>
          </w:divBdr>
        </w:div>
        <w:div w:id="441531548">
          <w:marLeft w:val="547"/>
          <w:marRight w:val="0"/>
          <w:marTop w:val="96"/>
          <w:marBottom w:val="0"/>
          <w:divBdr>
            <w:top w:val="none" w:sz="0" w:space="0" w:color="auto"/>
            <w:left w:val="none" w:sz="0" w:space="0" w:color="auto"/>
            <w:bottom w:val="none" w:sz="0" w:space="0" w:color="auto"/>
            <w:right w:val="none" w:sz="0" w:space="0" w:color="auto"/>
          </w:divBdr>
        </w:div>
        <w:div w:id="1587349221">
          <w:marLeft w:val="547"/>
          <w:marRight w:val="0"/>
          <w:marTop w:val="96"/>
          <w:marBottom w:val="0"/>
          <w:divBdr>
            <w:top w:val="none" w:sz="0" w:space="0" w:color="auto"/>
            <w:left w:val="none" w:sz="0" w:space="0" w:color="auto"/>
            <w:bottom w:val="none" w:sz="0" w:space="0" w:color="auto"/>
            <w:right w:val="none" w:sz="0" w:space="0" w:color="auto"/>
          </w:divBdr>
        </w:div>
        <w:div w:id="945039447">
          <w:marLeft w:val="547"/>
          <w:marRight w:val="0"/>
          <w:marTop w:val="96"/>
          <w:marBottom w:val="0"/>
          <w:divBdr>
            <w:top w:val="none" w:sz="0" w:space="0" w:color="auto"/>
            <w:left w:val="none" w:sz="0" w:space="0" w:color="auto"/>
            <w:bottom w:val="none" w:sz="0" w:space="0" w:color="auto"/>
            <w:right w:val="none" w:sz="0" w:space="0" w:color="auto"/>
          </w:divBdr>
        </w:div>
      </w:divsChild>
    </w:div>
    <w:div w:id="838354316">
      <w:bodyDiv w:val="1"/>
      <w:marLeft w:val="0"/>
      <w:marRight w:val="0"/>
      <w:marTop w:val="0"/>
      <w:marBottom w:val="0"/>
      <w:divBdr>
        <w:top w:val="none" w:sz="0" w:space="0" w:color="auto"/>
        <w:left w:val="none" w:sz="0" w:space="0" w:color="auto"/>
        <w:bottom w:val="none" w:sz="0" w:space="0" w:color="auto"/>
        <w:right w:val="none" w:sz="0" w:space="0" w:color="auto"/>
      </w:divBdr>
    </w:div>
    <w:div w:id="857739574">
      <w:bodyDiv w:val="1"/>
      <w:marLeft w:val="0"/>
      <w:marRight w:val="0"/>
      <w:marTop w:val="0"/>
      <w:marBottom w:val="0"/>
      <w:divBdr>
        <w:top w:val="none" w:sz="0" w:space="0" w:color="auto"/>
        <w:left w:val="none" w:sz="0" w:space="0" w:color="auto"/>
        <w:bottom w:val="none" w:sz="0" w:space="0" w:color="auto"/>
        <w:right w:val="none" w:sz="0" w:space="0" w:color="auto"/>
      </w:divBdr>
      <w:divsChild>
        <w:div w:id="265577212">
          <w:marLeft w:val="547"/>
          <w:marRight w:val="0"/>
          <w:marTop w:val="96"/>
          <w:marBottom w:val="0"/>
          <w:divBdr>
            <w:top w:val="none" w:sz="0" w:space="0" w:color="auto"/>
            <w:left w:val="none" w:sz="0" w:space="0" w:color="auto"/>
            <w:bottom w:val="none" w:sz="0" w:space="0" w:color="auto"/>
            <w:right w:val="none" w:sz="0" w:space="0" w:color="auto"/>
          </w:divBdr>
        </w:div>
        <w:div w:id="29577476">
          <w:marLeft w:val="547"/>
          <w:marRight w:val="0"/>
          <w:marTop w:val="96"/>
          <w:marBottom w:val="0"/>
          <w:divBdr>
            <w:top w:val="none" w:sz="0" w:space="0" w:color="auto"/>
            <w:left w:val="none" w:sz="0" w:space="0" w:color="auto"/>
            <w:bottom w:val="none" w:sz="0" w:space="0" w:color="auto"/>
            <w:right w:val="none" w:sz="0" w:space="0" w:color="auto"/>
          </w:divBdr>
        </w:div>
        <w:div w:id="1770466394">
          <w:marLeft w:val="547"/>
          <w:marRight w:val="0"/>
          <w:marTop w:val="96"/>
          <w:marBottom w:val="0"/>
          <w:divBdr>
            <w:top w:val="none" w:sz="0" w:space="0" w:color="auto"/>
            <w:left w:val="none" w:sz="0" w:space="0" w:color="auto"/>
            <w:bottom w:val="none" w:sz="0" w:space="0" w:color="auto"/>
            <w:right w:val="none" w:sz="0" w:space="0" w:color="auto"/>
          </w:divBdr>
        </w:div>
        <w:div w:id="915092962">
          <w:marLeft w:val="547"/>
          <w:marRight w:val="0"/>
          <w:marTop w:val="96"/>
          <w:marBottom w:val="0"/>
          <w:divBdr>
            <w:top w:val="none" w:sz="0" w:space="0" w:color="auto"/>
            <w:left w:val="none" w:sz="0" w:space="0" w:color="auto"/>
            <w:bottom w:val="none" w:sz="0" w:space="0" w:color="auto"/>
            <w:right w:val="none" w:sz="0" w:space="0" w:color="auto"/>
          </w:divBdr>
        </w:div>
      </w:divsChild>
    </w:div>
    <w:div w:id="863248861">
      <w:bodyDiv w:val="1"/>
      <w:marLeft w:val="0"/>
      <w:marRight w:val="0"/>
      <w:marTop w:val="0"/>
      <w:marBottom w:val="0"/>
      <w:divBdr>
        <w:top w:val="none" w:sz="0" w:space="0" w:color="auto"/>
        <w:left w:val="none" w:sz="0" w:space="0" w:color="auto"/>
        <w:bottom w:val="none" w:sz="0" w:space="0" w:color="auto"/>
        <w:right w:val="none" w:sz="0" w:space="0" w:color="auto"/>
      </w:divBdr>
      <w:divsChild>
        <w:div w:id="57093651">
          <w:marLeft w:val="547"/>
          <w:marRight w:val="0"/>
          <w:marTop w:val="96"/>
          <w:marBottom w:val="0"/>
          <w:divBdr>
            <w:top w:val="none" w:sz="0" w:space="0" w:color="auto"/>
            <w:left w:val="none" w:sz="0" w:space="0" w:color="auto"/>
            <w:bottom w:val="none" w:sz="0" w:space="0" w:color="auto"/>
            <w:right w:val="none" w:sz="0" w:space="0" w:color="auto"/>
          </w:divBdr>
        </w:div>
      </w:divsChild>
    </w:div>
    <w:div w:id="882712942">
      <w:bodyDiv w:val="1"/>
      <w:marLeft w:val="0"/>
      <w:marRight w:val="0"/>
      <w:marTop w:val="0"/>
      <w:marBottom w:val="0"/>
      <w:divBdr>
        <w:top w:val="none" w:sz="0" w:space="0" w:color="auto"/>
        <w:left w:val="none" w:sz="0" w:space="0" w:color="auto"/>
        <w:bottom w:val="none" w:sz="0" w:space="0" w:color="auto"/>
        <w:right w:val="none" w:sz="0" w:space="0" w:color="auto"/>
      </w:divBdr>
      <w:divsChild>
        <w:div w:id="1213227889">
          <w:marLeft w:val="0"/>
          <w:marRight w:val="0"/>
          <w:marTop w:val="0"/>
          <w:marBottom w:val="0"/>
          <w:divBdr>
            <w:top w:val="none" w:sz="0" w:space="0" w:color="auto"/>
            <w:left w:val="none" w:sz="0" w:space="0" w:color="auto"/>
            <w:bottom w:val="none" w:sz="0" w:space="0" w:color="auto"/>
            <w:right w:val="none" w:sz="0" w:space="0" w:color="auto"/>
          </w:divBdr>
        </w:div>
        <w:div w:id="441926839">
          <w:marLeft w:val="0"/>
          <w:marRight w:val="0"/>
          <w:marTop w:val="0"/>
          <w:marBottom w:val="0"/>
          <w:divBdr>
            <w:top w:val="none" w:sz="0" w:space="0" w:color="auto"/>
            <w:left w:val="none" w:sz="0" w:space="0" w:color="auto"/>
            <w:bottom w:val="none" w:sz="0" w:space="0" w:color="auto"/>
            <w:right w:val="none" w:sz="0" w:space="0" w:color="auto"/>
          </w:divBdr>
        </w:div>
        <w:div w:id="763838134">
          <w:marLeft w:val="0"/>
          <w:marRight w:val="0"/>
          <w:marTop w:val="0"/>
          <w:marBottom w:val="0"/>
          <w:divBdr>
            <w:top w:val="none" w:sz="0" w:space="0" w:color="auto"/>
            <w:left w:val="none" w:sz="0" w:space="0" w:color="auto"/>
            <w:bottom w:val="none" w:sz="0" w:space="0" w:color="auto"/>
            <w:right w:val="none" w:sz="0" w:space="0" w:color="auto"/>
          </w:divBdr>
        </w:div>
        <w:div w:id="1797405163">
          <w:marLeft w:val="0"/>
          <w:marRight w:val="0"/>
          <w:marTop w:val="0"/>
          <w:marBottom w:val="0"/>
          <w:divBdr>
            <w:top w:val="none" w:sz="0" w:space="0" w:color="auto"/>
            <w:left w:val="none" w:sz="0" w:space="0" w:color="auto"/>
            <w:bottom w:val="none" w:sz="0" w:space="0" w:color="auto"/>
            <w:right w:val="none" w:sz="0" w:space="0" w:color="auto"/>
          </w:divBdr>
        </w:div>
        <w:div w:id="253057296">
          <w:marLeft w:val="0"/>
          <w:marRight w:val="0"/>
          <w:marTop w:val="0"/>
          <w:marBottom w:val="0"/>
          <w:divBdr>
            <w:top w:val="none" w:sz="0" w:space="0" w:color="auto"/>
            <w:left w:val="none" w:sz="0" w:space="0" w:color="auto"/>
            <w:bottom w:val="none" w:sz="0" w:space="0" w:color="auto"/>
            <w:right w:val="none" w:sz="0" w:space="0" w:color="auto"/>
          </w:divBdr>
        </w:div>
        <w:div w:id="1604068866">
          <w:marLeft w:val="0"/>
          <w:marRight w:val="0"/>
          <w:marTop w:val="0"/>
          <w:marBottom w:val="0"/>
          <w:divBdr>
            <w:top w:val="none" w:sz="0" w:space="0" w:color="auto"/>
            <w:left w:val="none" w:sz="0" w:space="0" w:color="auto"/>
            <w:bottom w:val="none" w:sz="0" w:space="0" w:color="auto"/>
            <w:right w:val="none" w:sz="0" w:space="0" w:color="auto"/>
          </w:divBdr>
        </w:div>
        <w:div w:id="1054741867">
          <w:marLeft w:val="0"/>
          <w:marRight w:val="0"/>
          <w:marTop w:val="0"/>
          <w:marBottom w:val="0"/>
          <w:divBdr>
            <w:top w:val="none" w:sz="0" w:space="0" w:color="auto"/>
            <w:left w:val="none" w:sz="0" w:space="0" w:color="auto"/>
            <w:bottom w:val="none" w:sz="0" w:space="0" w:color="auto"/>
            <w:right w:val="none" w:sz="0" w:space="0" w:color="auto"/>
          </w:divBdr>
        </w:div>
      </w:divsChild>
    </w:div>
    <w:div w:id="893352310">
      <w:bodyDiv w:val="1"/>
      <w:marLeft w:val="0"/>
      <w:marRight w:val="0"/>
      <w:marTop w:val="0"/>
      <w:marBottom w:val="0"/>
      <w:divBdr>
        <w:top w:val="none" w:sz="0" w:space="0" w:color="auto"/>
        <w:left w:val="none" w:sz="0" w:space="0" w:color="auto"/>
        <w:bottom w:val="none" w:sz="0" w:space="0" w:color="auto"/>
        <w:right w:val="none" w:sz="0" w:space="0" w:color="auto"/>
      </w:divBdr>
      <w:divsChild>
        <w:div w:id="749273654">
          <w:marLeft w:val="547"/>
          <w:marRight w:val="0"/>
          <w:marTop w:val="96"/>
          <w:marBottom w:val="0"/>
          <w:divBdr>
            <w:top w:val="none" w:sz="0" w:space="0" w:color="auto"/>
            <w:left w:val="none" w:sz="0" w:space="0" w:color="auto"/>
            <w:bottom w:val="none" w:sz="0" w:space="0" w:color="auto"/>
            <w:right w:val="none" w:sz="0" w:space="0" w:color="auto"/>
          </w:divBdr>
        </w:div>
        <w:div w:id="770318440">
          <w:marLeft w:val="547"/>
          <w:marRight w:val="0"/>
          <w:marTop w:val="96"/>
          <w:marBottom w:val="0"/>
          <w:divBdr>
            <w:top w:val="none" w:sz="0" w:space="0" w:color="auto"/>
            <w:left w:val="none" w:sz="0" w:space="0" w:color="auto"/>
            <w:bottom w:val="none" w:sz="0" w:space="0" w:color="auto"/>
            <w:right w:val="none" w:sz="0" w:space="0" w:color="auto"/>
          </w:divBdr>
        </w:div>
      </w:divsChild>
    </w:div>
    <w:div w:id="991757803">
      <w:bodyDiv w:val="1"/>
      <w:marLeft w:val="0"/>
      <w:marRight w:val="0"/>
      <w:marTop w:val="0"/>
      <w:marBottom w:val="0"/>
      <w:divBdr>
        <w:top w:val="none" w:sz="0" w:space="0" w:color="auto"/>
        <w:left w:val="none" w:sz="0" w:space="0" w:color="auto"/>
        <w:bottom w:val="none" w:sz="0" w:space="0" w:color="auto"/>
        <w:right w:val="none" w:sz="0" w:space="0" w:color="auto"/>
      </w:divBdr>
      <w:divsChild>
        <w:div w:id="1059324820">
          <w:marLeft w:val="547"/>
          <w:marRight w:val="0"/>
          <w:marTop w:val="86"/>
          <w:marBottom w:val="0"/>
          <w:divBdr>
            <w:top w:val="none" w:sz="0" w:space="0" w:color="auto"/>
            <w:left w:val="none" w:sz="0" w:space="0" w:color="auto"/>
            <w:bottom w:val="none" w:sz="0" w:space="0" w:color="auto"/>
            <w:right w:val="none" w:sz="0" w:space="0" w:color="auto"/>
          </w:divBdr>
        </w:div>
      </w:divsChild>
    </w:div>
    <w:div w:id="1034696988">
      <w:bodyDiv w:val="1"/>
      <w:marLeft w:val="0"/>
      <w:marRight w:val="0"/>
      <w:marTop w:val="0"/>
      <w:marBottom w:val="0"/>
      <w:divBdr>
        <w:top w:val="none" w:sz="0" w:space="0" w:color="auto"/>
        <w:left w:val="none" w:sz="0" w:space="0" w:color="auto"/>
        <w:bottom w:val="none" w:sz="0" w:space="0" w:color="auto"/>
        <w:right w:val="none" w:sz="0" w:space="0" w:color="auto"/>
      </w:divBdr>
      <w:divsChild>
        <w:div w:id="1587618439">
          <w:marLeft w:val="0"/>
          <w:marRight w:val="0"/>
          <w:marTop w:val="0"/>
          <w:marBottom w:val="0"/>
          <w:divBdr>
            <w:top w:val="none" w:sz="0" w:space="0" w:color="auto"/>
            <w:left w:val="none" w:sz="0" w:space="0" w:color="auto"/>
            <w:bottom w:val="none" w:sz="0" w:space="0" w:color="auto"/>
            <w:right w:val="none" w:sz="0" w:space="0" w:color="auto"/>
          </w:divBdr>
        </w:div>
        <w:div w:id="567153543">
          <w:marLeft w:val="0"/>
          <w:marRight w:val="0"/>
          <w:marTop w:val="0"/>
          <w:marBottom w:val="0"/>
          <w:divBdr>
            <w:top w:val="none" w:sz="0" w:space="0" w:color="auto"/>
            <w:left w:val="none" w:sz="0" w:space="0" w:color="auto"/>
            <w:bottom w:val="none" w:sz="0" w:space="0" w:color="auto"/>
            <w:right w:val="none" w:sz="0" w:space="0" w:color="auto"/>
          </w:divBdr>
        </w:div>
      </w:divsChild>
    </w:div>
    <w:div w:id="1045134343">
      <w:bodyDiv w:val="1"/>
      <w:marLeft w:val="0"/>
      <w:marRight w:val="0"/>
      <w:marTop w:val="0"/>
      <w:marBottom w:val="0"/>
      <w:divBdr>
        <w:top w:val="none" w:sz="0" w:space="0" w:color="auto"/>
        <w:left w:val="none" w:sz="0" w:space="0" w:color="auto"/>
        <w:bottom w:val="none" w:sz="0" w:space="0" w:color="auto"/>
        <w:right w:val="none" w:sz="0" w:space="0" w:color="auto"/>
      </w:divBdr>
      <w:divsChild>
        <w:div w:id="1876186724">
          <w:marLeft w:val="1166"/>
          <w:marRight w:val="0"/>
          <w:marTop w:val="115"/>
          <w:marBottom w:val="0"/>
          <w:divBdr>
            <w:top w:val="none" w:sz="0" w:space="0" w:color="auto"/>
            <w:left w:val="none" w:sz="0" w:space="0" w:color="auto"/>
            <w:bottom w:val="none" w:sz="0" w:space="0" w:color="auto"/>
            <w:right w:val="none" w:sz="0" w:space="0" w:color="auto"/>
          </w:divBdr>
        </w:div>
        <w:div w:id="1036663475">
          <w:marLeft w:val="1166"/>
          <w:marRight w:val="0"/>
          <w:marTop w:val="115"/>
          <w:marBottom w:val="0"/>
          <w:divBdr>
            <w:top w:val="none" w:sz="0" w:space="0" w:color="auto"/>
            <w:left w:val="none" w:sz="0" w:space="0" w:color="auto"/>
            <w:bottom w:val="none" w:sz="0" w:space="0" w:color="auto"/>
            <w:right w:val="none" w:sz="0" w:space="0" w:color="auto"/>
          </w:divBdr>
        </w:div>
        <w:div w:id="1135218441">
          <w:marLeft w:val="1166"/>
          <w:marRight w:val="0"/>
          <w:marTop w:val="115"/>
          <w:marBottom w:val="0"/>
          <w:divBdr>
            <w:top w:val="none" w:sz="0" w:space="0" w:color="auto"/>
            <w:left w:val="none" w:sz="0" w:space="0" w:color="auto"/>
            <w:bottom w:val="none" w:sz="0" w:space="0" w:color="auto"/>
            <w:right w:val="none" w:sz="0" w:space="0" w:color="auto"/>
          </w:divBdr>
        </w:div>
        <w:div w:id="1260412542">
          <w:marLeft w:val="1166"/>
          <w:marRight w:val="0"/>
          <w:marTop w:val="115"/>
          <w:marBottom w:val="0"/>
          <w:divBdr>
            <w:top w:val="none" w:sz="0" w:space="0" w:color="auto"/>
            <w:left w:val="none" w:sz="0" w:space="0" w:color="auto"/>
            <w:bottom w:val="none" w:sz="0" w:space="0" w:color="auto"/>
            <w:right w:val="none" w:sz="0" w:space="0" w:color="auto"/>
          </w:divBdr>
        </w:div>
      </w:divsChild>
    </w:div>
    <w:div w:id="1070080385">
      <w:bodyDiv w:val="1"/>
      <w:marLeft w:val="0"/>
      <w:marRight w:val="0"/>
      <w:marTop w:val="0"/>
      <w:marBottom w:val="0"/>
      <w:divBdr>
        <w:top w:val="none" w:sz="0" w:space="0" w:color="auto"/>
        <w:left w:val="none" w:sz="0" w:space="0" w:color="auto"/>
        <w:bottom w:val="none" w:sz="0" w:space="0" w:color="auto"/>
        <w:right w:val="none" w:sz="0" w:space="0" w:color="auto"/>
      </w:divBdr>
    </w:div>
    <w:div w:id="1072771949">
      <w:bodyDiv w:val="1"/>
      <w:marLeft w:val="0"/>
      <w:marRight w:val="0"/>
      <w:marTop w:val="0"/>
      <w:marBottom w:val="0"/>
      <w:divBdr>
        <w:top w:val="none" w:sz="0" w:space="0" w:color="auto"/>
        <w:left w:val="none" w:sz="0" w:space="0" w:color="auto"/>
        <w:bottom w:val="none" w:sz="0" w:space="0" w:color="auto"/>
        <w:right w:val="none" w:sz="0" w:space="0" w:color="auto"/>
      </w:divBdr>
      <w:divsChild>
        <w:div w:id="1239439224">
          <w:marLeft w:val="0"/>
          <w:marRight w:val="0"/>
          <w:marTop w:val="0"/>
          <w:marBottom w:val="0"/>
          <w:divBdr>
            <w:top w:val="none" w:sz="0" w:space="0" w:color="auto"/>
            <w:left w:val="none" w:sz="0" w:space="0" w:color="auto"/>
            <w:bottom w:val="none" w:sz="0" w:space="0" w:color="auto"/>
            <w:right w:val="none" w:sz="0" w:space="0" w:color="auto"/>
          </w:divBdr>
        </w:div>
        <w:div w:id="892735443">
          <w:marLeft w:val="0"/>
          <w:marRight w:val="0"/>
          <w:marTop w:val="0"/>
          <w:marBottom w:val="0"/>
          <w:divBdr>
            <w:top w:val="none" w:sz="0" w:space="0" w:color="auto"/>
            <w:left w:val="none" w:sz="0" w:space="0" w:color="auto"/>
            <w:bottom w:val="none" w:sz="0" w:space="0" w:color="auto"/>
            <w:right w:val="none" w:sz="0" w:space="0" w:color="auto"/>
          </w:divBdr>
        </w:div>
        <w:div w:id="677535597">
          <w:marLeft w:val="0"/>
          <w:marRight w:val="0"/>
          <w:marTop w:val="0"/>
          <w:marBottom w:val="0"/>
          <w:divBdr>
            <w:top w:val="none" w:sz="0" w:space="0" w:color="auto"/>
            <w:left w:val="none" w:sz="0" w:space="0" w:color="auto"/>
            <w:bottom w:val="none" w:sz="0" w:space="0" w:color="auto"/>
            <w:right w:val="none" w:sz="0" w:space="0" w:color="auto"/>
          </w:divBdr>
        </w:div>
        <w:div w:id="2013531198">
          <w:marLeft w:val="0"/>
          <w:marRight w:val="0"/>
          <w:marTop w:val="0"/>
          <w:marBottom w:val="0"/>
          <w:divBdr>
            <w:top w:val="none" w:sz="0" w:space="0" w:color="auto"/>
            <w:left w:val="none" w:sz="0" w:space="0" w:color="auto"/>
            <w:bottom w:val="none" w:sz="0" w:space="0" w:color="auto"/>
            <w:right w:val="none" w:sz="0" w:space="0" w:color="auto"/>
          </w:divBdr>
        </w:div>
      </w:divsChild>
    </w:div>
    <w:div w:id="1115488938">
      <w:bodyDiv w:val="1"/>
      <w:marLeft w:val="0"/>
      <w:marRight w:val="0"/>
      <w:marTop w:val="0"/>
      <w:marBottom w:val="0"/>
      <w:divBdr>
        <w:top w:val="none" w:sz="0" w:space="0" w:color="auto"/>
        <w:left w:val="none" w:sz="0" w:space="0" w:color="auto"/>
        <w:bottom w:val="none" w:sz="0" w:space="0" w:color="auto"/>
        <w:right w:val="none" w:sz="0" w:space="0" w:color="auto"/>
      </w:divBdr>
      <w:divsChild>
        <w:div w:id="1268804779">
          <w:marLeft w:val="547"/>
          <w:marRight w:val="0"/>
          <w:marTop w:val="115"/>
          <w:marBottom w:val="0"/>
          <w:divBdr>
            <w:top w:val="none" w:sz="0" w:space="0" w:color="auto"/>
            <w:left w:val="none" w:sz="0" w:space="0" w:color="auto"/>
            <w:bottom w:val="none" w:sz="0" w:space="0" w:color="auto"/>
            <w:right w:val="none" w:sz="0" w:space="0" w:color="auto"/>
          </w:divBdr>
        </w:div>
        <w:div w:id="49813449">
          <w:marLeft w:val="547"/>
          <w:marRight w:val="0"/>
          <w:marTop w:val="115"/>
          <w:marBottom w:val="0"/>
          <w:divBdr>
            <w:top w:val="none" w:sz="0" w:space="0" w:color="auto"/>
            <w:left w:val="none" w:sz="0" w:space="0" w:color="auto"/>
            <w:bottom w:val="none" w:sz="0" w:space="0" w:color="auto"/>
            <w:right w:val="none" w:sz="0" w:space="0" w:color="auto"/>
          </w:divBdr>
        </w:div>
        <w:div w:id="716709081">
          <w:marLeft w:val="547"/>
          <w:marRight w:val="0"/>
          <w:marTop w:val="115"/>
          <w:marBottom w:val="0"/>
          <w:divBdr>
            <w:top w:val="none" w:sz="0" w:space="0" w:color="auto"/>
            <w:left w:val="none" w:sz="0" w:space="0" w:color="auto"/>
            <w:bottom w:val="none" w:sz="0" w:space="0" w:color="auto"/>
            <w:right w:val="none" w:sz="0" w:space="0" w:color="auto"/>
          </w:divBdr>
        </w:div>
        <w:div w:id="1691488516">
          <w:marLeft w:val="547"/>
          <w:marRight w:val="0"/>
          <w:marTop w:val="115"/>
          <w:marBottom w:val="0"/>
          <w:divBdr>
            <w:top w:val="none" w:sz="0" w:space="0" w:color="auto"/>
            <w:left w:val="none" w:sz="0" w:space="0" w:color="auto"/>
            <w:bottom w:val="none" w:sz="0" w:space="0" w:color="auto"/>
            <w:right w:val="none" w:sz="0" w:space="0" w:color="auto"/>
          </w:divBdr>
        </w:div>
        <w:div w:id="1137339348">
          <w:marLeft w:val="547"/>
          <w:marRight w:val="0"/>
          <w:marTop w:val="115"/>
          <w:marBottom w:val="0"/>
          <w:divBdr>
            <w:top w:val="none" w:sz="0" w:space="0" w:color="auto"/>
            <w:left w:val="none" w:sz="0" w:space="0" w:color="auto"/>
            <w:bottom w:val="none" w:sz="0" w:space="0" w:color="auto"/>
            <w:right w:val="none" w:sz="0" w:space="0" w:color="auto"/>
          </w:divBdr>
        </w:div>
      </w:divsChild>
    </w:div>
    <w:div w:id="1120689668">
      <w:bodyDiv w:val="1"/>
      <w:marLeft w:val="0"/>
      <w:marRight w:val="0"/>
      <w:marTop w:val="0"/>
      <w:marBottom w:val="0"/>
      <w:divBdr>
        <w:top w:val="none" w:sz="0" w:space="0" w:color="auto"/>
        <w:left w:val="none" w:sz="0" w:space="0" w:color="auto"/>
        <w:bottom w:val="none" w:sz="0" w:space="0" w:color="auto"/>
        <w:right w:val="none" w:sz="0" w:space="0" w:color="auto"/>
      </w:divBdr>
      <w:divsChild>
        <w:div w:id="499925593">
          <w:marLeft w:val="547"/>
          <w:marRight w:val="0"/>
          <w:marTop w:val="96"/>
          <w:marBottom w:val="0"/>
          <w:divBdr>
            <w:top w:val="none" w:sz="0" w:space="0" w:color="auto"/>
            <w:left w:val="none" w:sz="0" w:space="0" w:color="auto"/>
            <w:bottom w:val="none" w:sz="0" w:space="0" w:color="auto"/>
            <w:right w:val="none" w:sz="0" w:space="0" w:color="auto"/>
          </w:divBdr>
        </w:div>
        <w:div w:id="118381767">
          <w:marLeft w:val="547"/>
          <w:marRight w:val="0"/>
          <w:marTop w:val="96"/>
          <w:marBottom w:val="0"/>
          <w:divBdr>
            <w:top w:val="none" w:sz="0" w:space="0" w:color="auto"/>
            <w:left w:val="none" w:sz="0" w:space="0" w:color="auto"/>
            <w:bottom w:val="none" w:sz="0" w:space="0" w:color="auto"/>
            <w:right w:val="none" w:sz="0" w:space="0" w:color="auto"/>
          </w:divBdr>
        </w:div>
        <w:div w:id="534391688">
          <w:marLeft w:val="547"/>
          <w:marRight w:val="0"/>
          <w:marTop w:val="96"/>
          <w:marBottom w:val="0"/>
          <w:divBdr>
            <w:top w:val="none" w:sz="0" w:space="0" w:color="auto"/>
            <w:left w:val="none" w:sz="0" w:space="0" w:color="auto"/>
            <w:bottom w:val="none" w:sz="0" w:space="0" w:color="auto"/>
            <w:right w:val="none" w:sz="0" w:space="0" w:color="auto"/>
          </w:divBdr>
        </w:div>
        <w:div w:id="1208540">
          <w:marLeft w:val="547"/>
          <w:marRight w:val="0"/>
          <w:marTop w:val="96"/>
          <w:marBottom w:val="0"/>
          <w:divBdr>
            <w:top w:val="none" w:sz="0" w:space="0" w:color="auto"/>
            <w:left w:val="none" w:sz="0" w:space="0" w:color="auto"/>
            <w:bottom w:val="none" w:sz="0" w:space="0" w:color="auto"/>
            <w:right w:val="none" w:sz="0" w:space="0" w:color="auto"/>
          </w:divBdr>
        </w:div>
        <w:div w:id="107238890">
          <w:marLeft w:val="547"/>
          <w:marRight w:val="0"/>
          <w:marTop w:val="96"/>
          <w:marBottom w:val="0"/>
          <w:divBdr>
            <w:top w:val="none" w:sz="0" w:space="0" w:color="auto"/>
            <w:left w:val="none" w:sz="0" w:space="0" w:color="auto"/>
            <w:bottom w:val="none" w:sz="0" w:space="0" w:color="auto"/>
            <w:right w:val="none" w:sz="0" w:space="0" w:color="auto"/>
          </w:divBdr>
        </w:div>
        <w:div w:id="1728527554">
          <w:marLeft w:val="547"/>
          <w:marRight w:val="0"/>
          <w:marTop w:val="96"/>
          <w:marBottom w:val="0"/>
          <w:divBdr>
            <w:top w:val="none" w:sz="0" w:space="0" w:color="auto"/>
            <w:left w:val="none" w:sz="0" w:space="0" w:color="auto"/>
            <w:bottom w:val="none" w:sz="0" w:space="0" w:color="auto"/>
            <w:right w:val="none" w:sz="0" w:space="0" w:color="auto"/>
          </w:divBdr>
        </w:div>
        <w:div w:id="1536966000">
          <w:marLeft w:val="547"/>
          <w:marRight w:val="0"/>
          <w:marTop w:val="96"/>
          <w:marBottom w:val="0"/>
          <w:divBdr>
            <w:top w:val="none" w:sz="0" w:space="0" w:color="auto"/>
            <w:left w:val="none" w:sz="0" w:space="0" w:color="auto"/>
            <w:bottom w:val="none" w:sz="0" w:space="0" w:color="auto"/>
            <w:right w:val="none" w:sz="0" w:space="0" w:color="auto"/>
          </w:divBdr>
        </w:div>
        <w:div w:id="1682967781">
          <w:marLeft w:val="547"/>
          <w:marRight w:val="0"/>
          <w:marTop w:val="96"/>
          <w:marBottom w:val="0"/>
          <w:divBdr>
            <w:top w:val="none" w:sz="0" w:space="0" w:color="auto"/>
            <w:left w:val="none" w:sz="0" w:space="0" w:color="auto"/>
            <w:bottom w:val="none" w:sz="0" w:space="0" w:color="auto"/>
            <w:right w:val="none" w:sz="0" w:space="0" w:color="auto"/>
          </w:divBdr>
        </w:div>
      </w:divsChild>
    </w:div>
    <w:div w:id="1147748263">
      <w:bodyDiv w:val="1"/>
      <w:marLeft w:val="0"/>
      <w:marRight w:val="0"/>
      <w:marTop w:val="0"/>
      <w:marBottom w:val="0"/>
      <w:divBdr>
        <w:top w:val="none" w:sz="0" w:space="0" w:color="auto"/>
        <w:left w:val="none" w:sz="0" w:space="0" w:color="auto"/>
        <w:bottom w:val="none" w:sz="0" w:space="0" w:color="auto"/>
        <w:right w:val="none" w:sz="0" w:space="0" w:color="auto"/>
      </w:divBdr>
      <w:divsChild>
        <w:div w:id="1678920372">
          <w:marLeft w:val="0"/>
          <w:marRight w:val="0"/>
          <w:marTop w:val="0"/>
          <w:marBottom w:val="0"/>
          <w:divBdr>
            <w:top w:val="none" w:sz="0" w:space="0" w:color="auto"/>
            <w:left w:val="none" w:sz="0" w:space="0" w:color="auto"/>
            <w:bottom w:val="none" w:sz="0" w:space="0" w:color="auto"/>
            <w:right w:val="none" w:sz="0" w:space="0" w:color="auto"/>
          </w:divBdr>
        </w:div>
        <w:div w:id="2130777200">
          <w:marLeft w:val="0"/>
          <w:marRight w:val="0"/>
          <w:marTop w:val="0"/>
          <w:marBottom w:val="0"/>
          <w:divBdr>
            <w:top w:val="none" w:sz="0" w:space="0" w:color="auto"/>
            <w:left w:val="none" w:sz="0" w:space="0" w:color="auto"/>
            <w:bottom w:val="none" w:sz="0" w:space="0" w:color="auto"/>
            <w:right w:val="none" w:sz="0" w:space="0" w:color="auto"/>
          </w:divBdr>
        </w:div>
        <w:div w:id="229460841">
          <w:marLeft w:val="0"/>
          <w:marRight w:val="0"/>
          <w:marTop w:val="0"/>
          <w:marBottom w:val="0"/>
          <w:divBdr>
            <w:top w:val="none" w:sz="0" w:space="0" w:color="auto"/>
            <w:left w:val="none" w:sz="0" w:space="0" w:color="auto"/>
            <w:bottom w:val="none" w:sz="0" w:space="0" w:color="auto"/>
            <w:right w:val="none" w:sz="0" w:space="0" w:color="auto"/>
          </w:divBdr>
        </w:div>
        <w:div w:id="359937508">
          <w:marLeft w:val="0"/>
          <w:marRight w:val="0"/>
          <w:marTop w:val="0"/>
          <w:marBottom w:val="0"/>
          <w:divBdr>
            <w:top w:val="none" w:sz="0" w:space="0" w:color="auto"/>
            <w:left w:val="none" w:sz="0" w:space="0" w:color="auto"/>
            <w:bottom w:val="none" w:sz="0" w:space="0" w:color="auto"/>
            <w:right w:val="none" w:sz="0" w:space="0" w:color="auto"/>
          </w:divBdr>
        </w:div>
        <w:div w:id="267086473">
          <w:marLeft w:val="0"/>
          <w:marRight w:val="0"/>
          <w:marTop w:val="0"/>
          <w:marBottom w:val="0"/>
          <w:divBdr>
            <w:top w:val="none" w:sz="0" w:space="0" w:color="auto"/>
            <w:left w:val="none" w:sz="0" w:space="0" w:color="auto"/>
            <w:bottom w:val="none" w:sz="0" w:space="0" w:color="auto"/>
            <w:right w:val="none" w:sz="0" w:space="0" w:color="auto"/>
          </w:divBdr>
        </w:div>
        <w:div w:id="932980013">
          <w:marLeft w:val="0"/>
          <w:marRight w:val="0"/>
          <w:marTop w:val="0"/>
          <w:marBottom w:val="0"/>
          <w:divBdr>
            <w:top w:val="none" w:sz="0" w:space="0" w:color="auto"/>
            <w:left w:val="none" w:sz="0" w:space="0" w:color="auto"/>
            <w:bottom w:val="none" w:sz="0" w:space="0" w:color="auto"/>
            <w:right w:val="none" w:sz="0" w:space="0" w:color="auto"/>
          </w:divBdr>
        </w:div>
        <w:div w:id="1077871094">
          <w:marLeft w:val="0"/>
          <w:marRight w:val="0"/>
          <w:marTop w:val="0"/>
          <w:marBottom w:val="0"/>
          <w:divBdr>
            <w:top w:val="none" w:sz="0" w:space="0" w:color="auto"/>
            <w:left w:val="none" w:sz="0" w:space="0" w:color="auto"/>
            <w:bottom w:val="none" w:sz="0" w:space="0" w:color="auto"/>
            <w:right w:val="none" w:sz="0" w:space="0" w:color="auto"/>
          </w:divBdr>
        </w:div>
        <w:div w:id="817890673">
          <w:marLeft w:val="0"/>
          <w:marRight w:val="0"/>
          <w:marTop w:val="0"/>
          <w:marBottom w:val="0"/>
          <w:divBdr>
            <w:top w:val="none" w:sz="0" w:space="0" w:color="auto"/>
            <w:left w:val="none" w:sz="0" w:space="0" w:color="auto"/>
            <w:bottom w:val="none" w:sz="0" w:space="0" w:color="auto"/>
            <w:right w:val="none" w:sz="0" w:space="0" w:color="auto"/>
          </w:divBdr>
        </w:div>
        <w:div w:id="1472164069">
          <w:marLeft w:val="0"/>
          <w:marRight w:val="0"/>
          <w:marTop w:val="0"/>
          <w:marBottom w:val="0"/>
          <w:divBdr>
            <w:top w:val="none" w:sz="0" w:space="0" w:color="auto"/>
            <w:left w:val="none" w:sz="0" w:space="0" w:color="auto"/>
            <w:bottom w:val="none" w:sz="0" w:space="0" w:color="auto"/>
            <w:right w:val="none" w:sz="0" w:space="0" w:color="auto"/>
          </w:divBdr>
        </w:div>
        <w:div w:id="559095737">
          <w:marLeft w:val="0"/>
          <w:marRight w:val="0"/>
          <w:marTop w:val="0"/>
          <w:marBottom w:val="0"/>
          <w:divBdr>
            <w:top w:val="none" w:sz="0" w:space="0" w:color="auto"/>
            <w:left w:val="none" w:sz="0" w:space="0" w:color="auto"/>
            <w:bottom w:val="none" w:sz="0" w:space="0" w:color="auto"/>
            <w:right w:val="none" w:sz="0" w:space="0" w:color="auto"/>
          </w:divBdr>
        </w:div>
        <w:div w:id="332147018">
          <w:marLeft w:val="0"/>
          <w:marRight w:val="0"/>
          <w:marTop w:val="0"/>
          <w:marBottom w:val="0"/>
          <w:divBdr>
            <w:top w:val="none" w:sz="0" w:space="0" w:color="auto"/>
            <w:left w:val="none" w:sz="0" w:space="0" w:color="auto"/>
            <w:bottom w:val="none" w:sz="0" w:space="0" w:color="auto"/>
            <w:right w:val="none" w:sz="0" w:space="0" w:color="auto"/>
          </w:divBdr>
        </w:div>
        <w:div w:id="75322715">
          <w:marLeft w:val="0"/>
          <w:marRight w:val="0"/>
          <w:marTop w:val="0"/>
          <w:marBottom w:val="0"/>
          <w:divBdr>
            <w:top w:val="none" w:sz="0" w:space="0" w:color="auto"/>
            <w:left w:val="none" w:sz="0" w:space="0" w:color="auto"/>
            <w:bottom w:val="none" w:sz="0" w:space="0" w:color="auto"/>
            <w:right w:val="none" w:sz="0" w:space="0" w:color="auto"/>
          </w:divBdr>
        </w:div>
        <w:div w:id="938608585">
          <w:marLeft w:val="0"/>
          <w:marRight w:val="0"/>
          <w:marTop w:val="0"/>
          <w:marBottom w:val="0"/>
          <w:divBdr>
            <w:top w:val="none" w:sz="0" w:space="0" w:color="auto"/>
            <w:left w:val="none" w:sz="0" w:space="0" w:color="auto"/>
            <w:bottom w:val="none" w:sz="0" w:space="0" w:color="auto"/>
            <w:right w:val="none" w:sz="0" w:space="0" w:color="auto"/>
          </w:divBdr>
        </w:div>
        <w:div w:id="1028875659">
          <w:marLeft w:val="0"/>
          <w:marRight w:val="0"/>
          <w:marTop w:val="0"/>
          <w:marBottom w:val="0"/>
          <w:divBdr>
            <w:top w:val="none" w:sz="0" w:space="0" w:color="auto"/>
            <w:left w:val="none" w:sz="0" w:space="0" w:color="auto"/>
            <w:bottom w:val="none" w:sz="0" w:space="0" w:color="auto"/>
            <w:right w:val="none" w:sz="0" w:space="0" w:color="auto"/>
          </w:divBdr>
        </w:div>
        <w:div w:id="492452857">
          <w:marLeft w:val="0"/>
          <w:marRight w:val="0"/>
          <w:marTop w:val="0"/>
          <w:marBottom w:val="0"/>
          <w:divBdr>
            <w:top w:val="none" w:sz="0" w:space="0" w:color="auto"/>
            <w:left w:val="none" w:sz="0" w:space="0" w:color="auto"/>
            <w:bottom w:val="none" w:sz="0" w:space="0" w:color="auto"/>
            <w:right w:val="none" w:sz="0" w:space="0" w:color="auto"/>
          </w:divBdr>
        </w:div>
        <w:div w:id="1439332010">
          <w:marLeft w:val="0"/>
          <w:marRight w:val="0"/>
          <w:marTop w:val="0"/>
          <w:marBottom w:val="0"/>
          <w:divBdr>
            <w:top w:val="none" w:sz="0" w:space="0" w:color="auto"/>
            <w:left w:val="none" w:sz="0" w:space="0" w:color="auto"/>
            <w:bottom w:val="none" w:sz="0" w:space="0" w:color="auto"/>
            <w:right w:val="none" w:sz="0" w:space="0" w:color="auto"/>
          </w:divBdr>
        </w:div>
        <w:div w:id="161748985">
          <w:marLeft w:val="0"/>
          <w:marRight w:val="0"/>
          <w:marTop w:val="0"/>
          <w:marBottom w:val="0"/>
          <w:divBdr>
            <w:top w:val="none" w:sz="0" w:space="0" w:color="auto"/>
            <w:left w:val="none" w:sz="0" w:space="0" w:color="auto"/>
            <w:bottom w:val="none" w:sz="0" w:space="0" w:color="auto"/>
            <w:right w:val="none" w:sz="0" w:space="0" w:color="auto"/>
          </w:divBdr>
        </w:div>
        <w:div w:id="964576886">
          <w:marLeft w:val="0"/>
          <w:marRight w:val="0"/>
          <w:marTop w:val="0"/>
          <w:marBottom w:val="0"/>
          <w:divBdr>
            <w:top w:val="none" w:sz="0" w:space="0" w:color="auto"/>
            <w:left w:val="none" w:sz="0" w:space="0" w:color="auto"/>
            <w:bottom w:val="none" w:sz="0" w:space="0" w:color="auto"/>
            <w:right w:val="none" w:sz="0" w:space="0" w:color="auto"/>
          </w:divBdr>
        </w:div>
      </w:divsChild>
    </w:div>
    <w:div w:id="1181968632">
      <w:bodyDiv w:val="1"/>
      <w:marLeft w:val="0"/>
      <w:marRight w:val="0"/>
      <w:marTop w:val="0"/>
      <w:marBottom w:val="0"/>
      <w:divBdr>
        <w:top w:val="none" w:sz="0" w:space="0" w:color="auto"/>
        <w:left w:val="none" w:sz="0" w:space="0" w:color="auto"/>
        <w:bottom w:val="none" w:sz="0" w:space="0" w:color="auto"/>
        <w:right w:val="none" w:sz="0" w:space="0" w:color="auto"/>
      </w:divBdr>
      <w:divsChild>
        <w:div w:id="74012736">
          <w:marLeft w:val="547"/>
          <w:marRight w:val="0"/>
          <w:marTop w:val="115"/>
          <w:marBottom w:val="0"/>
          <w:divBdr>
            <w:top w:val="none" w:sz="0" w:space="0" w:color="auto"/>
            <w:left w:val="none" w:sz="0" w:space="0" w:color="auto"/>
            <w:bottom w:val="none" w:sz="0" w:space="0" w:color="auto"/>
            <w:right w:val="none" w:sz="0" w:space="0" w:color="auto"/>
          </w:divBdr>
        </w:div>
        <w:div w:id="1178618840">
          <w:marLeft w:val="547"/>
          <w:marRight w:val="0"/>
          <w:marTop w:val="115"/>
          <w:marBottom w:val="0"/>
          <w:divBdr>
            <w:top w:val="none" w:sz="0" w:space="0" w:color="auto"/>
            <w:left w:val="none" w:sz="0" w:space="0" w:color="auto"/>
            <w:bottom w:val="none" w:sz="0" w:space="0" w:color="auto"/>
            <w:right w:val="none" w:sz="0" w:space="0" w:color="auto"/>
          </w:divBdr>
        </w:div>
        <w:div w:id="1113400244">
          <w:marLeft w:val="547"/>
          <w:marRight w:val="0"/>
          <w:marTop w:val="115"/>
          <w:marBottom w:val="0"/>
          <w:divBdr>
            <w:top w:val="none" w:sz="0" w:space="0" w:color="auto"/>
            <w:left w:val="none" w:sz="0" w:space="0" w:color="auto"/>
            <w:bottom w:val="none" w:sz="0" w:space="0" w:color="auto"/>
            <w:right w:val="none" w:sz="0" w:space="0" w:color="auto"/>
          </w:divBdr>
        </w:div>
      </w:divsChild>
    </w:div>
    <w:div w:id="1298071795">
      <w:bodyDiv w:val="1"/>
      <w:marLeft w:val="0"/>
      <w:marRight w:val="0"/>
      <w:marTop w:val="0"/>
      <w:marBottom w:val="0"/>
      <w:divBdr>
        <w:top w:val="none" w:sz="0" w:space="0" w:color="auto"/>
        <w:left w:val="none" w:sz="0" w:space="0" w:color="auto"/>
        <w:bottom w:val="none" w:sz="0" w:space="0" w:color="auto"/>
        <w:right w:val="none" w:sz="0" w:space="0" w:color="auto"/>
      </w:divBdr>
      <w:divsChild>
        <w:div w:id="1744176327">
          <w:marLeft w:val="0"/>
          <w:marRight w:val="0"/>
          <w:marTop w:val="0"/>
          <w:marBottom w:val="0"/>
          <w:divBdr>
            <w:top w:val="none" w:sz="0" w:space="0" w:color="auto"/>
            <w:left w:val="none" w:sz="0" w:space="0" w:color="auto"/>
            <w:bottom w:val="none" w:sz="0" w:space="0" w:color="auto"/>
            <w:right w:val="none" w:sz="0" w:space="0" w:color="auto"/>
          </w:divBdr>
          <w:divsChild>
            <w:div w:id="1819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84">
      <w:bodyDiv w:val="1"/>
      <w:marLeft w:val="0"/>
      <w:marRight w:val="0"/>
      <w:marTop w:val="0"/>
      <w:marBottom w:val="0"/>
      <w:divBdr>
        <w:top w:val="none" w:sz="0" w:space="0" w:color="auto"/>
        <w:left w:val="none" w:sz="0" w:space="0" w:color="auto"/>
        <w:bottom w:val="none" w:sz="0" w:space="0" w:color="auto"/>
        <w:right w:val="none" w:sz="0" w:space="0" w:color="auto"/>
      </w:divBdr>
      <w:divsChild>
        <w:div w:id="761142381">
          <w:marLeft w:val="547"/>
          <w:marRight w:val="0"/>
          <w:marTop w:val="115"/>
          <w:marBottom w:val="0"/>
          <w:divBdr>
            <w:top w:val="none" w:sz="0" w:space="0" w:color="auto"/>
            <w:left w:val="none" w:sz="0" w:space="0" w:color="auto"/>
            <w:bottom w:val="none" w:sz="0" w:space="0" w:color="auto"/>
            <w:right w:val="none" w:sz="0" w:space="0" w:color="auto"/>
          </w:divBdr>
        </w:div>
        <w:div w:id="1050806612">
          <w:marLeft w:val="547"/>
          <w:marRight w:val="0"/>
          <w:marTop w:val="115"/>
          <w:marBottom w:val="0"/>
          <w:divBdr>
            <w:top w:val="none" w:sz="0" w:space="0" w:color="auto"/>
            <w:left w:val="none" w:sz="0" w:space="0" w:color="auto"/>
            <w:bottom w:val="none" w:sz="0" w:space="0" w:color="auto"/>
            <w:right w:val="none" w:sz="0" w:space="0" w:color="auto"/>
          </w:divBdr>
        </w:div>
        <w:div w:id="1039820055">
          <w:marLeft w:val="547"/>
          <w:marRight w:val="0"/>
          <w:marTop w:val="115"/>
          <w:marBottom w:val="0"/>
          <w:divBdr>
            <w:top w:val="none" w:sz="0" w:space="0" w:color="auto"/>
            <w:left w:val="none" w:sz="0" w:space="0" w:color="auto"/>
            <w:bottom w:val="none" w:sz="0" w:space="0" w:color="auto"/>
            <w:right w:val="none" w:sz="0" w:space="0" w:color="auto"/>
          </w:divBdr>
        </w:div>
      </w:divsChild>
    </w:div>
    <w:div w:id="1402370325">
      <w:bodyDiv w:val="1"/>
      <w:marLeft w:val="0"/>
      <w:marRight w:val="0"/>
      <w:marTop w:val="0"/>
      <w:marBottom w:val="0"/>
      <w:divBdr>
        <w:top w:val="none" w:sz="0" w:space="0" w:color="auto"/>
        <w:left w:val="none" w:sz="0" w:space="0" w:color="auto"/>
        <w:bottom w:val="none" w:sz="0" w:space="0" w:color="auto"/>
        <w:right w:val="none" w:sz="0" w:space="0" w:color="auto"/>
      </w:divBdr>
      <w:divsChild>
        <w:div w:id="396591030">
          <w:marLeft w:val="547"/>
          <w:marRight w:val="0"/>
          <w:marTop w:val="96"/>
          <w:marBottom w:val="0"/>
          <w:divBdr>
            <w:top w:val="none" w:sz="0" w:space="0" w:color="auto"/>
            <w:left w:val="none" w:sz="0" w:space="0" w:color="auto"/>
            <w:bottom w:val="none" w:sz="0" w:space="0" w:color="auto"/>
            <w:right w:val="none" w:sz="0" w:space="0" w:color="auto"/>
          </w:divBdr>
        </w:div>
        <w:div w:id="315575616">
          <w:marLeft w:val="547"/>
          <w:marRight w:val="0"/>
          <w:marTop w:val="96"/>
          <w:marBottom w:val="0"/>
          <w:divBdr>
            <w:top w:val="none" w:sz="0" w:space="0" w:color="auto"/>
            <w:left w:val="none" w:sz="0" w:space="0" w:color="auto"/>
            <w:bottom w:val="none" w:sz="0" w:space="0" w:color="auto"/>
            <w:right w:val="none" w:sz="0" w:space="0" w:color="auto"/>
          </w:divBdr>
        </w:div>
        <w:div w:id="283315974">
          <w:marLeft w:val="547"/>
          <w:marRight w:val="0"/>
          <w:marTop w:val="96"/>
          <w:marBottom w:val="0"/>
          <w:divBdr>
            <w:top w:val="none" w:sz="0" w:space="0" w:color="auto"/>
            <w:left w:val="none" w:sz="0" w:space="0" w:color="auto"/>
            <w:bottom w:val="none" w:sz="0" w:space="0" w:color="auto"/>
            <w:right w:val="none" w:sz="0" w:space="0" w:color="auto"/>
          </w:divBdr>
        </w:div>
      </w:divsChild>
    </w:div>
    <w:div w:id="1413314196">
      <w:bodyDiv w:val="1"/>
      <w:marLeft w:val="0"/>
      <w:marRight w:val="0"/>
      <w:marTop w:val="0"/>
      <w:marBottom w:val="0"/>
      <w:divBdr>
        <w:top w:val="none" w:sz="0" w:space="0" w:color="auto"/>
        <w:left w:val="none" w:sz="0" w:space="0" w:color="auto"/>
        <w:bottom w:val="none" w:sz="0" w:space="0" w:color="auto"/>
        <w:right w:val="none" w:sz="0" w:space="0" w:color="auto"/>
      </w:divBdr>
      <w:divsChild>
        <w:div w:id="1488592520">
          <w:marLeft w:val="547"/>
          <w:marRight w:val="0"/>
          <w:marTop w:val="96"/>
          <w:marBottom w:val="0"/>
          <w:divBdr>
            <w:top w:val="none" w:sz="0" w:space="0" w:color="auto"/>
            <w:left w:val="none" w:sz="0" w:space="0" w:color="auto"/>
            <w:bottom w:val="none" w:sz="0" w:space="0" w:color="auto"/>
            <w:right w:val="none" w:sz="0" w:space="0" w:color="auto"/>
          </w:divBdr>
        </w:div>
      </w:divsChild>
    </w:div>
    <w:div w:id="1447700379">
      <w:bodyDiv w:val="1"/>
      <w:marLeft w:val="0"/>
      <w:marRight w:val="0"/>
      <w:marTop w:val="0"/>
      <w:marBottom w:val="0"/>
      <w:divBdr>
        <w:top w:val="none" w:sz="0" w:space="0" w:color="auto"/>
        <w:left w:val="none" w:sz="0" w:space="0" w:color="auto"/>
        <w:bottom w:val="none" w:sz="0" w:space="0" w:color="auto"/>
        <w:right w:val="none" w:sz="0" w:space="0" w:color="auto"/>
      </w:divBdr>
      <w:divsChild>
        <w:div w:id="522092311">
          <w:marLeft w:val="547"/>
          <w:marRight w:val="0"/>
          <w:marTop w:val="115"/>
          <w:marBottom w:val="0"/>
          <w:divBdr>
            <w:top w:val="none" w:sz="0" w:space="0" w:color="auto"/>
            <w:left w:val="none" w:sz="0" w:space="0" w:color="auto"/>
            <w:bottom w:val="none" w:sz="0" w:space="0" w:color="auto"/>
            <w:right w:val="none" w:sz="0" w:space="0" w:color="auto"/>
          </w:divBdr>
        </w:div>
        <w:div w:id="2025932276">
          <w:marLeft w:val="547"/>
          <w:marRight w:val="0"/>
          <w:marTop w:val="115"/>
          <w:marBottom w:val="0"/>
          <w:divBdr>
            <w:top w:val="none" w:sz="0" w:space="0" w:color="auto"/>
            <w:left w:val="none" w:sz="0" w:space="0" w:color="auto"/>
            <w:bottom w:val="none" w:sz="0" w:space="0" w:color="auto"/>
            <w:right w:val="none" w:sz="0" w:space="0" w:color="auto"/>
          </w:divBdr>
        </w:div>
        <w:div w:id="283850666">
          <w:marLeft w:val="547"/>
          <w:marRight w:val="0"/>
          <w:marTop w:val="115"/>
          <w:marBottom w:val="0"/>
          <w:divBdr>
            <w:top w:val="none" w:sz="0" w:space="0" w:color="auto"/>
            <w:left w:val="none" w:sz="0" w:space="0" w:color="auto"/>
            <w:bottom w:val="none" w:sz="0" w:space="0" w:color="auto"/>
            <w:right w:val="none" w:sz="0" w:space="0" w:color="auto"/>
          </w:divBdr>
        </w:div>
        <w:div w:id="1273441115">
          <w:marLeft w:val="547"/>
          <w:marRight w:val="0"/>
          <w:marTop w:val="115"/>
          <w:marBottom w:val="0"/>
          <w:divBdr>
            <w:top w:val="none" w:sz="0" w:space="0" w:color="auto"/>
            <w:left w:val="none" w:sz="0" w:space="0" w:color="auto"/>
            <w:bottom w:val="none" w:sz="0" w:space="0" w:color="auto"/>
            <w:right w:val="none" w:sz="0" w:space="0" w:color="auto"/>
          </w:divBdr>
        </w:div>
      </w:divsChild>
    </w:div>
    <w:div w:id="1468203392">
      <w:bodyDiv w:val="1"/>
      <w:marLeft w:val="0"/>
      <w:marRight w:val="0"/>
      <w:marTop w:val="0"/>
      <w:marBottom w:val="0"/>
      <w:divBdr>
        <w:top w:val="none" w:sz="0" w:space="0" w:color="auto"/>
        <w:left w:val="none" w:sz="0" w:space="0" w:color="auto"/>
        <w:bottom w:val="none" w:sz="0" w:space="0" w:color="auto"/>
        <w:right w:val="none" w:sz="0" w:space="0" w:color="auto"/>
      </w:divBdr>
      <w:divsChild>
        <w:div w:id="1677800706">
          <w:marLeft w:val="0"/>
          <w:marRight w:val="0"/>
          <w:marTop w:val="0"/>
          <w:marBottom w:val="0"/>
          <w:divBdr>
            <w:top w:val="none" w:sz="0" w:space="0" w:color="auto"/>
            <w:left w:val="none" w:sz="0" w:space="0" w:color="auto"/>
            <w:bottom w:val="none" w:sz="0" w:space="0" w:color="auto"/>
            <w:right w:val="none" w:sz="0" w:space="0" w:color="auto"/>
          </w:divBdr>
        </w:div>
        <w:div w:id="915211807">
          <w:marLeft w:val="0"/>
          <w:marRight w:val="0"/>
          <w:marTop w:val="0"/>
          <w:marBottom w:val="0"/>
          <w:divBdr>
            <w:top w:val="none" w:sz="0" w:space="0" w:color="auto"/>
            <w:left w:val="none" w:sz="0" w:space="0" w:color="auto"/>
            <w:bottom w:val="none" w:sz="0" w:space="0" w:color="auto"/>
            <w:right w:val="none" w:sz="0" w:space="0" w:color="auto"/>
          </w:divBdr>
        </w:div>
      </w:divsChild>
    </w:div>
    <w:div w:id="1482968453">
      <w:bodyDiv w:val="1"/>
      <w:marLeft w:val="0"/>
      <w:marRight w:val="0"/>
      <w:marTop w:val="0"/>
      <w:marBottom w:val="0"/>
      <w:divBdr>
        <w:top w:val="none" w:sz="0" w:space="0" w:color="auto"/>
        <w:left w:val="none" w:sz="0" w:space="0" w:color="auto"/>
        <w:bottom w:val="none" w:sz="0" w:space="0" w:color="auto"/>
        <w:right w:val="none" w:sz="0" w:space="0" w:color="auto"/>
      </w:divBdr>
      <w:divsChild>
        <w:div w:id="1663972631">
          <w:marLeft w:val="0"/>
          <w:marRight w:val="0"/>
          <w:marTop w:val="0"/>
          <w:marBottom w:val="0"/>
          <w:divBdr>
            <w:top w:val="none" w:sz="0" w:space="0" w:color="auto"/>
            <w:left w:val="none" w:sz="0" w:space="0" w:color="auto"/>
            <w:bottom w:val="none" w:sz="0" w:space="0" w:color="auto"/>
            <w:right w:val="none" w:sz="0" w:space="0" w:color="auto"/>
          </w:divBdr>
        </w:div>
        <w:div w:id="1134831321">
          <w:marLeft w:val="0"/>
          <w:marRight w:val="0"/>
          <w:marTop w:val="0"/>
          <w:marBottom w:val="0"/>
          <w:divBdr>
            <w:top w:val="none" w:sz="0" w:space="0" w:color="auto"/>
            <w:left w:val="none" w:sz="0" w:space="0" w:color="auto"/>
            <w:bottom w:val="none" w:sz="0" w:space="0" w:color="auto"/>
            <w:right w:val="none" w:sz="0" w:space="0" w:color="auto"/>
          </w:divBdr>
        </w:div>
        <w:div w:id="1416440351">
          <w:marLeft w:val="0"/>
          <w:marRight w:val="0"/>
          <w:marTop w:val="0"/>
          <w:marBottom w:val="0"/>
          <w:divBdr>
            <w:top w:val="none" w:sz="0" w:space="0" w:color="auto"/>
            <w:left w:val="none" w:sz="0" w:space="0" w:color="auto"/>
            <w:bottom w:val="none" w:sz="0" w:space="0" w:color="auto"/>
            <w:right w:val="none" w:sz="0" w:space="0" w:color="auto"/>
          </w:divBdr>
        </w:div>
        <w:div w:id="1956863799">
          <w:marLeft w:val="0"/>
          <w:marRight w:val="0"/>
          <w:marTop w:val="0"/>
          <w:marBottom w:val="0"/>
          <w:divBdr>
            <w:top w:val="none" w:sz="0" w:space="0" w:color="auto"/>
            <w:left w:val="none" w:sz="0" w:space="0" w:color="auto"/>
            <w:bottom w:val="none" w:sz="0" w:space="0" w:color="auto"/>
            <w:right w:val="none" w:sz="0" w:space="0" w:color="auto"/>
          </w:divBdr>
        </w:div>
      </w:divsChild>
    </w:div>
    <w:div w:id="1535463910">
      <w:bodyDiv w:val="1"/>
      <w:marLeft w:val="0"/>
      <w:marRight w:val="0"/>
      <w:marTop w:val="0"/>
      <w:marBottom w:val="0"/>
      <w:divBdr>
        <w:top w:val="none" w:sz="0" w:space="0" w:color="auto"/>
        <w:left w:val="none" w:sz="0" w:space="0" w:color="auto"/>
        <w:bottom w:val="none" w:sz="0" w:space="0" w:color="auto"/>
        <w:right w:val="none" w:sz="0" w:space="0" w:color="auto"/>
      </w:divBdr>
      <w:divsChild>
        <w:div w:id="360514111">
          <w:marLeft w:val="547"/>
          <w:marRight w:val="0"/>
          <w:marTop w:val="115"/>
          <w:marBottom w:val="0"/>
          <w:divBdr>
            <w:top w:val="none" w:sz="0" w:space="0" w:color="auto"/>
            <w:left w:val="none" w:sz="0" w:space="0" w:color="auto"/>
            <w:bottom w:val="none" w:sz="0" w:space="0" w:color="auto"/>
            <w:right w:val="none" w:sz="0" w:space="0" w:color="auto"/>
          </w:divBdr>
        </w:div>
        <w:div w:id="2105228230">
          <w:marLeft w:val="547"/>
          <w:marRight w:val="0"/>
          <w:marTop w:val="115"/>
          <w:marBottom w:val="0"/>
          <w:divBdr>
            <w:top w:val="none" w:sz="0" w:space="0" w:color="auto"/>
            <w:left w:val="none" w:sz="0" w:space="0" w:color="auto"/>
            <w:bottom w:val="none" w:sz="0" w:space="0" w:color="auto"/>
            <w:right w:val="none" w:sz="0" w:space="0" w:color="auto"/>
          </w:divBdr>
        </w:div>
        <w:div w:id="173149207">
          <w:marLeft w:val="547"/>
          <w:marRight w:val="0"/>
          <w:marTop w:val="115"/>
          <w:marBottom w:val="0"/>
          <w:divBdr>
            <w:top w:val="none" w:sz="0" w:space="0" w:color="auto"/>
            <w:left w:val="none" w:sz="0" w:space="0" w:color="auto"/>
            <w:bottom w:val="none" w:sz="0" w:space="0" w:color="auto"/>
            <w:right w:val="none" w:sz="0" w:space="0" w:color="auto"/>
          </w:divBdr>
        </w:div>
      </w:divsChild>
    </w:div>
    <w:div w:id="1557744520">
      <w:bodyDiv w:val="1"/>
      <w:marLeft w:val="0"/>
      <w:marRight w:val="0"/>
      <w:marTop w:val="0"/>
      <w:marBottom w:val="0"/>
      <w:divBdr>
        <w:top w:val="none" w:sz="0" w:space="0" w:color="auto"/>
        <w:left w:val="none" w:sz="0" w:space="0" w:color="auto"/>
        <w:bottom w:val="none" w:sz="0" w:space="0" w:color="auto"/>
        <w:right w:val="none" w:sz="0" w:space="0" w:color="auto"/>
      </w:divBdr>
      <w:divsChild>
        <w:div w:id="328875302">
          <w:marLeft w:val="547"/>
          <w:marRight w:val="0"/>
          <w:marTop w:val="115"/>
          <w:marBottom w:val="0"/>
          <w:divBdr>
            <w:top w:val="none" w:sz="0" w:space="0" w:color="auto"/>
            <w:left w:val="none" w:sz="0" w:space="0" w:color="auto"/>
            <w:bottom w:val="none" w:sz="0" w:space="0" w:color="auto"/>
            <w:right w:val="none" w:sz="0" w:space="0" w:color="auto"/>
          </w:divBdr>
        </w:div>
        <w:div w:id="511189248">
          <w:marLeft w:val="547"/>
          <w:marRight w:val="0"/>
          <w:marTop w:val="115"/>
          <w:marBottom w:val="0"/>
          <w:divBdr>
            <w:top w:val="none" w:sz="0" w:space="0" w:color="auto"/>
            <w:left w:val="none" w:sz="0" w:space="0" w:color="auto"/>
            <w:bottom w:val="none" w:sz="0" w:space="0" w:color="auto"/>
            <w:right w:val="none" w:sz="0" w:space="0" w:color="auto"/>
          </w:divBdr>
        </w:div>
        <w:div w:id="1956868907">
          <w:marLeft w:val="547"/>
          <w:marRight w:val="0"/>
          <w:marTop w:val="115"/>
          <w:marBottom w:val="0"/>
          <w:divBdr>
            <w:top w:val="none" w:sz="0" w:space="0" w:color="auto"/>
            <w:left w:val="none" w:sz="0" w:space="0" w:color="auto"/>
            <w:bottom w:val="none" w:sz="0" w:space="0" w:color="auto"/>
            <w:right w:val="none" w:sz="0" w:space="0" w:color="auto"/>
          </w:divBdr>
        </w:div>
      </w:divsChild>
    </w:div>
    <w:div w:id="1573346065">
      <w:bodyDiv w:val="1"/>
      <w:marLeft w:val="0"/>
      <w:marRight w:val="0"/>
      <w:marTop w:val="0"/>
      <w:marBottom w:val="0"/>
      <w:divBdr>
        <w:top w:val="none" w:sz="0" w:space="0" w:color="auto"/>
        <w:left w:val="none" w:sz="0" w:space="0" w:color="auto"/>
        <w:bottom w:val="none" w:sz="0" w:space="0" w:color="auto"/>
        <w:right w:val="none" w:sz="0" w:space="0" w:color="auto"/>
      </w:divBdr>
      <w:divsChild>
        <w:div w:id="598952267">
          <w:marLeft w:val="547"/>
          <w:marRight w:val="0"/>
          <w:marTop w:val="96"/>
          <w:marBottom w:val="0"/>
          <w:divBdr>
            <w:top w:val="none" w:sz="0" w:space="0" w:color="auto"/>
            <w:left w:val="none" w:sz="0" w:space="0" w:color="auto"/>
            <w:bottom w:val="none" w:sz="0" w:space="0" w:color="auto"/>
            <w:right w:val="none" w:sz="0" w:space="0" w:color="auto"/>
          </w:divBdr>
        </w:div>
        <w:div w:id="512845060">
          <w:marLeft w:val="547"/>
          <w:marRight w:val="0"/>
          <w:marTop w:val="96"/>
          <w:marBottom w:val="0"/>
          <w:divBdr>
            <w:top w:val="none" w:sz="0" w:space="0" w:color="auto"/>
            <w:left w:val="none" w:sz="0" w:space="0" w:color="auto"/>
            <w:bottom w:val="none" w:sz="0" w:space="0" w:color="auto"/>
            <w:right w:val="none" w:sz="0" w:space="0" w:color="auto"/>
          </w:divBdr>
        </w:div>
        <w:div w:id="2093773864">
          <w:marLeft w:val="547"/>
          <w:marRight w:val="0"/>
          <w:marTop w:val="96"/>
          <w:marBottom w:val="0"/>
          <w:divBdr>
            <w:top w:val="none" w:sz="0" w:space="0" w:color="auto"/>
            <w:left w:val="none" w:sz="0" w:space="0" w:color="auto"/>
            <w:bottom w:val="none" w:sz="0" w:space="0" w:color="auto"/>
            <w:right w:val="none" w:sz="0" w:space="0" w:color="auto"/>
          </w:divBdr>
        </w:div>
      </w:divsChild>
    </w:div>
    <w:div w:id="1607811471">
      <w:bodyDiv w:val="1"/>
      <w:marLeft w:val="0"/>
      <w:marRight w:val="0"/>
      <w:marTop w:val="0"/>
      <w:marBottom w:val="0"/>
      <w:divBdr>
        <w:top w:val="none" w:sz="0" w:space="0" w:color="auto"/>
        <w:left w:val="none" w:sz="0" w:space="0" w:color="auto"/>
        <w:bottom w:val="none" w:sz="0" w:space="0" w:color="auto"/>
        <w:right w:val="none" w:sz="0" w:space="0" w:color="auto"/>
      </w:divBdr>
      <w:divsChild>
        <w:div w:id="595988735">
          <w:marLeft w:val="547"/>
          <w:marRight w:val="0"/>
          <w:marTop w:val="115"/>
          <w:marBottom w:val="0"/>
          <w:divBdr>
            <w:top w:val="none" w:sz="0" w:space="0" w:color="auto"/>
            <w:left w:val="none" w:sz="0" w:space="0" w:color="auto"/>
            <w:bottom w:val="none" w:sz="0" w:space="0" w:color="auto"/>
            <w:right w:val="none" w:sz="0" w:space="0" w:color="auto"/>
          </w:divBdr>
        </w:div>
        <w:div w:id="1577738968">
          <w:marLeft w:val="547"/>
          <w:marRight w:val="0"/>
          <w:marTop w:val="115"/>
          <w:marBottom w:val="0"/>
          <w:divBdr>
            <w:top w:val="none" w:sz="0" w:space="0" w:color="auto"/>
            <w:left w:val="none" w:sz="0" w:space="0" w:color="auto"/>
            <w:bottom w:val="none" w:sz="0" w:space="0" w:color="auto"/>
            <w:right w:val="none" w:sz="0" w:space="0" w:color="auto"/>
          </w:divBdr>
        </w:div>
        <w:div w:id="1832409634">
          <w:marLeft w:val="547"/>
          <w:marRight w:val="0"/>
          <w:marTop w:val="115"/>
          <w:marBottom w:val="0"/>
          <w:divBdr>
            <w:top w:val="none" w:sz="0" w:space="0" w:color="auto"/>
            <w:left w:val="none" w:sz="0" w:space="0" w:color="auto"/>
            <w:bottom w:val="none" w:sz="0" w:space="0" w:color="auto"/>
            <w:right w:val="none" w:sz="0" w:space="0" w:color="auto"/>
          </w:divBdr>
        </w:div>
      </w:divsChild>
    </w:div>
    <w:div w:id="1685087763">
      <w:bodyDiv w:val="1"/>
      <w:marLeft w:val="0"/>
      <w:marRight w:val="0"/>
      <w:marTop w:val="0"/>
      <w:marBottom w:val="0"/>
      <w:divBdr>
        <w:top w:val="none" w:sz="0" w:space="0" w:color="auto"/>
        <w:left w:val="none" w:sz="0" w:space="0" w:color="auto"/>
        <w:bottom w:val="none" w:sz="0" w:space="0" w:color="auto"/>
        <w:right w:val="none" w:sz="0" w:space="0" w:color="auto"/>
      </w:divBdr>
      <w:divsChild>
        <w:div w:id="1559124959">
          <w:marLeft w:val="547"/>
          <w:marRight w:val="0"/>
          <w:marTop w:val="115"/>
          <w:marBottom w:val="0"/>
          <w:divBdr>
            <w:top w:val="none" w:sz="0" w:space="0" w:color="auto"/>
            <w:left w:val="none" w:sz="0" w:space="0" w:color="auto"/>
            <w:bottom w:val="none" w:sz="0" w:space="0" w:color="auto"/>
            <w:right w:val="none" w:sz="0" w:space="0" w:color="auto"/>
          </w:divBdr>
        </w:div>
        <w:div w:id="216284346">
          <w:marLeft w:val="547"/>
          <w:marRight w:val="0"/>
          <w:marTop w:val="115"/>
          <w:marBottom w:val="0"/>
          <w:divBdr>
            <w:top w:val="none" w:sz="0" w:space="0" w:color="auto"/>
            <w:left w:val="none" w:sz="0" w:space="0" w:color="auto"/>
            <w:bottom w:val="none" w:sz="0" w:space="0" w:color="auto"/>
            <w:right w:val="none" w:sz="0" w:space="0" w:color="auto"/>
          </w:divBdr>
        </w:div>
        <w:div w:id="1925068196">
          <w:marLeft w:val="547"/>
          <w:marRight w:val="0"/>
          <w:marTop w:val="115"/>
          <w:marBottom w:val="0"/>
          <w:divBdr>
            <w:top w:val="none" w:sz="0" w:space="0" w:color="auto"/>
            <w:left w:val="none" w:sz="0" w:space="0" w:color="auto"/>
            <w:bottom w:val="none" w:sz="0" w:space="0" w:color="auto"/>
            <w:right w:val="none" w:sz="0" w:space="0" w:color="auto"/>
          </w:divBdr>
        </w:div>
      </w:divsChild>
    </w:div>
    <w:div w:id="1704398322">
      <w:bodyDiv w:val="1"/>
      <w:marLeft w:val="0"/>
      <w:marRight w:val="0"/>
      <w:marTop w:val="0"/>
      <w:marBottom w:val="0"/>
      <w:divBdr>
        <w:top w:val="none" w:sz="0" w:space="0" w:color="auto"/>
        <w:left w:val="none" w:sz="0" w:space="0" w:color="auto"/>
        <w:bottom w:val="none" w:sz="0" w:space="0" w:color="auto"/>
        <w:right w:val="none" w:sz="0" w:space="0" w:color="auto"/>
      </w:divBdr>
      <w:divsChild>
        <w:div w:id="1486314508">
          <w:marLeft w:val="0"/>
          <w:marRight w:val="0"/>
          <w:marTop w:val="0"/>
          <w:marBottom w:val="0"/>
          <w:divBdr>
            <w:top w:val="none" w:sz="0" w:space="0" w:color="auto"/>
            <w:left w:val="none" w:sz="0" w:space="0" w:color="auto"/>
            <w:bottom w:val="none" w:sz="0" w:space="0" w:color="auto"/>
            <w:right w:val="none" w:sz="0" w:space="0" w:color="auto"/>
          </w:divBdr>
        </w:div>
        <w:div w:id="1826312077">
          <w:marLeft w:val="0"/>
          <w:marRight w:val="0"/>
          <w:marTop w:val="0"/>
          <w:marBottom w:val="0"/>
          <w:divBdr>
            <w:top w:val="none" w:sz="0" w:space="0" w:color="auto"/>
            <w:left w:val="none" w:sz="0" w:space="0" w:color="auto"/>
            <w:bottom w:val="none" w:sz="0" w:space="0" w:color="auto"/>
            <w:right w:val="none" w:sz="0" w:space="0" w:color="auto"/>
          </w:divBdr>
        </w:div>
        <w:div w:id="1691372291">
          <w:marLeft w:val="0"/>
          <w:marRight w:val="0"/>
          <w:marTop w:val="0"/>
          <w:marBottom w:val="0"/>
          <w:divBdr>
            <w:top w:val="none" w:sz="0" w:space="0" w:color="auto"/>
            <w:left w:val="none" w:sz="0" w:space="0" w:color="auto"/>
            <w:bottom w:val="none" w:sz="0" w:space="0" w:color="auto"/>
            <w:right w:val="none" w:sz="0" w:space="0" w:color="auto"/>
          </w:divBdr>
        </w:div>
        <w:div w:id="1391229011">
          <w:marLeft w:val="0"/>
          <w:marRight w:val="0"/>
          <w:marTop w:val="0"/>
          <w:marBottom w:val="0"/>
          <w:divBdr>
            <w:top w:val="none" w:sz="0" w:space="0" w:color="auto"/>
            <w:left w:val="none" w:sz="0" w:space="0" w:color="auto"/>
            <w:bottom w:val="none" w:sz="0" w:space="0" w:color="auto"/>
            <w:right w:val="none" w:sz="0" w:space="0" w:color="auto"/>
          </w:divBdr>
        </w:div>
        <w:div w:id="578371194">
          <w:marLeft w:val="0"/>
          <w:marRight w:val="0"/>
          <w:marTop w:val="0"/>
          <w:marBottom w:val="0"/>
          <w:divBdr>
            <w:top w:val="none" w:sz="0" w:space="0" w:color="auto"/>
            <w:left w:val="none" w:sz="0" w:space="0" w:color="auto"/>
            <w:bottom w:val="none" w:sz="0" w:space="0" w:color="auto"/>
            <w:right w:val="none" w:sz="0" w:space="0" w:color="auto"/>
          </w:divBdr>
        </w:div>
        <w:div w:id="1509445093">
          <w:marLeft w:val="0"/>
          <w:marRight w:val="0"/>
          <w:marTop w:val="0"/>
          <w:marBottom w:val="0"/>
          <w:divBdr>
            <w:top w:val="none" w:sz="0" w:space="0" w:color="auto"/>
            <w:left w:val="none" w:sz="0" w:space="0" w:color="auto"/>
            <w:bottom w:val="none" w:sz="0" w:space="0" w:color="auto"/>
            <w:right w:val="none" w:sz="0" w:space="0" w:color="auto"/>
          </w:divBdr>
        </w:div>
      </w:divsChild>
    </w:div>
    <w:div w:id="1737047357">
      <w:bodyDiv w:val="1"/>
      <w:marLeft w:val="0"/>
      <w:marRight w:val="0"/>
      <w:marTop w:val="0"/>
      <w:marBottom w:val="0"/>
      <w:divBdr>
        <w:top w:val="none" w:sz="0" w:space="0" w:color="auto"/>
        <w:left w:val="none" w:sz="0" w:space="0" w:color="auto"/>
        <w:bottom w:val="none" w:sz="0" w:space="0" w:color="auto"/>
        <w:right w:val="none" w:sz="0" w:space="0" w:color="auto"/>
      </w:divBdr>
      <w:divsChild>
        <w:div w:id="1230922733">
          <w:marLeft w:val="0"/>
          <w:marRight w:val="0"/>
          <w:marTop w:val="0"/>
          <w:marBottom w:val="0"/>
          <w:divBdr>
            <w:top w:val="none" w:sz="0" w:space="0" w:color="auto"/>
            <w:left w:val="none" w:sz="0" w:space="0" w:color="auto"/>
            <w:bottom w:val="none" w:sz="0" w:space="0" w:color="auto"/>
            <w:right w:val="none" w:sz="0" w:space="0" w:color="auto"/>
          </w:divBdr>
        </w:div>
        <w:div w:id="378550918">
          <w:marLeft w:val="0"/>
          <w:marRight w:val="0"/>
          <w:marTop w:val="0"/>
          <w:marBottom w:val="0"/>
          <w:divBdr>
            <w:top w:val="none" w:sz="0" w:space="0" w:color="auto"/>
            <w:left w:val="none" w:sz="0" w:space="0" w:color="auto"/>
            <w:bottom w:val="none" w:sz="0" w:space="0" w:color="auto"/>
            <w:right w:val="none" w:sz="0" w:space="0" w:color="auto"/>
          </w:divBdr>
        </w:div>
        <w:div w:id="1064330976">
          <w:marLeft w:val="0"/>
          <w:marRight w:val="0"/>
          <w:marTop w:val="0"/>
          <w:marBottom w:val="0"/>
          <w:divBdr>
            <w:top w:val="none" w:sz="0" w:space="0" w:color="auto"/>
            <w:left w:val="none" w:sz="0" w:space="0" w:color="auto"/>
            <w:bottom w:val="none" w:sz="0" w:space="0" w:color="auto"/>
            <w:right w:val="none" w:sz="0" w:space="0" w:color="auto"/>
          </w:divBdr>
        </w:div>
        <w:div w:id="948851931">
          <w:marLeft w:val="0"/>
          <w:marRight w:val="0"/>
          <w:marTop w:val="0"/>
          <w:marBottom w:val="0"/>
          <w:divBdr>
            <w:top w:val="none" w:sz="0" w:space="0" w:color="auto"/>
            <w:left w:val="none" w:sz="0" w:space="0" w:color="auto"/>
            <w:bottom w:val="none" w:sz="0" w:space="0" w:color="auto"/>
            <w:right w:val="none" w:sz="0" w:space="0" w:color="auto"/>
          </w:divBdr>
        </w:div>
        <w:div w:id="102188443">
          <w:marLeft w:val="0"/>
          <w:marRight w:val="0"/>
          <w:marTop w:val="0"/>
          <w:marBottom w:val="0"/>
          <w:divBdr>
            <w:top w:val="none" w:sz="0" w:space="0" w:color="auto"/>
            <w:left w:val="none" w:sz="0" w:space="0" w:color="auto"/>
            <w:bottom w:val="none" w:sz="0" w:space="0" w:color="auto"/>
            <w:right w:val="none" w:sz="0" w:space="0" w:color="auto"/>
          </w:divBdr>
        </w:div>
      </w:divsChild>
    </w:div>
    <w:div w:id="1761372605">
      <w:bodyDiv w:val="1"/>
      <w:marLeft w:val="0"/>
      <w:marRight w:val="0"/>
      <w:marTop w:val="0"/>
      <w:marBottom w:val="0"/>
      <w:divBdr>
        <w:top w:val="none" w:sz="0" w:space="0" w:color="auto"/>
        <w:left w:val="none" w:sz="0" w:space="0" w:color="auto"/>
        <w:bottom w:val="none" w:sz="0" w:space="0" w:color="auto"/>
        <w:right w:val="none" w:sz="0" w:space="0" w:color="auto"/>
      </w:divBdr>
      <w:divsChild>
        <w:div w:id="2016107979">
          <w:marLeft w:val="547"/>
          <w:marRight w:val="0"/>
          <w:marTop w:val="96"/>
          <w:marBottom w:val="0"/>
          <w:divBdr>
            <w:top w:val="none" w:sz="0" w:space="0" w:color="auto"/>
            <w:left w:val="none" w:sz="0" w:space="0" w:color="auto"/>
            <w:bottom w:val="none" w:sz="0" w:space="0" w:color="auto"/>
            <w:right w:val="none" w:sz="0" w:space="0" w:color="auto"/>
          </w:divBdr>
        </w:div>
      </w:divsChild>
    </w:div>
    <w:div w:id="1796295483">
      <w:bodyDiv w:val="1"/>
      <w:marLeft w:val="0"/>
      <w:marRight w:val="0"/>
      <w:marTop w:val="0"/>
      <w:marBottom w:val="0"/>
      <w:divBdr>
        <w:top w:val="none" w:sz="0" w:space="0" w:color="auto"/>
        <w:left w:val="none" w:sz="0" w:space="0" w:color="auto"/>
        <w:bottom w:val="none" w:sz="0" w:space="0" w:color="auto"/>
        <w:right w:val="none" w:sz="0" w:space="0" w:color="auto"/>
      </w:divBdr>
      <w:divsChild>
        <w:div w:id="177162725">
          <w:marLeft w:val="0"/>
          <w:marRight w:val="0"/>
          <w:marTop w:val="0"/>
          <w:marBottom w:val="0"/>
          <w:divBdr>
            <w:top w:val="none" w:sz="0" w:space="0" w:color="auto"/>
            <w:left w:val="none" w:sz="0" w:space="0" w:color="auto"/>
            <w:bottom w:val="none" w:sz="0" w:space="0" w:color="auto"/>
            <w:right w:val="none" w:sz="0" w:space="0" w:color="auto"/>
          </w:divBdr>
        </w:div>
        <w:div w:id="2005427413">
          <w:marLeft w:val="0"/>
          <w:marRight w:val="0"/>
          <w:marTop w:val="0"/>
          <w:marBottom w:val="0"/>
          <w:divBdr>
            <w:top w:val="none" w:sz="0" w:space="0" w:color="auto"/>
            <w:left w:val="none" w:sz="0" w:space="0" w:color="auto"/>
            <w:bottom w:val="none" w:sz="0" w:space="0" w:color="auto"/>
            <w:right w:val="none" w:sz="0" w:space="0" w:color="auto"/>
          </w:divBdr>
        </w:div>
        <w:div w:id="1577587262">
          <w:marLeft w:val="0"/>
          <w:marRight w:val="0"/>
          <w:marTop w:val="0"/>
          <w:marBottom w:val="0"/>
          <w:divBdr>
            <w:top w:val="none" w:sz="0" w:space="0" w:color="auto"/>
            <w:left w:val="none" w:sz="0" w:space="0" w:color="auto"/>
            <w:bottom w:val="none" w:sz="0" w:space="0" w:color="auto"/>
            <w:right w:val="none" w:sz="0" w:space="0" w:color="auto"/>
          </w:divBdr>
        </w:div>
      </w:divsChild>
    </w:div>
    <w:div w:id="1799641295">
      <w:bodyDiv w:val="1"/>
      <w:marLeft w:val="0"/>
      <w:marRight w:val="0"/>
      <w:marTop w:val="0"/>
      <w:marBottom w:val="0"/>
      <w:divBdr>
        <w:top w:val="none" w:sz="0" w:space="0" w:color="auto"/>
        <w:left w:val="none" w:sz="0" w:space="0" w:color="auto"/>
        <w:bottom w:val="none" w:sz="0" w:space="0" w:color="auto"/>
        <w:right w:val="none" w:sz="0" w:space="0" w:color="auto"/>
      </w:divBdr>
      <w:divsChild>
        <w:div w:id="557977418">
          <w:marLeft w:val="547"/>
          <w:marRight w:val="0"/>
          <w:marTop w:val="115"/>
          <w:marBottom w:val="0"/>
          <w:divBdr>
            <w:top w:val="none" w:sz="0" w:space="0" w:color="auto"/>
            <w:left w:val="none" w:sz="0" w:space="0" w:color="auto"/>
            <w:bottom w:val="none" w:sz="0" w:space="0" w:color="auto"/>
            <w:right w:val="none" w:sz="0" w:space="0" w:color="auto"/>
          </w:divBdr>
        </w:div>
        <w:div w:id="151337504">
          <w:marLeft w:val="547"/>
          <w:marRight w:val="0"/>
          <w:marTop w:val="115"/>
          <w:marBottom w:val="0"/>
          <w:divBdr>
            <w:top w:val="none" w:sz="0" w:space="0" w:color="auto"/>
            <w:left w:val="none" w:sz="0" w:space="0" w:color="auto"/>
            <w:bottom w:val="none" w:sz="0" w:space="0" w:color="auto"/>
            <w:right w:val="none" w:sz="0" w:space="0" w:color="auto"/>
          </w:divBdr>
        </w:div>
      </w:divsChild>
    </w:div>
    <w:div w:id="1803645737">
      <w:bodyDiv w:val="1"/>
      <w:marLeft w:val="0"/>
      <w:marRight w:val="0"/>
      <w:marTop w:val="0"/>
      <w:marBottom w:val="0"/>
      <w:divBdr>
        <w:top w:val="none" w:sz="0" w:space="0" w:color="auto"/>
        <w:left w:val="none" w:sz="0" w:space="0" w:color="auto"/>
        <w:bottom w:val="none" w:sz="0" w:space="0" w:color="auto"/>
        <w:right w:val="none" w:sz="0" w:space="0" w:color="auto"/>
      </w:divBdr>
      <w:divsChild>
        <w:div w:id="878010945">
          <w:marLeft w:val="547"/>
          <w:marRight w:val="0"/>
          <w:marTop w:val="96"/>
          <w:marBottom w:val="0"/>
          <w:divBdr>
            <w:top w:val="none" w:sz="0" w:space="0" w:color="auto"/>
            <w:left w:val="none" w:sz="0" w:space="0" w:color="auto"/>
            <w:bottom w:val="none" w:sz="0" w:space="0" w:color="auto"/>
            <w:right w:val="none" w:sz="0" w:space="0" w:color="auto"/>
          </w:divBdr>
        </w:div>
      </w:divsChild>
    </w:div>
    <w:div w:id="1844277240">
      <w:bodyDiv w:val="1"/>
      <w:marLeft w:val="0"/>
      <w:marRight w:val="0"/>
      <w:marTop w:val="0"/>
      <w:marBottom w:val="0"/>
      <w:divBdr>
        <w:top w:val="none" w:sz="0" w:space="0" w:color="auto"/>
        <w:left w:val="none" w:sz="0" w:space="0" w:color="auto"/>
        <w:bottom w:val="none" w:sz="0" w:space="0" w:color="auto"/>
        <w:right w:val="none" w:sz="0" w:space="0" w:color="auto"/>
      </w:divBdr>
      <w:divsChild>
        <w:div w:id="1816992566">
          <w:marLeft w:val="0"/>
          <w:marRight w:val="0"/>
          <w:marTop w:val="0"/>
          <w:marBottom w:val="0"/>
          <w:divBdr>
            <w:top w:val="none" w:sz="0" w:space="0" w:color="auto"/>
            <w:left w:val="none" w:sz="0" w:space="0" w:color="auto"/>
            <w:bottom w:val="none" w:sz="0" w:space="0" w:color="auto"/>
            <w:right w:val="none" w:sz="0" w:space="0" w:color="auto"/>
          </w:divBdr>
        </w:div>
        <w:div w:id="2002075422">
          <w:marLeft w:val="0"/>
          <w:marRight w:val="0"/>
          <w:marTop w:val="0"/>
          <w:marBottom w:val="0"/>
          <w:divBdr>
            <w:top w:val="none" w:sz="0" w:space="0" w:color="auto"/>
            <w:left w:val="none" w:sz="0" w:space="0" w:color="auto"/>
            <w:bottom w:val="none" w:sz="0" w:space="0" w:color="auto"/>
            <w:right w:val="none" w:sz="0" w:space="0" w:color="auto"/>
          </w:divBdr>
        </w:div>
      </w:divsChild>
    </w:div>
    <w:div w:id="1858540967">
      <w:bodyDiv w:val="1"/>
      <w:marLeft w:val="0"/>
      <w:marRight w:val="0"/>
      <w:marTop w:val="0"/>
      <w:marBottom w:val="0"/>
      <w:divBdr>
        <w:top w:val="none" w:sz="0" w:space="0" w:color="auto"/>
        <w:left w:val="none" w:sz="0" w:space="0" w:color="auto"/>
        <w:bottom w:val="none" w:sz="0" w:space="0" w:color="auto"/>
        <w:right w:val="none" w:sz="0" w:space="0" w:color="auto"/>
      </w:divBdr>
      <w:divsChild>
        <w:div w:id="1981567613">
          <w:marLeft w:val="547"/>
          <w:marRight w:val="0"/>
          <w:marTop w:val="115"/>
          <w:marBottom w:val="0"/>
          <w:divBdr>
            <w:top w:val="none" w:sz="0" w:space="0" w:color="auto"/>
            <w:left w:val="none" w:sz="0" w:space="0" w:color="auto"/>
            <w:bottom w:val="none" w:sz="0" w:space="0" w:color="auto"/>
            <w:right w:val="none" w:sz="0" w:space="0" w:color="auto"/>
          </w:divBdr>
        </w:div>
        <w:div w:id="174655655">
          <w:marLeft w:val="547"/>
          <w:marRight w:val="0"/>
          <w:marTop w:val="115"/>
          <w:marBottom w:val="0"/>
          <w:divBdr>
            <w:top w:val="none" w:sz="0" w:space="0" w:color="auto"/>
            <w:left w:val="none" w:sz="0" w:space="0" w:color="auto"/>
            <w:bottom w:val="none" w:sz="0" w:space="0" w:color="auto"/>
            <w:right w:val="none" w:sz="0" w:space="0" w:color="auto"/>
          </w:divBdr>
        </w:div>
      </w:divsChild>
    </w:div>
    <w:div w:id="1870487333">
      <w:bodyDiv w:val="1"/>
      <w:marLeft w:val="0"/>
      <w:marRight w:val="0"/>
      <w:marTop w:val="0"/>
      <w:marBottom w:val="0"/>
      <w:divBdr>
        <w:top w:val="none" w:sz="0" w:space="0" w:color="auto"/>
        <w:left w:val="none" w:sz="0" w:space="0" w:color="auto"/>
        <w:bottom w:val="none" w:sz="0" w:space="0" w:color="auto"/>
        <w:right w:val="none" w:sz="0" w:space="0" w:color="auto"/>
      </w:divBdr>
      <w:divsChild>
        <w:div w:id="349528504">
          <w:marLeft w:val="547"/>
          <w:marRight w:val="0"/>
          <w:marTop w:val="96"/>
          <w:marBottom w:val="0"/>
          <w:divBdr>
            <w:top w:val="none" w:sz="0" w:space="0" w:color="auto"/>
            <w:left w:val="none" w:sz="0" w:space="0" w:color="auto"/>
            <w:bottom w:val="none" w:sz="0" w:space="0" w:color="auto"/>
            <w:right w:val="none" w:sz="0" w:space="0" w:color="auto"/>
          </w:divBdr>
        </w:div>
        <w:div w:id="642543024">
          <w:marLeft w:val="1166"/>
          <w:marRight w:val="0"/>
          <w:marTop w:val="86"/>
          <w:marBottom w:val="0"/>
          <w:divBdr>
            <w:top w:val="none" w:sz="0" w:space="0" w:color="auto"/>
            <w:left w:val="none" w:sz="0" w:space="0" w:color="auto"/>
            <w:bottom w:val="none" w:sz="0" w:space="0" w:color="auto"/>
            <w:right w:val="none" w:sz="0" w:space="0" w:color="auto"/>
          </w:divBdr>
        </w:div>
        <w:div w:id="1409109914">
          <w:marLeft w:val="1166"/>
          <w:marRight w:val="0"/>
          <w:marTop w:val="86"/>
          <w:marBottom w:val="0"/>
          <w:divBdr>
            <w:top w:val="none" w:sz="0" w:space="0" w:color="auto"/>
            <w:left w:val="none" w:sz="0" w:space="0" w:color="auto"/>
            <w:bottom w:val="none" w:sz="0" w:space="0" w:color="auto"/>
            <w:right w:val="none" w:sz="0" w:space="0" w:color="auto"/>
          </w:divBdr>
        </w:div>
      </w:divsChild>
    </w:div>
    <w:div w:id="1893419086">
      <w:bodyDiv w:val="1"/>
      <w:marLeft w:val="0"/>
      <w:marRight w:val="0"/>
      <w:marTop w:val="0"/>
      <w:marBottom w:val="0"/>
      <w:divBdr>
        <w:top w:val="none" w:sz="0" w:space="0" w:color="auto"/>
        <w:left w:val="none" w:sz="0" w:space="0" w:color="auto"/>
        <w:bottom w:val="none" w:sz="0" w:space="0" w:color="auto"/>
        <w:right w:val="none" w:sz="0" w:space="0" w:color="auto"/>
      </w:divBdr>
      <w:divsChild>
        <w:div w:id="630748329">
          <w:marLeft w:val="0"/>
          <w:marRight w:val="0"/>
          <w:marTop w:val="0"/>
          <w:marBottom w:val="0"/>
          <w:divBdr>
            <w:top w:val="none" w:sz="0" w:space="0" w:color="auto"/>
            <w:left w:val="none" w:sz="0" w:space="0" w:color="auto"/>
            <w:bottom w:val="none" w:sz="0" w:space="0" w:color="auto"/>
            <w:right w:val="none" w:sz="0" w:space="0" w:color="auto"/>
          </w:divBdr>
        </w:div>
        <w:div w:id="266275124">
          <w:marLeft w:val="0"/>
          <w:marRight w:val="0"/>
          <w:marTop w:val="0"/>
          <w:marBottom w:val="0"/>
          <w:divBdr>
            <w:top w:val="none" w:sz="0" w:space="0" w:color="auto"/>
            <w:left w:val="none" w:sz="0" w:space="0" w:color="auto"/>
            <w:bottom w:val="none" w:sz="0" w:space="0" w:color="auto"/>
            <w:right w:val="none" w:sz="0" w:space="0" w:color="auto"/>
          </w:divBdr>
        </w:div>
        <w:div w:id="362098017">
          <w:marLeft w:val="0"/>
          <w:marRight w:val="0"/>
          <w:marTop w:val="0"/>
          <w:marBottom w:val="0"/>
          <w:divBdr>
            <w:top w:val="none" w:sz="0" w:space="0" w:color="auto"/>
            <w:left w:val="none" w:sz="0" w:space="0" w:color="auto"/>
            <w:bottom w:val="none" w:sz="0" w:space="0" w:color="auto"/>
            <w:right w:val="none" w:sz="0" w:space="0" w:color="auto"/>
          </w:divBdr>
        </w:div>
        <w:div w:id="1887403591">
          <w:marLeft w:val="0"/>
          <w:marRight w:val="0"/>
          <w:marTop w:val="0"/>
          <w:marBottom w:val="0"/>
          <w:divBdr>
            <w:top w:val="none" w:sz="0" w:space="0" w:color="auto"/>
            <w:left w:val="none" w:sz="0" w:space="0" w:color="auto"/>
            <w:bottom w:val="none" w:sz="0" w:space="0" w:color="auto"/>
            <w:right w:val="none" w:sz="0" w:space="0" w:color="auto"/>
          </w:divBdr>
        </w:div>
        <w:div w:id="521357649">
          <w:marLeft w:val="0"/>
          <w:marRight w:val="0"/>
          <w:marTop w:val="0"/>
          <w:marBottom w:val="0"/>
          <w:divBdr>
            <w:top w:val="none" w:sz="0" w:space="0" w:color="auto"/>
            <w:left w:val="none" w:sz="0" w:space="0" w:color="auto"/>
            <w:bottom w:val="none" w:sz="0" w:space="0" w:color="auto"/>
            <w:right w:val="none" w:sz="0" w:space="0" w:color="auto"/>
          </w:divBdr>
        </w:div>
        <w:div w:id="957294974">
          <w:marLeft w:val="0"/>
          <w:marRight w:val="0"/>
          <w:marTop w:val="0"/>
          <w:marBottom w:val="0"/>
          <w:divBdr>
            <w:top w:val="none" w:sz="0" w:space="0" w:color="auto"/>
            <w:left w:val="none" w:sz="0" w:space="0" w:color="auto"/>
            <w:bottom w:val="none" w:sz="0" w:space="0" w:color="auto"/>
            <w:right w:val="none" w:sz="0" w:space="0" w:color="auto"/>
          </w:divBdr>
        </w:div>
        <w:div w:id="1511143112">
          <w:marLeft w:val="0"/>
          <w:marRight w:val="0"/>
          <w:marTop w:val="0"/>
          <w:marBottom w:val="0"/>
          <w:divBdr>
            <w:top w:val="none" w:sz="0" w:space="0" w:color="auto"/>
            <w:left w:val="none" w:sz="0" w:space="0" w:color="auto"/>
            <w:bottom w:val="none" w:sz="0" w:space="0" w:color="auto"/>
            <w:right w:val="none" w:sz="0" w:space="0" w:color="auto"/>
          </w:divBdr>
        </w:div>
        <w:div w:id="901792292">
          <w:marLeft w:val="0"/>
          <w:marRight w:val="0"/>
          <w:marTop w:val="0"/>
          <w:marBottom w:val="0"/>
          <w:divBdr>
            <w:top w:val="none" w:sz="0" w:space="0" w:color="auto"/>
            <w:left w:val="none" w:sz="0" w:space="0" w:color="auto"/>
            <w:bottom w:val="none" w:sz="0" w:space="0" w:color="auto"/>
            <w:right w:val="none" w:sz="0" w:space="0" w:color="auto"/>
          </w:divBdr>
        </w:div>
        <w:div w:id="144586742">
          <w:marLeft w:val="0"/>
          <w:marRight w:val="0"/>
          <w:marTop w:val="0"/>
          <w:marBottom w:val="0"/>
          <w:divBdr>
            <w:top w:val="none" w:sz="0" w:space="0" w:color="auto"/>
            <w:left w:val="none" w:sz="0" w:space="0" w:color="auto"/>
            <w:bottom w:val="none" w:sz="0" w:space="0" w:color="auto"/>
            <w:right w:val="none" w:sz="0" w:space="0" w:color="auto"/>
          </w:divBdr>
        </w:div>
      </w:divsChild>
    </w:div>
    <w:div w:id="1931767846">
      <w:bodyDiv w:val="1"/>
      <w:marLeft w:val="0"/>
      <w:marRight w:val="0"/>
      <w:marTop w:val="0"/>
      <w:marBottom w:val="0"/>
      <w:divBdr>
        <w:top w:val="none" w:sz="0" w:space="0" w:color="auto"/>
        <w:left w:val="none" w:sz="0" w:space="0" w:color="auto"/>
        <w:bottom w:val="none" w:sz="0" w:space="0" w:color="auto"/>
        <w:right w:val="none" w:sz="0" w:space="0" w:color="auto"/>
      </w:divBdr>
      <w:divsChild>
        <w:div w:id="1473013073">
          <w:marLeft w:val="547"/>
          <w:marRight w:val="0"/>
          <w:marTop w:val="96"/>
          <w:marBottom w:val="0"/>
          <w:divBdr>
            <w:top w:val="none" w:sz="0" w:space="0" w:color="auto"/>
            <w:left w:val="none" w:sz="0" w:space="0" w:color="auto"/>
            <w:bottom w:val="none" w:sz="0" w:space="0" w:color="auto"/>
            <w:right w:val="none" w:sz="0" w:space="0" w:color="auto"/>
          </w:divBdr>
        </w:div>
        <w:div w:id="1176649819">
          <w:marLeft w:val="547"/>
          <w:marRight w:val="0"/>
          <w:marTop w:val="96"/>
          <w:marBottom w:val="0"/>
          <w:divBdr>
            <w:top w:val="none" w:sz="0" w:space="0" w:color="auto"/>
            <w:left w:val="none" w:sz="0" w:space="0" w:color="auto"/>
            <w:bottom w:val="none" w:sz="0" w:space="0" w:color="auto"/>
            <w:right w:val="none" w:sz="0" w:space="0" w:color="auto"/>
          </w:divBdr>
        </w:div>
      </w:divsChild>
    </w:div>
    <w:div w:id="199694953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37">
          <w:marLeft w:val="0"/>
          <w:marRight w:val="0"/>
          <w:marTop w:val="0"/>
          <w:marBottom w:val="0"/>
          <w:divBdr>
            <w:top w:val="none" w:sz="0" w:space="0" w:color="auto"/>
            <w:left w:val="none" w:sz="0" w:space="0" w:color="auto"/>
            <w:bottom w:val="none" w:sz="0" w:space="0" w:color="auto"/>
            <w:right w:val="none" w:sz="0" w:space="0" w:color="auto"/>
          </w:divBdr>
        </w:div>
        <w:div w:id="1459297302">
          <w:marLeft w:val="0"/>
          <w:marRight w:val="0"/>
          <w:marTop w:val="0"/>
          <w:marBottom w:val="0"/>
          <w:divBdr>
            <w:top w:val="none" w:sz="0" w:space="0" w:color="auto"/>
            <w:left w:val="none" w:sz="0" w:space="0" w:color="auto"/>
            <w:bottom w:val="none" w:sz="0" w:space="0" w:color="auto"/>
            <w:right w:val="none" w:sz="0" w:space="0" w:color="auto"/>
          </w:divBdr>
        </w:div>
      </w:divsChild>
    </w:div>
    <w:div w:id="2026515600">
      <w:bodyDiv w:val="1"/>
      <w:marLeft w:val="0"/>
      <w:marRight w:val="0"/>
      <w:marTop w:val="0"/>
      <w:marBottom w:val="0"/>
      <w:divBdr>
        <w:top w:val="none" w:sz="0" w:space="0" w:color="auto"/>
        <w:left w:val="none" w:sz="0" w:space="0" w:color="auto"/>
        <w:bottom w:val="none" w:sz="0" w:space="0" w:color="auto"/>
        <w:right w:val="none" w:sz="0" w:space="0" w:color="auto"/>
      </w:divBdr>
      <w:divsChild>
        <w:div w:id="241523914">
          <w:marLeft w:val="0"/>
          <w:marRight w:val="0"/>
          <w:marTop w:val="0"/>
          <w:marBottom w:val="0"/>
          <w:divBdr>
            <w:top w:val="none" w:sz="0" w:space="0" w:color="auto"/>
            <w:left w:val="none" w:sz="0" w:space="0" w:color="auto"/>
            <w:bottom w:val="none" w:sz="0" w:space="0" w:color="auto"/>
            <w:right w:val="none" w:sz="0" w:space="0" w:color="auto"/>
          </w:divBdr>
        </w:div>
        <w:div w:id="1241671964">
          <w:marLeft w:val="0"/>
          <w:marRight w:val="0"/>
          <w:marTop w:val="0"/>
          <w:marBottom w:val="0"/>
          <w:divBdr>
            <w:top w:val="none" w:sz="0" w:space="0" w:color="auto"/>
            <w:left w:val="none" w:sz="0" w:space="0" w:color="auto"/>
            <w:bottom w:val="none" w:sz="0" w:space="0" w:color="auto"/>
            <w:right w:val="none" w:sz="0" w:space="0" w:color="auto"/>
          </w:divBdr>
        </w:div>
      </w:divsChild>
    </w:div>
    <w:div w:id="2073498279">
      <w:bodyDiv w:val="1"/>
      <w:marLeft w:val="0"/>
      <w:marRight w:val="0"/>
      <w:marTop w:val="0"/>
      <w:marBottom w:val="0"/>
      <w:divBdr>
        <w:top w:val="none" w:sz="0" w:space="0" w:color="auto"/>
        <w:left w:val="none" w:sz="0" w:space="0" w:color="auto"/>
        <w:bottom w:val="none" w:sz="0" w:space="0" w:color="auto"/>
        <w:right w:val="none" w:sz="0" w:space="0" w:color="auto"/>
      </w:divBdr>
      <w:divsChild>
        <w:div w:id="421681251">
          <w:marLeft w:val="547"/>
          <w:marRight w:val="0"/>
          <w:marTop w:val="96"/>
          <w:marBottom w:val="0"/>
          <w:divBdr>
            <w:top w:val="none" w:sz="0" w:space="0" w:color="auto"/>
            <w:left w:val="none" w:sz="0" w:space="0" w:color="auto"/>
            <w:bottom w:val="none" w:sz="0" w:space="0" w:color="auto"/>
            <w:right w:val="none" w:sz="0" w:space="0" w:color="auto"/>
          </w:divBdr>
        </w:div>
        <w:div w:id="1837988962">
          <w:marLeft w:val="547"/>
          <w:marRight w:val="0"/>
          <w:marTop w:val="96"/>
          <w:marBottom w:val="0"/>
          <w:divBdr>
            <w:top w:val="none" w:sz="0" w:space="0" w:color="auto"/>
            <w:left w:val="none" w:sz="0" w:space="0" w:color="auto"/>
            <w:bottom w:val="none" w:sz="0" w:space="0" w:color="auto"/>
            <w:right w:val="none" w:sz="0" w:space="0" w:color="auto"/>
          </w:divBdr>
        </w:div>
      </w:divsChild>
    </w:div>
    <w:div w:id="21277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file:///\\unece-fs1.unog.un.org\data\Shares\Users\Aplin\Tracked%20changes%20edited%20documents\United" TargetMode="External"/><Relationship Id="rId2" Type="http://schemas.openxmlformats.org/officeDocument/2006/relationships/hyperlink" Target="http://www.unece.org/environmental-policy/conventions/environmental-assessment/meetings-and-events.html" TargetMode="External"/><Relationship Id="rId1" Type="http://schemas.openxmlformats.org/officeDocument/2006/relationships/hyperlink" Target="https://www.unece.org/index.php?id=504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E49D-123A-40FD-AA70-6430D334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18</Pages>
  <Words>8017</Words>
  <Characters>45701</Characters>
  <Application>Microsoft Office Word</Application>
  <DocSecurity>4</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ECE/MP.EIA/WG.2/2019/2</vt:lpstr>
      <vt:lpstr>United Nations</vt:lpstr>
    </vt:vector>
  </TitlesOfParts>
  <Company>CSD</Company>
  <LinksUpToDate>false</LinksUpToDate>
  <CharactersWithSpaces>53611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ECE/MP.EIA/WG.2/2019/2</dc:title>
  <dc:subject>2000802</dc:subject>
  <dc:creator>aulavuo</dc:creator>
  <cp:keywords/>
  <dc:description/>
  <cp:lastModifiedBy>Elisabeth James</cp:lastModifiedBy>
  <cp:revision>2</cp:revision>
  <cp:lastPrinted>2020-02-07T15:17:00Z</cp:lastPrinted>
  <dcterms:created xsi:type="dcterms:W3CDTF">2020-02-24T15:40:00Z</dcterms:created>
  <dcterms:modified xsi:type="dcterms:W3CDTF">2020-02-24T15:40:00Z</dcterms:modified>
</cp:coreProperties>
</file>