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1FD7F" w14:textId="77777777" w:rsidR="009C5608" w:rsidRPr="007B7A39" w:rsidRDefault="009C5608" w:rsidP="009C5608">
      <w:pPr>
        <w:rPr>
          <w:b/>
          <w:sz w:val="24"/>
          <w:szCs w:val="24"/>
        </w:rPr>
      </w:pPr>
      <w:r w:rsidRPr="007B7A39">
        <w:rPr>
          <w:b/>
          <w:sz w:val="24"/>
          <w:szCs w:val="24"/>
        </w:rPr>
        <w:t>Economic Commission for Europe</w:t>
      </w:r>
    </w:p>
    <w:p w14:paraId="32B6C8BB" w14:textId="77777777" w:rsidR="009C5608" w:rsidRPr="007B7A39" w:rsidRDefault="009C5608" w:rsidP="008A1AC2">
      <w:pPr>
        <w:spacing w:line="240" w:lineRule="auto"/>
        <w:rPr>
          <w:b/>
          <w:bCs/>
          <w:sz w:val="24"/>
          <w:szCs w:val="24"/>
        </w:rPr>
      </w:pPr>
      <w:r w:rsidRPr="007B7A39">
        <w:rPr>
          <w:bCs/>
          <w:sz w:val="24"/>
          <w:szCs w:val="24"/>
        </w:rPr>
        <w:t xml:space="preserve">Meeting of the Parties to the Convention </w:t>
      </w:r>
      <w:r w:rsidRPr="007B7A39">
        <w:rPr>
          <w:bCs/>
          <w:sz w:val="24"/>
          <w:szCs w:val="24"/>
        </w:rPr>
        <w:br/>
        <w:t xml:space="preserve">on Environmental Impact Assessment </w:t>
      </w:r>
      <w:r w:rsidRPr="007B7A39">
        <w:rPr>
          <w:bCs/>
          <w:sz w:val="24"/>
          <w:szCs w:val="24"/>
        </w:rPr>
        <w:br/>
        <w:t>in a Transboundary Context</w:t>
      </w:r>
      <w:r w:rsidR="008A1AC2">
        <w:rPr>
          <w:bCs/>
          <w:sz w:val="24"/>
          <w:szCs w:val="24"/>
        </w:rPr>
        <w:br/>
      </w:r>
      <w:r>
        <w:rPr>
          <w:bCs/>
          <w:sz w:val="24"/>
          <w:szCs w:val="24"/>
        </w:rPr>
        <w:br/>
      </w:r>
      <w:r w:rsidRPr="007B7A39">
        <w:rPr>
          <w:bCs/>
          <w:sz w:val="24"/>
          <w:szCs w:val="24"/>
        </w:rPr>
        <w:t xml:space="preserve">Meeting of the Parties to the Convention </w:t>
      </w:r>
      <w:r w:rsidRPr="007B7A39">
        <w:rPr>
          <w:bCs/>
          <w:sz w:val="24"/>
          <w:szCs w:val="24"/>
        </w:rPr>
        <w:br/>
        <w:t xml:space="preserve">on Environmental Impact Assessment in </w:t>
      </w:r>
      <w:r w:rsidRPr="007B7A39">
        <w:rPr>
          <w:bCs/>
          <w:sz w:val="24"/>
          <w:szCs w:val="24"/>
        </w:rPr>
        <w:br/>
        <w:t xml:space="preserve">a Transboundary Context serving as the </w:t>
      </w:r>
      <w:r w:rsidRPr="007B7A39">
        <w:rPr>
          <w:bCs/>
          <w:sz w:val="24"/>
          <w:szCs w:val="24"/>
        </w:rPr>
        <w:br/>
        <w:t xml:space="preserve">Meeting of the Parties to the Protocol on </w:t>
      </w:r>
      <w:r w:rsidRPr="007B7A39">
        <w:rPr>
          <w:bCs/>
          <w:sz w:val="24"/>
          <w:szCs w:val="24"/>
        </w:rPr>
        <w:br/>
        <w:t>Strategic Environmental Assessment</w:t>
      </w:r>
      <w:r>
        <w:rPr>
          <w:bCs/>
          <w:sz w:val="24"/>
          <w:szCs w:val="24"/>
        </w:rPr>
        <w:br/>
      </w:r>
    </w:p>
    <w:p w14:paraId="293F6E60" w14:textId="77777777" w:rsidR="00555E6D" w:rsidRPr="002F2045" w:rsidRDefault="009C5608" w:rsidP="008A1AC2">
      <w:pPr>
        <w:spacing w:line="240" w:lineRule="auto"/>
      </w:pPr>
      <w:r>
        <w:rPr>
          <w:b/>
          <w:sz w:val="24"/>
          <w:szCs w:val="24"/>
        </w:rPr>
        <w:t>Working Group on Environmental Impact Assessment</w:t>
      </w:r>
      <w:r>
        <w:rPr>
          <w:b/>
          <w:sz w:val="24"/>
          <w:szCs w:val="24"/>
        </w:rPr>
        <w:br/>
        <w:t>and Strategic Environmental Assessment</w:t>
      </w:r>
      <w:r>
        <w:rPr>
          <w:b/>
          <w:sz w:val="24"/>
          <w:szCs w:val="24"/>
        </w:rPr>
        <w:br/>
      </w:r>
      <w:r w:rsidR="008A1AC2">
        <w:rPr>
          <w:b/>
        </w:rPr>
        <w:br/>
      </w:r>
      <w:r w:rsidR="00555E6D">
        <w:rPr>
          <w:b/>
        </w:rPr>
        <w:t>Eighth</w:t>
      </w:r>
      <w:r w:rsidR="00555E6D" w:rsidRPr="002F2045">
        <w:rPr>
          <w:b/>
        </w:rPr>
        <w:t xml:space="preserve"> meeting</w:t>
      </w:r>
      <w:r w:rsidR="00555E6D" w:rsidRPr="002F2045">
        <w:br/>
        <w:t xml:space="preserve">Geneva, </w:t>
      </w:r>
      <w:r w:rsidR="00555E6D">
        <w:t>26</w:t>
      </w:r>
      <w:r w:rsidR="00555E6D" w:rsidRPr="002F2045">
        <w:t>–</w:t>
      </w:r>
      <w:r w:rsidR="00555E6D">
        <w:t>28 November</w:t>
      </w:r>
      <w:r w:rsidR="00555E6D" w:rsidRPr="002F2045">
        <w:t xml:space="preserve"> </w:t>
      </w:r>
      <w:r w:rsidR="00555E6D">
        <w:t>2</w:t>
      </w:r>
      <w:r w:rsidR="00555E6D" w:rsidRPr="002F2045">
        <w:t>01</w:t>
      </w:r>
      <w:r w:rsidR="00555E6D">
        <w:t>9</w:t>
      </w:r>
    </w:p>
    <w:p w14:paraId="017A1472" w14:textId="77777777" w:rsidR="009C5608" w:rsidRPr="00327213" w:rsidRDefault="009C5608" w:rsidP="009C5608">
      <w:r w:rsidRPr="00327213">
        <w:t xml:space="preserve">Item </w:t>
      </w:r>
      <w:r w:rsidR="00555E6D">
        <w:t>7 (a)</w:t>
      </w:r>
      <w:r w:rsidRPr="00327213">
        <w:t xml:space="preserve"> of the provisional agenda</w:t>
      </w:r>
    </w:p>
    <w:p w14:paraId="436F1C66" w14:textId="77777777" w:rsidR="00D5730B" w:rsidRPr="00D5730B" w:rsidRDefault="00555E6D" w:rsidP="00D5730B">
      <w:pPr>
        <w:rPr>
          <w:b/>
          <w:bCs/>
        </w:rPr>
      </w:pPr>
      <w:r w:rsidRPr="00555E6D">
        <w:rPr>
          <w:b/>
          <w:bCs/>
        </w:rPr>
        <w:t>Exchange of good practices</w:t>
      </w:r>
      <w:r>
        <w:rPr>
          <w:b/>
          <w:bCs/>
        </w:rPr>
        <w:t>:</w:t>
      </w:r>
      <w:r w:rsidRPr="00555E6D">
        <w:rPr>
          <w:b/>
          <w:bCs/>
        </w:rPr>
        <w:t xml:space="preserve"> Workshop on the assessment of health impacts </w:t>
      </w:r>
      <w:r>
        <w:rPr>
          <w:b/>
          <w:bCs/>
        </w:rPr>
        <w:br/>
      </w:r>
      <w:r w:rsidRPr="00555E6D">
        <w:rPr>
          <w:b/>
          <w:bCs/>
        </w:rPr>
        <w:t xml:space="preserve">and health sector involvement in strategic environmental assessment </w:t>
      </w:r>
    </w:p>
    <w:p w14:paraId="18A15DBC" w14:textId="77777777" w:rsidR="009C5608" w:rsidRPr="007B7A39" w:rsidRDefault="009C5608" w:rsidP="00D5730B">
      <w:pPr>
        <w:rPr>
          <w:b/>
          <w:bCs/>
        </w:rPr>
      </w:pPr>
    </w:p>
    <w:p w14:paraId="0195AABA" w14:textId="77777777" w:rsidR="00D5730B" w:rsidRDefault="00BD269E" w:rsidP="00555E6D">
      <w:pPr>
        <w:pStyle w:val="HChG"/>
      </w:pPr>
      <w:r>
        <w:tab/>
      </w:r>
      <w:r>
        <w:tab/>
      </w:r>
      <w:r w:rsidR="00555E6D" w:rsidRPr="00555E6D">
        <w:t xml:space="preserve">Provisional programme for </w:t>
      </w:r>
      <w:bookmarkStart w:id="0" w:name="_Hlk20904640"/>
      <w:r w:rsidR="00555E6D" w:rsidRPr="00555E6D">
        <w:t xml:space="preserve">the workshop on the assessment of health impacts of plans and programmes in strategic environmental assessment </w:t>
      </w:r>
    </w:p>
    <w:bookmarkEnd w:id="0"/>
    <w:p w14:paraId="65C3423D" w14:textId="77777777" w:rsidR="00C12738" w:rsidRPr="00C12738" w:rsidRDefault="00C12738" w:rsidP="00C12738">
      <w:pPr>
        <w:pStyle w:val="HChG"/>
        <w:rPr>
          <w:sz w:val="24"/>
          <w:szCs w:val="24"/>
        </w:rPr>
      </w:pPr>
      <w:r>
        <w:tab/>
      </w:r>
      <w:r>
        <w:tab/>
      </w:r>
      <w:r w:rsidRPr="00C12738">
        <w:rPr>
          <w:sz w:val="24"/>
          <w:szCs w:val="24"/>
        </w:rPr>
        <w:t>Palais des Nations (</w:t>
      </w:r>
      <w:r>
        <w:rPr>
          <w:sz w:val="24"/>
          <w:szCs w:val="24"/>
        </w:rPr>
        <w:t xml:space="preserve">E-building, </w:t>
      </w:r>
      <w:r w:rsidRPr="00C12738">
        <w:rPr>
          <w:sz w:val="24"/>
          <w:szCs w:val="24"/>
        </w:rPr>
        <w:t>room X</w:t>
      </w:r>
      <w:r>
        <w:rPr>
          <w:sz w:val="24"/>
          <w:szCs w:val="24"/>
        </w:rPr>
        <w:t>V</w:t>
      </w:r>
      <w:r w:rsidRPr="00C12738">
        <w:rPr>
          <w:sz w:val="24"/>
          <w:szCs w:val="24"/>
        </w:rPr>
        <w:t>II</w:t>
      </w:r>
      <w:r>
        <w:rPr>
          <w:sz w:val="24"/>
          <w:szCs w:val="24"/>
        </w:rPr>
        <w:t>I</w:t>
      </w:r>
      <w:r w:rsidRPr="00C12738">
        <w:rPr>
          <w:sz w:val="24"/>
          <w:szCs w:val="24"/>
        </w:rPr>
        <w:t xml:space="preserve">), Geneva, </w:t>
      </w:r>
      <w:r>
        <w:rPr>
          <w:sz w:val="24"/>
          <w:szCs w:val="24"/>
        </w:rPr>
        <w:br/>
      </w:r>
      <w:r w:rsidRPr="00C12738">
        <w:rPr>
          <w:sz w:val="24"/>
          <w:szCs w:val="24"/>
        </w:rPr>
        <w:t xml:space="preserve">Wednesday, </w:t>
      </w:r>
      <w:r>
        <w:rPr>
          <w:sz w:val="24"/>
          <w:szCs w:val="24"/>
        </w:rPr>
        <w:t>27</w:t>
      </w:r>
      <w:r w:rsidRPr="00C12738">
        <w:rPr>
          <w:sz w:val="24"/>
          <w:szCs w:val="24"/>
        </w:rPr>
        <w:t xml:space="preserve"> November 201</w:t>
      </w:r>
      <w:r>
        <w:rPr>
          <w:sz w:val="24"/>
          <w:szCs w:val="24"/>
        </w:rPr>
        <w:t>9</w:t>
      </w:r>
      <w:r w:rsidRPr="00C12738">
        <w:rPr>
          <w:sz w:val="24"/>
          <w:szCs w:val="24"/>
        </w:rPr>
        <w:t xml:space="preserve"> (10 a</w:t>
      </w:r>
      <w:r>
        <w:rPr>
          <w:sz w:val="24"/>
          <w:szCs w:val="24"/>
        </w:rPr>
        <w:t>.</w:t>
      </w:r>
      <w:r w:rsidRPr="00C12738">
        <w:rPr>
          <w:sz w:val="24"/>
          <w:szCs w:val="24"/>
        </w:rPr>
        <w:t>m</w:t>
      </w:r>
      <w:r>
        <w:rPr>
          <w:sz w:val="24"/>
          <w:szCs w:val="24"/>
        </w:rPr>
        <w:t>.</w:t>
      </w:r>
      <w:r w:rsidRPr="00C12738">
        <w:rPr>
          <w:sz w:val="24"/>
          <w:szCs w:val="24"/>
        </w:rPr>
        <w:t xml:space="preserve"> – 1 p</w:t>
      </w:r>
      <w:r>
        <w:rPr>
          <w:sz w:val="24"/>
          <w:szCs w:val="24"/>
        </w:rPr>
        <w:t>.</w:t>
      </w:r>
      <w:r w:rsidRPr="00C12738">
        <w:rPr>
          <w:sz w:val="24"/>
          <w:szCs w:val="24"/>
        </w:rPr>
        <w:t>m</w:t>
      </w:r>
      <w:r>
        <w:rPr>
          <w:sz w:val="24"/>
          <w:szCs w:val="24"/>
        </w:rPr>
        <w:t>.</w:t>
      </w:r>
      <w:r w:rsidRPr="00C12738">
        <w:rPr>
          <w:sz w:val="24"/>
          <w:szCs w:val="24"/>
        </w:rPr>
        <w:t>)</w:t>
      </w:r>
    </w:p>
    <w:p w14:paraId="0ED0FF7F" w14:textId="77777777" w:rsidR="00126E1C" w:rsidRPr="00CD1E29" w:rsidRDefault="00BD269E" w:rsidP="00126E1C">
      <w:pPr>
        <w:pStyle w:val="H1G"/>
        <w:rPr>
          <w:b w:val="0"/>
          <w:bCs/>
        </w:rPr>
      </w:pPr>
      <w:r>
        <w:tab/>
      </w:r>
      <w:r>
        <w:tab/>
      </w:r>
      <w:r w:rsidR="00F03281" w:rsidRPr="00CD1E29">
        <w:rPr>
          <w:b w:val="0"/>
          <w:bCs/>
        </w:rPr>
        <w:t>Note by the secretariat</w:t>
      </w:r>
    </w:p>
    <w:p w14:paraId="02E66835" w14:textId="77777777" w:rsidR="0069453E" w:rsidRPr="00126E1C" w:rsidRDefault="00386F65" w:rsidP="00D04CBB">
      <w:pPr>
        <w:pStyle w:val="H1G"/>
        <w:rPr>
          <w:sz w:val="28"/>
          <w:szCs w:val="28"/>
        </w:rPr>
      </w:pPr>
      <w:r w:rsidRPr="00126E1C">
        <w:rPr>
          <w:sz w:val="28"/>
          <w:szCs w:val="28"/>
        </w:rPr>
        <w:tab/>
        <w:t>I.</w:t>
      </w:r>
      <w:r w:rsidRPr="00126E1C">
        <w:rPr>
          <w:sz w:val="28"/>
          <w:szCs w:val="28"/>
        </w:rPr>
        <w:tab/>
      </w:r>
      <w:r w:rsidR="00507F47" w:rsidRPr="00126E1C">
        <w:rPr>
          <w:sz w:val="28"/>
          <w:szCs w:val="28"/>
        </w:rPr>
        <w:t xml:space="preserve">Introduction </w:t>
      </w:r>
    </w:p>
    <w:p w14:paraId="5C386E27" w14:textId="434C0280" w:rsidR="00754D58" w:rsidRDefault="00754D58" w:rsidP="00F462D0">
      <w:pPr>
        <w:spacing w:after="120"/>
        <w:ind w:left="1134" w:right="1134"/>
        <w:jc w:val="both"/>
      </w:pPr>
      <w:r>
        <w:t>1.</w:t>
      </w:r>
      <w:r>
        <w:tab/>
        <w:t xml:space="preserve">The </w:t>
      </w:r>
      <w:r w:rsidRPr="00507F47">
        <w:t xml:space="preserve">workshop on the assessment of health impacts of plans and programmes in strategic environmental assessment </w:t>
      </w:r>
      <w:r>
        <w:t>is held under the framework of the Protocol on Strategic Environmental Assessment</w:t>
      </w:r>
      <w:r>
        <w:rPr>
          <w:rStyle w:val="FootnoteReference"/>
        </w:rPr>
        <w:footnoteReference w:id="1"/>
      </w:r>
      <w:r>
        <w:t xml:space="preserve"> (SEA) to the Convention on Environmental Impact Assessment in a Transboundary Context (Espoo Convention)</w:t>
      </w:r>
      <w:r w:rsidRPr="00F24113">
        <w:t xml:space="preserve"> </w:t>
      </w:r>
      <w:r>
        <w:t xml:space="preserve">of the </w:t>
      </w:r>
      <w:r w:rsidRPr="00F24113">
        <w:t>United Nations Economic Commission</w:t>
      </w:r>
      <w:r>
        <w:t xml:space="preserve"> for Europe (ECE). It takes places during the eighth meeting of the Working Group on Environmental Impact Assessment and Strategic Environmental Assessment under the two treaties. </w:t>
      </w:r>
    </w:p>
    <w:p w14:paraId="7BE6B126" w14:textId="1FD70496" w:rsidR="00EF6034" w:rsidRDefault="00754D58" w:rsidP="00EF6034">
      <w:pPr>
        <w:pStyle w:val="SingleTxtG"/>
      </w:pPr>
      <w:r>
        <w:t>2.</w:t>
      </w:r>
      <w:r>
        <w:tab/>
        <w:t xml:space="preserve"> </w:t>
      </w:r>
      <w:r w:rsidR="003000DD">
        <w:t xml:space="preserve">The workshop has been organized jointly by the Convention and the Protocol secretariat and </w:t>
      </w:r>
      <w:r w:rsidR="000A6DCD">
        <w:t xml:space="preserve">the Regional Office for Europe of the </w:t>
      </w:r>
      <w:r w:rsidR="003000DD">
        <w:t xml:space="preserve">World Health Organization (WHO), in consultation with </w:t>
      </w:r>
      <w:r w:rsidR="003B5481">
        <w:t xml:space="preserve">the </w:t>
      </w:r>
      <w:r w:rsidR="003000DD">
        <w:t xml:space="preserve">Environment Investment Bank (EIB) and two consultants, who will also be </w:t>
      </w:r>
      <w:r w:rsidR="003000DD">
        <w:lastRenderedPageBreak/>
        <w:t>moderating the workshop</w:t>
      </w:r>
      <w:r w:rsidR="003000DD" w:rsidRPr="00EE1437">
        <w:t>.</w:t>
      </w:r>
      <w:r w:rsidR="00EF6034" w:rsidRPr="00EE1437">
        <w:t xml:space="preserve"> </w:t>
      </w:r>
      <w:r w:rsidR="000A6DCD" w:rsidRPr="00EE1437">
        <w:t xml:space="preserve">The </w:t>
      </w:r>
      <w:r w:rsidR="003B5481" w:rsidRPr="00EE1437">
        <w:t xml:space="preserve">participation of health sector representatives at the </w:t>
      </w:r>
      <w:r w:rsidR="000A6DCD" w:rsidRPr="00EE1437">
        <w:t>event is funded by WHO</w:t>
      </w:r>
      <w:r w:rsidR="00EE1437" w:rsidRPr="00EE1437">
        <w:t>.</w:t>
      </w:r>
      <w:r w:rsidR="00EF6034">
        <w:t xml:space="preserve"> </w:t>
      </w:r>
    </w:p>
    <w:p w14:paraId="5C26ED9F" w14:textId="3E4ACA5A" w:rsidR="00EF6034" w:rsidRDefault="00EF6034" w:rsidP="0034744E">
      <w:pPr>
        <w:pStyle w:val="SingleTxtG"/>
      </w:pPr>
      <w:r>
        <w:t>3.</w:t>
      </w:r>
      <w:r>
        <w:tab/>
      </w:r>
      <w:r w:rsidR="00695B33">
        <w:t>A</w:t>
      </w:r>
      <w:r>
        <w:t xml:space="preserve"> workshop </w:t>
      </w:r>
      <w:r w:rsidR="00695B33">
        <w:t xml:space="preserve">on improving intersectoral cooperation for the application of the Protocol </w:t>
      </w:r>
      <w:r>
        <w:t>is foreseen in the workplan for the implementation of the Convention and its Protocol for the period 2017–2020.</w:t>
      </w:r>
      <w:r w:rsidR="00695B33">
        <w:rPr>
          <w:rStyle w:val="FootnoteReference"/>
        </w:rPr>
        <w:footnoteReference w:id="2"/>
      </w:r>
      <w:r>
        <w:t xml:space="preserve"> </w:t>
      </w:r>
      <w:r w:rsidR="003F69E4">
        <w:t xml:space="preserve"> </w:t>
      </w:r>
      <w:r w:rsidR="00DE16D5">
        <w:t xml:space="preserve">It was </w:t>
      </w:r>
      <w:r w:rsidR="002D648F">
        <w:t xml:space="preserve">later </w:t>
      </w:r>
      <w:r w:rsidR="00DE16D5">
        <w:t>agreed</w:t>
      </w:r>
      <w:r w:rsidR="003F69E4">
        <w:t xml:space="preserve"> </w:t>
      </w:r>
      <w:r w:rsidR="00DE16D5">
        <w:t xml:space="preserve">that the </w:t>
      </w:r>
      <w:r w:rsidR="00695B33">
        <w:t>workshop</w:t>
      </w:r>
      <w:r w:rsidR="00DE16D5">
        <w:t xml:space="preserve"> should focus specifically on health and support the </w:t>
      </w:r>
      <w:r w:rsidR="009452AD">
        <w:t xml:space="preserve">preparation of </w:t>
      </w:r>
      <w:r w:rsidR="00DE16D5">
        <w:t xml:space="preserve">draft </w:t>
      </w:r>
      <w:r w:rsidR="009452AD">
        <w:t>guidance on assessing health impacts in SEA</w:t>
      </w:r>
      <w:r w:rsidR="008D1D91">
        <w:rPr>
          <w:rStyle w:val="FootnoteReference"/>
        </w:rPr>
        <w:footnoteReference w:id="3"/>
      </w:r>
      <w:r w:rsidR="00DE16D5">
        <w:t xml:space="preserve">, </w:t>
      </w:r>
      <w:r w:rsidR="002D648F">
        <w:t xml:space="preserve">that is </w:t>
      </w:r>
      <w:r w:rsidR="003B5481">
        <w:t>funded by EIB</w:t>
      </w:r>
      <w:r w:rsidR="002D648F">
        <w:t xml:space="preserve"> in accordance with </w:t>
      </w:r>
      <w:r w:rsidR="00DE16D5">
        <w:t>the workplan</w:t>
      </w:r>
      <w:r w:rsidR="0034744E">
        <w:t>.</w:t>
      </w:r>
      <w:r w:rsidR="0034744E">
        <w:rPr>
          <w:rStyle w:val="FootnoteReference"/>
        </w:rPr>
        <w:footnoteReference w:id="4"/>
      </w:r>
      <w:r w:rsidR="0034744E">
        <w:t xml:space="preserve"> </w:t>
      </w:r>
    </w:p>
    <w:p w14:paraId="5C76DF7A" w14:textId="77777777" w:rsidR="003000DD" w:rsidRPr="003000DD" w:rsidRDefault="003000DD" w:rsidP="003000DD">
      <w:pPr>
        <w:pStyle w:val="H1G"/>
        <w:rPr>
          <w:sz w:val="28"/>
          <w:szCs w:val="28"/>
        </w:rPr>
      </w:pPr>
      <w:r>
        <w:rPr>
          <w:sz w:val="28"/>
          <w:szCs w:val="28"/>
        </w:rPr>
        <w:tab/>
        <w:t>II.</w:t>
      </w:r>
      <w:r>
        <w:rPr>
          <w:sz w:val="28"/>
          <w:szCs w:val="28"/>
        </w:rPr>
        <w:tab/>
      </w:r>
      <w:r w:rsidRPr="003000DD">
        <w:rPr>
          <w:sz w:val="28"/>
          <w:szCs w:val="28"/>
        </w:rPr>
        <w:t>Background</w:t>
      </w:r>
    </w:p>
    <w:p w14:paraId="576828AE" w14:textId="77777777" w:rsidR="003000DD" w:rsidRDefault="00241D5F" w:rsidP="003000DD">
      <w:pPr>
        <w:pStyle w:val="SingleTxtG"/>
      </w:pPr>
      <w:r>
        <w:t>4</w:t>
      </w:r>
      <w:r w:rsidR="003000DD">
        <w:t>.</w:t>
      </w:r>
      <w:r w:rsidR="003000DD">
        <w:tab/>
        <w:t xml:space="preserve"> The Protocol</w:t>
      </w:r>
      <w:r w:rsidR="00F848E4">
        <w:t xml:space="preserve"> on SEA</w:t>
      </w:r>
      <w:r w:rsidR="003000DD">
        <w:t xml:space="preserve"> was adopted in 2003</w:t>
      </w:r>
      <w:r w:rsidR="00F848E4">
        <w:t xml:space="preserve"> (in Kyiv)</w:t>
      </w:r>
      <w:r w:rsidR="003000DD">
        <w:t xml:space="preserve"> and is in force since 2010. To date, the Protocol has 33 Parties, including the European Commission, in the United Nations Economic Commission for Europe (ECE) region. The Protocol is open for accession by all the United Nations member States. </w:t>
      </w:r>
    </w:p>
    <w:p w14:paraId="51ED817D" w14:textId="4E6EC570" w:rsidR="003000DD" w:rsidRDefault="00241D5F" w:rsidP="003000DD">
      <w:pPr>
        <w:pStyle w:val="SingleTxtG"/>
      </w:pPr>
      <w:r>
        <w:t>5</w:t>
      </w:r>
      <w:r w:rsidR="003000DD">
        <w:t>.</w:t>
      </w:r>
      <w:r w:rsidR="003000DD">
        <w:tab/>
        <w:t>The Protocol aims to ensure that environment</w:t>
      </w:r>
      <w:r w:rsidR="00C67C04">
        <w:t>al</w:t>
      </w:r>
      <w:r w:rsidR="003000DD">
        <w:t xml:space="preserve">, including health, considerations are integrated in the preparation and adoption of Government plans and programmes as well as, to the extent appropriate, of policies and legislation. It requires Parties to the Protocol to address these considerations throughout the SEA procedure, including through mandatory consultations with health authorities, alongside with the environmental ones. </w:t>
      </w:r>
      <w:r w:rsidR="002B477D" w:rsidRPr="00480FCF">
        <w:t>The Protocol</w:t>
      </w:r>
      <w:r w:rsidR="002B477D">
        <w:t>’s</w:t>
      </w:r>
      <w:r w:rsidR="002B477D" w:rsidRPr="00480FCF">
        <w:t xml:space="preserve"> requirement to consult </w:t>
      </w:r>
      <w:r w:rsidR="002B477D">
        <w:t xml:space="preserve">with </w:t>
      </w:r>
      <w:r w:rsidR="002B477D" w:rsidRPr="00480FCF">
        <w:t xml:space="preserve">health authorities is </w:t>
      </w:r>
      <w:r w:rsidR="002B477D">
        <w:t xml:space="preserve">indeed </w:t>
      </w:r>
      <w:r w:rsidR="002B477D" w:rsidRPr="00480FCF">
        <w:t xml:space="preserve">central to the consideration of health in </w:t>
      </w:r>
      <w:r w:rsidR="002B477D">
        <w:t>SEA and</w:t>
      </w:r>
      <w:r w:rsidR="002B477D" w:rsidRPr="00480FCF">
        <w:t xml:space="preserve"> arises in </w:t>
      </w:r>
      <w:r w:rsidR="002B477D">
        <w:t>a</w:t>
      </w:r>
      <w:r w:rsidR="002B477D" w:rsidRPr="00480FCF">
        <w:t>rticles 5 (screening), 6 (scoping), 9 (</w:t>
      </w:r>
      <w:r w:rsidR="002B477D">
        <w:t xml:space="preserve">designation of authorities and consultation on </w:t>
      </w:r>
      <w:r w:rsidR="002B477D" w:rsidRPr="00480FCF">
        <w:t xml:space="preserve">draft </w:t>
      </w:r>
      <w:r w:rsidR="002B477D">
        <w:t xml:space="preserve">plan or programme and environmental </w:t>
      </w:r>
      <w:r w:rsidR="002B477D" w:rsidRPr="00480FCF">
        <w:t>report), 10 (transboundary matters) and 11 (decision</w:t>
      </w:r>
      <w:r w:rsidR="002B477D">
        <w:t>-</w:t>
      </w:r>
      <w:r w:rsidR="002B477D" w:rsidRPr="00480FCF">
        <w:t>making).</w:t>
      </w:r>
    </w:p>
    <w:p w14:paraId="0A9935E4" w14:textId="534507D7" w:rsidR="007E1871" w:rsidRDefault="007E1871" w:rsidP="003000DD">
      <w:pPr>
        <w:pStyle w:val="SingleTxtG"/>
      </w:pPr>
      <w:r>
        <w:t>6.</w:t>
      </w:r>
      <w:r>
        <w:tab/>
        <w:t xml:space="preserve">Health is also a central theme </w:t>
      </w:r>
      <w:r w:rsidR="00263196">
        <w:t>within</w:t>
      </w:r>
      <w:r>
        <w:t xml:space="preserve"> the Sustainable Development Goals of the 2030 Agenda, with </w:t>
      </w:r>
      <w:r w:rsidR="00901686">
        <w:t xml:space="preserve">the </w:t>
      </w:r>
      <w:r>
        <w:t xml:space="preserve">goal 3 focusing explicitly on health, and almost all other goals being related to or contributing to health and well-being. </w:t>
      </w:r>
      <w:r w:rsidR="00F627EE">
        <w:t>Since</w:t>
      </w:r>
      <w:r w:rsidR="00263196">
        <w:t xml:space="preserve"> the Parties have acknowledged that t</w:t>
      </w:r>
      <w:r w:rsidR="00F4499D">
        <w:t>he Protocol play</w:t>
      </w:r>
      <w:r w:rsidR="00263196">
        <w:t>s</w:t>
      </w:r>
      <w:r w:rsidR="00F4499D">
        <w:t xml:space="preserve"> an important role in supporting countries to translate SDGs into national practical action at the national level, </w:t>
      </w:r>
      <w:r w:rsidR="00263196">
        <w:t xml:space="preserve">it could </w:t>
      </w:r>
      <w:r w:rsidR="00F4499D">
        <w:t>contribut</w:t>
      </w:r>
      <w:r w:rsidR="00263196">
        <w:t>e</w:t>
      </w:r>
      <w:r w:rsidR="00F4499D">
        <w:t xml:space="preserve"> to the achievement</w:t>
      </w:r>
      <w:r w:rsidR="00F627EE">
        <w:t xml:space="preserve"> to the </w:t>
      </w:r>
      <w:r w:rsidR="001E1057">
        <w:t>health-related</w:t>
      </w:r>
      <w:r w:rsidR="00F627EE">
        <w:t xml:space="preserve"> goals and targets</w:t>
      </w:r>
      <w:r w:rsidR="00F4499D">
        <w:t xml:space="preserve">. </w:t>
      </w:r>
    </w:p>
    <w:p w14:paraId="1F8D6FEE" w14:textId="18CEF147" w:rsidR="003000DD" w:rsidRDefault="001E1057" w:rsidP="003000DD">
      <w:pPr>
        <w:pStyle w:val="SingleTxtG"/>
      </w:pPr>
      <w:r>
        <w:t>7</w:t>
      </w:r>
      <w:r w:rsidR="003000DD">
        <w:t>.</w:t>
      </w:r>
      <w:r w:rsidR="003000DD">
        <w:tab/>
        <w:t xml:space="preserve">Efficient consideration of health impacts and involvement of health authorities in SEA assessment remains </w:t>
      </w:r>
      <w:r w:rsidR="002D648F">
        <w:t xml:space="preserve">however </w:t>
      </w:r>
      <w:r w:rsidR="003000DD">
        <w:t xml:space="preserve">a challenge in </w:t>
      </w:r>
      <w:r w:rsidR="00020AB4">
        <w:t xml:space="preserve">several </w:t>
      </w:r>
      <w:r w:rsidR="003000DD">
        <w:t xml:space="preserve">countries of the ECE region. </w:t>
      </w:r>
      <w:r w:rsidR="00E56B22">
        <w:t xml:space="preserve">One of the </w:t>
      </w:r>
      <w:r w:rsidR="003D45EE">
        <w:t xml:space="preserve">key </w:t>
      </w:r>
      <w:r w:rsidR="00020AB4">
        <w:t xml:space="preserve">conclusions from the reviews of implementation of the Protocol </w:t>
      </w:r>
      <w:r w:rsidR="002D648F">
        <w:t xml:space="preserve">developed </w:t>
      </w:r>
      <w:r w:rsidR="00020AB4">
        <w:t>based on Parties reporting between 2010 and 2018</w:t>
      </w:r>
      <w:r w:rsidR="00020AB4">
        <w:rPr>
          <w:rStyle w:val="FootnoteReference"/>
        </w:rPr>
        <w:footnoteReference w:id="5"/>
      </w:r>
      <w:r w:rsidR="00E56B22">
        <w:t xml:space="preserve"> </w:t>
      </w:r>
      <w:r w:rsidR="00EF6034">
        <w:t xml:space="preserve">is </w:t>
      </w:r>
      <w:r w:rsidR="00E56B22">
        <w:t xml:space="preserve">that Parties have difficulties in ensuring that the environmental report contains </w:t>
      </w:r>
      <w:r w:rsidR="00883716">
        <w:t xml:space="preserve">relevant </w:t>
      </w:r>
      <w:r w:rsidR="00E56B22">
        <w:t xml:space="preserve">information on health, </w:t>
      </w:r>
      <w:r w:rsidR="00883716">
        <w:t>covering</w:t>
      </w:r>
      <w:r w:rsidR="00E56B22">
        <w:t>, as needed, transboundary effects</w:t>
      </w:r>
      <w:r w:rsidR="00302F24">
        <w:t xml:space="preserve">, pursuant to article 7 </w:t>
      </w:r>
      <w:proofErr w:type="gramStart"/>
      <w:r w:rsidR="00302F24">
        <w:t>para</w:t>
      </w:r>
      <w:proofErr w:type="gramEnd"/>
      <w:r w:rsidR="00302F24">
        <w:t>.</w:t>
      </w:r>
      <w:r w:rsidR="00EF6034">
        <w:t xml:space="preserve"> </w:t>
      </w:r>
      <w:r w:rsidR="00302F24">
        <w:t>2 and annex IV to the Protocol. The review</w:t>
      </w:r>
      <w:r w:rsidR="00EF6034">
        <w:t>s</w:t>
      </w:r>
      <w:r w:rsidR="00302F24">
        <w:t xml:space="preserve"> also indicate that some Parties lack legislation and/or practices for the designation of, and consultation with, health authorities, in accordance with article 9. </w:t>
      </w:r>
      <w:r w:rsidR="00EF6034">
        <w:t>O</w:t>
      </w:r>
      <w:r w:rsidR="00302F24">
        <w:t xml:space="preserve">ther explanatory factors </w:t>
      </w:r>
      <w:r w:rsidR="00302F24">
        <w:lastRenderedPageBreak/>
        <w:t xml:space="preserve">for the </w:t>
      </w:r>
      <w:r w:rsidR="002D648F">
        <w:t xml:space="preserve">generally </w:t>
      </w:r>
      <w:r w:rsidR="00302F24">
        <w:t>weak practice include:</w:t>
      </w:r>
      <w:r w:rsidR="003000DD">
        <w:t xml:space="preserve"> the </w:t>
      </w:r>
      <w:r w:rsidR="00EF6034">
        <w:t>often-unclear</w:t>
      </w:r>
      <w:r w:rsidR="003000DD">
        <w:t xml:space="preserve"> role and the lack of capacities of the health authorities in SEA; uncertainty regarding the approaches and methods to be applied; and a limited availability of relevant data.</w:t>
      </w:r>
    </w:p>
    <w:p w14:paraId="100BB6EF" w14:textId="23A19AA5" w:rsidR="00386F65" w:rsidRPr="00F462D0" w:rsidRDefault="00F462D0" w:rsidP="00F462D0">
      <w:pPr>
        <w:pStyle w:val="H1G"/>
        <w:rPr>
          <w:sz w:val="28"/>
          <w:szCs w:val="28"/>
        </w:rPr>
      </w:pPr>
      <w:r>
        <w:rPr>
          <w:sz w:val="28"/>
          <w:szCs w:val="28"/>
        </w:rPr>
        <w:tab/>
      </w:r>
      <w:r w:rsidR="00386F65" w:rsidRPr="00F462D0">
        <w:rPr>
          <w:sz w:val="28"/>
          <w:szCs w:val="28"/>
        </w:rPr>
        <w:t>II</w:t>
      </w:r>
      <w:r w:rsidR="009452AD" w:rsidRPr="00F462D0">
        <w:rPr>
          <w:sz w:val="28"/>
          <w:szCs w:val="28"/>
        </w:rPr>
        <w:t>I</w:t>
      </w:r>
      <w:r w:rsidR="00386F65" w:rsidRPr="00F462D0">
        <w:rPr>
          <w:sz w:val="28"/>
          <w:szCs w:val="28"/>
        </w:rPr>
        <w:t>.</w:t>
      </w:r>
      <w:r w:rsidR="00386F65" w:rsidRPr="00F462D0">
        <w:rPr>
          <w:sz w:val="28"/>
          <w:szCs w:val="28"/>
        </w:rPr>
        <w:tab/>
      </w:r>
      <w:r w:rsidR="009452AD" w:rsidRPr="00F462D0">
        <w:rPr>
          <w:sz w:val="28"/>
          <w:szCs w:val="28"/>
        </w:rPr>
        <w:t>Objectives</w:t>
      </w:r>
    </w:p>
    <w:p w14:paraId="2656E2C2" w14:textId="5DA47D90" w:rsidR="000841A9" w:rsidRDefault="001E1057" w:rsidP="001B526B">
      <w:pPr>
        <w:pStyle w:val="SingleTxtG"/>
      </w:pPr>
      <w:r>
        <w:t>8</w:t>
      </w:r>
      <w:r w:rsidR="003B5481">
        <w:t>.</w:t>
      </w:r>
      <w:r w:rsidR="003B5481">
        <w:tab/>
      </w:r>
      <w:r w:rsidR="000841A9">
        <w:t xml:space="preserve">The main aim of the workshop is to </w:t>
      </w:r>
      <w:r w:rsidR="008D1D91">
        <w:t>contribute to clarifying and improving the implementation of the Protocol</w:t>
      </w:r>
      <w:r w:rsidR="009C65FD">
        <w:t xml:space="preserve"> with respect to </w:t>
      </w:r>
      <w:r w:rsidR="008D1D91">
        <w:t xml:space="preserve">the consideration of health and the involvement of health sector in SEA. </w:t>
      </w:r>
    </w:p>
    <w:p w14:paraId="25C364CC" w14:textId="57DF4AE8" w:rsidR="001B526B" w:rsidRDefault="001E1057" w:rsidP="001B526B">
      <w:pPr>
        <w:pStyle w:val="SingleTxtG"/>
      </w:pPr>
      <w:r>
        <w:t>9</w:t>
      </w:r>
      <w:r w:rsidR="008D1D91">
        <w:t>.</w:t>
      </w:r>
      <w:r w:rsidR="008D1D91">
        <w:tab/>
      </w:r>
      <w:r w:rsidR="00241D5F" w:rsidRPr="00570759">
        <w:t>T</w:t>
      </w:r>
      <w:r w:rsidR="003B5481">
        <w:t xml:space="preserve">he workshop will provide a platform for </w:t>
      </w:r>
      <w:r w:rsidR="009C08A4">
        <w:t xml:space="preserve">thoroughly presenting and </w:t>
      </w:r>
      <w:r w:rsidR="002D648F">
        <w:t xml:space="preserve">openly </w:t>
      </w:r>
      <w:r w:rsidR="003B5481">
        <w:t>discussi</w:t>
      </w:r>
      <w:r w:rsidR="009C08A4">
        <w:t xml:space="preserve">ng the </w:t>
      </w:r>
      <w:r w:rsidR="00241D5F" w:rsidRPr="00570759">
        <w:t xml:space="preserve">draft guidance on assessing health impacts in strategic environmental assessment </w:t>
      </w:r>
      <w:r w:rsidR="009C08A4">
        <w:t xml:space="preserve">that is being </w:t>
      </w:r>
      <w:r w:rsidR="00241D5F" w:rsidRPr="00570759">
        <w:t>developed in consultation with the secretariat, W</w:t>
      </w:r>
      <w:r w:rsidR="003B5481">
        <w:t xml:space="preserve">HO and </w:t>
      </w:r>
      <w:r w:rsidR="00241D5F" w:rsidRPr="00570759">
        <w:t>E</w:t>
      </w:r>
      <w:r w:rsidR="003B5481">
        <w:t>IB</w:t>
      </w:r>
      <w:r w:rsidR="00241D5F">
        <w:t xml:space="preserve">, </w:t>
      </w:r>
      <w:r w:rsidR="003B5481">
        <w:t>with funding from EIB</w:t>
      </w:r>
      <w:r w:rsidR="00EE1437">
        <w:t>.</w:t>
      </w:r>
      <w:r w:rsidR="008D1D91">
        <w:rPr>
          <w:rStyle w:val="FootnoteReference"/>
        </w:rPr>
        <w:footnoteReference w:id="6"/>
      </w:r>
    </w:p>
    <w:p w14:paraId="6CCAC32F" w14:textId="5A9FE878" w:rsidR="006D4E38" w:rsidRDefault="001E1057" w:rsidP="001B526B">
      <w:pPr>
        <w:pStyle w:val="SingleTxtG"/>
      </w:pPr>
      <w:r>
        <w:t>10</w:t>
      </w:r>
      <w:r w:rsidR="003B5481">
        <w:t>.</w:t>
      </w:r>
      <w:r w:rsidR="003B5481">
        <w:tab/>
      </w:r>
      <w:r>
        <w:t xml:space="preserve"> </w:t>
      </w:r>
      <w:r w:rsidR="003D45EE">
        <w:t xml:space="preserve">Secondly, </w:t>
      </w:r>
      <w:r w:rsidR="001B526B">
        <w:t>the workshop</w:t>
      </w:r>
      <w:r w:rsidR="0017153E">
        <w:t xml:space="preserve"> </w:t>
      </w:r>
      <w:r w:rsidR="00241D5F" w:rsidRPr="00570759">
        <w:t xml:space="preserve">will </w:t>
      </w:r>
      <w:r w:rsidR="0017153E">
        <w:t xml:space="preserve">allow </w:t>
      </w:r>
      <w:r w:rsidR="003D45EE">
        <w:t xml:space="preserve">showcasing and reflecting on </w:t>
      </w:r>
      <w:r w:rsidR="00241D5F" w:rsidRPr="00570759">
        <w:t>selected good practice</w:t>
      </w:r>
      <w:r w:rsidR="00241D5F">
        <w:t>s</w:t>
      </w:r>
      <w:r w:rsidR="003D45EE">
        <w:t xml:space="preserve"> and </w:t>
      </w:r>
      <w:r w:rsidR="00241D5F" w:rsidRPr="00570759">
        <w:t xml:space="preserve">challenges regarding the assessment of health impacts and the involvement of the health sector in </w:t>
      </w:r>
      <w:r w:rsidR="009C08A4">
        <w:t>SEA</w:t>
      </w:r>
      <w:r w:rsidR="00241D5F" w:rsidRPr="00570759">
        <w:t>.</w:t>
      </w:r>
      <w:r w:rsidR="009C08A4">
        <w:t xml:space="preserve"> Possible solutions </w:t>
      </w:r>
      <w:r w:rsidR="003D45EE">
        <w:t xml:space="preserve">to the challenges </w:t>
      </w:r>
      <w:r w:rsidR="009C08A4">
        <w:t>w</w:t>
      </w:r>
      <w:r w:rsidR="003D45EE">
        <w:t xml:space="preserve">ill </w:t>
      </w:r>
      <w:r w:rsidR="009C08A4">
        <w:t xml:space="preserve">also be considered, and </w:t>
      </w:r>
      <w:r w:rsidR="003D45EE">
        <w:t>how t</w:t>
      </w:r>
      <w:r w:rsidR="009C08A4">
        <w:t xml:space="preserve">hese could be addressed in the </w:t>
      </w:r>
      <w:r w:rsidR="003D45EE">
        <w:t>draft guidance.</w:t>
      </w:r>
      <w:r w:rsidR="00572F7D">
        <w:t xml:space="preserve"> The good practice presented at the workshop will subsequently be annexed to the health guidance.</w:t>
      </w:r>
    </w:p>
    <w:p w14:paraId="53BDE836" w14:textId="262A47D5" w:rsidR="006D4E38" w:rsidRDefault="006D4E38" w:rsidP="001B526B">
      <w:pPr>
        <w:pStyle w:val="SingleTxtG"/>
      </w:pPr>
      <w:r>
        <w:t>1</w:t>
      </w:r>
      <w:r w:rsidR="001E1057">
        <w:t>1</w:t>
      </w:r>
      <w:r>
        <w:t xml:space="preserve">.  </w:t>
      </w:r>
      <w:r w:rsidR="001B526B">
        <w:t xml:space="preserve">The presentations of the good practice </w:t>
      </w:r>
      <w:r w:rsidR="001E1057">
        <w:t>have been prepared following co</w:t>
      </w:r>
      <w:r w:rsidR="001B526B">
        <w:t>nsultations and cooperation between representatives of health sector and national focal points for the Protocol on SEA</w:t>
      </w:r>
      <w:r w:rsidR="001E1057">
        <w:t xml:space="preserve"> </w:t>
      </w:r>
      <w:r w:rsidR="001B526B">
        <w:t xml:space="preserve">from the environment sector. </w:t>
      </w:r>
      <w:r>
        <w:t xml:space="preserve">The </w:t>
      </w:r>
      <w:r w:rsidR="001E1057">
        <w:t xml:space="preserve">contribution </w:t>
      </w:r>
      <w:r w:rsidR="00E223BE">
        <w:t xml:space="preserve">from </w:t>
      </w:r>
      <w:r>
        <w:t xml:space="preserve">WHO and </w:t>
      </w:r>
      <w:r w:rsidR="00E223BE">
        <w:t xml:space="preserve">the experience shared by </w:t>
      </w:r>
      <w:proofErr w:type="gramStart"/>
      <w:r w:rsidR="001E1057">
        <w:t>a number of</w:t>
      </w:r>
      <w:proofErr w:type="gramEnd"/>
      <w:r w:rsidR="001E1057">
        <w:t xml:space="preserve"> </w:t>
      </w:r>
      <w:r>
        <w:t xml:space="preserve">health sector representatives at the workshop will be key to understanding the issues at stake </w:t>
      </w:r>
      <w:r w:rsidR="001E1057">
        <w:t xml:space="preserve">more broadly, </w:t>
      </w:r>
      <w:r>
        <w:t xml:space="preserve">from various points of view. </w:t>
      </w:r>
    </w:p>
    <w:p w14:paraId="39B4C091" w14:textId="3B139FB1" w:rsidR="00241D5F" w:rsidRDefault="006D4E38" w:rsidP="001B526B">
      <w:pPr>
        <w:pStyle w:val="SingleTxtG"/>
      </w:pPr>
      <w:r>
        <w:t>1</w:t>
      </w:r>
      <w:r w:rsidR="001E1057">
        <w:t>2</w:t>
      </w:r>
      <w:r>
        <w:t>.</w:t>
      </w:r>
      <w:r>
        <w:tab/>
        <w:t xml:space="preserve"> The workshop will also provide an opportunity to reflect in general on various other related issues, such as the </w:t>
      </w:r>
      <w:r w:rsidR="00F4499D">
        <w:t xml:space="preserve">differences and </w:t>
      </w:r>
      <w:r>
        <w:t>interaction between SEA and other relevant assessment tools</w:t>
      </w:r>
      <w:proofErr w:type="gramStart"/>
      <w:r>
        <w:t xml:space="preserve">, </w:t>
      </w:r>
      <w:r w:rsidR="001E1057">
        <w:t xml:space="preserve">in particular, </w:t>
      </w:r>
      <w:r>
        <w:t>health</w:t>
      </w:r>
      <w:proofErr w:type="gramEnd"/>
      <w:r>
        <w:t xml:space="preserve"> impact assessment, and the challenges that the multiplication </w:t>
      </w:r>
      <w:r w:rsidR="00E053CA">
        <w:t>and increasing complexity o</w:t>
      </w:r>
      <w:r>
        <w:t>f the</w:t>
      </w:r>
      <w:r w:rsidR="00E053CA">
        <w:t xml:space="preserve"> assessment</w:t>
      </w:r>
      <w:r>
        <w:t xml:space="preserve"> tools </w:t>
      </w:r>
      <w:r w:rsidR="00E053CA">
        <w:t>may present for the effective implementation</w:t>
      </w:r>
      <w:r w:rsidR="00050D3C">
        <w:t xml:space="preserve"> on the Protocol</w:t>
      </w:r>
      <w:r w:rsidR="00E053CA">
        <w:t>.</w:t>
      </w:r>
      <w:r w:rsidR="002C2D2D">
        <w:t xml:space="preserve"> </w:t>
      </w:r>
    </w:p>
    <w:p w14:paraId="095A249C" w14:textId="6B3ADE37" w:rsidR="00F163A8" w:rsidRDefault="00F163A8" w:rsidP="00F163A8">
      <w:pPr>
        <w:pStyle w:val="SingleTxtG"/>
      </w:pPr>
      <w:r>
        <w:t>13.</w:t>
      </w:r>
      <w:r>
        <w:tab/>
        <w:t>Immediately after the workshop the consultants will summarize the key points from the presentations and discussions and present them at the start of the afternoon session, between 3-3.15 p</w:t>
      </w:r>
      <w:r w:rsidR="001D6ECC">
        <w:t>.</w:t>
      </w:r>
      <w:r>
        <w:t>m</w:t>
      </w:r>
      <w:r w:rsidR="001D6ECC">
        <w:t>.</w:t>
      </w:r>
      <w:r>
        <w:t xml:space="preserve"> (under item 7 (b) </w:t>
      </w:r>
      <w:r w:rsidR="001D6ECC">
        <w:t xml:space="preserve">on Draft guidance on assessing health impacts in strategic environmental assessment </w:t>
      </w:r>
      <w:r>
        <w:t>of the provisional agenda of the Working Group). The</w:t>
      </w:r>
      <w:r w:rsidR="00D2126C">
        <w:t xml:space="preserve"> Working Group will be invited to </w:t>
      </w:r>
      <w:r w:rsidR="00572F7D">
        <w:t xml:space="preserve">note </w:t>
      </w:r>
      <w:r w:rsidR="00D2126C">
        <w:t xml:space="preserve">the </w:t>
      </w:r>
      <w:r w:rsidR="00572F7D">
        <w:t xml:space="preserve">workshop’s </w:t>
      </w:r>
      <w:r w:rsidR="00D2126C">
        <w:t xml:space="preserve">main points and conclusions. </w:t>
      </w:r>
      <w:r w:rsidR="001D6ECC">
        <w:t xml:space="preserve">Subsequently, </w:t>
      </w:r>
      <w:r w:rsidR="00D2126C">
        <w:t xml:space="preserve">a </w:t>
      </w:r>
      <w:r w:rsidR="001D6ECC">
        <w:t>brief, 2-page,</w:t>
      </w:r>
      <w:r w:rsidR="00D2126C">
        <w:t xml:space="preserve"> summary report on the workshop will be</w:t>
      </w:r>
      <w:r w:rsidR="001D6ECC">
        <w:t xml:space="preserve"> presented as an </w:t>
      </w:r>
      <w:r w:rsidR="00D2126C">
        <w:t xml:space="preserve">annex to the </w:t>
      </w:r>
      <w:r>
        <w:t>report on the Working Group’s meeting</w:t>
      </w:r>
      <w:r w:rsidR="001D6ECC">
        <w:t>. T</w:t>
      </w:r>
      <w:r w:rsidR="00D2126C">
        <w:t>he presentations</w:t>
      </w:r>
      <w:r w:rsidR="00572F7D">
        <w:t xml:space="preserve"> will be</w:t>
      </w:r>
      <w:r w:rsidR="00D2126C">
        <w:t xml:space="preserve"> made available on the </w:t>
      </w:r>
      <w:r w:rsidR="00572F7D">
        <w:t xml:space="preserve">meeting </w:t>
      </w:r>
      <w:r w:rsidR="00D2126C">
        <w:t>web</w:t>
      </w:r>
      <w:r w:rsidR="00572F7D">
        <w:t>pag</w:t>
      </w:r>
      <w:r w:rsidR="001D6ECC">
        <w:t xml:space="preserve">e upon agreement by the presenters. </w:t>
      </w:r>
      <w:r w:rsidR="00D2126C">
        <w:t xml:space="preserve"> </w:t>
      </w:r>
    </w:p>
    <w:p w14:paraId="25F193AB" w14:textId="5AA57766" w:rsidR="00572F7D" w:rsidRDefault="006D4E38" w:rsidP="00D2126C">
      <w:pPr>
        <w:pStyle w:val="SingleTxtG"/>
      </w:pPr>
      <w:r>
        <w:t>1</w:t>
      </w:r>
      <w:r w:rsidR="00D2126C">
        <w:t>4</w:t>
      </w:r>
      <w:r w:rsidR="001B526B">
        <w:t>.</w:t>
      </w:r>
      <w:r w:rsidR="001B526B">
        <w:tab/>
        <w:t xml:space="preserve">The </w:t>
      </w:r>
      <w:r w:rsidR="000841A9">
        <w:t xml:space="preserve">workshop’s </w:t>
      </w:r>
      <w:r w:rsidR="001B526B">
        <w:t xml:space="preserve">open and interactive discussions </w:t>
      </w:r>
      <w:r w:rsidR="000841A9">
        <w:t>aim at</w:t>
      </w:r>
      <w:r w:rsidR="00D2126C">
        <w:t xml:space="preserve"> contributing to the </w:t>
      </w:r>
      <w:r w:rsidR="001B526B">
        <w:t>develop</w:t>
      </w:r>
      <w:r w:rsidR="00D2126C">
        <w:t xml:space="preserve">ment of </w:t>
      </w:r>
      <w:r w:rsidR="00F15B56">
        <w:t>the draft guidance on health</w:t>
      </w:r>
      <w:r w:rsidR="000841A9">
        <w:t xml:space="preserve"> and contributing to the deliberations of the Working Group on EIA and SEA on that draft</w:t>
      </w:r>
      <w:r w:rsidR="00D2126C">
        <w:t xml:space="preserve"> under agenda item 7 (b)</w:t>
      </w:r>
      <w:r w:rsidR="000841A9">
        <w:t xml:space="preserve">. </w:t>
      </w:r>
      <w:r w:rsidR="00D2126C">
        <w:t xml:space="preserve">The consultants will </w:t>
      </w:r>
      <w:r w:rsidR="00572F7D">
        <w:t>be</w:t>
      </w:r>
      <w:r w:rsidR="00050D3C">
        <w:t xml:space="preserve"> prepared </w:t>
      </w:r>
      <w:r w:rsidR="00572F7D">
        <w:t>to provide any additional clarifications or further information to the delegations, and</w:t>
      </w:r>
      <w:r w:rsidR="00050D3C">
        <w:t xml:space="preserve"> to</w:t>
      </w:r>
      <w:r w:rsidR="00572F7D">
        <w:t xml:space="preserve"> </w:t>
      </w:r>
      <w:r w:rsidR="00D2126C">
        <w:t>take on board the feedback received</w:t>
      </w:r>
      <w:r w:rsidR="00572F7D">
        <w:t xml:space="preserve"> in the </w:t>
      </w:r>
      <w:r w:rsidR="00050D3C">
        <w:t xml:space="preserve">subsequent </w:t>
      </w:r>
      <w:r w:rsidR="00572F7D">
        <w:t xml:space="preserve">preparation of a revised draft. The revised draft will be </w:t>
      </w:r>
      <w:r w:rsidR="001D6ECC">
        <w:t xml:space="preserve">submitted for </w:t>
      </w:r>
      <w:r w:rsidR="00572F7D">
        <w:t>consider</w:t>
      </w:r>
      <w:r w:rsidR="001D6ECC">
        <w:t xml:space="preserve">ation of </w:t>
      </w:r>
      <w:r w:rsidR="00572F7D">
        <w:t xml:space="preserve">the Working Group on EIA and SEA at its ninth meeting (9-11 June 2020) prior to </w:t>
      </w:r>
      <w:r w:rsidR="001D6ECC">
        <w:t xml:space="preserve">forwarding </w:t>
      </w:r>
      <w:r w:rsidR="00572F7D">
        <w:t>the document to the Meeting of the Parties to the Protocol at its fourth session, preliminarily scheduled for 8-11 December 2020.</w:t>
      </w:r>
    </w:p>
    <w:p w14:paraId="3B199A73" w14:textId="701886C8" w:rsidR="00EE1437" w:rsidRDefault="00572F7D" w:rsidP="00D2126C">
      <w:pPr>
        <w:pStyle w:val="SingleTxtG"/>
      </w:pPr>
      <w:r>
        <w:t>15.</w:t>
      </w:r>
      <w:r>
        <w:tab/>
        <w:t xml:space="preserve"> After its endorsement by the Meeting of the Parties, and as requested by the Parties, the secretariat will issue the guidance on health as a publication</w:t>
      </w:r>
      <w:proofErr w:type="gramStart"/>
      <w:r w:rsidR="001D6ECC">
        <w:t xml:space="preserve">. </w:t>
      </w:r>
      <w:proofErr w:type="gramEnd"/>
      <w:r w:rsidR="001D6ECC">
        <w:t xml:space="preserve">The published guidance will be supplemented with </w:t>
      </w:r>
      <w:r>
        <w:t>good practice</w:t>
      </w:r>
      <w:r w:rsidR="009C0A04">
        <w:t xml:space="preserve"> cases</w:t>
      </w:r>
      <w:r w:rsidR="00050D3C">
        <w:t>, including those presented at the workshop</w:t>
      </w:r>
      <w:r w:rsidR="009C0A04">
        <w:t>.</w:t>
      </w:r>
      <w:r>
        <w:t xml:space="preserve"> </w:t>
      </w:r>
    </w:p>
    <w:p w14:paraId="664C4082" w14:textId="77777777" w:rsidR="00126E1C" w:rsidRPr="0017153E" w:rsidRDefault="00126E1C" w:rsidP="00F462D0">
      <w:pPr>
        <w:pStyle w:val="SingleTxtG"/>
        <w:ind w:left="0"/>
        <w:rPr>
          <w:b/>
          <w:sz w:val="28"/>
          <w:szCs w:val="28"/>
        </w:rPr>
      </w:pPr>
      <w:bookmarkStart w:id="1" w:name="_GoBack"/>
      <w:bookmarkEnd w:id="1"/>
      <w:r w:rsidRPr="0017153E">
        <w:rPr>
          <w:b/>
          <w:sz w:val="28"/>
          <w:szCs w:val="28"/>
        </w:rPr>
        <w:lastRenderedPageBreak/>
        <w:t>I</w:t>
      </w:r>
      <w:r w:rsidR="0017153E">
        <w:rPr>
          <w:b/>
          <w:sz w:val="28"/>
          <w:szCs w:val="28"/>
        </w:rPr>
        <w:t>V</w:t>
      </w:r>
      <w:r w:rsidRPr="0017153E">
        <w:rPr>
          <w:b/>
          <w:sz w:val="28"/>
          <w:szCs w:val="28"/>
        </w:rPr>
        <w:t>.</w:t>
      </w:r>
      <w:r w:rsidRPr="0017153E">
        <w:rPr>
          <w:b/>
          <w:sz w:val="28"/>
          <w:szCs w:val="28"/>
        </w:rPr>
        <w:tab/>
        <w:t>Provisional programme</w:t>
      </w:r>
    </w:p>
    <w:p w14:paraId="1653A028" w14:textId="77777777" w:rsidR="00126E1C" w:rsidRPr="0017153E" w:rsidRDefault="00126E1C" w:rsidP="0017153E">
      <w:pPr>
        <w:pStyle w:val="SingleTxtG"/>
      </w:pPr>
    </w:p>
    <w:p w14:paraId="2133EBB6" w14:textId="77777777" w:rsidR="00126E1C" w:rsidRDefault="00126E1C" w:rsidP="0017153E">
      <w:pPr>
        <w:ind w:left="2160" w:hanging="1440"/>
        <w:rPr>
          <w:b/>
          <w:bCs/>
          <w:u w:val="single"/>
        </w:rPr>
      </w:pPr>
      <w:bookmarkStart w:id="2" w:name="_Hlk22023292"/>
      <w:r w:rsidRPr="00B36310">
        <w:rPr>
          <w:b/>
          <w:bCs/>
          <w:u w:val="single"/>
        </w:rPr>
        <w:t>Wednesday, 27 November</w:t>
      </w:r>
    </w:p>
    <w:p w14:paraId="5FE65C0A" w14:textId="77777777" w:rsidR="00126E1C" w:rsidRPr="00B36310" w:rsidRDefault="00126E1C" w:rsidP="0017153E">
      <w:pPr>
        <w:ind w:left="2160" w:hanging="1440"/>
        <w:rPr>
          <w:b/>
          <w:bCs/>
          <w:u w:val="single"/>
        </w:rPr>
      </w:pPr>
    </w:p>
    <w:p w14:paraId="2365CAF2" w14:textId="77777777" w:rsidR="00126E1C" w:rsidRDefault="00126E1C" w:rsidP="0017153E">
      <w:pPr>
        <w:ind w:left="2160" w:hanging="1440"/>
      </w:pPr>
      <w:r w:rsidRPr="00521EF9">
        <w:rPr>
          <w:b/>
          <w:bCs/>
        </w:rPr>
        <w:t>10</w:t>
      </w:r>
      <w:r>
        <w:rPr>
          <w:b/>
          <w:bCs/>
        </w:rPr>
        <w:t>.00</w:t>
      </w:r>
      <w:r w:rsidRPr="00521EF9">
        <w:rPr>
          <w:b/>
          <w:bCs/>
        </w:rPr>
        <w:t xml:space="preserve">-10.15 </w:t>
      </w:r>
      <w:r w:rsidRPr="00521EF9">
        <w:rPr>
          <w:b/>
          <w:bCs/>
        </w:rPr>
        <w:tab/>
        <w:t>Introductory remarks</w:t>
      </w:r>
      <w:r w:rsidRPr="00521EF9">
        <w:t xml:space="preserve"> </w:t>
      </w:r>
      <w:r w:rsidR="00C111E1">
        <w:br/>
      </w:r>
      <w:r w:rsidRPr="00521EF9">
        <w:t xml:space="preserve">by UNECE, EIB, WHO </w:t>
      </w:r>
    </w:p>
    <w:p w14:paraId="13275B31" w14:textId="77777777" w:rsidR="00C111E1" w:rsidRPr="00521EF9" w:rsidRDefault="00C111E1" w:rsidP="0017153E">
      <w:pPr>
        <w:ind w:left="2160" w:hanging="1440"/>
      </w:pPr>
    </w:p>
    <w:p w14:paraId="67E21FE5" w14:textId="77777777" w:rsidR="00126E1C" w:rsidRPr="00521EF9" w:rsidRDefault="00126E1C" w:rsidP="0017153E">
      <w:pPr>
        <w:ind w:left="2160" w:hanging="1440"/>
      </w:pPr>
      <w:r w:rsidRPr="00521EF9">
        <w:rPr>
          <w:b/>
          <w:bCs/>
        </w:rPr>
        <w:t>10.15-11</w:t>
      </w:r>
      <w:r>
        <w:rPr>
          <w:b/>
          <w:bCs/>
        </w:rPr>
        <w:t>.00</w:t>
      </w:r>
      <w:r w:rsidRPr="00521EF9">
        <w:rPr>
          <w:b/>
          <w:bCs/>
        </w:rPr>
        <w:t xml:space="preserve"> </w:t>
      </w:r>
      <w:r w:rsidRPr="00521EF9">
        <w:rPr>
          <w:b/>
          <w:bCs/>
        </w:rPr>
        <w:tab/>
        <w:t>Presentation of the draft guidance</w:t>
      </w:r>
      <w:r w:rsidRPr="00521EF9">
        <w:t xml:space="preserve"> </w:t>
      </w:r>
      <w:r w:rsidR="00C111E1">
        <w:rPr>
          <w:b/>
          <w:bCs/>
        </w:rPr>
        <w:t>followed by Q&amp;A</w:t>
      </w:r>
      <w:r w:rsidR="00C111E1">
        <w:br/>
      </w:r>
      <w:r w:rsidR="00042523" w:rsidRPr="00042523">
        <w:t>by</w:t>
      </w:r>
      <w:r w:rsidR="00042523">
        <w:t xml:space="preserve"> </w:t>
      </w:r>
      <w:r w:rsidR="00042523" w:rsidRPr="00042523">
        <w:t>consultants Ben Cave and Thomas Fischer</w:t>
      </w:r>
      <w:r w:rsidR="00C111E1">
        <w:br/>
      </w:r>
    </w:p>
    <w:p w14:paraId="68EE7DC3" w14:textId="77777777" w:rsidR="00126E1C" w:rsidRPr="00521EF9" w:rsidRDefault="00126E1C" w:rsidP="0017153E">
      <w:pPr>
        <w:ind w:left="2160" w:hanging="1440"/>
      </w:pPr>
      <w:bookmarkStart w:id="3" w:name="_Hlk22023119"/>
      <w:r w:rsidRPr="00521EF9">
        <w:rPr>
          <w:b/>
          <w:bCs/>
        </w:rPr>
        <w:t>11.00-13.00</w:t>
      </w:r>
      <w:r w:rsidRPr="00521EF9">
        <w:tab/>
      </w:r>
      <w:r w:rsidRPr="00521EF9">
        <w:rPr>
          <w:b/>
          <w:bCs/>
        </w:rPr>
        <w:t xml:space="preserve">Sharing good practice and </w:t>
      </w:r>
      <w:r w:rsidRPr="00042523">
        <w:rPr>
          <w:b/>
          <w:bCs/>
        </w:rPr>
        <w:t>challenges in assessing health impacts and in involving health authorities in SEA</w:t>
      </w:r>
      <w:r w:rsidR="00042523">
        <w:t>:</w:t>
      </w:r>
    </w:p>
    <w:bookmarkEnd w:id="2"/>
    <w:p w14:paraId="205B9F6C" w14:textId="77777777" w:rsidR="00126E1C" w:rsidRDefault="00126E1C" w:rsidP="0017153E">
      <w:pPr>
        <w:ind w:left="1440"/>
      </w:pPr>
    </w:p>
    <w:p w14:paraId="75FFB631" w14:textId="77777777" w:rsidR="00126E1C" w:rsidRPr="00521EF9" w:rsidRDefault="00126E1C" w:rsidP="0017153E">
      <w:pPr>
        <w:ind w:left="1440" w:firstLine="720"/>
      </w:pPr>
      <w:r w:rsidRPr="00521EF9">
        <w:t>(</w:t>
      </w:r>
      <w:r>
        <w:t>a</w:t>
      </w:r>
      <w:r w:rsidRPr="00521EF9">
        <w:t>)</w:t>
      </w:r>
      <w:r>
        <w:t xml:space="preserve"> </w:t>
      </w:r>
      <w:r>
        <w:tab/>
        <w:t>A</w:t>
      </w:r>
      <w:r w:rsidRPr="00521EF9">
        <w:t>vailable experience</w:t>
      </w:r>
      <w:r>
        <w:t>,</w:t>
      </w:r>
      <w:r w:rsidRPr="00521EF9">
        <w:t xml:space="preserve"> expertise</w:t>
      </w:r>
      <w:r>
        <w:t xml:space="preserve"> </w:t>
      </w:r>
      <w:r w:rsidRPr="00521EF9">
        <w:t>and good practices;</w:t>
      </w:r>
    </w:p>
    <w:p w14:paraId="6DFD6C56" w14:textId="77777777" w:rsidR="00126E1C" w:rsidRPr="00521EF9" w:rsidRDefault="00126E1C" w:rsidP="0017153E">
      <w:pPr>
        <w:ind w:left="1440" w:firstLine="720"/>
      </w:pPr>
      <w:r w:rsidRPr="00521EF9">
        <w:t>(</w:t>
      </w:r>
      <w:r>
        <w:t>b</w:t>
      </w:r>
      <w:r w:rsidRPr="00521EF9">
        <w:t xml:space="preserve">) </w:t>
      </w:r>
      <w:r>
        <w:tab/>
        <w:t>C</w:t>
      </w:r>
      <w:r w:rsidRPr="00521EF9">
        <w:t>ommon difficulties and main obstacles;</w:t>
      </w:r>
    </w:p>
    <w:p w14:paraId="2E3206DF" w14:textId="6B2E2FF7" w:rsidR="00126E1C" w:rsidRDefault="00126E1C" w:rsidP="0017153E">
      <w:pPr>
        <w:ind w:left="2880" w:hanging="720"/>
      </w:pPr>
      <w:r w:rsidRPr="00521EF9">
        <w:t>(</w:t>
      </w:r>
      <w:r>
        <w:t>c</w:t>
      </w:r>
      <w:r w:rsidRPr="00521EF9">
        <w:t xml:space="preserve">) </w:t>
      </w:r>
      <w:r>
        <w:tab/>
        <w:t>P</w:t>
      </w:r>
      <w:r w:rsidRPr="00521EF9">
        <w:t>ossible solutions</w:t>
      </w:r>
      <w:r w:rsidR="00042523">
        <w:t xml:space="preserve">, including, </w:t>
      </w:r>
      <w:r>
        <w:t>how the</w:t>
      </w:r>
      <w:r w:rsidR="0017153E">
        <w:t xml:space="preserve"> issues could be addressed in the </w:t>
      </w:r>
      <w:r w:rsidR="002C2D2D">
        <w:t>draft guidance</w:t>
      </w:r>
      <w:r w:rsidR="00042523">
        <w:t xml:space="preserve"> document </w:t>
      </w:r>
      <w:r w:rsidR="002C2D2D">
        <w:t>on assessing health impacts being developed under the Protocol</w:t>
      </w:r>
    </w:p>
    <w:p w14:paraId="503E5494" w14:textId="77777777" w:rsidR="00126E1C" w:rsidRDefault="00126E1C" w:rsidP="0017153E">
      <w:pPr>
        <w:ind w:left="2880"/>
      </w:pPr>
    </w:p>
    <w:p w14:paraId="023F9B1E" w14:textId="190D1CBB" w:rsidR="00126E1C" w:rsidRPr="00D41FF5" w:rsidRDefault="00126E1C" w:rsidP="00F462D0">
      <w:pPr>
        <w:ind w:left="720"/>
        <w:rPr>
          <w:b/>
          <w:bCs/>
        </w:rPr>
      </w:pPr>
      <w:r>
        <w:tab/>
      </w:r>
      <w:r>
        <w:tab/>
      </w:r>
      <w:r w:rsidRPr="00D41FF5">
        <w:rPr>
          <w:b/>
          <w:bCs/>
        </w:rPr>
        <w:t xml:space="preserve">Presentations </w:t>
      </w:r>
      <w:r w:rsidR="00F462D0">
        <w:rPr>
          <w:b/>
          <w:bCs/>
        </w:rPr>
        <w:t xml:space="preserve">followed by </w:t>
      </w:r>
      <w:r w:rsidR="00D41FF5" w:rsidRPr="00D41FF5">
        <w:rPr>
          <w:b/>
          <w:bCs/>
        </w:rPr>
        <w:t>Q&amp;A</w:t>
      </w:r>
      <w:r w:rsidR="00F462D0">
        <w:rPr>
          <w:b/>
          <w:bCs/>
        </w:rPr>
        <w:t xml:space="preserve"> and </w:t>
      </w:r>
      <w:r w:rsidR="00D41FF5" w:rsidRPr="00D41FF5">
        <w:rPr>
          <w:b/>
          <w:bCs/>
        </w:rPr>
        <w:t>general</w:t>
      </w:r>
      <w:r w:rsidR="00042523" w:rsidRPr="00D41FF5">
        <w:rPr>
          <w:b/>
          <w:bCs/>
        </w:rPr>
        <w:t xml:space="preserve"> discussion </w:t>
      </w:r>
    </w:p>
    <w:p w14:paraId="5D2E9035" w14:textId="77777777" w:rsidR="00CD1E29" w:rsidRPr="00D41FF5" w:rsidRDefault="00CD1E29" w:rsidP="0017153E">
      <w:pPr>
        <w:ind w:left="720"/>
        <w:rPr>
          <w:rFonts w:asciiTheme="majorBidi" w:hAnsiTheme="majorBidi" w:cstheme="majorBidi"/>
        </w:rPr>
      </w:pPr>
    </w:p>
    <w:p w14:paraId="22A082C0" w14:textId="68F49A5D" w:rsidR="00D41FF5" w:rsidRDefault="00D41FF5" w:rsidP="00F462D0">
      <w:pPr>
        <w:ind w:left="1440" w:firstLine="720"/>
        <w:rPr>
          <w:rFonts w:asciiTheme="majorBidi" w:hAnsiTheme="majorBidi" w:cstheme="majorBidi"/>
          <w:b/>
          <w:bCs/>
        </w:rPr>
      </w:pPr>
      <w:r w:rsidRPr="00D41FF5">
        <w:rPr>
          <w:rFonts w:asciiTheme="majorBidi" w:hAnsiTheme="majorBidi" w:cstheme="majorBidi"/>
          <w:b/>
          <w:bCs/>
        </w:rPr>
        <w:t>1.</w:t>
      </w:r>
      <w:r w:rsidRPr="00D41FF5">
        <w:rPr>
          <w:rFonts w:asciiTheme="majorBidi" w:hAnsiTheme="majorBidi" w:cstheme="majorBidi"/>
          <w:b/>
          <w:bCs/>
        </w:rPr>
        <w:tab/>
        <w:t>Czechia</w:t>
      </w:r>
      <w:bookmarkStart w:id="4" w:name="_Hlk22197332"/>
    </w:p>
    <w:p w14:paraId="0AD2DB9F" w14:textId="77777777" w:rsidR="00F462D0" w:rsidRPr="00D41FF5" w:rsidRDefault="00F462D0" w:rsidP="00F462D0">
      <w:pPr>
        <w:ind w:left="1440" w:firstLine="720"/>
        <w:rPr>
          <w:rFonts w:asciiTheme="majorBidi" w:hAnsiTheme="majorBidi" w:cstheme="majorBidi"/>
          <w:b/>
          <w:bCs/>
        </w:rPr>
      </w:pPr>
    </w:p>
    <w:bookmarkEnd w:id="4"/>
    <w:p w14:paraId="0B79D7DD" w14:textId="046274F6" w:rsidR="00E9789A" w:rsidRPr="00D41FF5" w:rsidRDefault="00D41FF5" w:rsidP="00F462D0">
      <w:pPr>
        <w:ind w:left="1440" w:firstLine="720"/>
        <w:rPr>
          <w:rFonts w:asciiTheme="majorBidi" w:hAnsiTheme="majorBidi" w:cstheme="majorBidi"/>
          <w:b/>
          <w:bCs/>
        </w:rPr>
      </w:pPr>
      <w:r w:rsidRPr="00D41FF5">
        <w:rPr>
          <w:rFonts w:asciiTheme="majorBidi" w:hAnsiTheme="majorBidi" w:cstheme="majorBidi"/>
          <w:b/>
          <w:bCs/>
        </w:rPr>
        <w:t>2.</w:t>
      </w:r>
      <w:r w:rsidRPr="00D41FF5">
        <w:rPr>
          <w:rFonts w:asciiTheme="majorBidi" w:hAnsiTheme="majorBidi" w:cstheme="majorBidi"/>
          <w:b/>
          <w:bCs/>
        </w:rPr>
        <w:tab/>
        <w:t xml:space="preserve">The Netherlands </w:t>
      </w:r>
    </w:p>
    <w:p w14:paraId="6B91AFE5" w14:textId="77777777" w:rsidR="00F462D0" w:rsidRDefault="00F462D0" w:rsidP="00D41FF5">
      <w:pPr>
        <w:pStyle w:val="ListParagraph"/>
        <w:ind w:left="2880" w:hanging="720"/>
        <w:rPr>
          <w:rFonts w:asciiTheme="majorBidi" w:hAnsiTheme="majorBidi" w:cstheme="majorBidi"/>
          <w:b/>
          <w:bCs/>
          <w:sz w:val="20"/>
          <w:szCs w:val="20"/>
        </w:rPr>
      </w:pPr>
    </w:p>
    <w:p w14:paraId="5C4A4AC3" w14:textId="77777777" w:rsidR="00F462D0" w:rsidRDefault="00D41FF5" w:rsidP="00F462D0">
      <w:pPr>
        <w:pStyle w:val="ListParagraph"/>
        <w:ind w:left="2880" w:hanging="720"/>
        <w:rPr>
          <w:rFonts w:asciiTheme="majorBidi" w:hAnsiTheme="majorBidi" w:cstheme="majorBidi"/>
          <w:b/>
          <w:bCs/>
          <w:sz w:val="20"/>
          <w:szCs w:val="20"/>
        </w:rPr>
      </w:pPr>
      <w:r w:rsidRPr="00D41FF5">
        <w:rPr>
          <w:rFonts w:asciiTheme="majorBidi" w:hAnsiTheme="majorBidi" w:cstheme="majorBidi"/>
          <w:b/>
          <w:bCs/>
          <w:sz w:val="20"/>
          <w:szCs w:val="20"/>
        </w:rPr>
        <w:t>3.</w:t>
      </w:r>
      <w:r w:rsidRPr="00D41FF5">
        <w:rPr>
          <w:rFonts w:asciiTheme="majorBidi" w:hAnsiTheme="majorBidi" w:cstheme="majorBidi"/>
          <w:b/>
          <w:bCs/>
          <w:sz w:val="20"/>
          <w:szCs w:val="20"/>
        </w:rPr>
        <w:tab/>
        <w:t xml:space="preserve">Estonia </w:t>
      </w:r>
    </w:p>
    <w:p w14:paraId="58991877" w14:textId="77777777" w:rsidR="00F462D0" w:rsidRDefault="00F462D0" w:rsidP="00F462D0">
      <w:pPr>
        <w:pStyle w:val="ListParagraph"/>
        <w:ind w:left="2880" w:hanging="720"/>
        <w:rPr>
          <w:rFonts w:asciiTheme="majorBidi" w:hAnsiTheme="majorBidi" w:cstheme="majorBidi"/>
          <w:b/>
          <w:bCs/>
          <w:sz w:val="20"/>
          <w:szCs w:val="20"/>
        </w:rPr>
      </w:pPr>
    </w:p>
    <w:p w14:paraId="05C2B7D2" w14:textId="3F05B261" w:rsidR="00D41FF5" w:rsidRDefault="00D41FF5" w:rsidP="00F462D0">
      <w:pPr>
        <w:pStyle w:val="ListParagraph"/>
        <w:ind w:left="2880" w:hanging="720"/>
        <w:rPr>
          <w:rFonts w:asciiTheme="majorBidi" w:hAnsiTheme="majorBidi" w:cstheme="majorBidi"/>
          <w:b/>
          <w:bCs/>
        </w:rPr>
      </w:pPr>
      <w:r w:rsidRPr="00D41FF5">
        <w:rPr>
          <w:rFonts w:asciiTheme="majorBidi" w:hAnsiTheme="majorBidi" w:cstheme="majorBidi"/>
          <w:b/>
          <w:bCs/>
          <w:sz w:val="20"/>
          <w:szCs w:val="20"/>
        </w:rPr>
        <w:t>4.</w:t>
      </w:r>
      <w:r w:rsidRPr="00D41FF5">
        <w:rPr>
          <w:rFonts w:asciiTheme="majorBidi" w:hAnsiTheme="majorBidi" w:cstheme="majorBidi"/>
          <w:b/>
          <w:bCs/>
          <w:sz w:val="20"/>
          <w:szCs w:val="20"/>
        </w:rPr>
        <w:tab/>
      </w:r>
      <w:r w:rsidR="00C111E1" w:rsidRPr="00D41FF5">
        <w:rPr>
          <w:rFonts w:asciiTheme="majorBidi" w:hAnsiTheme="majorBidi" w:cstheme="majorBidi"/>
          <w:b/>
          <w:bCs/>
          <w:sz w:val="20"/>
          <w:szCs w:val="20"/>
        </w:rPr>
        <w:t>Wales (United Kingdom)</w:t>
      </w:r>
    </w:p>
    <w:p w14:paraId="0B48289C" w14:textId="77777777" w:rsidR="00126E1C" w:rsidRPr="00D41FF5" w:rsidRDefault="00126E1C" w:rsidP="0017153E">
      <w:pPr>
        <w:ind w:left="1440" w:firstLine="720"/>
        <w:rPr>
          <w:rFonts w:asciiTheme="majorBidi" w:hAnsiTheme="majorBidi" w:cstheme="majorBidi"/>
          <w:b/>
          <w:bCs/>
        </w:rPr>
      </w:pPr>
    </w:p>
    <w:bookmarkEnd w:id="3"/>
    <w:p w14:paraId="4FDE4E29" w14:textId="6833757B" w:rsidR="00307918" w:rsidRPr="00D41FF5" w:rsidRDefault="00126E1C" w:rsidP="002C2D2D">
      <w:pPr>
        <w:ind w:left="2160" w:hanging="1440"/>
        <w:rPr>
          <w:rFonts w:asciiTheme="majorBidi" w:hAnsiTheme="majorBidi" w:cstheme="majorBidi"/>
          <w:b/>
          <w:bCs/>
          <w:color w:val="000000" w:themeColor="text1"/>
        </w:rPr>
      </w:pPr>
      <w:r w:rsidRPr="00D41FF5">
        <w:rPr>
          <w:rFonts w:asciiTheme="majorBidi" w:hAnsiTheme="majorBidi" w:cstheme="majorBidi"/>
          <w:b/>
          <w:bCs/>
          <w:color w:val="000000" w:themeColor="text1"/>
        </w:rPr>
        <w:t xml:space="preserve">15-15.15: </w:t>
      </w:r>
      <w:r w:rsidRPr="00D41FF5">
        <w:rPr>
          <w:rFonts w:asciiTheme="majorBidi" w:hAnsiTheme="majorBidi" w:cstheme="majorBidi"/>
          <w:b/>
          <w:bCs/>
          <w:color w:val="000000" w:themeColor="text1"/>
        </w:rPr>
        <w:tab/>
        <w:t>Brief sum-up of the main conclusions</w:t>
      </w:r>
    </w:p>
    <w:p w14:paraId="61DEFA98" w14:textId="424070FF" w:rsidR="002C2D2D" w:rsidRPr="00D41FF5" w:rsidRDefault="002C2D2D" w:rsidP="002C2D2D">
      <w:pPr>
        <w:ind w:left="2160" w:hanging="1440"/>
        <w:rPr>
          <w:rFonts w:asciiTheme="majorBidi" w:hAnsiTheme="majorBidi" w:cstheme="majorBidi"/>
          <w:b/>
          <w:bCs/>
          <w:color w:val="000000" w:themeColor="text1"/>
        </w:rPr>
      </w:pPr>
    </w:p>
    <w:p w14:paraId="3D3BCBA4" w14:textId="3A0026B9" w:rsidR="002C2D2D" w:rsidRPr="00D41FF5" w:rsidRDefault="002C2D2D" w:rsidP="002C2D2D">
      <w:pPr>
        <w:ind w:left="2160" w:hanging="1440"/>
        <w:rPr>
          <w:b/>
          <w:bCs/>
          <w:color w:val="000000" w:themeColor="text1"/>
        </w:rPr>
      </w:pPr>
    </w:p>
    <w:p w14:paraId="32DA605F" w14:textId="7EAFFC31" w:rsidR="002C2D2D" w:rsidRDefault="002C2D2D" w:rsidP="002C2D2D">
      <w:pPr>
        <w:ind w:left="2160" w:hanging="1440"/>
        <w:rPr>
          <w:b/>
          <w:bCs/>
          <w:color w:val="000000" w:themeColor="text1"/>
        </w:rPr>
      </w:pPr>
    </w:p>
    <w:p w14:paraId="406AE248" w14:textId="3A71615C" w:rsidR="002C2D2D" w:rsidRPr="00050D3C" w:rsidRDefault="002C2D2D" w:rsidP="002C2D2D">
      <w:pPr>
        <w:ind w:left="2160" w:hanging="1440"/>
        <w:jc w:val="center"/>
        <w:rPr>
          <w:color w:val="000000" w:themeColor="text1"/>
        </w:rPr>
      </w:pPr>
      <w:r w:rsidRPr="00050D3C">
        <w:rPr>
          <w:color w:val="000000" w:themeColor="text1"/>
        </w:rPr>
        <w:t>__________________</w:t>
      </w:r>
    </w:p>
    <w:sectPr w:rsidR="002C2D2D" w:rsidRPr="00050D3C" w:rsidSect="00743718">
      <w:headerReference w:type="even" r:id="rId8"/>
      <w:headerReference w:type="default" r:id="rId9"/>
      <w:footerReference w:type="even" r:id="rId10"/>
      <w:footerReference w:type="default" r:id="rId11"/>
      <w:head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C490E" w14:textId="77777777" w:rsidR="00DF1965" w:rsidRDefault="00DF1965" w:rsidP="00BD269E">
      <w:pPr>
        <w:spacing w:line="240" w:lineRule="auto"/>
      </w:pPr>
      <w:r>
        <w:separator/>
      </w:r>
    </w:p>
  </w:endnote>
  <w:endnote w:type="continuationSeparator" w:id="0">
    <w:p w14:paraId="4DE279E5" w14:textId="77777777" w:rsidR="00DF1965" w:rsidRDefault="00DF1965" w:rsidP="00BD26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A594C" w14:textId="77777777" w:rsidR="002A1349" w:rsidRPr="00743718" w:rsidRDefault="00E93259" w:rsidP="00743718">
    <w:pPr>
      <w:pStyle w:val="Footer"/>
      <w:tabs>
        <w:tab w:val="right" w:pos="9638"/>
      </w:tabs>
      <w:rPr>
        <w:sz w:val="18"/>
      </w:rPr>
    </w:pPr>
    <w:r w:rsidRPr="00743718">
      <w:rPr>
        <w:b/>
        <w:sz w:val="18"/>
      </w:rPr>
      <w:fldChar w:fldCharType="begin"/>
    </w:r>
    <w:r w:rsidRPr="00743718">
      <w:rPr>
        <w:b/>
        <w:sz w:val="18"/>
      </w:rPr>
      <w:instrText xml:space="preserve"> PAGE  \* MERGEFORMAT </w:instrText>
    </w:r>
    <w:r w:rsidRPr="00743718">
      <w:rPr>
        <w:b/>
        <w:sz w:val="18"/>
      </w:rPr>
      <w:fldChar w:fldCharType="separate"/>
    </w:r>
    <w:r>
      <w:rPr>
        <w:b/>
        <w:noProof/>
        <w:sz w:val="18"/>
      </w:rPr>
      <w:t>2</w:t>
    </w:r>
    <w:r w:rsidRPr="0074371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39C4B" w14:textId="77777777" w:rsidR="002A1349" w:rsidRPr="00743718" w:rsidRDefault="00E93259" w:rsidP="00743718">
    <w:pPr>
      <w:pStyle w:val="Footer"/>
      <w:tabs>
        <w:tab w:val="right" w:pos="9638"/>
      </w:tabs>
      <w:rPr>
        <w:b/>
        <w:sz w:val="18"/>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B59D4" w14:textId="77777777" w:rsidR="00DF1965" w:rsidRDefault="00DF1965" w:rsidP="00BD269E">
      <w:pPr>
        <w:spacing w:line="240" w:lineRule="auto"/>
      </w:pPr>
      <w:r>
        <w:separator/>
      </w:r>
    </w:p>
  </w:footnote>
  <w:footnote w:type="continuationSeparator" w:id="0">
    <w:p w14:paraId="067B4776" w14:textId="77777777" w:rsidR="00DF1965" w:rsidRDefault="00DF1965" w:rsidP="00BD269E">
      <w:pPr>
        <w:spacing w:line="240" w:lineRule="auto"/>
      </w:pPr>
      <w:r>
        <w:continuationSeparator/>
      </w:r>
    </w:p>
  </w:footnote>
  <w:footnote w:id="1">
    <w:p w14:paraId="7BA1EA70" w14:textId="63FE21A2" w:rsidR="00754D58" w:rsidRDefault="00754D58" w:rsidP="00754D58">
      <w:pPr>
        <w:pStyle w:val="FootnoteText"/>
        <w:rPr>
          <w:szCs w:val="18"/>
        </w:rPr>
      </w:pPr>
      <w:r>
        <w:tab/>
      </w:r>
      <w:r>
        <w:tab/>
      </w:r>
      <w:r>
        <w:rPr>
          <w:rStyle w:val="FootnoteReference"/>
        </w:rPr>
        <w:footnoteRef/>
      </w:r>
      <w:r>
        <w:t xml:space="preserve"> The </w:t>
      </w:r>
      <w:r>
        <w:rPr>
          <w:szCs w:val="18"/>
        </w:rPr>
        <w:t xml:space="preserve">text of the Protocol on SEA (ECE/MP.EIA/SEA/8) </w:t>
      </w:r>
      <w:r w:rsidR="001018CB">
        <w:rPr>
          <w:szCs w:val="18"/>
        </w:rPr>
        <w:t xml:space="preserve">is </w:t>
      </w:r>
      <w:r>
        <w:rPr>
          <w:szCs w:val="18"/>
        </w:rPr>
        <w:t xml:space="preserve">available at: </w:t>
      </w:r>
      <w:hyperlink r:id="rId1" w:history="1">
        <w:r w:rsidR="00F12A22" w:rsidRPr="001F0FE7">
          <w:rPr>
            <w:rStyle w:val="Hyperlink"/>
            <w:szCs w:val="18"/>
          </w:rPr>
          <w:t>http://www.unece.org/index.php?id=46020</w:t>
        </w:r>
      </w:hyperlink>
    </w:p>
    <w:p w14:paraId="2AFC5B2F" w14:textId="77777777" w:rsidR="00F12A22" w:rsidRPr="00A60064" w:rsidRDefault="00F12A22" w:rsidP="00754D58">
      <w:pPr>
        <w:pStyle w:val="FootnoteText"/>
        <w:rPr>
          <w:lang w:val="en-US"/>
        </w:rPr>
      </w:pPr>
    </w:p>
  </w:footnote>
  <w:footnote w:id="2">
    <w:p w14:paraId="0DABBF6E" w14:textId="77777777" w:rsidR="00695B33" w:rsidRPr="00695B33" w:rsidRDefault="00695B33" w:rsidP="00695B33">
      <w:pPr>
        <w:pStyle w:val="FootnoteText"/>
      </w:pPr>
      <w:r w:rsidRPr="001018CB">
        <w:tab/>
      </w:r>
      <w:r w:rsidRPr="001018CB">
        <w:tab/>
      </w:r>
      <w:r>
        <w:rPr>
          <w:rStyle w:val="FootnoteReference"/>
        </w:rPr>
        <w:footnoteRef/>
      </w:r>
      <w:r w:rsidRPr="00695B33">
        <w:t xml:space="preserve"> See </w:t>
      </w:r>
      <w:r>
        <w:t>d</w:t>
      </w:r>
      <w:r w:rsidRPr="00695B33">
        <w:t>ecision VII/3-III/3, anne</w:t>
      </w:r>
      <w:r>
        <w:t xml:space="preserve">x I, </w:t>
      </w:r>
      <w:r w:rsidRPr="00695B33">
        <w:t>ECE/MP.EIA/23/Add.1-ECE/MP.EIA/SEA/7/Add.1</w:t>
      </w:r>
      <w:r w:rsidR="000A6DCD">
        <w:t>.</w:t>
      </w:r>
    </w:p>
  </w:footnote>
  <w:footnote w:id="3">
    <w:p w14:paraId="195FDB95" w14:textId="57385612" w:rsidR="008D1D91" w:rsidRPr="008D1D91" w:rsidRDefault="008D1D91">
      <w:pPr>
        <w:pStyle w:val="FootnoteText"/>
      </w:pPr>
      <w:r>
        <w:tab/>
      </w:r>
      <w:r>
        <w:tab/>
      </w:r>
      <w:r>
        <w:rPr>
          <w:rStyle w:val="FootnoteReference"/>
        </w:rPr>
        <w:footnoteRef/>
      </w:r>
      <w:r>
        <w:t xml:space="preserve"> See ECE/MP.EIA/WG.2/2019/5</w:t>
      </w:r>
    </w:p>
  </w:footnote>
  <w:footnote w:id="4">
    <w:p w14:paraId="10DB9271" w14:textId="77777777" w:rsidR="0034744E" w:rsidRPr="00DE16D5" w:rsidRDefault="0034744E">
      <w:pPr>
        <w:pStyle w:val="FootnoteText"/>
      </w:pPr>
      <w:r>
        <w:tab/>
      </w:r>
      <w:r>
        <w:tab/>
      </w:r>
      <w:r>
        <w:rPr>
          <w:rStyle w:val="FootnoteReference"/>
        </w:rPr>
        <w:footnoteRef/>
      </w:r>
      <w:r w:rsidRPr="00DE16D5">
        <w:t xml:space="preserve"> </w:t>
      </w:r>
      <w:r w:rsidR="00DE16D5" w:rsidRPr="00DE16D5">
        <w:t>See report of the Meetin</w:t>
      </w:r>
      <w:r w:rsidR="00DE16D5">
        <w:t>gs of the Parties, at their intermediary sessions (5–7 February 2019)</w:t>
      </w:r>
      <w:r w:rsidRPr="00DE16D5">
        <w:t xml:space="preserve"> ECE/MP.EIA/27–ECE/MP.EIA/SEA</w:t>
      </w:r>
      <w:r w:rsidR="00755049" w:rsidRPr="00DE16D5">
        <w:t>11, para</w:t>
      </w:r>
      <w:r w:rsidR="00DE16D5" w:rsidRPr="00DE16D5">
        <w:t>s</w:t>
      </w:r>
      <w:r w:rsidR="00755049" w:rsidRPr="00DE16D5">
        <w:t>. 29</w:t>
      </w:r>
      <w:r w:rsidR="00DE16D5" w:rsidRPr="00DE16D5">
        <w:t xml:space="preserve"> and 35</w:t>
      </w:r>
      <w:r w:rsidR="00755049" w:rsidRPr="00DE16D5">
        <w:t>.</w:t>
      </w:r>
    </w:p>
  </w:footnote>
  <w:footnote w:id="5">
    <w:p w14:paraId="528DA45C" w14:textId="151776B2" w:rsidR="00E56B22" w:rsidRDefault="00E56B22">
      <w:pPr>
        <w:pStyle w:val="FootnoteText"/>
      </w:pPr>
      <w:r w:rsidRPr="00DE16D5">
        <w:tab/>
      </w:r>
      <w:r w:rsidRPr="00DE16D5">
        <w:tab/>
      </w:r>
      <w:r w:rsidR="00020AB4">
        <w:rPr>
          <w:rStyle w:val="FootnoteReference"/>
        </w:rPr>
        <w:footnoteRef/>
      </w:r>
      <w:r w:rsidR="00020AB4">
        <w:t xml:space="preserve"> </w:t>
      </w:r>
      <w:r>
        <w:t xml:space="preserve">Parties’ reports and the first (2010-2012) and the second (2013-2015) review of implementation are available </w:t>
      </w:r>
      <w:r w:rsidR="00E436D3">
        <w:t>on the</w:t>
      </w:r>
      <w:r w:rsidR="00C93665">
        <w:t xml:space="preserve"> Protocol’s website. </w:t>
      </w:r>
      <w:r w:rsidR="00C93665" w:rsidRPr="00C93665">
        <w:t>See</w:t>
      </w:r>
      <w:r w:rsidR="00E436D3" w:rsidRPr="00C93665">
        <w:t xml:space="preserve"> </w:t>
      </w:r>
      <w:r w:rsidRPr="00C93665">
        <w:t xml:space="preserve">  </w:t>
      </w:r>
      <w:hyperlink r:id="rId2" w:history="1">
        <w:r w:rsidRPr="00C93665">
          <w:rPr>
            <w:rStyle w:val="Hyperlink"/>
          </w:rPr>
          <w:t>http://www.unece.org/env/eia/implementation/review_implementation.html</w:t>
        </w:r>
      </w:hyperlink>
      <w:r w:rsidRPr="00C93665">
        <w:t xml:space="preserve">. </w:t>
      </w:r>
      <w:r w:rsidR="00C93665">
        <w:t>In addition, t</w:t>
      </w:r>
      <w:r>
        <w:t>he draft third review of implementation (2016-2018) will be considered by the Working Group on EIA and SEA at its eighth meeting and subsequently finalized for</w:t>
      </w:r>
      <w:r w:rsidR="00C93665">
        <w:t xml:space="preserve"> consideration of </w:t>
      </w:r>
      <w:r>
        <w:t xml:space="preserve">the Meeting of the Parties to the Protocol in December 2020 (see:   </w:t>
      </w:r>
      <w:r w:rsidRPr="00E56B22">
        <w:t xml:space="preserve"> </w:t>
      </w:r>
      <w:hyperlink r:id="rId3" w:history="1">
        <w:r w:rsidRPr="004B1993">
          <w:rPr>
            <w:rStyle w:val="Hyperlink"/>
          </w:rPr>
          <w:t>http://www.unece.org/fileadmin/DAM/env/eia/documents/WG2.8_Nov2019/Advance_copies/ece.mp.eia.wg.2.2019.4e_Advance_copy.pdf</w:t>
        </w:r>
      </w:hyperlink>
      <w:r>
        <w:t xml:space="preserve"> ) </w:t>
      </w:r>
    </w:p>
    <w:p w14:paraId="1EE736D0" w14:textId="77777777" w:rsidR="00E56B22" w:rsidRDefault="00E56B22">
      <w:pPr>
        <w:pStyle w:val="FootnoteText"/>
      </w:pPr>
    </w:p>
    <w:p w14:paraId="272E97CA" w14:textId="77777777" w:rsidR="00020AB4" w:rsidRPr="00E56B22" w:rsidRDefault="00020AB4">
      <w:pPr>
        <w:pStyle w:val="FootnoteText"/>
      </w:pPr>
    </w:p>
  </w:footnote>
  <w:footnote w:id="6">
    <w:p w14:paraId="0F0C3BEE" w14:textId="742FA0D9" w:rsidR="008D1D91" w:rsidRPr="001D6ECC" w:rsidRDefault="008D1D91">
      <w:pPr>
        <w:pStyle w:val="FootnoteText"/>
      </w:pPr>
      <w:r>
        <w:tab/>
      </w:r>
      <w:r w:rsidR="001D6ECC">
        <w:tab/>
      </w:r>
      <w:r>
        <w:rPr>
          <w:rStyle w:val="FootnoteReference"/>
        </w:rPr>
        <w:footnoteRef/>
      </w:r>
      <w:r>
        <w:t xml:space="preserve"> See ECE/MP.EIA/</w:t>
      </w:r>
      <w:r w:rsidR="001D6ECC">
        <w:t>WG.2/2019/5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31AC0" w14:textId="77777777" w:rsidR="002A1349" w:rsidRPr="00743718" w:rsidRDefault="00E93259">
    <w:pPr>
      <w:pStyle w:val="Header"/>
    </w:pPr>
    <w:r>
      <w:t>ECE/MP.EIA/IS/1e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AEB2A" w14:textId="77777777" w:rsidR="00E660ED" w:rsidRDefault="009F1778" w:rsidP="00E660ED">
    <w:pPr>
      <w:pBdr>
        <w:bottom w:val="single" w:sz="4" w:space="1" w:color="auto"/>
      </w:pBdr>
      <w:spacing w:line="240" w:lineRule="exact"/>
    </w:pPr>
    <w:r>
      <w:rPr>
        <w:b/>
        <w:bCs/>
      </w:rPr>
      <w:t>ECE/MP.EIA/WG.2/201</w:t>
    </w:r>
    <w:r w:rsidR="00C12738">
      <w:rPr>
        <w:b/>
        <w:bCs/>
      </w:rPr>
      <w:t>9</w:t>
    </w:r>
    <w:r>
      <w:rPr>
        <w:b/>
        <w:bCs/>
      </w:rPr>
      <w:t>/INF.</w:t>
    </w:r>
    <w:r w:rsidR="00C12738">
      <w:rPr>
        <w:b/>
        <w:bCs/>
      </w:rPr>
      <w:t>8</w:t>
    </w:r>
    <w:r w:rsidR="00E660ED" w:rsidRPr="00E660ED">
      <w:rPr>
        <w:b/>
        <w:bC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4"/>
      <w:gridCol w:w="2839"/>
    </w:tblGrid>
    <w:tr w:rsidR="002A1349" w:rsidRPr="00C4337F" w14:paraId="6FF08329" w14:textId="77777777" w:rsidTr="00307918">
      <w:trPr>
        <w:cantSplit/>
        <w:trHeight w:hRule="exact" w:val="990"/>
      </w:trPr>
      <w:tc>
        <w:tcPr>
          <w:tcW w:w="1276" w:type="dxa"/>
          <w:tcBorders>
            <w:bottom w:val="single" w:sz="4" w:space="0" w:color="auto"/>
          </w:tcBorders>
          <w:shd w:val="clear" w:color="auto" w:fill="auto"/>
          <w:vAlign w:val="bottom"/>
        </w:tcPr>
        <w:p w14:paraId="3350D69B" w14:textId="77777777" w:rsidR="002A1349" w:rsidRPr="00C4337F" w:rsidRDefault="005C2594" w:rsidP="00ED43E5">
          <w:pPr>
            <w:spacing w:after="80"/>
            <w:rPr>
              <w:b/>
              <w:sz w:val="24"/>
              <w:szCs w:val="24"/>
            </w:rPr>
          </w:pPr>
        </w:p>
      </w:tc>
      <w:tc>
        <w:tcPr>
          <w:tcW w:w="5524" w:type="dxa"/>
          <w:tcBorders>
            <w:bottom w:val="single" w:sz="4" w:space="0" w:color="auto"/>
          </w:tcBorders>
          <w:shd w:val="clear" w:color="auto" w:fill="auto"/>
          <w:vAlign w:val="bottom"/>
        </w:tcPr>
        <w:p w14:paraId="3F45C2DD" w14:textId="77777777" w:rsidR="002A1349" w:rsidRPr="00C4337F" w:rsidRDefault="005C2594" w:rsidP="00ED43E5">
          <w:pPr>
            <w:spacing w:after="80" w:line="240" w:lineRule="auto"/>
            <w:rPr>
              <w:b/>
              <w:sz w:val="44"/>
              <w:szCs w:val="44"/>
            </w:rPr>
          </w:pPr>
        </w:p>
      </w:tc>
      <w:tc>
        <w:tcPr>
          <w:tcW w:w="2839" w:type="dxa"/>
          <w:tcBorders>
            <w:bottom w:val="single" w:sz="4" w:space="0" w:color="auto"/>
          </w:tcBorders>
          <w:shd w:val="clear" w:color="auto" w:fill="auto"/>
        </w:tcPr>
        <w:p w14:paraId="725167DB" w14:textId="77777777" w:rsidR="002A1349" w:rsidRDefault="005C2594" w:rsidP="009C5608">
          <w:pPr>
            <w:spacing w:line="240" w:lineRule="exact"/>
            <w:jc w:val="right"/>
          </w:pPr>
        </w:p>
        <w:p w14:paraId="380A3904" w14:textId="77777777" w:rsidR="009C5608" w:rsidRPr="006C2CE6" w:rsidRDefault="009C5608" w:rsidP="009C5608">
          <w:pPr>
            <w:spacing w:line="240" w:lineRule="exact"/>
            <w:jc w:val="right"/>
          </w:pPr>
          <w:r w:rsidRPr="007E2BBC">
            <w:t>ECE/MP.EIA/WG.2/201</w:t>
          </w:r>
          <w:r w:rsidR="00C12738">
            <w:t>9</w:t>
          </w:r>
          <w:r w:rsidRPr="007E2BBC">
            <w:t>/INF</w:t>
          </w:r>
          <w:r w:rsidRPr="006C2CE6">
            <w:t>.</w:t>
          </w:r>
          <w:r w:rsidR="00C12738">
            <w:t>8</w:t>
          </w:r>
          <w:r w:rsidRPr="006C2CE6">
            <w:t xml:space="preserve"> </w:t>
          </w:r>
        </w:p>
        <w:p w14:paraId="7B3A1D0D" w14:textId="43C21DA8" w:rsidR="002A1349" w:rsidRPr="00C4337F" w:rsidRDefault="00BF0961" w:rsidP="009C5608">
          <w:pPr>
            <w:spacing w:line="240" w:lineRule="exact"/>
            <w:jc w:val="right"/>
          </w:pPr>
          <w:r>
            <w:t xml:space="preserve">English only </w:t>
          </w:r>
          <w:r>
            <w:br/>
          </w:r>
          <w:r w:rsidR="00F462D0">
            <w:t xml:space="preserve">17 </w:t>
          </w:r>
          <w:r w:rsidR="00C12738">
            <w:t xml:space="preserve">October </w:t>
          </w:r>
          <w:r w:rsidR="009C5608" w:rsidRPr="006C2CE6">
            <w:t>201</w:t>
          </w:r>
          <w:r w:rsidR="00C12738">
            <w:t>9</w:t>
          </w:r>
        </w:p>
        <w:p w14:paraId="7F796A50" w14:textId="77777777" w:rsidR="002A1349" w:rsidRPr="00C4337F" w:rsidRDefault="005C2594" w:rsidP="00ED43E5">
          <w:pPr>
            <w:spacing w:before="240" w:line="240" w:lineRule="exact"/>
            <w:ind w:left="4"/>
            <w:rPr>
              <w:sz w:val="40"/>
            </w:rPr>
          </w:pPr>
        </w:p>
      </w:tc>
    </w:tr>
  </w:tbl>
  <w:p w14:paraId="78E49EB9" w14:textId="77777777" w:rsidR="002A1349" w:rsidRPr="00ED43E5" w:rsidRDefault="005C2594" w:rsidP="00ED43E5">
    <w:pPr>
      <w:pStyle w:val="Header"/>
      <w:pBdr>
        <w:bottom w:val="none" w:sz="0" w:space="0" w:color="auto"/>
      </w:pBdr>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C3617"/>
    <w:multiLevelType w:val="hybridMultilevel"/>
    <w:tmpl w:val="0526E16A"/>
    <w:lvl w:ilvl="0" w:tplc="6A641AF8">
      <w:numFmt w:val="bullet"/>
      <w:lvlText w:val="•"/>
      <w:lvlJc w:val="left"/>
      <w:pPr>
        <w:ind w:left="2166" w:hanging="465"/>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 w15:restartNumberingAfterBreak="0">
    <w:nsid w:val="359A0245"/>
    <w:multiLevelType w:val="hybridMultilevel"/>
    <w:tmpl w:val="DC483F90"/>
    <w:lvl w:ilvl="0" w:tplc="886AD91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BA3208"/>
    <w:multiLevelType w:val="hybridMultilevel"/>
    <w:tmpl w:val="FED24A6E"/>
    <w:lvl w:ilvl="0" w:tplc="BE00949E">
      <w:start w:val="3"/>
      <w:numFmt w:val="bullet"/>
      <w:lvlText w:val="-"/>
      <w:lvlJc w:val="left"/>
      <w:pPr>
        <w:ind w:left="1800" w:hanging="360"/>
      </w:pPr>
      <w:rPr>
        <w:rFonts w:ascii="Calibri" w:eastAsiaTheme="minorEastAsia"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75A349D6"/>
    <w:multiLevelType w:val="hybridMultilevel"/>
    <w:tmpl w:val="CCB01258"/>
    <w:lvl w:ilvl="0" w:tplc="413627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2973B2"/>
    <w:multiLevelType w:val="hybridMultilevel"/>
    <w:tmpl w:val="753884E8"/>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5" w15:restartNumberingAfterBreak="0">
    <w:nsid w:val="7D853CE1"/>
    <w:multiLevelType w:val="hybridMultilevel"/>
    <w:tmpl w:val="5DEA48F8"/>
    <w:lvl w:ilvl="0" w:tplc="885A5E92">
      <w:numFmt w:val="bullet"/>
      <w:lvlText w:val="-"/>
      <w:lvlJc w:val="left"/>
      <w:pPr>
        <w:ind w:left="2520" w:hanging="360"/>
      </w:pPr>
      <w:rPr>
        <w:rFonts w:ascii="Times New Roman" w:eastAsia="Times New Roman" w:hAnsi="Times New Roman" w:cs="Times New Roman" w:hint="default"/>
        <w:b/>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1638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69E"/>
    <w:rsid w:val="00006813"/>
    <w:rsid w:val="00020AB4"/>
    <w:rsid w:val="00041DF5"/>
    <w:rsid w:val="00042523"/>
    <w:rsid w:val="00050D3C"/>
    <w:rsid w:val="000841A9"/>
    <w:rsid w:val="00092BA4"/>
    <w:rsid w:val="000A6DCD"/>
    <w:rsid w:val="000C6295"/>
    <w:rsid w:val="000E1F54"/>
    <w:rsid w:val="001018CB"/>
    <w:rsid w:val="00106AB7"/>
    <w:rsid w:val="00126E1C"/>
    <w:rsid w:val="001674D2"/>
    <w:rsid w:val="0017153E"/>
    <w:rsid w:val="001808D0"/>
    <w:rsid w:val="001B526B"/>
    <w:rsid w:val="001D6ECC"/>
    <w:rsid w:val="001E1057"/>
    <w:rsid w:val="00241D5F"/>
    <w:rsid w:val="0025716A"/>
    <w:rsid w:val="00263196"/>
    <w:rsid w:val="002B477D"/>
    <w:rsid w:val="002C2D2D"/>
    <w:rsid w:val="002D1302"/>
    <w:rsid w:val="002D648F"/>
    <w:rsid w:val="003000DD"/>
    <w:rsid w:val="00302F24"/>
    <w:rsid w:val="00307918"/>
    <w:rsid w:val="0034744E"/>
    <w:rsid w:val="003524B7"/>
    <w:rsid w:val="00386F65"/>
    <w:rsid w:val="003B5481"/>
    <w:rsid w:val="003D45EE"/>
    <w:rsid w:val="003E45C2"/>
    <w:rsid w:val="003F14E0"/>
    <w:rsid w:val="003F69E4"/>
    <w:rsid w:val="00447D0B"/>
    <w:rsid w:val="00507F47"/>
    <w:rsid w:val="005406E1"/>
    <w:rsid w:val="00555E6D"/>
    <w:rsid w:val="005679D6"/>
    <w:rsid w:val="00572F7D"/>
    <w:rsid w:val="00574AC6"/>
    <w:rsid w:val="005C2594"/>
    <w:rsid w:val="005D6240"/>
    <w:rsid w:val="00633FBD"/>
    <w:rsid w:val="006427A3"/>
    <w:rsid w:val="006521D2"/>
    <w:rsid w:val="006538F3"/>
    <w:rsid w:val="0066711B"/>
    <w:rsid w:val="00692772"/>
    <w:rsid w:val="0069453E"/>
    <w:rsid w:val="00695B33"/>
    <w:rsid w:val="006D4E38"/>
    <w:rsid w:val="007236FD"/>
    <w:rsid w:val="00754D58"/>
    <w:rsid w:val="00755049"/>
    <w:rsid w:val="00791E87"/>
    <w:rsid w:val="007A1326"/>
    <w:rsid w:val="007E177A"/>
    <w:rsid w:val="007E1871"/>
    <w:rsid w:val="007E1A0C"/>
    <w:rsid w:val="00825864"/>
    <w:rsid w:val="00826D5F"/>
    <w:rsid w:val="00883716"/>
    <w:rsid w:val="008A1AC2"/>
    <w:rsid w:val="008A4D1A"/>
    <w:rsid w:val="008D1D91"/>
    <w:rsid w:val="008E0A52"/>
    <w:rsid w:val="00901686"/>
    <w:rsid w:val="009452AD"/>
    <w:rsid w:val="009A41A4"/>
    <w:rsid w:val="009C08A4"/>
    <w:rsid w:val="009C0A04"/>
    <w:rsid w:val="009C5608"/>
    <w:rsid w:val="009C65FD"/>
    <w:rsid w:val="009F1778"/>
    <w:rsid w:val="00A46A00"/>
    <w:rsid w:val="00A60064"/>
    <w:rsid w:val="00BA72FB"/>
    <w:rsid w:val="00BD269E"/>
    <w:rsid w:val="00BF0961"/>
    <w:rsid w:val="00C111E1"/>
    <w:rsid w:val="00C12738"/>
    <w:rsid w:val="00C636C9"/>
    <w:rsid w:val="00C67C04"/>
    <w:rsid w:val="00C8551E"/>
    <w:rsid w:val="00C93107"/>
    <w:rsid w:val="00C93665"/>
    <w:rsid w:val="00CD1E29"/>
    <w:rsid w:val="00D02386"/>
    <w:rsid w:val="00D04CBB"/>
    <w:rsid w:val="00D2126C"/>
    <w:rsid w:val="00D41FF5"/>
    <w:rsid w:val="00D5730B"/>
    <w:rsid w:val="00D70AC7"/>
    <w:rsid w:val="00DD02E8"/>
    <w:rsid w:val="00DE16D5"/>
    <w:rsid w:val="00DF1965"/>
    <w:rsid w:val="00E053CA"/>
    <w:rsid w:val="00E223BE"/>
    <w:rsid w:val="00E352C9"/>
    <w:rsid w:val="00E436D3"/>
    <w:rsid w:val="00E56B22"/>
    <w:rsid w:val="00E660ED"/>
    <w:rsid w:val="00E861FF"/>
    <w:rsid w:val="00E93259"/>
    <w:rsid w:val="00E9789A"/>
    <w:rsid w:val="00EE1437"/>
    <w:rsid w:val="00EF6034"/>
    <w:rsid w:val="00F03281"/>
    <w:rsid w:val="00F07AA6"/>
    <w:rsid w:val="00F12A22"/>
    <w:rsid w:val="00F14860"/>
    <w:rsid w:val="00F15B56"/>
    <w:rsid w:val="00F163A8"/>
    <w:rsid w:val="00F24113"/>
    <w:rsid w:val="00F4499D"/>
    <w:rsid w:val="00F462D0"/>
    <w:rsid w:val="00F627EE"/>
    <w:rsid w:val="00F72691"/>
    <w:rsid w:val="00F848E4"/>
    <w:rsid w:val="00FD0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D6FDE7"/>
  <w15:chartTrackingRefBased/>
  <w15:docId w15:val="{6A4E7B12-0A97-4F6A-8A3F-7E42B0923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269E"/>
    <w:pPr>
      <w:suppressAutoHyphens/>
      <w:spacing w:after="0" w:line="240" w:lineRule="atLeast"/>
    </w:pPr>
    <w:rPr>
      <w:rFonts w:ascii="Times New Roman" w:eastAsia="Times New Roman" w:hAnsi="Times New Roman" w:cs="Times New Roman"/>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BD269E"/>
    <w:pPr>
      <w:spacing w:after="120"/>
      <w:ind w:left="1134" w:right="1134"/>
      <w:jc w:val="both"/>
    </w:pPr>
  </w:style>
  <w:style w:type="paragraph" w:customStyle="1" w:styleId="HChG">
    <w:name w:val="_ H _Ch_G"/>
    <w:basedOn w:val="Normal"/>
    <w:next w:val="Normal"/>
    <w:rsid w:val="00BD269E"/>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4_GR"/>
    <w:basedOn w:val="DefaultParagraphFont"/>
    <w:rsid w:val="00BD269E"/>
    <w:rPr>
      <w:rFonts w:ascii="Times New Roman" w:hAnsi="Times New Roman"/>
      <w:sz w:val="18"/>
      <w:vertAlign w:val="superscript"/>
    </w:rPr>
  </w:style>
  <w:style w:type="paragraph" w:styleId="FootnoteText">
    <w:name w:val="footnote text"/>
    <w:aliases w:val="5_G"/>
    <w:basedOn w:val="Normal"/>
    <w:link w:val="FootnoteTextChar"/>
    <w:rsid w:val="00BD269E"/>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BD269E"/>
    <w:rPr>
      <w:rFonts w:ascii="Times New Roman" w:eastAsia="Times New Roman" w:hAnsi="Times New Roman" w:cs="Times New Roman"/>
      <w:sz w:val="18"/>
      <w:szCs w:val="20"/>
      <w:lang w:val="en-GB" w:eastAsia="en-US"/>
    </w:rPr>
  </w:style>
  <w:style w:type="paragraph" w:customStyle="1" w:styleId="H1G">
    <w:name w:val="_ H_1_G"/>
    <w:basedOn w:val="Normal"/>
    <w:next w:val="Normal"/>
    <w:rsid w:val="00BD269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D269E"/>
    <w:pPr>
      <w:keepNext/>
      <w:keepLines/>
      <w:tabs>
        <w:tab w:val="right" w:pos="851"/>
      </w:tabs>
      <w:spacing w:before="240" w:after="120" w:line="240" w:lineRule="exact"/>
      <w:ind w:left="1134" w:right="1134" w:hanging="1134"/>
    </w:pPr>
    <w:rPr>
      <w:b/>
    </w:rPr>
  </w:style>
  <w:style w:type="paragraph" w:styleId="Footer">
    <w:name w:val="footer"/>
    <w:aliases w:val="3_G"/>
    <w:basedOn w:val="Normal"/>
    <w:link w:val="FooterChar"/>
    <w:rsid w:val="00BD269E"/>
    <w:pPr>
      <w:spacing w:line="240" w:lineRule="auto"/>
    </w:pPr>
    <w:rPr>
      <w:sz w:val="16"/>
    </w:rPr>
  </w:style>
  <w:style w:type="character" w:customStyle="1" w:styleId="FooterChar">
    <w:name w:val="Footer Char"/>
    <w:aliases w:val="3_G Char"/>
    <w:basedOn w:val="DefaultParagraphFont"/>
    <w:link w:val="Footer"/>
    <w:rsid w:val="00BD269E"/>
    <w:rPr>
      <w:rFonts w:ascii="Times New Roman" w:eastAsia="Times New Roman" w:hAnsi="Times New Roman" w:cs="Times New Roman"/>
      <w:sz w:val="16"/>
      <w:szCs w:val="20"/>
      <w:lang w:val="en-GB" w:eastAsia="en-US"/>
    </w:rPr>
  </w:style>
  <w:style w:type="paragraph" w:styleId="Header">
    <w:name w:val="header"/>
    <w:aliases w:val="6_G"/>
    <w:basedOn w:val="Normal"/>
    <w:link w:val="HeaderChar"/>
    <w:rsid w:val="00BD269E"/>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BD269E"/>
    <w:rPr>
      <w:rFonts w:ascii="Times New Roman" w:eastAsia="Times New Roman" w:hAnsi="Times New Roman" w:cs="Times New Roman"/>
      <w:b/>
      <w:sz w:val="18"/>
      <w:szCs w:val="20"/>
      <w:lang w:val="en-GB" w:eastAsia="en-US"/>
    </w:rPr>
  </w:style>
  <w:style w:type="character" w:customStyle="1" w:styleId="SingleTxtGChar">
    <w:name w:val="_ Single Txt_G Char"/>
    <w:link w:val="SingleTxtG"/>
    <w:rsid w:val="00BD269E"/>
    <w:rPr>
      <w:rFonts w:ascii="Times New Roman" w:eastAsia="Times New Roman" w:hAnsi="Times New Roman" w:cs="Times New Roman"/>
      <w:sz w:val="20"/>
      <w:szCs w:val="20"/>
      <w:lang w:val="en-GB" w:eastAsia="en-US"/>
    </w:rPr>
  </w:style>
  <w:style w:type="paragraph" w:customStyle="1" w:styleId="SSG">
    <w:name w:val="__S_S_G"/>
    <w:basedOn w:val="Normal"/>
    <w:next w:val="Normal"/>
    <w:rsid w:val="009C5608"/>
    <w:pPr>
      <w:keepNext/>
      <w:keepLines/>
      <w:spacing w:before="240" w:after="240" w:line="300" w:lineRule="exact"/>
      <w:ind w:left="1134" w:right="1134"/>
    </w:pPr>
    <w:rPr>
      <w:b/>
      <w:sz w:val="28"/>
    </w:rPr>
  </w:style>
  <w:style w:type="character" w:styleId="Hyperlink">
    <w:name w:val="Hyperlink"/>
    <w:basedOn w:val="DefaultParagraphFont"/>
    <w:uiPriority w:val="99"/>
    <w:unhideWhenUsed/>
    <w:rsid w:val="00A60064"/>
    <w:rPr>
      <w:color w:val="0563C1" w:themeColor="hyperlink"/>
      <w:u w:val="single"/>
    </w:rPr>
  </w:style>
  <w:style w:type="character" w:customStyle="1" w:styleId="UnresolvedMention1">
    <w:name w:val="Unresolved Mention1"/>
    <w:basedOn w:val="DefaultParagraphFont"/>
    <w:uiPriority w:val="99"/>
    <w:semiHidden/>
    <w:unhideWhenUsed/>
    <w:rsid w:val="00A60064"/>
    <w:rPr>
      <w:color w:val="808080"/>
      <w:shd w:val="clear" w:color="auto" w:fill="E6E6E6"/>
    </w:rPr>
  </w:style>
  <w:style w:type="character" w:styleId="CommentReference">
    <w:name w:val="annotation reference"/>
    <w:basedOn w:val="DefaultParagraphFont"/>
    <w:uiPriority w:val="99"/>
    <w:semiHidden/>
    <w:unhideWhenUsed/>
    <w:rsid w:val="00BA72FB"/>
    <w:rPr>
      <w:sz w:val="16"/>
      <w:szCs w:val="16"/>
    </w:rPr>
  </w:style>
  <w:style w:type="paragraph" w:styleId="CommentText">
    <w:name w:val="annotation text"/>
    <w:basedOn w:val="Normal"/>
    <w:link w:val="CommentTextChar"/>
    <w:uiPriority w:val="99"/>
    <w:semiHidden/>
    <w:unhideWhenUsed/>
    <w:rsid w:val="00BA72FB"/>
    <w:pPr>
      <w:spacing w:line="240" w:lineRule="auto"/>
    </w:pPr>
  </w:style>
  <w:style w:type="character" w:customStyle="1" w:styleId="CommentTextChar">
    <w:name w:val="Comment Text Char"/>
    <w:basedOn w:val="DefaultParagraphFont"/>
    <w:link w:val="CommentText"/>
    <w:uiPriority w:val="99"/>
    <w:semiHidden/>
    <w:rsid w:val="00BA72FB"/>
    <w:rPr>
      <w:rFonts w:ascii="Times New Roman" w:eastAsia="Times New Roman"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BA72FB"/>
    <w:rPr>
      <w:b/>
      <w:bCs/>
    </w:rPr>
  </w:style>
  <w:style w:type="character" w:customStyle="1" w:styleId="CommentSubjectChar">
    <w:name w:val="Comment Subject Char"/>
    <w:basedOn w:val="CommentTextChar"/>
    <w:link w:val="CommentSubject"/>
    <w:uiPriority w:val="99"/>
    <w:semiHidden/>
    <w:rsid w:val="00BA72FB"/>
    <w:rPr>
      <w:rFonts w:ascii="Times New Roman" w:eastAsia="Times New Roman" w:hAnsi="Times New Roman" w:cs="Times New Roman"/>
      <w:b/>
      <w:bCs/>
      <w:sz w:val="20"/>
      <w:szCs w:val="20"/>
      <w:lang w:val="en-GB" w:eastAsia="en-US"/>
    </w:rPr>
  </w:style>
  <w:style w:type="paragraph" w:styleId="BalloonText">
    <w:name w:val="Balloon Text"/>
    <w:basedOn w:val="Normal"/>
    <w:link w:val="BalloonTextChar"/>
    <w:uiPriority w:val="99"/>
    <w:semiHidden/>
    <w:unhideWhenUsed/>
    <w:rsid w:val="00BA72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2FB"/>
    <w:rPr>
      <w:rFonts w:ascii="Segoe UI" w:eastAsia="Times New Roman" w:hAnsi="Segoe UI" w:cs="Segoe UI"/>
      <w:sz w:val="18"/>
      <w:szCs w:val="18"/>
      <w:lang w:val="en-GB" w:eastAsia="en-US"/>
    </w:rPr>
  </w:style>
  <w:style w:type="character" w:styleId="UnresolvedMention">
    <w:name w:val="Unresolved Mention"/>
    <w:basedOn w:val="DefaultParagraphFont"/>
    <w:uiPriority w:val="99"/>
    <w:semiHidden/>
    <w:unhideWhenUsed/>
    <w:rsid w:val="00307918"/>
    <w:rPr>
      <w:color w:val="808080"/>
      <w:shd w:val="clear" w:color="auto" w:fill="E6E6E6"/>
    </w:rPr>
  </w:style>
  <w:style w:type="paragraph" w:styleId="ListParagraph">
    <w:name w:val="List Paragraph"/>
    <w:basedOn w:val="Normal"/>
    <w:uiPriority w:val="34"/>
    <w:qFormat/>
    <w:rsid w:val="00126E1C"/>
    <w:pPr>
      <w:suppressAutoHyphens w:val="0"/>
      <w:spacing w:after="160" w:line="259" w:lineRule="auto"/>
      <w:ind w:left="720"/>
      <w:contextualSpacing/>
    </w:pPr>
    <w:rPr>
      <w:rFonts w:asciiTheme="minorHAnsi" w:eastAsiaTheme="minorEastAsia" w:hAnsiTheme="minorHAnsi" w:cstheme="minorBidi"/>
      <w:sz w:val="22"/>
      <w:szCs w:val="22"/>
      <w:lang w:eastAsia="zh-CN"/>
    </w:rPr>
  </w:style>
  <w:style w:type="character" w:styleId="FollowedHyperlink">
    <w:name w:val="FollowedHyperlink"/>
    <w:basedOn w:val="DefaultParagraphFont"/>
    <w:uiPriority w:val="99"/>
    <w:semiHidden/>
    <w:unhideWhenUsed/>
    <w:rsid w:val="003D45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unece.org/fileadmin/DAM/env/eia/documents/WG2.8_Nov2019/Advance_copies/ece.mp.eia.wg.2.2019.4e_Advance_copy.pdf" TargetMode="External"/><Relationship Id="rId2" Type="http://schemas.openxmlformats.org/officeDocument/2006/relationships/hyperlink" Target="http://www.unece.org/env/eia/implementation/review_implementation.html" TargetMode="External"/><Relationship Id="rId1" Type="http://schemas.openxmlformats.org/officeDocument/2006/relationships/hyperlink" Target="http://www.unece.org/index.php?id=46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9A4EA-97D5-45EB-9569-1B18A1617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1338</Words>
  <Characters>7631</Characters>
  <Application>Microsoft Office Word</Application>
  <DocSecurity>0</DocSecurity>
  <Lines>63</Lines>
  <Paragraphs>17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Santer</dc:creator>
  <cp:keywords/>
  <dc:description/>
  <cp:lastModifiedBy>Tea Aulavuo</cp:lastModifiedBy>
  <cp:revision>4</cp:revision>
  <cp:lastPrinted>2018-04-24T11:49:00Z</cp:lastPrinted>
  <dcterms:created xsi:type="dcterms:W3CDTF">2019-10-17T07:55:00Z</dcterms:created>
  <dcterms:modified xsi:type="dcterms:W3CDTF">2019-10-17T08:14:00Z</dcterms:modified>
</cp:coreProperties>
</file>