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F732" w14:textId="77777777" w:rsidR="00D64673" w:rsidRPr="008F126F" w:rsidRDefault="00D64673" w:rsidP="00D64673">
      <w:pPr>
        <w:spacing w:before="120"/>
        <w:ind w:left="6237" w:firstLine="567"/>
        <w:rPr>
          <w:b/>
          <w:color w:val="FF0000"/>
          <w:sz w:val="24"/>
          <w:szCs w:val="24"/>
          <w:lang w:val="ru-RU"/>
        </w:rPr>
      </w:pPr>
      <w:r w:rsidRPr="008F126F">
        <w:rPr>
          <w:b/>
          <w:color w:val="FF0000"/>
          <w:sz w:val="24"/>
          <w:szCs w:val="24"/>
          <w:lang w:val="ru-RU"/>
        </w:rPr>
        <w:t>Неофициальный перевод</w:t>
      </w:r>
    </w:p>
    <w:p w14:paraId="740B258C" w14:textId="2A004A7A" w:rsidR="00B009FD" w:rsidRPr="00D64673" w:rsidRDefault="00D64673" w:rsidP="00D64673">
      <w:pPr>
        <w:spacing w:line="240" w:lineRule="auto"/>
        <w:rPr>
          <w:b/>
          <w:color w:val="000000"/>
          <w:sz w:val="24"/>
          <w:szCs w:val="24"/>
          <w:lang w:val="ru-RU"/>
        </w:rPr>
      </w:pPr>
      <w:r w:rsidRPr="00D64673">
        <w:rPr>
          <w:b/>
          <w:sz w:val="28"/>
          <w:szCs w:val="28"/>
          <w:lang w:val="ru-RU"/>
        </w:rPr>
        <w:br/>
        <w:t>Европейская экономическая комиссия</w:t>
      </w:r>
    </w:p>
    <w:tbl>
      <w:tblPr>
        <w:tblpPr w:leftFromText="142" w:rightFromText="142" w:vertAnchor="page" w:horzAnchor="margin" w:tblpY="145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24"/>
        <w:gridCol w:w="2839"/>
      </w:tblGrid>
      <w:tr w:rsidR="00B009FD" w:rsidRPr="000633D4" w14:paraId="25D116AD" w14:textId="77777777" w:rsidTr="00D0509F">
        <w:trPr>
          <w:cantSplit/>
          <w:trHeight w:hRule="exact" w:val="958"/>
        </w:trPr>
        <w:tc>
          <w:tcPr>
            <w:tcW w:w="1701" w:type="dxa"/>
            <w:shd w:val="clear" w:color="auto" w:fill="auto"/>
            <w:vAlign w:val="bottom"/>
          </w:tcPr>
          <w:p w14:paraId="6AAC537C" w14:textId="77777777" w:rsidR="00B009FD" w:rsidRPr="00D64673" w:rsidRDefault="00B009FD" w:rsidP="00D0509F">
            <w:pPr>
              <w:pStyle w:val="Heading5"/>
              <w:rPr>
                <w:lang w:val="ru-RU"/>
              </w:rPr>
            </w:pPr>
          </w:p>
        </w:tc>
        <w:tc>
          <w:tcPr>
            <w:tcW w:w="5524" w:type="dxa"/>
            <w:shd w:val="clear" w:color="auto" w:fill="auto"/>
            <w:vAlign w:val="bottom"/>
          </w:tcPr>
          <w:p w14:paraId="700B9DFA" w14:textId="77777777" w:rsidR="00B009FD" w:rsidRPr="00D64673" w:rsidRDefault="00B009FD" w:rsidP="00D0509F">
            <w:pPr>
              <w:spacing w:after="80" w:line="240" w:lineRule="auto"/>
              <w:rPr>
                <w:b/>
                <w:sz w:val="24"/>
                <w:szCs w:val="44"/>
                <w:lang w:val="ru-RU"/>
              </w:rPr>
            </w:pPr>
          </w:p>
        </w:tc>
        <w:tc>
          <w:tcPr>
            <w:tcW w:w="2839" w:type="dxa"/>
            <w:shd w:val="clear" w:color="auto" w:fill="auto"/>
          </w:tcPr>
          <w:p w14:paraId="08B8692C" w14:textId="77777777" w:rsidR="00B009FD" w:rsidRPr="00C4337F" w:rsidRDefault="00B009FD" w:rsidP="00D0509F">
            <w:pPr>
              <w:spacing w:before="240" w:line="240" w:lineRule="exact"/>
              <w:ind w:left="4"/>
            </w:pPr>
            <w:bookmarkStart w:id="0" w:name="_Hlk511922551"/>
            <w:r w:rsidRPr="00B008DA">
              <w:t xml:space="preserve"> </w:t>
            </w:r>
            <w:r w:rsidRPr="003D176A">
              <w:t>ECE/MP.</w:t>
            </w:r>
            <w:bookmarkEnd w:id="0"/>
            <w:r w:rsidRPr="003D176A">
              <w:t>EIA/</w:t>
            </w:r>
            <w:r>
              <w:t>WG.2/</w:t>
            </w:r>
            <w:r w:rsidRPr="003D176A">
              <w:t>20</w:t>
            </w:r>
            <w:r>
              <w:t>20/</w:t>
            </w:r>
            <w:r w:rsidRPr="003D176A">
              <w:t>INF</w:t>
            </w:r>
            <w:r>
              <w:t>.11</w:t>
            </w:r>
            <w:r w:rsidRPr="00854350">
              <w:rPr>
                <w:lang w:val="en-US"/>
              </w:rPr>
              <w:br/>
            </w:r>
            <w:r>
              <w:t xml:space="preserve"> </w:t>
            </w:r>
            <w:r w:rsidRPr="00C4337F">
              <w:t>English only</w:t>
            </w:r>
          </w:p>
          <w:p w14:paraId="25A77F73" w14:textId="0456F990" w:rsidR="00B009FD" w:rsidRPr="00352A20" w:rsidRDefault="00B009FD" w:rsidP="00D0509F">
            <w:pPr>
              <w:spacing w:line="240" w:lineRule="exact"/>
            </w:pPr>
            <w:r>
              <w:t xml:space="preserve"> </w:t>
            </w:r>
            <w:r w:rsidR="005376B3">
              <w:t>15</w:t>
            </w:r>
            <w:r>
              <w:t xml:space="preserve"> April 2020</w:t>
            </w:r>
          </w:p>
        </w:tc>
      </w:tr>
    </w:tbl>
    <w:p w14:paraId="7DF62BA8" w14:textId="77777777" w:rsidR="00EE2AFE" w:rsidRPr="00EE2AFE" w:rsidRDefault="00EE2AFE" w:rsidP="00EE2AFE">
      <w:pPr>
        <w:spacing w:before="120" w:line="240" w:lineRule="auto"/>
        <w:rPr>
          <w:bCs/>
          <w:sz w:val="28"/>
          <w:szCs w:val="28"/>
          <w:lang w:val="ru-RU"/>
        </w:rPr>
      </w:pPr>
      <w:r w:rsidRPr="00EE2AFE">
        <w:rPr>
          <w:sz w:val="28"/>
          <w:szCs w:val="28"/>
          <w:lang w:val="ru-RU"/>
        </w:rPr>
        <w:t>Совещание Сторон Конвенции об оценке</w:t>
      </w:r>
      <w:r w:rsidRPr="00EE2AFE">
        <w:rPr>
          <w:bCs/>
          <w:sz w:val="28"/>
          <w:szCs w:val="28"/>
          <w:lang w:val="ru-RU"/>
        </w:rPr>
        <w:br/>
      </w:r>
      <w:r w:rsidRPr="00EE2AFE">
        <w:rPr>
          <w:sz w:val="28"/>
          <w:szCs w:val="28"/>
          <w:lang w:val="ru-RU"/>
        </w:rPr>
        <w:t>воздействия на окружающую среду</w:t>
      </w:r>
      <w:r w:rsidRPr="00EE2AFE">
        <w:rPr>
          <w:bCs/>
          <w:sz w:val="28"/>
          <w:szCs w:val="28"/>
          <w:lang w:val="ru-RU"/>
        </w:rPr>
        <w:br/>
      </w:r>
      <w:r w:rsidRPr="00EE2AFE">
        <w:rPr>
          <w:sz w:val="28"/>
          <w:szCs w:val="28"/>
          <w:lang w:val="ru-RU"/>
        </w:rPr>
        <w:t>в трансграничном контексте</w:t>
      </w:r>
    </w:p>
    <w:p w14:paraId="67F5CF14" w14:textId="77777777" w:rsidR="00EE2AFE" w:rsidRPr="00EE2AFE" w:rsidRDefault="00EE2AFE" w:rsidP="00EE2AFE">
      <w:pPr>
        <w:suppressAutoHyphens w:val="0"/>
        <w:autoSpaceDE w:val="0"/>
        <w:autoSpaceDN w:val="0"/>
        <w:adjustRightInd w:val="0"/>
        <w:spacing w:before="120"/>
        <w:rPr>
          <w:sz w:val="28"/>
          <w:szCs w:val="28"/>
          <w:lang w:val="ru-RU"/>
        </w:rPr>
      </w:pPr>
      <w:r w:rsidRPr="00EE2AFE">
        <w:rPr>
          <w:sz w:val="28"/>
          <w:szCs w:val="28"/>
          <w:lang w:val="ru-RU"/>
        </w:rPr>
        <w:t>Совещание Сторон Конвенции об оценке</w:t>
      </w:r>
      <w:r w:rsidRPr="00EE2AFE">
        <w:rPr>
          <w:sz w:val="28"/>
          <w:szCs w:val="28"/>
          <w:lang w:val="ru-RU"/>
        </w:rPr>
        <w:br/>
        <w:t>воздействия</w:t>
      </w:r>
      <w:r w:rsidRPr="00EE2AFE">
        <w:rPr>
          <w:bCs/>
          <w:sz w:val="28"/>
          <w:szCs w:val="28"/>
          <w:lang w:val="ru-RU"/>
        </w:rPr>
        <w:t xml:space="preserve"> </w:t>
      </w:r>
      <w:r w:rsidRPr="00EE2AFE">
        <w:rPr>
          <w:sz w:val="28"/>
          <w:szCs w:val="28"/>
          <w:lang w:val="ru-RU"/>
        </w:rPr>
        <w:t>на окружающую среду</w:t>
      </w:r>
      <w:r w:rsidRPr="00EE2AFE">
        <w:rPr>
          <w:sz w:val="28"/>
          <w:szCs w:val="28"/>
          <w:lang w:val="ru-RU"/>
        </w:rPr>
        <w:br/>
        <w:t>в трансграничном контексте,</w:t>
      </w:r>
      <w:r w:rsidRPr="00EE2AFE">
        <w:rPr>
          <w:bCs/>
          <w:sz w:val="28"/>
          <w:szCs w:val="28"/>
          <w:lang w:val="ru-RU"/>
        </w:rPr>
        <w:t xml:space="preserve"> </w:t>
      </w:r>
      <w:r w:rsidRPr="00EE2AFE">
        <w:rPr>
          <w:sz w:val="28"/>
          <w:szCs w:val="28"/>
          <w:lang w:val="ru-RU"/>
        </w:rPr>
        <w:t>действующее</w:t>
      </w:r>
      <w:r w:rsidRPr="00EE2AFE">
        <w:rPr>
          <w:sz w:val="28"/>
          <w:szCs w:val="28"/>
          <w:lang w:val="ru-RU"/>
        </w:rPr>
        <w:br/>
        <w:t>в качестве совещания Сторон Протокола</w:t>
      </w:r>
      <w:r w:rsidRPr="00EE2AFE">
        <w:rPr>
          <w:bCs/>
          <w:sz w:val="28"/>
          <w:szCs w:val="28"/>
          <w:lang w:val="ru-RU"/>
        </w:rPr>
        <w:br/>
      </w:r>
      <w:r w:rsidRPr="00EE2AFE">
        <w:rPr>
          <w:sz w:val="28"/>
          <w:szCs w:val="28"/>
          <w:lang w:val="ru-RU"/>
        </w:rPr>
        <w:t>по стратегической экологической оценке</w:t>
      </w:r>
    </w:p>
    <w:p w14:paraId="5C1626A1" w14:textId="77777777" w:rsidR="00EE2AFE" w:rsidRPr="00EE2AFE" w:rsidRDefault="00EE2AFE" w:rsidP="00EE2AFE">
      <w:pPr>
        <w:spacing w:before="120" w:line="240" w:lineRule="auto"/>
        <w:rPr>
          <w:b/>
          <w:sz w:val="24"/>
          <w:szCs w:val="24"/>
          <w:lang w:val="ru-RU"/>
        </w:rPr>
      </w:pPr>
      <w:r w:rsidRPr="00EE2AFE">
        <w:rPr>
          <w:b/>
          <w:bCs/>
          <w:sz w:val="24"/>
          <w:szCs w:val="24"/>
          <w:lang w:val="ru-RU"/>
        </w:rPr>
        <w:t>Рабочая группа по оценке воздействия</w:t>
      </w:r>
      <w:r w:rsidRPr="00EE2AFE">
        <w:rPr>
          <w:b/>
          <w:bCs/>
          <w:sz w:val="24"/>
          <w:szCs w:val="24"/>
          <w:lang w:val="ru-RU"/>
        </w:rPr>
        <w:br/>
        <w:t>на окружающую среду</w:t>
      </w:r>
      <w:r w:rsidRPr="00EE2AFE">
        <w:rPr>
          <w:bCs/>
          <w:sz w:val="24"/>
          <w:szCs w:val="24"/>
          <w:lang w:val="ru-RU"/>
        </w:rPr>
        <w:t xml:space="preserve"> </w:t>
      </w:r>
      <w:r w:rsidRPr="00EE2AFE">
        <w:rPr>
          <w:b/>
          <w:bCs/>
          <w:sz w:val="24"/>
          <w:szCs w:val="24"/>
          <w:lang w:val="ru-RU"/>
        </w:rPr>
        <w:t>и стратегической</w:t>
      </w:r>
      <w:r w:rsidRPr="00EE2AFE">
        <w:rPr>
          <w:b/>
          <w:bCs/>
          <w:sz w:val="24"/>
          <w:szCs w:val="24"/>
          <w:lang w:val="ru-RU"/>
        </w:rPr>
        <w:br/>
        <w:t>экологической оценке</w:t>
      </w:r>
    </w:p>
    <w:p w14:paraId="58D4CBB3" w14:textId="77777777" w:rsidR="00EE2AFE" w:rsidRPr="00EE2AFE" w:rsidRDefault="00EE2AFE" w:rsidP="00EE2AFE">
      <w:pPr>
        <w:spacing w:before="120"/>
        <w:rPr>
          <w:b/>
          <w:lang w:val="ru-RU"/>
        </w:rPr>
      </w:pPr>
      <w:r w:rsidRPr="00EE2AFE">
        <w:rPr>
          <w:b/>
          <w:bCs/>
          <w:lang w:val="ru-RU"/>
        </w:rPr>
        <w:t>Девятое совещание</w:t>
      </w:r>
    </w:p>
    <w:p w14:paraId="76976A5D" w14:textId="77777777" w:rsidR="00EE2AFE" w:rsidRPr="00EE2AFE" w:rsidRDefault="00EE2AFE" w:rsidP="00EE2AFE">
      <w:pPr>
        <w:rPr>
          <w:lang w:val="ru-RU"/>
        </w:rPr>
      </w:pPr>
      <w:r w:rsidRPr="00EE2AFE">
        <w:rPr>
          <w:lang w:val="ru-RU"/>
        </w:rPr>
        <w:t>Женева, 9−11 июня 2020 года</w:t>
      </w:r>
    </w:p>
    <w:p w14:paraId="29D877E9" w14:textId="1AFBD94C" w:rsidR="00EE2AFE" w:rsidRPr="00EE2AFE" w:rsidRDefault="00EE2AFE" w:rsidP="00EE2AFE">
      <w:pPr>
        <w:rPr>
          <w:lang w:val="ru-RU"/>
        </w:rPr>
      </w:pPr>
      <w:r w:rsidRPr="00EE2AFE">
        <w:rPr>
          <w:lang w:val="ru-RU"/>
        </w:rPr>
        <w:t xml:space="preserve">Пункт </w:t>
      </w:r>
      <w:r w:rsidRPr="003B1EA3">
        <w:rPr>
          <w:lang w:val="ru-RU"/>
        </w:rPr>
        <w:t>6</w:t>
      </w:r>
      <w:r w:rsidRPr="00EE2AFE">
        <w:rPr>
          <w:lang w:val="ru-RU"/>
        </w:rPr>
        <w:t xml:space="preserve"> предварительной повестки дня</w:t>
      </w:r>
    </w:p>
    <w:p w14:paraId="4ED59634" w14:textId="05D52A18" w:rsidR="0064748A" w:rsidRPr="003B1EA3" w:rsidRDefault="003B1EA3" w:rsidP="0064748A">
      <w:pPr>
        <w:rPr>
          <w:b/>
          <w:bCs/>
          <w:lang w:val="ru-RU"/>
        </w:rPr>
      </w:pPr>
      <w:r w:rsidRPr="003B1EA3">
        <w:rPr>
          <w:b/>
          <w:bCs/>
          <w:lang w:val="ru-RU"/>
        </w:rPr>
        <w:t>Соблюдение и осуществление</w:t>
      </w:r>
    </w:p>
    <w:p w14:paraId="72F02460" w14:textId="3827A040" w:rsidR="0043741B" w:rsidRPr="007C7A22" w:rsidRDefault="0064748A" w:rsidP="0064748A">
      <w:pPr>
        <w:pStyle w:val="HChG"/>
        <w:rPr>
          <w:lang w:val="ru-RU"/>
        </w:rPr>
      </w:pPr>
      <w:r w:rsidRPr="003B1EA3">
        <w:rPr>
          <w:lang w:val="ru-RU"/>
        </w:rPr>
        <w:tab/>
      </w:r>
      <w:r w:rsidRPr="003B1EA3">
        <w:rPr>
          <w:lang w:val="ru-RU"/>
        </w:rPr>
        <w:tab/>
      </w:r>
      <w:r w:rsidR="007C7A22" w:rsidRPr="007C7A22">
        <w:rPr>
          <w:lang w:val="ru-RU"/>
        </w:rPr>
        <w:t xml:space="preserve">Первоначальные проекты решений о рассмотрении соблюдения Конвенции и Протокола </w:t>
      </w:r>
      <w:r w:rsidR="00EC363D" w:rsidRPr="007C7A22">
        <w:rPr>
          <w:lang w:val="ru-RU"/>
        </w:rPr>
        <w:t>(</w:t>
      </w:r>
      <w:r w:rsidR="00411414" w:rsidRPr="00411414">
        <w:rPr>
          <w:lang w:val="ru-RU"/>
        </w:rPr>
        <w:t>не</w:t>
      </w:r>
      <w:r w:rsidR="006C5585">
        <w:rPr>
          <w:lang w:val="ru-RU"/>
        </w:rPr>
        <w:t>от</w:t>
      </w:r>
      <w:r w:rsidR="00411414" w:rsidRPr="00411414">
        <w:rPr>
          <w:lang w:val="ru-RU"/>
        </w:rPr>
        <w:t>редактированны</w:t>
      </w:r>
      <w:r w:rsidR="006C5585">
        <w:rPr>
          <w:lang w:val="ru-RU"/>
        </w:rPr>
        <w:t>й документ</w:t>
      </w:r>
      <w:r w:rsidR="00EC363D" w:rsidRPr="007C7A22">
        <w:rPr>
          <w:lang w:val="ru-RU"/>
        </w:rPr>
        <w:t>)</w:t>
      </w:r>
    </w:p>
    <w:p w14:paraId="01B06EC4" w14:textId="6947C359" w:rsidR="00785645" w:rsidRPr="0043741B" w:rsidRDefault="0043741B" w:rsidP="0064748A">
      <w:pPr>
        <w:pStyle w:val="HChG"/>
        <w:rPr>
          <w:sz w:val="24"/>
          <w:szCs w:val="24"/>
        </w:rPr>
      </w:pPr>
      <w:r w:rsidRPr="007C7A22">
        <w:rPr>
          <w:lang w:val="ru-RU"/>
        </w:rPr>
        <w:tab/>
      </w:r>
      <w:r w:rsidRPr="007C7A22">
        <w:rPr>
          <w:lang w:val="ru-RU"/>
        </w:rPr>
        <w:tab/>
      </w:r>
      <w:r w:rsidR="00EA0359" w:rsidRPr="00EA0359">
        <w:rPr>
          <w:sz w:val="24"/>
          <w:szCs w:val="24"/>
        </w:rPr>
        <w:t>Подготовлено Комитетом по осуществлению</w:t>
      </w:r>
      <w:r w:rsidR="00B009FD" w:rsidRPr="0043741B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785645" w14:paraId="5CAFE5B7" w14:textId="77777777" w:rsidTr="00B51933">
        <w:trPr>
          <w:jc w:val="center"/>
        </w:trPr>
        <w:tc>
          <w:tcPr>
            <w:tcW w:w="9637" w:type="dxa"/>
            <w:shd w:val="clear" w:color="auto" w:fill="auto"/>
          </w:tcPr>
          <w:p w14:paraId="6895FA4A" w14:textId="77777777" w:rsidR="00785645" w:rsidRPr="00B51933" w:rsidRDefault="00785645" w:rsidP="004A3A0A">
            <w:pPr>
              <w:rPr>
                <w:i/>
                <w:sz w:val="24"/>
              </w:rPr>
            </w:pPr>
          </w:p>
        </w:tc>
      </w:tr>
      <w:tr w:rsidR="00785645" w:rsidRPr="00A61520" w14:paraId="1AB7C675" w14:textId="77777777" w:rsidTr="00B51933">
        <w:trPr>
          <w:jc w:val="center"/>
        </w:trPr>
        <w:tc>
          <w:tcPr>
            <w:tcW w:w="9637" w:type="dxa"/>
            <w:shd w:val="clear" w:color="auto" w:fill="auto"/>
          </w:tcPr>
          <w:p w14:paraId="26EA5F1E" w14:textId="6C12B738" w:rsidR="00F31FA3" w:rsidRPr="00F31FA3" w:rsidRDefault="00785645" w:rsidP="006C5585">
            <w:pPr>
              <w:pStyle w:val="SingleTxtG"/>
              <w:rPr>
                <w:lang w:val="ru-RU"/>
              </w:rPr>
            </w:pPr>
            <w:r w:rsidRPr="00F31FA3">
              <w:rPr>
                <w:lang w:val="ru-RU"/>
              </w:rPr>
              <w:tab/>
            </w:r>
            <w:r w:rsidR="00F31FA3" w:rsidRPr="00F31FA3">
              <w:rPr>
                <w:lang w:val="ru-RU"/>
              </w:rPr>
              <w:t xml:space="preserve">В настоящем документе содержатся первоначальные проекты решений по </w:t>
            </w:r>
            <w:r w:rsidR="00F07111">
              <w:rPr>
                <w:lang w:val="ru-RU"/>
              </w:rPr>
              <w:t>рассмотрении</w:t>
            </w:r>
            <w:r w:rsidR="00F31FA3" w:rsidRPr="00F31FA3">
              <w:rPr>
                <w:lang w:val="ru-RU"/>
              </w:rPr>
              <w:t xml:space="preserve"> соблюдения Конвенции и Протокола, подготовленные Комитетом по осуществлению Конвенцией и Протокол</w:t>
            </w:r>
            <w:r w:rsidR="00F07111">
              <w:rPr>
                <w:lang w:val="ru-RU"/>
              </w:rPr>
              <w:t>а</w:t>
            </w:r>
            <w:r w:rsidR="00F31FA3" w:rsidRPr="00F31FA3">
              <w:rPr>
                <w:lang w:val="ru-RU"/>
              </w:rPr>
              <w:t xml:space="preserve"> на его сорок седьмой сессии (Женева, 16-19 марта 2020 года). Они представлены в качестве неофициального, неотредактированного документа для информации и возможных замечаний Рабочей группы по оценке воздействия на окружающую среду и стратегической экологической оценке на ее нынешнем совещании, как об этом было объявлено на последнем совещании Рабочей группы (Женева, 26-28 ноября 2019 года).</w:t>
            </w:r>
          </w:p>
          <w:p w14:paraId="7183A85D" w14:textId="43C4AF5C" w:rsidR="00FC26F0" w:rsidRPr="004447E8" w:rsidRDefault="00CD3794" w:rsidP="004447E8">
            <w:pPr>
              <w:pStyle w:val="SingleTxtG"/>
              <w:rPr>
                <w:lang w:val="ru-RU"/>
              </w:rPr>
            </w:pPr>
            <w:r w:rsidRPr="00CD3794">
              <w:rPr>
                <w:lang w:val="ru-RU"/>
              </w:rPr>
              <w:t>Председатель Комитета и, при необходимости, первый заместитель Председателя Комитета представят Рабочей группе первоначальные проекты решений. Делегации,</w:t>
            </w:r>
            <w:r w:rsidR="009E71F7">
              <w:rPr>
                <w:lang w:val="ru-RU"/>
              </w:rPr>
              <w:t xml:space="preserve"> </w:t>
            </w:r>
            <w:r w:rsidR="00AD6FBB" w:rsidRPr="009E71F7">
              <w:rPr>
                <w:lang w:val="ru-RU"/>
              </w:rPr>
              <w:t>будут приглашены</w:t>
            </w:r>
            <w:r w:rsidRPr="00CD3794">
              <w:rPr>
                <w:lang w:val="ru-RU"/>
              </w:rPr>
              <w:t xml:space="preserve"> прокомментировать их в письменном виде, до начала заседания и в устной форме в ходе заседания. Для облегчения рассмотрения возможных замечаний Рабочей группы делегациям предлагается представить их в секретариат к началу августа, с тем чтобы секретариат мог разместить их на веб-странице совещания.</w:t>
            </w:r>
          </w:p>
          <w:p w14:paraId="62DEDC56" w14:textId="178CA70D" w:rsidR="004D2C59" w:rsidRPr="00BC37BB" w:rsidRDefault="00BC37BB" w:rsidP="00BC37BB">
            <w:pPr>
              <w:pStyle w:val="SingleTxtG"/>
              <w:rPr>
                <w:lang w:val="ru-RU"/>
              </w:rPr>
            </w:pPr>
            <w:r w:rsidRPr="00BC37BB">
              <w:rPr>
                <w:lang w:val="ru-RU"/>
              </w:rPr>
              <w:t>После совещания Комитет завершит работу над проектами решений на своей сорок восьмой сессии (Женева, 1-4 сентября 2020 года) с учетом замечаний и любой другой информации, полученной до 31 июля 2020 года, прежде чем препроводить проекты решений в качестве официальных документов для рассмотрения на совещаниях Сторон на их следующих сессиях (Вильнюс, 8-11 декабря 2020 года).</w:t>
            </w:r>
          </w:p>
        </w:tc>
      </w:tr>
      <w:tr w:rsidR="00785645" w:rsidRPr="00A61520" w14:paraId="5359F480" w14:textId="77777777" w:rsidTr="00B51933">
        <w:trPr>
          <w:jc w:val="center"/>
        </w:trPr>
        <w:tc>
          <w:tcPr>
            <w:tcW w:w="9637" w:type="dxa"/>
            <w:shd w:val="clear" w:color="auto" w:fill="auto"/>
          </w:tcPr>
          <w:p w14:paraId="1745299C" w14:textId="77777777" w:rsidR="00785645" w:rsidRPr="00B008DA" w:rsidRDefault="00785645" w:rsidP="004A3A0A">
            <w:pPr>
              <w:rPr>
                <w:lang w:val="ru-RU"/>
              </w:rPr>
            </w:pPr>
          </w:p>
        </w:tc>
      </w:tr>
      <w:tr w:rsidR="00E901A2" w:rsidRPr="00A61520" w14:paraId="20B6947E" w14:textId="77777777" w:rsidTr="0092180C">
        <w:trPr>
          <w:trHeight w:val="38"/>
          <w:jc w:val="center"/>
        </w:trPr>
        <w:tc>
          <w:tcPr>
            <w:tcW w:w="9637" w:type="dxa"/>
            <w:shd w:val="clear" w:color="auto" w:fill="auto"/>
          </w:tcPr>
          <w:p w14:paraId="3D05C07F" w14:textId="77777777" w:rsidR="00E901A2" w:rsidRPr="00B008DA" w:rsidRDefault="00E901A2" w:rsidP="004A3A0A">
            <w:pPr>
              <w:rPr>
                <w:lang w:val="ru-RU"/>
              </w:rPr>
            </w:pPr>
          </w:p>
        </w:tc>
      </w:tr>
    </w:tbl>
    <w:p w14:paraId="0CD2D7D9" w14:textId="003F4F4F" w:rsidR="00FC26F0" w:rsidRPr="004F2A5B" w:rsidRDefault="004F2A5B" w:rsidP="00A2044C">
      <w:pPr>
        <w:pStyle w:val="HChG"/>
        <w:ind w:hanging="567"/>
        <w:rPr>
          <w:lang w:val="ru-RU"/>
        </w:rPr>
      </w:pPr>
      <w:r>
        <w:rPr>
          <w:lang w:val="ru-RU"/>
        </w:rPr>
        <w:t>Содержание</w:t>
      </w:r>
      <w:r w:rsidR="004A3A0A" w:rsidRPr="004F2A5B">
        <w:rPr>
          <w:lang w:val="ru-RU"/>
        </w:rPr>
        <w:tab/>
      </w:r>
      <w:r w:rsidR="004A3A0A" w:rsidRPr="004F2A5B">
        <w:rPr>
          <w:lang w:val="ru-RU"/>
        </w:rPr>
        <w:tab/>
      </w:r>
      <w:bookmarkStart w:id="1" w:name="_GoBack"/>
      <w:bookmarkEnd w:id="1"/>
    </w:p>
    <w:p w14:paraId="0FAF50FD" w14:textId="62154915" w:rsidR="00FC26F0" w:rsidRPr="00B008DA" w:rsidRDefault="005E6A67" w:rsidP="005E6A67">
      <w:pPr>
        <w:pStyle w:val="SingleTxtG"/>
        <w:jc w:val="left"/>
        <w:rPr>
          <w:lang w:val="ru-RU"/>
        </w:rPr>
      </w:pPr>
      <w:r w:rsidRPr="009C1F7B">
        <w:rPr>
          <w:lang w:val="ru-RU"/>
        </w:rPr>
        <w:t xml:space="preserve">1. </w:t>
      </w:r>
      <w:r w:rsidR="009C1F7B" w:rsidRPr="009C1F7B">
        <w:rPr>
          <w:lang w:val="ru-RU"/>
        </w:rPr>
        <w:t xml:space="preserve">Проект решения </w:t>
      </w:r>
      <w:r w:rsidR="009C1F7B">
        <w:t>VIII</w:t>
      </w:r>
      <w:r w:rsidR="009C1F7B" w:rsidRPr="009C1F7B">
        <w:rPr>
          <w:lang w:val="ru-RU"/>
        </w:rPr>
        <w:t xml:space="preserve">/4 об общих вопросах соблюдения Конвенции </w:t>
      </w:r>
      <w:r w:rsidR="0052029D" w:rsidRPr="009C1F7B">
        <w:rPr>
          <w:lang w:val="ru-RU"/>
        </w:rPr>
        <w:t>…</w:t>
      </w:r>
      <w:r w:rsidR="004F2A5B">
        <w:rPr>
          <w:lang w:val="ru-RU"/>
        </w:rPr>
        <w:t>…..</w:t>
      </w:r>
      <w:r w:rsidR="0052029D" w:rsidRPr="009C1F7B">
        <w:rPr>
          <w:lang w:val="ru-RU"/>
        </w:rPr>
        <w:t>………</w:t>
      </w:r>
      <w:r w:rsidRPr="009C1F7B">
        <w:rPr>
          <w:lang w:val="ru-RU"/>
        </w:rPr>
        <w:t xml:space="preserve">  </w:t>
      </w:r>
      <w:r w:rsidRPr="00B008DA">
        <w:rPr>
          <w:lang w:val="ru-RU"/>
        </w:rPr>
        <w:t>3</w:t>
      </w:r>
    </w:p>
    <w:p w14:paraId="53C2B361" w14:textId="5E8A92F9" w:rsidR="00FC26F0" w:rsidRPr="005445D9" w:rsidRDefault="009157DC" w:rsidP="0052029D">
      <w:pPr>
        <w:pStyle w:val="SingleTxtG"/>
        <w:jc w:val="left"/>
        <w:rPr>
          <w:lang w:val="ru-RU"/>
        </w:rPr>
      </w:pPr>
      <w:r w:rsidRPr="000765B4">
        <w:rPr>
          <w:lang w:val="ru-RU"/>
        </w:rPr>
        <w:t xml:space="preserve">2. </w:t>
      </w:r>
      <w:r w:rsidR="00CA292E" w:rsidRPr="009C1F7B">
        <w:rPr>
          <w:lang w:val="ru-RU"/>
        </w:rPr>
        <w:t>Проект</w:t>
      </w:r>
      <w:r w:rsidR="00CA292E" w:rsidRPr="000765B4">
        <w:rPr>
          <w:lang w:val="ru-RU"/>
        </w:rPr>
        <w:t xml:space="preserve"> </w:t>
      </w:r>
      <w:r w:rsidR="00CA292E" w:rsidRPr="009C1F7B">
        <w:rPr>
          <w:lang w:val="ru-RU"/>
        </w:rPr>
        <w:t>решения</w:t>
      </w:r>
      <w:r w:rsidR="00FC26F0" w:rsidRPr="000765B4">
        <w:rPr>
          <w:lang w:val="ru-RU"/>
        </w:rPr>
        <w:t xml:space="preserve"> </w:t>
      </w:r>
      <w:r w:rsidR="00FC26F0">
        <w:t>VIII</w:t>
      </w:r>
      <w:r w:rsidR="00FC26F0" w:rsidRPr="000765B4">
        <w:rPr>
          <w:lang w:val="ru-RU"/>
        </w:rPr>
        <w:t>/4</w:t>
      </w:r>
      <w:r w:rsidR="00FC26F0">
        <w:t>a</w:t>
      </w:r>
      <w:r w:rsidR="00FC26F0" w:rsidRPr="000765B4">
        <w:rPr>
          <w:lang w:val="ru-RU"/>
        </w:rPr>
        <w:t xml:space="preserve"> </w:t>
      </w:r>
      <w:r w:rsidR="000765B4" w:rsidRPr="000765B4">
        <w:rPr>
          <w:lang w:val="ru-RU"/>
        </w:rPr>
        <w:t xml:space="preserve">о соблюдении Арменией ее обязательств по Конвенции </w:t>
      </w:r>
      <w:r w:rsidR="008E1EE7">
        <w:rPr>
          <w:lang w:val="ru-RU"/>
        </w:rPr>
        <w:t>в отношении</w:t>
      </w:r>
      <w:r w:rsidR="000765B4" w:rsidRPr="000765B4">
        <w:rPr>
          <w:lang w:val="ru-RU"/>
        </w:rPr>
        <w:t xml:space="preserve"> национального</w:t>
      </w:r>
      <w:r w:rsidR="00B008DA" w:rsidRPr="00B008DA">
        <w:rPr>
          <w:lang w:val="ru-RU"/>
        </w:rPr>
        <w:t xml:space="preserve"> </w:t>
      </w:r>
      <w:r w:rsidR="000765B4" w:rsidRPr="000765B4">
        <w:rPr>
          <w:lang w:val="ru-RU"/>
        </w:rPr>
        <w:t>законодательств</w:t>
      </w:r>
      <w:r w:rsidR="00426DA4">
        <w:rPr>
          <w:lang w:val="ru-RU"/>
        </w:rPr>
        <w:t>а</w:t>
      </w:r>
      <w:r w:rsidR="0052029D" w:rsidRPr="000765B4">
        <w:rPr>
          <w:lang w:val="ru-RU"/>
        </w:rPr>
        <w:t>……………</w:t>
      </w:r>
      <w:r w:rsidR="008F7DC3">
        <w:rPr>
          <w:lang w:val="ru-RU"/>
        </w:rPr>
        <w:t>………………..</w:t>
      </w:r>
      <w:r w:rsidR="0052029D" w:rsidRPr="000765B4">
        <w:rPr>
          <w:lang w:val="ru-RU"/>
        </w:rPr>
        <w:t>………</w:t>
      </w:r>
      <w:r w:rsidR="005445D9" w:rsidRPr="005445D9">
        <w:rPr>
          <w:lang w:val="ru-RU"/>
        </w:rPr>
        <w:t>[</w:t>
      </w:r>
      <w:r w:rsidR="005445D9">
        <w:rPr>
          <w:lang w:val="ru-RU"/>
        </w:rPr>
        <w:t>…</w:t>
      </w:r>
      <w:r w:rsidR="005445D9" w:rsidRPr="005445D9">
        <w:rPr>
          <w:lang w:val="ru-RU"/>
        </w:rPr>
        <w:t>]</w:t>
      </w:r>
    </w:p>
    <w:p w14:paraId="6F68764A" w14:textId="10AA54DA" w:rsidR="00FC26F0" w:rsidRPr="0043487B" w:rsidRDefault="009157DC" w:rsidP="0052029D">
      <w:pPr>
        <w:pStyle w:val="SingleTxtG"/>
        <w:jc w:val="left"/>
        <w:rPr>
          <w:lang w:val="ru-RU"/>
        </w:rPr>
      </w:pPr>
      <w:r w:rsidRPr="0043487B">
        <w:rPr>
          <w:lang w:val="ru-RU"/>
        </w:rPr>
        <w:t xml:space="preserve">3. </w:t>
      </w:r>
      <w:r w:rsidR="00CA292E" w:rsidRPr="009C1F7B">
        <w:rPr>
          <w:lang w:val="ru-RU"/>
        </w:rPr>
        <w:t>Проект</w:t>
      </w:r>
      <w:r w:rsidR="00CA292E" w:rsidRPr="0043487B">
        <w:rPr>
          <w:lang w:val="ru-RU"/>
        </w:rPr>
        <w:t xml:space="preserve"> </w:t>
      </w:r>
      <w:r w:rsidR="00CA292E" w:rsidRPr="009C1F7B">
        <w:rPr>
          <w:lang w:val="ru-RU"/>
        </w:rPr>
        <w:t>решения</w:t>
      </w:r>
      <w:r w:rsidR="00FC26F0" w:rsidRPr="0043487B">
        <w:rPr>
          <w:lang w:val="ru-RU"/>
        </w:rPr>
        <w:t xml:space="preserve"> </w:t>
      </w:r>
      <w:r w:rsidR="00FC26F0">
        <w:t>VIII</w:t>
      </w:r>
      <w:r w:rsidR="00FC26F0" w:rsidRPr="0043487B">
        <w:rPr>
          <w:lang w:val="ru-RU"/>
        </w:rPr>
        <w:t>/4</w:t>
      </w:r>
      <w:r w:rsidR="00FC26F0">
        <w:t>b</w:t>
      </w:r>
      <w:r w:rsidR="00FC26F0" w:rsidRPr="0043487B">
        <w:rPr>
          <w:lang w:val="ru-RU"/>
        </w:rPr>
        <w:t xml:space="preserve"> </w:t>
      </w:r>
      <w:r w:rsidR="0043487B" w:rsidRPr="0043487B">
        <w:rPr>
          <w:lang w:val="ru-RU"/>
        </w:rPr>
        <w:t xml:space="preserve">о соблюдении Азербайджаном его обязательств по Конвенции </w:t>
      </w:r>
      <w:r w:rsidR="00D333DF">
        <w:rPr>
          <w:lang w:val="ru-RU"/>
        </w:rPr>
        <w:t>в отношении</w:t>
      </w:r>
      <w:r w:rsidR="0043487B" w:rsidRPr="0043487B">
        <w:rPr>
          <w:lang w:val="ru-RU"/>
        </w:rPr>
        <w:t xml:space="preserve"> национального законодательства </w:t>
      </w:r>
      <w:r w:rsidR="0052029D" w:rsidRPr="0043487B">
        <w:rPr>
          <w:lang w:val="ru-RU"/>
        </w:rPr>
        <w:t>…………</w:t>
      </w:r>
      <w:r w:rsidR="008F7DC3">
        <w:rPr>
          <w:lang w:val="ru-RU"/>
        </w:rPr>
        <w:t>…….</w:t>
      </w:r>
      <w:r w:rsidR="0052029D" w:rsidRPr="0043487B">
        <w:rPr>
          <w:lang w:val="ru-RU"/>
        </w:rPr>
        <w:t>………</w:t>
      </w:r>
      <w:r w:rsidR="00DD6AFF" w:rsidRPr="0043487B">
        <w:rPr>
          <w:lang w:val="ru-RU"/>
        </w:rPr>
        <w:t>..</w:t>
      </w:r>
      <w:r w:rsidR="005445D9" w:rsidRPr="005445D9">
        <w:rPr>
          <w:lang w:val="ru-RU"/>
        </w:rPr>
        <w:t>[</w:t>
      </w:r>
      <w:r w:rsidR="005445D9">
        <w:rPr>
          <w:lang w:val="ru-RU"/>
        </w:rPr>
        <w:t>…</w:t>
      </w:r>
      <w:r w:rsidR="005445D9" w:rsidRPr="005445D9">
        <w:rPr>
          <w:lang w:val="ru-RU"/>
        </w:rPr>
        <w:t>]</w:t>
      </w:r>
    </w:p>
    <w:p w14:paraId="158EDDDC" w14:textId="58008D71" w:rsidR="00FC26F0" w:rsidRPr="00B008DA" w:rsidRDefault="009157DC" w:rsidP="0052029D">
      <w:pPr>
        <w:pStyle w:val="SingleTxtG"/>
        <w:jc w:val="left"/>
        <w:rPr>
          <w:lang w:val="ru-RU"/>
        </w:rPr>
      </w:pPr>
      <w:r w:rsidRPr="0091730F">
        <w:rPr>
          <w:lang w:val="ru-RU"/>
        </w:rPr>
        <w:t xml:space="preserve">4. </w:t>
      </w:r>
      <w:r w:rsidR="00CA292E" w:rsidRPr="009C1F7B">
        <w:rPr>
          <w:lang w:val="ru-RU"/>
        </w:rPr>
        <w:t>Проект</w:t>
      </w:r>
      <w:r w:rsidR="00CA292E" w:rsidRPr="0091730F">
        <w:rPr>
          <w:lang w:val="ru-RU"/>
        </w:rPr>
        <w:t xml:space="preserve"> </w:t>
      </w:r>
      <w:r w:rsidR="00CA292E" w:rsidRPr="009C1F7B">
        <w:rPr>
          <w:lang w:val="ru-RU"/>
        </w:rPr>
        <w:t>решения</w:t>
      </w:r>
      <w:r w:rsidR="00FC26F0" w:rsidRPr="0091730F">
        <w:rPr>
          <w:lang w:val="ru-RU"/>
        </w:rPr>
        <w:t xml:space="preserve"> </w:t>
      </w:r>
      <w:r w:rsidR="00FC26F0">
        <w:t>VIII</w:t>
      </w:r>
      <w:r w:rsidR="00FC26F0" w:rsidRPr="0091730F">
        <w:rPr>
          <w:lang w:val="ru-RU"/>
        </w:rPr>
        <w:t>/4</w:t>
      </w:r>
      <w:r w:rsidR="00FC26F0">
        <w:t>c</w:t>
      </w:r>
      <w:r w:rsidR="00FC26F0" w:rsidRPr="0091730F">
        <w:rPr>
          <w:lang w:val="ru-RU"/>
        </w:rPr>
        <w:t xml:space="preserve"> </w:t>
      </w:r>
      <w:r w:rsidR="0091730F" w:rsidRPr="0091730F">
        <w:rPr>
          <w:lang w:val="ru-RU"/>
        </w:rPr>
        <w:t xml:space="preserve">о </w:t>
      </w:r>
      <w:r w:rsidR="00D51AA8">
        <w:rPr>
          <w:lang w:val="ru-RU"/>
        </w:rPr>
        <w:t>соблюдении</w:t>
      </w:r>
      <w:r w:rsidR="0091730F" w:rsidRPr="0091730F">
        <w:rPr>
          <w:lang w:val="ru-RU"/>
        </w:rPr>
        <w:t xml:space="preserve"> Беларусью </w:t>
      </w:r>
      <w:r w:rsidR="00BC26D9" w:rsidRPr="000765B4">
        <w:rPr>
          <w:lang w:val="ru-RU"/>
        </w:rPr>
        <w:t xml:space="preserve">ее </w:t>
      </w:r>
      <w:r w:rsidR="0091730F" w:rsidRPr="0091730F">
        <w:rPr>
          <w:lang w:val="ru-RU"/>
        </w:rPr>
        <w:t xml:space="preserve">обязательств по Конвенции в отношении </w:t>
      </w:r>
      <w:r w:rsidR="00343058">
        <w:rPr>
          <w:lang w:val="ru-RU"/>
        </w:rPr>
        <w:t>Б</w:t>
      </w:r>
      <w:r w:rsidR="0091730F" w:rsidRPr="0091730F">
        <w:rPr>
          <w:lang w:val="ru-RU"/>
        </w:rPr>
        <w:t xml:space="preserve">елорусской атомной электростанции в Островце </w:t>
      </w:r>
      <w:r w:rsidR="00566462" w:rsidRPr="0091730F">
        <w:rPr>
          <w:lang w:val="ru-RU"/>
        </w:rPr>
        <w:t>…….</w:t>
      </w:r>
      <w:r w:rsidR="005445D9" w:rsidRPr="005445D9">
        <w:rPr>
          <w:lang w:val="ru-RU"/>
        </w:rPr>
        <w:t>[</w:t>
      </w:r>
      <w:r w:rsidR="005445D9">
        <w:rPr>
          <w:lang w:val="ru-RU"/>
        </w:rPr>
        <w:t>…</w:t>
      </w:r>
      <w:r w:rsidR="005445D9" w:rsidRPr="005445D9">
        <w:rPr>
          <w:lang w:val="ru-RU"/>
        </w:rPr>
        <w:t>]</w:t>
      </w:r>
    </w:p>
    <w:p w14:paraId="24E206D5" w14:textId="07F0F30A" w:rsidR="00FC26F0" w:rsidRPr="00D95098" w:rsidRDefault="009157DC" w:rsidP="0052029D">
      <w:pPr>
        <w:pStyle w:val="SingleTxtG"/>
        <w:jc w:val="left"/>
        <w:rPr>
          <w:lang w:val="ru-RU"/>
        </w:rPr>
      </w:pPr>
      <w:r w:rsidRPr="00D95098">
        <w:rPr>
          <w:lang w:val="ru-RU"/>
        </w:rPr>
        <w:t xml:space="preserve">5. </w:t>
      </w:r>
      <w:r w:rsidR="00CA292E" w:rsidRPr="009C1F7B">
        <w:rPr>
          <w:lang w:val="ru-RU"/>
        </w:rPr>
        <w:t>Проект</w:t>
      </w:r>
      <w:r w:rsidR="00CA292E" w:rsidRPr="00D95098">
        <w:rPr>
          <w:lang w:val="ru-RU"/>
        </w:rPr>
        <w:t xml:space="preserve"> </w:t>
      </w:r>
      <w:r w:rsidR="00CA292E" w:rsidRPr="009C1F7B">
        <w:rPr>
          <w:lang w:val="ru-RU"/>
        </w:rPr>
        <w:t>решения</w:t>
      </w:r>
      <w:r w:rsidR="00FC26F0" w:rsidRPr="00D95098">
        <w:rPr>
          <w:lang w:val="ru-RU"/>
        </w:rPr>
        <w:t xml:space="preserve"> </w:t>
      </w:r>
      <w:r w:rsidR="00FC26F0">
        <w:t>VIII</w:t>
      </w:r>
      <w:r w:rsidR="00FC26F0" w:rsidRPr="00D95098">
        <w:rPr>
          <w:lang w:val="ru-RU"/>
        </w:rPr>
        <w:t>/4</w:t>
      </w:r>
      <w:r w:rsidR="00FC26F0">
        <w:t>d</w:t>
      </w:r>
      <w:r w:rsidR="00FC26F0" w:rsidRPr="00D95098">
        <w:rPr>
          <w:lang w:val="ru-RU"/>
        </w:rPr>
        <w:t xml:space="preserve"> </w:t>
      </w:r>
      <w:r w:rsidR="00D95098">
        <w:rPr>
          <w:lang w:val="ru-RU"/>
        </w:rPr>
        <w:t>о</w:t>
      </w:r>
      <w:r w:rsidR="00D95098" w:rsidRPr="00D95098">
        <w:rPr>
          <w:lang w:val="ru-RU"/>
        </w:rPr>
        <w:t xml:space="preserve"> </w:t>
      </w:r>
      <w:r w:rsidR="00D95098">
        <w:rPr>
          <w:lang w:val="ru-RU"/>
        </w:rPr>
        <w:t>с</w:t>
      </w:r>
      <w:r w:rsidR="00D95098" w:rsidRPr="00D95098">
        <w:rPr>
          <w:lang w:val="ru-RU"/>
        </w:rPr>
        <w:t>облюдени</w:t>
      </w:r>
      <w:r w:rsidR="00D95098">
        <w:rPr>
          <w:lang w:val="ru-RU"/>
        </w:rPr>
        <w:t>и</w:t>
      </w:r>
      <w:r w:rsidR="00D95098" w:rsidRPr="00D95098">
        <w:rPr>
          <w:lang w:val="ru-RU"/>
        </w:rPr>
        <w:t xml:space="preserve"> Украиной ее обязательств по Конвенции в связи с проектом строительства глубоководного судоходного канала «Дунай−Черное море» в украинском секторе дельты реки Дуная</w:t>
      </w:r>
      <w:r w:rsidR="00566462" w:rsidRPr="00D95098">
        <w:rPr>
          <w:lang w:val="ru-RU"/>
        </w:rPr>
        <w:t>…………………………</w:t>
      </w:r>
      <w:r w:rsidR="008F7DC3">
        <w:rPr>
          <w:lang w:val="ru-RU"/>
        </w:rPr>
        <w:t>…..</w:t>
      </w:r>
      <w:r w:rsidR="00566462" w:rsidRPr="00D95098">
        <w:rPr>
          <w:lang w:val="ru-RU"/>
        </w:rPr>
        <w:t>………</w:t>
      </w:r>
      <w:r w:rsidR="00AC3FA0" w:rsidRPr="005445D9">
        <w:rPr>
          <w:lang w:val="ru-RU"/>
        </w:rPr>
        <w:t>[</w:t>
      </w:r>
      <w:r w:rsidR="00AC3FA0">
        <w:rPr>
          <w:lang w:val="ru-RU"/>
        </w:rPr>
        <w:t>…</w:t>
      </w:r>
      <w:r w:rsidR="00AC3FA0" w:rsidRPr="005445D9">
        <w:rPr>
          <w:lang w:val="ru-RU"/>
        </w:rPr>
        <w:t>]</w:t>
      </w:r>
    </w:p>
    <w:p w14:paraId="0E2CDEEA" w14:textId="50CBF152" w:rsidR="00FC26F0" w:rsidRPr="00662D4F" w:rsidRDefault="009157DC" w:rsidP="0052029D">
      <w:pPr>
        <w:pStyle w:val="SingleTxtG"/>
        <w:jc w:val="left"/>
        <w:rPr>
          <w:lang w:val="ru-RU"/>
        </w:rPr>
      </w:pPr>
      <w:r w:rsidRPr="00662D4F">
        <w:rPr>
          <w:lang w:val="ru-RU"/>
        </w:rPr>
        <w:t xml:space="preserve">6. </w:t>
      </w:r>
      <w:r w:rsidR="00CA292E" w:rsidRPr="009C1F7B">
        <w:rPr>
          <w:lang w:val="ru-RU"/>
        </w:rPr>
        <w:t>Проект</w:t>
      </w:r>
      <w:r w:rsidR="00CA292E" w:rsidRPr="00662D4F">
        <w:rPr>
          <w:lang w:val="ru-RU"/>
        </w:rPr>
        <w:t xml:space="preserve"> </w:t>
      </w:r>
      <w:r w:rsidR="00CA292E" w:rsidRPr="009C1F7B">
        <w:rPr>
          <w:lang w:val="ru-RU"/>
        </w:rPr>
        <w:t>решения</w:t>
      </w:r>
      <w:r w:rsidR="00FC26F0" w:rsidRPr="00662D4F">
        <w:rPr>
          <w:lang w:val="ru-RU"/>
        </w:rPr>
        <w:t xml:space="preserve"> </w:t>
      </w:r>
      <w:r w:rsidR="00FC26F0">
        <w:t>VIII</w:t>
      </w:r>
      <w:r w:rsidR="00FC26F0" w:rsidRPr="00662D4F">
        <w:rPr>
          <w:lang w:val="ru-RU"/>
        </w:rPr>
        <w:t>/4</w:t>
      </w:r>
      <w:r w:rsidR="00FC26F0">
        <w:t>e</w:t>
      </w:r>
      <w:r w:rsidR="00FC26F0" w:rsidRPr="00662D4F">
        <w:rPr>
          <w:lang w:val="ru-RU"/>
        </w:rPr>
        <w:t xml:space="preserve"> </w:t>
      </w:r>
      <w:r w:rsidR="00662D4F">
        <w:rPr>
          <w:lang w:val="ru-RU"/>
        </w:rPr>
        <w:t>о с</w:t>
      </w:r>
      <w:r w:rsidR="00662D4F" w:rsidRPr="00662D4F">
        <w:rPr>
          <w:lang w:val="ru-RU"/>
        </w:rPr>
        <w:t>облюдени</w:t>
      </w:r>
      <w:r w:rsidR="00662D4F">
        <w:rPr>
          <w:lang w:val="ru-RU"/>
        </w:rPr>
        <w:t>и</w:t>
      </w:r>
      <w:r w:rsidR="00662D4F" w:rsidRPr="00662D4F">
        <w:rPr>
          <w:lang w:val="ru-RU"/>
        </w:rPr>
        <w:t xml:space="preserve"> Украиной ее обязательств по Конвенции в связи с продлением срока эксплуатации Ровенской атомной электростанции </w:t>
      </w:r>
      <w:r w:rsidR="0083179C" w:rsidRPr="00662D4F">
        <w:rPr>
          <w:lang w:val="ru-RU"/>
        </w:rPr>
        <w:t>……</w:t>
      </w:r>
      <w:r w:rsidR="00AC3FA0" w:rsidRPr="005445D9">
        <w:rPr>
          <w:lang w:val="ru-RU"/>
        </w:rPr>
        <w:t>[</w:t>
      </w:r>
      <w:r w:rsidR="00AC3FA0">
        <w:rPr>
          <w:lang w:val="ru-RU"/>
        </w:rPr>
        <w:t>…</w:t>
      </w:r>
      <w:r w:rsidR="00AC3FA0" w:rsidRPr="005445D9">
        <w:rPr>
          <w:lang w:val="ru-RU"/>
        </w:rPr>
        <w:t>]</w:t>
      </w:r>
    </w:p>
    <w:p w14:paraId="6A708010" w14:textId="2BC62F7C" w:rsidR="00317452" w:rsidRPr="008E1EE7" w:rsidRDefault="009157DC" w:rsidP="0052029D">
      <w:pPr>
        <w:pStyle w:val="SingleTxtG"/>
        <w:jc w:val="left"/>
        <w:rPr>
          <w:lang w:val="ru-RU"/>
        </w:rPr>
      </w:pPr>
      <w:r w:rsidRPr="008E1EE7">
        <w:rPr>
          <w:lang w:val="ru-RU"/>
        </w:rPr>
        <w:t xml:space="preserve">7. </w:t>
      </w:r>
      <w:r w:rsidR="00CA292E" w:rsidRPr="009C1F7B">
        <w:rPr>
          <w:lang w:val="ru-RU"/>
        </w:rPr>
        <w:t>Проект</w:t>
      </w:r>
      <w:r w:rsidR="00CA292E" w:rsidRPr="008E1EE7">
        <w:rPr>
          <w:lang w:val="ru-RU"/>
        </w:rPr>
        <w:t xml:space="preserve"> </w:t>
      </w:r>
      <w:r w:rsidR="00CA292E" w:rsidRPr="009C1F7B">
        <w:rPr>
          <w:lang w:val="ru-RU"/>
        </w:rPr>
        <w:t>решения</w:t>
      </w:r>
      <w:r w:rsidR="00FC26F0" w:rsidRPr="008E1EE7">
        <w:rPr>
          <w:lang w:val="ru-RU"/>
        </w:rPr>
        <w:t xml:space="preserve"> </w:t>
      </w:r>
      <w:bookmarkStart w:id="2" w:name="_Hlk31302110"/>
      <w:r w:rsidR="00FC26F0" w:rsidRPr="00FC26F0">
        <w:t>IV</w:t>
      </w:r>
      <w:r w:rsidR="00FC26F0" w:rsidRPr="008E1EE7">
        <w:rPr>
          <w:lang w:val="ru-RU"/>
        </w:rPr>
        <w:t>/</w:t>
      </w:r>
      <w:bookmarkEnd w:id="2"/>
      <w:r w:rsidR="00FC26F0" w:rsidRPr="008E1EE7">
        <w:rPr>
          <w:lang w:val="ru-RU"/>
        </w:rPr>
        <w:t xml:space="preserve">4 </w:t>
      </w:r>
      <w:r w:rsidR="008E1EE7" w:rsidRPr="009C1F7B">
        <w:rPr>
          <w:lang w:val="ru-RU"/>
        </w:rPr>
        <w:t xml:space="preserve">об общих вопросах соблюдения </w:t>
      </w:r>
      <w:r w:rsidR="008E1EE7">
        <w:rPr>
          <w:lang w:val="ru-RU"/>
        </w:rPr>
        <w:t>Протокола</w:t>
      </w:r>
      <w:r w:rsidR="0083179C" w:rsidRPr="008E1EE7">
        <w:rPr>
          <w:lang w:val="ru-RU"/>
        </w:rPr>
        <w:t>……………….</w:t>
      </w:r>
      <w:r w:rsidR="00AC3FA0" w:rsidRPr="005445D9">
        <w:rPr>
          <w:lang w:val="ru-RU"/>
        </w:rPr>
        <w:t>[</w:t>
      </w:r>
      <w:r w:rsidR="00AC3FA0">
        <w:rPr>
          <w:lang w:val="ru-RU"/>
        </w:rPr>
        <w:t>…</w:t>
      </w:r>
      <w:r w:rsidR="00AC3FA0" w:rsidRPr="005445D9">
        <w:rPr>
          <w:lang w:val="ru-RU"/>
        </w:rPr>
        <w:t>]</w:t>
      </w:r>
    </w:p>
    <w:p w14:paraId="78EDC378" w14:textId="77777777" w:rsidR="00FC26F0" w:rsidRPr="008E1EE7" w:rsidRDefault="00317452" w:rsidP="00317452">
      <w:pPr>
        <w:pStyle w:val="SingleTxtG"/>
        <w:jc w:val="left"/>
        <w:rPr>
          <w:lang w:val="ru-RU"/>
        </w:rPr>
      </w:pPr>
      <w:r w:rsidRPr="008E1EE7">
        <w:rPr>
          <w:lang w:val="ru-RU"/>
        </w:rPr>
        <w:br w:type="page"/>
      </w:r>
    </w:p>
    <w:p w14:paraId="5470D4BE" w14:textId="78A320EF" w:rsidR="00FC26F0" w:rsidRPr="009772C5" w:rsidRDefault="00FC26F0" w:rsidP="00FC26F0">
      <w:pPr>
        <w:pStyle w:val="HChG"/>
        <w:rPr>
          <w:lang w:val="ru-RU"/>
        </w:rPr>
      </w:pPr>
      <w:r w:rsidRPr="008E1EE7">
        <w:rPr>
          <w:lang w:val="ru-RU"/>
        </w:rPr>
        <w:lastRenderedPageBreak/>
        <w:tab/>
      </w:r>
      <w:r w:rsidR="009157DC" w:rsidRPr="009772C5">
        <w:rPr>
          <w:lang w:val="ru-RU"/>
        </w:rPr>
        <w:t>1.</w:t>
      </w:r>
      <w:r w:rsidRPr="009772C5">
        <w:rPr>
          <w:lang w:val="ru-RU"/>
        </w:rPr>
        <w:tab/>
      </w:r>
      <w:r w:rsidR="009772C5" w:rsidRPr="009C1F7B">
        <w:rPr>
          <w:lang w:val="ru-RU"/>
        </w:rPr>
        <w:t xml:space="preserve">Проект решения </w:t>
      </w:r>
      <w:r w:rsidR="009772C5">
        <w:t>VIII</w:t>
      </w:r>
      <w:r w:rsidR="009772C5" w:rsidRPr="009C1F7B">
        <w:rPr>
          <w:lang w:val="ru-RU"/>
        </w:rPr>
        <w:t>/4 об общих вопросах соблюдения Конвенции</w:t>
      </w:r>
      <w:r w:rsidR="009772C5" w:rsidRPr="009772C5">
        <w:rPr>
          <w:lang w:val="ru-RU"/>
        </w:rPr>
        <w:t xml:space="preserve"> </w:t>
      </w:r>
    </w:p>
    <w:p w14:paraId="59366C51" w14:textId="77777777" w:rsidR="00045A72" w:rsidRPr="00BA7BCF" w:rsidRDefault="00045A72" w:rsidP="00045A72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Совещание Сторон Конвенции</w:t>
      </w:r>
      <w:r>
        <w:rPr>
          <w:lang w:val="ru-RU"/>
        </w:rPr>
        <w:t>,</w:t>
      </w:r>
    </w:p>
    <w:p w14:paraId="53176A46" w14:textId="4AA63BE6" w:rsidR="00045A72" w:rsidRPr="00E565E2" w:rsidRDefault="00045A72" w:rsidP="00045A72">
      <w:pPr>
        <w:pStyle w:val="SingleTxtG"/>
        <w:ind w:firstLine="567"/>
        <w:rPr>
          <w:i/>
          <w:iCs/>
          <w:lang w:val="ru-RU"/>
        </w:rPr>
      </w:pPr>
      <w:r w:rsidRPr="00181C39">
        <w:rPr>
          <w:i/>
          <w:lang w:val="ru-RU"/>
        </w:rPr>
        <w:t>ссылаясь</w:t>
      </w:r>
      <w:r>
        <w:rPr>
          <w:lang w:val="ru-RU"/>
        </w:rPr>
        <w:t xml:space="preserve"> на пункт 2 статьи 11 и статью 14-бис Конвенции об оценке воздействия на окружающую среду в трансграничном контексте</w:t>
      </w:r>
      <w:r w:rsidR="00E565E2" w:rsidRPr="00E565E2">
        <w:rPr>
          <w:lang w:val="ru-RU"/>
        </w:rPr>
        <w:t>,</w:t>
      </w:r>
    </w:p>
    <w:p w14:paraId="6AEBDDCB" w14:textId="77777777" w:rsidR="00F53C79" w:rsidRDefault="008E2B91" w:rsidP="009157DC">
      <w:pPr>
        <w:pStyle w:val="SingleTxtG"/>
        <w:ind w:firstLine="567"/>
        <w:rPr>
          <w:lang w:val="ru-RU"/>
        </w:rPr>
      </w:pPr>
      <w:r w:rsidRPr="008E2B91">
        <w:rPr>
          <w:i/>
          <w:iCs/>
          <w:lang w:val="ru-RU"/>
        </w:rPr>
        <w:t xml:space="preserve">также ссылаясь </w:t>
      </w:r>
      <w:r w:rsidRPr="00EE5615">
        <w:rPr>
          <w:lang w:val="ru-RU"/>
        </w:rPr>
        <w:t>на общие части решений III/2, IV/2, V/4, VI/2 Совещания Сторон Конвенции</w:t>
      </w:r>
      <w:r w:rsidR="00EE5615" w:rsidRPr="00EE5615">
        <w:rPr>
          <w:lang w:val="ru-RU"/>
        </w:rPr>
        <w:t xml:space="preserve"> </w:t>
      </w:r>
      <w:r w:rsidR="00EE5615">
        <w:rPr>
          <w:lang w:val="ru-RU"/>
        </w:rPr>
        <w:t xml:space="preserve">о </w:t>
      </w:r>
      <w:r w:rsidRPr="00EE5615">
        <w:rPr>
          <w:lang w:val="ru-RU"/>
        </w:rPr>
        <w:t>рассмотрени</w:t>
      </w:r>
      <w:r w:rsidR="00EE5615">
        <w:rPr>
          <w:lang w:val="ru-RU"/>
        </w:rPr>
        <w:t>и</w:t>
      </w:r>
      <w:r w:rsidRPr="00EE5615">
        <w:rPr>
          <w:lang w:val="ru-RU"/>
        </w:rPr>
        <w:t xml:space="preserve"> соблюдения, и </w:t>
      </w:r>
      <w:r w:rsidR="00007944">
        <w:rPr>
          <w:lang w:val="ru-RU"/>
        </w:rPr>
        <w:t xml:space="preserve">на </w:t>
      </w:r>
      <w:r w:rsidRPr="00EE5615">
        <w:rPr>
          <w:lang w:val="ru-RU"/>
        </w:rPr>
        <w:t xml:space="preserve">решение IS/1 </w:t>
      </w:r>
      <w:r w:rsidR="00EB321D" w:rsidRPr="00EB321D">
        <w:rPr>
          <w:lang w:val="ru-RU"/>
        </w:rPr>
        <w:t>об общих вопросах соблюдения Конвенции</w:t>
      </w:r>
    </w:p>
    <w:p w14:paraId="09D7C793" w14:textId="77777777" w:rsidR="00E16A6E" w:rsidRPr="00BA7BCF" w:rsidRDefault="00E16A6E" w:rsidP="00E16A6E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будучи преисполнено</w:t>
      </w:r>
      <w:r>
        <w:rPr>
          <w:lang w:val="ru-RU"/>
        </w:rPr>
        <w:t xml:space="preserve"> </w:t>
      </w:r>
      <w:r w:rsidRPr="00181C39">
        <w:rPr>
          <w:i/>
          <w:lang w:val="ru-RU"/>
        </w:rPr>
        <w:t>решимости</w:t>
      </w:r>
      <w:r>
        <w:rPr>
          <w:lang w:val="ru-RU"/>
        </w:rPr>
        <w:t xml:space="preserve"> поощрять и совершенствовать соблюдение Конвенции,</w:t>
      </w:r>
    </w:p>
    <w:p w14:paraId="4F62D38A" w14:textId="77777777" w:rsidR="00D10B8A" w:rsidRPr="00BA7BCF" w:rsidRDefault="00D10B8A" w:rsidP="00D10B8A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 xml:space="preserve">стремясь </w:t>
      </w:r>
      <w:r>
        <w:rPr>
          <w:lang w:val="ru-RU"/>
        </w:rPr>
        <w:t>содействовать как можно более раннему выявлению проблем с соблюдением, с которыми сталкиваются Стороны, и принятию наиболее приемлемых и эффективных решений для урегулирования этих проблем,</w:t>
      </w:r>
    </w:p>
    <w:p w14:paraId="481E4718" w14:textId="6829587D" w:rsidR="00F53C79" w:rsidRDefault="00A172E5" w:rsidP="000167F8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</w:t>
      </w:r>
      <w:r>
        <w:rPr>
          <w:lang w:val="ru-RU"/>
        </w:rPr>
        <w:t xml:space="preserve"> результаты анализа, проведенного Комитетом по осуществлению в связи с общими вопросами соблюдения в ходе пятого рассмотрения осуществления Конвенции, которые изложены в документе </w:t>
      </w:r>
      <w:r w:rsidRPr="00A41375">
        <w:t>ECE</w:t>
      </w:r>
      <w:r w:rsidRPr="004D01D3">
        <w:rPr>
          <w:lang w:val="ru-RU"/>
        </w:rPr>
        <w:t>/</w:t>
      </w:r>
      <w:r w:rsidRPr="00A41375">
        <w:t>MP</w:t>
      </w:r>
      <w:r w:rsidRPr="004D01D3">
        <w:rPr>
          <w:lang w:val="ru-RU"/>
        </w:rPr>
        <w:t>.</w:t>
      </w:r>
      <w:r w:rsidRPr="00A41375">
        <w:t>EIA</w:t>
      </w:r>
      <w:r w:rsidRPr="004D01D3">
        <w:rPr>
          <w:lang w:val="ru-RU"/>
        </w:rPr>
        <w:t>/2017/9</w:t>
      </w:r>
      <w:r>
        <w:rPr>
          <w:lang w:val="ru-RU"/>
        </w:rPr>
        <w:t xml:space="preserve">, принятом посредством решения </w:t>
      </w:r>
      <w:r w:rsidR="000167F8" w:rsidRPr="00A41375">
        <w:t>VII</w:t>
      </w:r>
      <w:r w:rsidR="000167F8" w:rsidRPr="000167F8">
        <w:rPr>
          <w:lang w:val="ru-RU"/>
        </w:rPr>
        <w:t>/1</w:t>
      </w:r>
      <w:r w:rsidR="000167F8" w:rsidRPr="001A4062">
        <w:rPr>
          <w:rStyle w:val="FootnoteReference"/>
        </w:rPr>
        <w:footnoteReference w:id="2"/>
      </w:r>
      <w:r w:rsidR="000167F8" w:rsidRPr="000167F8">
        <w:rPr>
          <w:lang w:val="ru-RU"/>
        </w:rPr>
        <w:t>,</w:t>
      </w:r>
    </w:p>
    <w:p w14:paraId="3D6CEE97" w14:textId="339887AA" w:rsidR="00985D21" w:rsidRPr="0018709C" w:rsidRDefault="00985D21" w:rsidP="00985D21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</w:t>
      </w:r>
      <w:r>
        <w:rPr>
          <w:lang w:val="ru-RU"/>
        </w:rPr>
        <w:t xml:space="preserve"> структуру и функции Комитета, изложенные в добавлении к решению </w:t>
      </w:r>
      <w:r w:rsidR="000852BE" w:rsidRPr="00A0384A">
        <w:t>III</w:t>
      </w:r>
      <w:r w:rsidR="000852BE" w:rsidRPr="0018709C">
        <w:rPr>
          <w:lang w:val="ru-RU"/>
        </w:rPr>
        <w:t>/2</w:t>
      </w:r>
      <w:r w:rsidR="000852BE" w:rsidRPr="00A0384A">
        <w:rPr>
          <w:vertAlign w:val="superscript"/>
        </w:rPr>
        <w:footnoteReference w:id="3"/>
      </w:r>
      <w:r w:rsidR="000852BE" w:rsidRPr="0018709C">
        <w:rPr>
          <w:vertAlign w:val="superscript"/>
          <w:lang w:val="ru-RU"/>
        </w:rPr>
        <w:t xml:space="preserve"> </w:t>
      </w:r>
      <w:r w:rsidR="000852BE" w:rsidRPr="0018709C">
        <w:rPr>
          <w:sz w:val="18"/>
          <w:vertAlign w:val="superscript"/>
          <w:lang w:val="ru-RU"/>
        </w:rPr>
        <w:t xml:space="preserve"> </w:t>
      </w:r>
      <w:r>
        <w:rPr>
          <w:lang w:val="ru-RU"/>
        </w:rPr>
        <w:t>и</w:t>
      </w:r>
      <w:r w:rsidRPr="0018709C">
        <w:rPr>
          <w:lang w:val="ru-RU"/>
        </w:rPr>
        <w:t xml:space="preserve"> </w:t>
      </w:r>
      <w:r>
        <w:rPr>
          <w:lang w:val="ru-RU"/>
        </w:rPr>
        <w:t>в</w:t>
      </w:r>
      <w:r w:rsidRPr="0018709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18709C">
        <w:rPr>
          <w:lang w:val="ru-RU"/>
        </w:rPr>
        <w:t xml:space="preserve"> </w:t>
      </w:r>
      <w:r w:rsidRPr="00D32B88">
        <w:t>I</w:t>
      </w:r>
      <w:r w:rsidRPr="0018709C">
        <w:rPr>
          <w:lang w:val="ru-RU"/>
        </w:rPr>
        <w:t xml:space="preserve"> </w:t>
      </w:r>
      <w:r>
        <w:rPr>
          <w:lang w:val="ru-RU"/>
        </w:rPr>
        <w:t>к</w:t>
      </w:r>
      <w:r w:rsidRPr="0018709C">
        <w:rPr>
          <w:lang w:val="ru-RU"/>
        </w:rPr>
        <w:t xml:space="preserve"> </w:t>
      </w:r>
      <w:r>
        <w:rPr>
          <w:lang w:val="ru-RU"/>
        </w:rPr>
        <w:t>решению</w:t>
      </w:r>
      <w:r w:rsidRPr="0018709C">
        <w:rPr>
          <w:lang w:val="ru-RU"/>
        </w:rPr>
        <w:t xml:space="preserve"> </w:t>
      </w:r>
      <w:r w:rsidR="00555049" w:rsidRPr="00A0384A">
        <w:t>VI</w:t>
      </w:r>
      <w:r w:rsidR="00555049" w:rsidRPr="0018709C">
        <w:rPr>
          <w:lang w:val="ru-RU"/>
        </w:rPr>
        <w:t>/2,</w:t>
      </w:r>
      <w:r w:rsidR="00555049" w:rsidRPr="00A0384A">
        <w:rPr>
          <w:vertAlign w:val="superscript"/>
        </w:rPr>
        <w:footnoteReference w:id="4"/>
      </w:r>
      <w:r w:rsidRPr="0018709C">
        <w:rPr>
          <w:lang w:val="ru-RU"/>
        </w:rPr>
        <w:t xml:space="preserve"> </w:t>
      </w:r>
    </w:p>
    <w:p w14:paraId="70CC228A" w14:textId="21F76792" w:rsidR="00AA4C24" w:rsidRPr="007F24A4" w:rsidRDefault="00DB62FE" w:rsidP="00AA4C24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 также</w:t>
      </w:r>
      <w:r>
        <w:rPr>
          <w:lang w:val="ru-RU"/>
        </w:rPr>
        <w:t xml:space="preserve"> рабочие правила, принятые в решении IV/2</w:t>
      </w:r>
      <w:r w:rsidR="00C94641" w:rsidRPr="00C94641">
        <w:rPr>
          <w:vertAlign w:val="superscript"/>
          <w:lang w:val="ru-RU"/>
        </w:rPr>
        <w:t xml:space="preserve"> </w:t>
      </w:r>
      <w:r w:rsidR="00C94641" w:rsidRPr="00A0384A">
        <w:rPr>
          <w:vertAlign w:val="superscript"/>
        </w:rPr>
        <w:footnoteReference w:id="5"/>
      </w:r>
      <w:r w:rsidR="005C728F" w:rsidRPr="005C728F">
        <w:rPr>
          <w:vertAlign w:val="superscript"/>
          <w:lang w:val="ru-RU"/>
        </w:rPr>
        <w:t xml:space="preserve"> </w:t>
      </w:r>
      <w:r w:rsidR="005C728F">
        <w:rPr>
          <w:lang w:val="ru-RU"/>
        </w:rPr>
        <w:t>с поправками, внесенными на основании решения V/4</w:t>
      </w:r>
      <w:r w:rsidR="00235A0E" w:rsidRPr="00A0384A">
        <w:rPr>
          <w:vertAlign w:val="superscript"/>
        </w:rPr>
        <w:footnoteReference w:id="6"/>
      </w:r>
      <w:r w:rsidR="00930359" w:rsidRPr="00930359">
        <w:rPr>
          <w:lang w:val="ru-RU"/>
        </w:rPr>
        <w:t xml:space="preserve">, </w:t>
      </w:r>
      <w:r w:rsidR="00930359">
        <w:rPr>
          <w:lang w:val="ru-RU"/>
        </w:rPr>
        <w:t>приложение, и VI/2</w:t>
      </w:r>
      <w:r w:rsidR="00235A0E" w:rsidRPr="00A0384A">
        <w:rPr>
          <w:vertAlign w:val="superscript"/>
        </w:rPr>
        <w:footnoteReference w:id="7"/>
      </w:r>
      <w:r w:rsidR="00AA4C24" w:rsidRPr="007F24A4">
        <w:rPr>
          <w:lang w:val="ru-RU"/>
        </w:rPr>
        <w:t>,</w:t>
      </w:r>
      <w:r w:rsidR="00AA4C24" w:rsidRPr="00AA4C24">
        <w:rPr>
          <w:lang w:val="ru-RU"/>
        </w:rPr>
        <w:t xml:space="preserve"> </w:t>
      </w:r>
      <w:r w:rsidR="00AA4C24">
        <w:rPr>
          <w:lang w:val="ru-RU"/>
        </w:rPr>
        <w:t>приложение II, и признавая важность повышения эффективности методов работы Комитета, с учетом растущего числа и сложности вопросов соблюдения, переданных на рассмотрение Комитета,</w:t>
      </w:r>
      <w:r w:rsidR="007F24A4" w:rsidRPr="007F24A4">
        <w:rPr>
          <w:lang w:val="ru-RU"/>
        </w:rPr>
        <w:t xml:space="preserve"> и рол</w:t>
      </w:r>
      <w:r w:rsidR="007F24A4">
        <w:rPr>
          <w:lang w:val="ru-RU"/>
        </w:rPr>
        <w:t>и</w:t>
      </w:r>
      <w:r w:rsidR="007F24A4" w:rsidRPr="007F24A4">
        <w:rPr>
          <w:lang w:val="ru-RU"/>
        </w:rPr>
        <w:t xml:space="preserve"> соответствующих </w:t>
      </w:r>
      <w:r w:rsidR="007F24A4">
        <w:rPr>
          <w:lang w:val="ru-RU"/>
        </w:rPr>
        <w:t>С</w:t>
      </w:r>
      <w:r w:rsidR="007F24A4" w:rsidRPr="007F24A4">
        <w:rPr>
          <w:lang w:val="ru-RU"/>
        </w:rPr>
        <w:t>торон в содействии работе Комитета,</w:t>
      </w:r>
    </w:p>
    <w:p w14:paraId="0F6A8F2C" w14:textId="6D79A5E5" w:rsidR="0092528F" w:rsidRDefault="0092528F" w:rsidP="0092528F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рассмотрев далее</w:t>
      </w:r>
      <w:r>
        <w:rPr>
          <w:lang w:val="ru-RU"/>
        </w:rPr>
        <w:t xml:space="preserve"> мнения Комитета,</w:t>
      </w:r>
    </w:p>
    <w:p w14:paraId="5DDFC2DF" w14:textId="656F256E" w:rsidR="00724B8B" w:rsidRDefault="00724B8B" w:rsidP="00724B8B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признавая</w:t>
      </w:r>
      <w:r>
        <w:rPr>
          <w:lang w:val="ru-RU"/>
        </w:rPr>
        <w:t xml:space="preserve"> важность неукоснительного представления Сторонами информации о соблюдении ими Конвенции и отмечая итоги </w:t>
      </w:r>
      <w:r w:rsidR="008C27B6">
        <w:rPr>
          <w:lang w:val="ru-RU"/>
        </w:rPr>
        <w:t>шестого</w:t>
      </w:r>
      <w:r>
        <w:rPr>
          <w:lang w:val="ru-RU"/>
        </w:rPr>
        <w:t xml:space="preserve"> обзора осуществления Конвенции, составленного на основе ответов Сторон на вопросники по осуществлению Конвенции и принятого в решении </w:t>
      </w:r>
      <w:r w:rsidR="008C27B6" w:rsidRPr="00A0384A">
        <w:t>V</w:t>
      </w:r>
      <w:r w:rsidR="008C27B6">
        <w:t>I</w:t>
      </w:r>
      <w:r w:rsidR="008C27B6" w:rsidRPr="00A0384A">
        <w:t>II</w:t>
      </w:r>
      <w:r w:rsidR="008C27B6" w:rsidRPr="00CA4337">
        <w:rPr>
          <w:lang w:val="ru-RU"/>
        </w:rPr>
        <w:t>/5,</w:t>
      </w:r>
      <w:r w:rsidR="008C27B6" w:rsidRPr="00CA4337" w:rsidDel="00216B32"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 </w:t>
      </w:r>
    </w:p>
    <w:p w14:paraId="20085054" w14:textId="77777777" w:rsidR="00CA4337" w:rsidRPr="00BA7BCF" w:rsidRDefault="00CA4337" w:rsidP="00CA4337">
      <w:pPr>
        <w:pStyle w:val="SingleTxtG"/>
        <w:ind w:firstLine="567"/>
        <w:rPr>
          <w:lang w:val="ru-RU"/>
        </w:rPr>
      </w:pPr>
      <w:r w:rsidRPr="00181C39">
        <w:rPr>
          <w:i/>
          <w:lang w:val="ru-RU"/>
        </w:rPr>
        <w:t>напоминая</w:t>
      </w:r>
      <w:r>
        <w:rPr>
          <w:lang w:val="ru-RU"/>
        </w:rPr>
        <w:t>, что процедура соблюдения ориентирована на оказание помощи и что Стороны могут направлять Комитету представления по вопросам соблюдения ими Конвенции,</w:t>
      </w:r>
    </w:p>
    <w:p w14:paraId="73FBC706" w14:textId="0095EBCB" w:rsidR="008C27B6" w:rsidRPr="00106B2C" w:rsidRDefault="009762A0" w:rsidP="00724B8B">
      <w:pPr>
        <w:pStyle w:val="SingleTxtG"/>
        <w:ind w:firstLine="567"/>
        <w:rPr>
          <w:lang w:val="ru-RU"/>
        </w:rPr>
      </w:pPr>
      <w:r w:rsidRPr="00106B2C">
        <w:rPr>
          <w:i/>
          <w:iCs/>
          <w:lang w:val="ru-RU"/>
        </w:rPr>
        <w:t>отмечая,</w:t>
      </w:r>
      <w:r w:rsidRPr="00106B2C">
        <w:rPr>
          <w:lang w:val="ru-RU"/>
        </w:rPr>
        <w:t xml:space="preserve"> что несколько вопросов соблюдения, рассмотренных Комитетом, касались или выявили недостатки в национальном законодательстве соответствующих Сторон по осуществлению Конвенции и/или Протокола,</w:t>
      </w:r>
    </w:p>
    <w:p w14:paraId="336EF70D" w14:textId="6EE9ABFE" w:rsidR="00064933" w:rsidRPr="00064933" w:rsidRDefault="00064933" w:rsidP="00064933">
      <w:pPr>
        <w:pStyle w:val="SingleTxtG"/>
        <w:ind w:firstLine="567"/>
        <w:rPr>
          <w:lang w:val="ru-RU"/>
        </w:rPr>
      </w:pPr>
      <w:r w:rsidRPr="00106B2C">
        <w:rPr>
          <w:i/>
          <w:iCs/>
          <w:lang w:val="ru-RU"/>
        </w:rPr>
        <w:t>выражая признательность</w:t>
      </w:r>
      <w:r w:rsidRPr="00106B2C">
        <w:rPr>
          <w:lang w:val="ru-RU"/>
        </w:rPr>
        <w:t xml:space="preserve"> секретариату за его </w:t>
      </w:r>
      <w:r w:rsidR="002F1F6E" w:rsidRPr="00106B2C">
        <w:rPr>
          <w:lang w:val="ru-RU"/>
        </w:rPr>
        <w:t xml:space="preserve">долгосрочную </w:t>
      </w:r>
      <w:r w:rsidRPr="00106B2C">
        <w:rPr>
          <w:lang w:val="ru-RU"/>
        </w:rPr>
        <w:t>техническую помощь странам Восточной Европы, Кавказа и Центральной Азии</w:t>
      </w:r>
      <w:r w:rsidR="003E747B" w:rsidRPr="00106B2C">
        <w:rPr>
          <w:lang w:val="ru-RU"/>
        </w:rPr>
        <w:t>, финансируемую донорами</w:t>
      </w:r>
      <w:r w:rsidRPr="00106B2C">
        <w:rPr>
          <w:lang w:val="ru-RU"/>
        </w:rPr>
        <w:t xml:space="preserve"> в целях приведения их законодательства в соответствие с Конвенцией и Протоколом и призывая страны-бенефициары этой помощи привести свое законодательство в полное соответствие с этими двумя договорами и, если они еще не являются Сторонами, ратифицировать их,</w:t>
      </w:r>
    </w:p>
    <w:p w14:paraId="43087B33" w14:textId="77777777" w:rsidR="00064933" w:rsidRPr="00064933" w:rsidRDefault="00064933" w:rsidP="00064933">
      <w:pPr>
        <w:pStyle w:val="SingleTxtG"/>
        <w:ind w:firstLine="567"/>
        <w:rPr>
          <w:lang w:val="ru-RU"/>
        </w:rPr>
      </w:pPr>
    </w:p>
    <w:p w14:paraId="280723D1" w14:textId="64D8EB6A" w:rsidR="000167F8" w:rsidRPr="00064933" w:rsidRDefault="000167F8" w:rsidP="005C728F">
      <w:pPr>
        <w:pStyle w:val="SingleTxtG"/>
        <w:ind w:firstLine="567"/>
        <w:rPr>
          <w:lang w:val="ru-RU"/>
        </w:rPr>
      </w:pPr>
    </w:p>
    <w:p w14:paraId="6ED499FD" w14:textId="6FAE0C13" w:rsidR="002647A6" w:rsidRPr="002647A6" w:rsidRDefault="009157DC" w:rsidP="00EA60BB">
      <w:pPr>
        <w:pStyle w:val="SingleTxtG"/>
        <w:ind w:firstLine="567"/>
        <w:rPr>
          <w:lang w:val="ru-RU"/>
        </w:rPr>
      </w:pPr>
      <w:r w:rsidRPr="002647A6">
        <w:rPr>
          <w:lang w:val="ru-RU"/>
        </w:rPr>
        <w:lastRenderedPageBreak/>
        <w:t>1.</w:t>
      </w:r>
      <w:r w:rsidRPr="002647A6">
        <w:rPr>
          <w:lang w:val="ru-RU"/>
        </w:rPr>
        <w:tab/>
      </w:r>
      <w:r w:rsidR="002647A6" w:rsidRPr="002647A6">
        <w:rPr>
          <w:i/>
          <w:iCs/>
          <w:lang w:val="ru-RU"/>
        </w:rPr>
        <w:t>У</w:t>
      </w:r>
      <w:r w:rsidR="002647A6" w:rsidRPr="00181C39">
        <w:rPr>
          <w:i/>
          <w:lang w:val="ru-RU"/>
        </w:rPr>
        <w:t>тверждает</w:t>
      </w:r>
      <w:r w:rsidR="002647A6">
        <w:rPr>
          <w:lang w:val="ru-RU"/>
        </w:rPr>
        <w:t xml:space="preserve"> доклад Комитета по осуществлению о его деятельности, содержащийся в документе</w:t>
      </w:r>
      <w:r w:rsidR="00890225">
        <w:rPr>
          <w:lang w:val="ru-RU"/>
        </w:rPr>
        <w:t xml:space="preserve"> </w:t>
      </w:r>
      <w:r w:rsidR="00890225" w:rsidRPr="00890225">
        <w:rPr>
          <w:lang w:val="ru-RU"/>
        </w:rPr>
        <w:t>(</w:t>
      </w:r>
      <w:r w:rsidR="00890225" w:rsidRPr="00D90C63">
        <w:t>ECE</w:t>
      </w:r>
      <w:r w:rsidR="00890225" w:rsidRPr="00890225">
        <w:rPr>
          <w:lang w:val="ru-RU"/>
        </w:rPr>
        <w:t>/</w:t>
      </w:r>
      <w:r w:rsidR="00890225" w:rsidRPr="00D90C63">
        <w:t>MP</w:t>
      </w:r>
      <w:r w:rsidR="00890225" w:rsidRPr="00890225">
        <w:rPr>
          <w:lang w:val="ru-RU"/>
        </w:rPr>
        <w:t>.</w:t>
      </w:r>
      <w:r w:rsidR="00890225" w:rsidRPr="00D90C63">
        <w:t>EIA</w:t>
      </w:r>
      <w:r w:rsidR="00890225" w:rsidRPr="00890225">
        <w:rPr>
          <w:lang w:val="ru-RU"/>
        </w:rPr>
        <w:t>/2020/[…]),</w:t>
      </w:r>
      <w:r w:rsidR="0053017E">
        <w:rPr>
          <w:lang w:val="ru-RU"/>
        </w:rPr>
        <w:t xml:space="preserve"> </w:t>
      </w:r>
      <w:r w:rsidR="0053017E" w:rsidRPr="0053017E">
        <w:rPr>
          <w:lang w:val="ru-RU"/>
        </w:rPr>
        <w:t xml:space="preserve">приветствует доклады о работе совещаний Комитета в период после </w:t>
      </w:r>
      <w:r w:rsidR="0053017E">
        <w:rPr>
          <w:lang w:val="ru-RU"/>
        </w:rPr>
        <w:t>седьмой</w:t>
      </w:r>
      <w:r w:rsidR="0053017E" w:rsidRPr="0053017E">
        <w:rPr>
          <w:lang w:val="ru-RU"/>
        </w:rPr>
        <w:t xml:space="preserve"> сессии Совещания Сторон Конвенции и просит Комитет</w:t>
      </w:r>
      <w:r w:rsidR="006109E3">
        <w:rPr>
          <w:lang w:val="ru-RU"/>
        </w:rPr>
        <w:t xml:space="preserve"> </w:t>
      </w:r>
      <w:r w:rsidR="006109E3" w:rsidRPr="00106B2C">
        <w:rPr>
          <w:lang w:val="ru-RU"/>
        </w:rPr>
        <w:t>продолжить</w:t>
      </w:r>
      <w:r w:rsidR="0053017E" w:rsidRPr="00106B2C">
        <w:rPr>
          <w:lang w:val="ru-RU"/>
        </w:rPr>
        <w:t>:</w:t>
      </w:r>
    </w:p>
    <w:p w14:paraId="413D86B2" w14:textId="6AC5F2FD" w:rsidR="009157DC" w:rsidRPr="00FA3FB5" w:rsidRDefault="00D80BA5" w:rsidP="009157DC">
      <w:pPr>
        <w:pStyle w:val="SingleTxtG"/>
        <w:ind w:firstLine="567"/>
        <w:rPr>
          <w:lang w:val="ru-RU"/>
        </w:rPr>
      </w:pPr>
      <w:r w:rsidRPr="0018709C">
        <w:rPr>
          <w:lang w:val="ru-RU"/>
        </w:rPr>
        <w:t xml:space="preserve"> </w:t>
      </w:r>
      <w:r w:rsidR="009157DC" w:rsidRPr="00FA3FB5">
        <w:rPr>
          <w:lang w:val="ru-RU"/>
        </w:rPr>
        <w:t>(</w:t>
      </w:r>
      <w:r w:rsidR="009157DC" w:rsidRPr="00A0384A">
        <w:t>a</w:t>
      </w:r>
      <w:r w:rsidR="009157DC" w:rsidRPr="00FA3FB5">
        <w:rPr>
          <w:lang w:val="ru-RU"/>
        </w:rPr>
        <w:t>)</w:t>
      </w:r>
      <w:r w:rsidR="009157DC" w:rsidRPr="00FA3FB5">
        <w:rPr>
          <w:lang w:val="ru-RU"/>
        </w:rPr>
        <w:tab/>
      </w:r>
      <w:r w:rsidR="00EA60BB">
        <w:rPr>
          <w:lang w:val="ru-RU"/>
        </w:rPr>
        <w:t>проводить рассмотрение осуществления и применения Конвенции</w:t>
      </w:r>
      <w:r w:rsidR="009157DC" w:rsidRPr="00FA3FB5">
        <w:rPr>
          <w:lang w:val="ru-RU"/>
        </w:rPr>
        <w:t>;</w:t>
      </w:r>
    </w:p>
    <w:p w14:paraId="70652BF5" w14:textId="209B2CA3" w:rsidR="009157DC" w:rsidRPr="00FA3FB5" w:rsidRDefault="009157DC" w:rsidP="009157DC">
      <w:pPr>
        <w:pStyle w:val="SingleTxtG"/>
        <w:ind w:firstLine="567"/>
        <w:rPr>
          <w:lang w:val="ru-RU"/>
        </w:rPr>
      </w:pPr>
      <w:r w:rsidRPr="00FA3FB5">
        <w:rPr>
          <w:lang w:val="ru-RU"/>
        </w:rPr>
        <w:t>(</w:t>
      </w:r>
      <w:r w:rsidRPr="00A0384A">
        <w:t>b</w:t>
      </w:r>
      <w:r w:rsidRPr="00FA3FB5">
        <w:rPr>
          <w:lang w:val="ru-RU"/>
        </w:rPr>
        <w:t>)</w:t>
      </w:r>
      <w:r w:rsidRPr="00FA3FB5">
        <w:rPr>
          <w:lang w:val="ru-RU"/>
        </w:rPr>
        <w:tab/>
      </w:r>
      <w:r w:rsidR="00FA3FB5">
        <w:rPr>
          <w:lang w:val="ru-RU"/>
        </w:rPr>
        <w:t>поощрять и поддерживать соблюдение Конвенции, в том числе, при необходимости, путем предоставления помощи в этой связи</w:t>
      </w:r>
      <w:r w:rsidRPr="00FA3FB5">
        <w:rPr>
          <w:lang w:val="ru-RU"/>
        </w:rPr>
        <w:t>.</w:t>
      </w:r>
    </w:p>
    <w:p w14:paraId="0667C644" w14:textId="59A6B225" w:rsidR="004E4D82" w:rsidRPr="004E4D82" w:rsidRDefault="009157DC" w:rsidP="009157DC">
      <w:pPr>
        <w:pStyle w:val="SingleTxtG"/>
        <w:ind w:firstLine="567"/>
        <w:rPr>
          <w:i/>
          <w:iCs/>
          <w:lang w:val="ru-RU"/>
        </w:rPr>
      </w:pPr>
      <w:r w:rsidRPr="004E4D82">
        <w:rPr>
          <w:lang w:val="ru-RU"/>
        </w:rPr>
        <w:t>2.</w:t>
      </w:r>
      <w:r w:rsidRPr="004E4D82">
        <w:rPr>
          <w:i/>
          <w:iCs/>
          <w:lang w:val="ru-RU"/>
        </w:rPr>
        <w:tab/>
      </w:r>
      <w:r w:rsidR="00D326C7" w:rsidRPr="00B66EBA">
        <w:rPr>
          <w:i/>
          <w:iCs/>
          <w:lang w:val="ru-RU"/>
        </w:rPr>
        <w:t>П</w:t>
      </w:r>
      <w:r w:rsidR="004E4D82" w:rsidRPr="00B66EBA">
        <w:rPr>
          <w:i/>
          <w:iCs/>
          <w:lang w:val="ru-RU"/>
        </w:rPr>
        <w:t xml:space="preserve">риветствует </w:t>
      </w:r>
      <w:r w:rsidR="004E4D82" w:rsidRPr="00B66EBA">
        <w:rPr>
          <w:lang w:val="ru-RU"/>
        </w:rPr>
        <w:t xml:space="preserve">последующие меры </w:t>
      </w:r>
      <w:r w:rsidR="00317DE3" w:rsidRPr="00B66EBA">
        <w:rPr>
          <w:lang w:val="ru-RU"/>
        </w:rPr>
        <w:t xml:space="preserve">со стороны </w:t>
      </w:r>
      <w:r w:rsidR="004E4D82" w:rsidRPr="00B66EBA">
        <w:rPr>
          <w:lang w:val="ru-RU"/>
        </w:rPr>
        <w:t xml:space="preserve">Комитета </w:t>
      </w:r>
      <w:r w:rsidR="009778FD" w:rsidRPr="00B66EBA">
        <w:rPr>
          <w:lang w:val="ru-RU"/>
        </w:rPr>
        <w:t>в связи с</w:t>
      </w:r>
      <w:r w:rsidR="00F72461" w:rsidRPr="00B66EBA">
        <w:rPr>
          <w:lang w:val="ru-RU"/>
        </w:rPr>
        <w:t xml:space="preserve"> </w:t>
      </w:r>
      <w:r w:rsidR="004E4D82" w:rsidRPr="00B66EBA">
        <w:rPr>
          <w:lang w:val="ru-RU"/>
        </w:rPr>
        <w:t>предыдущи</w:t>
      </w:r>
      <w:r w:rsidR="009778FD" w:rsidRPr="00B66EBA">
        <w:rPr>
          <w:lang w:val="ru-RU"/>
        </w:rPr>
        <w:t>ми</w:t>
      </w:r>
      <w:r w:rsidR="004E4D82" w:rsidRPr="00B66EBA">
        <w:rPr>
          <w:lang w:val="ru-RU"/>
        </w:rPr>
        <w:t xml:space="preserve"> решени</w:t>
      </w:r>
      <w:r w:rsidR="00F72461" w:rsidRPr="00B66EBA">
        <w:rPr>
          <w:lang w:val="ru-RU"/>
        </w:rPr>
        <w:t>ям</w:t>
      </w:r>
      <w:r w:rsidR="009778FD" w:rsidRPr="00B66EBA">
        <w:rPr>
          <w:lang w:val="ru-RU"/>
        </w:rPr>
        <w:t>и</w:t>
      </w:r>
      <w:r w:rsidR="004E4D82" w:rsidRPr="00B66EBA">
        <w:rPr>
          <w:lang w:val="ru-RU"/>
        </w:rPr>
        <w:t xml:space="preserve"> Совещания Сторон о соблюдении </w:t>
      </w:r>
      <w:r w:rsidR="00A11D43" w:rsidRPr="00B66EBA">
        <w:rPr>
          <w:lang w:val="ru-RU"/>
        </w:rPr>
        <w:t xml:space="preserve">обязательств по Конвенции </w:t>
      </w:r>
      <w:r w:rsidR="004E4D82" w:rsidRPr="00B66EBA">
        <w:rPr>
          <w:lang w:val="ru-RU"/>
        </w:rPr>
        <w:t>отдельными Сторонами, отраженны</w:t>
      </w:r>
      <w:r w:rsidR="00A11D43" w:rsidRPr="00B66EBA">
        <w:rPr>
          <w:lang w:val="ru-RU"/>
        </w:rPr>
        <w:t>е</w:t>
      </w:r>
      <w:r w:rsidR="004E4D82" w:rsidRPr="00B66EBA">
        <w:rPr>
          <w:lang w:val="ru-RU"/>
        </w:rPr>
        <w:t xml:space="preserve"> в решении </w:t>
      </w:r>
      <w:r w:rsidR="004E4D82" w:rsidRPr="00B66EBA">
        <w:t>VIII</w:t>
      </w:r>
      <w:r w:rsidR="004E4D82" w:rsidRPr="00B66EBA">
        <w:rPr>
          <w:lang w:val="ru-RU"/>
        </w:rPr>
        <w:t>/4</w:t>
      </w:r>
      <w:r w:rsidR="004E4D82" w:rsidRPr="00B66EBA">
        <w:t>a</w:t>
      </w:r>
      <w:r w:rsidR="004E4D82" w:rsidRPr="00B66EBA">
        <w:rPr>
          <w:lang w:val="ru-RU"/>
        </w:rPr>
        <w:t xml:space="preserve"> </w:t>
      </w:r>
      <w:r w:rsidR="00FE71B3" w:rsidRPr="00B66EBA">
        <w:rPr>
          <w:lang w:val="ru-RU"/>
        </w:rPr>
        <w:t>в отношении</w:t>
      </w:r>
      <w:r w:rsidR="003B4F62" w:rsidRPr="00B66EBA">
        <w:rPr>
          <w:lang w:val="ru-RU"/>
        </w:rPr>
        <w:t xml:space="preserve"> </w:t>
      </w:r>
      <w:r w:rsidR="004E4D82" w:rsidRPr="00B66EBA">
        <w:rPr>
          <w:lang w:val="ru-RU"/>
        </w:rPr>
        <w:t xml:space="preserve"> Армении, решении </w:t>
      </w:r>
      <w:r w:rsidR="004E4D82" w:rsidRPr="00B66EBA">
        <w:t>VIII</w:t>
      </w:r>
      <w:r w:rsidR="004E4D82" w:rsidRPr="00B66EBA">
        <w:rPr>
          <w:lang w:val="ru-RU"/>
        </w:rPr>
        <w:t>/4</w:t>
      </w:r>
      <w:r w:rsidR="004E4D82" w:rsidRPr="00B66EBA">
        <w:t>b</w:t>
      </w:r>
      <w:r w:rsidR="004E4D82" w:rsidRPr="00B66EBA">
        <w:rPr>
          <w:lang w:val="ru-RU"/>
        </w:rPr>
        <w:t xml:space="preserve"> </w:t>
      </w:r>
      <w:r w:rsidR="003B4F62" w:rsidRPr="00B66EBA">
        <w:rPr>
          <w:lang w:val="ru-RU"/>
        </w:rPr>
        <w:t xml:space="preserve">касающемся </w:t>
      </w:r>
      <w:r w:rsidR="004E4D82" w:rsidRPr="00B66EBA">
        <w:rPr>
          <w:lang w:val="ru-RU"/>
        </w:rPr>
        <w:t xml:space="preserve"> Азербайджан</w:t>
      </w:r>
      <w:r w:rsidR="003B4F62" w:rsidRPr="00B66EBA">
        <w:rPr>
          <w:lang w:val="ru-RU"/>
        </w:rPr>
        <w:t>а</w:t>
      </w:r>
      <w:r w:rsidR="004E4D82" w:rsidRPr="00B66EBA">
        <w:rPr>
          <w:lang w:val="ru-RU"/>
        </w:rPr>
        <w:t xml:space="preserve">, решении </w:t>
      </w:r>
      <w:r w:rsidR="004E4D82" w:rsidRPr="00B66EBA">
        <w:t>VIII</w:t>
      </w:r>
      <w:r w:rsidR="004E4D82" w:rsidRPr="00B66EBA">
        <w:rPr>
          <w:lang w:val="ru-RU"/>
        </w:rPr>
        <w:t>/4</w:t>
      </w:r>
      <w:r w:rsidR="004E4D82" w:rsidRPr="00B66EBA">
        <w:t>c</w:t>
      </w:r>
      <w:r w:rsidR="004E4D82" w:rsidRPr="00B66EBA">
        <w:rPr>
          <w:lang w:val="ru-RU"/>
        </w:rPr>
        <w:t xml:space="preserve"> по Беларуси и решениях </w:t>
      </w:r>
      <w:r w:rsidR="004E4D82" w:rsidRPr="00B66EBA">
        <w:t>VIII</w:t>
      </w:r>
      <w:r w:rsidR="004E4D82" w:rsidRPr="00B66EBA">
        <w:rPr>
          <w:lang w:val="ru-RU"/>
        </w:rPr>
        <w:t>/4</w:t>
      </w:r>
      <w:r w:rsidR="004E4D82" w:rsidRPr="00B66EBA">
        <w:t>d</w:t>
      </w:r>
      <w:r w:rsidR="004E4D82" w:rsidRPr="00B66EBA">
        <w:rPr>
          <w:lang w:val="ru-RU"/>
        </w:rPr>
        <w:t xml:space="preserve"> и </w:t>
      </w:r>
      <w:r w:rsidR="004E4D82" w:rsidRPr="00B66EBA">
        <w:t>VIII</w:t>
      </w:r>
      <w:r w:rsidR="004E4D82" w:rsidRPr="00B66EBA">
        <w:rPr>
          <w:lang w:val="ru-RU"/>
        </w:rPr>
        <w:t>/4</w:t>
      </w:r>
      <w:r w:rsidR="004E4D82" w:rsidRPr="00B66EBA">
        <w:t>e</w:t>
      </w:r>
      <w:r w:rsidR="004E4D82" w:rsidRPr="00B66EBA">
        <w:rPr>
          <w:lang w:val="ru-RU"/>
        </w:rPr>
        <w:t xml:space="preserve"> по Украине, приняты</w:t>
      </w:r>
      <w:r w:rsidR="00B54191" w:rsidRPr="00B66EBA">
        <w:rPr>
          <w:lang w:val="ru-RU"/>
        </w:rPr>
        <w:t>е</w:t>
      </w:r>
      <w:r w:rsidR="004E4D82" w:rsidRPr="00B66EBA">
        <w:rPr>
          <w:lang w:val="ru-RU"/>
        </w:rPr>
        <w:t xml:space="preserve"> Совещанием Сторон на его восьмой сессии;</w:t>
      </w:r>
    </w:p>
    <w:p w14:paraId="481CF85F" w14:textId="525B5B85" w:rsidR="00C6598E" w:rsidRPr="00C6598E" w:rsidRDefault="009157DC" w:rsidP="009157DC">
      <w:pPr>
        <w:pStyle w:val="SingleTxtG"/>
        <w:ind w:firstLine="567"/>
        <w:rPr>
          <w:lang w:val="ru-RU"/>
        </w:rPr>
      </w:pPr>
      <w:r w:rsidRPr="00C6598E">
        <w:rPr>
          <w:lang w:val="ru-RU"/>
        </w:rPr>
        <w:t>3.</w:t>
      </w:r>
      <w:r w:rsidRPr="00C6598E">
        <w:rPr>
          <w:lang w:val="ru-RU"/>
        </w:rPr>
        <w:tab/>
      </w:r>
      <w:r w:rsidR="00C6598E" w:rsidRPr="00181C39">
        <w:rPr>
          <w:i/>
          <w:lang w:val="ru-RU"/>
        </w:rPr>
        <w:t>приветствует</w:t>
      </w:r>
      <w:r w:rsidR="00C6598E">
        <w:rPr>
          <w:lang w:val="ru-RU"/>
        </w:rPr>
        <w:t xml:space="preserve"> </w:t>
      </w:r>
      <w:r w:rsidR="00D326C7" w:rsidRPr="00D326C7">
        <w:rPr>
          <w:i/>
          <w:iCs/>
          <w:lang w:val="ru-RU"/>
        </w:rPr>
        <w:t>также</w:t>
      </w:r>
      <w:r w:rsidR="00D326C7">
        <w:rPr>
          <w:lang w:val="ru-RU"/>
        </w:rPr>
        <w:t xml:space="preserve"> </w:t>
      </w:r>
      <w:r w:rsidR="00C6598E">
        <w:rPr>
          <w:lang w:val="ru-RU"/>
        </w:rPr>
        <w:t>рассмотрение Комитетом конкретных вопросов соблюдения, выявленных в ходе пятого обзора осуществления Конвенции в отношении</w:t>
      </w:r>
      <w:r w:rsidR="00D326C7">
        <w:rPr>
          <w:lang w:val="ru-RU"/>
        </w:rPr>
        <w:t>:</w:t>
      </w:r>
    </w:p>
    <w:p w14:paraId="73835314" w14:textId="16306CC3" w:rsidR="009157DC" w:rsidRPr="0018709C" w:rsidRDefault="00D326C7" w:rsidP="0061451C">
      <w:pPr>
        <w:pStyle w:val="SingleTxtG"/>
        <w:ind w:firstLine="567"/>
        <w:rPr>
          <w:lang w:val="ru-RU"/>
        </w:rPr>
      </w:pPr>
      <w:r w:rsidRPr="0018709C">
        <w:rPr>
          <w:lang w:val="ru-RU"/>
        </w:rPr>
        <w:t xml:space="preserve"> </w:t>
      </w:r>
      <w:r w:rsidR="009157DC" w:rsidRPr="0018709C">
        <w:rPr>
          <w:lang w:val="ru-RU"/>
        </w:rPr>
        <w:t>(</w:t>
      </w:r>
      <w:r w:rsidR="009157DC">
        <w:t>a</w:t>
      </w:r>
      <w:r w:rsidR="009157DC" w:rsidRPr="0018709C">
        <w:rPr>
          <w:lang w:val="ru-RU"/>
        </w:rPr>
        <w:t xml:space="preserve">) </w:t>
      </w:r>
      <w:r w:rsidR="009157DC" w:rsidRPr="0018709C">
        <w:rPr>
          <w:lang w:val="ru-RU"/>
        </w:rPr>
        <w:tab/>
      </w:r>
      <w:r w:rsidR="00716945" w:rsidRPr="003D17C0">
        <w:rPr>
          <w:lang w:val="ru-RU"/>
        </w:rPr>
        <w:t>Австрии, Азербайджан</w:t>
      </w:r>
      <w:r w:rsidR="00FF27C1" w:rsidRPr="003D17C0">
        <w:rPr>
          <w:lang w:val="ru-RU"/>
        </w:rPr>
        <w:t>а</w:t>
      </w:r>
      <w:r w:rsidR="00716945" w:rsidRPr="003D17C0">
        <w:rPr>
          <w:lang w:val="ru-RU"/>
        </w:rPr>
        <w:t>, Албани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Греци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Дани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Ирланди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Испани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Итали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Кипр</w:t>
      </w:r>
      <w:r w:rsidR="00FF27C1" w:rsidRPr="003D17C0">
        <w:rPr>
          <w:lang w:val="ru-RU"/>
        </w:rPr>
        <w:t>а</w:t>
      </w:r>
      <w:r w:rsidR="00716945" w:rsidRPr="003D17C0">
        <w:rPr>
          <w:lang w:val="ru-RU"/>
        </w:rPr>
        <w:t>, Латви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Лихтенштейн</w:t>
      </w:r>
      <w:r w:rsidR="00FF27C1" w:rsidRPr="003D17C0">
        <w:rPr>
          <w:lang w:val="ru-RU"/>
        </w:rPr>
        <w:t>а</w:t>
      </w:r>
      <w:r w:rsidR="00716945" w:rsidRPr="003D17C0">
        <w:rPr>
          <w:lang w:val="ru-RU"/>
        </w:rPr>
        <w:t>, Люксембург</w:t>
      </w:r>
      <w:r w:rsidR="00FF27C1" w:rsidRPr="003D17C0">
        <w:rPr>
          <w:lang w:val="ru-RU"/>
        </w:rPr>
        <w:t>а</w:t>
      </w:r>
      <w:r w:rsidR="00716945" w:rsidRPr="003D17C0">
        <w:rPr>
          <w:lang w:val="ru-RU"/>
        </w:rPr>
        <w:t>, Мальт</w:t>
      </w:r>
      <w:r w:rsidR="00FF27C1" w:rsidRPr="003D17C0">
        <w:rPr>
          <w:lang w:val="ru-RU"/>
        </w:rPr>
        <w:t>ы</w:t>
      </w:r>
      <w:r w:rsidR="00716945" w:rsidRPr="003D17C0">
        <w:rPr>
          <w:lang w:val="ru-RU"/>
        </w:rPr>
        <w:t>, Норвеги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[Португали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], Республик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 xml:space="preserve"> Молдова, Словаки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Украин</w:t>
      </w:r>
      <w:r w:rsidR="00FF27C1" w:rsidRPr="003D17C0">
        <w:rPr>
          <w:lang w:val="ru-RU"/>
        </w:rPr>
        <w:t>ы</w:t>
      </w:r>
      <w:r w:rsidR="00716945" w:rsidRPr="003D17C0">
        <w:rPr>
          <w:lang w:val="ru-RU"/>
        </w:rPr>
        <w:t>, Финлянди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Франци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Хорвати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Черногори</w:t>
      </w:r>
      <w:r w:rsidR="00FF27C1" w:rsidRPr="003D17C0">
        <w:rPr>
          <w:lang w:val="ru-RU"/>
        </w:rPr>
        <w:t>и</w:t>
      </w:r>
      <w:r w:rsidR="00716945" w:rsidRPr="003D17C0">
        <w:rPr>
          <w:lang w:val="ru-RU"/>
        </w:rPr>
        <w:t>, Че</w:t>
      </w:r>
      <w:r w:rsidR="0061451C" w:rsidRPr="003D17C0">
        <w:rPr>
          <w:lang w:val="ru-RU"/>
        </w:rPr>
        <w:t>хии</w:t>
      </w:r>
      <w:r w:rsidR="00716945" w:rsidRPr="003D17C0">
        <w:rPr>
          <w:lang w:val="ru-RU"/>
        </w:rPr>
        <w:t xml:space="preserve"> и Швеци</w:t>
      </w:r>
      <w:r w:rsidR="0061451C" w:rsidRPr="003D17C0">
        <w:rPr>
          <w:lang w:val="ru-RU"/>
        </w:rPr>
        <w:t>и</w:t>
      </w:r>
      <w:r w:rsidR="00716945" w:rsidRPr="003D17C0">
        <w:rPr>
          <w:lang w:val="ru-RU"/>
        </w:rPr>
        <w:t>,</w:t>
      </w:r>
      <w:r w:rsidR="00AF3F76" w:rsidRPr="00AF3F76">
        <w:rPr>
          <w:lang w:val="ru-RU"/>
        </w:rPr>
        <w:t xml:space="preserve"> по итогам которого Комитет заявил о том, что он удовлетворен представленными Сторон</w:t>
      </w:r>
      <w:r w:rsidR="00AF3F76">
        <w:rPr>
          <w:lang w:val="ru-RU"/>
        </w:rPr>
        <w:t>ами</w:t>
      </w:r>
      <w:r w:rsidR="00AF3F76" w:rsidRPr="00AF3F76">
        <w:rPr>
          <w:lang w:val="ru-RU"/>
        </w:rPr>
        <w:t xml:space="preserve"> пояснениями;</w:t>
      </w:r>
      <w:r w:rsidR="00AF3F76">
        <w:rPr>
          <w:lang w:val="ru-RU"/>
        </w:rPr>
        <w:t xml:space="preserve"> </w:t>
      </w:r>
    </w:p>
    <w:p w14:paraId="10170AD3" w14:textId="74B329C6" w:rsidR="009157DC" w:rsidRPr="0018709C" w:rsidRDefault="009157DC" w:rsidP="00187C22">
      <w:pPr>
        <w:pStyle w:val="SingleTxtG"/>
        <w:ind w:firstLine="567"/>
        <w:rPr>
          <w:lang w:val="ru-RU"/>
        </w:rPr>
      </w:pPr>
      <w:r w:rsidRPr="0073013C">
        <w:rPr>
          <w:lang w:val="ru-RU"/>
        </w:rPr>
        <w:t>(</w:t>
      </w:r>
      <w:r>
        <w:t>b</w:t>
      </w:r>
      <w:r w:rsidRPr="0073013C">
        <w:rPr>
          <w:lang w:val="ru-RU"/>
        </w:rPr>
        <w:t xml:space="preserve">) </w:t>
      </w:r>
      <w:r w:rsidR="0052029D" w:rsidRPr="0073013C">
        <w:rPr>
          <w:lang w:val="ru-RU"/>
        </w:rPr>
        <w:tab/>
      </w:r>
      <w:r w:rsidR="0073013C" w:rsidRPr="0073013C">
        <w:rPr>
          <w:lang w:val="ru-RU"/>
        </w:rPr>
        <w:t>[Северн</w:t>
      </w:r>
      <w:r w:rsidR="0073013C">
        <w:rPr>
          <w:lang w:val="ru-RU"/>
        </w:rPr>
        <w:t>ой</w:t>
      </w:r>
      <w:r w:rsidR="0073013C" w:rsidRPr="0073013C">
        <w:rPr>
          <w:lang w:val="ru-RU"/>
        </w:rPr>
        <w:t xml:space="preserve"> Македони</w:t>
      </w:r>
      <w:r w:rsidR="0073013C">
        <w:rPr>
          <w:lang w:val="ru-RU"/>
        </w:rPr>
        <w:t>и</w:t>
      </w:r>
      <w:r w:rsidR="0073013C" w:rsidRPr="0073013C">
        <w:rPr>
          <w:lang w:val="ru-RU"/>
        </w:rPr>
        <w:t>] [и] [Португали</w:t>
      </w:r>
      <w:r w:rsidR="0073013C">
        <w:rPr>
          <w:lang w:val="ru-RU"/>
        </w:rPr>
        <w:t>и</w:t>
      </w:r>
      <w:r w:rsidR="0073013C" w:rsidRPr="0073013C">
        <w:rPr>
          <w:lang w:val="ru-RU"/>
        </w:rPr>
        <w:t xml:space="preserve">], [которые потребуют дальнейшего рассмотрения Комитетом на его предстоящих сессиях ввиду позднего представления ответов соответствующими Сторонами]. </w:t>
      </w:r>
    </w:p>
    <w:p w14:paraId="1FB08BDC" w14:textId="2C6BD35C" w:rsidR="00CE3D07" w:rsidRPr="001618A6" w:rsidRDefault="009157DC" w:rsidP="009157DC">
      <w:pPr>
        <w:pStyle w:val="SingleTxtG"/>
        <w:ind w:firstLine="567"/>
        <w:rPr>
          <w:lang w:val="ru-RU"/>
        </w:rPr>
      </w:pPr>
      <w:r w:rsidRPr="00782737">
        <w:rPr>
          <w:lang w:val="ru-RU"/>
        </w:rPr>
        <w:t>4.</w:t>
      </w:r>
      <w:r w:rsidRPr="00782737">
        <w:rPr>
          <w:lang w:val="ru-RU"/>
        </w:rPr>
        <w:tab/>
      </w:r>
      <w:r w:rsidR="00C81BB9" w:rsidRPr="00044951">
        <w:rPr>
          <w:i/>
          <w:lang w:val="ru-RU"/>
        </w:rPr>
        <w:t>приветствует</w:t>
      </w:r>
      <w:r w:rsidR="00C81BB9" w:rsidRPr="00782737">
        <w:rPr>
          <w:i/>
          <w:lang w:val="ru-RU"/>
        </w:rPr>
        <w:t xml:space="preserve"> </w:t>
      </w:r>
      <w:r w:rsidR="00C81BB9" w:rsidRPr="00044951">
        <w:rPr>
          <w:i/>
          <w:lang w:val="ru-RU"/>
        </w:rPr>
        <w:t>также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рассмотрение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Комитетом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информации</w:t>
      </w:r>
      <w:r w:rsidR="00C81BB9" w:rsidRPr="00782737">
        <w:rPr>
          <w:lang w:val="ru-RU"/>
        </w:rPr>
        <w:t xml:space="preserve">, </w:t>
      </w:r>
      <w:r w:rsidR="00C81BB9">
        <w:rPr>
          <w:lang w:val="ru-RU"/>
        </w:rPr>
        <w:t>полученной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из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других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источников</w:t>
      </w:r>
      <w:r w:rsidR="00C81BB9" w:rsidRPr="00782737">
        <w:rPr>
          <w:lang w:val="ru-RU"/>
        </w:rPr>
        <w:t xml:space="preserve">, </w:t>
      </w:r>
      <w:r w:rsidR="00C81BB9">
        <w:rPr>
          <w:lang w:val="ru-RU"/>
        </w:rPr>
        <w:t>в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том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числе</w:t>
      </w:r>
      <w:r w:rsidR="00C81BB9" w:rsidRPr="00782737">
        <w:rPr>
          <w:lang w:val="ru-RU"/>
        </w:rPr>
        <w:t xml:space="preserve"> </w:t>
      </w:r>
      <w:r w:rsidR="00C81BB9">
        <w:rPr>
          <w:lang w:val="ru-RU"/>
        </w:rPr>
        <w:t>общественности</w:t>
      </w:r>
      <w:r w:rsidR="00C81BB9" w:rsidRPr="00782737">
        <w:rPr>
          <w:lang w:val="ru-RU"/>
        </w:rPr>
        <w:t xml:space="preserve">, </w:t>
      </w:r>
      <w:r w:rsidR="00C81BB9">
        <w:rPr>
          <w:lang w:val="ru-RU"/>
        </w:rPr>
        <w:t>относительно</w:t>
      </w:r>
      <w:r w:rsidR="00C81BB9" w:rsidRPr="00782737">
        <w:rPr>
          <w:lang w:val="ru-RU"/>
        </w:rPr>
        <w:t xml:space="preserve"> </w:t>
      </w:r>
      <w:r w:rsidR="00782737">
        <w:rPr>
          <w:lang w:val="ru-RU"/>
        </w:rPr>
        <w:t xml:space="preserve">Беларуси, Бельгии, Боснии и Герцеговины (по четырем вопросам), </w:t>
      </w:r>
      <w:r w:rsidR="001618A6" w:rsidRPr="001618A6">
        <w:rPr>
          <w:lang w:val="ru-RU"/>
        </w:rPr>
        <w:t>Дании, Испании (по двум вопросам), Нидерландов, Сербии, Украины, Чехии и Швейцарии (по четырем вопросам), котор</w:t>
      </w:r>
      <w:r w:rsidR="001618A6">
        <w:rPr>
          <w:lang w:val="ru-RU"/>
        </w:rPr>
        <w:t>о</w:t>
      </w:r>
      <w:r w:rsidR="001618A6" w:rsidRPr="001618A6">
        <w:rPr>
          <w:lang w:val="ru-RU"/>
        </w:rPr>
        <w:t>е:</w:t>
      </w:r>
    </w:p>
    <w:p w14:paraId="2777772E" w14:textId="470253B8" w:rsidR="009157DC" w:rsidRPr="00521AC7" w:rsidRDefault="00C36719" w:rsidP="003C37DC">
      <w:pPr>
        <w:pStyle w:val="SingleTxtG"/>
        <w:ind w:firstLine="567"/>
        <w:rPr>
          <w:lang w:val="ru-RU"/>
        </w:rPr>
      </w:pPr>
      <w:r w:rsidRPr="0018709C">
        <w:rPr>
          <w:lang w:val="ru-RU"/>
        </w:rPr>
        <w:t xml:space="preserve"> </w:t>
      </w:r>
      <w:r w:rsidR="009157DC" w:rsidRPr="00FD4618">
        <w:rPr>
          <w:lang w:val="ru-RU"/>
        </w:rPr>
        <w:t>(</w:t>
      </w:r>
      <w:r w:rsidR="009157DC" w:rsidRPr="00A0384A">
        <w:t>a</w:t>
      </w:r>
      <w:r w:rsidR="009157DC" w:rsidRPr="00FD4618">
        <w:rPr>
          <w:lang w:val="ru-RU"/>
        </w:rPr>
        <w:t>)</w:t>
      </w:r>
      <w:r w:rsidR="009157DC" w:rsidRPr="00FD4618">
        <w:rPr>
          <w:lang w:val="ru-RU"/>
        </w:rPr>
        <w:tab/>
      </w:r>
      <w:r w:rsidR="00FD4618" w:rsidRPr="00FD4618">
        <w:rPr>
          <w:lang w:val="ru-RU"/>
        </w:rPr>
        <w:t xml:space="preserve">В одном </w:t>
      </w:r>
      <w:r w:rsidR="00FD4618" w:rsidRPr="00DA306F">
        <w:rPr>
          <w:lang w:val="ru-RU"/>
        </w:rPr>
        <w:t>случае</w:t>
      </w:r>
      <w:r w:rsidR="00E460BD" w:rsidRPr="00DA306F">
        <w:rPr>
          <w:lang w:val="ru-RU"/>
        </w:rPr>
        <w:t xml:space="preserve"> в отношении</w:t>
      </w:r>
      <w:r w:rsidR="00FD4618" w:rsidRPr="00DA306F">
        <w:rPr>
          <w:lang w:val="ru-RU"/>
        </w:rPr>
        <w:t xml:space="preserve"> Боснии и Герцеговины, в двух случаях, </w:t>
      </w:r>
      <w:r w:rsidR="00E460BD" w:rsidRPr="00DA306F">
        <w:rPr>
          <w:lang w:val="ru-RU"/>
        </w:rPr>
        <w:t>в отношении</w:t>
      </w:r>
      <w:r w:rsidR="00FD4618" w:rsidRPr="00DA306F">
        <w:rPr>
          <w:lang w:val="ru-RU"/>
        </w:rPr>
        <w:t xml:space="preserve"> Испании, и в одном случае</w:t>
      </w:r>
      <w:r w:rsidR="00E460BD" w:rsidRPr="00E460BD">
        <w:rPr>
          <w:lang w:val="ru-RU"/>
        </w:rPr>
        <w:t xml:space="preserve"> </w:t>
      </w:r>
      <w:r w:rsidR="00E460BD">
        <w:rPr>
          <w:lang w:val="ru-RU"/>
        </w:rPr>
        <w:t>в отношении</w:t>
      </w:r>
      <w:r w:rsidR="00FD4618" w:rsidRPr="00FD4618">
        <w:rPr>
          <w:lang w:val="ru-RU"/>
        </w:rPr>
        <w:t xml:space="preserve"> Сербии </w:t>
      </w:r>
      <w:r w:rsidR="00DA1E05">
        <w:rPr>
          <w:lang w:val="ru-RU"/>
        </w:rPr>
        <w:t>привели к объявлению Комитетом о своем удовлетворении по поводу разъяснений, представленных</w:t>
      </w:r>
      <w:r w:rsidR="00FD4618" w:rsidRPr="00FD4618">
        <w:rPr>
          <w:lang w:val="ru-RU"/>
        </w:rPr>
        <w:t xml:space="preserve"> </w:t>
      </w:r>
      <w:r w:rsidR="00FD4618" w:rsidRPr="00521AC7">
        <w:rPr>
          <w:lang w:val="ru-RU"/>
        </w:rPr>
        <w:t xml:space="preserve">соответствующими Сторонами </w:t>
      </w:r>
      <w:r w:rsidR="003C37DC" w:rsidRPr="00521AC7">
        <w:rPr>
          <w:lang w:val="ru-RU"/>
        </w:rPr>
        <w:t>на тот момент</w:t>
      </w:r>
      <w:r w:rsidR="009157DC" w:rsidRPr="00521AC7">
        <w:rPr>
          <w:lang w:val="ru-RU"/>
        </w:rPr>
        <w:t>,</w:t>
      </w:r>
      <w:r w:rsidR="009157DC" w:rsidRPr="00521AC7">
        <w:rPr>
          <w:rStyle w:val="FootnoteReference"/>
        </w:rPr>
        <w:footnoteReference w:id="8"/>
      </w:r>
    </w:p>
    <w:p w14:paraId="2D23F4E8" w14:textId="2A38F9F0" w:rsidR="009157DC" w:rsidRPr="00B4182E" w:rsidRDefault="009157DC" w:rsidP="00B4182E">
      <w:pPr>
        <w:pStyle w:val="SingleTxtG"/>
        <w:ind w:firstLine="567"/>
        <w:rPr>
          <w:lang w:val="ru-RU"/>
        </w:rPr>
      </w:pPr>
      <w:r w:rsidRPr="00521AC7">
        <w:rPr>
          <w:lang w:val="ru-RU"/>
        </w:rPr>
        <w:t>(</w:t>
      </w:r>
      <w:r w:rsidRPr="00521AC7">
        <w:t>b</w:t>
      </w:r>
      <w:r w:rsidRPr="00521AC7">
        <w:rPr>
          <w:lang w:val="ru-RU"/>
        </w:rPr>
        <w:t xml:space="preserve">) </w:t>
      </w:r>
      <w:r w:rsidRPr="00521AC7">
        <w:rPr>
          <w:lang w:val="ru-RU"/>
        </w:rPr>
        <w:tab/>
      </w:r>
      <w:r w:rsidR="001B3881" w:rsidRPr="00521AC7">
        <w:rPr>
          <w:lang w:val="ru-RU"/>
        </w:rPr>
        <w:t xml:space="preserve">в одном случае в отношении Сербии было заменено представлением, инициированным Болгарией </w:t>
      </w:r>
      <w:r w:rsidR="000449BB" w:rsidRPr="00521AC7">
        <w:rPr>
          <w:lang w:val="ru-RU"/>
        </w:rPr>
        <w:t>;</w:t>
      </w:r>
      <w:r w:rsidR="001760A4" w:rsidRPr="001760A4">
        <w:rPr>
          <w:lang w:val="ru-RU"/>
        </w:rPr>
        <w:t xml:space="preserve"> </w:t>
      </w:r>
    </w:p>
    <w:p w14:paraId="1BCDB205" w14:textId="77777777" w:rsidR="004D4FF6" w:rsidRDefault="009157DC" w:rsidP="009157DC">
      <w:pPr>
        <w:pStyle w:val="SingleTxtG"/>
        <w:ind w:firstLine="567"/>
        <w:rPr>
          <w:lang w:val="ru-RU"/>
        </w:rPr>
      </w:pPr>
      <w:r w:rsidRPr="004D4FF6">
        <w:rPr>
          <w:lang w:val="ru-RU"/>
        </w:rPr>
        <w:t>(</w:t>
      </w:r>
      <w:r w:rsidRPr="00A0384A">
        <w:t>c</w:t>
      </w:r>
      <w:r w:rsidRPr="004D4FF6">
        <w:rPr>
          <w:lang w:val="ru-RU"/>
        </w:rPr>
        <w:t>)</w:t>
      </w:r>
      <w:r w:rsidRPr="004D4FF6">
        <w:rPr>
          <w:lang w:val="ru-RU"/>
        </w:rPr>
        <w:tab/>
      </w:r>
      <w:r w:rsidR="004D4FF6" w:rsidRPr="004D4FF6">
        <w:rPr>
          <w:lang w:val="ru-RU"/>
        </w:rPr>
        <w:t>В делах, касающихся Беларуси, Болгарии, Боснии и Герцеговины (три вопроса), Дании, Нидерландов, Украины, Чехии и Швейцарии (четыре вопроса), Комитету необходимо будет продолжить их рассмотрение на его предстоящих сессиях;</w:t>
      </w:r>
    </w:p>
    <w:p w14:paraId="27CB112C" w14:textId="4C54647B" w:rsidR="00E724EE" w:rsidRPr="00BA7BCF" w:rsidRDefault="009157DC" w:rsidP="00E724EE">
      <w:pPr>
        <w:pStyle w:val="SingleTxtG"/>
        <w:ind w:firstLine="567"/>
        <w:rPr>
          <w:lang w:val="ru-RU"/>
        </w:rPr>
      </w:pPr>
      <w:r w:rsidRPr="00E724EE">
        <w:rPr>
          <w:lang w:val="ru-RU"/>
        </w:rPr>
        <w:t>5.</w:t>
      </w:r>
      <w:r w:rsidRPr="00E724EE">
        <w:rPr>
          <w:lang w:val="ru-RU"/>
        </w:rPr>
        <w:tab/>
      </w:r>
      <w:r w:rsidR="00E724EE" w:rsidRPr="00044951">
        <w:rPr>
          <w:i/>
          <w:lang w:val="ru-RU"/>
        </w:rPr>
        <w:t>принимает к сведению</w:t>
      </w:r>
      <w:r w:rsidR="00E724EE">
        <w:rPr>
          <w:lang w:val="ru-RU"/>
        </w:rPr>
        <w:t xml:space="preserve"> информацию, полученную из других источников в отношении Франции </w:t>
      </w:r>
      <w:r w:rsidR="00754823" w:rsidRPr="00754823">
        <w:rPr>
          <w:lang w:val="ru-RU"/>
        </w:rPr>
        <w:t xml:space="preserve"> [</w:t>
      </w:r>
      <w:r w:rsidR="00754823">
        <w:rPr>
          <w:lang w:val="ru-RU"/>
        </w:rPr>
        <w:t>и</w:t>
      </w:r>
      <w:r w:rsidR="00754823" w:rsidRPr="00754823">
        <w:rPr>
          <w:lang w:val="ru-RU"/>
        </w:rPr>
        <w:t xml:space="preserve"> ….]</w:t>
      </w:r>
      <w:r w:rsidR="00E724EE">
        <w:rPr>
          <w:lang w:val="ru-RU"/>
        </w:rPr>
        <w:t xml:space="preserve"> для дальнейшего рассмотрения Комитетом на его предстоящих сессиях</w:t>
      </w:r>
      <w:r w:rsidR="00754823">
        <w:rPr>
          <w:lang w:val="ru-RU"/>
        </w:rPr>
        <w:t>.</w:t>
      </w:r>
    </w:p>
    <w:p w14:paraId="0EA97290" w14:textId="598D6B1C" w:rsidR="00ED20CF" w:rsidRPr="00ED20CF" w:rsidRDefault="009157DC" w:rsidP="009157DC">
      <w:pPr>
        <w:pStyle w:val="SingleTxtG"/>
        <w:ind w:firstLine="567"/>
        <w:rPr>
          <w:lang w:val="ru-RU"/>
        </w:rPr>
      </w:pPr>
      <w:r w:rsidRPr="00ED20CF">
        <w:rPr>
          <w:lang w:val="ru-RU"/>
        </w:rPr>
        <w:t>6</w:t>
      </w:r>
      <w:r w:rsidRPr="00ED20CF">
        <w:rPr>
          <w:i/>
          <w:iCs/>
          <w:lang w:val="ru-RU"/>
        </w:rPr>
        <w:t>.</w:t>
      </w:r>
      <w:r w:rsidRPr="00ED20CF">
        <w:rPr>
          <w:i/>
          <w:iCs/>
          <w:lang w:val="ru-RU"/>
        </w:rPr>
        <w:tab/>
      </w:r>
      <w:r w:rsidR="00ED20CF">
        <w:rPr>
          <w:i/>
          <w:iCs/>
          <w:lang w:val="ru-RU"/>
        </w:rPr>
        <w:t>П</w:t>
      </w:r>
      <w:r w:rsidR="00ED20CF" w:rsidRPr="00ED20CF">
        <w:rPr>
          <w:i/>
          <w:iCs/>
          <w:lang w:val="ru-RU"/>
        </w:rPr>
        <w:t xml:space="preserve">ризнает, </w:t>
      </w:r>
      <w:r w:rsidR="00ED20CF" w:rsidRPr="00ED20CF">
        <w:rPr>
          <w:lang w:val="ru-RU"/>
        </w:rPr>
        <w:t xml:space="preserve">что несколько дел о сборе информации, находящихся на рассмотрении Комитета (упомянутых в пунктах 4 и 5 выше), касаются обеспокоенности общественности в связи с неприменением Конвенции к </w:t>
      </w:r>
      <w:r w:rsidR="00ED20CF" w:rsidRPr="00503BA2">
        <w:rPr>
          <w:lang w:val="ru-RU"/>
        </w:rPr>
        <w:t>планируемому продлению срока эксплуатации атомных электростанций: Бельги</w:t>
      </w:r>
      <w:r w:rsidR="00423C67" w:rsidRPr="00503BA2">
        <w:rPr>
          <w:lang w:val="ru-RU"/>
        </w:rPr>
        <w:t>ей</w:t>
      </w:r>
      <w:r w:rsidR="00ED20CF" w:rsidRPr="00503BA2">
        <w:rPr>
          <w:lang w:val="ru-RU"/>
        </w:rPr>
        <w:t xml:space="preserve"> (три </w:t>
      </w:r>
      <w:r w:rsidR="00511A1F" w:rsidRPr="00503BA2">
        <w:rPr>
          <w:lang w:val="ru-RU"/>
        </w:rPr>
        <w:t>энерго</w:t>
      </w:r>
      <w:r w:rsidR="00423C67" w:rsidRPr="00503BA2">
        <w:rPr>
          <w:lang w:val="ru-RU"/>
        </w:rPr>
        <w:t>блока</w:t>
      </w:r>
      <w:r w:rsidR="00ED20CF" w:rsidRPr="00503BA2">
        <w:rPr>
          <w:lang w:val="ru-RU"/>
        </w:rPr>
        <w:t xml:space="preserve"> двух атомных электростанций), Болгарией (два </w:t>
      </w:r>
      <w:r w:rsidR="00511A1F" w:rsidRPr="00503BA2">
        <w:rPr>
          <w:lang w:val="ru-RU"/>
        </w:rPr>
        <w:t>энерго</w:t>
      </w:r>
      <w:r w:rsidR="00ED20CF" w:rsidRPr="00503BA2">
        <w:rPr>
          <w:lang w:val="ru-RU"/>
        </w:rPr>
        <w:t xml:space="preserve">блока одной атомной электростанции), Чехией (четыре </w:t>
      </w:r>
      <w:r w:rsidR="00511A1F" w:rsidRPr="00503BA2">
        <w:rPr>
          <w:lang w:val="ru-RU"/>
        </w:rPr>
        <w:t>энерго</w:t>
      </w:r>
      <w:r w:rsidR="00ED20CF" w:rsidRPr="00503BA2">
        <w:rPr>
          <w:lang w:val="ru-RU"/>
        </w:rPr>
        <w:t xml:space="preserve">блока одной атомной электростанции), Францией (тридцать два </w:t>
      </w:r>
      <w:r w:rsidR="00511A1F" w:rsidRPr="00503BA2">
        <w:rPr>
          <w:lang w:val="ru-RU"/>
        </w:rPr>
        <w:t>энерго</w:t>
      </w:r>
      <w:r w:rsidR="00ED20CF" w:rsidRPr="00503BA2">
        <w:rPr>
          <w:lang w:val="ru-RU"/>
        </w:rPr>
        <w:t xml:space="preserve">блока восьми атомных электростанций), Нидерландами (один блок одной атомной электростанции) и Украиной (11 </w:t>
      </w:r>
      <w:r w:rsidR="00AC3D3F" w:rsidRPr="00503BA2">
        <w:rPr>
          <w:lang w:val="ru-RU"/>
        </w:rPr>
        <w:t>энергобл</w:t>
      </w:r>
      <w:r w:rsidR="00AC3D3F">
        <w:rPr>
          <w:lang w:val="ru-RU"/>
        </w:rPr>
        <w:t>оков</w:t>
      </w:r>
      <w:r w:rsidR="00ED20CF" w:rsidRPr="00ED20CF">
        <w:rPr>
          <w:lang w:val="ru-RU"/>
        </w:rPr>
        <w:t xml:space="preserve"> четырех атомных электростанций) - обсуждение в </w:t>
      </w:r>
      <w:r w:rsidR="00ED20CF" w:rsidRPr="00ED20CF">
        <w:rPr>
          <w:lang w:val="ru-RU"/>
        </w:rPr>
        <w:lastRenderedPageBreak/>
        <w:t xml:space="preserve">Комитете было отложено до разработки руководящих </w:t>
      </w:r>
      <w:r w:rsidR="001A447C">
        <w:rPr>
          <w:lang w:val="ru-RU"/>
        </w:rPr>
        <w:t>принципов</w:t>
      </w:r>
      <w:r w:rsidR="00ED20CF" w:rsidRPr="00ED20CF">
        <w:rPr>
          <w:lang w:val="ru-RU"/>
        </w:rPr>
        <w:t xml:space="preserve"> по этой теме специальной рабочей группой Сторон Конвенции; </w:t>
      </w:r>
    </w:p>
    <w:p w14:paraId="3BDE500F" w14:textId="6E1D1E8B" w:rsidR="00DB20A5" w:rsidRPr="00AA14D9" w:rsidRDefault="009157DC" w:rsidP="009157DC">
      <w:pPr>
        <w:pStyle w:val="SingleTxtG"/>
        <w:ind w:firstLine="567"/>
        <w:rPr>
          <w:lang w:val="ru-RU"/>
        </w:rPr>
      </w:pPr>
      <w:r w:rsidRPr="00AA14D9">
        <w:rPr>
          <w:lang w:val="ru-RU"/>
        </w:rPr>
        <w:t>7.</w:t>
      </w:r>
      <w:r w:rsidRPr="00AA14D9">
        <w:rPr>
          <w:lang w:val="ru-RU"/>
        </w:rPr>
        <w:tab/>
      </w:r>
      <w:r w:rsidR="00DB20A5" w:rsidRPr="00B66EBA">
        <w:rPr>
          <w:i/>
          <w:lang w:val="ru-RU"/>
        </w:rPr>
        <w:t>принимает к сведению</w:t>
      </w:r>
      <w:r w:rsidR="00DB20A5" w:rsidRPr="00B66EBA">
        <w:rPr>
          <w:lang w:val="ru-RU"/>
        </w:rPr>
        <w:t xml:space="preserve"> </w:t>
      </w:r>
      <w:r w:rsidR="00AA14D9" w:rsidRPr="00B66EBA">
        <w:rPr>
          <w:lang w:val="ru-RU"/>
        </w:rPr>
        <w:t>представления, инициированные Болгарией и Черногорией, которые должны быть рассмотрены Комитетом по осуществлению на его предстоящих сессиях;</w:t>
      </w:r>
    </w:p>
    <w:p w14:paraId="27C91FAB" w14:textId="54CF0797" w:rsidR="00EB176C" w:rsidRPr="00EB176C" w:rsidRDefault="009157DC" w:rsidP="009157DC">
      <w:pPr>
        <w:pStyle w:val="SingleTxtG"/>
        <w:ind w:left="1080" w:firstLine="630"/>
        <w:rPr>
          <w:lang w:val="ru-RU"/>
        </w:rPr>
      </w:pPr>
      <w:bookmarkStart w:id="3" w:name="_Hlk35099353"/>
      <w:r w:rsidRPr="00EB176C">
        <w:rPr>
          <w:lang w:val="ru-RU"/>
        </w:rPr>
        <w:t xml:space="preserve">8. </w:t>
      </w:r>
      <w:r w:rsidRPr="00EB176C">
        <w:rPr>
          <w:lang w:val="ru-RU"/>
        </w:rPr>
        <w:tab/>
      </w:r>
      <w:r w:rsidR="00EB176C" w:rsidRPr="00EB176C">
        <w:rPr>
          <w:i/>
          <w:iCs/>
          <w:lang w:val="ru-RU"/>
        </w:rPr>
        <w:t xml:space="preserve">приветствует </w:t>
      </w:r>
      <w:r w:rsidR="00EB176C" w:rsidRPr="00EB176C">
        <w:rPr>
          <w:lang w:val="ru-RU"/>
        </w:rPr>
        <w:t xml:space="preserve">предпринятые Комитетом до настоящего времени усилия по обзору эффективности и действенности его методов работы и практики в целях </w:t>
      </w:r>
      <w:r w:rsidR="00B007A6">
        <w:rPr>
          <w:lang w:val="ru-RU"/>
        </w:rPr>
        <w:t>рассмотрения (решения)</w:t>
      </w:r>
      <w:r w:rsidR="00EB176C" w:rsidRPr="00EB176C">
        <w:rPr>
          <w:lang w:val="ru-RU"/>
        </w:rPr>
        <w:t xml:space="preserve"> все большего числа и все более сложных вопросов соблюдения, представляемых на его рассмотрение; и предлагает Комитету продолжить эту работу на его последующих сессиях</w:t>
      </w:r>
      <w:r w:rsidR="00B007A6">
        <w:rPr>
          <w:lang w:val="ru-RU"/>
        </w:rPr>
        <w:t>;</w:t>
      </w:r>
    </w:p>
    <w:p w14:paraId="50180A7D" w14:textId="1F55104E" w:rsidR="00795D69" w:rsidRPr="00795D69" w:rsidRDefault="009157DC" w:rsidP="009157DC">
      <w:pPr>
        <w:pStyle w:val="SingleTxtG"/>
        <w:ind w:firstLine="567"/>
        <w:rPr>
          <w:lang w:val="ru-RU"/>
        </w:rPr>
      </w:pPr>
      <w:r w:rsidRPr="00795D69">
        <w:rPr>
          <w:lang w:val="ru-RU"/>
        </w:rPr>
        <w:t>9.</w:t>
      </w:r>
      <w:r w:rsidRPr="00795D69">
        <w:rPr>
          <w:lang w:val="ru-RU"/>
        </w:rPr>
        <w:tab/>
      </w:r>
      <w:r w:rsidR="002D1D37" w:rsidRPr="00B66EBA">
        <w:rPr>
          <w:i/>
          <w:iCs/>
          <w:lang w:val="ru-RU"/>
        </w:rPr>
        <w:t xml:space="preserve">отмечает </w:t>
      </w:r>
      <w:r w:rsidR="00795D69" w:rsidRPr="00B66EBA">
        <w:rPr>
          <w:i/>
          <w:iCs/>
          <w:lang w:val="ru-RU"/>
        </w:rPr>
        <w:t>с сожалением</w:t>
      </w:r>
      <w:r w:rsidR="00795D69" w:rsidRPr="00B66EBA">
        <w:rPr>
          <w:lang w:val="ru-RU"/>
        </w:rPr>
        <w:t xml:space="preserve">,  </w:t>
      </w:r>
      <w:r w:rsidR="000C564E" w:rsidRPr="00B66EBA">
        <w:rPr>
          <w:lang w:val="ru-RU"/>
        </w:rPr>
        <w:t>что работе Комитета препятствуют задержки и недостаточное качество ответов некоторых заинтересованных Сторон</w:t>
      </w:r>
      <w:r w:rsidR="00795D69" w:rsidRPr="00B66EBA">
        <w:rPr>
          <w:lang w:val="ru-RU"/>
        </w:rPr>
        <w:t xml:space="preserve">, </w:t>
      </w:r>
      <w:r w:rsidR="0062490E" w:rsidRPr="00B66EBA">
        <w:rPr>
          <w:lang w:val="ru-RU"/>
        </w:rPr>
        <w:t>а в некоторых случаях также их отказ отвечать и сотрудничать</w:t>
      </w:r>
      <w:r w:rsidR="00795D69" w:rsidRPr="00B66EBA">
        <w:rPr>
          <w:lang w:val="ru-RU"/>
        </w:rPr>
        <w:t xml:space="preserve">; и настоятельно призывает Стороны </w:t>
      </w:r>
      <w:r w:rsidR="00B32148" w:rsidRPr="00B66EBA">
        <w:rPr>
          <w:lang w:val="ru-RU"/>
        </w:rPr>
        <w:t xml:space="preserve">добросовестно содействовать работе Комитета </w:t>
      </w:r>
      <w:r w:rsidR="00682EF1" w:rsidRPr="00B66EBA">
        <w:rPr>
          <w:lang w:val="ru-RU"/>
        </w:rPr>
        <w:t>путем своевременного предоставления ему запрашиваемой информации и обеспечения ее высокого качества</w:t>
      </w:r>
      <w:r w:rsidR="00795D69" w:rsidRPr="00B66EBA">
        <w:rPr>
          <w:lang w:val="ru-RU"/>
        </w:rPr>
        <w:t>;</w:t>
      </w:r>
    </w:p>
    <w:bookmarkEnd w:id="3"/>
    <w:p w14:paraId="559A47D0" w14:textId="6026AFC9" w:rsidR="009157DC" w:rsidRPr="00760AD0" w:rsidRDefault="009157DC" w:rsidP="009157DC">
      <w:pPr>
        <w:pStyle w:val="SingleTxtG"/>
        <w:ind w:left="1701"/>
        <w:rPr>
          <w:lang w:val="ru-RU"/>
        </w:rPr>
      </w:pPr>
      <w:r w:rsidRPr="00760AD0">
        <w:rPr>
          <w:lang w:val="ru-RU"/>
        </w:rPr>
        <w:t>10.</w:t>
      </w:r>
      <w:r w:rsidRPr="00760AD0">
        <w:rPr>
          <w:lang w:val="ru-RU"/>
        </w:rPr>
        <w:tab/>
      </w:r>
      <w:r w:rsidR="00760AD0" w:rsidRPr="00760AD0">
        <w:rPr>
          <w:i/>
          <w:iCs/>
          <w:lang w:val="ru-RU"/>
        </w:rPr>
        <w:t xml:space="preserve">считает, </w:t>
      </w:r>
      <w:r w:rsidR="00760AD0" w:rsidRPr="00760AD0">
        <w:rPr>
          <w:lang w:val="ru-RU"/>
        </w:rPr>
        <w:t>учитывая мнения Комитета по осуществлению, что:</w:t>
      </w:r>
    </w:p>
    <w:p w14:paraId="2EA9C1B5" w14:textId="102A7C78" w:rsidR="008F444B" w:rsidRPr="0018709C" w:rsidRDefault="009157DC" w:rsidP="0052029D">
      <w:pPr>
        <w:pStyle w:val="SingleTxtG"/>
        <w:ind w:left="1080" w:firstLine="540"/>
        <w:rPr>
          <w:lang w:val="ru-RU"/>
        </w:rPr>
      </w:pPr>
      <w:r w:rsidRPr="00760AD0" w:rsidDel="00D035E7">
        <w:rPr>
          <w:lang w:val="ru-RU"/>
        </w:rPr>
        <w:t xml:space="preserve"> </w:t>
      </w:r>
      <w:r w:rsidRPr="0094228A">
        <w:rPr>
          <w:lang w:val="ru-RU"/>
        </w:rPr>
        <w:t>(</w:t>
      </w:r>
      <w:r w:rsidRPr="00105F5C">
        <w:t>a</w:t>
      </w:r>
      <w:r w:rsidRPr="0094228A">
        <w:rPr>
          <w:lang w:val="ru-RU"/>
        </w:rPr>
        <w:t>)</w:t>
      </w:r>
      <w:r w:rsidRPr="0094228A">
        <w:rPr>
          <w:lang w:val="ru-RU"/>
        </w:rPr>
        <w:tab/>
        <w:t xml:space="preserve"> </w:t>
      </w:r>
      <w:r w:rsidR="0094228A" w:rsidRPr="0094228A">
        <w:rPr>
          <w:lang w:val="ru-RU"/>
        </w:rPr>
        <w:t xml:space="preserve">Добавление </w:t>
      </w:r>
      <w:r w:rsidR="0094228A" w:rsidRPr="0094228A">
        <w:t>IV</w:t>
      </w:r>
      <w:r w:rsidR="0094228A" w:rsidRPr="0094228A">
        <w:rPr>
          <w:lang w:val="ru-RU"/>
        </w:rPr>
        <w:t xml:space="preserve"> Конвенции, касающееся </w:t>
      </w:r>
      <w:r w:rsidR="0094228A" w:rsidRPr="0094228A">
        <w:rPr>
          <w:highlight w:val="yellow"/>
          <w:lang w:val="ru-RU"/>
        </w:rPr>
        <w:t xml:space="preserve">процедуры </w:t>
      </w:r>
      <w:r w:rsidR="00521AC7">
        <w:rPr>
          <w:highlight w:val="yellow"/>
          <w:lang w:val="ru-RU"/>
        </w:rPr>
        <w:t>запроса</w:t>
      </w:r>
      <w:r w:rsidR="0094228A" w:rsidRPr="0094228A">
        <w:rPr>
          <w:highlight w:val="yellow"/>
          <w:lang w:val="ru-RU"/>
        </w:rPr>
        <w:t>,</w:t>
      </w:r>
      <w:r w:rsidR="0094228A" w:rsidRPr="0094228A">
        <w:rPr>
          <w:lang w:val="ru-RU"/>
        </w:rPr>
        <w:t xml:space="preserve"> не применяется, если не были выполнены предварительные условия, предусмотренные в статье 3 (7). </w:t>
      </w:r>
      <w:r w:rsidR="0094228A" w:rsidRPr="0018709C">
        <w:rPr>
          <w:lang w:val="ru-RU"/>
        </w:rPr>
        <w:t>А именно:</w:t>
      </w:r>
      <w:r w:rsidR="008F444B" w:rsidRPr="0018709C">
        <w:rPr>
          <w:lang w:val="ru-RU"/>
        </w:rPr>
        <w:t xml:space="preserve"> </w:t>
      </w:r>
    </w:p>
    <w:p w14:paraId="31F0991F" w14:textId="58F3CA9B" w:rsidR="006D6347" w:rsidRPr="00FE4C14" w:rsidRDefault="008F444B" w:rsidP="003A6E17">
      <w:pPr>
        <w:pStyle w:val="SingleTxtG"/>
        <w:ind w:left="1701"/>
        <w:rPr>
          <w:lang w:val="ru-RU"/>
        </w:rPr>
      </w:pPr>
      <w:r w:rsidRPr="0018709C">
        <w:rPr>
          <w:lang w:val="ru-RU"/>
        </w:rPr>
        <w:t xml:space="preserve"> </w:t>
      </w:r>
      <w:r w:rsidR="009157DC" w:rsidRPr="00804CB8">
        <w:rPr>
          <w:lang w:val="ru-RU"/>
        </w:rPr>
        <w:t>(</w:t>
      </w:r>
      <w:r w:rsidR="009157DC">
        <w:t>i</w:t>
      </w:r>
      <w:r w:rsidR="009157DC" w:rsidRPr="00804CB8">
        <w:rPr>
          <w:lang w:val="ru-RU"/>
        </w:rPr>
        <w:t xml:space="preserve">) </w:t>
      </w:r>
      <w:r w:rsidR="009157DC" w:rsidRPr="00804CB8">
        <w:rPr>
          <w:lang w:val="ru-RU"/>
        </w:rPr>
        <w:tab/>
      </w:r>
      <w:r w:rsidR="00F426FD" w:rsidRPr="00F426FD">
        <w:rPr>
          <w:lang w:val="ru-RU"/>
        </w:rPr>
        <w:t>Когда Сторона считает</w:t>
      </w:r>
      <w:r w:rsidR="00804CB8" w:rsidRPr="00804CB8">
        <w:rPr>
          <w:lang w:val="ru-RU"/>
        </w:rPr>
        <w:t xml:space="preserve">, </w:t>
      </w:r>
      <w:r w:rsidR="0006614E" w:rsidRPr="0006614E">
        <w:rPr>
          <w:lang w:val="ru-RU"/>
        </w:rPr>
        <w:t>что она будет затронута значительным неблагоприятным трансграничным воздействием</w:t>
      </w:r>
      <w:r w:rsidR="00804CB8" w:rsidRPr="00804CB8">
        <w:rPr>
          <w:lang w:val="ru-RU"/>
        </w:rPr>
        <w:t xml:space="preserve"> планируемой деятельности, перечисленной в добавлении I, и если в соответствии со статьей 3(1) не было </w:t>
      </w:r>
      <w:r w:rsidR="00B7619C" w:rsidRPr="00B7619C">
        <w:rPr>
          <w:lang w:val="ru-RU"/>
        </w:rPr>
        <w:t>направлено</w:t>
      </w:r>
      <w:r w:rsidR="00804CB8" w:rsidRPr="00804CB8">
        <w:rPr>
          <w:lang w:val="ru-RU"/>
        </w:rPr>
        <w:t xml:space="preserve"> никакого уведомления, она может в соответствии со статьей 3(7)</w:t>
      </w:r>
      <w:r w:rsidR="00804CB8">
        <w:rPr>
          <w:lang w:val="ru-RU"/>
        </w:rPr>
        <w:t xml:space="preserve"> </w:t>
      </w:r>
      <w:r w:rsidR="004711B1" w:rsidRPr="004711B1">
        <w:rPr>
          <w:lang w:val="ru-RU"/>
        </w:rPr>
        <w:t>просить об обмене достаточной информацией</w:t>
      </w:r>
      <w:r w:rsidR="00804CB8" w:rsidRPr="00804CB8">
        <w:rPr>
          <w:lang w:val="ru-RU"/>
        </w:rPr>
        <w:t xml:space="preserve"> для целей </w:t>
      </w:r>
      <w:r w:rsidR="00FE4C14" w:rsidRPr="00FE4C14">
        <w:rPr>
          <w:lang w:val="ru-RU"/>
        </w:rPr>
        <w:t xml:space="preserve">проведения обсуждений по вопросу о том, может ли иметь место значительное неблагоприятное трансграничное воздействие. </w:t>
      </w:r>
      <w:r w:rsidR="00804CB8" w:rsidRPr="00804CB8">
        <w:rPr>
          <w:lang w:val="ru-RU"/>
        </w:rPr>
        <w:t>Затрагиваемая Сторона должна напра</w:t>
      </w:r>
      <w:r w:rsidR="00EA0983">
        <w:rPr>
          <w:lang w:val="ru-RU"/>
        </w:rPr>
        <w:t>вить</w:t>
      </w:r>
      <w:r w:rsidR="00804CB8" w:rsidRPr="00804CB8">
        <w:rPr>
          <w:lang w:val="ru-RU"/>
        </w:rPr>
        <w:t xml:space="preserve"> свой запрос, как только ей становится известно о планируемой деятельности, которая, по ее мнению, может оказать значительное вредное трансграничное воздействие. Последующий обмен </w:t>
      </w:r>
      <w:r w:rsidR="001E6901" w:rsidRPr="001E6901">
        <w:rPr>
          <w:lang w:val="ru-RU"/>
        </w:rPr>
        <w:t>информацией</w:t>
      </w:r>
      <w:r w:rsidR="00804CB8" w:rsidRPr="00804CB8">
        <w:rPr>
          <w:lang w:val="ru-RU"/>
        </w:rPr>
        <w:t xml:space="preserve"> должен быть проведен в разумные сроки.</w:t>
      </w:r>
    </w:p>
    <w:p w14:paraId="5B492BA2" w14:textId="48F5CF9A" w:rsidR="001E3010" w:rsidRDefault="009157DC" w:rsidP="00521AC7">
      <w:pPr>
        <w:pStyle w:val="SingleTxtG"/>
        <w:ind w:left="1701" w:firstLine="60"/>
        <w:rPr>
          <w:lang w:val="ru-RU"/>
        </w:rPr>
      </w:pPr>
      <w:r w:rsidRPr="003A6894">
        <w:rPr>
          <w:lang w:val="ru-RU"/>
        </w:rPr>
        <w:t>(</w:t>
      </w:r>
      <w:r>
        <w:t>ii</w:t>
      </w:r>
      <w:r w:rsidRPr="003A6894">
        <w:rPr>
          <w:lang w:val="ru-RU"/>
        </w:rPr>
        <w:t>)</w:t>
      </w:r>
      <w:r w:rsidR="003A6E17" w:rsidRPr="003A6894">
        <w:rPr>
          <w:lang w:val="ru-RU"/>
        </w:rPr>
        <w:tab/>
      </w:r>
      <w:r w:rsidR="009E5314" w:rsidRPr="009E5314">
        <w:rPr>
          <w:lang w:val="ru-RU"/>
        </w:rPr>
        <w:t>Кроме того, для осуществления статьи 3 (7) соответствующие стороны должны:</w:t>
      </w:r>
    </w:p>
    <w:p w14:paraId="00BA0CDD" w14:textId="1E714EEB" w:rsidR="00126600" w:rsidRPr="0018709C" w:rsidRDefault="009157DC" w:rsidP="00126600">
      <w:pPr>
        <w:pStyle w:val="SingleTxtG"/>
        <w:ind w:left="2070" w:firstLine="540"/>
        <w:rPr>
          <w:lang w:val="ru-RU"/>
        </w:rPr>
      </w:pPr>
      <w:r>
        <w:t>a</w:t>
      </w:r>
      <w:r w:rsidRPr="00126600">
        <w:rPr>
          <w:lang w:val="ru-RU"/>
        </w:rPr>
        <w:t xml:space="preserve">. </w:t>
      </w:r>
      <w:r w:rsidR="004A7358" w:rsidRPr="00B66EBA">
        <w:rPr>
          <w:lang w:val="ru-RU"/>
        </w:rPr>
        <w:t>О</w:t>
      </w:r>
      <w:r w:rsidR="00126600" w:rsidRPr="00B66EBA">
        <w:rPr>
          <w:lang w:val="ru-RU"/>
        </w:rPr>
        <w:t>бмениваться и</w:t>
      </w:r>
      <w:r w:rsidR="00126600" w:rsidRPr="00126600">
        <w:rPr>
          <w:lang w:val="ru-RU"/>
        </w:rPr>
        <w:t xml:space="preserve">нформацией, которая является достаточной и </w:t>
      </w:r>
      <w:r w:rsidR="008C7519" w:rsidRPr="008C7519">
        <w:rPr>
          <w:lang w:val="ru-RU"/>
        </w:rPr>
        <w:t>подпадает под сферу действия Конвенции</w:t>
      </w:r>
      <w:r w:rsidR="00126600" w:rsidRPr="00126600">
        <w:rPr>
          <w:lang w:val="ru-RU"/>
        </w:rPr>
        <w:t xml:space="preserve">, для целей проведения обсуждений по вопросу о том, может ли иметь место </w:t>
      </w:r>
      <w:r w:rsidR="0091283F" w:rsidRPr="0091283F">
        <w:rPr>
          <w:lang w:val="ru-RU"/>
        </w:rPr>
        <w:t>значительное вредное трансграничное воздействие</w:t>
      </w:r>
      <w:r w:rsidR="00126600" w:rsidRPr="00126600">
        <w:rPr>
          <w:lang w:val="ru-RU"/>
        </w:rPr>
        <w:t xml:space="preserve">. </w:t>
      </w:r>
      <w:r w:rsidR="009E37A8" w:rsidRPr="009E37A8">
        <w:rPr>
          <w:lang w:val="ru-RU"/>
        </w:rPr>
        <w:t>Кроме того, если таковая имеется, Сторона происхождения должна представить документацию об оценке воздействия на окружающую среду в связи с планируемой деятельностью Стороне</w:t>
      </w:r>
      <w:r w:rsidR="009E37A8" w:rsidRPr="0018709C">
        <w:rPr>
          <w:lang w:val="ru-RU"/>
        </w:rPr>
        <w:t xml:space="preserve">, </w:t>
      </w:r>
      <w:r w:rsidR="009E37A8" w:rsidRPr="009E37A8">
        <w:rPr>
          <w:lang w:val="ru-RU"/>
        </w:rPr>
        <w:t>которая</w:t>
      </w:r>
      <w:r w:rsidR="009E37A8" w:rsidRPr="0018709C">
        <w:rPr>
          <w:lang w:val="ru-RU"/>
        </w:rPr>
        <w:t xml:space="preserve"> </w:t>
      </w:r>
      <w:r w:rsidR="009E37A8" w:rsidRPr="009E37A8">
        <w:rPr>
          <w:lang w:val="ru-RU"/>
        </w:rPr>
        <w:t>считает</w:t>
      </w:r>
      <w:r w:rsidR="009E37A8" w:rsidRPr="0018709C">
        <w:rPr>
          <w:lang w:val="ru-RU"/>
        </w:rPr>
        <w:t xml:space="preserve"> </w:t>
      </w:r>
      <w:r w:rsidR="009E37A8" w:rsidRPr="009E37A8">
        <w:rPr>
          <w:lang w:val="ru-RU"/>
        </w:rPr>
        <w:t>себя</w:t>
      </w:r>
      <w:r w:rsidR="009E37A8" w:rsidRPr="0018709C">
        <w:rPr>
          <w:lang w:val="ru-RU"/>
        </w:rPr>
        <w:t xml:space="preserve"> </w:t>
      </w:r>
      <w:r w:rsidR="009E37A8" w:rsidRPr="009E37A8">
        <w:rPr>
          <w:lang w:val="ru-RU"/>
        </w:rPr>
        <w:t>затрагиваемой</w:t>
      </w:r>
      <w:r w:rsidR="00126600" w:rsidRPr="0018709C">
        <w:rPr>
          <w:lang w:val="ru-RU"/>
        </w:rPr>
        <w:t xml:space="preserve">; </w:t>
      </w:r>
    </w:p>
    <w:p w14:paraId="47F6C668" w14:textId="009CAB78" w:rsidR="00273761" w:rsidRPr="000C39AC" w:rsidRDefault="009157DC" w:rsidP="009157DC">
      <w:pPr>
        <w:pStyle w:val="SingleTxtG"/>
        <w:ind w:left="2160" w:firstLine="450"/>
        <w:rPr>
          <w:lang w:val="ru-RU"/>
        </w:rPr>
      </w:pPr>
      <w:r>
        <w:t>b</w:t>
      </w:r>
      <w:r w:rsidRPr="000C39AC">
        <w:rPr>
          <w:lang w:val="ru-RU"/>
        </w:rPr>
        <w:t xml:space="preserve">. </w:t>
      </w:r>
      <w:r w:rsidR="00273761" w:rsidRPr="000C39AC">
        <w:rPr>
          <w:lang w:val="ru-RU"/>
        </w:rPr>
        <w:t>Провести обсуждение вопроса о том, может ли иметь место значительное вредное трансграничное воздействие на территори</w:t>
      </w:r>
      <w:r w:rsidR="000C39AC">
        <w:rPr>
          <w:lang w:val="ru-RU"/>
        </w:rPr>
        <w:t>и</w:t>
      </w:r>
      <w:r w:rsidR="00273761" w:rsidRPr="000C39AC">
        <w:rPr>
          <w:lang w:val="ru-RU"/>
        </w:rPr>
        <w:t xml:space="preserve"> затрагиваемой Стороны; и задокументировать результаты этих обсуждений, предпочтительно в виде совместных заявлений или протоколов совещаний, подписанных соответствующими Сторонами, или, как минимум, в рамках официальной переписки;</w:t>
      </w:r>
    </w:p>
    <w:p w14:paraId="312E9511" w14:textId="64D37C55" w:rsidR="00A21F64" w:rsidRPr="00A21F64" w:rsidRDefault="009157DC" w:rsidP="009157DC">
      <w:pPr>
        <w:pStyle w:val="SingleTxtG"/>
        <w:ind w:left="2160" w:firstLine="450"/>
        <w:rPr>
          <w:lang w:val="ru-RU"/>
        </w:rPr>
      </w:pPr>
      <w:r>
        <w:t>c</w:t>
      </w:r>
      <w:r w:rsidRPr="00A21F64">
        <w:rPr>
          <w:lang w:val="ru-RU"/>
        </w:rPr>
        <w:t xml:space="preserve">. </w:t>
      </w:r>
      <w:r w:rsidR="003A6E17" w:rsidRPr="00A21F64">
        <w:rPr>
          <w:lang w:val="ru-RU"/>
        </w:rPr>
        <w:tab/>
      </w:r>
      <w:r w:rsidR="00A21F64" w:rsidRPr="00A21F64">
        <w:rPr>
          <w:lang w:val="ru-RU"/>
        </w:rPr>
        <w:t>Приложить усилия для согласования другого метода решения этого вопроса.</w:t>
      </w:r>
    </w:p>
    <w:p w14:paraId="505EC6A5" w14:textId="7A1CA048" w:rsidR="00B61F49" w:rsidRPr="00154894" w:rsidRDefault="00A21F64" w:rsidP="009157DC">
      <w:pPr>
        <w:pStyle w:val="SingleTxtG"/>
        <w:ind w:left="1080" w:firstLine="630"/>
        <w:rPr>
          <w:lang w:val="ru-RU"/>
        </w:rPr>
      </w:pPr>
      <w:r w:rsidRPr="0018709C">
        <w:rPr>
          <w:lang w:val="ru-RU"/>
        </w:rPr>
        <w:t xml:space="preserve"> </w:t>
      </w:r>
      <w:r w:rsidR="009157DC" w:rsidRPr="00B61F49">
        <w:rPr>
          <w:lang w:val="ru-RU"/>
        </w:rPr>
        <w:t>(</w:t>
      </w:r>
      <w:r w:rsidR="009157DC" w:rsidRPr="001C2480">
        <w:t>b</w:t>
      </w:r>
      <w:r w:rsidR="009157DC" w:rsidRPr="00B61F49">
        <w:rPr>
          <w:lang w:val="ru-RU"/>
        </w:rPr>
        <w:t>)</w:t>
      </w:r>
      <w:r w:rsidR="009157DC" w:rsidRPr="00B61F49">
        <w:rPr>
          <w:lang w:val="ru-RU"/>
        </w:rPr>
        <w:tab/>
      </w:r>
      <w:r w:rsidR="00B61F49" w:rsidRPr="00B61F49">
        <w:rPr>
          <w:lang w:val="ru-RU"/>
        </w:rPr>
        <w:t>Уведомление Стороны происхождения о</w:t>
      </w:r>
      <w:r w:rsidR="00B61F49">
        <w:rPr>
          <w:lang w:val="ru-RU"/>
        </w:rPr>
        <w:t xml:space="preserve"> </w:t>
      </w:r>
      <w:r w:rsidR="004E2C72" w:rsidRPr="009E37A8">
        <w:rPr>
          <w:lang w:val="ru-RU"/>
        </w:rPr>
        <w:t>планируемой деятельност</w:t>
      </w:r>
      <w:r w:rsidR="004E2C72">
        <w:rPr>
          <w:lang w:val="ru-RU"/>
        </w:rPr>
        <w:t>и</w:t>
      </w:r>
      <w:r w:rsidR="00154894">
        <w:rPr>
          <w:lang w:val="ru-RU"/>
        </w:rPr>
        <w:t xml:space="preserve"> </w:t>
      </w:r>
      <w:r w:rsidR="00154894" w:rsidRPr="00154894">
        <w:rPr>
          <w:lang w:val="ru-RU"/>
        </w:rPr>
        <w:t>в соответствии со статьями 2(4) и 3(1) Конвенции, после чего затрагиваемая Сторона сообщает о своем намерении участвовать в процедуре оценки воздействия на окружающую среду в соответствии со статьей 3(3) Конвенци</w:t>
      </w:r>
      <w:r w:rsidR="00864A20">
        <w:rPr>
          <w:lang w:val="ru-RU"/>
        </w:rPr>
        <w:t>и,</w:t>
      </w:r>
      <w:r w:rsidR="00154894" w:rsidRPr="00154894">
        <w:rPr>
          <w:lang w:val="ru-RU"/>
        </w:rPr>
        <w:t xml:space="preserve"> представляет собой взаимное соглашение между соответствующими Сторонами о применении Конвенции. Следовательно,</w:t>
      </w:r>
      <w:r w:rsidR="00DE53CD" w:rsidRPr="00DE53CD">
        <w:rPr>
          <w:lang w:val="ru-RU"/>
        </w:rPr>
        <w:t xml:space="preserve"> после достижения взаимной договоренности между заинтересованными Сторонами </w:t>
      </w:r>
      <w:r w:rsidR="00154894" w:rsidRPr="00154894">
        <w:rPr>
          <w:lang w:val="ru-RU"/>
        </w:rPr>
        <w:t xml:space="preserve">последующие этапы трансграничной процедуры </w:t>
      </w:r>
      <w:r w:rsidR="00154894" w:rsidRPr="00154894">
        <w:rPr>
          <w:lang w:val="ru-RU"/>
        </w:rPr>
        <w:lastRenderedPageBreak/>
        <w:t>должны быть завершены в соответствии с Конвенцией до принятия решения о санкционировании или осуществлении планируемой деятельности</w:t>
      </w:r>
      <w:r w:rsidR="00F02FA7">
        <w:rPr>
          <w:lang w:val="ru-RU"/>
        </w:rPr>
        <w:t>;</w:t>
      </w:r>
    </w:p>
    <w:p w14:paraId="4CE363D9" w14:textId="77777777" w:rsidR="00BA60AC" w:rsidRPr="00BA7BCF" w:rsidRDefault="009157DC" w:rsidP="00BA60AC">
      <w:pPr>
        <w:pStyle w:val="SingleTxtG"/>
        <w:ind w:firstLine="567"/>
        <w:rPr>
          <w:lang w:val="ru-RU"/>
        </w:rPr>
      </w:pPr>
      <w:r w:rsidRPr="00BA60AC">
        <w:rPr>
          <w:lang w:val="ru-RU"/>
        </w:rPr>
        <w:t>11.</w:t>
      </w:r>
      <w:r w:rsidRPr="00BA60AC">
        <w:rPr>
          <w:lang w:val="ru-RU"/>
        </w:rPr>
        <w:tab/>
      </w:r>
      <w:r w:rsidR="00BA60AC" w:rsidRPr="00044951">
        <w:rPr>
          <w:i/>
          <w:lang w:val="ru-RU"/>
        </w:rPr>
        <w:t>призывает</w:t>
      </w:r>
      <w:r w:rsidR="00BA60AC">
        <w:rPr>
          <w:lang w:val="ru-RU"/>
        </w:rPr>
        <w:t xml:space="preserve"> Стороны выносить вопросы, касающиеся их собственного соблюдения, на рассмотрение Комитета;</w:t>
      </w:r>
    </w:p>
    <w:p w14:paraId="1D4A417E" w14:textId="7D967D94" w:rsidR="00D25276" w:rsidRPr="00423A7C" w:rsidRDefault="009157DC" w:rsidP="00BA60AC">
      <w:pPr>
        <w:pStyle w:val="SingleTxtG"/>
        <w:ind w:firstLine="567"/>
        <w:rPr>
          <w:lang w:val="ru-RU"/>
        </w:rPr>
      </w:pPr>
      <w:r w:rsidRPr="00D25276">
        <w:rPr>
          <w:lang w:val="ru-RU"/>
        </w:rPr>
        <w:t>12.</w:t>
      </w:r>
      <w:r w:rsidRPr="00D25276">
        <w:rPr>
          <w:lang w:val="ru-RU"/>
        </w:rPr>
        <w:tab/>
      </w:r>
      <w:r w:rsidR="00D25276" w:rsidRPr="00044951">
        <w:rPr>
          <w:i/>
          <w:lang w:val="ru-RU"/>
        </w:rPr>
        <w:t>просит</w:t>
      </w:r>
      <w:r w:rsidR="00D25276">
        <w:rPr>
          <w:lang w:val="ru-RU"/>
        </w:rPr>
        <w:t xml:space="preserve"> Комитет по осуществлению оказывать, при необходимости и в пределах возможностей, содействие Сторонам</w:t>
      </w:r>
      <w:r w:rsidR="00F97361" w:rsidRPr="00F97361">
        <w:rPr>
          <w:lang w:val="ru-RU"/>
        </w:rPr>
        <w:t xml:space="preserve"> в согласовании их законодательства с Конвенцией и Протоколо</w:t>
      </w:r>
      <w:r w:rsidR="00F97361" w:rsidRPr="00B66EBA">
        <w:rPr>
          <w:lang w:val="ru-RU"/>
        </w:rPr>
        <w:t>м</w:t>
      </w:r>
      <w:r w:rsidR="00D25276" w:rsidRPr="00B66EBA">
        <w:rPr>
          <w:lang w:val="ru-RU"/>
        </w:rPr>
        <w:t>,</w:t>
      </w:r>
      <w:r w:rsidR="00423A7C" w:rsidRPr="00B66EBA">
        <w:rPr>
          <w:lang w:val="ru-RU"/>
        </w:rPr>
        <w:t xml:space="preserve"> в том числе посредством сотрудничества с секретариатом в контексте технической помощи, предоставляемой секретариатом в соответствии с планом работы на 2021-2023 годы, принятым </w:t>
      </w:r>
      <w:r w:rsidR="00874AEE" w:rsidRPr="00B66EBA">
        <w:rPr>
          <w:lang w:val="ru-RU"/>
        </w:rPr>
        <w:t>в</w:t>
      </w:r>
      <w:r w:rsidR="00423A7C" w:rsidRPr="00B66EBA">
        <w:rPr>
          <w:lang w:val="ru-RU"/>
        </w:rPr>
        <w:t xml:space="preserve"> решени</w:t>
      </w:r>
      <w:r w:rsidR="00874AEE" w:rsidRPr="00B66EBA">
        <w:rPr>
          <w:lang w:val="ru-RU"/>
        </w:rPr>
        <w:t>и</w:t>
      </w:r>
      <w:r w:rsidR="00423A7C" w:rsidRPr="00B66EBA">
        <w:rPr>
          <w:lang w:val="ru-RU"/>
        </w:rPr>
        <w:t xml:space="preserve"> VIII/2-IV/2;</w:t>
      </w:r>
    </w:p>
    <w:p w14:paraId="013995CE" w14:textId="16E4BF62" w:rsidR="00F226CF" w:rsidRPr="00CB2CE8" w:rsidRDefault="009157DC" w:rsidP="009157DC">
      <w:pPr>
        <w:pStyle w:val="SingleTxtG"/>
        <w:ind w:firstLine="567"/>
        <w:rPr>
          <w:lang w:val="ru-RU"/>
        </w:rPr>
      </w:pPr>
      <w:r w:rsidRPr="00F226CF">
        <w:rPr>
          <w:lang w:val="ru-RU"/>
        </w:rPr>
        <w:t>13.</w:t>
      </w:r>
      <w:r w:rsidRPr="00F226CF">
        <w:rPr>
          <w:lang w:val="ru-RU"/>
        </w:rPr>
        <w:tab/>
      </w:r>
      <w:r w:rsidR="00F226CF" w:rsidRPr="00044951">
        <w:rPr>
          <w:i/>
          <w:lang w:val="ru-RU"/>
        </w:rPr>
        <w:t>настоятельно призывает</w:t>
      </w:r>
      <w:r w:rsidR="00F226CF">
        <w:rPr>
          <w:lang w:val="ru-RU"/>
        </w:rPr>
        <w:t xml:space="preserve"> Стороны учитывать в своей будущей работе рекомендации по дальнейшему повышению эффективности осуществления и соблюдения Конвенции, в том числе путем укрепления национального законодательства, на основе анализа, но не ограничиваясь им, общих вопросов соблюдения, вытекающих из обзоров осуществления, принятых решениями </w:t>
      </w:r>
      <w:r w:rsidR="00CB2CE8" w:rsidRPr="00A0384A">
        <w:t>III</w:t>
      </w:r>
      <w:r w:rsidR="00CB2CE8" w:rsidRPr="00CB2CE8">
        <w:rPr>
          <w:lang w:val="ru-RU"/>
        </w:rPr>
        <w:t xml:space="preserve">/1, </w:t>
      </w:r>
      <w:r w:rsidR="00CB2CE8" w:rsidRPr="00A0384A">
        <w:t>IV</w:t>
      </w:r>
      <w:r w:rsidR="00CB2CE8" w:rsidRPr="00CB2CE8">
        <w:rPr>
          <w:lang w:val="ru-RU"/>
        </w:rPr>
        <w:t xml:space="preserve">/1, </w:t>
      </w:r>
      <w:r w:rsidR="00CB2CE8" w:rsidRPr="00A0384A">
        <w:t>V</w:t>
      </w:r>
      <w:r w:rsidR="00CB2CE8" w:rsidRPr="00CB2CE8">
        <w:rPr>
          <w:lang w:val="ru-RU"/>
        </w:rPr>
        <w:t xml:space="preserve">/3, </w:t>
      </w:r>
      <w:r w:rsidR="00CB2CE8" w:rsidRPr="00A0384A">
        <w:t>VI</w:t>
      </w:r>
      <w:r w:rsidR="00CB2CE8" w:rsidRPr="00CB2CE8">
        <w:rPr>
          <w:lang w:val="ru-RU"/>
        </w:rPr>
        <w:t xml:space="preserve">/1, </w:t>
      </w:r>
      <w:r w:rsidR="00CB2CE8">
        <w:t>VII</w:t>
      </w:r>
      <w:r w:rsidR="00CB2CE8" w:rsidRPr="00CB2CE8">
        <w:rPr>
          <w:lang w:val="ru-RU"/>
        </w:rPr>
        <w:t xml:space="preserve">/1 </w:t>
      </w:r>
      <w:r w:rsidR="00CB2CE8">
        <w:rPr>
          <w:lang w:val="ru-RU"/>
        </w:rPr>
        <w:t>и</w:t>
      </w:r>
      <w:r w:rsidR="00CB2CE8" w:rsidRPr="00CB2CE8">
        <w:rPr>
          <w:lang w:val="ru-RU"/>
        </w:rPr>
        <w:t xml:space="preserve"> </w:t>
      </w:r>
      <w:r w:rsidR="00CB2CE8">
        <w:t>VIII</w:t>
      </w:r>
      <w:r w:rsidR="00CB2CE8" w:rsidRPr="00CB2CE8">
        <w:rPr>
          <w:lang w:val="ru-RU"/>
        </w:rPr>
        <w:t>/5</w:t>
      </w:r>
      <w:r w:rsidR="00EE7171">
        <w:rPr>
          <w:lang w:val="ru-RU"/>
        </w:rPr>
        <w:t>;</w:t>
      </w:r>
    </w:p>
    <w:p w14:paraId="093607AE" w14:textId="6B0D1187" w:rsidR="00675E53" w:rsidRDefault="009157DC" w:rsidP="00B66EBA">
      <w:pPr>
        <w:pStyle w:val="SingleTxtG"/>
        <w:ind w:firstLine="567"/>
        <w:rPr>
          <w:lang w:val="ru-RU"/>
        </w:rPr>
      </w:pPr>
      <w:r w:rsidRPr="00551DBF">
        <w:rPr>
          <w:lang w:val="ru-RU"/>
        </w:rPr>
        <w:t>14.</w:t>
      </w:r>
      <w:r w:rsidRPr="00551DBF">
        <w:rPr>
          <w:lang w:val="ru-RU"/>
        </w:rPr>
        <w:tab/>
      </w:r>
      <w:r w:rsidR="00551DBF" w:rsidRPr="00044951">
        <w:rPr>
          <w:i/>
          <w:lang w:val="ru-RU"/>
        </w:rPr>
        <w:t>настоятельно призывает</w:t>
      </w:r>
      <w:r w:rsidR="00551DBF">
        <w:rPr>
          <w:lang w:val="ru-RU"/>
        </w:rPr>
        <w:t xml:space="preserve"> Стороны принимать во внимание в своей дальнейшей работе мнения Комитета по осуществлению, выработанные в период 2001−20</w:t>
      </w:r>
      <w:r w:rsidR="001C747C">
        <w:rPr>
          <w:lang w:val="ru-RU"/>
        </w:rPr>
        <w:t>20</w:t>
      </w:r>
      <w:r w:rsidR="00551DBF">
        <w:rPr>
          <w:lang w:val="ru-RU"/>
        </w:rPr>
        <w:t xml:space="preserve"> годов, и просит секретариат организовать новый выпуск неофициальной электронной публикации этих </w:t>
      </w:r>
      <w:r w:rsidR="00384775">
        <w:rPr>
          <w:lang w:val="ru-RU"/>
        </w:rPr>
        <w:t>мнений с целью включения в него мнений Комитета за период 201</w:t>
      </w:r>
      <w:r w:rsidR="00675E53">
        <w:rPr>
          <w:lang w:val="ru-RU"/>
        </w:rPr>
        <w:t>9</w:t>
      </w:r>
      <w:r w:rsidR="00384775">
        <w:rPr>
          <w:lang w:val="ru-RU"/>
        </w:rPr>
        <w:t>−20</w:t>
      </w:r>
      <w:r w:rsidR="00675E53">
        <w:rPr>
          <w:lang w:val="ru-RU"/>
        </w:rPr>
        <w:t>20</w:t>
      </w:r>
      <w:r w:rsidR="00384775">
        <w:rPr>
          <w:lang w:val="ru-RU"/>
        </w:rPr>
        <w:t xml:space="preserve"> годов;</w:t>
      </w:r>
    </w:p>
    <w:p w14:paraId="3D2CA49D" w14:textId="4F939E93" w:rsidR="005A4B0A" w:rsidRPr="00C67AFC" w:rsidRDefault="009157DC" w:rsidP="00C67AFC">
      <w:pPr>
        <w:pStyle w:val="SingleTxtG"/>
        <w:ind w:firstLine="567"/>
        <w:rPr>
          <w:lang w:val="ru-RU"/>
        </w:rPr>
      </w:pPr>
      <w:r w:rsidRPr="00422D34">
        <w:rPr>
          <w:lang w:val="ru-RU"/>
        </w:rPr>
        <w:t>15.</w:t>
      </w:r>
      <w:r w:rsidRPr="00422D34">
        <w:rPr>
          <w:i/>
          <w:iCs/>
          <w:lang w:val="ru-RU"/>
        </w:rPr>
        <w:tab/>
      </w:r>
      <w:r w:rsidR="005A4B0A" w:rsidRPr="00422D34">
        <w:rPr>
          <w:i/>
          <w:iCs/>
          <w:lang w:val="ru-RU"/>
        </w:rPr>
        <w:t xml:space="preserve">принимает </w:t>
      </w:r>
      <w:r w:rsidR="005A4B0A" w:rsidRPr="00422D34">
        <w:rPr>
          <w:lang w:val="ru-RU"/>
        </w:rPr>
        <w:t>поправку к</w:t>
      </w:r>
      <w:r w:rsidR="00422D34">
        <w:rPr>
          <w:lang w:val="ru-RU"/>
        </w:rPr>
        <w:t xml:space="preserve"> рабочим правилам Комитета по осуществлению</w:t>
      </w:r>
      <w:r w:rsidR="00B26AB6" w:rsidRPr="00B26AB6">
        <w:rPr>
          <w:lang w:val="ru-RU"/>
        </w:rPr>
        <w:t xml:space="preserve"> содержащуюся в приложении к настоящему решению, которая должна применяться к любому совещанию и к любому другому порядку работы Комитета и </w:t>
      </w:r>
      <w:r w:rsidR="00903A5A" w:rsidRPr="00903A5A">
        <w:rPr>
          <w:lang w:val="ru-RU"/>
        </w:rPr>
        <w:t xml:space="preserve">должна рассматриваться вместе со структурой, функциями и процедурами, </w:t>
      </w:r>
      <w:r w:rsidR="00903A5A" w:rsidRPr="00B66EBA">
        <w:rPr>
          <w:lang w:val="ru-RU"/>
        </w:rPr>
        <w:t>изложенными в добавлении к решению III/2 Совещания Сторон Конвенции, и в соответствии с поправками, внесенными на основе решений V/4 и VI/2, а также решения V/6-I/6 Совещания Сторон Конвенции и Совещания Сторон Конвенции, действующего в качестве Совещания Сторон Протокола, и просит секретариат</w:t>
      </w:r>
      <w:r w:rsidR="00C67AFC" w:rsidRPr="00B66EBA">
        <w:rPr>
          <w:lang w:val="ru-RU"/>
        </w:rPr>
        <w:t xml:space="preserve"> </w:t>
      </w:r>
      <w:r w:rsidR="00B26AB6" w:rsidRPr="00B66EBA">
        <w:rPr>
          <w:lang w:val="ru-RU"/>
        </w:rPr>
        <w:t>обеспечить публикацию измененных рабочих правил в электронном или бумажном формате;</w:t>
      </w:r>
    </w:p>
    <w:p w14:paraId="389C7795" w14:textId="008A15D2" w:rsidR="005F50C3" w:rsidRPr="00902887" w:rsidRDefault="009157DC" w:rsidP="00902887">
      <w:pPr>
        <w:pStyle w:val="SingleTxtG"/>
        <w:ind w:firstLine="567"/>
        <w:rPr>
          <w:lang w:val="ru-RU"/>
        </w:rPr>
      </w:pPr>
      <w:bookmarkStart w:id="4" w:name="_Hlk35099642"/>
      <w:r w:rsidRPr="005F50C3">
        <w:rPr>
          <w:iCs/>
          <w:lang w:val="ru-RU"/>
        </w:rPr>
        <w:t>16.</w:t>
      </w:r>
      <w:r w:rsidRPr="005F50C3">
        <w:rPr>
          <w:iCs/>
          <w:lang w:val="ru-RU"/>
        </w:rPr>
        <w:tab/>
      </w:r>
      <w:r w:rsidR="005F50C3" w:rsidRPr="00044951">
        <w:rPr>
          <w:i/>
          <w:lang w:val="ru-RU"/>
        </w:rPr>
        <w:t>постановляет</w:t>
      </w:r>
      <w:r w:rsidR="005F50C3">
        <w:rPr>
          <w:lang w:val="ru-RU"/>
        </w:rPr>
        <w:t xml:space="preserve"> периодически рассматривать и, при необходимости, доработать структуру и функции Комитета по осуществлению, а также его рабочие правила на </w:t>
      </w:r>
      <w:r w:rsidR="00D408D2">
        <w:rPr>
          <w:lang w:val="ru-RU"/>
        </w:rPr>
        <w:t>девятой</w:t>
      </w:r>
      <w:r w:rsidR="005F50C3">
        <w:rPr>
          <w:lang w:val="ru-RU"/>
        </w:rPr>
        <w:t xml:space="preserve"> сессии в свете опыта, накопленного Комитетом в период между сессиями,</w:t>
      </w:r>
      <w:r w:rsidRPr="005F50C3">
        <w:rPr>
          <w:iCs/>
          <w:lang w:val="ru-RU"/>
        </w:rPr>
        <w:t xml:space="preserve"> </w:t>
      </w:r>
      <w:r w:rsidR="00EB4AAB" w:rsidRPr="00EB4AAB">
        <w:rPr>
          <w:iCs/>
          <w:lang w:val="ru-RU"/>
        </w:rPr>
        <w:t xml:space="preserve">а </w:t>
      </w:r>
      <w:r w:rsidR="00EB4AAB" w:rsidRPr="00B66EBA">
        <w:rPr>
          <w:iCs/>
          <w:lang w:val="ru-RU"/>
        </w:rPr>
        <w:t>также с целью повышения согласованности и сокращения дублирования между этими двумя сводами правил и более широкого использования видеоконференций и других средств онлайновой и электронной коммуникации в качестве эффективного средства управления рабочей нагрузкой Комитета;</w:t>
      </w:r>
      <w:r w:rsidR="002A5A8F" w:rsidRPr="002A5A8F">
        <w:rPr>
          <w:iCs/>
          <w:lang w:val="ru-RU"/>
        </w:rPr>
        <w:t xml:space="preserve"> </w:t>
      </w:r>
      <w:r w:rsidR="002A5A8F">
        <w:rPr>
          <w:lang w:val="ru-RU"/>
        </w:rPr>
        <w:t>и просит Комитет подготовить для девятой сессии Совещания Сторон любые предложения, которые он сочтет необходимыми.</w:t>
      </w:r>
    </w:p>
    <w:bookmarkEnd w:id="4"/>
    <w:p w14:paraId="6E54CEAD" w14:textId="068D63B0" w:rsidR="009157DC" w:rsidRPr="0018709C" w:rsidRDefault="009157DC" w:rsidP="0090288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lang w:val="ru-RU"/>
        </w:rPr>
      </w:pPr>
      <w:r w:rsidRPr="00902887">
        <w:rPr>
          <w:b/>
          <w:sz w:val="24"/>
          <w:lang w:val="ru-RU"/>
        </w:rPr>
        <w:tab/>
      </w:r>
      <w:r w:rsidRPr="00902887">
        <w:rPr>
          <w:b/>
          <w:sz w:val="24"/>
          <w:lang w:val="ru-RU"/>
        </w:rPr>
        <w:tab/>
      </w:r>
      <w:r w:rsidR="00902887" w:rsidRPr="00902887">
        <w:rPr>
          <w:b/>
          <w:lang w:val="ru-RU"/>
        </w:rPr>
        <w:t xml:space="preserve">Приложение к проекту решения </w:t>
      </w:r>
      <w:r w:rsidR="00902887" w:rsidRPr="00902887">
        <w:rPr>
          <w:b/>
        </w:rPr>
        <w:t>VIII</w:t>
      </w:r>
      <w:r w:rsidR="00902887" w:rsidRPr="00902887">
        <w:rPr>
          <w:b/>
          <w:lang w:val="ru-RU"/>
        </w:rPr>
        <w:t xml:space="preserve">/4: Поправка к </w:t>
      </w:r>
      <w:r w:rsidR="00902887">
        <w:rPr>
          <w:b/>
          <w:lang w:val="ru-RU"/>
        </w:rPr>
        <w:t xml:space="preserve">рабочим </w:t>
      </w:r>
      <w:r w:rsidR="00902887" w:rsidRPr="00902887">
        <w:rPr>
          <w:b/>
          <w:lang w:val="ru-RU"/>
        </w:rPr>
        <w:t>правилам Комитета по осуществлению</w:t>
      </w:r>
      <w:r w:rsidR="00902887" w:rsidRPr="00902887">
        <w:rPr>
          <w:b/>
          <w:sz w:val="24"/>
          <w:lang w:val="ru-RU"/>
        </w:rPr>
        <w:t xml:space="preserve"> </w:t>
      </w:r>
    </w:p>
    <w:p w14:paraId="328C7674" w14:textId="3E9AACB0" w:rsidR="00C17671" w:rsidRPr="00C17671" w:rsidRDefault="00C17671" w:rsidP="00A22D00">
      <w:pPr>
        <w:spacing w:after="120"/>
        <w:ind w:left="1134" w:right="1134" w:firstLine="567"/>
        <w:jc w:val="both"/>
        <w:rPr>
          <w:lang w:val="ru-RU"/>
        </w:rPr>
      </w:pPr>
      <w:r w:rsidRPr="00B66EBA">
        <w:rPr>
          <w:lang w:val="ru-RU"/>
        </w:rPr>
        <w:t xml:space="preserve">Учитывая, что крайний срок распространения документов для заседаний среди членов Комитета составляет не менее двух недель до начала сессии Комитета, на которой они будут рассматриваться (как это предусмотрено в правиле 10 оперативных правил Комитета по осуществлению (решение </w:t>
      </w:r>
      <w:r w:rsidRPr="00B66EBA">
        <w:t>IV</w:t>
      </w:r>
      <w:r w:rsidRPr="00B66EBA">
        <w:rPr>
          <w:lang w:val="ru-RU"/>
        </w:rPr>
        <w:t xml:space="preserve">/2, приложение </w:t>
      </w:r>
      <w:r w:rsidRPr="00B66EBA">
        <w:t>IV</w:t>
      </w:r>
      <w:r w:rsidRPr="00B66EBA">
        <w:rPr>
          <w:lang w:val="ru-RU"/>
        </w:rPr>
        <w:t xml:space="preserve">, с поправками, внесенными в него решениями </w:t>
      </w:r>
      <w:r w:rsidRPr="00B66EBA">
        <w:t>V</w:t>
      </w:r>
      <w:r w:rsidRPr="00B66EBA">
        <w:rPr>
          <w:lang w:val="ru-RU"/>
        </w:rPr>
        <w:t xml:space="preserve">/4 и </w:t>
      </w:r>
      <w:r w:rsidRPr="00B66EBA">
        <w:t>VI</w:t>
      </w:r>
      <w:r w:rsidRPr="00B66EBA">
        <w:rPr>
          <w:lang w:val="ru-RU"/>
        </w:rPr>
        <w:t xml:space="preserve">/2, приложение </w:t>
      </w:r>
      <w:r w:rsidRPr="00B66EBA">
        <w:t>II</w:t>
      </w:r>
      <w:r w:rsidRPr="00B66EBA">
        <w:rPr>
          <w:lang w:val="ru-RU"/>
        </w:rPr>
        <w:t>), скорректировать предельный срок представления Сторонами информации Комитету, о котором говорится в пункте 4 правила 11, с двух до четырех недель до начала этой сессии, с тем чтобы этот пункт был сформулирован следующим образом:</w:t>
      </w:r>
    </w:p>
    <w:p w14:paraId="192B68FC" w14:textId="32A631ED" w:rsidR="005A7A26" w:rsidRPr="005A7A26" w:rsidRDefault="009157DC" w:rsidP="005A7A26">
      <w:pPr>
        <w:ind w:left="1701" w:right="1134"/>
        <w:rPr>
          <w:lang w:val="ru-RU"/>
        </w:rPr>
      </w:pPr>
      <w:r w:rsidRPr="0018709C">
        <w:rPr>
          <w:lang w:val="ru-RU"/>
        </w:rPr>
        <w:tab/>
      </w:r>
      <w:r w:rsidRPr="005A7A26">
        <w:rPr>
          <w:lang w:val="ru-RU"/>
        </w:rPr>
        <w:t xml:space="preserve">“4. </w:t>
      </w:r>
      <w:r w:rsidR="00031C4D">
        <w:rPr>
          <w:lang w:val="ru-RU"/>
        </w:rPr>
        <w:tab/>
      </w:r>
      <w:r w:rsidR="005A7A26" w:rsidRPr="005A7A26">
        <w:rPr>
          <w:lang w:val="ru-RU"/>
        </w:rPr>
        <w:t>Как правило, любая новая важная информация представляется</w:t>
      </w:r>
    </w:p>
    <w:p w14:paraId="2A918390" w14:textId="2A2E19D1" w:rsidR="00A35F8C" w:rsidRPr="00661908" w:rsidRDefault="005A7A26" w:rsidP="00661908">
      <w:pPr>
        <w:ind w:left="1701" w:right="1134"/>
        <w:rPr>
          <w:lang w:val="ru-RU"/>
        </w:rPr>
      </w:pPr>
      <w:r w:rsidRPr="005A7A26">
        <w:rPr>
          <w:lang w:val="ru-RU"/>
        </w:rPr>
        <w:t xml:space="preserve">вовлеченными Сторонами в Комитет через секретариат не позднее чем за </w:t>
      </w:r>
      <w:r w:rsidR="009663F0">
        <w:rPr>
          <w:lang w:val="ru-RU"/>
        </w:rPr>
        <w:t xml:space="preserve">четыре </w:t>
      </w:r>
      <w:r w:rsidR="00031C4D" w:rsidRPr="005A7A26">
        <w:rPr>
          <w:lang w:val="ru-RU"/>
        </w:rPr>
        <w:t>недели до</w:t>
      </w:r>
      <w:r w:rsidRPr="005A7A26">
        <w:rPr>
          <w:lang w:val="ru-RU"/>
        </w:rPr>
        <w:t xml:space="preserve"> начала совещания, на котором будет рассматриваться поднятый</w:t>
      </w:r>
      <w:r w:rsidR="00031C4D">
        <w:rPr>
          <w:lang w:val="ru-RU"/>
        </w:rPr>
        <w:t xml:space="preserve"> </w:t>
      </w:r>
      <w:r w:rsidRPr="009663F0">
        <w:rPr>
          <w:lang w:val="ru-RU"/>
        </w:rPr>
        <w:t>вопрос</w:t>
      </w:r>
      <w:r w:rsidR="009663F0">
        <w:rPr>
          <w:lang w:val="ru-RU"/>
        </w:rPr>
        <w:t>.</w:t>
      </w:r>
      <w:r w:rsidR="009157DC" w:rsidRPr="00661908">
        <w:rPr>
          <w:lang w:val="ru-RU"/>
        </w:rPr>
        <w:t xml:space="preserve">” </w:t>
      </w:r>
    </w:p>
    <w:p w14:paraId="513C1187" w14:textId="5AF52C7A" w:rsidR="00C733AC" w:rsidRPr="00C733AC" w:rsidRDefault="00A35F8C" w:rsidP="0098230E">
      <w:pPr>
        <w:pStyle w:val="HChG"/>
        <w:ind w:right="909" w:hanging="567"/>
        <w:jc w:val="both"/>
        <w:rPr>
          <w:lang w:val="ru-RU"/>
        </w:rPr>
      </w:pPr>
      <w:r w:rsidRPr="0018709C">
        <w:rPr>
          <w:lang w:val="ru-RU"/>
        </w:rPr>
        <w:lastRenderedPageBreak/>
        <w:t>2.</w:t>
      </w:r>
      <w:r w:rsidRPr="0018709C">
        <w:rPr>
          <w:lang w:val="ru-RU"/>
        </w:rPr>
        <w:tab/>
      </w:r>
      <w:r w:rsidRPr="0018709C">
        <w:rPr>
          <w:lang w:val="ru-RU"/>
        </w:rPr>
        <w:tab/>
      </w:r>
      <w:r w:rsidR="0016657E" w:rsidRPr="00C86618">
        <w:rPr>
          <w:lang w:val="ru-RU"/>
        </w:rPr>
        <w:t>Проект</w:t>
      </w:r>
      <w:r w:rsidR="0016657E" w:rsidRPr="00C733AC">
        <w:rPr>
          <w:lang w:val="ru-RU"/>
        </w:rPr>
        <w:t xml:space="preserve"> </w:t>
      </w:r>
      <w:r w:rsidR="0016657E" w:rsidRPr="00C86618">
        <w:rPr>
          <w:lang w:val="ru-RU"/>
        </w:rPr>
        <w:t>решения</w:t>
      </w:r>
      <w:r w:rsidRPr="00C733AC">
        <w:rPr>
          <w:lang w:val="ru-RU"/>
        </w:rPr>
        <w:t xml:space="preserve"> </w:t>
      </w:r>
      <w:r>
        <w:t>VIII</w:t>
      </w:r>
      <w:r w:rsidRPr="00C733AC">
        <w:rPr>
          <w:lang w:val="ru-RU"/>
        </w:rPr>
        <w:t>/4</w:t>
      </w:r>
      <w:r w:rsidRPr="00157293">
        <w:t>a</w:t>
      </w:r>
      <w:r w:rsidRPr="00C733AC">
        <w:rPr>
          <w:lang w:val="ru-RU"/>
        </w:rPr>
        <w:t xml:space="preserve"> </w:t>
      </w:r>
      <w:r w:rsidR="001E0730" w:rsidRPr="00C86618">
        <w:rPr>
          <w:lang w:val="ru-RU"/>
        </w:rPr>
        <w:t>о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соблюдении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Арменией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ее</w:t>
      </w:r>
      <w:r w:rsidR="001E0730">
        <w:rPr>
          <w:lang w:val="en-US"/>
        </w:rPr>
        <w:t> </w:t>
      </w:r>
      <w:r w:rsidR="001E0730" w:rsidRPr="00C86618">
        <w:rPr>
          <w:lang w:val="ru-RU"/>
        </w:rPr>
        <w:t>обязательств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по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Конвенции</w:t>
      </w:r>
      <w:r w:rsidR="001E0730" w:rsidRPr="00C733AC">
        <w:rPr>
          <w:lang w:val="ru-RU"/>
        </w:rPr>
        <w:t xml:space="preserve"> </w:t>
      </w:r>
      <w:r w:rsidR="00C733AC">
        <w:rPr>
          <w:lang w:val="ru-RU"/>
        </w:rPr>
        <w:t>в отношении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национального</w:t>
      </w:r>
      <w:r w:rsidR="001E0730" w:rsidRPr="00C733AC">
        <w:rPr>
          <w:lang w:val="ru-RU"/>
        </w:rPr>
        <w:t xml:space="preserve"> </w:t>
      </w:r>
      <w:r w:rsidR="001E0730" w:rsidRPr="00C86618">
        <w:rPr>
          <w:lang w:val="ru-RU"/>
        </w:rPr>
        <w:t>законодательства</w:t>
      </w:r>
      <w:r w:rsidR="001E0730" w:rsidRPr="00C733AC">
        <w:rPr>
          <w:lang w:val="ru-RU"/>
        </w:rPr>
        <w:t xml:space="preserve"> </w:t>
      </w:r>
    </w:p>
    <w:p w14:paraId="4F6DDDD1" w14:textId="2FE491D0" w:rsidR="00F63735" w:rsidRPr="0018709C" w:rsidRDefault="00F63735" w:rsidP="00F63735">
      <w:pPr>
        <w:pStyle w:val="SingleTxtG"/>
        <w:spacing w:before="120"/>
        <w:ind w:firstLine="567"/>
        <w:rPr>
          <w:rStyle w:val="Emphasis"/>
          <w:lang w:val="ru-RU"/>
        </w:rPr>
      </w:pPr>
      <w:bookmarkStart w:id="5" w:name="_Hlk530410511"/>
      <w:r w:rsidRPr="00C86618">
        <w:rPr>
          <w:rStyle w:val="Emphasis"/>
          <w:lang w:val="ru-RU"/>
        </w:rPr>
        <w:t>Совещание</w:t>
      </w:r>
      <w:r w:rsidRPr="0018709C">
        <w:rPr>
          <w:rStyle w:val="Emphasis"/>
          <w:lang w:val="ru-RU"/>
        </w:rPr>
        <w:t xml:space="preserve"> </w:t>
      </w:r>
      <w:r w:rsidRPr="00C86618">
        <w:rPr>
          <w:rStyle w:val="Emphasis"/>
          <w:lang w:val="ru-RU"/>
        </w:rPr>
        <w:t>Сторон</w:t>
      </w:r>
      <w:r w:rsidRPr="0018709C">
        <w:rPr>
          <w:rStyle w:val="Emphasis"/>
          <w:lang w:val="ru-RU"/>
        </w:rPr>
        <w:t xml:space="preserve"> </w:t>
      </w:r>
      <w:r>
        <w:rPr>
          <w:rStyle w:val="Emphasis"/>
          <w:lang w:val="ru-RU"/>
        </w:rPr>
        <w:t>Конвенции</w:t>
      </w:r>
      <w:r w:rsidRPr="0018709C">
        <w:rPr>
          <w:rStyle w:val="Emphasis"/>
          <w:lang w:val="ru-RU"/>
        </w:rPr>
        <w:t xml:space="preserve">, </w:t>
      </w:r>
    </w:p>
    <w:p w14:paraId="4AF9AA6E" w14:textId="77777777" w:rsidR="00120C8A" w:rsidRPr="00C86618" w:rsidRDefault="00120C8A" w:rsidP="00120C8A">
      <w:pPr>
        <w:pStyle w:val="SingleTxtG"/>
        <w:ind w:firstLine="567"/>
        <w:rPr>
          <w:lang w:val="ru-RU"/>
        </w:rPr>
      </w:pPr>
      <w:r w:rsidRPr="00C86618">
        <w:rPr>
          <w:rStyle w:val="Emphasis"/>
          <w:lang w:val="ru-RU"/>
        </w:rPr>
        <w:t>ссылаясь</w:t>
      </w:r>
      <w:r w:rsidRPr="00C86618">
        <w:rPr>
          <w:lang w:val="ru-RU"/>
        </w:rPr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14:paraId="00837528" w14:textId="0FC70DE3" w:rsidR="00120C8A" w:rsidRPr="0018709C" w:rsidRDefault="00B03044" w:rsidP="00C9159D">
      <w:pPr>
        <w:pStyle w:val="SingleTxtG"/>
        <w:ind w:firstLine="567"/>
        <w:rPr>
          <w:lang w:val="ru-RU"/>
        </w:rPr>
      </w:pPr>
      <w:r w:rsidRPr="00C86618">
        <w:rPr>
          <w:rStyle w:val="Emphasis"/>
          <w:lang w:val="ru-RU"/>
        </w:rPr>
        <w:t>ссылаясь</w:t>
      </w:r>
      <w:r w:rsidRPr="00F874E4">
        <w:rPr>
          <w:rStyle w:val="Emphasis"/>
          <w:lang w:val="ru-RU"/>
        </w:rPr>
        <w:t xml:space="preserve"> </w:t>
      </w:r>
      <w:r w:rsidRPr="00C86618">
        <w:rPr>
          <w:rStyle w:val="Emphasis"/>
          <w:lang w:val="ru-RU"/>
        </w:rPr>
        <w:t>также</w:t>
      </w:r>
      <w:r w:rsidRPr="00F874E4">
        <w:rPr>
          <w:lang w:val="ru-RU"/>
        </w:rPr>
        <w:t xml:space="preserve"> </w:t>
      </w:r>
      <w:r>
        <w:rPr>
          <w:lang w:val="ru-RU"/>
        </w:rPr>
        <w:t>на</w:t>
      </w:r>
      <w:r w:rsidRPr="00F874E4">
        <w:rPr>
          <w:lang w:val="ru-RU"/>
        </w:rPr>
        <w:t xml:space="preserve"> </w:t>
      </w:r>
      <w:r>
        <w:rPr>
          <w:lang w:val="ru-RU"/>
        </w:rPr>
        <w:t>пункты</w:t>
      </w:r>
      <w:r w:rsidRPr="00F874E4">
        <w:rPr>
          <w:lang w:val="ru-RU"/>
        </w:rPr>
        <w:t xml:space="preserve"> 15–19</w:t>
      </w:r>
      <w:r w:rsidR="00CC464A">
        <w:rPr>
          <w:lang w:val="ru-RU"/>
        </w:rPr>
        <w:t xml:space="preserve"> </w:t>
      </w:r>
      <w:r w:rsidR="00CC464A" w:rsidRPr="00C86618">
        <w:rPr>
          <w:lang w:val="ru-RU"/>
        </w:rPr>
        <w:t>своего решения IV/2</w:t>
      </w:r>
      <w:r>
        <w:rPr>
          <w:rStyle w:val="FootnoteReference"/>
        </w:rPr>
        <w:footnoteReference w:id="9"/>
      </w:r>
      <w:r w:rsidR="00CC464A">
        <w:rPr>
          <w:lang w:val="ru-RU"/>
        </w:rPr>
        <w:t xml:space="preserve">, </w:t>
      </w:r>
      <w:r w:rsidR="00F874E4">
        <w:rPr>
          <w:lang w:val="ru-RU"/>
        </w:rPr>
        <w:t>пункты 27–</w:t>
      </w:r>
      <w:r w:rsidR="00F874E4" w:rsidRPr="00C86618">
        <w:rPr>
          <w:lang w:val="ru-RU"/>
        </w:rPr>
        <w:t>28 своего решения V/4</w:t>
      </w:r>
      <w:r w:rsidR="00B459DA">
        <w:rPr>
          <w:rStyle w:val="FootnoteReference"/>
        </w:rPr>
        <w:footnoteReference w:id="10"/>
      </w:r>
      <w:r w:rsidR="00F874E4">
        <w:rPr>
          <w:lang w:val="ru-RU"/>
        </w:rPr>
        <w:t xml:space="preserve">, </w:t>
      </w:r>
      <w:r w:rsidR="00B459DA">
        <w:rPr>
          <w:lang w:val="ru-RU"/>
        </w:rPr>
        <w:t>пункты 29–</w:t>
      </w:r>
      <w:r w:rsidR="00B459DA" w:rsidRPr="00C86618">
        <w:rPr>
          <w:lang w:val="ru-RU"/>
        </w:rPr>
        <w:t>35 своего решения VI/2</w:t>
      </w:r>
      <w:r w:rsidR="00B459DA">
        <w:rPr>
          <w:rStyle w:val="FootnoteReference"/>
        </w:rPr>
        <w:footnoteReference w:id="11"/>
      </w:r>
      <w:r w:rsidR="008D5949">
        <w:rPr>
          <w:lang w:val="ru-RU"/>
        </w:rPr>
        <w:t xml:space="preserve">, и решения </w:t>
      </w:r>
      <w:r w:rsidR="008D5949">
        <w:t>IS</w:t>
      </w:r>
      <w:r w:rsidR="008D5949" w:rsidRPr="008D5949">
        <w:rPr>
          <w:lang w:val="ru-RU"/>
        </w:rPr>
        <w:t>/1</w:t>
      </w:r>
      <w:r w:rsidR="008D5949">
        <w:t>a</w:t>
      </w:r>
      <w:r w:rsidR="008D5949">
        <w:rPr>
          <w:rStyle w:val="FootnoteReference"/>
        </w:rPr>
        <w:footnoteReference w:id="12"/>
      </w:r>
      <w:r w:rsidR="00C9159D">
        <w:rPr>
          <w:lang w:val="ru-RU"/>
        </w:rPr>
        <w:t xml:space="preserve"> </w:t>
      </w:r>
      <w:r w:rsidR="00C9159D" w:rsidRPr="00C9159D">
        <w:rPr>
          <w:lang w:val="ru-RU"/>
        </w:rPr>
        <w:t>относительно соблюдения</w:t>
      </w:r>
      <w:r w:rsidR="00C9159D">
        <w:rPr>
          <w:lang w:val="ru-RU"/>
        </w:rPr>
        <w:t xml:space="preserve"> </w:t>
      </w:r>
      <w:r w:rsidR="00C9159D" w:rsidRPr="00C9159D">
        <w:rPr>
          <w:lang w:val="ru-RU"/>
        </w:rPr>
        <w:t>Арменией национального законодательства по осуществлению Конвенции</w:t>
      </w:r>
      <w:r w:rsidR="00796867" w:rsidRPr="0018709C">
        <w:rPr>
          <w:lang w:val="ru-RU"/>
        </w:rPr>
        <w:t>,</w:t>
      </w:r>
    </w:p>
    <w:p w14:paraId="7A86F84C" w14:textId="43A6B8B9" w:rsidR="00345671" w:rsidRPr="00201859" w:rsidRDefault="00345671" w:rsidP="00A35F8C">
      <w:pPr>
        <w:pStyle w:val="SingleTxtG"/>
        <w:ind w:firstLine="567"/>
        <w:rPr>
          <w:lang w:val="ru-RU"/>
        </w:rPr>
      </w:pPr>
      <w:r w:rsidRPr="00C86618">
        <w:rPr>
          <w:rStyle w:val="Emphasis"/>
          <w:lang w:val="ru-RU"/>
        </w:rPr>
        <w:t>рассмотрев</w:t>
      </w:r>
      <w:r w:rsidRPr="008B6ACE">
        <w:rPr>
          <w:lang w:val="ru-RU"/>
        </w:rPr>
        <w:t xml:space="preserve"> </w:t>
      </w:r>
      <w:r w:rsidR="008B6ACE" w:rsidRPr="00C86618">
        <w:rPr>
          <w:lang w:val="ru-RU"/>
        </w:rPr>
        <w:t xml:space="preserve">доклад о деятельности Комитета по осуществлению, представленного Совещанию Сторон Конвенции на его </w:t>
      </w:r>
      <w:r w:rsidR="008B6ACE">
        <w:rPr>
          <w:lang w:val="ru-RU"/>
        </w:rPr>
        <w:t>вось</w:t>
      </w:r>
      <w:r w:rsidR="008B6ACE" w:rsidRPr="00C86618">
        <w:rPr>
          <w:lang w:val="ru-RU"/>
        </w:rPr>
        <w:t>мой сессии</w:t>
      </w:r>
      <w:r w:rsidR="00201859">
        <w:rPr>
          <w:lang w:val="ru-RU"/>
        </w:rPr>
        <w:t>,</w:t>
      </w:r>
      <w:r w:rsidR="00201859" w:rsidRPr="00201859">
        <w:rPr>
          <w:lang w:val="ru-RU"/>
        </w:rPr>
        <w:t xml:space="preserve"> </w:t>
      </w:r>
      <w:r w:rsidR="00201859" w:rsidRPr="00B66EBA">
        <w:rPr>
          <w:lang w:val="ru-RU"/>
        </w:rPr>
        <w:t>в частности, раздел, касающийся шагов, предпринятых Арменией во исполнение решения IS/1a</w:t>
      </w:r>
      <w:r w:rsidR="00AD14EE" w:rsidRPr="00B66EBA">
        <w:rPr>
          <w:rStyle w:val="FootnoteReference"/>
        </w:rPr>
        <w:footnoteReference w:id="13"/>
      </w:r>
      <w:r w:rsidR="00AD14EE" w:rsidRPr="00B66EBA">
        <w:rPr>
          <w:lang w:val="ru-RU"/>
        </w:rPr>
        <w:t>,</w:t>
      </w:r>
    </w:p>
    <w:p w14:paraId="729B1002" w14:textId="103C5BDB" w:rsidR="00EB41E8" w:rsidRPr="006707DB" w:rsidRDefault="00EB41E8" w:rsidP="00D8554D">
      <w:pPr>
        <w:pStyle w:val="SingleTxtG"/>
        <w:ind w:firstLine="567"/>
        <w:rPr>
          <w:i/>
          <w:iCs/>
          <w:lang w:val="ru-RU"/>
        </w:rPr>
      </w:pPr>
      <w:r w:rsidRPr="00B66EBA">
        <w:rPr>
          <w:rStyle w:val="Emphasis"/>
          <w:lang w:val="ru-RU"/>
        </w:rPr>
        <w:t xml:space="preserve">ссылаясь </w:t>
      </w:r>
      <w:r w:rsidR="00A17C32" w:rsidRPr="00B66EBA">
        <w:rPr>
          <w:lang w:val="ru-RU"/>
        </w:rPr>
        <w:t xml:space="preserve">на свое решение </w:t>
      </w:r>
      <w:r w:rsidR="00A17C32" w:rsidRPr="00B66EBA">
        <w:t>VIII</w:t>
      </w:r>
      <w:r w:rsidR="00A17C32" w:rsidRPr="00B66EBA">
        <w:rPr>
          <w:lang w:val="ru-RU"/>
        </w:rPr>
        <w:t xml:space="preserve">/4 </w:t>
      </w:r>
      <w:r w:rsidR="00D8554D" w:rsidRPr="00B66EBA">
        <w:rPr>
          <w:lang w:val="ru-RU"/>
        </w:rPr>
        <w:t xml:space="preserve">об общих вопросах соблюдения Конвенции, </w:t>
      </w:r>
      <w:r w:rsidRPr="00B66EBA">
        <w:rPr>
          <w:lang w:val="ru-RU"/>
        </w:rPr>
        <w:t xml:space="preserve">принятое им на его </w:t>
      </w:r>
      <w:r w:rsidR="006707DB" w:rsidRPr="00B66EBA">
        <w:rPr>
          <w:lang w:val="ru-RU"/>
        </w:rPr>
        <w:t>восьмой</w:t>
      </w:r>
      <w:r w:rsidRPr="00B66EBA">
        <w:rPr>
          <w:lang w:val="ru-RU"/>
        </w:rPr>
        <w:t xml:space="preserve"> сессии</w:t>
      </w:r>
      <w:r w:rsidR="00D8554D" w:rsidRPr="00B66EBA">
        <w:rPr>
          <w:lang w:val="ru-RU"/>
        </w:rPr>
        <w:t>,</w:t>
      </w:r>
      <w:r w:rsidR="006707DB" w:rsidRPr="006707DB">
        <w:rPr>
          <w:lang w:val="ru-RU"/>
        </w:rPr>
        <w:t xml:space="preserve"> </w:t>
      </w:r>
    </w:p>
    <w:bookmarkEnd w:id="5"/>
    <w:p w14:paraId="38385BB3" w14:textId="61F0CEBF" w:rsidR="00744408" w:rsidRPr="00744408" w:rsidRDefault="008D3D6B" w:rsidP="00A35F8C">
      <w:pPr>
        <w:pStyle w:val="SingleTxtG"/>
        <w:ind w:firstLine="567"/>
        <w:rPr>
          <w:lang w:val="ru-RU"/>
        </w:rPr>
      </w:pPr>
      <w:r w:rsidRPr="00C86618">
        <w:rPr>
          <w:rStyle w:val="Emphasis"/>
          <w:lang w:val="ru-RU"/>
        </w:rPr>
        <w:t>принимая во внимание</w:t>
      </w:r>
      <w:r w:rsidRPr="00C86618">
        <w:rPr>
          <w:lang w:val="ru-RU"/>
        </w:rPr>
        <w:t xml:space="preserve"> техническую </w:t>
      </w:r>
      <w:r w:rsidR="00744408">
        <w:rPr>
          <w:lang w:val="ru-RU"/>
        </w:rPr>
        <w:t>поддержку</w:t>
      </w:r>
      <w:r w:rsidRPr="00C86618">
        <w:rPr>
          <w:lang w:val="ru-RU"/>
        </w:rPr>
        <w:t xml:space="preserve">, </w:t>
      </w:r>
      <w:r w:rsidR="00744408" w:rsidRPr="00744408">
        <w:rPr>
          <w:lang w:val="ru-RU"/>
        </w:rPr>
        <w:t xml:space="preserve">предоставленную секретариатом правительству Армении для оказания стране содействия в деле приведения ее законодательства в соответствие с положениями Конвенции и Протокола по стратегической экологической оценке во исполнение пункта 35 решения </w:t>
      </w:r>
      <w:r w:rsidR="00744408">
        <w:t>VI</w:t>
      </w:r>
      <w:r w:rsidR="00744408" w:rsidRPr="00744408">
        <w:rPr>
          <w:lang w:val="ru-RU"/>
        </w:rPr>
        <w:t>/2</w:t>
      </w:r>
      <w:r w:rsidR="00B60629">
        <w:rPr>
          <w:lang w:val="ru-RU"/>
        </w:rPr>
        <w:t>,</w:t>
      </w:r>
    </w:p>
    <w:p w14:paraId="53946B92" w14:textId="335385A4" w:rsidR="007611DC" w:rsidRPr="007611DC" w:rsidRDefault="00A35F8C" w:rsidP="00A35F8C">
      <w:pPr>
        <w:pStyle w:val="SingleTxtG"/>
        <w:ind w:firstLine="567"/>
        <w:rPr>
          <w:rStyle w:val="SingleTxtGChar"/>
          <w:lang w:val="ru-RU"/>
        </w:rPr>
      </w:pPr>
      <w:r w:rsidRPr="007611DC">
        <w:rPr>
          <w:rStyle w:val="SingleTxtGChar"/>
          <w:color w:val="000000"/>
          <w:lang w:val="ru-RU"/>
        </w:rPr>
        <w:t>1.</w:t>
      </w:r>
      <w:r w:rsidRPr="007611DC">
        <w:rPr>
          <w:rStyle w:val="SingleTxtGChar"/>
          <w:lang w:val="ru-RU"/>
        </w:rPr>
        <w:tab/>
      </w:r>
      <w:r w:rsidR="007611DC" w:rsidRPr="00B66EBA">
        <w:rPr>
          <w:rStyle w:val="Emphasis"/>
          <w:lang w:val="ru-RU"/>
        </w:rPr>
        <w:t xml:space="preserve">высоко оценивает </w:t>
      </w:r>
      <w:r w:rsidR="007611DC" w:rsidRPr="00B66EBA">
        <w:rPr>
          <w:lang w:val="ru-RU"/>
        </w:rPr>
        <w:t>доклады, регулярно получаемые от правительства Армении</w:t>
      </w:r>
      <w:r w:rsidR="00090C39" w:rsidRPr="00B66EBA">
        <w:rPr>
          <w:lang w:val="ru-RU"/>
        </w:rPr>
        <w:t xml:space="preserve">, </w:t>
      </w:r>
      <w:r w:rsidR="00477769" w:rsidRPr="00B66EBA">
        <w:rPr>
          <w:lang w:val="ru-RU"/>
        </w:rPr>
        <w:t xml:space="preserve">а также шаги, предпринятые им во исполнение решения IS/1a </w:t>
      </w:r>
      <w:r w:rsidR="007611DC" w:rsidRPr="00B66EBA">
        <w:rPr>
          <w:lang w:val="ru-RU"/>
        </w:rPr>
        <w:t>после промежуточной сессии Совещания Сторон (</w:t>
      </w:r>
      <w:r w:rsidR="007611DC">
        <w:rPr>
          <w:lang w:val="ru-RU"/>
        </w:rPr>
        <w:t xml:space="preserve">Женева, </w:t>
      </w:r>
      <w:r w:rsidR="00090C39">
        <w:rPr>
          <w:lang w:val="ru-RU"/>
        </w:rPr>
        <w:t>5</w:t>
      </w:r>
      <w:r w:rsidR="007611DC">
        <w:rPr>
          <w:lang w:val="ru-RU"/>
        </w:rPr>
        <w:t>–</w:t>
      </w:r>
      <w:r w:rsidR="00090C39">
        <w:rPr>
          <w:lang w:val="ru-RU"/>
        </w:rPr>
        <w:t>7</w:t>
      </w:r>
      <w:r w:rsidR="007611DC" w:rsidRPr="00C86618">
        <w:rPr>
          <w:lang w:val="ru-RU"/>
        </w:rPr>
        <w:t xml:space="preserve"> </w:t>
      </w:r>
      <w:r w:rsidR="00090C39">
        <w:rPr>
          <w:lang w:val="ru-RU"/>
        </w:rPr>
        <w:t>февраля</w:t>
      </w:r>
      <w:r w:rsidR="007611DC" w:rsidRPr="00C86618">
        <w:rPr>
          <w:lang w:val="ru-RU"/>
        </w:rPr>
        <w:t xml:space="preserve"> 201</w:t>
      </w:r>
      <w:r w:rsidR="00090C39">
        <w:rPr>
          <w:lang w:val="ru-RU"/>
        </w:rPr>
        <w:t>9</w:t>
      </w:r>
      <w:r w:rsidR="007611DC" w:rsidRPr="00C86618">
        <w:rPr>
          <w:lang w:val="ru-RU"/>
        </w:rPr>
        <w:t xml:space="preserve"> года)</w:t>
      </w:r>
      <w:r w:rsidR="00C835B3">
        <w:rPr>
          <w:lang w:val="ru-RU"/>
        </w:rPr>
        <w:t>;</w:t>
      </w:r>
    </w:p>
    <w:p w14:paraId="5B953FAB" w14:textId="6938CF0B" w:rsidR="005220CD" w:rsidRPr="002D2886" w:rsidRDefault="00A35F8C" w:rsidP="00A35F8C">
      <w:pPr>
        <w:pStyle w:val="SingleTxtG"/>
        <w:ind w:firstLine="567"/>
        <w:rPr>
          <w:iCs/>
          <w:lang w:val="ru-RU"/>
        </w:rPr>
      </w:pPr>
      <w:r w:rsidRPr="005220CD">
        <w:rPr>
          <w:lang w:val="ru-RU"/>
        </w:rPr>
        <w:t>2.</w:t>
      </w:r>
      <w:r w:rsidRPr="005220CD">
        <w:rPr>
          <w:i/>
          <w:lang w:val="ru-RU"/>
        </w:rPr>
        <w:tab/>
      </w:r>
      <w:r w:rsidR="005220CD" w:rsidRPr="005220CD">
        <w:rPr>
          <w:i/>
          <w:lang w:val="ru-RU"/>
        </w:rPr>
        <w:t xml:space="preserve">приветствует </w:t>
      </w:r>
      <w:r w:rsidR="00B24EC9" w:rsidRPr="00B24EC9">
        <w:rPr>
          <w:iCs/>
          <w:lang w:val="ru-RU"/>
        </w:rPr>
        <w:t>полученную от правительства Армении информацию о том, что</w:t>
      </w:r>
      <w:r w:rsidR="005220CD" w:rsidRPr="005220CD">
        <w:rPr>
          <w:iCs/>
          <w:lang w:val="ru-RU"/>
        </w:rPr>
        <w:t xml:space="preserve"> поправки к ее законодательству и соответствующие подзаконные акты, подготовленные в целях активизации осуществления Конвенции и Протокола, были представлены на правительственные консультации в декабре 2019 года</w:t>
      </w:r>
      <w:r w:rsidR="002D2886">
        <w:rPr>
          <w:iCs/>
          <w:lang w:val="ru-RU"/>
        </w:rPr>
        <w:t>;</w:t>
      </w:r>
    </w:p>
    <w:p w14:paraId="10D67E1E" w14:textId="314CAE77" w:rsidR="002D2886" w:rsidRPr="00E174C5" w:rsidRDefault="00A35F8C" w:rsidP="00A35F8C">
      <w:pPr>
        <w:pStyle w:val="SingleTxtG"/>
        <w:ind w:firstLine="567"/>
        <w:rPr>
          <w:i/>
          <w:lang w:val="ru-RU"/>
        </w:rPr>
      </w:pPr>
      <w:r w:rsidRPr="00E174C5">
        <w:rPr>
          <w:lang w:val="ru-RU"/>
        </w:rPr>
        <w:t>3.</w:t>
      </w:r>
      <w:r w:rsidRPr="00E174C5">
        <w:rPr>
          <w:i/>
          <w:lang w:val="ru-RU"/>
        </w:rPr>
        <w:tab/>
      </w:r>
      <w:r w:rsidR="00E174C5" w:rsidRPr="00E174C5">
        <w:rPr>
          <w:i/>
          <w:iCs/>
          <w:lang w:val="ru-RU"/>
        </w:rPr>
        <w:t xml:space="preserve">одобряет </w:t>
      </w:r>
      <w:r w:rsidR="00E174C5" w:rsidRPr="00E174C5">
        <w:rPr>
          <w:lang w:val="ru-RU"/>
        </w:rPr>
        <w:t xml:space="preserve">вывод Комитета по осуществлению о том, что правительство Армении еще не приняло поправки и подзаконные акты </w:t>
      </w:r>
      <w:r w:rsidR="00944C63" w:rsidRPr="00944C63">
        <w:rPr>
          <w:lang w:val="ru-RU"/>
        </w:rPr>
        <w:t>и что, следовательно,</w:t>
      </w:r>
      <w:r w:rsidR="00E174C5" w:rsidRPr="00E174C5">
        <w:rPr>
          <w:lang w:val="ru-RU"/>
        </w:rPr>
        <w:t xml:space="preserve"> оно еще не выполнило просьбы, адресованные ему в соответствии с пунктами 5 и 6 решения </w:t>
      </w:r>
      <w:r w:rsidR="00E174C5" w:rsidRPr="0032079C">
        <w:t>IS</w:t>
      </w:r>
      <w:r w:rsidR="00E174C5" w:rsidRPr="00E174C5">
        <w:rPr>
          <w:lang w:val="ru-RU"/>
        </w:rPr>
        <w:t>/1</w:t>
      </w:r>
      <w:r w:rsidR="00E174C5" w:rsidRPr="0032079C">
        <w:t>a</w:t>
      </w:r>
      <w:r w:rsidR="00E174C5" w:rsidRPr="00E174C5">
        <w:rPr>
          <w:lang w:val="ru-RU"/>
        </w:rPr>
        <w:t>, несмотря на шаги, предпринятые после промежуточной сессии Совещания Сторон</w:t>
      </w:r>
      <w:r w:rsidR="00E174C5">
        <w:rPr>
          <w:lang w:val="ru-RU"/>
        </w:rPr>
        <w:t>;</w:t>
      </w:r>
    </w:p>
    <w:p w14:paraId="105EE8B5" w14:textId="003E67E2" w:rsidR="004676F1" w:rsidRPr="004676F1" w:rsidRDefault="00A35F8C" w:rsidP="00A35F8C">
      <w:pPr>
        <w:pStyle w:val="SingleTxtG"/>
        <w:ind w:firstLine="567"/>
        <w:rPr>
          <w:lang w:val="ru-RU"/>
        </w:rPr>
      </w:pPr>
      <w:r w:rsidRPr="004676F1">
        <w:rPr>
          <w:lang w:val="ru-RU"/>
        </w:rPr>
        <w:t>4.</w:t>
      </w:r>
      <w:r w:rsidRPr="004676F1">
        <w:rPr>
          <w:lang w:val="ru-RU"/>
        </w:rPr>
        <w:tab/>
      </w:r>
      <w:bookmarkStart w:id="6" w:name="_Hlk34319760"/>
      <w:r w:rsidR="004676F1" w:rsidRPr="00823E2C">
        <w:rPr>
          <w:i/>
          <w:iCs/>
          <w:lang w:val="ru-RU"/>
        </w:rPr>
        <w:t xml:space="preserve">подтверждает </w:t>
      </w:r>
      <w:r w:rsidR="004676F1" w:rsidRPr="004676F1">
        <w:rPr>
          <w:lang w:val="ru-RU"/>
        </w:rPr>
        <w:t xml:space="preserve">свое решение </w:t>
      </w:r>
      <w:r w:rsidR="004676F1" w:rsidRPr="0032079C">
        <w:t>IS</w:t>
      </w:r>
      <w:r w:rsidR="004676F1" w:rsidRPr="00E174C5">
        <w:rPr>
          <w:lang w:val="ru-RU"/>
        </w:rPr>
        <w:t>/1</w:t>
      </w:r>
      <w:r w:rsidR="004676F1" w:rsidRPr="0032079C">
        <w:t>a</w:t>
      </w:r>
      <w:r w:rsidR="004676F1" w:rsidRPr="004676F1">
        <w:rPr>
          <w:lang w:val="ru-RU"/>
        </w:rPr>
        <w:t xml:space="preserve"> и просит правительство Армении как можно скорее принять законодательство</w:t>
      </w:r>
      <w:r w:rsidR="00823E2C">
        <w:rPr>
          <w:lang w:val="ru-RU"/>
        </w:rPr>
        <w:t xml:space="preserve"> с поправками </w:t>
      </w:r>
      <w:r w:rsidR="004676F1" w:rsidRPr="004676F1">
        <w:rPr>
          <w:lang w:val="ru-RU"/>
        </w:rPr>
        <w:t>и соответствующие подзаконные акты в целях обеспечения полного соответствия ее законодательной базы положениям Конвенции и Протокола;</w:t>
      </w:r>
    </w:p>
    <w:bookmarkEnd w:id="6"/>
    <w:p w14:paraId="6AB52B35" w14:textId="370BAED7" w:rsidR="00823E2C" w:rsidRPr="009A1639" w:rsidRDefault="008B427D" w:rsidP="00A35F8C">
      <w:pPr>
        <w:pStyle w:val="SingleTxtG"/>
        <w:ind w:firstLine="567"/>
        <w:rPr>
          <w:lang w:val="ru-RU"/>
        </w:rPr>
      </w:pPr>
      <w:r w:rsidRPr="009A1639">
        <w:rPr>
          <w:lang w:val="ru-RU"/>
        </w:rPr>
        <w:t>5</w:t>
      </w:r>
      <w:r w:rsidR="00A35F8C" w:rsidRPr="009A1639">
        <w:rPr>
          <w:lang w:val="ru-RU"/>
        </w:rPr>
        <w:t>.</w:t>
      </w:r>
      <w:r w:rsidR="00A35F8C" w:rsidRPr="009A1639">
        <w:rPr>
          <w:lang w:val="ru-RU"/>
        </w:rPr>
        <w:tab/>
      </w:r>
      <w:r w:rsidR="009A1639" w:rsidRPr="009A1639">
        <w:rPr>
          <w:i/>
          <w:iCs/>
          <w:lang w:val="ru-RU"/>
        </w:rPr>
        <w:t>просит также</w:t>
      </w:r>
      <w:r w:rsidR="009A1639" w:rsidRPr="009A1639">
        <w:rPr>
          <w:lang w:val="ru-RU"/>
        </w:rPr>
        <w:t xml:space="preserve"> правительство Армении представить Комитету по осуществлению текст </w:t>
      </w:r>
      <w:r w:rsidR="009A1639" w:rsidRPr="00B66EBA">
        <w:rPr>
          <w:lang w:val="ru-RU"/>
        </w:rPr>
        <w:t>законодательства</w:t>
      </w:r>
      <w:r w:rsidR="007039AF" w:rsidRPr="00B66EBA">
        <w:rPr>
          <w:lang w:val="ru-RU"/>
        </w:rPr>
        <w:t xml:space="preserve"> с поправками</w:t>
      </w:r>
      <w:r w:rsidR="009A1639" w:rsidRPr="00B66EBA">
        <w:rPr>
          <w:lang w:val="ru-RU"/>
        </w:rPr>
        <w:t xml:space="preserve"> и</w:t>
      </w:r>
      <w:r w:rsidR="009A1639" w:rsidRPr="009A1639">
        <w:rPr>
          <w:lang w:val="ru-RU"/>
        </w:rPr>
        <w:t xml:space="preserve"> соответствующих подзаконных актов после их принятия вместе с их переводом на английский язык;</w:t>
      </w:r>
    </w:p>
    <w:p w14:paraId="62C5B960" w14:textId="1E8C6D2A" w:rsidR="003C1019" w:rsidRPr="0018709C" w:rsidRDefault="008B427D" w:rsidP="00DB5C42">
      <w:pPr>
        <w:pStyle w:val="SingleTxtG"/>
        <w:ind w:firstLine="567"/>
        <w:rPr>
          <w:lang w:val="ru-RU"/>
        </w:rPr>
      </w:pPr>
      <w:r w:rsidRPr="000809E9">
        <w:rPr>
          <w:lang w:val="ru-RU"/>
        </w:rPr>
        <w:t>6</w:t>
      </w:r>
      <w:r w:rsidR="00A35F8C" w:rsidRPr="000809E9">
        <w:rPr>
          <w:lang w:val="ru-RU"/>
        </w:rPr>
        <w:t>.</w:t>
      </w:r>
      <w:r w:rsidR="00A35F8C" w:rsidRPr="000809E9">
        <w:rPr>
          <w:lang w:val="ru-RU"/>
        </w:rPr>
        <w:tab/>
      </w:r>
      <w:r w:rsidR="000809E9" w:rsidRPr="00C86618">
        <w:rPr>
          <w:rStyle w:val="Emphasis"/>
          <w:lang w:val="ru-RU"/>
        </w:rPr>
        <w:t>просит</w:t>
      </w:r>
      <w:r w:rsidR="000809E9" w:rsidRPr="00C86618">
        <w:rPr>
          <w:lang w:val="ru-RU"/>
        </w:rPr>
        <w:t xml:space="preserve"> Комитет по осуществлению </w:t>
      </w:r>
      <w:r w:rsidR="000809E9">
        <w:rPr>
          <w:lang w:val="ru-RU"/>
        </w:rPr>
        <w:t>провести оценку</w:t>
      </w:r>
      <w:r w:rsidR="000809E9" w:rsidRPr="00C86618">
        <w:rPr>
          <w:lang w:val="ru-RU"/>
        </w:rPr>
        <w:t xml:space="preserve"> поправ</w:t>
      </w:r>
      <w:r w:rsidR="000809E9">
        <w:rPr>
          <w:lang w:val="ru-RU"/>
        </w:rPr>
        <w:t>ок</w:t>
      </w:r>
      <w:r w:rsidR="000809E9" w:rsidRPr="00C86618">
        <w:rPr>
          <w:lang w:val="ru-RU"/>
        </w:rPr>
        <w:t xml:space="preserve"> к законодательству и подзаконны</w:t>
      </w:r>
      <w:r w:rsidR="003D1FB2">
        <w:rPr>
          <w:lang w:val="ru-RU"/>
        </w:rPr>
        <w:t>х</w:t>
      </w:r>
      <w:r w:rsidR="000809E9" w:rsidRPr="00C86618">
        <w:rPr>
          <w:lang w:val="ru-RU"/>
        </w:rPr>
        <w:t xml:space="preserve"> акт</w:t>
      </w:r>
      <w:r w:rsidR="003D1FB2">
        <w:rPr>
          <w:lang w:val="ru-RU"/>
        </w:rPr>
        <w:t>ов</w:t>
      </w:r>
      <w:r w:rsidR="008A5352">
        <w:rPr>
          <w:lang w:val="ru-RU"/>
        </w:rPr>
        <w:t xml:space="preserve"> </w:t>
      </w:r>
      <w:r w:rsidR="008A5352" w:rsidRPr="008A5352">
        <w:rPr>
          <w:lang w:val="ru-RU"/>
        </w:rPr>
        <w:t>после их принятия</w:t>
      </w:r>
      <w:r w:rsidR="008A5352">
        <w:rPr>
          <w:lang w:val="ru-RU"/>
        </w:rPr>
        <w:t xml:space="preserve"> </w:t>
      </w:r>
      <w:r w:rsidR="000809E9" w:rsidRPr="00B66EBA">
        <w:rPr>
          <w:lang w:val="ru-RU"/>
        </w:rPr>
        <w:t>Арменией,</w:t>
      </w:r>
      <w:r w:rsidR="000809E9" w:rsidRPr="00C86618">
        <w:rPr>
          <w:lang w:val="ru-RU"/>
        </w:rPr>
        <w:t xml:space="preserve"> и представить доклад Совещанию Сторон на его </w:t>
      </w:r>
      <w:r w:rsidR="00DB5C42">
        <w:rPr>
          <w:lang w:val="ru-RU"/>
        </w:rPr>
        <w:t>девятой</w:t>
      </w:r>
      <w:r w:rsidR="000809E9" w:rsidRPr="00C86618">
        <w:rPr>
          <w:lang w:val="ru-RU"/>
        </w:rPr>
        <w:t xml:space="preserve"> сессии.</w:t>
      </w:r>
    </w:p>
    <w:p w14:paraId="56658F76" w14:textId="77777777" w:rsidR="003C1019" w:rsidRPr="0018709C" w:rsidRDefault="003C1019" w:rsidP="00A35F8C">
      <w:pPr>
        <w:pStyle w:val="SingleTxtG"/>
        <w:ind w:firstLine="567"/>
        <w:rPr>
          <w:lang w:val="ru-RU"/>
        </w:rPr>
      </w:pPr>
    </w:p>
    <w:p w14:paraId="113D77D0" w14:textId="36EDFA9F" w:rsidR="00F21FE7" w:rsidRPr="0088502C" w:rsidRDefault="00F21FE7" w:rsidP="00201AC5">
      <w:pPr>
        <w:pStyle w:val="HChG"/>
        <w:rPr>
          <w:lang w:val="ru-RU"/>
        </w:rPr>
      </w:pPr>
      <w:r w:rsidRPr="0018709C">
        <w:rPr>
          <w:lang w:val="ru-RU"/>
        </w:rPr>
        <w:lastRenderedPageBreak/>
        <w:tab/>
      </w:r>
      <w:r w:rsidRPr="0088502C">
        <w:rPr>
          <w:lang w:val="ru-RU"/>
        </w:rPr>
        <w:t>3.</w:t>
      </w:r>
      <w:r w:rsidRPr="0088502C">
        <w:rPr>
          <w:lang w:val="ru-RU"/>
        </w:rPr>
        <w:tab/>
      </w:r>
      <w:r w:rsidR="00FE3140" w:rsidRPr="0088502C">
        <w:rPr>
          <w:lang w:val="ru-RU"/>
        </w:rPr>
        <w:t>Проект решения</w:t>
      </w:r>
      <w:r w:rsidRPr="0088502C">
        <w:rPr>
          <w:lang w:val="ru-RU"/>
        </w:rPr>
        <w:t xml:space="preserve"> </w:t>
      </w:r>
      <w:r>
        <w:t>VIII</w:t>
      </w:r>
      <w:r w:rsidRPr="0088502C">
        <w:rPr>
          <w:lang w:val="ru-RU"/>
        </w:rPr>
        <w:t>/4</w:t>
      </w:r>
      <w:r w:rsidR="00C55A26">
        <w:t>b</w:t>
      </w:r>
      <w:r w:rsidRPr="0088502C">
        <w:rPr>
          <w:lang w:val="ru-RU"/>
        </w:rPr>
        <w:t xml:space="preserve"> </w:t>
      </w:r>
      <w:r w:rsidR="0088502C" w:rsidRPr="0088502C">
        <w:rPr>
          <w:lang w:val="ru-RU"/>
        </w:rPr>
        <w:t>о соблюдении Азербайджаном его</w:t>
      </w:r>
      <w:r w:rsidR="0088502C">
        <w:t> </w:t>
      </w:r>
      <w:r w:rsidR="0088502C" w:rsidRPr="0088502C">
        <w:rPr>
          <w:lang w:val="ru-RU"/>
        </w:rPr>
        <w:t xml:space="preserve">обязательств по Конвенции </w:t>
      </w:r>
      <w:r w:rsidR="0088502C">
        <w:rPr>
          <w:lang w:val="ru-RU"/>
        </w:rPr>
        <w:t>в отношении</w:t>
      </w:r>
      <w:r w:rsidR="0088502C" w:rsidRPr="0088502C">
        <w:rPr>
          <w:lang w:val="ru-RU"/>
        </w:rPr>
        <w:t xml:space="preserve"> национального законодательства</w:t>
      </w:r>
    </w:p>
    <w:p w14:paraId="7E2A2726" w14:textId="2D99B1FA" w:rsidR="00F21FE7" w:rsidRPr="00FF4FF9" w:rsidRDefault="00A674C8" w:rsidP="00F21FE7">
      <w:pPr>
        <w:pStyle w:val="SingleTxtG"/>
        <w:spacing w:before="120"/>
        <w:ind w:firstLine="567"/>
        <w:rPr>
          <w:lang w:val="ru-RU"/>
        </w:rPr>
      </w:pPr>
      <w:r w:rsidRPr="00FF4FF9">
        <w:rPr>
          <w:i/>
          <w:lang w:val="ru-RU"/>
        </w:rPr>
        <w:t>Совещание Сторон Конвенции,</w:t>
      </w:r>
      <w:r w:rsidR="00F21FE7" w:rsidRPr="00FF4FF9">
        <w:rPr>
          <w:lang w:val="ru-RU"/>
        </w:rPr>
        <w:t xml:space="preserve"> </w:t>
      </w:r>
    </w:p>
    <w:p w14:paraId="322CCCAC" w14:textId="5916C6B6" w:rsidR="00F21FE7" w:rsidRPr="00FF4FF9" w:rsidRDefault="00FF4FF9" w:rsidP="00F21FE7">
      <w:pPr>
        <w:pStyle w:val="SingleTxtG"/>
        <w:ind w:firstLine="567"/>
        <w:rPr>
          <w:lang w:val="ru-RU"/>
        </w:rPr>
      </w:pPr>
      <w:r w:rsidRPr="00FF4FF9">
        <w:rPr>
          <w:i/>
          <w:iCs/>
          <w:lang w:val="ru-RU"/>
        </w:rPr>
        <w:t xml:space="preserve">ссылаясь </w:t>
      </w:r>
      <w:r w:rsidRPr="00FF4FF9">
        <w:rPr>
          <w:lang w:val="ru-RU"/>
        </w:rPr>
        <w:t xml:space="preserve">на пункт 2 статьи 11 и статью 14-бис Конвенции об оценке воздействия на окружающую среду в трансграничном контексте, </w:t>
      </w:r>
      <w:r w:rsidR="00F21FE7" w:rsidRPr="00FF4FF9">
        <w:rPr>
          <w:lang w:val="ru-RU"/>
        </w:rPr>
        <w:t xml:space="preserve"> </w:t>
      </w:r>
    </w:p>
    <w:p w14:paraId="7BB4C3AA" w14:textId="05A3D51E" w:rsidR="00F21FE7" w:rsidRPr="006210F6" w:rsidRDefault="0067744D" w:rsidP="00F21FE7">
      <w:pPr>
        <w:pStyle w:val="SingleTxtG"/>
        <w:ind w:firstLine="567"/>
        <w:rPr>
          <w:lang w:val="ru-RU"/>
        </w:rPr>
      </w:pPr>
      <w:r w:rsidRPr="00184D14">
        <w:rPr>
          <w:rStyle w:val="Emphasis"/>
          <w:lang w:val="ru-RU"/>
        </w:rPr>
        <w:t>ссылаясь также</w:t>
      </w:r>
      <w:r w:rsidRPr="00184D14">
        <w:rPr>
          <w:lang w:val="ru-RU"/>
        </w:rPr>
        <w:t xml:space="preserve"> на пункты 31–32 своего решения </w:t>
      </w:r>
      <w:r w:rsidRPr="001D3844">
        <w:t>V</w:t>
      </w:r>
      <w:r w:rsidRPr="00184D14">
        <w:rPr>
          <w:lang w:val="ru-RU"/>
        </w:rPr>
        <w:t>/4</w:t>
      </w:r>
      <w:r w:rsidR="00F21FE7">
        <w:rPr>
          <w:rStyle w:val="FootnoteReference"/>
        </w:rPr>
        <w:footnoteReference w:id="14"/>
      </w:r>
      <w:r w:rsidR="00476279" w:rsidRPr="00184D14">
        <w:rPr>
          <w:lang w:val="ru-RU"/>
        </w:rPr>
        <w:t>,</w:t>
      </w:r>
      <w:r w:rsidR="00F21FE7" w:rsidRPr="00184D14">
        <w:rPr>
          <w:lang w:val="ru-RU"/>
        </w:rPr>
        <w:t xml:space="preserve"> </w:t>
      </w:r>
      <w:r w:rsidR="00476279" w:rsidRPr="00184D14">
        <w:rPr>
          <w:lang w:val="ru-RU"/>
        </w:rPr>
        <w:t>пункты 38–44 решения</w:t>
      </w:r>
      <w:r w:rsidR="00476279">
        <w:rPr>
          <w:lang w:val="en-US"/>
        </w:rPr>
        <w:t> </w:t>
      </w:r>
      <w:r w:rsidR="00476279" w:rsidRPr="001D3844">
        <w:t>VI</w:t>
      </w:r>
      <w:r w:rsidR="00476279" w:rsidRPr="00184D14">
        <w:rPr>
          <w:lang w:val="ru-RU"/>
        </w:rPr>
        <w:t>/2</w:t>
      </w:r>
      <w:r w:rsidR="00F21FE7">
        <w:rPr>
          <w:rStyle w:val="FootnoteReference"/>
        </w:rPr>
        <w:footnoteReference w:id="15"/>
      </w:r>
      <w:r w:rsidR="00F21FE7" w:rsidRPr="00184D14">
        <w:rPr>
          <w:lang w:val="ru-RU"/>
        </w:rPr>
        <w:t xml:space="preserve"> </w:t>
      </w:r>
      <w:r w:rsidR="00F32910">
        <w:rPr>
          <w:lang w:val="ru-RU"/>
        </w:rPr>
        <w:t>и</w:t>
      </w:r>
      <w:r w:rsidR="00F32910" w:rsidRPr="00184D14">
        <w:rPr>
          <w:lang w:val="ru-RU"/>
        </w:rPr>
        <w:t xml:space="preserve"> </w:t>
      </w:r>
      <w:r w:rsidR="00F32910">
        <w:rPr>
          <w:lang w:val="ru-RU"/>
        </w:rPr>
        <w:t>решения</w:t>
      </w:r>
      <w:r w:rsidR="00F21FE7" w:rsidRPr="00184D14">
        <w:rPr>
          <w:lang w:val="ru-RU"/>
        </w:rPr>
        <w:t xml:space="preserve"> </w:t>
      </w:r>
      <w:r w:rsidR="00F21FE7">
        <w:t>IS</w:t>
      </w:r>
      <w:r w:rsidR="00F21FE7" w:rsidRPr="00184D14">
        <w:rPr>
          <w:lang w:val="ru-RU"/>
        </w:rPr>
        <w:t>/1</w:t>
      </w:r>
      <w:r w:rsidR="00F21FE7">
        <w:t>c</w:t>
      </w:r>
      <w:r w:rsidR="00F21FE7">
        <w:rPr>
          <w:rStyle w:val="FootnoteReference"/>
        </w:rPr>
        <w:footnoteReference w:id="16"/>
      </w:r>
      <w:r w:rsidR="00F21FE7" w:rsidRPr="00184D14">
        <w:rPr>
          <w:lang w:val="ru-RU"/>
        </w:rPr>
        <w:t xml:space="preserve"> </w:t>
      </w:r>
      <w:r w:rsidR="00184D14" w:rsidRPr="00184D14">
        <w:rPr>
          <w:lang w:val="ru-RU"/>
        </w:rPr>
        <w:t xml:space="preserve">о соблюдении Азербайджаном Конвенции в отношении национального законодательства по осуществлению </w:t>
      </w:r>
      <w:r w:rsidR="00184D14" w:rsidRPr="006210F6">
        <w:rPr>
          <w:lang w:val="ru-RU"/>
        </w:rPr>
        <w:t>Конвенции</w:t>
      </w:r>
      <w:r w:rsidR="00F21FE7" w:rsidRPr="006210F6">
        <w:rPr>
          <w:lang w:val="ru-RU"/>
        </w:rPr>
        <w:t xml:space="preserve">, </w:t>
      </w:r>
    </w:p>
    <w:p w14:paraId="4A87339C" w14:textId="2FDA5AEE" w:rsidR="006210F6" w:rsidRPr="006210F6" w:rsidRDefault="006210F6" w:rsidP="00F21FE7">
      <w:pPr>
        <w:pStyle w:val="SingleTxtG"/>
        <w:ind w:firstLine="567"/>
        <w:rPr>
          <w:i/>
          <w:iCs/>
          <w:lang w:val="ru-RU"/>
        </w:rPr>
      </w:pPr>
      <w:r w:rsidRPr="00C86618">
        <w:rPr>
          <w:rStyle w:val="Emphasis"/>
          <w:lang w:val="ru-RU"/>
        </w:rPr>
        <w:t>рассмотрев</w:t>
      </w:r>
      <w:r w:rsidRPr="008B6ACE">
        <w:rPr>
          <w:lang w:val="ru-RU"/>
        </w:rPr>
        <w:t xml:space="preserve"> </w:t>
      </w:r>
      <w:r w:rsidRPr="00C86618">
        <w:rPr>
          <w:lang w:val="ru-RU"/>
        </w:rPr>
        <w:t xml:space="preserve">доклад о деятельности Комитета по осуществлению, представленного Совещанию Сторон Конвенции на его </w:t>
      </w:r>
      <w:r>
        <w:rPr>
          <w:lang w:val="ru-RU"/>
        </w:rPr>
        <w:t>вось</w:t>
      </w:r>
      <w:r w:rsidRPr="00C86618">
        <w:rPr>
          <w:lang w:val="ru-RU"/>
        </w:rPr>
        <w:t>мой сессии</w:t>
      </w:r>
      <w:r>
        <w:rPr>
          <w:lang w:val="ru-RU"/>
        </w:rPr>
        <w:t>,</w:t>
      </w:r>
      <w:r w:rsidR="00107DB9" w:rsidRPr="00107DB9">
        <w:rPr>
          <w:rStyle w:val="FootnoteReference"/>
          <w:lang w:val="ru-RU"/>
        </w:rPr>
        <w:t xml:space="preserve"> </w:t>
      </w:r>
      <w:r w:rsidR="00107DB9">
        <w:rPr>
          <w:rStyle w:val="FootnoteReference"/>
        </w:rPr>
        <w:footnoteReference w:id="17"/>
      </w:r>
      <w:r w:rsidRPr="00201859">
        <w:rPr>
          <w:lang w:val="ru-RU"/>
        </w:rPr>
        <w:t xml:space="preserve"> </w:t>
      </w:r>
      <w:r w:rsidRPr="00B66EBA">
        <w:rPr>
          <w:lang w:val="ru-RU"/>
        </w:rPr>
        <w:t xml:space="preserve">в частности, раздел, касающийся шагов, предпринятых </w:t>
      </w:r>
      <w:r w:rsidR="00107DB9" w:rsidRPr="00B66EBA">
        <w:rPr>
          <w:lang w:val="ru-RU"/>
        </w:rPr>
        <w:t>Азербайджаном</w:t>
      </w:r>
      <w:r w:rsidRPr="00B66EBA">
        <w:rPr>
          <w:lang w:val="ru-RU"/>
        </w:rPr>
        <w:t xml:space="preserve"> во исполнение решения IS/1</w:t>
      </w:r>
      <w:r w:rsidR="004A730E" w:rsidRPr="00B66EBA">
        <w:t>c</w:t>
      </w:r>
      <w:r w:rsidR="004A730E" w:rsidRPr="004A730E">
        <w:rPr>
          <w:lang w:val="ru-RU"/>
        </w:rPr>
        <w:t>,</w:t>
      </w:r>
      <w:r w:rsidR="004A730E">
        <w:rPr>
          <w:rStyle w:val="FootnoteReference"/>
        </w:rPr>
        <w:footnoteReference w:id="18"/>
      </w:r>
    </w:p>
    <w:p w14:paraId="3AEEB3D2" w14:textId="4540794C" w:rsidR="00EB628E" w:rsidRPr="00EB628E" w:rsidRDefault="00EB628E" w:rsidP="0007448F">
      <w:pPr>
        <w:pStyle w:val="SingleTxtG"/>
        <w:ind w:firstLine="567"/>
        <w:rPr>
          <w:i/>
          <w:iCs/>
          <w:lang w:val="ru-RU"/>
        </w:rPr>
      </w:pPr>
      <w:r w:rsidRPr="00EB628E">
        <w:rPr>
          <w:i/>
          <w:iCs/>
          <w:lang w:val="ru-RU"/>
        </w:rPr>
        <w:t xml:space="preserve">принимая во внимание </w:t>
      </w:r>
      <w:r w:rsidRPr="0007448F">
        <w:rPr>
          <w:lang w:val="ru-RU"/>
        </w:rPr>
        <w:t>техническую поддержку, предоставленную секретариатом правительству Азербайджана для оказания стране содействия в деле</w:t>
      </w:r>
      <w:r w:rsidR="0007448F" w:rsidRPr="0007448F">
        <w:rPr>
          <w:lang w:val="ru-RU"/>
        </w:rPr>
        <w:t xml:space="preserve"> </w:t>
      </w:r>
      <w:r w:rsidRPr="0007448F">
        <w:rPr>
          <w:lang w:val="ru-RU"/>
        </w:rPr>
        <w:t xml:space="preserve">приведения ее законодательства в соответствие с Конвенцией и Протоколом по стратегической экологической оценке во исполнение пункта 44 решения </w:t>
      </w:r>
      <w:r w:rsidRPr="0007448F">
        <w:t>VI</w:t>
      </w:r>
      <w:r w:rsidRPr="0007448F">
        <w:rPr>
          <w:lang w:val="ru-RU"/>
        </w:rPr>
        <w:t>/2,</w:t>
      </w:r>
    </w:p>
    <w:p w14:paraId="53757517" w14:textId="0ADA67CF" w:rsidR="00F21FE7" w:rsidRPr="001E6D30" w:rsidRDefault="004B5AF9" w:rsidP="001E6D30">
      <w:pPr>
        <w:pStyle w:val="SingleTxtG"/>
        <w:ind w:firstLine="567"/>
        <w:rPr>
          <w:lang w:val="ru-RU"/>
        </w:rPr>
      </w:pPr>
      <w:r w:rsidRPr="001E6D30">
        <w:rPr>
          <w:rStyle w:val="Emphasis"/>
          <w:lang w:val="ru-RU"/>
        </w:rPr>
        <w:t>ссылаясь</w:t>
      </w:r>
      <w:r w:rsidRPr="001E6D30">
        <w:rPr>
          <w:lang w:val="ru-RU"/>
        </w:rPr>
        <w:t xml:space="preserve"> на свое решение</w:t>
      </w:r>
      <w:r w:rsidR="00F21FE7" w:rsidRPr="001E6D30">
        <w:rPr>
          <w:lang w:val="ru-RU"/>
        </w:rPr>
        <w:t xml:space="preserve"> </w:t>
      </w:r>
      <w:r w:rsidR="00F21FE7" w:rsidRPr="00953226">
        <w:rPr>
          <w:iCs/>
        </w:rPr>
        <w:t>VIII</w:t>
      </w:r>
      <w:r w:rsidR="00F21FE7" w:rsidRPr="001E6D30">
        <w:rPr>
          <w:iCs/>
          <w:lang w:val="ru-RU"/>
        </w:rPr>
        <w:t xml:space="preserve">/4 </w:t>
      </w:r>
      <w:r w:rsidR="00111539" w:rsidRPr="001E6D30">
        <w:rPr>
          <w:iCs/>
          <w:lang w:val="ru-RU"/>
        </w:rPr>
        <w:t>об общих вопросах соблюдения Конвенции</w:t>
      </w:r>
      <w:r w:rsidR="00586500">
        <w:rPr>
          <w:iCs/>
          <w:lang w:val="ru-RU"/>
        </w:rPr>
        <w:t>,</w:t>
      </w:r>
      <w:r w:rsidR="00111539" w:rsidRPr="001E6D30">
        <w:rPr>
          <w:iCs/>
          <w:lang w:val="ru-RU"/>
        </w:rPr>
        <w:t xml:space="preserve"> </w:t>
      </w:r>
      <w:r w:rsidR="001E6D30" w:rsidRPr="001E6D30">
        <w:rPr>
          <w:lang w:val="ru-RU"/>
        </w:rPr>
        <w:t xml:space="preserve">принятое на </w:t>
      </w:r>
      <w:r w:rsidR="001E6D30">
        <w:rPr>
          <w:lang w:val="ru-RU"/>
        </w:rPr>
        <w:t xml:space="preserve">восьмой </w:t>
      </w:r>
      <w:r w:rsidR="00586500" w:rsidRPr="001E6D30">
        <w:rPr>
          <w:lang w:val="ru-RU"/>
        </w:rPr>
        <w:t>сессии</w:t>
      </w:r>
      <w:r w:rsidR="00586500">
        <w:rPr>
          <w:lang w:val="ru-RU"/>
        </w:rPr>
        <w:t>,</w:t>
      </w:r>
    </w:p>
    <w:p w14:paraId="5C19E59F" w14:textId="6CB87208" w:rsidR="00F21FE7" w:rsidRPr="00F778C0" w:rsidRDefault="00F21FE7" w:rsidP="00F778C0">
      <w:pPr>
        <w:pStyle w:val="SingleTxtG"/>
        <w:ind w:firstLine="567"/>
        <w:rPr>
          <w:lang w:val="ru-RU"/>
        </w:rPr>
      </w:pPr>
      <w:r w:rsidRPr="00157293">
        <w:rPr>
          <w:lang w:val="ru-RU"/>
        </w:rPr>
        <w:t xml:space="preserve">1.  </w:t>
      </w:r>
      <w:r w:rsidRPr="00157293">
        <w:rPr>
          <w:lang w:val="ru-RU"/>
        </w:rPr>
        <w:tab/>
      </w:r>
      <w:r w:rsidR="00157293" w:rsidRPr="00B66EBA">
        <w:rPr>
          <w:rStyle w:val="Emphasis"/>
          <w:lang w:val="ru-RU"/>
        </w:rPr>
        <w:t xml:space="preserve">высоко оценивает </w:t>
      </w:r>
      <w:r w:rsidR="00157293" w:rsidRPr="00B66EBA">
        <w:rPr>
          <w:lang w:val="ru-RU"/>
        </w:rPr>
        <w:t>доклады, регулярно получаемые от правительства Азербайджан</w:t>
      </w:r>
      <w:r w:rsidR="00840CB7" w:rsidRPr="00B66EBA">
        <w:rPr>
          <w:lang w:val="ru-RU"/>
        </w:rPr>
        <w:t>а о</w:t>
      </w:r>
      <w:r w:rsidR="00157293" w:rsidRPr="00B66EBA">
        <w:rPr>
          <w:lang w:val="ru-RU"/>
        </w:rPr>
        <w:t xml:space="preserve"> шаг</w:t>
      </w:r>
      <w:r w:rsidR="00840CB7" w:rsidRPr="00B66EBA">
        <w:rPr>
          <w:lang w:val="ru-RU"/>
        </w:rPr>
        <w:t>ах</w:t>
      </w:r>
      <w:r w:rsidR="00157293" w:rsidRPr="00B66EBA">
        <w:rPr>
          <w:lang w:val="ru-RU"/>
        </w:rPr>
        <w:t>, предприняты</w:t>
      </w:r>
      <w:r w:rsidR="00840CB7" w:rsidRPr="00B66EBA">
        <w:rPr>
          <w:lang w:val="ru-RU"/>
        </w:rPr>
        <w:t>х</w:t>
      </w:r>
      <w:r w:rsidR="00157293" w:rsidRPr="00B66EBA">
        <w:rPr>
          <w:lang w:val="ru-RU"/>
        </w:rPr>
        <w:t xml:space="preserve"> им во исполнение решения IS/1</w:t>
      </w:r>
      <w:r w:rsidR="00840CB7" w:rsidRPr="00B66EBA">
        <w:rPr>
          <w:lang w:val="ru-RU"/>
        </w:rPr>
        <w:t>c</w:t>
      </w:r>
      <w:r w:rsidR="00157293" w:rsidRPr="00B66EBA">
        <w:rPr>
          <w:lang w:val="ru-RU"/>
        </w:rPr>
        <w:t xml:space="preserve"> после промежуточной сессии Совещания Сторон</w:t>
      </w:r>
      <w:r w:rsidR="00157293">
        <w:rPr>
          <w:lang w:val="ru-RU"/>
        </w:rPr>
        <w:t xml:space="preserve"> (Женева, 5–7</w:t>
      </w:r>
      <w:r w:rsidR="00157293" w:rsidRPr="00C86618">
        <w:rPr>
          <w:lang w:val="ru-RU"/>
        </w:rPr>
        <w:t xml:space="preserve"> </w:t>
      </w:r>
      <w:r w:rsidR="00157293">
        <w:rPr>
          <w:lang w:val="ru-RU"/>
        </w:rPr>
        <w:t>февраля</w:t>
      </w:r>
      <w:r w:rsidR="00157293" w:rsidRPr="00C86618">
        <w:rPr>
          <w:lang w:val="ru-RU"/>
        </w:rPr>
        <w:t xml:space="preserve"> 201</w:t>
      </w:r>
      <w:r w:rsidR="00157293">
        <w:rPr>
          <w:lang w:val="ru-RU"/>
        </w:rPr>
        <w:t>9</w:t>
      </w:r>
      <w:r w:rsidR="00157293" w:rsidRPr="00C86618">
        <w:rPr>
          <w:lang w:val="ru-RU"/>
        </w:rPr>
        <w:t xml:space="preserve"> года)</w:t>
      </w:r>
      <w:r w:rsidR="00157293">
        <w:rPr>
          <w:lang w:val="ru-RU"/>
        </w:rPr>
        <w:t>;</w:t>
      </w:r>
    </w:p>
    <w:p w14:paraId="4BEF3CB0" w14:textId="075ADFC2" w:rsidR="00F778C0" w:rsidRPr="0070418F" w:rsidRDefault="00F21FE7" w:rsidP="0070418F">
      <w:pPr>
        <w:pStyle w:val="SingleTxtG"/>
        <w:ind w:firstLine="567"/>
        <w:rPr>
          <w:i/>
          <w:lang w:val="ru-RU"/>
        </w:rPr>
      </w:pPr>
      <w:r w:rsidRPr="00F778C0">
        <w:rPr>
          <w:lang w:val="ru-RU"/>
        </w:rPr>
        <w:t xml:space="preserve">2. </w:t>
      </w:r>
      <w:r w:rsidRPr="00F778C0">
        <w:rPr>
          <w:lang w:val="ru-RU"/>
        </w:rPr>
        <w:tab/>
      </w:r>
      <w:r w:rsidR="00F778C0" w:rsidRPr="005220CD">
        <w:rPr>
          <w:i/>
          <w:lang w:val="ru-RU"/>
        </w:rPr>
        <w:t>при</w:t>
      </w:r>
      <w:r w:rsidR="00224EAF">
        <w:rPr>
          <w:i/>
          <w:lang w:val="ru-RU"/>
        </w:rPr>
        <w:t>зна</w:t>
      </w:r>
      <w:r w:rsidR="00F778C0" w:rsidRPr="005220CD">
        <w:rPr>
          <w:i/>
          <w:lang w:val="ru-RU"/>
        </w:rPr>
        <w:t>ет</w:t>
      </w:r>
      <w:r w:rsidR="00224EAF">
        <w:rPr>
          <w:i/>
          <w:lang w:val="ru-RU"/>
        </w:rPr>
        <w:t xml:space="preserve">, </w:t>
      </w:r>
      <w:r w:rsidR="00224EAF" w:rsidRPr="007A12F3">
        <w:rPr>
          <w:iCs/>
          <w:lang w:val="ru-RU"/>
        </w:rPr>
        <w:t>что в р</w:t>
      </w:r>
      <w:r w:rsidR="007A12F3" w:rsidRPr="007A12F3">
        <w:rPr>
          <w:iCs/>
          <w:lang w:val="ru-RU"/>
        </w:rPr>
        <w:t>езультате</w:t>
      </w:r>
      <w:r w:rsidR="00F778C0" w:rsidRPr="00065F86">
        <w:rPr>
          <w:iCs/>
          <w:lang w:val="ru-RU"/>
        </w:rPr>
        <w:t xml:space="preserve"> </w:t>
      </w:r>
      <w:r w:rsidR="00065F86" w:rsidRPr="00065F86">
        <w:rPr>
          <w:iCs/>
          <w:lang w:val="ru-RU"/>
        </w:rPr>
        <w:t>технической по</w:t>
      </w:r>
      <w:r w:rsidR="00065F86">
        <w:rPr>
          <w:iCs/>
          <w:lang w:val="ru-RU"/>
        </w:rPr>
        <w:t>ддержки</w:t>
      </w:r>
      <w:r w:rsidR="00065F86" w:rsidRPr="00065F86">
        <w:rPr>
          <w:iCs/>
          <w:lang w:val="ru-RU"/>
        </w:rPr>
        <w:t>, оказанной ему секретариатом, правительство Азербайджана предприняло шаги по приведению своего национального законодательства также в соответствие с Протоколом, и призывает Азербайджан привести свое законодательство в полное соответствие с Протоколом и ратифицировать этот договор;</w:t>
      </w:r>
    </w:p>
    <w:p w14:paraId="7997B4F5" w14:textId="377B8452" w:rsidR="003878E4" w:rsidRPr="00415F5A" w:rsidRDefault="00F21FE7" w:rsidP="00F21FE7">
      <w:pPr>
        <w:pStyle w:val="SingleTxtG"/>
        <w:ind w:firstLine="567"/>
        <w:rPr>
          <w:i/>
          <w:lang w:val="ru-RU"/>
        </w:rPr>
      </w:pPr>
      <w:r w:rsidRPr="003878E4">
        <w:rPr>
          <w:lang w:val="ru-RU"/>
        </w:rPr>
        <w:t>3.</w:t>
      </w:r>
      <w:r w:rsidRPr="003878E4">
        <w:rPr>
          <w:i/>
          <w:lang w:val="ru-RU"/>
        </w:rPr>
        <w:tab/>
      </w:r>
      <w:r w:rsidR="003878E4" w:rsidRPr="005220CD">
        <w:rPr>
          <w:i/>
          <w:lang w:val="ru-RU"/>
        </w:rPr>
        <w:t xml:space="preserve">приветствует </w:t>
      </w:r>
      <w:r w:rsidR="003878E4" w:rsidRPr="00B24EC9">
        <w:rPr>
          <w:iCs/>
          <w:lang w:val="ru-RU"/>
        </w:rPr>
        <w:t xml:space="preserve">полученную от правительства </w:t>
      </w:r>
      <w:r w:rsidR="003878E4">
        <w:rPr>
          <w:iCs/>
          <w:lang w:val="ru-RU"/>
        </w:rPr>
        <w:t>Азербайджана</w:t>
      </w:r>
      <w:r w:rsidR="003878E4" w:rsidRPr="00B24EC9">
        <w:rPr>
          <w:iCs/>
          <w:lang w:val="ru-RU"/>
        </w:rPr>
        <w:t xml:space="preserve"> информацию о том, </w:t>
      </w:r>
      <w:r w:rsidR="003878E4" w:rsidRPr="00B66EBA">
        <w:rPr>
          <w:iCs/>
          <w:lang w:val="ru-RU"/>
        </w:rPr>
        <w:t>что</w:t>
      </w:r>
      <w:r w:rsidR="002A7771" w:rsidRPr="00B66EBA">
        <w:rPr>
          <w:iCs/>
          <w:lang w:val="ru-RU"/>
        </w:rPr>
        <w:t xml:space="preserve"> оно приняло</w:t>
      </w:r>
      <w:r w:rsidR="002A7771" w:rsidRPr="002A7771">
        <w:rPr>
          <w:iCs/>
          <w:lang w:val="ru-RU"/>
        </w:rPr>
        <w:t xml:space="preserve"> два подзаконных акта по осуществлению Конвенции</w:t>
      </w:r>
      <w:r w:rsidR="002A7771" w:rsidRPr="00415F5A">
        <w:rPr>
          <w:iCs/>
          <w:lang w:val="ru-RU"/>
        </w:rPr>
        <w:t>;</w:t>
      </w:r>
    </w:p>
    <w:p w14:paraId="0BFBCE85" w14:textId="2BBB1ADD" w:rsidR="00415F5A" w:rsidRPr="00415F5A" w:rsidRDefault="00F21FE7" w:rsidP="00F21FE7">
      <w:pPr>
        <w:pStyle w:val="SingleTxtG"/>
        <w:ind w:firstLine="567"/>
        <w:rPr>
          <w:iCs/>
          <w:lang w:val="ru-RU"/>
        </w:rPr>
      </w:pPr>
      <w:r w:rsidRPr="00415F5A">
        <w:rPr>
          <w:lang w:val="ru-RU"/>
        </w:rPr>
        <w:t>4.</w:t>
      </w:r>
      <w:r w:rsidRPr="00415F5A">
        <w:rPr>
          <w:i/>
          <w:lang w:val="ru-RU"/>
        </w:rPr>
        <w:tab/>
      </w:r>
      <w:r w:rsidR="00415F5A" w:rsidRPr="00415F5A">
        <w:rPr>
          <w:i/>
          <w:lang w:val="ru-RU"/>
        </w:rPr>
        <w:t xml:space="preserve">одобряет </w:t>
      </w:r>
      <w:r w:rsidR="00415F5A" w:rsidRPr="00415F5A">
        <w:rPr>
          <w:iCs/>
          <w:lang w:val="ru-RU"/>
        </w:rPr>
        <w:t xml:space="preserve">вывод Комитета по осуществлению о том, что, несмотря на некоторые шаги, предпринятые после промежуточной сессии Совещания Сторон, правительство Азербайджана до сих пор не выполнило просьбу, адресованную ему в пункте 6 решения </w:t>
      </w:r>
      <w:r w:rsidR="00415F5A" w:rsidRPr="00415F5A">
        <w:rPr>
          <w:iCs/>
        </w:rPr>
        <w:t>IS</w:t>
      </w:r>
      <w:r w:rsidR="00415F5A" w:rsidRPr="00415F5A">
        <w:rPr>
          <w:iCs/>
          <w:lang w:val="ru-RU"/>
        </w:rPr>
        <w:t>/1</w:t>
      </w:r>
      <w:r w:rsidR="00415F5A" w:rsidRPr="00415F5A">
        <w:rPr>
          <w:iCs/>
        </w:rPr>
        <w:t>c</w:t>
      </w:r>
      <w:r w:rsidR="00415F5A" w:rsidRPr="00415F5A">
        <w:rPr>
          <w:iCs/>
          <w:lang w:val="ru-RU"/>
        </w:rPr>
        <w:t>, и что,</w:t>
      </w:r>
      <w:r w:rsidR="00354890" w:rsidRPr="00354890">
        <w:rPr>
          <w:lang w:val="ru-RU"/>
        </w:rPr>
        <w:t xml:space="preserve"> таким образом, </w:t>
      </w:r>
      <w:r w:rsidR="00354890" w:rsidRPr="00B66EBA">
        <w:rPr>
          <w:lang w:val="ru-RU"/>
        </w:rPr>
        <w:t>государство по</w:t>
      </w:r>
      <w:r w:rsidR="00354890" w:rsidRPr="00354890">
        <w:rPr>
          <w:lang w:val="ru-RU"/>
        </w:rPr>
        <w:t>-прежнему не соблюдает пункт 2 статьи 2 Конвенции</w:t>
      </w:r>
      <w:r w:rsidR="00415F5A" w:rsidRPr="00415F5A">
        <w:rPr>
          <w:iCs/>
          <w:lang w:val="ru-RU"/>
        </w:rPr>
        <w:t>;</w:t>
      </w:r>
    </w:p>
    <w:p w14:paraId="42C01EA3" w14:textId="7F91DC3F" w:rsidR="009C0E93" w:rsidRPr="009C0E93" w:rsidRDefault="00F21FE7" w:rsidP="00F21FE7">
      <w:pPr>
        <w:pStyle w:val="SingleTxtG"/>
        <w:ind w:firstLine="567"/>
        <w:rPr>
          <w:lang w:val="ru-RU"/>
        </w:rPr>
      </w:pPr>
      <w:r w:rsidRPr="009C0E93">
        <w:rPr>
          <w:lang w:val="ru-RU"/>
        </w:rPr>
        <w:t>5.</w:t>
      </w:r>
      <w:r w:rsidRPr="009C0E93">
        <w:rPr>
          <w:lang w:val="ru-RU"/>
        </w:rPr>
        <w:tab/>
      </w:r>
      <w:r w:rsidR="009C0E93" w:rsidRPr="008A49C3">
        <w:rPr>
          <w:i/>
          <w:iCs/>
          <w:lang w:val="ru-RU"/>
        </w:rPr>
        <w:t xml:space="preserve">подтверждает </w:t>
      </w:r>
      <w:r w:rsidR="009C0E93" w:rsidRPr="009C0E93">
        <w:rPr>
          <w:lang w:val="ru-RU"/>
        </w:rPr>
        <w:t xml:space="preserve">свое решение </w:t>
      </w:r>
      <w:r w:rsidR="009C0E93" w:rsidRPr="00914801">
        <w:t>IS</w:t>
      </w:r>
      <w:r w:rsidR="009C0E93" w:rsidRPr="009C0E93">
        <w:rPr>
          <w:lang w:val="ru-RU"/>
        </w:rPr>
        <w:t>/1</w:t>
      </w:r>
      <w:r w:rsidR="009C0E93">
        <w:t>c</w:t>
      </w:r>
      <w:r w:rsidR="009C0E93" w:rsidRPr="009C0E93">
        <w:rPr>
          <w:lang w:val="ru-RU"/>
        </w:rPr>
        <w:t>,</w:t>
      </w:r>
      <w:r w:rsidR="008A49C3" w:rsidRPr="008A49C3">
        <w:rPr>
          <w:lang w:val="ru-RU"/>
        </w:rPr>
        <w:t xml:space="preserve"> и просит правительство Азербайджана как можно скорее обеспечить, чтобы его законодательство об оценке воздействия на окружающую среду полностью соответствовало Конвенции, в том числе в отношении:</w:t>
      </w:r>
    </w:p>
    <w:p w14:paraId="7024D7DE" w14:textId="6A8023C9" w:rsidR="00F21FE7" w:rsidRPr="00B66EBA" w:rsidRDefault="008A49C3" w:rsidP="00E86328">
      <w:pPr>
        <w:pStyle w:val="PlainText"/>
        <w:ind w:left="1701" w:right="1179" w:firstLine="567"/>
        <w:jc w:val="both"/>
        <w:rPr>
          <w:lang w:val="ru-RU"/>
        </w:rPr>
      </w:pPr>
      <w:r w:rsidRPr="0018709C">
        <w:rPr>
          <w:lang w:val="ru-RU"/>
        </w:rPr>
        <w:t xml:space="preserve"> </w:t>
      </w:r>
      <w:r w:rsidR="00F21FE7" w:rsidRPr="0018709C">
        <w:rPr>
          <w:lang w:val="ru-RU"/>
        </w:rPr>
        <w:t>(</w:t>
      </w:r>
      <w:r w:rsidR="00F21FE7">
        <w:t>a</w:t>
      </w:r>
      <w:r w:rsidR="00F21FE7" w:rsidRPr="0018709C">
        <w:rPr>
          <w:lang w:val="ru-RU"/>
        </w:rPr>
        <w:t xml:space="preserve">) </w:t>
      </w:r>
      <w:r w:rsidR="00F21FE7" w:rsidRPr="0018709C">
        <w:rPr>
          <w:lang w:val="ru-RU"/>
        </w:rPr>
        <w:tab/>
      </w:r>
      <w:r w:rsidR="00A50FA6" w:rsidRPr="00B66EBA">
        <w:rPr>
          <w:lang w:val="ru-RU"/>
        </w:rPr>
        <w:t>определения, упомянутые в статье 1(</w:t>
      </w:r>
      <w:r w:rsidR="00A50FA6" w:rsidRPr="00B66EBA">
        <w:t>v</w:t>
      </w:r>
      <w:r w:rsidR="00A50FA6" w:rsidRPr="00B66EBA">
        <w:rPr>
          <w:lang w:val="ru-RU"/>
        </w:rPr>
        <w:t>) Конвенции;</w:t>
      </w:r>
      <w:r w:rsidR="00E86328" w:rsidRPr="00B66EBA">
        <w:rPr>
          <w:lang w:val="ru-RU"/>
        </w:rPr>
        <w:t xml:space="preserve"> </w:t>
      </w:r>
    </w:p>
    <w:p w14:paraId="507A445A" w14:textId="77777777" w:rsidR="00F21FE7" w:rsidRPr="00B66EBA" w:rsidRDefault="00F21FE7" w:rsidP="00F21FE7">
      <w:pPr>
        <w:pStyle w:val="PlainText"/>
        <w:ind w:left="1701" w:right="1179" w:firstLine="567"/>
        <w:jc w:val="both"/>
        <w:rPr>
          <w:lang w:val="ru-RU"/>
        </w:rPr>
      </w:pPr>
    </w:p>
    <w:p w14:paraId="7D9D0F54" w14:textId="7FE6F633" w:rsidR="00F21FE7" w:rsidRPr="00B66EBA" w:rsidRDefault="00F21FE7" w:rsidP="00F21FE7">
      <w:pPr>
        <w:pStyle w:val="PlainText"/>
        <w:ind w:left="1701" w:right="1179" w:firstLine="567"/>
        <w:jc w:val="both"/>
        <w:rPr>
          <w:lang w:val="ru-RU"/>
        </w:rPr>
      </w:pPr>
      <w:r w:rsidRPr="00B66EBA">
        <w:rPr>
          <w:lang w:val="ru-RU"/>
        </w:rPr>
        <w:t>(</w:t>
      </w:r>
      <w:r w:rsidRPr="00B66EBA">
        <w:t>b</w:t>
      </w:r>
      <w:r w:rsidRPr="00B66EBA">
        <w:rPr>
          <w:lang w:val="ru-RU"/>
        </w:rPr>
        <w:t xml:space="preserve">) </w:t>
      </w:r>
      <w:r w:rsidRPr="00B66EBA">
        <w:rPr>
          <w:lang w:val="ru-RU"/>
        </w:rPr>
        <w:tab/>
      </w:r>
      <w:r w:rsidR="00E86328" w:rsidRPr="00B66EBA">
        <w:rPr>
          <w:lang w:val="ru-RU"/>
        </w:rPr>
        <w:t>распределение обязанностей между компетентными органами и инициатором деятельности, в частности в связи с обеспечением надлежащего участия общественности согласно статьям 2(6), 3(8) и 4(2) Конвенции</w:t>
      </w:r>
      <w:r w:rsidRPr="00B66EBA">
        <w:rPr>
          <w:lang w:val="ru-RU"/>
        </w:rPr>
        <w:t>;</w:t>
      </w:r>
    </w:p>
    <w:p w14:paraId="0D61F32B" w14:textId="77777777" w:rsidR="00F21FE7" w:rsidRPr="00B66EBA" w:rsidRDefault="00F21FE7" w:rsidP="00F21FE7">
      <w:pPr>
        <w:pStyle w:val="PlainText"/>
        <w:ind w:left="1701" w:right="1179" w:firstLine="567"/>
        <w:jc w:val="both"/>
        <w:rPr>
          <w:lang w:val="ru-RU"/>
        </w:rPr>
      </w:pPr>
    </w:p>
    <w:p w14:paraId="6B26F47A" w14:textId="6FB18C3A" w:rsidR="001D507A" w:rsidRPr="00B66EBA" w:rsidRDefault="00F21FE7" w:rsidP="00C92F48">
      <w:pPr>
        <w:pStyle w:val="PlainText"/>
        <w:ind w:left="1701" w:right="1179" w:firstLine="567"/>
        <w:jc w:val="both"/>
        <w:rPr>
          <w:lang w:val="ru-RU"/>
        </w:rPr>
      </w:pPr>
      <w:r w:rsidRPr="00B66EBA">
        <w:rPr>
          <w:lang w:val="ru-RU"/>
        </w:rPr>
        <w:lastRenderedPageBreak/>
        <w:t>(</w:t>
      </w:r>
      <w:r w:rsidRPr="00B66EBA">
        <w:t>c</w:t>
      </w:r>
      <w:r w:rsidRPr="00B66EBA">
        <w:rPr>
          <w:lang w:val="ru-RU"/>
        </w:rPr>
        <w:t xml:space="preserve">) </w:t>
      </w:r>
      <w:r w:rsidRPr="00B66EBA">
        <w:rPr>
          <w:lang w:val="ru-RU"/>
        </w:rPr>
        <w:tab/>
      </w:r>
      <w:r w:rsidR="00C92F48" w:rsidRPr="00B66EBA">
        <w:rPr>
          <w:lang w:val="ru-RU"/>
        </w:rPr>
        <w:t xml:space="preserve">Обязательства компетентных органов должным образом </w:t>
      </w:r>
      <w:r w:rsidR="001D507A" w:rsidRPr="00B66EBA">
        <w:rPr>
          <w:lang w:val="ru-RU"/>
        </w:rPr>
        <w:t xml:space="preserve">должны </w:t>
      </w:r>
      <w:r w:rsidR="00C92F48" w:rsidRPr="00B66EBA">
        <w:rPr>
          <w:lang w:val="ru-RU"/>
        </w:rPr>
        <w:t>учитывать результаты оценки воздействия на окружающую среду и представлять затрагиваемой Стороне окончательное решение по планируемой деятельности с указанием причин и соображений, на которых она основывается, как это предусмотрено в статье 6 (1) и 6(2) Конвенции;</w:t>
      </w:r>
    </w:p>
    <w:p w14:paraId="687E44FE" w14:textId="77777777" w:rsidR="00F21FE7" w:rsidRPr="00B66EBA" w:rsidRDefault="00F21FE7" w:rsidP="00F21FE7">
      <w:pPr>
        <w:pStyle w:val="PlainText"/>
        <w:ind w:left="1701" w:right="1179" w:firstLine="567"/>
        <w:jc w:val="both"/>
        <w:rPr>
          <w:lang w:val="ru-RU"/>
        </w:rPr>
      </w:pPr>
    </w:p>
    <w:p w14:paraId="4F29B2F2" w14:textId="1681C6BD" w:rsidR="00F21FE7" w:rsidRPr="00B66EBA" w:rsidRDefault="00F21FE7" w:rsidP="00F21FE7">
      <w:pPr>
        <w:pStyle w:val="PlainText"/>
        <w:ind w:left="1701" w:right="1179" w:firstLine="567"/>
        <w:jc w:val="both"/>
        <w:rPr>
          <w:lang w:val="ru-RU"/>
        </w:rPr>
      </w:pPr>
      <w:r w:rsidRPr="00B66EBA">
        <w:rPr>
          <w:lang w:val="ru-RU"/>
        </w:rPr>
        <w:t>(</w:t>
      </w:r>
      <w:r w:rsidRPr="00B66EBA">
        <w:t>d</w:t>
      </w:r>
      <w:r w:rsidRPr="00B66EBA">
        <w:rPr>
          <w:lang w:val="ru-RU"/>
        </w:rPr>
        <w:t xml:space="preserve">) </w:t>
      </w:r>
      <w:r w:rsidRPr="00B66EBA">
        <w:rPr>
          <w:lang w:val="ru-RU"/>
        </w:rPr>
        <w:tab/>
      </w:r>
      <w:r w:rsidR="00643E9F" w:rsidRPr="00B66EBA">
        <w:rPr>
          <w:lang w:val="ru-RU"/>
        </w:rPr>
        <w:t>Положения, касающиеся взаимодействия с затрагиваемыми Сторонами в соответствии со статьями 2, 3, 4, 5 и 6 Конвенции.</w:t>
      </w:r>
    </w:p>
    <w:p w14:paraId="0DC2C343" w14:textId="77777777" w:rsidR="00F21FE7" w:rsidRPr="00B66EBA" w:rsidRDefault="00F21FE7" w:rsidP="00F21FE7">
      <w:pPr>
        <w:pStyle w:val="PlainText"/>
        <w:ind w:left="1701" w:right="1179" w:firstLine="567"/>
        <w:jc w:val="both"/>
        <w:rPr>
          <w:lang w:val="ru-RU"/>
        </w:rPr>
      </w:pPr>
    </w:p>
    <w:p w14:paraId="16E9BBAA" w14:textId="53BEB4AF" w:rsidR="00530AEF" w:rsidRPr="00530AEF" w:rsidRDefault="00F21FE7" w:rsidP="00F21FE7">
      <w:pPr>
        <w:pStyle w:val="SingleTxtG"/>
        <w:ind w:firstLine="567"/>
        <w:rPr>
          <w:lang w:val="ru-RU"/>
        </w:rPr>
      </w:pPr>
      <w:r w:rsidRPr="00B66EBA">
        <w:rPr>
          <w:lang w:val="ru-RU"/>
        </w:rPr>
        <w:t>6.</w:t>
      </w:r>
      <w:r w:rsidRPr="00B66EBA">
        <w:rPr>
          <w:lang w:val="ru-RU"/>
        </w:rPr>
        <w:tab/>
      </w:r>
      <w:r w:rsidR="00D06160" w:rsidRPr="00B66EBA">
        <w:rPr>
          <w:i/>
          <w:iCs/>
          <w:lang w:val="ru-RU"/>
        </w:rPr>
        <w:t>также</w:t>
      </w:r>
      <w:r w:rsidR="00530AEF" w:rsidRPr="00B66EBA">
        <w:rPr>
          <w:i/>
          <w:iCs/>
          <w:lang w:val="ru-RU"/>
        </w:rPr>
        <w:t xml:space="preserve"> настоятельно призывает</w:t>
      </w:r>
      <w:r w:rsidR="00530AEF" w:rsidRPr="00B66EBA">
        <w:rPr>
          <w:lang w:val="ru-RU"/>
        </w:rPr>
        <w:t xml:space="preserve"> правительство Азербайджана обеспечить принятие своего вторичного законодательства об оценке воздействия на окружающую среду, охватывающего, в частности, трансграничную процедуру, после рассмотрения соответствующих рекомендаций, которые международный консультант секретариата представил Азербайджану в рамках технической по</w:t>
      </w:r>
      <w:r w:rsidR="0036075A" w:rsidRPr="00B66EBA">
        <w:rPr>
          <w:lang w:val="ru-RU"/>
        </w:rPr>
        <w:t>ддержки</w:t>
      </w:r>
      <w:r w:rsidR="00530AEF" w:rsidRPr="00B66EBA">
        <w:rPr>
          <w:lang w:val="ru-RU"/>
        </w:rPr>
        <w:t>;</w:t>
      </w:r>
    </w:p>
    <w:p w14:paraId="6EFD3C8B" w14:textId="1D353F04" w:rsidR="0079287A" w:rsidRPr="0079287A" w:rsidRDefault="00F21FE7" w:rsidP="00F21FE7">
      <w:pPr>
        <w:pStyle w:val="SingleTxtG"/>
        <w:ind w:firstLine="567"/>
        <w:rPr>
          <w:iCs/>
          <w:lang w:val="ru-RU"/>
        </w:rPr>
      </w:pPr>
      <w:r w:rsidRPr="0079287A">
        <w:rPr>
          <w:lang w:val="ru-RU"/>
        </w:rPr>
        <w:t>7.</w:t>
      </w:r>
      <w:r w:rsidRPr="0079287A">
        <w:rPr>
          <w:i/>
          <w:lang w:val="ru-RU"/>
        </w:rPr>
        <w:tab/>
      </w:r>
      <w:r w:rsidR="0079287A" w:rsidRPr="0079287A">
        <w:rPr>
          <w:i/>
          <w:lang w:val="ru-RU"/>
        </w:rPr>
        <w:t>просит</w:t>
      </w:r>
      <w:r w:rsidR="0079287A" w:rsidRPr="0079287A">
        <w:rPr>
          <w:iCs/>
          <w:lang w:val="ru-RU"/>
        </w:rPr>
        <w:t xml:space="preserve"> правительство Азербайджана регулярно представлять Комитету по осуществлению доклады о прогрессе, достигнутом в деле приведения его законодательства в соответствие с Конвенцией</w:t>
      </w:r>
      <w:r w:rsidR="00F30725">
        <w:rPr>
          <w:iCs/>
          <w:lang w:val="ru-RU"/>
        </w:rPr>
        <w:t xml:space="preserve"> </w:t>
      </w:r>
      <w:r w:rsidR="00F30725" w:rsidRPr="00F30725">
        <w:rPr>
          <w:iCs/>
          <w:lang w:val="ru-RU"/>
        </w:rPr>
        <w:t>к концу каждого года или в соответствии с указаниями Комитета</w:t>
      </w:r>
      <w:r w:rsidR="0079287A" w:rsidRPr="0079287A">
        <w:rPr>
          <w:iCs/>
          <w:lang w:val="ru-RU"/>
        </w:rPr>
        <w:t>;</w:t>
      </w:r>
    </w:p>
    <w:p w14:paraId="313A1E34" w14:textId="0120767F" w:rsidR="00F21FE7" w:rsidRPr="00455C0E" w:rsidRDefault="00F21FE7" w:rsidP="00F21FE7">
      <w:pPr>
        <w:pStyle w:val="SingleTxtG"/>
        <w:ind w:firstLine="567"/>
        <w:rPr>
          <w:iCs/>
          <w:lang w:val="ru-RU"/>
        </w:rPr>
      </w:pPr>
      <w:r w:rsidRPr="00455C0E">
        <w:rPr>
          <w:lang w:val="ru-RU"/>
        </w:rPr>
        <w:t>8.</w:t>
      </w:r>
      <w:r w:rsidRPr="00455C0E">
        <w:rPr>
          <w:i/>
          <w:lang w:val="ru-RU"/>
        </w:rPr>
        <w:tab/>
      </w:r>
      <w:r w:rsidR="00455C0E" w:rsidRPr="00455C0E">
        <w:rPr>
          <w:i/>
          <w:lang w:val="ru-RU"/>
        </w:rPr>
        <w:t xml:space="preserve">просит также </w:t>
      </w:r>
      <w:r w:rsidR="00455C0E" w:rsidRPr="00455C0E">
        <w:rPr>
          <w:iCs/>
          <w:lang w:val="ru-RU"/>
        </w:rPr>
        <w:t>правительство Азербайджана представлять Комитету по осуществлению официальные переводы на английский язык соответствующих законов и принимаемых подзаконных актов при их вступлении в силу;</w:t>
      </w:r>
    </w:p>
    <w:p w14:paraId="272CC738" w14:textId="340F3313" w:rsidR="009756E3" w:rsidRPr="009756E3" w:rsidRDefault="00F21FE7" w:rsidP="00F21FE7">
      <w:pPr>
        <w:pStyle w:val="SingleTxtG"/>
        <w:ind w:firstLine="567"/>
        <w:rPr>
          <w:lang w:val="ru-RU"/>
        </w:rPr>
      </w:pPr>
      <w:r w:rsidRPr="009756E3">
        <w:rPr>
          <w:lang w:val="ru-RU"/>
        </w:rPr>
        <w:t>9.</w:t>
      </w:r>
      <w:r w:rsidRPr="009756E3">
        <w:rPr>
          <w:lang w:val="ru-RU"/>
        </w:rPr>
        <w:tab/>
      </w:r>
      <w:r w:rsidR="009756E3" w:rsidRPr="009756E3">
        <w:rPr>
          <w:rStyle w:val="Emphasis"/>
          <w:lang w:val="ru-RU"/>
        </w:rPr>
        <w:t>просит</w:t>
      </w:r>
      <w:r w:rsidR="009756E3" w:rsidRPr="009756E3">
        <w:rPr>
          <w:lang w:val="ru-RU"/>
        </w:rPr>
        <w:t xml:space="preserve"> Комитет по осуществлению провести анализ соответствия законодательства Азербайджана об оценке воздействия на окружающую среду Конвенции и прогресса, достигнутого правительством Азербайджан в этом отношении, а также представить Совещанию </w:t>
      </w:r>
      <w:r w:rsidR="009756E3" w:rsidRPr="0018709C">
        <w:rPr>
          <w:lang w:val="ru-RU"/>
        </w:rPr>
        <w:t>Сторон доклад по данному вопросу на</w:t>
      </w:r>
      <w:r w:rsidR="009756E3">
        <w:t> </w:t>
      </w:r>
      <w:r w:rsidR="009756E3" w:rsidRPr="0018709C">
        <w:rPr>
          <w:lang w:val="ru-RU"/>
        </w:rPr>
        <w:t xml:space="preserve">его </w:t>
      </w:r>
      <w:r w:rsidR="009756E3">
        <w:rPr>
          <w:lang w:val="ru-RU"/>
        </w:rPr>
        <w:t>девятой</w:t>
      </w:r>
      <w:r w:rsidR="009756E3" w:rsidRPr="0018709C">
        <w:rPr>
          <w:lang w:val="ru-RU"/>
        </w:rPr>
        <w:t xml:space="preserve"> сессии</w:t>
      </w:r>
      <w:r w:rsidR="009756E3">
        <w:rPr>
          <w:lang w:val="ru-RU"/>
        </w:rPr>
        <w:t>.</w:t>
      </w:r>
    </w:p>
    <w:p w14:paraId="7396F04B" w14:textId="5215115E" w:rsidR="005E6A67" w:rsidRPr="0018709C" w:rsidRDefault="005E6A67">
      <w:pPr>
        <w:suppressAutoHyphens w:val="0"/>
        <w:spacing w:line="240" w:lineRule="auto"/>
        <w:rPr>
          <w:lang w:val="ru-RU"/>
        </w:rPr>
      </w:pPr>
      <w:r w:rsidRPr="0018709C">
        <w:rPr>
          <w:lang w:val="ru-RU"/>
        </w:rPr>
        <w:br w:type="page"/>
      </w:r>
    </w:p>
    <w:p w14:paraId="008D50D4" w14:textId="6F583A40" w:rsidR="009F57DC" w:rsidRPr="00C71EC6" w:rsidRDefault="00B64C92" w:rsidP="00C71EC6">
      <w:pPr>
        <w:pStyle w:val="HChG"/>
        <w:rPr>
          <w:lang w:val="ru-RU"/>
        </w:rPr>
      </w:pPr>
      <w:r w:rsidRPr="0018709C">
        <w:rPr>
          <w:b w:val="0"/>
          <w:lang w:val="ru-RU"/>
        </w:rPr>
        <w:lastRenderedPageBreak/>
        <w:tab/>
      </w:r>
      <w:r w:rsidR="009F57DC" w:rsidRPr="0018709C">
        <w:rPr>
          <w:lang w:val="ru-RU"/>
        </w:rPr>
        <w:t xml:space="preserve">4. </w:t>
      </w:r>
      <w:r w:rsidR="009F57DC" w:rsidRPr="0018709C">
        <w:rPr>
          <w:lang w:val="ru-RU"/>
        </w:rPr>
        <w:tab/>
      </w:r>
      <w:r w:rsidR="001E6389" w:rsidRPr="00C71EC6">
        <w:rPr>
          <w:lang w:val="ru-RU"/>
        </w:rPr>
        <w:t>Проект решения</w:t>
      </w:r>
      <w:r w:rsidR="009F57DC" w:rsidRPr="00C71EC6">
        <w:rPr>
          <w:lang w:val="ru-RU"/>
        </w:rPr>
        <w:t xml:space="preserve"> </w:t>
      </w:r>
      <w:r w:rsidR="009F57DC">
        <w:t>VIII</w:t>
      </w:r>
      <w:r w:rsidR="009F57DC" w:rsidRPr="00C71EC6">
        <w:rPr>
          <w:lang w:val="ru-RU"/>
        </w:rPr>
        <w:t>/4</w:t>
      </w:r>
      <w:r w:rsidR="00C55A26">
        <w:t>c</w:t>
      </w:r>
      <w:r w:rsidR="009F57DC" w:rsidRPr="00C71EC6">
        <w:rPr>
          <w:lang w:val="ru-RU"/>
        </w:rPr>
        <w:t xml:space="preserve"> </w:t>
      </w:r>
      <w:r w:rsidR="00C71EC6">
        <w:rPr>
          <w:lang w:val="ru-RU"/>
        </w:rPr>
        <w:t>о с</w:t>
      </w:r>
      <w:r w:rsidR="00C71EC6" w:rsidRPr="00C71EC6">
        <w:rPr>
          <w:lang w:val="ru-RU"/>
        </w:rPr>
        <w:t>облюдени</w:t>
      </w:r>
      <w:r w:rsidR="00C71EC6">
        <w:rPr>
          <w:lang w:val="ru-RU"/>
        </w:rPr>
        <w:t>и</w:t>
      </w:r>
      <w:r w:rsidR="00C71EC6" w:rsidRPr="00C71EC6">
        <w:rPr>
          <w:lang w:val="ru-RU"/>
        </w:rPr>
        <w:t xml:space="preserve"> Беларусью ее обязательств по Конвенции в отношении Белорусской атомной электростанции в Островце</w:t>
      </w:r>
    </w:p>
    <w:p w14:paraId="32879EFF" w14:textId="77777777" w:rsidR="00320F20" w:rsidRPr="0018709C" w:rsidRDefault="00320F20" w:rsidP="009F57DC">
      <w:pPr>
        <w:pStyle w:val="SingleTxtG"/>
        <w:ind w:firstLine="567"/>
        <w:rPr>
          <w:i/>
          <w:lang w:val="ru-RU"/>
        </w:rPr>
      </w:pPr>
      <w:r w:rsidRPr="0018709C">
        <w:rPr>
          <w:i/>
          <w:lang w:val="ru-RU"/>
        </w:rPr>
        <w:t>Совещание Сторон,</w:t>
      </w:r>
    </w:p>
    <w:p w14:paraId="318A9B02" w14:textId="7DAC8860" w:rsidR="007F639C" w:rsidRPr="007F639C" w:rsidRDefault="007F639C" w:rsidP="009F57DC">
      <w:pPr>
        <w:pStyle w:val="SingleTxtG"/>
        <w:ind w:firstLine="567"/>
        <w:rPr>
          <w:i/>
          <w:iCs/>
          <w:lang w:val="ru-RU"/>
        </w:rPr>
      </w:pPr>
      <w:r w:rsidRPr="007F639C">
        <w:rPr>
          <w:i/>
          <w:iCs/>
          <w:lang w:val="ru-RU"/>
        </w:rPr>
        <w:t xml:space="preserve">ссылаясь </w:t>
      </w:r>
      <w:r w:rsidRPr="007F639C">
        <w:rPr>
          <w:lang w:val="ru-RU"/>
        </w:rPr>
        <w:t>на пункт 2 статьи 11 и статью 14-бис Конвенции об оценке воздействия на окружающую среду в трансграничном контексте,</w:t>
      </w:r>
    </w:p>
    <w:p w14:paraId="72A1FEBE" w14:textId="3295C15A" w:rsidR="009F57DC" w:rsidRPr="00360443" w:rsidRDefault="00847F4A" w:rsidP="009F57DC">
      <w:pPr>
        <w:pStyle w:val="SingleTxtG"/>
        <w:ind w:firstLine="567"/>
        <w:rPr>
          <w:lang w:val="ru-RU"/>
        </w:rPr>
      </w:pPr>
      <w:r w:rsidRPr="00360443">
        <w:rPr>
          <w:i/>
          <w:lang w:val="ru-RU"/>
        </w:rPr>
        <w:t xml:space="preserve">ссылаясь также </w:t>
      </w:r>
      <w:r w:rsidRPr="00360443">
        <w:rPr>
          <w:lang w:val="ru-RU"/>
        </w:rPr>
        <w:t>на пункты 48–64 своего решения</w:t>
      </w:r>
      <w:r w:rsidR="009F57DC" w:rsidRPr="00360443">
        <w:rPr>
          <w:lang w:val="ru-RU"/>
        </w:rPr>
        <w:t xml:space="preserve"> </w:t>
      </w:r>
      <w:r w:rsidR="009F57DC" w:rsidRPr="000706D5">
        <w:t>VI</w:t>
      </w:r>
      <w:r w:rsidR="009F57DC" w:rsidRPr="00360443">
        <w:rPr>
          <w:lang w:val="ru-RU"/>
        </w:rPr>
        <w:t>/2</w:t>
      </w:r>
      <w:r w:rsidR="009F57DC" w:rsidRPr="000706D5">
        <w:rPr>
          <w:vertAlign w:val="superscript"/>
        </w:rPr>
        <w:footnoteReference w:id="19"/>
      </w:r>
      <w:r w:rsidR="009F57DC" w:rsidRPr="00360443">
        <w:rPr>
          <w:lang w:val="ru-RU"/>
        </w:rPr>
        <w:t xml:space="preserve"> </w:t>
      </w:r>
      <w:r w:rsidR="00360443">
        <w:rPr>
          <w:lang w:val="ru-RU"/>
        </w:rPr>
        <w:t>и</w:t>
      </w:r>
      <w:r w:rsidR="00360443" w:rsidRPr="00360443">
        <w:rPr>
          <w:lang w:val="ru-RU"/>
        </w:rPr>
        <w:t xml:space="preserve"> </w:t>
      </w:r>
      <w:r w:rsidR="00360443">
        <w:rPr>
          <w:lang w:val="ru-RU"/>
        </w:rPr>
        <w:t>решения</w:t>
      </w:r>
      <w:r w:rsidR="009F57DC" w:rsidRPr="00360443">
        <w:rPr>
          <w:lang w:val="ru-RU"/>
        </w:rPr>
        <w:t xml:space="preserve"> </w:t>
      </w:r>
      <w:r w:rsidR="009F57DC">
        <w:t>IS</w:t>
      </w:r>
      <w:r w:rsidR="009F57DC" w:rsidRPr="00360443">
        <w:rPr>
          <w:lang w:val="ru-RU"/>
        </w:rPr>
        <w:t>/1</w:t>
      </w:r>
      <w:r w:rsidR="009F57DC">
        <w:t>d</w:t>
      </w:r>
      <w:r w:rsidR="009F57DC">
        <w:rPr>
          <w:rStyle w:val="FootnoteReference"/>
        </w:rPr>
        <w:footnoteReference w:id="20"/>
      </w:r>
      <w:r w:rsidR="009F57DC" w:rsidRPr="00360443">
        <w:rPr>
          <w:lang w:val="ru-RU"/>
        </w:rPr>
        <w:t xml:space="preserve"> </w:t>
      </w:r>
      <w:r w:rsidR="00360443" w:rsidRPr="00360443">
        <w:rPr>
          <w:lang w:val="ru-RU"/>
        </w:rPr>
        <w:t>о соблюдении Беларусью Конвенции в связи со строительством Белорусской атомной электростанции в Островце</w:t>
      </w:r>
      <w:r w:rsidR="009F57DC" w:rsidRPr="00360443">
        <w:rPr>
          <w:lang w:val="ru-RU"/>
        </w:rPr>
        <w:t xml:space="preserve">, </w:t>
      </w:r>
    </w:p>
    <w:p w14:paraId="04555597" w14:textId="70766FF2" w:rsidR="00F72C38" w:rsidRPr="008273E5" w:rsidRDefault="0004358C" w:rsidP="00217952">
      <w:pPr>
        <w:pStyle w:val="SingleTxtG"/>
        <w:ind w:firstLine="567"/>
        <w:rPr>
          <w:lang w:val="ru-RU"/>
        </w:rPr>
      </w:pPr>
      <w:r w:rsidRPr="0004358C">
        <w:rPr>
          <w:i/>
          <w:iCs/>
          <w:lang w:val="ru-RU"/>
        </w:rPr>
        <w:t>рассмотрев</w:t>
      </w:r>
      <w:r w:rsidRPr="0004358C">
        <w:rPr>
          <w:lang w:val="ru-RU"/>
        </w:rPr>
        <w:t xml:space="preserve"> касающиеся Беларуси разделы доклада о деятельности Комитета по осуществлению, представленного Совещанию </w:t>
      </w:r>
      <w:r w:rsidRPr="008273E5">
        <w:rPr>
          <w:lang w:val="ru-RU"/>
        </w:rPr>
        <w:t xml:space="preserve">Сторон Конвенции на его </w:t>
      </w:r>
      <w:r w:rsidR="00341D5E">
        <w:rPr>
          <w:lang w:val="ru-RU"/>
        </w:rPr>
        <w:t>восьмой</w:t>
      </w:r>
      <w:r w:rsidRPr="008273E5">
        <w:rPr>
          <w:lang w:val="ru-RU"/>
        </w:rPr>
        <w:t xml:space="preserve"> сессии</w:t>
      </w:r>
      <w:r w:rsidR="00217952" w:rsidRPr="008273E5">
        <w:rPr>
          <w:lang w:val="ru-RU"/>
        </w:rPr>
        <w:t>,</w:t>
      </w:r>
      <w:r w:rsidR="009F57DC" w:rsidRPr="000706D5">
        <w:rPr>
          <w:vertAlign w:val="superscript"/>
        </w:rPr>
        <w:footnoteReference w:id="21"/>
      </w:r>
    </w:p>
    <w:p w14:paraId="6A9AE83A" w14:textId="64569020" w:rsidR="008273E5" w:rsidRPr="00382FDC" w:rsidRDefault="008273E5" w:rsidP="00217952">
      <w:pPr>
        <w:pStyle w:val="SingleTxtG"/>
        <w:ind w:firstLine="567"/>
        <w:rPr>
          <w:lang w:val="ru-RU"/>
        </w:rPr>
      </w:pPr>
      <w:r w:rsidRPr="00382FDC">
        <w:rPr>
          <w:i/>
          <w:iCs/>
          <w:lang w:val="ru-RU"/>
        </w:rPr>
        <w:t>ссылаясь</w:t>
      </w:r>
      <w:r w:rsidRPr="008273E5">
        <w:rPr>
          <w:lang w:val="ru-RU"/>
        </w:rPr>
        <w:t xml:space="preserve"> на принятое на его </w:t>
      </w:r>
      <w:r>
        <w:rPr>
          <w:lang w:val="ru-RU"/>
        </w:rPr>
        <w:t>вось</w:t>
      </w:r>
      <w:r w:rsidRPr="008273E5">
        <w:rPr>
          <w:lang w:val="ru-RU"/>
        </w:rPr>
        <w:t xml:space="preserve">мой сессии решение </w:t>
      </w:r>
      <w:r w:rsidRPr="00234D01">
        <w:t>VIII</w:t>
      </w:r>
      <w:r w:rsidRPr="008273E5">
        <w:rPr>
          <w:lang w:val="ru-RU"/>
        </w:rPr>
        <w:t>/4</w:t>
      </w:r>
      <w:r w:rsidR="00382FDC">
        <w:rPr>
          <w:lang w:val="ru-RU"/>
        </w:rPr>
        <w:t xml:space="preserve"> </w:t>
      </w:r>
      <w:r w:rsidR="00382FDC" w:rsidRPr="00382FDC">
        <w:rPr>
          <w:lang w:val="ru-RU"/>
        </w:rPr>
        <w:t>об общих вопросах соблюдения Конвенции</w:t>
      </w:r>
      <w:r w:rsidR="00382FDC">
        <w:rPr>
          <w:lang w:val="ru-RU"/>
        </w:rPr>
        <w:t>,</w:t>
      </w:r>
    </w:p>
    <w:p w14:paraId="4248FC83" w14:textId="535F3D81" w:rsidR="000A61D8" w:rsidRPr="006E3B86" w:rsidRDefault="009F57DC" w:rsidP="009F57DC">
      <w:pPr>
        <w:pStyle w:val="SingleTxtG"/>
        <w:ind w:firstLine="567"/>
        <w:rPr>
          <w:lang w:val="ru-RU"/>
        </w:rPr>
      </w:pPr>
      <w:r w:rsidRPr="000A61D8">
        <w:rPr>
          <w:iCs/>
          <w:lang w:val="ru-RU"/>
        </w:rPr>
        <w:t>1.</w:t>
      </w:r>
      <w:r w:rsidRPr="000A61D8">
        <w:rPr>
          <w:iCs/>
          <w:lang w:val="ru-RU"/>
        </w:rPr>
        <w:tab/>
      </w:r>
      <w:r w:rsidR="000A61D8" w:rsidRPr="000A61D8">
        <w:rPr>
          <w:i/>
          <w:iCs/>
          <w:lang w:val="ru-RU"/>
        </w:rPr>
        <w:t>принимает к сведению</w:t>
      </w:r>
      <w:r w:rsidR="000A61D8" w:rsidRPr="000A61D8">
        <w:rPr>
          <w:lang w:val="ru-RU"/>
        </w:rPr>
        <w:t xml:space="preserve"> годовые доклады и информацию, представленные Беларусью и Литвой </w:t>
      </w:r>
      <w:r w:rsidR="00BD7354">
        <w:rPr>
          <w:lang w:val="ru-RU"/>
        </w:rPr>
        <w:t xml:space="preserve">в 2018 и 2019 годах </w:t>
      </w:r>
      <w:r w:rsidR="000A61D8" w:rsidRPr="000A61D8">
        <w:rPr>
          <w:lang w:val="ru-RU"/>
        </w:rPr>
        <w:t>Комитету по осуществлению в соответствии</w:t>
      </w:r>
      <w:r w:rsidR="00BD7354">
        <w:rPr>
          <w:lang w:val="ru-RU"/>
        </w:rPr>
        <w:t xml:space="preserve"> с пунктом </w:t>
      </w:r>
      <w:r w:rsidR="006E3B86">
        <w:rPr>
          <w:lang w:val="ru-RU"/>
        </w:rPr>
        <w:t>59</w:t>
      </w:r>
      <w:r w:rsidR="000A61D8" w:rsidRPr="000A61D8">
        <w:rPr>
          <w:lang w:val="ru-RU"/>
        </w:rPr>
        <w:t xml:space="preserve"> решени</w:t>
      </w:r>
      <w:r w:rsidR="006E3B86">
        <w:rPr>
          <w:lang w:val="ru-RU"/>
        </w:rPr>
        <w:t xml:space="preserve">я </w:t>
      </w:r>
      <w:r w:rsidR="006E3B86" w:rsidRPr="000706D5">
        <w:t>VI</w:t>
      </w:r>
      <w:r w:rsidR="006E3B86" w:rsidRPr="006E3B86">
        <w:rPr>
          <w:lang w:val="ru-RU"/>
        </w:rPr>
        <w:t>/2</w:t>
      </w:r>
      <w:r w:rsidR="006E3B86">
        <w:rPr>
          <w:lang w:val="ru-RU"/>
        </w:rPr>
        <w:t xml:space="preserve"> и пунктом</w:t>
      </w:r>
      <w:r w:rsidR="006E3B86" w:rsidRPr="006E3B86">
        <w:rPr>
          <w:lang w:val="ru-RU"/>
        </w:rPr>
        <w:t xml:space="preserve"> 20 </w:t>
      </w:r>
      <w:r w:rsidR="006E3B86">
        <w:rPr>
          <w:lang w:val="ru-RU"/>
        </w:rPr>
        <w:t>решения</w:t>
      </w:r>
      <w:r w:rsidR="006E3B86" w:rsidRPr="006E3B86">
        <w:rPr>
          <w:lang w:val="ru-RU"/>
        </w:rPr>
        <w:t xml:space="preserve"> </w:t>
      </w:r>
      <w:r w:rsidR="006E3B86">
        <w:t>IS</w:t>
      </w:r>
      <w:r w:rsidR="006E3B86" w:rsidRPr="006E3B86">
        <w:rPr>
          <w:lang w:val="ru-RU"/>
        </w:rPr>
        <w:t>/1</w:t>
      </w:r>
      <w:r w:rsidR="006E3B86">
        <w:t>d</w:t>
      </w:r>
      <w:r w:rsidR="006E3B86" w:rsidRPr="006E3B86">
        <w:rPr>
          <w:lang w:val="ru-RU"/>
        </w:rPr>
        <w:t>;</w:t>
      </w:r>
    </w:p>
    <w:p w14:paraId="0CE87DB8" w14:textId="5EB37929" w:rsidR="009F57DC" w:rsidRPr="00451E90" w:rsidRDefault="009F57DC" w:rsidP="007F2119">
      <w:pPr>
        <w:pStyle w:val="SingleTxtG"/>
        <w:ind w:firstLine="567"/>
        <w:rPr>
          <w:iCs/>
          <w:lang w:val="ru-RU"/>
        </w:rPr>
      </w:pPr>
      <w:r w:rsidRPr="00B379E2">
        <w:rPr>
          <w:lang w:val="ru-RU"/>
        </w:rPr>
        <w:t>2.</w:t>
      </w:r>
      <w:r w:rsidRPr="00B379E2">
        <w:rPr>
          <w:lang w:val="ru-RU"/>
        </w:rPr>
        <w:tab/>
      </w:r>
      <w:r w:rsidR="00046350" w:rsidRPr="000A61D8">
        <w:rPr>
          <w:i/>
          <w:iCs/>
          <w:lang w:val="ru-RU"/>
        </w:rPr>
        <w:t>принимает к сведению</w:t>
      </w:r>
      <w:r w:rsidR="00046350" w:rsidRPr="00B379E2">
        <w:rPr>
          <w:lang w:val="ru-RU"/>
        </w:rPr>
        <w:t xml:space="preserve"> </w:t>
      </w:r>
      <w:r w:rsidR="00B379E2" w:rsidRPr="00B379E2">
        <w:rPr>
          <w:lang w:val="ru-RU"/>
        </w:rPr>
        <w:t xml:space="preserve">шаги, предпринятые </w:t>
      </w:r>
      <w:r w:rsidR="00B379E2" w:rsidRPr="000A61D8">
        <w:rPr>
          <w:lang w:val="ru-RU"/>
        </w:rPr>
        <w:t>Беларусью и Литвой</w:t>
      </w:r>
      <w:r w:rsidR="00B379E2" w:rsidRPr="00B379E2">
        <w:rPr>
          <w:lang w:val="ru-RU"/>
        </w:rPr>
        <w:t xml:space="preserve"> после</w:t>
      </w:r>
      <w:r w:rsidR="00563491">
        <w:rPr>
          <w:lang w:val="ru-RU"/>
        </w:rPr>
        <w:t xml:space="preserve"> </w:t>
      </w:r>
      <w:r w:rsidR="00563491" w:rsidRPr="00563491">
        <w:rPr>
          <w:lang w:val="ru-RU"/>
        </w:rPr>
        <w:t>промежуточной сессии</w:t>
      </w:r>
      <w:r w:rsidR="00563491">
        <w:rPr>
          <w:lang w:val="ru-RU"/>
        </w:rPr>
        <w:t xml:space="preserve"> </w:t>
      </w:r>
      <w:r w:rsidR="00563491" w:rsidRPr="0004358C">
        <w:rPr>
          <w:lang w:val="ru-RU"/>
        </w:rPr>
        <w:t>Совещани</w:t>
      </w:r>
      <w:r w:rsidR="00563491">
        <w:rPr>
          <w:lang w:val="ru-RU"/>
        </w:rPr>
        <w:t>я</w:t>
      </w:r>
      <w:r w:rsidR="00563491" w:rsidRPr="0004358C">
        <w:rPr>
          <w:lang w:val="ru-RU"/>
        </w:rPr>
        <w:t xml:space="preserve"> </w:t>
      </w:r>
      <w:r w:rsidR="00563491" w:rsidRPr="008273E5">
        <w:rPr>
          <w:lang w:val="ru-RU"/>
        </w:rPr>
        <w:t>Сторон</w:t>
      </w:r>
      <w:r w:rsidR="00270309">
        <w:rPr>
          <w:lang w:val="ru-RU"/>
        </w:rPr>
        <w:t xml:space="preserve"> </w:t>
      </w:r>
      <w:r w:rsidR="00451E90" w:rsidRPr="00451E90">
        <w:rPr>
          <w:lang w:val="ru-RU"/>
        </w:rPr>
        <w:t xml:space="preserve">во исполнение пунктов 16-20 решения </w:t>
      </w:r>
      <w:r w:rsidR="00451E90">
        <w:t>IS</w:t>
      </w:r>
      <w:r w:rsidR="00451E90" w:rsidRPr="00451E90">
        <w:rPr>
          <w:lang w:val="ru-RU"/>
        </w:rPr>
        <w:t>/1</w:t>
      </w:r>
      <w:r w:rsidR="00451E90">
        <w:t>d</w:t>
      </w:r>
      <w:r w:rsidR="00451E90" w:rsidRPr="00451E90">
        <w:rPr>
          <w:lang w:val="ru-RU"/>
        </w:rPr>
        <w:t xml:space="preserve">, но </w:t>
      </w:r>
      <w:r w:rsidR="00451E90" w:rsidRPr="00B66EBA">
        <w:rPr>
          <w:lang w:val="ru-RU"/>
        </w:rPr>
        <w:t>выражает обеспокоенность</w:t>
      </w:r>
      <w:r w:rsidR="00451E90" w:rsidRPr="00451E90">
        <w:rPr>
          <w:lang w:val="ru-RU"/>
        </w:rPr>
        <w:t xml:space="preserve"> </w:t>
      </w:r>
      <w:r w:rsidR="007F2119" w:rsidRPr="007F2119">
        <w:rPr>
          <w:lang w:val="ru-RU"/>
        </w:rPr>
        <w:t xml:space="preserve">в связи с ограниченным прогрессом, достигнутым соответствующими Сторонами в выполнении требований, изложенных в пунктах 17, 18 и 19 этого решения; </w:t>
      </w:r>
      <w:r w:rsidR="00451E90" w:rsidRPr="00451E90">
        <w:rPr>
          <w:lang w:val="ru-RU"/>
        </w:rPr>
        <w:t xml:space="preserve"> </w:t>
      </w:r>
    </w:p>
    <w:p w14:paraId="4E2BB4CA" w14:textId="2B547C20" w:rsidR="009F57DC" w:rsidRPr="002C1EAB" w:rsidRDefault="009F57DC" w:rsidP="009F57DC">
      <w:pPr>
        <w:pStyle w:val="SingleTxtG"/>
        <w:ind w:firstLine="567"/>
        <w:rPr>
          <w:iCs/>
          <w:lang w:val="ru-RU"/>
        </w:rPr>
      </w:pPr>
      <w:r w:rsidRPr="002C1EAB">
        <w:rPr>
          <w:iCs/>
          <w:lang w:val="ru-RU"/>
        </w:rPr>
        <w:t>3.</w:t>
      </w:r>
      <w:r w:rsidRPr="002C1EAB">
        <w:rPr>
          <w:iCs/>
          <w:lang w:val="ru-RU"/>
        </w:rPr>
        <w:tab/>
      </w:r>
      <w:r w:rsidR="004F1824" w:rsidRPr="002C1EAB">
        <w:rPr>
          <w:lang w:val="ru-RU"/>
        </w:rPr>
        <w:t xml:space="preserve">одобряет вывод Комитета по осуществлению о том, что Беларусь  </w:t>
      </w:r>
      <w:r w:rsidR="004F1824">
        <w:rPr>
          <w:lang w:val="ru-RU"/>
        </w:rPr>
        <w:t>и</w:t>
      </w:r>
      <w:r w:rsidR="004F1824" w:rsidRPr="002C1EAB">
        <w:rPr>
          <w:lang w:val="ru-RU"/>
        </w:rPr>
        <w:t xml:space="preserve"> </w:t>
      </w:r>
      <w:r w:rsidR="004F1824">
        <w:rPr>
          <w:lang w:val="ru-RU"/>
        </w:rPr>
        <w:t>Литва</w:t>
      </w:r>
      <w:r w:rsidR="004F1824" w:rsidRPr="002C1EAB">
        <w:rPr>
          <w:lang w:val="ru-RU"/>
        </w:rPr>
        <w:t xml:space="preserve"> </w:t>
      </w:r>
      <w:r w:rsidR="002C1EAB">
        <w:rPr>
          <w:lang w:val="ru-RU"/>
        </w:rPr>
        <w:t>е</w:t>
      </w:r>
      <w:r w:rsidR="002C1EAB" w:rsidRPr="002C1EAB">
        <w:rPr>
          <w:lang w:val="ru-RU"/>
        </w:rPr>
        <w:t>ще не выполнили требования, изложенные в пунктах 17-19 решения</w:t>
      </w:r>
      <w:r w:rsidR="002C1EAB">
        <w:rPr>
          <w:lang w:val="ru-RU"/>
        </w:rPr>
        <w:t xml:space="preserve"> </w:t>
      </w:r>
      <w:r>
        <w:rPr>
          <w:iCs/>
        </w:rPr>
        <w:t>IS</w:t>
      </w:r>
      <w:r w:rsidRPr="002C1EAB">
        <w:rPr>
          <w:iCs/>
          <w:lang w:val="ru-RU"/>
        </w:rPr>
        <w:t>/1</w:t>
      </w:r>
      <w:r>
        <w:rPr>
          <w:iCs/>
        </w:rPr>
        <w:t>d</w:t>
      </w:r>
      <w:r w:rsidR="00217952" w:rsidRPr="002C1EAB">
        <w:rPr>
          <w:iCs/>
          <w:lang w:val="ru-RU"/>
        </w:rPr>
        <w:t>;</w:t>
      </w:r>
      <w:r w:rsidRPr="002C1EAB">
        <w:rPr>
          <w:iCs/>
          <w:lang w:val="ru-RU"/>
        </w:rPr>
        <w:t xml:space="preserve"> </w:t>
      </w:r>
    </w:p>
    <w:p w14:paraId="22920F97" w14:textId="77777777" w:rsidR="00863879" w:rsidRDefault="009F57DC" w:rsidP="009F57DC">
      <w:pPr>
        <w:pStyle w:val="SingleTxtG"/>
        <w:ind w:firstLine="567"/>
        <w:rPr>
          <w:lang w:val="ru-RU"/>
        </w:rPr>
      </w:pPr>
      <w:r w:rsidRPr="00180237">
        <w:rPr>
          <w:lang w:val="ru-RU"/>
        </w:rPr>
        <w:t>4.</w:t>
      </w:r>
      <w:r w:rsidRPr="00180237">
        <w:rPr>
          <w:lang w:val="ru-RU"/>
        </w:rPr>
        <w:tab/>
      </w:r>
      <w:r w:rsidR="00180237" w:rsidRPr="00180237">
        <w:rPr>
          <w:lang w:val="ru-RU"/>
        </w:rPr>
        <w:t xml:space="preserve">подтверждает свое решение </w:t>
      </w:r>
      <w:r w:rsidR="00180237" w:rsidRPr="00180237">
        <w:t>IS</w:t>
      </w:r>
      <w:r w:rsidR="00180237" w:rsidRPr="00180237">
        <w:rPr>
          <w:lang w:val="ru-RU"/>
        </w:rPr>
        <w:t>/1</w:t>
      </w:r>
      <w:r w:rsidR="00180237" w:rsidRPr="00180237">
        <w:t>d</w:t>
      </w:r>
      <w:r w:rsidR="00180237" w:rsidRPr="00180237">
        <w:rPr>
          <w:lang w:val="ru-RU"/>
        </w:rPr>
        <w:t xml:space="preserve"> и вновь призывает Беларусь и Литву выполнить пункты 17-19 этого решения к девятой сессии Совещания Сторон </w:t>
      </w:r>
      <w:r w:rsidR="00863879">
        <w:rPr>
          <w:lang w:val="ru-RU"/>
        </w:rPr>
        <w:t>в целях:</w:t>
      </w:r>
    </w:p>
    <w:p w14:paraId="50D2F046" w14:textId="7033C65D" w:rsidR="009F57DC" w:rsidRPr="00042640" w:rsidRDefault="00863879" w:rsidP="005D2F8F">
      <w:pPr>
        <w:pStyle w:val="SingleTxtG"/>
        <w:ind w:firstLine="567"/>
        <w:rPr>
          <w:lang w:val="ru-RU"/>
        </w:rPr>
      </w:pPr>
      <w:r w:rsidRPr="0018709C">
        <w:rPr>
          <w:lang w:val="ru-RU"/>
        </w:rPr>
        <w:t xml:space="preserve"> </w:t>
      </w:r>
      <w:r w:rsidR="009F57DC" w:rsidRPr="00042640">
        <w:rPr>
          <w:lang w:val="ru-RU"/>
        </w:rPr>
        <w:t>(</w:t>
      </w:r>
      <w:r w:rsidR="009F57DC">
        <w:t>a</w:t>
      </w:r>
      <w:r w:rsidR="009F57DC" w:rsidRPr="00042640">
        <w:rPr>
          <w:lang w:val="ru-RU"/>
        </w:rPr>
        <w:t>)</w:t>
      </w:r>
      <w:r w:rsidR="009F57DC" w:rsidRPr="00042640">
        <w:rPr>
          <w:lang w:val="ru-RU"/>
        </w:rPr>
        <w:tab/>
      </w:r>
      <w:r w:rsidR="005D2F8F" w:rsidRPr="00042640">
        <w:rPr>
          <w:lang w:val="ru-RU"/>
        </w:rPr>
        <w:t>Заключени</w:t>
      </w:r>
      <w:r w:rsidR="00042640">
        <w:rPr>
          <w:lang w:val="ru-RU"/>
        </w:rPr>
        <w:t>я</w:t>
      </w:r>
      <w:r w:rsidR="005D2F8F" w:rsidRPr="00042640">
        <w:rPr>
          <w:lang w:val="ru-RU"/>
        </w:rPr>
        <w:t xml:space="preserve"> двустороннего соглашения </w:t>
      </w:r>
      <w:r w:rsidR="005D2F8F">
        <w:rPr>
          <w:lang w:val="ru-RU"/>
        </w:rPr>
        <w:t>для</w:t>
      </w:r>
      <w:r w:rsidR="005D2F8F" w:rsidRPr="00042640">
        <w:rPr>
          <w:lang w:val="ru-RU"/>
        </w:rPr>
        <w:t xml:space="preserve"> осуществлении Конвенции в соответствии со статьей 8 Конвенции; </w:t>
      </w:r>
    </w:p>
    <w:p w14:paraId="47589727" w14:textId="723EC3AE" w:rsidR="009F57DC" w:rsidRPr="00A0072B" w:rsidRDefault="009F57DC" w:rsidP="00A0072B">
      <w:pPr>
        <w:pStyle w:val="SingleTxtG"/>
        <w:ind w:firstLine="567"/>
        <w:rPr>
          <w:lang w:val="ru-RU"/>
        </w:rPr>
      </w:pPr>
      <w:r w:rsidRPr="00430BA7">
        <w:rPr>
          <w:lang w:val="ru-RU"/>
        </w:rPr>
        <w:t>(</w:t>
      </w:r>
      <w:r>
        <w:t>b</w:t>
      </w:r>
      <w:r w:rsidRPr="00430BA7">
        <w:rPr>
          <w:lang w:val="ru-RU"/>
        </w:rPr>
        <w:t>)</w:t>
      </w:r>
      <w:r w:rsidRPr="00430BA7">
        <w:rPr>
          <w:lang w:val="ru-RU"/>
        </w:rPr>
        <w:tab/>
      </w:r>
      <w:r w:rsidR="00430BA7" w:rsidRPr="00430BA7">
        <w:rPr>
          <w:lang w:val="ru-RU"/>
        </w:rPr>
        <w:t>Проведени</w:t>
      </w:r>
      <w:r w:rsidR="00042640">
        <w:rPr>
          <w:lang w:val="ru-RU"/>
        </w:rPr>
        <w:t>я</w:t>
      </w:r>
      <w:r w:rsidR="00430BA7" w:rsidRPr="00430BA7">
        <w:rPr>
          <w:lang w:val="ru-RU"/>
        </w:rPr>
        <w:t xml:space="preserve"> </w:t>
      </w:r>
      <w:r w:rsidR="00A8086F">
        <w:rPr>
          <w:lang w:val="ru-RU"/>
        </w:rPr>
        <w:t>после</w:t>
      </w:r>
      <w:r w:rsidR="00430BA7" w:rsidRPr="00430BA7">
        <w:rPr>
          <w:lang w:val="ru-RU"/>
        </w:rPr>
        <w:t>проектного анализа, включающего достижение соглашения о создании совместного двустороннего органа и процедур</w:t>
      </w:r>
      <w:r w:rsidR="00CF7030">
        <w:rPr>
          <w:lang w:val="ru-RU"/>
        </w:rPr>
        <w:t>ах</w:t>
      </w:r>
      <w:r w:rsidR="00430BA7" w:rsidRPr="00430BA7">
        <w:rPr>
          <w:lang w:val="ru-RU"/>
        </w:rPr>
        <w:t xml:space="preserve"> такого анализа, в частности, для обеспечения достаточного участия общественности в рамках по</w:t>
      </w:r>
      <w:r w:rsidR="00A8086F">
        <w:rPr>
          <w:lang w:val="ru-RU"/>
        </w:rPr>
        <w:t>сле</w:t>
      </w:r>
      <w:r w:rsidR="00430BA7" w:rsidRPr="00430BA7">
        <w:rPr>
          <w:lang w:val="ru-RU"/>
        </w:rPr>
        <w:t>проектного анализа;</w:t>
      </w:r>
    </w:p>
    <w:p w14:paraId="2CAB9853" w14:textId="359CB7D6" w:rsidR="009F57DC" w:rsidRPr="00042640" w:rsidRDefault="009F57DC" w:rsidP="00A5354C">
      <w:pPr>
        <w:pStyle w:val="SingleTxtG"/>
        <w:ind w:firstLine="567"/>
        <w:rPr>
          <w:lang w:val="ru-RU"/>
        </w:rPr>
      </w:pPr>
      <w:r w:rsidRPr="00042640">
        <w:rPr>
          <w:lang w:val="ru-RU"/>
        </w:rPr>
        <w:t>(</w:t>
      </w:r>
      <w:r>
        <w:t>c</w:t>
      </w:r>
      <w:r w:rsidRPr="00042640">
        <w:rPr>
          <w:lang w:val="ru-RU"/>
        </w:rPr>
        <w:t>)</w:t>
      </w:r>
      <w:r w:rsidRPr="00042640">
        <w:rPr>
          <w:lang w:val="ru-RU"/>
        </w:rPr>
        <w:tab/>
        <w:t xml:space="preserve"> </w:t>
      </w:r>
      <w:r w:rsidR="00042640">
        <w:rPr>
          <w:lang w:val="ru-RU"/>
        </w:rPr>
        <w:t>П</w:t>
      </w:r>
      <w:r w:rsidR="00042640" w:rsidRPr="00042640">
        <w:rPr>
          <w:lang w:val="ru-RU"/>
        </w:rPr>
        <w:t>родолжени</w:t>
      </w:r>
      <w:r w:rsidR="00042640">
        <w:rPr>
          <w:lang w:val="ru-RU"/>
        </w:rPr>
        <w:t>я</w:t>
      </w:r>
      <w:r w:rsidR="00042640" w:rsidRPr="00042640">
        <w:rPr>
          <w:lang w:val="ru-RU"/>
        </w:rPr>
        <w:t xml:space="preserve"> двусторонних консультаций экспертов по вопросам, вызывающим разногласия, в том числе по вопросам, выходящим за рамки Конвенции;</w:t>
      </w:r>
      <w:r w:rsidRPr="00042640">
        <w:rPr>
          <w:lang w:val="ru-RU"/>
        </w:rPr>
        <w:t>;</w:t>
      </w:r>
    </w:p>
    <w:p w14:paraId="316CEE74" w14:textId="77777777" w:rsidR="00233A7A" w:rsidRDefault="009F57DC" w:rsidP="00233A7A">
      <w:pPr>
        <w:pStyle w:val="SingleTxtG"/>
        <w:ind w:firstLine="567"/>
        <w:rPr>
          <w:lang w:val="ru-RU"/>
        </w:rPr>
      </w:pPr>
      <w:r w:rsidRPr="000F221D">
        <w:rPr>
          <w:lang w:val="ru-RU"/>
        </w:rPr>
        <w:t>5.</w:t>
      </w:r>
      <w:r w:rsidRPr="000F221D">
        <w:rPr>
          <w:lang w:val="ru-RU"/>
        </w:rPr>
        <w:tab/>
      </w:r>
      <w:r w:rsidR="000F221D" w:rsidRPr="000F221D">
        <w:rPr>
          <w:i/>
          <w:iCs/>
          <w:lang w:val="ru-RU"/>
        </w:rPr>
        <w:t xml:space="preserve">просит </w:t>
      </w:r>
      <w:r w:rsidR="00233A7A" w:rsidRPr="00233A7A">
        <w:rPr>
          <w:lang w:val="ru-RU"/>
        </w:rPr>
        <w:t>правительства Беларуси и Литвы к концу каждого года представлять Комитету по выполнению доклады о ходе осуществления вышеупомянутых рекомендаций.</w:t>
      </w:r>
    </w:p>
    <w:p w14:paraId="59A732EF" w14:textId="2AFCFABC" w:rsidR="00B02851" w:rsidRPr="00A05009" w:rsidRDefault="00B02851" w:rsidP="00B02851">
      <w:pPr>
        <w:pStyle w:val="HChG"/>
        <w:jc w:val="both"/>
        <w:rPr>
          <w:lang w:val="ru-RU"/>
        </w:rPr>
      </w:pPr>
      <w:r w:rsidRPr="0018709C">
        <w:rPr>
          <w:lang w:val="ru-RU"/>
        </w:rPr>
        <w:lastRenderedPageBreak/>
        <w:tab/>
      </w:r>
      <w:r w:rsidRPr="00A05009">
        <w:rPr>
          <w:lang w:val="ru-RU"/>
        </w:rPr>
        <w:t>5.</w:t>
      </w:r>
      <w:r w:rsidRPr="00A05009">
        <w:rPr>
          <w:lang w:val="ru-RU"/>
        </w:rPr>
        <w:tab/>
      </w:r>
      <w:r w:rsidR="00137428" w:rsidRPr="00A05009">
        <w:rPr>
          <w:lang w:val="ru-RU"/>
        </w:rPr>
        <w:t>Проект решения</w:t>
      </w:r>
      <w:r w:rsidRPr="00A05009">
        <w:rPr>
          <w:lang w:val="ru-RU"/>
        </w:rPr>
        <w:t xml:space="preserve"> </w:t>
      </w:r>
      <w:r>
        <w:t>VIII</w:t>
      </w:r>
      <w:r w:rsidRPr="00A05009">
        <w:rPr>
          <w:lang w:val="ru-RU"/>
        </w:rPr>
        <w:t>/4</w:t>
      </w:r>
      <w:r>
        <w:t>d</w:t>
      </w:r>
      <w:r w:rsidRPr="00A05009">
        <w:rPr>
          <w:lang w:val="ru-RU"/>
        </w:rPr>
        <w:t xml:space="preserve"> </w:t>
      </w:r>
      <w:r w:rsidR="00A05009">
        <w:rPr>
          <w:lang w:val="ru-RU"/>
        </w:rPr>
        <w:t>о с</w:t>
      </w:r>
      <w:r w:rsidR="00A05009" w:rsidRPr="00A05009">
        <w:rPr>
          <w:lang w:val="ru-RU"/>
        </w:rPr>
        <w:t>облюдени</w:t>
      </w:r>
      <w:r w:rsidR="00A05009">
        <w:rPr>
          <w:lang w:val="ru-RU"/>
        </w:rPr>
        <w:t>и</w:t>
      </w:r>
      <w:r w:rsidR="00A05009" w:rsidRPr="00A05009">
        <w:rPr>
          <w:lang w:val="ru-RU"/>
        </w:rPr>
        <w:t xml:space="preserve"> Украиной ее обязательств по Конвенции в связи с проектом строительства глубоководного судоходного канала «Дунай−Черное море» в украинском секторе дельты реки Дуная</w:t>
      </w:r>
    </w:p>
    <w:p w14:paraId="7E59DB41" w14:textId="5CF8351A" w:rsidR="00B02851" w:rsidRPr="00CB5C46" w:rsidRDefault="001E591B" w:rsidP="00B02851">
      <w:pPr>
        <w:pStyle w:val="SingleTxtG"/>
        <w:ind w:firstLine="567"/>
        <w:rPr>
          <w:lang w:val="ru-RU"/>
        </w:rPr>
      </w:pPr>
      <w:r w:rsidRPr="00CB5C46">
        <w:rPr>
          <w:rStyle w:val="Emphasis"/>
          <w:lang w:val="ru-RU"/>
        </w:rPr>
        <w:t xml:space="preserve">Совещание Сторон, </w:t>
      </w:r>
      <w:r w:rsidR="00B02851" w:rsidRPr="00CB5C46">
        <w:rPr>
          <w:lang w:val="ru-RU"/>
        </w:rPr>
        <w:t xml:space="preserve"> </w:t>
      </w:r>
    </w:p>
    <w:p w14:paraId="583D440C" w14:textId="2F4A247F" w:rsidR="00B02851" w:rsidRPr="00CB5C46" w:rsidRDefault="00CB5C46" w:rsidP="00B02851">
      <w:pPr>
        <w:pStyle w:val="SingleTxtG"/>
        <w:ind w:firstLine="567"/>
        <w:rPr>
          <w:lang w:val="ru-RU"/>
        </w:rPr>
      </w:pPr>
      <w:r w:rsidRPr="00CB5C46">
        <w:rPr>
          <w:rStyle w:val="Emphasis"/>
          <w:lang w:val="ru-RU"/>
        </w:rPr>
        <w:t>ссылаясь</w:t>
      </w:r>
      <w:r w:rsidRPr="00CB5C46">
        <w:rPr>
          <w:lang w:val="ru-RU"/>
        </w:rPr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14:paraId="41686EE1" w14:textId="4F267131" w:rsidR="00B02851" w:rsidRPr="008C46BB" w:rsidRDefault="00E224C2" w:rsidP="00B02851">
      <w:pPr>
        <w:pStyle w:val="SingleTxtG"/>
        <w:ind w:firstLine="567"/>
        <w:rPr>
          <w:lang w:val="ru-RU"/>
        </w:rPr>
      </w:pPr>
      <w:r w:rsidRPr="008C46BB">
        <w:rPr>
          <w:rStyle w:val="Emphasis"/>
          <w:lang w:val="ru-RU"/>
        </w:rPr>
        <w:t>ссылаясь также</w:t>
      </w:r>
      <w:r w:rsidRPr="008C46BB">
        <w:rPr>
          <w:lang w:val="ru-RU"/>
        </w:rPr>
        <w:t xml:space="preserve"> на пункты 7–14 своего решения </w:t>
      </w:r>
      <w:r w:rsidRPr="00D42C60">
        <w:t>IV</w:t>
      </w:r>
      <w:r w:rsidRPr="008C46BB">
        <w:rPr>
          <w:lang w:val="ru-RU"/>
        </w:rPr>
        <w:t xml:space="preserve">/2 </w:t>
      </w:r>
      <w:r w:rsidR="00B02851" w:rsidRPr="00E168EE">
        <w:rPr>
          <w:rStyle w:val="FootnoteReference"/>
        </w:rPr>
        <w:footnoteReference w:id="22"/>
      </w:r>
      <w:r w:rsidR="008C46BB" w:rsidRPr="008C46BB">
        <w:rPr>
          <w:lang w:val="ru-RU"/>
        </w:rPr>
        <w:t>, пункты 17–26 решения</w:t>
      </w:r>
      <w:r w:rsidR="008C46BB">
        <w:t> </w:t>
      </w:r>
      <w:r w:rsidR="008C46BB" w:rsidRPr="00D42C60">
        <w:t>V</w:t>
      </w:r>
      <w:r w:rsidR="008C46BB" w:rsidRPr="008C46BB">
        <w:rPr>
          <w:lang w:val="ru-RU"/>
        </w:rPr>
        <w:t>/4</w:t>
      </w:r>
      <w:r w:rsidR="00B02851" w:rsidRPr="00E168EE">
        <w:rPr>
          <w:rStyle w:val="FootnoteReference"/>
        </w:rPr>
        <w:footnoteReference w:id="23"/>
      </w:r>
      <w:r w:rsidR="008C46BB">
        <w:rPr>
          <w:lang w:val="ru-RU"/>
        </w:rPr>
        <w:t>,</w:t>
      </w:r>
      <w:r w:rsidR="00BC7D6A" w:rsidRPr="00BC7D6A">
        <w:rPr>
          <w:lang w:val="ru-RU"/>
        </w:rPr>
        <w:t xml:space="preserve"> пункты 15–28 решения </w:t>
      </w:r>
      <w:r w:rsidR="00BC7D6A" w:rsidRPr="00D42C60">
        <w:t>VI</w:t>
      </w:r>
      <w:r w:rsidR="00BC7D6A" w:rsidRPr="00BC7D6A">
        <w:rPr>
          <w:lang w:val="ru-RU"/>
        </w:rPr>
        <w:t>/2</w:t>
      </w:r>
      <w:r w:rsidR="00B02851" w:rsidRPr="00E168EE">
        <w:rPr>
          <w:rStyle w:val="FootnoteReference"/>
        </w:rPr>
        <w:footnoteReference w:id="24"/>
      </w:r>
      <w:r w:rsidR="00B02851" w:rsidRPr="008C46BB">
        <w:rPr>
          <w:lang w:val="ru-RU"/>
        </w:rPr>
        <w:t xml:space="preserve">, </w:t>
      </w:r>
      <w:r w:rsidR="00BC7D6A">
        <w:rPr>
          <w:lang w:val="ru-RU"/>
        </w:rPr>
        <w:t>и решения</w:t>
      </w:r>
      <w:r w:rsidR="00B02851" w:rsidRPr="008C46BB">
        <w:rPr>
          <w:lang w:val="ru-RU"/>
        </w:rPr>
        <w:t xml:space="preserve"> </w:t>
      </w:r>
      <w:r w:rsidR="00B02851">
        <w:t>IS</w:t>
      </w:r>
      <w:r w:rsidR="00B02851" w:rsidRPr="008C46BB">
        <w:rPr>
          <w:lang w:val="ru-RU"/>
        </w:rPr>
        <w:t>/1</w:t>
      </w:r>
      <w:r w:rsidR="00B02851">
        <w:t>f</w:t>
      </w:r>
      <w:r w:rsidR="00B02851">
        <w:rPr>
          <w:rStyle w:val="FootnoteReference"/>
        </w:rPr>
        <w:footnoteReference w:id="25"/>
      </w:r>
      <w:r w:rsidR="00B02851" w:rsidRPr="008C46BB">
        <w:rPr>
          <w:lang w:val="ru-RU"/>
        </w:rPr>
        <w:t xml:space="preserve"> </w:t>
      </w:r>
      <w:r w:rsidR="00BC7BD1" w:rsidRPr="00BC7BD1">
        <w:rPr>
          <w:lang w:val="ru-RU"/>
        </w:rPr>
        <w:t>относительно соблюдения Украиной Конвенции в связи с глубоководным судоходным каналом «Дунай–Черное море» в украинском секторе дельты Дуная (проект по каналу «Быстрое»),</w:t>
      </w:r>
    </w:p>
    <w:p w14:paraId="5E728481" w14:textId="23BF4A95" w:rsidR="00B02851" w:rsidRPr="007E4BFE" w:rsidRDefault="00AA200A" w:rsidP="00B02851">
      <w:pPr>
        <w:pStyle w:val="SingleTxtG"/>
        <w:ind w:firstLine="567"/>
        <w:rPr>
          <w:lang w:val="ru-RU"/>
        </w:rPr>
      </w:pPr>
      <w:r w:rsidRPr="00AA200A">
        <w:rPr>
          <w:rStyle w:val="Emphasis"/>
          <w:lang w:val="ru-RU"/>
        </w:rPr>
        <w:t xml:space="preserve">рассмотрев </w:t>
      </w:r>
      <w:r w:rsidRPr="00AA200A">
        <w:rPr>
          <w:lang w:val="ru-RU"/>
        </w:rPr>
        <w:t>касающиеся Украины соответствующие разделы доклада о</w:t>
      </w:r>
      <w:r>
        <w:t> </w:t>
      </w:r>
      <w:r w:rsidRPr="00AA200A">
        <w:rPr>
          <w:lang w:val="ru-RU"/>
        </w:rPr>
        <w:t>деятельности Комитета по осуществлению</w:t>
      </w:r>
      <w:r w:rsidR="009B3051">
        <w:rPr>
          <w:lang w:val="ru-RU"/>
        </w:rPr>
        <w:t xml:space="preserve">, </w:t>
      </w:r>
      <w:r w:rsidR="009B3051" w:rsidRPr="009B3051">
        <w:rPr>
          <w:lang w:val="ru-RU"/>
        </w:rPr>
        <w:t xml:space="preserve">представленного Совещанию </w:t>
      </w:r>
      <w:r w:rsidR="009B3051" w:rsidRPr="007E4BFE">
        <w:rPr>
          <w:lang w:val="ru-RU"/>
        </w:rPr>
        <w:t xml:space="preserve">Сторон </w:t>
      </w:r>
      <w:r w:rsidR="009B3051">
        <w:rPr>
          <w:lang w:val="ru-RU"/>
        </w:rPr>
        <w:t>Конвенции</w:t>
      </w:r>
      <w:r w:rsidR="009B3051" w:rsidRPr="007E4BFE">
        <w:rPr>
          <w:lang w:val="ru-RU"/>
        </w:rPr>
        <w:t xml:space="preserve"> </w:t>
      </w:r>
      <w:r w:rsidRPr="007E4BFE">
        <w:rPr>
          <w:lang w:val="ru-RU"/>
        </w:rPr>
        <w:t xml:space="preserve">на его </w:t>
      </w:r>
      <w:r w:rsidR="00BE4606">
        <w:rPr>
          <w:lang w:val="ru-RU"/>
        </w:rPr>
        <w:t>вось</w:t>
      </w:r>
      <w:r w:rsidRPr="007E4BFE">
        <w:rPr>
          <w:lang w:val="ru-RU"/>
        </w:rPr>
        <w:t>мой сессии</w:t>
      </w:r>
      <w:r w:rsidR="00F747C5" w:rsidRPr="007E4BFE">
        <w:rPr>
          <w:lang w:val="ru-RU"/>
        </w:rPr>
        <w:t>,</w:t>
      </w:r>
      <w:r w:rsidR="00B02851" w:rsidRPr="00E168EE">
        <w:rPr>
          <w:rStyle w:val="FootnoteReference"/>
        </w:rPr>
        <w:footnoteReference w:id="26"/>
      </w:r>
      <w:r w:rsidR="00B02851" w:rsidRPr="007E4BFE">
        <w:rPr>
          <w:lang w:val="ru-RU"/>
        </w:rPr>
        <w:t xml:space="preserve"> </w:t>
      </w:r>
      <w:r w:rsidR="007E4BFE" w:rsidRPr="007E4BFE">
        <w:rPr>
          <w:lang w:val="ru-RU"/>
        </w:rPr>
        <w:t xml:space="preserve">в частности, раздел, касающийся шагов, предпринятых Украиной во исполнение решения </w:t>
      </w:r>
      <w:r w:rsidR="007E4BFE" w:rsidRPr="007E4BFE">
        <w:t>IS</w:t>
      </w:r>
      <w:r w:rsidR="007E4BFE" w:rsidRPr="007E4BFE">
        <w:rPr>
          <w:lang w:val="ru-RU"/>
        </w:rPr>
        <w:t>/1</w:t>
      </w:r>
      <w:r w:rsidR="007E4BFE" w:rsidRPr="007E4BFE">
        <w:t>f</w:t>
      </w:r>
      <w:r w:rsidR="00B02851" w:rsidRPr="007E4BFE">
        <w:rPr>
          <w:lang w:val="ru-RU"/>
        </w:rPr>
        <w:t>,</w:t>
      </w:r>
    </w:p>
    <w:p w14:paraId="190B2604" w14:textId="77777777" w:rsidR="00C213E0" w:rsidRDefault="00A040AE" w:rsidP="00C213E0">
      <w:pPr>
        <w:pStyle w:val="SingleTxtG"/>
        <w:ind w:firstLine="567"/>
        <w:rPr>
          <w:lang w:val="ru-RU"/>
        </w:rPr>
      </w:pPr>
      <w:r w:rsidRPr="00A040AE">
        <w:rPr>
          <w:i/>
          <w:lang w:val="ru-RU"/>
        </w:rPr>
        <w:t xml:space="preserve">Ссылаясь </w:t>
      </w:r>
      <w:r w:rsidRPr="00A040AE">
        <w:rPr>
          <w:iCs/>
          <w:lang w:val="ru-RU"/>
        </w:rPr>
        <w:t xml:space="preserve">на </w:t>
      </w:r>
      <w:r w:rsidR="00411535" w:rsidRPr="00411535">
        <w:rPr>
          <w:lang w:val="ru-RU"/>
        </w:rPr>
        <w:t>заявление Украины о наличии у нее подлинного желания привести проект по строительству канала «Быстрое» в полное соответствие с Конвенцией</w:t>
      </w:r>
      <w:r w:rsidR="00B02851" w:rsidRPr="00A040AE">
        <w:rPr>
          <w:iCs/>
          <w:lang w:val="ru-RU"/>
        </w:rPr>
        <w:t>,</w:t>
      </w:r>
      <w:r w:rsidR="00B02851" w:rsidRPr="00E168EE">
        <w:rPr>
          <w:rStyle w:val="FootnoteReference"/>
        </w:rPr>
        <w:footnoteReference w:id="27"/>
      </w:r>
      <w:bookmarkStart w:id="7" w:name="_Hlk34989607"/>
    </w:p>
    <w:p w14:paraId="6DFE4E8F" w14:textId="31158029" w:rsidR="00B02851" w:rsidRPr="00997C57" w:rsidRDefault="00C213E0" w:rsidP="00997C57">
      <w:pPr>
        <w:pStyle w:val="SingleTxtG"/>
        <w:ind w:firstLine="567"/>
        <w:rPr>
          <w:i/>
          <w:lang w:val="ru-RU"/>
        </w:rPr>
      </w:pPr>
      <w:r w:rsidRPr="00874D25">
        <w:rPr>
          <w:rStyle w:val="Emphasis"/>
          <w:lang w:val="ru-RU"/>
        </w:rPr>
        <w:t xml:space="preserve">ссылаясь </w:t>
      </w:r>
      <w:r w:rsidRPr="00874D25">
        <w:rPr>
          <w:lang w:val="ru-RU"/>
        </w:rPr>
        <w:t>на</w:t>
      </w:r>
      <w:r w:rsidR="00874D25" w:rsidRPr="00874D25">
        <w:rPr>
          <w:lang w:val="ru-RU"/>
        </w:rPr>
        <w:t xml:space="preserve"> </w:t>
      </w:r>
      <w:r w:rsidR="00E55E97" w:rsidRPr="00874D25">
        <w:rPr>
          <w:lang w:val="ru-RU"/>
        </w:rPr>
        <w:t>дорожн</w:t>
      </w:r>
      <w:r w:rsidR="00E55E97">
        <w:rPr>
          <w:lang w:val="ru-RU"/>
        </w:rPr>
        <w:t>ую</w:t>
      </w:r>
      <w:r w:rsidR="00E55E97" w:rsidRPr="00874D25">
        <w:rPr>
          <w:lang w:val="ru-RU"/>
        </w:rPr>
        <w:t xml:space="preserve"> карт</w:t>
      </w:r>
      <w:r w:rsidR="00E55E97">
        <w:rPr>
          <w:lang w:val="ru-RU"/>
        </w:rPr>
        <w:t>у</w:t>
      </w:r>
      <w:r w:rsidR="00374273">
        <w:rPr>
          <w:lang w:val="ru-RU"/>
        </w:rPr>
        <w:t>,</w:t>
      </w:r>
      <w:r w:rsidR="00374273" w:rsidRPr="00374273">
        <w:rPr>
          <w:lang w:val="ru-RU"/>
        </w:rPr>
        <w:t xml:space="preserve"> </w:t>
      </w:r>
      <w:r w:rsidR="00374273" w:rsidRPr="00874D25">
        <w:rPr>
          <w:lang w:val="ru-RU"/>
        </w:rPr>
        <w:t>разработанн</w:t>
      </w:r>
      <w:r w:rsidR="00374273">
        <w:rPr>
          <w:lang w:val="ru-RU"/>
        </w:rPr>
        <w:t xml:space="preserve">ую Украиной </w:t>
      </w:r>
      <w:r w:rsidR="00374273" w:rsidRPr="00374273">
        <w:rPr>
          <w:lang w:val="ru-RU"/>
        </w:rPr>
        <w:t xml:space="preserve">для приведения проекта канала "Быстрое" в соответствие с Конвенцией, которая содержит неисчерпывающий перечень мероприятий в рамках </w:t>
      </w:r>
      <w:r w:rsidR="00D33307" w:rsidRPr="00D33307">
        <w:rPr>
          <w:lang w:val="ru-RU"/>
        </w:rPr>
        <w:t>этапа</w:t>
      </w:r>
      <w:r w:rsidR="00D33307">
        <w:rPr>
          <w:lang w:val="ru-RU"/>
        </w:rPr>
        <w:t xml:space="preserve"> </w:t>
      </w:r>
      <w:r w:rsidR="00D33307" w:rsidRPr="00D42C60">
        <w:t>I</w:t>
      </w:r>
      <w:r w:rsidR="00D33307" w:rsidRPr="00D33307">
        <w:rPr>
          <w:lang w:val="ru-RU"/>
        </w:rPr>
        <w:t xml:space="preserve"> и </w:t>
      </w:r>
      <w:r w:rsidR="00D33307">
        <w:rPr>
          <w:lang w:val="ru-RU"/>
        </w:rPr>
        <w:t xml:space="preserve">этапа </w:t>
      </w:r>
      <w:r w:rsidR="00D33307" w:rsidRPr="00D42C60">
        <w:t>II</w:t>
      </w:r>
      <w:r w:rsidR="00D33307" w:rsidRPr="00D33307">
        <w:rPr>
          <w:lang w:val="ru-RU"/>
        </w:rPr>
        <w:t xml:space="preserve"> проекта</w:t>
      </w:r>
      <w:r w:rsidR="00374273" w:rsidRPr="00374273">
        <w:rPr>
          <w:lang w:val="ru-RU"/>
        </w:rPr>
        <w:t>, в том числе: остановка работ, отмена окончательного решения, проведение оценки ущерба, нанесенного окружающей среде, и разработка плана компенсационных и смягчающих мер</w:t>
      </w:r>
      <w:bookmarkEnd w:id="7"/>
      <w:r w:rsidR="0009582B" w:rsidRPr="00997C57">
        <w:rPr>
          <w:lang w:val="ru-RU"/>
        </w:rPr>
        <w:t>,</w:t>
      </w:r>
      <w:r w:rsidR="00B02851">
        <w:rPr>
          <w:rStyle w:val="FootnoteReference"/>
        </w:rPr>
        <w:footnoteReference w:id="28"/>
      </w:r>
    </w:p>
    <w:p w14:paraId="5018A92D" w14:textId="5730D778" w:rsidR="00B02851" w:rsidRPr="00860DE4" w:rsidRDefault="00860DE4" w:rsidP="00860DE4">
      <w:pPr>
        <w:pStyle w:val="SingleTxtG"/>
        <w:tabs>
          <w:tab w:val="left" w:pos="3126"/>
        </w:tabs>
        <w:ind w:firstLine="567"/>
        <w:rPr>
          <w:i/>
          <w:lang w:val="ru-RU"/>
        </w:rPr>
      </w:pPr>
      <w:r w:rsidRPr="00874D25">
        <w:rPr>
          <w:rStyle w:val="Emphasis"/>
          <w:lang w:val="ru-RU"/>
        </w:rPr>
        <w:t xml:space="preserve">ссылаясь </w:t>
      </w:r>
      <w:r w:rsidRPr="00874D25">
        <w:rPr>
          <w:lang w:val="ru-RU"/>
        </w:rPr>
        <w:t>на</w:t>
      </w:r>
      <w:r w:rsidR="005408B8" w:rsidRPr="005408B8">
        <w:rPr>
          <w:lang w:val="ru-RU"/>
        </w:rPr>
        <w:t xml:space="preserve"> намерение Украины разработать новый проект по руслу «Быстрое» и провести трансграничную процедуру оценки воздействия на окружающую среду по новому проекту в соответствии с Конвенцией</w:t>
      </w:r>
      <w:r w:rsidR="00B02851">
        <w:rPr>
          <w:rStyle w:val="FootnoteReference"/>
          <w:iCs/>
        </w:rPr>
        <w:footnoteReference w:id="29"/>
      </w:r>
    </w:p>
    <w:p w14:paraId="5D1F0C78" w14:textId="44D3EAAD" w:rsidR="00B02851" w:rsidRPr="007C778E" w:rsidRDefault="00B02851" w:rsidP="00B02851">
      <w:pPr>
        <w:pStyle w:val="SingleTxtG"/>
        <w:ind w:firstLine="567"/>
        <w:rPr>
          <w:lang w:val="ru-RU"/>
        </w:rPr>
      </w:pPr>
      <w:r w:rsidRPr="007C778E">
        <w:rPr>
          <w:lang w:val="ru-RU"/>
        </w:rPr>
        <w:t>1.</w:t>
      </w:r>
      <w:r w:rsidRPr="007C778E">
        <w:rPr>
          <w:i/>
          <w:lang w:val="ru-RU"/>
        </w:rPr>
        <w:tab/>
      </w:r>
      <w:r w:rsidR="007C778E" w:rsidRPr="007C778E">
        <w:rPr>
          <w:i/>
          <w:lang w:val="ru-RU"/>
        </w:rPr>
        <w:t xml:space="preserve">высоко оценивает </w:t>
      </w:r>
      <w:r w:rsidR="007C778E" w:rsidRPr="007C778E">
        <w:rPr>
          <w:iCs/>
          <w:lang w:val="ru-RU"/>
        </w:rPr>
        <w:t>информацию, полученную от Правительства Украины в соответствии с пунктом 19 решения</w:t>
      </w:r>
      <w:r w:rsidR="007C778E">
        <w:rPr>
          <w:i/>
          <w:lang w:val="ru-RU"/>
        </w:rPr>
        <w:t xml:space="preserve"> </w:t>
      </w:r>
      <w:r>
        <w:t>IS</w:t>
      </w:r>
      <w:r w:rsidRPr="007C778E">
        <w:rPr>
          <w:lang w:val="ru-RU"/>
        </w:rPr>
        <w:t>/1</w:t>
      </w:r>
      <w:r>
        <w:t>f</w:t>
      </w:r>
      <w:r w:rsidRPr="007C778E">
        <w:rPr>
          <w:lang w:val="ru-RU"/>
        </w:rPr>
        <w:t>;</w:t>
      </w:r>
    </w:p>
    <w:p w14:paraId="0B2E51BB" w14:textId="7DAC0E0B" w:rsidR="00B02851" w:rsidRPr="00783B78" w:rsidRDefault="00B02851" w:rsidP="00B02851">
      <w:pPr>
        <w:pStyle w:val="SingleTxtG"/>
        <w:ind w:firstLine="567"/>
        <w:rPr>
          <w:lang w:val="ru-RU"/>
        </w:rPr>
      </w:pPr>
      <w:r w:rsidRPr="00783B78">
        <w:rPr>
          <w:lang w:val="ru-RU"/>
        </w:rPr>
        <w:t>2.</w:t>
      </w:r>
      <w:r w:rsidRPr="00783B78">
        <w:rPr>
          <w:lang w:val="ru-RU"/>
        </w:rPr>
        <w:tab/>
      </w:r>
      <w:r w:rsidR="00783B78" w:rsidRPr="00783B78">
        <w:rPr>
          <w:i/>
          <w:iCs/>
          <w:lang w:val="ru-RU"/>
        </w:rPr>
        <w:t>сожалеет,</w:t>
      </w:r>
      <w:r w:rsidR="00783B78" w:rsidRPr="00783B78">
        <w:rPr>
          <w:lang w:val="ru-RU"/>
        </w:rPr>
        <w:t xml:space="preserve"> что, несмотря на многочисленные </w:t>
      </w:r>
      <w:r w:rsidR="00521AC7">
        <w:rPr>
          <w:lang w:val="ru-RU"/>
        </w:rPr>
        <w:t xml:space="preserve">четко обозначенные </w:t>
      </w:r>
      <w:r w:rsidR="00783B78" w:rsidRPr="00783B78">
        <w:rPr>
          <w:lang w:val="ru-RU"/>
        </w:rPr>
        <w:t xml:space="preserve">просьбы Совещания Сторон и Комитета, Украина не смогла четко и </w:t>
      </w:r>
      <w:r w:rsidR="009A6986">
        <w:rPr>
          <w:lang w:val="ru-RU"/>
        </w:rPr>
        <w:t>однозначно</w:t>
      </w:r>
      <w:r w:rsidR="00783B78" w:rsidRPr="00783B78">
        <w:rPr>
          <w:lang w:val="ru-RU"/>
        </w:rPr>
        <w:t xml:space="preserve"> подтвердить, что</w:t>
      </w:r>
      <w:r w:rsidR="009332D0" w:rsidRPr="009332D0">
        <w:rPr>
          <w:lang w:val="ru-RU"/>
        </w:rPr>
        <w:t xml:space="preserve"> работа в рамках первого этапа проекта была приостановлена, а окончательное решение отменено, и предоставлять полную информацию, сопровождаемую подтверждающей документацией о приведении проекта по каналу</w:t>
      </w:r>
      <w:r w:rsidR="00783B78" w:rsidRPr="00783B78">
        <w:rPr>
          <w:lang w:val="ru-RU"/>
        </w:rPr>
        <w:t xml:space="preserve"> "Быстрое" в соответствие с Конвенцией; </w:t>
      </w:r>
    </w:p>
    <w:p w14:paraId="0B022943" w14:textId="217A5FD2" w:rsidR="00B02851" w:rsidRPr="00711754" w:rsidRDefault="00B02851" w:rsidP="00E46DBE">
      <w:pPr>
        <w:pStyle w:val="SingleTxtG"/>
        <w:ind w:firstLine="567"/>
        <w:rPr>
          <w:lang w:val="ru-RU"/>
        </w:rPr>
      </w:pPr>
      <w:r w:rsidRPr="00711754">
        <w:rPr>
          <w:lang w:val="ru-RU"/>
        </w:rPr>
        <w:t>3.</w:t>
      </w:r>
      <w:r w:rsidRPr="00711754">
        <w:rPr>
          <w:lang w:val="ru-RU"/>
        </w:rPr>
        <w:tab/>
      </w:r>
      <w:r w:rsidR="00E46DBE" w:rsidRPr="00663670">
        <w:rPr>
          <w:i/>
          <w:iCs/>
          <w:lang w:val="ru-RU"/>
        </w:rPr>
        <w:t xml:space="preserve">приветствует </w:t>
      </w:r>
      <w:r w:rsidR="00E46DBE" w:rsidRPr="00E46DBE">
        <w:rPr>
          <w:lang w:val="ru-RU"/>
        </w:rPr>
        <w:t>усилия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правительства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Украины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по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выполнению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рекомендаций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Совещания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Сторон</w:t>
      </w:r>
      <w:r w:rsidR="00E46DBE" w:rsidRPr="00711754">
        <w:rPr>
          <w:lang w:val="ru-RU"/>
        </w:rPr>
        <w:t xml:space="preserve">, </w:t>
      </w:r>
      <w:r w:rsidR="00E46DBE" w:rsidRPr="00E46DBE">
        <w:rPr>
          <w:lang w:val="ru-RU"/>
        </w:rPr>
        <w:t>содержащихся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в</w:t>
      </w:r>
      <w:r w:rsidR="00E46DBE" w:rsidRPr="00711754">
        <w:rPr>
          <w:lang w:val="ru-RU"/>
        </w:rPr>
        <w:t xml:space="preserve"> </w:t>
      </w:r>
      <w:r w:rsidR="00E46DBE" w:rsidRPr="00E46DBE">
        <w:rPr>
          <w:lang w:val="ru-RU"/>
        </w:rPr>
        <w:t>решении</w:t>
      </w:r>
      <w:r w:rsidRPr="00711754">
        <w:rPr>
          <w:lang w:val="ru-RU"/>
        </w:rPr>
        <w:t xml:space="preserve"> </w:t>
      </w:r>
      <w:r>
        <w:t>IS</w:t>
      </w:r>
      <w:r w:rsidRPr="00711754">
        <w:rPr>
          <w:lang w:val="ru-RU"/>
        </w:rPr>
        <w:t>/1</w:t>
      </w:r>
      <w:r>
        <w:t>f</w:t>
      </w:r>
      <w:r w:rsidRPr="00711754">
        <w:rPr>
          <w:lang w:val="ru-RU"/>
        </w:rPr>
        <w:t xml:space="preserve">, </w:t>
      </w:r>
      <w:r w:rsidR="00711754" w:rsidRPr="00711754">
        <w:rPr>
          <w:lang w:val="ru-RU"/>
        </w:rPr>
        <w:t>в том числе в отношении осуществления некоторых шагов, перечисленных в дорожной карте</w:t>
      </w:r>
      <w:r w:rsidR="0009582B" w:rsidRPr="00711754">
        <w:rPr>
          <w:lang w:val="ru-RU"/>
        </w:rPr>
        <w:t>,</w:t>
      </w:r>
      <w:r>
        <w:rPr>
          <w:rStyle w:val="FootnoteReference"/>
        </w:rPr>
        <w:footnoteReference w:id="30"/>
      </w:r>
      <w:r w:rsidRPr="00711754">
        <w:rPr>
          <w:lang w:val="ru-RU"/>
        </w:rPr>
        <w:t xml:space="preserve"> </w:t>
      </w:r>
      <w:r w:rsidR="00BD39D2" w:rsidRPr="00BD39D2">
        <w:rPr>
          <w:lang w:val="ru-RU"/>
        </w:rPr>
        <w:t>такие, как проведение оценки ущерба окружающей среде и представление Комитету доклада о такой оценке;</w:t>
      </w:r>
    </w:p>
    <w:p w14:paraId="0607AF7F" w14:textId="77777777" w:rsidR="00E92620" w:rsidRDefault="00B02851" w:rsidP="00E92620">
      <w:pPr>
        <w:pStyle w:val="SingleTxtG"/>
        <w:ind w:firstLine="567"/>
        <w:rPr>
          <w:lang w:val="ru-RU"/>
        </w:rPr>
      </w:pPr>
      <w:r w:rsidRPr="00663670">
        <w:rPr>
          <w:lang w:val="ru-RU"/>
        </w:rPr>
        <w:lastRenderedPageBreak/>
        <w:t>4.</w:t>
      </w:r>
      <w:r w:rsidRPr="00663670">
        <w:rPr>
          <w:lang w:val="ru-RU"/>
        </w:rPr>
        <w:tab/>
      </w:r>
      <w:r w:rsidR="00663670" w:rsidRPr="00663670">
        <w:rPr>
          <w:i/>
          <w:iCs/>
          <w:lang w:val="ru-RU"/>
        </w:rPr>
        <w:t xml:space="preserve">выражает </w:t>
      </w:r>
      <w:r w:rsidR="00663670" w:rsidRPr="00B66EBA">
        <w:rPr>
          <w:i/>
          <w:iCs/>
          <w:lang w:val="ru-RU"/>
        </w:rPr>
        <w:t>глубокую обеспокоенность</w:t>
      </w:r>
      <w:r w:rsidR="00663670" w:rsidRPr="00663670">
        <w:rPr>
          <w:lang w:val="ru-RU"/>
        </w:rPr>
        <w:t xml:space="preserve"> по поводу того, что Украина предприняла лишь ограниченные шаги по приведению проекта в полное соответствие с Конвенцией и что дорожная карта</w:t>
      </w:r>
      <w:r w:rsidR="00E92620">
        <w:rPr>
          <w:rStyle w:val="FootnoteReference"/>
        </w:rPr>
        <w:footnoteReference w:id="31"/>
      </w:r>
      <w:r w:rsidR="00663670" w:rsidRPr="00663670">
        <w:rPr>
          <w:lang w:val="ru-RU"/>
        </w:rPr>
        <w:t xml:space="preserve"> не была полностью выполнена;</w:t>
      </w:r>
    </w:p>
    <w:p w14:paraId="7095FF63" w14:textId="6B0D27EA" w:rsidR="00F426AE" w:rsidRPr="00F426AE" w:rsidRDefault="00B02851" w:rsidP="00E92620">
      <w:pPr>
        <w:pStyle w:val="SingleTxtG"/>
        <w:ind w:firstLine="567"/>
        <w:rPr>
          <w:lang w:val="ru-RU"/>
        </w:rPr>
      </w:pPr>
      <w:r w:rsidRPr="00F426AE">
        <w:rPr>
          <w:lang w:val="ru-RU"/>
        </w:rPr>
        <w:t>5.</w:t>
      </w:r>
      <w:r w:rsidRPr="00F426AE">
        <w:rPr>
          <w:lang w:val="ru-RU"/>
        </w:rPr>
        <w:tab/>
      </w:r>
      <w:r w:rsidR="00F426AE" w:rsidRPr="00B66EBA">
        <w:rPr>
          <w:i/>
          <w:iCs/>
          <w:lang w:val="ru-RU"/>
        </w:rPr>
        <w:t>выражает обеспокоенность</w:t>
      </w:r>
      <w:r w:rsidR="00F426AE" w:rsidRPr="00F426AE">
        <w:rPr>
          <w:i/>
          <w:iCs/>
          <w:lang w:val="ru-RU"/>
        </w:rPr>
        <w:t xml:space="preserve"> </w:t>
      </w:r>
      <w:r w:rsidR="00F426AE" w:rsidRPr="00F426AE">
        <w:rPr>
          <w:lang w:val="ru-RU"/>
        </w:rPr>
        <w:t>в связи с тем, что до настоящего времени не все подзаконные акты, направленные на полное приведение национального законодательства Украины в соответствие с Конвенцией, были приняты;</w:t>
      </w:r>
    </w:p>
    <w:p w14:paraId="640E4DA1" w14:textId="44BA8295" w:rsidR="0089558F" w:rsidRPr="00EE7AB9" w:rsidRDefault="00B02851" w:rsidP="00B02851">
      <w:pPr>
        <w:pStyle w:val="SingleTxtG"/>
        <w:ind w:firstLine="567"/>
        <w:rPr>
          <w:lang w:val="ru-RU"/>
        </w:rPr>
      </w:pPr>
      <w:r w:rsidRPr="0089558F">
        <w:rPr>
          <w:lang w:val="ru-RU"/>
        </w:rPr>
        <w:t>6.</w:t>
      </w:r>
      <w:r w:rsidRPr="0089558F">
        <w:rPr>
          <w:lang w:val="ru-RU"/>
        </w:rPr>
        <w:tab/>
      </w:r>
      <w:r w:rsidR="0089558F" w:rsidRPr="0089558F">
        <w:rPr>
          <w:i/>
          <w:iCs/>
          <w:lang w:val="ru-RU"/>
        </w:rPr>
        <w:t>одобряет</w:t>
      </w:r>
      <w:r w:rsidR="0089558F" w:rsidRPr="0089558F">
        <w:rPr>
          <w:lang w:val="ru-RU"/>
        </w:rPr>
        <w:t xml:space="preserve"> принятые Комитетом по осуществлению на его сорок </w:t>
      </w:r>
      <w:r w:rsidR="0089558F">
        <w:rPr>
          <w:lang w:val="ru-RU"/>
        </w:rPr>
        <w:t>седьмой</w:t>
      </w:r>
      <w:r w:rsidR="0089558F" w:rsidRPr="0089558F">
        <w:rPr>
          <w:lang w:val="ru-RU"/>
        </w:rPr>
        <w:t xml:space="preserve"> сесси</w:t>
      </w:r>
      <w:r w:rsidR="0023275A">
        <w:rPr>
          <w:lang w:val="ru-RU"/>
        </w:rPr>
        <w:t>и</w:t>
      </w:r>
      <w:r w:rsidR="0089558F" w:rsidRPr="0089558F">
        <w:rPr>
          <w:lang w:val="ru-RU"/>
        </w:rPr>
        <w:t xml:space="preserve"> выводы о том, что Украина, несмотря на некоторые предпринятые ею шаги, еще не выполнила свои обязательства по пунктам</w:t>
      </w:r>
      <w:r w:rsidR="0023275A">
        <w:rPr>
          <w:lang w:val="ru-RU"/>
        </w:rPr>
        <w:t xml:space="preserve"> </w:t>
      </w:r>
      <w:r w:rsidR="0023275A" w:rsidRPr="0023275A">
        <w:rPr>
          <w:lang w:val="ru-RU"/>
        </w:rPr>
        <w:t xml:space="preserve">9 </w:t>
      </w:r>
      <w:r w:rsidR="0023275A">
        <w:rPr>
          <w:lang w:val="ru-RU"/>
        </w:rPr>
        <w:t>и</w:t>
      </w:r>
      <w:r w:rsidR="0023275A" w:rsidRPr="0023275A">
        <w:rPr>
          <w:lang w:val="ru-RU"/>
        </w:rPr>
        <w:t xml:space="preserve"> 11 </w:t>
      </w:r>
      <w:r w:rsidR="006E66F5">
        <w:rPr>
          <w:lang w:val="ru-RU"/>
        </w:rPr>
        <w:t>решения</w:t>
      </w:r>
      <w:r w:rsidR="0023275A" w:rsidRPr="0023275A">
        <w:rPr>
          <w:lang w:val="ru-RU"/>
        </w:rPr>
        <w:t xml:space="preserve"> </w:t>
      </w:r>
      <w:r w:rsidR="0023275A">
        <w:t>IV</w:t>
      </w:r>
      <w:r w:rsidR="0023275A" w:rsidRPr="0023275A">
        <w:rPr>
          <w:lang w:val="ru-RU"/>
        </w:rPr>
        <w:t>/2,</w:t>
      </w:r>
      <w:r w:rsidR="006E66F5" w:rsidRPr="006E66F5">
        <w:rPr>
          <w:lang w:val="ru-RU"/>
        </w:rPr>
        <w:t xml:space="preserve"> </w:t>
      </w:r>
      <w:r w:rsidR="006E66F5">
        <w:rPr>
          <w:lang w:val="ru-RU"/>
        </w:rPr>
        <w:t>пунктам</w:t>
      </w:r>
      <w:r w:rsidR="006E66F5" w:rsidRPr="006E66F5">
        <w:rPr>
          <w:lang w:val="ru-RU"/>
        </w:rPr>
        <w:t xml:space="preserve"> 17 </w:t>
      </w:r>
      <w:r w:rsidR="006E66F5">
        <w:rPr>
          <w:lang w:val="ru-RU"/>
        </w:rPr>
        <w:t>и</w:t>
      </w:r>
      <w:r w:rsidR="006E66F5" w:rsidRPr="006E66F5">
        <w:rPr>
          <w:lang w:val="ru-RU"/>
        </w:rPr>
        <w:t xml:space="preserve"> 19 </w:t>
      </w:r>
      <w:r w:rsidR="006E66F5">
        <w:rPr>
          <w:lang w:val="ru-RU"/>
        </w:rPr>
        <w:t>решения</w:t>
      </w:r>
      <w:r w:rsidR="006E66F5" w:rsidRPr="006E66F5">
        <w:rPr>
          <w:lang w:val="ru-RU"/>
        </w:rPr>
        <w:t xml:space="preserve"> </w:t>
      </w:r>
      <w:r w:rsidR="006E66F5">
        <w:t>V</w:t>
      </w:r>
      <w:r w:rsidR="006E66F5" w:rsidRPr="006E66F5">
        <w:rPr>
          <w:lang w:val="ru-RU"/>
        </w:rPr>
        <w:t>/4,</w:t>
      </w:r>
      <w:r w:rsidR="006E66F5">
        <w:rPr>
          <w:lang w:val="ru-RU"/>
        </w:rPr>
        <w:t xml:space="preserve"> </w:t>
      </w:r>
      <w:r w:rsidR="00EE7AB9">
        <w:rPr>
          <w:lang w:val="ru-RU"/>
        </w:rPr>
        <w:t>пунктам</w:t>
      </w:r>
      <w:r w:rsidR="006E66F5" w:rsidRPr="006E66F5">
        <w:rPr>
          <w:lang w:val="ru-RU"/>
        </w:rPr>
        <w:t xml:space="preserve"> 24, 25 </w:t>
      </w:r>
      <w:r w:rsidR="00EE7AB9">
        <w:rPr>
          <w:lang w:val="ru-RU"/>
        </w:rPr>
        <w:t>и</w:t>
      </w:r>
      <w:r w:rsidR="006E66F5" w:rsidRPr="006E66F5">
        <w:rPr>
          <w:lang w:val="ru-RU"/>
        </w:rPr>
        <w:t xml:space="preserve"> 26 </w:t>
      </w:r>
      <w:r w:rsidR="00EE7AB9">
        <w:rPr>
          <w:lang w:val="ru-RU"/>
        </w:rPr>
        <w:t>решения</w:t>
      </w:r>
      <w:r w:rsidR="006E66F5" w:rsidRPr="006E66F5">
        <w:rPr>
          <w:lang w:val="ru-RU"/>
        </w:rPr>
        <w:t xml:space="preserve"> </w:t>
      </w:r>
      <w:r w:rsidR="006E66F5">
        <w:t>VI</w:t>
      </w:r>
      <w:r w:rsidR="006E66F5" w:rsidRPr="006E66F5">
        <w:rPr>
          <w:lang w:val="ru-RU"/>
        </w:rPr>
        <w:t>/2</w:t>
      </w:r>
      <w:r w:rsidR="00EE7AB9">
        <w:rPr>
          <w:lang w:val="ru-RU"/>
        </w:rPr>
        <w:t xml:space="preserve">б и пунктам </w:t>
      </w:r>
      <w:r w:rsidR="00EE7AB9" w:rsidRPr="00EE7AB9">
        <w:rPr>
          <w:lang w:val="ru-RU"/>
        </w:rPr>
        <w:t xml:space="preserve">5, 14, 15, 17 </w:t>
      </w:r>
      <w:r w:rsidR="00EE7AB9">
        <w:rPr>
          <w:lang w:val="ru-RU"/>
        </w:rPr>
        <w:t>решения</w:t>
      </w:r>
      <w:r w:rsidR="00EE7AB9" w:rsidRPr="00EE7AB9">
        <w:rPr>
          <w:lang w:val="ru-RU"/>
        </w:rPr>
        <w:t xml:space="preserve"> </w:t>
      </w:r>
      <w:r w:rsidR="00EE7AB9">
        <w:t>IS</w:t>
      </w:r>
      <w:r w:rsidR="00EE7AB9" w:rsidRPr="00EE7AB9">
        <w:rPr>
          <w:lang w:val="ru-RU"/>
        </w:rPr>
        <w:t>/1</w:t>
      </w:r>
      <w:r w:rsidR="00EE7AB9">
        <w:t>f</w:t>
      </w:r>
      <w:r w:rsidR="00EE7AB9" w:rsidRPr="00EE7AB9">
        <w:rPr>
          <w:lang w:val="ru-RU"/>
        </w:rPr>
        <w:t>;</w:t>
      </w:r>
    </w:p>
    <w:p w14:paraId="304EB27C" w14:textId="2AA1486D" w:rsidR="008819CC" w:rsidRDefault="00A564FB" w:rsidP="00B02851">
      <w:pPr>
        <w:pStyle w:val="SingleTxtG"/>
        <w:ind w:firstLine="567"/>
        <w:rPr>
          <w:lang w:val="ru-RU"/>
        </w:rPr>
      </w:pPr>
      <w:r w:rsidRPr="008819CC">
        <w:rPr>
          <w:lang w:val="ru-RU"/>
        </w:rPr>
        <w:t>7</w:t>
      </w:r>
      <w:r w:rsidR="00B02851" w:rsidRPr="008819CC">
        <w:rPr>
          <w:lang w:val="ru-RU"/>
        </w:rPr>
        <w:t>.</w:t>
      </w:r>
      <w:r w:rsidR="00B02851" w:rsidRPr="008819CC">
        <w:rPr>
          <w:lang w:val="ru-RU"/>
        </w:rPr>
        <w:tab/>
      </w:r>
      <w:r w:rsidR="00E74DC3" w:rsidRPr="00E74DC3">
        <w:rPr>
          <w:i/>
          <w:iCs/>
          <w:lang w:val="ru-RU"/>
        </w:rPr>
        <w:t>в</w:t>
      </w:r>
      <w:r w:rsidR="008819CC" w:rsidRPr="00E74DC3">
        <w:rPr>
          <w:i/>
          <w:iCs/>
          <w:lang w:val="ru-RU"/>
        </w:rPr>
        <w:t xml:space="preserve"> связи с этим заявляет,</w:t>
      </w:r>
      <w:r w:rsidR="008819CC" w:rsidRPr="008819CC">
        <w:rPr>
          <w:lang w:val="ru-RU"/>
        </w:rPr>
        <w:t xml:space="preserve"> что предупреждение, высказанное правительству Украины на его четвертой сессии, остается в силе;</w:t>
      </w:r>
    </w:p>
    <w:p w14:paraId="1460F88D" w14:textId="38EFCEF7" w:rsidR="00B02851" w:rsidRPr="003F1D5F" w:rsidRDefault="00A564FB" w:rsidP="00B02851">
      <w:pPr>
        <w:pStyle w:val="SingleTxtG"/>
        <w:ind w:firstLine="567"/>
        <w:rPr>
          <w:lang w:val="ru-RU"/>
        </w:rPr>
      </w:pPr>
      <w:r w:rsidRPr="003F1D5F">
        <w:rPr>
          <w:iCs/>
          <w:lang w:val="ru-RU"/>
        </w:rPr>
        <w:t>8</w:t>
      </w:r>
      <w:r w:rsidR="00B02851" w:rsidRPr="003F1D5F">
        <w:rPr>
          <w:i/>
          <w:lang w:val="ru-RU"/>
        </w:rPr>
        <w:t>.</w:t>
      </w:r>
      <w:r w:rsidR="00B02851" w:rsidRPr="003F1D5F">
        <w:rPr>
          <w:i/>
          <w:lang w:val="ru-RU"/>
        </w:rPr>
        <w:tab/>
      </w:r>
      <w:r w:rsidR="003F1D5F" w:rsidRPr="003F1D5F">
        <w:rPr>
          <w:i/>
          <w:lang w:val="ru-RU"/>
        </w:rPr>
        <w:t xml:space="preserve">вновь заявляет, </w:t>
      </w:r>
      <w:r w:rsidR="003F1D5F" w:rsidRPr="003F1D5F">
        <w:rPr>
          <w:iCs/>
          <w:lang w:val="ru-RU"/>
        </w:rPr>
        <w:t>что продолжение дноуглубительных работ представляет собой еще одно нарушение Конвенции</w:t>
      </w:r>
      <w:r w:rsidR="00B02851">
        <w:rPr>
          <w:rStyle w:val="FootnoteReference"/>
        </w:rPr>
        <w:footnoteReference w:id="32"/>
      </w:r>
      <w:r w:rsidR="00B02851" w:rsidRPr="003F1D5F">
        <w:rPr>
          <w:lang w:val="ru-RU"/>
        </w:rPr>
        <w:t>;</w:t>
      </w:r>
    </w:p>
    <w:p w14:paraId="672BEE92" w14:textId="648FE889" w:rsidR="00B02851" w:rsidRPr="000E3979" w:rsidRDefault="00A564FB" w:rsidP="00B02851">
      <w:pPr>
        <w:pStyle w:val="SingleTxtG"/>
        <w:ind w:firstLine="567"/>
        <w:rPr>
          <w:lang w:val="ru-RU"/>
        </w:rPr>
      </w:pPr>
      <w:r w:rsidRPr="0018709C">
        <w:rPr>
          <w:iCs/>
          <w:lang w:val="ru-RU"/>
        </w:rPr>
        <w:t>9</w:t>
      </w:r>
      <w:r w:rsidR="00B02851" w:rsidRPr="0018709C">
        <w:rPr>
          <w:iCs/>
          <w:lang w:val="ru-RU"/>
        </w:rPr>
        <w:t xml:space="preserve">. </w:t>
      </w:r>
      <w:r w:rsidR="00B02851" w:rsidRPr="0018709C">
        <w:rPr>
          <w:iCs/>
          <w:lang w:val="ru-RU"/>
        </w:rPr>
        <w:tab/>
      </w:r>
      <w:r w:rsidR="001D0EA3" w:rsidRPr="001D0EA3">
        <w:rPr>
          <w:i/>
          <w:lang w:val="ru-RU"/>
        </w:rPr>
        <w:t>просит</w:t>
      </w:r>
      <w:r w:rsidR="001D0EA3" w:rsidRPr="000E3979">
        <w:rPr>
          <w:iCs/>
          <w:lang w:val="ru-RU"/>
        </w:rPr>
        <w:t xml:space="preserve"> </w:t>
      </w:r>
      <w:r w:rsidR="001D0EA3">
        <w:rPr>
          <w:iCs/>
          <w:lang w:val="ru-RU"/>
        </w:rPr>
        <w:t>правительство</w:t>
      </w:r>
      <w:r w:rsidR="001D0EA3" w:rsidRPr="000E3979">
        <w:rPr>
          <w:iCs/>
          <w:lang w:val="ru-RU"/>
        </w:rPr>
        <w:t xml:space="preserve"> </w:t>
      </w:r>
      <w:r w:rsidR="001D0EA3">
        <w:rPr>
          <w:iCs/>
          <w:lang w:val="ru-RU"/>
        </w:rPr>
        <w:t>Украины</w:t>
      </w:r>
      <w:r w:rsidR="00B02851" w:rsidRPr="000E3979">
        <w:rPr>
          <w:lang w:val="ru-RU"/>
        </w:rPr>
        <w:t>:</w:t>
      </w:r>
    </w:p>
    <w:p w14:paraId="1B6C3D78" w14:textId="1256A504" w:rsidR="00B02851" w:rsidRPr="000E3979" w:rsidRDefault="00B02851" w:rsidP="00B02851">
      <w:pPr>
        <w:pStyle w:val="SingleTxtG"/>
        <w:ind w:firstLine="567"/>
        <w:rPr>
          <w:lang w:val="ru-RU"/>
        </w:rPr>
      </w:pPr>
      <w:r w:rsidRPr="000E3979">
        <w:rPr>
          <w:iCs/>
          <w:lang w:val="ru-RU"/>
        </w:rPr>
        <w:t>(</w:t>
      </w:r>
      <w:r w:rsidRPr="004C688E">
        <w:rPr>
          <w:iCs/>
        </w:rPr>
        <w:t>a</w:t>
      </w:r>
      <w:r w:rsidRPr="000E3979">
        <w:rPr>
          <w:iCs/>
          <w:lang w:val="ru-RU"/>
        </w:rPr>
        <w:t>)</w:t>
      </w:r>
      <w:r w:rsidRPr="000E3979">
        <w:rPr>
          <w:lang w:val="ru-RU"/>
        </w:rPr>
        <w:tab/>
      </w:r>
      <w:r w:rsidR="000E3979" w:rsidRPr="000E3979">
        <w:rPr>
          <w:lang w:val="ru-RU"/>
        </w:rPr>
        <w:t>завершить приведение своего национального законодательства в соответствие с Конвенцией и незамедлительно сообщить о положении дел с принятием вторичного законодательства</w:t>
      </w:r>
      <w:r w:rsidRPr="000E3979">
        <w:rPr>
          <w:lang w:val="ru-RU"/>
        </w:rPr>
        <w:t>;</w:t>
      </w:r>
    </w:p>
    <w:p w14:paraId="227EE3AF" w14:textId="6574331A" w:rsidR="00B02851" w:rsidRPr="003F5941" w:rsidRDefault="00B02851" w:rsidP="00B02851">
      <w:pPr>
        <w:pStyle w:val="SingleTxtG"/>
        <w:ind w:firstLine="567"/>
        <w:rPr>
          <w:lang w:val="ru-RU"/>
        </w:rPr>
      </w:pPr>
      <w:r w:rsidRPr="003F5941">
        <w:rPr>
          <w:lang w:val="ru-RU"/>
        </w:rPr>
        <w:t>(</w:t>
      </w:r>
      <w:r>
        <w:t>b</w:t>
      </w:r>
      <w:r w:rsidRPr="003F5941">
        <w:rPr>
          <w:lang w:val="ru-RU"/>
        </w:rPr>
        <w:t>)</w:t>
      </w:r>
      <w:r w:rsidRPr="003F5941">
        <w:rPr>
          <w:lang w:val="ru-RU"/>
        </w:rPr>
        <w:tab/>
      </w:r>
      <w:r w:rsidR="003F5941" w:rsidRPr="003F5941">
        <w:rPr>
          <w:lang w:val="ru-RU"/>
        </w:rPr>
        <w:t>безотлагательно привести проект в полное соответствие с Конвенцией</w:t>
      </w:r>
      <w:r w:rsidRPr="003F5941">
        <w:rPr>
          <w:lang w:val="ru-RU"/>
        </w:rPr>
        <w:t>;</w:t>
      </w:r>
    </w:p>
    <w:p w14:paraId="78F1882A" w14:textId="71D9FCE7" w:rsidR="00B02851" w:rsidRPr="00475821" w:rsidRDefault="00B02851" w:rsidP="00B02851">
      <w:pPr>
        <w:pStyle w:val="SingleTxtG"/>
        <w:ind w:firstLine="567"/>
        <w:rPr>
          <w:lang w:val="ru-RU"/>
        </w:rPr>
      </w:pPr>
      <w:r w:rsidRPr="00475821">
        <w:rPr>
          <w:lang w:val="ru-RU"/>
        </w:rPr>
        <w:t>(</w:t>
      </w:r>
      <w:r>
        <w:t>c</w:t>
      </w:r>
      <w:r w:rsidRPr="00475821">
        <w:rPr>
          <w:lang w:val="ru-RU"/>
        </w:rPr>
        <w:t>)</w:t>
      </w:r>
      <w:r w:rsidRPr="00475821">
        <w:rPr>
          <w:lang w:val="ru-RU"/>
        </w:rPr>
        <w:tab/>
      </w:r>
      <w:r w:rsidR="00475821" w:rsidRPr="00475821">
        <w:rPr>
          <w:lang w:val="ru-RU"/>
        </w:rPr>
        <w:t>Провести консультации с Румынией по вопросам осуществления "дорожной карты"</w:t>
      </w:r>
      <w:r w:rsidR="00475821" w:rsidRPr="00475821">
        <w:rPr>
          <w:rStyle w:val="FootnoteReference"/>
          <w:sz w:val="20"/>
          <w:vertAlign w:val="baseline"/>
          <w:lang w:val="ru-RU"/>
        </w:rPr>
        <w:t xml:space="preserve"> </w:t>
      </w:r>
      <w:r>
        <w:rPr>
          <w:rStyle w:val="FootnoteReference"/>
        </w:rPr>
        <w:footnoteReference w:id="33"/>
      </w:r>
      <w:r w:rsidRPr="00475821">
        <w:rPr>
          <w:lang w:val="ru-RU"/>
        </w:rPr>
        <w:t>;</w:t>
      </w:r>
    </w:p>
    <w:p w14:paraId="65019A0F" w14:textId="0A50B7E2" w:rsidR="00B02851" w:rsidRPr="00475821" w:rsidRDefault="00B02851" w:rsidP="00B02851">
      <w:pPr>
        <w:pStyle w:val="SingleTxtG"/>
        <w:ind w:firstLine="567"/>
        <w:rPr>
          <w:lang w:val="ru-RU"/>
        </w:rPr>
      </w:pPr>
      <w:r w:rsidRPr="00475821">
        <w:rPr>
          <w:lang w:val="ru-RU"/>
        </w:rPr>
        <w:t>(</w:t>
      </w:r>
      <w:r>
        <w:t>d</w:t>
      </w:r>
      <w:r w:rsidRPr="00475821">
        <w:rPr>
          <w:lang w:val="ru-RU"/>
        </w:rPr>
        <w:t>)</w:t>
      </w:r>
      <w:r w:rsidRPr="00475821">
        <w:rPr>
          <w:lang w:val="ru-RU"/>
        </w:rPr>
        <w:tab/>
      </w:r>
      <w:r w:rsidR="00475821" w:rsidRPr="00475821">
        <w:rPr>
          <w:lang w:val="ru-RU"/>
        </w:rPr>
        <w:t>Постоянно информировать Румынию о результатах мониторинга</w:t>
      </w:r>
      <w:r w:rsidRPr="00475821">
        <w:rPr>
          <w:lang w:val="ru-RU"/>
        </w:rPr>
        <w:t>;</w:t>
      </w:r>
    </w:p>
    <w:p w14:paraId="0BE9B4CC" w14:textId="2BEAA2EA" w:rsidR="000179B7" w:rsidRDefault="00B02851" w:rsidP="00B02851">
      <w:pPr>
        <w:pStyle w:val="SingleTxtG"/>
        <w:ind w:firstLine="567"/>
        <w:rPr>
          <w:lang w:val="ru-RU"/>
        </w:rPr>
      </w:pPr>
      <w:r w:rsidRPr="0018709C">
        <w:rPr>
          <w:lang w:val="ru-RU"/>
        </w:rPr>
        <w:t>(</w:t>
      </w:r>
      <w:r>
        <w:t>e</w:t>
      </w:r>
      <w:r w:rsidRPr="0018709C">
        <w:rPr>
          <w:lang w:val="ru-RU"/>
        </w:rPr>
        <w:t>)</w:t>
      </w:r>
      <w:r w:rsidRPr="0018709C">
        <w:rPr>
          <w:lang w:val="ru-RU"/>
        </w:rPr>
        <w:tab/>
      </w:r>
      <w:r w:rsidR="0018709C" w:rsidRPr="0018709C">
        <w:rPr>
          <w:lang w:val="ru-RU"/>
        </w:rPr>
        <w:t xml:space="preserve">Предоставить Румынии копию </w:t>
      </w:r>
      <w:r w:rsidR="0018709C">
        <w:rPr>
          <w:lang w:val="ru-RU"/>
        </w:rPr>
        <w:t>о</w:t>
      </w:r>
      <w:r w:rsidR="000179B7" w:rsidRPr="000179B7">
        <w:rPr>
          <w:lang w:val="ru-RU"/>
        </w:rPr>
        <w:t xml:space="preserve"> Доклада об анализе воздействия на окружающую среду</w:t>
      </w:r>
      <w:r w:rsidR="0018709C" w:rsidRPr="0018709C">
        <w:rPr>
          <w:lang w:val="ru-RU"/>
        </w:rPr>
        <w:t xml:space="preserve"> дельты </w:t>
      </w:r>
      <w:r w:rsidR="000179B7">
        <w:rPr>
          <w:lang w:val="ru-RU"/>
        </w:rPr>
        <w:t xml:space="preserve">реки </w:t>
      </w:r>
      <w:r w:rsidR="0018709C" w:rsidRPr="0018709C">
        <w:rPr>
          <w:lang w:val="ru-RU"/>
        </w:rPr>
        <w:t>Дуна</w:t>
      </w:r>
      <w:r w:rsidR="000179B7">
        <w:rPr>
          <w:lang w:val="ru-RU"/>
        </w:rPr>
        <w:t>й</w:t>
      </w:r>
      <w:r w:rsidR="0018709C" w:rsidRPr="0018709C">
        <w:rPr>
          <w:lang w:val="ru-RU"/>
        </w:rPr>
        <w:t xml:space="preserve">, </w:t>
      </w:r>
      <w:r w:rsidR="004F2C47" w:rsidRPr="004F2C47">
        <w:rPr>
          <w:lang w:val="ru-RU"/>
        </w:rPr>
        <w:t>проведенного Украинским научно-исследовательским институтом экологических проблем в 2019 году</w:t>
      </w:r>
      <w:r w:rsidR="00234084">
        <w:rPr>
          <w:rStyle w:val="FootnoteReference"/>
        </w:rPr>
        <w:footnoteReference w:id="34"/>
      </w:r>
      <w:r w:rsidR="004F2C47">
        <w:rPr>
          <w:lang w:val="ru-RU"/>
        </w:rPr>
        <w:t xml:space="preserve"> для комментариев и замечаний</w:t>
      </w:r>
      <w:r w:rsidR="00234084">
        <w:rPr>
          <w:lang w:val="ru-RU"/>
        </w:rPr>
        <w:t>,</w:t>
      </w:r>
    </w:p>
    <w:p w14:paraId="11745997" w14:textId="676AB24E" w:rsidR="00B02851" w:rsidRPr="002D612B" w:rsidRDefault="00234084" w:rsidP="00B02851">
      <w:pPr>
        <w:pStyle w:val="SingleTxtG"/>
        <w:ind w:firstLine="567"/>
        <w:rPr>
          <w:lang w:val="ru-RU"/>
        </w:rPr>
      </w:pPr>
      <w:r w:rsidRPr="009D2A30">
        <w:rPr>
          <w:lang w:val="ru-RU"/>
        </w:rPr>
        <w:t xml:space="preserve"> </w:t>
      </w:r>
      <w:r w:rsidR="00B02851" w:rsidRPr="002D612B">
        <w:rPr>
          <w:lang w:val="ru-RU"/>
        </w:rPr>
        <w:t>(</w:t>
      </w:r>
      <w:r w:rsidR="00B02851">
        <w:t>f</w:t>
      </w:r>
      <w:r w:rsidR="00B02851" w:rsidRPr="002D612B">
        <w:rPr>
          <w:lang w:val="ru-RU"/>
        </w:rPr>
        <w:t>)</w:t>
      </w:r>
      <w:r w:rsidR="00B02851" w:rsidRPr="002D612B">
        <w:rPr>
          <w:lang w:val="ru-RU"/>
        </w:rPr>
        <w:tab/>
      </w:r>
      <w:r w:rsidR="002D612B" w:rsidRPr="00B66EBA">
        <w:rPr>
          <w:lang w:val="ru-RU"/>
        </w:rPr>
        <w:t>проводить консультации с</w:t>
      </w:r>
      <w:r w:rsidR="002D612B" w:rsidRPr="002D612B">
        <w:rPr>
          <w:lang w:val="ru-RU"/>
        </w:rPr>
        <w:t xml:space="preserve"> Румынией по плану компенсационных и смягчающих мер</w:t>
      </w:r>
      <w:r w:rsidR="00B02851" w:rsidRPr="002D612B">
        <w:rPr>
          <w:lang w:val="ru-RU"/>
        </w:rPr>
        <w:t>,</w:t>
      </w:r>
    </w:p>
    <w:p w14:paraId="379DB82B" w14:textId="2CB17B44" w:rsidR="00B02851" w:rsidRPr="001A4BD7" w:rsidRDefault="00B02851" w:rsidP="00B02851">
      <w:pPr>
        <w:pStyle w:val="SingleTxtG"/>
        <w:ind w:firstLine="567"/>
        <w:rPr>
          <w:lang w:val="ru-RU"/>
        </w:rPr>
      </w:pPr>
      <w:r w:rsidRPr="001A4BD7">
        <w:rPr>
          <w:lang w:val="ru-RU"/>
        </w:rPr>
        <w:t>(</w:t>
      </w:r>
      <w:r>
        <w:t>g</w:t>
      </w:r>
      <w:r w:rsidRPr="001A4BD7">
        <w:rPr>
          <w:lang w:val="ru-RU"/>
        </w:rPr>
        <w:t>)</w:t>
      </w:r>
      <w:r w:rsidRPr="001A4BD7">
        <w:rPr>
          <w:lang w:val="ru-RU"/>
        </w:rPr>
        <w:tab/>
      </w:r>
      <w:r w:rsidR="001A4BD7" w:rsidRPr="001A4BD7">
        <w:rPr>
          <w:lang w:val="ru-RU"/>
        </w:rPr>
        <w:t>Предоста</w:t>
      </w:r>
      <w:r w:rsidR="001A4BD7">
        <w:rPr>
          <w:lang w:val="ru-RU"/>
        </w:rPr>
        <w:t>вить</w:t>
      </w:r>
      <w:r w:rsidR="001A4BD7" w:rsidRPr="001A4BD7">
        <w:rPr>
          <w:lang w:val="ru-RU"/>
        </w:rPr>
        <w:t xml:space="preserve"> Комитету по осуществлению</w:t>
      </w:r>
      <w:r w:rsidRPr="001A4BD7">
        <w:rPr>
          <w:lang w:val="ru-RU"/>
        </w:rPr>
        <w:t>:</w:t>
      </w:r>
    </w:p>
    <w:p w14:paraId="15E95474" w14:textId="56CC8717" w:rsidR="004936B7" w:rsidRDefault="00B02851" w:rsidP="00B02851">
      <w:pPr>
        <w:pStyle w:val="SingleTxtG"/>
        <w:ind w:left="2268"/>
        <w:rPr>
          <w:lang w:val="ru-RU"/>
        </w:rPr>
      </w:pPr>
      <w:r w:rsidRPr="004936B7">
        <w:rPr>
          <w:lang w:val="ru-RU"/>
        </w:rPr>
        <w:t>(</w:t>
      </w:r>
      <w:r>
        <w:t>i</w:t>
      </w:r>
      <w:r w:rsidRPr="004936B7">
        <w:rPr>
          <w:lang w:val="ru-RU"/>
        </w:rPr>
        <w:t xml:space="preserve">) </w:t>
      </w:r>
      <w:r w:rsidR="004936B7" w:rsidRPr="004936B7">
        <w:rPr>
          <w:lang w:val="ru-RU"/>
        </w:rPr>
        <w:t xml:space="preserve">Последовательный и полный перечень всех окончательных решений, принятых в отношении этапов </w:t>
      </w:r>
      <w:r w:rsidR="004936B7" w:rsidRPr="004936B7">
        <w:t>I</w:t>
      </w:r>
      <w:r w:rsidR="004936B7" w:rsidRPr="004936B7">
        <w:rPr>
          <w:lang w:val="ru-RU"/>
        </w:rPr>
        <w:t xml:space="preserve"> и </w:t>
      </w:r>
      <w:r w:rsidR="004936B7" w:rsidRPr="004936B7">
        <w:t>II</w:t>
      </w:r>
      <w:r w:rsidR="004936B7" w:rsidRPr="004936B7">
        <w:rPr>
          <w:lang w:val="ru-RU"/>
        </w:rPr>
        <w:t xml:space="preserve"> Проекта, и поправок к ним, а также копии всех этих решений и их перевод на английский язык</w:t>
      </w:r>
      <w:r w:rsidR="00E270A9" w:rsidRPr="00E270A9">
        <w:rPr>
          <w:lang w:val="ru-RU"/>
        </w:rPr>
        <w:t>,</w:t>
      </w:r>
    </w:p>
    <w:p w14:paraId="45E5FF95" w14:textId="40C357FF" w:rsidR="00E270A9" w:rsidRPr="00D419B4" w:rsidRDefault="00E270A9" w:rsidP="00B02851">
      <w:pPr>
        <w:pStyle w:val="SingleTxtG"/>
        <w:ind w:left="2268"/>
        <w:rPr>
          <w:lang w:val="ru-RU"/>
        </w:rPr>
      </w:pPr>
      <w:r w:rsidRPr="00D419B4">
        <w:rPr>
          <w:lang w:val="ru-RU"/>
        </w:rPr>
        <w:t xml:space="preserve"> </w:t>
      </w:r>
      <w:r w:rsidR="00B02851" w:rsidRPr="00D419B4">
        <w:rPr>
          <w:lang w:val="ru-RU"/>
        </w:rPr>
        <w:t>(</w:t>
      </w:r>
      <w:r w:rsidR="00B02851">
        <w:t>ii</w:t>
      </w:r>
      <w:r w:rsidR="00B02851" w:rsidRPr="00D419B4">
        <w:rPr>
          <w:lang w:val="ru-RU"/>
        </w:rPr>
        <w:t xml:space="preserve">) </w:t>
      </w:r>
      <w:r w:rsidR="00D419B4" w:rsidRPr="00D419B4">
        <w:rPr>
          <w:lang w:val="ru-RU"/>
        </w:rPr>
        <w:t>Перечень всех последующих решений, отменяющих упомянутые окончательные решения, а также копии всех этих последующих решений и их перевод на английский язык,</w:t>
      </w:r>
    </w:p>
    <w:p w14:paraId="3A4E09E9" w14:textId="77777777" w:rsidR="007D48E1" w:rsidRDefault="00D419B4" w:rsidP="00B02851">
      <w:pPr>
        <w:pStyle w:val="SingleTxtG"/>
        <w:ind w:left="2268"/>
        <w:rPr>
          <w:lang w:val="ru-RU"/>
        </w:rPr>
      </w:pPr>
      <w:r w:rsidRPr="007D48E1">
        <w:rPr>
          <w:lang w:val="ru-RU"/>
        </w:rPr>
        <w:t xml:space="preserve"> </w:t>
      </w:r>
      <w:r w:rsidR="00B02851" w:rsidRPr="007D48E1">
        <w:rPr>
          <w:lang w:val="ru-RU"/>
        </w:rPr>
        <w:t>(</w:t>
      </w:r>
      <w:r w:rsidR="00B02851">
        <w:t>iii</w:t>
      </w:r>
      <w:r w:rsidR="00B02851" w:rsidRPr="007D48E1">
        <w:rPr>
          <w:lang w:val="ru-RU"/>
        </w:rPr>
        <w:t xml:space="preserve">) </w:t>
      </w:r>
      <w:r w:rsidR="007D48E1" w:rsidRPr="007D48E1">
        <w:rPr>
          <w:lang w:val="ru-RU"/>
        </w:rPr>
        <w:t>копия решения, четко и недвусмысленно подтверждающего, что в отношении первого этапа проекта работы были прекращены или приостановлены, и его перевод на английский язык;</w:t>
      </w:r>
    </w:p>
    <w:p w14:paraId="64B35327" w14:textId="13227BD5" w:rsidR="00B02851" w:rsidRPr="009D2A30" w:rsidRDefault="00B02851" w:rsidP="00B02851">
      <w:pPr>
        <w:pStyle w:val="SingleTxtG"/>
        <w:ind w:firstLine="567"/>
        <w:rPr>
          <w:lang w:val="ru-RU"/>
        </w:rPr>
      </w:pPr>
      <w:r w:rsidRPr="009D2A30">
        <w:rPr>
          <w:lang w:val="ru-RU"/>
        </w:rPr>
        <w:t>10.</w:t>
      </w:r>
      <w:r w:rsidRPr="009D2A30">
        <w:rPr>
          <w:lang w:val="ru-RU"/>
        </w:rPr>
        <w:tab/>
      </w:r>
      <w:r w:rsidR="006A594E" w:rsidRPr="009D2A30">
        <w:rPr>
          <w:i/>
          <w:iCs/>
          <w:lang w:val="ru-RU"/>
        </w:rPr>
        <w:t>призывает</w:t>
      </w:r>
      <w:r w:rsidR="006A594E" w:rsidRPr="009D2A30">
        <w:rPr>
          <w:lang w:val="ru-RU"/>
        </w:rPr>
        <w:t xml:space="preserve"> правительства Украины и Румынии: </w:t>
      </w:r>
    </w:p>
    <w:p w14:paraId="0ED17979" w14:textId="77777777" w:rsidR="00865BD2" w:rsidRPr="009D2A30" w:rsidRDefault="00B02851" w:rsidP="00B02851">
      <w:pPr>
        <w:pStyle w:val="SingleTxtG"/>
        <w:ind w:left="1701" w:firstLine="567"/>
        <w:rPr>
          <w:lang w:val="ru-RU"/>
        </w:rPr>
      </w:pPr>
      <w:r w:rsidRPr="009D2A30">
        <w:rPr>
          <w:lang w:val="ru-RU"/>
        </w:rPr>
        <w:t>(</w:t>
      </w:r>
      <w:r>
        <w:t>a</w:t>
      </w:r>
      <w:r w:rsidRPr="009D2A30">
        <w:rPr>
          <w:lang w:val="ru-RU"/>
        </w:rPr>
        <w:t>)</w:t>
      </w:r>
      <w:r w:rsidRPr="009D2A30">
        <w:rPr>
          <w:lang w:val="ru-RU"/>
        </w:rPr>
        <w:tab/>
      </w:r>
      <w:r w:rsidR="00865BD2" w:rsidRPr="009D2A30">
        <w:rPr>
          <w:lang w:val="ru-RU"/>
        </w:rPr>
        <w:t>Ускорить подготовку двустороннего соглашения или другой договоренности в поддержку дальнейшего осуществления ими положений Конвенции, как это предусмотрено в статье 8 Конвенции;</w:t>
      </w:r>
    </w:p>
    <w:p w14:paraId="025F7D7B" w14:textId="1FC4B6C3" w:rsidR="00D50777" w:rsidRPr="00F32220" w:rsidRDefault="00865BD2" w:rsidP="00B02851">
      <w:pPr>
        <w:pStyle w:val="SingleTxtG"/>
        <w:ind w:left="1701" w:firstLine="567"/>
        <w:rPr>
          <w:lang w:val="ru-RU"/>
        </w:rPr>
      </w:pPr>
      <w:r w:rsidRPr="009D2A30">
        <w:rPr>
          <w:lang w:val="ru-RU"/>
        </w:rPr>
        <w:t xml:space="preserve"> </w:t>
      </w:r>
      <w:r w:rsidR="00B02851" w:rsidRPr="00F32220">
        <w:rPr>
          <w:lang w:val="ru-RU"/>
        </w:rPr>
        <w:t>(</w:t>
      </w:r>
      <w:r w:rsidR="00B02851">
        <w:t>b</w:t>
      </w:r>
      <w:r w:rsidR="00B02851" w:rsidRPr="00F32220">
        <w:rPr>
          <w:lang w:val="ru-RU"/>
        </w:rPr>
        <w:t>)</w:t>
      </w:r>
      <w:r w:rsidR="00B02851" w:rsidRPr="00F32220">
        <w:rPr>
          <w:lang w:val="ru-RU"/>
        </w:rPr>
        <w:tab/>
      </w:r>
      <w:r w:rsidR="00D50777" w:rsidRPr="00B66EBA">
        <w:rPr>
          <w:lang w:val="ru-RU"/>
        </w:rPr>
        <w:t>согласовать согласованную</w:t>
      </w:r>
      <w:r w:rsidR="00F32220" w:rsidRPr="00B66EBA">
        <w:rPr>
          <w:lang w:val="ru-RU"/>
        </w:rPr>
        <w:t xml:space="preserve"> (гармонизированную)</w:t>
      </w:r>
      <w:r w:rsidR="00D50777" w:rsidRPr="00B66EBA">
        <w:rPr>
          <w:lang w:val="ru-RU"/>
        </w:rPr>
        <w:t xml:space="preserve"> сеть</w:t>
      </w:r>
      <w:r w:rsidR="00D50777" w:rsidRPr="00F32220">
        <w:rPr>
          <w:lang w:val="ru-RU"/>
        </w:rPr>
        <w:t xml:space="preserve"> трансграничного мониторинга состояния окружающей среды в дельте Дуная; и </w:t>
      </w:r>
    </w:p>
    <w:p w14:paraId="66C00B27" w14:textId="3B02908C" w:rsidR="00B02851" w:rsidRPr="00280730" w:rsidRDefault="003052C5" w:rsidP="00B02851">
      <w:pPr>
        <w:pStyle w:val="SingleTxtG"/>
        <w:ind w:left="1701" w:firstLine="567"/>
        <w:rPr>
          <w:lang w:val="ru-RU"/>
        </w:rPr>
      </w:pPr>
      <w:r w:rsidRPr="009D2A30">
        <w:rPr>
          <w:lang w:val="ru-RU"/>
        </w:rPr>
        <w:lastRenderedPageBreak/>
        <w:t xml:space="preserve"> </w:t>
      </w:r>
      <w:r w:rsidR="00B02851" w:rsidRPr="00280730">
        <w:rPr>
          <w:lang w:val="ru-RU"/>
        </w:rPr>
        <w:t>(</w:t>
      </w:r>
      <w:r w:rsidR="00B02851">
        <w:t>c</w:t>
      </w:r>
      <w:r w:rsidR="00B02851" w:rsidRPr="00280730">
        <w:rPr>
          <w:lang w:val="ru-RU"/>
        </w:rPr>
        <w:t>)</w:t>
      </w:r>
      <w:r w:rsidR="00B02851" w:rsidRPr="00280730">
        <w:rPr>
          <w:lang w:val="ru-RU"/>
        </w:rPr>
        <w:tab/>
      </w:r>
      <w:r w:rsidR="00280730" w:rsidRPr="00280730">
        <w:rPr>
          <w:lang w:val="ru-RU"/>
        </w:rPr>
        <w:t>Проводить консультации по пос</w:t>
      </w:r>
      <w:r w:rsidR="00E54E89">
        <w:rPr>
          <w:lang w:val="ru-RU"/>
        </w:rPr>
        <w:t>ле</w:t>
      </w:r>
      <w:r w:rsidR="00280730" w:rsidRPr="00280730">
        <w:rPr>
          <w:lang w:val="ru-RU"/>
        </w:rPr>
        <w:t>проектному анализу в соответствии со статьей 7 Конвенции;</w:t>
      </w:r>
    </w:p>
    <w:p w14:paraId="237650B9" w14:textId="6C57356A" w:rsidR="00EB20B5" w:rsidRPr="00E54E2A" w:rsidRDefault="00B02851" w:rsidP="00E54E2A">
      <w:pPr>
        <w:ind w:left="1170" w:right="1134" w:firstLine="531"/>
        <w:rPr>
          <w:lang w:val="ru-RU"/>
        </w:rPr>
      </w:pPr>
      <w:r w:rsidRPr="00EB20B5">
        <w:rPr>
          <w:lang w:val="ru-RU"/>
        </w:rPr>
        <w:t>11.</w:t>
      </w:r>
      <w:r w:rsidRPr="00EB20B5">
        <w:rPr>
          <w:i/>
          <w:iCs/>
          <w:lang w:val="ru-RU"/>
        </w:rPr>
        <w:tab/>
      </w:r>
      <w:r w:rsidR="00FC634D">
        <w:rPr>
          <w:i/>
          <w:iCs/>
          <w:lang w:val="ru-RU"/>
        </w:rPr>
        <w:t>Н</w:t>
      </w:r>
      <w:r w:rsidR="00EB20B5" w:rsidRPr="00EB20B5">
        <w:rPr>
          <w:i/>
          <w:iCs/>
          <w:lang w:val="ru-RU"/>
        </w:rPr>
        <w:t xml:space="preserve">астоятельно призывает </w:t>
      </w:r>
      <w:r w:rsidR="00EB20B5" w:rsidRPr="00EB20B5">
        <w:rPr>
          <w:lang w:val="ru-RU"/>
        </w:rPr>
        <w:t xml:space="preserve">правительство Украины обеспечить, чтобы Конвенция должным образом применялась в контексте любого будущего процесса принятия решений в отношении аналогичной деятельности, в том числе в отношении планируемого нового проекта </w:t>
      </w:r>
      <w:r w:rsidR="00E54E2A" w:rsidRPr="00E54E2A">
        <w:rPr>
          <w:lang w:val="ru-RU"/>
        </w:rPr>
        <w:t>по русл</w:t>
      </w:r>
      <w:r w:rsidR="00E54E89">
        <w:rPr>
          <w:lang w:val="ru-RU"/>
        </w:rPr>
        <w:t>у</w:t>
      </w:r>
      <w:r w:rsidR="00E54E2A" w:rsidRPr="00E54E2A">
        <w:rPr>
          <w:lang w:val="ru-RU"/>
        </w:rPr>
        <w:t xml:space="preserve"> «Быстрое»</w:t>
      </w:r>
      <w:r w:rsidR="00EB20B5" w:rsidRPr="00EB20B5">
        <w:rPr>
          <w:lang w:val="ru-RU"/>
        </w:rPr>
        <w:t>;</w:t>
      </w:r>
    </w:p>
    <w:p w14:paraId="620BA14F" w14:textId="77777777" w:rsidR="00B02851" w:rsidRPr="00FC634D" w:rsidRDefault="00B02851" w:rsidP="00B02851">
      <w:pPr>
        <w:ind w:left="1170" w:right="1134" w:firstLine="531"/>
        <w:jc w:val="both"/>
        <w:rPr>
          <w:lang w:val="ru-RU"/>
        </w:rPr>
      </w:pPr>
    </w:p>
    <w:p w14:paraId="50B8B074" w14:textId="33A01DCA" w:rsidR="00B02851" w:rsidRPr="00FC634D" w:rsidRDefault="00B02851" w:rsidP="00E54E89">
      <w:pPr>
        <w:pStyle w:val="SingleTxtG"/>
        <w:ind w:firstLine="567"/>
        <w:rPr>
          <w:lang w:val="ru-RU"/>
        </w:rPr>
      </w:pPr>
      <w:r w:rsidRPr="00FC634D">
        <w:rPr>
          <w:lang w:val="ru-RU"/>
        </w:rPr>
        <w:t>12.</w:t>
      </w:r>
      <w:r w:rsidRPr="00FC634D">
        <w:rPr>
          <w:lang w:val="ru-RU"/>
        </w:rPr>
        <w:tab/>
      </w:r>
      <w:r w:rsidR="00FC634D" w:rsidRPr="00677FE2">
        <w:rPr>
          <w:i/>
          <w:iCs/>
          <w:lang w:val="ru-RU"/>
        </w:rPr>
        <w:t>Просит</w:t>
      </w:r>
      <w:r w:rsidR="00FC634D" w:rsidRPr="00FC634D">
        <w:rPr>
          <w:lang w:val="ru-RU"/>
        </w:rPr>
        <w:t xml:space="preserve"> правительство Украины представить Комитету по осуществлению доклад о достигнутом прогрессе;</w:t>
      </w:r>
    </w:p>
    <w:p w14:paraId="663404CE" w14:textId="4295F30D" w:rsidR="00677FE2" w:rsidRPr="00677FE2" w:rsidRDefault="00B02851" w:rsidP="00677FE2">
      <w:pPr>
        <w:ind w:left="1170" w:right="1134" w:firstLine="531"/>
        <w:rPr>
          <w:lang w:val="ru-RU"/>
        </w:rPr>
      </w:pPr>
      <w:r w:rsidRPr="00677FE2">
        <w:rPr>
          <w:lang w:val="ru-RU"/>
        </w:rPr>
        <w:t>13.</w:t>
      </w:r>
      <w:r w:rsidRPr="00677FE2">
        <w:rPr>
          <w:lang w:val="ru-RU"/>
        </w:rPr>
        <w:tab/>
      </w:r>
      <w:r w:rsidR="00677FE2" w:rsidRPr="00677FE2">
        <w:rPr>
          <w:lang w:val="ru-RU"/>
        </w:rPr>
        <w:t>просит</w:t>
      </w:r>
      <w:r w:rsidR="00677FE2">
        <w:rPr>
          <w:lang w:val="ru-RU"/>
        </w:rPr>
        <w:t xml:space="preserve"> </w:t>
      </w:r>
      <w:r w:rsidR="00677FE2" w:rsidRPr="00677FE2">
        <w:rPr>
          <w:lang w:val="ru-RU"/>
        </w:rPr>
        <w:t xml:space="preserve">Комитет по осуществлению доложить Совещанию Сторон на его </w:t>
      </w:r>
    </w:p>
    <w:p w14:paraId="3AEE0360" w14:textId="7BD78C54" w:rsidR="00677FE2" w:rsidRPr="00677FE2" w:rsidRDefault="00677FE2" w:rsidP="00DD388C">
      <w:pPr>
        <w:ind w:left="1170" w:right="1134"/>
        <w:rPr>
          <w:lang w:val="ru-RU"/>
        </w:rPr>
      </w:pPr>
      <w:r>
        <w:rPr>
          <w:lang w:val="ru-RU"/>
        </w:rPr>
        <w:t>девятой</w:t>
      </w:r>
      <w:r w:rsidRPr="00677FE2">
        <w:rPr>
          <w:lang w:val="ru-RU"/>
        </w:rPr>
        <w:t xml:space="preserve"> сессии о своей оценке шагов, предпринятых правительством Украины </w:t>
      </w:r>
      <w:r w:rsidR="00E54E89" w:rsidRPr="00E54E89">
        <w:rPr>
          <w:lang w:val="ru-RU"/>
        </w:rPr>
        <w:t>для выполнения своих обязательств по Конвенции.</w:t>
      </w:r>
    </w:p>
    <w:p w14:paraId="7F9F6E4C" w14:textId="77777777" w:rsidR="00B02851" w:rsidRPr="00E54E89" w:rsidRDefault="00B02851" w:rsidP="00B02851">
      <w:pPr>
        <w:pStyle w:val="SingleTxtG"/>
        <w:ind w:firstLine="567"/>
        <w:rPr>
          <w:lang w:val="ru-RU"/>
        </w:rPr>
      </w:pPr>
    </w:p>
    <w:p w14:paraId="22575146" w14:textId="38010A40" w:rsidR="00194706" w:rsidRPr="004B1C4D" w:rsidRDefault="00194706" w:rsidP="00F26967">
      <w:pPr>
        <w:pStyle w:val="HChG"/>
        <w:rPr>
          <w:lang w:val="ru-RU"/>
        </w:rPr>
      </w:pPr>
      <w:bookmarkStart w:id="8" w:name="_Hlk4599467"/>
      <w:r w:rsidRPr="00E54E89">
        <w:rPr>
          <w:lang w:val="ru-RU"/>
        </w:rPr>
        <w:tab/>
      </w:r>
      <w:r w:rsidR="008215C3" w:rsidRPr="004B1C4D">
        <w:rPr>
          <w:lang w:val="ru-RU"/>
        </w:rPr>
        <w:t>6.</w:t>
      </w:r>
      <w:r w:rsidR="008215C3" w:rsidRPr="004B1C4D">
        <w:rPr>
          <w:lang w:val="ru-RU"/>
        </w:rPr>
        <w:tab/>
      </w:r>
      <w:r w:rsidR="0006323D" w:rsidRPr="004B1C4D">
        <w:rPr>
          <w:lang w:val="ru-RU"/>
        </w:rPr>
        <w:t>Проект решения</w:t>
      </w:r>
      <w:r w:rsidRPr="004B1C4D">
        <w:rPr>
          <w:lang w:val="ru-RU"/>
        </w:rPr>
        <w:t xml:space="preserve"> </w:t>
      </w:r>
      <w:r w:rsidRPr="00F26967">
        <w:t>VIII</w:t>
      </w:r>
      <w:r w:rsidRPr="004B1C4D">
        <w:rPr>
          <w:lang w:val="ru-RU"/>
        </w:rPr>
        <w:t>/4</w:t>
      </w:r>
      <w:r w:rsidRPr="00F26967">
        <w:t>e</w:t>
      </w:r>
      <w:r w:rsidR="00F26967" w:rsidRPr="004B1C4D">
        <w:rPr>
          <w:lang w:val="ru-RU"/>
        </w:rPr>
        <w:t xml:space="preserve"> </w:t>
      </w:r>
      <w:r w:rsidR="004B1C4D" w:rsidRPr="004B1C4D">
        <w:rPr>
          <w:lang w:val="ru-RU"/>
        </w:rPr>
        <w:t>о соблюдении Украиной ее</w:t>
      </w:r>
      <w:r w:rsidR="004B1C4D">
        <w:t> </w:t>
      </w:r>
      <w:r w:rsidR="004B1C4D" w:rsidRPr="004B1C4D">
        <w:rPr>
          <w:lang w:val="ru-RU"/>
        </w:rPr>
        <w:t>обязательств по Конвенции в связи с продлением срока эксплуатации Ровенской атомной электростанции</w:t>
      </w:r>
    </w:p>
    <w:p w14:paraId="0AD5A10E" w14:textId="30337BAD" w:rsidR="00194706" w:rsidRPr="007F18D4" w:rsidRDefault="005B61A0" w:rsidP="00194706">
      <w:pPr>
        <w:pStyle w:val="SingleTxtG"/>
        <w:ind w:firstLine="567"/>
        <w:rPr>
          <w:lang w:val="ru-RU"/>
        </w:rPr>
      </w:pPr>
      <w:r w:rsidRPr="007F18D4">
        <w:rPr>
          <w:rStyle w:val="FollowedHyperlink"/>
          <w:i/>
          <w:lang w:val="ru-RU"/>
        </w:rPr>
        <w:t>Совещание Сторон</w:t>
      </w:r>
      <w:r>
        <w:rPr>
          <w:rStyle w:val="FollowedHyperlink"/>
          <w:i/>
          <w:lang w:val="ru-RU"/>
        </w:rPr>
        <w:t xml:space="preserve"> Конвенции</w:t>
      </w:r>
      <w:r w:rsidR="00194706" w:rsidRPr="007F18D4">
        <w:rPr>
          <w:lang w:val="ru-RU"/>
        </w:rPr>
        <w:t>,</w:t>
      </w:r>
    </w:p>
    <w:p w14:paraId="7E95A7E1" w14:textId="77777777" w:rsidR="007F18D4" w:rsidRPr="009D2A30" w:rsidRDefault="007F18D4" w:rsidP="00194706">
      <w:pPr>
        <w:pStyle w:val="SingleTxtG"/>
        <w:ind w:firstLine="567"/>
        <w:rPr>
          <w:i/>
          <w:lang w:val="ru-RU"/>
        </w:rPr>
      </w:pPr>
      <w:r w:rsidRPr="007F18D4">
        <w:rPr>
          <w:i/>
          <w:lang w:val="ru-RU"/>
        </w:rPr>
        <w:t xml:space="preserve">ссылаясь </w:t>
      </w:r>
      <w:r w:rsidRPr="007F18D4">
        <w:rPr>
          <w:iCs/>
          <w:lang w:val="ru-RU"/>
        </w:rPr>
        <w:t>на пункт 2 статьи 11 и статью 14-бис Конвенции об оценке воздействия на окружающую среду в трансграничном контексте,</w:t>
      </w:r>
    </w:p>
    <w:p w14:paraId="7CC72F6F" w14:textId="7B29F481" w:rsidR="00194706" w:rsidRPr="001321AF" w:rsidRDefault="007F62F9" w:rsidP="00194706">
      <w:pPr>
        <w:pStyle w:val="SingleTxtG"/>
        <w:ind w:firstLine="567"/>
        <w:rPr>
          <w:iCs/>
          <w:lang w:val="ru-RU"/>
        </w:rPr>
      </w:pPr>
      <w:r w:rsidRPr="001321AF">
        <w:rPr>
          <w:rStyle w:val="Emphasis"/>
          <w:lang w:val="ru-RU"/>
        </w:rPr>
        <w:t>ссылаясь также</w:t>
      </w:r>
      <w:r w:rsidRPr="001321AF">
        <w:rPr>
          <w:lang w:val="ru-RU"/>
        </w:rPr>
        <w:t xml:space="preserve"> на пункты 68–71 своего решения </w:t>
      </w:r>
      <w:r w:rsidRPr="000F4874">
        <w:t>VI</w:t>
      </w:r>
      <w:r w:rsidRPr="001321AF">
        <w:rPr>
          <w:lang w:val="ru-RU"/>
        </w:rPr>
        <w:t>/2</w:t>
      </w:r>
      <w:r w:rsidR="00194706">
        <w:rPr>
          <w:rStyle w:val="FootnoteReference"/>
          <w:iCs/>
        </w:rPr>
        <w:footnoteReference w:id="35"/>
      </w:r>
      <w:r w:rsidR="00194706" w:rsidRPr="001321AF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1321AF">
        <w:rPr>
          <w:iCs/>
          <w:lang w:val="ru-RU"/>
        </w:rPr>
        <w:t xml:space="preserve"> </w:t>
      </w:r>
      <w:r>
        <w:rPr>
          <w:iCs/>
          <w:lang w:val="ru-RU"/>
        </w:rPr>
        <w:t>решения</w:t>
      </w:r>
      <w:r w:rsidR="00194706" w:rsidRPr="001321AF">
        <w:rPr>
          <w:iCs/>
          <w:lang w:val="ru-RU"/>
        </w:rPr>
        <w:t xml:space="preserve"> </w:t>
      </w:r>
      <w:r w:rsidR="00194706">
        <w:rPr>
          <w:iCs/>
        </w:rPr>
        <w:t>IS</w:t>
      </w:r>
      <w:r w:rsidR="00194706" w:rsidRPr="001321AF">
        <w:rPr>
          <w:iCs/>
          <w:lang w:val="ru-RU"/>
        </w:rPr>
        <w:t>/1</w:t>
      </w:r>
      <w:r w:rsidR="00194706">
        <w:rPr>
          <w:iCs/>
        </w:rPr>
        <w:t>g</w:t>
      </w:r>
      <w:r w:rsidR="00194706">
        <w:rPr>
          <w:rStyle w:val="FootnoteReference"/>
          <w:iCs/>
        </w:rPr>
        <w:footnoteReference w:id="36"/>
      </w:r>
      <w:r w:rsidR="00194706" w:rsidRPr="001321AF">
        <w:rPr>
          <w:iCs/>
          <w:lang w:val="ru-RU"/>
        </w:rPr>
        <w:t xml:space="preserve"> </w:t>
      </w:r>
      <w:r w:rsidR="001321AF" w:rsidRPr="001321AF">
        <w:rPr>
          <w:iCs/>
          <w:lang w:val="ru-RU"/>
        </w:rPr>
        <w:t>относительно соблюдения Украиной Конвенции в связи с продлением срока службы 1-го и 2</w:t>
      </w:r>
      <w:r w:rsidR="00956321">
        <w:rPr>
          <w:iCs/>
          <w:lang w:val="ru-RU"/>
        </w:rPr>
        <w:t>-</w:t>
      </w:r>
      <w:r w:rsidR="001321AF" w:rsidRPr="001321AF">
        <w:rPr>
          <w:iCs/>
          <w:lang w:val="ru-RU"/>
        </w:rPr>
        <w:t>го реакторов Ровенской атомной электростанции</w:t>
      </w:r>
      <w:r w:rsidR="00194706" w:rsidRPr="001321AF">
        <w:rPr>
          <w:iCs/>
          <w:lang w:val="ru-RU"/>
        </w:rPr>
        <w:t>,</w:t>
      </w:r>
    </w:p>
    <w:p w14:paraId="0073B9A7" w14:textId="1DB01374" w:rsidR="00194706" w:rsidRPr="006B23F2" w:rsidRDefault="006B23F2" w:rsidP="00194706">
      <w:pPr>
        <w:pStyle w:val="SingleTxtG"/>
        <w:ind w:firstLine="567"/>
        <w:rPr>
          <w:lang w:val="ru-RU"/>
        </w:rPr>
      </w:pPr>
      <w:r w:rsidRPr="00AA200A">
        <w:rPr>
          <w:rStyle w:val="Emphasis"/>
          <w:lang w:val="ru-RU"/>
        </w:rPr>
        <w:t xml:space="preserve">рассмотрев </w:t>
      </w:r>
      <w:r w:rsidRPr="00AA200A">
        <w:rPr>
          <w:lang w:val="ru-RU"/>
        </w:rPr>
        <w:t>касающиеся Украины соответствующие разделы доклада о</w:t>
      </w:r>
      <w:r>
        <w:t> </w:t>
      </w:r>
      <w:r w:rsidRPr="00AA200A">
        <w:rPr>
          <w:lang w:val="ru-RU"/>
        </w:rPr>
        <w:t>деятельности Комитета по осуществлению</w:t>
      </w:r>
      <w:r>
        <w:rPr>
          <w:lang w:val="ru-RU"/>
        </w:rPr>
        <w:t xml:space="preserve">, </w:t>
      </w:r>
      <w:r w:rsidRPr="009B3051">
        <w:rPr>
          <w:lang w:val="ru-RU"/>
        </w:rPr>
        <w:t xml:space="preserve">представленного Совещанию </w:t>
      </w:r>
      <w:r w:rsidRPr="007E4BFE">
        <w:rPr>
          <w:lang w:val="ru-RU"/>
        </w:rPr>
        <w:t>Сторон</w:t>
      </w:r>
      <w:r w:rsidRPr="006B23F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B23F2">
        <w:rPr>
          <w:lang w:val="ru-RU"/>
        </w:rPr>
        <w:t xml:space="preserve"> </w:t>
      </w:r>
      <w:r w:rsidRPr="007E4BFE">
        <w:rPr>
          <w:lang w:val="ru-RU"/>
        </w:rPr>
        <w:t>на</w:t>
      </w:r>
      <w:r w:rsidRPr="006B23F2">
        <w:rPr>
          <w:lang w:val="ru-RU"/>
        </w:rPr>
        <w:t xml:space="preserve"> </w:t>
      </w:r>
      <w:r w:rsidRPr="007E4BFE">
        <w:rPr>
          <w:lang w:val="ru-RU"/>
        </w:rPr>
        <w:t>его</w:t>
      </w:r>
      <w:r w:rsidRPr="006B23F2">
        <w:rPr>
          <w:lang w:val="ru-RU"/>
        </w:rPr>
        <w:t xml:space="preserve"> </w:t>
      </w:r>
      <w:r>
        <w:rPr>
          <w:lang w:val="ru-RU"/>
        </w:rPr>
        <w:t>вось</w:t>
      </w:r>
      <w:r w:rsidRPr="007E4BFE">
        <w:rPr>
          <w:lang w:val="ru-RU"/>
        </w:rPr>
        <w:t>мой</w:t>
      </w:r>
      <w:r w:rsidRPr="006B23F2">
        <w:rPr>
          <w:lang w:val="ru-RU"/>
        </w:rPr>
        <w:t xml:space="preserve"> </w:t>
      </w:r>
      <w:r w:rsidRPr="007E4BFE">
        <w:rPr>
          <w:lang w:val="ru-RU"/>
        </w:rPr>
        <w:t>сессии</w:t>
      </w:r>
      <w:r w:rsidR="00194706" w:rsidRPr="006B23F2">
        <w:rPr>
          <w:lang w:val="ru-RU"/>
        </w:rPr>
        <w:t>,</w:t>
      </w:r>
      <w:r w:rsidRPr="006B23F2">
        <w:rPr>
          <w:lang w:val="ru-RU"/>
        </w:rPr>
        <w:t xml:space="preserve"> </w:t>
      </w:r>
      <w:r w:rsidRPr="007E4BFE">
        <w:rPr>
          <w:lang w:val="ru-RU"/>
        </w:rPr>
        <w:t>в частности, раздел, касающийся шагов, предпринятых Украиной во исполнение решения</w:t>
      </w:r>
      <w:r w:rsidR="00913F5A" w:rsidRPr="006B23F2">
        <w:rPr>
          <w:lang w:val="ru-RU"/>
        </w:rPr>
        <w:t>,</w:t>
      </w:r>
      <w:r w:rsidR="00194706">
        <w:rPr>
          <w:rStyle w:val="FootnoteReference"/>
        </w:rPr>
        <w:footnoteReference w:id="37"/>
      </w:r>
    </w:p>
    <w:p w14:paraId="72A5E6C0" w14:textId="537BCFFA" w:rsidR="00194706" w:rsidRPr="00F3055B" w:rsidRDefault="00EF3D19" w:rsidP="00194706">
      <w:pPr>
        <w:pStyle w:val="SingleTxtG"/>
        <w:ind w:firstLine="567"/>
        <w:rPr>
          <w:iCs/>
          <w:lang w:val="ru-RU"/>
        </w:rPr>
      </w:pPr>
      <w:r w:rsidRPr="00F3055B">
        <w:rPr>
          <w:i/>
          <w:lang w:val="ru-RU"/>
        </w:rPr>
        <w:t>ссылаясь</w:t>
      </w:r>
      <w:r w:rsidRPr="00F3055B">
        <w:rPr>
          <w:lang w:val="ru-RU"/>
        </w:rPr>
        <w:t xml:space="preserve"> на свое решение</w:t>
      </w:r>
      <w:r w:rsidR="00194706" w:rsidRPr="00F3055B">
        <w:rPr>
          <w:iCs/>
          <w:lang w:val="ru-RU"/>
        </w:rPr>
        <w:t xml:space="preserve"> </w:t>
      </w:r>
      <w:r w:rsidR="00194706">
        <w:rPr>
          <w:iCs/>
        </w:rPr>
        <w:t>VIII</w:t>
      </w:r>
      <w:r w:rsidR="00194706" w:rsidRPr="00F3055B">
        <w:rPr>
          <w:iCs/>
          <w:lang w:val="ru-RU"/>
        </w:rPr>
        <w:t xml:space="preserve">/4 </w:t>
      </w:r>
      <w:r w:rsidR="00F3055B">
        <w:rPr>
          <w:iCs/>
          <w:lang w:val="ru-RU"/>
        </w:rPr>
        <w:t>об</w:t>
      </w:r>
      <w:r w:rsidR="00F3055B" w:rsidRPr="00F3055B">
        <w:rPr>
          <w:iCs/>
          <w:lang w:val="ru-RU"/>
        </w:rPr>
        <w:t xml:space="preserve"> </w:t>
      </w:r>
      <w:r w:rsidR="00F3055B">
        <w:rPr>
          <w:iCs/>
          <w:lang w:val="ru-RU"/>
        </w:rPr>
        <w:t>общих</w:t>
      </w:r>
      <w:r w:rsidR="00F3055B" w:rsidRPr="00F3055B">
        <w:rPr>
          <w:iCs/>
          <w:lang w:val="ru-RU"/>
        </w:rPr>
        <w:t xml:space="preserve"> </w:t>
      </w:r>
      <w:r w:rsidR="00F3055B">
        <w:rPr>
          <w:iCs/>
          <w:lang w:val="ru-RU"/>
        </w:rPr>
        <w:t xml:space="preserve">вопросах соблюдения </w:t>
      </w:r>
      <w:r w:rsidR="00130A5A">
        <w:rPr>
          <w:iCs/>
          <w:lang w:val="ru-RU"/>
        </w:rPr>
        <w:t>К</w:t>
      </w:r>
      <w:r w:rsidR="00F3055B">
        <w:rPr>
          <w:iCs/>
          <w:lang w:val="ru-RU"/>
        </w:rPr>
        <w:t>онвенции</w:t>
      </w:r>
      <w:r w:rsidR="00130A5A">
        <w:rPr>
          <w:iCs/>
          <w:lang w:val="ru-RU"/>
        </w:rPr>
        <w:t>, принятое на промежуточной сессии</w:t>
      </w:r>
      <w:r w:rsidR="00194706" w:rsidRPr="00F3055B">
        <w:rPr>
          <w:iCs/>
          <w:lang w:val="ru-RU"/>
        </w:rPr>
        <w:t>,</w:t>
      </w:r>
    </w:p>
    <w:p w14:paraId="0F24DFC5" w14:textId="161A2258" w:rsidR="006153EB" w:rsidRPr="006153EB" w:rsidRDefault="00194706" w:rsidP="00194706">
      <w:pPr>
        <w:pStyle w:val="SingleTxtG"/>
        <w:ind w:firstLine="567"/>
        <w:rPr>
          <w:lang w:val="ru-RU"/>
        </w:rPr>
      </w:pPr>
      <w:r w:rsidRPr="006153EB">
        <w:rPr>
          <w:lang w:val="ru-RU"/>
        </w:rPr>
        <w:t>1.</w:t>
      </w:r>
      <w:r w:rsidRPr="006153EB">
        <w:rPr>
          <w:lang w:val="ru-RU"/>
        </w:rPr>
        <w:tab/>
      </w:r>
      <w:r w:rsidR="006153EB" w:rsidRPr="006153EB">
        <w:rPr>
          <w:lang w:val="ru-RU"/>
        </w:rPr>
        <w:t xml:space="preserve">отмечает, что Украина представила </w:t>
      </w:r>
      <w:r w:rsidR="006153EB" w:rsidRPr="00B66EBA">
        <w:rPr>
          <w:lang w:val="ru-RU"/>
        </w:rPr>
        <w:t>некоторую</w:t>
      </w:r>
      <w:r w:rsidR="006153EB" w:rsidRPr="006153EB">
        <w:rPr>
          <w:lang w:val="ru-RU"/>
        </w:rPr>
        <w:t xml:space="preserve"> информацию о текущей процедуре трансграничной оценки воздействия на окружающую среду в связи с продлением срока эксплуатации </w:t>
      </w:r>
      <w:r w:rsidR="00F86A95" w:rsidRPr="001321AF">
        <w:rPr>
          <w:iCs/>
          <w:lang w:val="ru-RU"/>
        </w:rPr>
        <w:t>1-го и 2</w:t>
      </w:r>
      <w:r w:rsidR="00F86A95">
        <w:rPr>
          <w:iCs/>
          <w:lang w:val="ru-RU"/>
        </w:rPr>
        <w:t>-</w:t>
      </w:r>
      <w:r w:rsidR="00F86A95" w:rsidRPr="001321AF">
        <w:rPr>
          <w:iCs/>
          <w:lang w:val="ru-RU"/>
        </w:rPr>
        <w:t>го реакторов</w:t>
      </w:r>
      <w:r w:rsidR="006153EB" w:rsidRPr="006153EB">
        <w:rPr>
          <w:lang w:val="ru-RU"/>
        </w:rPr>
        <w:t xml:space="preserve"> Ровенской атомной электростанции, но выражает </w:t>
      </w:r>
      <w:r w:rsidR="00F86A95">
        <w:rPr>
          <w:lang w:val="ru-RU"/>
        </w:rPr>
        <w:t>обеспокоенность</w:t>
      </w:r>
      <w:r w:rsidR="006153EB" w:rsidRPr="006153EB">
        <w:rPr>
          <w:lang w:val="ru-RU"/>
        </w:rPr>
        <w:t xml:space="preserve"> по поводу того, что в 2019 году Украина не представила ежегодный доклад об осуществлении ею решения </w:t>
      </w:r>
      <w:r w:rsidR="00F86A95">
        <w:t>IS</w:t>
      </w:r>
      <w:r w:rsidR="00F86A95" w:rsidRPr="00F86A95">
        <w:rPr>
          <w:lang w:val="ru-RU"/>
        </w:rPr>
        <w:t>/1</w:t>
      </w:r>
      <w:r w:rsidR="00F86A95">
        <w:t>g</w:t>
      </w:r>
      <w:r w:rsidR="00F86A95" w:rsidRPr="00F86A95">
        <w:rPr>
          <w:lang w:val="ru-RU"/>
        </w:rPr>
        <w:t xml:space="preserve"> </w:t>
      </w:r>
      <w:r w:rsidR="006153EB" w:rsidRPr="006153EB">
        <w:rPr>
          <w:lang w:val="ru-RU"/>
        </w:rPr>
        <w:t xml:space="preserve"> в соответствии с пунктом 9 этого решения;</w:t>
      </w:r>
      <w:r w:rsidR="00F86A95">
        <w:rPr>
          <w:lang w:val="ru-RU"/>
        </w:rPr>
        <w:t xml:space="preserve"> </w:t>
      </w:r>
    </w:p>
    <w:p w14:paraId="2C2D586F" w14:textId="122CA640" w:rsidR="00396E25" w:rsidRPr="00396E25" w:rsidRDefault="00194706" w:rsidP="00194706">
      <w:pPr>
        <w:pStyle w:val="SingleTxtG"/>
        <w:ind w:firstLine="567"/>
        <w:rPr>
          <w:lang w:val="ru-RU"/>
        </w:rPr>
      </w:pPr>
      <w:r w:rsidRPr="00396E25">
        <w:rPr>
          <w:lang w:val="ru-RU"/>
        </w:rPr>
        <w:t>2.</w:t>
      </w:r>
      <w:r w:rsidRPr="00396E25">
        <w:rPr>
          <w:lang w:val="ru-RU"/>
        </w:rPr>
        <w:tab/>
      </w:r>
      <w:r w:rsidR="00396E25" w:rsidRPr="007E1FE4">
        <w:rPr>
          <w:i/>
          <w:iCs/>
          <w:lang w:val="ru-RU"/>
        </w:rPr>
        <w:t xml:space="preserve">вновь приветствует </w:t>
      </w:r>
      <w:r w:rsidR="00396E25" w:rsidRPr="00396E25">
        <w:rPr>
          <w:lang w:val="ru-RU"/>
        </w:rPr>
        <w:t>принятие Украиной Закона об оценке воздействия на окружающую среду и соответствующих подзаконных актов, устанавливающих правовые положения для трансграничной оценки воздействия на окружающую среду в соответствии с Конвенцией, включая продление срока эксплуатации атомных электростанций;</w:t>
      </w:r>
    </w:p>
    <w:p w14:paraId="1321AFED" w14:textId="7E22C17F" w:rsidR="00E1000A" w:rsidRPr="00E1000A" w:rsidRDefault="00194706" w:rsidP="00194706">
      <w:pPr>
        <w:pStyle w:val="SingleTxtG"/>
        <w:ind w:firstLine="567"/>
        <w:rPr>
          <w:lang w:val="ru-RU"/>
        </w:rPr>
      </w:pPr>
      <w:r w:rsidRPr="00E1000A">
        <w:rPr>
          <w:lang w:val="ru-RU"/>
        </w:rPr>
        <w:t xml:space="preserve">3. </w:t>
      </w:r>
      <w:r w:rsidRPr="00E1000A">
        <w:rPr>
          <w:lang w:val="ru-RU"/>
        </w:rPr>
        <w:tab/>
      </w:r>
      <w:r w:rsidR="00E1000A" w:rsidRPr="00E1000A">
        <w:rPr>
          <w:i/>
          <w:iCs/>
          <w:lang w:val="ru-RU"/>
        </w:rPr>
        <w:t xml:space="preserve">выражает, однако, </w:t>
      </w:r>
      <w:r w:rsidR="00E1000A" w:rsidRPr="00B66EBA">
        <w:rPr>
          <w:i/>
          <w:iCs/>
          <w:lang w:val="ru-RU"/>
        </w:rPr>
        <w:t>обеспокоенность</w:t>
      </w:r>
      <w:r w:rsidR="00E1000A" w:rsidRPr="00E1000A">
        <w:rPr>
          <w:i/>
          <w:iCs/>
          <w:lang w:val="ru-RU"/>
        </w:rPr>
        <w:t xml:space="preserve"> </w:t>
      </w:r>
      <w:r w:rsidR="00E1000A" w:rsidRPr="00E1000A">
        <w:rPr>
          <w:lang w:val="ru-RU"/>
        </w:rPr>
        <w:t>в связи с тем, что не были приняты все подзаконные акты для приведения национального законодательства Украины в полное соответствие с Конвенцией;</w:t>
      </w:r>
    </w:p>
    <w:p w14:paraId="45D2D50F" w14:textId="1DD3008D" w:rsidR="00A17300" w:rsidRPr="00A17300" w:rsidRDefault="00194706" w:rsidP="00194706">
      <w:pPr>
        <w:pStyle w:val="SingleTxtG"/>
        <w:ind w:firstLine="567"/>
        <w:rPr>
          <w:iCs/>
          <w:lang w:val="ru-RU"/>
        </w:rPr>
      </w:pPr>
      <w:r w:rsidRPr="00A17300">
        <w:rPr>
          <w:lang w:val="ru-RU"/>
        </w:rPr>
        <w:t>4.</w:t>
      </w:r>
      <w:r w:rsidRPr="00A17300">
        <w:rPr>
          <w:i/>
          <w:lang w:val="ru-RU"/>
        </w:rPr>
        <w:tab/>
      </w:r>
      <w:r w:rsidR="00A17300" w:rsidRPr="00A17300">
        <w:rPr>
          <w:i/>
          <w:lang w:val="ru-RU"/>
        </w:rPr>
        <w:t xml:space="preserve">приветствует также </w:t>
      </w:r>
      <w:r w:rsidR="00A17300" w:rsidRPr="00A17300">
        <w:rPr>
          <w:iCs/>
          <w:lang w:val="ru-RU"/>
        </w:rPr>
        <w:t xml:space="preserve">некоторые шаги, предпринятые Украиной во исполнение решения </w:t>
      </w:r>
      <w:r w:rsidR="00A17300">
        <w:rPr>
          <w:iCs/>
        </w:rPr>
        <w:t>IS</w:t>
      </w:r>
      <w:r w:rsidR="00A17300" w:rsidRPr="00A463CC">
        <w:rPr>
          <w:iCs/>
          <w:lang w:val="ru-RU"/>
        </w:rPr>
        <w:t>/1</w:t>
      </w:r>
      <w:r w:rsidR="00A17300">
        <w:rPr>
          <w:iCs/>
        </w:rPr>
        <w:t>g</w:t>
      </w:r>
      <w:r w:rsidR="00A17300" w:rsidRPr="00A17300">
        <w:rPr>
          <w:iCs/>
          <w:lang w:val="ru-RU"/>
        </w:rPr>
        <w:t xml:space="preserve">, но выражает озабоченность по поводу того, что Украина еще не полностью выполнила это решение и что процедура трансграничной оценки </w:t>
      </w:r>
      <w:r w:rsidR="00A17300" w:rsidRPr="00A17300">
        <w:rPr>
          <w:iCs/>
          <w:lang w:val="ru-RU"/>
        </w:rPr>
        <w:lastRenderedPageBreak/>
        <w:t>воздействия на окружающую среду в рамках Конвенции в отношении этой деятельности еще не завершена;</w:t>
      </w:r>
    </w:p>
    <w:p w14:paraId="6552D8AE" w14:textId="5D147FB6" w:rsidR="00941973" w:rsidRPr="00941973" w:rsidRDefault="00194706" w:rsidP="00230FF2">
      <w:pPr>
        <w:pStyle w:val="SingleTxtG"/>
        <w:keepLines/>
        <w:ind w:firstLine="567"/>
        <w:rPr>
          <w:iCs/>
          <w:lang w:val="ru-RU"/>
        </w:rPr>
      </w:pPr>
      <w:r w:rsidRPr="00941973">
        <w:rPr>
          <w:i/>
          <w:lang w:val="ru-RU"/>
        </w:rPr>
        <w:t>5.</w:t>
      </w:r>
      <w:r w:rsidRPr="00941973">
        <w:rPr>
          <w:i/>
          <w:lang w:val="ru-RU"/>
        </w:rPr>
        <w:tab/>
      </w:r>
      <w:r w:rsidR="00941973" w:rsidRPr="00941973">
        <w:rPr>
          <w:i/>
          <w:lang w:val="ru-RU"/>
        </w:rPr>
        <w:t xml:space="preserve">одобряет </w:t>
      </w:r>
      <w:r w:rsidR="00941973" w:rsidRPr="00941973">
        <w:rPr>
          <w:iCs/>
          <w:lang w:val="ru-RU"/>
        </w:rPr>
        <w:t xml:space="preserve">сделанные на его сорок седьмой сессии выводы </w:t>
      </w:r>
      <w:r w:rsidR="008B4F74" w:rsidRPr="00941973">
        <w:rPr>
          <w:iCs/>
          <w:lang w:val="ru-RU"/>
        </w:rPr>
        <w:t>Комитет</w:t>
      </w:r>
      <w:r w:rsidR="008B4F74">
        <w:rPr>
          <w:iCs/>
          <w:lang w:val="ru-RU"/>
        </w:rPr>
        <w:t>а</w:t>
      </w:r>
      <w:r w:rsidR="008B4F74" w:rsidRPr="00941973">
        <w:rPr>
          <w:iCs/>
          <w:lang w:val="ru-RU"/>
        </w:rPr>
        <w:t xml:space="preserve"> по </w:t>
      </w:r>
      <w:r w:rsidR="00B514C8">
        <w:rPr>
          <w:iCs/>
          <w:lang w:val="ru-RU"/>
        </w:rPr>
        <w:t>осуществл</w:t>
      </w:r>
      <w:r w:rsidR="008B4F74" w:rsidRPr="00941973">
        <w:rPr>
          <w:iCs/>
          <w:lang w:val="ru-RU"/>
        </w:rPr>
        <w:t xml:space="preserve">ению </w:t>
      </w:r>
      <w:r w:rsidR="00941973" w:rsidRPr="00941973">
        <w:rPr>
          <w:iCs/>
          <w:lang w:val="ru-RU"/>
        </w:rPr>
        <w:t xml:space="preserve">о том, что, несмотря на предпринятые позитивные шаги, Украина еще не выполнила все свои обязательства, упомянутые в пунктах 4, 7(а), 7(b), 7(с) и 8 решения </w:t>
      </w:r>
      <w:r w:rsidR="00B514C8">
        <w:t>IS</w:t>
      </w:r>
      <w:r w:rsidR="00B514C8" w:rsidRPr="00B514C8">
        <w:rPr>
          <w:lang w:val="ru-RU"/>
        </w:rPr>
        <w:t>/1</w:t>
      </w:r>
      <w:r w:rsidR="00B514C8">
        <w:t>g</w:t>
      </w:r>
      <w:r w:rsidR="00941973" w:rsidRPr="00941973">
        <w:rPr>
          <w:iCs/>
          <w:lang w:val="ru-RU"/>
        </w:rPr>
        <w:t xml:space="preserve">, и что поэтому </w:t>
      </w:r>
      <w:r w:rsidR="00A57F2D">
        <w:rPr>
          <w:iCs/>
          <w:lang w:val="ru-RU"/>
        </w:rPr>
        <w:t xml:space="preserve">Украина </w:t>
      </w:r>
      <w:r w:rsidR="00941973" w:rsidRPr="00941973">
        <w:rPr>
          <w:iCs/>
          <w:lang w:val="ru-RU"/>
        </w:rPr>
        <w:t>по-прежнему</w:t>
      </w:r>
      <w:r w:rsidR="00230FF2" w:rsidRPr="00230FF2">
        <w:rPr>
          <w:iCs/>
          <w:lang w:val="ru-RU"/>
        </w:rPr>
        <w:t xml:space="preserve">  продолжает  не  соблюдать  свои  обязательства  по Конвенции,</w:t>
      </w:r>
    </w:p>
    <w:p w14:paraId="7F8BD907" w14:textId="6F57B6EA" w:rsidR="0001705A" w:rsidRPr="0001705A" w:rsidRDefault="00376ED4" w:rsidP="00194706">
      <w:pPr>
        <w:pStyle w:val="SingleTxtG"/>
        <w:ind w:firstLine="567"/>
        <w:rPr>
          <w:iCs/>
          <w:lang w:val="ru-RU"/>
        </w:rPr>
      </w:pPr>
      <w:r w:rsidRPr="0001705A">
        <w:rPr>
          <w:lang w:val="ru-RU"/>
        </w:rPr>
        <w:t>6</w:t>
      </w:r>
      <w:r w:rsidR="00194706" w:rsidRPr="0001705A">
        <w:rPr>
          <w:lang w:val="ru-RU"/>
        </w:rPr>
        <w:t>.</w:t>
      </w:r>
      <w:r w:rsidR="00194706" w:rsidRPr="0001705A">
        <w:rPr>
          <w:i/>
          <w:lang w:val="ru-RU"/>
        </w:rPr>
        <w:tab/>
      </w:r>
      <w:r w:rsidR="0001705A" w:rsidRPr="0001705A">
        <w:rPr>
          <w:i/>
          <w:lang w:val="ru-RU"/>
        </w:rPr>
        <w:t xml:space="preserve">подтверждает </w:t>
      </w:r>
      <w:r w:rsidR="0001705A" w:rsidRPr="0001705A">
        <w:rPr>
          <w:iCs/>
          <w:lang w:val="ru-RU"/>
        </w:rPr>
        <w:t xml:space="preserve">свои решения </w:t>
      </w:r>
      <w:r w:rsidR="0001705A" w:rsidRPr="0001705A">
        <w:rPr>
          <w:iCs/>
        </w:rPr>
        <w:t>VI</w:t>
      </w:r>
      <w:r w:rsidR="0001705A" w:rsidRPr="0001705A">
        <w:rPr>
          <w:iCs/>
          <w:lang w:val="ru-RU"/>
        </w:rPr>
        <w:t xml:space="preserve">/2 и </w:t>
      </w:r>
      <w:r w:rsidR="0001705A">
        <w:rPr>
          <w:iCs/>
        </w:rPr>
        <w:t>IS</w:t>
      </w:r>
      <w:r w:rsidR="0001705A" w:rsidRPr="0001705A">
        <w:rPr>
          <w:iCs/>
          <w:lang w:val="ru-RU"/>
        </w:rPr>
        <w:t>/1</w:t>
      </w:r>
      <w:r w:rsidR="0001705A">
        <w:rPr>
          <w:iCs/>
        </w:rPr>
        <w:t>g</w:t>
      </w:r>
      <w:r w:rsidR="0001705A" w:rsidRPr="0001705A">
        <w:rPr>
          <w:iCs/>
          <w:lang w:val="ru-RU"/>
        </w:rPr>
        <w:t xml:space="preserve"> и просит правительство Украины:</w:t>
      </w:r>
    </w:p>
    <w:p w14:paraId="2C81CEA6" w14:textId="07801F63" w:rsidR="00194706" w:rsidRPr="00492114" w:rsidRDefault="0001705A" w:rsidP="00194706">
      <w:pPr>
        <w:pStyle w:val="SingleTxtG"/>
        <w:ind w:firstLine="567"/>
        <w:rPr>
          <w:iCs/>
          <w:lang w:val="ru-RU"/>
        </w:rPr>
      </w:pPr>
      <w:r w:rsidRPr="009D2A30">
        <w:rPr>
          <w:iCs/>
          <w:lang w:val="ru-RU"/>
        </w:rPr>
        <w:t xml:space="preserve"> </w:t>
      </w:r>
      <w:r w:rsidR="00194706" w:rsidRPr="00492114">
        <w:rPr>
          <w:iCs/>
          <w:lang w:val="ru-RU"/>
        </w:rPr>
        <w:t>(</w:t>
      </w:r>
      <w:r w:rsidR="00194706" w:rsidRPr="00A06F7B">
        <w:rPr>
          <w:iCs/>
        </w:rPr>
        <w:t>a</w:t>
      </w:r>
      <w:r w:rsidR="00194706" w:rsidRPr="00492114">
        <w:rPr>
          <w:iCs/>
          <w:lang w:val="ru-RU"/>
        </w:rPr>
        <w:t>)</w:t>
      </w:r>
      <w:r w:rsidR="00194706" w:rsidRPr="00492114">
        <w:rPr>
          <w:iCs/>
          <w:lang w:val="ru-RU"/>
        </w:rPr>
        <w:tab/>
      </w:r>
      <w:r w:rsidR="00492114" w:rsidRPr="00492114">
        <w:rPr>
          <w:iCs/>
          <w:lang w:val="ru-RU"/>
        </w:rPr>
        <w:t>обеспечить принятие остальных подзаконных актов для завершения приведения национальной законодательной базы в соответствие с Конвенцией</w:t>
      </w:r>
      <w:r w:rsidR="00194706" w:rsidRPr="00492114">
        <w:rPr>
          <w:iCs/>
          <w:lang w:val="ru-RU"/>
        </w:rPr>
        <w:t>;</w:t>
      </w:r>
    </w:p>
    <w:p w14:paraId="0AE17121" w14:textId="7C700FA1" w:rsidR="00194706" w:rsidRPr="00873752" w:rsidRDefault="00194706" w:rsidP="00873752">
      <w:pPr>
        <w:pStyle w:val="SingleTxtG"/>
        <w:ind w:firstLine="567"/>
        <w:rPr>
          <w:lang w:val="ru-RU"/>
        </w:rPr>
      </w:pPr>
      <w:r w:rsidRPr="00941EF9">
        <w:rPr>
          <w:lang w:val="ru-RU"/>
        </w:rPr>
        <w:t>(</w:t>
      </w:r>
      <w:r>
        <w:t>b</w:t>
      </w:r>
      <w:r w:rsidRPr="00941EF9">
        <w:rPr>
          <w:lang w:val="ru-RU"/>
        </w:rPr>
        <w:t xml:space="preserve">) </w:t>
      </w:r>
      <w:r w:rsidRPr="00941EF9">
        <w:rPr>
          <w:lang w:val="ru-RU"/>
        </w:rPr>
        <w:tab/>
      </w:r>
      <w:r w:rsidR="00941EF9" w:rsidRPr="00941EF9">
        <w:rPr>
          <w:lang w:val="ru-RU"/>
        </w:rPr>
        <w:t>завершить процедуру трансграничной оценки воздействия на окружающую среду в отношении деятельности с участием затрагиваемых Сторон, желающих принять участие в этой процедуре, включая Австрию, Беларусь, Венгрию, Польшу, Румынию и Словакию</w:t>
      </w:r>
      <w:r w:rsidR="00873752">
        <w:rPr>
          <w:lang w:val="ru-RU"/>
        </w:rPr>
        <w:t xml:space="preserve"> </w:t>
      </w:r>
      <w:r w:rsidR="00873752" w:rsidRPr="00B66EBA">
        <w:rPr>
          <w:lang w:val="ru-RU"/>
        </w:rPr>
        <w:t>путем:</w:t>
      </w:r>
    </w:p>
    <w:p w14:paraId="01D0D7C9" w14:textId="77777777" w:rsidR="007C57D3" w:rsidRDefault="00194706" w:rsidP="0052029D">
      <w:pPr>
        <w:pStyle w:val="SingleTxtG"/>
        <w:ind w:left="1701" w:firstLine="48"/>
        <w:rPr>
          <w:lang w:val="ru-RU"/>
        </w:rPr>
      </w:pPr>
      <w:r w:rsidRPr="007C57D3">
        <w:rPr>
          <w:lang w:val="ru-RU"/>
        </w:rPr>
        <w:t>(</w:t>
      </w:r>
      <w:r>
        <w:t>i</w:t>
      </w:r>
      <w:r w:rsidRPr="007C57D3">
        <w:rPr>
          <w:lang w:val="ru-RU"/>
        </w:rPr>
        <w:t>)</w:t>
      </w:r>
      <w:r w:rsidRPr="007C57D3">
        <w:rPr>
          <w:lang w:val="ru-RU"/>
        </w:rPr>
        <w:tab/>
      </w:r>
      <w:r w:rsidR="007C57D3" w:rsidRPr="00B66EBA">
        <w:rPr>
          <w:lang w:val="ru-RU"/>
        </w:rPr>
        <w:t>завершение консультаций с</w:t>
      </w:r>
      <w:r w:rsidR="007C57D3" w:rsidRPr="007C57D3">
        <w:rPr>
          <w:lang w:val="ru-RU"/>
        </w:rPr>
        <w:t xml:space="preserve"> органами власти затрагиваемых Сторон на основе документации по оценке воздействия на окружающую среду, содержащейся в статье 5 Конвенции, и завершение процедуры участия общественности в соответствии со статьей 3(8) и статьей 4(2) Конвенции;</w:t>
      </w:r>
    </w:p>
    <w:p w14:paraId="23D91E50" w14:textId="35B98BC5" w:rsidR="00B52680" w:rsidRPr="00923CD0" w:rsidRDefault="007C57D3" w:rsidP="0052029D">
      <w:pPr>
        <w:pStyle w:val="SingleTxtG"/>
        <w:ind w:left="1701"/>
        <w:rPr>
          <w:lang w:val="ru-RU"/>
        </w:rPr>
      </w:pPr>
      <w:r w:rsidRPr="009D2A30">
        <w:rPr>
          <w:lang w:val="ru-RU"/>
        </w:rPr>
        <w:t xml:space="preserve"> </w:t>
      </w:r>
      <w:r w:rsidR="00194706" w:rsidRPr="00923CD0">
        <w:rPr>
          <w:lang w:val="ru-RU"/>
        </w:rPr>
        <w:t>(</w:t>
      </w:r>
      <w:r w:rsidR="00194706">
        <w:t>ii</w:t>
      </w:r>
      <w:r w:rsidR="00194706" w:rsidRPr="00923CD0">
        <w:rPr>
          <w:lang w:val="ru-RU"/>
        </w:rPr>
        <w:t>)</w:t>
      </w:r>
      <w:r w:rsidR="00194706" w:rsidRPr="00923CD0">
        <w:rPr>
          <w:lang w:val="ru-RU"/>
        </w:rPr>
        <w:tab/>
      </w:r>
      <w:r w:rsidR="00B52680" w:rsidRPr="00B66EBA">
        <w:rPr>
          <w:lang w:val="ru-RU"/>
        </w:rPr>
        <w:t>пересматривая о</w:t>
      </w:r>
      <w:r w:rsidR="00B52680" w:rsidRPr="00923CD0">
        <w:rPr>
          <w:lang w:val="ru-RU"/>
        </w:rPr>
        <w:t xml:space="preserve">кончательное решение о продлении срока эксплуатации </w:t>
      </w:r>
      <w:r w:rsidR="00B52680" w:rsidRPr="001321AF">
        <w:rPr>
          <w:iCs/>
          <w:lang w:val="ru-RU"/>
        </w:rPr>
        <w:t>1-го и 2</w:t>
      </w:r>
      <w:r w:rsidR="00B52680">
        <w:rPr>
          <w:iCs/>
          <w:lang w:val="ru-RU"/>
        </w:rPr>
        <w:t>-</w:t>
      </w:r>
      <w:r w:rsidR="00B52680" w:rsidRPr="001321AF">
        <w:rPr>
          <w:iCs/>
          <w:lang w:val="ru-RU"/>
        </w:rPr>
        <w:t>го реакторов</w:t>
      </w:r>
      <w:r w:rsidR="00B52680" w:rsidRPr="00923CD0">
        <w:rPr>
          <w:lang w:val="ru-RU"/>
        </w:rPr>
        <w:t xml:space="preserve"> Ровенской атомной электростанции с должным учетом результатов процедуры оценки воздействия на окружающую среду, включая документацию по оценке воздействия на окружающую среду и замечания, полученные от затрагиваемых Сторон в соответствии со статьей 6 Конвенции;</w:t>
      </w:r>
    </w:p>
    <w:p w14:paraId="3D2180E3" w14:textId="055A0760" w:rsidR="00923CD0" w:rsidRPr="008B3377" w:rsidRDefault="00923CD0" w:rsidP="0052029D">
      <w:pPr>
        <w:spacing w:after="120"/>
        <w:ind w:left="1701" w:right="1134" w:firstLine="9"/>
        <w:jc w:val="both"/>
        <w:rPr>
          <w:lang w:val="ru-RU"/>
        </w:rPr>
      </w:pPr>
      <w:r w:rsidRPr="009D2A30">
        <w:rPr>
          <w:lang w:val="ru-RU"/>
        </w:rPr>
        <w:t xml:space="preserve"> </w:t>
      </w:r>
      <w:r w:rsidR="00194706" w:rsidRPr="008B3377">
        <w:rPr>
          <w:lang w:val="ru-RU"/>
        </w:rPr>
        <w:t>(</w:t>
      </w:r>
      <w:r w:rsidR="00194706">
        <w:t>iii</w:t>
      </w:r>
      <w:r w:rsidR="00194706" w:rsidRPr="008B3377">
        <w:rPr>
          <w:lang w:val="ru-RU"/>
        </w:rPr>
        <w:t xml:space="preserve">)  </w:t>
      </w:r>
      <w:r w:rsidR="00194706" w:rsidRPr="008B3377">
        <w:rPr>
          <w:lang w:val="ru-RU"/>
        </w:rPr>
        <w:tab/>
      </w:r>
      <w:r w:rsidRPr="00B66EBA">
        <w:rPr>
          <w:lang w:val="ru-RU"/>
        </w:rPr>
        <w:t>представление</w:t>
      </w:r>
      <w:r w:rsidR="008B3377" w:rsidRPr="008B3377">
        <w:rPr>
          <w:lang w:val="ru-RU"/>
        </w:rPr>
        <w:t xml:space="preserve"> </w:t>
      </w:r>
      <w:r w:rsidRPr="008B3377">
        <w:rPr>
          <w:lang w:val="ru-RU"/>
        </w:rPr>
        <w:t>пересмотренного окончательного решения затрагиваемым Сторонам с указанием причин и соображений, на которых оно основано, как это предусмотрено в статье 6(2) Конвенции;</w:t>
      </w:r>
    </w:p>
    <w:p w14:paraId="729588E3" w14:textId="5BF8F7E9" w:rsidR="000B6F3B" w:rsidRPr="008B3377" w:rsidRDefault="00923CD0" w:rsidP="00C7023C">
      <w:pPr>
        <w:pStyle w:val="SingleTxtG"/>
        <w:ind w:firstLine="567"/>
        <w:rPr>
          <w:lang w:val="ru-RU"/>
        </w:rPr>
      </w:pPr>
      <w:r w:rsidRPr="008B3377">
        <w:rPr>
          <w:lang w:val="ru-RU"/>
        </w:rPr>
        <w:t xml:space="preserve"> </w:t>
      </w:r>
      <w:r w:rsidR="00194706" w:rsidRPr="008B3377">
        <w:rPr>
          <w:lang w:val="ru-RU"/>
        </w:rPr>
        <w:t>(</w:t>
      </w:r>
      <w:r w:rsidR="00194706">
        <w:t>c</w:t>
      </w:r>
      <w:r w:rsidR="00194706" w:rsidRPr="008B3377">
        <w:rPr>
          <w:lang w:val="ru-RU"/>
        </w:rPr>
        <w:t>)</w:t>
      </w:r>
      <w:r w:rsidR="00194706" w:rsidRPr="008B3377">
        <w:rPr>
          <w:lang w:val="ru-RU"/>
        </w:rPr>
        <w:tab/>
      </w:r>
      <w:r w:rsidR="00C7023C" w:rsidRPr="00C7023C">
        <w:rPr>
          <w:lang w:val="ru-RU"/>
        </w:rPr>
        <w:t>Представить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Комитету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по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осуществлению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как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можно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скорее</w:t>
      </w:r>
      <w:r w:rsidR="00C7023C" w:rsidRPr="008B3377">
        <w:rPr>
          <w:lang w:val="ru-RU"/>
        </w:rPr>
        <w:t xml:space="preserve">, </w:t>
      </w:r>
      <w:r w:rsidR="00C7023C" w:rsidRPr="00C7023C">
        <w:rPr>
          <w:lang w:val="ru-RU"/>
        </w:rPr>
        <w:t>но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не</w:t>
      </w:r>
      <w:r w:rsidR="00C7023C" w:rsidRPr="008B3377">
        <w:rPr>
          <w:lang w:val="ru-RU"/>
        </w:rPr>
        <w:t xml:space="preserve"> </w:t>
      </w:r>
      <w:r w:rsidR="00C7023C" w:rsidRPr="00C7023C">
        <w:rPr>
          <w:lang w:val="ru-RU"/>
        </w:rPr>
        <w:t>позднее</w:t>
      </w:r>
      <w:r w:rsidR="00C7023C" w:rsidRPr="008B3377">
        <w:rPr>
          <w:lang w:val="ru-RU"/>
        </w:rPr>
        <w:t xml:space="preserve"> 1</w:t>
      </w:r>
      <w:r w:rsidR="008B3377" w:rsidRPr="008B3377">
        <w:rPr>
          <w:lang w:val="ru-RU"/>
        </w:rPr>
        <w:t xml:space="preserve"> </w:t>
      </w:r>
      <w:r w:rsidR="00C7023C" w:rsidRPr="008B3377">
        <w:rPr>
          <w:lang w:val="ru-RU"/>
        </w:rPr>
        <w:t xml:space="preserve">апреля 2021 года с подробным </w:t>
      </w:r>
      <w:r w:rsidR="00C7023C" w:rsidRPr="00B66EBA">
        <w:rPr>
          <w:lang w:val="ru-RU"/>
        </w:rPr>
        <w:t>графиком о</w:t>
      </w:r>
      <w:r w:rsidR="00C7023C" w:rsidRPr="008B3377">
        <w:rPr>
          <w:lang w:val="ru-RU"/>
        </w:rPr>
        <w:t>существления мер, предусмотренных в подпунктах (а) и (</w:t>
      </w:r>
      <w:r w:rsidR="00C7023C">
        <w:t>b</w:t>
      </w:r>
      <w:r w:rsidR="00C7023C" w:rsidRPr="008B3377">
        <w:rPr>
          <w:lang w:val="ru-RU"/>
        </w:rPr>
        <w:t>) выше;</w:t>
      </w:r>
      <w:r w:rsidR="000B6F3B" w:rsidRPr="008B3377">
        <w:rPr>
          <w:lang w:val="ru-RU"/>
        </w:rPr>
        <w:t xml:space="preserve"> </w:t>
      </w:r>
    </w:p>
    <w:p w14:paraId="5ECF6011" w14:textId="732BD7BF" w:rsidR="00194706" w:rsidRPr="008B3377" w:rsidRDefault="00E33015" w:rsidP="00194706">
      <w:pPr>
        <w:spacing w:after="120"/>
        <w:ind w:left="1170" w:right="1134" w:firstLine="540"/>
        <w:jc w:val="both"/>
        <w:rPr>
          <w:rStyle w:val="SingleTxtGChar"/>
          <w:rFonts w:eastAsia="Calibri"/>
          <w:lang w:val="ru-RU"/>
        </w:rPr>
      </w:pPr>
      <w:r w:rsidRPr="008B3377">
        <w:rPr>
          <w:lang w:val="ru-RU"/>
        </w:rPr>
        <w:t xml:space="preserve"> </w:t>
      </w:r>
      <w:r w:rsidR="00194706" w:rsidRPr="008B3377">
        <w:rPr>
          <w:lang w:val="ru-RU"/>
        </w:rPr>
        <w:t>(</w:t>
      </w:r>
      <w:r w:rsidR="00194706">
        <w:t>d</w:t>
      </w:r>
      <w:r w:rsidR="00194706" w:rsidRPr="008B3377">
        <w:rPr>
          <w:lang w:val="ru-RU"/>
        </w:rPr>
        <w:t xml:space="preserve">) </w:t>
      </w:r>
      <w:r w:rsidR="00194706" w:rsidRPr="008B3377">
        <w:rPr>
          <w:lang w:val="ru-RU"/>
        </w:rPr>
        <w:tab/>
      </w:r>
      <w:r w:rsidR="008B3377" w:rsidRPr="008B3377">
        <w:rPr>
          <w:rStyle w:val="SingleTxtGChar"/>
          <w:rFonts w:eastAsia="Calibri"/>
          <w:lang w:val="ru-RU"/>
        </w:rPr>
        <w:t xml:space="preserve">К концу каждого года представлять Комитету по осуществлению доклад о </w:t>
      </w:r>
      <w:r w:rsidR="004B4F68">
        <w:rPr>
          <w:rStyle w:val="SingleTxtGChar"/>
          <w:rFonts w:eastAsia="Calibri"/>
          <w:lang w:val="ru-RU"/>
        </w:rPr>
        <w:t>шагах</w:t>
      </w:r>
      <w:r w:rsidR="008B3377" w:rsidRPr="008B3377">
        <w:rPr>
          <w:rStyle w:val="SingleTxtGChar"/>
          <w:rFonts w:eastAsia="Calibri"/>
          <w:lang w:val="ru-RU"/>
        </w:rPr>
        <w:t>, принятых для завершения трансграничной оценки воздействия на окружающую среду, обеспечивая, чтобы доклад содержал соответствующую подтверждающую информацию, включая копии переписки с соответствующими Сторонами</w:t>
      </w:r>
      <w:r w:rsidR="00194706" w:rsidRPr="008B3377">
        <w:rPr>
          <w:rStyle w:val="SingleTxtGChar"/>
          <w:rFonts w:eastAsia="Calibri"/>
          <w:lang w:val="ru-RU"/>
        </w:rPr>
        <w:t xml:space="preserve">. </w:t>
      </w:r>
    </w:p>
    <w:p w14:paraId="52A8C224" w14:textId="5D0905C3" w:rsidR="004E136D" w:rsidRPr="004E136D" w:rsidRDefault="00376ED4" w:rsidP="00194706">
      <w:pPr>
        <w:pStyle w:val="SingleTxtG"/>
        <w:ind w:firstLine="567"/>
        <w:rPr>
          <w:lang w:val="ru-RU"/>
        </w:rPr>
      </w:pPr>
      <w:r w:rsidRPr="004E136D">
        <w:rPr>
          <w:lang w:val="ru-RU"/>
        </w:rPr>
        <w:t>7</w:t>
      </w:r>
      <w:r w:rsidR="00194706" w:rsidRPr="004E136D">
        <w:rPr>
          <w:lang w:val="ru-RU"/>
        </w:rPr>
        <w:t>.</w:t>
      </w:r>
      <w:r w:rsidR="00194706" w:rsidRPr="004E136D">
        <w:rPr>
          <w:lang w:val="ru-RU"/>
        </w:rPr>
        <w:tab/>
      </w:r>
      <w:r w:rsidR="004E136D" w:rsidRPr="004E136D">
        <w:rPr>
          <w:i/>
          <w:iCs/>
          <w:lang w:val="ru-RU"/>
        </w:rPr>
        <w:t>просит</w:t>
      </w:r>
      <w:r w:rsidR="004E136D" w:rsidRPr="004E136D">
        <w:rPr>
          <w:lang w:val="ru-RU"/>
        </w:rPr>
        <w:t xml:space="preserve"> Комитет представить Совещанию Сторон Конвенции на его девятой сессии доклад о соблюдении Украиной требований в отношении продления срока эксплуатации </w:t>
      </w:r>
      <w:r w:rsidR="009513A3" w:rsidRPr="001321AF">
        <w:rPr>
          <w:iCs/>
          <w:lang w:val="ru-RU"/>
        </w:rPr>
        <w:t>1-го и 2</w:t>
      </w:r>
      <w:r w:rsidR="009513A3">
        <w:rPr>
          <w:iCs/>
          <w:lang w:val="ru-RU"/>
        </w:rPr>
        <w:t>-</w:t>
      </w:r>
      <w:r w:rsidR="009513A3" w:rsidRPr="001321AF">
        <w:rPr>
          <w:iCs/>
          <w:lang w:val="ru-RU"/>
        </w:rPr>
        <w:t>го реакторов</w:t>
      </w:r>
      <w:r w:rsidR="009513A3" w:rsidRPr="004E136D">
        <w:rPr>
          <w:lang w:val="ru-RU"/>
        </w:rPr>
        <w:t xml:space="preserve"> </w:t>
      </w:r>
      <w:r w:rsidR="004E136D" w:rsidRPr="004E136D">
        <w:rPr>
          <w:lang w:val="ru-RU"/>
        </w:rPr>
        <w:t>Ровенской атомной электростанции.</w:t>
      </w:r>
    </w:p>
    <w:p w14:paraId="64592F2A" w14:textId="77777777" w:rsidR="00194706" w:rsidRPr="009D2A30" w:rsidRDefault="00194706" w:rsidP="00194706">
      <w:pPr>
        <w:pStyle w:val="SingleTxtG"/>
        <w:ind w:firstLine="567"/>
        <w:rPr>
          <w:rStyle w:val="SingleTxtGChar"/>
          <w:lang w:val="ru-RU"/>
        </w:rPr>
        <w:sectPr w:rsidR="00194706" w:rsidRPr="009D2A30" w:rsidSect="00A2044C">
          <w:headerReference w:type="even" r:id="rId11"/>
          <w:headerReference w:type="default" r:id="rId12"/>
          <w:footerReference w:type="defaul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134" w:bottom="1134" w:left="1134" w:header="680" w:footer="567" w:gutter="0"/>
          <w:cols w:space="720"/>
          <w:titlePg/>
          <w:docGrid w:linePitch="272"/>
        </w:sectPr>
      </w:pPr>
    </w:p>
    <w:bookmarkEnd w:id="8"/>
    <w:p w14:paraId="4C735398" w14:textId="429CC9A6" w:rsidR="00B64C92" w:rsidRPr="002C15EB" w:rsidRDefault="00194706" w:rsidP="00194706">
      <w:pPr>
        <w:pStyle w:val="HChG"/>
        <w:spacing w:before="320" w:after="200"/>
        <w:rPr>
          <w:b w:val="0"/>
          <w:lang w:val="ru-RU"/>
        </w:rPr>
      </w:pPr>
      <w:r w:rsidRPr="009D2A30">
        <w:rPr>
          <w:lang w:val="ru-RU"/>
        </w:rPr>
        <w:lastRenderedPageBreak/>
        <w:tab/>
      </w:r>
      <w:r w:rsidR="00B64C92" w:rsidRPr="009D2A30">
        <w:rPr>
          <w:lang w:val="ru-RU"/>
        </w:rPr>
        <w:t xml:space="preserve">7. </w:t>
      </w:r>
      <w:r w:rsidR="00CF2DF3" w:rsidRPr="009D2A30">
        <w:rPr>
          <w:lang w:val="ru-RU"/>
        </w:rPr>
        <w:tab/>
      </w:r>
      <w:r w:rsidR="00123946">
        <w:rPr>
          <w:lang w:val="ru-RU"/>
        </w:rPr>
        <w:t>Проект</w:t>
      </w:r>
      <w:r w:rsidR="00123946" w:rsidRPr="002C15EB">
        <w:rPr>
          <w:lang w:val="ru-RU"/>
        </w:rPr>
        <w:t xml:space="preserve"> </w:t>
      </w:r>
      <w:r w:rsidR="00123946">
        <w:rPr>
          <w:lang w:val="ru-RU"/>
        </w:rPr>
        <w:t>решения</w:t>
      </w:r>
      <w:r w:rsidR="00B64C92" w:rsidRPr="002C15EB">
        <w:rPr>
          <w:lang w:val="ru-RU"/>
        </w:rPr>
        <w:t xml:space="preserve"> </w:t>
      </w:r>
      <w:r w:rsidR="00B64C92" w:rsidRPr="00505856">
        <w:t>I</w:t>
      </w:r>
      <w:r w:rsidR="00B64C92">
        <w:t>V</w:t>
      </w:r>
      <w:r w:rsidR="00B64C92" w:rsidRPr="002C15EB">
        <w:rPr>
          <w:lang w:val="ru-RU"/>
        </w:rPr>
        <w:t xml:space="preserve">/4 </w:t>
      </w:r>
      <w:r w:rsidR="00822027" w:rsidRPr="00822027">
        <w:rPr>
          <w:lang w:val="ru-RU"/>
        </w:rPr>
        <w:t>об общих вопросах соблюдения Протокола</w:t>
      </w:r>
      <w:r w:rsidR="00822027" w:rsidRPr="00521AC7">
        <w:rPr>
          <w:lang w:val="ru-RU"/>
        </w:rPr>
        <w:t xml:space="preserve"> </w:t>
      </w:r>
      <w:r w:rsidR="002C15EB">
        <w:rPr>
          <w:lang w:val="ru-RU"/>
        </w:rPr>
        <w:t xml:space="preserve"> </w:t>
      </w:r>
    </w:p>
    <w:p w14:paraId="7F5AD94A" w14:textId="79348372" w:rsidR="00B64C92" w:rsidRPr="00596E78" w:rsidRDefault="00B64C92" w:rsidP="00B64C92">
      <w:pPr>
        <w:spacing w:after="120"/>
        <w:ind w:left="1134" w:right="1134"/>
        <w:jc w:val="both"/>
        <w:rPr>
          <w:lang w:val="ru-RU"/>
        </w:rPr>
      </w:pPr>
      <w:r w:rsidRPr="002C15EB">
        <w:rPr>
          <w:lang w:val="ru-RU"/>
        </w:rPr>
        <w:tab/>
      </w:r>
      <w:r w:rsidR="00E630FB" w:rsidRPr="002C15EB">
        <w:rPr>
          <w:lang w:val="ru-RU"/>
        </w:rPr>
        <w:tab/>
      </w:r>
      <w:r w:rsidR="00596E78" w:rsidRPr="00596E78">
        <w:rPr>
          <w:i/>
          <w:iCs/>
          <w:lang w:val="ru-RU"/>
        </w:rPr>
        <w:t>Совещание Сторон Конвенции, действующее в качестве Совещания Сторон Протокола</w:t>
      </w:r>
      <w:r w:rsidR="00596E78">
        <w:rPr>
          <w:lang w:val="ru-RU"/>
        </w:rPr>
        <w:t>,</w:t>
      </w:r>
      <w:r w:rsidR="00596E78" w:rsidRPr="00596E78">
        <w:rPr>
          <w:lang w:val="ru-RU"/>
        </w:rPr>
        <w:t xml:space="preserve"> </w:t>
      </w:r>
    </w:p>
    <w:p w14:paraId="3438FBB8" w14:textId="0E89729D" w:rsidR="009E4EFD" w:rsidRPr="002E51FB" w:rsidRDefault="00E630FB" w:rsidP="00B64C92">
      <w:pPr>
        <w:spacing w:after="120"/>
        <w:ind w:left="1134" w:right="1134"/>
        <w:jc w:val="both"/>
        <w:rPr>
          <w:lang w:val="ru-RU"/>
        </w:rPr>
      </w:pPr>
      <w:r w:rsidRPr="00596E78">
        <w:rPr>
          <w:lang w:val="ru-RU"/>
        </w:rPr>
        <w:tab/>
      </w:r>
      <w:r w:rsidR="009E4EFD">
        <w:rPr>
          <w:lang w:val="ru-RU"/>
        </w:rPr>
        <w:tab/>
      </w:r>
      <w:r w:rsidR="009E4EFD" w:rsidRPr="00FC4C20">
        <w:rPr>
          <w:rStyle w:val="Emphasis"/>
          <w:lang w:val="ru-RU"/>
        </w:rPr>
        <w:t>ссылаясь</w:t>
      </w:r>
      <w:r w:rsidR="009E4EFD" w:rsidRPr="00FC4C20">
        <w:rPr>
          <w:lang w:val="ru-RU"/>
        </w:rPr>
        <w:t xml:space="preserve"> на пункт</w:t>
      </w:r>
      <w:r w:rsidR="009E4EFD">
        <w:rPr>
          <w:lang w:val="ru-RU"/>
        </w:rPr>
        <w:t xml:space="preserve"> </w:t>
      </w:r>
      <w:r w:rsidR="009E4EFD" w:rsidRPr="00FC4C20">
        <w:rPr>
          <w:lang w:val="ru-RU"/>
        </w:rPr>
        <w:t>6</w:t>
      </w:r>
      <w:r w:rsidR="002E51FB">
        <w:rPr>
          <w:lang w:val="ru-RU"/>
        </w:rPr>
        <w:t xml:space="preserve"> </w:t>
      </w:r>
      <w:r w:rsidR="002E51FB" w:rsidRPr="00FC4C20">
        <w:rPr>
          <w:lang w:val="ru-RU"/>
        </w:rPr>
        <w:t>статьи</w:t>
      </w:r>
      <w:r w:rsidR="002E51FB">
        <w:rPr>
          <w:lang w:val="ru-RU"/>
        </w:rPr>
        <w:t xml:space="preserve"> 14</w:t>
      </w:r>
      <w:r w:rsidR="00FC4C20">
        <w:rPr>
          <w:lang w:val="ru-RU"/>
        </w:rPr>
        <w:t xml:space="preserve"> </w:t>
      </w:r>
      <w:r w:rsidR="00FC4C20" w:rsidRPr="00FC4C20">
        <w:rPr>
          <w:lang w:val="ru-RU"/>
        </w:rPr>
        <w:t>Протокола по стратегической экологической оценке к Конвенции об оценке воздействия на окружающую среду в трансграничном контексте,</w:t>
      </w:r>
    </w:p>
    <w:p w14:paraId="6C1F0763" w14:textId="005E922F" w:rsidR="00FC4C20" w:rsidRPr="00095420" w:rsidRDefault="006E0361" w:rsidP="00B64C92">
      <w:pPr>
        <w:spacing w:after="120"/>
        <w:ind w:left="1134" w:right="1134"/>
        <w:jc w:val="both"/>
        <w:rPr>
          <w:iCs/>
          <w:lang w:val="ru-RU"/>
        </w:rPr>
      </w:pPr>
      <w:r w:rsidRPr="009D2A30">
        <w:rPr>
          <w:i/>
          <w:lang w:val="ru-RU"/>
        </w:rPr>
        <w:tab/>
      </w:r>
      <w:r w:rsidR="00E630FB" w:rsidRPr="009D2A30">
        <w:rPr>
          <w:i/>
          <w:lang w:val="ru-RU"/>
        </w:rPr>
        <w:tab/>
      </w:r>
      <w:r w:rsidR="00095420" w:rsidRPr="00095420">
        <w:rPr>
          <w:i/>
          <w:lang w:val="ru-RU"/>
        </w:rPr>
        <w:t xml:space="preserve">ссылаясь также </w:t>
      </w:r>
      <w:r w:rsidR="00095420" w:rsidRPr="00095420">
        <w:rPr>
          <w:iCs/>
          <w:lang w:val="ru-RU"/>
        </w:rPr>
        <w:t xml:space="preserve">на решение </w:t>
      </w:r>
      <w:r w:rsidR="00095420" w:rsidRPr="00095420">
        <w:rPr>
          <w:iCs/>
        </w:rPr>
        <w:t>V</w:t>
      </w:r>
      <w:r w:rsidR="00095420" w:rsidRPr="00095420">
        <w:rPr>
          <w:iCs/>
          <w:lang w:val="ru-RU"/>
        </w:rPr>
        <w:t>/6-</w:t>
      </w:r>
      <w:r w:rsidR="00095420" w:rsidRPr="00095420">
        <w:rPr>
          <w:iCs/>
        </w:rPr>
        <w:t>I</w:t>
      </w:r>
      <w:r w:rsidR="00095420" w:rsidRPr="00095420">
        <w:rPr>
          <w:iCs/>
          <w:lang w:val="ru-RU"/>
        </w:rPr>
        <w:t xml:space="preserve">/6 Совещания Сторон Конвенции и Совещания Сторон Конвенции, действующего в качестве Совещания Сторон Протокола, относительно применения процедуры соблюдения Конвенции к Протоколу, и решения </w:t>
      </w:r>
      <w:r w:rsidR="00095420" w:rsidRPr="00095420">
        <w:rPr>
          <w:iCs/>
        </w:rPr>
        <w:t>II</w:t>
      </w:r>
      <w:r w:rsidR="00095420" w:rsidRPr="00095420">
        <w:rPr>
          <w:iCs/>
          <w:lang w:val="ru-RU"/>
        </w:rPr>
        <w:t xml:space="preserve">/2 и </w:t>
      </w:r>
      <w:r w:rsidR="00095420" w:rsidRPr="00095420">
        <w:rPr>
          <w:iCs/>
        </w:rPr>
        <w:t>III</w:t>
      </w:r>
      <w:r w:rsidR="00095420" w:rsidRPr="00095420">
        <w:rPr>
          <w:iCs/>
          <w:lang w:val="ru-RU"/>
        </w:rPr>
        <w:t>/2 о рассмотрении соблюдения Протокола,</w:t>
      </w:r>
    </w:p>
    <w:p w14:paraId="007F7B87" w14:textId="14ED6B1C" w:rsidR="00CE233A" w:rsidRPr="00CE233A" w:rsidRDefault="00E630FB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="00B64C92" w:rsidRPr="009D2A30">
        <w:rPr>
          <w:lang w:val="ru-RU"/>
        </w:rPr>
        <w:tab/>
      </w:r>
      <w:r w:rsidR="00CE233A" w:rsidRPr="00F33FB7">
        <w:rPr>
          <w:i/>
          <w:iCs/>
          <w:lang w:val="ru-RU"/>
        </w:rPr>
        <w:t>преисполнен</w:t>
      </w:r>
      <w:r w:rsidR="00521AC7">
        <w:rPr>
          <w:i/>
          <w:iCs/>
          <w:lang w:val="ru-RU"/>
        </w:rPr>
        <w:t>ое</w:t>
      </w:r>
      <w:r w:rsidR="00CE233A" w:rsidRPr="00F33FB7">
        <w:rPr>
          <w:i/>
          <w:iCs/>
          <w:lang w:val="ru-RU"/>
        </w:rPr>
        <w:t xml:space="preserve"> решимости</w:t>
      </w:r>
      <w:r w:rsidR="00CE233A" w:rsidRPr="00CE233A">
        <w:rPr>
          <w:lang w:val="ru-RU"/>
        </w:rPr>
        <w:t xml:space="preserve"> поощрять и совершенствовать соблюдение Протокола, </w:t>
      </w:r>
    </w:p>
    <w:p w14:paraId="53540A6A" w14:textId="7332C937" w:rsidR="00F33FB7" w:rsidRPr="00521AC7" w:rsidRDefault="00B64C92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="00E630FB" w:rsidRPr="009D2A30">
        <w:rPr>
          <w:lang w:val="ru-RU"/>
        </w:rPr>
        <w:tab/>
      </w:r>
      <w:r w:rsidR="00F33FB7" w:rsidRPr="00521AC7">
        <w:rPr>
          <w:i/>
          <w:iCs/>
          <w:lang w:val="ru-RU"/>
        </w:rPr>
        <w:t xml:space="preserve">стремясь </w:t>
      </w:r>
      <w:r w:rsidR="00F33FB7" w:rsidRPr="00521AC7">
        <w:rPr>
          <w:lang w:val="ru-RU"/>
        </w:rPr>
        <w:t xml:space="preserve">содействовать выявлению </w:t>
      </w:r>
      <w:r w:rsidR="00654CEF" w:rsidRPr="00521AC7">
        <w:rPr>
          <w:lang w:val="ru-RU"/>
        </w:rPr>
        <w:t xml:space="preserve">на раннем этапе </w:t>
      </w:r>
      <w:r w:rsidR="00F33FB7" w:rsidRPr="00521AC7">
        <w:rPr>
          <w:lang w:val="ru-RU"/>
        </w:rPr>
        <w:t>трудностей в области соблюдения, с которыми сталкиваются Стороны, и принятию наиболее приемлемых и эффективных решений для преодоления этих трудностей,</w:t>
      </w:r>
    </w:p>
    <w:p w14:paraId="6B99FCEF" w14:textId="780F3555" w:rsidR="00B606DD" w:rsidRPr="00521AC7" w:rsidRDefault="00B64C92" w:rsidP="00B64C92">
      <w:pPr>
        <w:spacing w:after="120"/>
        <w:ind w:left="1134" w:right="1134"/>
        <w:jc w:val="both"/>
        <w:rPr>
          <w:i/>
          <w:lang w:val="ru-RU"/>
        </w:rPr>
      </w:pPr>
      <w:r w:rsidRPr="00A61520">
        <w:rPr>
          <w:i/>
          <w:lang w:val="ru-RU"/>
        </w:rPr>
        <w:tab/>
      </w:r>
      <w:r w:rsidR="00E630FB" w:rsidRPr="00A61520">
        <w:rPr>
          <w:i/>
          <w:lang w:val="ru-RU"/>
        </w:rPr>
        <w:tab/>
      </w:r>
      <w:r w:rsidR="00B606DD" w:rsidRPr="00A61520">
        <w:rPr>
          <w:i/>
          <w:lang w:val="ru-RU"/>
        </w:rPr>
        <w:t xml:space="preserve">рассмотрев </w:t>
      </w:r>
      <w:r w:rsidR="00B606DD" w:rsidRPr="00A61520">
        <w:rPr>
          <w:iCs/>
          <w:lang w:val="ru-RU"/>
        </w:rPr>
        <w:t xml:space="preserve">структуру и функции Комитета по осуществлению в </w:t>
      </w:r>
      <w:r w:rsidR="007D498A" w:rsidRPr="00A61520">
        <w:rPr>
          <w:iCs/>
          <w:lang w:val="ru-RU"/>
        </w:rPr>
        <w:t>рамках</w:t>
      </w:r>
      <w:r w:rsidR="009176E9" w:rsidRPr="00A61520">
        <w:rPr>
          <w:iCs/>
          <w:lang w:val="ru-RU"/>
        </w:rPr>
        <w:t xml:space="preserve"> двух </w:t>
      </w:r>
      <w:r w:rsidR="00B606DD" w:rsidRPr="00A61520">
        <w:rPr>
          <w:iCs/>
          <w:lang w:val="ru-RU"/>
        </w:rPr>
        <w:t>договор</w:t>
      </w:r>
      <w:r w:rsidR="009176E9" w:rsidRPr="00A61520">
        <w:rPr>
          <w:iCs/>
          <w:lang w:val="ru-RU"/>
        </w:rPr>
        <w:t>ов</w:t>
      </w:r>
      <w:r w:rsidR="00B606DD" w:rsidRPr="00A61520">
        <w:rPr>
          <w:iCs/>
          <w:lang w:val="ru-RU"/>
        </w:rPr>
        <w:t>, принятые Совещанием Сторон Конвенции в его решениях</w:t>
      </w:r>
      <w:r w:rsidR="00830159" w:rsidRPr="00A61520">
        <w:rPr>
          <w:lang w:val="ru-RU"/>
        </w:rPr>
        <w:t xml:space="preserve"> </w:t>
      </w:r>
      <w:r w:rsidR="00830159" w:rsidRPr="00A61520">
        <w:t>III</w:t>
      </w:r>
      <w:r w:rsidR="00830159" w:rsidRPr="00A61520">
        <w:rPr>
          <w:lang w:val="ru-RU"/>
        </w:rPr>
        <w:t>/2</w:t>
      </w:r>
      <w:r w:rsidR="00830159" w:rsidRPr="00521AC7">
        <w:rPr>
          <w:vertAlign w:val="superscript"/>
        </w:rPr>
        <w:footnoteReference w:id="38"/>
      </w:r>
      <w:r w:rsidR="00830159" w:rsidRPr="00521AC7">
        <w:rPr>
          <w:vertAlign w:val="superscript"/>
          <w:lang w:val="ru-RU"/>
        </w:rPr>
        <w:t xml:space="preserve"> </w:t>
      </w:r>
      <w:r w:rsidR="00830159" w:rsidRPr="00521AC7">
        <w:t>and</w:t>
      </w:r>
      <w:r w:rsidR="00830159" w:rsidRPr="00521AC7">
        <w:rPr>
          <w:lang w:val="ru-RU"/>
        </w:rPr>
        <w:t xml:space="preserve"> </w:t>
      </w:r>
      <w:r w:rsidR="00830159" w:rsidRPr="00521AC7">
        <w:t>VI</w:t>
      </w:r>
      <w:r w:rsidR="00830159" w:rsidRPr="00521AC7">
        <w:rPr>
          <w:lang w:val="ru-RU"/>
        </w:rPr>
        <w:t>/2,</w:t>
      </w:r>
      <w:r w:rsidR="00830159" w:rsidRPr="00521AC7">
        <w:rPr>
          <w:vertAlign w:val="superscript"/>
        </w:rPr>
        <w:footnoteReference w:id="39"/>
      </w:r>
    </w:p>
    <w:p w14:paraId="446A0B1D" w14:textId="7D8770FF" w:rsidR="00B64C92" w:rsidRPr="00521AC7" w:rsidRDefault="001231FC" w:rsidP="001231FC">
      <w:pPr>
        <w:spacing w:after="120"/>
        <w:ind w:left="1134" w:right="1134" w:firstLine="567"/>
        <w:jc w:val="both"/>
        <w:rPr>
          <w:i/>
          <w:iCs/>
          <w:lang w:val="ru-RU"/>
        </w:rPr>
      </w:pPr>
      <w:r w:rsidRPr="00521AC7">
        <w:rPr>
          <w:i/>
          <w:iCs/>
          <w:lang w:val="ru-RU"/>
        </w:rPr>
        <w:t xml:space="preserve">рассмотрев также </w:t>
      </w:r>
      <w:r w:rsidRPr="00521AC7">
        <w:rPr>
          <w:lang w:val="ru-RU"/>
        </w:rPr>
        <w:t>рабочие правила, принятые решением</w:t>
      </w:r>
      <w:r w:rsidRPr="00521AC7">
        <w:rPr>
          <w:i/>
          <w:iCs/>
          <w:lang w:val="ru-RU"/>
        </w:rPr>
        <w:t xml:space="preserve"> </w:t>
      </w:r>
      <w:r w:rsidR="00B64C92" w:rsidRPr="00521AC7">
        <w:t>IV</w:t>
      </w:r>
      <w:r w:rsidR="00B64C92" w:rsidRPr="00521AC7">
        <w:rPr>
          <w:lang w:val="ru-RU"/>
        </w:rPr>
        <w:t>/2,</w:t>
      </w:r>
      <w:r w:rsidR="00B64C92" w:rsidRPr="00521AC7">
        <w:rPr>
          <w:sz w:val="18"/>
          <w:vertAlign w:val="superscript"/>
        </w:rPr>
        <w:footnoteReference w:id="40"/>
      </w:r>
      <w:r w:rsidR="00B64C92" w:rsidRPr="00521AC7">
        <w:rPr>
          <w:lang w:val="ru-RU"/>
        </w:rPr>
        <w:t xml:space="preserve"> </w:t>
      </w:r>
      <w:r w:rsidR="00F144A1" w:rsidRPr="00521AC7">
        <w:rPr>
          <w:lang w:val="ru-RU"/>
        </w:rPr>
        <w:t xml:space="preserve">с поправками, </w:t>
      </w:r>
      <w:r w:rsidR="00F5497C" w:rsidRPr="00521AC7">
        <w:rPr>
          <w:lang w:val="ru-RU"/>
        </w:rPr>
        <w:t>внесёнными</w:t>
      </w:r>
      <w:r w:rsidR="00F144A1" w:rsidRPr="00521AC7">
        <w:rPr>
          <w:lang w:val="ru-RU"/>
        </w:rPr>
        <w:t xml:space="preserve"> его решениями </w:t>
      </w:r>
      <w:r w:rsidR="00B64C92" w:rsidRPr="00521AC7">
        <w:t>V</w:t>
      </w:r>
      <w:r w:rsidR="00B64C92" w:rsidRPr="00521AC7">
        <w:rPr>
          <w:lang w:val="ru-RU"/>
        </w:rPr>
        <w:t>/4,</w:t>
      </w:r>
      <w:r w:rsidR="00B64C92" w:rsidRPr="00521AC7">
        <w:rPr>
          <w:sz w:val="18"/>
          <w:vertAlign w:val="superscript"/>
        </w:rPr>
        <w:footnoteReference w:id="41"/>
      </w:r>
      <w:r w:rsidR="00B64C92" w:rsidRPr="00521AC7">
        <w:rPr>
          <w:lang w:val="ru-RU"/>
        </w:rPr>
        <w:t xml:space="preserve"> </w:t>
      </w:r>
      <w:r w:rsidR="00090884" w:rsidRPr="00521AC7">
        <w:rPr>
          <w:lang w:val="ru-RU"/>
        </w:rPr>
        <w:t>приложение, и решением</w:t>
      </w:r>
      <w:r w:rsidR="00B64C92" w:rsidRPr="00521AC7">
        <w:rPr>
          <w:lang w:val="ru-RU"/>
        </w:rPr>
        <w:t xml:space="preserve"> </w:t>
      </w:r>
      <w:r w:rsidR="00B64C92" w:rsidRPr="00521AC7">
        <w:t>VI</w:t>
      </w:r>
      <w:r w:rsidR="00B64C92" w:rsidRPr="00521AC7">
        <w:rPr>
          <w:lang w:val="ru-RU"/>
        </w:rPr>
        <w:t>/2,</w:t>
      </w:r>
      <w:r w:rsidR="00B64C92" w:rsidRPr="00521AC7">
        <w:rPr>
          <w:sz w:val="18"/>
          <w:vertAlign w:val="superscript"/>
        </w:rPr>
        <w:footnoteReference w:id="42"/>
      </w:r>
      <w:r w:rsidR="00B64C92" w:rsidRPr="00521AC7">
        <w:rPr>
          <w:lang w:val="ru-RU"/>
        </w:rPr>
        <w:t xml:space="preserve"> </w:t>
      </w:r>
      <w:r w:rsidR="00F5497C" w:rsidRPr="00521AC7">
        <w:rPr>
          <w:lang w:val="ru-RU"/>
        </w:rPr>
        <w:t xml:space="preserve">приложение </w:t>
      </w:r>
      <w:r w:rsidR="00B64C92" w:rsidRPr="00521AC7">
        <w:rPr>
          <w:lang w:val="ru-RU"/>
        </w:rPr>
        <w:t xml:space="preserve"> </w:t>
      </w:r>
      <w:r w:rsidR="00B64C92" w:rsidRPr="00521AC7">
        <w:t>II</w:t>
      </w:r>
      <w:r w:rsidR="00B64C92" w:rsidRPr="00521AC7">
        <w:rPr>
          <w:lang w:val="ru-RU"/>
        </w:rPr>
        <w:t xml:space="preserve">, </w:t>
      </w:r>
      <w:r w:rsidR="00F5497C" w:rsidRPr="00521AC7">
        <w:rPr>
          <w:lang w:val="ru-RU"/>
        </w:rPr>
        <w:t>и признавая важность повышения эффективности механизма соблюдения в рамках Конвенции с учетом растущего числа и сложности вопросов соблюдения, представляемых на рассмотрение Комитета,</w:t>
      </w:r>
    </w:p>
    <w:p w14:paraId="5315FEA5" w14:textId="7E5E3E16" w:rsidR="005259ED" w:rsidRPr="005259ED" w:rsidRDefault="00B64C92" w:rsidP="00B64C92">
      <w:pPr>
        <w:spacing w:after="120"/>
        <w:ind w:left="1134" w:right="1134"/>
        <w:jc w:val="both"/>
        <w:rPr>
          <w:lang w:val="ru-RU"/>
        </w:rPr>
      </w:pPr>
      <w:r w:rsidRPr="00A61520">
        <w:rPr>
          <w:lang w:val="ru-RU"/>
        </w:rPr>
        <w:tab/>
      </w:r>
      <w:r w:rsidR="00E630FB" w:rsidRPr="00A61520">
        <w:rPr>
          <w:lang w:val="ru-RU"/>
        </w:rPr>
        <w:tab/>
      </w:r>
      <w:r w:rsidR="005259ED" w:rsidRPr="00A61520">
        <w:rPr>
          <w:i/>
          <w:iCs/>
          <w:lang w:val="ru-RU"/>
        </w:rPr>
        <w:t>признавая</w:t>
      </w:r>
      <w:r w:rsidR="005259ED" w:rsidRPr="00A61520">
        <w:rPr>
          <w:lang w:val="ru-RU"/>
        </w:rPr>
        <w:t xml:space="preserve"> важность </w:t>
      </w:r>
      <w:r w:rsidR="00654CEF" w:rsidRPr="00A61520">
        <w:rPr>
          <w:lang w:val="ru-RU"/>
        </w:rPr>
        <w:t xml:space="preserve">неукоснительного </w:t>
      </w:r>
      <w:r w:rsidR="005259ED" w:rsidRPr="00521AC7">
        <w:rPr>
          <w:highlight w:val="yellow"/>
          <w:lang w:val="ru-RU"/>
        </w:rPr>
        <w:t>представления</w:t>
      </w:r>
      <w:r w:rsidR="005259ED" w:rsidRPr="00521AC7">
        <w:rPr>
          <w:lang w:val="ru-RU"/>
        </w:rPr>
        <w:t xml:space="preserve"> Сторонами отчетности о соблюдении ими Протокола и отмечая третий обзор осуществления</w:t>
      </w:r>
      <w:r w:rsidR="005259ED" w:rsidRPr="005259ED">
        <w:rPr>
          <w:lang w:val="ru-RU"/>
        </w:rPr>
        <w:t xml:space="preserve"> Протокола на основе ответов Сторон на вопросники об осуществлении Конвенции и Протокола, </w:t>
      </w:r>
      <w:r w:rsidR="005259ED" w:rsidRPr="00B66EBA">
        <w:rPr>
          <w:lang w:val="ru-RU"/>
        </w:rPr>
        <w:t>в соответствии с е</w:t>
      </w:r>
      <w:r w:rsidR="00A70F37" w:rsidRPr="00B66EBA">
        <w:rPr>
          <w:lang w:val="ru-RU"/>
        </w:rPr>
        <w:t>го</w:t>
      </w:r>
      <w:r w:rsidR="005259ED" w:rsidRPr="00B66EBA">
        <w:rPr>
          <w:lang w:val="ru-RU"/>
        </w:rPr>
        <w:t xml:space="preserve"> решением VI/5,</w:t>
      </w:r>
    </w:p>
    <w:p w14:paraId="7D4319B1" w14:textId="2D8B0DE4" w:rsidR="00471F87" w:rsidRPr="00471F87" w:rsidRDefault="00B64C92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="00471F87" w:rsidRPr="009D2A30">
        <w:rPr>
          <w:lang w:val="ru-RU"/>
        </w:rPr>
        <w:tab/>
      </w:r>
      <w:r w:rsidR="00471F87">
        <w:rPr>
          <w:lang w:val="ru-RU"/>
        </w:rPr>
        <w:t>ссылаясь на то</w:t>
      </w:r>
      <w:r w:rsidR="00471F87" w:rsidRPr="00471F87">
        <w:rPr>
          <w:lang w:val="ru-RU"/>
        </w:rPr>
        <w:t xml:space="preserve">, что процедура соблюдения </w:t>
      </w:r>
      <w:r w:rsidR="00471F87" w:rsidRPr="00B66EBA">
        <w:rPr>
          <w:lang w:val="ru-RU"/>
        </w:rPr>
        <w:t xml:space="preserve">ориентирована на оказание </w:t>
      </w:r>
      <w:r w:rsidR="008B1EAF" w:rsidRPr="00B66EBA">
        <w:rPr>
          <w:lang w:val="ru-RU"/>
        </w:rPr>
        <w:t>поддержки</w:t>
      </w:r>
      <w:r w:rsidR="00471F87" w:rsidRPr="00471F87">
        <w:rPr>
          <w:lang w:val="ru-RU"/>
        </w:rPr>
        <w:t xml:space="preserve"> и что Стороны могут направлять представления Комитету по осуществлению по вопросам, касающимся соблюдения ими Протокола,</w:t>
      </w:r>
      <w:r w:rsidR="00E630FB" w:rsidRPr="00471F87">
        <w:rPr>
          <w:lang w:val="ru-RU"/>
        </w:rPr>
        <w:tab/>
      </w:r>
    </w:p>
    <w:p w14:paraId="103144E7" w14:textId="5C41EA41" w:rsidR="00175504" w:rsidRPr="009D2A30" w:rsidRDefault="00175504" w:rsidP="00B64C92">
      <w:pPr>
        <w:pStyle w:val="SingleTxtG"/>
        <w:ind w:firstLine="567"/>
        <w:rPr>
          <w:lang w:val="ru-RU"/>
        </w:rPr>
      </w:pPr>
      <w:r w:rsidRPr="00175504">
        <w:rPr>
          <w:i/>
          <w:iCs/>
          <w:lang w:val="ru-RU"/>
        </w:rPr>
        <w:t xml:space="preserve">отмечая, </w:t>
      </w:r>
      <w:r w:rsidRPr="00175504">
        <w:rPr>
          <w:lang w:val="ru-RU"/>
        </w:rPr>
        <w:t>что ряд вопросов соблюдения, находящихся на рассмотрении Комитета, каса</w:t>
      </w:r>
      <w:r w:rsidR="009D0F02">
        <w:rPr>
          <w:lang w:val="ru-RU"/>
        </w:rPr>
        <w:t>лись</w:t>
      </w:r>
      <w:r w:rsidRPr="00175504">
        <w:rPr>
          <w:lang w:val="ru-RU"/>
        </w:rPr>
        <w:t xml:space="preserve"> или выявил</w:t>
      </w:r>
      <w:r w:rsidR="009D0F02">
        <w:rPr>
          <w:lang w:val="ru-RU"/>
        </w:rPr>
        <w:t>и</w:t>
      </w:r>
      <w:r w:rsidRPr="00175504">
        <w:rPr>
          <w:lang w:val="ru-RU"/>
        </w:rPr>
        <w:t xml:space="preserve"> недостатки в национальном законодательстве соответствующих Сторон по осуществлению </w:t>
      </w:r>
      <w:r w:rsidRPr="009D2A30">
        <w:rPr>
          <w:lang w:val="ru-RU"/>
        </w:rPr>
        <w:t>Конвенции и/или Протокола,</w:t>
      </w:r>
    </w:p>
    <w:p w14:paraId="6A173944" w14:textId="3B2081FF" w:rsidR="00CB6578" w:rsidRPr="00CB6578" w:rsidRDefault="00CB6578" w:rsidP="00B64C92">
      <w:pPr>
        <w:pStyle w:val="SingleTxtG"/>
        <w:ind w:firstLine="567"/>
        <w:rPr>
          <w:lang w:val="ru-RU"/>
        </w:rPr>
      </w:pPr>
      <w:r w:rsidRPr="00CB6578">
        <w:rPr>
          <w:i/>
          <w:iCs/>
          <w:lang w:val="ru-RU"/>
        </w:rPr>
        <w:t xml:space="preserve">отмечая </w:t>
      </w:r>
      <w:r w:rsidRPr="00CB6578">
        <w:rPr>
          <w:lang w:val="ru-RU"/>
        </w:rPr>
        <w:t>долгосрочную техническую помощь секретариата странам Восточной Европы, Кавказа и Центральной Азии, финансируемую донорами, в приведении их законодательства в соответствие с Конвенцией и Протоколом, и призывая страны-бенефициары привести свое законодательство в полное соответствие с этими двумя договорами и, если они еще не являются Сторонами, ратифицировать их,</w:t>
      </w:r>
    </w:p>
    <w:p w14:paraId="74F90DDB" w14:textId="4B4A2342" w:rsidR="00B64C92" w:rsidRPr="00494422" w:rsidRDefault="00B64C92" w:rsidP="00494422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lastRenderedPageBreak/>
        <w:tab/>
      </w:r>
      <w:r w:rsidR="00E630FB" w:rsidRPr="009D2A30">
        <w:rPr>
          <w:lang w:val="ru-RU"/>
        </w:rPr>
        <w:tab/>
      </w:r>
      <w:r w:rsidRPr="00494422">
        <w:rPr>
          <w:lang w:val="ru-RU"/>
        </w:rPr>
        <w:t>1.</w:t>
      </w:r>
      <w:r w:rsidRPr="00494422">
        <w:rPr>
          <w:lang w:val="ru-RU"/>
        </w:rPr>
        <w:tab/>
      </w:r>
      <w:r w:rsidR="00494422" w:rsidRPr="00494422">
        <w:rPr>
          <w:i/>
          <w:iCs/>
          <w:lang w:val="ru-RU"/>
        </w:rPr>
        <w:t>утверждает</w:t>
      </w:r>
      <w:r w:rsidR="00494422" w:rsidRPr="00494422">
        <w:rPr>
          <w:lang w:val="ru-RU"/>
        </w:rPr>
        <w:t xml:space="preserve"> доклад Комитета по осуществлению о его деятельности, содержащийся в документе</w:t>
      </w:r>
      <w:r w:rsidR="00494422">
        <w:rPr>
          <w:lang w:val="ru-RU"/>
        </w:rPr>
        <w:t xml:space="preserve"> </w:t>
      </w:r>
      <w:r w:rsidRPr="00505856">
        <w:t>ECE</w:t>
      </w:r>
      <w:r w:rsidRPr="00494422">
        <w:rPr>
          <w:lang w:val="ru-RU"/>
        </w:rPr>
        <w:t>/</w:t>
      </w:r>
      <w:r w:rsidRPr="00505856">
        <w:t>MP</w:t>
      </w:r>
      <w:r w:rsidRPr="00494422">
        <w:rPr>
          <w:lang w:val="ru-RU"/>
        </w:rPr>
        <w:t>.</w:t>
      </w:r>
      <w:r w:rsidRPr="00505856">
        <w:t>EIA</w:t>
      </w:r>
      <w:r w:rsidRPr="00494422">
        <w:rPr>
          <w:lang w:val="ru-RU"/>
        </w:rPr>
        <w:t>/2020/[…]–</w:t>
      </w:r>
      <w:r w:rsidRPr="00505856">
        <w:t>ECE</w:t>
      </w:r>
      <w:r w:rsidRPr="00494422">
        <w:rPr>
          <w:lang w:val="ru-RU"/>
        </w:rPr>
        <w:t>/</w:t>
      </w:r>
      <w:r w:rsidRPr="00505856">
        <w:t>MP</w:t>
      </w:r>
      <w:r w:rsidRPr="00494422">
        <w:rPr>
          <w:lang w:val="ru-RU"/>
        </w:rPr>
        <w:t>.</w:t>
      </w:r>
      <w:r w:rsidRPr="00505856">
        <w:t>EIA</w:t>
      </w:r>
      <w:r w:rsidRPr="00494422">
        <w:rPr>
          <w:lang w:val="ru-RU"/>
        </w:rPr>
        <w:t>/</w:t>
      </w:r>
      <w:r w:rsidRPr="00505856">
        <w:t>SEA</w:t>
      </w:r>
      <w:r w:rsidRPr="00494422">
        <w:rPr>
          <w:lang w:val="ru-RU"/>
        </w:rPr>
        <w:t>/2020/[…];</w:t>
      </w:r>
    </w:p>
    <w:p w14:paraId="0850A771" w14:textId="77777777" w:rsidR="00517DCD" w:rsidRDefault="00B64C92" w:rsidP="00B64C92">
      <w:pPr>
        <w:spacing w:after="120"/>
        <w:ind w:left="1134" w:right="1134"/>
        <w:jc w:val="both"/>
        <w:rPr>
          <w:lang w:val="ru-RU"/>
        </w:rPr>
      </w:pPr>
      <w:r w:rsidRPr="00494422">
        <w:rPr>
          <w:lang w:val="ru-RU"/>
        </w:rPr>
        <w:tab/>
      </w:r>
      <w:r w:rsidR="00E630FB" w:rsidRPr="00494422">
        <w:rPr>
          <w:lang w:val="ru-RU"/>
        </w:rPr>
        <w:tab/>
      </w:r>
      <w:r w:rsidRPr="00517DCD">
        <w:rPr>
          <w:lang w:val="ru-RU"/>
        </w:rPr>
        <w:t>2.</w:t>
      </w:r>
      <w:r w:rsidRPr="00517DCD">
        <w:rPr>
          <w:lang w:val="ru-RU"/>
        </w:rPr>
        <w:tab/>
      </w:r>
      <w:r w:rsidR="00517DCD" w:rsidRPr="00517DCD">
        <w:rPr>
          <w:i/>
          <w:iCs/>
          <w:lang w:val="ru-RU"/>
        </w:rPr>
        <w:t xml:space="preserve">приветствует </w:t>
      </w:r>
      <w:r w:rsidR="00517DCD" w:rsidRPr="00517DCD">
        <w:rPr>
          <w:lang w:val="ru-RU"/>
        </w:rPr>
        <w:t>доклады Комитета о работе его сессий в период после третьей сессии Совещания Сторон Конвенции, действующего в качестве Совещания Сторон Протокола;</w:t>
      </w:r>
    </w:p>
    <w:p w14:paraId="64F433A3" w14:textId="77777777" w:rsidR="00BD496E" w:rsidRPr="009D2A30" w:rsidRDefault="00B64C92" w:rsidP="00BD496E">
      <w:pPr>
        <w:spacing w:after="120"/>
        <w:ind w:left="1134" w:right="1134"/>
        <w:jc w:val="both"/>
        <w:rPr>
          <w:iCs/>
          <w:lang w:val="ru-RU"/>
        </w:rPr>
      </w:pPr>
      <w:r w:rsidRPr="009D2A30">
        <w:rPr>
          <w:i/>
          <w:lang w:val="ru-RU"/>
        </w:rPr>
        <w:tab/>
      </w:r>
      <w:r w:rsidR="00E630FB" w:rsidRPr="009D2A30">
        <w:rPr>
          <w:i/>
          <w:lang w:val="ru-RU"/>
        </w:rPr>
        <w:tab/>
      </w:r>
      <w:r w:rsidRPr="009D2A30">
        <w:rPr>
          <w:lang w:val="ru-RU"/>
        </w:rPr>
        <w:t>3.</w:t>
      </w:r>
      <w:r w:rsidRPr="009D2A30">
        <w:rPr>
          <w:lang w:val="ru-RU"/>
        </w:rPr>
        <w:tab/>
      </w:r>
      <w:r w:rsidR="00BD496E" w:rsidRPr="009D2A30">
        <w:rPr>
          <w:i/>
          <w:lang w:val="ru-RU"/>
        </w:rPr>
        <w:t xml:space="preserve">просит </w:t>
      </w:r>
      <w:r w:rsidR="00BD496E" w:rsidRPr="009D2A30">
        <w:rPr>
          <w:iCs/>
          <w:lang w:val="ru-RU"/>
        </w:rPr>
        <w:t>Комитет по осуществлению:</w:t>
      </w:r>
    </w:p>
    <w:p w14:paraId="04D7F09F" w14:textId="77777777" w:rsidR="00E81831" w:rsidRPr="00E81831" w:rsidRDefault="00B64C92" w:rsidP="00BD496E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="00E630FB" w:rsidRPr="009D2A30">
        <w:rPr>
          <w:lang w:val="ru-RU"/>
        </w:rPr>
        <w:tab/>
      </w:r>
      <w:r w:rsidRPr="00E81831">
        <w:rPr>
          <w:lang w:val="ru-RU"/>
        </w:rPr>
        <w:t>(</w:t>
      </w:r>
      <w:r w:rsidRPr="00505856">
        <w:t>a</w:t>
      </w:r>
      <w:r w:rsidRPr="00E81831">
        <w:rPr>
          <w:lang w:val="ru-RU"/>
        </w:rPr>
        <w:t>)</w:t>
      </w:r>
      <w:r w:rsidRPr="00E81831">
        <w:rPr>
          <w:lang w:val="ru-RU"/>
        </w:rPr>
        <w:tab/>
      </w:r>
      <w:r w:rsidR="00E81831" w:rsidRPr="00B66EBA">
        <w:rPr>
          <w:lang w:val="ru-RU"/>
        </w:rPr>
        <w:t>держать осуществление и применение Протокола в поле зрения;</w:t>
      </w:r>
    </w:p>
    <w:p w14:paraId="27F2FD54" w14:textId="1DCCB20F" w:rsidR="00E81831" w:rsidRDefault="00B64C92" w:rsidP="00E81831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="00E630FB" w:rsidRPr="009D2A30">
        <w:rPr>
          <w:lang w:val="ru-RU"/>
        </w:rPr>
        <w:tab/>
      </w:r>
      <w:r w:rsidRPr="00E81831">
        <w:rPr>
          <w:lang w:val="ru-RU"/>
        </w:rPr>
        <w:t>(</w:t>
      </w:r>
      <w:r w:rsidRPr="00505856">
        <w:t>b</w:t>
      </w:r>
      <w:r w:rsidRPr="00E81831">
        <w:rPr>
          <w:lang w:val="ru-RU"/>
        </w:rPr>
        <w:t>)</w:t>
      </w:r>
      <w:r w:rsidRPr="00E81831">
        <w:rPr>
          <w:lang w:val="ru-RU"/>
        </w:rPr>
        <w:tab/>
      </w:r>
      <w:r w:rsidR="00C87B1E">
        <w:rPr>
          <w:lang w:val="ru-RU"/>
        </w:rPr>
        <w:t>п</w:t>
      </w:r>
      <w:r w:rsidR="00E81831" w:rsidRPr="00E81831">
        <w:rPr>
          <w:lang w:val="ru-RU"/>
        </w:rPr>
        <w:t>оощрять и поддерживать соблюдение Протокола, в том числе путем предоставления помощи в этом отношении по мере необходимости;</w:t>
      </w:r>
    </w:p>
    <w:p w14:paraId="14BFC3F7" w14:textId="39900503" w:rsidR="00C87B1E" w:rsidRDefault="00E630FB" w:rsidP="00E81831">
      <w:pPr>
        <w:spacing w:after="120"/>
        <w:ind w:left="1134" w:right="1134"/>
        <w:jc w:val="both"/>
        <w:rPr>
          <w:lang w:val="ru-RU"/>
        </w:rPr>
      </w:pPr>
      <w:r w:rsidRPr="00E81831">
        <w:rPr>
          <w:i/>
          <w:lang w:val="ru-RU"/>
        </w:rPr>
        <w:tab/>
      </w:r>
      <w:r w:rsidR="00B64C92" w:rsidRPr="00E81831">
        <w:rPr>
          <w:i/>
          <w:lang w:val="ru-RU"/>
        </w:rPr>
        <w:tab/>
      </w:r>
      <w:r w:rsidR="00B64C92" w:rsidRPr="00E81831">
        <w:rPr>
          <w:lang w:val="ru-RU"/>
        </w:rPr>
        <w:t>4.</w:t>
      </w:r>
      <w:r w:rsidR="00B64C92" w:rsidRPr="00E81831">
        <w:rPr>
          <w:lang w:val="ru-RU"/>
        </w:rPr>
        <w:tab/>
      </w:r>
      <w:r w:rsidR="00C87B1E" w:rsidRPr="00C87B1E">
        <w:rPr>
          <w:i/>
          <w:iCs/>
          <w:lang w:val="ru-RU"/>
        </w:rPr>
        <w:t>приветствует</w:t>
      </w:r>
      <w:r w:rsidR="00C87B1E" w:rsidRPr="00C87B1E">
        <w:rPr>
          <w:lang w:val="ru-RU"/>
        </w:rPr>
        <w:t xml:space="preserve"> рассмотрение Комитетом конкретных вопросов соблюдения, выявленных в ходе второго обзора осуществления Протокола в отношении Италии и Сербии, который:</w:t>
      </w:r>
    </w:p>
    <w:p w14:paraId="3BD750E3" w14:textId="30887420" w:rsidR="00B64C92" w:rsidRPr="009D2A30" w:rsidRDefault="00C87B1E" w:rsidP="00873A38">
      <w:pPr>
        <w:spacing w:after="120"/>
        <w:ind w:left="1134" w:right="1134" w:firstLine="567"/>
        <w:jc w:val="both"/>
        <w:rPr>
          <w:lang w:val="ru-RU"/>
        </w:rPr>
      </w:pPr>
      <w:r w:rsidRPr="009D2A30">
        <w:rPr>
          <w:lang w:val="ru-RU"/>
        </w:rPr>
        <w:t xml:space="preserve"> </w:t>
      </w:r>
      <w:r w:rsidR="00B64C92" w:rsidRPr="009D2A30">
        <w:rPr>
          <w:lang w:val="ru-RU"/>
        </w:rPr>
        <w:t>(</w:t>
      </w:r>
      <w:r w:rsidR="00B64C92">
        <w:t>a</w:t>
      </w:r>
      <w:r w:rsidR="00B64C92" w:rsidRPr="009D2A30">
        <w:rPr>
          <w:lang w:val="ru-RU"/>
        </w:rPr>
        <w:t>)</w:t>
      </w:r>
      <w:r w:rsidR="00B64C92" w:rsidRPr="009D2A30">
        <w:rPr>
          <w:lang w:val="ru-RU"/>
        </w:rPr>
        <w:tab/>
      </w:r>
      <w:r w:rsidR="00873A38" w:rsidRPr="009D2A30">
        <w:rPr>
          <w:lang w:val="ru-RU"/>
        </w:rPr>
        <w:t xml:space="preserve">В случае Италии [и Сербии] Комитет заявил о своем удовлетворении в связи с разъяснениями, представленными Стороной, и </w:t>
      </w:r>
    </w:p>
    <w:p w14:paraId="4E46DC3F" w14:textId="010B6743" w:rsidR="00B64C92" w:rsidRPr="00FA3FB6" w:rsidRDefault="0022521B" w:rsidP="00E630FB">
      <w:pPr>
        <w:spacing w:after="120"/>
        <w:ind w:left="1134" w:right="1134" w:firstLine="567"/>
        <w:jc w:val="both"/>
        <w:rPr>
          <w:lang w:val="ru-RU"/>
        </w:rPr>
      </w:pPr>
      <w:r w:rsidRPr="00FA3FB6">
        <w:rPr>
          <w:lang w:val="ru-RU"/>
        </w:rPr>
        <w:t>[</w:t>
      </w:r>
      <w:r w:rsidR="00B64C92" w:rsidRPr="00FA3FB6">
        <w:rPr>
          <w:lang w:val="ru-RU"/>
        </w:rPr>
        <w:t>(</w:t>
      </w:r>
      <w:r w:rsidR="00B64C92">
        <w:t>b</w:t>
      </w:r>
      <w:r w:rsidR="00B64C92" w:rsidRPr="00FA3FB6">
        <w:rPr>
          <w:lang w:val="ru-RU"/>
        </w:rPr>
        <w:t>)</w:t>
      </w:r>
      <w:r w:rsidR="00B64C92" w:rsidRPr="00FA3FB6">
        <w:rPr>
          <w:lang w:val="ru-RU"/>
        </w:rPr>
        <w:tab/>
      </w:r>
      <w:r w:rsidR="00FA3FB6" w:rsidRPr="00FA3FB6">
        <w:rPr>
          <w:lang w:val="ru-RU"/>
        </w:rPr>
        <w:t>В случае Сербии потребуется дальнейшее рассмотрение Комитетом на его предстоящих сессиях из-за отсутствия ответа соответствующей Стороны</w:t>
      </w:r>
      <w:r w:rsidRPr="00FA3FB6">
        <w:rPr>
          <w:lang w:val="ru-RU"/>
        </w:rPr>
        <w:t>]</w:t>
      </w:r>
      <w:r w:rsidR="00B64C92" w:rsidRPr="00FA3FB6">
        <w:rPr>
          <w:lang w:val="ru-RU"/>
        </w:rPr>
        <w:t>;</w:t>
      </w:r>
    </w:p>
    <w:p w14:paraId="5BA63449" w14:textId="1AA0741E" w:rsidR="00FA3FB6" w:rsidRPr="00FA3FB6" w:rsidRDefault="00B64C92" w:rsidP="002E4653">
      <w:pPr>
        <w:spacing w:after="120"/>
        <w:ind w:left="1134" w:right="1134" w:firstLine="567"/>
        <w:jc w:val="both"/>
        <w:rPr>
          <w:lang w:val="ru-RU"/>
        </w:rPr>
      </w:pPr>
      <w:r w:rsidRPr="00FA3FB6">
        <w:rPr>
          <w:lang w:val="ru-RU"/>
        </w:rPr>
        <w:t>5.</w:t>
      </w:r>
      <w:r w:rsidRPr="00FA3FB6">
        <w:rPr>
          <w:lang w:val="ru-RU"/>
        </w:rPr>
        <w:tab/>
      </w:r>
      <w:r w:rsidR="00FA3FB6" w:rsidRPr="001308E6">
        <w:rPr>
          <w:i/>
          <w:iCs/>
          <w:lang w:val="ru-RU"/>
        </w:rPr>
        <w:t xml:space="preserve">приветствует также </w:t>
      </w:r>
      <w:r w:rsidR="00FA3FB6" w:rsidRPr="00FA3FB6">
        <w:rPr>
          <w:lang w:val="ru-RU"/>
        </w:rPr>
        <w:t>рассмотрение Комитетом конкретных вопросов соблюдения, выявленных в ходе первого обзора осуществления Протокола в отношении Европейского союза, [что потребует дальнейшего рассмотрения Комитетом на его предстоящих сессиях;]</w:t>
      </w:r>
    </w:p>
    <w:p w14:paraId="0FC7BC69" w14:textId="506357B4" w:rsidR="001308E6" w:rsidRPr="001308E6" w:rsidRDefault="00E630FB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="00B64C92" w:rsidRPr="009D2A30">
        <w:rPr>
          <w:lang w:val="ru-RU"/>
        </w:rPr>
        <w:tab/>
      </w:r>
      <w:r w:rsidR="00B64C92" w:rsidRPr="001308E6">
        <w:rPr>
          <w:lang w:val="ru-RU"/>
        </w:rPr>
        <w:t>6.</w:t>
      </w:r>
      <w:r w:rsidR="00B64C92" w:rsidRPr="001308E6">
        <w:rPr>
          <w:lang w:val="ru-RU"/>
        </w:rPr>
        <w:tab/>
      </w:r>
      <w:r w:rsidR="001308E6" w:rsidRPr="001308E6">
        <w:rPr>
          <w:i/>
          <w:iCs/>
          <w:lang w:val="ru-RU"/>
        </w:rPr>
        <w:t>приветствует далее</w:t>
      </w:r>
      <w:r w:rsidR="001308E6" w:rsidRPr="001308E6">
        <w:rPr>
          <w:lang w:val="ru-RU"/>
        </w:rPr>
        <w:t xml:space="preserve"> </w:t>
      </w:r>
      <w:r w:rsidR="001308E6" w:rsidRPr="00B66EBA">
        <w:rPr>
          <w:lang w:val="ru-RU"/>
        </w:rPr>
        <w:t>изучение Комитетом информации,</w:t>
      </w:r>
      <w:r w:rsidR="001308E6" w:rsidRPr="001308E6">
        <w:rPr>
          <w:lang w:val="ru-RU"/>
        </w:rPr>
        <w:t xml:space="preserve"> полученной из других источников, включая общественность, в отношении Польши, Сербии и Украины, в результате чего Комитет заявил о своем удовлетворении в связи с разъяснениями, представленными Украиной, в случае Сербии это привело к инициативе Комитета, а в случае Польши потребуется дальнейший сбор информации на его предстоящих сессиях;</w:t>
      </w:r>
    </w:p>
    <w:p w14:paraId="7EE7EA84" w14:textId="71C8FF9D" w:rsidR="0018094E" w:rsidRDefault="00B64C92" w:rsidP="00B734D5">
      <w:pPr>
        <w:spacing w:after="120"/>
        <w:ind w:left="1134" w:right="1134" w:firstLine="567"/>
        <w:jc w:val="both"/>
        <w:rPr>
          <w:lang w:val="ru-RU"/>
        </w:rPr>
      </w:pPr>
      <w:r w:rsidRPr="0018094E">
        <w:rPr>
          <w:lang w:val="ru-RU"/>
        </w:rPr>
        <w:t xml:space="preserve">7. </w:t>
      </w:r>
      <w:r w:rsidRPr="0018094E">
        <w:rPr>
          <w:lang w:val="ru-RU"/>
        </w:rPr>
        <w:tab/>
      </w:r>
      <w:r w:rsidR="0018094E" w:rsidRPr="0018094E">
        <w:rPr>
          <w:i/>
          <w:iCs/>
          <w:lang w:val="ru-RU"/>
        </w:rPr>
        <w:t xml:space="preserve">признает </w:t>
      </w:r>
      <w:r w:rsidR="0018094E" w:rsidRPr="0018094E">
        <w:rPr>
          <w:lang w:val="ru-RU"/>
        </w:rPr>
        <w:t>усилия, предпринятые Комитетом до настоящего времени с целью проведения обзора эффективности и действенности его методов работы и практики с целью решения все большего числа и все более сложных вопросов, связанных с соблюдением, которые выносятся на его рассмотрение; и предлагает Комитету продолжать эту работу на его последующих сессиях</w:t>
      </w:r>
      <w:r w:rsidR="0018094E">
        <w:rPr>
          <w:lang w:val="ru-RU"/>
        </w:rPr>
        <w:t>;</w:t>
      </w:r>
    </w:p>
    <w:p w14:paraId="2C560771" w14:textId="77777777" w:rsidR="007201C4" w:rsidRDefault="007339DF" w:rsidP="007339DF">
      <w:pPr>
        <w:spacing w:after="120"/>
        <w:ind w:left="1134" w:right="1134" w:firstLine="567"/>
        <w:jc w:val="both"/>
        <w:rPr>
          <w:lang w:val="ru-RU"/>
        </w:rPr>
      </w:pPr>
      <w:r w:rsidRPr="007201C4">
        <w:rPr>
          <w:lang w:val="ru-RU"/>
        </w:rPr>
        <w:t>8</w:t>
      </w:r>
      <w:r w:rsidR="00B64C92" w:rsidRPr="007201C4">
        <w:rPr>
          <w:lang w:val="ru-RU"/>
        </w:rPr>
        <w:t>.</w:t>
      </w:r>
      <w:r w:rsidR="00B64C92" w:rsidRPr="007201C4">
        <w:rPr>
          <w:lang w:val="ru-RU"/>
        </w:rPr>
        <w:tab/>
      </w:r>
      <w:r w:rsidR="007201C4" w:rsidRPr="007201C4">
        <w:rPr>
          <w:i/>
          <w:iCs/>
          <w:lang w:val="ru-RU"/>
        </w:rPr>
        <w:t>отмечает с сожалением</w:t>
      </w:r>
      <w:r w:rsidR="007201C4" w:rsidRPr="007201C4">
        <w:rPr>
          <w:lang w:val="ru-RU"/>
        </w:rPr>
        <w:t>, что работе Комитета препятствуют задержки и недостаточное качество ответов некоторых заинтересованных сторон, а в некоторых случаях также их отказ отвечать и сотрудничать; и настоятельно призывает стороны добросовестно содействовать работе Комитета путем своевременного предоставления ему запрашиваемой информации и обеспечения ее высокого качества;</w:t>
      </w:r>
    </w:p>
    <w:p w14:paraId="0AC6DEC4" w14:textId="31203872" w:rsidR="00B64C92" w:rsidRPr="00C85798" w:rsidRDefault="00C85798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i/>
          <w:iCs/>
          <w:lang w:val="ru-RU"/>
        </w:rPr>
        <w:tab/>
      </w:r>
      <w:r w:rsidR="00B64C92" w:rsidRPr="009D2A30">
        <w:rPr>
          <w:lang w:val="ru-RU"/>
        </w:rPr>
        <w:tab/>
      </w:r>
      <w:r w:rsidR="00A201B6" w:rsidRPr="00C85798">
        <w:rPr>
          <w:lang w:val="ru-RU"/>
        </w:rPr>
        <w:t>9</w:t>
      </w:r>
      <w:r w:rsidR="00B64C92" w:rsidRPr="00C85798">
        <w:rPr>
          <w:lang w:val="ru-RU"/>
        </w:rPr>
        <w:t>.</w:t>
      </w:r>
      <w:r w:rsidR="00B64C92" w:rsidRPr="00C85798">
        <w:rPr>
          <w:lang w:val="ru-RU"/>
        </w:rPr>
        <w:tab/>
      </w:r>
      <w:r w:rsidRPr="00C85798">
        <w:rPr>
          <w:i/>
          <w:iCs/>
          <w:lang w:val="ru-RU"/>
        </w:rPr>
        <w:t>призывает</w:t>
      </w:r>
      <w:r w:rsidRPr="00C85798">
        <w:rPr>
          <w:lang w:val="ru-RU"/>
        </w:rPr>
        <w:t xml:space="preserve"> Стороны выносить на рассмотрение Комитета вопросы, касающиеся их собственного соблюдения</w:t>
      </w:r>
      <w:r w:rsidR="00B64C92" w:rsidRPr="00C85798">
        <w:rPr>
          <w:lang w:val="ru-RU"/>
        </w:rPr>
        <w:t>;</w:t>
      </w:r>
    </w:p>
    <w:p w14:paraId="07A043D1" w14:textId="77777777" w:rsidR="00995C3F" w:rsidRDefault="00C85798" w:rsidP="00A201B6">
      <w:pPr>
        <w:spacing w:after="120"/>
        <w:ind w:left="1134" w:right="1134"/>
        <w:jc w:val="both"/>
        <w:rPr>
          <w:lang w:val="ru-RU"/>
        </w:rPr>
      </w:pPr>
      <w:r>
        <w:rPr>
          <w:i/>
          <w:lang w:val="ru-RU"/>
        </w:rPr>
        <w:tab/>
      </w:r>
      <w:r w:rsidR="00B64C92" w:rsidRPr="00C85798">
        <w:rPr>
          <w:i/>
          <w:lang w:val="ru-RU"/>
        </w:rPr>
        <w:tab/>
      </w:r>
      <w:r w:rsidR="00B64C92" w:rsidRPr="00995C3F">
        <w:rPr>
          <w:lang w:val="ru-RU"/>
        </w:rPr>
        <w:t>10.</w:t>
      </w:r>
      <w:r w:rsidR="00B64C92" w:rsidRPr="00995C3F">
        <w:rPr>
          <w:lang w:val="ru-RU"/>
        </w:rPr>
        <w:tab/>
      </w:r>
      <w:r w:rsidR="00995C3F" w:rsidRPr="00995C3F">
        <w:rPr>
          <w:i/>
          <w:iCs/>
          <w:lang w:val="ru-RU"/>
        </w:rPr>
        <w:t>просит</w:t>
      </w:r>
      <w:r w:rsidR="00995C3F" w:rsidRPr="00995C3F">
        <w:rPr>
          <w:lang w:val="ru-RU"/>
        </w:rPr>
        <w:t xml:space="preserve"> Комитет по осуществлению оказывать Сторонам помощь в согласовании их законодательства с Конвенцией и Протоколом, по мере необходимости и насколько это возможно, в том числе посредством сотрудничества с секретариатом в контексте технической помощи, предоставляемой секретариатом в соответствии с планом работы на 2021-2023 годы, принятым в соответствии с решением VIII/2-IV/2;</w:t>
      </w:r>
    </w:p>
    <w:p w14:paraId="0B65F8CB" w14:textId="4A9C82B8" w:rsidR="00A40DDE" w:rsidRPr="00A40DDE" w:rsidRDefault="00F23E5B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i/>
          <w:lang w:val="ru-RU"/>
        </w:rPr>
        <w:tab/>
      </w:r>
      <w:r w:rsidR="00B64C92" w:rsidRPr="009D2A30">
        <w:rPr>
          <w:lang w:val="ru-RU"/>
        </w:rPr>
        <w:tab/>
      </w:r>
      <w:r w:rsidR="00B64C92" w:rsidRPr="00A40DDE">
        <w:rPr>
          <w:lang w:val="ru-RU"/>
        </w:rPr>
        <w:t>11.</w:t>
      </w:r>
      <w:r w:rsidR="00B64C92" w:rsidRPr="00A40DDE">
        <w:rPr>
          <w:lang w:val="ru-RU"/>
        </w:rPr>
        <w:tab/>
      </w:r>
      <w:r w:rsidR="00A40DDE" w:rsidRPr="00A40DDE">
        <w:rPr>
          <w:i/>
          <w:iCs/>
          <w:lang w:val="ru-RU"/>
        </w:rPr>
        <w:t xml:space="preserve">настоятельно призывает </w:t>
      </w:r>
      <w:r w:rsidR="00A40DDE" w:rsidRPr="00A40DDE">
        <w:rPr>
          <w:lang w:val="ru-RU"/>
        </w:rPr>
        <w:t xml:space="preserve">Стороны учитывать в своей дальнейшей работе рекомендации по дальнейшему улучшению осуществления и соблюдения </w:t>
      </w:r>
      <w:r w:rsidR="00A40DDE" w:rsidRPr="00A40DDE">
        <w:rPr>
          <w:lang w:val="ru-RU"/>
        </w:rPr>
        <w:lastRenderedPageBreak/>
        <w:t xml:space="preserve">Протокола, в том числе путем укрепления национального законодательства, основываясь, но не ограничиваясь анализом общих вопросов соблюдения по итогам обзоров осуществления, перечисленных в его решениях II/1, III/1 и IV/5, а также на Рекомендациях по надлежащей практике, касающихся участия общественности в стратегической экологической оценке, одобрены Сторонами в решении II/8 [и </w:t>
      </w:r>
      <w:r w:rsidR="00A40DDE" w:rsidRPr="00B66EBA">
        <w:rPr>
          <w:lang w:val="ru-RU"/>
        </w:rPr>
        <w:t>Руковод</w:t>
      </w:r>
      <w:r w:rsidR="00B66EBA" w:rsidRPr="00B66EBA">
        <w:rPr>
          <w:lang w:val="ru-RU"/>
        </w:rPr>
        <w:t>стве</w:t>
      </w:r>
      <w:r w:rsidR="00A40DDE" w:rsidRPr="00B66EBA">
        <w:rPr>
          <w:lang w:val="ru-RU"/>
        </w:rPr>
        <w:t xml:space="preserve"> по оценке воздействия на здоровье в рамках стратегической экологической оценки, одобренных Сторонами в решении IV/6];</w:t>
      </w:r>
    </w:p>
    <w:p w14:paraId="5D621E33" w14:textId="4274653D" w:rsidR="00B64C92" w:rsidRPr="009D2A30" w:rsidRDefault="00B64C92" w:rsidP="00B64C92">
      <w:pPr>
        <w:spacing w:after="120"/>
        <w:ind w:left="1134" w:right="1134"/>
        <w:jc w:val="both"/>
        <w:rPr>
          <w:lang w:val="ru-RU"/>
        </w:rPr>
      </w:pPr>
      <w:r w:rsidRPr="009D2A30">
        <w:rPr>
          <w:lang w:val="ru-RU"/>
        </w:rPr>
        <w:tab/>
      </w:r>
      <w:r w:rsidRPr="00DE61C8">
        <w:rPr>
          <w:lang w:val="ru-RU"/>
        </w:rPr>
        <w:t>12.</w:t>
      </w:r>
      <w:r w:rsidRPr="00DE61C8">
        <w:rPr>
          <w:lang w:val="ru-RU"/>
        </w:rPr>
        <w:tab/>
      </w:r>
      <w:r w:rsidR="00DE61C8" w:rsidRPr="00DE61C8">
        <w:rPr>
          <w:i/>
          <w:iCs/>
          <w:lang w:val="ru-RU"/>
        </w:rPr>
        <w:t>принимает</w:t>
      </w:r>
      <w:r w:rsidR="00DE61C8" w:rsidRPr="00DE61C8">
        <w:rPr>
          <w:lang w:val="ru-RU"/>
        </w:rPr>
        <w:t xml:space="preserve"> поправку к рабочим правилам Комитета, содержащуюся в приложении к решению </w:t>
      </w:r>
      <w:r w:rsidR="00DE61C8" w:rsidRPr="00DE61C8">
        <w:t>VIII</w:t>
      </w:r>
      <w:r w:rsidR="00DE61C8" w:rsidRPr="009D2A30">
        <w:rPr>
          <w:lang w:val="ru-RU"/>
        </w:rPr>
        <w:t>/4 Совещания Сторон Конвенции;</w:t>
      </w:r>
    </w:p>
    <w:p w14:paraId="077FF83E" w14:textId="33C1CDD1" w:rsidR="00775745" w:rsidRDefault="00B64C92" w:rsidP="00B64C92">
      <w:pPr>
        <w:spacing w:after="120"/>
        <w:ind w:left="1134" w:right="1134"/>
        <w:jc w:val="both"/>
      </w:pPr>
      <w:r w:rsidRPr="009D2A30">
        <w:rPr>
          <w:lang w:val="ru-RU"/>
        </w:rPr>
        <w:tab/>
      </w:r>
      <w:r w:rsidRPr="00775745">
        <w:rPr>
          <w:lang w:val="ru-RU"/>
        </w:rPr>
        <w:t>13.</w:t>
      </w:r>
      <w:r w:rsidRPr="00775745">
        <w:rPr>
          <w:lang w:val="ru-RU"/>
        </w:rPr>
        <w:tab/>
      </w:r>
      <w:r w:rsidRPr="00775745">
        <w:rPr>
          <w:i/>
          <w:iCs/>
          <w:lang w:val="ru-RU"/>
        </w:rPr>
        <w:t xml:space="preserve"> </w:t>
      </w:r>
      <w:r w:rsidR="00775745" w:rsidRPr="00B66EBA">
        <w:rPr>
          <w:i/>
          <w:iCs/>
          <w:lang w:val="ru-RU"/>
        </w:rPr>
        <w:t xml:space="preserve">постановляет </w:t>
      </w:r>
      <w:r w:rsidR="009A740A">
        <w:rPr>
          <w:lang w:val="ru-RU"/>
        </w:rPr>
        <w:t>продолжать рассматривать</w:t>
      </w:r>
      <w:r w:rsidR="00775745" w:rsidRPr="00775745">
        <w:rPr>
          <w:lang w:val="ru-RU"/>
        </w:rPr>
        <w:t xml:space="preserve"> и продолжить разработку структуры и функций Комитета и его рабочих правил на своей пятой сессии с учетом опыта, накопленного Комитетом в промежуточный период, и в целях повышения согласованности и сокращения дублирования между двумя сводами правил и более широкого использования видеоконференций и других онлайновых и электронных средств связи в качестве эффективного средства управления рабочей нагрузкой Комитета; и просит Комитет подготовить предложения, если он сочтет это необходимым, для представления Совещанию Сторон</w:t>
      </w:r>
      <w:r w:rsidR="00775745" w:rsidRPr="00775745">
        <w:t xml:space="preserve"> </w:t>
      </w:r>
      <w:r w:rsidR="00775745" w:rsidRPr="00775745">
        <w:rPr>
          <w:lang w:val="ru-RU"/>
        </w:rPr>
        <w:t>на</w:t>
      </w:r>
      <w:r w:rsidR="00775745" w:rsidRPr="00775745">
        <w:t xml:space="preserve"> </w:t>
      </w:r>
      <w:r w:rsidR="00775745" w:rsidRPr="00775745">
        <w:rPr>
          <w:lang w:val="ru-RU"/>
        </w:rPr>
        <w:t>его</w:t>
      </w:r>
      <w:r w:rsidR="00775745" w:rsidRPr="00775745">
        <w:t xml:space="preserve"> </w:t>
      </w:r>
      <w:r w:rsidR="00775745" w:rsidRPr="00775745">
        <w:rPr>
          <w:lang w:val="ru-RU"/>
        </w:rPr>
        <w:t>пятой</w:t>
      </w:r>
      <w:r w:rsidR="00775745" w:rsidRPr="00775745">
        <w:t xml:space="preserve"> </w:t>
      </w:r>
      <w:r w:rsidR="00775745" w:rsidRPr="00775745">
        <w:rPr>
          <w:lang w:val="ru-RU"/>
        </w:rPr>
        <w:t>сессии</w:t>
      </w:r>
      <w:r w:rsidR="00775745" w:rsidRPr="00775745">
        <w:t>.</w:t>
      </w:r>
    </w:p>
    <w:p w14:paraId="39FCAC89" w14:textId="77777777" w:rsidR="00DC5061" w:rsidRPr="00E639F6" w:rsidRDefault="006A79B2" w:rsidP="006A79B2">
      <w:pPr>
        <w:spacing w:before="240"/>
        <w:ind w:left="1134" w:right="1134"/>
        <w:jc w:val="center"/>
        <w:rPr>
          <w:u w:val="single"/>
        </w:rPr>
      </w:pPr>
      <w:r w:rsidRPr="00E639F6">
        <w:rPr>
          <w:u w:val="single"/>
        </w:rPr>
        <w:tab/>
      </w:r>
      <w:r w:rsidRPr="00E639F6">
        <w:rPr>
          <w:u w:val="single"/>
        </w:rPr>
        <w:tab/>
      </w:r>
      <w:r w:rsidRPr="00E639F6">
        <w:rPr>
          <w:u w:val="single"/>
        </w:rPr>
        <w:tab/>
      </w:r>
    </w:p>
    <w:sectPr w:rsidR="00DC5061" w:rsidRPr="00E639F6" w:rsidSect="00CE0ADB">
      <w:headerReference w:type="even" r:id="rId14"/>
      <w:headerReference w:type="default" r:id="rId15"/>
      <w:footerReference w:type="even" r:id="rId16"/>
      <w:footerReference w:type="default" r:id="rId17"/>
      <w:footnotePr>
        <w:numFmt w:val="lowerLetter"/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75B5" w14:textId="77777777" w:rsidR="0087294F" w:rsidRDefault="0087294F"/>
  </w:endnote>
  <w:endnote w:type="continuationSeparator" w:id="0">
    <w:p w14:paraId="33AA9C18" w14:textId="77777777" w:rsidR="0087294F" w:rsidRDefault="0087294F"/>
  </w:endnote>
  <w:endnote w:type="continuationNotice" w:id="1">
    <w:p w14:paraId="46FDB59A" w14:textId="77777777" w:rsidR="0087294F" w:rsidRDefault="00872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27DD" w14:textId="77777777" w:rsidR="0052029D" w:rsidRDefault="005202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7A2705" w14:textId="77777777" w:rsidR="0052029D" w:rsidRDefault="00520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7E8E" w14:textId="77777777" w:rsidR="00186C5A" w:rsidRPr="00CE0ADB" w:rsidRDefault="00186C5A" w:rsidP="00CE0ADB">
    <w:pPr>
      <w:pStyle w:val="Footer"/>
      <w:tabs>
        <w:tab w:val="right" w:pos="9638"/>
      </w:tabs>
    </w:pPr>
    <w:r w:rsidRPr="00CE0ADB">
      <w:rPr>
        <w:b/>
        <w:sz w:val="18"/>
      </w:rPr>
      <w:fldChar w:fldCharType="begin"/>
    </w:r>
    <w:r w:rsidRPr="00CE0ADB">
      <w:rPr>
        <w:b/>
        <w:sz w:val="18"/>
      </w:rPr>
      <w:instrText xml:space="preserve"> PAGE  \* MERGEFORMAT </w:instrText>
    </w:r>
    <w:r w:rsidRPr="00CE0ADB">
      <w:rPr>
        <w:b/>
        <w:sz w:val="18"/>
      </w:rPr>
      <w:fldChar w:fldCharType="separate"/>
    </w:r>
    <w:r>
      <w:rPr>
        <w:b/>
        <w:noProof/>
        <w:sz w:val="18"/>
      </w:rPr>
      <w:t>10</w:t>
    </w:r>
    <w:r w:rsidRPr="00CE0ADB">
      <w:rPr>
        <w:b/>
        <w:sz w:val="18"/>
      </w:rPr>
      <w:fldChar w:fldCharType="end"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5CD1" w14:textId="77777777" w:rsidR="00186C5A" w:rsidRPr="00CE0ADB" w:rsidRDefault="00186C5A" w:rsidP="00CE0ADB">
    <w:pPr>
      <w:pStyle w:val="Footer"/>
      <w:tabs>
        <w:tab w:val="right" w:pos="9638"/>
      </w:tabs>
      <w:rPr>
        <w:b/>
        <w:sz w:val="18"/>
      </w:rPr>
    </w:pPr>
    <w:r>
      <w:tab/>
    </w:r>
    <w:r w:rsidRPr="00CE0ADB">
      <w:rPr>
        <w:b/>
        <w:sz w:val="18"/>
      </w:rPr>
      <w:fldChar w:fldCharType="begin"/>
    </w:r>
    <w:r w:rsidRPr="00CE0ADB">
      <w:rPr>
        <w:b/>
        <w:sz w:val="18"/>
      </w:rPr>
      <w:instrText xml:space="preserve"> PAGE  \* MERGEFORMAT </w:instrText>
    </w:r>
    <w:r w:rsidRPr="00CE0ADB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CE0AD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E2EC" w14:textId="77777777" w:rsidR="0087294F" w:rsidRPr="000B175B" w:rsidRDefault="008729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406FA0" w14:textId="77777777" w:rsidR="0087294F" w:rsidRPr="00FC68B7" w:rsidRDefault="008729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D290D5" w14:textId="77777777" w:rsidR="0087294F" w:rsidRDefault="0087294F"/>
  </w:footnote>
  <w:footnote w:id="2">
    <w:p w14:paraId="70CF9F90" w14:textId="5520B41C" w:rsidR="000167F8" w:rsidRDefault="000167F8" w:rsidP="000167F8">
      <w:pPr>
        <w:pStyle w:val="FootnoteText"/>
      </w:pPr>
      <w:r>
        <w:tab/>
      </w:r>
      <w:r w:rsidRPr="00305497">
        <w:rPr>
          <w:rStyle w:val="FootnoteReference"/>
        </w:rPr>
        <w:t>1</w:t>
      </w:r>
      <w:r w:rsidRPr="00305497">
        <w:tab/>
        <w:t xml:space="preserve">ECE/MP.EIA/IC/2019/2, </w:t>
      </w:r>
      <w:r w:rsidR="00305497">
        <w:rPr>
          <w:lang w:val="uk-UA"/>
        </w:rPr>
        <w:t>пункт</w:t>
      </w:r>
      <w:r w:rsidRPr="00305497">
        <w:t xml:space="preserve"> </w:t>
      </w:r>
      <w:r>
        <w:t>106.</w:t>
      </w:r>
    </w:p>
  </w:footnote>
  <w:footnote w:id="3">
    <w:p w14:paraId="02AA6AE7" w14:textId="1395B783" w:rsidR="000852BE" w:rsidRPr="00305497" w:rsidRDefault="000852BE" w:rsidP="000852B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05497">
        <w:tab/>
      </w:r>
      <w:r w:rsidRPr="00305497">
        <w:rPr>
          <w:rStyle w:val="FootnoteReference"/>
          <w:lang w:val="ru-RU"/>
        </w:rPr>
        <w:t>2</w:t>
      </w:r>
      <w:r w:rsidRPr="00305497">
        <w:rPr>
          <w:lang w:val="ru-RU"/>
        </w:rPr>
        <w:tab/>
      </w:r>
      <w:r w:rsidRPr="00303986">
        <w:t>ECE</w:t>
      </w:r>
      <w:r w:rsidRPr="00305497">
        <w:rPr>
          <w:lang w:val="ru-RU"/>
        </w:rPr>
        <w:t>/</w:t>
      </w:r>
      <w:r w:rsidRPr="00303986">
        <w:t>MP</w:t>
      </w:r>
      <w:r w:rsidRPr="00305497">
        <w:rPr>
          <w:lang w:val="ru-RU"/>
        </w:rPr>
        <w:t>.</w:t>
      </w:r>
      <w:r w:rsidRPr="00303986">
        <w:t>EIA</w:t>
      </w:r>
      <w:r w:rsidRPr="00305497">
        <w:rPr>
          <w:lang w:val="ru-RU"/>
        </w:rPr>
        <w:t xml:space="preserve">/6, </w:t>
      </w:r>
      <w:r w:rsidR="00305497">
        <w:rPr>
          <w:lang w:val="uk-UA"/>
        </w:rPr>
        <w:t>приложение</w:t>
      </w:r>
      <w:r w:rsidRPr="00305497">
        <w:rPr>
          <w:lang w:val="ru-RU"/>
        </w:rPr>
        <w:t xml:space="preserve"> </w:t>
      </w:r>
      <w:r w:rsidRPr="00303986">
        <w:t>II</w:t>
      </w:r>
      <w:r w:rsidRPr="00305497">
        <w:rPr>
          <w:lang w:val="ru-RU"/>
        </w:rPr>
        <w:t xml:space="preserve">. </w:t>
      </w:r>
    </w:p>
  </w:footnote>
  <w:footnote w:id="4">
    <w:p w14:paraId="7D994F4F" w14:textId="72E403BF" w:rsidR="00555049" w:rsidRPr="00177797" w:rsidRDefault="00555049" w:rsidP="00555049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 w:rsidRPr="00305497">
        <w:rPr>
          <w:lang w:val="ru-RU"/>
        </w:rPr>
        <w:tab/>
      </w:r>
      <w:r w:rsidRPr="00177797">
        <w:rPr>
          <w:rStyle w:val="FootnoteReference"/>
          <w:lang w:val="es-ES"/>
        </w:rPr>
        <w:t>3</w:t>
      </w:r>
      <w:r w:rsidRPr="00177797">
        <w:rPr>
          <w:lang w:val="es-ES"/>
        </w:rPr>
        <w:tab/>
      </w:r>
      <w:r w:rsidR="00177797">
        <w:t>См</w:t>
      </w:r>
      <w:r w:rsidR="00177797" w:rsidRPr="0001428B">
        <w:rPr>
          <w:lang w:val="es-ES"/>
        </w:rPr>
        <w:t xml:space="preserve">. </w:t>
      </w:r>
      <w:r w:rsidRPr="00177797">
        <w:rPr>
          <w:lang w:val="es-ES"/>
        </w:rPr>
        <w:t xml:space="preserve"> ECE/MP.EIA/20/Add.1–ECE/MP.EIA/SEA/4/Add.1.</w:t>
      </w:r>
    </w:p>
  </w:footnote>
  <w:footnote w:id="5">
    <w:p w14:paraId="2C946761" w14:textId="77777777" w:rsidR="00C94641" w:rsidRPr="00305497" w:rsidRDefault="00C94641" w:rsidP="00C94641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177797">
        <w:rPr>
          <w:lang w:val="es-ES"/>
        </w:rPr>
        <w:tab/>
      </w:r>
      <w:r w:rsidRPr="00305497">
        <w:rPr>
          <w:rStyle w:val="FootnoteReference"/>
          <w:lang w:val="ru-RU"/>
        </w:rPr>
        <w:t>4</w:t>
      </w:r>
      <w:r w:rsidRPr="00305497">
        <w:rPr>
          <w:lang w:val="ru-RU"/>
        </w:rPr>
        <w:tab/>
      </w:r>
      <w:r w:rsidRPr="00762BAC">
        <w:rPr>
          <w:lang w:val="en-US"/>
        </w:rPr>
        <w:t>ECE</w:t>
      </w:r>
      <w:r w:rsidRPr="00305497">
        <w:rPr>
          <w:lang w:val="ru-RU"/>
        </w:rPr>
        <w:t>/</w:t>
      </w:r>
      <w:r w:rsidRPr="00762BAC">
        <w:rPr>
          <w:lang w:val="en-US"/>
        </w:rPr>
        <w:t>MP</w:t>
      </w:r>
      <w:r w:rsidRPr="00305497">
        <w:rPr>
          <w:lang w:val="ru-RU"/>
        </w:rPr>
        <w:t>.</w:t>
      </w:r>
      <w:r w:rsidRPr="00762BAC">
        <w:rPr>
          <w:lang w:val="en-US"/>
        </w:rPr>
        <w:t>EIA</w:t>
      </w:r>
      <w:r w:rsidRPr="00305497">
        <w:rPr>
          <w:lang w:val="ru-RU"/>
        </w:rPr>
        <w:t xml:space="preserve">/10, </w:t>
      </w:r>
      <w:r>
        <w:rPr>
          <w:lang w:val="uk-UA"/>
        </w:rPr>
        <w:t>приложение</w:t>
      </w:r>
      <w:r w:rsidRPr="00305497">
        <w:rPr>
          <w:lang w:val="ru-RU"/>
        </w:rPr>
        <w:t xml:space="preserve"> </w:t>
      </w:r>
      <w:r w:rsidRPr="00762BAC">
        <w:rPr>
          <w:lang w:val="en-US"/>
        </w:rPr>
        <w:t>IV</w:t>
      </w:r>
      <w:r w:rsidRPr="00305497">
        <w:rPr>
          <w:lang w:val="ru-RU"/>
        </w:rPr>
        <w:t>.</w:t>
      </w:r>
    </w:p>
  </w:footnote>
  <w:footnote w:id="6">
    <w:p w14:paraId="6814F99D" w14:textId="77777777" w:rsidR="00235A0E" w:rsidRPr="0018709C" w:rsidRDefault="00235A0E" w:rsidP="00235A0E">
      <w:pPr>
        <w:pStyle w:val="FootnoteText"/>
        <w:widowControl w:val="0"/>
        <w:rPr>
          <w:lang w:val="ru-RU"/>
        </w:rPr>
      </w:pPr>
      <w:r w:rsidRPr="00305497">
        <w:rPr>
          <w:lang w:val="ru-RU"/>
        </w:rPr>
        <w:tab/>
      </w:r>
      <w:r w:rsidRPr="0018709C">
        <w:rPr>
          <w:rStyle w:val="FootnoteReference"/>
          <w:lang w:val="ru-RU"/>
        </w:rPr>
        <w:t>5</w:t>
      </w:r>
      <w:r w:rsidRPr="0018709C">
        <w:rPr>
          <w:lang w:val="ru-RU"/>
        </w:rPr>
        <w:tab/>
        <w:t xml:space="preserve">См.  </w:t>
      </w:r>
      <w:r w:rsidRPr="00303986">
        <w:t>ECE</w:t>
      </w:r>
      <w:r w:rsidRPr="0018709C">
        <w:rPr>
          <w:lang w:val="ru-RU"/>
        </w:rPr>
        <w:t>/</w:t>
      </w:r>
      <w:r w:rsidRPr="00303986">
        <w:t>MP</w:t>
      </w:r>
      <w:r w:rsidRPr="0018709C">
        <w:rPr>
          <w:lang w:val="ru-RU"/>
        </w:rPr>
        <w:t>.</w:t>
      </w:r>
      <w:r w:rsidRPr="00303986">
        <w:t>EIA</w:t>
      </w:r>
      <w:r w:rsidRPr="0018709C">
        <w:rPr>
          <w:lang w:val="ru-RU"/>
        </w:rPr>
        <w:t>/15.</w:t>
      </w:r>
    </w:p>
  </w:footnote>
  <w:footnote w:id="7">
    <w:p w14:paraId="2B4D0FB3" w14:textId="77777777" w:rsidR="00235A0E" w:rsidRPr="004731A5" w:rsidRDefault="00235A0E" w:rsidP="00235A0E">
      <w:pPr>
        <w:pStyle w:val="FootnoteText"/>
        <w:widowControl w:val="0"/>
        <w:tabs>
          <w:tab w:val="clear" w:pos="1021"/>
          <w:tab w:val="right" w:pos="1020"/>
        </w:tabs>
        <w:rPr>
          <w:lang w:val="es-ES_tradnl"/>
        </w:rPr>
      </w:pPr>
      <w:r w:rsidRPr="0018709C">
        <w:rPr>
          <w:lang w:val="ru-RU"/>
        </w:rPr>
        <w:tab/>
      </w:r>
      <w:r w:rsidRPr="0018709C">
        <w:rPr>
          <w:rStyle w:val="FootnoteReference"/>
          <w:lang w:val="ru-RU"/>
        </w:rPr>
        <w:t>6</w:t>
      </w:r>
      <w:r w:rsidRPr="0018709C">
        <w:rPr>
          <w:lang w:val="ru-RU"/>
        </w:rPr>
        <w:tab/>
        <w:t xml:space="preserve">См.  </w:t>
      </w:r>
      <w:r w:rsidRPr="004731A5">
        <w:rPr>
          <w:lang w:val="es-ES_tradnl"/>
        </w:rPr>
        <w:t>ECE/MP.EIA/20/Add.1–ECE/MP.EIA/SEA/4/Add.1.</w:t>
      </w:r>
    </w:p>
  </w:footnote>
  <w:footnote w:id="8">
    <w:p w14:paraId="33C63079" w14:textId="77777777" w:rsidR="00186C5A" w:rsidRPr="009A29DD" w:rsidRDefault="00186C5A" w:rsidP="009157DC">
      <w:pPr>
        <w:pStyle w:val="FootnoteText"/>
        <w:tabs>
          <w:tab w:val="left" w:pos="3046"/>
        </w:tabs>
      </w:pPr>
      <w:r w:rsidRPr="00A41375">
        <w:rPr>
          <w:lang w:val="es-ES"/>
        </w:rPr>
        <w:tab/>
      </w:r>
      <w:r>
        <w:rPr>
          <w:rStyle w:val="FootnoteReference"/>
        </w:rPr>
        <w:footnoteRef/>
      </w:r>
      <w:r w:rsidRPr="009C38BB">
        <w:rPr>
          <w:lang w:val="es-ES_tradnl"/>
        </w:rPr>
        <w:tab/>
        <w:t xml:space="preserve"> </w:t>
      </w:r>
      <w:r w:rsidRPr="00BF1A34">
        <w:rPr>
          <w:lang w:val="es-ES"/>
        </w:rPr>
        <w:t>ECE/MP.</w:t>
      </w:r>
      <w:r w:rsidRPr="00D35A32">
        <w:rPr>
          <w:lang w:val="es-ES"/>
        </w:rPr>
        <w:t>EIA/20</w:t>
      </w:r>
      <w:r>
        <w:rPr>
          <w:lang w:val="es-ES"/>
        </w:rPr>
        <w:t>20</w:t>
      </w:r>
      <w:r w:rsidRPr="00D35A32">
        <w:rPr>
          <w:lang w:val="es-ES"/>
        </w:rPr>
        <w:t>/</w:t>
      </w:r>
      <w:r>
        <w:rPr>
          <w:lang w:val="es-ES"/>
        </w:rPr>
        <w:t>[…]</w:t>
      </w:r>
      <w:r w:rsidRPr="00D35A32">
        <w:rPr>
          <w:lang w:val="es-ES"/>
        </w:rPr>
        <w:t>-ECE/MP.EIA/SEA/20</w:t>
      </w:r>
      <w:r>
        <w:rPr>
          <w:lang w:val="es-ES"/>
        </w:rPr>
        <w:t>20</w:t>
      </w:r>
      <w:r w:rsidRPr="00D35A32">
        <w:rPr>
          <w:lang w:val="es-ES"/>
        </w:rPr>
        <w:t>/</w:t>
      </w:r>
      <w:r>
        <w:rPr>
          <w:lang w:val="es-ES"/>
        </w:rPr>
        <w:t>[…]</w:t>
      </w:r>
      <w:r w:rsidRPr="00D35A32">
        <w:rPr>
          <w:lang w:val="es-ES"/>
        </w:rPr>
        <w:t>, para</w:t>
      </w:r>
      <w:r>
        <w:rPr>
          <w:lang w:val="es-ES"/>
        </w:rPr>
        <w:t>s</w:t>
      </w:r>
      <w:r w:rsidRPr="00D35A32">
        <w:rPr>
          <w:lang w:val="es-ES"/>
        </w:rPr>
        <w:t>.</w:t>
      </w:r>
      <w:r>
        <w:rPr>
          <w:lang w:val="es-ES"/>
        </w:rPr>
        <w:t xml:space="preserve"> </w:t>
      </w:r>
      <w:r w:rsidRPr="009A29DD">
        <w:t>[…], respectively.</w:t>
      </w:r>
    </w:p>
  </w:footnote>
  <w:footnote w:id="9">
    <w:p w14:paraId="735029D4" w14:textId="77777777" w:rsidR="00B03044" w:rsidRPr="005606B9" w:rsidRDefault="00B03044" w:rsidP="00B03044">
      <w:pPr>
        <w:pStyle w:val="FootnoteText"/>
      </w:pPr>
      <w:r w:rsidRPr="009A29DD">
        <w:tab/>
      </w:r>
      <w:r>
        <w:rPr>
          <w:rStyle w:val="FootnoteReference"/>
        </w:rPr>
        <w:footnoteRef/>
      </w:r>
      <w:r w:rsidRPr="005606B9">
        <w:tab/>
        <w:t>See ECE/MP.EIA/10.</w:t>
      </w:r>
    </w:p>
  </w:footnote>
  <w:footnote w:id="10">
    <w:p w14:paraId="095BCFE6" w14:textId="77777777" w:rsidR="00B459DA" w:rsidRPr="005606B9" w:rsidRDefault="00B459DA" w:rsidP="00B459DA">
      <w:pPr>
        <w:pStyle w:val="FootnoteText"/>
      </w:pPr>
      <w:r w:rsidRPr="005606B9">
        <w:rPr>
          <w:vertAlign w:val="superscript"/>
        </w:rPr>
        <w:tab/>
      </w:r>
      <w:r>
        <w:rPr>
          <w:rStyle w:val="FootnoteReference"/>
        </w:rPr>
        <w:footnoteRef/>
      </w:r>
      <w:r w:rsidRPr="005606B9">
        <w:rPr>
          <w:vertAlign w:val="superscript"/>
        </w:rPr>
        <w:tab/>
      </w:r>
      <w:r w:rsidRPr="005606B9">
        <w:t>See ECE/MP.EIA/15.</w:t>
      </w:r>
    </w:p>
  </w:footnote>
  <w:footnote w:id="11">
    <w:p w14:paraId="20168C00" w14:textId="77777777" w:rsidR="00B459DA" w:rsidRPr="005E6A67" w:rsidRDefault="00B459DA" w:rsidP="00B459DA">
      <w:pPr>
        <w:pStyle w:val="FootnoteText"/>
      </w:pPr>
      <w:r w:rsidRPr="005606B9">
        <w:rPr>
          <w:vertAlign w:val="superscript"/>
        </w:rPr>
        <w:tab/>
      </w:r>
      <w:r>
        <w:rPr>
          <w:rStyle w:val="FootnoteReference"/>
        </w:rPr>
        <w:footnoteRef/>
      </w:r>
      <w:r w:rsidRPr="005E6A67">
        <w:rPr>
          <w:vertAlign w:val="superscript"/>
        </w:rPr>
        <w:tab/>
      </w:r>
      <w:r w:rsidRPr="005E6A67">
        <w:t>See ECE/MP.EIA/20/Add.1-ECE/MP.EIA/SEA/4/Add.1.</w:t>
      </w:r>
    </w:p>
  </w:footnote>
  <w:footnote w:id="12">
    <w:p w14:paraId="3BFF7D33" w14:textId="77777777" w:rsidR="008D5949" w:rsidRPr="008F126F" w:rsidRDefault="008D5949" w:rsidP="008D5949">
      <w:pPr>
        <w:pStyle w:val="FootnoteText"/>
      </w:pPr>
      <w:r w:rsidRPr="005E6A67">
        <w:tab/>
      </w:r>
      <w:r>
        <w:rPr>
          <w:rStyle w:val="FootnoteReference"/>
        </w:rPr>
        <w:footnoteRef/>
      </w:r>
      <w:r w:rsidRPr="008F126F">
        <w:tab/>
        <w:t>ECE/MP.EIA/27/Add.1 - ECE/MP.EIA/SEA/11/Add.1</w:t>
      </w:r>
    </w:p>
  </w:footnote>
  <w:footnote w:id="13">
    <w:p w14:paraId="6E096A72" w14:textId="77777777" w:rsidR="00AD14EE" w:rsidRPr="000C3468" w:rsidRDefault="00AD14EE" w:rsidP="00AD14EE">
      <w:pPr>
        <w:pStyle w:val="FootnoteText"/>
        <w:rPr>
          <w:lang w:val="es-ES"/>
        </w:rPr>
      </w:pPr>
      <w:r w:rsidRPr="008F126F">
        <w:tab/>
      </w:r>
      <w:r>
        <w:rPr>
          <w:vertAlign w:val="superscript"/>
        </w:rPr>
        <w:footnoteRef/>
      </w:r>
      <w:r>
        <w:rPr>
          <w:lang w:val="es-ES"/>
        </w:rPr>
        <w:tab/>
        <w:t>ECE/MP.EIA/2020/[…]-ECE/MP.EIA/SEA/2020/[…], paras. […]</w:t>
      </w:r>
      <w:r w:rsidRPr="000C3468">
        <w:rPr>
          <w:lang w:val="es-ES"/>
        </w:rPr>
        <w:t>.</w:t>
      </w:r>
    </w:p>
  </w:footnote>
  <w:footnote w:id="14">
    <w:p w14:paraId="3E1C4EA8" w14:textId="77777777" w:rsidR="00186C5A" w:rsidRPr="000C3468" w:rsidRDefault="00186C5A" w:rsidP="00F21FE7">
      <w:pPr>
        <w:pStyle w:val="FootnoteText"/>
        <w:rPr>
          <w:lang w:val="es-ES"/>
        </w:rPr>
      </w:pPr>
      <w:r w:rsidRPr="000C3468">
        <w:rPr>
          <w:lang w:val="es-ES"/>
        </w:rPr>
        <w:tab/>
      </w:r>
      <w:r w:rsidRPr="002A2E61">
        <w:rPr>
          <w:vertAlign w:val="superscript"/>
        </w:rPr>
        <w:footnoteRef/>
      </w:r>
      <w:r w:rsidRPr="000C3468">
        <w:rPr>
          <w:vertAlign w:val="superscript"/>
          <w:lang w:val="es-ES"/>
        </w:rPr>
        <w:tab/>
      </w:r>
      <w:r w:rsidRPr="000C3468">
        <w:rPr>
          <w:lang w:val="es-ES"/>
        </w:rPr>
        <w:t>See ECE/MP.EIA/15.</w:t>
      </w:r>
    </w:p>
  </w:footnote>
  <w:footnote w:id="15">
    <w:p w14:paraId="5F02664F" w14:textId="77777777" w:rsidR="00186C5A" w:rsidRPr="000C3468" w:rsidRDefault="00186C5A" w:rsidP="00F21FE7">
      <w:pPr>
        <w:pStyle w:val="FootnoteText"/>
        <w:rPr>
          <w:lang w:val="es-ES"/>
        </w:rPr>
      </w:pPr>
      <w:r w:rsidRPr="000C3468">
        <w:rPr>
          <w:lang w:val="es-ES"/>
        </w:rPr>
        <w:tab/>
      </w:r>
      <w:r>
        <w:rPr>
          <w:rStyle w:val="FootnoteReference"/>
        </w:rPr>
        <w:footnoteRef/>
      </w:r>
      <w:r w:rsidRPr="00AB185D">
        <w:rPr>
          <w:lang w:val="es-ES_tradnl"/>
        </w:rPr>
        <w:t xml:space="preserve"> </w:t>
      </w:r>
      <w:r w:rsidRPr="00AB185D">
        <w:rPr>
          <w:lang w:val="es-ES_tradnl"/>
        </w:rPr>
        <w:tab/>
        <w:t xml:space="preserve">See ECE/MP.EIA/20/Add.1-ECE/MP.EIA/SEA/4/Add.1, paras. </w:t>
      </w:r>
      <w:r w:rsidRPr="000C3468">
        <w:rPr>
          <w:lang w:val="es-ES"/>
        </w:rPr>
        <w:t>38–44.</w:t>
      </w:r>
    </w:p>
  </w:footnote>
  <w:footnote w:id="16">
    <w:p w14:paraId="7A1BD863" w14:textId="77777777" w:rsidR="00186C5A" w:rsidRPr="000C3468" w:rsidRDefault="00186C5A" w:rsidP="00F21FE7">
      <w:pPr>
        <w:pStyle w:val="FootnoteText"/>
        <w:rPr>
          <w:lang w:val="es-ES"/>
        </w:rPr>
      </w:pPr>
      <w:r w:rsidRPr="000C3468">
        <w:rPr>
          <w:lang w:val="es-ES"/>
        </w:rPr>
        <w:tab/>
      </w:r>
      <w:r>
        <w:rPr>
          <w:rStyle w:val="FootnoteReference"/>
        </w:rPr>
        <w:footnoteRef/>
      </w:r>
      <w:r w:rsidRPr="000C3468">
        <w:rPr>
          <w:lang w:val="es-ES"/>
        </w:rPr>
        <w:t xml:space="preserve"> </w:t>
      </w:r>
      <w:r w:rsidRPr="000C3468">
        <w:rPr>
          <w:lang w:val="es-ES"/>
        </w:rPr>
        <w:tab/>
        <w:t>See ECE/MP.EIA/27/Add.1 - ECE/MP.EIA/SEA/11/Add.1</w:t>
      </w:r>
    </w:p>
  </w:footnote>
  <w:footnote w:id="17">
    <w:p w14:paraId="64362408" w14:textId="77777777" w:rsidR="00107DB9" w:rsidRPr="00BF1A34" w:rsidRDefault="00107DB9" w:rsidP="00107DB9">
      <w:pPr>
        <w:pStyle w:val="FootnoteText"/>
        <w:rPr>
          <w:lang w:val="es-ES"/>
        </w:rPr>
      </w:pPr>
      <w:r w:rsidRPr="000C3468">
        <w:rPr>
          <w:lang w:val="es-ES"/>
        </w:rPr>
        <w:tab/>
      </w:r>
      <w:r w:rsidRPr="00A70D23">
        <w:rPr>
          <w:vertAlign w:val="superscript"/>
        </w:rPr>
        <w:footnoteRef/>
      </w:r>
      <w:r w:rsidRPr="00454A75">
        <w:tab/>
        <w:t>[add refere</w:t>
      </w:r>
      <w:r>
        <w:t>n</w:t>
      </w:r>
      <w:r w:rsidRPr="00454A75">
        <w:t xml:space="preserve">ce to the IC report to </w:t>
      </w:r>
      <w:r>
        <w:t xml:space="preserve">the MOP an related para numbers] </w:t>
      </w:r>
      <w:r w:rsidRPr="00454A75">
        <w:t>ECE/MP.EIA/20</w:t>
      </w:r>
      <w:r>
        <w:t>20</w:t>
      </w:r>
      <w:r w:rsidRPr="00454A75">
        <w:t>/</w:t>
      </w:r>
      <w:r>
        <w:t>X</w:t>
      </w:r>
      <w:r w:rsidRPr="00454A75">
        <w:t>-ECE/MP.EIA/SEA/20</w:t>
      </w:r>
      <w:r>
        <w:t>20</w:t>
      </w:r>
      <w:r w:rsidRPr="00454A75">
        <w:t>/</w:t>
      </w:r>
      <w:r>
        <w:t>X</w:t>
      </w:r>
      <w:r w:rsidRPr="00454A75">
        <w:t xml:space="preserve">, paras. </w:t>
      </w:r>
      <w:r>
        <w:rPr>
          <w:lang w:val="es-ES"/>
        </w:rPr>
        <w:t>XX–XX.</w:t>
      </w:r>
    </w:p>
  </w:footnote>
  <w:footnote w:id="18">
    <w:p w14:paraId="04832C34" w14:textId="77777777" w:rsidR="004A730E" w:rsidRDefault="004A730E" w:rsidP="004A730E">
      <w:pPr>
        <w:pStyle w:val="FootnoteText"/>
        <w:rPr>
          <w:lang w:val="es-ES"/>
        </w:rPr>
      </w:pPr>
      <w:r>
        <w:rPr>
          <w:lang w:val="es-ES_tradnl"/>
        </w:rPr>
        <w:tab/>
      </w:r>
      <w:r>
        <w:rPr>
          <w:vertAlign w:val="superscript"/>
        </w:rPr>
        <w:footnoteRef/>
      </w:r>
      <w:r>
        <w:rPr>
          <w:lang w:val="es-ES"/>
        </w:rPr>
        <w:tab/>
        <w:t>ECE/MP.EIA/2020/X-ECE/MP.EIA/SEA/2020/X, paras. XX–XX.</w:t>
      </w:r>
    </w:p>
  </w:footnote>
  <w:footnote w:id="19">
    <w:p w14:paraId="5B2CBA1F" w14:textId="77777777" w:rsidR="00186C5A" w:rsidRPr="00AD0C56" w:rsidRDefault="00186C5A" w:rsidP="009F57DC">
      <w:pPr>
        <w:pStyle w:val="FootnoteText"/>
        <w:tabs>
          <w:tab w:val="clear" w:pos="1021"/>
          <w:tab w:val="right" w:pos="1020"/>
        </w:tabs>
        <w:rPr>
          <w:lang w:val="es-ES"/>
        </w:rPr>
      </w:pPr>
      <w:r w:rsidRPr="00F42009">
        <w:rPr>
          <w:lang w:val="es-ES"/>
        </w:rPr>
        <w:tab/>
      </w:r>
      <w:r>
        <w:rPr>
          <w:rStyle w:val="FootnoteReference"/>
        </w:rPr>
        <w:footnoteRef/>
      </w:r>
      <w:r w:rsidRPr="00AD0C56">
        <w:rPr>
          <w:lang w:val="es-ES"/>
        </w:rPr>
        <w:tab/>
        <w:t>See ECE/MP.EIA/20/Add.1-ECE/MP.EIA/SEA/4/Add.1.</w:t>
      </w:r>
    </w:p>
  </w:footnote>
  <w:footnote w:id="20">
    <w:p w14:paraId="5DED0B8E" w14:textId="77777777" w:rsidR="00186C5A" w:rsidRPr="00234D01" w:rsidRDefault="00186C5A" w:rsidP="009F57DC">
      <w:pPr>
        <w:pStyle w:val="FootnoteText"/>
        <w:rPr>
          <w:lang w:val="es-ES_tradnl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234D01">
        <w:rPr>
          <w:lang w:val="es-ES_tradnl"/>
        </w:rPr>
        <w:t xml:space="preserve"> </w:t>
      </w:r>
      <w:r>
        <w:rPr>
          <w:lang w:val="es-ES_tradnl"/>
        </w:rPr>
        <w:tab/>
      </w:r>
      <w:r w:rsidRPr="00234D01">
        <w:rPr>
          <w:lang w:val="es-ES_tradnl"/>
        </w:rPr>
        <w:t>ECE/MP.EIA/27/Add.1 - ECE/MP.EIA/SEA/11/Add.1</w:t>
      </w:r>
    </w:p>
  </w:footnote>
  <w:footnote w:id="21">
    <w:p w14:paraId="69E12DAF" w14:textId="625F2BBB" w:rsidR="00186C5A" w:rsidRPr="00F72C38" w:rsidRDefault="00186C5A" w:rsidP="009F57DC">
      <w:pPr>
        <w:pStyle w:val="FootnoteText"/>
      </w:pPr>
      <w:r w:rsidRPr="001C408D">
        <w:rPr>
          <w:lang w:val="es-ES_tradnl"/>
        </w:rPr>
        <w:tab/>
      </w:r>
      <w:r>
        <w:rPr>
          <w:rStyle w:val="FootnoteReference"/>
        </w:rPr>
        <w:footnoteRef/>
      </w:r>
      <w:r w:rsidRPr="00AD0C56">
        <w:rPr>
          <w:lang w:val="es-ES"/>
        </w:rPr>
        <w:tab/>
        <w:t>ECE/MP.EIA/20</w:t>
      </w:r>
      <w:r>
        <w:rPr>
          <w:lang w:val="es-ES"/>
        </w:rPr>
        <w:t>20</w:t>
      </w:r>
      <w:r w:rsidRPr="00AD0C56">
        <w:rPr>
          <w:lang w:val="es-ES"/>
        </w:rPr>
        <w:t>/</w:t>
      </w:r>
      <w:r w:rsidR="00F72C38">
        <w:rPr>
          <w:lang w:val="es-ES"/>
        </w:rPr>
        <w:t>[…]-</w:t>
      </w:r>
      <w:r w:rsidRPr="00AD0C56">
        <w:rPr>
          <w:lang w:val="es-ES"/>
        </w:rPr>
        <w:t>ECE/MP.EIA/SEA/20</w:t>
      </w:r>
      <w:r>
        <w:rPr>
          <w:lang w:val="es-ES"/>
        </w:rPr>
        <w:t>20</w:t>
      </w:r>
      <w:r w:rsidRPr="00AD0C56">
        <w:rPr>
          <w:lang w:val="es-ES"/>
        </w:rPr>
        <w:t>/</w:t>
      </w:r>
      <w:r w:rsidR="00F72C38">
        <w:rPr>
          <w:lang w:val="es-ES"/>
        </w:rPr>
        <w:t>[…]</w:t>
      </w:r>
      <w:r w:rsidRPr="00AD0C56">
        <w:rPr>
          <w:lang w:val="es-ES"/>
        </w:rPr>
        <w:t xml:space="preserve"> paras. </w:t>
      </w:r>
      <w:r w:rsidR="00F72C38" w:rsidRPr="000C3468">
        <w:t>[…]</w:t>
      </w:r>
    </w:p>
  </w:footnote>
  <w:footnote w:id="22">
    <w:p w14:paraId="7EA29060" w14:textId="77777777" w:rsidR="00186C5A" w:rsidRPr="00132453" w:rsidRDefault="00186C5A" w:rsidP="00B02851">
      <w:pPr>
        <w:pStyle w:val="FootnoteText"/>
      </w:pPr>
      <w:r>
        <w:tab/>
      </w:r>
      <w:r w:rsidRPr="0087354F">
        <w:rPr>
          <w:vertAlign w:val="superscript"/>
        </w:rPr>
        <w:footnoteRef/>
      </w:r>
      <w:r w:rsidRPr="00132453">
        <w:tab/>
        <w:t>See ECE/MP.EIA/10.</w:t>
      </w:r>
    </w:p>
  </w:footnote>
  <w:footnote w:id="23">
    <w:p w14:paraId="3D89B21B" w14:textId="77777777" w:rsidR="00186C5A" w:rsidRPr="00132453" w:rsidRDefault="00186C5A" w:rsidP="00B02851">
      <w:pPr>
        <w:pStyle w:val="FootnoteText"/>
      </w:pPr>
      <w:r>
        <w:tab/>
      </w:r>
      <w:r w:rsidRPr="0087354F">
        <w:rPr>
          <w:vertAlign w:val="superscript"/>
        </w:rPr>
        <w:footnoteRef/>
      </w:r>
      <w:r w:rsidRPr="00132453">
        <w:tab/>
        <w:t>See ECE/MP.EIA/15.</w:t>
      </w:r>
    </w:p>
  </w:footnote>
  <w:footnote w:id="24">
    <w:p w14:paraId="668279C4" w14:textId="77777777" w:rsidR="00186C5A" w:rsidRPr="000C3468" w:rsidRDefault="00186C5A" w:rsidP="00B02851">
      <w:pPr>
        <w:pStyle w:val="FootnoteText"/>
        <w:rPr>
          <w:lang w:val="es-ES_tradnl"/>
        </w:rPr>
      </w:pPr>
      <w:r>
        <w:tab/>
      </w:r>
      <w:r w:rsidRPr="0087354F">
        <w:rPr>
          <w:vertAlign w:val="superscript"/>
        </w:rPr>
        <w:footnoteRef/>
      </w:r>
      <w:r w:rsidRPr="000C3468">
        <w:rPr>
          <w:lang w:val="es-ES_tradnl"/>
        </w:rPr>
        <w:tab/>
        <w:t>See ECE/MP.EIA/20/Add.1-ECE/MP.EIA/SEA/4/Add.1.</w:t>
      </w:r>
    </w:p>
  </w:footnote>
  <w:footnote w:id="25">
    <w:p w14:paraId="36864ABE" w14:textId="77777777" w:rsidR="00186C5A" w:rsidRPr="000C3468" w:rsidRDefault="00186C5A" w:rsidP="00B02851">
      <w:pPr>
        <w:pStyle w:val="FootnoteText"/>
        <w:rPr>
          <w:lang w:val="es-ES_tradnl"/>
        </w:rPr>
      </w:pPr>
      <w:r w:rsidRPr="000C3468">
        <w:rPr>
          <w:lang w:val="es-ES_tradnl"/>
        </w:rPr>
        <w:tab/>
      </w:r>
      <w:r>
        <w:rPr>
          <w:rStyle w:val="FootnoteReference"/>
        </w:rPr>
        <w:footnoteRef/>
      </w:r>
      <w:r w:rsidRPr="000C3468">
        <w:rPr>
          <w:lang w:val="es-ES_tradnl"/>
        </w:rPr>
        <w:tab/>
        <w:t>ECE/MP.EIA/27/Add.1 - ECE/MP.EIA/SEA/11/Add.1</w:t>
      </w:r>
    </w:p>
  </w:footnote>
  <w:footnote w:id="26">
    <w:p w14:paraId="58EE1C23" w14:textId="77777777" w:rsidR="00186C5A" w:rsidRPr="00BF1A34" w:rsidRDefault="00186C5A" w:rsidP="00B02851">
      <w:pPr>
        <w:pStyle w:val="FootnoteText"/>
        <w:rPr>
          <w:lang w:val="es-ES"/>
        </w:rPr>
      </w:pPr>
      <w:r w:rsidRPr="000C3468">
        <w:rPr>
          <w:lang w:val="es-ES_tradnl"/>
        </w:rPr>
        <w:tab/>
      </w:r>
      <w:r w:rsidRPr="0087354F">
        <w:rPr>
          <w:vertAlign w:val="superscript"/>
        </w:rPr>
        <w:footnoteRef/>
      </w:r>
      <w:r w:rsidRPr="00BF1A34">
        <w:rPr>
          <w:lang w:val="es-ES"/>
        </w:rPr>
        <w:tab/>
      </w:r>
      <w:r w:rsidRPr="00333C33">
        <w:rPr>
          <w:lang w:val="es-ES"/>
        </w:rPr>
        <w:t>ECE/MP.EIA/2020/</w:t>
      </w:r>
      <w:r>
        <w:rPr>
          <w:lang w:val="es-ES"/>
        </w:rPr>
        <w:t>[…]</w:t>
      </w:r>
      <w:r w:rsidRPr="00333C33">
        <w:rPr>
          <w:lang w:val="es-ES"/>
        </w:rPr>
        <w:t>-ECE/MP.EIA/SEA/2020/</w:t>
      </w:r>
      <w:r>
        <w:rPr>
          <w:lang w:val="es-ES"/>
        </w:rPr>
        <w:t>[…]</w:t>
      </w:r>
      <w:r w:rsidRPr="00333C33">
        <w:rPr>
          <w:lang w:val="es-ES"/>
        </w:rPr>
        <w:t xml:space="preserve">, paras. </w:t>
      </w:r>
      <w:r>
        <w:rPr>
          <w:lang w:val="es-ES"/>
        </w:rPr>
        <w:t>[…]</w:t>
      </w:r>
      <w:r w:rsidRPr="00333C33">
        <w:rPr>
          <w:lang w:val="es-ES"/>
        </w:rPr>
        <w:t>.</w:t>
      </w:r>
    </w:p>
  </w:footnote>
  <w:footnote w:id="27">
    <w:p w14:paraId="41BA3EA2" w14:textId="77777777" w:rsidR="00186C5A" w:rsidRPr="00F42009" w:rsidRDefault="00186C5A" w:rsidP="00B02851">
      <w:pPr>
        <w:pStyle w:val="FootnoteText"/>
        <w:rPr>
          <w:lang w:val="es-ES"/>
        </w:rPr>
      </w:pPr>
      <w:r w:rsidRPr="0087354F">
        <w:rPr>
          <w:lang w:val="es-ES"/>
        </w:rPr>
        <w:tab/>
      </w:r>
      <w:r>
        <w:rPr>
          <w:rStyle w:val="FootnoteReference"/>
        </w:rPr>
        <w:footnoteRef/>
      </w:r>
      <w:r w:rsidRPr="0087354F">
        <w:rPr>
          <w:lang w:val="es-ES"/>
        </w:rPr>
        <w:tab/>
        <w:t xml:space="preserve">ECE/MP.EIA/IC/2018/2, para. </w:t>
      </w:r>
      <w:r w:rsidRPr="00F42009">
        <w:rPr>
          <w:lang w:val="es-ES"/>
        </w:rPr>
        <w:t>34.</w:t>
      </w:r>
    </w:p>
  </w:footnote>
  <w:footnote w:id="28">
    <w:p w14:paraId="2101B77A" w14:textId="77777777" w:rsidR="00186C5A" w:rsidRPr="00972D13" w:rsidRDefault="00186C5A" w:rsidP="00B02851">
      <w:pPr>
        <w:pStyle w:val="FootnoteText"/>
        <w:rPr>
          <w:lang w:val="lt-LT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FA6180">
        <w:rPr>
          <w:lang w:val="es-ES_tradnl"/>
        </w:rPr>
        <w:t xml:space="preserve"> </w:t>
      </w:r>
      <w:r>
        <w:rPr>
          <w:lang w:val="es-ES_tradnl"/>
        </w:rPr>
        <w:tab/>
      </w:r>
      <w:r w:rsidRPr="00FA6180">
        <w:rPr>
          <w:lang w:val="es-ES_tradnl"/>
        </w:rPr>
        <w:t>Ibid.</w:t>
      </w:r>
    </w:p>
  </w:footnote>
  <w:footnote w:id="29">
    <w:p w14:paraId="59E88901" w14:textId="77777777" w:rsidR="00186C5A" w:rsidRPr="00972D13" w:rsidRDefault="00186C5A" w:rsidP="00B02851">
      <w:pPr>
        <w:pStyle w:val="FootnoteText"/>
        <w:rPr>
          <w:lang w:val="lt-LT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FA6180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lt-LT"/>
        </w:rPr>
        <w:t>Ibid.</w:t>
      </w:r>
    </w:p>
  </w:footnote>
  <w:footnote w:id="30">
    <w:p w14:paraId="48DCC25B" w14:textId="77777777" w:rsidR="00186C5A" w:rsidRPr="00972D13" w:rsidRDefault="00186C5A" w:rsidP="00B02851">
      <w:pPr>
        <w:pStyle w:val="FootnoteText"/>
        <w:rPr>
          <w:lang w:val="lt-LT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FA6180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lt-LT"/>
        </w:rPr>
        <w:t>Ibid.</w:t>
      </w:r>
    </w:p>
  </w:footnote>
  <w:footnote w:id="31">
    <w:p w14:paraId="623F616B" w14:textId="77777777" w:rsidR="00E92620" w:rsidRPr="000250C7" w:rsidRDefault="00E92620" w:rsidP="00E92620">
      <w:pPr>
        <w:pStyle w:val="FootnoteText"/>
        <w:rPr>
          <w:lang w:val="lt-LT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FA6180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lt-LT"/>
        </w:rPr>
        <w:t>Ibid.</w:t>
      </w:r>
    </w:p>
  </w:footnote>
  <w:footnote w:id="32">
    <w:p w14:paraId="501B0EDB" w14:textId="77777777" w:rsidR="00186C5A" w:rsidRPr="000250C7" w:rsidRDefault="00186C5A" w:rsidP="00B02851">
      <w:pPr>
        <w:pStyle w:val="FootnoteText"/>
        <w:rPr>
          <w:lang w:val="lt-LT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FA6180">
        <w:rPr>
          <w:lang w:val="es-ES_tradnl"/>
        </w:rPr>
        <w:t xml:space="preserve"> </w:t>
      </w:r>
      <w:r>
        <w:rPr>
          <w:lang w:val="es-ES_tradnl"/>
        </w:rPr>
        <w:tab/>
      </w:r>
      <w:r w:rsidRPr="00FA6180">
        <w:rPr>
          <w:lang w:val="es-ES_tradnl"/>
        </w:rPr>
        <w:t>ECE/MP.EIA/27/Add.1 - ECE/MP.EIA/SEA/11/Add.1</w:t>
      </w:r>
      <w:r>
        <w:rPr>
          <w:lang w:val="lt-LT"/>
        </w:rPr>
        <w:t>, para 8.</w:t>
      </w:r>
    </w:p>
  </w:footnote>
  <w:footnote w:id="33">
    <w:p w14:paraId="3915CDE9" w14:textId="77777777" w:rsidR="00186C5A" w:rsidRPr="000250C7" w:rsidRDefault="00186C5A" w:rsidP="00B02851">
      <w:pPr>
        <w:pStyle w:val="FootnoteText"/>
        <w:rPr>
          <w:lang w:val="lt-LT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FA6180">
        <w:rPr>
          <w:lang w:val="es-ES_tradnl"/>
        </w:rPr>
        <w:t xml:space="preserve"> </w:t>
      </w:r>
      <w:r>
        <w:rPr>
          <w:lang w:val="es-ES_tradnl"/>
        </w:rPr>
        <w:tab/>
      </w:r>
      <w:r w:rsidRPr="0087354F">
        <w:rPr>
          <w:lang w:val="es-ES"/>
        </w:rPr>
        <w:t xml:space="preserve">ECE/MP.EIA/IC/2018/2, para. </w:t>
      </w:r>
      <w:r w:rsidRPr="00F42009">
        <w:rPr>
          <w:lang w:val="es-ES"/>
        </w:rPr>
        <w:t>34.</w:t>
      </w:r>
    </w:p>
  </w:footnote>
  <w:footnote w:id="34">
    <w:p w14:paraId="6378B26A" w14:textId="77777777" w:rsidR="00234084" w:rsidRPr="000250C7" w:rsidRDefault="00234084" w:rsidP="00234084">
      <w:pPr>
        <w:pStyle w:val="FootnoteText"/>
        <w:rPr>
          <w:lang w:val="lt-LT"/>
        </w:rPr>
      </w:pPr>
      <w:r w:rsidRPr="005E6A67">
        <w:rPr>
          <w:lang w:val="es-ES_tradnl"/>
        </w:rPr>
        <w:tab/>
      </w:r>
      <w:r>
        <w:rPr>
          <w:rStyle w:val="FootnoteReference"/>
        </w:rPr>
        <w:footnoteRef/>
      </w:r>
      <w:r w:rsidRPr="0039796D">
        <w:rPr>
          <w:lang w:val="es-ES_tradnl"/>
        </w:rPr>
        <w:t xml:space="preserve"> </w:t>
      </w:r>
      <w:r w:rsidRPr="0039796D">
        <w:rPr>
          <w:lang w:val="es-ES_tradnl"/>
        </w:rPr>
        <w:tab/>
      </w:r>
      <w:r w:rsidRPr="0039796D">
        <w:rPr>
          <w:lang w:val="lt-LT"/>
        </w:rPr>
        <w:t>ECE/MP.EIA/IC/2020/2</w:t>
      </w:r>
      <w:r>
        <w:rPr>
          <w:lang w:val="lt-LT"/>
        </w:rPr>
        <w:t>, para. 28(a).</w:t>
      </w:r>
    </w:p>
  </w:footnote>
  <w:footnote w:id="35">
    <w:p w14:paraId="70BAC7B3" w14:textId="77777777" w:rsidR="00186C5A" w:rsidRPr="003D72BD" w:rsidRDefault="00186C5A" w:rsidP="00194706">
      <w:pPr>
        <w:pStyle w:val="FootnoteText"/>
        <w:rPr>
          <w:lang w:val="es-ES_tradnl"/>
        </w:rPr>
      </w:pPr>
      <w:r w:rsidRPr="005E6A67">
        <w:rPr>
          <w:lang w:val="es-ES_tradnl"/>
        </w:rPr>
        <w:tab/>
      </w:r>
      <w:r>
        <w:rPr>
          <w:rStyle w:val="FootnoteReference"/>
        </w:rPr>
        <w:footnoteRef/>
      </w:r>
      <w:r w:rsidRPr="003D72BD">
        <w:rPr>
          <w:lang w:val="es-ES_tradnl"/>
        </w:rPr>
        <w:t xml:space="preserve"> </w:t>
      </w:r>
      <w:r w:rsidRPr="003D72BD">
        <w:rPr>
          <w:lang w:val="es-ES_tradnl"/>
        </w:rPr>
        <w:tab/>
      </w:r>
      <w:r w:rsidRPr="00AD0C56">
        <w:rPr>
          <w:lang w:val="es-ES"/>
        </w:rPr>
        <w:t>See</w:t>
      </w:r>
      <w:r>
        <w:rPr>
          <w:lang w:val="es-ES"/>
        </w:rPr>
        <w:t xml:space="preserve"> </w:t>
      </w:r>
      <w:r w:rsidRPr="00AD0C56">
        <w:rPr>
          <w:lang w:val="es-ES"/>
        </w:rPr>
        <w:t>ECE/MP.EIA/20/Add.1-ECE/MP.EIA/SEA/4/Add.1.</w:t>
      </w:r>
    </w:p>
  </w:footnote>
  <w:footnote w:id="36">
    <w:p w14:paraId="488C0474" w14:textId="77777777" w:rsidR="00186C5A" w:rsidRPr="008714B2" w:rsidRDefault="00186C5A" w:rsidP="00194706">
      <w:pPr>
        <w:pStyle w:val="FootnoteText"/>
        <w:rPr>
          <w:lang w:val="es-ES_tradnl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8714B2">
        <w:rPr>
          <w:lang w:val="es-ES_tradnl"/>
        </w:rPr>
        <w:t xml:space="preserve"> </w:t>
      </w:r>
      <w:r>
        <w:rPr>
          <w:lang w:val="es-ES_tradnl"/>
        </w:rPr>
        <w:tab/>
      </w:r>
      <w:r w:rsidRPr="008714B2">
        <w:rPr>
          <w:lang w:val="es-ES_tradnl"/>
        </w:rPr>
        <w:t>ECE/MP.EIA/27/Add.1 - ECE/MP.EIA/SEA/11/Add.1</w:t>
      </w:r>
    </w:p>
  </w:footnote>
  <w:footnote w:id="37">
    <w:p w14:paraId="3E93BBAB" w14:textId="0AE82225" w:rsidR="00186C5A" w:rsidRPr="00E630FB" w:rsidRDefault="00186C5A" w:rsidP="00194706">
      <w:pPr>
        <w:pStyle w:val="FootnoteText"/>
      </w:pPr>
      <w:r>
        <w:rPr>
          <w:lang w:val="es-ES_tradnl"/>
        </w:rPr>
        <w:tab/>
      </w:r>
      <w:r>
        <w:rPr>
          <w:vertAlign w:val="superscript"/>
        </w:rPr>
        <w:footnoteRef/>
      </w:r>
      <w:r>
        <w:rPr>
          <w:lang w:val="es-ES"/>
        </w:rPr>
        <w:tab/>
        <w:t>ECE/MP.EIA/2020/</w:t>
      </w:r>
      <w:r w:rsidR="00E630FB">
        <w:rPr>
          <w:lang w:val="es-ES"/>
        </w:rPr>
        <w:t>[…]</w:t>
      </w:r>
      <w:r>
        <w:rPr>
          <w:lang w:val="es-ES"/>
        </w:rPr>
        <w:t>-ECE/MP.EIA/SEA/2020/</w:t>
      </w:r>
      <w:r w:rsidR="00E630FB">
        <w:rPr>
          <w:lang w:val="es-ES"/>
        </w:rPr>
        <w:t>[…]</w:t>
      </w:r>
      <w:r>
        <w:rPr>
          <w:lang w:val="es-ES"/>
        </w:rPr>
        <w:t xml:space="preserve">, paras. </w:t>
      </w:r>
      <w:r w:rsidR="00E630FB" w:rsidRPr="000C3468">
        <w:t>[…]</w:t>
      </w:r>
      <w:r w:rsidRPr="00E630FB">
        <w:t>.</w:t>
      </w:r>
    </w:p>
  </w:footnote>
  <w:footnote w:id="38">
    <w:p w14:paraId="2B8193A2" w14:textId="77777777" w:rsidR="00830159" w:rsidRDefault="00830159" w:rsidP="00830159">
      <w:pPr>
        <w:pStyle w:val="FootnoteText"/>
      </w:pPr>
      <w:r w:rsidRPr="00E630FB">
        <w:tab/>
      </w:r>
      <w:r>
        <w:rPr>
          <w:rStyle w:val="FootnoteReference"/>
        </w:rPr>
        <w:footnoteRef/>
      </w:r>
      <w:r>
        <w:tab/>
        <w:t xml:space="preserve">See </w:t>
      </w:r>
      <w:r>
        <w:rPr>
          <w:iCs/>
        </w:rPr>
        <w:t>ECE/MP.EIA/6.</w:t>
      </w:r>
    </w:p>
  </w:footnote>
  <w:footnote w:id="39">
    <w:p w14:paraId="25097D0E" w14:textId="77777777" w:rsidR="00830159" w:rsidRDefault="00830159" w:rsidP="00830159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>
        <w:rPr>
          <w:iCs/>
        </w:rPr>
        <w:t xml:space="preserve">See </w:t>
      </w:r>
      <w:r w:rsidRPr="00BD5432">
        <w:rPr>
          <w:iCs/>
        </w:rPr>
        <w:t>ECE/MP.EIA/20</w:t>
      </w:r>
      <w:r>
        <w:rPr>
          <w:iCs/>
        </w:rPr>
        <w:t>/</w:t>
      </w:r>
      <w:r w:rsidRPr="00BD5432">
        <w:rPr>
          <w:iCs/>
        </w:rPr>
        <w:t>Add.1–ECE/MP.EIA/SEA/4</w:t>
      </w:r>
      <w:r>
        <w:rPr>
          <w:iCs/>
        </w:rPr>
        <w:t>/</w:t>
      </w:r>
      <w:r w:rsidRPr="00BD5432">
        <w:rPr>
          <w:iCs/>
        </w:rPr>
        <w:t>Add.1</w:t>
      </w:r>
      <w:r>
        <w:rPr>
          <w:iCs/>
        </w:rPr>
        <w:t>.</w:t>
      </w:r>
      <w:r>
        <w:t xml:space="preserve"> </w:t>
      </w:r>
    </w:p>
  </w:footnote>
  <w:footnote w:id="40">
    <w:p w14:paraId="42EDA322" w14:textId="77777777" w:rsidR="00186C5A" w:rsidRDefault="00186C5A" w:rsidP="00B64C9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See </w:t>
      </w:r>
      <w:r w:rsidRPr="00F667F7">
        <w:t>ECE/MP</w:t>
      </w:r>
      <w:r>
        <w:t>.EIA/10.</w:t>
      </w:r>
    </w:p>
  </w:footnote>
  <w:footnote w:id="41">
    <w:p w14:paraId="3198352E" w14:textId="77777777" w:rsidR="00186C5A" w:rsidRDefault="00186C5A" w:rsidP="00B64C9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See ECE/MP.EIA/15.</w:t>
      </w:r>
    </w:p>
  </w:footnote>
  <w:footnote w:id="42">
    <w:p w14:paraId="373CF9C8" w14:textId="77777777" w:rsidR="00186C5A" w:rsidRPr="00D64673" w:rsidRDefault="00186C5A" w:rsidP="00B64C92">
      <w:pPr>
        <w:pStyle w:val="FootnoteText"/>
        <w:widowControl w:val="0"/>
        <w:tabs>
          <w:tab w:val="clear" w:pos="1021"/>
          <w:tab w:val="right" w:pos="1020"/>
        </w:tabs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D64673">
        <w:rPr>
          <w:lang w:val="es-ES"/>
        </w:rPr>
        <w:tab/>
        <w:t xml:space="preserve">See </w:t>
      </w:r>
      <w:r w:rsidRPr="00D64673">
        <w:rPr>
          <w:iCs/>
          <w:lang w:val="es-ES"/>
        </w:rPr>
        <w:t>ECE/MP.EIA/20/Add.1–ECE/MP.EIA/SEA/4/Add.1.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E0CF" w14:textId="77777777" w:rsidR="00186C5A" w:rsidRDefault="00186C5A" w:rsidP="00AD3F2A">
    <w:pPr>
      <w:pStyle w:val="Header"/>
    </w:pPr>
    <w:r w:rsidRPr="003D176A">
      <w:t>ECE/MP.EIA/</w:t>
    </w:r>
    <w:r>
      <w:t>WG.2/</w:t>
    </w:r>
    <w:r w:rsidRPr="003D176A">
      <w:t>20</w:t>
    </w:r>
    <w:r>
      <w:t>20/</w:t>
    </w:r>
    <w:r w:rsidRPr="003D176A">
      <w:t>INF</w:t>
    </w:r>
    <w:r>
      <w:t>.11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C543" w14:textId="77777777" w:rsidR="00186C5A" w:rsidRPr="00AD3F2A" w:rsidRDefault="00186C5A" w:rsidP="00C1107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4350" w14:textId="77777777" w:rsidR="00186C5A" w:rsidRPr="00B009FD" w:rsidRDefault="00186C5A" w:rsidP="00B009FD">
    <w:pPr>
      <w:pStyle w:val="Header"/>
    </w:pPr>
    <w:r w:rsidRPr="003D176A">
      <w:t>ECE/MP.EIA/</w:t>
    </w:r>
    <w:r>
      <w:t>WG.2/</w:t>
    </w:r>
    <w:r w:rsidRPr="003D176A">
      <w:t>20</w:t>
    </w:r>
    <w:r>
      <w:t>20/</w:t>
    </w:r>
    <w:r w:rsidRPr="003D176A">
      <w:t>INF</w:t>
    </w:r>
    <w:r>
      <w:t>.11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9B02" w14:textId="77777777" w:rsidR="00186C5A" w:rsidRDefault="00186C5A" w:rsidP="00AD430B">
    <w:pPr>
      <w:pStyle w:val="Header"/>
      <w:jc w:val="right"/>
    </w:pPr>
    <w:r w:rsidRPr="003D176A">
      <w:t>ECE/MP.EIA/</w:t>
    </w:r>
    <w:r>
      <w:t>WG.2/</w:t>
    </w:r>
    <w:r w:rsidRPr="003D176A">
      <w:t>20</w:t>
    </w:r>
    <w:r>
      <w:t>20/</w:t>
    </w:r>
    <w:r w:rsidRPr="003D176A">
      <w:t>INF</w:t>
    </w:r>
    <w:r>
      <w:t>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9FA14D8"/>
    <w:lvl w:ilvl="0">
      <w:numFmt w:val="bullet"/>
      <w:lvlText w:val="*"/>
      <w:lvlJc w:val="left"/>
    </w:lvl>
  </w:abstractNum>
  <w:abstractNum w:abstractNumId="11" w15:restartNumberingAfterBreak="0">
    <w:nsid w:val="01E1365E"/>
    <w:multiLevelType w:val="hybridMultilevel"/>
    <w:tmpl w:val="15C0B8E8"/>
    <w:lvl w:ilvl="0" w:tplc="44CA4486">
      <w:start w:val="1"/>
      <w:numFmt w:val="decimal"/>
      <w:lvlText w:val="%1.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02F7739B"/>
    <w:multiLevelType w:val="hybridMultilevel"/>
    <w:tmpl w:val="0FC8AF8E"/>
    <w:lvl w:ilvl="0" w:tplc="8C6EFA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B6D78DB"/>
    <w:multiLevelType w:val="hybridMultilevel"/>
    <w:tmpl w:val="15C0B8E8"/>
    <w:lvl w:ilvl="0" w:tplc="44CA4486">
      <w:start w:val="1"/>
      <w:numFmt w:val="decimal"/>
      <w:lvlText w:val="%1.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48054F"/>
    <w:multiLevelType w:val="hybridMultilevel"/>
    <w:tmpl w:val="15C0B8E8"/>
    <w:lvl w:ilvl="0" w:tplc="44CA4486">
      <w:start w:val="1"/>
      <w:numFmt w:val="decimal"/>
      <w:lvlText w:val="%1.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1F635039"/>
    <w:multiLevelType w:val="hybridMultilevel"/>
    <w:tmpl w:val="B32AE396"/>
    <w:lvl w:ilvl="0" w:tplc="EA0EC8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23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47B8F"/>
    <w:multiLevelType w:val="hybridMultilevel"/>
    <w:tmpl w:val="38FC94E2"/>
    <w:lvl w:ilvl="0" w:tplc="F934C5EA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32DC6C20"/>
    <w:multiLevelType w:val="hybridMultilevel"/>
    <w:tmpl w:val="94420BFA"/>
    <w:lvl w:ilvl="0" w:tplc="3482CB9A"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C4864E7"/>
    <w:multiLevelType w:val="hybridMultilevel"/>
    <w:tmpl w:val="15C0B8E8"/>
    <w:lvl w:ilvl="0" w:tplc="44CA448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357906"/>
    <w:multiLevelType w:val="hybridMultilevel"/>
    <w:tmpl w:val="2C26FC5E"/>
    <w:lvl w:ilvl="0" w:tplc="95CC25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58E1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F7D31"/>
    <w:multiLevelType w:val="hybridMultilevel"/>
    <w:tmpl w:val="4064BE8A"/>
    <w:lvl w:ilvl="0" w:tplc="98100FCC">
      <w:start w:val="2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85202"/>
    <w:multiLevelType w:val="hybridMultilevel"/>
    <w:tmpl w:val="B4BE6A90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4271E"/>
    <w:multiLevelType w:val="hybridMultilevel"/>
    <w:tmpl w:val="EDF695E8"/>
    <w:lvl w:ilvl="0" w:tplc="3482CB9A"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A7A7973"/>
    <w:multiLevelType w:val="hybridMultilevel"/>
    <w:tmpl w:val="15C0B8E8"/>
    <w:lvl w:ilvl="0" w:tplc="44CA4486">
      <w:start w:val="1"/>
      <w:numFmt w:val="decimal"/>
      <w:lvlText w:val="%1."/>
      <w:lvlJc w:val="left"/>
      <w:pPr>
        <w:ind w:left="2826" w:hanging="11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FCF7DB0"/>
    <w:multiLevelType w:val="hybridMultilevel"/>
    <w:tmpl w:val="265CF536"/>
    <w:lvl w:ilvl="0" w:tplc="82545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5"/>
  </w:num>
  <w:num w:numId="13">
    <w:abstractNumId w:val="13"/>
  </w:num>
  <w:num w:numId="14">
    <w:abstractNumId w:val="24"/>
  </w:num>
  <w:num w:numId="15">
    <w:abstractNumId w:val="26"/>
  </w:num>
  <w:num w:numId="16">
    <w:abstractNumId w:val="21"/>
  </w:num>
  <w:num w:numId="17">
    <w:abstractNumId w:val="17"/>
  </w:num>
  <w:num w:numId="18">
    <w:abstractNumId w:val="18"/>
  </w:num>
  <w:num w:numId="19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0"/>
        </w:rPr>
      </w:lvl>
    </w:lvlOverride>
  </w:num>
  <w:num w:numId="20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8"/>
        </w:rPr>
      </w:lvl>
    </w:lvlOverride>
  </w:num>
  <w:num w:numId="2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16"/>
        </w:rPr>
      </w:lvl>
    </w:lvlOverride>
  </w:num>
  <w:num w:numId="2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4"/>
        </w:rPr>
      </w:lvl>
    </w:lvlOverride>
  </w:num>
  <w:num w:numId="2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18"/>
        </w:rPr>
      </w:lvl>
    </w:lvlOverride>
  </w:num>
  <w:num w:numId="24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Verdana" w:hAnsi="Verdana" w:hint="default"/>
          <w:sz w:val="16"/>
        </w:rPr>
      </w:lvl>
    </w:lvlOverride>
  </w:num>
  <w:num w:numId="25">
    <w:abstractNumId w:val="22"/>
  </w:num>
  <w:num w:numId="26">
    <w:abstractNumId w:val="19"/>
  </w:num>
  <w:num w:numId="27">
    <w:abstractNumId w:val="27"/>
  </w:num>
  <w:num w:numId="28">
    <w:abstractNumId w:val="25"/>
  </w:num>
  <w:num w:numId="29">
    <w:abstractNumId w:val="28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884"/>
    <w:rsid w:val="00001A20"/>
    <w:rsid w:val="00006538"/>
    <w:rsid w:val="00007944"/>
    <w:rsid w:val="00013511"/>
    <w:rsid w:val="00015340"/>
    <w:rsid w:val="000167F8"/>
    <w:rsid w:val="0001705A"/>
    <w:rsid w:val="0001775A"/>
    <w:rsid w:val="000179B7"/>
    <w:rsid w:val="00017C77"/>
    <w:rsid w:val="00020BCB"/>
    <w:rsid w:val="00022538"/>
    <w:rsid w:val="000235D3"/>
    <w:rsid w:val="000277AC"/>
    <w:rsid w:val="000277B8"/>
    <w:rsid w:val="00031C4D"/>
    <w:rsid w:val="0003230C"/>
    <w:rsid w:val="00034548"/>
    <w:rsid w:val="00040621"/>
    <w:rsid w:val="000417D3"/>
    <w:rsid w:val="00042640"/>
    <w:rsid w:val="0004358C"/>
    <w:rsid w:val="000449BB"/>
    <w:rsid w:val="000450A2"/>
    <w:rsid w:val="00045A72"/>
    <w:rsid w:val="00046350"/>
    <w:rsid w:val="000463DC"/>
    <w:rsid w:val="00046B1F"/>
    <w:rsid w:val="00050F6B"/>
    <w:rsid w:val="00051B75"/>
    <w:rsid w:val="00052095"/>
    <w:rsid w:val="000574CF"/>
    <w:rsid w:val="000577C2"/>
    <w:rsid w:val="00057E97"/>
    <w:rsid w:val="0006272A"/>
    <w:rsid w:val="0006302B"/>
    <w:rsid w:val="0006323D"/>
    <w:rsid w:val="00064933"/>
    <w:rsid w:val="00065F86"/>
    <w:rsid w:val="0006614E"/>
    <w:rsid w:val="00070ED2"/>
    <w:rsid w:val="00071079"/>
    <w:rsid w:val="00072C8C"/>
    <w:rsid w:val="000733B5"/>
    <w:rsid w:val="0007448F"/>
    <w:rsid w:val="000753EC"/>
    <w:rsid w:val="00075D76"/>
    <w:rsid w:val="000765B4"/>
    <w:rsid w:val="00076A89"/>
    <w:rsid w:val="000809E9"/>
    <w:rsid w:val="00081815"/>
    <w:rsid w:val="00082CA1"/>
    <w:rsid w:val="00083A08"/>
    <w:rsid w:val="00084375"/>
    <w:rsid w:val="00085199"/>
    <w:rsid w:val="000852BE"/>
    <w:rsid w:val="00085369"/>
    <w:rsid w:val="00085F53"/>
    <w:rsid w:val="00090884"/>
    <w:rsid w:val="00090C39"/>
    <w:rsid w:val="00091A9F"/>
    <w:rsid w:val="00091B3D"/>
    <w:rsid w:val="000931C0"/>
    <w:rsid w:val="00095316"/>
    <w:rsid w:val="00095420"/>
    <w:rsid w:val="0009582B"/>
    <w:rsid w:val="00096EAD"/>
    <w:rsid w:val="000A0DD0"/>
    <w:rsid w:val="000A18DA"/>
    <w:rsid w:val="000A1ADF"/>
    <w:rsid w:val="000A2429"/>
    <w:rsid w:val="000A27F5"/>
    <w:rsid w:val="000A61D8"/>
    <w:rsid w:val="000A7E3C"/>
    <w:rsid w:val="000B0595"/>
    <w:rsid w:val="000B175B"/>
    <w:rsid w:val="000B3A0F"/>
    <w:rsid w:val="000B4BC8"/>
    <w:rsid w:val="000B4EF7"/>
    <w:rsid w:val="000B6F3B"/>
    <w:rsid w:val="000C2C03"/>
    <w:rsid w:val="000C2D2E"/>
    <w:rsid w:val="000C3468"/>
    <w:rsid w:val="000C37B7"/>
    <w:rsid w:val="000C39AC"/>
    <w:rsid w:val="000C4C0F"/>
    <w:rsid w:val="000C564E"/>
    <w:rsid w:val="000D0445"/>
    <w:rsid w:val="000D072A"/>
    <w:rsid w:val="000D174B"/>
    <w:rsid w:val="000D200F"/>
    <w:rsid w:val="000D2BC3"/>
    <w:rsid w:val="000D44FB"/>
    <w:rsid w:val="000D6E96"/>
    <w:rsid w:val="000E0415"/>
    <w:rsid w:val="000E1EA9"/>
    <w:rsid w:val="000E3979"/>
    <w:rsid w:val="000E4DC2"/>
    <w:rsid w:val="000F0914"/>
    <w:rsid w:val="000F221D"/>
    <w:rsid w:val="000F4825"/>
    <w:rsid w:val="000F55F1"/>
    <w:rsid w:val="00106B2C"/>
    <w:rsid w:val="00107DB9"/>
    <w:rsid w:val="001103AA"/>
    <w:rsid w:val="00111539"/>
    <w:rsid w:val="001156ED"/>
    <w:rsid w:val="001162AD"/>
    <w:rsid w:val="0011648F"/>
    <w:rsid w:val="0011666B"/>
    <w:rsid w:val="00116703"/>
    <w:rsid w:val="001175A4"/>
    <w:rsid w:val="00117BA7"/>
    <w:rsid w:val="00120C8A"/>
    <w:rsid w:val="00120E69"/>
    <w:rsid w:val="00122540"/>
    <w:rsid w:val="001228F3"/>
    <w:rsid w:val="001231FC"/>
    <w:rsid w:val="00123946"/>
    <w:rsid w:val="00126600"/>
    <w:rsid w:val="001308E6"/>
    <w:rsid w:val="00130A5A"/>
    <w:rsid w:val="00130D4D"/>
    <w:rsid w:val="00131CAC"/>
    <w:rsid w:val="001321AF"/>
    <w:rsid w:val="00137428"/>
    <w:rsid w:val="00137967"/>
    <w:rsid w:val="0013796B"/>
    <w:rsid w:val="00141D38"/>
    <w:rsid w:val="00147012"/>
    <w:rsid w:val="001474C7"/>
    <w:rsid w:val="00150AD1"/>
    <w:rsid w:val="00152E17"/>
    <w:rsid w:val="00153C77"/>
    <w:rsid w:val="00154894"/>
    <w:rsid w:val="00154FD9"/>
    <w:rsid w:val="00157293"/>
    <w:rsid w:val="00157595"/>
    <w:rsid w:val="00161555"/>
    <w:rsid w:val="001618A6"/>
    <w:rsid w:val="001657D2"/>
    <w:rsid w:val="001659A6"/>
    <w:rsid w:val="00165F3A"/>
    <w:rsid w:val="0016657E"/>
    <w:rsid w:val="00166FCC"/>
    <w:rsid w:val="00171A24"/>
    <w:rsid w:val="001736A5"/>
    <w:rsid w:val="00175504"/>
    <w:rsid w:val="001760A4"/>
    <w:rsid w:val="00177797"/>
    <w:rsid w:val="00180237"/>
    <w:rsid w:val="0018094E"/>
    <w:rsid w:val="00180C98"/>
    <w:rsid w:val="00184D14"/>
    <w:rsid w:val="00184DDA"/>
    <w:rsid w:val="00184F6A"/>
    <w:rsid w:val="00185851"/>
    <w:rsid w:val="00186278"/>
    <w:rsid w:val="00186C5A"/>
    <w:rsid w:val="0018709C"/>
    <w:rsid w:val="00187C22"/>
    <w:rsid w:val="001922C0"/>
    <w:rsid w:val="00194706"/>
    <w:rsid w:val="001969F4"/>
    <w:rsid w:val="00197713"/>
    <w:rsid w:val="001A0FDE"/>
    <w:rsid w:val="001A1D7E"/>
    <w:rsid w:val="001A3336"/>
    <w:rsid w:val="001A4062"/>
    <w:rsid w:val="001A447C"/>
    <w:rsid w:val="001A4BD7"/>
    <w:rsid w:val="001B3881"/>
    <w:rsid w:val="001B4B04"/>
    <w:rsid w:val="001B4FE6"/>
    <w:rsid w:val="001B63C9"/>
    <w:rsid w:val="001C0FA2"/>
    <w:rsid w:val="001C40D5"/>
    <w:rsid w:val="001C4173"/>
    <w:rsid w:val="001C52CB"/>
    <w:rsid w:val="001C6663"/>
    <w:rsid w:val="001C6B53"/>
    <w:rsid w:val="001C747C"/>
    <w:rsid w:val="001C7895"/>
    <w:rsid w:val="001D0C8C"/>
    <w:rsid w:val="001D0EA3"/>
    <w:rsid w:val="001D1419"/>
    <w:rsid w:val="001D14D1"/>
    <w:rsid w:val="001D26DF"/>
    <w:rsid w:val="001D3A03"/>
    <w:rsid w:val="001D507A"/>
    <w:rsid w:val="001D5D21"/>
    <w:rsid w:val="001E003C"/>
    <w:rsid w:val="001E0730"/>
    <w:rsid w:val="001E3010"/>
    <w:rsid w:val="001E3535"/>
    <w:rsid w:val="001E591B"/>
    <w:rsid w:val="001E6389"/>
    <w:rsid w:val="001E6901"/>
    <w:rsid w:val="001E6D30"/>
    <w:rsid w:val="001E6FC5"/>
    <w:rsid w:val="001E7B67"/>
    <w:rsid w:val="001E7FCC"/>
    <w:rsid w:val="001F0018"/>
    <w:rsid w:val="001F191C"/>
    <w:rsid w:val="001F38E9"/>
    <w:rsid w:val="001F3F9B"/>
    <w:rsid w:val="00201859"/>
    <w:rsid w:val="00201AC5"/>
    <w:rsid w:val="00202DA8"/>
    <w:rsid w:val="00203058"/>
    <w:rsid w:val="0020337A"/>
    <w:rsid w:val="00211E0B"/>
    <w:rsid w:val="00211F80"/>
    <w:rsid w:val="0021385C"/>
    <w:rsid w:val="00217952"/>
    <w:rsid w:val="00220F63"/>
    <w:rsid w:val="00222F13"/>
    <w:rsid w:val="00224EAF"/>
    <w:rsid w:val="0022521B"/>
    <w:rsid w:val="00230C33"/>
    <w:rsid w:val="00230FF2"/>
    <w:rsid w:val="0023275A"/>
    <w:rsid w:val="002329F9"/>
    <w:rsid w:val="002331E5"/>
    <w:rsid w:val="00233A7A"/>
    <w:rsid w:val="00234084"/>
    <w:rsid w:val="00234BE9"/>
    <w:rsid w:val="00234EB7"/>
    <w:rsid w:val="00235A0E"/>
    <w:rsid w:val="00235D82"/>
    <w:rsid w:val="00235DF3"/>
    <w:rsid w:val="0024167E"/>
    <w:rsid w:val="002440FF"/>
    <w:rsid w:val="002445C6"/>
    <w:rsid w:val="0024466E"/>
    <w:rsid w:val="0024772E"/>
    <w:rsid w:val="00251834"/>
    <w:rsid w:val="00253F36"/>
    <w:rsid w:val="00255AE3"/>
    <w:rsid w:val="002601EE"/>
    <w:rsid w:val="00261DF0"/>
    <w:rsid w:val="00262246"/>
    <w:rsid w:val="00262336"/>
    <w:rsid w:val="002647A6"/>
    <w:rsid w:val="00267F4C"/>
    <w:rsid w:val="00267F5F"/>
    <w:rsid w:val="00270309"/>
    <w:rsid w:val="00272B66"/>
    <w:rsid w:val="00273761"/>
    <w:rsid w:val="00275313"/>
    <w:rsid w:val="00275521"/>
    <w:rsid w:val="00277FF8"/>
    <w:rsid w:val="00280730"/>
    <w:rsid w:val="00280768"/>
    <w:rsid w:val="00280DD1"/>
    <w:rsid w:val="002837BE"/>
    <w:rsid w:val="00283B26"/>
    <w:rsid w:val="00284A20"/>
    <w:rsid w:val="002852C1"/>
    <w:rsid w:val="00286B4D"/>
    <w:rsid w:val="002904A0"/>
    <w:rsid w:val="00293348"/>
    <w:rsid w:val="002959F1"/>
    <w:rsid w:val="00295B60"/>
    <w:rsid w:val="002A2019"/>
    <w:rsid w:val="002A5443"/>
    <w:rsid w:val="002A5A8F"/>
    <w:rsid w:val="002A6AC5"/>
    <w:rsid w:val="002A7771"/>
    <w:rsid w:val="002A7C47"/>
    <w:rsid w:val="002B2047"/>
    <w:rsid w:val="002B277D"/>
    <w:rsid w:val="002B29B0"/>
    <w:rsid w:val="002B7F82"/>
    <w:rsid w:val="002C15EB"/>
    <w:rsid w:val="002C1EAB"/>
    <w:rsid w:val="002C3C0B"/>
    <w:rsid w:val="002C59FD"/>
    <w:rsid w:val="002D020A"/>
    <w:rsid w:val="002D1D37"/>
    <w:rsid w:val="002D2886"/>
    <w:rsid w:val="002D2E8F"/>
    <w:rsid w:val="002D4643"/>
    <w:rsid w:val="002D58A8"/>
    <w:rsid w:val="002D612B"/>
    <w:rsid w:val="002E4653"/>
    <w:rsid w:val="002E48C2"/>
    <w:rsid w:val="002E51FB"/>
    <w:rsid w:val="002F175C"/>
    <w:rsid w:val="002F1F6E"/>
    <w:rsid w:val="002F2B7D"/>
    <w:rsid w:val="002F624C"/>
    <w:rsid w:val="002F635D"/>
    <w:rsid w:val="002F722C"/>
    <w:rsid w:val="002F7B58"/>
    <w:rsid w:val="00302E18"/>
    <w:rsid w:val="003052C5"/>
    <w:rsid w:val="00305497"/>
    <w:rsid w:val="003062F4"/>
    <w:rsid w:val="003064EA"/>
    <w:rsid w:val="003074BE"/>
    <w:rsid w:val="00307671"/>
    <w:rsid w:val="0031223E"/>
    <w:rsid w:val="00315ECA"/>
    <w:rsid w:val="003168BD"/>
    <w:rsid w:val="00316E3F"/>
    <w:rsid w:val="00317134"/>
    <w:rsid w:val="00317452"/>
    <w:rsid w:val="00317DE3"/>
    <w:rsid w:val="00320F20"/>
    <w:rsid w:val="003229D8"/>
    <w:rsid w:val="00325AFE"/>
    <w:rsid w:val="00325D4A"/>
    <w:rsid w:val="00327213"/>
    <w:rsid w:val="00333C33"/>
    <w:rsid w:val="00335E22"/>
    <w:rsid w:val="0034068F"/>
    <w:rsid w:val="00341D5E"/>
    <w:rsid w:val="00343058"/>
    <w:rsid w:val="00345568"/>
    <w:rsid w:val="00345671"/>
    <w:rsid w:val="0034653D"/>
    <w:rsid w:val="00350DFA"/>
    <w:rsid w:val="00351C9A"/>
    <w:rsid w:val="00352709"/>
    <w:rsid w:val="00354890"/>
    <w:rsid w:val="00354B64"/>
    <w:rsid w:val="003557A6"/>
    <w:rsid w:val="00356375"/>
    <w:rsid w:val="00360443"/>
    <w:rsid w:val="0036075A"/>
    <w:rsid w:val="003619B5"/>
    <w:rsid w:val="00361A43"/>
    <w:rsid w:val="00365763"/>
    <w:rsid w:val="00371178"/>
    <w:rsid w:val="00371524"/>
    <w:rsid w:val="00371D92"/>
    <w:rsid w:val="00373FBF"/>
    <w:rsid w:val="00374273"/>
    <w:rsid w:val="0037571B"/>
    <w:rsid w:val="00376ED4"/>
    <w:rsid w:val="00380D88"/>
    <w:rsid w:val="00381D30"/>
    <w:rsid w:val="00382FDC"/>
    <w:rsid w:val="00384775"/>
    <w:rsid w:val="003847CB"/>
    <w:rsid w:val="00386A80"/>
    <w:rsid w:val="00386C90"/>
    <w:rsid w:val="00386CCC"/>
    <w:rsid w:val="003878E4"/>
    <w:rsid w:val="00387B7F"/>
    <w:rsid w:val="00391599"/>
    <w:rsid w:val="003918E5"/>
    <w:rsid w:val="00391A66"/>
    <w:rsid w:val="00392C07"/>
    <w:rsid w:val="00392E47"/>
    <w:rsid w:val="0039358E"/>
    <w:rsid w:val="00396E25"/>
    <w:rsid w:val="00396FC7"/>
    <w:rsid w:val="0039796D"/>
    <w:rsid w:val="003A26F5"/>
    <w:rsid w:val="003A53EE"/>
    <w:rsid w:val="003A6810"/>
    <w:rsid w:val="003A683E"/>
    <w:rsid w:val="003A6894"/>
    <w:rsid w:val="003A6E17"/>
    <w:rsid w:val="003B162E"/>
    <w:rsid w:val="003B1EA3"/>
    <w:rsid w:val="003B4680"/>
    <w:rsid w:val="003B4F62"/>
    <w:rsid w:val="003B5492"/>
    <w:rsid w:val="003C0419"/>
    <w:rsid w:val="003C1019"/>
    <w:rsid w:val="003C2B03"/>
    <w:rsid w:val="003C2CC4"/>
    <w:rsid w:val="003C37DC"/>
    <w:rsid w:val="003C6521"/>
    <w:rsid w:val="003C76E0"/>
    <w:rsid w:val="003D105D"/>
    <w:rsid w:val="003D17C0"/>
    <w:rsid w:val="003D1FB2"/>
    <w:rsid w:val="003D4B23"/>
    <w:rsid w:val="003E2449"/>
    <w:rsid w:val="003E404C"/>
    <w:rsid w:val="003E4B30"/>
    <w:rsid w:val="003E747B"/>
    <w:rsid w:val="003F1D5F"/>
    <w:rsid w:val="003F2DDF"/>
    <w:rsid w:val="003F5941"/>
    <w:rsid w:val="0040108F"/>
    <w:rsid w:val="004011DB"/>
    <w:rsid w:val="004025DC"/>
    <w:rsid w:val="00402BEF"/>
    <w:rsid w:val="004105DF"/>
    <w:rsid w:val="00410B7B"/>
    <w:rsid w:val="00410C89"/>
    <w:rsid w:val="00411414"/>
    <w:rsid w:val="00411535"/>
    <w:rsid w:val="00412B50"/>
    <w:rsid w:val="00413569"/>
    <w:rsid w:val="00414EFE"/>
    <w:rsid w:val="004156DA"/>
    <w:rsid w:val="00415E5D"/>
    <w:rsid w:val="00415F5A"/>
    <w:rsid w:val="004163A9"/>
    <w:rsid w:val="0042019D"/>
    <w:rsid w:val="0042092B"/>
    <w:rsid w:val="00422D34"/>
    <w:rsid w:val="00422E03"/>
    <w:rsid w:val="00423A7C"/>
    <w:rsid w:val="00423C67"/>
    <w:rsid w:val="004252AC"/>
    <w:rsid w:val="00426B9B"/>
    <w:rsid w:val="00426DA4"/>
    <w:rsid w:val="00430BA7"/>
    <w:rsid w:val="00431596"/>
    <w:rsid w:val="0043230C"/>
    <w:rsid w:val="0043244B"/>
    <w:rsid w:val="004325CB"/>
    <w:rsid w:val="00432FC5"/>
    <w:rsid w:val="00433186"/>
    <w:rsid w:val="00433A91"/>
    <w:rsid w:val="0043487B"/>
    <w:rsid w:val="00434A44"/>
    <w:rsid w:val="0043572A"/>
    <w:rsid w:val="00435845"/>
    <w:rsid w:val="00436788"/>
    <w:rsid w:val="0043741B"/>
    <w:rsid w:val="0044152D"/>
    <w:rsid w:val="00442A83"/>
    <w:rsid w:val="0044405A"/>
    <w:rsid w:val="004447E8"/>
    <w:rsid w:val="00444AB6"/>
    <w:rsid w:val="00447375"/>
    <w:rsid w:val="00447A81"/>
    <w:rsid w:val="0045129D"/>
    <w:rsid w:val="0045144F"/>
    <w:rsid w:val="00451E90"/>
    <w:rsid w:val="0045495B"/>
    <w:rsid w:val="00455C0E"/>
    <w:rsid w:val="004579D0"/>
    <w:rsid w:val="00463E7C"/>
    <w:rsid w:val="00463F9B"/>
    <w:rsid w:val="0046412F"/>
    <w:rsid w:val="00465EAD"/>
    <w:rsid w:val="00466275"/>
    <w:rsid w:val="004676F1"/>
    <w:rsid w:val="004711B1"/>
    <w:rsid w:val="00471F87"/>
    <w:rsid w:val="00475821"/>
    <w:rsid w:val="00476279"/>
    <w:rsid w:val="004766A9"/>
    <w:rsid w:val="00477769"/>
    <w:rsid w:val="0048397A"/>
    <w:rsid w:val="00485AA8"/>
    <w:rsid w:val="00485CBB"/>
    <w:rsid w:val="004866B7"/>
    <w:rsid w:val="00490C9A"/>
    <w:rsid w:val="00490D62"/>
    <w:rsid w:val="0049154A"/>
    <w:rsid w:val="00492114"/>
    <w:rsid w:val="00492381"/>
    <w:rsid w:val="004932E9"/>
    <w:rsid w:val="004936B7"/>
    <w:rsid w:val="00494422"/>
    <w:rsid w:val="004A04A8"/>
    <w:rsid w:val="004A3A0A"/>
    <w:rsid w:val="004A402D"/>
    <w:rsid w:val="004A4BC9"/>
    <w:rsid w:val="004A6FC0"/>
    <w:rsid w:val="004A730E"/>
    <w:rsid w:val="004A7358"/>
    <w:rsid w:val="004B1C4D"/>
    <w:rsid w:val="004B3363"/>
    <w:rsid w:val="004B478E"/>
    <w:rsid w:val="004B4F68"/>
    <w:rsid w:val="004B5AF9"/>
    <w:rsid w:val="004B5B5C"/>
    <w:rsid w:val="004C0EC0"/>
    <w:rsid w:val="004C1419"/>
    <w:rsid w:val="004C1577"/>
    <w:rsid w:val="004C2461"/>
    <w:rsid w:val="004C31A9"/>
    <w:rsid w:val="004C6693"/>
    <w:rsid w:val="004C7462"/>
    <w:rsid w:val="004D01D3"/>
    <w:rsid w:val="004D0352"/>
    <w:rsid w:val="004D2C59"/>
    <w:rsid w:val="004D3336"/>
    <w:rsid w:val="004D4FF6"/>
    <w:rsid w:val="004E136D"/>
    <w:rsid w:val="004E2C72"/>
    <w:rsid w:val="004E486A"/>
    <w:rsid w:val="004E4D82"/>
    <w:rsid w:val="004E589F"/>
    <w:rsid w:val="004E672F"/>
    <w:rsid w:val="004E69FC"/>
    <w:rsid w:val="004E7298"/>
    <w:rsid w:val="004E77B2"/>
    <w:rsid w:val="004E7A39"/>
    <w:rsid w:val="004F1824"/>
    <w:rsid w:val="004F27A7"/>
    <w:rsid w:val="004F2A5B"/>
    <w:rsid w:val="004F2C47"/>
    <w:rsid w:val="00503BA2"/>
    <w:rsid w:val="00504B2D"/>
    <w:rsid w:val="00511A1F"/>
    <w:rsid w:val="005134F7"/>
    <w:rsid w:val="00517CF9"/>
    <w:rsid w:val="00517DCD"/>
    <w:rsid w:val="0052029D"/>
    <w:rsid w:val="0052136D"/>
    <w:rsid w:val="005213E1"/>
    <w:rsid w:val="00521AC7"/>
    <w:rsid w:val="00521CD2"/>
    <w:rsid w:val="005220CD"/>
    <w:rsid w:val="005259ED"/>
    <w:rsid w:val="00525AD4"/>
    <w:rsid w:val="0052658A"/>
    <w:rsid w:val="00526FBA"/>
    <w:rsid w:val="0052775E"/>
    <w:rsid w:val="0053017E"/>
    <w:rsid w:val="00530AEF"/>
    <w:rsid w:val="00532E92"/>
    <w:rsid w:val="00533976"/>
    <w:rsid w:val="005368F9"/>
    <w:rsid w:val="005376B3"/>
    <w:rsid w:val="005408B8"/>
    <w:rsid w:val="00541AA7"/>
    <w:rsid w:val="005420F2"/>
    <w:rsid w:val="00543714"/>
    <w:rsid w:val="00543ECA"/>
    <w:rsid w:val="005443C4"/>
    <w:rsid w:val="005445D9"/>
    <w:rsid w:val="005458EB"/>
    <w:rsid w:val="00546C50"/>
    <w:rsid w:val="00547CE7"/>
    <w:rsid w:val="00551DBF"/>
    <w:rsid w:val="005526DA"/>
    <w:rsid w:val="00553945"/>
    <w:rsid w:val="00555049"/>
    <w:rsid w:val="005552D1"/>
    <w:rsid w:val="0055534E"/>
    <w:rsid w:val="00560011"/>
    <w:rsid w:val="0056104F"/>
    <w:rsid w:val="00562450"/>
    <w:rsid w:val="005628B6"/>
    <w:rsid w:val="00563491"/>
    <w:rsid w:val="00564558"/>
    <w:rsid w:val="00565102"/>
    <w:rsid w:val="00566462"/>
    <w:rsid w:val="00572488"/>
    <w:rsid w:val="005733C2"/>
    <w:rsid w:val="00573C3C"/>
    <w:rsid w:val="00574C49"/>
    <w:rsid w:val="00580FD3"/>
    <w:rsid w:val="0058200E"/>
    <w:rsid w:val="0058257D"/>
    <w:rsid w:val="0058280E"/>
    <w:rsid w:val="00586500"/>
    <w:rsid w:val="00596E78"/>
    <w:rsid w:val="00596F86"/>
    <w:rsid w:val="0059724D"/>
    <w:rsid w:val="005A1D2D"/>
    <w:rsid w:val="005A4056"/>
    <w:rsid w:val="005A4B0A"/>
    <w:rsid w:val="005A7A26"/>
    <w:rsid w:val="005B0BA4"/>
    <w:rsid w:val="005B164E"/>
    <w:rsid w:val="005B3DB3"/>
    <w:rsid w:val="005B4E13"/>
    <w:rsid w:val="005B61A0"/>
    <w:rsid w:val="005C046C"/>
    <w:rsid w:val="005C0E60"/>
    <w:rsid w:val="005C30BA"/>
    <w:rsid w:val="005C342F"/>
    <w:rsid w:val="005C6691"/>
    <w:rsid w:val="005C6A18"/>
    <w:rsid w:val="005C728A"/>
    <w:rsid w:val="005C728F"/>
    <w:rsid w:val="005D221B"/>
    <w:rsid w:val="005D2609"/>
    <w:rsid w:val="005D2F8F"/>
    <w:rsid w:val="005D525B"/>
    <w:rsid w:val="005D62A4"/>
    <w:rsid w:val="005D6762"/>
    <w:rsid w:val="005D6B97"/>
    <w:rsid w:val="005E1377"/>
    <w:rsid w:val="005E1EA3"/>
    <w:rsid w:val="005E3C40"/>
    <w:rsid w:val="005E3D85"/>
    <w:rsid w:val="005E6A67"/>
    <w:rsid w:val="005E706A"/>
    <w:rsid w:val="005F1D0E"/>
    <w:rsid w:val="005F3063"/>
    <w:rsid w:val="005F483A"/>
    <w:rsid w:val="005F50C3"/>
    <w:rsid w:val="005F6240"/>
    <w:rsid w:val="005F7B75"/>
    <w:rsid w:val="006001EE"/>
    <w:rsid w:val="00602B9A"/>
    <w:rsid w:val="006044E9"/>
    <w:rsid w:val="00605042"/>
    <w:rsid w:val="00606E14"/>
    <w:rsid w:val="00607E93"/>
    <w:rsid w:val="00610420"/>
    <w:rsid w:val="006109E3"/>
    <w:rsid w:val="00611FC4"/>
    <w:rsid w:val="0061451C"/>
    <w:rsid w:val="006153EB"/>
    <w:rsid w:val="006173AF"/>
    <w:rsid w:val="006176FB"/>
    <w:rsid w:val="006210F6"/>
    <w:rsid w:val="00624338"/>
    <w:rsid w:val="0062490E"/>
    <w:rsid w:val="00627E5D"/>
    <w:rsid w:val="00634577"/>
    <w:rsid w:val="006407DF"/>
    <w:rsid w:val="00640B26"/>
    <w:rsid w:val="00640CBE"/>
    <w:rsid w:val="00643E9F"/>
    <w:rsid w:val="006457BD"/>
    <w:rsid w:val="006466F0"/>
    <w:rsid w:val="00646EFB"/>
    <w:rsid w:val="0064748A"/>
    <w:rsid w:val="00652A8E"/>
    <w:rsid w:val="00652D0A"/>
    <w:rsid w:val="006542A0"/>
    <w:rsid w:val="00654385"/>
    <w:rsid w:val="00654CEF"/>
    <w:rsid w:val="00661908"/>
    <w:rsid w:val="00662716"/>
    <w:rsid w:val="00662BB6"/>
    <w:rsid w:val="00662D4F"/>
    <w:rsid w:val="00663670"/>
    <w:rsid w:val="006646A9"/>
    <w:rsid w:val="006661F3"/>
    <w:rsid w:val="006707BE"/>
    <w:rsid w:val="006707DB"/>
    <w:rsid w:val="00671F15"/>
    <w:rsid w:val="00674F64"/>
    <w:rsid w:val="00675379"/>
    <w:rsid w:val="006757FB"/>
    <w:rsid w:val="00675E53"/>
    <w:rsid w:val="00676606"/>
    <w:rsid w:val="00676C93"/>
    <w:rsid w:val="0067744D"/>
    <w:rsid w:val="00677FE2"/>
    <w:rsid w:val="00680AF0"/>
    <w:rsid w:val="0068138A"/>
    <w:rsid w:val="00681719"/>
    <w:rsid w:val="0068242D"/>
    <w:rsid w:val="00682A75"/>
    <w:rsid w:val="00682EF1"/>
    <w:rsid w:val="00683137"/>
    <w:rsid w:val="00684AC3"/>
    <w:rsid w:val="00684C21"/>
    <w:rsid w:val="0068598F"/>
    <w:rsid w:val="006869FE"/>
    <w:rsid w:val="00686AC2"/>
    <w:rsid w:val="00693AA0"/>
    <w:rsid w:val="00695E90"/>
    <w:rsid w:val="006971E5"/>
    <w:rsid w:val="00697C0C"/>
    <w:rsid w:val="006A2530"/>
    <w:rsid w:val="006A2C8D"/>
    <w:rsid w:val="006A2D2E"/>
    <w:rsid w:val="006A49E0"/>
    <w:rsid w:val="006A4D27"/>
    <w:rsid w:val="006A5055"/>
    <w:rsid w:val="006A51A2"/>
    <w:rsid w:val="006A594E"/>
    <w:rsid w:val="006A79B2"/>
    <w:rsid w:val="006B23F2"/>
    <w:rsid w:val="006C2753"/>
    <w:rsid w:val="006C3589"/>
    <w:rsid w:val="006C5585"/>
    <w:rsid w:val="006C7B5C"/>
    <w:rsid w:val="006C7CDB"/>
    <w:rsid w:val="006D17BC"/>
    <w:rsid w:val="006D298F"/>
    <w:rsid w:val="006D37AF"/>
    <w:rsid w:val="006D51D0"/>
    <w:rsid w:val="006D5FB9"/>
    <w:rsid w:val="006D6347"/>
    <w:rsid w:val="006D6DE0"/>
    <w:rsid w:val="006D6F2B"/>
    <w:rsid w:val="006E0361"/>
    <w:rsid w:val="006E11FD"/>
    <w:rsid w:val="006E3B86"/>
    <w:rsid w:val="006E564B"/>
    <w:rsid w:val="006E66F5"/>
    <w:rsid w:val="006E7191"/>
    <w:rsid w:val="006E769F"/>
    <w:rsid w:val="006F1D36"/>
    <w:rsid w:val="006F4610"/>
    <w:rsid w:val="006F464D"/>
    <w:rsid w:val="006F5D57"/>
    <w:rsid w:val="007027C5"/>
    <w:rsid w:val="00703577"/>
    <w:rsid w:val="007039AF"/>
    <w:rsid w:val="0070418F"/>
    <w:rsid w:val="00705894"/>
    <w:rsid w:val="00710E94"/>
    <w:rsid w:val="00711754"/>
    <w:rsid w:val="00711FAA"/>
    <w:rsid w:val="00716945"/>
    <w:rsid w:val="00717F8B"/>
    <w:rsid w:val="007201C4"/>
    <w:rsid w:val="0072024B"/>
    <w:rsid w:val="007226F2"/>
    <w:rsid w:val="00724B8B"/>
    <w:rsid w:val="0072632A"/>
    <w:rsid w:val="00726A4F"/>
    <w:rsid w:val="0073013C"/>
    <w:rsid w:val="00731A46"/>
    <w:rsid w:val="00731BF7"/>
    <w:rsid w:val="007327D5"/>
    <w:rsid w:val="007339DF"/>
    <w:rsid w:val="00733C31"/>
    <w:rsid w:val="007432C2"/>
    <w:rsid w:val="00744408"/>
    <w:rsid w:val="0074453D"/>
    <w:rsid w:val="0074540E"/>
    <w:rsid w:val="00745AE3"/>
    <w:rsid w:val="007523AD"/>
    <w:rsid w:val="007547FC"/>
    <w:rsid w:val="00754823"/>
    <w:rsid w:val="007601D5"/>
    <w:rsid w:val="00760693"/>
    <w:rsid w:val="00760AD0"/>
    <w:rsid w:val="007611DC"/>
    <w:rsid w:val="0076165F"/>
    <w:rsid w:val="007629C8"/>
    <w:rsid w:val="0077047D"/>
    <w:rsid w:val="00775542"/>
    <w:rsid w:val="00775745"/>
    <w:rsid w:val="00775B19"/>
    <w:rsid w:val="0077602C"/>
    <w:rsid w:val="00782737"/>
    <w:rsid w:val="00783B78"/>
    <w:rsid w:val="00784602"/>
    <w:rsid w:val="00784A83"/>
    <w:rsid w:val="007852B2"/>
    <w:rsid w:val="00785645"/>
    <w:rsid w:val="00787085"/>
    <w:rsid w:val="007907F7"/>
    <w:rsid w:val="0079287A"/>
    <w:rsid w:val="00792B0D"/>
    <w:rsid w:val="00795D69"/>
    <w:rsid w:val="00796867"/>
    <w:rsid w:val="00797B49"/>
    <w:rsid w:val="007A0D46"/>
    <w:rsid w:val="007A0FB7"/>
    <w:rsid w:val="007A12F3"/>
    <w:rsid w:val="007A3377"/>
    <w:rsid w:val="007A4FEB"/>
    <w:rsid w:val="007A50AB"/>
    <w:rsid w:val="007A5FA9"/>
    <w:rsid w:val="007B6BA5"/>
    <w:rsid w:val="007B7B52"/>
    <w:rsid w:val="007C3390"/>
    <w:rsid w:val="007C3720"/>
    <w:rsid w:val="007C3FD7"/>
    <w:rsid w:val="007C4F4B"/>
    <w:rsid w:val="007C57D3"/>
    <w:rsid w:val="007C66E4"/>
    <w:rsid w:val="007C778E"/>
    <w:rsid w:val="007C7A22"/>
    <w:rsid w:val="007D48E1"/>
    <w:rsid w:val="007D498A"/>
    <w:rsid w:val="007E011A"/>
    <w:rsid w:val="007E01E9"/>
    <w:rsid w:val="007E05DE"/>
    <w:rsid w:val="007E1FE4"/>
    <w:rsid w:val="007E2BBE"/>
    <w:rsid w:val="007E4BFE"/>
    <w:rsid w:val="007E63F3"/>
    <w:rsid w:val="007E761F"/>
    <w:rsid w:val="007E7CA3"/>
    <w:rsid w:val="007F18D4"/>
    <w:rsid w:val="007F2119"/>
    <w:rsid w:val="007F24A4"/>
    <w:rsid w:val="007F280E"/>
    <w:rsid w:val="007F34AA"/>
    <w:rsid w:val="007F4635"/>
    <w:rsid w:val="007F4B82"/>
    <w:rsid w:val="007F62F9"/>
    <w:rsid w:val="007F639C"/>
    <w:rsid w:val="007F6611"/>
    <w:rsid w:val="007F704B"/>
    <w:rsid w:val="008029ED"/>
    <w:rsid w:val="00803B5C"/>
    <w:rsid w:val="00804CB8"/>
    <w:rsid w:val="008109B0"/>
    <w:rsid w:val="00811920"/>
    <w:rsid w:val="00811C2E"/>
    <w:rsid w:val="00815AD0"/>
    <w:rsid w:val="008174C9"/>
    <w:rsid w:val="00817F74"/>
    <w:rsid w:val="008215C3"/>
    <w:rsid w:val="00822027"/>
    <w:rsid w:val="00823783"/>
    <w:rsid w:val="00823E2C"/>
    <w:rsid w:val="008242D7"/>
    <w:rsid w:val="008257B1"/>
    <w:rsid w:val="008273E5"/>
    <w:rsid w:val="00830159"/>
    <w:rsid w:val="0083179C"/>
    <w:rsid w:val="00832334"/>
    <w:rsid w:val="00835DBD"/>
    <w:rsid w:val="00840CB7"/>
    <w:rsid w:val="00843767"/>
    <w:rsid w:val="00843A0A"/>
    <w:rsid w:val="00843A1D"/>
    <w:rsid w:val="00847F4A"/>
    <w:rsid w:val="0085177F"/>
    <w:rsid w:val="00854B2B"/>
    <w:rsid w:val="00860DE4"/>
    <w:rsid w:val="00861302"/>
    <w:rsid w:val="008619CD"/>
    <w:rsid w:val="00863879"/>
    <w:rsid w:val="00864383"/>
    <w:rsid w:val="00864A20"/>
    <w:rsid w:val="00865BD2"/>
    <w:rsid w:val="00865ED8"/>
    <w:rsid w:val="008679D9"/>
    <w:rsid w:val="00867A89"/>
    <w:rsid w:val="008709A3"/>
    <w:rsid w:val="0087294F"/>
    <w:rsid w:val="00873752"/>
    <w:rsid w:val="00873A38"/>
    <w:rsid w:val="00874AEE"/>
    <w:rsid w:val="00874D25"/>
    <w:rsid w:val="00874F3B"/>
    <w:rsid w:val="00875FE6"/>
    <w:rsid w:val="00877417"/>
    <w:rsid w:val="0087775A"/>
    <w:rsid w:val="0088057D"/>
    <w:rsid w:val="00881201"/>
    <w:rsid w:val="008817F7"/>
    <w:rsid w:val="008819CC"/>
    <w:rsid w:val="0088502C"/>
    <w:rsid w:val="0088659A"/>
    <w:rsid w:val="008878DE"/>
    <w:rsid w:val="00890225"/>
    <w:rsid w:val="00894CBC"/>
    <w:rsid w:val="0089558F"/>
    <w:rsid w:val="0089591A"/>
    <w:rsid w:val="00895950"/>
    <w:rsid w:val="008979B1"/>
    <w:rsid w:val="008A34F6"/>
    <w:rsid w:val="008A49C3"/>
    <w:rsid w:val="008A5352"/>
    <w:rsid w:val="008A63E1"/>
    <w:rsid w:val="008A68D2"/>
    <w:rsid w:val="008A6B25"/>
    <w:rsid w:val="008A6C4F"/>
    <w:rsid w:val="008B0669"/>
    <w:rsid w:val="008B1EAF"/>
    <w:rsid w:val="008B2335"/>
    <w:rsid w:val="008B3377"/>
    <w:rsid w:val="008B34DD"/>
    <w:rsid w:val="008B3B4C"/>
    <w:rsid w:val="008B427D"/>
    <w:rsid w:val="008B4F74"/>
    <w:rsid w:val="008B6ACE"/>
    <w:rsid w:val="008B72A3"/>
    <w:rsid w:val="008B77D4"/>
    <w:rsid w:val="008C27B6"/>
    <w:rsid w:val="008C46BB"/>
    <w:rsid w:val="008C4D5C"/>
    <w:rsid w:val="008C6A9D"/>
    <w:rsid w:val="008C7519"/>
    <w:rsid w:val="008D15AD"/>
    <w:rsid w:val="008D3D6B"/>
    <w:rsid w:val="008D46F2"/>
    <w:rsid w:val="008D5949"/>
    <w:rsid w:val="008D7567"/>
    <w:rsid w:val="008E0678"/>
    <w:rsid w:val="008E0F53"/>
    <w:rsid w:val="008E1EE7"/>
    <w:rsid w:val="008E2B91"/>
    <w:rsid w:val="008E6117"/>
    <w:rsid w:val="008E68E4"/>
    <w:rsid w:val="008E6B5E"/>
    <w:rsid w:val="008E6DD1"/>
    <w:rsid w:val="008F126F"/>
    <w:rsid w:val="008F1E30"/>
    <w:rsid w:val="008F33A4"/>
    <w:rsid w:val="008F444B"/>
    <w:rsid w:val="008F7DC3"/>
    <w:rsid w:val="00902887"/>
    <w:rsid w:val="00903A5A"/>
    <w:rsid w:val="00903CBF"/>
    <w:rsid w:val="009041E4"/>
    <w:rsid w:val="009043BF"/>
    <w:rsid w:val="0090508B"/>
    <w:rsid w:val="0091283F"/>
    <w:rsid w:val="0091347E"/>
    <w:rsid w:val="00913D66"/>
    <w:rsid w:val="00913EA9"/>
    <w:rsid w:val="00913F5A"/>
    <w:rsid w:val="00913F62"/>
    <w:rsid w:val="009157DC"/>
    <w:rsid w:val="00915A4B"/>
    <w:rsid w:val="0091730F"/>
    <w:rsid w:val="009176E9"/>
    <w:rsid w:val="0092180C"/>
    <w:rsid w:val="009223CA"/>
    <w:rsid w:val="00923CD0"/>
    <w:rsid w:val="0092528F"/>
    <w:rsid w:val="00925D32"/>
    <w:rsid w:val="00927E71"/>
    <w:rsid w:val="00930359"/>
    <w:rsid w:val="0093245F"/>
    <w:rsid w:val="00932C8D"/>
    <w:rsid w:val="009332D0"/>
    <w:rsid w:val="00933F18"/>
    <w:rsid w:val="009373A8"/>
    <w:rsid w:val="00937B2D"/>
    <w:rsid w:val="009405AB"/>
    <w:rsid w:val="00940F93"/>
    <w:rsid w:val="00941973"/>
    <w:rsid w:val="00941EF9"/>
    <w:rsid w:val="0094228A"/>
    <w:rsid w:val="00944C63"/>
    <w:rsid w:val="009466D2"/>
    <w:rsid w:val="009468C1"/>
    <w:rsid w:val="00950F91"/>
    <w:rsid w:val="009513A3"/>
    <w:rsid w:val="00956321"/>
    <w:rsid w:val="00964F19"/>
    <w:rsid w:val="009656BC"/>
    <w:rsid w:val="009663F0"/>
    <w:rsid w:val="00967B4F"/>
    <w:rsid w:val="00973871"/>
    <w:rsid w:val="009756E3"/>
    <w:rsid w:val="009760F3"/>
    <w:rsid w:val="009762A0"/>
    <w:rsid w:val="00976CFB"/>
    <w:rsid w:val="00977144"/>
    <w:rsid w:val="009772C5"/>
    <w:rsid w:val="009778FD"/>
    <w:rsid w:val="0098230E"/>
    <w:rsid w:val="009826FA"/>
    <w:rsid w:val="00983002"/>
    <w:rsid w:val="00983563"/>
    <w:rsid w:val="009837A4"/>
    <w:rsid w:val="00985D21"/>
    <w:rsid w:val="00986DFF"/>
    <w:rsid w:val="00987273"/>
    <w:rsid w:val="0098795B"/>
    <w:rsid w:val="00987E0C"/>
    <w:rsid w:val="009953C6"/>
    <w:rsid w:val="00995C3F"/>
    <w:rsid w:val="00996682"/>
    <w:rsid w:val="00997C57"/>
    <w:rsid w:val="009A0830"/>
    <w:rsid w:val="009A0E8D"/>
    <w:rsid w:val="009A1639"/>
    <w:rsid w:val="009A2684"/>
    <w:rsid w:val="009A29DD"/>
    <w:rsid w:val="009A3A59"/>
    <w:rsid w:val="009A3D59"/>
    <w:rsid w:val="009A4DA7"/>
    <w:rsid w:val="009A6317"/>
    <w:rsid w:val="009A6986"/>
    <w:rsid w:val="009A740A"/>
    <w:rsid w:val="009B26E7"/>
    <w:rsid w:val="009B3051"/>
    <w:rsid w:val="009B4F9F"/>
    <w:rsid w:val="009B60F3"/>
    <w:rsid w:val="009B72FB"/>
    <w:rsid w:val="009C0E93"/>
    <w:rsid w:val="009C0EC0"/>
    <w:rsid w:val="009C1F7B"/>
    <w:rsid w:val="009C29E5"/>
    <w:rsid w:val="009C7CF4"/>
    <w:rsid w:val="009D0F02"/>
    <w:rsid w:val="009D2A30"/>
    <w:rsid w:val="009D344B"/>
    <w:rsid w:val="009D4B67"/>
    <w:rsid w:val="009D535E"/>
    <w:rsid w:val="009D6E14"/>
    <w:rsid w:val="009D7241"/>
    <w:rsid w:val="009E37A8"/>
    <w:rsid w:val="009E3BAE"/>
    <w:rsid w:val="009E4EFD"/>
    <w:rsid w:val="009E5314"/>
    <w:rsid w:val="009E71F7"/>
    <w:rsid w:val="009E7DF6"/>
    <w:rsid w:val="009F0B2F"/>
    <w:rsid w:val="009F0C5B"/>
    <w:rsid w:val="009F2D35"/>
    <w:rsid w:val="009F57DC"/>
    <w:rsid w:val="009F580A"/>
    <w:rsid w:val="009F6CB8"/>
    <w:rsid w:val="00A00697"/>
    <w:rsid w:val="00A0072B"/>
    <w:rsid w:val="00A00A3F"/>
    <w:rsid w:val="00A01489"/>
    <w:rsid w:val="00A040AE"/>
    <w:rsid w:val="00A04958"/>
    <w:rsid w:val="00A05009"/>
    <w:rsid w:val="00A070E5"/>
    <w:rsid w:val="00A07DD4"/>
    <w:rsid w:val="00A11D43"/>
    <w:rsid w:val="00A153A3"/>
    <w:rsid w:val="00A172E5"/>
    <w:rsid w:val="00A17300"/>
    <w:rsid w:val="00A17C32"/>
    <w:rsid w:val="00A201B6"/>
    <w:rsid w:val="00A2044C"/>
    <w:rsid w:val="00A21B42"/>
    <w:rsid w:val="00A21F64"/>
    <w:rsid w:val="00A22D00"/>
    <w:rsid w:val="00A25066"/>
    <w:rsid w:val="00A250C7"/>
    <w:rsid w:val="00A3026E"/>
    <w:rsid w:val="00A338F1"/>
    <w:rsid w:val="00A3556D"/>
    <w:rsid w:val="00A355D4"/>
    <w:rsid w:val="00A35BE0"/>
    <w:rsid w:val="00A35F8C"/>
    <w:rsid w:val="00A40DDE"/>
    <w:rsid w:val="00A41D82"/>
    <w:rsid w:val="00A42D08"/>
    <w:rsid w:val="00A45841"/>
    <w:rsid w:val="00A463CC"/>
    <w:rsid w:val="00A463D2"/>
    <w:rsid w:val="00A46867"/>
    <w:rsid w:val="00A47E2D"/>
    <w:rsid w:val="00A50FA6"/>
    <w:rsid w:val="00A515CE"/>
    <w:rsid w:val="00A528D9"/>
    <w:rsid w:val="00A5354C"/>
    <w:rsid w:val="00A53B75"/>
    <w:rsid w:val="00A54189"/>
    <w:rsid w:val="00A55EA2"/>
    <w:rsid w:val="00A564FB"/>
    <w:rsid w:val="00A57F2D"/>
    <w:rsid w:val="00A61520"/>
    <w:rsid w:val="00A674C8"/>
    <w:rsid w:val="00A7037D"/>
    <w:rsid w:val="00A70F37"/>
    <w:rsid w:val="00A71083"/>
    <w:rsid w:val="00A71541"/>
    <w:rsid w:val="00A72F22"/>
    <w:rsid w:val="00A7360F"/>
    <w:rsid w:val="00A7383C"/>
    <w:rsid w:val="00A748A6"/>
    <w:rsid w:val="00A74DCD"/>
    <w:rsid w:val="00A7668D"/>
    <w:rsid w:val="00A769F4"/>
    <w:rsid w:val="00A77569"/>
    <w:rsid w:val="00A776B4"/>
    <w:rsid w:val="00A77C53"/>
    <w:rsid w:val="00A8086F"/>
    <w:rsid w:val="00A8117B"/>
    <w:rsid w:val="00A84DD5"/>
    <w:rsid w:val="00A91D72"/>
    <w:rsid w:val="00A94361"/>
    <w:rsid w:val="00A94E94"/>
    <w:rsid w:val="00A9597E"/>
    <w:rsid w:val="00A97140"/>
    <w:rsid w:val="00A9778E"/>
    <w:rsid w:val="00AA14D9"/>
    <w:rsid w:val="00AA200A"/>
    <w:rsid w:val="00AA2194"/>
    <w:rsid w:val="00AA293C"/>
    <w:rsid w:val="00AA45E8"/>
    <w:rsid w:val="00AA4C24"/>
    <w:rsid w:val="00AA6FE9"/>
    <w:rsid w:val="00AB185D"/>
    <w:rsid w:val="00AB1E00"/>
    <w:rsid w:val="00AB24C0"/>
    <w:rsid w:val="00AB2835"/>
    <w:rsid w:val="00AB6535"/>
    <w:rsid w:val="00AC0777"/>
    <w:rsid w:val="00AC3D3F"/>
    <w:rsid w:val="00AC3EED"/>
    <w:rsid w:val="00AC3FA0"/>
    <w:rsid w:val="00AD14EE"/>
    <w:rsid w:val="00AD1E3C"/>
    <w:rsid w:val="00AD388D"/>
    <w:rsid w:val="00AD3F2A"/>
    <w:rsid w:val="00AD430B"/>
    <w:rsid w:val="00AD586E"/>
    <w:rsid w:val="00AD5D11"/>
    <w:rsid w:val="00AD6FBB"/>
    <w:rsid w:val="00AE2189"/>
    <w:rsid w:val="00AE327F"/>
    <w:rsid w:val="00AF11E9"/>
    <w:rsid w:val="00AF1B49"/>
    <w:rsid w:val="00AF3F76"/>
    <w:rsid w:val="00AF4036"/>
    <w:rsid w:val="00AF4762"/>
    <w:rsid w:val="00AF78E2"/>
    <w:rsid w:val="00B007A6"/>
    <w:rsid w:val="00B008DA"/>
    <w:rsid w:val="00B009FD"/>
    <w:rsid w:val="00B00BBA"/>
    <w:rsid w:val="00B0246E"/>
    <w:rsid w:val="00B02851"/>
    <w:rsid w:val="00B03044"/>
    <w:rsid w:val="00B03B81"/>
    <w:rsid w:val="00B0438A"/>
    <w:rsid w:val="00B05CCC"/>
    <w:rsid w:val="00B06C83"/>
    <w:rsid w:val="00B0700D"/>
    <w:rsid w:val="00B12E8E"/>
    <w:rsid w:val="00B13B7D"/>
    <w:rsid w:val="00B15F0D"/>
    <w:rsid w:val="00B205C1"/>
    <w:rsid w:val="00B24EC9"/>
    <w:rsid w:val="00B26AB6"/>
    <w:rsid w:val="00B26E8B"/>
    <w:rsid w:val="00B30179"/>
    <w:rsid w:val="00B3083E"/>
    <w:rsid w:val="00B30E01"/>
    <w:rsid w:val="00B3198C"/>
    <w:rsid w:val="00B32148"/>
    <w:rsid w:val="00B34082"/>
    <w:rsid w:val="00B35D7D"/>
    <w:rsid w:val="00B367D0"/>
    <w:rsid w:val="00B379E2"/>
    <w:rsid w:val="00B40D01"/>
    <w:rsid w:val="00B4182E"/>
    <w:rsid w:val="00B421C1"/>
    <w:rsid w:val="00B43EF3"/>
    <w:rsid w:val="00B459DA"/>
    <w:rsid w:val="00B51208"/>
    <w:rsid w:val="00B514C8"/>
    <w:rsid w:val="00B51933"/>
    <w:rsid w:val="00B52680"/>
    <w:rsid w:val="00B54191"/>
    <w:rsid w:val="00B554EF"/>
    <w:rsid w:val="00B55C71"/>
    <w:rsid w:val="00B56E4A"/>
    <w:rsid w:val="00B56E9C"/>
    <w:rsid w:val="00B60629"/>
    <w:rsid w:val="00B606DD"/>
    <w:rsid w:val="00B615E5"/>
    <w:rsid w:val="00B61F49"/>
    <w:rsid w:val="00B64B1F"/>
    <w:rsid w:val="00B64C92"/>
    <w:rsid w:val="00B6553F"/>
    <w:rsid w:val="00B66EBA"/>
    <w:rsid w:val="00B67B1E"/>
    <w:rsid w:val="00B70829"/>
    <w:rsid w:val="00B734D5"/>
    <w:rsid w:val="00B744A0"/>
    <w:rsid w:val="00B74DD1"/>
    <w:rsid w:val="00B751CB"/>
    <w:rsid w:val="00B75D53"/>
    <w:rsid w:val="00B7619C"/>
    <w:rsid w:val="00B77D05"/>
    <w:rsid w:val="00B80F0B"/>
    <w:rsid w:val="00B81206"/>
    <w:rsid w:val="00B81AC7"/>
    <w:rsid w:val="00B81E12"/>
    <w:rsid w:val="00B8274C"/>
    <w:rsid w:val="00B86459"/>
    <w:rsid w:val="00B86B1A"/>
    <w:rsid w:val="00B9182C"/>
    <w:rsid w:val="00B964E9"/>
    <w:rsid w:val="00BA003F"/>
    <w:rsid w:val="00BA0379"/>
    <w:rsid w:val="00BA0A79"/>
    <w:rsid w:val="00BA60AC"/>
    <w:rsid w:val="00BB0498"/>
    <w:rsid w:val="00BB1D9F"/>
    <w:rsid w:val="00BB2D96"/>
    <w:rsid w:val="00BB2F32"/>
    <w:rsid w:val="00BB4883"/>
    <w:rsid w:val="00BB48EC"/>
    <w:rsid w:val="00BB67AC"/>
    <w:rsid w:val="00BB73D9"/>
    <w:rsid w:val="00BC1025"/>
    <w:rsid w:val="00BC15C2"/>
    <w:rsid w:val="00BC2589"/>
    <w:rsid w:val="00BC26D9"/>
    <w:rsid w:val="00BC2DBF"/>
    <w:rsid w:val="00BC37BB"/>
    <w:rsid w:val="00BC3FA0"/>
    <w:rsid w:val="00BC42D8"/>
    <w:rsid w:val="00BC53EB"/>
    <w:rsid w:val="00BC74E9"/>
    <w:rsid w:val="00BC7BD1"/>
    <w:rsid w:val="00BC7D6A"/>
    <w:rsid w:val="00BD2C5A"/>
    <w:rsid w:val="00BD3504"/>
    <w:rsid w:val="00BD39D2"/>
    <w:rsid w:val="00BD496E"/>
    <w:rsid w:val="00BD59F0"/>
    <w:rsid w:val="00BD6463"/>
    <w:rsid w:val="00BD7354"/>
    <w:rsid w:val="00BE08B5"/>
    <w:rsid w:val="00BE4606"/>
    <w:rsid w:val="00BE7237"/>
    <w:rsid w:val="00BF68A8"/>
    <w:rsid w:val="00BF793E"/>
    <w:rsid w:val="00C04261"/>
    <w:rsid w:val="00C07C1E"/>
    <w:rsid w:val="00C1107A"/>
    <w:rsid w:val="00C117BA"/>
    <w:rsid w:val="00C11A03"/>
    <w:rsid w:val="00C14402"/>
    <w:rsid w:val="00C14705"/>
    <w:rsid w:val="00C17671"/>
    <w:rsid w:val="00C213E0"/>
    <w:rsid w:val="00C21B3F"/>
    <w:rsid w:val="00C22C0C"/>
    <w:rsid w:val="00C22F2A"/>
    <w:rsid w:val="00C24C28"/>
    <w:rsid w:val="00C264BA"/>
    <w:rsid w:val="00C27FDD"/>
    <w:rsid w:val="00C31CC1"/>
    <w:rsid w:val="00C31D8D"/>
    <w:rsid w:val="00C32F22"/>
    <w:rsid w:val="00C33A43"/>
    <w:rsid w:val="00C35055"/>
    <w:rsid w:val="00C35BA4"/>
    <w:rsid w:val="00C35F1F"/>
    <w:rsid w:val="00C36719"/>
    <w:rsid w:val="00C404E8"/>
    <w:rsid w:val="00C408A8"/>
    <w:rsid w:val="00C43311"/>
    <w:rsid w:val="00C4527F"/>
    <w:rsid w:val="00C463DD"/>
    <w:rsid w:val="00C4724C"/>
    <w:rsid w:val="00C47DF2"/>
    <w:rsid w:val="00C52753"/>
    <w:rsid w:val="00C55A26"/>
    <w:rsid w:val="00C5627D"/>
    <w:rsid w:val="00C572AD"/>
    <w:rsid w:val="00C5746D"/>
    <w:rsid w:val="00C629A0"/>
    <w:rsid w:val="00C62D58"/>
    <w:rsid w:val="00C632F3"/>
    <w:rsid w:val="00C645B7"/>
    <w:rsid w:val="00C64629"/>
    <w:rsid w:val="00C6598E"/>
    <w:rsid w:val="00C67AFC"/>
    <w:rsid w:val="00C7023C"/>
    <w:rsid w:val="00C71487"/>
    <w:rsid w:val="00C71EC6"/>
    <w:rsid w:val="00C724FE"/>
    <w:rsid w:val="00C72E78"/>
    <w:rsid w:val="00C733AC"/>
    <w:rsid w:val="00C745C3"/>
    <w:rsid w:val="00C74923"/>
    <w:rsid w:val="00C762C7"/>
    <w:rsid w:val="00C80F53"/>
    <w:rsid w:val="00C81BB9"/>
    <w:rsid w:val="00C835B3"/>
    <w:rsid w:val="00C84BCD"/>
    <w:rsid w:val="00C85798"/>
    <w:rsid w:val="00C87B1E"/>
    <w:rsid w:val="00C9159D"/>
    <w:rsid w:val="00C92545"/>
    <w:rsid w:val="00C92F48"/>
    <w:rsid w:val="00C93020"/>
    <w:rsid w:val="00C93917"/>
    <w:rsid w:val="00C94641"/>
    <w:rsid w:val="00C96385"/>
    <w:rsid w:val="00C96DF2"/>
    <w:rsid w:val="00C97A8D"/>
    <w:rsid w:val="00CA0F89"/>
    <w:rsid w:val="00CA292E"/>
    <w:rsid w:val="00CA4337"/>
    <w:rsid w:val="00CA496E"/>
    <w:rsid w:val="00CA5572"/>
    <w:rsid w:val="00CA775F"/>
    <w:rsid w:val="00CA77EA"/>
    <w:rsid w:val="00CB203F"/>
    <w:rsid w:val="00CB2CE8"/>
    <w:rsid w:val="00CB3B89"/>
    <w:rsid w:val="00CB3DA7"/>
    <w:rsid w:val="00CB3E03"/>
    <w:rsid w:val="00CB5C46"/>
    <w:rsid w:val="00CB6446"/>
    <w:rsid w:val="00CB6578"/>
    <w:rsid w:val="00CB660B"/>
    <w:rsid w:val="00CB6CC6"/>
    <w:rsid w:val="00CB7D6B"/>
    <w:rsid w:val="00CC0396"/>
    <w:rsid w:val="00CC0841"/>
    <w:rsid w:val="00CC09C7"/>
    <w:rsid w:val="00CC2F63"/>
    <w:rsid w:val="00CC3391"/>
    <w:rsid w:val="00CC43B4"/>
    <w:rsid w:val="00CC464A"/>
    <w:rsid w:val="00CC5A26"/>
    <w:rsid w:val="00CD3794"/>
    <w:rsid w:val="00CD4AB9"/>
    <w:rsid w:val="00CD4E02"/>
    <w:rsid w:val="00CD77E8"/>
    <w:rsid w:val="00CD7D51"/>
    <w:rsid w:val="00CE0ADB"/>
    <w:rsid w:val="00CE223C"/>
    <w:rsid w:val="00CE233A"/>
    <w:rsid w:val="00CE23B1"/>
    <w:rsid w:val="00CE2B4A"/>
    <w:rsid w:val="00CE3D07"/>
    <w:rsid w:val="00CE4A8F"/>
    <w:rsid w:val="00CE4B14"/>
    <w:rsid w:val="00CE5B4D"/>
    <w:rsid w:val="00CE709D"/>
    <w:rsid w:val="00CF1483"/>
    <w:rsid w:val="00CF2DF3"/>
    <w:rsid w:val="00CF7030"/>
    <w:rsid w:val="00D013AC"/>
    <w:rsid w:val="00D01ED0"/>
    <w:rsid w:val="00D02901"/>
    <w:rsid w:val="00D03659"/>
    <w:rsid w:val="00D036A9"/>
    <w:rsid w:val="00D03719"/>
    <w:rsid w:val="00D0509F"/>
    <w:rsid w:val="00D05A5E"/>
    <w:rsid w:val="00D06160"/>
    <w:rsid w:val="00D06968"/>
    <w:rsid w:val="00D07657"/>
    <w:rsid w:val="00D10B8A"/>
    <w:rsid w:val="00D11F0C"/>
    <w:rsid w:val="00D2031B"/>
    <w:rsid w:val="00D22B95"/>
    <w:rsid w:val="00D235D1"/>
    <w:rsid w:val="00D23E5A"/>
    <w:rsid w:val="00D25276"/>
    <w:rsid w:val="00D25FE2"/>
    <w:rsid w:val="00D26610"/>
    <w:rsid w:val="00D32171"/>
    <w:rsid w:val="00D326C7"/>
    <w:rsid w:val="00D32874"/>
    <w:rsid w:val="00D32B88"/>
    <w:rsid w:val="00D33307"/>
    <w:rsid w:val="00D333DF"/>
    <w:rsid w:val="00D408D2"/>
    <w:rsid w:val="00D419B4"/>
    <w:rsid w:val="00D41B1D"/>
    <w:rsid w:val="00D43252"/>
    <w:rsid w:val="00D44F86"/>
    <w:rsid w:val="00D47EEA"/>
    <w:rsid w:val="00D50777"/>
    <w:rsid w:val="00D51737"/>
    <w:rsid w:val="00D51AA8"/>
    <w:rsid w:val="00D563D1"/>
    <w:rsid w:val="00D56D0A"/>
    <w:rsid w:val="00D64673"/>
    <w:rsid w:val="00D64ADC"/>
    <w:rsid w:val="00D6763B"/>
    <w:rsid w:val="00D70F84"/>
    <w:rsid w:val="00D753E9"/>
    <w:rsid w:val="00D773DF"/>
    <w:rsid w:val="00D77B68"/>
    <w:rsid w:val="00D80BA5"/>
    <w:rsid w:val="00D81F1A"/>
    <w:rsid w:val="00D821E3"/>
    <w:rsid w:val="00D82ACF"/>
    <w:rsid w:val="00D83B13"/>
    <w:rsid w:val="00D8554D"/>
    <w:rsid w:val="00D86337"/>
    <w:rsid w:val="00D87085"/>
    <w:rsid w:val="00D90C63"/>
    <w:rsid w:val="00D91D90"/>
    <w:rsid w:val="00D92275"/>
    <w:rsid w:val="00D95098"/>
    <w:rsid w:val="00D95303"/>
    <w:rsid w:val="00D9656F"/>
    <w:rsid w:val="00D96BA9"/>
    <w:rsid w:val="00D978C6"/>
    <w:rsid w:val="00DA0969"/>
    <w:rsid w:val="00DA1E05"/>
    <w:rsid w:val="00DA2AEF"/>
    <w:rsid w:val="00DA306F"/>
    <w:rsid w:val="00DA3C1C"/>
    <w:rsid w:val="00DA3FF0"/>
    <w:rsid w:val="00DA4C5E"/>
    <w:rsid w:val="00DA510B"/>
    <w:rsid w:val="00DB20A5"/>
    <w:rsid w:val="00DB5C42"/>
    <w:rsid w:val="00DB62FE"/>
    <w:rsid w:val="00DB79C9"/>
    <w:rsid w:val="00DC5061"/>
    <w:rsid w:val="00DD388C"/>
    <w:rsid w:val="00DD41C4"/>
    <w:rsid w:val="00DD5686"/>
    <w:rsid w:val="00DD6AFF"/>
    <w:rsid w:val="00DE04C4"/>
    <w:rsid w:val="00DE0B4C"/>
    <w:rsid w:val="00DE2783"/>
    <w:rsid w:val="00DE47C9"/>
    <w:rsid w:val="00DE53CD"/>
    <w:rsid w:val="00DE61C8"/>
    <w:rsid w:val="00DE674A"/>
    <w:rsid w:val="00DE6DF3"/>
    <w:rsid w:val="00DE7F69"/>
    <w:rsid w:val="00DF3B5E"/>
    <w:rsid w:val="00DF73AF"/>
    <w:rsid w:val="00DF764B"/>
    <w:rsid w:val="00E0034F"/>
    <w:rsid w:val="00E00F3F"/>
    <w:rsid w:val="00E027C3"/>
    <w:rsid w:val="00E0302B"/>
    <w:rsid w:val="00E046DF"/>
    <w:rsid w:val="00E06622"/>
    <w:rsid w:val="00E068E1"/>
    <w:rsid w:val="00E07FD1"/>
    <w:rsid w:val="00E1000A"/>
    <w:rsid w:val="00E1180B"/>
    <w:rsid w:val="00E12457"/>
    <w:rsid w:val="00E1265F"/>
    <w:rsid w:val="00E126E7"/>
    <w:rsid w:val="00E13FF8"/>
    <w:rsid w:val="00E141A8"/>
    <w:rsid w:val="00E15D0B"/>
    <w:rsid w:val="00E16A6E"/>
    <w:rsid w:val="00E174C5"/>
    <w:rsid w:val="00E224C2"/>
    <w:rsid w:val="00E22E73"/>
    <w:rsid w:val="00E238DA"/>
    <w:rsid w:val="00E25A81"/>
    <w:rsid w:val="00E270A9"/>
    <w:rsid w:val="00E27346"/>
    <w:rsid w:val="00E30495"/>
    <w:rsid w:val="00E316BD"/>
    <w:rsid w:val="00E33015"/>
    <w:rsid w:val="00E330C9"/>
    <w:rsid w:val="00E33EBD"/>
    <w:rsid w:val="00E355A9"/>
    <w:rsid w:val="00E3791F"/>
    <w:rsid w:val="00E404DC"/>
    <w:rsid w:val="00E41760"/>
    <w:rsid w:val="00E41AE0"/>
    <w:rsid w:val="00E42E73"/>
    <w:rsid w:val="00E4315F"/>
    <w:rsid w:val="00E4333F"/>
    <w:rsid w:val="00E435CC"/>
    <w:rsid w:val="00E460BD"/>
    <w:rsid w:val="00E462EC"/>
    <w:rsid w:val="00E46DBE"/>
    <w:rsid w:val="00E47636"/>
    <w:rsid w:val="00E518DF"/>
    <w:rsid w:val="00E51AFF"/>
    <w:rsid w:val="00E54E2A"/>
    <w:rsid w:val="00E54E89"/>
    <w:rsid w:val="00E55E97"/>
    <w:rsid w:val="00E565E2"/>
    <w:rsid w:val="00E57DCF"/>
    <w:rsid w:val="00E600BB"/>
    <w:rsid w:val="00E630FB"/>
    <w:rsid w:val="00E639F6"/>
    <w:rsid w:val="00E6509E"/>
    <w:rsid w:val="00E662D8"/>
    <w:rsid w:val="00E71BC8"/>
    <w:rsid w:val="00E724EE"/>
    <w:rsid w:val="00E7260F"/>
    <w:rsid w:val="00E73ADA"/>
    <w:rsid w:val="00E73F5D"/>
    <w:rsid w:val="00E74DC3"/>
    <w:rsid w:val="00E77E4E"/>
    <w:rsid w:val="00E80B1A"/>
    <w:rsid w:val="00E81831"/>
    <w:rsid w:val="00E8424A"/>
    <w:rsid w:val="00E853D9"/>
    <w:rsid w:val="00E86328"/>
    <w:rsid w:val="00E901A2"/>
    <w:rsid w:val="00E90F1E"/>
    <w:rsid w:val="00E92620"/>
    <w:rsid w:val="00E95820"/>
    <w:rsid w:val="00E95996"/>
    <w:rsid w:val="00E96630"/>
    <w:rsid w:val="00EA0359"/>
    <w:rsid w:val="00EA0983"/>
    <w:rsid w:val="00EA60BB"/>
    <w:rsid w:val="00EA6AA8"/>
    <w:rsid w:val="00EB0636"/>
    <w:rsid w:val="00EB176C"/>
    <w:rsid w:val="00EB20B5"/>
    <w:rsid w:val="00EB2981"/>
    <w:rsid w:val="00EB321D"/>
    <w:rsid w:val="00EB41E8"/>
    <w:rsid w:val="00EB471E"/>
    <w:rsid w:val="00EB4AAB"/>
    <w:rsid w:val="00EB628E"/>
    <w:rsid w:val="00EB6573"/>
    <w:rsid w:val="00EC2E23"/>
    <w:rsid w:val="00EC363D"/>
    <w:rsid w:val="00EC5731"/>
    <w:rsid w:val="00EC7484"/>
    <w:rsid w:val="00EC7A5F"/>
    <w:rsid w:val="00EC7F4B"/>
    <w:rsid w:val="00ED0208"/>
    <w:rsid w:val="00ED03BD"/>
    <w:rsid w:val="00ED2072"/>
    <w:rsid w:val="00ED20CF"/>
    <w:rsid w:val="00ED51CF"/>
    <w:rsid w:val="00ED58C1"/>
    <w:rsid w:val="00ED7A2A"/>
    <w:rsid w:val="00EE1EBC"/>
    <w:rsid w:val="00EE2AFE"/>
    <w:rsid w:val="00EE49A4"/>
    <w:rsid w:val="00EE4B10"/>
    <w:rsid w:val="00EE5615"/>
    <w:rsid w:val="00EE67CB"/>
    <w:rsid w:val="00EE7171"/>
    <w:rsid w:val="00EE7AB9"/>
    <w:rsid w:val="00EF1D7F"/>
    <w:rsid w:val="00EF3D19"/>
    <w:rsid w:val="00EF3D20"/>
    <w:rsid w:val="00EF525F"/>
    <w:rsid w:val="00EF63B5"/>
    <w:rsid w:val="00EF7EFE"/>
    <w:rsid w:val="00F02FA7"/>
    <w:rsid w:val="00F03544"/>
    <w:rsid w:val="00F055D2"/>
    <w:rsid w:val="00F07111"/>
    <w:rsid w:val="00F0762A"/>
    <w:rsid w:val="00F077D9"/>
    <w:rsid w:val="00F101B8"/>
    <w:rsid w:val="00F130FD"/>
    <w:rsid w:val="00F144A1"/>
    <w:rsid w:val="00F176D9"/>
    <w:rsid w:val="00F210C6"/>
    <w:rsid w:val="00F21D71"/>
    <w:rsid w:val="00F21FE7"/>
    <w:rsid w:val="00F2257C"/>
    <w:rsid w:val="00F226CF"/>
    <w:rsid w:val="00F228A3"/>
    <w:rsid w:val="00F23192"/>
    <w:rsid w:val="00F23E5B"/>
    <w:rsid w:val="00F253D9"/>
    <w:rsid w:val="00F25CA4"/>
    <w:rsid w:val="00F261A0"/>
    <w:rsid w:val="00F26244"/>
    <w:rsid w:val="00F26967"/>
    <w:rsid w:val="00F30412"/>
    <w:rsid w:val="00F3055B"/>
    <w:rsid w:val="00F30725"/>
    <w:rsid w:val="00F31C37"/>
    <w:rsid w:val="00F31E5F"/>
    <w:rsid w:val="00F31FA3"/>
    <w:rsid w:val="00F32220"/>
    <w:rsid w:val="00F327CA"/>
    <w:rsid w:val="00F32910"/>
    <w:rsid w:val="00F32929"/>
    <w:rsid w:val="00F33FB7"/>
    <w:rsid w:val="00F426AE"/>
    <w:rsid w:val="00F426FD"/>
    <w:rsid w:val="00F431EF"/>
    <w:rsid w:val="00F53B42"/>
    <w:rsid w:val="00F53C79"/>
    <w:rsid w:val="00F5497C"/>
    <w:rsid w:val="00F55474"/>
    <w:rsid w:val="00F60BE0"/>
    <w:rsid w:val="00F6100A"/>
    <w:rsid w:val="00F6319C"/>
    <w:rsid w:val="00F63387"/>
    <w:rsid w:val="00F63735"/>
    <w:rsid w:val="00F65244"/>
    <w:rsid w:val="00F701B1"/>
    <w:rsid w:val="00F72461"/>
    <w:rsid w:val="00F724DE"/>
    <w:rsid w:val="00F72C38"/>
    <w:rsid w:val="00F732FD"/>
    <w:rsid w:val="00F747C5"/>
    <w:rsid w:val="00F778C0"/>
    <w:rsid w:val="00F84746"/>
    <w:rsid w:val="00F85DF0"/>
    <w:rsid w:val="00F86A95"/>
    <w:rsid w:val="00F874E4"/>
    <w:rsid w:val="00F9009F"/>
    <w:rsid w:val="00F91494"/>
    <w:rsid w:val="00F91767"/>
    <w:rsid w:val="00F9184B"/>
    <w:rsid w:val="00F93781"/>
    <w:rsid w:val="00F96369"/>
    <w:rsid w:val="00F96742"/>
    <w:rsid w:val="00F97361"/>
    <w:rsid w:val="00F97D45"/>
    <w:rsid w:val="00FA03AB"/>
    <w:rsid w:val="00FA163A"/>
    <w:rsid w:val="00FA325D"/>
    <w:rsid w:val="00FA3FB5"/>
    <w:rsid w:val="00FA3FB6"/>
    <w:rsid w:val="00FA5DC4"/>
    <w:rsid w:val="00FA7321"/>
    <w:rsid w:val="00FB4372"/>
    <w:rsid w:val="00FB5912"/>
    <w:rsid w:val="00FB613B"/>
    <w:rsid w:val="00FC26F0"/>
    <w:rsid w:val="00FC3482"/>
    <w:rsid w:val="00FC3AA0"/>
    <w:rsid w:val="00FC3DA8"/>
    <w:rsid w:val="00FC4C20"/>
    <w:rsid w:val="00FC5142"/>
    <w:rsid w:val="00FC62B1"/>
    <w:rsid w:val="00FC634D"/>
    <w:rsid w:val="00FC68B7"/>
    <w:rsid w:val="00FC6D97"/>
    <w:rsid w:val="00FC77F2"/>
    <w:rsid w:val="00FC797B"/>
    <w:rsid w:val="00FD08B1"/>
    <w:rsid w:val="00FD3F98"/>
    <w:rsid w:val="00FD44F2"/>
    <w:rsid w:val="00FD4618"/>
    <w:rsid w:val="00FD4CF4"/>
    <w:rsid w:val="00FD6B17"/>
    <w:rsid w:val="00FE07C4"/>
    <w:rsid w:val="00FE106A"/>
    <w:rsid w:val="00FE3140"/>
    <w:rsid w:val="00FE4746"/>
    <w:rsid w:val="00FE4C14"/>
    <w:rsid w:val="00FE71B3"/>
    <w:rsid w:val="00FF0703"/>
    <w:rsid w:val="00FF145D"/>
    <w:rsid w:val="00FF1994"/>
    <w:rsid w:val="00FF2151"/>
    <w:rsid w:val="00FF27C1"/>
    <w:rsid w:val="00FF3528"/>
    <w:rsid w:val="00FF4FF9"/>
    <w:rsid w:val="00FF5B98"/>
    <w:rsid w:val="00FF5F96"/>
    <w:rsid w:val="00FF74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F7C61"/>
  <w15:chartTrackingRefBased/>
  <w15:docId w15:val="{12A81B8F-7093-4073-A93A-48C9EFF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CommentSubject">
    <w:name w:val="annotation subject"/>
    <w:basedOn w:val="CommentText"/>
    <w:next w:val="CommentText"/>
    <w:semiHidden/>
    <w:rsid w:val="00222F13"/>
    <w:rPr>
      <w:b/>
      <w:bCs/>
    </w:rPr>
  </w:style>
  <w:style w:type="paragraph" w:customStyle="1" w:styleId="SingleTxtG">
    <w:name w:val="_ Single Txt_G"/>
    <w:basedOn w:val="Normal"/>
    <w:link w:val="SingleTxtGChar"/>
    <w:qFormat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qFormat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,5_GR"/>
    <w:basedOn w:val="Normal"/>
    <w:link w:val="FootnoteTextChar"/>
    <w:qFormat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222F13"/>
    <w:rPr>
      <w:rFonts w:ascii="Tahoma" w:hAnsi="Tahoma" w:cs="Tahoma"/>
      <w:sz w:val="16"/>
      <w:szCs w:val="16"/>
    </w:rPr>
  </w:style>
  <w:style w:type="character" w:customStyle="1" w:styleId="H1GChar">
    <w:name w:val="_ H_1_G Char"/>
    <w:link w:val="H1G"/>
    <w:rsid w:val="00843A0A"/>
    <w:rPr>
      <w:b/>
      <w:sz w:val="24"/>
      <w:lang w:val="en-GB" w:eastAsia="en-US" w:bidi="ar-SA"/>
    </w:rPr>
  </w:style>
  <w:style w:type="character" w:customStyle="1" w:styleId="HChGChar">
    <w:name w:val="_ H _Ch_G Char"/>
    <w:link w:val="HChG"/>
    <w:rsid w:val="00AF1B49"/>
    <w:rPr>
      <w:b/>
      <w:sz w:val="28"/>
      <w:lang w:val="en-GB" w:eastAsia="en-US" w:bidi="ar-SA"/>
    </w:rPr>
  </w:style>
  <w:style w:type="paragraph" w:customStyle="1" w:styleId="Default">
    <w:name w:val="Default"/>
    <w:rsid w:val="00B009F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Heading5Char">
    <w:name w:val="Heading 5 Char"/>
    <w:link w:val="Heading5"/>
    <w:rsid w:val="00B009FD"/>
    <w:rPr>
      <w:lang w:eastAsia="en-US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,5_GR Char"/>
    <w:link w:val="FootnoteText"/>
    <w:rsid w:val="009157DC"/>
    <w:rPr>
      <w:sz w:val="18"/>
      <w:lang w:eastAsia="en-US"/>
    </w:rPr>
  </w:style>
  <w:style w:type="character" w:customStyle="1" w:styleId="SingleTxtGChar">
    <w:name w:val="_ Single Txt_G Char"/>
    <w:link w:val="SingleTxtG"/>
    <w:rsid w:val="009157DC"/>
    <w:rPr>
      <w:lang w:eastAsia="en-US"/>
    </w:rPr>
  </w:style>
  <w:style w:type="character" w:customStyle="1" w:styleId="PlainTextChar">
    <w:name w:val="Plain Text Char"/>
    <w:link w:val="PlainText"/>
    <w:uiPriority w:val="99"/>
    <w:rsid w:val="00F21FE7"/>
    <w:rPr>
      <w:rFonts w:cs="Courier New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19470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52029D"/>
    <w:rPr>
      <w:sz w:val="16"/>
      <w:lang w:eastAsia="en-US"/>
    </w:rPr>
  </w:style>
  <w:style w:type="paragraph" w:customStyle="1" w:styleId="HChGR">
    <w:name w:val="_ H _Ch_GR"/>
    <w:basedOn w:val="Normal"/>
    <w:next w:val="Normal"/>
    <w:qFormat/>
    <w:rsid w:val="00045A7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18A835654B744B4B26A6F157A8307" ma:contentTypeVersion="4" ma:contentTypeDescription="Create a new document." ma:contentTypeScope="" ma:versionID="f73efd37bc6f20fd8cf29178d36f7c6e">
  <xsd:schema xmlns:xsd="http://www.w3.org/2001/XMLSchema" xmlns:xs="http://www.w3.org/2001/XMLSchema" xmlns:p="http://schemas.microsoft.com/office/2006/metadata/properties" xmlns:ns3="9b2e1f02-14ee-46fb-af14-4a4fa7b8aff0" targetNamespace="http://schemas.microsoft.com/office/2006/metadata/properties" ma:root="true" ma:fieldsID="23c58e963b48604b5e7b1cb9a5df37ac" ns3:_="">
    <xsd:import namespace="9b2e1f02-14ee-46fb-af14-4a4fa7b8a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e1f02-14ee-46fb-af14-4a4fa7b8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AB06-56CA-4352-8BAE-2B480F797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7846A-D52B-437F-8A1A-B5494AD2E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e1f02-14ee-46fb-af14-4a4fa7b8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E3C92-8AAA-4A08-AFD3-439343E592C7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2e1f02-14ee-46fb-af14-4a4fa7b8aff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15AF82-78A7-4D75-A632-8736035E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7566</TotalTime>
  <Pages>17</Pages>
  <Words>6188</Words>
  <Characters>35275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Nick Bonvoisin</dc:creator>
  <cp:keywords/>
  <cp:lastModifiedBy>Elena Santer</cp:lastModifiedBy>
  <cp:revision>539</cp:revision>
  <cp:lastPrinted>2013-09-04T14:51:00Z</cp:lastPrinted>
  <dcterms:created xsi:type="dcterms:W3CDTF">2020-04-22T08:45:00Z</dcterms:created>
  <dcterms:modified xsi:type="dcterms:W3CDTF">2020-08-11T09:17:00Z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0x010100FEC18A835654B744B4B26A6F157A8307</vt:lpwstr>
  </property>
</Properties>
</file>