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4420" w:rsidRPr="00221BBA" w:rsidTr="00DF5712">
        <w:trPr>
          <w:trHeight w:hRule="exact" w:val="851"/>
        </w:trPr>
        <w:tc>
          <w:tcPr>
            <w:tcW w:w="1276" w:type="dxa"/>
            <w:tcBorders>
              <w:bottom w:val="single" w:sz="4" w:space="0" w:color="auto"/>
            </w:tcBorders>
          </w:tcPr>
          <w:p w:rsidR="00A14420" w:rsidRPr="00221BBA" w:rsidRDefault="00A14420" w:rsidP="00B90E55">
            <w:bookmarkStart w:id="0" w:name="_GoBack"/>
            <w:bookmarkEnd w:id="0"/>
          </w:p>
        </w:tc>
        <w:tc>
          <w:tcPr>
            <w:tcW w:w="2268" w:type="dxa"/>
            <w:tcBorders>
              <w:bottom w:val="single" w:sz="4" w:space="0" w:color="auto"/>
            </w:tcBorders>
            <w:vAlign w:val="bottom"/>
          </w:tcPr>
          <w:p w:rsidR="00A14420" w:rsidRPr="00221BBA" w:rsidRDefault="00A14420" w:rsidP="00DF5712">
            <w:pPr>
              <w:spacing w:after="80" w:line="300" w:lineRule="exact"/>
              <w:rPr>
                <w:sz w:val="28"/>
              </w:rPr>
            </w:pPr>
            <w:r w:rsidRPr="00221BBA">
              <w:rPr>
                <w:sz w:val="28"/>
              </w:rPr>
              <w:t>Nations Unies</w:t>
            </w:r>
          </w:p>
        </w:tc>
        <w:tc>
          <w:tcPr>
            <w:tcW w:w="6095" w:type="dxa"/>
            <w:gridSpan w:val="2"/>
            <w:tcBorders>
              <w:bottom w:val="single" w:sz="4" w:space="0" w:color="auto"/>
            </w:tcBorders>
            <w:vAlign w:val="bottom"/>
          </w:tcPr>
          <w:p w:rsidR="00A14420" w:rsidRPr="00221BBA" w:rsidRDefault="00B90E55" w:rsidP="00B90E55">
            <w:pPr>
              <w:jc w:val="right"/>
            </w:pPr>
            <w:r w:rsidRPr="00221BBA">
              <w:rPr>
                <w:sz w:val="40"/>
              </w:rPr>
              <w:t>ECE</w:t>
            </w:r>
            <w:r w:rsidRPr="00221BBA">
              <w:t>/MP.EIA/WG.2/2020/3</w:t>
            </w:r>
          </w:p>
        </w:tc>
      </w:tr>
      <w:tr w:rsidR="00A14420" w:rsidRPr="00221BBA" w:rsidTr="00DF5712">
        <w:trPr>
          <w:trHeight w:hRule="exact" w:val="2835"/>
        </w:trPr>
        <w:tc>
          <w:tcPr>
            <w:tcW w:w="1276" w:type="dxa"/>
            <w:tcBorders>
              <w:top w:val="single" w:sz="4" w:space="0" w:color="auto"/>
              <w:bottom w:val="single" w:sz="12" w:space="0" w:color="auto"/>
            </w:tcBorders>
          </w:tcPr>
          <w:p w:rsidR="00A14420" w:rsidRPr="00221BBA" w:rsidRDefault="00A14420" w:rsidP="00DF5712">
            <w:pPr>
              <w:spacing w:before="120"/>
              <w:jc w:val="center"/>
            </w:pPr>
            <w:r w:rsidRPr="00221BBA">
              <w:rPr>
                <w:noProof/>
                <w:lang w:eastAsia="fr-CH"/>
              </w:rPr>
              <w:drawing>
                <wp:inline distT="0" distB="0" distL="0" distR="0" wp14:anchorId="416C91A0" wp14:editId="7D1B6E4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4420" w:rsidRPr="00221BBA" w:rsidRDefault="00A14420" w:rsidP="00DF5712">
            <w:pPr>
              <w:spacing w:before="120" w:line="420" w:lineRule="exact"/>
              <w:rPr>
                <w:b/>
                <w:sz w:val="40"/>
                <w:szCs w:val="40"/>
              </w:rPr>
            </w:pPr>
            <w:r w:rsidRPr="00221BBA">
              <w:rPr>
                <w:b/>
                <w:sz w:val="40"/>
                <w:szCs w:val="40"/>
              </w:rPr>
              <w:t>Conseil économique et social</w:t>
            </w:r>
          </w:p>
        </w:tc>
        <w:tc>
          <w:tcPr>
            <w:tcW w:w="2835" w:type="dxa"/>
            <w:tcBorders>
              <w:top w:val="single" w:sz="4" w:space="0" w:color="auto"/>
              <w:bottom w:val="single" w:sz="12" w:space="0" w:color="auto"/>
            </w:tcBorders>
          </w:tcPr>
          <w:p w:rsidR="00A14420" w:rsidRPr="00221BBA" w:rsidRDefault="00B90E55" w:rsidP="00DF5712">
            <w:pPr>
              <w:spacing w:before="240"/>
            </w:pPr>
            <w:r w:rsidRPr="00221BBA">
              <w:t>Distr. générale</w:t>
            </w:r>
          </w:p>
          <w:p w:rsidR="00B90E55" w:rsidRPr="00221BBA" w:rsidRDefault="00B90E55" w:rsidP="00B90E55">
            <w:pPr>
              <w:spacing w:line="240" w:lineRule="exact"/>
            </w:pPr>
            <w:r w:rsidRPr="00221BBA">
              <w:t>26 mars 2020</w:t>
            </w:r>
          </w:p>
          <w:p w:rsidR="00B90E55" w:rsidRPr="00221BBA" w:rsidRDefault="00B90E55" w:rsidP="00B90E55">
            <w:pPr>
              <w:spacing w:line="240" w:lineRule="exact"/>
            </w:pPr>
            <w:r w:rsidRPr="00221BBA">
              <w:t>Français</w:t>
            </w:r>
          </w:p>
          <w:p w:rsidR="00B90E55" w:rsidRPr="00221BBA" w:rsidRDefault="00B90E55" w:rsidP="00B90E55">
            <w:pPr>
              <w:spacing w:line="240" w:lineRule="exact"/>
            </w:pPr>
            <w:r w:rsidRPr="00221BBA">
              <w:t>Original</w:t>
            </w:r>
            <w:r w:rsidR="005628B1" w:rsidRPr="005628B1">
              <w:t> :</w:t>
            </w:r>
            <w:r w:rsidRPr="00221BBA">
              <w:t xml:space="preserve"> anglais</w:t>
            </w:r>
          </w:p>
        </w:tc>
      </w:tr>
    </w:tbl>
    <w:p w:rsidR="00C554CE" w:rsidRPr="00221BBA" w:rsidRDefault="00C554CE" w:rsidP="00C554CE">
      <w:pPr>
        <w:spacing w:before="120"/>
        <w:rPr>
          <w:b/>
          <w:sz w:val="28"/>
          <w:szCs w:val="28"/>
        </w:rPr>
      </w:pPr>
      <w:r w:rsidRPr="00221BBA">
        <w:rPr>
          <w:b/>
          <w:sz w:val="28"/>
          <w:szCs w:val="28"/>
        </w:rPr>
        <w:t>Commission économique pour l’Europe</w:t>
      </w:r>
    </w:p>
    <w:p w:rsidR="00F11985" w:rsidRPr="00221BBA" w:rsidRDefault="00F11985" w:rsidP="004F6BBD">
      <w:pPr>
        <w:spacing w:before="120"/>
        <w:rPr>
          <w:sz w:val="28"/>
          <w:szCs w:val="28"/>
        </w:rPr>
      </w:pPr>
      <w:r w:rsidRPr="00221BBA">
        <w:rPr>
          <w:sz w:val="28"/>
          <w:szCs w:val="28"/>
        </w:rPr>
        <w:t xml:space="preserve">Réunion des Parties à la Convention sur </w:t>
      </w:r>
      <w:r w:rsidRPr="00221BBA">
        <w:rPr>
          <w:sz w:val="28"/>
          <w:szCs w:val="28"/>
        </w:rPr>
        <w:br/>
        <w:t xml:space="preserve">l’évaluation de l’impact sur l’environnement </w:t>
      </w:r>
      <w:r w:rsidRPr="00221BBA">
        <w:rPr>
          <w:sz w:val="28"/>
          <w:szCs w:val="28"/>
        </w:rPr>
        <w:br/>
        <w:t>dans un contexte transfrontière</w:t>
      </w:r>
    </w:p>
    <w:p w:rsidR="00F11985" w:rsidRPr="00221BBA" w:rsidRDefault="00F11985" w:rsidP="004F6BBD">
      <w:pPr>
        <w:spacing w:before="120"/>
        <w:rPr>
          <w:bCs/>
          <w:sz w:val="28"/>
          <w:szCs w:val="28"/>
        </w:rPr>
      </w:pPr>
      <w:r w:rsidRPr="00221BBA">
        <w:rPr>
          <w:bCs/>
          <w:sz w:val="28"/>
          <w:szCs w:val="28"/>
        </w:rPr>
        <w:t xml:space="preserve">Réunion des Parties à la Convention sur </w:t>
      </w:r>
      <w:r w:rsidRPr="00221BBA">
        <w:rPr>
          <w:bCs/>
          <w:sz w:val="28"/>
          <w:szCs w:val="28"/>
        </w:rPr>
        <w:br/>
        <w:t xml:space="preserve">l’évaluation de l’impact sur l’environnement </w:t>
      </w:r>
      <w:r w:rsidRPr="00221BBA">
        <w:rPr>
          <w:bCs/>
          <w:sz w:val="28"/>
          <w:szCs w:val="28"/>
        </w:rPr>
        <w:br/>
        <w:t xml:space="preserve">dans un contexte transfrontière agissant </w:t>
      </w:r>
      <w:r w:rsidRPr="00221BBA">
        <w:rPr>
          <w:bCs/>
          <w:sz w:val="28"/>
          <w:szCs w:val="28"/>
        </w:rPr>
        <w:br/>
        <w:t xml:space="preserve">comme réunion des Parties au Protocole relatif </w:t>
      </w:r>
      <w:r w:rsidRPr="00221BBA">
        <w:rPr>
          <w:bCs/>
          <w:sz w:val="28"/>
          <w:szCs w:val="28"/>
        </w:rPr>
        <w:br/>
        <w:t>à l’évaluation stratégique environnementale</w:t>
      </w:r>
    </w:p>
    <w:p w:rsidR="00F11985" w:rsidRPr="00221BBA" w:rsidRDefault="00F11985" w:rsidP="004F6BBD">
      <w:pPr>
        <w:spacing w:before="120"/>
        <w:rPr>
          <w:b/>
          <w:sz w:val="24"/>
          <w:szCs w:val="24"/>
        </w:rPr>
      </w:pPr>
      <w:r w:rsidRPr="00221BBA">
        <w:rPr>
          <w:b/>
          <w:sz w:val="24"/>
          <w:szCs w:val="24"/>
        </w:rPr>
        <w:t xml:space="preserve">Groupe de travail de l’évaluation de l’impact </w:t>
      </w:r>
      <w:r w:rsidR="004F6BBD" w:rsidRPr="00221BBA">
        <w:rPr>
          <w:b/>
          <w:sz w:val="24"/>
          <w:szCs w:val="24"/>
        </w:rPr>
        <w:br/>
      </w:r>
      <w:r w:rsidRPr="00221BBA">
        <w:rPr>
          <w:b/>
          <w:sz w:val="24"/>
          <w:szCs w:val="24"/>
        </w:rPr>
        <w:t xml:space="preserve">sur l’environnement et de l’évaluation </w:t>
      </w:r>
      <w:r w:rsidR="004F6BBD" w:rsidRPr="00221BBA">
        <w:rPr>
          <w:b/>
          <w:sz w:val="24"/>
          <w:szCs w:val="24"/>
        </w:rPr>
        <w:br/>
      </w:r>
      <w:r w:rsidRPr="00221BBA">
        <w:rPr>
          <w:b/>
          <w:sz w:val="24"/>
          <w:szCs w:val="24"/>
        </w:rPr>
        <w:t>stratégique environnementale</w:t>
      </w:r>
    </w:p>
    <w:p w:rsidR="00F11985" w:rsidRPr="00221BBA" w:rsidRDefault="00F11985" w:rsidP="004F6BBD">
      <w:pPr>
        <w:spacing w:before="120"/>
        <w:rPr>
          <w:b/>
        </w:rPr>
      </w:pPr>
      <w:r w:rsidRPr="00221BBA">
        <w:rPr>
          <w:b/>
        </w:rPr>
        <w:t>Neuvième réunion</w:t>
      </w:r>
    </w:p>
    <w:p w:rsidR="00F11985" w:rsidRPr="00221BBA" w:rsidRDefault="00F11985" w:rsidP="004F6BBD">
      <w:r w:rsidRPr="00221BBA">
        <w:t>Genève, 9</w:t>
      </w:r>
      <w:r w:rsidR="004F6BBD" w:rsidRPr="00221BBA">
        <w:t>-</w:t>
      </w:r>
      <w:r w:rsidRPr="00221BBA">
        <w:t>11 juin 2020</w:t>
      </w:r>
    </w:p>
    <w:p w:rsidR="004F6BBD" w:rsidRPr="00221BBA" w:rsidRDefault="00F11985" w:rsidP="004F6BBD">
      <w:r w:rsidRPr="00221BBA">
        <w:t xml:space="preserve">Points </w:t>
      </w:r>
      <w:bookmarkStart w:id="1" w:name="_Hlk36210325"/>
      <w:r w:rsidRPr="00221BBA">
        <w:t>3, 4 c) et 6 c) de l’ordre du jour provisoire</w:t>
      </w:r>
      <w:bookmarkEnd w:id="1"/>
    </w:p>
    <w:p w:rsidR="00F11985" w:rsidRPr="00BF09A6" w:rsidRDefault="00F11985" w:rsidP="004F6BBD">
      <w:pPr>
        <w:rPr>
          <w:b/>
        </w:rPr>
      </w:pPr>
      <w:bookmarkStart w:id="2" w:name="_Hlk36210747"/>
      <w:r w:rsidRPr="00BF09A6">
        <w:rPr>
          <w:b/>
          <w:bCs/>
        </w:rPr>
        <w:t>Dispositions financières,</w:t>
      </w:r>
    </w:p>
    <w:p w:rsidR="00BF09A6" w:rsidRPr="00BF09A6" w:rsidRDefault="00F11985" w:rsidP="004F6BBD">
      <w:pPr>
        <w:rPr>
          <w:b/>
          <w:bCs/>
        </w:rPr>
      </w:pPr>
      <w:r w:rsidRPr="00BF09A6">
        <w:rPr>
          <w:b/>
          <w:bCs/>
        </w:rPr>
        <w:t>Préparatifs pour les prochaines sessions des Réunions des Parties</w:t>
      </w:r>
      <w:r w:rsidR="005628B1" w:rsidRPr="00BF09A6">
        <w:rPr>
          <w:b/>
          <w:bCs/>
        </w:rPr>
        <w:t> :</w:t>
      </w:r>
      <w:r w:rsidRPr="00BF09A6">
        <w:rPr>
          <w:b/>
          <w:bCs/>
        </w:rPr>
        <w:t xml:space="preserve"> </w:t>
      </w:r>
      <w:r w:rsidR="004F6BBD" w:rsidRPr="00BF09A6">
        <w:rPr>
          <w:b/>
          <w:bCs/>
        </w:rPr>
        <w:br/>
      </w:r>
      <w:r w:rsidRPr="00BF09A6">
        <w:rPr>
          <w:b/>
          <w:bCs/>
        </w:rPr>
        <w:t>Projet de plan de travail pour la période 2021-2023,</w:t>
      </w:r>
      <w:r w:rsidR="004F6BBD" w:rsidRPr="00BF09A6">
        <w:rPr>
          <w:b/>
          <w:bCs/>
        </w:rPr>
        <w:t xml:space="preserve"> </w:t>
      </w:r>
    </w:p>
    <w:p w:rsidR="00F11985" w:rsidRPr="00BF09A6" w:rsidRDefault="00F11985" w:rsidP="004F6BBD">
      <w:pPr>
        <w:rPr>
          <w:b/>
          <w:bCs/>
        </w:rPr>
      </w:pPr>
      <w:r w:rsidRPr="00BF09A6">
        <w:rPr>
          <w:b/>
          <w:bCs/>
        </w:rPr>
        <w:t xml:space="preserve">Application et respect des dispositions de la Convention </w:t>
      </w:r>
      <w:r w:rsidR="00BF09A6" w:rsidRPr="00BF09A6">
        <w:rPr>
          <w:b/>
          <w:bCs/>
        </w:rPr>
        <w:br/>
      </w:r>
      <w:r w:rsidRPr="00BF09A6">
        <w:rPr>
          <w:b/>
          <w:bCs/>
        </w:rPr>
        <w:t>et du Protocole</w:t>
      </w:r>
      <w:r w:rsidR="005628B1" w:rsidRPr="00BF09A6">
        <w:rPr>
          <w:b/>
          <w:bCs/>
        </w:rPr>
        <w:t> :</w:t>
      </w:r>
      <w:r w:rsidRPr="00BF09A6">
        <w:rPr>
          <w:b/>
          <w:bCs/>
        </w:rPr>
        <w:t xml:space="preserve"> Projet de stratégie à long terme </w:t>
      </w:r>
      <w:r w:rsidR="004F6BBD" w:rsidRPr="00BF09A6">
        <w:rPr>
          <w:b/>
          <w:bCs/>
        </w:rPr>
        <w:br/>
      </w:r>
      <w:r w:rsidRPr="00BF09A6">
        <w:rPr>
          <w:b/>
          <w:bCs/>
        </w:rPr>
        <w:t>et de plan d’action pour la Convention et le Protocole</w:t>
      </w:r>
    </w:p>
    <w:bookmarkEnd w:id="2"/>
    <w:p w:rsidR="00F11985" w:rsidRPr="00221BBA" w:rsidRDefault="00F11985" w:rsidP="004F6BBD">
      <w:pPr>
        <w:pStyle w:val="HChG"/>
      </w:pPr>
      <w:r w:rsidRPr="00221BBA">
        <w:tab/>
      </w:r>
      <w:r w:rsidRPr="00221BBA">
        <w:tab/>
        <w:t xml:space="preserve">Projets de décisions conjointes de la Réunion des Parties </w:t>
      </w:r>
      <w:r w:rsidRPr="00221BBA">
        <w:br/>
        <w:t>à la Convention et de la Réunion des Parties à la Convention agissant comme réunion des Parties au Protocole</w:t>
      </w:r>
    </w:p>
    <w:p w:rsidR="00F11985" w:rsidRPr="00221BBA" w:rsidRDefault="00F11985" w:rsidP="004F6BBD">
      <w:pPr>
        <w:pStyle w:val="H1G"/>
      </w:pPr>
      <w:r w:rsidRPr="00221BBA">
        <w:tab/>
      </w:r>
      <w:r w:rsidRPr="00221BBA">
        <w:tab/>
        <w:t>Proposition du Bureau</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492324" w:rsidRPr="00221BBA" w:rsidTr="00BF09A6">
        <w:trPr>
          <w:jc w:val="center"/>
        </w:trPr>
        <w:tc>
          <w:tcPr>
            <w:tcW w:w="9637" w:type="dxa"/>
            <w:tcBorders>
              <w:bottom w:val="nil"/>
            </w:tcBorders>
            <w:shd w:val="clear" w:color="auto" w:fill="auto"/>
          </w:tcPr>
          <w:p w:rsidR="004F6BBD" w:rsidRPr="00221BBA" w:rsidRDefault="004F6BBD">
            <w:pPr>
              <w:spacing w:before="240" w:after="120"/>
              <w:ind w:left="255"/>
              <w:rPr>
                <w:i/>
                <w:sz w:val="24"/>
              </w:rPr>
            </w:pPr>
            <w:r w:rsidRPr="00221BBA">
              <w:rPr>
                <w:i/>
                <w:sz w:val="24"/>
              </w:rPr>
              <w:t>Résumé</w:t>
            </w:r>
          </w:p>
        </w:tc>
      </w:tr>
      <w:tr w:rsidR="00492324" w:rsidRPr="00221BBA" w:rsidTr="00BF09A6">
        <w:trPr>
          <w:jc w:val="center"/>
        </w:trPr>
        <w:tc>
          <w:tcPr>
            <w:tcW w:w="9637" w:type="dxa"/>
            <w:tcBorders>
              <w:top w:val="nil"/>
              <w:bottom w:val="nil"/>
            </w:tcBorders>
            <w:shd w:val="clear" w:color="auto" w:fill="auto"/>
          </w:tcPr>
          <w:p w:rsidR="004F6BBD" w:rsidRPr="00221BBA" w:rsidRDefault="004F6BBD" w:rsidP="004F6BBD">
            <w:pPr>
              <w:pStyle w:val="SingleTxtG"/>
              <w:ind w:firstLine="567"/>
            </w:pPr>
            <w:r w:rsidRPr="00221BBA">
              <w:t xml:space="preserve">Conformément au mandat confié au Groupe de travail de l’évaluation de l’impact sur l’environnement et de l’évaluation stratégique environnementale par la Réunion des Parties à la Convention sur l’évaluation de l’impact sur l’environnement dans un contexte transfrontière et la Réunion des Parties à la Convention agissant comme réunion des Parties au Protocole relatif à l’évaluation stratégique environnementale, le Groupe de travail est chargé de faire des recommandations à ces organes directeurs en ce qui concerne les travaux futurs au titre de la Convention et du Protocole (ECE/MP.EIA/SEA/2, décision </w:t>
            </w:r>
            <w:r w:rsidRPr="00221BBA">
              <w:lastRenderedPageBreak/>
              <w:t>I/5</w:t>
            </w:r>
            <w:r w:rsidR="00A406AC">
              <w:noBreakHyphen/>
            </w:r>
            <w:r w:rsidRPr="00221BBA">
              <w:t>V/5, par. 4).</w:t>
            </w:r>
          </w:p>
        </w:tc>
      </w:tr>
      <w:tr w:rsidR="004F6BBD" w:rsidRPr="00221BBA" w:rsidTr="00BF09A6">
        <w:trPr>
          <w:jc w:val="center"/>
        </w:trPr>
        <w:tc>
          <w:tcPr>
            <w:tcW w:w="9637" w:type="dxa"/>
            <w:tcBorders>
              <w:top w:val="nil"/>
              <w:bottom w:val="nil"/>
            </w:tcBorders>
            <w:shd w:val="clear" w:color="auto" w:fill="auto"/>
          </w:tcPr>
          <w:p w:rsidR="004F6BBD" w:rsidRPr="00221BBA" w:rsidRDefault="004F6BBD" w:rsidP="004F6BBD">
            <w:pPr>
              <w:pStyle w:val="SingleTxtG"/>
              <w:ind w:firstLine="567"/>
            </w:pPr>
            <w:r w:rsidRPr="00221BBA">
              <w:lastRenderedPageBreak/>
              <w:t>En accord avec le mandat susmentionné, le présent document contient un certain nombre de projets de texte soumis à l’examen du Groupe de travail</w:t>
            </w:r>
            <w:r w:rsidR="005628B1" w:rsidRPr="005628B1">
              <w:t> :</w:t>
            </w:r>
            <w:r w:rsidRPr="00221BBA">
              <w:t xml:space="preserve"> un projet de décision sur les dispositions financières pour la période 2021-2023 (VIII/1-IV/1) ; un projet de décision sur l’adoption du plan de travail (VIII/2-IV/2) ; un projet de décision sur la stratégie à long terme et le plan d’action pour la Convention et le Protocole (VIII/3-IV/3).</w:t>
            </w:r>
          </w:p>
        </w:tc>
      </w:tr>
      <w:tr w:rsidR="004F6BBD" w:rsidRPr="00221BBA" w:rsidTr="00BF09A6">
        <w:trPr>
          <w:jc w:val="center"/>
        </w:trPr>
        <w:tc>
          <w:tcPr>
            <w:tcW w:w="9637" w:type="dxa"/>
            <w:tcBorders>
              <w:top w:val="nil"/>
            </w:tcBorders>
            <w:shd w:val="clear" w:color="auto" w:fill="auto"/>
          </w:tcPr>
          <w:p w:rsidR="004F6BBD" w:rsidRPr="00221BBA" w:rsidRDefault="004F6BBD" w:rsidP="004F6BBD">
            <w:pPr>
              <w:pStyle w:val="SingleTxtG"/>
              <w:ind w:firstLine="567"/>
            </w:pPr>
            <w:r w:rsidRPr="00221BBA">
              <w:t>Les projets de décision figurant dans le présent document ont été élaborés par le Bureau conjoint des organes directeurs des deux traités, avec le concours du secrétariat, comme l’avait demandé le Groupe de travail à sa huitième réunion (Genève, 26 au 28 novembre 2019). Les deux premiers projets de décision ont été révisés en profondeur par le Bureau compte tenu des observations du Groupe de travail sur les versions provisoires informelles de ces documents. La troisième décision contenue dans le présent document est une nouvelle proposition.</w:t>
            </w:r>
          </w:p>
        </w:tc>
      </w:tr>
      <w:tr w:rsidR="004F6BBD" w:rsidRPr="00221BBA">
        <w:trPr>
          <w:jc w:val="center"/>
        </w:trPr>
        <w:tc>
          <w:tcPr>
            <w:tcW w:w="9637" w:type="dxa"/>
            <w:shd w:val="clear" w:color="auto" w:fill="auto"/>
          </w:tcPr>
          <w:p w:rsidR="004F6BBD" w:rsidRPr="00221BBA" w:rsidRDefault="004F6BBD" w:rsidP="004F6BBD">
            <w:pPr>
              <w:pStyle w:val="SingleTxtG"/>
              <w:ind w:firstLine="567"/>
            </w:pPr>
            <w:r w:rsidRPr="00221BBA">
              <w:t>Le projet de décision VIII/1-IV/1 porte sur la définition de dispositions financières permettant une répartition suffisante, prévisible et équitable des fonds. L’annexe à ce projet de décision présente le barème des quotes-parts ajusté de l’Organisation des Nations Unies, qui peut servir de référence pour le calcul des contributions des Parties.</w:t>
            </w:r>
          </w:p>
        </w:tc>
      </w:tr>
      <w:tr w:rsidR="004F6BBD" w:rsidRPr="00221BBA">
        <w:trPr>
          <w:jc w:val="center"/>
        </w:trPr>
        <w:tc>
          <w:tcPr>
            <w:tcW w:w="9637" w:type="dxa"/>
            <w:shd w:val="clear" w:color="auto" w:fill="auto"/>
          </w:tcPr>
          <w:p w:rsidR="004F6BBD" w:rsidRPr="00221BBA" w:rsidRDefault="004F6BBD" w:rsidP="004F6BBD">
            <w:pPr>
              <w:pStyle w:val="SingleTxtG"/>
              <w:ind w:firstLine="567"/>
            </w:pPr>
            <w:r w:rsidRPr="00221BBA">
              <w:t>À la différence de la pratique observée à ce jour, le nouveau projet de plan de travail proposé pour la période 2021-2023, qui figure à l’annexe I du projet de décision VIII/2</w:t>
            </w:r>
            <w:r w:rsidR="002E4B4E">
              <w:noBreakHyphen/>
            </w:r>
            <w:r w:rsidRPr="00221BBA">
              <w:t xml:space="preserve">IV/2, énonce l’ensemble des tâches et des services confiés au secrétariat, tels que précisés par les deux traités et par le </w:t>
            </w:r>
            <w:r w:rsidR="002E4B4E" w:rsidRPr="00221BBA">
              <w:t xml:space="preserve">Règlement </w:t>
            </w:r>
            <w:r w:rsidRPr="00221BBA">
              <w:t>intérieur des Réunions des Parties, et nécessaires au fonctionnement des traités. Il sera ainsi plus facile pour le Groupe de travail de déterminer quels services et activités du secrétariat pourraient être supprimés si les fonds nécessaires venaient à manquer pendant la période visée (ECE/MP.EIA/WG.2/2019/2, par. 9). En outre, pour répondre à la demande du Groupe de travail et l’aider à mobiliser les ressources nécessaires à l’exécution du plan de travail, ces ressources sont désormais inscrites dans les tableaux 1 et 2 de l’annexe II du projet de décision VIII/2-IV/2. Les activités du plan de travail pour lesquelles les ressources en espèces ou en nature n’ont pas encore été trouvées (c’est-à-dire la plupart des activités) sont indiquées entre crochets. Le tableau 3 de l’annexe II du projet de décision VIII/2-IV/2 donne un aperçu des ressources disponibles dans le cadre du programme « EU4Environment » pour 2021 et 202</w:t>
            </w:r>
            <w:r w:rsidR="00711A90">
              <w:t>2</w:t>
            </w:r>
            <w:r w:rsidRPr="00221BBA">
              <w:t>. Enfin, l’annexe III du projet de décision VIII/2-IV/2 énumère les activités dont les Parties ont demandé la réalisation mais pour lesquelles il faut trouver des ressources financières et des ressources en personnel de secrétariat supplémentaires afin qu’elles puissent être menées à bien dans la période 2021-2023.</w:t>
            </w:r>
          </w:p>
        </w:tc>
      </w:tr>
      <w:tr w:rsidR="004F6BBD" w:rsidRPr="00221BBA">
        <w:trPr>
          <w:jc w:val="center"/>
        </w:trPr>
        <w:tc>
          <w:tcPr>
            <w:tcW w:w="9637" w:type="dxa"/>
            <w:shd w:val="clear" w:color="auto" w:fill="auto"/>
          </w:tcPr>
          <w:p w:rsidR="004F6BBD" w:rsidRPr="00221BBA" w:rsidRDefault="004F6BBD" w:rsidP="004F6BBD">
            <w:pPr>
              <w:pStyle w:val="SingleTxtG"/>
              <w:ind w:firstLine="567"/>
            </w:pPr>
            <w:r w:rsidRPr="00221BBA">
              <w:t>Le Groupe de travail devrait examiner et approuver les textes des projets de décision qui seront soumis pour examen par les organes directeurs de la Convention et du Protocole à leurs prochaines sessions conjointes, qui auront lieu à Vilnius du 8 au 11 décembre 2020.</w:t>
            </w:r>
          </w:p>
        </w:tc>
      </w:tr>
      <w:tr w:rsidR="00492324" w:rsidRPr="00221BBA">
        <w:trPr>
          <w:jc w:val="center"/>
        </w:trPr>
        <w:tc>
          <w:tcPr>
            <w:tcW w:w="9637" w:type="dxa"/>
            <w:shd w:val="clear" w:color="auto" w:fill="auto"/>
          </w:tcPr>
          <w:p w:rsidR="004F6BBD" w:rsidRPr="00221BBA" w:rsidRDefault="004F6BBD"/>
        </w:tc>
      </w:tr>
    </w:tbl>
    <w:p w:rsidR="004F6BBD" w:rsidRPr="00221BBA" w:rsidRDefault="004F6BBD" w:rsidP="004F6BBD"/>
    <w:p w:rsidR="00F11985" w:rsidRPr="00221BBA" w:rsidRDefault="00F11985" w:rsidP="004F6BBD">
      <w:pPr>
        <w:spacing w:after="120"/>
        <w:rPr>
          <w:sz w:val="28"/>
        </w:rPr>
      </w:pPr>
      <w:r w:rsidRPr="00221BBA">
        <w:br w:type="page"/>
      </w:r>
      <w:r w:rsidR="004F6BBD" w:rsidRPr="00221BBA">
        <w:rPr>
          <w:sz w:val="28"/>
        </w:rPr>
        <w:lastRenderedPageBreak/>
        <w:t>Table des matières</w:t>
      </w:r>
    </w:p>
    <w:p w:rsidR="004F6BBD" w:rsidRPr="00221BBA" w:rsidRDefault="00D9119B" w:rsidP="004F6BBD">
      <w:pPr>
        <w:tabs>
          <w:tab w:val="right" w:pos="9638"/>
        </w:tabs>
        <w:spacing w:after="120"/>
        <w:ind w:left="283"/>
        <w:rPr>
          <w:i/>
          <w:sz w:val="18"/>
        </w:rPr>
      </w:pPr>
      <w:r>
        <w:rPr>
          <w:i/>
          <w:sz w:val="18"/>
        </w:rPr>
        <w:t>Projet de décisions</w:t>
      </w:r>
      <w:r w:rsidR="004F6BBD" w:rsidRPr="00221BBA">
        <w:rPr>
          <w:i/>
          <w:sz w:val="18"/>
        </w:rPr>
        <w:tab/>
        <w:t>Page</w:t>
      </w:r>
    </w:p>
    <w:p w:rsidR="00D9119B" w:rsidRPr="00221BBA" w:rsidRDefault="00D9119B" w:rsidP="00D9119B">
      <w:pPr>
        <w:tabs>
          <w:tab w:val="right" w:pos="850"/>
          <w:tab w:val="right" w:leader="dot" w:pos="8787"/>
          <w:tab w:val="right" w:pos="9638"/>
        </w:tabs>
        <w:spacing w:after="120"/>
        <w:ind w:left="1134" w:hanging="1134"/>
      </w:pPr>
      <w:r w:rsidRPr="00221BBA">
        <w:tab/>
      </w:r>
      <w:r>
        <w:t>VIII/1-IV/1</w:t>
      </w:r>
      <w:r w:rsidRPr="00221BBA">
        <w:tab/>
        <w:t>Dispositions financières pour la période 2021-2023</w:t>
      </w:r>
      <w:r w:rsidRPr="00221BBA">
        <w:tab/>
      </w:r>
      <w:r w:rsidRPr="00221BBA">
        <w:tab/>
      </w:r>
      <w:r w:rsidR="008E5C90">
        <w:t>4</w:t>
      </w:r>
    </w:p>
    <w:p w:rsidR="00D9119B" w:rsidRPr="00221BBA" w:rsidRDefault="005628B1" w:rsidP="00D9119B">
      <w:pPr>
        <w:tabs>
          <w:tab w:val="right" w:leader="dot" w:pos="8787"/>
          <w:tab w:val="right" w:pos="9638"/>
        </w:tabs>
        <w:spacing w:after="120"/>
        <w:ind w:left="1134"/>
      </w:pPr>
      <w:r>
        <w:t>Annexe</w:t>
      </w:r>
      <w:r w:rsidRPr="005628B1">
        <w:t> :</w:t>
      </w:r>
      <w:r>
        <w:t xml:space="preserve"> </w:t>
      </w:r>
      <w:r w:rsidRPr="00221BBA">
        <w:t>Montant indicatif des contributions minimales pour la</w:t>
      </w:r>
      <w:r>
        <w:t xml:space="preserve"> </w:t>
      </w:r>
      <w:r w:rsidRPr="00221BBA">
        <w:t xml:space="preserve">période </w:t>
      </w:r>
      <w:r w:rsidRPr="00221BBA">
        <w:rPr>
          <w:szCs w:val="24"/>
        </w:rPr>
        <w:t>2021-2023</w:t>
      </w:r>
      <w:r w:rsidR="00D9119B">
        <w:tab/>
      </w:r>
      <w:r w:rsidR="00D9119B" w:rsidRPr="00221BBA">
        <w:tab/>
      </w:r>
      <w:r w:rsidR="008E5C90">
        <w:t>8</w:t>
      </w:r>
    </w:p>
    <w:p w:rsidR="00D9119B" w:rsidRPr="00221BBA" w:rsidRDefault="00D9119B" w:rsidP="00D9119B">
      <w:pPr>
        <w:tabs>
          <w:tab w:val="right" w:pos="850"/>
          <w:tab w:val="right" w:leader="dot" w:pos="8787"/>
          <w:tab w:val="right" w:pos="9638"/>
        </w:tabs>
        <w:spacing w:after="120"/>
        <w:ind w:left="1134" w:hanging="1134"/>
      </w:pPr>
      <w:r w:rsidRPr="00221BBA">
        <w:tab/>
      </w:r>
      <w:r>
        <w:t>VIII/2-IV/2</w:t>
      </w:r>
      <w:r w:rsidRPr="00221BBA">
        <w:tab/>
      </w:r>
      <w:r w:rsidR="005628B1" w:rsidRPr="00221BBA">
        <w:t>Adoption du plan de travail</w:t>
      </w:r>
      <w:r w:rsidRPr="00221BBA">
        <w:tab/>
      </w:r>
      <w:r w:rsidRPr="00221BBA">
        <w:tab/>
      </w:r>
      <w:r w:rsidR="008E5C90">
        <w:t>10</w:t>
      </w:r>
    </w:p>
    <w:p w:rsidR="00D9119B" w:rsidRPr="005628B1" w:rsidRDefault="005628B1" w:rsidP="005628B1">
      <w:pPr>
        <w:tabs>
          <w:tab w:val="right" w:leader="dot" w:pos="8787"/>
          <w:tab w:val="right" w:pos="9638"/>
        </w:tabs>
        <w:spacing w:after="120"/>
        <w:ind w:left="1134"/>
      </w:pPr>
      <w:r w:rsidRPr="005628B1">
        <w:t>Annexe I : Projet de plan de travail pour la période 2021-2023</w:t>
      </w:r>
      <w:r w:rsidR="00D9119B" w:rsidRPr="005628B1">
        <w:tab/>
      </w:r>
      <w:r w:rsidR="00D9119B" w:rsidRPr="005628B1">
        <w:tab/>
      </w:r>
      <w:r w:rsidR="008E5C90">
        <w:t>13</w:t>
      </w:r>
    </w:p>
    <w:p w:rsidR="00D9119B" w:rsidRPr="00221BBA" w:rsidRDefault="005628B1" w:rsidP="00D9119B">
      <w:pPr>
        <w:tabs>
          <w:tab w:val="right" w:leader="dot" w:pos="8787"/>
          <w:tab w:val="right" w:pos="9638"/>
        </w:tabs>
        <w:spacing w:after="120"/>
        <w:ind w:left="1134"/>
      </w:pPr>
      <w:r w:rsidRPr="005628B1">
        <w:t xml:space="preserve">Annexe </w:t>
      </w:r>
      <w:r>
        <w:t>I</w:t>
      </w:r>
      <w:r w:rsidRPr="005628B1">
        <w:t>I :</w:t>
      </w:r>
      <w:r>
        <w:t xml:space="preserve"> </w:t>
      </w:r>
      <w:r w:rsidRPr="00221BBA">
        <w:rPr>
          <w:lang w:eastAsia="fr-CH"/>
        </w:rPr>
        <w:t xml:space="preserve">Plan de travail et ressources nécessaires pour </w:t>
      </w:r>
      <w:r w:rsidRPr="00221BBA">
        <w:rPr>
          <w:szCs w:val="24"/>
        </w:rPr>
        <w:t>2021-2023</w:t>
      </w:r>
      <w:r w:rsidR="00D9119B" w:rsidRPr="00221BBA">
        <w:tab/>
      </w:r>
      <w:r w:rsidR="00D9119B">
        <w:tab/>
      </w:r>
      <w:r w:rsidR="008E5C90">
        <w:t>25</w:t>
      </w:r>
    </w:p>
    <w:p w:rsidR="00D9119B" w:rsidRPr="00221BBA" w:rsidRDefault="005628B1" w:rsidP="00D9119B">
      <w:pPr>
        <w:tabs>
          <w:tab w:val="right" w:leader="dot" w:pos="8787"/>
          <w:tab w:val="right" w:pos="9638"/>
        </w:tabs>
        <w:spacing w:after="120"/>
        <w:ind w:left="1134"/>
      </w:pPr>
      <w:r w:rsidRPr="005628B1">
        <w:t>Annexe I</w:t>
      </w:r>
      <w:r>
        <w:t>II</w:t>
      </w:r>
      <w:r w:rsidRPr="005628B1">
        <w:t> :</w:t>
      </w:r>
      <w:r>
        <w:t xml:space="preserve"> </w:t>
      </w:r>
      <w:r w:rsidRPr="00221BBA">
        <w:t xml:space="preserve">Activités dont la réalisation pendant la période 2021-2023 nécessiterait </w:t>
      </w:r>
      <w:r>
        <w:br/>
      </w:r>
      <w:r w:rsidRPr="00221BBA">
        <w:t xml:space="preserve">des </w:t>
      </w:r>
      <w:r w:rsidRPr="00221BBA">
        <w:rPr>
          <w:lang w:eastAsia="en-GB"/>
        </w:rPr>
        <w:t>ressources supplémentaires, y compris des</w:t>
      </w:r>
      <w:r>
        <w:rPr>
          <w:lang w:eastAsia="en-GB"/>
        </w:rPr>
        <w:t xml:space="preserve"> </w:t>
      </w:r>
      <w:r w:rsidRPr="00221BBA">
        <w:rPr>
          <w:lang w:eastAsia="en-GB"/>
        </w:rPr>
        <w:t>effectifs de secrétariat</w:t>
      </w:r>
      <w:r w:rsidR="00D9119B" w:rsidRPr="00221BBA">
        <w:tab/>
      </w:r>
      <w:r w:rsidR="00D9119B">
        <w:tab/>
      </w:r>
      <w:r w:rsidR="008E5C90">
        <w:t>29</w:t>
      </w:r>
    </w:p>
    <w:p w:rsidR="00D9119B" w:rsidRPr="00221BBA" w:rsidRDefault="00D9119B" w:rsidP="00D9119B">
      <w:pPr>
        <w:tabs>
          <w:tab w:val="right" w:pos="850"/>
          <w:tab w:val="right" w:leader="dot" w:pos="8787"/>
          <w:tab w:val="right" w:pos="9638"/>
        </w:tabs>
        <w:spacing w:after="120"/>
        <w:ind w:left="1134" w:hanging="1134"/>
      </w:pPr>
      <w:r w:rsidRPr="00221BBA">
        <w:tab/>
      </w:r>
      <w:r>
        <w:t>VIII/3-IV/3</w:t>
      </w:r>
      <w:r w:rsidRPr="00221BBA">
        <w:tab/>
      </w:r>
      <w:r w:rsidR="005628B1" w:rsidRPr="00221BBA">
        <w:t>La stratégie et le plan d’action à long terme pour la Convention et le Protocole</w:t>
      </w:r>
      <w:r w:rsidRPr="00221BBA">
        <w:tab/>
      </w:r>
      <w:r w:rsidRPr="00221BBA">
        <w:tab/>
      </w:r>
      <w:r w:rsidR="008E5C90">
        <w:t>32</w:t>
      </w:r>
    </w:p>
    <w:p w:rsidR="00F11985" w:rsidRPr="00221BBA" w:rsidRDefault="00F11985" w:rsidP="004F6BBD">
      <w:pPr>
        <w:pStyle w:val="HChG"/>
      </w:pPr>
      <w:r w:rsidRPr="00221BBA">
        <w:rPr>
          <w:szCs w:val="28"/>
        </w:rPr>
        <w:br w:type="page"/>
      </w:r>
      <w:r w:rsidRPr="00221BBA">
        <w:lastRenderedPageBreak/>
        <w:tab/>
      </w:r>
      <w:r w:rsidRPr="00221BBA">
        <w:tab/>
        <w:t>Décision VIII/1</w:t>
      </w:r>
      <w:r w:rsidR="005E6839" w:rsidRPr="00221BBA">
        <w:t>-</w:t>
      </w:r>
      <w:r w:rsidRPr="00221BBA">
        <w:t>IV/1</w:t>
      </w:r>
    </w:p>
    <w:p w:rsidR="00F11985" w:rsidRPr="00221BBA" w:rsidRDefault="00F11985" w:rsidP="00D9119B">
      <w:pPr>
        <w:pStyle w:val="H1G"/>
      </w:pPr>
      <w:r w:rsidRPr="00221BBA">
        <w:tab/>
      </w:r>
      <w:r w:rsidRPr="00221BBA">
        <w:tab/>
        <w:t>Dispositions financières pour la période 2021</w:t>
      </w:r>
      <w:r w:rsidR="005E6839" w:rsidRPr="00221BBA">
        <w:t>-</w:t>
      </w:r>
      <w:r w:rsidRPr="00221BBA">
        <w:t>2023</w:t>
      </w:r>
    </w:p>
    <w:p w:rsidR="00F11985" w:rsidRPr="00221BBA" w:rsidRDefault="00F11985" w:rsidP="001570D1">
      <w:pPr>
        <w:pStyle w:val="SingleTxtG"/>
        <w:ind w:firstLine="567"/>
      </w:pPr>
      <w:r w:rsidRPr="00221BBA">
        <w:rPr>
          <w:i/>
        </w:rPr>
        <w:t>La Réunion des Parties à la Convention et la Réunion des Parties à la Convention agissant comme réunion des Parties au Protocole (Réunion des Parties au Protocole), réunies en session conjointe</w:t>
      </w:r>
      <w:r w:rsidRPr="00221BBA">
        <w:t>,</w:t>
      </w:r>
    </w:p>
    <w:p w:rsidR="00F11985" w:rsidRPr="00221BBA" w:rsidRDefault="00F11985" w:rsidP="001570D1">
      <w:pPr>
        <w:pStyle w:val="SingleTxtG"/>
        <w:ind w:firstLine="567"/>
      </w:pPr>
      <w:r w:rsidRPr="00221BBA">
        <w:rPr>
          <w:i/>
        </w:rPr>
        <w:t xml:space="preserve">Rappelant </w:t>
      </w:r>
      <w:r w:rsidRPr="00221BBA">
        <w:t>la décision VII/4-III/4 relative au budget, aux dispositions financières et à l’appui financier pour la période 2017-2020,</w:t>
      </w:r>
    </w:p>
    <w:p w:rsidR="00F11985" w:rsidRPr="00221BBA" w:rsidRDefault="00F11985" w:rsidP="001570D1">
      <w:pPr>
        <w:pStyle w:val="SingleTxtG"/>
        <w:ind w:firstLine="567"/>
      </w:pPr>
      <w:r w:rsidRPr="00221BBA">
        <w:rPr>
          <w:i/>
        </w:rPr>
        <w:t>Rappelant également</w:t>
      </w:r>
      <w:r w:rsidRPr="00221BBA">
        <w:t xml:space="preserve"> la stratégie financière adoptée par la décision VI/4-II/4 (annexe II), tout en regrettant son applicabilité limitée en ce qui concerne l’amélioration du financement de la Convention et de son Protocole, ainsi que de la prévisibilité et de la répartition équitable des contributions,</w:t>
      </w:r>
    </w:p>
    <w:p w:rsidR="00F11985" w:rsidRPr="00221BBA" w:rsidRDefault="00F11985" w:rsidP="001570D1">
      <w:pPr>
        <w:pStyle w:val="SingleTxtG"/>
        <w:ind w:firstLine="567"/>
        <w:rPr>
          <w:shd w:val="clear" w:color="auto" w:fill="FFFFFF"/>
        </w:rPr>
      </w:pPr>
      <w:r w:rsidRPr="00221BBA">
        <w:rPr>
          <w:i/>
          <w:shd w:val="clear" w:color="auto" w:fill="FFFFFF"/>
        </w:rPr>
        <w:t>Considérant</w:t>
      </w:r>
      <w:r w:rsidRPr="00221BBA">
        <w:rPr>
          <w:shd w:val="clear" w:color="auto" w:fill="FFFFFF"/>
        </w:rPr>
        <w:t xml:space="preserve"> que les Parties souhaitent un degré élevé de transparence et de responsabilisation concernant l’état et l’évolution du financement des activités réalisées au titre de la Convention et du Protocole,</w:t>
      </w:r>
    </w:p>
    <w:p w:rsidR="00F11985" w:rsidRPr="00221BBA" w:rsidRDefault="00F11985" w:rsidP="001570D1">
      <w:pPr>
        <w:pStyle w:val="SingleTxtG"/>
        <w:ind w:firstLine="567"/>
      </w:pPr>
      <w:r w:rsidRPr="00221BBA">
        <w:rPr>
          <w:i/>
        </w:rPr>
        <w:t xml:space="preserve">Accueillant avec satisfaction </w:t>
      </w:r>
      <w:r w:rsidRPr="00221BBA">
        <w:t>les rapports financiers annuels établis par le secrétariat pendant la période intersessions 2017-2020,</w:t>
      </w:r>
    </w:p>
    <w:p w:rsidR="00F11985" w:rsidRPr="00221BBA" w:rsidRDefault="00F11985" w:rsidP="001570D1">
      <w:pPr>
        <w:pStyle w:val="SingleTxtG"/>
        <w:ind w:firstLine="567"/>
      </w:pPr>
      <w:r w:rsidRPr="00221BBA">
        <w:rPr>
          <w:i/>
        </w:rPr>
        <w:t xml:space="preserve">Prenant note avec satisfaction </w:t>
      </w:r>
      <w:r w:rsidRPr="00221BBA">
        <w:t>des contributions en espèces et en nature faites pendant cette période intersessions</w:t>
      </w:r>
      <w:r w:rsidRPr="00221BBA">
        <w:rPr>
          <w:i/>
        </w:rPr>
        <w:t>,</w:t>
      </w:r>
    </w:p>
    <w:p w:rsidR="00F11985" w:rsidRPr="00221BBA" w:rsidRDefault="00F11985" w:rsidP="001570D1">
      <w:pPr>
        <w:pStyle w:val="SingleTxtG"/>
        <w:ind w:firstLine="567"/>
      </w:pPr>
      <w:r w:rsidRPr="00221BBA">
        <w:rPr>
          <w:i/>
        </w:rPr>
        <w:t xml:space="preserve">Regrettant </w:t>
      </w:r>
      <w:r w:rsidRPr="00221BBA">
        <w:t>toutefois l’insuffisance et l’imprévisibilité des contributions, qui ont été aggravées par une prolongation de la période de six mois, sans financement,</w:t>
      </w:r>
    </w:p>
    <w:p w:rsidR="00F11985" w:rsidRPr="00221BBA" w:rsidRDefault="00F11985" w:rsidP="001570D1">
      <w:pPr>
        <w:pStyle w:val="SingleTxtG"/>
        <w:ind w:firstLine="567"/>
      </w:pPr>
      <w:r w:rsidRPr="00221BBA">
        <w:rPr>
          <w:i/>
        </w:rPr>
        <w:t>Regrettant également</w:t>
      </w:r>
      <w:r w:rsidRPr="00221BBA">
        <w:t xml:space="preserve"> que la charge financière soit demeurée inégalement supportée, quelques Parties seulement fournissant la plus grande partie du financement et plusieurs Parties n’apportant aucune contribution,</w:t>
      </w:r>
    </w:p>
    <w:p w:rsidR="00F11985" w:rsidRPr="00221BBA" w:rsidRDefault="00F11985" w:rsidP="001570D1">
      <w:pPr>
        <w:pStyle w:val="SingleTxtG"/>
        <w:ind w:firstLine="567"/>
      </w:pPr>
      <w:bookmarkStart w:id="3" w:name="_Hlk32417526"/>
      <w:r w:rsidRPr="00221BBA">
        <w:rPr>
          <w:i/>
        </w:rPr>
        <w:t xml:space="preserve">Affirmant </w:t>
      </w:r>
      <w:r w:rsidRPr="00221BBA">
        <w:t>que toutes les Parties doivent veiller à allouer des ressources financières et humaines stables et suffisantes pour que le plan de travail de la Convention et de son Protocole pour la prochaine période intersessions (2021-2023), adopté par la décision VIII/2-IV/2, soit exécuté,</w:t>
      </w:r>
    </w:p>
    <w:bookmarkEnd w:id="3"/>
    <w:p w:rsidR="00F11985" w:rsidRPr="00221BBA" w:rsidRDefault="00F11985" w:rsidP="001570D1">
      <w:pPr>
        <w:pStyle w:val="SingleTxtG"/>
        <w:ind w:firstLine="567"/>
        <w:rPr>
          <w:i/>
        </w:rPr>
      </w:pPr>
      <w:r w:rsidRPr="00221BBA">
        <w:rPr>
          <w:i/>
        </w:rPr>
        <w:t>Affirmant également</w:t>
      </w:r>
      <w:r w:rsidRPr="00221BBA">
        <w:t xml:space="preserve"> que chaque Partie est tenue, dans le cadre du partage équitable des coûts liés au plan de travail, de contribuer, au minimum, à un niveau qui ne soit pas inférieur à sa puissance économique,</w:t>
      </w:r>
    </w:p>
    <w:p w:rsidR="00F11985" w:rsidRPr="00221BBA" w:rsidRDefault="00F11985" w:rsidP="001570D1">
      <w:pPr>
        <w:pStyle w:val="SingleTxtG"/>
        <w:ind w:firstLine="567"/>
        <w:rPr>
          <w:i/>
        </w:rPr>
      </w:pPr>
      <w:r w:rsidRPr="00221BBA">
        <w:rPr>
          <w:i/>
        </w:rPr>
        <w:t xml:space="preserve">Sachant </w:t>
      </w:r>
      <w:r w:rsidRPr="00221BBA">
        <w:t>combien il est important que les Parties participent largement aux activités menées dans le cadre de la Convention et du Protocole afin d’en améliorer l’efficacité,</w:t>
      </w:r>
    </w:p>
    <w:p w:rsidR="00F11985" w:rsidRPr="00221BBA" w:rsidRDefault="00F11985" w:rsidP="001570D1">
      <w:pPr>
        <w:pStyle w:val="SingleTxtG"/>
        <w:ind w:firstLine="567"/>
      </w:pPr>
      <w:r w:rsidRPr="00221BBA">
        <w:rPr>
          <w:i/>
        </w:rPr>
        <w:t xml:space="preserve">Sachant également </w:t>
      </w:r>
      <w:r w:rsidRPr="00221BBA">
        <w:t>qu’il est nécessaire de faciliter la participation aux réunions et aux activités menées dans le cadre de la Convention et du Protocole de plusieurs pays en transition qui ne pourraient autrement y prendre part,</w:t>
      </w:r>
    </w:p>
    <w:p w:rsidR="00F11985" w:rsidRPr="00221BBA" w:rsidRDefault="00F11985" w:rsidP="001570D1">
      <w:pPr>
        <w:pStyle w:val="SingleTxtG"/>
        <w:ind w:firstLine="567"/>
      </w:pPr>
      <w:r w:rsidRPr="00221BBA">
        <w:rPr>
          <w:i/>
        </w:rPr>
        <w:t xml:space="preserve">Rappelant </w:t>
      </w:r>
      <w:r w:rsidRPr="00221BBA">
        <w:t>le paragraphe 3 de l’article 23 du Protocole, qui permet aux États Membres de l’Organisation des Nations Unies qui ne sont pas membres de la Commission économique pour l’Europe (CEE) d’adhérer au Protocole, ainsi que le paragraphe 3 de l’article 17 de la Convention qui, dans un proche avenir, permettra également aux États non membres de la CEE d’adhérer à la Convention,</w:t>
      </w:r>
    </w:p>
    <w:p w:rsidR="00F11985" w:rsidRPr="00221BBA" w:rsidRDefault="00F11985" w:rsidP="001570D1">
      <w:pPr>
        <w:pStyle w:val="SingleTxtG"/>
        <w:ind w:firstLine="567"/>
      </w:pPr>
      <w:r w:rsidRPr="00221BBA">
        <w:t>1.</w:t>
      </w:r>
      <w:r w:rsidRPr="00221BBA">
        <w:rPr>
          <w:i/>
        </w:rPr>
        <w:tab/>
        <w:t xml:space="preserve">Décident </w:t>
      </w:r>
      <w:r w:rsidRPr="00221BBA">
        <w:t>d’un dispositif financier destiné à financer les plans de travail adoptés, selon lequel toutes les Parties sont tenues de contribuer aux coûts qui ne sont pas couverts par le budget ordinaire l’Organisation des Nations Unies</w:t>
      </w:r>
      <w:r w:rsidR="005D58ED" w:rsidRPr="00221BBA">
        <w:t> ;</w:t>
      </w:r>
    </w:p>
    <w:p w:rsidR="00F11985" w:rsidRPr="00221BBA" w:rsidRDefault="00F11985" w:rsidP="001570D1">
      <w:pPr>
        <w:pStyle w:val="SingleTxtG"/>
        <w:ind w:firstLine="567"/>
      </w:pPr>
      <w:r w:rsidRPr="00221BBA">
        <w:t>2.</w:t>
      </w:r>
      <w:r w:rsidRPr="00221BBA">
        <w:rPr>
          <w:i/>
        </w:rPr>
        <w:tab/>
        <w:t xml:space="preserve">Conviennent </w:t>
      </w:r>
      <w:r w:rsidRPr="00221BBA">
        <w:t>que le dispositif financier devrait être fondé sur les principes suivants</w:t>
      </w:r>
      <w:r w:rsidR="005628B1" w:rsidRPr="005628B1">
        <w:t> :</w:t>
      </w:r>
    </w:p>
    <w:p w:rsidR="00F11985" w:rsidRPr="00221BBA" w:rsidRDefault="00F11985" w:rsidP="001570D1">
      <w:pPr>
        <w:pStyle w:val="SingleTxtG"/>
        <w:ind w:firstLine="567"/>
      </w:pPr>
      <w:r w:rsidRPr="00221BBA">
        <w:t>a)</w:t>
      </w:r>
      <w:r w:rsidRPr="00221BBA">
        <w:tab/>
        <w:t>Chaque Partie devrait verser une contribution annuelle ou pluriannuelle afin de financer l’exécution des plans de travail</w:t>
      </w:r>
      <w:r w:rsidR="005D58ED" w:rsidRPr="00221BBA">
        <w:t> ;</w:t>
      </w:r>
    </w:p>
    <w:p w:rsidR="00F11985" w:rsidRPr="00221BBA" w:rsidRDefault="00F11985" w:rsidP="001570D1">
      <w:pPr>
        <w:pStyle w:val="SingleTxtG"/>
        <w:ind w:firstLine="567"/>
      </w:pPr>
      <w:r w:rsidRPr="00221BBA">
        <w:lastRenderedPageBreak/>
        <w:t>b)</w:t>
      </w:r>
      <w:r w:rsidRPr="00221BBA">
        <w:tab/>
        <w:t>Afin de garantir la répartition équitable de la charge financière entre les Parties, chaque État partie devrait verser, au minimum, le montant calculé en appliquant le barème des quotes-parts ajusté de l’Organisation des Nations Unies</w:t>
      </w:r>
      <w:r w:rsidRPr="00221BBA">
        <w:rPr>
          <w:rStyle w:val="FootnoteReference"/>
        </w:rPr>
        <w:footnoteReference w:id="2"/>
      </w:r>
      <w:r w:rsidRPr="00221BBA">
        <w:t>, à titre de contribution aux ressources nécessaires à l’exécution du plan de travail convenues d’un commun accord</w:t>
      </w:r>
      <w:r w:rsidR="005D58ED" w:rsidRPr="00221BBA">
        <w:t> ;</w:t>
      </w:r>
      <w:r w:rsidRPr="00221BBA">
        <w:t xml:space="preserve"> [Cette méthode de calcul ne concerne pas la contribution de l’Union européenne (UE)]</w:t>
      </w:r>
      <w:r w:rsidR="005D58ED" w:rsidRPr="00221BBA">
        <w:t> ;</w:t>
      </w:r>
    </w:p>
    <w:p w:rsidR="00F11985" w:rsidRPr="00221BBA" w:rsidRDefault="00F11985" w:rsidP="001570D1">
      <w:pPr>
        <w:pStyle w:val="SingleTxtG"/>
        <w:ind w:firstLine="567"/>
      </w:pPr>
      <w:r w:rsidRPr="00221BBA">
        <w:t>c)</w:t>
      </w:r>
      <w:r w:rsidRPr="00221BBA">
        <w:tab/>
        <w:t>Les Parties devraient annoncer, bien avant l’adoption du plan de travail et du budget par les Réunions des Parties, le montant de la contribution financière et la contribution en nature annuelles ou pluriannuelles qu’elles comptent apporter, afin que les plans de travail correspondent au niveau du financement à disposition et que la gestion financière et la gestion de projets reposent sur des bases plus sûres</w:t>
      </w:r>
      <w:r w:rsidR="005D58ED" w:rsidRPr="00221BBA">
        <w:t> ;</w:t>
      </w:r>
    </w:p>
    <w:p w:rsidR="00F11985" w:rsidRPr="00221BBA" w:rsidRDefault="00F11985" w:rsidP="001570D1">
      <w:pPr>
        <w:pStyle w:val="SingleTxtG"/>
        <w:ind w:firstLine="567"/>
      </w:pPr>
      <w:r w:rsidRPr="00221BBA">
        <w:t>d)</w:t>
      </w:r>
      <w:r w:rsidRPr="00221BBA">
        <w:tab/>
        <w:t>Les contributions annuelles ou pluriannuelles ordinaires devraient être versées en espèces</w:t>
      </w:r>
      <w:r w:rsidR="005D58ED" w:rsidRPr="00221BBA">
        <w:t> ;</w:t>
      </w:r>
      <w:r w:rsidRPr="00221BBA">
        <w:t xml:space="preserve"> de plus, il serait préférable qu’elles ne soient pas affectées à une activité particulière mais qu’elles servent à financer l’exécution générale du plan de travail et non pas seulement les dépenses prioritaires </w:t>
      </w:r>
      <w:r w:rsidR="008E5C90">
        <w:t>−</w:t>
      </w:r>
      <w:r w:rsidRPr="00221BBA">
        <w:t xml:space="preserve"> des contributions additionnelles peuvent être versées en espèces ou apportées en nature et peuvent être affectées à une activité particulière</w:t>
      </w:r>
      <w:r w:rsidR="005D58ED" w:rsidRPr="00221BBA">
        <w:t> ;</w:t>
      </w:r>
    </w:p>
    <w:p w:rsidR="00F11985" w:rsidRPr="00221BBA" w:rsidRDefault="00F11985" w:rsidP="001570D1">
      <w:pPr>
        <w:pStyle w:val="SingleTxtG"/>
        <w:ind w:firstLine="567"/>
      </w:pPr>
      <w:r w:rsidRPr="00221BBA">
        <w:t>e)</w:t>
      </w:r>
      <w:r w:rsidRPr="00221BBA">
        <w:tab/>
        <w:t>Les contributions en espèces devraient être versées par l’intermédiaire du Fonds d’affectation spéciale de la CEE pour la Convention et son Protocole, contre les demandes de paiement émises par le secrétariat</w:t>
      </w:r>
      <w:r w:rsidR="005D58ED" w:rsidRPr="00221BBA">
        <w:t> ;</w:t>
      </w:r>
    </w:p>
    <w:p w:rsidR="00F11985" w:rsidRPr="00221BBA" w:rsidRDefault="00F11985" w:rsidP="001570D1">
      <w:pPr>
        <w:pStyle w:val="SingleTxtG"/>
        <w:ind w:firstLine="567"/>
      </w:pPr>
      <w:r w:rsidRPr="00221BBA">
        <w:t>f)</w:t>
      </w:r>
      <w:r w:rsidRPr="00221BBA">
        <w:tab/>
        <w:t>Compte tenu du coût que représente le traitement administratif de chaque paiement, aucune contribution ne devrait être inférieure à 500</w:t>
      </w:r>
      <w:r w:rsidR="008E5C90">
        <w:t> </w:t>
      </w:r>
      <w:r w:rsidRPr="00221BBA">
        <w:t>dollars</w:t>
      </w:r>
      <w:r w:rsidR="005D58ED" w:rsidRPr="00221BBA">
        <w:t> ;</w:t>
      </w:r>
    </w:p>
    <w:p w:rsidR="00F11985" w:rsidRPr="00221BBA" w:rsidRDefault="00F11985" w:rsidP="001570D1">
      <w:pPr>
        <w:pStyle w:val="SingleTxtG"/>
        <w:ind w:firstLine="567"/>
      </w:pPr>
      <w:r w:rsidRPr="00221BBA">
        <w:t>g)</w:t>
      </w:r>
      <w:r w:rsidRPr="00221BBA">
        <w:tab/>
        <w:t>Dans toute la mesure du possible, les contributions pour une année civile donnée devraient être versées au plus tard le 1</w:t>
      </w:r>
      <w:r w:rsidRPr="00221BBA">
        <w:rPr>
          <w:vertAlign w:val="superscript"/>
        </w:rPr>
        <w:t>er</w:t>
      </w:r>
      <w:r w:rsidR="008E5C90">
        <w:t> </w:t>
      </w:r>
      <w:r w:rsidRPr="00221BBA">
        <w:t>octobre de l’année précédente</w:t>
      </w:r>
      <w:r w:rsidR="005D58ED" w:rsidRPr="00221BBA">
        <w:t> ;</w:t>
      </w:r>
      <w:r w:rsidRPr="00221BBA">
        <w:t xml:space="preserve"> dans le cas où cela serait impossible, il est recommandé de verser les contributions au cours des six premiers mois de l’année civile, de façon à couvrir la prorogation des contrats du personnel du secrétariat financé sur des fonds extrabudgétaires pour assurer, en priorité, le bon fonctionnement du secrétariat, ainsi que l’exécution efficace et en temps voulu du plan de</w:t>
      </w:r>
      <w:r w:rsidR="008E5C90">
        <w:t> </w:t>
      </w:r>
      <w:r w:rsidRPr="00221BBA">
        <w:t>travail</w:t>
      </w:r>
      <w:r w:rsidR="005D58ED" w:rsidRPr="00221BBA">
        <w:t> ;</w:t>
      </w:r>
    </w:p>
    <w:p w:rsidR="00F11985" w:rsidRPr="00221BBA" w:rsidRDefault="00F11985" w:rsidP="001570D1">
      <w:pPr>
        <w:pStyle w:val="SingleTxtG"/>
        <w:ind w:firstLine="567"/>
      </w:pPr>
      <w:r w:rsidRPr="00221BBA">
        <w:t>3.</w:t>
      </w:r>
      <w:r w:rsidRPr="00221BBA">
        <w:tab/>
      </w:r>
      <w:r w:rsidRPr="00221BBA">
        <w:rPr>
          <w:i/>
        </w:rPr>
        <w:t>Demandent</w:t>
      </w:r>
      <w:r w:rsidRPr="00221BBA">
        <w:t xml:space="preserve"> aux Parties d’apporter leur contribution sur une base annuelle ou pluriannuelle en vue de financer le plan de travail, conformément au dispositif financier visé au paragraphe 2</w:t>
      </w:r>
      <w:r w:rsidR="005D58ED" w:rsidRPr="00221BBA">
        <w:t> ;</w:t>
      </w:r>
    </w:p>
    <w:p w:rsidR="00F11985" w:rsidRPr="00221BBA" w:rsidRDefault="00F11985" w:rsidP="001570D1">
      <w:pPr>
        <w:pStyle w:val="SingleTxtG"/>
        <w:ind w:firstLine="567"/>
        <w:rPr>
          <w:vertAlign w:val="superscript"/>
        </w:rPr>
      </w:pPr>
      <w:r w:rsidRPr="00221BBA">
        <w:t>4.</w:t>
      </w:r>
      <w:r w:rsidRPr="00221BBA">
        <w:tab/>
      </w:r>
      <w:r w:rsidRPr="00221BBA">
        <w:rPr>
          <w:i/>
          <w:iCs/>
        </w:rPr>
        <w:t>Encouragent</w:t>
      </w:r>
      <w:r w:rsidRPr="00221BBA">
        <w:t xml:space="preserve"> les Parties à faire appel aux différentes sources de financement au sein du budget national pour financer leur contribution</w:t>
      </w:r>
      <w:r w:rsidRPr="00221BBA">
        <w:rPr>
          <w:rStyle w:val="FootnoteReference"/>
        </w:rPr>
        <w:footnoteReference w:id="3"/>
      </w:r>
      <w:r w:rsidR="005D58ED" w:rsidRPr="00221BBA">
        <w:t> ;</w:t>
      </w:r>
    </w:p>
    <w:p w:rsidR="00F11985" w:rsidRPr="007B72D9" w:rsidRDefault="00F11985" w:rsidP="001570D1">
      <w:pPr>
        <w:pStyle w:val="SingleTxtG"/>
        <w:ind w:firstLine="567"/>
        <w:rPr>
          <w:spacing w:val="-1"/>
        </w:rPr>
      </w:pPr>
      <w:r w:rsidRPr="00221BBA">
        <w:t>5.</w:t>
      </w:r>
      <w:r w:rsidRPr="00221BBA">
        <w:tab/>
      </w:r>
      <w:r w:rsidRPr="007B72D9">
        <w:rPr>
          <w:i/>
          <w:iCs/>
          <w:spacing w:val="-1"/>
        </w:rPr>
        <w:t xml:space="preserve">Invitent </w:t>
      </w:r>
      <w:r w:rsidRPr="007B72D9">
        <w:rPr>
          <w:iCs/>
          <w:spacing w:val="-1"/>
        </w:rPr>
        <w:t>les Signataires, les autres États</w:t>
      </w:r>
      <w:r w:rsidRPr="007B72D9">
        <w:rPr>
          <w:spacing w:val="-1"/>
        </w:rPr>
        <w:t>, organisations et institutions financières internationales intéressées</w:t>
      </w:r>
      <w:r w:rsidR="002E4B4E" w:rsidRPr="007B72D9">
        <w:rPr>
          <w:spacing w:val="-1"/>
        </w:rPr>
        <w:t>,</w:t>
      </w:r>
      <w:r w:rsidRPr="007B72D9">
        <w:rPr>
          <w:spacing w:val="-1"/>
        </w:rPr>
        <w:t xml:space="preserve"> à apporter leur contribution, en espèces ou en nature</w:t>
      </w:r>
      <w:r w:rsidR="005D58ED" w:rsidRPr="007B72D9">
        <w:rPr>
          <w:spacing w:val="-1"/>
        </w:rPr>
        <w:t> ;</w:t>
      </w:r>
    </w:p>
    <w:p w:rsidR="00F11985" w:rsidRPr="00221BBA" w:rsidRDefault="00F11985" w:rsidP="001570D1">
      <w:pPr>
        <w:pStyle w:val="SingleTxtG"/>
        <w:ind w:firstLine="567"/>
      </w:pPr>
      <w:r w:rsidRPr="00221BBA">
        <w:t>6.</w:t>
      </w:r>
      <w:r w:rsidRPr="00221BBA">
        <w:tab/>
      </w:r>
      <w:r w:rsidRPr="00221BBA">
        <w:rPr>
          <w:i/>
          <w:iCs/>
        </w:rPr>
        <w:t xml:space="preserve">Décident </w:t>
      </w:r>
      <w:r w:rsidRPr="00221BBA">
        <w:t xml:space="preserve">d’abroger le système de parts approuvé par la décision III/10 de la Réunion des Parties à la Convention (dans lequel une part équivaut à 1 000 dollars </w:t>
      </w:r>
      <w:r w:rsidR="007B72D9">
        <w:t xml:space="preserve">des </w:t>
      </w:r>
      <w:r w:rsidR="007B72D9">
        <w:rPr>
          <w:rFonts w:eastAsia="MS Mincho"/>
        </w:rPr>
        <w:t>États-Unis</w:t>
      </w:r>
      <w:r w:rsidRPr="00221BBA">
        <w:t>) et, à la place, d’indiquer simplement en dollars</w:t>
      </w:r>
      <w:r w:rsidR="007B72D9">
        <w:t xml:space="preserve"> </w:t>
      </w:r>
      <w:r w:rsidRPr="00221BBA">
        <w:t>les ressources nécessaires et les contributions des pays</w:t>
      </w:r>
      <w:r w:rsidR="005D58ED" w:rsidRPr="00221BBA">
        <w:t> ;</w:t>
      </w:r>
    </w:p>
    <w:p w:rsidR="00F11985" w:rsidRPr="00221BBA" w:rsidRDefault="00F11985" w:rsidP="001570D1">
      <w:pPr>
        <w:pStyle w:val="SingleTxtG"/>
        <w:ind w:firstLine="567"/>
      </w:pPr>
      <w:r w:rsidRPr="00221BBA">
        <w:lastRenderedPageBreak/>
        <w:t>7.</w:t>
      </w:r>
      <w:r w:rsidRPr="00221BBA">
        <w:tab/>
      </w:r>
      <w:r w:rsidRPr="00221BBA">
        <w:rPr>
          <w:i/>
        </w:rPr>
        <w:t xml:space="preserve">Adoptent </w:t>
      </w:r>
      <w:r w:rsidRPr="00221BBA">
        <w:t>le rapport établi par le secrétariat concernant les dispositions budgétaires et financières au cours de la période 2017-2020, tel que contenu dans le document ECE/MP.EIA/2020/[</w:t>
      </w:r>
      <w:r w:rsidR="001570D1" w:rsidRPr="00221BBA">
        <w:t>…</w:t>
      </w:r>
      <w:r w:rsidRPr="00221BBA">
        <w:t>]</w:t>
      </w:r>
      <w:r w:rsidR="005E6839" w:rsidRPr="00221BBA">
        <w:t>-</w:t>
      </w:r>
      <w:r w:rsidRPr="00221BBA">
        <w:t>ECE/MP.EIA/SEA/2020/[</w:t>
      </w:r>
      <w:r w:rsidR="001570D1" w:rsidRPr="00221BBA">
        <w:t>…</w:t>
      </w:r>
      <w:r w:rsidRPr="00221BBA">
        <w:t>]</w:t>
      </w:r>
      <w:r w:rsidR="005D58ED" w:rsidRPr="00221BBA">
        <w:t> ;</w:t>
      </w:r>
    </w:p>
    <w:p w:rsidR="00F11985" w:rsidRPr="00221BBA" w:rsidRDefault="00F11985" w:rsidP="001570D1">
      <w:pPr>
        <w:pStyle w:val="SingleTxtG"/>
        <w:ind w:firstLine="567"/>
      </w:pPr>
      <w:r w:rsidRPr="00221BBA">
        <w:t>8.</w:t>
      </w:r>
      <w:r w:rsidRPr="00221BBA">
        <w:tab/>
      </w:r>
      <w:r w:rsidRPr="00221BBA">
        <w:rPr>
          <w:i/>
        </w:rPr>
        <w:t xml:space="preserve">Décident </w:t>
      </w:r>
      <w:r w:rsidRPr="00221BBA">
        <w:t>que les activités inscrites dans le plan de travail pour la période 2021</w:t>
      </w:r>
      <w:r w:rsidR="005E6839" w:rsidRPr="00221BBA">
        <w:t>-</w:t>
      </w:r>
      <w:r w:rsidRPr="00221BBA">
        <w:t>2023 et le montant estimatif des ressources nécessaires correspondant, tels que présentés aux annexes I et II de la décision VIII/2</w:t>
      </w:r>
      <w:r w:rsidR="005E6839" w:rsidRPr="00221BBA">
        <w:t>-</w:t>
      </w:r>
      <w:r w:rsidRPr="00221BBA">
        <w:t>IV/2, respectivement, qui ne sont pas couverts par le budget ordinaire de l’Organisation des Nations Unies, devront être financés par des contributions des Parties au Fonds d’affectation spéciale s’élevant à un montant total de […] dollars</w:t>
      </w:r>
      <w:r w:rsidR="005D58ED" w:rsidRPr="00221BBA">
        <w:t> ;</w:t>
      </w:r>
    </w:p>
    <w:p w:rsidR="00F11985" w:rsidRPr="00221BBA" w:rsidRDefault="00F11985" w:rsidP="001570D1">
      <w:pPr>
        <w:pStyle w:val="SingleTxtG"/>
        <w:ind w:firstLine="567"/>
      </w:pPr>
      <w:r w:rsidRPr="00221BBA">
        <w:t>9.</w:t>
      </w:r>
      <w:r w:rsidRPr="00221BBA">
        <w:tab/>
      </w:r>
      <w:r w:rsidRPr="00221BBA">
        <w:rPr>
          <w:i/>
        </w:rPr>
        <w:t xml:space="preserve">Soulignent </w:t>
      </w:r>
      <w:r w:rsidRPr="00221BBA">
        <w:t>la nécessité d’assurer au secrétariat une dotation en effectifs appropriée et stable pour planifier et réaliser les activités en accordant la plus haute priorité au financement d’un effectif suffisant de personnel de secrétariat financé sur des fonds extrabudgétaires afin qu’il apporte son concours au Comité d’application au titre de la Convention et du Protocole</w:t>
      </w:r>
      <w:r w:rsidR="005D58ED" w:rsidRPr="00221BBA">
        <w:t> ;</w:t>
      </w:r>
    </w:p>
    <w:p w:rsidR="00F11985" w:rsidRPr="00221BBA" w:rsidRDefault="00F11985" w:rsidP="001570D1">
      <w:pPr>
        <w:pStyle w:val="SingleTxtG"/>
        <w:ind w:firstLine="567"/>
      </w:pPr>
      <w:r w:rsidRPr="00221BBA">
        <w:t>10.</w:t>
      </w:r>
      <w:r w:rsidRPr="00221BBA">
        <w:tab/>
      </w:r>
      <w:r w:rsidRPr="00221BBA">
        <w:rPr>
          <w:i/>
          <w:iCs/>
        </w:rPr>
        <w:t>Conviennent</w:t>
      </w:r>
      <w:r w:rsidRPr="00221BBA">
        <w:t xml:space="preserve"> que, conformément aux règles de gestion financière de l’Organisation des Nations Unies, le secrétariat devrait allouer la part nécessaire des contributions au Fonds d’affectation spéciale le 1</w:t>
      </w:r>
      <w:r w:rsidRPr="00221BBA">
        <w:rPr>
          <w:vertAlign w:val="superscript"/>
        </w:rPr>
        <w:t>er</w:t>
      </w:r>
      <w:r w:rsidR="007B72D9">
        <w:t> </w:t>
      </w:r>
      <w:r w:rsidRPr="00221BBA">
        <w:t>octobre de chaque année au plus tard, afin d’assurer en priorité la prorogation des contrats du personnel du secrétariat financé sur des fonds extrabudgétaires</w:t>
      </w:r>
      <w:bookmarkStart w:id="4" w:name="_Hlk32424366"/>
      <w:r w:rsidR="005D58ED" w:rsidRPr="00221BBA">
        <w:t> ;</w:t>
      </w:r>
    </w:p>
    <w:p w:rsidR="00F11985" w:rsidRPr="00221BBA" w:rsidRDefault="00F11985" w:rsidP="001570D1">
      <w:pPr>
        <w:pStyle w:val="SingleTxtG"/>
        <w:ind w:firstLine="567"/>
      </w:pPr>
      <w:r w:rsidRPr="00221BBA">
        <w:t>11.</w:t>
      </w:r>
      <w:r w:rsidRPr="00221BBA">
        <w:tab/>
      </w:r>
      <w:r w:rsidRPr="00221BBA">
        <w:rPr>
          <w:i/>
        </w:rPr>
        <w:t>Prient</w:t>
      </w:r>
      <w:r w:rsidRPr="00221BBA">
        <w:t xml:space="preserve"> le secrétariat d’envoyer aux Parties, en temps opportun au début de chaque année, des rappels concernant les contributions annoncées qui restent à régler et les éventuels arriérés de contributions</w:t>
      </w:r>
      <w:r w:rsidR="005D58ED" w:rsidRPr="00221BBA">
        <w:t> ;</w:t>
      </w:r>
    </w:p>
    <w:bookmarkEnd w:id="4"/>
    <w:p w:rsidR="00F11985" w:rsidRPr="00221BBA" w:rsidRDefault="00F11985" w:rsidP="001570D1">
      <w:pPr>
        <w:pStyle w:val="SingleTxtG"/>
        <w:ind w:firstLine="567"/>
      </w:pPr>
      <w:r w:rsidRPr="00221BBA">
        <w:t>12.</w:t>
      </w:r>
      <w:r w:rsidRPr="00221BBA">
        <w:tab/>
      </w:r>
      <w:r w:rsidRPr="00221BBA">
        <w:rPr>
          <w:i/>
        </w:rPr>
        <w:t xml:space="preserve">Prient également </w:t>
      </w:r>
      <w:r w:rsidRPr="00221BBA">
        <w:t>le secrétariat, conformément aux règles de gestion financière de l’Organisation des Nations Unies</w:t>
      </w:r>
      <w:r w:rsidR="005628B1" w:rsidRPr="005628B1">
        <w:t> :</w:t>
      </w:r>
    </w:p>
    <w:p w:rsidR="00F11985" w:rsidRPr="00221BBA" w:rsidRDefault="00F11985" w:rsidP="001570D1">
      <w:pPr>
        <w:pStyle w:val="SingleTxtG"/>
        <w:ind w:firstLine="567"/>
      </w:pPr>
      <w:r w:rsidRPr="00221BBA">
        <w:t>a)</w:t>
      </w:r>
      <w:r w:rsidRPr="00221BBA">
        <w:tab/>
        <w:t>De suivre l’utilisation des fonds et de continuer d’établir des rapports financiers annuels et de les soumettre au Bureau, et de demander à celui-ci d’examiner ces rapports et d’en approuver la publication</w:t>
      </w:r>
      <w:r w:rsidR="005D58ED" w:rsidRPr="00221BBA">
        <w:t> ;</w:t>
      </w:r>
    </w:p>
    <w:p w:rsidR="00F11985" w:rsidRPr="00221BBA" w:rsidRDefault="00F11985" w:rsidP="001570D1">
      <w:pPr>
        <w:pStyle w:val="SingleTxtG"/>
        <w:ind w:firstLine="567"/>
      </w:pPr>
      <w:r w:rsidRPr="00221BBA">
        <w:t>b)</w:t>
      </w:r>
      <w:r w:rsidRPr="00221BBA">
        <w:tab/>
        <w:t>De faire figurer dans les rapports des renseignements sur les ressources disponibles (y compris les contributions en nature) et de mettre en lumière tout arriéré de contributions des Parties pendant la période intersessions</w:t>
      </w:r>
      <w:r w:rsidR="005D58ED" w:rsidRPr="00221BBA">
        <w:t> ;</w:t>
      </w:r>
    </w:p>
    <w:p w:rsidR="00F11985" w:rsidRPr="00221BBA" w:rsidRDefault="00F11985" w:rsidP="001570D1">
      <w:pPr>
        <w:pStyle w:val="SingleTxtG"/>
        <w:ind w:firstLine="567"/>
      </w:pPr>
      <w:r w:rsidRPr="00221BBA">
        <w:t>c)</w:t>
      </w:r>
      <w:r w:rsidRPr="00221BBA">
        <w:tab/>
        <w:t>D’établir pour les sessions suivantes des Réunions des Parties un rapport fondé sur les informations contenues dans les rapports annuels et indiquant clairement les faits nouveaux importants survenus au cours de la période, afin que les Parties puissent répondre le mieux possible aux futures demandes de ressources au titre de la Convention et de son Protocole</w:t>
      </w:r>
      <w:r w:rsidR="005D58ED" w:rsidRPr="00221BBA">
        <w:t> ;</w:t>
      </w:r>
    </w:p>
    <w:p w:rsidR="00F11985" w:rsidRPr="00221BBA" w:rsidRDefault="00F11985" w:rsidP="001570D1">
      <w:pPr>
        <w:pStyle w:val="SingleTxtG"/>
        <w:ind w:firstLine="567"/>
      </w:pPr>
      <w:r w:rsidRPr="00221BBA">
        <w:t>13.</w:t>
      </w:r>
      <w:r w:rsidRPr="00221BBA">
        <w:tab/>
      </w:r>
      <w:r w:rsidRPr="00221BBA">
        <w:rPr>
          <w:i/>
        </w:rPr>
        <w:t xml:space="preserve">Demandent en outre </w:t>
      </w:r>
      <w:r w:rsidRPr="00221BBA">
        <w:t>au Groupe de travail de l’évaluation de l’impact sur l’environnement et de l’évaluation stratégique environnementale d’examiner, à la lumière des rapports annuels, s’il serait nécessaire de modifier le contenu ou le calendrier du plan de travail dans le cas où le niveau des contributions ne correspond pas au niveau de financement nécessaire</w:t>
      </w:r>
      <w:r w:rsidR="005D58ED" w:rsidRPr="00221BBA">
        <w:t> ;</w:t>
      </w:r>
    </w:p>
    <w:p w:rsidR="00F11985" w:rsidRPr="00221BBA" w:rsidRDefault="00F11985" w:rsidP="001570D1">
      <w:pPr>
        <w:pStyle w:val="SingleTxtG"/>
        <w:ind w:firstLine="567"/>
      </w:pPr>
      <w:r w:rsidRPr="00221BBA">
        <w:t>14.</w:t>
      </w:r>
      <w:r w:rsidRPr="00221BBA">
        <w:tab/>
        <w:t>[</w:t>
      </w:r>
      <w:r w:rsidRPr="00221BBA">
        <w:rPr>
          <w:i/>
        </w:rPr>
        <w:t>Décident</w:t>
      </w:r>
      <w:r w:rsidRPr="00221BBA">
        <w:t xml:space="preserve"> que le Secrétaire exécutif de la CEE est habilité, après consultation du Bureau, à ajuster les allocations budgétaires d’un taux maximum de [10]</w:t>
      </w:r>
      <w:r w:rsidR="007B72D9">
        <w:t xml:space="preserve"> </w:t>
      </w:r>
      <w:r w:rsidRPr="00221BBA">
        <w:t>[5]</w:t>
      </w:r>
      <w:r w:rsidR="007B72D9">
        <w:t> </w:t>
      </w:r>
      <w:r w:rsidRPr="00221BBA">
        <w:t>% si de tels ajustements sont nécessaires avant les sessions suivantes des Réunions des Parties, et que les Parties en sont promptement informées</w:t>
      </w:r>
      <w:r w:rsidR="005D58ED" w:rsidRPr="00221BBA">
        <w:t> ;</w:t>
      </w:r>
      <w:r w:rsidRPr="00221BBA">
        <w:t>] ou [</w:t>
      </w:r>
      <w:r w:rsidRPr="00221BBA">
        <w:rPr>
          <w:i/>
        </w:rPr>
        <w:t>Décident</w:t>
      </w:r>
      <w:r w:rsidRPr="00221BBA">
        <w:t xml:space="preserve"> que le Secrétaire exécutif de la CEE est habilité, après consultation du Bureau, à transférer entre les principales lignes budgétaires des montants ne dépassant pas 10 % de la ligne budgétaire principale d’où le transfert est effectué si de tels transferts sont nécessaires avant les sessions suivantes des Réunions des Parties, et que les Parties en sont promptement informées</w:t>
      </w:r>
      <w:r w:rsidR="005D58ED" w:rsidRPr="00221BBA">
        <w:t> ;</w:t>
      </w:r>
      <w:r w:rsidRPr="00221BBA">
        <w:t>]</w:t>
      </w:r>
    </w:p>
    <w:p w:rsidR="00F11985" w:rsidRPr="00221BBA" w:rsidRDefault="00F11985" w:rsidP="001570D1">
      <w:pPr>
        <w:pStyle w:val="SingleTxtG"/>
        <w:ind w:firstLine="567"/>
      </w:pPr>
      <w:r w:rsidRPr="00221BBA">
        <w:t>15.</w:t>
      </w:r>
      <w:r w:rsidRPr="00221BBA">
        <w:tab/>
      </w:r>
      <w:r w:rsidRPr="00221BBA">
        <w:rPr>
          <w:i/>
        </w:rPr>
        <w:t>Prient</w:t>
      </w:r>
      <w:r w:rsidRPr="00221BBA">
        <w:t xml:space="preserve"> le Secrétaire de la CEE d’allouer davantage de ressources à l’appui des activités menées dans le cadre de la Convention et du Protocole, en tenant compte de l’équilibre à respecter dans l’utilisation des ressources provenant du budget ordinaire par les différents sous-programmes</w:t>
      </w:r>
      <w:r w:rsidR="005D58ED" w:rsidRPr="00221BBA">
        <w:t> ;</w:t>
      </w:r>
    </w:p>
    <w:p w:rsidR="00F11985" w:rsidRPr="00221BBA" w:rsidRDefault="00F11985" w:rsidP="001570D1">
      <w:pPr>
        <w:pStyle w:val="SingleTxtG"/>
        <w:ind w:firstLine="567"/>
      </w:pPr>
      <w:r w:rsidRPr="00221BBA">
        <w:lastRenderedPageBreak/>
        <w:t>16.</w:t>
      </w:r>
      <w:r w:rsidRPr="00221BBA">
        <w:tab/>
      </w:r>
      <w:r w:rsidRPr="00221BBA">
        <w:rPr>
          <w:i/>
        </w:rPr>
        <w:t xml:space="preserve">Décident </w:t>
      </w:r>
      <w:r w:rsidRPr="00221BBA">
        <w:t>que le Groupe de travail de l’évaluation de l’impact sur l’environnement et de l’évaluation stratégique environnementale devrait établir un nouveau projet de décision sur les dispositions financières pour adoption par les Réunions des Parties à la Convention et au Protocole, à leurs neuvième et cinquième sessions, respectivement, sur la base de l’expérience acquise en ce qui concerne les dispositions financières adoptées à la présente session conjointe</w:t>
      </w:r>
      <w:r w:rsidR="005D58ED" w:rsidRPr="00221BBA">
        <w:t> ;</w:t>
      </w:r>
    </w:p>
    <w:p w:rsidR="00F11985" w:rsidRPr="00221BBA" w:rsidRDefault="00F11985" w:rsidP="001570D1">
      <w:pPr>
        <w:pStyle w:val="SingleTxtG"/>
        <w:ind w:firstLine="567"/>
      </w:pPr>
      <w:r w:rsidRPr="00221BBA">
        <w:t>17.</w:t>
      </w:r>
      <w:r w:rsidRPr="00221BBA">
        <w:tab/>
      </w:r>
      <w:r w:rsidRPr="00221BBA">
        <w:rPr>
          <w:i/>
        </w:rPr>
        <w:t xml:space="preserve">Demandent </w:t>
      </w:r>
      <w:r w:rsidRPr="00221BBA">
        <w:t>aux pays en transition de financer dans la mesure du possible leur participation aux activités prévues par la Convention et son Protocole de manière que les fonds limités disponibles soient utilisés efficacement</w:t>
      </w:r>
      <w:r w:rsidR="005D58ED" w:rsidRPr="00221BBA">
        <w:t> ;</w:t>
      </w:r>
    </w:p>
    <w:p w:rsidR="00F11985" w:rsidRPr="00221BBA" w:rsidRDefault="00F11985" w:rsidP="001570D1">
      <w:pPr>
        <w:pStyle w:val="SingleTxtG"/>
        <w:ind w:firstLine="567"/>
      </w:pPr>
      <w:r w:rsidRPr="00221BBA">
        <w:t>18.</w:t>
      </w:r>
      <w:r w:rsidRPr="00221BBA">
        <w:tab/>
      </w:r>
      <w:r w:rsidRPr="00221BBA">
        <w:rPr>
          <w:i/>
        </w:rPr>
        <w:t xml:space="preserve">Exhortent </w:t>
      </w:r>
      <w:r w:rsidRPr="00221BBA">
        <w:t>les Parties et encouragent les non-Parties et les organisations internationales compétentes à verser des contributions financières pour que les pays en transition et les organisations non gouvernementales puissent participer aux réunions prévues au titre de la Convention et de son Protocole</w:t>
      </w:r>
      <w:r w:rsidR="005D58ED" w:rsidRPr="00221BBA">
        <w:t> ;</w:t>
      </w:r>
    </w:p>
    <w:p w:rsidR="00F11985" w:rsidRPr="00221BBA" w:rsidRDefault="00F11985" w:rsidP="001570D1">
      <w:pPr>
        <w:pStyle w:val="SingleTxtG"/>
        <w:ind w:firstLine="567"/>
      </w:pPr>
      <w:r w:rsidRPr="00221BBA">
        <w:t>19.</w:t>
      </w:r>
      <w:r w:rsidRPr="00221BBA">
        <w:tab/>
      </w:r>
      <w:r w:rsidRPr="00221BBA">
        <w:rPr>
          <w:i/>
        </w:rPr>
        <w:t xml:space="preserve">Recommandent </w:t>
      </w:r>
      <w:r w:rsidRPr="00221BBA">
        <w:t>que la Convention et son Protocole appliquent les critères directeurs établis et périodiquement mis à jour par le Comité des politiques de l’environnement concernant l’attribution d’une aide financière pour faciliter la participation d’experts et de représentants des pays en transition aux réunions et ateliers organisés dans le cadre de la Convention et de son Protocole ainsi qu’à d’autres activités connexes, en fonction des fonds disponibles à cet effet</w:t>
      </w:r>
      <w:r w:rsidR="005D58ED" w:rsidRPr="00221BBA">
        <w:t> ;</w:t>
      </w:r>
    </w:p>
    <w:p w:rsidR="00F11985" w:rsidRPr="00221BBA" w:rsidRDefault="00F11985" w:rsidP="001570D1">
      <w:pPr>
        <w:pStyle w:val="SingleTxtG"/>
        <w:ind w:firstLine="567"/>
      </w:pPr>
      <w:r w:rsidRPr="00221BBA">
        <w:t>20.</w:t>
      </w:r>
      <w:r w:rsidRPr="00221BBA">
        <w:tab/>
      </w:r>
      <w:r w:rsidRPr="00221BBA">
        <w:rPr>
          <w:i/>
          <w:iCs/>
        </w:rPr>
        <w:t>Décident</w:t>
      </w:r>
      <w:r w:rsidRPr="00221BBA">
        <w:rPr>
          <w:iCs/>
        </w:rPr>
        <w:t xml:space="preserve"> que, sous réserve de la disponibilité des fonds à cet effet,</w:t>
      </w:r>
      <w:r w:rsidRPr="00221BBA">
        <w:rPr>
          <w:i/>
          <w:iCs/>
        </w:rPr>
        <w:t xml:space="preserve"> </w:t>
      </w:r>
      <w:r w:rsidRPr="00221BBA">
        <w:t>une aide financière sera fournie afin que des représentants d’organisations non gouvernementales, de pays en développement et de pays les moins avancés n’appartenant pas à la région de la CEE puissent participer aux réunions officielles, selon le budget approuvé et les conditions fixées par le Bureau</w:t>
      </w:r>
      <w:r w:rsidR="005D58ED" w:rsidRPr="00221BBA">
        <w:t> ;</w:t>
      </w:r>
      <w:r w:rsidRPr="00221BBA">
        <w:t xml:space="preserve"> [et, s’agissant des pays n’appartenant pas à la région de la CEE, à la suite d’un examen au cas par cas réalisé par le Bureau]</w:t>
      </w:r>
      <w:r w:rsidR="005D58ED" w:rsidRPr="00221BBA">
        <w:t> ;</w:t>
      </w:r>
    </w:p>
    <w:p w:rsidR="00F11985" w:rsidRPr="00221BBA" w:rsidRDefault="00F11985" w:rsidP="001570D1">
      <w:pPr>
        <w:pStyle w:val="SingleTxtG"/>
        <w:ind w:firstLine="567"/>
      </w:pPr>
      <w:r w:rsidRPr="00221BBA">
        <w:t>21.</w:t>
      </w:r>
      <w:r w:rsidRPr="00221BBA">
        <w:tab/>
      </w:r>
      <w:r w:rsidRPr="00221BBA">
        <w:rPr>
          <w:i/>
        </w:rPr>
        <w:t>Conviennent</w:t>
      </w:r>
      <w:r w:rsidRPr="00221BBA">
        <w:t xml:space="preserve"> de passer en revue le fonctionnement du dispositif financier aux neuvième et quatrième sessions des Réunions des Parties à la Convention et au Protocole, respectivement.</w:t>
      </w:r>
    </w:p>
    <w:p w:rsidR="00F11985" w:rsidRPr="00221BBA" w:rsidRDefault="001570D1" w:rsidP="001570D1">
      <w:pPr>
        <w:pStyle w:val="HChG"/>
      </w:pPr>
      <w:r w:rsidRPr="00221BBA">
        <w:br w:type="page"/>
      </w:r>
      <w:r w:rsidR="00F11985" w:rsidRPr="00221BBA">
        <w:lastRenderedPageBreak/>
        <w:t>Annexe</w:t>
      </w:r>
    </w:p>
    <w:p w:rsidR="00F11985" w:rsidRPr="00221BBA" w:rsidRDefault="00F11985" w:rsidP="005628B1">
      <w:pPr>
        <w:pStyle w:val="HChG"/>
        <w:rPr>
          <w:szCs w:val="24"/>
        </w:rPr>
      </w:pPr>
      <w:bookmarkStart w:id="5" w:name="_Hlk34053149"/>
      <w:bookmarkStart w:id="6" w:name="_Hlk36049406"/>
      <w:r w:rsidRPr="00221BBA">
        <w:rPr>
          <w:szCs w:val="24"/>
        </w:rPr>
        <w:tab/>
      </w:r>
      <w:r w:rsidRPr="00221BBA">
        <w:rPr>
          <w:szCs w:val="24"/>
        </w:rPr>
        <w:tab/>
      </w:r>
      <w:r w:rsidRPr="00221BBA">
        <w:t xml:space="preserve">Montant indicatif des contributions minimales </w:t>
      </w:r>
      <w:r w:rsidR="005628B1">
        <w:br/>
      </w:r>
      <w:r w:rsidRPr="00221BBA">
        <w:t>pour la</w:t>
      </w:r>
      <w:r w:rsidR="005628B1">
        <w:t xml:space="preserve"> </w:t>
      </w:r>
      <w:r w:rsidRPr="00221BBA">
        <w:t xml:space="preserve">période </w:t>
      </w:r>
      <w:r w:rsidRPr="00221BBA">
        <w:rPr>
          <w:szCs w:val="24"/>
        </w:rPr>
        <w:t>2021</w:t>
      </w:r>
      <w:r w:rsidR="005628B1">
        <w:rPr>
          <w:szCs w:val="24"/>
        </w:rPr>
        <w:noBreakHyphen/>
      </w:r>
      <w:r w:rsidRPr="00221BBA">
        <w:rPr>
          <w:szCs w:val="24"/>
        </w:rPr>
        <w:t>2023</w:t>
      </w:r>
      <w:bookmarkEnd w:id="5"/>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842"/>
        <w:gridCol w:w="1489"/>
        <w:gridCol w:w="1489"/>
        <w:gridCol w:w="2550"/>
      </w:tblGrid>
      <w:tr w:rsidR="00492324" w:rsidRPr="00221BBA" w:rsidTr="005E6839">
        <w:trPr>
          <w:tblHeader/>
        </w:trPr>
        <w:tc>
          <w:tcPr>
            <w:tcW w:w="1250" w:type="pct"/>
            <w:shd w:val="clear" w:color="auto" w:fill="auto"/>
            <w:vAlign w:val="bottom"/>
          </w:tcPr>
          <w:p w:rsidR="00F11985" w:rsidRPr="00221BBA" w:rsidRDefault="00F11985" w:rsidP="00C64E02">
            <w:pPr>
              <w:suppressAutoHyphens w:val="0"/>
              <w:spacing w:before="80" w:after="80" w:line="200" w:lineRule="exact"/>
              <w:rPr>
                <w:i/>
                <w:sz w:val="16"/>
              </w:rPr>
            </w:pPr>
            <w:bookmarkStart w:id="7" w:name="_Hlk36117898"/>
            <w:r w:rsidRPr="00221BBA">
              <w:rPr>
                <w:i/>
                <w:sz w:val="16"/>
              </w:rPr>
              <w:t>Colonne A</w:t>
            </w:r>
          </w:p>
        </w:tc>
        <w:tc>
          <w:tcPr>
            <w:tcW w:w="1010" w:type="pct"/>
            <w:shd w:val="clear" w:color="auto" w:fill="auto"/>
            <w:vAlign w:val="bottom"/>
          </w:tcPr>
          <w:p w:rsidR="00F11985" w:rsidRPr="00221BBA" w:rsidRDefault="00F11985" w:rsidP="00C64E02">
            <w:pPr>
              <w:suppressAutoHyphens w:val="0"/>
              <w:spacing w:before="80" w:after="80" w:line="200" w:lineRule="exact"/>
              <w:jc w:val="right"/>
              <w:rPr>
                <w:i/>
                <w:sz w:val="16"/>
              </w:rPr>
            </w:pPr>
            <w:r w:rsidRPr="00221BBA">
              <w:rPr>
                <w:i/>
                <w:sz w:val="16"/>
              </w:rPr>
              <w:t>Colonne B</w:t>
            </w:r>
          </w:p>
        </w:tc>
        <w:tc>
          <w:tcPr>
            <w:tcW w:w="1010" w:type="pct"/>
            <w:shd w:val="clear" w:color="auto" w:fill="auto"/>
            <w:vAlign w:val="bottom"/>
          </w:tcPr>
          <w:p w:rsidR="00F11985" w:rsidRPr="00221BBA" w:rsidRDefault="00F11985" w:rsidP="00C64E02">
            <w:pPr>
              <w:suppressAutoHyphens w:val="0"/>
              <w:spacing w:before="80" w:after="80" w:line="200" w:lineRule="exact"/>
              <w:jc w:val="right"/>
              <w:rPr>
                <w:i/>
                <w:sz w:val="16"/>
              </w:rPr>
            </w:pPr>
            <w:r w:rsidRPr="00221BBA">
              <w:rPr>
                <w:i/>
                <w:sz w:val="16"/>
              </w:rPr>
              <w:t>Colonne C</w:t>
            </w:r>
          </w:p>
        </w:tc>
        <w:tc>
          <w:tcPr>
            <w:tcW w:w="1730" w:type="pct"/>
            <w:shd w:val="clear" w:color="auto" w:fill="auto"/>
            <w:vAlign w:val="bottom"/>
          </w:tcPr>
          <w:p w:rsidR="00F11985" w:rsidRPr="00221BBA" w:rsidRDefault="00F11985" w:rsidP="00C64E02">
            <w:pPr>
              <w:suppressAutoHyphens w:val="0"/>
              <w:spacing w:before="80" w:after="80" w:line="200" w:lineRule="exact"/>
              <w:jc w:val="right"/>
              <w:rPr>
                <w:i/>
                <w:sz w:val="16"/>
              </w:rPr>
            </w:pPr>
            <w:r w:rsidRPr="00221BBA">
              <w:rPr>
                <w:i/>
                <w:sz w:val="16"/>
              </w:rPr>
              <w:t>Colonne D</w:t>
            </w:r>
          </w:p>
        </w:tc>
      </w:tr>
      <w:tr w:rsidR="00492324" w:rsidRPr="00221BBA" w:rsidTr="005E6839">
        <w:tblPrEx>
          <w:tblBorders>
            <w:top w:val="none" w:sz="0" w:space="0" w:color="auto"/>
            <w:bottom w:val="none" w:sz="0" w:space="0" w:color="auto"/>
          </w:tblBorders>
        </w:tblPrEx>
        <w:trPr>
          <w:tblHeader/>
        </w:trPr>
        <w:tc>
          <w:tcPr>
            <w:tcW w:w="1250" w:type="pct"/>
            <w:tcBorders>
              <w:top w:val="single" w:sz="4" w:space="0" w:color="auto"/>
              <w:bottom w:val="single" w:sz="12" w:space="0" w:color="auto"/>
            </w:tcBorders>
            <w:shd w:val="clear" w:color="auto" w:fill="auto"/>
            <w:vAlign w:val="bottom"/>
            <w:hideMark/>
          </w:tcPr>
          <w:p w:rsidR="00F11985" w:rsidRPr="00221BBA" w:rsidRDefault="00F11985" w:rsidP="00C64E02">
            <w:pPr>
              <w:suppressAutoHyphens w:val="0"/>
              <w:spacing w:before="80" w:after="80" w:line="200" w:lineRule="exact"/>
              <w:rPr>
                <w:i/>
                <w:sz w:val="16"/>
              </w:rPr>
            </w:pPr>
            <w:r w:rsidRPr="00221BBA">
              <w:rPr>
                <w:i/>
                <w:sz w:val="16"/>
              </w:rPr>
              <w:t>Pays (Parties et Signataires)</w:t>
            </w:r>
          </w:p>
        </w:tc>
        <w:tc>
          <w:tcPr>
            <w:tcW w:w="1010" w:type="pct"/>
            <w:tcBorders>
              <w:top w:val="single" w:sz="4" w:space="0" w:color="auto"/>
              <w:bottom w:val="single" w:sz="12" w:space="0" w:color="auto"/>
            </w:tcBorders>
            <w:shd w:val="clear" w:color="auto" w:fill="auto"/>
            <w:vAlign w:val="bottom"/>
            <w:hideMark/>
          </w:tcPr>
          <w:p w:rsidR="00F11985" w:rsidRPr="00221BBA" w:rsidRDefault="00F11985" w:rsidP="00C64E02">
            <w:pPr>
              <w:suppressAutoHyphens w:val="0"/>
              <w:spacing w:before="80" w:after="80" w:line="200" w:lineRule="exact"/>
              <w:jc w:val="right"/>
              <w:rPr>
                <w:i/>
                <w:sz w:val="16"/>
              </w:rPr>
            </w:pPr>
            <w:r w:rsidRPr="00221BBA">
              <w:rPr>
                <w:i/>
                <w:sz w:val="16"/>
              </w:rPr>
              <w:t xml:space="preserve">Barème </w:t>
            </w:r>
            <w:r w:rsidR="005E6839" w:rsidRPr="00221BBA">
              <w:rPr>
                <w:i/>
                <w:sz w:val="16"/>
              </w:rPr>
              <w:br/>
            </w:r>
            <w:r w:rsidRPr="00221BBA">
              <w:rPr>
                <w:i/>
                <w:sz w:val="16"/>
              </w:rPr>
              <w:t>des quotes</w:t>
            </w:r>
            <w:r w:rsidR="005E6839" w:rsidRPr="00221BBA">
              <w:rPr>
                <w:i/>
                <w:sz w:val="16"/>
              </w:rPr>
              <w:noBreakHyphen/>
            </w:r>
            <w:r w:rsidRPr="00221BBA">
              <w:rPr>
                <w:i/>
                <w:sz w:val="16"/>
              </w:rPr>
              <w:t>parts de l’ONU (%)</w:t>
            </w:r>
            <w:r w:rsidRPr="00221BBA">
              <w:rPr>
                <w:i/>
                <w:iCs/>
                <w:sz w:val="16"/>
                <w:vertAlign w:val="superscript"/>
              </w:rPr>
              <w:t>a</w:t>
            </w:r>
          </w:p>
        </w:tc>
        <w:tc>
          <w:tcPr>
            <w:tcW w:w="1010" w:type="pct"/>
            <w:tcBorders>
              <w:top w:val="single" w:sz="4" w:space="0" w:color="auto"/>
              <w:bottom w:val="single" w:sz="12" w:space="0" w:color="auto"/>
            </w:tcBorders>
            <w:shd w:val="clear" w:color="auto" w:fill="auto"/>
            <w:vAlign w:val="bottom"/>
            <w:hideMark/>
          </w:tcPr>
          <w:p w:rsidR="00F11985" w:rsidRPr="00221BBA" w:rsidRDefault="00F11985" w:rsidP="00C64E02">
            <w:pPr>
              <w:suppressAutoHyphens w:val="0"/>
              <w:spacing w:before="80" w:after="80" w:line="200" w:lineRule="exact"/>
              <w:jc w:val="right"/>
              <w:rPr>
                <w:i/>
                <w:sz w:val="16"/>
              </w:rPr>
            </w:pPr>
            <w:r w:rsidRPr="00221BBA">
              <w:rPr>
                <w:i/>
                <w:sz w:val="16"/>
              </w:rPr>
              <w:t xml:space="preserve">Barème ajusté </w:t>
            </w:r>
            <w:r w:rsidR="005E6839" w:rsidRPr="00221BBA">
              <w:rPr>
                <w:i/>
                <w:sz w:val="16"/>
              </w:rPr>
              <w:br/>
            </w:r>
            <w:r w:rsidRPr="00221BBA">
              <w:rPr>
                <w:i/>
                <w:sz w:val="16"/>
              </w:rPr>
              <w:t>des quotes</w:t>
            </w:r>
            <w:r w:rsidR="005E6839" w:rsidRPr="00221BBA">
              <w:rPr>
                <w:i/>
                <w:sz w:val="16"/>
              </w:rPr>
              <w:noBreakHyphen/>
            </w:r>
            <w:r w:rsidRPr="00221BBA">
              <w:rPr>
                <w:i/>
                <w:sz w:val="16"/>
              </w:rPr>
              <w:t xml:space="preserve">parts </w:t>
            </w:r>
            <w:r w:rsidR="005E6839" w:rsidRPr="00221BBA">
              <w:rPr>
                <w:i/>
                <w:sz w:val="16"/>
              </w:rPr>
              <w:br/>
            </w:r>
            <w:r w:rsidRPr="00221BBA">
              <w:rPr>
                <w:i/>
                <w:sz w:val="16"/>
              </w:rPr>
              <w:t>de l’ONU (%)</w:t>
            </w:r>
            <w:r w:rsidRPr="00221BBA">
              <w:rPr>
                <w:i/>
                <w:iCs/>
                <w:sz w:val="16"/>
                <w:vertAlign w:val="superscript"/>
              </w:rPr>
              <w:t>b</w:t>
            </w:r>
          </w:p>
        </w:tc>
        <w:tc>
          <w:tcPr>
            <w:tcW w:w="1730" w:type="pct"/>
            <w:tcBorders>
              <w:top w:val="single" w:sz="4" w:space="0" w:color="auto"/>
              <w:bottom w:val="single" w:sz="12" w:space="0" w:color="auto"/>
            </w:tcBorders>
            <w:shd w:val="clear" w:color="auto" w:fill="auto"/>
            <w:vAlign w:val="bottom"/>
            <w:hideMark/>
          </w:tcPr>
          <w:p w:rsidR="00F11985" w:rsidRPr="00221BBA" w:rsidRDefault="00F11985" w:rsidP="005E6839">
            <w:pPr>
              <w:suppressAutoHyphens w:val="0"/>
              <w:spacing w:before="80" w:after="80" w:line="200" w:lineRule="exact"/>
              <w:ind w:left="57"/>
              <w:jc w:val="right"/>
              <w:rPr>
                <w:i/>
                <w:sz w:val="16"/>
              </w:rPr>
            </w:pPr>
            <w:r w:rsidRPr="00221BBA">
              <w:rPr>
                <w:i/>
                <w:sz w:val="16"/>
              </w:rPr>
              <w:t>Contribution pour une année (dollars) calculé sur la base du barème ajusté et des ressources nécessaires à l’exécution du plan de travail 2021</w:t>
            </w:r>
            <w:r w:rsidR="005E6839" w:rsidRPr="00221BBA">
              <w:rPr>
                <w:i/>
                <w:sz w:val="16"/>
              </w:rPr>
              <w:noBreakHyphen/>
            </w:r>
            <w:r w:rsidRPr="00221BBA">
              <w:rPr>
                <w:i/>
                <w:sz w:val="16"/>
              </w:rPr>
              <w:t>2023 (VIII/2</w:t>
            </w:r>
            <w:r w:rsidR="005E6839" w:rsidRPr="00221BBA">
              <w:rPr>
                <w:i/>
                <w:sz w:val="16"/>
              </w:rPr>
              <w:t>-</w:t>
            </w:r>
            <w:r w:rsidRPr="00221BBA">
              <w:rPr>
                <w:i/>
                <w:sz w:val="16"/>
              </w:rPr>
              <w:t>III/2) (Faibles montants portés à</w:t>
            </w:r>
            <w:r w:rsidR="005E6839" w:rsidRPr="00221BBA">
              <w:rPr>
                <w:i/>
                <w:sz w:val="16"/>
              </w:rPr>
              <w:t> </w:t>
            </w:r>
            <w:r w:rsidRPr="00221BBA">
              <w:rPr>
                <w:i/>
                <w:sz w:val="16"/>
              </w:rPr>
              <w:t>500</w:t>
            </w:r>
            <w:r w:rsidR="005E6839" w:rsidRPr="00221BBA">
              <w:rPr>
                <w:i/>
                <w:sz w:val="16"/>
              </w:rPr>
              <w:t> </w:t>
            </w:r>
            <w:r w:rsidRPr="00221BBA">
              <w:rPr>
                <w:i/>
                <w:sz w:val="16"/>
              </w:rPr>
              <w:t xml:space="preserve">dollars) </w:t>
            </w:r>
          </w:p>
        </w:tc>
      </w:tr>
      <w:tr w:rsidR="00492324" w:rsidRPr="00221BBA" w:rsidTr="005E6839">
        <w:tblPrEx>
          <w:tblBorders>
            <w:top w:val="none" w:sz="0" w:space="0" w:color="auto"/>
            <w:bottom w:val="none" w:sz="0" w:space="0" w:color="auto"/>
          </w:tblBorders>
        </w:tblPrEx>
        <w:tc>
          <w:tcPr>
            <w:tcW w:w="1250" w:type="pct"/>
            <w:shd w:val="clear" w:color="auto" w:fill="auto"/>
            <w:noWrap/>
            <w:hideMark/>
          </w:tcPr>
          <w:p w:rsidR="005279C7" w:rsidRPr="00221BBA" w:rsidRDefault="005279C7" w:rsidP="00C64E02">
            <w:pPr>
              <w:suppressAutoHyphens w:val="0"/>
              <w:spacing w:before="40" w:after="40" w:line="220" w:lineRule="exact"/>
              <w:rPr>
                <w:sz w:val="18"/>
              </w:rPr>
            </w:pPr>
            <w:r w:rsidRPr="00221BBA">
              <w:rPr>
                <w:sz w:val="18"/>
              </w:rPr>
              <w:t>Albanie</w:t>
            </w:r>
          </w:p>
        </w:tc>
        <w:tc>
          <w:tcPr>
            <w:tcW w:w="1010" w:type="pct"/>
            <w:shd w:val="clear" w:color="auto" w:fill="auto"/>
            <w:noWrap/>
            <w:vAlign w:val="bottom"/>
            <w:hideMark/>
          </w:tcPr>
          <w:p w:rsidR="005279C7" w:rsidRPr="00221BBA" w:rsidRDefault="005279C7" w:rsidP="00C64E02">
            <w:pPr>
              <w:suppressAutoHyphens w:val="0"/>
              <w:spacing w:before="40" w:after="40" w:line="220" w:lineRule="exact"/>
              <w:jc w:val="right"/>
              <w:rPr>
                <w:sz w:val="18"/>
                <w:lang w:eastAsia="zh-CN"/>
              </w:rPr>
            </w:pPr>
            <w:r w:rsidRPr="00221BBA">
              <w:rPr>
                <w:sz w:val="18"/>
              </w:rPr>
              <w:t>0,008</w:t>
            </w:r>
          </w:p>
        </w:tc>
        <w:tc>
          <w:tcPr>
            <w:tcW w:w="1010" w:type="pct"/>
            <w:shd w:val="clear" w:color="auto" w:fill="auto"/>
            <w:noWrap/>
            <w:vAlign w:val="bottom"/>
          </w:tcPr>
          <w:p w:rsidR="005279C7" w:rsidRPr="00221BBA" w:rsidRDefault="005279C7" w:rsidP="00C64E02">
            <w:pPr>
              <w:suppressAutoHyphens w:val="0"/>
              <w:spacing w:before="40" w:after="40" w:line="220" w:lineRule="exact"/>
              <w:jc w:val="right"/>
              <w:rPr>
                <w:sz w:val="18"/>
                <w:lang w:eastAsia="zh-CN"/>
              </w:rPr>
            </w:pPr>
            <w:r w:rsidRPr="00221BBA">
              <w:rPr>
                <w:sz w:val="18"/>
              </w:rPr>
              <w:t>0,024</w:t>
            </w:r>
          </w:p>
        </w:tc>
        <w:tc>
          <w:tcPr>
            <w:tcW w:w="1730" w:type="pct"/>
            <w:shd w:val="clear" w:color="auto" w:fill="auto"/>
            <w:vAlign w:val="bottom"/>
          </w:tcPr>
          <w:p w:rsidR="005279C7" w:rsidRPr="00221BBA" w:rsidRDefault="005279C7" w:rsidP="00C64E02">
            <w:pPr>
              <w:suppressAutoHyphens w:val="0"/>
              <w:spacing w:before="40" w:after="40" w:line="220" w:lineRule="exact"/>
              <w:jc w:val="right"/>
              <w:rPr>
                <w:sz w:val="18"/>
              </w:rPr>
            </w:pPr>
          </w:p>
        </w:tc>
      </w:tr>
      <w:tr w:rsidR="00492324" w:rsidRPr="00221BBA" w:rsidTr="005E6839">
        <w:tblPrEx>
          <w:tblBorders>
            <w:top w:val="none" w:sz="0" w:space="0" w:color="auto"/>
            <w:bottom w:val="none" w:sz="0" w:space="0" w:color="auto"/>
          </w:tblBorders>
        </w:tblPrEx>
        <w:tc>
          <w:tcPr>
            <w:tcW w:w="1250" w:type="pct"/>
            <w:shd w:val="clear" w:color="auto" w:fill="auto"/>
            <w:noWrap/>
            <w:hideMark/>
          </w:tcPr>
          <w:p w:rsidR="005279C7" w:rsidRPr="00221BBA" w:rsidRDefault="005279C7" w:rsidP="00C64E02">
            <w:pPr>
              <w:suppressAutoHyphens w:val="0"/>
              <w:spacing w:before="40" w:after="40" w:line="220" w:lineRule="exact"/>
              <w:rPr>
                <w:sz w:val="18"/>
              </w:rPr>
            </w:pPr>
            <w:r w:rsidRPr="00221BBA">
              <w:rPr>
                <w:sz w:val="18"/>
              </w:rPr>
              <w:t>Allemagne</w:t>
            </w:r>
          </w:p>
        </w:tc>
        <w:tc>
          <w:tcPr>
            <w:tcW w:w="1010" w:type="pct"/>
            <w:shd w:val="clear" w:color="auto" w:fill="auto"/>
            <w:noWrap/>
            <w:vAlign w:val="bottom"/>
            <w:hideMark/>
          </w:tcPr>
          <w:p w:rsidR="005279C7" w:rsidRPr="00221BBA" w:rsidRDefault="005279C7" w:rsidP="00C64E02">
            <w:pPr>
              <w:suppressAutoHyphens w:val="0"/>
              <w:spacing w:before="40" w:after="40" w:line="220" w:lineRule="exact"/>
              <w:jc w:val="right"/>
              <w:rPr>
                <w:sz w:val="18"/>
              </w:rPr>
            </w:pPr>
            <w:r w:rsidRPr="00221BBA">
              <w:rPr>
                <w:sz w:val="18"/>
              </w:rPr>
              <w:t>6,09</w:t>
            </w:r>
          </w:p>
        </w:tc>
        <w:tc>
          <w:tcPr>
            <w:tcW w:w="1010" w:type="pct"/>
            <w:shd w:val="clear" w:color="auto" w:fill="auto"/>
            <w:noWrap/>
            <w:vAlign w:val="bottom"/>
          </w:tcPr>
          <w:p w:rsidR="005279C7" w:rsidRPr="00221BBA" w:rsidRDefault="005279C7" w:rsidP="00C64E02">
            <w:pPr>
              <w:suppressAutoHyphens w:val="0"/>
              <w:spacing w:before="40" w:after="40" w:line="220" w:lineRule="exact"/>
              <w:jc w:val="right"/>
              <w:rPr>
                <w:sz w:val="18"/>
              </w:rPr>
            </w:pPr>
            <w:r w:rsidRPr="00221BBA">
              <w:rPr>
                <w:sz w:val="18"/>
              </w:rPr>
              <w:t>18,148</w:t>
            </w:r>
          </w:p>
        </w:tc>
        <w:tc>
          <w:tcPr>
            <w:tcW w:w="1730" w:type="pct"/>
            <w:shd w:val="clear" w:color="auto" w:fill="auto"/>
            <w:vAlign w:val="bottom"/>
          </w:tcPr>
          <w:p w:rsidR="005279C7" w:rsidRPr="00221BBA" w:rsidRDefault="005279C7" w:rsidP="00C64E02">
            <w:pPr>
              <w:suppressAutoHyphens w:val="0"/>
              <w:spacing w:before="40" w:after="40" w:line="220" w:lineRule="exact"/>
              <w:jc w:val="right"/>
              <w:rPr>
                <w:sz w:val="18"/>
              </w:rPr>
            </w:pPr>
          </w:p>
        </w:tc>
      </w:tr>
      <w:tr w:rsidR="00492324" w:rsidRPr="00221BBA" w:rsidTr="005E6839">
        <w:tblPrEx>
          <w:tblBorders>
            <w:top w:val="none" w:sz="0" w:space="0" w:color="auto"/>
            <w:bottom w:val="none" w:sz="0" w:space="0" w:color="auto"/>
          </w:tblBorders>
        </w:tblPrEx>
        <w:tc>
          <w:tcPr>
            <w:tcW w:w="1250" w:type="pct"/>
            <w:shd w:val="clear" w:color="auto" w:fill="auto"/>
            <w:noWrap/>
            <w:hideMark/>
          </w:tcPr>
          <w:p w:rsidR="005279C7" w:rsidRPr="00221BBA" w:rsidRDefault="005279C7" w:rsidP="00C64E02">
            <w:pPr>
              <w:suppressAutoHyphens w:val="0"/>
              <w:spacing w:before="40" w:after="40" w:line="220" w:lineRule="exact"/>
              <w:rPr>
                <w:sz w:val="18"/>
              </w:rPr>
            </w:pPr>
            <w:r w:rsidRPr="00221BBA">
              <w:rPr>
                <w:sz w:val="18"/>
              </w:rPr>
              <w:t>Arménie</w:t>
            </w:r>
          </w:p>
        </w:tc>
        <w:tc>
          <w:tcPr>
            <w:tcW w:w="1010" w:type="pct"/>
            <w:shd w:val="clear" w:color="auto" w:fill="auto"/>
            <w:noWrap/>
            <w:vAlign w:val="bottom"/>
            <w:hideMark/>
          </w:tcPr>
          <w:p w:rsidR="005279C7" w:rsidRPr="00221BBA" w:rsidRDefault="005279C7" w:rsidP="00C64E02">
            <w:pPr>
              <w:suppressAutoHyphens w:val="0"/>
              <w:spacing w:before="40" w:after="40" w:line="220" w:lineRule="exact"/>
              <w:jc w:val="right"/>
              <w:rPr>
                <w:sz w:val="18"/>
              </w:rPr>
            </w:pPr>
            <w:r w:rsidRPr="00221BBA">
              <w:rPr>
                <w:sz w:val="18"/>
              </w:rPr>
              <w:t>0,007</w:t>
            </w:r>
          </w:p>
        </w:tc>
        <w:tc>
          <w:tcPr>
            <w:tcW w:w="1010" w:type="pct"/>
            <w:shd w:val="clear" w:color="auto" w:fill="auto"/>
            <w:noWrap/>
            <w:vAlign w:val="bottom"/>
          </w:tcPr>
          <w:p w:rsidR="005279C7" w:rsidRPr="00221BBA" w:rsidRDefault="005279C7" w:rsidP="00C64E02">
            <w:pPr>
              <w:suppressAutoHyphens w:val="0"/>
              <w:spacing w:before="40" w:after="40" w:line="220" w:lineRule="exact"/>
              <w:jc w:val="right"/>
              <w:rPr>
                <w:sz w:val="18"/>
              </w:rPr>
            </w:pPr>
            <w:r w:rsidRPr="00221BBA">
              <w:rPr>
                <w:sz w:val="18"/>
              </w:rPr>
              <w:t>0,021</w:t>
            </w:r>
          </w:p>
        </w:tc>
        <w:tc>
          <w:tcPr>
            <w:tcW w:w="1730" w:type="pct"/>
            <w:shd w:val="clear" w:color="auto" w:fill="auto"/>
            <w:vAlign w:val="bottom"/>
          </w:tcPr>
          <w:p w:rsidR="005279C7" w:rsidRPr="00221BBA" w:rsidRDefault="005279C7" w:rsidP="00C64E02">
            <w:pPr>
              <w:suppressAutoHyphens w:val="0"/>
              <w:spacing w:before="40" w:after="40" w:line="220" w:lineRule="exact"/>
              <w:jc w:val="right"/>
              <w:rPr>
                <w:sz w:val="18"/>
              </w:rPr>
            </w:pPr>
          </w:p>
        </w:tc>
      </w:tr>
      <w:tr w:rsidR="00492324" w:rsidRPr="00221BBA" w:rsidTr="005E6839">
        <w:tblPrEx>
          <w:tblBorders>
            <w:top w:val="none" w:sz="0" w:space="0" w:color="auto"/>
            <w:bottom w:val="none" w:sz="0" w:space="0" w:color="auto"/>
          </w:tblBorders>
        </w:tblPrEx>
        <w:tc>
          <w:tcPr>
            <w:tcW w:w="1250" w:type="pct"/>
            <w:shd w:val="clear" w:color="auto" w:fill="auto"/>
            <w:noWrap/>
            <w:hideMark/>
          </w:tcPr>
          <w:p w:rsidR="005279C7" w:rsidRPr="00221BBA" w:rsidRDefault="005279C7" w:rsidP="00C64E02">
            <w:pPr>
              <w:suppressAutoHyphens w:val="0"/>
              <w:spacing w:before="40" w:after="40" w:line="220" w:lineRule="exact"/>
              <w:rPr>
                <w:sz w:val="18"/>
              </w:rPr>
            </w:pPr>
            <w:r w:rsidRPr="00221BBA">
              <w:rPr>
                <w:sz w:val="18"/>
              </w:rPr>
              <w:t>Autriche</w:t>
            </w:r>
          </w:p>
        </w:tc>
        <w:tc>
          <w:tcPr>
            <w:tcW w:w="1010" w:type="pct"/>
            <w:shd w:val="clear" w:color="auto" w:fill="auto"/>
            <w:noWrap/>
            <w:vAlign w:val="bottom"/>
            <w:hideMark/>
          </w:tcPr>
          <w:p w:rsidR="005279C7" w:rsidRPr="00221BBA" w:rsidRDefault="005279C7" w:rsidP="00C64E02">
            <w:pPr>
              <w:suppressAutoHyphens w:val="0"/>
              <w:spacing w:before="40" w:after="40" w:line="220" w:lineRule="exact"/>
              <w:jc w:val="right"/>
              <w:rPr>
                <w:sz w:val="18"/>
              </w:rPr>
            </w:pPr>
            <w:r w:rsidRPr="00221BBA">
              <w:rPr>
                <w:sz w:val="18"/>
              </w:rPr>
              <w:t>0,677</w:t>
            </w:r>
          </w:p>
        </w:tc>
        <w:tc>
          <w:tcPr>
            <w:tcW w:w="1010" w:type="pct"/>
            <w:shd w:val="clear" w:color="auto" w:fill="auto"/>
            <w:noWrap/>
            <w:vAlign w:val="bottom"/>
          </w:tcPr>
          <w:p w:rsidR="005279C7" w:rsidRPr="00221BBA" w:rsidRDefault="005279C7" w:rsidP="00C64E02">
            <w:pPr>
              <w:suppressAutoHyphens w:val="0"/>
              <w:spacing w:before="40" w:after="40" w:line="220" w:lineRule="exact"/>
              <w:jc w:val="right"/>
              <w:rPr>
                <w:sz w:val="18"/>
              </w:rPr>
            </w:pPr>
            <w:r w:rsidRPr="00221BBA">
              <w:rPr>
                <w:sz w:val="18"/>
              </w:rPr>
              <w:t>2,017</w:t>
            </w:r>
          </w:p>
        </w:tc>
        <w:tc>
          <w:tcPr>
            <w:tcW w:w="1730" w:type="pct"/>
            <w:shd w:val="clear" w:color="auto" w:fill="auto"/>
            <w:vAlign w:val="bottom"/>
          </w:tcPr>
          <w:p w:rsidR="005279C7" w:rsidRPr="00221BBA" w:rsidRDefault="005279C7" w:rsidP="00C64E02">
            <w:pPr>
              <w:suppressAutoHyphens w:val="0"/>
              <w:spacing w:before="40" w:after="40" w:line="220" w:lineRule="exact"/>
              <w:jc w:val="right"/>
              <w:rPr>
                <w:sz w:val="18"/>
              </w:rPr>
            </w:pPr>
          </w:p>
        </w:tc>
      </w:tr>
      <w:tr w:rsidR="00492324" w:rsidRPr="00221BBA" w:rsidTr="005E6839">
        <w:tblPrEx>
          <w:tblBorders>
            <w:top w:val="none" w:sz="0" w:space="0" w:color="auto"/>
            <w:bottom w:val="none" w:sz="0" w:space="0" w:color="auto"/>
          </w:tblBorders>
        </w:tblPrEx>
        <w:tc>
          <w:tcPr>
            <w:tcW w:w="1250" w:type="pct"/>
            <w:shd w:val="clear" w:color="auto" w:fill="auto"/>
            <w:noWrap/>
          </w:tcPr>
          <w:p w:rsidR="005279C7" w:rsidRPr="00221BBA" w:rsidRDefault="005279C7" w:rsidP="00C64E02">
            <w:pPr>
              <w:suppressAutoHyphens w:val="0"/>
              <w:spacing w:before="40" w:after="40" w:line="220" w:lineRule="exact"/>
              <w:rPr>
                <w:sz w:val="18"/>
              </w:rPr>
            </w:pPr>
            <w:r w:rsidRPr="00221BBA">
              <w:rPr>
                <w:sz w:val="18"/>
              </w:rPr>
              <w:t>Azerbaïdjan</w:t>
            </w:r>
          </w:p>
        </w:tc>
        <w:tc>
          <w:tcPr>
            <w:tcW w:w="1010" w:type="pct"/>
            <w:shd w:val="clear" w:color="auto" w:fill="auto"/>
            <w:noWrap/>
            <w:vAlign w:val="bottom"/>
          </w:tcPr>
          <w:p w:rsidR="005279C7" w:rsidRPr="00221BBA" w:rsidRDefault="005279C7" w:rsidP="00C64E02">
            <w:pPr>
              <w:suppressAutoHyphens w:val="0"/>
              <w:spacing w:before="40" w:after="40" w:line="220" w:lineRule="exact"/>
              <w:jc w:val="right"/>
              <w:rPr>
                <w:sz w:val="18"/>
              </w:rPr>
            </w:pPr>
            <w:r w:rsidRPr="00221BBA">
              <w:rPr>
                <w:sz w:val="18"/>
              </w:rPr>
              <w:t>0,049</w:t>
            </w:r>
          </w:p>
        </w:tc>
        <w:tc>
          <w:tcPr>
            <w:tcW w:w="1010" w:type="pct"/>
            <w:shd w:val="clear" w:color="auto" w:fill="auto"/>
            <w:noWrap/>
            <w:vAlign w:val="bottom"/>
          </w:tcPr>
          <w:p w:rsidR="005279C7" w:rsidRPr="00221BBA" w:rsidRDefault="005279C7" w:rsidP="00C64E02">
            <w:pPr>
              <w:suppressAutoHyphens w:val="0"/>
              <w:spacing w:before="40" w:after="40" w:line="220" w:lineRule="exact"/>
              <w:jc w:val="right"/>
              <w:rPr>
                <w:sz w:val="18"/>
              </w:rPr>
            </w:pPr>
            <w:r w:rsidRPr="00221BBA">
              <w:rPr>
                <w:sz w:val="18"/>
              </w:rPr>
              <w:t>0,146</w:t>
            </w:r>
          </w:p>
        </w:tc>
        <w:tc>
          <w:tcPr>
            <w:tcW w:w="1730" w:type="pct"/>
            <w:shd w:val="clear" w:color="auto" w:fill="auto"/>
            <w:vAlign w:val="bottom"/>
          </w:tcPr>
          <w:p w:rsidR="005279C7" w:rsidRPr="00221BBA" w:rsidRDefault="005279C7" w:rsidP="00C64E02">
            <w:pPr>
              <w:suppressAutoHyphens w:val="0"/>
              <w:spacing w:before="40" w:after="40" w:line="220" w:lineRule="exact"/>
              <w:jc w:val="right"/>
              <w:rPr>
                <w:sz w:val="18"/>
              </w:rPr>
            </w:pPr>
          </w:p>
        </w:tc>
      </w:tr>
      <w:tr w:rsidR="00492324" w:rsidRPr="00221BBA" w:rsidTr="005E6839">
        <w:tblPrEx>
          <w:tblBorders>
            <w:top w:val="none" w:sz="0" w:space="0" w:color="auto"/>
            <w:bottom w:val="none" w:sz="0" w:space="0" w:color="auto"/>
          </w:tblBorders>
        </w:tblPrEx>
        <w:tc>
          <w:tcPr>
            <w:tcW w:w="1250" w:type="pct"/>
            <w:shd w:val="clear" w:color="auto" w:fill="auto"/>
            <w:noWrap/>
          </w:tcPr>
          <w:p w:rsidR="005279C7" w:rsidRPr="00221BBA" w:rsidRDefault="005279C7" w:rsidP="00C64E02">
            <w:pPr>
              <w:suppressAutoHyphens w:val="0"/>
              <w:spacing w:before="40" w:after="40" w:line="220" w:lineRule="exact"/>
              <w:rPr>
                <w:sz w:val="18"/>
              </w:rPr>
            </w:pPr>
            <w:r w:rsidRPr="00221BBA">
              <w:rPr>
                <w:sz w:val="18"/>
              </w:rPr>
              <w:t>Bélarus</w:t>
            </w:r>
          </w:p>
        </w:tc>
        <w:tc>
          <w:tcPr>
            <w:tcW w:w="1010" w:type="pct"/>
            <w:shd w:val="clear" w:color="auto" w:fill="auto"/>
            <w:noWrap/>
            <w:vAlign w:val="bottom"/>
          </w:tcPr>
          <w:p w:rsidR="005279C7" w:rsidRPr="00221BBA" w:rsidRDefault="005279C7" w:rsidP="00C64E02">
            <w:pPr>
              <w:suppressAutoHyphens w:val="0"/>
              <w:spacing w:before="40" w:after="40" w:line="220" w:lineRule="exact"/>
              <w:jc w:val="right"/>
              <w:rPr>
                <w:sz w:val="18"/>
              </w:rPr>
            </w:pPr>
            <w:r w:rsidRPr="00221BBA">
              <w:rPr>
                <w:sz w:val="18"/>
              </w:rPr>
              <w:t>0,049</w:t>
            </w:r>
          </w:p>
        </w:tc>
        <w:tc>
          <w:tcPr>
            <w:tcW w:w="1010" w:type="pct"/>
            <w:shd w:val="clear" w:color="auto" w:fill="auto"/>
            <w:noWrap/>
            <w:vAlign w:val="bottom"/>
          </w:tcPr>
          <w:p w:rsidR="005279C7" w:rsidRPr="00221BBA" w:rsidRDefault="005279C7" w:rsidP="00C64E02">
            <w:pPr>
              <w:suppressAutoHyphens w:val="0"/>
              <w:spacing w:before="40" w:after="40" w:line="220" w:lineRule="exact"/>
              <w:jc w:val="right"/>
              <w:rPr>
                <w:sz w:val="18"/>
              </w:rPr>
            </w:pPr>
            <w:r w:rsidRPr="00221BBA">
              <w:rPr>
                <w:sz w:val="18"/>
              </w:rPr>
              <w:t>0,146</w:t>
            </w:r>
          </w:p>
        </w:tc>
        <w:tc>
          <w:tcPr>
            <w:tcW w:w="1730" w:type="pct"/>
            <w:shd w:val="clear" w:color="auto" w:fill="auto"/>
            <w:vAlign w:val="bottom"/>
          </w:tcPr>
          <w:p w:rsidR="005279C7" w:rsidRPr="00221BBA" w:rsidRDefault="005279C7" w:rsidP="00C64E02">
            <w:pPr>
              <w:suppressAutoHyphens w:val="0"/>
              <w:spacing w:before="40" w:after="40" w:line="220" w:lineRule="exact"/>
              <w:jc w:val="right"/>
              <w:rPr>
                <w:sz w:val="18"/>
              </w:rPr>
            </w:pPr>
          </w:p>
        </w:tc>
      </w:tr>
      <w:tr w:rsidR="00492324" w:rsidRPr="00221BBA" w:rsidTr="005E6839">
        <w:tblPrEx>
          <w:tblBorders>
            <w:top w:val="none" w:sz="0" w:space="0" w:color="auto"/>
            <w:bottom w:val="none" w:sz="0" w:space="0" w:color="auto"/>
          </w:tblBorders>
        </w:tblPrEx>
        <w:tc>
          <w:tcPr>
            <w:tcW w:w="1250" w:type="pct"/>
            <w:shd w:val="clear" w:color="auto" w:fill="auto"/>
            <w:noWrap/>
            <w:hideMark/>
          </w:tcPr>
          <w:p w:rsidR="005279C7" w:rsidRPr="00221BBA" w:rsidRDefault="005279C7" w:rsidP="00C64E02">
            <w:pPr>
              <w:suppressAutoHyphens w:val="0"/>
              <w:spacing w:before="40" w:after="40" w:line="220" w:lineRule="exact"/>
              <w:rPr>
                <w:sz w:val="18"/>
              </w:rPr>
            </w:pPr>
            <w:r w:rsidRPr="00221BBA">
              <w:rPr>
                <w:sz w:val="18"/>
              </w:rPr>
              <w:t>Belgique</w:t>
            </w:r>
          </w:p>
        </w:tc>
        <w:tc>
          <w:tcPr>
            <w:tcW w:w="1010" w:type="pct"/>
            <w:shd w:val="clear" w:color="auto" w:fill="auto"/>
            <w:noWrap/>
            <w:vAlign w:val="bottom"/>
            <w:hideMark/>
          </w:tcPr>
          <w:p w:rsidR="005279C7" w:rsidRPr="00221BBA" w:rsidRDefault="005279C7" w:rsidP="00C64E02">
            <w:pPr>
              <w:suppressAutoHyphens w:val="0"/>
              <w:spacing w:before="40" w:after="40" w:line="220" w:lineRule="exact"/>
              <w:jc w:val="right"/>
              <w:rPr>
                <w:sz w:val="18"/>
              </w:rPr>
            </w:pPr>
            <w:r w:rsidRPr="00221BBA">
              <w:rPr>
                <w:sz w:val="18"/>
              </w:rPr>
              <w:t>0,821</w:t>
            </w:r>
          </w:p>
        </w:tc>
        <w:tc>
          <w:tcPr>
            <w:tcW w:w="1010" w:type="pct"/>
            <w:shd w:val="clear" w:color="auto" w:fill="auto"/>
            <w:noWrap/>
            <w:vAlign w:val="bottom"/>
          </w:tcPr>
          <w:p w:rsidR="005279C7" w:rsidRPr="00221BBA" w:rsidRDefault="005279C7" w:rsidP="00C64E02">
            <w:pPr>
              <w:suppressAutoHyphens w:val="0"/>
              <w:spacing w:before="40" w:after="40" w:line="220" w:lineRule="exact"/>
              <w:jc w:val="right"/>
              <w:rPr>
                <w:sz w:val="18"/>
              </w:rPr>
            </w:pPr>
            <w:r w:rsidRPr="00221BBA">
              <w:rPr>
                <w:sz w:val="18"/>
              </w:rPr>
              <w:t>2,447</w:t>
            </w:r>
          </w:p>
        </w:tc>
        <w:tc>
          <w:tcPr>
            <w:tcW w:w="1730" w:type="pct"/>
            <w:shd w:val="clear" w:color="auto" w:fill="auto"/>
            <w:vAlign w:val="bottom"/>
          </w:tcPr>
          <w:p w:rsidR="005279C7" w:rsidRPr="00221BBA" w:rsidRDefault="005279C7" w:rsidP="00C64E02">
            <w:pPr>
              <w:suppressAutoHyphens w:val="0"/>
              <w:spacing w:before="40" w:after="40" w:line="220" w:lineRule="exact"/>
              <w:jc w:val="right"/>
              <w:rPr>
                <w:sz w:val="18"/>
              </w:rPr>
            </w:pPr>
          </w:p>
        </w:tc>
      </w:tr>
      <w:tr w:rsidR="00492324" w:rsidRPr="00221BBA" w:rsidTr="005E6839">
        <w:tblPrEx>
          <w:tblBorders>
            <w:top w:val="none" w:sz="0" w:space="0" w:color="auto"/>
            <w:bottom w:val="none" w:sz="0" w:space="0" w:color="auto"/>
          </w:tblBorders>
        </w:tblPrEx>
        <w:tc>
          <w:tcPr>
            <w:tcW w:w="1250" w:type="pct"/>
            <w:shd w:val="clear" w:color="auto" w:fill="auto"/>
            <w:noWrap/>
            <w:hideMark/>
          </w:tcPr>
          <w:p w:rsidR="005279C7" w:rsidRPr="00221BBA" w:rsidRDefault="005279C7" w:rsidP="00C64E02">
            <w:pPr>
              <w:suppressAutoHyphens w:val="0"/>
              <w:spacing w:before="40" w:after="40" w:line="220" w:lineRule="exact"/>
              <w:rPr>
                <w:sz w:val="18"/>
              </w:rPr>
            </w:pPr>
            <w:r w:rsidRPr="00221BBA">
              <w:rPr>
                <w:sz w:val="18"/>
              </w:rPr>
              <w:t>Bosnie- Herzégovine</w:t>
            </w:r>
          </w:p>
        </w:tc>
        <w:tc>
          <w:tcPr>
            <w:tcW w:w="1010" w:type="pct"/>
            <w:shd w:val="clear" w:color="auto" w:fill="auto"/>
            <w:noWrap/>
            <w:vAlign w:val="bottom"/>
            <w:hideMark/>
          </w:tcPr>
          <w:p w:rsidR="005279C7" w:rsidRPr="00221BBA" w:rsidRDefault="005279C7" w:rsidP="00C64E02">
            <w:pPr>
              <w:suppressAutoHyphens w:val="0"/>
              <w:spacing w:before="40" w:after="40" w:line="220" w:lineRule="exact"/>
              <w:jc w:val="right"/>
              <w:rPr>
                <w:sz w:val="18"/>
              </w:rPr>
            </w:pPr>
            <w:r w:rsidRPr="00221BBA">
              <w:rPr>
                <w:sz w:val="18"/>
              </w:rPr>
              <w:t>0,012</w:t>
            </w:r>
          </w:p>
        </w:tc>
        <w:tc>
          <w:tcPr>
            <w:tcW w:w="1010" w:type="pct"/>
            <w:shd w:val="clear" w:color="auto" w:fill="auto"/>
            <w:noWrap/>
            <w:vAlign w:val="bottom"/>
          </w:tcPr>
          <w:p w:rsidR="005279C7" w:rsidRPr="00221BBA" w:rsidRDefault="005279C7" w:rsidP="00C64E02">
            <w:pPr>
              <w:suppressAutoHyphens w:val="0"/>
              <w:spacing w:before="40" w:after="40" w:line="220" w:lineRule="exact"/>
              <w:jc w:val="right"/>
              <w:rPr>
                <w:sz w:val="18"/>
              </w:rPr>
            </w:pPr>
            <w:r w:rsidRPr="00221BBA">
              <w:rPr>
                <w:sz w:val="18"/>
              </w:rPr>
              <w:t>0,036</w:t>
            </w:r>
          </w:p>
        </w:tc>
        <w:tc>
          <w:tcPr>
            <w:tcW w:w="1730" w:type="pct"/>
            <w:shd w:val="clear" w:color="auto" w:fill="auto"/>
            <w:vAlign w:val="bottom"/>
          </w:tcPr>
          <w:p w:rsidR="005279C7" w:rsidRPr="00221BBA" w:rsidRDefault="005279C7" w:rsidP="00C64E02">
            <w:pPr>
              <w:suppressAutoHyphens w:val="0"/>
              <w:spacing w:before="40" w:after="40" w:line="220" w:lineRule="exact"/>
              <w:jc w:val="right"/>
              <w:rPr>
                <w:sz w:val="18"/>
              </w:rPr>
            </w:pPr>
          </w:p>
        </w:tc>
      </w:tr>
      <w:tr w:rsidR="00492324" w:rsidRPr="00221BBA" w:rsidTr="005E6839">
        <w:tblPrEx>
          <w:tblBorders>
            <w:top w:val="none" w:sz="0" w:space="0" w:color="auto"/>
            <w:bottom w:val="none" w:sz="0" w:space="0" w:color="auto"/>
          </w:tblBorders>
        </w:tblPrEx>
        <w:tc>
          <w:tcPr>
            <w:tcW w:w="1250" w:type="pct"/>
            <w:shd w:val="clear" w:color="auto" w:fill="auto"/>
            <w:noWrap/>
            <w:hideMark/>
          </w:tcPr>
          <w:p w:rsidR="005279C7" w:rsidRPr="00221BBA" w:rsidRDefault="005279C7" w:rsidP="00C64E02">
            <w:pPr>
              <w:suppressAutoHyphens w:val="0"/>
              <w:spacing w:before="40" w:after="40" w:line="220" w:lineRule="exact"/>
              <w:rPr>
                <w:sz w:val="18"/>
              </w:rPr>
            </w:pPr>
            <w:r w:rsidRPr="00221BBA">
              <w:rPr>
                <w:sz w:val="18"/>
              </w:rPr>
              <w:t>Bulgarie</w:t>
            </w:r>
          </w:p>
        </w:tc>
        <w:tc>
          <w:tcPr>
            <w:tcW w:w="1010" w:type="pct"/>
            <w:shd w:val="clear" w:color="auto" w:fill="auto"/>
            <w:noWrap/>
            <w:vAlign w:val="bottom"/>
            <w:hideMark/>
          </w:tcPr>
          <w:p w:rsidR="005279C7" w:rsidRPr="00221BBA" w:rsidRDefault="005279C7" w:rsidP="00C64E02">
            <w:pPr>
              <w:suppressAutoHyphens w:val="0"/>
              <w:spacing w:before="40" w:after="40" w:line="220" w:lineRule="exact"/>
              <w:jc w:val="right"/>
              <w:rPr>
                <w:sz w:val="18"/>
              </w:rPr>
            </w:pPr>
            <w:r w:rsidRPr="00221BBA">
              <w:rPr>
                <w:sz w:val="18"/>
              </w:rPr>
              <w:t>0,046</w:t>
            </w:r>
          </w:p>
        </w:tc>
        <w:tc>
          <w:tcPr>
            <w:tcW w:w="1010" w:type="pct"/>
            <w:shd w:val="clear" w:color="auto" w:fill="auto"/>
            <w:noWrap/>
            <w:vAlign w:val="bottom"/>
          </w:tcPr>
          <w:p w:rsidR="005279C7" w:rsidRPr="00221BBA" w:rsidRDefault="005279C7" w:rsidP="00C64E02">
            <w:pPr>
              <w:suppressAutoHyphens w:val="0"/>
              <w:spacing w:before="40" w:after="40" w:line="220" w:lineRule="exact"/>
              <w:jc w:val="right"/>
              <w:rPr>
                <w:sz w:val="18"/>
              </w:rPr>
            </w:pPr>
            <w:r w:rsidRPr="00221BBA">
              <w:rPr>
                <w:sz w:val="18"/>
              </w:rPr>
              <w:t>0,137</w:t>
            </w:r>
          </w:p>
        </w:tc>
        <w:tc>
          <w:tcPr>
            <w:tcW w:w="1730" w:type="pct"/>
            <w:shd w:val="clear" w:color="auto" w:fill="auto"/>
            <w:vAlign w:val="bottom"/>
          </w:tcPr>
          <w:p w:rsidR="005279C7" w:rsidRPr="00221BBA" w:rsidRDefault="005279C7" w:rsidP="00C64E02">
            <w:pPr>
              <w:suppressAutoHyphens w:val="0"/>
              <w:spacing w:before="40" w:after="40" w:line="220" w:lineRule="exact"/>
              <w:jc w:val="right"/>
              <w:rPr>
                <w:sz w:val="18"/>
              </w:rPr>
            </w:pPr>
          </w:p>
        </w:tc>
      </w:tr>
      <w:tr w:rsidR="00492324" w:rsidRPr="00221BBA" w:rsidTr="005E6839">
        <w:tblPrEx>
          <w:tblBorders>
            <w:top w:val="none" w:sz="0" w:space="0" w:color="auto"/>
            <w:bottom w:val="none" w:sz="0" w:space="0" w:color="auto"/>
          </w:tblBorders>
        </w:tblPrEx>
        <w:tc>
          <w:tcPr>
            <w:tcW w:w="1250" w:type="pct"/>
            <w:shd w:val="clear" w:color="auto" w:fill="auto"/>
            <w:noWrap/>
          </w:tcPr>
          <w:p w:rsidR="005279C7" w:rsidRPr="00221BBA" w:rsidRDefault="005279C7" w:rsidP="00C64E02">
            <w:pPr>
              <w:suppressAutoHyphens w:val="0"/>
              <w:spacing w:before="40" w:after="40" w:line="220" w:lineRule="exact"/>
              <w:rPr>
                <w:sz w:val="18"/>
              </w:rPr>
            </w:pPr>
            <w:r w:rsidRPr="00221BBA">
              <w:rPr>
                <w:sz w:val="18"/>
              </w:rPr>
              <w:t>Canada</w:t>
            </w:r>
          </w:p>
        </w:tc>
        <w:tc>
          <w:tcPr>
            <w:tcW w:w="1010" w:type="pct"/>
            <w:shd w:val="clear" w:color="auto" w:fill="auto"/>
            <w:noWrap/>
            <w:vAlign w:val="bottom"/>
          </w:tcPr>
          <w:p w:rsidR="005279C7" w:rsidRPr="00221BBA" w:rsidRDefault="005279C7" w:rsidP="00C64E02">
            <w:pPr>
              <w:suppressAutoHyphens w:val="0"/>
              <w:spacing w:before="40" w:after="40" w:line="220" w:lineRule="exact"/>
              <w:jc w:val="right"/>
              <w:rPr>
                <w:sz w:val="18"/>
              </w:rPr>
            </w:pPr>
            <w:r w:rsidRPr="00221BBA">
              <w:rPr>
                <w:sz w:val="18"/>
              </w:rPr>
              <w:t>2,734</w:t>
            </w:r>
          </w:p>
        </w:tc>
        <w:tc>
          <w:tcPr>
            <w:tcW w:w="1010" w:type="pct"/>
            <w:shd w:val="clear" w:color="auto" w:fill="auto"/>
            <w:noWrap/>
            <w:vAlign w:val="bottom"/>
          </w:tcPr>
          <w:p w:rsidR="005279C7" w:rsidRPr="00221BBA" w:rsidRDefault="005279C7" w:rsidP="00C64E02">
            <w:pPr>
              <w:suppressAutoHyphens w:val="0"/>
              <w:spacing w:before="40" w:after="40" w:line="220" w:lineRule="exact"/>
              <w:jc w:val="right"/>
              <w:rPr>
                <w:sz w:val="18"/>
              </w:rPr>
            </w:pPr>
            <w:r w:rsidRPr="00221BBA">
              <w:rPr>
                <w:sz w:val="18"/>
              </w:rPr>
              <w:t>8,147</w:t>
            </w:r>
          </w:p>
        </w:tc>
        <w:tc>
          <w:tcPr>
            <w:tcW w:w="1730" w:type="pct"/>
            <w:shd w:val="clear" w:color="auto" w:fill="auto"/>
            <w:vAlign w:val="bottom"/>
          </w:tcPr>
          <w:p w:rsidR="005279C7" w:rsidRPr="00221BBA" w:rsidRDefault="005279C7" w:rsidP="00C64E02">
            <w:pPr>
              <w:suppressAutoHyphens w:val="0"/>
              <w:spacing w:before="40" w:after="40" w:line="220" w:lineRule="exact"/>
              <w:jc w:val="right"/>
              <w:rPr>
                <w:sz w:val="18"/>
              </w:rPr>
            </w:pPr>
          </w:p>
        </w:tc>
      </w:tr>
      <w:tr w:rsidR="00492324" w:rsidRPr="00221BBA" w:rsidTr="005E6839">
        <w:tblPrEx>
          <w:tblBorders>
            <w:top w:val="none" w:sz="0" w:space="0" w:color="auto"/>
            <w:bottom w:val="none" w:sz="0" w:space="0" w:color="auto"/>
          </w:tblBorders>
        </w:tblPrEx>
        <w:tc>
          <w:tcPr>
            <w:tcW w:w="1250" w:type="pct"/>
            <w:shd w:val="clear" w:color="auto" w:fill="auto"/>
            <w:noWrap/>
            <w:hideMark/>
          </w:tcPr>
          <w:p w:rsidR="005279C7" w:rsidRPr="00221BBA" w:rsidRDefault="005279C7" w:rsidP="00C64E02">
            <w:pPr>
              <w:suppressAutoHyphens w:val="0"/>
              <w:spacing w:before="40" w:after="40" w:line="220" w:lineRule="exact"/>
              <w:rPr>
                <w:sz w:val="18"/>
              </w:rPr>
            </w:pPr>
            <w:r w:rsidRPr="00221BBA">
              <w:rPr>
                <w:sz w:val="18"/>
              </w:rPr>
              <w:t>Chypre</w:t>
            </w:r>
          </w:p>
        </w:tc>
        <w:tc>
          <w:tcPr>
            <w:tcW w:w="1010" w:type="pct"/>
            <w:shd w:val="clear" w:color="auto" w:fill="auto"/>
            <w:noWrap/>
            <w:vAlign w:val="bottom"/>
            <w:hideMark/>
          </w:tcPr>
          <w:p w:rsidR="005279C7" w:rsidRPr="00221BBA" w:rsidRDefault="005279C7" w:rsidP="00C64E02">
            <w:pPr>
              <w:suppressAutoHyphens w:val="0"/>
              <w:spacing w:before="40" w:after="40" w:line="220" w:lineRule="exact"/>
              <w:jc w:val="right"/>
              <w:rPr>
                <w:sz w:val="18"/>
              </w:rPr>
            </w:pPr>
            <w:r w:rsidRPr="00221BBA">
              <w:rPr>
                <w:sz w:val="18"/>
              </w:rPr>
              <w:t>0,036</w:t>
            </w:r>
          </w:p>
        </w:tc>
        <w:tc>
          <w:tcPr>
            <w:tcW w:w="1010" w:type="pct"/>
            <w:shd w:val="clear" w:color="auto" w:fill="auto"/>
            <w:noWrap/>
            <w:vAlign w:val="bottom"/>
          </w:tcPr>
          <w:p w:rsidR="005279C7" w:rsidRPr="00221BBA" w:rsidRDefault="005279C7" w:rsidP="00C64E02">
            <w:pPr>
              <w:suppressAutoHyphens w:val="0"/>
              <w:spacing w:before="40" w:after="40" w:line="220" w:lineRule="exact"/>
              <w:jc w:val="right"/>
              <w:rPr>
                <w:sz w:val="18"/>
              </w:rPr>
            </w:pPr>
            <w:r w:rsidRPr="00221BBA">
              <w:rPr>
                <w:sz w:val="18"/>
              </w:rPr>
              <w:t>0,107</w:t>
            </w:r>
          </w:p>
        </w:tc>
        <w:tc>
          <w:tcPr>
            <w:tcW w:w="1730" w:type="pct"/>
            <w:shd w:val="clear" w:color="auto" w:fill="auto"/>
            <w:vAlign w:val="bottom"/>
          </w:tcPr>
          <w:p w:rsidR="005279C7" w:rsidRPr="00221BBA" w:rsidRDefault="005279C7" w:rsidP="00C64E02">
            <w:pPr>
              <w:suppressAutoHyphens w:val="0"/>
              <w:spacing w:before="40" w:after="40" w:line="220" w:lineRule="exact"/>
              <w:jc w:val="right"/>
              <w:rPr>
                <w:sz w:val="18"/>
              </w:rPr>
            </w:pPr>
          </w:p>
        </w:tc>
      </w:tr>
      <w:tr w:rsidR="00492324" w:rsidRPr="00221BBA" w:rsidTr="005E6839">
        <w:tblPrEx>
          <w:tblBorders>
            <w:top w:val="none" w:sz="0" w:space="0" w:color="auto"/>
            <w:bottom w:val="none" w:sz="0" w:space="0" w:color="auto"/>
          </w:tblBorders>
        </w:tblPrEx>
        <w:tc>
          <w:tcPr>
            <w:tcW w:w="1250" w:type="pct"/>
            <w:shd w:val="clear" w:color="auto" w:fill="auto"/>
            <w:noWrap/>
            <w:hideMark/>
          </w:tcPr>
          <w:p w:rsidR="005279C7" w:rsidRPr="00221BBA" w:rsidRDefault="005279C7" w:rsidP="00C64E02">
            <w:pPr>
              <w:suppressAutoHyphens w:val="0"/>
              <w:spacing w:before="40" w:after="40" w:line="220" w:lineRule="exact"/>
              <w:rPr>
                <w:sz w:val="18"/>
              </w:rPr>
            </w:pPr>
            <w:r w:rsidRPr="00221BBA">
              <w:rPr>
                <w:sz w:val="18"/>
              </w:rPr>
              <w:t>Croatie</w:t>
            </w:r>
          </w:p>
        </w:tc>
        <w:tc>
          <w:tcPr>
            <w:tcW w:w="1010" w:type="pct"/>
            <w:shd w:val="clear" w:color="auto" w:fill="auto"/>
            <w:noWrap/>
            <w:vAlign w:val="bottom"/>
            <w:hideMark/>
          </w:tcPr>
          <w:p w:rsidR="005279C7" w:rsidRPr="00221BBA" w:rsidRDefault="005279C7" w:rsidP="00C64E02">
            <w:pPr>
              <w:suppressAutoHyphens w:val="0"/>
              <w:spacing w:before="40" w:after="40" w:line="220" w:lineRule="exact"/>
              <w:jc w:val="right"/>
              <w:rPr>
                <w:sz w:val="18"/>
              </w:rPr>
            </w:pPr>
            <w:r w:rsidRPr="00221BBA">
              <w:rPr>
                <w:sz w:val="18"/>
              </w:rPr>
              <w:t>0,077</w:t>
            </w:r>
          </w:p>
        </w:tc>
        <w:tc>
          <w:tcPr>
            <w:tcW w:w="1010" w:type="pct"/>
            <w:shd w:val="clear" w:color="auto" w:fill="auto"/>
            <w:noWrap/>
            <w:vAlign w:val="bottom"/>
          </w:tcPr>
          <w:p w:rsidR="005279C7" w:rsidRPr="00221BBA" w:rsidRDefault="005279C7" w:rsidP="00C64E02">
            <w:pPr>
              <w:suppressAutoHyphens w:val="0"/>
              <w:spacing w:before="40" w:after="40" w:line="220" w:lineRule="exact"/>
              <w:jc w:val="right"/>
              <w:rPr>
                <w:sz w:val="18"/>
              </w:rPr>
            </w:pPr>
            <w:r w:rsidRPr="00221BBA">
              <w:rPr>
                <w:sz w:val="18"/>
              </w:rPr>
              <w:t>0,229</w:t>
            </w:r>
          </w:p>
        </w:tc>
        <w:tc>
          <w:tcPr>
            <w:tcW w:w="1730" w:type="pct"/>
            <w:shd w:val="clear" w:color="auto" w:fill="auto"/>
            <w:vAlign w:val="bottom"/>
          </w:tcPr>
          <w:p w:rsidR="005279C7" w:rsidRPr="00221BBA" w:rsidRDefault="005279C7" w:rsidP="00C64E02">
            <w:pPr>
              <w:suppressAutoHyphens w:val="0"/>
              <w:spacing w:before="40" w:after="40" w:line="220" w:lineRule="exact"/>
              <w:jc w:val="right"/>
              <w:rPr>
                <w:sz w:val="18"/>
              </w:rPr>
            </w:pPr>
          </w:p>
        </w:tc>
      </w:tr>
      <w:tr w:rsidR="00492324" w:rsidRPr="00221BBA" w:rsidTr="005E6839">
        <w:tblPrEx>
          <w:tblBorders>
            <w:top w:val="none" w:sz="0" w:space="0" w:color="auto"/>
            <w:bottom w:val="none" w:sz="0" w:space="0" w:color="auto"/>
          </w:tblBorders>
        </w:tblPrEx>
        <w:tc>
          <w:tcPr>
            <w:tcW w:w="1250" w:type="pct"/>
            <w:shd w:val="clear" w:color="auto" w:fill="auto"/>
            <w:noWrap/>
            <w:hideMark/>
          </w:tcPr>
          <w:p w:rsidR="005279C7" w:rsidRPr="00221BBA" w:rsidRDefault="005279C7" w:rsidP="00C64E02">
            <w:pPr>
              <w:suppressAutoHyphens w:val="0"/>
              <w:spacing w:before="40" w:after="40" w:line="220" w:lineRule="exact"/>
              <w:rPr>
                <w:sz w:val="18"/>
              </w:rPr>
            </w:pPr>
            <w:r w:rsidRPr="00221BBA">
              <w:rPr>
                <w:sz w:val="18"/>
              </w:rPr>
              <w:t>Danemark</w:t>
            </w:r>
          </w:p>
        </w:tc>
        <w:tc>
          <w:tcPr>
            <w:tcW w:w="1010" w:type="pct"/>
            <w:shd w:val="clear" w:color="auto" w:fill="auto"/>
            <w:noWrap/>
            <w:vAlign w:val="bottom"/>
            <w:hideMark/>
          </w:tcPr>
          <w:p w:rsidR="005279C7" w:rsidRPr="00221BBA" w:rsidRDefault="005279C7" w:rsidP="00C64E02">
            <w:pPr>
              <w:suppressAutoHyphens w:val="0"/>
              <w:spacing w:before="40" w:after="40" w:line="220" w:lineRule="exact"/>
              <w:jc w:val="right"/>
              <w:rPr>
                <w:sz w:val="18"/>
              </w:rPr>
            </w:pPr>
            <w:r w:rsidRPr="00221BBA">
              <w:rPr>
                <w:sz w:val="18"/>
              </w:rPr>
              <w:t>0,554</w:t>
            </w:r>
          </w:p>
        </w:tc>
        <w:tc>
          <w:tcPr>
            <w:tcW w:w="1010" w:type="pct"/>
            <w:shd w:val="clear" w:color="auto" w:fill="auto"/>
            <w:noWrap/>
            <w:vAlign w:val="bottom"/>
          </w:tcPr>
          <w:p w:rsidR="005279C7" w:rsidRPr="00221BBA" w:rsidRDefault="005279C7" w:rsidP="00C64E02">
            <w:pPr>
              <w:suppressAutoHyphens w:val="0"/>
              <w:spacing w:before="40" w:after="40" w:line="220" w:lineRule="exact"/>
              <w:jc w:val="right"/>
              <w:rPr>
                <w:sz w:val="18"/>
              </w:rPr>
            </w:pPr>
            <w:r w:rsidRPr="00221BBA">
              <w:rPr>
                <w:sz w:val="18"/>
              </w:rPr>
              <w:t>1,651</w:t>
            </w:r>
          </w:p>
        </w:tc>
        <w:tc>
          <w:tcPr>
            <w:tcW w:w="1730" w:type="pct"/>
            <w:shd w:val="clear" w:color="auto" w:fill="auto"/>
            <w:vAlign w:val="bottom"/>
          </w:tcPr>
          <w:p w:rsidR="005279C7" w:rsidRPr="00221BBA" w:rsidRDefault="005279C7" w:rsidP="00C64E02">
            <w:pPr>
              <w:suppressAutoHyphens w:val="0"/>
              <w:spacing w:before="40" w:after="40" w:line="220" w:lineRule="exact"/>
              <w:jc w:val="right"/>
              <w:rPr>
                <w:sz w:val="18"/>
              </w:rPr>
            </w:pPr>
          </w:p>
        </w:tc>
      </w:tr>
      <w:tr w:rsidR="00492324" w:rsidRPr="00221BBA" w:rsidTr="005E6839">
        <w:tblPrEx>
          <w:tblBorders>
            <w:top w:val="none" w:sz="0" w:space="0" w:color="auto"/>
            <w:bottom w:val="none" w:sz="0" w:space="0" w:color="auto"/>
          </w:tblBorders>
        </w:tblPrEx>
        <w:tc>
          <w:tcPr>
            <w:tcW w:w="1250" w:type="pct"/>
            <w:shd w:val="clear" w:color="auto" w:fill="auto"/>
            <w:noWrap/>
            <w:hideMark/>
          </w:tcPr>
          <w:p w:rsidR="005279C7" w:rsidRPr="00221BBA" w:rsidRDefault="005279C7" w:rsidP="00C64E02">
            <w:pPr>
              <w:suppressAutoHyphens w:val="0"/>
              <w:spacing w:before="40" w:after="40" w:line="220" w:lineRule="exact"/>
              <w:rPr>
                <w:sz w:val="18"/>
              </w:rPr>
            </w:pPr>
            <w:r w:rsidRPr="00221BBA">
              <w:rPr>
                <w:sz w:val="18"/>
              </w:rPr>
              <w:t>Espagne</w:t>
            </w:r>
          </w:p>
        </w:tc>
        <w:tc>
          <w:tcPr>
            <w:tcW w:w="1010" w:type="pct"/>
            <w:shd w:val="clear" w:color="auto" w:fill="auto"/>
            <w:noWrap/>
            <w:vAlign w:val="bottom"/>
            <w:hideMark/>
          </w:tcPr>
          <w:p w:rsidR="005279C7" w:rsidRPr="00221BBA" w:rsidRDefault="005279C7" w:rsidP="00C64E02">
            <w:pPr>
              <w:suppressAutoHyphens w:val="0"/>
              <w:spacing w:before="40" w:after="40" w:line="220" w:lineRule="exact"/>
              <w:jc w:val="right"/>
              <w:rPr>
                <w:sz w:val="18"/>
              </w:rPr>
            </w:pPr>
            <w:r w:rsidRPr="00221BBA">
              <w:rPr>
                <w:sz w:val="18"/>
              </w:rPr>
              <w:t>2,146</w:t>
            </w:r>
          </w:p>
        </w:tc>
        <w:tc>
          <w:tcPr>
            <w:tcW w:w="1010" w:type="pct"/>
            <w:shd w:val="clear" w:color="auto" w:fill="auto"/>
            <w:noWrap/>
            <w:vAlign w:val="bottom"/>
          </w:tcPr>
          <w:p w:rsidR="005279C7" w:rsidRPr="00221BBA" w:rsidRDefault="005279C7" w:rsidP="00C64E02">
            <w:pPr>
              <w:suppressAutoHyphens w:val="0"/>
              <w:spacing w:before="40" w:after="40" w:line="220" w:lineRule="exact"/>
              <w:jc w:val="right"/>
              <w:rPr>
                <w:sz w:val="18"/>
              </w:rPr>
            </w:pPr>
            <w:r w:rsidRPr="00221BBA">
              <w:rPr>
                <w:sz w:val="18"/>
              </w:rPr>
              <w:t>6,395</w:t>
            </w:r>
          </w:p>
        </w:tc>
        <w:tc>
          <w:tcPr>
            <w:tcW w:w="1730" w:type="pct"/>
            <w:shd w:val="clear" w:color="auto" w:fill="auto"/>
            <w:vAlign w:val="bottom"/>
          </w:tcPr>
          <w:p w:rsidR="005279C7" w:rsidRPr="00221BBA" w:rsidRDefault="005279C7" w:rsidP="00C64E02">
            <w:pPr>
              <w:suppressAutoHyphens w:val="0"/>
              <w:spacing w:before="40" w:after="40" w:line="220" w:lineRule="exact"/>
              <w:jc w:val="right"/>
              <w:rPr>
                <w:sz w:val="18"/>
              </w:rPr>
            </w:pPr>
          </w:p>
        </w:tc>
      </w:tr>
      <w:tr w:rsidR="00492324" w:rsidRPr="00221BBA" w:rsidTr="005E6839">
        <w:tblPrEx>
          <w:tblBorders>
            <w:top w:val="none" w:sz="0" w:space="0" w:color="auto"/>
            <w:bottom w:val="none" w:sz="0" w:space="0" w:color="auto"/>
          </w:tblBorders>
        </w:tblPrEx>
        <w:tc>
          <w:tcPr>
            <w:tcW w:w="1250" w:type="pct"/>
            <w:shd w:val="clear" w:color="auto" w:fill="auto"/>
            <w:noWrap/>
            <w:hideMark/>
          </w:tcPr>
          <w:p w:rsidR="005279C7" w:rsidRPr="00221BBA" w:rsidRDefault="005279C7" w:rsidP="00C64E02">
            <w:pPr>
              <w:suppressAutoHyphens w:val="0"/>
              <w:spacing w:before="40" w:after="40" w:line="220" w:lineRule="exact"/>
              <w:rPr>
                <w:sz w:val="18"/>
              </w:rPr>
            </w:pPr>
            <w:r w:rsidRPr="00221BBA">
              <w:rPr>
                <w:sz w:val="18"/>
              </w:rPr>
              <w:t>Estonie</w:t>
            </w:r>
          </w:p>
        </w:tc>
        <w:tc>
          <w:tcPr>
            <w:tcW w:w="1010" w:type="pct"/>
            <w:shd w:val="clear" w:color="auto" w:fill="auto"/>
            <w:noWrap/>
            <w:vAlign w:val="bottom"/>
            <w:hideMark/>
          </w:tcPr>
          <w:p w:rsidR="005279C7" w:rsidRPr="00221BBA" w:rsidRDefault="005279C7" w:rsidP="00C64E02">
            <w:pPr>
              <w:suppressAutoHyphens w:val="0"/>
              <w:spacing w:before="40" w:after="40" w:line="220" w:lineRule="exact"/>
              <w:jc w:val="right"/>
              <w:rPr>
                <w:sz w:val="18"/>
              </w:rPr>
            </w:pPr>
            <w:r w:rsidRPr="00221BBA">
              <w:rPr>
                <w:sz w:val="18"/>
              </w:rPr>
              <w:t>0,039</w:t>
            </w:r>
          </w:p>
        </w:tc>
        <w:tc>
          <w:tcPr>
            <w:tcW w:w="1010" w:type="pct"/>
            <w:shd w:val="clear" w:color="auto" w:fill="auto"/>
            <w:noWrap/>
            <w:vAlign w:val="bottom"/>
          </w:tcPr>
          <w:p w:rsidR="005279C7" w:rsidRPr="00221BBA" w:rsidRDefault="005279C7" w:rsidP="00C64E02">
            <w:pPr>
              <w:suppressAutoHyphens w:val="0"/>
              <w:spacing w:before="40" w:after="40" w:line="220" w:lineRule="exact"/>
              <w:jc w:val="right"/>
              <w:rPr>
                <w:sz w:val="18"/>
              </w:rPr>
            </w:pPr>
            <w:r w:rsidRPr="00221BBA">
              <w:rPr>
                <w:sz w:val="18"/>
              </w:rPr>
              <w:t>0,116</w:t>
            </w:r>
          </w:p>
        </w:tc>
        <w:tc>
          <w:tcPr>
            <w:tcW w:w="1730" w:type="pct"/>
            <w:shd w:val="clear" w:color="auto" w:fill="auto"/>
            <w:vAlign w:val="bottom"/>
          </w:tcPr>
          <w:p w:rsidR="005279C7" w:rsidRPr="00221BBA" w:rsidRDefault="005279C7" w:rsidP="00C64E02">
            <w:pPr>
              <w:suppressAutoHyphens w:val="0"/>
              <w:spacing w:before="40" w:after="40" w:line="220" w:lineRule="exact"/>
              <w:jc w:val="right"/>
              <w:rPr>
                <w:sz w:val="18"/>
              </w:rPr>
            </w:pPr>
          </w:p>
        </w:tc>
      </w:tr>
      <w:tr w:rsidR="00492324" w:rsidRPr="00221BBA" w:rsidTr="005E6839">
        <w:tblPrEx>
          <w:tblBorders>
            <w:top w:val="none" w:sz="0" w:space="0" w:color="auto"/>
            <w:bottom w:val="none" w:sz="0" w:space="0" w:color="auto"/>
          </w:tblBorders>
        </w:tblPrEx>
        <w:tc>
          <w:tcPr>
            <w:tcW w:w="1250" w:type="pct"/>
            <w:shd w:val="clear" w:color="auto" w:fill="auto"/>
            <w:noWrap/>
            <w:hideMark/>
          </w:tcPr>
          <w:p w:rsidR="005279C7" w:rsidRPr="00221BBA" w:rsidRDefault="005279C7" w:rsidP="00C64E02">
            <w:pPr>
              <w:suppressAutoHyphens w:val="0"/>
              <w:spacing w:before="40" w:after="40" w:line="220" w:lineRule="exact"/>
              <w:rPr>
                <w:sz w:val="18"/>
              </w:rPr>
            </w:pPr>
            <w:r w:rsidRPr="00221BBA">
              <w:rPr>
                <w:sz w:val="18"/>
              </w:rPr>
              <w:t>Finlande</w:t>
            </w:r>
          </w:p>
        </w:tc>
        <w:tc>
          <w:tcPr>
            <w:tcW w:w="1010" w:type="pct"/>
            <w:shd w:val="clear" w:color="auto" w:fill="auto"/>
            <w:noWrap/>
            <w:vAlign w:val="bottom"/>
            <w:hideMark/>
          </w:tcPr>
          <w:p w:rsidR="005279C7" w:rsidRPr="00221BBA" w:rsidRDefault="005279C7" w:rsidP="00C64E02">
            <w:pPr>
              <w:suppressAutoHyphens w:val="0"/>
              <w:spacing w:before="40" w:after="40" w:line="220" w:lineRule="exact"/>
              <w:jc w:val="right"/>
              <w:rPr>
                <w:sz w:val="18"/>
              </w:rPr>
            </w:pPr>
            <w:r w:rsidRPr="00221BBA">
              <w:rPr>
                <w:sz w:val="18"/>
              </w:rPr>
              <w:t>0,421</w:t>
            </w:r>
          </w:p>
        </w:tc>
        <w:tc>
          <w:tcPr>
            <w:tcW w:w="1010" w:type="pct"/>
            <w:shd w:val="clear" w:color="auto" w:fill="auto"/>
            <w:noWrap/>
            <w:vAlign w:val="bottom"/>
          </w:tcPr>
          <w:p w:rsidR="005279C7" w:rsidRPr="00221BBA" w:rsidRDefault="005279C7" w:rsidP="00C64E02">
            <w:pPr>
              <w:suppressAutoHyphens w:val="0"/>
              <w:spacing w:before="40" w:after="40" w:line="220" w:lineRule="exact"/>
              <w:jc w:val="right"/>
              <w:rPr>
                <w:sz w:val="18"/>
              </w:rPr>
            </w:pPr>
            <w:r w:rsidRPr="00221BBA">
              <w:rPr>
                <w:sz w:val="18"/>
              </w:rPr>
              <w:t>1,255</w:t>
            </w:r>
          </w:p>
        </w:tc>
        <w:tc>
          <w:tcPr>
            <w:tcW w:w="1730" w:type="pct"/>
            <w:shd w:val="clear" w:color="auto" w:fill="auto"/>
            <w:vAlign w:val="bottom"/>
          </w:tcPr>
          <w:p w:rsidR="005279C7" w:rsidRPr="00221BBA" w:rsidRDefault="005279C7" w:rsidP="00C64E02">
            <w:pPr>
              <w:suppressAutoHyphens w:val="0"/>
              <w:spacing w:before="40" w:after="40" w:line="220" w:lineRule="exact"/>
              <w:jc w:val="right"/>
              <w:rPr>
                <w:sz w:val="18"/>
              </w:rPr>
            </w:pPr>
          </w:p>
        </w:tc>
      </w:tr>
      <w:tr w:rsidR="00492324" w:rsidRPr="00221BBA" w:rsidTr="005E6839">
        <w:tblPrEx>
          <w:tblBorders>
            <w:top w:val="none" w:sz="0" w:space="0" w:color="auto"/>
            <w:bottom w:val="none" w:sz="0" w:space="0" w:color="auto"/>
          </w:tblBorders>
        </w:tblPrEx>
        <w:tc>
          <w:tcPr>
            <w:tcW w:w="1250" w:type="pct"/>
            <w:shd w:val="clear" w:color="auto" w:fill="auto"/>
            <w:noWrap/>
            <w:hideMark/>
          </w:tcPr>
          <w:p w:rsidR="005279C7" w:rsidRPr="00221BBA" w:rsidRDefault="005279C7" w:rsidP="00C64E02">
            <w:pPr>
              <w:suppressAutoHyphens w:val="0"/>
              <w:spacing w:before="40" w:after="40" w:line="220" w:lineRule="exact"/>
              <w:rPr>
                <w:sz w:val="18"/>
              </w:rPr>
            </w:pPr>
            <w:r w:rsidRPr="00221BBA">
              <w:rPr>
                <w:sz w:val="18"/>
              </w:rPr>
              <w:t>France</w:t>
            </w:r>
          </w:p>
        </w:tc>
        <w:tc>
          <w:tcPr>
            <w:tcW w:w="1010" w:type="pct"/>
            <w:shd w:val="clear" w:color="auto" w:fill="auto"/>
            <w:noWrap/>
            <w:vAlign w:val="bottom"/>
            <w:hideMark/>
          </w:tcPr>
          <w:p w:rsidR="005279C7" w:rsidRPr="00221BBA" w:rsidRDefault="005279C7" w:rsidP="00C64E02">
            <w:pPr>
              <w:suppressAutoHyphens w:val="0"/>
              <w:spacing w:before="40" w:after="40" w:line="220" w:lineRule="exact"/>
              <w:jc w:val="right"/>
              <w:rPr>
                <w:sz w:val="18"/>
              </w:rPr>
            </w:pPr>
            <w:r w:rsidRPr="00221BBA">
              <w:rPr>
                <w:sz w:val="18"/>
              </w:rPr>
              <w:t>4,427</w:t>
            </w:r>
          </w:p>
        </w:tc>
        <w:tc>
          <w:tcPr>
            <w:tcW w:w="1010" w:type="pct"/>
            <w:shd w:val="clear" w:color="auto" w:fill="auto"/>
            <w:noWrap/>
            <w:vAlign w:val="bottom"/>
          </w:tcPr>
          <w:p w:rsidR="005279C7" w:rsidRPr="00221BBA" w:rsidRDefault="005279C7" w:rsidP="00C64E02">
            <w:pPr>
              <w:suppressAutoHyphens w:val="0"/>
              <w:spacing w:before="40" w:after="40" w:line="220" w:lineRule="exact"/>
              <w:jc w:val="right"/>
              <w:rPr>
                <w:sz w:val="18"/>
              </w:rPr>
            </w:pPr>
            <w:r w:rsidRPr="00221BBA">
              <w:rPr>
                <w:sz w:val="18"/>
              </w:rPr>
              <w:t>13,192</w:t>
            </w:r>
          </w:p>
        </w:tc>
        <w:tc>
          <w:tcPr>
            <w:tcW w:w="1730" w:type="pct"/>
            <w:shd w:val="clear" w:color="auto" w:fill="auto"/>
            <w:vAlign w:val="bottom"/>
          </w:tcPr>
          <w:p w:rsidR="005279C7" w:rsidRPr="00221BBA" w:rsidRDefault="005279C7" w:rsidP="00C64E02">
            <w:pPr>
              <w:suppressAutoHyphens w:val="0"/>
              <w:spacing w:before="40" w:after="40" w:line="220" w:lineRule="exact"/>
              <w:jc w:val="right"/>
              <w:rPr>
                <w:sz w:val="18"/>
              </w:rPr>
            </w:pPr>
          </w:p>
        </w:tc>
      </w:tr>
      <w:tr w:rsidR="00492324" w:rsidRPr="00221BBA" w:rsidTr="005E6839">
        <w:tblPrEx>
          <w:tblBorders>
            <w:top w:val="none" w:sz="0" w:space="0" w:color="auto"/>
            <w:bottom w:val="none" w:sz="0" w:space="0" w:color="auto"/>
          </w:tblBorders>
        </w:tblPrEx>
        <w:tc>
          <w:tcPr>
            <w:tcW w:w="1250" w:type="pct"/>
            <w:shd w:val="clear" w:color="auto" w:fill="auto"/>
            <w:noWrap/>
            <w:hideMark/>
          </w:tcPr>
          <w:p w:rsidR="005279C7" w:rsidRPr="00221BBA" w:rsidRDefault="005279C7" w:rsidP="00C64E02">
            <w:pPr>
              <w:suppressAutoHyphens w:val="0"/>
              <w:spacing w:before="40" w:after="40" w:line="220" w:lineRule="exact"/>
              <w:rPr>
                <w:sz w:val="18"/>
              </w:rPr>
            </w:pPr>
            <w:r w:rsidRPr="00221BBA">
              <w:rPr>
                <w:sz w:val="18"/>
              </w:rPr>
              <w:t>Grèce</w:t>
            </w:r>
          </w:p>
        </w:tc>
        <w:tc>
          <w:tcPr>
            <w:tcW w:w="1010" w:type="pct"/>
            <w:shd w:val="clear" w:color="auto" w:fill="auto"/>
            <w:noWrap/>
            <w:vAlign w:val="bottom"/>
            <w:hideMark/>
          </w:tcPr>
          <w:p w:rsidR="005279C7" w:rsidRPr="00221BBA" w:rsidRDefault="005279C7" w:rsidP="00C64E02">
            <w:pPr>
              <w:suppressAutoHyphens w:val="0"/>
              <w:spacing w:before="40" w:after="40" w:line="220" w:lineRule="exact"/>
              <w:jc w:val="right"/>
              <w:rPr>
                <w:sz w:val="18"/>
              </w:rPr>
            </w:pPr>
            <w:r w:rsidRPr="00221BBA">
              <w:rPr>
                <w:sz w:val="18"/>
              </w:rPr>
              <w:t>0,366</w:t>
            </w:r>
          </w:p>
        </w:tc>
        <w:tc>
          <w:tcPr>
            <w:tcW w:w="1010" w:type="pct"/>
            <w:shd w:val="clear" w:color="auto" w:fill="auto"/>
            <w:noWrap/>
            <w:vAlign w:val="bottom"/>
          </w:tcPr>
          <w:p w:rsidR="005279C7" w:rsidRPr="00221BBA" w:rsidRDefault="005279C7" w:rsidP="00C64E02">
            <w:pPr>
              <w:suppressAutoHyphens w:val="0"/>
              <w:spacing w:before="40" w:after="40" w:line="220" w:lineRule="exact"/>
              <w:jc w:val="right"/>
              <w:rPr>
                <w:sz w:val="18"/>
              </w:rPr>
            </w:pPr>
            <w:r w:rsidRPr="00221BBA">
              <w:rPr>
                <w:sz w:val="18"/>
              </w:rPr>
              <w:t>1,091</w:t>
            </w:r>
          </w:p>
        </w:tc>
        <w:tc>
          <w:tcPr>
            <w:tcW w:w="1730" w:type="pct"/>
            <w:shd w:val="clear" w:color="auto" w:fill="auto"/>
            <w:vAlign w:val="bottom"/>
          </w:tcPr>
          <w:p w:rsidR="005279C7" w:rsidRPr="00221BBA" w:rsidRDefault="005279C7" w:rsidP="00C64E02">
            <w:pPr>
              <w:suppressAutoHyphens w:val="0"/>
              <w:spacing w:before="40" w:after="40" w:line="220" w:lineRule="exact"/>
              <w:jc w:val="right"/>
              <w:rPr>
                <w:sz w:val="18"/>
              </w:rPr>
            </w:pPr>
          </w:p>
        </w:tc>
      </w:tr>
      <w:tr w:rsidR="00492324" w:rsidRPr="00221BBA" w:rsidTr="005E6839">
        <w:tblPrEx>
          <w:tblBorders>
            <w:top w:val="none" w:sz="0" w:space="0" w:color="auto"/>
            <w:bottom w:val="none" w:sz="0" w:space="0" w:color="auto"/>
          </w:tblBorders>
        </w:tblPrEx>
        <w:tc>
          <w:tcPr>
            <w:tcW w:w="1250" w:type="pct"/>
            <w:shd w:val="clear" w:color="auto" w:fill="auto"/>
            <w:noWrap/>
            <w:hideMark/>
          </w:tcPr>
          <w:p w:rsidR="005279C7" w:rsidRPr="00221BBA" w:rsidRDefault="005279C7" w:rsidP="00C64E02">
            <w:pPr>
              <w:suppressAutoHyphens w:val="0"/>
              <w:spacing w:before="40" w:after="40" w:line="220" w:lineRule="exact"/>
              <w:rPr>
                <w:sz w:val="18"/>
              </w:rPr>
            </w:pPr>
            <w:r w:rsidRPr="00221BBA">
              <w:rPr>
                <w:sz w:val="18"/>
              </w:rPr>
              <w:t>Hongrie</w:t>
            </w:r>
          </w:p>
        </w:tc>
        <w:tc>
          <w:tcPr>
            <w:tcW w:w="1010" w:type="pct"/>
            <w:shd w:val="clear" w:color="auto" w:fill="auto"/>
            <w:noWrap/>
            <w:vAlign w:val="bottom"/>
            <w:hideMark/>
          </w:tcPr>
          <w:p w:rsidR="005279C7" w:rsidRPr="00221BBA" w:rsidRDefault="005279C7" w:rsidP="00C64E02">
            <w:pPr>
              <w:suppressAutoHyphens w:val="0"/>
              <w:spacing w:before="40" w:after="40" w:line="220" w:lineRule="exact"/>
              <w:jc w:val="right"/>
              <w:rPr>
                <w:sz w:val="18"/>
              </w:rPr>
            </w:pPr>
            <w:r w:rsidRPr="00221BBA">
              <w:rPr>
                <w:sz w:val="18"/>
              </w:rPr>
              <w:t>0,206</w:t>
            </w:r>
          </w:p>
        </w:tc>
        <w:tc>
          <w:tcPr>
            <w:tcW w:w="1010" w:type="pct"/>
            <w:shd w:val="clear" w:color="auto" w:fill="auto"/>
            <w:noWrap/>
            <w:vAlign w:val="bottom"/>
          </w:tcPr>
          <w:p w:rsidR="005279C7" w:rsidRPr="00221BBA" w:rsidRDefault="005279C7" w:rsidP="00C64E02">
            <w:pPr>
              <w:suppressAutoHyphens w:val="0"/>
              <w:spacing w:before="40" w:after="40" w:line="220" w:lineRule="exact"/>
              <w:jc w:val="right"/>
              <w:rPr>
                <w:sz w:val="18"/>
              </w:rPr>
            </w:pPr>
            <w:r w:rsidRPr="00221BBA">
              <w:rPr>
                <w:sz w:val="18"/>
              </w:rPr>
              <w:t>0,614</w:t>
            </w:r>
          </w:p>
        </w:tc>
        <w:tc>
          <w:tcPr>
            <w:tcW w:w="1730" w:type="pct"/>
            <w:shd w:val="clear" w:color="auto" w:fill="auto"/>
            <w:vAlign w:val="bottom"/>
          </w:tcPr>
          <w:p w:rsidR="005279C7" w:rsidRPr="00221BBA" w:rsidRDefault="005279C7" w:rsidP="00C64E02">
            <w:pPr>
              <w:suppressAutoHyphens w:val="0"/>
              <w:spacing w:before="40" w:after="40" w:line="220" w:lineRule="exact"/>
              <w:jc w:val="right"/>
              <w:rPr>
                <w:sz w:val="18"/>
              </w:rPr>
            </w:pPr>
          </w:p>
        </w:tc>
      </w:tr>
      <w:tr w:rsidR="00492324" w:rsidRPr="00221BBA" w:rsidTr="005E6839">
        <w:tblPrEx>
          <w:tblBorders>
            <w:top w:val="none" w:sz="0" w:space="0" w:color="auto"/>
            <w:bottom w:val="none" w:sz="0" w:space="0" w:color="auto"/>
          </w:tblBorders>
        </w:tblPrEx>
        <w:tc>
          <w:tcPr>
            <w:tcW w:w="1250" w:type="pct"/>
            <w:shd w:val="clear" w:color="auto" w:fill="auto"/>
            <w:noWrap/>
            <w:hideMark/>
          </w:tcPr>
          <w:p w:rsidR="005279C7" w:rsidRPr="00221BBA" w:rsidRDefault="005279C7" w:rsidP="00C64E02">
            <w:pPr>
              <w:suppressAutoHyphens w:val="0"/>
              <w:spacing w:before="40" w:after="40" w:line="220" w:lineRule="exact"/>
              <w:rPr>
                <w:sz w:val="18"/>
              </w:rPr>
            </w:pPr>
            <w:r w:rsidRPr="00221BBA">
              <w:rPr>
                <w:sz w:val="18"/>
              </w:rPr>
              <w:t>Irlande</w:t>
            </w:r>
          </w:p>
        </w:tc>
        <w:tc>
          <w:tcPr>
            <w:tcW w:w="1010" w:type="pct"/>
            <w:shd w:val="clear" w:color="auto" w:fill="auto"/>
            <w:noWrap/>
            <w:vAlign w:val="bottom"/>
            <w:hideMark/>
          </w:tcPr>
          <w:p w:rsidR="005279C7" w:rsidRPr="00221BBA" w:rsidRDefault="005279C7" w:rsidP="00C64E02">
            <w:pPr>
              <w:suppressAutoHyphens w:val="0"/>
              <w:spacing w:before="40" w:after="40" w:line="220" w:lineRule="exact"/>
              <w:jc w:val="right"/>
              <w:rPr>
                <w:sz w:val="18"/>
              </w:rPr>
            </w:pPr>
            <w:r w:rsidRPr="00221BBA">
              <w:rPr>
                <w:sz w:val="18"/>
              </w:rPr>
              <w:t>0,371</w:t>
            </w:r>
          </w:p>
        </w:tc>
        <w:tc>
          <w:tcPr>
            <w:tcW w:w="1010" w:type="pct"/>
            <w:shd w:val="clear" w:color="auto" w:fill="auto"/>
            <w:noWrap/>
            <w:vAlign w:val="bottom"/>
          </w:tcPr>
          <w:p w:rsidR="005279C7" w:rsidRPr="00221BBA" w:rsidRDefault="005279C7" w:rsidP="00C64E02">
            <w:pPr>
              <w:suppressAutoHyphens w:val="0"/>
              <w:spacing w:before="40" w:after="40" w:line="220" w:lineRule="exact"/>
              <w:jc w:val="right"/>
              <w:rPr>
                <w:sz w:val="18"/>
              </w:rPr>
            </w:pPr>
            <w:r w:rsidRPr="00221BBA">
              <w:rPr>
                <w:sz w:val="18"/>
              </w:rPr>
              <w:t>1,106</w:t>
            </w:r>
          </w:p>
        </w:tc>
        <w:tc>
          <w:tcPr>
            <w:tcW w:w="1730" w:type="pct"/>
            <w:shd w:val="clear" w:color="auto" w:fill="auto"/>
            <w:vAlign w:val="bottom"/>
          </w:tcPr>
          <w:p w:rsidR="005279C7" w:rsidRPr="00221BBA" w:rsidRDefault="005279C7" w:rsidP="00C64E02">
            <w:pPr>
              <w:suppressAutoHyphens w:val="0"/>
              <w:spacing w:before="40" w:after="40" w:line="220" w:lineRule="exact"/>
              <w:jc w:val="right"/>
              <w:rPr>
                <w:sz w:val="18"/>
              </w:rPr>
            </w:pPr>
          </w:p>
        </w:tc>
      </w:tr>
      <w:tr w:rsidR="00492324" w:rsidRPr="00221BBA" w:rsidTr="005E6839">
        <w:tblPrEx>
          <w:tblBorders>
            <w:top w:val="none" w:sz="0" w:space="0" w:color="auto"/>
            <w:bottom w:val="none" w:sz="0" w:space="0" w:color="auto"/>
          </w:tblBorders>
        </w:tblPrEx>
        <w:tc>
          <w:tcPr>
            <w:tcW w:w="1250" w:type="pct"/>
            <w:shd w:val="clear" w:color="auto" w:fill="auto"/>
            <w:noWrap/>
          </w:tcPr>
          <w:p w:rsidR="005279C7" w:rsidRPr="00221BBA" w:rsidRDefault="005279C7" w:rsidP="00C64E02">
            <w:pPr>
              <w:suppressAutoHyphens w:val="0"/>
              <w:spacing w:before="40" w:after="40" w:line="220" w:lineRule="exact"/>
              <w:rPr>
                <w:sz w:val="18"/>
              </w:rPr>
            </w:pPr>
            <w:r w:rsidRPr="00221BBA">
              <w:rPr>
                <w:sz w:val="18"/>
              </w:rPr>
              <w:t>Italie</w:t>
            </w:r>
          </w:p>
        </w:tc>
        <w:tc>
          <w:tcPr>
            <w:tcW w:w="1010" w:type="pct"/>
            <w:shd w:val="clear" w:color="auto" w:fill="auto"/>
            <w:noWrap/>
            <w:vAlign w:val="bottom"/>
          </w:tcPr>
          <w:p w:rsidR="005279C7" w:rsidRPr="00221BBA" w:rsidRDefault="005279C7" w:rsidP="00C64E02">
            <w:pPr>
              <w:suppressAutoHyphens w:val="0"/>
              <w:spacing w:before="40" w:after="40" w:line="220" w:lineRule="exact"/>
              <w:jc w:val="right"/>
              <w:rPr>
                <w:sz w:val="18"/>
              </w:rPr>
            </w:pPr>
            <w:r w:rsidRPr="00221BBA">
              <w:rPr>
                <w:sz w:val="18"/>
              </w:rPr>
              <w:t>3,307</w:t>
            </w:r>
          </w:p>
        </w:tc>
        <w:tc>
          <w:tcPr>
            <w:tcW w:w="1010" w:type="pct"/>
            <w:shd w:val="clear" w:color="auto" w:fill="auto"/>
            <w:noWrap/>
            <w:vAlign w:val="bottom"/>
          </w:tcPr>
          <w:p w:rsidR="005279C7" w:rsidRPr="00221BBA" w:rsidRDefault="005279C7" w:rsidP="00C64E02">
            <w:pPr>
              <w:suppressAutoHyphens w:val="0"/>
              <w:spacing w:before="40" w:after="40" w:line="220" w:lineRule="exact"/>
              <w:jc w:val="right"/>
              <w:rPr>
                <w:sz w:val="18"/>
              </w:rPr>
            </w:pPr>
            <w:r w:rsidRPr="00221BBA">
              <w:rPr>
                <w:sz w:val="18"/>
              </w:rPr>
              <w:t>9,855</w:t>
            </w:r>
          </w:p>
        </w:tc>
        <w:tc>
          <w:tcPr>
            <w:tcW w:w="1730" w:type="pct"/>
            <w:shd w:val="clear" w:color="auto" w:fill="auto"/>
            <w:vAlign w:val="bottom"/>
          </w:tcPr>
          <w:p w:rsidR="005279C7" w:rsidRPr="00221BBA" w:rsidRDefault="005279C7" w:rsidP="00C64E02">
            <w:pPr>
              <w:suppressAutoHyphens w:val="0"/>
              <w:spacing w:before="40" w:after="40" w:line="220" w:lineRule="exact"/>
              <w:jc w:val="right"/>
              <w:rPr>
                <w:sz w:val="18"/>
              </w:rPr>
            </w:pPr>
          </w:p>
        </w:tc>
      </w:tr>
      <w:tr w:rsidR="00492324" w:rsidRPr="00221BBA" w:rsidTr="005E6839">
        <w:tblPrEx>
          <w:tblBorders>
            <w:top w:val="none" w:sz="0" w:space="0" w:color="auto"/>
            <w:bottom w:val="none" w:sz="0" w:space="0" w:color="auto"/>
          </w:tblBorders>
        </w:tblPrEx>
        <w:tc>
          <w:tcPr>
            <w:tcW w:w="1250" w:type="pct"/>
            <w:shd w:val="clear" w:color="auto" w:fill="auto"/>
            <w:noWrap/>
          </w:tcPr>
          <w:p w:rsidR="005279C7" w:rsidRPr="00221BBA" w:rsidRDefault="005279C7" w:rsidP="00C64E02">
            <w:pPr>
              <w:suppressAutoHyphens w:val="0"/>
              <w:spacing w:before="40" w:after="40" w:line="220" w:lineRule="exact"/>
              <w:rPr>
                <w:sz w:val="18"/>
              </w:rPr>
            </w:pPr>
            <w:r w:rsidRPr="00221BBA">
              <w:rPr>
                <w:sz w:val="18"/>
              </w:rPr>
              <w:t>Kazakhstan</w:t>
            </w:r>
          </w:p>
        </w:tc>
        <w:tc>
          <w:tcPr>
            <w:tcW w:w="1010" w:type="pct"/>
            <w:shd w:val="clear" w:color="auto" w:fill="auto"/>
            <w:noWrap/>
            <w:vAlign w:val="bottom"/>
          </w:tcPr>
          <w:p w:rsidR="005279C7" w:rsidRPr="00221BBA" w:rsidRDefault="005279C7" w:rsidP="00C64E02">
            <w:pPr>
              <w:suppressAutoHyphens w:val="0"/>
              <w:spacing w:before="40" w:after="40" w:line="220" w:lineRule="exact"/>
              <w:jc w:val="right"/>
              <w:rPr>
                <w:sz w:val="18"/>
              </w:rPr>
            </w:pPr>
            <w:r w:rsidRPr="00221BBA">
              <w:rPr>
                <w:sz w:val="18"/>
              </w:rPr>
              <w:t>0,178</w:t>
            </w:r>
          </w:p>
        </w:tc>
        <w:tc>
          <w:tcPr>
            <w:tcW w:w="1010" w:type="pct"/>
            <w:shd w:val="clear" w:color="auto" w:fill="auto"/>
            <w:noWrap/>
            <w:vAlign w:val="bottom"/>
          </w:tcPr>
          <w:p w:rsidR="005279C7" w:rsidRPr="00221BBA" w:rsidRDefault="005279C7" w:rsidP="00C64E02">
            <w:pPr>
              <w:suppressAutoHyphens w:val="0"/>
              <w:spacing w:before="40" w:after="40" w:line="220" w:lineRule="exact"/>
              <w:jc w:val="right"/>
              <w:rPr>
                <w:sz w:val="18"/>
              </w:rPr>
            </w:pPr>
            <w:r w:rsidRPr="00221BBA">
              <w:rPr>
                <w:sz w:val="18"/>
              </w:rPr>
              <w:t>0,530</w:t>
            </w:r>
          </w:p>
        </w:tc>
        <w:tc>
          <w:tcPr>
            <w:tcW w:w="1730" w:type="pct"/>
            <w:shd w:val="clear" w:color="auto" w:fill="auto"/>
            <w:vAlign w:val="bottom"/>
          </w:tcPr>
          <w:p w:rsidR="005279C7" w:rsidRPr="00221BBA" w:rsidRDefault="005279C7" w:rsidP="00C64E02">
            <w:pPr>
              <w:suppressAutoHyphens w:val="0"/>
              <w:spacing w:before="40" w:after="40" w:line="220" w:lineRule="exact"/>
              <w:jc w:val="right"/>
              <w:rPr>
                <w:sz w:val="18"/>
              </w:rPr>
            </w:pPr>
          </w:p>
        </w:tc>
      </w:tr>
      <w:tr w:rsidR="00492324" w:rsidRPr="00221BBA" w:rsidTr="005E6839">
        <w:tblPrEx>
          <w:tblBorders>
            <w:top w:val="none" w:sz="0" w:space="0" w:color="auto"/>
            <w:bottom w:val="none" w:sz="0" w:space="0" w:color="auto"/>
          </w:tblBorders>
        </w:tblPrEx>
        <w:tc>
          <w:tcPr>
            <w:tcW w:w="1250" w:type="pct"/>
            <w:shd w:val="clear" w:color="auto" w:fill="auto"/>
            <w:noWrap/>
          </w:tcPr>
          <w:p w:rsidR="005279C7" w:rsidRPr="00221BBA" w:rsidRDefault="005279C7" w:rsidP="00C64E02">
            <w:pPr>
              <w:suppressAutoHyphens w:val="0"/>
              <w:spacing w:before="40" w:after="40" w:line="220" w:lineRule="exact"/>
              <w:rPr>
                <w:sz w:val="18"/>
              </w:rPr>
            </w:pPr>
            <w:r w:rsidRPr="00221BBA">
              <w:rPr>
                <w:sz w:val="18"/>
              </w:rPr>
              <w:t>Kirghizistan</w:t>
            </w:r>
          </w:p>
        </w:tc>
        <w:tc>
          <w:tcPr>
            <w:tcW w:w="1010" w:type="pct"/>
            <w:shd w:val="clear" w:color="auto" w:fill="auto"/>
            <w:noWrap/>
            <w:vAlign w:val="bottom"/>
          </w:tcPr>
          <w:p w:rsidR="005279C7" w:rsidRPr="00221BBA" w:rsidRDefault="005279C7" w:rsidP="00C64E02">
            <w:pPr>
              <w:suppressAutoHyphens w:val="0"/>
              <w:spacing w:before="40" w:after="40" w:line="220" w:lineRule="exact"/>
              <w:jc w:val="right"/>
              <w:rPr>
                <w:sz w:val="18"/>
              </w:rPr>
            </w:pPr>
            <w:r w:rsidRPr="00221BBA">
              <w:rPr>
                <w:sz w:val="18"/>
              </w:rPr>
              <w:t>0,002</w:t>
            </w:r>
          </w:p>
        </w:tc>
        <w:tc>
          <w:tcPr>
            <w:tcW w:w="1010" w:type="pct"/>
            <w:shd w:val="clear" w:color="auto" w:fill="auto"/>
            <w:noWrap/>
            <w:vAlign w:val="bottom"/>
          </w:tcPr>
          <w:p w:rsidR="005279C7" w:rsidRPr="00221BBA" w:rsidRDefault="005279C7" w:rsidP="00C64E02">
            <w:pPr>
              <w:suppressAutoHyphens w:val="0"/>
              <w:spacing w:before="40" w:after="40" w:line="220" w:lineRule="exact"/>
              <w:jc w:val="right"/>
              <w:rPr>
                <w:sz w:val="18"/>
              </w:rPr>
            </w:pPr>
            <w:r w:rsidRPr="00221BBA">
              <w:rPr>
                <w:sz w:val="18"/>
              </w:rPr>
              <w:t>0,006</w:t>
            </w:r>
          </w:p>
        </w:tc>
        <w:tc>
          <w:tcPr>
            <w:tcW w:w="1730" w:type="pct"/>
            <w:shd w:val="clear" w:color="auto" w:fill="auto"/>
            <w:vAlign w:val="bottom"/>
          </w:tcPr>
          <w:p w:rsidR="005279C7" w:rsidRPr="00221BBA" w:rsidRDefault="005279C7" w:rsidP="00C64E02">
            <w:pPr>
              <w:suppressAutoHyphens w:val="0"/>
              <w:spacing w:before="40" w:after="40" w:line="220" w:lineRule="exact"/>
              <w:jc w:val="right"/>
              <w:rPr>
                <w:sz w:val="18"/>
              </w:rPr>
            </w:pPr>
          </w:p>
        </w:tc>
      </w:tr>
      <w:tr w:rsidR="00492324" w:rsidRPr="00221BBA" w:rsidTr="005E6839">
        <w:tblPrEx>
          <w:tblBorders>
            <w:top w:val="none" w:sz="0" w:space="0" w:color="auto"/>
            <w:bottom w:val="none" w:sz="0" w:space="0" w:color="auto"/>
          </w:tblBorders>
        </w:tblPrEx>
        <w:tc>
          <w:tcPr>
            <w:tcW w:w="1250" w:type="pct"/>
            <w:shd w:val="clear" w:color="auto" w:fill="auto"/>
            <w:noWrap/>
            <w:hideMark/>
          </w:tcPr>
          <w:p w:rsidR="005279C7" w:rsidRPr="00221BBA" w:rsidRDefault="005279C7" w:rsidP="00C64E02">
            <w:pPr>
              <w:suppressAutoHyphens w:val="0"/>
              <w:spacing w:before="40" w:after="40" w:line="220" w:lineRule="exact"/>
              <w:rPr>
                <w:sz w:val="18"/>
              </w:rPr>
            </w:pPr>
            <w:r w:rsidRPr="00221BBA">
              <w:rPr>
                <w:sz w:val="18"/>
              </w:rPr>
              <w:t>Lettonie</w:t>
            </w:r>
          </w:p>
        </w:tc>
        <w:tc>
          <w:tcPr>
            <w:tcW w:w="1010" w:type="pct"/>
            <w:shd w:val="clear" w:color="auto" w:fill="auto"/>
            <w:noWrap/>
            <w:vAlign w:val="bottom"/>
            <w:hideMark/>
          </w:tcPr>
          <w:p w:rsidR="005279C7" w:rsidRPr="00221BBA" w:rsidRDefault="005279C7" w:rsidP="00C64E02">
            <w:pPr>
              <w:suppressAutoHyphens w:val="0"/>
              <w:spacing w:before="40" w:after="40" w:line="220" w:lineRule="exact"/>
              <w:jc w:val="right"/>
              <w:rPr>
                <w:sz w:val="18"/>
              </w:rPr>
            </w:pPr>
            <w:r w:rsidRPr="00221BBA">
              <w:rPr>
                <w:sz w:val="18"/>
              </w:rPr>
              <w:t>0,047</w:t>
            </w:r>
          </w:p>
        </w:tc>
        <w:tc>
          <w:tcPr>
            <w:tcW w:w="1010" w:type="pct"/>
            <w:shd w:val="clear" w:color="auto" w:fill="auto"/>
            <w:noWrap/>
            <w:vAlign w:val="bottom"/>
          </w:tcPr>
          <w:p w:rsidR="005279C7" w:rsidRPr="00221BBA" w:rsidRDefault="005279C7" w:rsidP="00C64E02">
            <w:pPr>
              <w:suppressAutoHyphens w:val="0"/>
              <w:spacing w:before="40" w:after="40" w:line="220" w:lineRule="exact"/>
              <w:jc w:val="right"/>
              <w:rPr>
                <w:sz w:val="18"/>
              </w:rPr>
            </w:pPr>
            <w:r w:rsidRPr="00221BBA">
              <w:rPr>
                <w:sz w:val="18"/>
              </w:rPr>
              <w:t>0,140</w:t>
            </w:r>
          </w:p>
        </w:tc>
        <w:tc>
          <w:tcPr>
            <w:tcW w:w="1730" w:type="pct"/>
            <w:shd w:val="clear" w:color="auto" w:fill="auto"/>
            <w:vAlign w:val="bottom"/>
          </w:tcPr>
          <w:p w:rsidR="005279C7" w:rsidRPr="00221BBA" w:rsidRDefault="005279C7" w:rsidP="00C64E02">
            <w:pPr>
              <w:suppressAutoHyphens w:val="0"/>
              <w:spacing w:before="40" w:after="40" w:line="220" w:lineRule="exact"/>
              <w:jc w:val="right"/>
              <w:rPr>
                <w:sz w:val="18"/>
              </w:rPr>
            </w:pPr>
          </w:p>
        </w:tc>
      </w:tr>
      <w:tr w:rsidR="00492324" w:rsidRPr="00221BBA" w:rsidTr="005E6839">
        <w:tblPrEx>
          <w:tblBorders>
            <w:top w:val="none" w:sz="0" w:space="0" w:color="auto"/>
            <w:bottom w:val="none" w:sz="0" w:space="0" w:color="auto"/>
          </w:tblBorders>
        </w:tblPrEx>
        <w:tc>
          <w:tcPr>
            <w:tcW w:w="1250" w:type="pct"/>
            <w:shd w:val="clear" w:color="auto" w:fill="auto"/>
            <w:noWrap/>
          </w:tcPr>
          <w:p w:rsidR="005279C7" w:rsidRPr="00221BBA" w:rsidRDefault="005279C7" w:rsidP="00C64E02">
            <w:pPr>
              <w:suppressAutoHyphens w:val="0"/>
              <w:spacing w:before="40" w:after="40" w:line="220" w:lineRule="exact"/>
              <w:rPr>
                <w:sz w:val="18"/>
              </w:rPr>
            </w:pPr>
            <w:r w:rsidRPr="00221BBA">
              <w:rPr>
                <w:sz w:val="18"/>
              </w:rPr>
              <w:t>Liechtenstein</w:t>
            </w:r>
          </w:p>
        </w:tc>
        <w:tc>
          <w:tcPr>
            <w:tcW w:w="1010" w:type="pct"/>
            <w:shd w:val="clear" w:color="auto" w:fill="auto"/>
            <w:noWrap/>
            <w:vAlign w:val="bottom"/>
          </w:tcPr>
          <w:p w:rsidR="005279C7" w:rsidRPr="00221BBA" w:rsidRDefault="005279C7" w:rsidP="00C64E02">
            <w:pPr>
              <w:suppressAutoHyphens w:val="0"/>
              <w:spacing w:before="40" w:after="40" w:line="220" w:lineRule="exact"/>
              <w:jc w:val="right"/>
              <w:rPr>
                <w:sz w:val="18"/>
              </w:rPr>
            </w:pPr>
            <w:r w:rsidRPr="00221BBA">
              <w:rPr>
                <w:sz w:val="18"/>
              </w:rPr>
              <w:t>0,009</w:t>
            </w:r>
          </w:p>
        </w:tc>
        <w:tc>
          <w:tcPr>
            <w:tcW w:w="1010" w:type="pct"/>
            <w:shd w:val="clear" w:color="auto" w:fill="auto"/>
            <w:noWrap/>
            <w:vAlign w:val="bottom"/>
          </w:tcPr>
          <w:p w:rsidR="005279C7" w:rsidRPr="00221BBA" w:rsidRDefault="005279C7" w:rsidP="00C64E02">
            <w:pPr>
              <w:suppressAutoHyphens w:val="0"/>
              <w:spacing w:before="40" w:after="40" w:line="220" w:lineRule="exact"/>
              <w:jc w:val="right"/>
              <w:rPr>
                <w:sz w:val="18"/>
              </w:rPr>
            </w:pPr>
            <w:r w:rsidRPr="00221BBA">
              <w:rPr>
                <w:sz w:val="18"/>
              </w:rPr>
              <w:t>0,027</w:t>
            </w:r>
          </w:p>
        </w:tc>
        <w:tc>
          <w:tcPr>
            <w:tcW w:w="1730" w:type="pct"/>
            <w:shd w:val="clear" w:color="auto" w:fill="auto"/>
            <w:vAlign w:val="bottom"/>
          </w:tcPr>
          <w:p w:rsidR="005279C7" w:rsidRPr="00221BBA" w:rsidRDefault="005279C7" w:rsidP="00C64E02">
            <w:pPr>
              <w:suppressAutoHyphens w:val="0"/>
              <w:spacing w:before="40" w:after="40" w:line="220" w:lineRule="exact"/>
              <w:jc w:val="right"/>
              <w:rPr>
                <w:sz w:val="18"/>
              </w:rPr>
            </w:pPr>
          </w:p>
        </w:tc>
      </w:tr>
      <w:tr w:rsidR="00492324" w:rsidRPr="00221BBA" w:rsidTr="005E6839">
        <w:tblPrEx>
          <w:tblBorders>
            <w:top w:val="none" w:sz="0" w:space="0" w:color="auto"/>
            <w:bottom w:val="none" w:sz="0" w:space="0" w:color="auto"/>
          </w:tblBorders>
        </w:tblPrEx>
        <w:tc>
          <w:tcPr>
            <w:tcW w:w="1250" w:type="pct"/>
            <w:shd w:val="clear" w:color="auto" w:fill="auto"/>
            <w:noWrap/>
            <w:hideMark/>
          </w:tcPr>
          <w:p w:rsidR="005279C7" w:rsidRPr="00221BBA" w:rsidRDefault="005279C7" w:rsidP="00C64E02">
            <w:pPr>
              <w:suppressAutoHyphens w:val="0"/>
              <w:spacing w:before="40" w:after="40" w:line="220" w:lineRule="exact"/>
              <w:rPr>
                <w:sz w:val="18"/>
              </w:rPr>
            </w:pPr>
            <w:r w:rsidRPr="00221BBA">
              <w:rPr>
                <w:sz w:val="18"/>
              </w:rPr>
              <w:t>Lituanie</w:t>
            </w:r>
          </w:p>
        </w:tc>
        <w:tc>
          <w:tcPr>
            <w:tcW w:w="1010" w:type="pct"/>
            <w:shd w:val="clear" w:color="auto" w:fill="auto"/>
            <w:noWrap/>
            <w:vAlign w:val="bottom"/>
            <w:hideMark/>
          </w:tcPr>
          <w:p w:rsidR="005279C7" w:rsidRPr="00221BBA" w:rsidRDefault="005279C7" w:rsidP="00C64E02">
            <w:pPr>
              <w:suppressAutoHyphens w:val="0"/>
              <w:spacing w:before="40" w:after="40" w:line="220" w:lineRule="exact"/>
              <w:jc w:val="right"/>
              <w:rPr>
                <w:sz w:val="18"/>
              </w:rPr>
            </w:pPr>
            <w:r w:rsidRPr="00221BBA">
              <w:rPr>
                <w:sz w:val="18"/>
              </w:rPr>
              <w:t>0,071</w:t>
            </w:r>
          </w:p>
        </w:tc>
        <w:tc>
          <w:tcPr>
            <w:tcW w:w="1010" w:type="pct"/>
            <w:shd w:val="clear" w:color="auto" w:fill="auto"/>
            <w:noWrap/>
            <w:vAlign w:val="bottom"/>
          </w:tcPr>
          <w:p w:rsidR="005279C7" w:rsidRPr="00221BBA" w:rsidRDefault="005279C7" w:rsidP="00C64E02">
            <w:pPr>
              <w:suppressAutoHyphens w:val="0"/>
              <w:spacing w:before="40" w:after="40" w:line="220" w:lineRule="exact"/>
              <w:jc w:val="right"/>
              <w:rPr>
                <w:sz w:val="18"/>
              </w:rPr>
            </w:pPr>
            <w:r w:rsidRPr="00221BBA">
              <w:rPr>
                <w:sz w:val="18"/>
              </w:rPr>
              <w:t>0,212</w:t>
            </w:r>
          </w:p>
        </w:tc>
        <w:tc>
          <w:tcPr>
            <w:tcW w:w="1730" w:type="pct"/>
            <w:shd w:val="clear" w:color="auto" w:fill="auto"/>
            <w:vAlign w:val="bottom"/>
          </w:tcPr>
          <w:p w:rsidR="005279C7" w:rsidRPr="00221BBA" w:rsidRDefault="005279C7" w:rsidP="00C64E02">
            <w:pPr>
              <w:suppressAutoHyphens w:val="0"/>
              <w:spacing w:before="40" w:after="40" w:line="220" w:lineRule="exact"/>
              <w:jc w:val="right"/>
              <w:rPr>
                <w:sz w:val="18"/>
              </w:rPr>
            </w:pPr>
          </w:p>
        </w:tc>
      </w:tr>
      <w:tr w:rsidR="00492324" w:rsidRPr="00221BBA" w:rsidTr="005E6839">
        <w:tblPrEx>
          <w:tblBorders>
            <w:top w:val="none" w:sz="0" w:space="0" w:color="auto"/>
            <w:bottom w:val="none" w:sz="0" w:space="0" w:color="auto"/>
          </w:tblBorders>
        </w:tblPrEx>
        <w:tc>
          <w:tcPr>
            <w:tcW w:w="1250" w:type="pct"/>
            <w:shd w:val="clear" w:color="auto" w:fill="auto"/>
            <w:noWrap/>
            <w:hideMark/>
          </w:tcPr>
          <w:p w:rsidR="005279C7" w:rsidRPr="00221BBA" w:rsidRDefault="005279C7" w:rsidP="00C64E02">
            <w:pPr>
              <w:suppressAutoHyphens w:val="0"/>
              <w:spacing w:before="40" w:after="40" w:line="220" w:lineRule="exact"/>
              <w:rPr>
                <w:sz w:val="18"/>
              </w:rPr>
            </w:pPr>
            <w:r w:rsidRPr="00221BBA">
              <w:rPr>
                <w:sz w:val="18"/>
              </w:rPr>
              <w:t>Luxembourg</w:t>
            </w:r>
          </w:p>
        </w:tc>
        <w:tc>
          <w:tcPr>
            <w:tcW w:w="1010" w:type="pct"/>
            <w:shd w:val="clear" w:color="auto" w:fill="auto"/>
            <w:noWrap/>
            <w:vAlign w:val="bottom"/>
            <w:hideMark/>
          </w:tcPr>
          <w:p w:rsidR="005279C7" w:rsidRPr="00221BBA" w:rsidRDefault="005279C7" w:rsidP="00C64E02">
            <w:pPr>
              <w:suppressAutoHyphens w:val="0"/>
              <w:spacing w:before="40" w:after="40" w:line="220" w:lineRule="exact"/>
              <w:jc w:val="right"/>
              <w:rPr>
                <w:sz w:val="18"/>
              </w:rPr>
            </w:pPr>
            <w:r w:rsidRPr="00221BBA">
              <w:rPr>
                <w:sz w:val="18"/>
              </w:rPr>
              <w:t>0,067</w:t>
            </w:r>
          </w:p>
        </w:tc>
        <w:tc>
          <w:tcPr>
            <w:tcW w:w="1010" w:type="pct"/>
            <w:shd w:val="clear" w:color="auto" w:fill="auto"/>
            <w:noWrap/>
            <w:vAlign w:val="bottom"/>
          </w:tcPr>
          <w:p w:rsidR="005279C7" w:rsidRPr="00221BBA" w:rsidRDefault="005279C7" w:rsidP="00C64E02">
            <w:pPr>
              <w:suppressAutoHyphens w:val="0"/>
              <w:spacing w:before="40" w:after="40" w:line="220" w:lineRule="exact"/>
              <w:jc w:val="right"/>
              <w:rPr>
                <w:sz w:val="18"/>
              </w:rPr>
            </w:pPr>
            <w:r w:rsidRPr="00221BBA">
              <w:rPr>
                <w:sz w:val="18"/>
              </w:rPr>
              <w:t>0,200</w:t>
            </w:r>
          </w:p>
        </w:tc>
        <w:tc>
          <w:tcPr>
            <w:tcW w:w="1730" w:type="pct"/>
            <w:shd w:val="clear" w:color="auto" w:fill="auto"/>
            <w:vAlign w:val="bottom"/>
          </w:tcPr>
          <w:p w:rsidR="005279C7" w:rsidRPr="00221BBA" w:rsidRDefault="005279C7" w:rsidP="00C64E02">
            <w:pPr>
              <w:suppressAutoHyphens w:val="0"/>
              <w:spacing w:before="40" w:after="40" w:line="220" w:lineRule="exact"/>
              <w:jc w:val="right"/>
              <w:rPr>
                <w:sz w:val="18"/>
              </w:rPr>
            </w:pPr>
          </w:p>
        </w:tc>
      </w:tr>
      <w:tr w:rsidR="00492324" w:rsidRPr="00221BBA" w:rsidTr="005E6839">
        <w:tblPrEx>
          <w:tblBorders>
            <w:top w:val="none" w:sz="0" w:space="0" w:color="auto"/>
            <w:bottom w:val="none" w:sz="0" w:space="0" w:color="auto"/>
          </w:tblBorders>
        </w:tblPrEx>
        <w:tc>
          <w:tcPr>
            <w:tcW w:w="1250" w:type="pct"/>
            <w:shd w:val="clear" w:color="auto" w:fill="auto"/>
            <w:noWrap/>
          </w:tcPr>
          <w:p w:rsidR="005279C7" w:rsidRPr="00221BBA" w:rsidRDefault="005279C7" w:rsidP="00C64E02">
            <w:pPr>
              <w:suppressAutoHyphens w:val="0"/>
              <w:spacing w:before="40" w:after="40" w:line="220" w:lineRule="exact"/>
              <w:rPr>
                <w:sz w:val="18"/>
              </w:rPr>
            </w:pPr>
            <w:r w:rsidRPr="00221BBA">
              <w:rPr>
                <w:sz w:val="18"/>
              </w:rPr>
              <w:t>Macédoine du Nord</w:t>
            </w:r>
          </w:p>
        </w:tc>
        <w:tc>
          <w:tcPr>
            <w:tcW w:w="1010" w:type="pct"/>
            <w:shd w:val="clear" w:color="auto" w:fill="auto"/>
            <w:noWrap/>
            <w:vAlign w:val="bottom"/>
          </w:tcPr>
          <w:p w:rsidR="005279C7" w:rsidRPr="00221BBA" w:rsidRDefault="005279C7" w:rsidP="00C64E02">
            <w:pPr>
              <w:suppressAutoHyphens w:val="0"/>
              <w:spacing w:before="40" w:after="40" w:line="220" w:lineRule="exact"/>
              <w:jc w:val="right"/>
              <w:rPr>
                <w:sz w:val="18"/>
              </w:rPr>
            </w:pPr>
            <w:r w:rsidRPr="00221BBA">
              <w:rPr>
                <w:sz w:val="18"/>
              </w:rPr>
              <w:t>0,007</w:t>
            </w:r>
          </w:p>
        </w:tc>
        <w:tc>
          <w:tcPr>
            <w:tcW w:w="1010" w:type="pct"/>
            <w:shd w:val="clear" w:color="auto" w:fill="auto"/>
            <w:noWrap/>
            <w:vAlign w:val="bottom"/>
          </w:tcPr>
          <w:p w:rsidR="005279C7" w:rsidRPr="00221BBA" w:rsidRDefault="005279C7" w:rsidP="00C64E02">
            <w:pPr>
              <w:suppressAutoHyphens w:val="0"/>
              <w:spacing w:before="40" w:after="40" w:line="220" w:lineRule="exact"/>
              <w:jc w:val="right"/>
              <w:rPr>
                <w:sz w:val="18"/>
              </w:rPr>
            </w:pPr>
            <w:r w:rsidRPr="00221BBA">
              <w:rPr>
                <w:sz w:val="18"/>
              </w:rPr>
              <w:t>0,021</w:t>
            </w:r>
          </w:p>
        </w:tc>
        <w:tc>
          <w:tcPr>
            <w:tcW w:w="1730" w:type="pct"/>
            <w:shd w:val="clear" w:color="auto" w:fill="auto"/>
            <w:vAlign w:val="bottom"/>
          </w:tcPr>
          <w:p w:rsidR="005279C7" w:rsidRPr="00221BBA" w:rsidRDefault="005279C7" w:rsidP="00C64E02">
            <w:pPr>
              <w:suppressAutoHyphens w:val="0"/>
              <w:spacing w:before="40" w:after="40" w:line="220" w:lineRule="exact"/>
              <w:jc w:val="right"/>
              <w:rPr>
                <w:sz w:val="18"/>
              </w:rPr>
            </w:pPr>
          </w:p>
        </w:tc>
      </w:tr>
      <w:tr w:rsidR="00492324" w:rsidRPr="00221BBA" w:rsidTr="005E6839">
        <w:tblPrEx>
          <w:tblBorders>
            <w:top w:val="none" w:sz="0" w:space="0" w:color="auto"/>
            <w:bottom w:val="none" w:sz="0" w:space="0" w:color="auto"/>
          </w:tblBorders>
        </w:tblPrEx>
        <w:tc>
          <w:tcPr>
            <w:tcW w:w="1250" w:type="pct"/>
            <w:shd w:val="clear" w:color="auto" w:fill="auto"/>
            <w:noWrap/>
            <w:hideMark/>
          </w:tcPr>
          <w:p w:rsidR="005279C7" w:rsidRPr="00221BBA" w:rsidRDefault="005279C7" w:rsidP="00C64E02">
            <w:pPr>
              <w:suppressAutoHyphens w:val="0"/>
              <w:spacing w:before="40" w:after="40" w:line="220" w:lineRule="exact"/>
              <w:rPr>
                <w:sz w:val="18"/>
              </w:rPr>
            </w:pPr>
            <w:r w:rsidRPr="00221BBA">
              <w:rPr>
                <w:sz w:val="18"/>
              </w:rPr>
              <w:t>Malte</w:t>
            </w:r>
          </w:p>
        </w:tc>
        <w:tc>
          <w:tcPr>
            <w:tcW w:w="1010" w:type="pct"/>
            <w:shd w:val="clear" w:color="auto" w:fill="auto"/>
            <w:noWrap/>
            <w:vAlign w:val="bottom"/>
            <w:hideMark/>
          </w:tcPr>
          <w:p w:rsidR="005279C7" w:rsidRPr="00221BBA" w:rsidRDefault="005279C7" w:rsidP="00C64E02">
            <w:pPr>
              <w:suppressAutoHyphens w:val="0"/>
              <w:spacing w:before="40" w:after="40" w:line="220" w:lineRule="exact"/>
              <w:jc w:val="right"/>
              <w:rPr>
                <w:sz w:val="18"/>
              </w:rPr>
            </w:pPr>
            <w:r w:rsidRPr="00221BBA">
              <w:rPr>
                <w:sz w:val="18"/>
              </w:rPr>
              <w:t>0,017</w:t>
            </w:r>
          </w:p>
        </w:tc>
        <w:tc>
          <w:tcPr>
            <w:tcW w:w="1010" w:type="pct"/>
            <w:shd w:val="clear" w:color="auto" w:fill="auto"/>
            <w:noWrap/>
            <w:vAlign w:val="bottom"/>
          </w:tcPr>
          <w:p w:rsidR="005279C7" w:rsidRPr="00221BBA" w:rsidRDefault="005279C7" w:rsidP="00C64E02">
            <w:pPr>
              <w:suppressAutoHyphens w:val="0"/>
              <w:spacing w:before="40" w:after="40" w:line="220" w:lineRule="exact"/>
              <w:jc w:val="right"/>
              <w:rPr>
                <w:sz w:val="18"/>
              </w:rPr>
            </w:pPr>
            <w:r w:rsidRPr="00221BBA">
              <w:rPr>
                <w:sz w:val="18"/>
              </w:rPr>
              <w:t>0,051</w:t>
            </w:r>
          </w:p>
        </w:tc>
        <w:tc>
          <w:tcPr>
            <w:tcW w:w="1730" w:type="pct"/>
            <w:shd w:val="clear" w:color="auto" w:fill="auto"/>
            <w:vAlign w:val="bottom"/>
          </w:tcPr>
          <w:p w:rsidR="005279C7" w:rsidRPr="00221BBA" w:rsidRDefault="005279C7" w:rsidP="00C64E02">
            <w:pPr>
              <w:suppressAutoHyphens w:val="0"/>
              <w:spacing w:before="40" w:after="40" w:line="220" w:lineRule="exact"/>
              <w:jc w:val="right"/>
              <w:rPr>
                <w:sz w:val="18"/>
              </w:rPr>
            </w:pPr>
          </w:p>
        </w:tc>
      </w:tr>
      <w:tr w:rsidR="00492324" w:rsidRPr="00221BBA" w:rsidTr="005E6839">
        <w:tblPrEx>
          <w:tblBorders>
            <w:top w:val="none" w:sz="0" w:space="0" w:color="auto"/>
            <w:bottom w:val="none" w:sz="0" w:space="0" w:color="auto"/>
          </w:tblBorders>
        </w:tblPrEx>
        <w:tc>
          <w:tcPr>
            <w:tcW w:w="1250" w:type="pct"/>
            <w:shd w:val="clear" w:color="auto" w:fill="auto"/>
            <w:noWrap/>
            <w:hideMark/>
          </w:tcPr>
          <w:p w:rsidR="005279C7" w:rsidRPr="00221BBA" w:rsidRDefault="005279C7" w:rsidP="00C64E02">
            <w:pPr>
              <w:suppressAutoHyphens w:val="0"/>
              <w:spacing w:before="40" w:after="40" w:line="220" w:lineRule="exact"/>
              <w:rPr>
                <w:sz w:val="18"/>
              </w:rPr>
            </w:pPr>
            <w:r w:rsidRPr="00221BBA">
              <w:rPr>
                <w:sz w:val="18"/>
              </w:rPr>
              <w:t>Monténégro</w:t>
            </w:r>
          </w:p>
        </w:tc>
        <w:tc>
          <w:tcPr>
            <w:tcW w:w="1010" w:type="pct"/>
            <w:shd w:val="clear" w:color="auto" w:fill="auto"/>
            <w:noWrap/>
            <w:vAlign w:val="bottom"/>
            <w:hideMark/>
          </w:tcPr>
          <w:p w:rsidR="005279C7" w:rsidRPr="00221BBA" w:rsidRDefault="005279C7" w:rsidP="00C64E02">
            <w:pPr>
              <w:suppressAutoHyphens w:val="0"/>
              <w:spacing w:before="40" w:after="40" w:line="220" w:lineRule="exact"/>
              <w:jc w:val="right"/>
              <w:rPr>
                <w:sz w:val="18"/>
              </w:rPr>
            </w:pPr>
            <w:r w:rsidRPr="00221BBA">
              <w:rPr>
                <w:sz w:val="18"/>
              </w:rPr>
              <w:t>0,004</w:t>
            </w:r>
          </w:p>
        </w:tc>
        <w:tc>
          <w:tcPr>
            <w:tcW w:w="1010" w:type="pct"/>
            <w:shd w:val="clear" w:color="auto" w:fill="auto"/>
            <w:noWrap/>
            <w:vAlign w:val="bottom"/>
          </w:tcPr>
          <w:p w:rsidR="005279C7" w:rsidRPr="00221BBA" w:rsidRDefault="005279C7" w:rsidP="00C64E02">
            <w:pPr>
              <w:suppressAutoHyphens w:val="0"/>
              <w:spacing w:before="40" w:after="40" w:line="220" w:lineRule="exact"/>
              <w:jc w:val="right"/>
              <w:rPr>
                <w:sz w:val="18"/>
              </w:rPr>
            </w:pPr>
            <w:r w:rsidRPr="00221BBA">
              <w:rPr>
                <w:sz w:val="18"/>
              </w:rPr>
              <w:t>0,012</w:t>
            </w:r>
          </w:p>
        </w:tc>
        <w:tc>
          <w:tcPr>
            <w:tcW w:w="1730" w:type="pct"/>
            <w:shd w:val="clear" w:color="auto" w:fill="auto"/>
            <w:vAlign w:val="bottom"/>
          </w:tcPr>
          <w:p w:rsidR="005279C7" w:rsidRPr="00221BBA" w:rsidRDefault="005279C7" w:rsidP="00C64E02">
            <w:pPr>
              <w:suppressAutoHyphens w:val="0"/>
              <w:spacing w:before="40" w:after="40" w:line="220" w:lineRule="exact"/>
              <w:jc w:val="right"/>
              <w:rPr>
                <w:sz w:val="18"/>
              </w:rPr>
            </w:pPr>
          </w:p>
        </w:tc>
      </w:tr>
      <w:tr w:rsidR="00492324" w:rsidRPr="00221BBA" w:rsidTr="005E6839">
        <w:tblPrEx>
          <w:tblBorders>
            <w:top w:val="none" w:sz="0" w:space="0" w:color="auto"/>
            <w:bottom w:val="none" w:sz="0" w:space="0" w:color="auto"/>
          </w:tblBorders>
        </w:tblPrEx>
        <w:tc>
          <w:tcPr>
            <w:tcW w:w="1250" w:type="pct"/>
            <w:shd w:val="clear" w:color="auto" w:fill="auto"/>
            <w:noWrap/>
            <w:hideMark/>
          </w:tcPr>
          <w:p w:rsidR="005279C7" w:rsidRPr="00221BBA" w:rsidRDefault="005279C7" w:rsidP="00C64E02">
            <w:pPr>
              <w:suppressAutoHyphens w:val="0"/>
              <w:spacing w:before="40" w:after="40" w:line="220" w:lineRule="exact"/>
              <w:rPr>
                <w:sz w:val="18"/>
              </w:rPr>
            </w:pPr>
            <w:r w:rsidRPr="00221BBA">
              <w:rPr>
                <w:sz w:val="18"/>
              </w:rPr>
              <w:t>Norvège</w:t>
            </w:r>
          </w:p>
        </w:tc>
        <w:tc>
          <w:tcPr>
            <w:tcW w:w="1010" w:type="pct"/>
            <w:shd w:val="clear" w:color="auto" w:fill="auto"/>
            <w:noWrap/>
            <w:vAlign w:val="bottom"/>
            <w:hideMark/>
          </w:tcPr>
          <w:p w:rsidR="005279C7" w:rsidRPr="00221BBA" w:rsidRDefault="005279C7" w:rsidP="00C64E02">
            <w:pPr>
              <w:suppressAutoHyphens w:val="0"/>
              <w:spacing w:before="40" w:after="40" w:line="220" w:lineRule="exact"/>
              <w:jc w:val="right"/>
              <w:rPr>
                <w:sz w:val="18"/>
              </w:rPr>
            </w:pPr>
            <w:r w:rsidRPr="00221BBA">
              <w:rPr>
                <w:sz w:val="18"/>
              </w:rPr>
              <w:t>0,754</w:t>
            </w:r>
          </w:p>
        </w:tc>
        <w:tc>
          <w:tcPr>
            <w:tcW w:w="1010" w:type="pct"/>
            <w:shd w:val="clear" w:color="auto" w:fill="auto"/>
            <w:noWrap/>
            <w:vAlign w:val="bottom"/>
          </w:tcPr>
          <w:p w:rsidR="005279C7" w:rsidRPr="00221BBA" w:rsidRDefault="005279C7" w:rsidP="00C64E02">
            <w:pPr>
              <w:suppressAutoHyphens w:val="0"/>
              <w:spacing w:before="40" w:after="40" w:line="220" w:lineRule="exact"/>
              <w:jc w:val="right"/>
              <w:rPr>
                <w:sz w:val="18"/>
              </w:rPr>
            </w:pPr>
            <w:r w:rsidRPr="00221BBA">
              <w:rPr>
                <w:sz w:val="18"/>
              </w:rPr>
              <w:t>2,247</w:t>
            </w:r>
          </w:p>
        </w:tc>
        <w:tc>
          <w:tcPr>
            <w:tcW w:w="1730" w:type="pct"/>
            <w:shd w:val="clear" w:color="auto" w:fill="auto"/>
            <w:vAlign w:val="bottom"/>
          </w:tcPr>
          <w:p w:rsidR="005279C7" w:rsidRPr="00221BBA" w:rsidRDefault="005279C7" w:rsidP="00C64E02">
            <w:pPr>
              <w:suppressAutoHyphens w:val="0"/>
              <w:spacing w:before="40" w:after="40" w:line="220" w:lineRule="exact"/>
              <w:jc w:val="right"/>
              <w:rPr>
                <w:sz w:val="18"/>
              </w:rPr>
            </w:pPr>
          </w:p>
        </w:tc>
      </w:tr>
      <w:tr w:rsidR="00492324" w:rsidRPr="00221BBA" w:rsidTr="005E6839">
        <w:tblPrEx>
          <w:tblBorders>
            <w:top w:val="none" w:sz="0" w:space="0" w:color="auto"/>
            <w:bottom w:val="none" w:sz="0" w:space="0" w:color="auto"/>
          </w:tblBorders>
        </w:tblPrEx>
        <w:tc>
          <w:tcPr>
            <w:tcW w:w="1250" w:type="pct"/>
            <w:shd w:val="clear" w:color="auto" w:fill="auto"/>
            <w:noWrap/>
            <w:hideMark/>
          </w:tcPr>
          <w:p w:rsidR="005279C7" w:rsidRPr="00221BBA" w:rsidRDefault="005279C7" w:rsidP="00C64E02">
            <w:pPr>
              <w:suppressAutoHyphens w:val="0"/>
              <w:spacing w:before="40" w:after="40" w:line="220" w:lineRule="exact"/>
              <w:rPr>
                <w:sz w:val="18"/>
              </w:rPr>
            </w:pPr>
            <w:r w:rsidRPr="00221BBA">
              <w:rPr>
                <w:sz w:val="18"/>
              </w:rPr>
              <w:t>Pays-Bas</w:t>
            </w:r>
          </w:p>
        </w:tc>
        <w:tc>
          <w:tcPr>
            <w:tcW w:w="1010" w:type="pct"/>
            <w:shd w:val="clear" w:color="auto" w:fill="auto"/>
            <w:noWrap/>
            <w:vAlign w:val="bottom"/>
            <w:hideMark/>
          </w:tcPr>
          <w:p w:rsidR="005279C7" w:rsidRPr="00221BBA" w:rsidRDefault="005279C7" w:rsidP="00C64E02">
            <w:pPr>
              <w:suppressAutoHyphens w:val="0"/>
              <w:spacing w:before="40" w:after="40" w:line="220" w:lineRule="exact"/>
              <w:jc w:val="right"/>
              <w:rPr>
                <w:sz w:val="18"/>
              </w:rPr>
            </w:pPr>
            <w:r w:rsidRPr="00221BBA">
              <w:rPr>
                <w:sz w:val="18"/>
              </w:rPr>
              <w:t>1,356</w:t>
            </w:r>
          </w:p>
        </w:tc>
        <w:tc>
          <w:tcPr>
            <w:tcW w:w="1010" w:type="pct"/>
            <w:shd w:val="clear" w:color="auto" w:fill="auto"/>
            <w:noWrap/>
            <w:vAlign w:val="bottom"/>
          </w:tcPr>
          <w:p w:rsidR="005279C7" w:rsidRPr="00221BBA" w:rsidRDefault="005279C7" w:rsidP="00C64E02">
            <w:pPr>
              <w:suppressAutoHyphens w:val="0"/>
              <w:spacing w:before="40" w:after="40" w:line="220" w:lineRule="exact"/>
              <w:jc w:val="right"/>
              <w:rPr>
                <w:sz w:val="18"/>
              </w:rPr>
            </w:pPr>
            <w:r w:rsidRPr="00221BBA">
              <w:rPr>
                <w:sz w:val="18"/>
              </w:rPr>
              <w:t>4,041</w:t>
            </w:r>
          </w:p>
        </w:tc>
        <w:tc>
          <w:tcPr>
            <w:tcW w:w="1730" w:type="pct"/>
            <w:shd w:val="clear" w:color="auto" w:fill="auto"/>
            <w:vAlign w:val="bottom"/>
          </w:tcPr>
          <w:p w:rsidR="005279C7" w:rsidRPr="00221BBA" w:rsidRDefault="005279C7" w:rsidP="00C64E02">
            <w:pPr>
              <w:suppressAutoHyphens w:val="0"/>
              <w:spacing w:before="40" w:after="40" w:line="220" w:lineRule="exact"/>
              <w:jc w:val="right"/>
              <w:rPr>
                <w:sz w:val="18"/>
              </w:rPr>
            </w:pPr>
          </w:p>
        </w:tc>
      </w:tr>
      <w:tr w:rsidR="00492324" w:rsidRPr="00221BBA" w:rsidTr="005E6839">
        <w:tblPrEx>
          <w:tblBorders>
            <w:top w:val="none" w:sz="0" w:space="0" w:color="auto"/>
            <w:bottom w:val="none" w:sz="0" w:space="0" w:color="auto"/>
          </w:tblBorders>
        </w:tblPrEx>
        <w:tc>
          <w:tcPr>
            <w:tcW w:w="1250" w:type="pct"/>
            <w:shd w:val="clear" w:color="auto" w:fill="auto"/>
            <w:noWrap/>
            <w:hideMark/>
          </w:tcPr>
          <w:p w:rsidR="005279C7" w:rsidRPr="00221BBA" w:rsidRDefault="005279C7" w:rsidP="00C64E02">
            <w:pPr>
              <w:suppressAutoHyphens w:val="0"/>
              <w:spacing w:before="40" w:after="40" w:line="220" w:lineRule="exact"/>
              <w:rPr>
                <w:sz w:val="18"/>
              </w:rPr>
            </w:pPr>
            <w:r w:rsidRPr="00221BBA">
              <w:rPr>
                <w:sz w:val="18"/>
              </w:rPr>
              <w:t>Pologne</w:t>
            </w:r>
          </w:p>
        </w:tc>
        <w:tc>
          <w:tcPr>
            <w:tcW w:w="1010" w:type="pct"/>
            <w:shd w:val="clear" w:color="auto" w:fill="auto"/>
            <w:noWrap/>
            <w:vAlign w:val="bottom"/>
            <w:hideMark/>
          </w:tcPr>
          <w:p w:rsidR="005279C7" w:rsidRPr="00221BBA" w:rsidRDefault="005279C7" w:rsidP="00C64E02">
            <w:pPr>
              <w:suppressAutoHyphens w:val="0"/>
              <w:spacing w:before="40" w:after="40" w:line="220" w:lineRule="exact"/>
              <w:jc w:val="right"/>
              <w:rPr>
                <w:sz w:val="18"/>
              </w:rPr>
            </w:pPr>
            <w:r w:rsidRPr="00221BBA">
              <w:rPr>
                <w:sz w:val="18"/>
              </w:rPr>
              <w:t>0,802</w:t>
            </w:r>
          </w:p>
        </w:tc>
        <w:tc>
          <w:tcPr>
            <w:tcW w:w="1010" w:type="pct"/>
            <w:shd w:val="clear" w:color="auto" w:fill="auto"/>
            <w:noWrap/>
            <w:vAlign w:val="bottom"/>
          </w:tcPr>
          <w:p w:rsidR="005279C7" w:rsidRPr="00221BBA" w:rsidRDefault="005279C7" w:rsidP="00C64E02">
            <w:pPr>
              <w:suppressAutoHyphens w:val="0"/>
              <w:spacing w:before="40" w:after="40" w:line="220" w:lineRule="exact"/>
              <w:jc w:val="right"/>
              <w:rPr>
                <w:sz w:val="18"/>
              </w:rPr>
            </w:pPr>
            <w:r w:rsidRPr="00221BBA">
              <w:rPr>
                <w:sz w:val="18"/>
              </w:rPr>
              <w:t>2,390</w:t>
            </w:r>
          </w:p>
        </w:tc>
        <w:tc>
          <w:tcPr>
            <w:tcW w:w="1730" w:type="pct"/>
            <w:shd w:val="clear" w:color="auto" w:fill="auto"/>
            <w:vAlign w:val="bottom"/>
          </w:tcPr>
          <w:p w:rsidR="005279C7" w:rsidRPr="00221BBA" w:rsidRDefault="005279C7" w:rsidP="00C64E02">
            <w:pPr>
              <w:suppressAutoHyphens w:val="0"/>
              <w:spacing w:before="40" w:after="40" w:line="220" w:lineRule="exact"/>
              <w:jc w:val="right"/>
              <w:rPr>
                <w:sz w:val="18"/>
              </w:rPr>
            </w:pPr>
          </w:p>
        </w:tc>
      </w:tr>
      <w:tr w:rsidR="00492324" w:rsidRPr="00221BBA" w:rsidTr="005E6839">
        <w:tblPrEx>
          <w:tblBorders>
            <w:top w:val="none" w:sz="0" w:space="0" w:color="auto"/>
            <w:bottom w:val="none" w:sz="0" w:space="0" w:color="auto"/>
          </w:tblBorders>
        </w:tblPrEx>
        <w:tc>
          <w:tcPr>
            <w:tcW w:w="1250" w:type="pct"/>
            <w:shd w:val="clear" w:color="auto" w:fill="auto"/>
            <w:noWrap/>
            <w:hideMark/>
          </w:tcPr>
          <w:p w:rsidR="005279C7" w:rsidRPr="00221BBA" w:rsidRDefault="005279C7" w:rsidP="00C64E02">
            <w:pPr>
              <w:suppressAutoHyphens w:val="0"/>
              <w:spacing w:before="40" w:after="40" w:line="220" w:lineRule="exact"/>
              <w:rPr>
                <w:sz w:val="18"/>
              </w:rPr>
            </w:pPr>
            <w:r w:rsidRPr="00221BBA">
              <w:rPr>
                <w:sz w:val="18"/>
              </w:rPr>
              <w:t>Portugal</w:t>
            </w:r>
          </w:p>
        </w:tc>
        <w:tc>
          <w:tcPr>
            <w:tcW w:w="1010" w:type="pct"/>
            <w:shd w:val="clear" w:color="auto" w:fill="auto"/>
            <w:noWrap/>
            <w:vAlign w:val="bottom"/>
            <w:hideMark/>
          </w:tcPr>
          <w:p w:rsidR="005279C7" w:rsidRPr="00221BBA" w:rsidRDefault="005279C7" w:rsidP="00C64E02">
            <w:pPr>
              <w:suppressAutoHyphens w:val="0"/>
              <w:spacing w:before="40" w:after="40" w:line="220" w:lineRule="exact"/>
              <w:jc w:val="right"/>
              <w:rPr>
                <w:sz w:val="18"/>
              </w:rPr>
            </w:pPr>
            <w:r w:rsidRPr="00221BBA">
              <w:rPr>
                <w:sz w:val="18"/>
              </w:rPr>
              <w:t>0,35</w:t>
            </w:r>
          </w:p>
        </w:tc>
        <w:tc>
          <w:tcPr>
            <w:tcW w:w="1010" w:type="pct"/>
            <w:shd w:val="clear" w:color="auto" w:fill="auto"/>
            <w:noWrap/>
            <w:vAlign w:val="bottom"/>
          </w:tcPr>
          <w:p w:rsidR="005279C7" w:rsidRPr="00221BBA" w:rsidRDefault="005279C7" w:rsidP="00C64E02">
            <w:pPr>
              <w:suppressAutoHyphens w:val="0"/>
              <w:spacing w:before="40" w:after="40" w:line="220" w:lineRule="exact"/>
              <w:jc w:val="right"/>
              <w:rPr>
                <w:sz w:val="18"/>
              </w:rPr>
            </w:pPr>
            <w:r w:rsidRPr="00221BBA">
              <w:rPr>
                <w:sz w:val="18"/>
              </w:rPr>
              <w:t>1,043</w:t>
            </w:r>
          </w:p>
        </w:tc>
        <w:tc>
          <w:tcPr>
            <w:tcW w:w="1730" w:type="pct"/>
            <w:shd w:val="clear" w:color="auto" w:fill="auto"/>
            <w:vAlign w:val="bottom"/>
          </w:tcPr>
          <w:p w:rsidR="005279C7" w:rsidRPr="00221BBA" w:rsidRDefault="005279C7" w:rsidP="00C64E02">
            <w:pPr>
              <w:suppressAutoHyphens w:val="0"/>
              <w:spacing w:before="40" w:after="40" w:line="220" w:lineRule="exact"/>
              <w:jc w:val="right"/>
              <w:rPr>
                <w:sz w:val="18"/>
              </w:rPr>
            </w:pPr>
          </w:p>
        </w:tc>
      </w:tr>
      <w:tr w:rsidR="00492324" w:rsidRPr="00221BBA" w:rsidTr="005E6839">
        <w:tblPrEx>
          <w:tblBorders>
            <w:top w:val="none" w:sz="0" w:space="0" w:color="auto"/>
            <w:bottom w:val="none" w:sz="0" w:space="0" w:color="auto"/>
          </w:tblBorders>
        </w:tblPrEx>
        <w:tc>
          <w:tcPr>
            <w:tcW w:w="1250" w:type="pct"/>
            <w:shd w:val="clear" w:color="auto" w:fill="auto"/>
            <w:noWrap/>
            <w:hideMark/>
          </w:tcPr>
          <w:p w:rsidR="005279C7" w:rsidRPr="00221BBA" w:rsidRDefault="005279C7" w:rsidP="00C64E02">
            <w:pPr>
              <w:suppressAutoHyphens w:val="0"/>
              <w:spacing w:before="40" w:after="40" w:line="220" w:lineRule="exact"/>
              <w:rPr>
                <w:sz w:val="18"/>
              </w:rPr>
            </w:pPr>
            <w:r w:rsidRPr="00221BBA">
              <w:rPr>
                <w:sz w:val="18"/>
              </w:rPr>
              <w:t>République de Moldova</w:t>
            </w:r>
          </w:p>
        </w:tc>
        <w:tc>
          <w:tcPr>
            <w:tcW w:w="1010" w:type="pct"/>
            <w:shd w:val="clear" w:color="auto" w:fill="auto"/>
            <w:noWrap/>
            <w:vAlign w:val="bottom"/>
            <w:hideMark/>
          </w:tcPr>
          <w:p w:rsidR="005279C7" w:rsidRPr="00221BBA" w:rsidRDefault="005279C7" w:rsidP="00C64E02">
            <w:pPr>
              <w:suppressAutoHyphens w:val="0"/>
              <w:spacing w:before="40" w:after="40" w:line="220" w:lineRule="exact"/>
              <w:jc w:val="right"/>
              <w:rPr>
                <w:sz w:val="18"/>
              </w:rPr>
            </w:pPr>
            <w:r w:rsidRPr="00221BBA">
              <w:rPr>
                <w:sz w:val="18"/>
              </w:rPr>
              <w:t>0,003</w:t>
            </w:r>
          </w:p>
        </w:tc>
        <w:tc>
          <w:tcPr>
            <w:tcW w:w="1010" w:type="pct"/>
            <w:shd w:val="clear" w:color="auto" w:fill="auto"/>
            <w:noWrap/>
            <w:vAlign w:val="bottom"/>
          </w:tcPr>
          <w:p w:rsidR="005279C7" w:rsidRPr="00221BBA" w:rsidRDefault="005279C7" w:rsidP="00C64E02">
            <w:pPr>
              <w:suppressAutoHyphens w:val="0"/>
              <w:spacing w:before="40" w:after="40" w:line="220" w:lineRule="exact"/>
              <w:jc w:val="right"/>
              <w:rPr>
                <w:sz w:val="18"/>
              </w:rPr>
            </w:pPr>
            <w:r w:rsidRPr="00221BBA">
              <w:rPr>
                <w:sz w:val="18"/>
              </w:rPr>
              <w:t>0,009</w:t>
            </w:r>
          </w:p>
        </w:tc>
        <w:tc>
          <w:tcPr>
            <w:tcW w:w="1730" w:type="pct"/>
            <w:shd w:val="clear" w:color="auto" w:fill="auto"/>
            <w:vAlign w:val="bottom"/>
          </w:tcPr>
          <w:p w:rsidR="005279C7" w:rsidRPr="00221BBA" w:rsidRDefault="005279C7" w:rsidP="00C64E02">
            <w:pPr>
              <w:suppressAutoHyphens w:val="0"/>
              <w:spacing w:before="40" w:after="40" w:line="220" w:lineRule="exact"/>
              <w:jc w:val="right"/>
              <w:rPr>
                <w:sz w:val="18"/>
              </w:rPr>
            </w:pPr>
          </w:p>
        </w:tc>
      </w:tr>
      <w:tr w:rsidR="00492324" w:rsidRPr="00221BBA" w:rsidTr="005E6839">
        <w:tblPrEx>
          <w:tblBorders>
            <w:top w:val="none" w:sz="0" w:space="0" w:color="auto"/>
            <w:bottom w:val="none" w:sz="0" w:space="0" w:color="auto"/>
          </w:tblBorders>
        </w:tblPrEx>
        <w:tc>
          <w:tcPr>
            <w:tcW w:w="1250" w:type="pct"/>
            <w:shd w:val="clear" w:color="auto" w:fill="auto"/>
            <w:noWrap/>
            <w:hideMark/>
          </w:tcPr>
          <w:p w:rsidR="005279C7" w:rsidRPr="00221BBA" w:rsidRDefault="005279C7" w:rsidP="00C64E02">
            <w:pPr>
              <w:suppressAutoHyphens w:val="0"/>
              <w:spacing w:before="40" w:after="40" w:line="220" w:lineRule="exact"/>
              <w:rPr>
                <w:sz w:val="18"/>
              </w:rPr>
            </w:pPr>
            <w:r w:rsidRPr="00221BBA">
              <w:rPr>
                <w:sz w:val="18"/>
              </w:rPr>
              <w:lastRenderedPageBreak/>
              <w:t>Roumanie</w:t>
            </w:r>
          </w:p>
        </w:tc>
        <w:tc>
          <w:tcPr>
            <w:tcW w:w="1010" w:type="pct"/>
            <w:shd w:val="clear" w:color="auto" w:fill="auto"/>
            <w:noWrap/>
            <w:vAlign w:val="bottom"/>
            <w:hideMark/>
          </w:tcPr>
          <w:p w:rsidR="005279C7" w:rsidRPr="00221BBA" w:rsidRDefault="005279C7" w:rsidP="00C64E02">
            <w:pPr>
              <w:suppressAutoHyphens w:val="0"/>
              <w:spacing w:before="40" w:after="40" w:line="220" w:lineRule="exact"/>
              <w:jc w:val="right"/>
              <w:rPr>
                <w:sz w:val="18"/>
              </w:rPr>
            </w:pPr>
            <w:r w:rsidRPr="00221BBA">
              <w:rPr>
                <w:sz w:val="18"/>
              </w:rPr>
              <w:t>0,198</w:t>
            </w:r>
          </w:p>
        </w:tc>
        <w:tc>
          <w:tcPr>
            <w:tcW w:w="1010" w:type="pct"/>
            <w:shd w:val="clear" w:color="auto" w:fill="auto"/>
            <w:noWrap/>
            <w:vAlign w:val="bottom"/>
          </w:tcPr>
          <w:p w:rsidR="005279C7" w:rsidRPr="00221BBA" w:rsidRDefault="005279C7" w:rsidP="00C64E02">
            <w:pPr>
              <w:suppressAutoHyphens w:val="0"/>
              <w:spacing w:before="40" w:after="40" w:line="220" w:lineRule="exact"/>
              <w:jc w:val="right"/>
              <w:rPr>
                <w:sz w:val="18"/>
              </w:rPr>
            </w:pPr>
            <w:r w:rsidRPr="00221BBA">
              <w:rPr>
                <w:sz w:val="18"/>
              </w:rPr>
              <w:t>0,590</w:t>
            </w:r>
          </w:p>
        </w:tc>
        <w:tc>
          <w:tcPr>
            <w:tcW w:w="1730" w:type="pct"/>
            <w:shd w:val="clear" w:color="auto" w:fill="auto"/>
            <w:vAlign w:val="bottom"/>
          </w:tcPr>
          <w:p w:rsidR="005279C7" w:rsidRPr="00221BBA" w:rsidRDefault="005279C7" w:rsidP="00C64E02">
            <w:pPr>
              <w:suppressAutoHyphens w:val="0"/>
              <w:spacing w:before="40" w:after="40" w:line="220" w:lineRule="exact"/>
              <w:jc w:val="right"/>
              <w:rPr>
                <w:sz w:val="18"/>
              </w:rPr>
            </w:pPr>
          </w:p>
        </w:tc>
      </w:tr>
      <w:tr w:rsidR="00492324" w:rsidRPr="00221BBA" w:rsidTr="005E6839">
        <w:tblPrEx>
          <w:tblBorders>
            <w:top w:val="none" w:sz="0" w:space="0" w:color="auto"/>
            <w:bottom w:val="none" w:sz="0" w:space="0" w:color="auto"/>
          </w:tblBorders>
        </w:tblPrEx>
        <w:tc>
          <w:tcPr>
            <w:tcW w:w="1250" w:type="pct"/>
            <w:shd w:val="clear" w:color="auto" w:fill="auto"/>
            <w:noWrap/>
            <w:hideMark/>
          </w:tcPr>
          <w:p w:rsidR="005279C7" w:rsidRPr="00221BBA" w:rsidRDefault="005279C7" w:rsidP="00C64E02">
            <w:pPr>
              <w:suppressAutoHyphens w:val="0"/>
              <w:spacing w:before="40" w:after="40" w:line="220" w:lineRule="exact"/>
              <w:rPr>
                <w:sz w:val="18"/>
              </w:rPr>
            </w:pPr>
            <w:r w:rsidRPr="00221BBA">
              <w:rPr>
                <w:sz w:val="18"/>
              </w:rPr>
              <w:t xml:space="preserve">Royaume-Uni </w:t>
            </w:r>
          </w:p>
        </w:tc>
        <w:tc>
          <w:tcPr>
            <w:tcW w:w="1010" w:type="pct"/>
            <w:shd w:val="clear" w:color="auto" w:fill="auto"/>
            <w:noWrap/>
            <w:vAlign w:val="bottom"/>
            <w:hideMark/>
          </w:tcPr>
          <w:p w:rsidR="005279C7" w:rsidRPr="00221BBA" w:rsidRDefault="005279C7" w:rsidP="00C64E02">
            <w:pPr>
              <w:suppressAutoHyphens w:val="0"/>
              <w:spacing w:before="40" w:after="40" w:line="220" w:lineRule="exact"/>
              <w:jc w:val="right"/>
              <w:rPr>
                <w:sz w:val="18"/>
              </w:rPr>
            </w:pPr>
            <w:r w:rsidRPr="00221BBA">
              <w:rPr>
                <w:sz w:val="18"/>
              </w:rPr>
              <w:t>4,567</w:t>
            </w:r>
          </w:p>
        </w:tc>
        <w:tc>
          <w:tcPr>
            <w:tcW w:w="1010" w:type="pct"/>
            <w:shd w:val="clear" w:color="auto" w:fill="auto"/>
            <w:noWrap/>
            <w:vAlign w:val="bottom"/>
          </w:tcPr>
          <w:p w:rsidR="005279C7" w:rsidRPr="00221BBA" w:rsidRDefault="005279C7" w:rsidP="00C64E02">
            <w:pPr>
              <w:suppressAutoHyphens w:val="0"/>
              <w:spacing w:before="40" w:after="40" w:line="220" w:lineRule="exact"/>
              <w:jc w:val="right"/>
              <w:rPr>
                <w:sz w:val="18"/>
              </w:rPr>
            </w:pPr>
            <w:r w:rsidRPr="00221BBA">
              <w:rPr>
                <w:sz w:val="18"/>
              </w:rPr>
              <w:t>13,610</w:t>
            </w:r>
          </w:p>
        </w:tc>
        <w:tc>
          <w:tcPr>
            <w:tcW w:w="1730" w:type="pct"/>
            <w:shd w:val="clear" w:color="auto" w:fill="auto"/>
            <w:vAlign w:val="bottom"/>
          </w:tcPr>
          <w:p w:rsidR="005279C7" w:rsidRPr="00221BBA" w:rsidRDefault="005279C7" w:rsidP="00C64E02">
            <w:pPr>
              <w:suppressAutoHyphens w:val="0"/>
              <w:spacing w:before="40" w:after="40" w:line="220" w:lineRule="exact"/>
              <w:jc w:val="right"/>
              <w:rPr>
                <w:sz w:val="18"/>
              </w:rPr>
            </w:pPr>
          </w:p>
        </w:tc>
      </w:tr>
      <w:tr w:rsidR="00492324" w:rsidRPr="00221BBA" w:rsidTr="005E6839">
        <w:tblPrEx>
          <w:tblBorders>
            <w:top w:val="none" w:sz="0" w:space="0" w:color="auto"/>
            <w:bottom w:val="none" w:sz="0" w:space="0" w:color="auto"/>
          </w:tblBorders>
        </w:tblPrEx>
        <w:tc>
          <w:tcPr>
            <w:tcW w:w="1250" w:type="pct"/>
            <w:shd w:val="clear" w:color="auto" w:fill="auto"/>
            <w:noWrap/>
            <w:hideMark/>
          </w:tcPr>
          <w:p w:rsidR="005279C7" w:rsidRPr="00221BBA" w:rsidRDefault="005279C7" w:rsidP="00C64E02">
            <w:pPr>
              <w:suppressAutoHyphens w:val="0"/>
              <w:spacing w:before="40" w:after="40" w:line="220" w:lineRule="exact"/>
              <w:rPr>
                <w:sz w:val="18"/>
              </w:rPr>
            </w:pPr>
            <w:r w:rsidRPr="00221BBA">
              <w:rPr>
                <w:sz w:val="18"/>
              </w:rPr>
              <w:t>Serbie</w:t>
            </w:r>
          </w:p>
        </w:tc>
        <w:tc>
          <w:tcPr>
            <w:tcW w:w="1010" w:type="pct"/>
            <w:shd w:val="clear" w:color="auto" w:fill="auto"/>
            <w:noWrap/>
            <w:vAlign w:val="bottom"/>
            <w:hideMark/>
          </w:tcPr>
          <w:p w:rsidR="005279C7" w:rsidRPr="00221BBA" w:rsidRDefault="005279C7" w:rsidP="00C64E02">
            <w:pPr>
              <w:suppressAutoHyphens w:val="0"/>
              <w:spacing w:before="40" w:after="40" w:line="220" w:lineRule="exact"/>
              <w:jc w:val="right"/>
              <w:rPr>
                <w:sz w:val="18"/>
              </w:rPr>
            </w:pPr>
            <w:r w:rsidRPr="00221BBA">
              <w:rPr>
                <w:sz w:val="18"/>
              </w:rPr>
              <w:t>0,028</w:t>
            </w:r>
          </w:p>
        </w:tc>
        <w:tc>
          <w:tcPr>
            <w:tcW w:w="1010" w:type="pct"/>
            <w:shd w:val="clear" w:color="auto" w:fill="auto"/>
            <w:noWrap/>
            <w:vAlign w:val="bottom"/>
          </w:tcPr>
          <w:p w:rsidR="005279C7" w:rsidRPr="00221BBA" w:rsidRDefault="005279C7" w:rsidP="00C64E02">
            <w:pPr>
              <w:suppressAutoHyphens w:val="0"/>
              <w:spacing w:before="40" w:after="40" w:line="220" w:lineRule="exact"/>
              <w:jc w:val="right"/>
              <w:rPr>
                <w:sz w:val="18"/>
              </w:rPr>
            </w:pPr>
            <w:r w:rsidRPr="00221BBA">
              <w:rPr>
                <w:sz w:val="18"/>
              </w:rPr>
              <w:t>0,083</w:t>
            </w:r>
          </w:p>
        </w:tc>
        <w:tc>
          <w:tcPr>
            <w:tcW w:w="1730" w:type="pct"/>
            <w:shd w:val="clear" w:color="auto" w:fill="auto"/>
            <w:vAlign w:val="bottom"/>
          </w:tcPr>
          <w:p w:rsidR="005279C7" w:rsidRPr="00221BBA" w:rsidRDefault="005279C7" w:rsidP="00C64E02">
            <w:pPr>
              <w:suppressAutoHyphens w:val="0"/>
              <w:spacing w:before="40" w:after="40" w:line="220" w:lineRule="exact"/>
              <w:jc w:val="right"/>
              <w:rPr>
                <w:sz w:val="18"/>
              </w:rPr>
            </w:pPr>
          </w:p>
        </w:tc>
      </w:tr>
      <w:tr w:rsidR="00492324" w:rsidRPr="00221BBA" w:rsidTr="005E6839">
        <w:tblPrEx>
          <w:tblBorders>
            <w:top w:val="none" w:sz="0" w:space="0" w:color="auto"/>
            <w:bottom w:val="none" w:sz="0" w:space="0" w:color="auto"/>
          </w:tblBorders>
        </w:tblPrEx>
        <w:tc>
          <w:tcPr>
            <w:tcW w:w="1250" w:type="pct"/>
            <w:shd w:val="clear" w:color="auto" w:fill="auto"/>
            <w:noWrap/>
            <w:hideMark/>
          </w:tcPr>
          <w:p w:rsidR="005279C7" w:rsidRPr="00221BBA" w:rsidRDefault="005279C7" w:rsidP="00C64E02">
            <w:pPr>
              <w:suppressAutoHyphens w:val="0"/>
              <w:spacing w:before="40" w:after="40" w:line="220" w:lineRule="exact"/>
              <w:rPr>
                <w:sz w:val="18"/>
              </w:rPr>
            </w:pPr>
            <w:r w:rsidRPr="00221BBA">
              <w:rPr>
                <w:sz w:val="18"/>
              </w:rPr>
              <w:t>Slovaquie</w:t>
            </w:r>
          </w:p>
        </w:tc>
        <w:tc>
          <w:tcPr>
            <w:tcW w:w="1010" w:type="pct"/>
            <w:shd w:val="clear" w:color="auto" w:fill="auto"/>
            <w:noWrap/>
            <w:vAlign w:val="bottom"/>
            <w:hideMark/>
          </w:tcPr>
          <w:p w:rsidR="005279C7" w:rsidRPr="00221BBA" w:rsidRDefault="005279C7" w:rsidP="00C64E02">
            <w:pPr>
              <w:suppressAutoHyphens w:val="0"/>
              <w:spacing w:before="40" w:after="40" w:line="220" w:lineRule="exact"/>
              <w:jc w:val="right"/>
              <w:rPr>
                <w:sz w:val="18"/>
              </w:rPr>
            </w:pPr>
            <w:r w:rsidRPr="00221BBA">
              <w:rPr>
                <w:sz w:val="18"/>
              </w:rPr>
              <w:t>0,153</w:t>
            </w:r>
          </w:p>
        </w:tc>
        <w:tc>
          <w:tcPr>
            <w:tcW w:w="1010" w:type="pct"/>
            <w:shd w:val="clear" w:color="auto" w:fill="auto"/>
            <w:noWrap/>
            <w:vAlign w:val="bottom"/>
          </w:tcPr>
          <w:p w:rsidR="005279C7" w:rsidRPr="00221BBA" w:rsidRDefault="005279C7" w:rsidP="00C64E02">
            <w:pPr>
              <w:suppressAutoHyphens w:val="0"/>
              <w:spacing w:before="40" w:after="40" w:line="220" w:lineRule="exact"/>
              <w:jc w:val="right"/>
              <w:rPr>
                <w:sz w:val="18"/>
              </w:rPr>
            </w:pPr>
            <w:r w:rsidRPr="00221BBA">
              <w:rPr>
                <w:sz w:val="18"/>
              </w:rPr>
              <w:t>0,456</w:t>
            </w:r>
          </w:p>
        </w:tc>
        <w:tc>
          <w:tcPr>
            <w:tcW w:w="1730" w:type="pct"/>
            <w:shd w:val="clear" w:color="auto" w:fill="auto"/>
            <w:vAlign w:val="bottom"/>
          </w:tcPr>
          <w:p w:rsidR="005279C7" w:rsidRPr="00221BBA" w:rsidRDefault="005279C7" w:rsidP="00C64E02">
            <w:pPr>
              <w:suppressAutoHyphens w:val="0"/>
              <w:spacing w:before="40" w:after="40" w:line="220" w:lineRule="exact"/>
              <w:jc w:val="right"/>
              <w:rPr>
                <w:sz w:val="18"/>
              </w:rPr>
            </w:pPr>
          </w:p>
        </w:tc>
      </w:tr>
      <w:tr w:rsidR="00492324" w:rsidRPr="00221BBA" w:rsidTr="005E6839">
        <w:tblPrEx>
          <w:tblBorders>
            <w:top w:val="none" w:sz="0" w:space="0" w:color="auto"/>
            <w:bottom w:val="none" w:sz="0" w:space="0" w:color="auto"/>
          </w:tblBorders>
        </w:tblPrEx>
        <w:tc>
          <w:tcPr>
            <w:tcW w:w="1250" w:type="pct"/>
            <w:shd w:val="clear" w:color="auto" w:fill="auto"/>
            <w:noWrap/>
            <w:hideMark/>
          </w:tcPr>
          <w:p w:rsidR="005279C7" w:rsidRPr="00221BBA" w:rsidRDefault="005279C7" w:rsidP="00C64E02">
            <w:pPr>
              <w:suppressAutoHyphens w:val="0"/>
              <w:spacing w:before="40" w:after="40" w:line="220" w:lineRule="exact"/>
              <w:rPr>
                <w:sz w:val="18"/>
              </w:rPr>
            </w:pPr>
            <w:r w:rsidRPr="00221BBA">
              <w:rPr>
                <w:sz w:val="18"/>
              </w:rPr>
              <w:t>Slovénie</w:t>
            </w:r>
          </w:p>
        </w:tc>
        <w:tc>
          <w:tcPr>
            <w:tcW w:w="1010" w:type="pct"/>
            <w:shd w:val="clear" w:color="auto" w:fill="auto"/>
            <w:noWrap/>
            <w:vAlign w:val="bottom"/>
            <w:hideMark/>
          </w:tcPr>
          <w:p w:rsidR="005279C7" w:rsidRPr="00221BBA" w:rsidRDefault="005279C7" w:rsidP="00C64E02">
            <w:pPr>
              <w:suppressAutoHyphens w:val="0"/>
              <w:spacing w:before="40" w:after="40" w:line="220" w:lineRule="exact"/>
              <w:jc w:val="right"/>
              <w:rPr>
                <w:sz w:val="18"/>
              </w:rPr>
            </w:pPr>
            <w:r w:rsidRPr="00221BBA">
              <w:rPr>
                <w:sz w:val="18"/>
              </w:rPr>
              <w:t>0,076</w:t>
            </w:r>
          </w:p>
        </w:tc>
        <w:tc>
          <w:tcPr>
            <w:tcW w:w="1010" w:type="pct"/>
            <w:shd w:val="clear" w:color="auto" w:fill="auto"/>
            <w:noWrap/>
            <w:vAlign w:val="bottom"/>
          </w:tcPr>
          <w:p w:rsidR="005279C7" w:rsidRPr="00221BBA" w:rsidRDefault="005279C7" w:rsidP="00C64E02">
            <w:pPr>
              <w:suppressAutoHyphens w:val="0"/>
              <w:spacing w:before="40" w:after="40" w:line="220" w:lineRule="exact"/>
              <w:jc w:val="right"/>
              <w:rPr>
                <w:sz w:val="18"/>
              </w:rPr>
            </w:pPr>
            <w:r w:rsidRPr="00221BBA">
              <w:rPr>
                <w:sz w:val="18"/>
              </w:rPr>
              <w:t>0,226</w:t>
            </w:r>
          </w:p>
        </w:tc>
        <w:tc>
          <w:tcPr>
            <w:tcW w:w="1730" w:type="pct"/>
            <w:shd w:val="clear" w:color="auto" w:fill="auto"/>
            <w:vAlign w:val="bottom"/>
          </w:tcPr>
          <w:p w:rsidR="005279C7" w:rsidRPr="00221BBA" w:rsidRDefault="005279C7" w:rsidP="00C64E02">
            <w:pPr>
              <w:suppressAutoHyphens w:val="0"/>
              <w:spacing w:before="40" w:after="40" w:line="220" w:lineRule="exact"/>
              <w:jc w:val="right"/>
              <w:rPr>
                <w:sz w:val="18"/>
              </w:rPr>
            </w:pPr>
          </w:p>
        </w:tc>
      </w:tr>
      <w:tr w:rsidR="00492324" w:rsidRPr="00221BBA" w:rsidTr="005E6839">
        <w:tblPrEx>
          <w:tblBorders>
            <w:top w:val="none" w:sz="0" w:space="0" w:color="auto"/>
            <w:bottom w:val="none" w:sz="0" w:space="0" w:color="auto"/>
          </w:tblBorders>
        </w:tblPrEx>
        <w:tc>
          <w:tcPr>
            <w:tcW w:w="1250" w:type="pct"/>
            <w:shd w:val="clear" w:color="auto" w:fill="auto"/>
            <w:noWrap/>
            <w:hideMark/>
          </w:tcPr>
          <w:p w:rsidR="005279C7" w:rsidRPr="00221BBA" w:rsidRDefault="005279C7" w:rsidP="00C64E02">
            <w:pPr>
              <w:suppressAutoHyphens w:val="0"/>
              <w:spacing w:before="40" w:after="40" w:line="220" w:lineRule="exact"/>
              <w:rPr>
                <w:sz w:val="18"/>
              </w:rPr>
            </w:pPr>
            <w:r w:rsidRPr="00221BBA">
              <w:rPr>
                <w:sz w:val="18"/>
              </w:rPr>
              <w:t>Suède</w:t>
            </w:r>
          </w:p>
        </w:tc>
        <w:tc>
          <w:tcPr>
            <w:tcW w:w="1010" w:type="pct"/>
            <w:shd w:val="clear" w:color="auto" w:fill="auto"/>
            <w:noWrap/>
            <w:vAlign w:val="bottom"/>
            <w:hideMark/>
          </w:tcPr>
          <w:p w:rsidR="005279C7" w:rsidRPr="00221BBA" w:rsidRDefault="005279C7" w:rsidP="00C64E02">
            <w:pPr>
              <w:suppressAutoHyphens w:val="0"/>
              <w:spacing w:before="40" w:after="40" w:line="220" w:lineRule="exact"/>
              <w:jc w:val="right"/>
              <w:rPr>
                <w:sz w:val="18"/>
              </w:rPr>
            </w:pPr>
            <w:r w:rsidRPr="00221BBA">
              <w:rPr>
                <w:sz w:val="18"/>
              </w:rPr>
              <w:t>0,906</w:t>
            </w:r>
          </w:p>
        </w:tc>
        <w:tc>
          <w:tcPr>
            <w:tcW w:w="1010" w:type="pct"/>
            <w:shd w:val="clear" w:color="auto" w:fill="auto"/>
            <w:noWrap/>
            <w:vAlign w:val="bottom"/>
          </w:tcPr>
          <w:p w:rsidR="005279C7" w:rsidRPr="00221BBA" w:rsidRDefault="005279C7" w:rsidP="00C64E02">
            <w:pPr>
              <w:suppressAutoHyphens w:val="0"/>
              <w:spacing w:before="40" w:after="40" w:line="220" w:lineRule="exact"/>
              <w:jc w:val="right"/>
              <w:rPr>
                <w:sz w:val="18"/>
              </w:rPr>
            </w:pPr>
            <w:r w:rsidRPr="00221BBA">
              <w:rPr>
                <w:sz w:val="18"/>
              </w:rPr>
              <w:t>2,700</w:t>
            </w:r>
          </w:p>
        </w:tc>
        <w:tc>
          <w:tcPr>
            <w:tcW w:w="1730" w:type="pct"/>
            <w:shd w:val="clear" w:color="auto" w:fill="auto"/>
            <w:vAlign w:val="bottom"/>
          </w:tcPr>
          <w:p w:rsidR="005279C7" w:rsidRPr="00221BBA" w:rsidRDefault="005279C7" w:rsidP="00C64E02">
            <w:pPr>
              <w:suppressAutoHyphens w:val="0"/>
              <w:spacing w:before="40" w:after="40" w:line="220" w:lineRule="exact"/>
              <w:jc w:val="right"/>
              <w:rPr>
                <w:sz w:val="18"/>
              </w:rPr>
            </w:pPr>
          </w:p>
        </w:tc>
      </w:tr>
      <w:tr w:rsidR="00492324" w:rsidRPr="00221BBA" w:rsidTr="005E6839">
        <w:tblPrEx>
          <w:tblBorders>
            <w:top w:val="none" w:sz="0" w:space="0" w:color="auto"/>
            <w:bottom w:val="none" w:sz="0" w:space="0" w:color="auto"/>
          </w:tblBorders>
        </w:tblPrEx>
        <w:tc>
          <w:tcPr>
            <w:tcW w:w="1250" w:type="pct"/>
            <w:shd w:val="clear" w:color="auto" w:fill="auto"/>
            <w:noWrap/>
            <w:hideMark/>
          </w:tcPr>
          <w:p w:rsidR="005279C7" w:rsidRPr="00221BBA" w:rsidRDefault="005279C7" w:rsidP="00C64E02">
            <w:pPr>
              <w:suppressAutoHyphens w:val="0"/>
              <w:spacing w:before="40" w:after="40" w:line="220" w:lineRule="exact"/>
              <w:rPr>
                <w:sz w:val="18"/>
              </w:rPr>
            </w:pPr>
            <w:r w:rsidRPr="00221BBA">
              <w:rPr>
                <w:sz w:val="18"/>
              </w:rPr>
              <w:t>Suisse</w:t>
            </w:r>
          </w:p>
        </w:tc>
        <w:tc>
          <w:tcPr>
            <w:tcW w:w="1010" w:type="pct"/>
            <w:shd w:val="clear" w:color="auto" w:fill="auto"/>
            <w:noWrap/>
            <w:vAlign w:val="bottom"/>
            <w:hideMark/>
          </w:tcPr>
          <w:p w:rsidR="005279C7" w:rsidRPr="00221BBA" w:rsidRDefault="005279C7" w:rsidP="00C64E02">
            <w:pPr>
              <w:suppressAutoHyphens w:val="0"/>
              <w:spacing w:before="40" w:after="40" w:line="220" w:lineRule="exact"/>
              <w:jc w:val="right"/>
              <w:rPr>
                <w:sz w:val="18"/>
              </w:rPr>
            </w:pPr>
            <w:r w:rsidRPr="00221BBA">
              <w:rPr>
                <w:sz w:val="18"/>
              </w:rPr>
              <w:t>1,151</w:t>
            </w:r>
          </w:p>
        </w:tc>
        <w:tc>
          <w:tcPr>
            <w:tcW w:w="1010" w:type="pct"/>
            <w:shd w:val="clear" w:color="auto" w:fill="auto"/>
            <w:noWrap/>
            <w:vAlign w:val="bottom"/>
          </w:tcPr>
          <w:p w:rsidR="005279C7" w:rsidRPr="00221BBA" w:rsidRDefault="005279C7" w:rsidP="00C64E02">
            <w:pPr>
              <w:suppressAutoHyphens w:val="0"/>
              <w:spacing w:before="40" w:after="40" w:line="220" w:lineRule="exact"/>
              <w:jc w:val="right"/>
              <w:rPr>
                <w:sz w:val="18"/>
              </w:rPr>
            </w:pPr>
            <w:r w:rsidRPr="00221BBA">
              <w:rPr>
                <w:sz w:val="18"/>
              </w:rPr>
              <w:t>3,430</w:t>
            </w:r>
          </w:p>
        </w:tc>
        <w:tc>
          <w:tcPr>
            <w:tcW w:w="1730" w:type="pct"/>
            <w:shd w:val="clear" w:color="auto" w:fill="auto"/>
            <w:vAlign w:val="bottom"/>
          </w:tcPr>
          <w:p w:rsidR="005279C7" w:rsidRPr="00221BBA" w:rsidRDefault="005279C7" w:rsidP="00C64E02">
            <w:pPr>
              <w:suppressAutoHyphens w:val="0"/>
              <w:spacing w:before="40" w:after="40" w:line="220" w:lineRule="exact"/>
              <w:jc w:val="right"/>
              <w:rPr>
                <w:sz w:val="18"/>
              </w:rPr>
            </w:pPr>
          </w:p>
        </w:tc>
      </w:tr>
      <w:tr w:rsidR="00492324" w:rsidRPr="00221BBA" w:rsidTr="005E6839">
        <w:tblPrEx>
          <w:tblBorders>
            <w:top w:val="none" w:sz="0" w:space="0" w:color="auto"/>
            <w:bottom w:val="none" w:sz="0" w:space="0" w:color="auto"/>
          </w:tblBorders>
        </w:tblPrEx>
        <w:tc>
          <w:tcPr>
            <w:tcW w:w="1250" w:type="pct"/>
            <w:shd w:val="clear" w:color="auto" w:fill="auto"/>
            <w:noWrap/>
            <w:hideMark/>
          </w:tcPr>
          <w:p w:rsidR="005279C7" w:rsidRPr="00221BBA" w:rsidRDefault="005279C7" w:rsidP="00C64E02">
            <w:pPr>
              <w:suppressAutoHyphens w:val="0"/>
              <w:spacing w:before="40" w:after="40" w:line="220" w:lineRule="exact"/>
              <w:rPr>
                <w:sz w:val="18"/>
              </w:rPr>
            </w:pPr>
            <w:r w:rsidRPr="00221BBA">
              <w:rPr>
                <w:sz w:val="18"/>
              </w:rPr>
              <w:t>Tchéquie</w:t>
            </w:r>
          </w:p>
        </w:tc>
        <w:tc>
          <w:tcPr>
            <w:tcW w:w="1010" w:type="pct"/>
            <w:shd w:val="clear" w:color="auto" w:fill="auto"/>
            <w:noWrap/>
            <w:vAlign w:val="bottom"/>
            <w:hideMark/>
          </w:tcPr>
          <w:p w:rsidR="005279C7" w:rsidRPr="00221BBA" w:rsidRDefault="005279C7" w:rsidP="00C64E02">
            <w:pPr>
              <w:suppressAutoHyphens w:val="0"/>
              <w:spacing w:before="40" w:after="40" w:line="220" w:lineRule="exact"/>
              <w:jc w:val="right"/>
              <w:rPr>
                <w:sz w:val="18"/>
              </w:rPr>
            </w:pPr>
            <w:r w:rsidRPr="00221BBA">
              <w:rPr>
                <w:sz w:val="18"/>
              </w:rPr>
              <w:t>0,311</w:t>
            </w:r>
          </w:p>
        </w:tc>
        <w:tc>
          <w:tcPr>
            <w:tcW w:w="1010" w:type="pct"/>
            <w:shd w:val="clear" w:color="auto" w:fill="auto"/>
            <w:noWrap/>
            <w:vAlign w:val="bottom"/>
          </w:tcPr>
          <w:p w:rsidR="005279C7" w:rsidRPr="00221BBA" w:rsidRDefault="005279C7" w:rsidP="00C64E02">
            <w:pPr>
              <w:suppressAutoHyphens w:val="0"/>
              <w:spacing w:before="40" w:after="40" w:line="220" w:lineRule="exact"/>
              <w:jc w:val="right"/>
              <w:rPr>
                <w:sz w:val="18"/>
              </w:rPr>
            </w:pPr>
            <w:r w:rsidRPr="00221BBA">
              <w:rPr>
                <w:sz w:val="18"/>
              </w:rPr>
              <w:t>0,927</w:t>
            </w:r>
          </w:p>
        </w:tc>
        <w:tc>
          <w:tcPr>
            <w:tcW w:w="1730" w:type="pct"/>
            <w:shd w:val="clear" w:color="auto" w:fill="auto"/>
            <w:vAlign w:val="bottom"/>
          </w:tcPr>
          <w:p w:rsidR="005279C7" w:rsidRPr="00221BBA" w:rsidRDefault="005279C7" w:rsidP="00C64E02">
            <w:pPr>
              <w:suppressAutoHyphens w:val="0"/>
              <w:spacing w:before="40" w:after="40" w:line="220" w:lineRule="exact"/>
              <w:jc w:val="right"/>
              <w:rPr>
                <w:sz w:val="18"/>
              </w:rPr>
            </w:pPr>
          </w:p>
        </w:tc>
      </w:tr>
      <w:tr w:rsidR="00492324" w:rsidRPr="00221BBA" w:rsidTr="005E6839">
        <w:tblPrEx>
          <w:tblBorders>
            <w:top w:val="none" w:sz="0" w:space="0" w:color="auto"/>
            <w:bottom w:val="none" w:sz="0" w:space="0" w:color="auto"/>
          </w:tblBorders>
        </w:tblPrEx>
        <w:tc>
          <w:tcPr>
            <w:tcW w:w="1250" w:type="pct"/>
            <w:shd w:val="clear" w:color="auto" w:fill="auto"/>
            <w:noWrap/>
            <w:hideMark/>
          </w:tcPr>
          <w:p w:rsidR="005279C7" w:rsidRPr="00221BBA" w:rsidRDefault="005279C7" w:rsidP="00C64E02">
            <w:pPr>
              <w:suppressAutoHyphens w:val="0"/>
              <w:spacing w:before="40" w:after="40" w:line="220" w:lineRule="exact"/>
              <w:rPr>
                <w:sz w:val="18"/>
              </w:rPr>
            </w:pPr>
            <w:r w:rsidRPr="00221BBA">
              <w:rPr>
                <w:sz w:val="18"/>
              </w:rPr>
              <w:t>Ukraine</w:t>
            </w:r>
          </w:p>
        </w:tc>
        <w:tc>
          <w:tcPr>
            <w:tcW w:w="1010" w:type="pct"/>
            <w:shd w:val="clear" w:color="auto" w:fill="auto"/>
            <w:noWrap/>
            <w:vAlign w:val="bottom"/>
            <w:hideMark/>
          </w:tcPr>
          <w:p w:rsidR="005279C7" w:rsidRPr="00221BBA" w:rsidRDefault="005279C7" w:rsidP="00C64E02">
            <w:pPr>
              <w:suppressAutoHyphens w:val="0"/>
              <w:spacing w:before="40" w:after="40" w:line="220" w:lineRule="exact"/>
              <w:jc w:val="right"/>
              <w:rPr>
                <w:sz w:val="18"/>
              </w:rPr>
            </w:pPr>
            <w:r w:rsidRPr="00221BBA">
              <w:rPr>
                <w:sz w:val="18"/>
              </w:rPr>
              <w:t>0,057</w:t>
            </w:r>
          </w:p>
        </w:tc>
        <w:tc>
          <w:tcPr>
            <w:tcW w:w="1010" w:type="pct"/>
            <w:shd w:val="clear" w:color="auto" w:fill="auto"/>
            <w:noWrap/>
            <w:vAlign w:val="bottom"/>
          </w:tcPr>
          <w:p w:rsidR="005279C7" w:rsidRPr="00221BBA" w:rsidRDefault="005279C7" w:rsidP="00C64E02">
            <w:pPr>
              <w:suppressAutoHyphens w:val="0"/>
              <w:spacing w:before="40" w:after="40" w:line="220" w:lineRule="exact"/>
              <w:jc w:val="right"/>
              <w:rPr>
                <w:sz w:val="18"/>
              </w:rPr>
            </w:pPr>
            <w:r w:rsidRPr="00221BBA">
              <w:rPr>
                <w:sz w:val="18"/>
              </w:rPr>
              <w:t>0,170</w:t>
            </w:r>
          </w:p>
        </w:tc>
        <w:tc>
          <w:tcPr>
            <w:tcW w:w="1730" w:type="pct"/>
            <w:shd w:val="clear" w:color="auto" w:fill="auto"/>
            <w:vAlign w:val="bottom"/>
          </w:tcPr>
          <w:p w:rsidR="005279C7" w:rsidRPr="00221BBA" w:rsidRDefault="005279C7" w:rsidP="00C64E02">
            <w:pPr>
              <w:suppressAutoHyphens w:val="0"/>
              <w:spacing w:before="40" w:after="40" w:line="220" w:lineRule="exact"/>
              <w:jc w:val="right"/>
              <w:rPr>
                <w:sz w:val="18"/>
              </w:rPr>
            </w:pPr>
          </w:p>
        </w:tc>
      </w:tr>
      <w:tr w:rsidR="00492324" w:rsidRPr="00221BBA" w:rsidTr="005E6839">
        <w:tblPrEx>
          <w:tblBorders>
            <w:top w:val="none" w:sz="0" w:space="0" w:color="auto"/>
            <w:bottom w:val="none" w:sz="0" w:space="0" w:color="auto"/>
          </w:tblBorders>
        </w:tblPrEx>
        <w:tc>
          <w:tcPr>
            <w:tcW w:w="1250" w:type="pct"/>
            <w:tcBorders>
              <w:bottom w:val="single" w:sz="4" w:space="0" w:color="auto"/>
            </w:tcBorders>
            <w:shd w:val="clear" w:color="auto" w:fill="auto"/>
            <w:noWrap/>
          </w:tcPr>
          <w:p w:rsidR="005279C7" w:rsidRPr="00221BBA" w:rsidRDefault="005279C7" w:rsidP="00C64E02">
            <w:pPr>
              <w:suppressAutoHyphens w:val="0"/>
              <w:spacing w:before="40" w:after="40" w:line="220" w:lineRule="exact"/>
              <w:rPr>
                <w:sz w:val="18"/>
              </w:rPr>
            </w:pPr>
            <w:r w:rsidRPr="00221BBA">
              <w:rPr>
                <w:sz w:val="18"/>
              </w:rPr>
              <w:t>Union européenne</w:t>
            </w:r>
            <w:r w:rsidRPr="00221BBA">
              <w:rPr>
                <w:i/>
                <w:iCs/>
                <w:sz w:val="16"/>
                <w:szCs w:val="16"/>
                <w:vertAlign w:val="superscript"/>
              </w:rPr>
              <w:t>c</w:t>
            </w:r>
            <w:r w:rsidRPr="00221BBA">
              <w:rPr>
                <w:iCs/>
                <w:sz w:val="16"/>
                <w:szCs w:val="16"/>
                <w:vertAlign w:val="superscript"/>
              </w:rPr>
              <w:t xml:space="preserve">, </w:t>
            </w:r>
            <w:r w:rsidRPr="00221BBA">
              <w:rPr>
                <w:i/>
                <w:iCs/>
                <w:sz w:val="16"/>
                <w:szCs w:val="16"/>
                <w:vertAlign w:val="superscript"/>
              </w:rPr>
              <w:t>d</w:t>
            </w:r>
          </w:p>
        </w:tc>
        <w:tc>
          <w:tcPr>
            <w:tcW w:w="1010" w:type="pct"/>
            <w:tcBorders>
              <w:bottom w:val="single" w:sz="4" w:space="0" w:color="auto"/>
            </w:tcBorders>
            <w:shd w:val="clear" w:color="auto" w:fill="auto"/>
            <w:noWrap/>
            <w:vAlign w:val="bottom"/>
          </w:tcPr>
          <w:p w:rsidR="005279C7" w:rsidRPr="00221BBA" w:rsidRDefault="005E6839" w:rsidP="00C64E02">
            <w:pPr>
              <w:suppressAutoHyphens w:val="0"/>
              <w:spacing w:before="40" w:after="40" w:line="220" w:lineRule="exact"/>
              <w:jc w:val="right"/>
              <w:rPr>
                <w:sz w:val="18"/>
              </w:rPr>
            </w:pPr>
            <w:r w:rsidRPr="00221BBA">
              <w:rPr>
                <w:sz w:val="18"/>
              </w:rPr>
              <w:t>-</w:t>
            </w:r>
          </w:p>
        </w:tc>
        <w:tc>
          <w:tcPr>
            <w:tcW w:w="1010" w:type="pct"/>
            <w:tcBorders>
              <w:bottom w:val="single" w:sz="4" w:space="0" w:color="auto"/>
            </w:tcBorders>
            <w:shd w:val="clear" w:color="auto" w:fill="auto"/>
            <w:noWrap/>
            <w:vAlign w:val="bottom"/>
          </w:tcPr>
          <w:p w:rsidR="005279C7" w:rsidRPr="00221BBA" w:rsidRDefault="005E6839" w:rsidP="00C64E02">
            <w:pPr>
              <w:suppressAutoHyphens w:val="0"/>
              <w:spacing w:before="40" w:after="40" w:line="220" w:lineRule="exact"/>
              <w:jc w:val="right"/>
              <w:rPr>
                <w:sz w:val="18"/>
              </w:rPr>
            </w:pPr>
            <w:r w:rsidRPr="00221BBA">
              <w:rPr>
                <w:sz w:val="18"/>
              </w:rPr>
              <w:t>-</w:t>
            </w:r>
          </w:p>
        </w:tc>
        <w:tc>
          <w:tcPr>
            <w:tcW w:w="1730" w:type="pct"/>
            <w:tcBorders>
              <w:bottom w:val="single" w:sz="4" w:space="0" w:color="auto"/>
            </w:tcBorders>
            <w:shd w:val="clear" w:color="auto" w:fill="auto"/>
            <w:vAlign w:val="bottom"/>
          </w:tcPr>
          <w:p w:rsidR="005279C7" w:rsidRPr="00221BBA" w:rsidRDefault="005279C7" w:rsidP="00C64E02">
            <w:pPr>
              <w:suppressAutoHyphens w:val="0"/>
              <w:spacing w:before="40" w:after="40" w:line="220" w:lineRule="exact"/>
              <w:jc w:val="right"/>
              <w:rPr>
                <w:sz w:val="18"/>
              </w:rPr>
            </w:pPr>
          </w:p>
        </w:tc>
      </w:tr>
      <w:tr w:rsidR="00492324" w:rsidRPr="00221BBA" w:rsidTr="005E6839">
        <w:tblPrEx>
          <w:tblBorders>
            <w:top w:val="none" w:sz="0" w:space="0" w:color="auto"/>
            <w:bottom w:val="none" w:sz="0" w:space="0" w:color="auto"/>
          </w:tblBorders>
        </w:tblPrEx>
        <w:tc>
          <w:tcPr>
            <w:tcW w:w="1250" w:type="pct"/>
            <w:tcBorders>
              <w:top w:val="single" w:sz="4" w:space="0" w:color="auto"/>
              <w:bottom w:val="single" w:sz="12" w:space="0" w:color="auto"/>
            </w:tcBorders>
            <w:shd w:val="clear" w:color="auto" w:fill="auto"/>
            <w:noWrap/>
            <w:hideMark/>
          </w:tcPr>
          <w:p w:rsidR="00F11985" w:rsidRPr="00221BBA" w:rsidRDefault="00F11985" w:rsidP="005E6839">
            <w:pPr>
              <w:suppressAutoHyphens w:val="0"/>
              <w:spacing w:before="80" w:after="80" w:line="220" w:lineRule="exact"/>
              <w:ind w:left="283"/>
              <w:rPr>
                <w:b/>
                <w:sz w:val="18"/>
              </w:rPr>
            </w:pPr>
            <w:r w:rsidRPr="00221BBA">
              <w:rPr>
                <w:b/>
                <w:sz w:val="18"/>
              </w:rPr>
              <w:t>Total</w:t>
            </w:r>
          </w:p>
        </w:tc>
        <w:tc>
          <w:tcPr>
            <w:tcW w:w="1010" w:type="pct"/>
            <w:tcBorders>
              <w:top w:val="single" w:sz="4" w:space="0" w:color="auto"/>
              <w:bottom w:val="single" w:sz="12" w:space="0" w:color="auto"/>
            </w:tcBorders>
            <w:shd w:val="clear" w:color="auto" w:fill="auto"/>
            <w:noWrap/>
            <w:vAlign w:val="bottom"/>
            <w:hideMark/>
          </w:tcPr>
          <w:p w:rsidR="00F11985" w:rsidRPr="00221BBA" w:rsidRDefault="00F11985" w:rsidP="005E6839">
            <w:pPr>
              <w:suppressAutoHyphens w:val="0"/>
              <w:spacing w:before="80" w:after="80" w:line="220" w:lineRule="exact"/>
              <w:jc w:val="right"/>
              <w:rPr>
                <w:b/>
                <w:sz w:val="18"/>
              </w:rPr>
            </w:pPr>
            <w:r w:rsidRPr="00221BBA">
              <w:rPr>
                <w:b/>
                <w:sz w:val="18"/>
              </w:rPr>
              <w:t>33</w:t>
            </w:r>
            <w:r w:rsidR="005279C7" w:rsidRPr="00221BBA">
              <w:rPr>
                <w:b/>
                <w:sz w:val="18"/>
              </w:rPr>
              <w:t>,</w:t>
            </w:r>
            <w:r w:rsidRPr="00221BBA">
              <w:rPr>
                <w:b/>
                <w:sz w:val="18"/>
              </w:rPr>
              <w:t>557</w:t>
            </w:r>
          </w:p>
        </w:tc>
        <w:tc>
          <w:tcPr>
            <w:tcW w:w="1010" w:type="pct"/>
            <w:tcBorders>
              <w:top w:val="single" w:sz="4" w:space="0" w:color="auto"/>
              <w:bottom w:val="single" w:sz="12" w:space="0" w:color="auto"/>
            </w:tcBorders>
            <w:shd w:val="clear" w:color="auto" w:fill="auto"/>
            <w:noWrap/>
            <w:vAlign w:val="bottom"/>
            <w:hideMark/>
          </w:tcPr>
          <w:p w:rsidR="00F11985" w:rsidRPr="00221BBA" w:rsidRDefault="00F11985" w:rsidP="005E6839">
            <w:pPr>
              <w:suppressAutoHyphens w:val="0"/>
              <w:spacing w:before="80" w:after="80" w:line="220" w:lineRule="exact"/>
              <w:jc w:val="right"/>
              <w:rPr>
                <w:b/>
                <w:sz w:val="18"/>
              </w:rPr>
            </w:pPr>
            <w:r w:rsidRPr="00221BBA">
              <w:rPr>
                <w:b/>
                <w:sz w:val="18"/>
              </w:rPr>
              <w:t>100</w:t>
            </w:r>
            <w:r w:rsidR="005279C7" w:rsidRPr="00221BBA">
              <w:rPr>
                <w:b/>
                <w:sz w:val="18"/>
              </w:rPr>
              <w:t>,</w:t>
            </w:r>
            <w:r w:rsidRPr="00221BBA">
              <w:rPr>
                <w:b/>
                <w:sz w:val="18"/>
              </w:rPr>
              <w:t>0</w:t>
            </w:r>
          </w:p>
        </w:tc>
        <w:tc>
          <w:tcPr>
            <w:tcW w:w="1730" w:type="pct"/>
            <w:tcBorders>
              <w:top w:val="single" w:sz="4" w:space="0" w:color="auto"/>
              <w:bottom w:val="single" w:sz="12" w:space="0" w:color="auto"/>
            </w:tcBorders>
            <w:shd w:val="clear" w:color="auto" w:fill="auto"/>
            <w:vAlign w:val="bottom"/>
          </w:tcPr>
          <w:p w:rsidR="00F11985" w:rsidRPr="00221BBA" w:rsidRDefault="00F11985" w:rsidP="005E6839">
            <w:pPr>
              <w:suppressAutoHyphens w:val="0"/>
              <w:spacing w:before="80" w:after="80" w:line="220" w:lineRule="exact"/>
              <w:jc w:val="right"/>
              <w:rPr>
                <w:b/>
                <w:sz w:val="18"/>
              </w:rPr>
            </w:pPr>
          </w:p>
        </w:tc>
      </w:tr>
    </w:tbl>
    <w:bookmarkEnd w:id="6"/>
    <w:bookmarkEnd w:id="7"/>
    <w:p w:rsidR="00F11985" w:rsidRPr="00221BBA" w:rsidRDefault="00F11985" w:rsidP="005E6839">
      <w:pPr>
        <w:pStyle w:val="SingleTxtG"/>
        <w:spacing w:after="0" w:line="200" w:lineRule="atLeast"/>
        <w:ind w:firstLine="170"/>
        <w:jc w:val="left"/>
        <w:rPr>
          <w:sz w:val="18"/>
          <w:szCs w:val="18"/>
        </w:rPr>
      </w:pPr>
      <w:r w:rsidRPr="00221BBA">
        <w:rPr>
          <w:i/>
          <w:iCs/>
          <w:sz w:val="18"/>
          <w:szCs w:val="18"/>
          <w:vertAlign w:val="superscript"/>
        </w:rPr>
        <w:t>a</w:t>
      </w:r>
      <w:r w:rsidR="005E6839" w:rsidRPr="00221BBA">
        <w:rPr>
          <w:i/>
          <w:iCs/>
          <w:sz w:val="18"/>
          <w:szCs w:val="18"/>
        </w:rPr>
        <w:t xml:space="preserve">  </w:t>
      </w:r>
      <w:r w:rsidRPr="00221BBA">
        <w:rPr>
          <w:sz w:val="18"/>
          <w:szCs w:val="18"/>
        </w:rPr>
        <w:t>Les chiffres de la colonne B sont extraits du barème des quotes-parts figurant dans la résolution 73/271 de l’Assemblée générale, adoptée le 22</w:t>
      </w:r>
      <w:r w:rsidR="005E6839" w:rsidRPr="00221BBA">
        <w:rPr>
          <w:sz w:val="18"/>
          <w:szCs w:val="18"/>
        </w:rPr>
        <w:t> </w:t>
      </w:r>
      <w:r w:rsidRPr="00221BBA">
        <w:rPr>
          <w:sz w:val="18"/>
          <w:szCs w:val="18"/>
        </w:rPr>
        <w:t>décembre 2018, pour rendre compte de la force économique des pays dans la période 2019</w:t>
      </w:r>
      <w:r w:rsidR="005E6839" w:rsidRPr="00221BBA">
        <w:rPr>
          <w:sz w:val="18"/>
          <w:szCs w:val="18"/>
        </w:rPr>
        <w:t>-</w:t>
      </w:r>
      <w:r w:rsidRPr="00221BBA">
        <w:rPr>
          <w:sz w:val="18"/>
          <w:szCs w:val="18"/>
        </w:rPr>
        <w:t>2021 et déterminer les contributions des États Membres de</w:t>
      </w:r>
      <w:r w:rsidR="005E6839" w:rsidRPr="00221BBA">
        <w:rPr>
          <w:sz w:val="18"/>
          <w:szCs w:val="18"/>
        </w:rPr>
        <w:t> </w:t>
      </w:r>
      <w:r w:rsidRPr="00221BBA">
        <w:rPr>
          <w:sz w:val="18"/>
          <w:szCs w:val="18"/>
        </w:rPr>
        <w:t>l’ONU au budget ordinaire de l’Organisation.</w:t>
      </w:r>
    </w:p>
    <w:p w:rsidR="00F11985" w:rsidRPr="00221BBA" w:rsidRDefault="00F11985" w:rsidP="005E6839">
      <w:pPr>
        <w:pStyle w:val="SingleTxtG"/>
        <w:spacing w:after="0" w:line="200" w:lineRule="atLeast"/>
        <w:ind w:firstLine="170"/>
        <w:jc w:val="left"/>
        <w:rPr>
          <w:sz w:val="18"/>
          <w:szCs w:val="18"/>
        </w:rPr>
      </w:pPr>
      <w:r w:rsidRPr="00221BBA">
        <w:rPr>
          <w:i/>
          <w:iCs/>
          <w:sz w:val="18"/>
          <w:szCs w:val="18"/>
          <w:vertAlign w:val="superscript"/>
        </w:rPr>
        <w:t>b</w:t>
      </w:r>
      <w:r w:rsidR="005E6839" w:rsidRPr="00221BBA">
        <w:rPr>
          <w:i/>
          <w:iCs/>
          <w:sz w:val="18"/>
          <w:szCs w:val="18"/>
        </w:rPr>
        <w:t xml:space="preserve">  </w:t>
      </w:r>
      <w:r w:rsidRPr="00221BBA">
        <w:rPr>
          <w:sz w:val="18"/>
          <w:szCs w:val="18"/>
        </w:rPr>
        <w:t>Les pourcentages indiqués dans le barème des quotes-parts de l’ONU ont été ajustés en fonction du nombre de Parties à la Convention (en utilisant un multiplicateur de 2,98, afin de parvenir à un total de 100 %).</w:t>
      </w:r>
    </w:p>
    <w:p w:rsidR="00F11985" w:rsidRPr="00221BBA" w:rsidRDefault="00F11985" w:rsidP="005E6839">
      <w:pPr>
        <w:pStyle w:val="SingleTxtG"/>
        <w:spacing w:after="0" w:line="200" w:lineRule="atLeast"/>
        <w:ind w:firstLine="170"/>
        <w:jc w:val="left"/>
        <w:rPr>
          <w:sz w:val="18"/>
          <w:szCs w:val="18"/>
        </w:rPr>
      </w:pPr>
      <w:r w:rsidRPr="00221BBA">
        <w:rPr>
          <w:i/>
          <w:iCs/>
          <w:sz w:val="18"/>
          <w:szCs w:val="18"/>
          <w:vertAlign w:val="superscript"/>
        </w:rPr>
        <w:t>c</w:t>
      </w:r>
      <w:r w:rsidR="005E6839" w:rsidRPr="00221BBA">
        <w:rPr>
          <w:i/>
          <w:iCs/>
          <w:sz w:val="18"/>
          <w:szCs w:val="18"/>
        </w:rPr>
        <w:t xml:space="preserve">  </w:t>
      </w:r>
      <w:r w:rsidRPr="00221BBA">
        <w:rPr>
          <w:sz w:val="18"/>
          <w:szCs w:val="18"/>
        </w:rPr>
        <w:t xml:space="preserve">Sous réserve des dispositions de la note </w:t>
      </w:r>
      <w:r w:rsidRPr="00221BBA">
        <w:rPr>
          <w:i/>
          <w:sz w:val="18"/>
          <w:szCs w:val="18"/>
        </w:rPr>
        <w:t>d</w:t>
      </w:r>
      <w:r w:rsidRPr="00221BBA">
        <w:rPr>
          <w:sz w:val="18"/>
          <w:szCs w:val="18"/>
        </w:rPr>
        <w:t xml:space="preserve"> ci-après sur la contribution de l’Union européenne (UE), les chiffres de la colonne D seront obtenus en multipliant le pourcentage indiqué dans la colonne C par le montant estimatif annuel des ressources nécessaires à l’exécution du plan de travail 2021</w:t>
      </w:r>
      <w:r w:rsidR="005E6839" w:rsidRPr="00221BBA">
        <w:rPr>
          <w:sz w:val="18"/>
          <w:szCs w:val="18"/>
        </w:rPr>
        <w:t>-</w:t>
      </w:r>
      <w:r w:rsidRPr="00221BBA">
        <w:rPr>
          <w:sz w:val="18"/>
          <w:szCs w:val="18"/>
        </w:rPr>
        <w:t>2023 qui sera recommandé par le Bureau. Le montant réel de la contribution à verser par chaque Partie sera calculé en temps utile, après examen et approbation des projets de décision relatives au programme de travail et au budget pour 2021</w:t>
      </w:r>
      <w:r w:rsidR="005E6839" w:rsidRPr="00221BBA">
        <w:rPr>
          <w:sz w:val="18"/>
          <w:szCs w:val="18"/>
        </w:rPr>
        <w:t>-</w:t>
      </w:r>
      <w:r w:rsidRPr="00221BBA">
        <w:rPr>
          <w:sz w:val="18"/>
          <w:szCs w:val="18"/>
        </w:rPr>
        <w:t>2023, et sera réajusté sur la base du nouveau barème des quotes-parts de l’ONU pour la période 2022</w:t>
      </w:r>
      <w:r w:rsidR="005E6839" w:rsidRPr="00221BBA">
        <w:rPr>
          <w:sz w:val="18"/>
          <w:szCs w:val="18"/>
        </w:rPr>
        <w:t>-</w:t>
      </w:r>
      <w:r w:rsidRPr="00221BBA">
        <w:rPr>
          <w:sz w:val="18"/>
          <w:szCs w:val="18"/>
        </w:rPr>
        <w:t>2024 qui doit être adopté par l’Assemblée générale.</w:t>
      </w:r>
    </w:p>
    <w:p w:rsidR="00F11985" w:rsidRPr="00221BBA" w:rsidRDefault="00F11985" w:rsidP="005E6839">
      <w:pPr>
        <w:pStyle w:val="SingleTxtG"/>
        <w:spacing w:after="0" w:line="200" w:lineRule="atLeast"/>
        <w:ind w:firstLine="170"/>
        <w:jc w:val="left"/>
        <w:rPr>
          <w:sz w:val="18"/>
          <w:szCs w:val="18"/>
        </w:rPr>
      </w:pPr>
      <w:r w:rsidRPr="00221BBA">
        <w:rPr>
          <w:i/>
          <w:iCs/>
          <w:sz w:val="18"/>
          <w:szCs w:val="18"/>
          <w:vertAlign w:val="superscript"/>
        </w:rPr>
        <w:t>d</w:t>
      </w:r>
      <w:r w:rsidR="005E6839" w:rsidRPr="00221BBA">
        <w:rPr>
          <w:iCs/>
          <w:sz w:val="18"/>
          <w:szCs w:val="18"/>
        </w:rPr>
        <w:t xml:space="preserve">  </w:t>
      </w:r>
      <w:r w:rsidRPr="00221BBA">
        <w:rPr>
          <w:sz w:val="18"/>
          <w:szCs w:val="18"/>
        </w:rPr>
        <w:t>Aucun pourcentage n’a été attribué à l’UE étant donné que celle-ci n’apparaît pas dans le barème des quotes-parts de l’ONU</w:t>
      </w:r>
      <w:r w:rsidR="005D58ED" w:rsidRPr="00221BBA">
        <w:rPr>
          <w:sz w:val="18"/>
          <w:szCs w:val="18"/>
        </w:rPr>
        <w:t> ;</w:t>
      </w:r>
      <w:r w:rsidRPr="00221BBA">
        <w:rPr>
          <w:sz w:val="18"/>
          <w:szCs w:val="18"/>
        </w:rPr>
        <w:t xml:space="preserve"> il n’est donc pas possible de calculer sa contribution sur la base utilisée pour les Parties et Signataires. Pendant la période 2017</w:t>
      </w:r>
      <w:r w:rsidR="005E6839" w:rsidRPr="00221BBA">
        <w:rPr>
          <w:sz w:val="18"/>
          <w:szCs w:val="18"/>
        </w:rPr>
        <w:t>-</w:t>
      </w:r>
      <w:r w:rsidRPr="00221BBA">
        <w:rPr>
          <w:sz w:val="18"/>
          <w:szCs w:val="18"/>
        </w:rPr>
        <w:t>2020, l’Union européenne a versé 50 000 euros par an, soit environ 60 000 dollars par an ou 180 000 dollars pour une période de trois ans (sous réserve des fluctuations du taux de change), représentant près de 13 % du budget total.</w:t>
      </w:r>
    </w:p>
    <w:p w:rsidR="00F11985" w:rsidRPr="00221BBA" w:rsidRDefault="005E6839" w:rsidP="005E6839">
      <w:pPr>
        <w:pStyle w:val="HChG"/>
      </w:pPr>
      <w:r w:rsidRPr="00221BBA">
        <w:br w:type="page"/>
      </w:r>
      <w:r w:rsidR="00F11985" w:rsidRPr="00221BBA">
        <w:lastRenderedPageBreak/>
        <w:tab/>
      </w:r>
      <w:r w:rsidR="00F11985" w:rsidRPr="00221BBA">
        <w:tab/>
        <w:t>Décision VIII/2</w:t>
      </w:r>
      <w:r w:rsidRPr="00221BBA">
        <w:t>-</w:t>
      </w:r>
      <w:r w:rsidR="00F11985" w:rsidRPr="00221BBA">
        <w:t>IV/2</w:t>
      </w:r>
    </w:p>
    <w:p w:rsidR="00F11985" w:rsidRPr="00221BBA" w:rsidRDefault="00F11985" w:rsidP="005E6839">
      <w:pPr>
        <w:pStyle w:val="H1G"/>
        <w:rPr>
          <w:szCs w:val="24"/>
        </w:rPr>
      </w:pPr>
      <w:r w:rsidRPr="00221BBA">
        <w:rPr>
          <w:szCs w:val="24"/>
        </w:rPr>
        <w:tab/>
      </w:r>
      <w:r w:rsidRPr="00221BBA">
        <w:rPr>
          <w:szCs w:val="24"/>
        </w:rPr>
        <w:tab/>
      </w:r>
      <w:r w:rsidRPr="00221BBA">
        <w:t>Adoption du plan de travail</w:t>
      </w:r>
    </w:p>
    <w:p w:rsidR="00F11985" w:rsidRPr="00221BBA" w:rsidRDefault="00F11985" w:rsidP="00492324">
      <w:pPr>
        <w:pStyle w:val="SingleTxtG"/>
        <w:ind w:firstLine="567"/>
      </w:pPr>
      <w:bookmarkStart w:id="8" w:name="_Hlk32416128"/>
      <w:r w:rsidRPr="00221BBA">
        <w:rPr>
          <w:i/>
        </w:rPr>
        <w:t xml:space="preserve">La Réunion des Parties à la Convention et la Réunion des Parties à la Convention agissant comme </w:t>
      </w:r>
      <w:r w:rsidR="00941DC1">
        <w:rPr>
          <w:i/>
        </w:rPr>
        <w:t>r</w:t>
      </w:r>
      <w:r w:rsidRPr="00221BBA">
        <w:rPr>
          <w:i/>
        </w:rPr>
        <w:t>éunion des Parties au Protocole (Réunion des Parties au Protocole), réunies en session conjointe</w:t>
      </w:r>
      <w:r w:rsidRPr="00221BBA">
        <w:t>,</w:t>
      </w:r>
    </w:p>
    <w:bookmarkEnd w:id="8"/>
    <w:p w:rsidR="00F11985" w:rsidRPr="00221BBA" w:rsidRDefault="00F11985" w:rsidP="00492324">
      <w:pPr>
        <w:pStyle w:val="SingleTxtG"/>
        <w:ind w:firstLine="567"/>
      </w:pPr>
      <w:r w:rsidRPr="00221BBA">
        <w:rPr>
          <w:i/>
        </w:rPr>
        <w:t>Rappelant</w:t>
      </w:r>
      <w:r w:rsidRPr="00221BBA">
        <w:t xml:space="preserve"> l’alinéa f) du paragraphe 2 de l’article 11 de la Convention sur l’évaluation de l’impact sur l’environnement dans un contexte transfrontière, selon lequel les Parties envisagent et entreprennent toute autre action qui peut se révéler nécessaire aux fins de la présente Convention,</w:t>
      </w:r>
    </w:p>
    <w:p w:rsidR="00F11985" w:rsidRPr="00221BBA" w:rsidRDefault="00F11985" w:rsidP="00492324">
      <w:pPr>
        <w:pStyle w:val="SingleTxtG"/>
        <w:ind w:firstLine="567"/>
      </w:pPr>
      <w:r w:rsidRPr="00221BBA">
        <w:rPr>
          <w:i/>
        </w:rPr>
        <w:t xml:space="preserve">Rappelant également </w:t>
      </w:r>
      <w:r w:rsidRPr="00221BBA">
        <w:t xml:space="preserve">l’alinéa f) du paragraphe 4 de l’article 14, du Protocole relatif à l’évaluation stratégique environnementale, selon lequel la </w:t>
      </w:r>
      <w:r w:rsidR="00920C96">
        <w:t>r</w:t>
      </w:r>
      <w:r w:rsidRPr="00221BBA">
        <w:t>éunion des Parties au Protocole envisage et entreprend toute autre action, notamment sous la forme d’initiatives conjointes au titre du Protocole et de la Convention, qui peut se révéler nécessaire à la réalisation des objectifs du Protocole,</w:t>
      </w:r>
    </w:p>
    <w:p w:rsidR="00F11985" w:rsidRPr="00221BBA" w:rsidRDefault="00F11985" w:rsidP="00492324">
      <w:pPr>
        <w:pStyle w:val="SingleTxtG"/>
        <w:ind w:firstLine="567"/>
      </w:pPr>
      <w:r w:rsidRPr="00221BBA">
        <w:rPr>
          <w:i/>
        </w:rPr>
        <w:t xml:space="preserve">Considérant </w:t>
      </w:r>
      <w:r w:rsidRPr="00221BBA">
        <w:t>qu’il est essentiel que les Parties à la Convention et au Protocole s’acquittent de l’intégralité des obligations juridiques qui leur incombent au titre de ces traités,</w:t>
      </w:r>
    </w:p>
    <w:p w:rsidR="00F11985" w:rsidRPr="00221BBA" w:rsidRDefault="00F11985" w:rsidP="00492324">
      <w:pPr>
        <w:pStyle w:val="SingleTxtG"/>
        <w:ind w:firstLine="567"/>
      </w:pPr>
      <w:r w:rsidRPr="00221BBA">
        <w:rPr>
          <w:i/>
        </w:rPr>
        <w:t>Considérant également</w:t>
      </w:r>
      <w:r w:rsidRPr="00221BBA">
        <w:t xml:space="preserve"> que les Parties à la Convention et au Protocole devraient prendre des mesures pour appliquer chacun de ces deux traités avec l’efficacité maximale, de façon à obtenir les meilleurs résultats concrets possibles,</w:t>
      </w:r>
    </w:p>
    <w:p w:rsidR="00F11985" w:rsidRPr="00221BBA" w:rsidRDefault="00F11985" w:rsidP="00492324">
      <w:pPr>
        <w:pStyle w:val="SingleTxtG"/>
        <w:ind w:firstLine="567"/>
      </w:pPr>
      <w:r w:rsidRPr="00221BBA">
        <w:rPr>
          <w:i/>
        </w:rPr>
        <w:t>Conscientes</w:t>
      </w:r>
      <w:r w:rsidRPr="00221BBA">
        <w:t xml:space="preserve"> du fait</w:t>
      </w:r>
      <w:r w:rsidRPr="00221BBA">
        <w:rPr>
          <w:i/>
        </w:rPr>
        <w:t xml:space="preserve"> </w:t>
      </w:r>
      <w:r w:rsidRPr="00221BBA">
        <w:t>que la Convention et en particulier son Protocole constituent un cadre pour l’intégration des questions relatives à l’environnement, y compris la santé, dans les activités de développement, ainsi que dans les plans et les programmes sectoriels, et, s’il y a lieu, dans les politiques et les textes législatifs, et que, par conséquent, leur application efficace contribue à aider les pays à atteindre les objectifs de développement durable tels que définis dans le Programme de développement durable à l’horizon 2030,</w:t>
      </w:r>
    </w:p>
    <w:p w:rsidR="00F11985" w:rsidRPr="00221BBA" w:rsidRDefault="00F11985" w:rsidP="00492324">
      <w:pPr>
        <w:pStyle w:val="SingleTxtG"/>
        <w:ind w:firstLine="567"/>
      </w:pPr>
      <w:r w:rsidRPr="00221BBA">
        <w:rPr>
          <w:i/>
        </w:rPr>
        <w:t xml:space="preserve">Notant avec appréciation </w:t>
      </w:r>
      <w:r w:rsidRPr="00221BBA">
        <w:t>l’utilité des travaux réalisés dans le cadre du plan de travail adopté par les Réunions des Parties à la Convention et au Protocole</w:t>
      </w:r>
      <w:r w:rsidRPr="00221BBA">
        <w:rPr>
          <w:i/>
        </w:rPr>
        <w:t xml:space="preserve"> </w:t>
      </w:r>
      <w:r w:rsidRPr="00221BBA">
        <w:t>(décision VII/3</w:t>
      </w:r>
      <w:r w:rsidR="00156EBA">
        <w:noBreakHyphen/>
      </w:r>
      <w:r w:rsidRPr="00221BBA">
        <w:t>III/3) à leurs septième et troisième sessions, respectivement, et ce, en dépit du manque de ressources humaines et financières et des difficultés considérables qui en ont résulté pour une application sans heurts de la Convention et pour le fonctionnement du secrétariat et qui ont été encore aggravées par la prolongation, sans financement, de la période intersessions 2017</w:t>
      </w:r>
      <w:r w:rsidR="005E6839" w:rsidRPr="00221BBA">
        <w:t>-</w:t>
      </w:r>
      <w:r w:rsidRPr="00221BBA">
        <w:t>2020 et par la nécessité d’organiser des sessions intermédiaires supplémentaires des Réunions des Parties (Genève, 5</w:t>
      </w:r>
      <w:r w:rsidR="00287F4B">
        <w:t xml:space="preserve"> au </w:t>
      </w:r>
      <w:r w:rsidRPr="00221BBA">
        <w:t>7</w:t>
      </w:r>
      <w:r w:rsidR="00156EBA">
        <w:t> </w:t>
      </w:r>
      <w:r w:rsidRPr="00221BBA">
        <w:t>février 2019),</w:t>
      </w:r>
    </w:p>
    <w:p w:rsidR="00F11985" w:rsidRPr="00221BBA" w:rsidRDefault="00F11985" w:rsidP="00492324">
      <w:pPr>
        <w:pStyle w:val="SingleTxtG"/>
        <w:ind w:firstLine="567"/>
      </w:pPr>
      <w:r w:rsidRPr="00221BBA">
        <w:rPr>
          <w:i/>
        </w:rPr>
        <w:t>Se félicitant</w:t>
      </w:r>
      <w:r w:rsidRPr="00221BBA">
        <w:t>, en particulier, de la réalisation des activités suivantes</w:t>
      </w:r>
      <w:r w:rsidR="005628B1" w:rsidRPr="005628B1">
        <w:t> :</w:t>
      </w:r>
    </w:p>
    <w:p w:rsidR="00F11985" w:rsidRPr="00221BBA" w:rsidRDefault="00F11985" w:rsidP="00492324">
      <w:pPr>
        <w:pStyle w:val="SingleTxtG"/>
        <w:ind w:firstLine="567"/>
      </w:pPr>
      <w:r w:rsidRPr="00221BBA">
        <w:t>a)</w:t>
      </w:r>
      <w:r w:rsidRPr="00221BBA">
        <w:tab/>
        <w:t xml:space="preserve">L’assistance technique fournie par le secrétariat et les mesures prises par des Parties et des non-Parties </w:t>
      </w:r>
      <w:r w:rsidR="00861A56">
        <w:t>−</w:t>
      </w:r>
      <w:r w:rsidRPr="00221BBA">
        <w:t xml:space="preserve"> Azerbaïdjan, Bélarus, Kazakhstan, Ouzbékistan, République de Moldova et Tadjikistan </w:t>
      </w:r>
      <w:r w:rsidR="00861A56">
        <w:t>−</w:t>
      </w:r>
      <w:r w:rsidRPr="00221BBA">
        <w:t xml:space="preserve"> pour mettre leur législation relative à l’évaluation de l’impact sur l’environnement en conformité avec la Convention et le Protocole,</w:t>
      </w:r>
    </w:p>
    <w:p w:rsidR="00F11985" w:rsidRPr="007D01FA" w:rsidRDefault="00F11985" w:rsidP="00492324">
      <w:pPr>
        <w:pStyle w:val="SingleTxtG"/>
        <w:ind w:firstLine="567"/>
        <w:rPr>
          <w:spacing w:val="-2"/>
        </w:rPr>
      </w:pPr>
      <w:r w:rsidRPr="007D01FA">
        <w:rPr>
          <w:spacing w:val="-2"/>
        </w:rPr>
        <w:t>b)</w:t>
      </w:r>
      <w:r w:rsidRPr="007D01FA">
        <w:rPr>
          <w:spacing w:val="-2"/>
        </w:rPr>
        <w:tab/>
        <w:t xml:space="preserve">Les ateliers de coopération et/ou de renforcement des capacités sous-régionales visant à appuyer l’application du Protocole et/ou de la Convention accueillis/organisés par l’Allemagne, la Croatie, [le Danemark,] [la Géorgie,] le Kirghizistan, </w:t>
      </w:r>
      <w:bookmarkStart w:id="9" w:name="_Hlk31727028"/>
      <w:r w:rsidRPr="007D01FA">
        <w:rPr>
          <w:spacing w:val="-2"/>
        </w:rPr>
        <w:t>l’Ouzbékistan</w:t>
      </w:r>
      <w:bookmarkEnd w:id="9"/>
      <w:r w:rsidRPr="007D01FA">
        <w:rPr>
          <w:spacing w:val="-2"/>
        </w:rPr>
        <w:t>, la République de Moldova et l’Ukraine avec le concours du secrétariat,</w:t>
      </w:r>
    </w:p>
    <w:p w:rsidR="00F11985" w:rsidRPr="00221BBA" w:rsidRDefault="00F11985" w:rsidP="00492324">
      <w:pPr>
        <w:pStyle w:val="SingleTxtG"/>
        <w:ind w:firstLine="567"/>
      </w:pPr>
      <w:r w:rsidRPr="00221BBA">
        <w:t>c)</w:t>
      </w:r>
      <w:r w:rsidRPr="00221BBA">
        <w:tab/>
        <w:t>L’application à titre expérimental du Protocole par le Bélarus et le Kazakhstan</w:t>
      </w:r>
      <w:r w:rsidR="00156EBA">
        <w:t>,</w:t>
      </w:r>
    </w:p>
    <w:p w:rsidR="00F11985" w:rsidRPr="00221BBA" w:rsidRDefault="00F11985" w:rsidP="00492324">
      <w:pPr>
        <w:pStyle w:val="SingleTxtG"/>
        <w:ind w:firstLine="567"/>
      </w:pPr>
      <w:r w:rsidRPr="00221BBA">
        <w:t>d)</w:t>
      </w:r>
      <w:r w:rsidRPr="00221BBA">
        <w:tab/>
        <w:t>Les séminaires sur l’échange de bonnes pratiques, organisés par le secrétariat en coopération avec l’Organisation mondiale de la Santé et la Banque européenne d’investissement</w:t>
      </w:r>
      <w:r w:rsidR="005D58ED" w:rsidRPr="00221BBA">
        <w:t> ;</w:t>
      </w:r>
      <w:r w:rsidRPr="00221BBA">
        <w:t xml:space="preserve"> […]</w:t>
      </w:r>
      <w:r w:rsidR="00156EBA">
        <w:t>,</w:t>
      </w:r>
    </w:p>
    <w:p w:rsidR="00F11985" w:rsidRPr="00221BBA" w:rsidRDefault="00F11985" w:rsidP="00156EBA">
      <w:pPr>
        <w:pStyle w:val="SingleTxtG"/>
        <w:keepNext/>
        <w:ind w:firstLine="567"/>
      </w:pPr>
      <w:r w:rsidRPr="00221BBA">
        <w:lastRenderedPageBreak/>
        <w:t>e)</w:t>
      </w:r>
      <w:r w:rsidRPr="00221BBA">
        <w:tab/>
        <w:t>L’élaboration de matériels d’orientation/directives et de recommandations pour améliorer l’application de la Convention et du Protocole, s’agissant notamment des sujets ci-après</w:t>
      </w:r>
      <w:r w:rsidR="005628B1" w:rsidRPr="005628B1">
        <w:t> :</w:t>
      </w:r>
    </w:p>
    <w:p w:rsidR="00F11985" w:rsidRPr="00221BBA" w:rsidRDefault="00F11985" w:rsidP="00492324">
      <w:pPr>
        <w:pStyle w:val="SingleTxtG"/>
        <w:ind w:left="1701"/>
      </w:pPr>
      <w:r w:rsidRPr="00221BBA">
        <w:t>i)</w:t>
      </w:r>
      <w:r w:rsidRPr="00221BBA">
        <w:tab/>
        <w:t>L’applicabilité de la Convention à la prolongation de la durée de vie des centrales nucléaires, par un groupe de travail spécial composé de représentants de 29</w:t>
      </w:r>
      <w:r w:rsidR="00492324" w:rsidRPr="00221BBA">
        <w:t> </w:t>
      </w:r>
      <w:r w:rsidRPr="00221BBA">
        <w:t>Parties, coprésidé par l’Allemagne et le Royaume-Uni de Grande-Bretagne et d’Irlande du Nord,</w:t>
      </w:r>
    </w:p>
    <w:p w:rsidR="00F11985" w:rsidRPr="00221BBA" w:rsidRDefault="00F11985" w:rsidP="00492324">
      <w:pPr>
        <w:pStyle w:val="SingleTxtG"/>
        <w:ind w:left="1701"/>
      </w:pPr>
      <w:r w:rsidRPr="00221BBA">
        <w:t>ii)</w:t>
      </w:r>
      <w:r w:rsidRPr="00221BBA">
        <w:tab/>
        <w:t>L’évaluation de la santé dans l’évaluation stratégique environnementale, avec l’appui de consultants financés par la Banque européenne d’investissement en consultation avec un groupe de travail composé de représentants de l’Autriche, de la Finlande, de l’Irlande et de la Slovénie ainsi que de l’Organisation mondiale de la</w:t>
      </w:r>
      <w:r w:rsidR="00156EBA">
        <w:t> </w:t>
      </w:r>
      <w:r w:rsidRPr="00221BBA">
        <w:t>Santé,</w:t>
      </w:r>
    </w:p>
    <w:p w:rsidR="00F11985" w:rsidRPr="00221BBA" w:rsidRDefault="00F11985" w:rsidP="00492324">
      <w:pPr>
        <w:pStyle w:val="SingleTxtG"/>
        <w:ind w:left="1701"/>
      </w:pPr>
      <w:r w:rsidRPr="00221BBA">
        <w:t>iii)</w:t>
      </w:r>
      <w:r w:rsidRPr="00221BBA">
        <w:tab/>
        <w:t>L’évaluation de l’impact sur l’environnement dans un contexte transfrontière à l’intention des pays d’Asie centrale, avec l’appui de consultants financés par la</w:t>
      </w:r>
      <w:r w:rsidR="007D01FA">
        <w:t> </w:t>
      </w:r>
      <w:r w:rsidRPr="00221BBA">
        <w:t>Suisse,</w:t>
      </w:r>
    </w:p>
    <w:p w:rsidR="00F11985" w:rsidRPr="00156EBA" w:rsidRDefault="00F11985" w:rsidP="00492324">
      <w:pPr>
        <w:pStyle w:val="SingleTxtG"/>
        <w:ind w:firstLine="567"/>
        <w:rPr>
          <w:spacing w:val="-1"/>
        </w:rPr>
      </w:pPr>
      <w:r w:rsidRPr="00221BBA">
        <w:t>f)</w:t>
      </w:r>
      <w:r w:rsidRPr="00221BBA">
        <w:tab/>
      </w:r>
      <w:r w:rsidRPr="00156EBA">
        <w:rPr>
          <w:spacing w:val="-1"/>
        </w:rPr>
        <w:t>L’établissement, par le secrétariat, de brochures «</w:t>
      </w:r>
      <w:r w:rsidR="00156EBA" w:rsidRPr="00156EBA">
        <w:rPr>
          <w:spacing w:val="-1"/>
        </w:rPr>
        <w:t> </w:t>
      </w:r>
      <w:r w:rsidRPr="00156EBA">
        <w:rPr>
          <w:spacing w:val="-1"/>
        </w:rPr>
        <w:t>FasTips</w:t>
      </w:r>
      <w:r w:rsidR="00156EBA" w:rsidRPr="00156EBA">
        <w:rPr>
          <w:spacing w:val="-1"/>
        </w:rPr>
        <w:t> </w:t>
      </w:r>
      <w:r w:rsidRPr="00156EBA">
        <w:rPr>
          <w:spacing w:val="-1"/>
        </w:rPr>
        <w:t>» sur la Convention et le Protocole, publiées par la International Association for Impact Assessment,</w:t>
      </w:r>
    </w:p>
    <w:p w:rsidR="00F11985" w:rsidRPr="00221BBA" w:rsidRDefault="00F11985" w:rsidP="00492324">
      <w:pPr>
        <w:pStyle w:val="SingleTxtG"/>
        <w:ind w:firstLine="567"/>
      </w:pPr>
      <w:r w:rsidRPr="00221BBA">
        <w:rPr>
          <w:i/>
        </w:rPr>
        <w:t xml:space="preserve">Notant avec satisfaction </w:t>
      </w:r>
      <w:r w:rsidRPr="00221BBA">
        <w:t>que les activités inscrites dans le plan de travail adopté par les Réunions des Parties à la Convention et au Protocole, à leurs septième et troisième sessions, respectivement, exception faite des activités annulées par</w:t>
      </w:r>
      <w:r w:rsidR="007D01FA">
        <w:t xml:space="preserve"> </w:t>
      </w:r>
      <w:r w:rsidRPr="00221BBA">
        <w:t>les pays/organisations chefs de file/bénéficiaires, ont été achevées à</w:t>
      </w:r>
      <w:r w:rsidRPr="00221BBA">
        <w:rPr>
          <w:i/>
        </w:rPr>
        <w:t xml:space="preserve"> </w:t>
      </w:r>
      <w:r w:rsidRPr="00221BBA">
        <w:t>[…] %, et, de plus, complétées par des sessions intermédiaires des Réunions des Parties,</w:t>
      </w:r>
    </w:p>
    <w:p w:rsidR="00F11985" w:rsidRPr="00221BBA" w:rsidRDefault="00F11985" w:rsidP="00492324">
      <w:pPr>
        <w:pStyle w:val="SingleTxtG"/>
        <w:ind w:firstLine="567"/>
      </w:pPr>
      <w:r w:rsidRPr="00221BBA">
        <w:rPr>
          <w:i/>
          <w:iCs/>
        </w:rPr>
        <w:t xml:space="preserve">Notant également avec satisfaction </w:t>
      </w:r>
      <w:r w:rsidRPr="00221BBA">
        <w:rPr>
          <w:iCs/>
        </w:rPr>
        <w:t>que le</w:t>
      </w:r>
      <w:r w:rsidRPr="00221BBA">
        <w:t xml:space="preserve"> secrétariat a trouvé des ressources additionnelles et a achevé les [x nbre] activités qui avaient été mises en attente par les Réunions des Parties et [x nbre] autres activités,</w:t>
      </w:r>
    </w:p>
    <w:p w:rsidR="00F11985" w:rsidRPr="00221BBA" w:rsidRDefault="00F11985" w:rsidP="00492324">
      <w:pPr>
        <w:pStyle w:val="SingleTxtG"/>
        <w:ind w:firstLine="567"/>
      </w:pPr>
      <w:r w:rsidRPr="00221BBA">
        <w:t>[</w:t>
      </w:r>
      <w:r w:rsidRPr="00221BBA">
        <w:rPr>
          <w:i/>
        </w:rPr>
        <w:t xml:space="preserve">Notant en outre avec satisfaction </w:t>
      </w:r>
      <w:r w:rsidRPr="00221BBA">
        <w:t>que la réalisation de toutes les autres activités inscrites dans le plan de travail est en cours ou prévue et devrait être achevée dans la prochaine période intersessions,]</w:t>
      </w:r>
    </w:p>
    <w:p w:rsidR="00F11985" w:rsidRPr="00221BBA" w:rsidRDefault="00F11985" w:rsidP="00492324">
      <w:pPr>
        <w:pStyle w:val="SingleTxtG"/>
        <w:ind w:firstLine="567"/>
      </w:pPr>
      <w:r w:rsidRPr="00221BBA">
        <w:rPr>
          <w:i/>
          <w:iCs/>
        </w:rPr>
        <w:t xml:space="preserve">Désireuses </w:t>
      </w:r>
      <w:r w:rsidRPr="00221BBA">
        <w:rPr>
          <w:iCs/>
        </w:rPr>
        <w:t>d’établir un plan de travail</w:t>
      </w:r>
      <w:r w:rsidRPr="00221BBA">
        <w:t xml:space="preserve"> qui traduise en termes opérationnels les buts stratégiques et les objectifs prioritaires énoncés dans la stratégie à long terme et le plan de travail adoptés par la décision VIII/3</w:t>
      </w:r>
      <w:r w:rsidR="005E6839" w:rsidRPr="00221BBA">
        <w:t>-</w:t>
      </w:r>
      <w:r w:rsidRPr="00221BBA">
        <w:t>IV/3 (ECE/MP.EIA/2020/3</w:t>
      </w:r>
      <w:r w:rsidR="005E6839" w:rsidRPr="00221BBA">
        <w:t>-</w:t>
      </w:r>
      <w:r w:rsidRPr="00221BBA">
        <w:t>ECE/MP.EIA/</w:t>
      </w:r>
      <w:r w:rsidR="00156EBA">
        <w:t xml:space="preserve"> </w:t>
      </w:r>
      <w:r w:rsidRPr="00221BBA">
        <w:t>SEA/2020/3, à venir), à savoir</w:t>
      </w:r>
      <w:r w:rsidR="005628B1" w:rsidRPr="005628B1">
        <w:t> :</w:t>
      </w:r>
      <w:r w:rsidRPr="00221BBA">
        <w:t xml:space="preserve"> l’application pleine et effective de la Convention et du Protocole</w:t>
      </w:r>
      <w:r w:rsidR="005D58ED" w:rsidRPr="00221BBA">
        <w:t> ;</w:t>
      </w:r>
      <w:r w:rsidRPr="00221BBA">
        <w:t xml:space="preserve"> l’impact accru résultant de l’action menée pour répondre aux nouveaux défis nationaux, régionaux et mondiaux</w:t>
      </w:r>
      <w:r w:rsidR="005D58ED" w:rsidRPr="00221BBA">
        <w:t> ;</w:t>
      </w:r>
      <w:r w:rsidRPr="00221BBA">
        <w:t xml:space="preserve"> l’application élargie de la Convention et du Protocole dans la région de la CEE et au-delà,</w:t>
      </w:r>
    </w:p>
    <w:p w:rsidR="00F11985" w:rsidRPr="00221BBA" w:rsidRDefault="00F11985" w:rsidP="00492324">
      <w:pPr>
        <w:pStyle w:val="SingleTxtG"/>
        <w:ind w:firstLine="567"/>
      </w:pPr>
      <w:r w:rsidRPr="00221BBA">
        <w:rPr>
          <w:i/>
          <w:iCs/>
        </w:rPr>
        <w:t>Désireuses également</w:t>
      </w:r>
      <w:r w:rsidRPr="00221BBA">
        <w:rPr>
          <w:iCs/>
        </w:rPr>
        <w:t xml:space="preserve"> d’établir un plan de travail</w:t>
      </w:r>
      <w:r w:rsidRPr="00221BBA">
        <w:t xml:space="preserve"> qui soit réaliste et réalisable en s’assurant à l’avance que le montant estimatif des ressources nécessaires à son exécution est financé,</w:t>
      </w:r>
    </w:p>
    <w:p w:rsidR="00F11985" w:rsidRPr="00221BBA" w:rsidRDefault="00F11985" w:rsidP="00492324">
      <w:pPr>
        <w:pStyle w:val="SingleTxtG"/>
        <w:ind w:firstLine="567"/>
      </w:pPr>
      <w:r w:rsidRPr="00221BBA">
        <w:t>1.</w:t>
      </w:r>
      <w:r w:rsidRPr="00221BBA">
        <w:tab/>
      </w:r>
      <w:r w:rsidRPr="00221BBA">
        <w:rPr>
          <w:i/>
        </w:rPr>
        <w:t xml:space="preserve">Adoptent </w:t>
      </w:r>
      <w:r w:rsidRPr="00221BBA">
        <w:t>le plan de travail pour la période 2021</w:t>
      </w:r>
      <w:r w:rsidR="00156EBA">
        <w:t>-</w:t>
      </w:r>
      <w:r w:rsidRPr="00221BBA">
        <w:t>2023 et le montant estimatif des ressources nécessaires à son exécution, tels qu’ils figurent respectivement dans les annexes I et II de la présente décision</w:t>
      </w:r>
      <w:r w:rsidR="005D58ED" w:rsidRPr="00221BBA">
        <w:t> ;</w:t>
      </w:r>
    </w:p>
    <w:p w:rsidR="00F11985" w:rsidRPr="00221BBA" w:rsidRDefault="00F11985" w:rsidP="00492324">
      <w:pPr>
        <w:pStyle w:val="SingleTxtG"/>
        <w:ind w:firstLine="567"/>
      </w:pPr>
      <w:r w:rsidRPr="00221BBA">
        <w:rPr>
          <w:iCs/>
        </w:rPr>
        <w:t>2.</w:t>
      </w:r>
      <w:r w:rsidRPr="00221BBA">
        <w:rPr>
          <w:iCs/>
        </w:rPr>
        <w:tab/>
        <w:t>[</w:t>
      </w:r>
      <w:r w:rsidRPr="00221BBA">
        <w:rPr>
          <w:i/>
        </w:rPr>
        <w:t>Adoptent</w:t>
      </w:r>
      <w:r w:rsidRPr="00221BBA">
        <w:rPr>
          <w:i/>
          <w:iCs/>
        </w:rPr>
        <w:t xml:space="preserve"> également</w:t>
      </w:r>
      <w:r w:rsidRPr="00221BBA">
        <w:rPr>
          <w:iCs/>
        </w:rPr>
        <w:t>]</w:t>
      </w:r>
      <w:r w:rsidR="005E6839" w:rsidRPr="00221BBA">
        <w:rPr>
          <w:iCs/>
        </w:rPr>
        <w:t xml:space="preserve"> </w:t>
      </w:r>
      <w:r w:rsidRPr="00221BBA">
        <w:rPr>
          <w:iCs/>
        </w:rPr>
        <w:t>[</w:t>
      </w:r>
      <w:r w:rsidRPr="00221BBA">
        <w:rPr>
          <w:i/>
          <w:iCs/>
        </w:rPr>
        <w:t xml:space="preserve">Prennent note </w:t>
      </w:r>
      <w:r w:rsidRPr="007D01FA">
        <w:rPr>
          <w:iCs/>
        </w:rPr>
        <w:t>d’</w:t>
      </w:r>
      <w:r w:rsidRPr="00221BBA">
        <w:rPr>
          <w:iCs/>
        </w:rPr>
        <w:t>]</w:t>
      </w:r>
      <w:r w:rsidRPr="00221BBA">
        <w:rPr>
          <w:i/>
          <w:iCs/>
        </w:rPr>
        <w:t xml:space="preserve"> </w:t>
      </w:r>
      <w:r w:rsidRPr="00221BBA">
        <w:rPr>
          <w:iCs/>
        </w:rPr>
        <w:t>une</w:t>
      </w:r>
      <w:r w:rsidRPr="00221BBA">
        <w:t xml:space="preserve"> liste d’activités figurant à l’annexe III de la présente décision, qui sont en attente des ressources humaines et financières suffisantes, et invitent les Parties à la Convention et au Protocole ainsi que les autres parties prenantes à chercher activement des moyens pour assurer leur financement et leur réalisation</w:t>
      </w:r>
      <w:r w:rsidR="005D58ED" w:rsidRPr="00221BBA">
        <w:t> ;</w:t>
      </w:r>
    </w:p>
    <w:p w:rsidR="00F11985" w:rsidRPr="00221BBA" w:rsidRDefault="00F11985" w:rsidP="00492324">
      <w:pPr>
        <w:pStyle w:val="SingleTxtG"/>
        <w:ind w:firstLine="567"/>
      </w:pPr>
      <w:r w:rsidRPr="00221BBA">
        <w:t>3.</w:t>
      </w:r>
      <w:r w:rsidRPr="00221BBA">
        <w:tab/>
      </w:r>
      <w:r w:rsidRPr="00221BBA">
        <w:rPr>
          <w:i/>
        </w:rPr>
        <w:t>Conviennent</w:t>
      </w:r>
      <w:r w:rsidRPr="00221BBA">
        <w:t xml:space="preserve"> que toutes les Parties devraient financer le montant estimatif des ressources nécessaires à l’exécution du plan de travail, conformément à la décision VIII/1</w:t>
      </w:r>
      <w:r w:rsidR="00156EBA">
        <w:noBreakHyphen/>
      </w:r>
      <w:r w:rsidRPr="00221BBA">
        <w:t>IV/1 sur les dispositions financières pour 2021</w:t>
      </w:r>
      <w:r w:rsidR="005E6839" w:rsidRPr="00221BBA">
        <w:t>-</w:t>
      </w:r>
      <w:r w:rsidRPr="00221BBA">
        <w:t>2023</w:t>
      </w:r>
      <w:r w:rsidR="005D58ED" w:rsidRPr="00221BBA">
        <w:t> ;</w:t>
      </w:r>
    </w:p>
    <w:p w:rsidR="00F11985" w:rsidRPr="00221BBA" w:rsidRDefault="00F11985" w:rsidP="00492324">
      <w:pPr>
        <w:pStyle w:val="SingleTxtG"/>
        <w:ind w:firstLine="567"/>
      </w:pPr>
      <w:r w:rsidRPr="00221BBA">
        <w:rPr>
          <w:iCs/>
        </w:rPr>
        <w:t>4.</w:t>
      </w:r>
      <w:r w:rsidRPr="00221BBA">
        <w:rPr>
          <w:iCs/>
        </w:rPr>
        <w:tab/>
      </w:r>
      <w:r w:rsidRPr="00221BBA">
        <w:rPr>
          <w:i/>
        </w:rPr>
        <w:t xml:space="preserve">Invitent </w:t>
      </w:r>
      <w:r w:rsidRPr="00221BBA">
        <w:t xml:space="preserve">les Parties à stabiliser le financement des activités prévues dans le plan de travail et du fonctionnement du secrétariat, y compris des activités figurant sur la liste d’attente (annexe III de la présente décision), afin d’éviter que le fonctionnement des traités et leur secrétariat se trouvent dans des situations critiques, et invitent également les </w:t>
      </w:r>
      <w:r w:rsidRPr="00221BBA">
        <w:lastRenderedPageBreak/>
        <w:t>Parties, organisations et autres parties prenantes intéressées à soutenir la mobilisation des moyens et des ressources nécessaires à ces activités</w:t>
      </w:r>
      <w:r w:rsidR="005D58ED" w:rsidRPr="00221BBA">
        <w:t> ;</w:t>
      </w:r>
    </w:p>
    <w:p w:rsidR="00F11985" w:rsidRPr="00221BBA" w:rsidRDefault="005E6839" w:rsidP="00492324">
      <w:pPr>
        <w:pStyle w:val="SingleTxtG"/>
        <w:ind w:firstLine="567"/>
      </w:pPr>
      <w:r w:rsidRPr="00221BBA">
        <w:t>5</w:t>
      </w:r>
      <w:r w:rsidR="00F11985" w:rsidRPr="00221BBA">
        <w:t>.</w:t>
      </w:r>
      <w:r w:rsidR="00F11985" w:rsidRPr="00221BBA">
        <w:tab/>
      </w:r>
      <w:r w:rsidR="00F11985" w:rsidRPr="00221BBA">
        <w:rPr>
          <w:i/>
        </w:rPr>
        <w:t xml:space="preserve">Engagent </w:t>
      </w:r>
      <w:r w:rsidR="00F11985" w:rsidRPr="00221BBA">
        <w:t>les Parties, et invitent également les non-Parties, à organiser et à accueillir des séminaires, ateliers et réunions, et à y participer activement afin de faciliter l’application de la Convention et du Protocole et le respect de leurs dispositions</w:t>
      </w:r>
      <w:r w:rsidR="005D58ED" w:rsidRPr="00221BBA">
        <w:t> ;</w:t>
      </w:r>
    </w:p>
    <w:p w:rsidR="00F11985" w:rsidRPr="00221BBA" w:rsidRDefault="00F11985" w:rsidP="00492324">
      <w:pPr>
        <w:pStyle w:val="SingleTxtG"/>
        <w:ind w:firstLine="567"/>
      </w:pPr>
      <w:r w:rsidRPr="00221BBA">
        <w:rPr>
          <w:iCs/>
        </w:rPr>
        <w:t>6.</w:t>
      </w:r>
      <w:r w:rsidRPr="00221BBA">
        <w:rPr>
          <w:iCs/>
        </w:rPr>
        <w:tab/>
      </w:r>
      <w:r w:rsidRPr="00221BBA">
        <w:rPr>
          <w:i/>
        </w:rPr>
        <w:t xml:space="preserve">Invitent </w:t>
      </w:r>
      <w:r w:rsidRPr="00221BBA">
        <w:t>les organes et organismes compétents, qu’ils soient nationaux ou internationaux, gouvernementaux ou non gouvernementaux, et, selon qu’il convient, les chercheurs et les consultants appelés à contribuer dans le cadre d’activités convenues, à participer activement aux activités prévues dans le plan de travail</w:t>
      </w:r>
      <w:r w:rsidR="005D58ED" w:rsidRPr="00221BBA">
        <w:t> ;</w:t>
      </w:r>
    </w:p>
    <w:p w:rsidR="00F11985" w:rsidRPr="00221BBA" w:rsidRDefault="00F11985" w:rsidP="00492324">
      <w:pPr>
        <w:pStyle w:val="SingleTxtG"/>
        <w:ind w:firstLine="567"/>
      </w:pPr>
      <w:r w:rsidRPr="00221BBA">
        <w:rPr>
          <w:iCs/>
        </w:rPr>
        <w:t>7.</w:t>
      </w:r>
      <w:r w:rsidRPr="00221BBA">
        <w:rPr>
          <w:iCs/>
        </w:rPr>
        <w:tab/>
      </w:r>
      <w:r w:rsidRPr="00221BBA">
        <w:rPr>
          <w:i/>
        </w:rPr>
        <w:t xml:space="preserve">Invitent </w:t>
      </w:r>
      <w:r w:rsidRPr="00221BBA">
        <w:t>le Secrétaire exécutif de la CEE à continuer d’appuyer les travaux menés au titre de la Convention et du Protocole en assurant la promotion des activités prévues dans le plan de travail, en fournissant la documentation officielle pour ces activités et en assurant la publication de leurs résultats dans les trois langues officielles de la CEE, selon qu’il convient. Les publications destinées à une diffusion mondiale devront être traitées et traduites par les services de conférence de l’Organisation des Nations Unies dans les six langues officielles de l’Organisation</w:t>
      </w:r>
      <w:r w:rsidR="005D58ED" w:rsidRPr="00221BBA">
        <w:t> ;</w:t>
      </w:r>
    </w:p>
    <w:p w:rsidR="00F11985" w:rsidRPr="00221BBA" w:rsidRDefault="00F11985" w:rsidP="00492324">
      <w:pPr>
        <w:pStyle w:val="SingleTxtG"/>
        <w:ind w:firstLine="567"/>
      </w:pPr>
      <w:r w:rsidRPr="00221BBA">
        <w:t>8.</w:t>
      </w:r>
      <w:r w:rsidRPr="00221BBA">
        <w:tab/>
      </w:r>
      <w:r w:rsidRPr="00221BBA">
        <w:rPr>
          <w:i/>
        </w:rPr>
        <w:t xml:space="preserve">Décident </w:t>
      </w:r>
      <w:r w:rsidRPr="00221BBA">
        <w:t>que, durant la période intersessions, qui s’étend jusqu’aux prochaines sessions ordinaires des Réunions des Parties à la Convention et au Protocole, prévues pour la fin de 2023, le Groupe de travail de l’évaluation de l’impact sur l’environnement et de l’évaluation stratégique environnementale devrait se réunir à trois reprises (dans un premier temps, en 2021, 2022 et 2023), et que le Comité d’application devrait tenir un total de neuf sessions, à raison de trois sessions par an</w:t>
      </w:r>
      <w:r w:rsidR="005D58ED" w:rsidRPr="00221BBA">
        <w:t> ;</w:t>
      </w:r>
    </w:p>
    <w:p w:rsidR="00F11985" w:rsidRPr="00221BBA" w:rsidRDefault="00F11985" w:rsidP="00492324">
      <w:pPr>
        <w:pStyle w:val="SingleTxtG"/>
        <w:ind w:firstLine="567"/>
      </w:pPr>
      <w:r w:rsidRPr="00221BBA">
        <w:rPr>
          <w:iCs/>
        </w:rPr>
        <w:t>9.</w:t>
      </w:r>
      <w:r w:rsidRPr="00221BBA">
        <w:rPr>
          <w:iCs/>
        </w:rPr>
        <w:tab/>
      </w:r>
      <w:r w:rsidRPr="00221BBA">
        <w:rPr>
          <w:i/>
        </w:rPr>
        <w:t xml:space="preserve">Demandent </w:t>
      </w:r>
      <w:r w:rsidRPr="00221BBA">
        <w:t>au secrétariat d’établir les ordres du jour provisoires et autres documents officiels en prévision des réunions visées au paragraphe 8 ci-dessus et de rédiger des rapports à l’issue de ces dernières, en veillant à ce que tous ces documents soient publiés dans les trois langues officielles de la CEE</w:t>
      </w:r>
      <w:r w:rsidR="005D58ED" w:rsidRPr="00221BBA">
        <w:t> ;</w:t>
      </w:r>
    </w:p>
    <w:p w:rsidR="00F11985" w:rsidRPr="00221BBA" w:rsidRDefault="00F11985" w:rsidP="00492324">
      <w:pPr>
        <w:pStyle w:val="SingleTxtG"/>
        <w:ind w:firstLine="567"/>
      </w:pPr>
      <w:r w:rsidRPr="00221BBA">
        <w:t>10.</w:t>
      </w:r>
      <w:r w:rsidRPr="00221BBA">
        <w:tab/>
      </w:r>
      <w:r w:rsidRPr="00221BBA">
        <w:rPr>
          <w:i/>
        </w:rPr>
        <w:t xml:space="preserve">Demandent également </w:t>
      </w:r>
      <w:r w:rsidRPr="00221BBA">
        <w:rPr>
          <w:iCs/>
        </w:rPr>
        <w:t>au</w:t>
      </w:r>
      <w:r w:rsidRPr="00221BBA">
        <w:t xml:space="preserve"> secrétariat</w:t>
      </w:r>
      <w:r w:rsidRPr="00221BBA">
        <w:rPr>
          <w:iCs/>
        </w:rPr>
        <w:t xml:space="preserve"> de commencer par présenter la documentation pertinente au </w:t>
      </w:r>
      <w:r w:rsidRPr="00221BBA">
        <w:t xml:space="preserve">Bureau </w:t>
      </w:r>
      <w:r w:rsidRPr="00221BBA">
        <w:rPr>
          <w:iCs/>
        </w:rPr>
        <w:t>de façon officieuse pour que celui-ci donne son accord préalable</w:t>
      </w:r>
      <w:r w:rsidRPr="00221BBA">
        <w:t>, ce qui suppose de convoquer trois réunions du Bureau pendant la période intersessions (ou davantage si cela est nécessaire et peut être financé) et d’en rendre compte</w:t>
      </w:r>
      <w:r w:rsidR="005D58ED" w:rsidRPr="00221BBA">
        <w:t> ;</w:t>
      </w:r>
    </w:p>
    <w:p w:rsidR="00F11985" w:rsidRPr="00221BBA" w:rsidRDefault="00F11985" w:rsidP="00492324">
      <w:pPr>
        <w:pStyle w:val="SingleTxtG"/>
        <w:ind w:firstLine="567"/>
      </w:pPr>
      <w:r w:rsidRPr="00221BBA">
        <w:rPr>
          <w:iCs/>
        </w:rPr>
        <w:t>11.</w:t>
      </w:r>
      <w:r w:rsidRPr="00221BBA">
        <w:rPr>
          <w:iCs/>
        </w:rPr>
        <w:tab/>
      </w:r>
      <w:r w:rsidRPr="00221BBA">
        <w:rPr>
          <w:i/>
        </w:rPr>
        <w:t xml:space="preserve">Décident </w:t>
      </w:r>
      <w:r w:rsidRPr="00221BBA">
        <w:t xml:space="preserve">que, en principe et conformément au </w:t>
      </w:r>
      <w:r w:rsidR="007D01FA" w:rsidRPr="00221BBA">
        <w:t xml:space="preserve">Règlement </w:t>
      </w:r>
      <w:r w:rsidRPr="00221BBA">
        <w:t>intérieur de la Convention et de son Protocole, les Réunions des Parties tiennent leurs sessions à Genève, sauf décision contraire prise par les Parties pour faire suite à l’offre d’une Partie contractante d’accueillir les sessions.</w:t>
      </w:r>
    </w:p>
    <w:p w:rsidR="00F11985" w:rsidRPr="00221BBA" w:rsidRDefault="00F11985" w:rsidP="00492324">
      <w:pPr>
        <w:pStyle w:val="HChG"/>
      </w:pPr>
      <w:r w:rsidRPr="00221BBA">
        <w:br w:type="page"/>
      </w:r>
      <w:r w:rsidRPr="00221BBA">
        <w:lastRenderedPageBreak/>
        <w:t>Annexe I</w:t>
      </w:r>
    </w:p>
    <w:p w:rsidR="00F11985" w:rsidRPr="00221BBA" w:rsidRDefault="00F11985" w:rsidP="00492324">
      <w:pPr>
        <w:pStyle w:val="HChG"/>
      </w:pPr>
      <w:r w:rsidRPr="00221BBA">
        <w:tab/>
      </w:r>
      <w:r w:rsidRPr="00221BBA">
        <w:tab/>
        <w:t>Projet de plan de travail pour la période 2021</w:t>
      </w:r>
      <w:r w:rsidR="005E6839" w:rsidRPr="00221BBA">
        <w:t>-</w:t>
      </w:r>
      <w:r w:rsidRPr="00221BBA">
        <w:t>2023</w:t>
      </w:r>
    </w:p>
    <w:p w:rsidR="00F11985" w:rsidRPr="00221BBA" w:rsidRDefault="00F11985" w:rsidP="00492324">
      <w:pPr>
        <w:pStyle w:val="HChG"/>
      </w:pPr>
      <w:bookmarkStart w:id="10" w:name="_Hlk9264045"/>
      <w:r w:rsidRPr="00221BBA">
        <w:tab/>
        <w:t>I.</w:t>
      </w:r>
      <w:r w:rsidRPr="00221BBA">
        <w:tab/>
        <w:t>Gestion, coordination et visibilité des activités intersessions</w:t>
      </w:r>
    </w:p>
    <w:p w:rsidR="00F11985" w:rsidRPr="00221BBA" w:rsidRDefault="00F11985" w:rsidP="00492324">
      <w:pPr>
        <w:pStyle w:val="SingleTxtG"/>
        <w:ind w:firstLine="567"/>
      </w:pPr>
      <w:r w:rsidRPr="00221BBA">
        <w:rPr>
          <w:bCs/>
        </w:rPr>
        <w:t>L</w:t>
      </w:r>
      <w:r w:rsidRPr="00221BBA">
        <w:t>’objectif est d’assurer le fonctionnement de la Convention et du Protocole ainsi que la coordination et la visibilité de leurs activités par la réalisation d’activités dans les domaines suivants</w:t>
      </w:r>
      <w:r w:rsidR="005628B1" w:rsidRPr="005628B1">
        <w:t> :</w:t>
      </w:r>
    </w:p>
    <w:p w:rsidR="00F11985" w:rsidRPr="00221BBA" w:rsidRDefault="00F11985" w:rsidP="00492324">
      <w:pPr>
        <w:pStyle w:val="SingleTxtG"/>
        <w:ind w:firstLine="567"/>
      </w:pPr>
      <w:r w:rsidRPr="00221BBA">
        <w:t>a)</w:t>
      </w:r>
      <w:r w:rsidRPr="00221BBA">
        <w:tab/>
        <w:t>Organisation des réunions</w:t>
      </w:r>
      <w:r w:rsidR="005D58ED" w:rsidRPr="00221BBA">
        <w:t> ;</w:t>
      </w:r>
    </w:p>
    <w:p w:rsidR="00F11985" w:rsidRPr="00221BBA" w:rsidRDefault="00F11985" w:rsidP="00492324">
      <w:pPr>
        <w:pStyle w:val="SingleTxtG"/>
        <w:ind w:firstLine="567"/>
      </w:pPr>
      <w:r w:rsidRPr="00221BBA">
        <w:t>b)</w:t>
      </w:r>
      <w:r w:rsidRPr="00221BBA">
        <w:tab/>
        <w:t>Communication, visibilité, coordination</w:t>
      </w:r>
      <w:r w:rsidR="005D58ED" w:rsidRPr="00221BBA">
        <w:t> ;</w:t>
      </w:r>
    </w:p>
    <w:p w:rsidR="00F11985" w:rsidRPr="00221BBA" w:rsidRDefault="00F11985" w:rsidP="00492324">
      <w:pPr>
        <w:pStyle w:val="SingleTxtG"/>
        <w:ind w:firstLine="567"/>
      </w:pPr>
      <w:r w:rsidRPr="00221BBA">
        <w:t>c)</w:t>
      </w:r>
      <w:r w:rsidRPr="00221BBA">
        <w:tab/>
        <w:t>Gestion du programme général.</w:t>
      </w:r>
    </w:p>
    <w:p w:rsidR="00F11985" w:rsidRPr="00221BBA" w:rsidRDefault="00F11985" w:rsidP="00492324">
      <w:pPr>
        <w:pStyle w:val="H1G"/>
      </w:pPr>
      <w:r w:rsidRPr="00221BBA">
        <w:tab/>
        <w:t>A.</w:t>
      </w:r>
      <w:r w:rsidRPr="00221BBA">
        <w:tab/>
        <w:t>Organisation des réunions</w:t>
      </w:r>
    </w:p>
    <w:p w:rsidR="00F11985" w:rsidRPr="00221BBA" w:rsidRDefault="00F11985" w:rsidP="00156EBA">
      <w:pPr>
        <w:pStyle w:val="SingleTxtG"/>
        <w:ind w:firstLine="567"/>
      </w:pPr>
      <w:r w:rsidRPr="00221BBA">
        <w:t>Les Réunions des Parties sont les organes de décision de la Convention et de son Protocole. La convocation et la préparation de leurs sessions pendant la période intersessions (initialement prévues pour décembre 2023) sont une fonction essentielle du secrétariat, en application de l’article 13 de la Convention et de l’article 17 du Protocole. Le secrétariat est également responsable de l’organisation des réunions du Bureau et du Groupe de travail de l’évaluation de l’impact sur l’environnement et de l’évaluation stratégique environnementale, qui aident les Réunions des Parties à passer en revue l’application de la Convention et du Protocole, ainsi que de la gestion de leur plan de travail et de leur budget communs, en formulant des recommandations sur les activités supplémentaires à réaliser pour assurer l’application effective des traités. Un total de six réunions sont prévues, les deux organes subsidiaires devant, dans un premier temps, se réunir en 2021, 2022 et 2023.</w:t>
      </w:r>
    </w:p>
    <w:p w:rsidR="00F11985" w:rsidRPr="00221BBA" w:rsidRDefault="00F11985" w:rsidP="00156EBA">
      <w:pPr>
        <w:pStyle w:val="SingleTxtG"/>
        <w:ind w:firstLine="567"/>
      </w:pPr>
      <w:r w:rsidRPr="00221BBA">
        <w:t>La participation aux réunions des organes créés en vertu des traités permettra de renforcer l’échange des connaissances et les capacités liées à l’application des traités et permettra aux participants de créer des réseaux et d’étudier les solutions qui existent pour améliorer cette application. Grâce à la prise en charge de leurs frais de déplacement, les représentants des pays admis à bénéficier d’un soutien financier peuvent participer pleinement et effectivement aux réunions, ce qui se traduit par un processus décisionnel inclusif et représentatif, une légitimité accrue des décisions adoptées et un plus fort engagement en faveur des décisions prises.</w:t>
      </w:r>
    </w:p>
    <w:p w:rsidR="00F11985" w:rsidRPr="00221BBA" w:rsidRDefault="00F11985" w:rsidP="00492324">
      <w:pPr>
        <w:pStyle w:val="H4G"/>
      </w:pPr>
      <w:bookmarkStart w:id="11" w:name="_Hlk31980276"/>
      <w:r w:rsidRPr="00221BBA">
        <w:tab/>
      </w:r>
      <w:r w:rsidRPr="00221BBA">
        <w:tab/>
        <w:t>Activités</w:t>
      </w:r>
      <w:r w:rsidR="005628B1" w:rsidRPr="005628B1">
        <w:rPr>
          <w:i w:val="0"/>
        </w:rPr>
        <w:t> :</w:t>
      </w:r>
    </w:p>
    <w:bookmarkEnd w:id="11"/>
    <w:p w:rsidR="00F11985" w:rsidRPr="00221BBA" w:rsidRDefault="00492324" w:rsidP="00156EBA">
      <w:pPr>
        <w:pStyle w:val="SingleTxtG"/>
        <w:ind w:firstLine="567"/>
      </w:pPr>
      <w:r w:rsidRPr="00221BBA">
        <w:t>a)</w:t>
      </w:r>
      <w:r w:rsidRPr="00221BBA">
        <w:tab/>
      </w:r>
      <w:r w:rsidR="00F11985" w:rsidRPr="00221BBA">
        <w:t>Établir, éditer, traduire et publier sur le site Web les ordres du jour et les documents officiels des réunions et établir et publier les documents des réunions informelles</w:t>
      </w:r>
      <w:r w:rsidR="005D58ED" w:rsidRPr="00221BBA">
        <w:t> ;</w:t>
      </w:r>
    </w:p>
    <w:p w:rsidR="00F11985" w:rsidRPr="00221BBA" w:rsidRDefault="00492324" w:rsidP="00156EBA">
      <w:pPr>
        <w:pStyle w:val="SingleTxtG"/>
        <w:ind w:firstLine="567"/>
      </w:pPr>
      <w:r w:rsidRPr="00221BBA">
        <w:t>b)</w:t>
      </w:r>
      <w:r w:rsidRPr="00221BBA">
        <w:tab/>
      </w:r>
      <w:r w:rsidR="00F11985" w:rsidRPr="00221BBA">
        <w:t>Envoyer les invitations et l’information voulue</w:t>
      </w:r>
      <w:r w:rsidR="005D58ED" w:rsidRPr="00221BBA">
        <w:t> ;</w:t>
      </w:r>
    </w:p>
    <w:p w:rsidR="00F11985" w:rsidRPr="00221BBA" w:rsidRDefault="00492324" w:rsidP="00156EBA">
      <w:pPr>
        <w:pStyle w:val="SingleTxtG"/>
        <w:ind w:firstLine="567"/>
      </w:pPr>
      <w:r w:rsidRPr="00221BBA">
        <w:t>c)</w:t>
      </w:r>
      <w:r w:rsidRPr="00221BBA">
        <w:tab/>
      </w:r>
      <w:r w:rsidR="00F11985" w:rsidRPr="00221BBA">
        <w:t>Dans la mesure des besoins, organiser/appuyer l’organisation d’activités parallèles</w:t>
      </w:r>
      <w:r w:rsidR="005D58ED" w:rsidRPr="00221BBA">
        <w:t> ;</w:t>
      </w:r>
    </w:p>
    <w:p w:rsidR="00F11985" w:rsidRPr="00221BBA" w:rsidRDefault="00492324" w:rsidP="00156EBA">
      <w:pPr>
        <w:pStyle w:val="SingleTxtG"/>
        <w:ind w:firstLine="567"/>
      </w:pPr>
      <w:r w:rsidRPr="00221BBA">
        <w:t>d)</w:t>
      </w:r>
      <w:r w:rsidRPr="00221BBA">
        <w:tab/>
      </w:r>
      <w:r w:rsidR="00F11985" w:rsidRPr="00221BBA">
        <w:t>Enregistrer les participants et organiser les voyages des participants bénéficiant d’une aide financière et, au besoin, faciliter l’obtention de visas</w:t>
      </w:r>
      <w:r w:rsidR="005D58ED" w:rsidRPr="00221BBA">
        <w:t> ;</w:t>
      </w:r>
    </w:p>
    <w:p w:rsidR="00F11985" w:rsidRPr="00221BBA" w:rsidRDefault="00492324" w:rsidP="00156EBA">
      <w:pPr>
        <w:pStyle w:val="SingleTxtG"/>
        <w:ind w:firstLine="567"/>
      </w:pPr>
      <w:r w:rsidRPr="00221BBA">
        <w:t>e)</w:t>
      </w:r>
      <w:r w:rsidRPr="00221BBA">
        <w:tab/>
      </w:r>
      <w:r w:rsidR="00F11985" w:rsidRPr="00221BBA">
        <w:t>Appuyer les membres du Bureau, y compris en préparant des notes d’information détaillées</w:t>
      </w:r>
      <w:r w:rsidR="005D58ED" w:rsidRPr="00221BBA">
        <w:t> ;</w:t>
      </w:r>
    </w:p>
    <w:p w:rsidR="00F11985" w:rsidRPr="00221BBA" w:rsidRDefault="00492324" w:rsidP="00156EBA">
      <w:pPr>
        <w:pStyle w:val="SingleTxtG"/>
        <w:ind w:firstLine="567"/>
      </w:pPr>
      <w:r w:rsidRPr="00221BBA">
        <w:t>f)</w:t>
      </w:r>
      <w:r w:rsidRPr="00221BBA">
        <w:tab/>
      </w:r>
      <w:r w:rsidR="00F11985" w:rsidRPr="00221BBA">
        <w:t>Se charger de la logistique de la réunion (lieu de la réunion et dispositifs de sécurité de l’Organisation des Nations Unies)</w:t>
      </w:r>
      <w:r w:rsidR="005D58ED" w:rsidRPr="00221BBA">
        <w:t> ;</w:t>
      </w:r>
    </w:p>
    <w:p w:rsidR="00F11985" w:rsidRPr="00221BBA" w:rsidRDefault="00492324" w:rsidP="00156EBA">
      <w:pPr>
        <w:pStyle w:val="SingleTxtG"/>
        <w:ind w:firstLine="567"/>
      </w:pPr>
      <w:r w:rsidRPr="00221BBA">
        <w:t>g)</w:t>
      </w:r>
      <w:r w:rsidRPr="00221BBA">
        <w:tab/>
      </w:r>
      <w:r w:rsidR="00F11985" w:rsidRPr="00221BBA">
        <w:t>Au besoin, se charger de la collecte et de l’enregistrement des pouvoirs</w:t>
      </w:r>
      <w:r w:rsidR="005D58ED" w:rsidRPr="00221BBA">
        <w:t> ;</w:t>
      </w:r>
    </w:p>
    <w:p w:rsidR="00F11985" w:rsidRPr="00221BBA" w:rsidRDefault="00492324" w:rsidP="00156EBA">
      <w:pPr>
        <w:pStyle w:val="SingleTxtG"/>
        <w:ind w:firstLine="567"/>
      </w:pPr>
      <w:r w:rsidRPr="00221BBA">
        <w:lastRenderedPageBreak/>
        <w:t>h)</w:t>
      </w:r>
      <w:r w:rsidRPr="00221BBA">
        <w:tab/>
      </w:r>
      <w:r w:rsidR="00F11985" w:rsidRPr="00221BBA">
        <w:t>Fournir des services de conférence pendant la réunion</w:t>
      </w:r>
      <w:r w:rsidR="005D58ED" w:rsidRPr="00221BBA">
        <w:t> ;</w:t>
      </w:r>
    </w:p>
    <w:p w:rsidR="00F11985" w:rsidRPr="00221BBA" w:rsidRDefault="00492324" w:rsidP="00156EBA">
      <w:pPr>
        <w:pStyle w:val="SingleTxtG"/>
        <w:ind w:firstLine="567"/>
      </w:pPr>
      <w:r w:rsidRPr="00221BBA">
        <w:t>i)</w:t>
      </w:r>
      <w:r w:rsidRPr="00221BBA">
        <w:tab/>
      </w:r>
      <w:r w:rsidR="00F11985" w:rsidRPr="00221BBA">
        <w:t>Fournir des services d’interprétation dans les trois langues de travail de la CEE pendant la réunion</w:t>
      </w:r>
      <w:r w:rsidR="005D58ED" w:rsidRPr="00221BBA">
        <w:t> ;</w:t>
      </w:r>
    </w:p>
    <w:p w:rsidR="00F11985" w:rsidRPr="00221BBA" w:rsidRDefault="00492324" w:rsidP="00156EBA">
      <w:pPr>
        <w:pStyle w:val="SingleTxtG"/>
        <w:ind w:firstLine="567"/>
      </w:pPr>
      <w:r w:rsidRPr="00221BBA">
        <w:t>j)</w:t>
      </w:r>
      <w:r w:rsidRPr="00221BBA">
        <w:tab/>
      </w:r>
      <w:r w:rsidR="00F11985" w:rsidRPr="00221BBA">
        <w:t>Établir, éditer, traduire et publier le rapport de la réunion</w:t>
      </w:r>
      <w:r w:rsidR="005D58ED" w:rsidRPr="00221BBA">
        <w:t> ;</w:t>
      </w:r>
    </w:p>
    <w:p w:rsidR="00F11985" w:rsidRPr="00221BBA" w:rsidRDefault="00492324" w:rsidP="00156EBA">
      <w:pPr>
        <w:pStyle w:val="SingleTxtG"/>
        <w:ind w:firstLine="567"/>
      </w:pPr>
      <w:r w:rsidRPr="00221BBA">
        <w:t>k)</w:t>
      </w:r>
      <w:r w:rsidRPr="00221BBA">
        <w:tab/>
      </w:r>
      <w:r w:rsidR="00F11985" w:rsidRPr="00221BBA">
        <w:t>Dans la mesure des besoins, rédiger des communiqués de presse/organiser la couverture par les médias</w:t>
      </w:r>
      <w:r w:rsidR="005D58ED" w:rsidRPr="00221BBA">
        <w:t> ;</w:t>
      </w:r>
    </w:p>
    <w:p w:rsidR="00F11985" w:rsidRPr="00221BBA" w:rsidRDefault="00492324" w:rsidP="00156EBA">
      <w:pPr>
        <w:pStyle w:val="SingleTxtG"/>
        <w:ind w:firstLine="567"/>
      </w:pPr>
      <w:r w:rsidRPr="00221BBA">
        <w:t>l)</w:t>
      </w:r>
      <w:r w:rsidRPr="00221BBA">
        <w:tab/>
      </w:r>
      <w:r w:rsidR="00F11985" w:rsidRPr="00221BBA">
        <w:t>Assurer le suivi des décisions prises.</w:t>
      </w:r>
      <w:bookmarkStart w:id="12" w:name="_Hlk31980543"/>
      <w:bookmarkStart w:id="13" w:name="_Hlk31979642"/>
      <w:bookmarkStart w:id="14" w:name="_Hlk31984396"/>
    </w:p>
    <w:p w:rsidR="00F11985" w:rsidRPr="00221BBA" w:rsidRDefault="00F11985" w:rsidP="00492324">
      <w:pPr>
        <w:pStyle w:val="SingleTxtG"/>
      </w:pPr>
      <w:r w:rsidRPr="00221BBA">
        <w:rPr>
          <w:i/>
        </w:rPr>
        <w:t>Entité(s) responsable(s)</w:t>
      </w:r>
      <w:r w:rsidR="005628B1" w:rsidRPr="005628B1">
        <w:t> :</w:t>
      </w:r>
      <w:r w:rsidRPr="00221BBA">
        <w:t xml:space="preserve"> Le secrétariat, au besoin en consultation avec le Bureau. En ce qui concerne les réunions accueillies par une Partie, le pays hôte est responsable des aspects liés à l’organisation de la réunion (et de leurs coûts) </w:t>
      </w:r>
      <w:r w:rsidR="00861A56">
        <w:t>−</w:t>
      </w:r>
      <w:r w:rsidRPr="00221BBA">
        <w:t xml:space="preserve"> conformément à un accord détaillé conclu entre le pays hôte et le secrétariat</w:t>
      </w:r>
      <w:bookmarkEnd w:id="12"/>
      <w:bookmarkEnd w:id="13"/>
      <w:r w:rsidRPr="00221BBA">
        <w:t>.</w:t>
      </w:r>
    </w:p>
    <w:p w:rsidR="00F11985" w:rsidRPr="00221BBA" w:rsidRDefault="00F11985" w:rsidP="00492324">
      <w:pPr>
        <w:pStyle w:val="SingleTxtG"/>
      </w:pPr>
      <w:r w:rsidRPr="00221BBA">
        <w:rPr>
          <w:i/>
          <w:iCs/>
        </w:rPr>
        <w:t>Ressources nécessaires</w:t>
      </w:r>
      <w:r w:rsidR="005628B1" w:rsidRPr="005628B1">
        <w:rPr>
          <w:iCs/>
        </w:rPr>
        <w:t> :</w:t>
      </w:r>
      <w:r w:rsidRPr="00221BBA">
        <w:rPr>
          <w:i/>
          <w:iCs/>
        </w:rPr>
        <w:t xml:space="preserve"> </w:t>
      </w:r>
      <w:r w:rsidRPr="00221BBA">
        <w:rPr>
          <w:iCs/>
        </w:rPr>
        <w:t xml:space="preserve">Administrateurs et personnel d’appui du </w:t>
      </w:r>
      <w:r w:rsidRPr="00221BBA">
        <w:t>secrétariat</w:t>
      </w:r>
      <w:bookmarkEnd w:id="14"/>
      <w:r w:rsidRPr="00221BBA">
        <w:t>. Aide financière pour les frais de voyage des participants et des experts (intervenants) admis à en bénéficier.</w:t>
      </w:r>
    </w:p>
    <w:p w:rsidR="00F11985" w:rsidRPr="00221BBA" w:rsidRDefault="00F11985" w:rsidP="00492324">
      <w:pPr>
        <w:pStyle w:val="H1G"/>
      </w:pPr>
      <w:r w:rsidRPr="00221BBA">
        <w:tab/>
        <w:t>B.</w:t>
      </w:r>
      <w:r w:rsidRPr="00221BBA">
        <w:tab/>
      </w:r>
      <w:bookmarkStart w:id="15" w:name="_Hlk36021677"/>
      <w:r w:rsidRPr="00221BBA">
        <w:t>Communication, visibilité, coordination</w:t>
      </w:r>
      <w:bookmarkEnd w:id="15"/>
    </w:p>
    <w:p w:rsidR="00F11985" w:rsidRPr="00221BBA" w:rsidRDefault="00F11985" w:rsidP="00492324">
      <w:pPr>
        <w:pStyle w:val="H4G"/>
      </w:pPr>
      <w:r w:rsidRPr="00221BBA">
        <w:tab/>
      </w:r>
      <w:r w:rsidRPr="00221BBA">
        <w:tab/>
        <w:t>Activités</w:t>
      </w:r>
      <w:r w:rsidR="005628B1" w:rsidRPr="005628B1">
        <w:rPr>
          <w:i w:val="0"/>
        </w:rPr>
        <w:t> :</w:t>
      </w:r>
    </w:p>
    <w:p w:rsidR="00F11985" w:rsidRPr="00221BBA" w:rsidRDefault="00F11985" w:rsidP="00156EBA">
      <w:pPr>
        <w:pStyle w:val="SingleTxtG"/>
        <w:ind w:firstLine="567"/>
      </w:pPr>
      <w:r w:rsidRPr="00221BBA">
        <w:t>Le secrétariat doit assumer des tâches générales de communication et de coordination dans le cadre de la Convention et de son Protocole et veiller à ce que les traités et les activités auxquelles ils donnent lieu soient visibles en assurant l’accès aux informations voulues. À ces fins, il doit</w:t>
      </w:r>
      <w:r w:rsidR="005628B1" w:rsidRPr="005628B1">
        <w:t> :</w:t>
      </w:r>
    </w:p>
    <w:p w:rsidR="00F11985" w:rsidRPr="00221BBA" w:rsidRDefault="00492324" w:rsidP="00156EBA">
      <w:pPr>
        <w:pStyle w:val="SingleTxtG"/>
        <w:ind w:firstLine="567"/>
      </w:pPr>
      <w:r w:rsidRPr="00221BBA">
        <w:t>a)</w:t>
      </w:r>
      <w:r w:rsidRPr="00221BBA">
        <w:tab/>
      </w:r>
      <w:r w:rsidR="00F11985" w:rsidRPr="00221BBA">
        <w:t>Assurer les contacts avec les centres de liaison, les parties prenantes et les organisations partenaires concernées au sein comme à l’extérieur du système des Nations Unies, en répondant à leurs demandes et en faisant connaître les traités et les activités auxquelles ils donnent lieu</w:t>
      </w:r>
      <w:r w:rsidR="005D58ED" w:rsidRPr="00221BBA">
        <w:t> ;</w:t>
      </w:r>
    </w:p>
    <w:p w:rsidR="00F11985" w:rsidRPr="00221BBA" w:rsidRDefault="00492324" w:rsidP="00156EBA">
      <w:pPr>
        <w:pStyle w:val="SingleTxtG"/>
        <w:ind w:firstLine="567"/>
      </w:pPr>
      <w:r w:rsidRPr="00221BBA">
        <w:t>b)</w:t>
      </w:r>
      <w:r w:rsidRPr="00221BBA">
        <w:tab/>
      </w:r>
      <w:r w:rsidR="00F11985" w:rsidRPr="00221BBA">
        <w:t>Coordonner la réalisation des activités du plan de travail, y compris en coopération avec les secrétariats et les sous-programmes d’autres accords multilatéraux de la CEE relatifs à l’environnement, et, sous réserve des ressources disponibles, avec d’autres organismes des Nations Unies et d’autres organisations internationales</w:t>
      </w:r>
      <w:r w:rsidR="005D58ED" w:rsidRPr="00221BBA">
        <w:t> ;</w:t>
      </w:r>
    </w:p>
    <w:p w:rsidR="00F11985" w:rsidRPr="00221BBA" w:rsidRDefault="00492324" w:rsidP="00156EBA">
      <w:pPr>
        <w:pStyle w:val="SingleTxtG"/>
        <w:ind w:firstLine="567"/>
      </w:pPr>
      <w:r w:rsidRPr="00221BBA">
        <w:t>c)</w:t>
      </w:r>
      <w:r w:rsidRPr="00221BBA">
        <w:tab/>
      </w:r>
      <w:r w:rsidR="00F11985" w:rsidRPr="00221BBA">
        <w:t>Représenter la Convention et le Protocole aux réunions et manifestations pertinentes, selon les besoins, afin de promouvoir et/ou de coordonner les activités, y compris, par exemple, la contribution à une manifestation sur les infrastructures durables à l’occasion de la neuvième Conférence ministérielle « Un environnement pour l’Europe » (Nicosie, 3</w:t>
      </w:r>
      <w:r w:rsidR="00CD3921">
        <w:t xml:space="preserve"> au </w:t>
      </w:r>
      <w:r w:rsidR="00F11985" w:rsidRPr="00221BBA">
        <w:t>5</w:t>
      </w:r>
      <w:r w:rsidR="00CD3921">
        <w:t> </w:t>
      </w:r>
      <w:r w:rsidR="00F11985" w:rsidRPr="00221BBA">
        <w:t>novembre 2021)</w:t>
      </w:r>
      <w:r w:rsidR="005D58ED" w:rsidRPr="00221BBA">
        <w:t> ;</w:t>
      </w:r>
    </w:p>
    <w:p w:rsidR="00F11985" w:rsidRPr="00221BBA" w:rsidRDefault="00492324" w:rsidP="00156EBA">
      <w:pPr>
        <w:pStyle w:val="SingleTxtG"/>
        <w:ind w:firstLine="567"/>
      </w:pPr>
      <w:r w:rsidRPr="00221BBA">
        <w:t>d)</w:t>
      </w:r>
      <w:r w:rsidRPr="00221BBA">
        <w:tab/>
      </w:r>
      <w:r w:rsidR="00F11985" w:rsidRPr="00221BBA">
        <w:t>Veiller à la visibilité et à l’accessibilité de l’information et d’une documentation actualisée sur le site Web des traités, y compris des bases de données en ligne concernant les centres de liaison pour les questions administratives et les points de contact pour les notifications et des calendriers des réunions en ligne</w:t>
      </w:r>
      <w:r w:rsidR="005D58ED" w:rsidRPr="00221BBA">
        <w:t> ;</w:t>
      </w:r>
    </w:p>
    <w:p w:rsidR="00F11985" w:rsidRPr="00221BBA" w:rsidRDefault="00492324" w:rsidP="00156EBA">
      <w:pPr>
        <w:pStyle w:val="SingleTxtG"/>
        <w:ind w:firstLine="567"/>
      </w:pPr>
      <w:r w:rsidRPr="00221BBA">
        <w:t>e)</w:t>
      </w:r>
      <w:r w:rsidRPr="00221BBA">
        <w:tab/>
      </w:r>
      <w:r w:rsidR="00F11985" w:rsidRPr="00221BBA">
        <w:t>Préparer la correspondance et l’information à l’intention de l’équipe de direction de la CEE en vue des réunions bilatérales et multilatérales dans la région de la CEE et au-delà</w:t>
      </w:r>
      <w:r w:rsidR="005D58ED" w:rsidRPr="00221BBA">
        <w:t> ;</w:t>
      </w:r>
    </w:p>
    <w:p w:rsidR="00F11985" w:rsidRPr="00221BBA" w:rsidRDefault="00492324" w:rsidP="00156EBA">
      <w:pPr>
        <w:pStyle w:val="SingleTxtG"/>
        <w:ind w:firstLine="567"/>
      </w:pPr>
      <w:r w:rsidRPr="00221BBA">
        <w:t>f)</w:t>
      </w:r>
      <w:r w:rsidRPr="00221BBA">
        <w:tab/>
      </w:r>
      <w:r w:rsidR="00F11985" w:rsidRPr="00221BBA">
        <w:t>En fonction des besoins, préparer des communiqués de presse et d’autres matériels d’information.</w:t>
      </w:r>
    </w:p>
    <w:p w:rsidR="00F11985" w:rsidRPr="00221BBA" w:rsidRDefault="00F11985" w:rsidP="00492324">
      <w:pPr>
        <w:pStyle w:val="SingleTxtG"/>
      </w:pPr>
      <w:r w:rsidRPr="00221BBA">
        <w:rPr>
          <w:i/>
          <w:iCs/>
        </w:rPr>
        <w:t>Entité(s) responsable(s)</w:t>
      </w:r>
      <w:r w:rsidR="005628B1" w:rsidRPr="005628B1">
        <w:rPr>
          <w:iCs/>
        </w:rPr>
        <w:t> :</w:t>
      </w:r>
      <w:r w:rsidRPr="00221BBA">
        <w:t xml:space="preserve"> Le secrétariat, au besoin en consultation avec les organes créés en vertu des traités. Les Parties informent le secrétariat de tout changement relatif aux centres de liaison/points de contact.</w:t>
      </w:r>
    </w:p>
    <w:p w:rsidR="00F11985" w:rsidRPr="00221BBA" w:rsidRDefault="00F11985" w:rsidP="00492324">
      <w:pPr>
        <w:pStyle w:val="SingleTxtG"/>
      </w:pPr>
      <w:r w:rsidRPr="00221BBA">
        <w:rPr>
          <w:i/>
          <w:iCs/>
        </w:rPr>
        <w:t>Ressources nécessaires</w:t>
      </w:r>
      <w:r w:rsidR="005628B1" w:rsidRPr="005628B1">
        <w:t> :</w:t>
      </w:r>
      <w:r w:rsidRPr="00221BBA">
        <w:t xml:space="preserve"> </w:t>
      </w:r>
      <w:r w:rsidRPr="00221BBA">
        <w:rPr>
          <w:iCs/>
        </w:rPr>
        <w:t xml:space="preserve">Administrateurs et personnel d’appui du </w:t>
      </w:r>
      <w:r w:rsidRPr="00221BBA">
        <w:t>secrétariat. Crédits au titre des frais de voyage de membres du secrétariat appelés à assister aux réunions portant sur l’exécution du plan de travail et, s’il y a lieu, aux réunions d’organes extérieurs</w:t>
      </w:r>
      <w:r w:rsidR="005D58ED" w:rsidRPr="00221BBA">
        <w:t> ;</w:t>
      </w:r>
      <w:r w:rsidRPr="00221BBA">
        <w:t xml:space="preserve"> au besoin, fonds pour le matériel de promotion.</w:t>
      </w:r>
    </w:p>
    <w:p w:rsidR="00F11985" w:rsidRPr="000E5B10" w:rsidRDefault="00F11985" w:rsidP="00492324">
      <w:pPr>
        <w:pStyle w:val="H1G"/>
      </w:pPr>
      <w:r w:rsidRPr="00221BBA">
        <w:lastRenderedPageBreak/>
        <w:tab/>
      </w:r>
      <w:r w:rsidRPr="000E5B10">
        <w:t>C.</w:t>
      </w:r>
      <w:r w:rsidRPr="000E5B10">
        <w:tab/>
      </w:r>
      <w:bookmarkStart w:id="16" w:name="_Hlk36021714"/>
      <w:r w:rsidRPr="000E5B10">
        <w:t>Gestion générale du programme</w:t>
      </w:r>
      <w:bookmarkEnd w:id="16"/>
    </w:p>
    <w:p w:rsidR="00F11985" w:rsidRPr="00221BBA" w:rsidRDefault="00F11985" w:rsidP="00156EBA">
      <w:pPr>
        <w:pStyle w:val="SingleTxtG"/>
        <w:ind w:firstLine="567"/>
      </w:pPr>
      <w:r w:rsidRPr="000E5B10">
        <w:t>Le secrétariat exécute de tâches, prend des décisions administratives et établit les rapports nécessaires au fonctionnement des traités et à son propre fonctionnement, qui facilitent la planification et la gestion générales, financières et liées aux ressources humaines.</w:t>
      </w:r>
    </w:p>
    <w:p w:rsidR="00F11985" w:rsidRPr="00221BBA" w:rsidRDefault="00F11985" w:rsidP="00492324">
      <w:pPr>
        <w:pStyle w:val="H4G"/>
      </w:pPr>
      <w:r w:rsidRPr="00221BBA">
        <w:tab/>
      </w:r>
      <w:r w:rsidRPr="00221BBA">
        <w:tab/>
        <w:t>Activités</w:t>
      </w:r>
      <w:r w:rsidR="005628B1" w:rsidRPr="005628B1">
        <w:rPr>
          <w:i w:val="0"/>
        </w:rPr>
        <w:t> :</w:t>
      </w:r>
    </w:p>
    <w:p w:rsidR="00F11985" w:rsidRPr="00221BBA" w:rsidRDefault="00492324" w:rsidP="00156EBA">
      <w:pPr>
        <w:pStyle w:val="SingleTxtG"/>
        <w:ind w:firstLine="567"/>
      </w:pPr>
      <w:r w:rsidRPr="00221BBA">
        <w:t>a)</w:t>
      </w:r>
      <w:r w:rsidRPr="00221BBA">
        <w:tab/>
      </w:r>
      <w:r w:rsidR="00F11985" w:rsidRPr="00221BBA">
        <w:t>Établir les demandes de paiement pour les contributions des donateurs au Fonds d’affectation spéciale</w:t>
      </w:r>
      <w:r w:rsidR="005D58ED" w:rsidRPr="00221BBA">
        <w:t> ;</w:t>
      </w:r>
    </w:p>
    <w:p w:rsidR="00F11985" w:rsidRPr="00221BBA" w:rsidRDefault="00492324" w:rsidP="00156EBA">
      <w:pPr>
        <w:pStyle w:val="SingleTxtG"/>
        <w:ind w:firstLine="567"/>
      </w:pPr>
      <w:r w:rsidRPr="00221BBA">
        <w:t>b)</w:t>
      </w:r>
      <w:r w:rsidRPr="00221BBA">
        <w:tab/>
      </w:r>
      <w:r w:rsidR="00F11985" w:rsidRPr="00221BBA">
        <w:t>Établir et soumettre les rapports financiers annuels au Bureau pour approbation, puis les publier sur le site Web</w:t>
      </w:r>
      <w:r w:rsidR="005D58ED" w:rsidRPr="00221BBA">
        <w:t> ;</w:t>
      </w:r>
    </w:p>
    <w:p w:rsidR="00F11985" w:rsidRPr="00221BBA" w:rsidRDefault="00492324" w:rsidP="00156EBA">
      <w:pPr>
        <w:pStyle w:val="SingleTxtG"/>
        <w:ind w:firstLine="567"/>
      </w:pPr>
      <w:r w:rsidRPr="00221BBA">
        <w:t>c)</w:t>
      </w:r>
      <w:r w:rsidRPr="00221BBA">
        <w:tab/>
      </w:r>
      <w:r w:rsidR="00F11985" w:rsidRPr="00221BBA">
        <w:t>Sur demande, et à titre exceptionnel, établir des rapports financiers séparés pour des donateurs individuels</w:t>
      </w:r>
      <w:r w:rsidR="005D58ED" w:rsidRPr="00221BBA">
        <w:t> ;</w:t>
      </w:r>
    </w:p>
    <w:p w:rsidR="00F11985" w:rsidRPr="00534BA0" w:rsidRDefault="00492324" w:rsidP="00156EBA">
      <w:pPr>
        <w:pStyle w:val="SingleTxtG"/>
        <w:ind w:firstLine="567"/>
      </w:pPr>
      <w:bookmarkStart w:id="17" w:name="_Hlk36044123"/>
      <w:r w:rsidRPr="00221BBA">
        <w:t>d)</w:t>
      </w:r>
      <w:r w:rsidRPr="00221BBA">
        <w:tab/>
      </w:r>
      <w:r w:rsidR="00F11985" w:rsidRPr="00534BA0">
        <w:t>Établir des plans de dépenses annuels et à plus long terme et faire des prévisions concernant le nombre de réunions, de documents et de publications que l’administration et les services compétents de l’Organisation des Nations Unies auront à</w:t>
      </w:r>
      <w:r w:rsidR="00534BA0">
        <w:t> </w:t>
      </w:r>
      <w:r w:rsidR="00F11985" w:rsidRPr="00534BA0">
        <w:t>traiter</w:t>
      </w:r>
      <w:r w:rsidR="005D58ED" w:rsidRPr="00534BA0">
        <w:t> ;</w:t>
      </w:r>
    </w:p>
    <w:bookmarkEnd w:id="17"/>
    <w:p w:rsidR="00F11985" w:rsidRPr="00221BBA" w:rsidRDefault="00492324" w:rsidP="00156EBA">
      <w:pPr>
        <w:pStyle w:val="SingleTxtG"/>
        <w:ind w:firstLine="567"/>
      </w:pPr>
      <w:r w:rsidRPr="00221BBA">
        <w:t>e)</w:t>
      </w:r>
      <w:r w:rsidRPr="00221BBA">
        <w:tab/>
      </w:r>
      <w:r w:rsidR="00F11985" w:rsidRPr="00221BBA">
        <w:t>Faire rapport sur les questions de fond et les questions administratives</w:t>
      </w:r>
      <w:r w:rsidR="005D58ED" w:rsidRPr="00221BBA">
        <w:t> ;</w:t>
      </w:r>
    </w:p>
    <w:p w:rsidR="00F11985" w:rsidRPr="00221BBA" w:rsidRDefault="00492324" w:rsidP="00156EBA">
      <w:pPr>
        <w:pStyle w:val="SingleTxtG"/>
        <w:ind w:firstLine="567"/>
      </w:pPr>
      <w:r w:rsidRPr="00221BBA">
        <w:t>f)</w:t>
      </w:r>
      <w:r w:rsidRPr="00221BBA">
        <w:tab/>
      </w:r>
      <w:r w:rsidR="00F11985" w:rsidRPr="00221BBA">
        <w:t>Recruter du personnel et des consultants et les gérer.</w:t>
      </w:r>
    </w:p>
    <w:p w:rsidR="00F11985" w:rsidRPr="00221BBA" w:rsidRDefault="00F11985" w:rsidP="00492324">
      <w:pPr>
        <w:pStyle w:val="SingleTxtG"/>
      </w:pPr>
      <w:r w:rsidRPr="000F458A">
        <w:rPr>
          <w:i/>
        </w:rPr>
        <w:t>Entité(s) responsable(s)</w:t>
      </w:r>
      <w:r w:rsidR="005628B1" w:rsidRPr="005628B1">
        <w:t> :</w:t>
      </w:r>
      <w:r w:rsidRPr="00221BBA">
        <w:t xml:space="preserve"> Le secrétariat.</w:t>
      </w:r>
    </w:p>
    <w:p w:rsidR="00F11985" w:rsidRPr="00221BBA" w:rsidRDefault="00F11985" w:rsidP="00492324">
      <w:pPr>
        <w:pStyle w:val="SingleTxtG"/>
      </w:pPr>
      <w:r w:rsidRPr="00221BBA">
        <w:rPr>
          <w:i/>
        </w:rPr>
        <w:t>Ressources nécessaires</w:t>
      </w:r>
      <w:r w:rsidR="005628B1" w:rsidRPr="005628B1">
        <w:t> :</w:t>
      </w:r>
      <w:r w:rsidRPr="00534BA0">
        <w:t xml:space="preserve"> </w:t>
      </w:r>
      <w:r w:rsidRPr="00221BBA">
        <w:t>Administrateurs et personnel d’appui du secrétariat.</w:t>
      </w:r>
    </w:p>
    <w:p w:rsidR="00F11985" w:rsidRPr="00221BBA" w:rsidRDefault="00F11985" w:rsidP="00492324">
      <w:pPr>
        <w:pStyle w:val="HChG"/>
      </w:pPr>
      <w:r w:rsidRPr="00221BBA">
        <w:tab/>
        <w:t>II.</w:t>
      </w:r>
      <w:r w:rsidRPr="00221BBA">
        <w:tab/>
        <w:t>Respect des dispositions et application de la Convention et d</w:t>
      </w:r>
      <w:r w:rsidR="00492324" w:rsidRPr="00221BBA">
        <w:t>u </w:t>
      </w:r>
      <w:r w:rsidRPr="00221BBA">
        <w:t>Protocole</w:t>
      </w:r>
    </w:p>
    <w:p w:rsidR="00F11985" w:rsidRPr="00221BBA" w:rsidRDefault="00F11985" w:rsidP="00156EBA">
      <w:pPr>
        <w:pStyle w:val="SingleTxtG"/>
        <w:ind w:firstLine="567"/>
      </w:pPr>
      <w:bookmarkStart w:id="18" w:name="_Hlk22918633"/>
      <w:r w:rsidRPr="00221BBA">
        <w:t>L’objectif est de promouvoir l’application et le respect pleins et effectifs de la Convention et du Protocol</w:t>
      </w:r>
      <w:bookmarkStart w:id="19" w:name="_Hlk36021583"/>
      <w:r w:rsidRPr="00221BBA">
        <w:t xml:space="preserve">e, </w:t>
      </w:r>
      <w:bookmarkStart w:id="20" w:name="_Hlk36024451"/>
      <w:r w:rsidRPr="00221BBA">
        <w:t>par la réalisation d’activités dans les domaines suivants</w:t>
      </w:r>
      <w:r w:rsidR="005628B1" w:rsidRPr="005628B1">
        <w:t> :</w:t>
      </w:r>
      <w:bookmarkEnd w:id="19"/>
      <w:bookmarkEnd w:id="20"/>
    </w:p>
    <w:p w:rsidR="00F11985" w:rsidRPr="00221BBA" w:rsidRDefault="00F11985" w:rsidP="00156EBA">
      <w:pPr>
        <w:pStyle w:val="SingleTxtG"/>
        <w:ind w:firstLine="567"/>
      </w:pPr>
      <w:r w:rsidRPr="00221BBA">
        <w:t>a)</w:t>
      </w:r>
      <w:r w:rsidRPr="00221BBA">
        <w:tab/>
        <w:t>Examen du respect des dispositions</w:t>
      </w:r>
      <w:r w:rsidR="005D58ED" w:rsidRPr="00221BBA">
        <w:t> ;</w:t>
      </w:r>
    </w:p>
    <w:p w:rsidR="00F11985" w:rsidRPr="00221BBA" w:rsidRDefault="00F11985" w:rsidP="00156EBA">
      <w:pPr>
        <w:pStyle w:val="SingleTxtG"/>
        <w:ind w:firstLine="567"/>
      </w:pPr>
      <w:r w:rsidRPr="00221BBA">
        <w:t>b)</w:t>
      </w:r>
      <w:r w:rsidRPr="00221BBA">
        <w:tab/>
        <w:t>Établissement de rapport et examen de l’application</w:t>
      </w:r>
      <w:r w:rsidR="005D58ED" w:rsidRPr="00221BBA">
        <w:t> ;</w:t>
      </w:r>
    </w:p>
    <w:p w:rsidR="00F11985" w:rsidRPr="00221BBA" w:rsidRDefault="00F11985" w:rsidP="00156EBA">
      <w:pPr>
        <w:pStyle w:val="SingleTxtG"/>
        <w:ind w:firstLine="567"/>
      </w:pPr>
      <w:r w:rsidRPr="00221BBA">
        <w:t>c)</w:t>
      </w:r>
      <w:r w:rsidRPr="00221BBA">
        <w:tab/>
      </w:r>
      <w:bookmarkStart w:id="21" w:name="_Hlk36023108"/>
      <w:r w:rsidRPr="00221BBA">
        <w:t>Assistance législative visant à mettre la législation des Parties en conformité avec la Convention et le Protocole</w:t>
      </w:r>
      <w:r w:rsidR="005D58ED" w:rsidRPr="00221BBA">
        <w:t> ;</w:t>
      </w:r>
    </w:p>
    <w:bookmarkEnd w:id="21"/>
    <w:p w:rsidR="00F11985" w:rsidRPr="00534BA0" w:rsidRDefault="00F11985" w:rsidP="00156EBA">
      <w:pPr>
        <w:pStyle w:val="SingleTxtG"/>
        <w:ind w:firstLine="567"/>
        <w:rPr>
          <w:spacing w:val="-2"/>
        </w:rPr>
      </w:pPr>
      <w:r w:rsidRPr="00221BBA">
        <w:t>d)</w:t>
      </w:r>
      <w:r w:rsidRPr="00221BBA">
        <w:tab/>
      </w:r>
      <w:r w:rsidRPr="00534BA0">
        <w:rPr>
          <w:spacing w:val="-2"/>
        </w:rPr>
        <w:t>Élaboration de documents d’orientation/directives sur l’application des traités.</w:t>
      </w:r>
    </w:p>
    <w:bookmarkEnd w:id="10"/>
    <w:bookmarkEnd w:id="18"/>
    <w:p w:rsidR="00F11985" w:rsidRPr="00221BBA" w:rsidRDefault="00F11985" w:rsidP="00492324">
      <w:pPr>
        <w:pStyle w:val="H1G"/>
        <w:rPr>
          <w:bCs/>
        </w:rPr>
      </w:pPr>
      <w:r w:rsidRPr="00221BBA">
        <w:tab/>
        <w:t>[A.</w:t>
      </w:r>
      <w:r w:rsidRPr="00221BBA">
        <w:tab/>
        <w:t>Examen du respect des dispositions</w:t>
      </w:r>
    </w:p>
    <w:p w:rsidR="00F11985" w:rsidRPr="00221BBA" w:rsidRDefault="00F11985" w:rsidP="00492324">
      <w:pPr>
        <w:pStyle w:val="SingleTxtG"/>
      </w:pPr>
      <w:bookmarkStart w:id="22" w:name="_Hlk31986613"/>
      <w:bookmarkStart w:id="23" w:name="_Hlk31975671"/>
      <w:bookmarkStart w:id="24" w:name="_Hlk31885742"/>
      <w:r w:rsidRPr="00221BBA">
        <w:rPr>
          <w:i/>
          <w:iCs/>
        </w:rPr>
        <w:t>Entité(s) responsable(s)</w:t>
      </w:r>
      <w:r w:rsidR="005628B1" w:rsidRPr="005628B1">
        <w:rPr>
          <w:iCs/>
        </w:rPr>
        <w:t> :</w:t>
      </w:r>
      <w:r w:rsidRPr="00221BBA">
        <w:t xml:space="preserve"> </w:t>
      </w:r>
      <w:bookmarkEnd w:id="22"/>
      <w:r w:rsidRPr="00221BBA">
        <w:t>Le Comité d’application, appuyé par le secrétariat</w:t>
      </w:r>
      <w:bookmarkEnd w:id="23"/>
    </w:p>
    <w:p w:rsidR="00F11985" w:rsidRPr="00221BBA" w:rsidRDefault="00F11985" w:rsidP="00492324">
      <w:pPr>
        <w:pStyle w:val="SingleTxtG"/>
      </w:pPr>
      <w:r w:rsidRPr="00221BBA">
        <w:rPr>
          <w:i/>
          <w:iCs/>
        </w:rPr>
        <w:t>Méthode de travail</w:t>
      </w:r>
      <w:r w:rsidR="005628B1" w:rsidRPr="005628B1">
        <w:rPr>
          <w:iCs/>
        </w:rPr>
        <w:t> :</w:t>
      </w:r>
      <w:r w:rsidRPr="00221BBA">
        <w:t xml:space="preserve"> Le Comité d’application tient trois réunions par an (soit neuf réunions au total) dans la période 2021</w:t>
      </w:r>
      <w:r w:rsidR="005E6839" w:rsidRPr="00221BBA">
        <w:t>-</w:t>
      </w:r>
      <w:r w:rsidRPr="00221BBA">
        <w:t>2023</w:t>
      </w:r>
      <w:r w:rsidR="005D58ED" w:rsidRPr="00221BBA">
        <w:t> ;</w:t>
      </w:r>
      <w:r w:rsidRPr="00221BBA">
        <w:t xml:space="preserve"> dans le même temps, il doit, autant qu’il le faut, travailler par courrier électronique et tenir des réunions virtuelles (par exemple, réunions Webex) ou des audio- ou vidéoconférences.</w:t>
      </w:r>
    </w:p>
    <w:p w:rsidR="00F11985" w:rsidRPr="00221BBA" w:rsidRDefault="00F11985" w:rsidP="00156EBA">
      <w:pPr>
        <w:pStyle w:val="SingleTxtG"/>
        <w:ind w:firstLine="567"/>
      </w:pPr>
      <w:r w:rsidRPr="00221BBA">
        <w:t>Le secrétariat organise les réunions et en assure le service</w:t>
      </w:r>
      <w:r w:rsidR="005D58ED" w:rsidRPr="00221BBA">
        <w:t> ;</w:t>
      </w:r>
      <w:r w:rsidRPr="00221BBA">
        <w:t xml:space="preserve"> établit, édite et fait traduire les ordres du jour et les rapports officiels des réunions</w:t>
      </w:r>
      <w:r w:rsidR="005D58ED" w:rsidRPr="00221BBA">
        <w:t> ;</w:t>
      </w:r>
      <w:r w:rsidRPr="00221BBA">
        <w:t xml:space="preserve"> appuie les administrateurs et les membres du Bureau en ce qui concerne la préparation et le suivi des réunions</w:t>
      </w:r>
      <w:r w:rsidR="005D58ED" w:rsidRPr="00221BBA">
        <w:t> ;</w:t>
      </w:r>
      <w:r w:rsidRPr="00221BBA">
        <w:t xml:space="preserve"> met les documents de travail informels à la disposition des membres du Comité d’application</w:t>
      </w:r>
      <w:r w:rsidR="005D58ED" w:rsidRPr="00221BBA">
        <w:t> ;</w:t>
      </w:r>
      <w:r w:rsidRPr="00221BBA">
        <w:t xml:space="preserve"> tient à jour le site Web officiel</w:t>
      </w:r>
      <w:r w:rsidR="005D58ED" w:rsidRPr="00221BBA">
        <w:t> ;</w:t>
      </w:r>
      <w:r w:rsidRPr="00221BBA">
        <w:t xml:space="preserve"> et aide le président à rendre compte des délibérations du</w:t>
      </w:r>
      <w:r w:rsidR="00534BA0">
        <w:t> </w:t>
      </w:r>
      <w:r w:rsidRPr="00221BBA">
        <w:t>Comité</w:t>
      </w:r>
    </w:p>
    <w:p w:rsidR="00F11985" w:rsidRPr="00221BBA" w:rsidRDefault="00F11985" w:rsidP="00534BA0">
      <w:pPr>
        <w:pStyle w:val="SingleTxtG"/>
        <w:keepLines/>
      </w:pPr>
      <w:bookmarkStart w:id="25" w:name="_Hlk31976317"/>
      <w:bookmarkStart w:id="26" w:name="_Hlk31966194"/>
      <w:r w:rsidRPr="00221BBA">
        <w:rPr>
          <w:i/>
          <w:iCs/>
        </w:rPr>
        <w:lastRenderedPageBreak/>
        <w:t>Ressources nécessaires</w:t>
      </w:r>
      <w:r w:rsidR="005628B1" w:rsidRPr="005628B1">
        <w:rPr>
          <w:iCs/>
        </w:rPr>
        <w:t> :</w:t>
      </w:r>
      <w:r w:rsidRPr="00221BBA">
        <w:t xml:space="preserve"> </w:t>
      </w:r>
      <w:bookmarkEnd w:id="25"/>
      <w:r w:rsidRPr="00221BBA">
        <w:t>Dotation du secrétariat en personnel, y compris un (une) administrateur (administratrice) pour occuper le fonctions de secrétaire du Comité d’application et du personnel d’appui de la catégorie générale</w:t>
      </w:r>
      <w:r w:rsidR="005D58ED" w:rsidRPr="00221BBA">
        <w:t> ;</w:t>
      </w:r>
      <w:r w:rsidRPr="00221BBA">
        <w:t xml:space="preserve"> crédits au titre des frais de voyage des membres du Comité admis à en bénéficier</w:t>
      </w:r>
      <w:bookmarkEnd w:id="24"/>
      <w:bookmarkEnd w:id="26"/>
      <w:r w:rsidRPr="00221BBA">
        <w:t xml:space="preserve"> pour les réunions dudit Comité.</w:t>
      </w:r>
    </w:p>
    <w:p w:rsidR="00F11985" w:rsidRPr="00221BBA" w:rsidRDefault="00F11985" w:rsidP="00492324">
      <w:pPr>
        <w:pStyle w:val="H23G"/>
      </w:pPr>
      <w:r w:rsidRPr="00221BBA">
        <w:tab/>
        <w:t>1.</w:t>
      </w:r>
      <w:r w:rsidRPr="00221BBA">
        <w:tab/>
        <w:t>Examen des questions relatives au respect des dispositions</w:t>
      </w:r>
    </w:p>
    <w:p w:rsidR="00F11985" w:rsidRPr="00221BBA" w:rsidRDefault="00F11985" w:rsidP="00156EBA">
      <w:pPr>
        <w:pStyle w:val="SingleTxtG"/>
        <w:ind w:firstLine="567"/>
      </w:pPr>
      <w:bookmarkStart w:id="27" w:name="_Hlk9242057"/>
      <w:r w:rsidRPr="00221BBA">
        <w:t>Le Comité d’application examine les communications relatives au respect des dispositions, ses propres initiatives, les informations transmises par d’autres sources et toute question de caractère général ou particulier se rapportant au respect des dispositions soulevée par un examen de l’application.</w:t>
      </w:r>
    </w:p>
    <w:p w:rsidR="00F11985" w:rsidRPr="00221BBA" w:rsidRDefault="00F11985" w:rsidP="00156EBA">
      <w:pPr>
        <w:pStyle w:val="SingleTxtG"/>
        <w:ind w:firstLine="567"/>
      </w:pPr>
      <w:r w:rsidRPr="00221BBA">
        <w:t>S’il y a lieu, le Comité d’application présente aux Réunions des Parties à la Convention et au Protocole à leurs neuvième et cinquième sessions, respectivement, des projets de décision, assortis de conclusions et de recommandations sur le respect par les Parties des obligations</w:t>
      </w:r>
      <w:bookmarkEnd w:id="27"/>
      <w:r w:rsidRPr="00221BBA">
        <w:t xml:space="preserve"> qui leur incombent au titre des traités.</w:t>
      </w:r>
    </w:p>
    <w:p w:rsidR="00F11985" w:rsidRPr="00221BBA" w:rsidRDefault="00F11985" w:rsidP="00492324">
      <w:pPr>
        <w:pStyle w:val="H23G"/>
      </w:pPr>
      <w:r w:rsidRPr="00221BBA">
        <w:tab/>
        <w:t>2.</w:t>
      </w:r>
      <w:r w:rsidRPr="00221BBA">
        <w:tab/>
        <w:t>Examen des résultats du sixième examen de l’application de la Convention et du troisième examen de l’application du Protocole</w:t>
      </w:r>
    </w:p>
    <w:p w:rsidR="00F11985" w:rsidRPr="00221BBA" w:rsidRDefault="00F11985" w:rsidP="00156EBA">
      <w:pPr>
        <w:pStyle w:val="SingleTxtG"/>
        <w:ind w:firstLine="567"/>
      </w:pPr>
      <w:r w:rsidRPr="00221BBA">
        <w:t>Le Comité d’application examine les résultats du sixième examen de l’application de la Convention et du troisième examen de l’application du Protocole, avec l’appui du secrétariat, avant la fin de 2021 au plus tard, afin de recenser les questions de caractère général ou particulier se rapportant au respect des dispositions qui ont pu se poser dans la période 2021</w:t>
      </w:r>
      <w:r w:rsidR="007E4B8A">
        <w:t>-</w:t>
      </w:r>
      <w:r w:rsidRPr="00221BBA">
        <w:t>2023.</w:t>
      </w:r>
    </w:p>
    <w:p w:rsidR="00F11985" w:rsidRPr="00221BBA" w:rsidRDefault="00F11985" w:rsidP="00492324">
      <w:pPr>
        <w:pStyle w:val="H23G"/>
      </w:pPr>
      <w:r w:rsidRPr="00221BBA">
        <w:tab/>
        <w:t>3.</w:t>
      </w:r>
      <w:r w:rsidRPr="00221BBA">
        <w:tab/>
        <w:t xml:space="preserve">Au besoin, examen et révision de la structure, des fonctions et du </w:t>
      </w:r>
      <w:r w:rsidR="007E4B8A" w:rsidRPr="00221BBA">
        <w:t xml:space="preserve">Règlement </w:t>
      </w:r>
      <w:r w:rsidRPr="00221BBA">
        <w:t>intérieur du Comité d’application</w:t>
      </w:r>
    </w:p>
    <w:p w:rsidR="00F11985" w:rsidRPr="00221BBA" w:rsidRDefault="00F11985" w:rsidP="00156EBA">
      <w:pPr>
        <w:pStyle w:val="SingleTxtG"/>
        <w:ind w:firstLine="567"/>
      </w:pPr>
      <w:bookmarkStart w:id="28" w:name="_Hlk9245724"/>
      <w:r w:rsidRPr="00221BBA">
        <w:t>Le Comité d’application examine les règles qui régissent son mode de fonctionnement à la lumière de son expérience et, au besoin, présente des propositions de modification aux Réunions des Parties à la Convention et à son Protocole à leurs sessions suivantes.</w:t>
      </w:r>
    </w:p>
    <w:p w:rsidR="00F11985" w:rsidRPr="00221BBA" w:rsidRDefault="00F11985" w:rsidP="00492324">
      <w:pPr>
        <w:pStyle w:val="H23G"/>
      </w:pPr>
      <w:r w:rsidRPr="00221BBA">
        <w:tab/>
        <w:t>4.</w:t>
      </w:r>
      <w:r w:rsidRPr="00221BBA">
        <w:tab/>
        <w:t>Rapport sur les activités du Comité d’application</w:t>
      </w:r>
    </w:p>
    <w:p w:rsidR="00F11985" w:rsidRPr="00221BBA" w:rsidRDefault="00F11985" w:rsidP="00156EBA">
      <w:pPr>
        <w:pStyle w:val="SingleTxtG"/>
        <w:ind w:firstLine="567"/>
      </w:pPr>
      <w:r w:rsidRPr="00221BBA">
        <w:t>Le Comité d’application fait rapport de ses activités aux prochaines sessions des Réunions des Parties, prévues en 2023, sous la forme d’un document officiel. Dans l’intervalle, il fournit régulièrement des informations à jour sur ses activités au Bureau et au Groupe de travail.</w:t>
      </w:r>
    </w:p>
    <w:p w:rsidR="00F11985" w:rsidRPr="00221BBA" w:rsidRDefault="00F11985" w:rsidP="00492324">
      <w:pPr>
        <w:pStyle w:val="H23G"/>
      </w:pPr>
      <w:bookmarkStart w:id="29" w:name="_Hlk9248839"/>
      <w:bookmarkEnd w:id="28"/>
      <w:r w:rsidRPr="00221BBA">
        <w:tab/>
        <w:t>5.</w:t>
      </w:r>
      <w:r w:rsidRPr="00221BBA">
        <w:tab/>
        <w:t xml:space="preserve">Collecte de conclusions et avis du Comité d’application concernant la Convention </w:t>
      </w:r>
      <w:r w:rsidR="008501EE">
        <w:br/>
      </w:r>
      <w:r w:rsidRPr="00221BBA">
        <w:t>et le Protocole</w:t>
      </w:r>
    </w:p>
    <w:p w:rsidR="00F11985" w:rsidRPr="00221BBA" w:rsidRDefault="00F11985" w:rsidP="00156EBA">
      <w:pPr>
        <w:pStyle w:val="SingleTxtG"/>
        <w:ind w:firstLine="567"/>
      </w:pPr>
      <w:r w:rsidRPr="00221BBA">
        <w:t>Le secrétariat collecte chaque année les conclusions et les avis du Comité d’application et les affiche sur le site Web en tant que publication informelle.</w:t>
      </w:r>
    </w:p>
    <w:p w:rsidR="00F11985" w:rsidRPr="00221BBA" w:rsidRDefault="00F11985" w:rsidP="00492324">
      <w:pPr>
        <w:pStyle w:val="H23G"/>
      </w:pPr>
      <w:r w:rsidRPr="00221BBA">
        <w:tab/>
        <w:t>6.</w:t>
      </w:r>
      <w:r w:rsidRPr="00221BBA">
        <w:tab/>
        <w:t>Exploration des synergies possibles avec d’autres forums intéressés</w:t>
      </w:r>
    </w:p>
    <w:p w:rsidR="00F11985" w:rsidRPr="00221BBA" w:rsidRDefault="00F11985" w:rsidP="00156EBA">
      <w:pPr>
        <w:pStyle w:val="SingleTxtG"/>
        <w:ind w:firstLine="567"/>
      </w:pPr>
      <w:r w:rsidRPr="00221BBA">
        <w:t>Le Comité d’application explore les synergies qui peuvent exister avec d’autres forums intéressés par les questions liées au respect des dispositions, y compris en assistant aux réunions informelles des présidents d’organes chargés du respect des dispositions d’autres instruments multilatéraux de la CEE.</w:t>
      </w:r>
    </w:p>
    <w:p w:rsidR="00F11985" w:rsidRPr="00221BBA" w:rsidRDefault="00F11985" w:rsidP="00492324">
      <w:pPr>
        <w:pStyle w:val="SingleTxtG"/>
      </w:pPr>
      <w:r w:rsidRPr="00221BBA">
        <w:rPr>
          <w:i/>
          <w:iCs/>
        </w:rPr>
        <w:t>Ressources nécessaires supplémentaires</w:t>
      </w:r>
      <w:r w:rsidR="005628B1" w:rsidRPr="005628B1">
        <w:rPr>
          <w:iCs/>
        </w:rPr>
        <w:t> :</w:t>
      </w:r>
      <w:r w:rsidR="00492324" w:rsidRPr="00221BBA">
        <w:rPr>
          <w:i/>
          <w:iCs/>
        </w:rPr>
        <w:t xml:space="preserve"> </w:t>
      </w:r>
      <w:r w:rsidRPr="00221BBA">
        <w:rPr>
          <w:iCs/>
        </w:rPr>
        <w:t xml:space="preserve">En fonction des besoins, </w:t>
      </w:r>
      <w:r w:rsidRPr="00221BBA">
        <w:t>crédits au titre des frais de voyage du/de la Président (Présidente).]</w:t>
      </w:r>
    </w:p>
    <w:p w:rsidR="00F11985" w:rsidRPr="00221BBA" w:rsidRDefault="00F11985" w:rsidP="00492324">
      <w:pPr>
        <w:pStyle w:val="H1G"/>
        <w:rPr>
          <w:bCs/>
        </w:rPr>
      </w:pPr>
      <w:r w:rsidRPr="00221BBA">
        <w:tab/>
        <w:t>[B.</w:t>
      </w:r>
      <w:r w:rsidRPr="00221BBA">
        <w:tab/>
        <w:t>Établissement de rapports et examen de l’application de la Convention</w:t>
      </w:r>
    </w:p>
    <w:p w:rsidR="00F11985" w:rsidRPr="00221BBA" w:rsidRDefault="00F11985" w:rsidP="00492324">
      <w:pPr>
        <w:pStyle w:val="SingleTxtG"/>
      </w:pPr>
      <w:bookmarkStart w:id="30" w:name="_Hlk31892693"/>
      <w:r w:rsidRPr="00221BBA">
        <w:rPr>
          <w:i/>
          <w:iCs/>
        </w:rPr>
        <w:t>Entité(s) responsable(s)</w:t>
      </w:r>
      <w:r w:rsidR="005628B1" w:rsidRPr="005628B1">
        <w:rPr>
          <w:iCs/>
        </w:rPr>
        <w:t> :</w:t>
      </w:r>
      <w:r w:rsidRPr="00221BBA">
        <w:t xml:space="preserve"> Les Parties, le Comité d’application et le secrétariat</w:t>
      </w:r>
    </w:p>
    <w:bookmarkEnd w:id="29"/>
    <w:bookmarkEnd w:id="30"/>
    <w:p w:rsidR="00F11985" w:rsidRPr="00221BBA" w:rsidRDefault="00F11985" w:rsidP="00492324">
      <w:pPr>
        <w:pStyle w:val="H23G"/>
      </w:pPr>
      <w:r w:rsidRPr="00221BBA">
        <w:lastRenderedPageBreak/>
        <w:tab/>
        <w:t>1.</w:t>
      </w:r>
      <w:r w:rsidRPr="00221BBA">
        <w:tab/>
        <w:t>Modification des questionnaires pour l’établissement du rapport sur l’application de la Convention et du Protocole pendant la période 2019</w:t>
      </w:r>
      <w:r w:rsidR="005E6839" w:rsidRPr="00221BBA">
        <w:t>-</w:t>
      </w:r>
      <w:r w:rsidRPr="00221BBA">
        <w:t>2021</w:t>
      </w:r>
    </w:p>
    <w:p w:rsidR="00F11985" w:rsidRPr="00221BBA" w:rsidRDefault="00F11985" w:rsidP="00492324">
      <w:pPr>
        <w:pStyle w:val="SingleTxtG"/>
      </w:pPr>
      <w:r w:rsidRPr="00221BBA">
        <w:rPr>
          <w:i/>
          <w:iCs/>
        </w:rPr>
        <w:t>Objectif</w:t>
      </w:r>
      <w:r w:rsidR="005628B1" w:rsidRPr="005628B1">
        <w:t> :</w:t>
      </w:r>
      <w:r w:rsidRPr="00221BBA">
        <w:t xml:space="preserve"> Améliorer les informations obtenues au moyen des questionnaires pour l’établissement du rapport sur l’application de la Convention et du Protocole par les Parties, s’agissant des progrès réalisés et des obstacles qui restent à surmonter. Contribuer à rendre les examens de l’application plus instructifs pour le Comité d’application en ce qui concerne les éventuels cas de non-respect et en faire des outils de collecte et de diffusion des bonnes pratiques.</w:t>
      </w:r>
    </w:p>
    <w:p w:rsidR="00F11985" w:rsidRPr="00221BBA" w:rsidRDefault="00F11985" w:rsidP="00492324">
      <w:pPr>
        <w:pStyle w:val="SingleTxtG"/>
      </w:pPr>
      <w:r w:rsidRPr="00221BBA">
        <w:rPr>
          <w:i/>
          <w:iCs/>
        </w:rPr>
        <w:t>Activités</w:t>
      </w:r>
      <w:r w:rsidR="005628B1" w:rsidRPr="005628B1">
        <w:rPr>
          <w:iCs/>
        </w:rPr>
        <w:t> :</w:t>
      </w:r>
      <w:r w:rsidRPr="00221BBA">
        <w:rPr>
          <w:i/>
          <w:iCs/>
        </w:rPr>
        <w:t xml:space="preserve"> </w:t>
      </w:r>
      <w:r w:rsidRPr="00221BBA">
        <w:t>Le Comité d’application adapte les questionnaires pendant le premier semestre de 2021, en tenant compte des observations des Parties et du secrétariat</w:t>
      </w:r>
      <w:r w:rsidR="005D58ED" w:rsidRPr="00221BBA">
        <w:t> ;</w:t>
      </w:r>
      <w:r w:rsidRPr="00221BBA">
        <w:t xml:space="preserve"> présente les projets au Groupe de travail de l’évaluation de l’impact sur l’environnement et de l’évaluation stratégique environnementale pour approbation à sa réunion en 2021</w:t>
      </w:r>
      <w:r w:rsidR="005D58ED" w:rsidRPr="00221BBA">
        <w:t> ;</w:t>
      </w:r>
      <w:r w:rsidRPr="00221BBA">
        <w:t xml:space="preserve"> parachève ses travaux sur la base des observations du Groupe de travail avant la distribution des questionnaires.</w:t>
      </w:r>
    </w:p>
    <w:p w:rsidR="00F11985" w:rsidRPr="00221BBA" w:rsidRDefault="00F11985" w:rsidP="00492324">
      <w:pPr>
        <w:pStyle w:val="H23G"/>
      </w:pPr>
      <w:r w:rsidRPr="00221BBA">
        <w:tab/>
        <w:t>2.</w:t>
      </w:r>
      <w:r w:rsidRPr="00221BBA">
        <w:tab/>
        <w:t>Distribution des questionnaires pour l’établissement du rapport sur l’application de la Convention et du Protocole pendant la période 2019</w:t>
      </w:r>
      <w:r w:rsidR="005E6839" w:rsidRPr="00221BBA">
        <w:t>-</w:t>
      </w:r>
      <w:r w:rsidRPr="00221BBA">
        <w:t>2021</w:t>
      </w:r>
    </w:p>
    <w:p w:rsidR="00F11985" w:rsidRPr="00221BBA" w:rsidRDefault="00F11985" w:rsidP="00156EBA">
      <w:pPr>
        <w:pStyle w:val="SingleTxtG"/>
        <w:ind w:firstLine="567"/>
      </w:pPr>
      <w:r w:rsidRPr="00221BBA">
        <w:t>Le secrétariat distribue les questionnaires aux Parties à la fin décembre 2021</w:t>
      </w:r>
      <w:r w:rsidR="005D58ED" w:rsidRPr="00221BBA">
        <w:t> ;</w:t>
      </w:r>
      <w:r w:rsidRPr="00221BBA">
        <w:t xml:space="preserve"> les questionnaires doivent lui être retournés à la fin avril 2022.</w:t>
      </w:r>
    </w:p>
    <w:p w:rsidR="00F11985" w:rsidRPr="00221BBA" w:rsidRDefault="00F11985" w:rsidP="00492324">
      <w:pPr>
        <w:pStyle w:val="H23G"/>
        <w:rPr>
          <w:bCs/>
        </w:rPr>
      </w:pPr>
      <w:r w:rsidRPr="00221BBA">
        <w:rPr>
          <w:bCs/>
        </w:rPr>
        <w:tab/>
        <w:t>3</w:t>
      </w:r>
      <w:r w:rsidRPr="00221BBA">
        <w:t>.</w:t>
      </w:r>
      <w:r w:rsidRPr="00221BBA">
        <w:tab/>
        <w:t>Préparation des projets d’examen de l’application de la Convention et du Protocole</w:t>
      </w:r>
    </w:p>
    <w:p w:rsidR="00F11985" w:rsidRPr="00221BBA" w:rsidRDefault="00F11985" w:rsidP="00156EBA">
      <w:pPr>
        <w:pStyle w:val="SingleTxtG"/>
        <w:ind w:firstLine="567"/>
      </w:pPr>
      <w:bookmarkStart w:id="31" w:name="_Hlk9254866"/>
      <w:r w:rsidRPr="00221BBA">
        <w:t>Le secrétariat, avec le concours des consultants, élabore les projets d’examen résumant les résultats de l’application de la Convention et du Protocole par les Parties</w:t>
      </w:r>
      <w:r w:rsidR="005D58ED" w:rsidRPr="00221BBA">
        <w:t> ;</w:t>
      </w:r>
      <w:r w:rsidRPr="00221BBA">
        <w:t xml:space="preserve"> les projets d’examen sont présentés au </w:t>
      </w:r>
      <w:bookmarkEnd w:id="31"/>
      <w:r w:rsidRPr="00221BBA">
        <w:t xml:space="preserve">Comité d’application et au Groupe de travail de l’évaluation de l’impact sur l’environnement et de l’évaluation stratégique environnementale en 2022, et aux Réunions des Parties à leurs prochaines sessions en 2023. </w:t>
      </w:r>
      <w:bookmarkStart w:id="32" w:name="_Hlk34063511"/>
      <w:r w:rsidRPr="00221BBA">
        <w:t>Une fois que les examens de l’application sont adoptés, le secrétariat les publie en ligne en anglais, en français et en russe.</w:t>
      </w:r>
    </w:p>
    <w:bookmarkEnd w:id="32"/>
    <w:p w:rsidR="00F11985" w:rsidRPr="00221BBA" w:rsidRDefault="00F11985" w:rsidP="00492324">
      <w:pPr>
        <w:pStyle w:val="SingleTxtG"/>
      </w:pPr>
      <w:r w:rsidRPr="00221BBA">
        <w:rPr>
          <w:i/>
          <w:iCs/>
        </w:rPr>
        <w:t>Ressources nécessaires</w:t>
      </w:r>
      <w:r w:rsidR="005628B1" w:rsidRPr="005628B1">
        <w:rPr>
          <w:iCs/>
        </w:rPr>
        <w:t> :</w:t>
      </w:r>
      <w:bookmarkStart w:id="33" w:name="_Hlk23263461"/>
      <w:r w:rsidRPr="00221BBA">
        <w:rPr>
          <w:i/>
          <w:iCs/>
        </w:rPr>
        <w:t xml:space="preserve"> </w:t>
      </w:r>
      <w:bookmarkEnd w:id="33"/>
      <w:r w:rsidRPr="00221BBA">
        <w:t>25 000 dollars pour les consultants et la traduction des rapports nationaux.]</w:t>
      </w:r>
    </w:p>
    <w:p w:rsidR="00F11985" w:rsidRPr="00221BBA" w:rsidRDefault="00F11985" w:rsidP="00492324">
      <w:pPr>
        <w:pStyle w:val="H1G"/>
      </w:pPr>
      <w:bookmarkStart w:id="34" w:name="_Hlk32240404"/>
      <w:r w:rsidRPr="00221BBA">
        <w:tab/>
        <w:t>C.</w:t>
      </w:r>
      <w:r w:rsidRPr="00221BBA">
        <w:tab/>
        <w:t>Assistance législative visant à mettre la législation des Parties en</w:t>
      </w:r>
      <w:r w:rsidR="00311EDE">
        <w:t> </w:t>
      </w:r>
      <w:r w:rsidRPr="00221BBA">
        <w:t>conformité avec la Convention et le Protocole</w:t>
      </w:r>
      <w:r w:rsidR="005D58ED" w:rsidRPr="00221BBA">
        <w:t> ;</w:t>
      </w:r>
    </w:p>
    <w:p w:rsidR="00F11985" w:rsidRPr="00221BBA" w:rsidRDefault="00F11985" w:rsidP="00492324">
      <w:pPr>
        <w:pStyle w:val="SingleTxtG"/>
      </w:pPr>
      <w:bookmarkStart w:id="35" w:name="_Hlk31906570"/>
      <w:r w:rsidRPr="00221BBA">
        <w:rPr>
          <w:i/>
        </w:rPr>
        <w:t>Entité(s) responsable(s)</w:t>
      </w:r>
      <w:r w:rsidR="005628B1" w:rsidRPr="005628B1">
        <w:t> :</w:t>
      </w:r>
      <w:r w:rsidRPr="00221BBA">
        <w:rPr>
          <w:i/>
        </w:rPr>
        <w:t xml:space="preserve"> </w:t>
      </w:r>
      <w:bookmarkEnd w:id="35"/>
      <w:r w:rsidRPr="00221BBA">
        <w:t>Le secrétariat, avec l’appui des consultants, fournit une assistance législative aux pays bénéficiaires à leur demande et/ou sur recommandation du Comité d’application, en coopération avec les pays en question, et, au besoin, avec le concours du Comité, du Bureau et/ou du Groupe de travail de l’évaluation de l’impact sur l’environnement et de l’évaluation stratégique environnementale. Les activités sont mises en œuvre dans les limites des fonds disponibles.</w:t>
      </w:r>
    </w:p>
    <w:p w:rsidR="00F11985" w:rsidRPr="00221BBA" w:rsidRDefault="00F11985" w:rsidP="00492324">
      <w:pPr>
        <w:pStyle w:val="H23G"/>
      </w:pPr>
      <w:r w:rsidRPr="00221BBA">
        <w:tab/>
        <w:t>1.</w:t>
      </w:r>
      <w:r w:rsidRPr="00221BBA">
        <w:tab/>
        <w:t>Aide à la rédaction de textes législatifs</w:t>
      </w:r>
    </w:p>
    <w:p w:rsidR="00F11985" w:rsidRPr="00221BBA" w:rsidRDefault="00F11985" w:rsidP="00156EBA">
      <w:pPr>
        <w:pStyle w:val="SingleTxtG"/>
        <w:ind w:firstLine="567"/>
      </w:pPr>
      <w:r w:rsidRPr="00221BBA">
        <w:t>Aide à la rédaction de textes d’application relatifs à l’application du Protocole et à la modification de la législation et des textes d’application relatifs à l’application de la Convention et du Protocole.</w:t>
      </w:r>
    </w:p>
    <w:p w:rsidR="00F11985" w:rsidRPr="00221BBA" w:rsidRDefault="00F11985" w:rsidP="00156EBA">
      <w:pPr>
        <w:pStyle w:val="SingleTxtG"/>
        <w:ind w:firstLine="567"/>
      </w:pPr>
      <w:r w:rsidRPr="00221BBA">
        <w:t>Activité prévue en 2021 et 2022 dans les pays suivants</w:t>
      </w:r>
      <w:r w:rsidR="005628B1" w:rsidRPr="005628B1">
        <w:t> :</w:t>
      </w:r>
    </w:p>
    <w:p w:rsidR="00F11985" w:rsidRPr="00221BBA" w:rsidRDefault="00F11985" w:rsidP="00156EBA">
      <w:pPr>
        <w:pStyle w:val="SingleTxtG"/>
        <w:ind w:firstLine="567"/>
      </w:pPr>
      <w:r w:rsidRPr="00221BBA">
        <w:t>a)</w:t>
      </w:r>
      <w:r w:rsidRPr="00221BBA">
        <w:rPr>
          <w:b/>
          <w:bCs/>
        </w:rPr>
        <w:tab/>
      </w:r>
      <w:bookmarkStart w:id="36" w:name="_Hlk9273096"/>
      <w:bookmarkStart w:id="37" w:name="_Hlk21509821"/>
      <w:r w:rsidRPr="00221BBA">
        <w:t>Bélarus (modification de la législation et des textes d’application)</w:t>
      </w:r>
      <w:r w:rsidR="005D58ED" w:rsidRPr="00221BBA">
        <w:t> ;</w:t>
      </w:r>
    </w:p>
    <w:p w:rsidR="00F11985" w:rsidRPr="00221BBA" w:rsidRDefault="00F11985" w:rsidP="00156EBA">
      <w:pPr>
        <w:pStyle w:val="SingleTxtG"/>
        <w:ind w:firstLine="567"/>
      </w:pPr>
      <w:r w:rsidRPr="00221BBA">
        <w:t>b)</w:t>
      </w:r>
      <w:r w:rsidRPr="00221BBA">
        <w:tab/>
        <w:t>République de Moldova (rédaction de textes d’application).</w:t>
      </w:r>
    </w:p>
    <w:p w:rsidR="00F11985" w:rsidRPr="00221BBA" w:rsidRDefault="00F11985" w:rsidP="00492324">
      <w:pPr>
        <w:pStyle w:val="SingleTxtG"/>
      </w:pPr>
      <w:bookmarkStart w:id="38" w:name="_Hlk31903569"/>
      <w:r w:rsidRPr="00221BBA">
        <w:rPr>
          <w:i/>
          <w:iCs/>
        </w:rPr>
        <w:t>Ressources nécessaires</w:t>
      </w:r>
      <w:r w:rsidR="005628B1" w:rsidRPr="005628B1">
        <w:rPr>
          <w:iCs/>
        </w:rPr>
        <w:t> :</w:t>
      </w:r>
      <w:r w:rsidRPr="00221BBA">
        <w:t xml:space="preserve"> Financement disponible auprès du programme « EU4Environment », pour la prise en charge des journées de travail des administrateurs et des personnels administratifs du secrétariat affectés au projet et de la réalisation des activités.</w:t>
      </w:r>
    </w:p>
    <w:bookmarkEnd w:id="36"/>
    <w:bookmarkEnd w:id="37"/>
    <w:bookmarkEnd w:id="38"/>
    <w:p w:rsidR="00F11985" w:rsidRPr="00221BBA" w:rsidRDefault="00F11985" w:rsidP="00492324">
      <w:pPr>
        <w:pStyle w:val="H23G"/>
      </w:pPr>
      <w:r w:rsidRPr="00221BBA">
        <w:lastRenderedPageBreak/>
        <w:tab/>
        <w:t>2.</w:t>
      </w:r>
      <w:r w:rsidRPr="00221BBA">
        <w:tab/>
        <w:t>Activités de sensibilisation visant à appuyer l’adoption de la législation</w:t>
      </w:r>
    </w:p>
    <w:p w:rsidR="00F11985" w:rsidRPr="00221BBA" w:rsidRDefault="00F11985" w:rsidP="00156EBA">
      <w:pPr>
        <w:pStyle w:val="SingleTxtG"/>
        <w:ind w:firstLine="567"/>
      </w:pPr>
      <w:r w:rsidRPr="00221BBA">
        <w:t>Organiser une activité de sensibilisation à l’intention des parlementaires et/ou des décideurs afin d’appuyer l’adoption des modifications apportées à la législation et aux textes d’application pour l’application de la Convention et du Protocole.</w:t>
      </w:r>
    </w:p>
    <w:p w:rsidR="00F11985" w:rsidRPr="00221BBA" w:rsidRDefault="00F11985" w:rsidP="00156EBA">
      <w:pPr>
        <w:pStyle w:val="SingleTxtG"/>
        <w:ind w:firstLine="567"/>
      </w:pPr>
      <w:r w:rsidRPr="00221BBA">
        <w:t>Activité prévue en 2021 et/ou 2022 (à confirmer) au Bélarus.</w:t>
      </w:r>
    </w:p>
    <w:p w:rsidR="00F11985" w:rsidRPr="00221BBA" w:rsidRDefault="00F11985" w:rsidP="00492324">
      <w:pPr>
        <w:pStyle w:val="SingleTxtG"/>
      </w:pPr>
      <w:bookmarkStart w:id="39" w:name="_Hlk31990199"/>
      <w:r w:rsidRPr="00221BBA">
        <w:rPr>
          <w:i/>
          <w:iCs/>
        </w:rPr>
        <w:t>Ressources nécessaires</w:t>
      </w:r>
      <w:r w:rsidR="005628B1" w:rsidRPr="005628B1">
        <w:t> :</w:t>
      </w:r>
      <w:r w:rsidRPr="00221BBA">
        <w:t xml:space="preserve"> Financement disponible auprès du programme « EU4Environment », pour la prise en charge des journées de travail des administrateurs et des personnels administratifs du secrétariat affectés au projet et de la réalisation des activités.</w:t>
      </w:r>
    </w:p>
    <w:bookmarkEnd w:id="34"/>
    <w:bookmarkEnd w:id="39"/>
    <w:p w:rsidR="00F11985" w:rsidRPr="00221BBA" w:rsidRDefault="00F11985" w:rsidP="00492324">
      <w:pPr>
        <w:pStyle w:val="H1G"/>
      </w:pPr>
      <w:r w:rsidRPr="00221BBA">
        <w:tab/>
        <w:t>[D.</w:t>
      </w:r>
      <w:r w:rsidRPr="00221BBA">
        <w:tab/>
        <w:t>Élaboration de documents d’orientation/directives sur l’application des</w:t>
      </w:r>
      <w:r w:rsidR="00311EDE">
        <w:t> </w:t>
      </w:r>
      <w:r w:rsidRPr="00221BBA">
        <w:t>traités</w:t>
      </w:r>
    </w:p>
    <w:p w:rsidR="00F11985" w:rsidRPr="00221BBA" w:rsidRDefault="00F11985" w:rsidP="00492324">
      <w:pPr>
        <w:pStyle w:val="SingleTxtG"/>
      </w:pPr>
      <w:r w:rsidRPr="00221BBA">
        <w:rPr>
          <w:i/>
          <w:iCs/>
        </w:rPr>
        <w:t>Entité(s) responsable(s)</w:t>
      </w:r>
      <w:r w:rsidR="005628B1" w:rsidRPr="005628B1">
        <w:rPr>
          <w:iCs/>
        </w:rPr>
        <w:t> :</w:t>
      </w:r>
      <w:r w:rsidRPr="00221BBA">
        <w:rPr>
          <w:i/>
          <w:iCs/>
        </w:rPr>
        <w:t xml:space="preserve"> </w:t>
      </w:r>
      <w:r w:rsidRPr="00221BBA">
        <w:rPr>
          <w:iCs/>
        </w:rPr>
        <w:t>Le</w:t>
      </w:r>
      <w:r w:rsidRPr="00221BBA">
        <w:t xml:space="preserve"> secrétariat, et éventuellement des pays/organisations chefs de file volontaires, avec l’appui de consultants, le concours du Bureau et du Groupe de travail de l’évaluation de l’impact sur l’environnement et de l’évaluation stratégique environnementale, et, au besoin, l’appui d’un groupe/équipe de rédaction spécial(e), et en coordination avec les organisations/traités compétents. Réalisation possible d’une enquête à laquelle contribuent les Parties (et les parties prenantes). Dans la mesure du possible, le secrétariat publie les documents d’orientation/directives en anglais, en français et en russe.</w:t>
      </w:r>
    </w:p>
    <w:p w:rsidR="00F11985" w:rsidRPr="00221BBA" w:rsidRDefault="00F11985" w:rsidP="00492324">
      <w:pPr>
        <w:pStyle w:val="SingleTxtG"/>
      </w:pPr>
      <w:r w:rsidRPr="00221BBA">
        <w:rPr>
          <w:i/>
          <w:iCs/>
        </w:rPr>
        <w:t>Ressources nécessaires</w:t>
      </w:r>
      <w:r w:rsidR="005628B1" w:rsidRPr="005628B1">
        <w:rPr>
          <w:iCs/>
        </w:rPr>
        <w:t> :</w:t>
      </w:r>
      <w:r w:rsidRPr="00221BBA">
        <w:rPr>
          <w:i/>
          <w:iCs/>
        </w:rPr>
        <w:t xml:space="preserve"> </w:t>
      </w:r>
      <w:r w:rsidRPr="00221BBA">
        <w:t>Ressources du secrétariat et financement de consultants d’</w:t>
      </w:r>
      <w:r w:rsidRPr="00221BBA">
        <w:rPr>
          <w:iCs/>
        </w:rPr>
        <w:t xml:space="preserve">un montant de </w:t>
      </w:r>
      <w:r w:rsidRPr="00221BBA">
        <w:t>10 000 à 15 000 dollars environ par document pour une mise à jour et de 15 000 à 25 000 dollars environ par document pour l’élaboration d’un nouveau document d’orientation/d’une nouvelle directive.</w:t>
      </w:r>
    </w:p>
    <w:p w:rsidR="00F11985" w:rsidRPr="00221BBA" w:rsidRDefault="00F11985" w:rsidP="00492324">
      <w:pPr>
        <w:pStyle w:val="H23G"/>
      </w:pPr>
      <w:r w:rsidRPr="00221BBA">
        <w:tab/>
        <w:t>1.</w:t>
      </w:r>
      <w:r w:rsidRPr="00221BBA">
        <w:tab/>
        <w:t>Mise à jour des documents d’orientation/directives existants</w:t>
      </w:r>
    </w:p>
    <w:p w:rsidR="00F11985" w:rsidRPr="00221BBA" w:rsidRDefault="00F11985" w:rsidP="00311EDE">
      <w:pPr>
        <w:pStyle w:val="SingleTxtG"/>
        <w:ind w:firstLine="567"/>
      </w:pPr>
      <w:r w:rsidRPr="00221BBA">
        <w:t>Mise à jour de certaines parties de documents d’orientation/directives existants sur l’application de la Convention et/ou du Protocole, notamment</w:t>
      </w:r>
      <w:r w:rsidR="005628B1" w:rsidRPr="005628B1">
        <w:t> :</w:t>
      </w:r>
    </w:p>
    <w:p w:rsidR="00F11985" w:rsidRPr="00221BBA" w:rsidRDefault="00F11985" w:rsidP="00156EBA">
      <w:pPr>
        <w:pStyle w:val="SingleTxtG"/>
        <w:ind w:firstLine="567"/>
        <w:rPr>
          <w:i/>
          <w:iCs/>
        </w:rPr>
      </w:pPr>
      <w:r w:rsidRPr="00221BBA">
        <w:t>a)</w:t>
      </w:r>
      <w:r w:rsidRPr="00221BBA">
        <w:tab/>
        <w:t xml:space="preserve">La publication intitulée </w:t>
      </w:r>
      <w:r w:rsidRPr="00221BBA">
        <w:rPr>
          <w:i/>
          <w:iCs/>
        </w:rPr>
        <w:t xml:space="preserve">Directive concernant la participation du public à </w:t>
      </w:r>
      <w:r w:rsidRPr="00311EDE">
        <w:rPr>
          <w:i/>
        </w:rPr>
        <w:t>l’évaluation</w:t>
      </w:r>
      <w:r w:rsidRPr="00221BBA">
        <w:rPr>
          <w:i/>
          <w:iCs/>
        </w:rPr>
        <w:t xml:space="preserve"> d’impact sur l’environnement dans un contexte transfrontière</w:t>
      </w:r>
      <w:r w:rsidRPr="00221BBA">
        <w:rPr>
          <w:rStyle w:val="FootnoteReference"/>
        </w:rPr>
        <w:footnoteReference w:id="4"/>
      </w:r>
      <w:r w:rsidRPr="00221BBA">
        <w:t>, en coopération avec la Convention sur l’accès à l’information, la participation du public au processus décisionnel et l’accès à la justice en matière d’environnement</w:t>
      </w:r>
      <w:r w:rsidR="005D58ED" w:rsidRPr="00221BBA">
        <w:t> ;</w:t>
      </w:r>
    </w:p>
    <w:p w:rsidR="00F11985" w:rsidRPr="00221BBA" w:rsidRDefault="00492324" w:rsidP="00156EBA">
      <w:pPr>
        <w:pStyle w:val="SingleTxtG"/>
        <w:ind w:firstLine="567"/>
      </w:pPr>
      <w:r w:rsidRPr="00221BBA">
        <w:t>[</w:t>
      </w:r>
      <w:r w:rsidR="00F11985" w:rsidRPr="00221BBA">
        <w:t>b)</w:t>
      </w:r>
      <w:r w:rsidR="00156EBA">
        <w:tab/>
      </w:r>
      <w:r w:rsidR="00F11985" w:rsidRPr="00221BBA">
        <w:t>…].</w:t>
      </w:r>
    </w:p>
    <w:p w:rsidR="00F11985" w:rsidRPr="00221BBA" w:rsidRDefault="00F11985" w:rsidP="00492324">
      <w:pPr>
        <w:pStyle w:val="H23G"/>
      </w:pPr>
      <w:r w:rsidRPr="00221BBA">
        <w:tab/>
        <w:t>2.</w:t>
      </w:r>
      <w:r w:rsidRPr="00221BBA">
        <w:tab/>
        <w:t>Élaboration de documents d’orientation/directives</w:t>
      </w:r>
    </w:p>
    <w:p w:rsidR="00F11985" w:rsidRPr="00221BBA" w:rsidRDefault="00F11985" w:rsidP="00156EBA">
      <w:pPr>
        <w:pStyle w:val="SingleTxtG"/>
        <w:ind w:firstLine="567"/>
      </w:pPr>
      <w:r w:rsidRPr="00221BBA">
        <w:t>Élaboration de documents d’orientation/directives sur l’un [ou plusieurs] des thèmes suivants</w:t>
      </w:r>
      <w:r w:rsidR="005628B1" w:rsidRPr="005628B1">
        <w:t> :</w:t>
      </w:r>
    </w:p>
    <w:p w:rsidR="00F11985" w:rsidRPr="00221BBA" w:rsidRDefault="00F11985" w:rsidP="00156EBA">
      <w:pPr>
        <w:pStyle w:val="SingleTxtG"/>
        <w:ind w:firstLine="567"/>
      </w:pPr>
      <w:r w:rsidRPr="00221BBA">
        <w:t>a)</w:t>
      </w:r>
      <w:r w:rsidRPr="00221BBA">
        <w:tab/>
        <w:t>Consultations transfrontières [au titre du Protocole]</w:t>
      </w:r>
      <w:r w:rsidR="005D58ED" w:rsidRPr="00221BBA">
        <w:t> ;</w:t>
      </w:r>
    </w:p>
    <w:p w:rsidR="00F11985" w:rsidRPr="00221BBA" w:rsidRDefault="00F11985" w:rsidP="00156EBA">
      <w:pPr>
        <w:pStyle w:val="SingleTxtG"/>
        <w:ind w:firstLine="567"/>
      </w:pPr>
      <w:r w:rsidRPr="00221BBA">
        <w:t>b)</w:t>
      </w:r>
      <w:r w:rsidRPr="00221BBA">
        <w:tab/>
        <w:t>L’application des traités au niveau mondial</w:t>
      </w:r>
      <w:r w:rsidR="005D58ED" w:rsidRPr="00221BBA">
        <w:t> ;</w:t>
      </w:r>
    </w:p>
    <w:p w:rsidR="00F11985" w:rsidRPr="00221BBA" w:rsidRDefault="00F11985" w:rsidP="00156EBA">
      <w:pPr>
        <w:pStyle w:val="SingleTxtG"/>
        <w:ind w:firstLine="567"/>
      </w:pPr>
      <w:r w:rsidRPr="00221BBA">
        <w:t>c)</w:t>
      </w:r>
      <w:r w:rsidRPr="00221BBA">
        <w:tab/>
        <w:t>La mise en œuvre concrète des objectifs de développement durable</w:t>
      </w:r>
      <w:r w:rsidR="005D58ED" w:rsidRPr="00221BBA">
        <w:t> ;</w:t>
      </w:r>
    </w:p>
    <w:p w:rsidR="00F11985" w:rsidRPr="00221BBA" w:rsidRDefault="00F11985" w:rsidP="00156EBA">
      <w:pPr>
        <w:pStyle w:val="SingleTxtG"/>
        <w:ind w:firstLine="567"/>
      </w:pPr>
      <w:r w:rsidRPr="00221BBA">
        <w:t>d)</w:t>
      </w:r>
      <w:r w:rsidRPr="00221BBA">
        <w:tab/>
        <w:t>L’utilisation des données et des outils scientifiques disponibles dans le cadre de la Convention de la CEE sur la pollution atmosphérique transfrontière à longue distance pour déterminer la probabilité et l’importance d’un impact environnemental transfrontière des activités liées au charbon et au lignite. (Pour donner suite à la manifestation organisée le 6</w:t>
      </w:r>
      <w:r w:rsidR="00311EDE">
        <w:t> </w:t>
      </w:r>
      <w:r w:rsidRPr="00221BBA">
        <w:t>février 2019, en marge des sessions intermédiaires des Réunions des Parties. Le document est élaboré avec l’appui de consultants et d’un groupe de travail spécial composé de Parties à la Convention travaillant avec l’Équipe spéciale des modèles d’évaluation intégrée dans le cadre de la Convention sur la pollution atmosphérique transfrontière à longue distance. Le coût des réunions sera pris en charge sous la forme de contributions en nature).]</w:t>
      </w:r>
    </w:p>
    <w:p w:rsidR="00F11985" w:rsidRPr="00221BBA" w:rsidRDefault="00F11985" w:rsidP="00492324">
      <w:pPr>
        <w:pStyle w:val="HChG"/>
      </w:pPr>
      <w:bookmarkStart w:id="40" w:name="_Hlk9273754"/>
      <w:r w:rsidRPr="00221BBA">
        <w:lastRenderedPageBreak/>
        <w:tab/>
        <w:t>III.</w:t>
      </w:r>
      <w:r w:rsidRPr="00221BBA">
        <w:tab/>
        <w:t>Coopération sous-régionale et renforcement des capacités</w:t>
      </w:r>
    </w:p>
    <w:bookmarkEnd w:id="40"/>
    <w:p w:rsidR="00F11985" w:rsidRPr="00221BBA" w:rsidRDefault="00F11985" w:rsidP="00156EBA">
      <w:pPr>
        <w:pStyle w:val="SingleTxtG"/>
        <w:ind w:firstLine="567"/>
      </w:pPr>
      <w:r w:rsidRPr="00221BBA">
        <w:t>Dans ce domaine, les objectifs dans les différentes sous-régions de la CEE sont les suivants</w:t>
      </w:r>
      <w:r w:rsidR="005628B1" w:rsidRPr="005628B1">
        <w:t> :</w:t>
      </w:r>
    </w:p>
    <w:p w:rsidR="00F11985" w:rsidRPr="00221BBA" w:rsidRDefault="00F11985" w:rsidP="00156EBA">
      <w:pPr>
        <w:pStyle w:val="SingleTxtG"/>
        <w:ind w:firstLine="567"/>
      </w:pPr>
      <w:r w:rsidRPr="00221BBA">
        <w:t>a)</w:t>
      </w:r>
      <w:r w:rsidRPr="00221BBA">
        <w:tab/>
        <w:t>Contribuer à une compréhension commune et à une meilleure application de la Convention et de son Protocole dans les sous-régions de la CEE</w:t>
      </w:r>
      <w:r w:rsidR="005D58ED" w:rsidRPr="00221BBA">
        <w:t> ;</w:t>
      </w:r>
    </w:p>
    <w:p w:rsidR="00F11985" w:rsidRPr="00221BBA" w:rsidRDefault="00F11985" w:rsidP="00156EBA">
      <w:pPr>
        <w:pStyle w:val="SingleTxtG"/>
        <w:ind w:firstLine="567"/>
      </w:pPr>
      <w:r w:rsidRPr="00221BBA">
        <w:t>b)</w:t>
      </w:r>
      <w:r w:rsidRPr="00221BBA">
        <w:tab/>
        <w:t>Promouvoir la coopération entre les Parties dans les sous-régions et entre elles et resserrer les contacts avec les États et les sous-régions extérieures à la CEE</w:t>
      </w:r>
      <w:r w:rsidR="005D58ED" w:rsidRPr="00221BBA">
        <w:t> ;</w:t>
      </w:r>
    </w:p>
    <w:p w:rsidR="00F11985" w:rsidRPr="00221BBA" w:rsidRDefault="00F11985" w:rsidP="00156EBA">
      <w:pPr>
        <w:pStyle w:val="SingleTxtG"/>
        <w:ind w:firstLine="567"/>
      </w:pPr>
      <w:r w:rsidRPr="00221BBA">
        <w:t>c)</w:t>
      </w:r>
      <w:r w:rsidRPr="00221BBA">
        <w:tab/>
        <w:t>Renforcer les compétences professionnelles des fonctionnaires à tous les niveaux de l’État et mieux sensibiliser le public, y compris les organisations non gouvernementales (ONG), à l’évaluation stratégique environnementale, à l’évaluation de l’impact sur l’environnement dans un contexte transfrontière et à l’application de la Convention et de son Protocole</w:t>
      </w:r>
      <w:r w:rsidR="005D58ED" w:rsidRPr="00221BBA">
        <w:t> ;</w:t>
      </w:r>
    </w:p>
    <w:p w:rsidR="00F11985" w:rsidRPr="00221BBA" w:rsidRDefault="00F11985" w:rsidP="00156EBA">
      <w:pPr>
        <w:pStyle w:val="SingleTxtG"/>
        <w:ind w:firstLine="567"/>
      </w:pPr>
      <w:r w:rsidRPr="00221BBA">
        <w:t>d)</w:t>
      </w:r>
      <w:r w:rsidRPr="00221BBA">
        <w:tab/>
        <w:t>Contribuer au renforcement de la coopération et des synergies avec les accords multilatéraux sur l’environnement, les autres instruments internationaux et les organisations internationales concernés</w:t>
      </w:r>
      <w:r w:rsidR="005D58ED" w:rsidRPr="00221BBA">
        <w:t> ;</w:t>
      </w:r>
    </w:p>
    <w:p w:rsidR="00F11985" w:rsidRPr="00221BBA" w:rsidRDefault="00F11985" w:rsidP="00156EBA">
      <w:pPr>
        <w:pStyle w:val="SingleTxtG"/>
        <w:ind w:firstLine="567"/>
      </w:pPr>
      <w:r w:rsidRPr="00221BBA">
        <w:t>e)</w:t>
      </w:r>
      <w:r w:rsidRPr="00221BBA">
        <w:tab/>
        <w:t>Contribuer à une plus large application de la Convention et du Protocole dans la région de la CEE et au-delà.</w:t>
      </w:r>
    </w:p>
    <w:p w:rsidR="00F11985" w:rsidRPr="00221BBA" w:rsidRDefault="00F11985" w:rsidP="00492324">
      <w:pPr>
        <w:pStyle w:val="H1G"/>
      </w:pPr>
      <w:r w:rsidRPr="00221BBA">
        <w:tab/>
        <w:t>[A.</w:t>
      </w:r>
      <w:r w:rsidRPr="00221BBA">
        <w:tab/>
        <w:t>Sous-région de la mer Baltique</w:t>
      </w:r>
    </w:p>
    <w:p w:rsidR="00F11985" w:rsidRPr="00221BBA" w:rsidRDefault="00F11985" w:rsidP="00492324">
      <w:pPr>
        <w:pStyle w:val="SingleTxtG"/>
      </w:pPr>
      <w:bookmarkStart w:id="41" w:name="_Hlk9274129"/>
      <w:r w:rsidRPr="00221BBA">
        <w:rPr>
          <w:bCs/>
          <w:i/>
          <w:iCs/>
        </w:rPr>
        <w:t>Activités</w:t>
      </w:r>
      <w:r w:rsidR="005628B1" w:rsidRPr="005628B1">
        <w:rPr>
          <w:bCs/>
          <w:iCs/>
        </w:rPr>
        <w:t> :</w:t>
      </w:r>
      <w:r w:rsidRPr="00221BBA">
        <w:rPr>
          <w:bCs/>
          <w:i/>
          <w:iCs/>
        </w:rPr>
        <w:t xml:space="preserve"> </w:t>
      </w:r>
      <w:bookmarkEnd w:id="41"/>
      <w:r w:rsidRPr="00221BBA">
        <w:t>Organiser jusqu’à trois séminaires sous-régionaux sur la coopération concernant la Convention et le Protocole, sur des thèmes présentant un intérêt pour la sous-région que les pays chefs de file concernés détermineront avant la réunion en consultation avec les autres pays, et établir un rapport sur les résultats à l’intention du secrétariat qui l’affiche sur le site Web.</w:t>
      </w:r>
    </w:p>
    <w:p w:rsidR="00F11985" w:rsidRPr="00221BBA" w:rsidRDefault="00F11985" w:rsidP="00492324">
      <w:pPr>
        <w:pStyle w:val="SingleTxtG"/>
      </w:pPr>
      <w:r w:rsidRPr="00221BBA">
        <w:rPr>
          <w:i/>
          <w:iCs/>
        </w:rPr>
        <w:t>Entité(s) responsable(s)</w:t>
      </w:r>
      <w:r w:rsidR="005628B1" w:rsidRPr="005628B1">
        <w:t> :</w:t>
      </w:r>
      <w:r w:rsidR="00492324" w:rsidRPr="00221BBA">
        <w:t xml:space="preserve"> </w:t>
      </w:r>
      <w:r w:rsidRPr="00221BBA">
        <w:t>Les pays chefs de file riverains de la mer Baltique, au besoin avec l’appui du secrétariat.</w:t>
      </w:r>
    </w:p>
    <w:p w:rsidR="00F11985" w:rsidRPr="00221BBA" w:rsidRDefault="00F11985" w:rsidP="00492324">
      <w:pPr>
        <w:pStyle w:val="SingleTxtG"/>
      </w:pPr>
      <w:r w:rsidRPr="00221BBA">
        <w:rPr>
          <w:i/>
          <w:iCs/>
        </w:rPr>
        <w:t>Ressources nécessaires</w:t>
      </w:r>
      <w:r w:rsidR="005628B1" w:rsidRPr="005628B1">
        <w:rPr>
          <w:iCs/>
        </w:rPr>
        <w:t> :</w:t>
      </w:r>
      <w:r w:rsidRPr="00221BBA">
        <w:rPr>
          <w:i/>
          <w:iCs/>
        </w:rPr>
        <w:t xml:space="preserve"> </w:t>
      </w:r>
      <w:r w:rsidRPr="00221BBA">
        <w:t>Les contributions en nature sont confirmées par les pays concernés. Le financement des frais de voyage du secrétariat peut être nécessaire.]</w:t>
      </w:r>
    </w:p>
    <w:p w:rsidR="00F11985" w:rsidRPr="00221BBA" w:rsidRDefault="00F11985" w:rsidP="00492324">
      <w:pPr>
        <w:pStyle w:val="H1G"/>
      </w:pPr>
      <w:bookmarkStart w:id="42" w:name="_Hlk32240477"/>
      <w:r w:rsidRPr="00221BBA">
        <w:tab/>
        <w:t>B.</w:t>
      </w:r>
      <w:r w:rsidRPr="00221BBA">
        <w:tab/>
        <w:t>Europe orientale et Caucase</w:t>
      </w:r>
    </w:p>
    <w:p w:rsidR="00F11985" w:rsidRPr="00221BBA" w:rsidRDefault="00F11985" w:rsidP="00156EBA">
      <w:pPr>
        <w:pStyle w:val="SingleTxtG"/>
        <w:ind w:firstLine="567"/>
      </w:pPr>
      <w:r w:rsidRPr="00221BBA">
        <w:t>Le secrétariat organise une activité sous-régionale (atelier de formation ou voyage d’étude) à l’intention de Arménie, de l’Azerbaïdjan, du Bélarus, de la Géorgie, de la République de Moldova et de l’Ukraine, afin de faciliter l’échange d’informations et le partage de données d’expériences entre les pays. Provisoirement, l’activité est prévue pendant le premier semestre de 2022.</w:t>
      </w:r>
    </w:p>
    <w:p w:rsidR="00F11985" w:rsidRPr="00221BBA" w:rsidRDefault="00F11985" w:rsidP="00492324">
      <w:pPr>
        <w:pStyle w:val="SingleTxtG"/>
      </w:pPr>
      <w:r w:rsidRPr="00221BBA">
        <w:rPr>
          <w:i/>
          <w:iCs/>
        </w:rPr>
        <w:t>Ressources nécessaires</w:t>
      </w:r>
      <w:r w:rsidR="005628B1" w:rsidRPr="005628B1">
        <w:t> :</w:t>
      </w:r>
      <w:r w:rsidRPr="00221BBA">
        <w:t xml:space="preserve"> Financement disponible auprès du programme « EU4Environment ». La participation peut être ouverte à d’autres pays de la région de la CEE et au-delà, sous réserve que des fonds supplémentaires soient trouvés.</w:t>
      </w:r>
    </w:p>
    <w:bookmarkEnd w:id="42"/>
    <w:p w:rsidR="00F11985" w:rsidRPr="00221BBA" w:rsidRDefault="00F11985" w:rsidP="00492324">
      <w:pPr>
        <w:pStyle w:val="HChG"/>
      </w:pPr>
      <w:r w:rsidRPr="00221BBA">
        <w:tab/>
        <w:t>[IV.</w:t>
      </w:r>
      <w:r w:rsidRPr="00221BBA">
        <w:tab/>
        <w:t>Échange de bonnes pratiques</w:t>
      </w:r>
    </w:p>
    <w:p w:rsidR="00F11985" w:rsidRPr="00221BBA" w:rsidRDefault="00F11985" w:rsidP="00156EBA">
      <w:pPr>
        <w:pStyle w:val="SingleTxtG"/>
        <w:ind w:firstLine="567"/>
      </w:pPr>
      <w:r w:rsidRPr="00221BBA">
        <w:t>Dans ce domaine, l’objectif est d’échanger des connaissances et des données d’expérience concernant la législation et les pratiques relatives à l’application de la Convention et du Protocole, qui permettent d’améliorer la législation nationale et l’application des traités. Il s’agit aussi de contribuer à la sensibilisation aux deux traités et aux avantages qui en découlent, moyennent les catégories d’activités suivantes</w:t>
      </w:r>
      <w:r w:rsidR="005628B1" w:rsidRPr="005628B1">
        <w:t> :</w:t>
      </w:r>
    </w:p>
    <w:p w:rsidR="00F11985" w:rsidRPr="00221BBA" w:rsidRDefault="00F11985" w:rsidP="00156EBA">
      <w:pPr>
        <w:pStyle w:val="SingleTxtG"/>
        <w:ind w:firstLine="567"/>
      </w:pPr>
      <w:r w:rsidRPr="00221BBA">
        <w:t>a)</w:t>
      </w:r>
      <w:r w:rsidRPr="00221BBA">
        <w:tab/>
      </w:r>
      <w:bookmarkStart w:id="43" w:name="_Hlk37168050"/>
      <w:r w:rsidRPr="00221BBA">
        <w:t>Ateliers ou séminaires thématiques</w:t>
      </w:r>
      <w:bookmarkEnd w:id="43"/>
      <w:r w:rsidR="005D58ED" w:rsidRPr="00221BBA">
        <w:t> ;</w:t>
      </w:r>
    </w:p>
    <w:p w:rsidR="00F11985" w:rsidRPr="00221BBA" w:rsidRDefault="00F11985" w:rsidP="00156EBA">
      <w:pPr>
        <w:pStyle w:val="SingleTxtG"/>
        <w:ind w:firstLine="567"/>
      </w:pPr>
      <w:r w:rsidRPr="00221BBA">
        <w:rPr>
          <w:bCs/>
        </w:rPr>
        <w:t>b)</w:t>
      </w:r>
      <w:r w:rsidRPr="00221BBA">
        <w:rPr>
          <w:bCs/>
        </w:rPr>
        <w:tab/>
      </w:r>
      <w:r w:rsidRPr="00221BBA">
        <w:t>Fiches de synthèse</w:t>
      </w:r>
      <w:r w:rsidR="005D58ED" w:rsidRPr="00221BBA">
        <w:t> ;</w:t>
      </w:r>
    </w:p>
    <w:p w:rsidR="00F11985" w:rsidRPr="00221BBA" w:rsidRDefault="00F11985" w:rsidP="00156EBA">
      <w:pPr>
        <w:pStyle w:val="SingleTxtG"/>
        <w:ind w:firstLine="567"/>
      </w:pPr>
      <w:r w:rsidRPr="00221BBA">
        <w:lastRenderedPageBreak/>
        <w:t>c)</w:t>
      </w:r>
      <w:r w:rsidRPr="00221BBA">
        <w:tab/>
        <w:t>Base de données en ligne des bonnes pratiques des Parties, ou collecte et compilation des bonnes pratiques</w:t>
      </w:r>
      <w:r w:rsidR="005D58ED" w:rsidRPr="00221BBA">
        <w:t> ;</w:t>
      </w:r>
    </w:p>
    <w:p w:rsidR="00F11985" w:rsidRPr="00221BBA" w:rsidRDefault="00F11985" w:rsidP="00156EBA">
      <w:pPr>
        <w:pStyle w:val="SingleTxtG"/>
        <w:ind w:firstLine="567"/>
        <w:rPr>
          <w:bCs/>
        </w:rPr>
      </w:pPr>
      <w:r w:rsidRPr="00221BBA">
        <w:t>d)</w:t>
      </w:r>
      <w:r w:rsidRPr="00221BBA">
        <w:tab/>
        <w:t>Recommandations de bonnes pratiques.</w:t>
      </w:r>
    </w:p>
    <w:p w:rsidR="00F11985" w:rsidRPr="00221BBA" w:rsidRDefault="00492324" w:rsidP="00311EDE">
      <w:pPr>
        <w:pStyle w:val="H1G"/>
      </w:pPr>
      <w:r w:rsidRPr="00221BBA">
        <w:tab/>
      </w:r>
      <w:r w:rsidR="00311EDE">
        <w:t>A.</w:t>
      </w:r>
      <w:r w:rsidRPr="00221BBA">
        <w:tab/>
      </w:r>
      <w:r w:rsidR="00F11985" w:rsidRPr="00221BBA">
        <w:t>Ateliers ou séminaires thématiques</w:t>
      </w:r>
    </w:p>
    <w:p w:rsidR="00F11985" w:rsidRPr="00221BBA" w:rsidRDefault="00F11985" w:rsidP="00492324">
      <w:pPr>
        <w:pStyle w:val="SingleTxtG"/>
      </w:pPr>
      <w:r w:rsidRPr="00221BBA">
        <w:rPr>
          <w:i/>
          <w:iCs/>
        </w:rPr>
        <w:t>Activités</w:t>
      </w:r>
      <w:r w:rsidR="005628B1" w:rsidRPr="005628B1">
        <w:rPr>
          <w:iCs/>
        </w:rPr>
        <w:t> :</w:t>
      </w:r>
      <w:r w:rsidRPr="00221BBA">
        <w:rPr>
          <w:i/>
          <w:iCs/>
        </w:rPr>
        <w:t xml:space="preserve"> </w:t>
      </w:r>
      <w:r w:rsidRPr="00221BBA">
        <w:t>Organiser des ateliers ou des séminaires d’une demi-journée ou d’une journée entière pendant les réunions du Groupe de travail de l’évaluation de l’impact sur l’environnement et de l’évaluation stratégique environnementale durant la période 2021</w:t>
      </w:r>
      <w:r w:rsidR="00311EDE">
        <w:noBreakHyphen/>
      </w:r>
      <w:r w:rsidRPr="00221BBA">
        <w:t>2023 et/ou les sessions des Réunions des Parties en 2023 sur les thèmes/sujets suivants</w:t>
      </w:r>
      <w:r w:rsidR="00311EDE">
        <w:t> :</w:t>
      </w:r>
    </w:p>
    <w:p w:rsidR="00F11985" w:rsidRPr="00221BBA" w:rsidRDefault="00F11985" w:rsidP="00156EBA">
      <w:pPr>
        <w:pStyle w:val="SingleTxtG"/>
        <w:ind w:firstLine="567"/>
      </w:pPr>
      <w:bookmarkStart w:id="44" w:name="_Hlk32335122"/>
      <w:r w:rsidRPr="00221BBA">
        <w:t>a)</w:t>
      </w:r>
      <w:r w:rsidRPr="00221BBA">
        <w:tab/>
        <w:t>Villes intelligentes et durables</w:t>
      </w:r>
      <w:r w:rsidR="005D58ED" w:rsidRPr="00221BBA">
        <w:t> ;</w:t>
      </w:r>
    </w:p>
    <w:p w:rsidR="00F11985" w:rsidRPr="00221BBA" w:rsidRDefault="00F11985" w:rsidP="00156EBA">
      <w:pPr>
        <w:pStyle w:val="SingleTxtG"/>
        <w:ind w:firstLine="567"/>
      </w:pPr>
      <w:r w:rsidRPr="00221BBA">
        <w:t>b)</w:t>
      </w:r>
      <w:r w:rsidRPr="00221BBA">
        <w:tab/>
        <w:t>Économie circulaire</w:t>
      </w:r>
      <w:r w:rsidR="005D58ED" w:rsidRPr="00221BBA">
        <w:t> ;</w:t>
      </w:r>
    </w:p>
    <w:p w:rsidR="00F11985" w:rsidRPr="00221BBA" w:rsidRDefault="00492324" w:rsidP="00156EBA">
      <w:pPr>
        <w:pStyle w:val="SingleTxtG"/>
        <w:ind w:firstLine="567"/>
      </w:pPr>
      <w:r w:rsidRPr="00221BBA">
        <w:t>c</w:t>
      </w:r>
      <w:r w:rsidR="00F11985" w:rsidRPr="00221BBA">
        <w:t>)</w:t>
      </w:r>
      <w:r w:rsidR="00F11985" w:rsidRPr="00221BBA">
        <w:tab/>
        <w:t xml:space="preserve">Vers une initiative « Une ceinture et </w:t>
      </w:r>
      <w:r w:rsidR="00311EDE" w:rsidRPr="00221BBA">
        <w:t xml:space="preserve">Une </w:t>
      </w:r>
      <w:r w:rsidR="00F11985" w:rsidRPr="00221BBA">
        <w:t>route » soucieuse de l’environnement</w:t>
      </w:r>
      <w:r w:rsidR="005D58ED" w:rsidRPr="00221BBA">
        <w:t> ;</w:t>
      </w:r>
    </w:p>
    <w:p w:rsidR="00F11985" w:rsidRPr="00221BBA" w:rsidRDefault="00F11985" w:rsidP="00156EBA">
      <w:pPr>
        <w:pStyle w:val="SingleTxtG"/>
        <w:ind w:firstLine="567"/>
      </w:pPr>
      <w:r w:rsidRPr="00221BBA">
        <w:t>d)</w:t>
      </w:r>
      <w:r w:rsidRPr="00221BBA">
        <w:tab/>
        <w:t>Biodiversité</w:t>
      </w:r>
      <w:r w:rsidR="005D58ED" w:rsidRPr="00221BBA">
        <w:t> ;</w:t>
      </w:r>
    </w:p>
    <w:p w:rsidR="00F11985" w:rsidRPr="00221BBA" w:rsidRDefault="00F11985" w:rsidP="00156EBA">
      <w:pPr>
        <w:pStyle w:val="SingleTxtG"/>
        <w:ind w:firstLine="567"/>
      </w:pPr>
      <w:r w:rsidRPr="00221BBA">
        <w:t>e)</w:t>
      </w:r>
      <w:r w:rsidRPr="00221BBA">
        <w:tab/>
        <w:t>Transition énergétique</w:t>
      </w:r>
      <w:r w:rsidR="005D58ED" w:rsidRPr="00221BBA">
        <w:t> ;</w:t>
      </w:r>
    </w:p>
    <w:bookmarkEnd w:id="44"/>
    <w:p w:rsidR="00F11985" w:rsidRPr="00221BBA" w:rsidRDefault="00F11985" w:rsidP="00156EBA">
      <w:pPr>
        <w:pStyle w:val="SingleTxtG"/>
        <w:ind w:firstLine="567"/>
      </w:pPr>
      <w:r w:rsidRPr="00221BBA">
        <w:t>[f)</w:t>
      </w:r>
      <w:r w:rsidRPr="00221BBA">
        <w:tab/>
        <w:t>…]</w:t>
      </w:r>
      <w:r w:rsidR="00492324" w:rsidRPr="00221BBA">
        <w:t>.</w:t>
      </w:r>
    </w:p>
    <w:p w:rsidR="00F11985" w:rsidRPr="00221BBA" w:rsidRDefault="00F11985" w:rsidP="00156EBA">
      <w:pPr>
        <w:pStyle w:val="SingleTxtG"/>
        <w:ind w:firstLine="567"/>
      </w:pPr>
      <w:r w:rsidRPr="00221BBA">
        <w:t>Produire un document clair et concis qui donne des avis sur les principaux problèmes mis en évidence pour chaque thème ou sujet, en faisant référence à la contribution des sujets à la réalisation des objectifs de développement durable.</w:t>
      </w:r>
    </w:p>
    <w:p w:rsidR="00F11985" w:rsidRPr="00221BBA" w:rsidRDefault="00F11985" w:rsidP="00492324">
      <w:pPr>
        <w:pStyle w:val="SingleTxtG"/>
      </w:pPr>
      <w:r w:rsidRPr="00221BBA">
        <w:rPr>
          <w:i/>
          <w:iCs/>
        </w:rPr>
        <w:t>Entité(s) responsable(s)</w:t>
      </w:r>
      <w:r w:rsidR="005628B1" w:rsidRPr="005628B1">
        <w:t> :</w:t>
      </w:r>
      <w:r w:rsidR="00492324" w:rsidRPr="00221BBA">
        <w:t xml:space="preserve"> </w:t>
      </w:r>
      <w:r w:rsidRPr="00221BBA">
        <w:t>Les organisations et pays chefs de file ci-après […], avec l’appui du secrétariat.</w:t>
      </w:r>
    </w:p>
    <w:p w:rsidR="00F11985" w:rsidRPr="00221BBA" w:rsidRDefault="00F11985" w:rsidP="00492324">
      <w:pPr>
        <w:pStyle w:val="SingleTxtG"/>
      </w:pPr>
      <w:r w:rsidRPr="00221BBA">
        <w:rPr>
          <w:i/>
          <w:iCs/>
        </w:rPr>
        <w:t>Ressources nécessaires</w:t>
      </w:r>
      <w:r w:rsidR="005628B1" w:rsidRPr="005628B1">
        <w:t> :</w:t>
      </w:r>
      <w:r w:rsidRPr="00221BBA">
        <w:t xml:space="preserve"> Les frais liés à la présence d’orateurs, à la distribution et à la traduction de matériels sont pris en charge dans la mesure du possible par les pays chefs de de file sous la forme de contributions en nature. Les ressources du secrétariat et le Fonds d’affectation spéciale sont mis à contribution pour la prise en charge des frais de déplacement des pays admis à bénéficier d’une aide financière et des pays non membres de la CEE.</w:t>
      </w:r>
    </w:p>
    <w:p w:rsidR="00F11985" w:rsidRPr="00221BBA" w:rsidRDefault="00F11985" w:rsidP="00492324">
      <w:pPr>
        <w:pStyle w:val="H1G"/>
      </w:pPr>
      <w:r w:rsidRPr="00221BBA">
        <w:tab/>
        <w:t>B.</w:t>
      </w:r>
      <w:r w:rsidRPr="00221BBA">
        <w:tab/>
      </w:r>
      <w:bookmarkStart w:id="45" w:name="_Hlk36024565"/>
      <w:r w:rsidRPr="00221BBA">
        <w:t>Fiches de synthèse</w:t>
      </w:r>
      <w:bookmarkEnd w:id="45"/>
    </w:p>
    <w:p w:rsidR="00F11985" w:rsidRPr="00221BBA" w:rsidRDefault="00F11985" w:rsidP="00492324">
      <w:pPr>
        <w:pStyle w:val="SingleTxtG"/>
      </w:pPr>
      <w:r w:rsidRPr="00221BBA">
        <w:rPr>
          <w:i/>
          <w:iCs/>
        </w:rPr>
        <w:t>Activités</w:t>
      </w:r>
      <w:r w:rsidR="005628B1" w:rsidRPr="005628B1">
        <w:rPr>
          <w:iCs/>
        </w:rPr>
        <w:t> :</w:t>
      </w:r>
      <w:r w:rsidRPr="00221BBA">
        <w:rPr>
          <w:i/>
          <w:iCs/>
        </w:rPr>
        <w:t xml:space="preserve"> </w:t>
      </w:r>
      <w:r w:rsidRPr="00221BBA">
        <w:t>Établissement de fiches de synthèse sur l’application pratique de la Convention et du Protocole, qui sont présentées pendant les réunions du Groupe de travail de l’évaluation de l’impact sur l’environnement et de l’évaluation stratégique environnementale et affichées sur le site Web.</w:t>
      </w:r>
    </w:p>
    <w:p w:rsidR="00F11985" w:rsidRPr="00221BBA" w:rsidRDefault="00F11985" w:rsidP="00492324">
      <w:pPr>
        <w:pStyle w:val="SingleTxtG"/>
      </w:pPr>
      <w:r w:rsidRPr="00221BBA">
        <w:rPr>
          <w:i/>
          <w:iCs/>
        </w:rPr>
        <w:t>Entité(s) responsable(s)</w:t>
      </w:r>
      <w:r w:rsidR="005628B1" w:rsidRPr="005628B1">
        <w:rPr>
          <w:iCs/>
        </w:rPr>
        <w:t> :</w:t>
      </w:r>
      <w:r w:rsidRPr="00221BBA">
        <w:rPr>
          <w:i/>
          <w:iCs/>
        </w:rPr>
        <w:t xml:space="preserve"> </w:t>
      </w:r>
      <w:r w:rsidRPr="00221BBA">
        <w:rPr>
          <w:iCs/>
        </w:rPr>
        <w:t>Toutes les</w:t>
      </w:r>
      <w:r w:rsidRPr="00221BBA">
        <w:rPr>
          <w:i/>
          <w:iCs/>
        </w:rPr>
        <w:t xml:space="preserve"> </w:t>
      </w:r>
      <w:r w:rsidRPr="00221BBA">
        <w:t>Parties, avec l’appui du secrétariat[</w:t>
      </w:r>
      <w:r w:rsidR="005628B1" w:rsidRPr="005628B1">
        <w:t> :</w:t>
      </w:r>
      <w:r w:rsidRPr="00221BBA">
        <w:t xml:space="preserve"> y compris les Parties suivantes qui se sont portées volontaires</w:t>
      </w:r>
      <w:r w:rsidR="005628B1" w:rsidRPr="005628B1">
        <w:t> :</w:t>
      </w:r>
      <w:r w:rsidR="00492324" w:rsidRPr="00221BBA">
        <w:t>…].</w:t>
      </w:r>
    </w:p>
    <w:p w:rsidR="00F11985" w:rsidRPr="00221BBA" w:rsidRDefault="00F11985" w:rsidP="00492324">
      <w:pPr>
        <w:pStyle w:val="SingleTxtG"/>
        <w:rPr>
          <w:b/>
        </w:rPr>
      </w:pPr>
      <w:r w:rsidRPr="00221BBA">
        <w:rPr>
          <w:i/>
        </w:rPr>
        <w:t>Ressources nécessaires</w:t>
      </w:r>
      <w:r w:rsidR="005628B1" w:rsidRPr="005628B1">
        <w:t> :</w:t>
      </w:r>
      <w:r w:rsidRPr="00221BBA">
        <w:rPr>
          <w:i/>
        </w:rPr>
        <w:t xml:space="preserve"> </w:t>
      </w:r>
      <w:r w:rsidRPr="00221BBA">
        <w:t>Contributions en espèces.</w:t>
      </w:r>
    </w:p>
    <w:p w:rsidR="00F11985" w:rsidRPr="00221BBA" w:rsidRDefault="00F11985" w:rsidP="00492324">
      <w:pPr>
        <w:pStyle w:val="H1G"/>
      </w:pPr>
      <w:r w:rsidRPr="00221BBA">
        <w:tab/>
        <w:t>C.</w:t>
      </w:r>
      <w:r w:rsidRPr="00221BBA">
        <w:tab/>
        <w:t>Base de données en ligne des bonnes pratiques des Parties, ou collecte et compilation des bonnes pratiques</w:t>
      </w:r>
    </w:p>
    <w:p w:rsidR="00F11985" w:rsidRPr="00221BBA" w:rsidRDefault="00F11985" w:rsidP="00492324">
      <w:pPr>
        <w:pStyle w:val="SingleTxtG"/>
      </w:pPr>
      <w:r w:rsidRPr="00221BBA">
        <w:rPr>
          <w:i/>
          <w:iCs/>
        </w:rPr>
        <w:t>Activités</w:t>
      </w:r>
      <w:r w:rsidR="005628B1" w:rsidRPr="005628B1">
        <w:t> :</w:t>
      </w:r>
      <w:r w:rsidRPr="00221BBA">
        <w:t xml:space="preserve"> Création d’une base de données en ligne sur le site de la CEE/compilation des bonnes pratiques des Parties. Suppose la conception d’une structure et d’un modèle pour la communication par les Parties de leurs bonnes pratiques, ainsi que la recherche, la correction, l’édition et le téléchargement des bonnes pratiques. Les bonnes pratiques pourraient également être collectées et compilées dans une publication informelle en ligne qui serait mise à jour régulièrement.</w:t>
      </w:r>
    </w:p>
    <w:p w:rsidR="00F11985" w:rsidRPr="00221BBA" w:rsidRDefault="00F11985" w:rsidP="00492324">
      <w:pPr>
        <w:pStyle w:val="SingleTxtG"/>
      </w:pPr>
      <w:r w:rsidRPr="00221BBA">
        <w:rPr>
          <w:bCs/>
          <w:i/>
        </w:rPr>
        <w:lastRenderedPageBreak/>
        <w:t>Entité(s) r</w:t>
      </w:r>
      <w:r w:rsidRPr="00221BBA">
        <w:rPr>
          <w:i/>
          <w:iCs/>
        </w:rPr>
        <w:t>esponsables</w:t>
      </w:r>
      <w:r w:rsidR="005628B1" w:rsidRPr="005628B1">
        <w:t> :</w:t>
      </w:r>
      <w:r w:rsidRPr="00221BBA">
        <w:t xml:space="preserve"> Les Parties communiquent les bonnes pratiques</w:t>
      </w:r>
      <w:r w:rsidR="005D58ED" w:rsidRPr="00221BBA">
        <w:t> ;</w:t>
      </w:r>
      <w:r w:rsidRPr="00221BBA">
        <w:t xml:space="preserve"> le secrétariat, avec l’appui d’un consultant, recueille, (analyse et résume,) compile et télécharge les bonne pratiques.</w:t>
      </w:r>
    </w:p>
    <w:p w:rsidR="00F11985" w:rsidRPr="00221BBA" w:rsidRDefault="00F11985" w:rsidP="00492324">
      <w:pPr>
        <w:pStyle w:val="SingleTxtG"/>
      </w:pPr>
      <w:r w:rsidRPr="00221BBA">
        <w:rPr>
          <w:i/>
          <w:iCs/>
        </w:rPr>
        <w:t>Ressources nécessaires</w:t>
      </w:r>
      <w:r w:rsidR="005628B1" w:rsidRPr="005628B1">
        <w:t> :</w:t>
      </w:r>
      <w:r w:rsidRPr="00221BBA">
        <w:t xml:space="preserve"> Ressources du secrétariat et fonds pour les consultants d’un montant compris entre </w:t>
      </w:r>
      <w:bookmarkStart w:id="46" w:name="_Hlk23265100"/>
      <w:bookmarkStart w:id="47" w:name="_Hlk23264532"/>
      <w:r w:rsidRPr="00221BBA">
        <w:t>15 000 et 25 000</w:t>
      </w:r>
      <w:bookmarkEnd w:id="46"/>
      <w:r w:rsidRPr="00221BBA">
        <w:t xml:space="preserve"> dollars.]</w:t>
      </w:r>
    </w:p>
    <w:bookmarkEnd w:id="47"/>
    <w:p w:rsidR="00F11985" w:rsidRPr="00221BBA" w:rsidRDefault="00F11985" w:rsidP="00492324">
      <w:pPr>
        <w:pStyle w:val="H1G"/>
      </w:pPr>
      <w:r w:rsidRPr="00221BBA">
        <w:tab/>
        <w:t>[D.</w:t>
      </w:r>
      <w:r w:rsidRPr="00221BBA">
        <w:tab/>
      </w:r>
      <w:bookmarkStart w:id="48" w:name="_Hlk36024610"/>
      <w:r w:rsidRPr="00221BBA">
        <w:t xml:space="preserve">Recommandations de bonnes </w:t>
      </w:r>
      <w:bookmarkEnd w:id="48"/>
      <w:r w:rsidRPr="00221BBA">
        <w:t>pratiques</w:t>
      </w:r>
    </w:p>
    <w:p w:rsidR="00F11985" w:rsidRPr="00221BBA" w:rsidRDefault="00F11985" w:rsidP="00492324">
      <w:pPr>
        <w:pStyle w:val="SingleTxtG"/>
      </w:pPr>
      <w:r w:rsidRPr="00221BBA">
        <w:rPr>
          <w:i/>
          <w:iCs/>
        </w:rPr>
        <w:t>Activités</w:t>
      </w:r>
      <w:r w:rsidR="005628B1" w:rsidRPr="005628B1">
        <w:rPr>
          <w:iCs/>
        </w:rPr>
        <w:t> :</w:t>
      </w:r>
      <w:r w:rsidRPr="00221BBA">
        <w:rPr>
          <w:i/>
          <w:iCs/>
        </w:rPr>
        <w:t xml:space="preserve"> </w:t>
      </w:r>
      <w:r w:rsidRPr="00221BBA">
        <w:t>Élaboration de recommandations de bonnes pratiques pour adoption par la (les) Réunion(s) des Parties (et publication ultérieure par le secrétariat), sur les [l’un des] thèmes suivants</w:t>
      </w:r>
      <w:r w:rsidR="005628B1" w:rsidRPr="005628B1">
        <w:t> :</w:t>
      </w:r>
    </w:p>
    <w:p w:rsidR="00F11985" w:rsidRPr="00221BBA" w:rsidRDefault="00F11985" w:rsidP="00156EBA">
      <w:pPr>
        <w:pStyle w:val="SingleTxtG"/>
        <w:ind w:firstLine="567"/>
      </w:pPr>
      <w:r w:rsidRPr="00221BBA">
        <w:t>a)</w:t>
      </w:r>
      <w:r w:rsidRPr="00221BBA">
        <w:tab/>
        <w:t>L’examen des sites de remplacement possibles et la justification du choix des sites, tel que proposé par le Bélarus</w:t>
      </w:r>
      <w:r w:rsidR="005D58ED" w:rsidRPr="00221BBA">
        <w:t> ;</w:t>
      </w:r>
    </w:p>
    <w:p w:rsidR="00F11985" w:rsidRPr="00221BBA" w:rsidRDefault="00F11985" w:rsidP="00156EBA">
      <w:pPr>
        <w:pStyle w:val="SingleTxtG"/>
        <w:ind w:firstLine="567"/>
      </w:pPr>
      <w:r w:rsidRPr="00221BBA">
        <w:t>b)</w:t>
      </w:r>
      <w:r w:rsidRPr="00221BBA">
        <w:tab/>
        <w:t>L’un quelconque des thèmes énumérés plus haut au point IV.A. (villes intelligentes et durables</w:t>
      </w:r>
      <w:r w:rsidR="005D58ED" w:rsidRPr="00221BBA">
        <w:t> ;</w:t>
      </w:r>
      <w:r w:rsidRPr="00221BBA">
        <w:t xml:space="preserve"> économie circulaire</w:t>
      </w:r>
      <w:r w:rsidR="005D58ED" w:rsidRPr="00221BBA">
        <w:t> ;</w:t>
      </w:r>
      <w:r w:rsidRPr="00221BBA">
        <w:t xml:space="preserve"> vers une initiative « Une ceinture et </w:t>
      </w:r>
      <w:r w:rsidR="00311EDE" w:rsidRPr="00221BBA">
        <w:t xml:space="preserve">Une </w:t>
      </w:r>
      <w:r w:rsidRPr="00221BBA">
        <w:t>route » soucieuse de l’environnement</w:t>
      </w:r>
      <w:r w:rsidR="005D58ED" w:rsidRPr="00221BBA">
        <w:t> ;</w:t>
      </w:r>
      <w:r w:rsidRPr="00221BBA">
        <w:t xml:space="preserve"> biodiversité</w:t>
      </w:r>
      <w:r w:rsidR="005D58ED" w:rsidRPr="00221BBA">
        <w:t> ;</w:t>
      </w:r>
      <w:r w:rsidRPr="00221BBA">
        <w:t xml:space="preserve"> transition énergétique).</w:t>
      </w:r>
    </w:p>
    <w:p w:rsidR="00F11985" w:rsidRPr="00221BBA" w:rsidRDefault="00F11985" w:rsidP="00492324">
      <w:pPr>
        <w:pStyle w:val="SingleTxtG"/>
      </w:pPr>
      <w:r w:rsidRPr="00221BBA">
        <w:rPr>
          <w:i/>
          <w:iCs/>
        </w:rPr>
        <w:t>Entité(s) responsable(s)</w:t>
      </w:r>
      <w:r w:rsidR="005628B1" w:rsidRPr="005628B1">
        <w:rPr>
          <w:iCs/>
        </w:rPr>
        <w:t> :</w:t>
      </w:r>
      <w:r w:rsidRPr="00221BBA">
        <w:rPr>
          <w:i/>
          <w:iCs/>
        </w:rPr>
        <w:t xml:space="preserve"> </w:t>
      </w:r>
      <w:r w:rsidRPr="00221BBA">
        <w:t>Sont élaborées par un ou plusieurs consultants externes, avec l’appui du secrétariat, et éventuellement une enquête en vue de recueillir les bonnes pratiques, et, au besoin, un groupe de travail spécial/équipe spéciale pour contribuer aux</w:t>
      </w:r>
      <w:r w:rsidR="00311EDE">
        <w:t> </w:t>
      </w:r>
      <w:r w:rsidRPr="00221BBA">
        <w:t>travaux.</w:t>
      </w:r>
    </w:p>
    <w:p w:rsidR="00F11985" w:rsidRPr="00221BBA" w:rsidRDefault="00F11985" w:rsidP="00492324">
      <w:pPr>
        <w:pStyle w:val="SingleTxtG"/>
      </w:pPr>
      <w:r w:rsidRPr="00221BBA">
        <w:rPr>
          <w:i/>
          <w:iCs/>
        </w:rPr>
        <w:t>Ressources nécessaires</w:t>
      </w:r>
      <w:r w:rsidR="005628B1" w:rsidRPr="005628B1">
        <w:rPr>
          <w:iCs/>
        </w:rPr>
        <w:t> :</w:t>
      </w:r>
      <w:r w:rsidRPr="00221BBA">
        <w:rPr>
          <w:i/>
          <w:iCs/>
        </w:rPr>
        <w:t xml:space="preserve"> </w:t>
      </w:r>
      <w:r w:rsidRPr="00221BBA">
        <w:t>Ressources du secrétariat et crédits d’un montant compris entre 15 000 et 25 000 dollars pour les honoraires du (des) consultant(s) et contributions en espèces des Parties.</w:t>
      </w:r>
    </w:p>
    <w:p w:rsidR="00F11985" w:rsidRPr="00221BBA" w:rsidRDefault="00F11985" w:rsidP="00492324">
      <w:pPr>
        <w:pStyle w:val="H4G"/>
      </w:pPr>
      <w:r w:rsidRPr="00221BBA">
        <w:tab/>
      </w:r>
      <w:r w:rsidRPr="00221BBA">
        <w:tab/>
        <w:t>Note du secrétariat</w:t>
      </w:r>
      <w:r w:rsidR="005628B1" w:rsidRPr="005628B1">
        <w:rPr>
          <w:i w:val="0"/>
        </w:rPr>
        <w:t> :</w:t>
      </w:r>
      <w:r w:rsidRPr="00221BBA">
        <w:t xml:space="preserve"> Les points relatifs aux documents d’orientation/directives et aux recommandations de bonnes pratiques pourraient également être regroupés sous le même point dans la mesure où il s’agit dans les deux cas de documents non contraignants relevant des traités dont ils visent à améliorer l’application.</w:t>
      </w:r>
      <w:r w:rsidRPr="00311EDE">
        <w:rPr>
          <w:i w:val="0"/>
        </w:rPr>
        <w:t>]</w:t>
      </w:r>
    </w:p>
    <w:p w:rsidR="00F11985" w:rsidRPr="00221BBA" w:rsidRDefault="00F11985" w:rsidP="00492324">
      <w:pPr>
        <w:pStyle w:val="HChG"/>
      </w:pPr>
      <w:r w:rsidRPr="00221BBA">
        <w:tab/>
      </w:r>
      <w:bookmarkStart w:id="49" w:name="_Hlk34986355"/>
      <w:r w:rsidRPr="00221BBA">
        <w:t>V.</w:t>
      </w:r>
      <w:r w:rsidRPr="00221BBA">
        <w:tab/>
      </w:r>
      <w:bookmarkEnd w:id="49"/>
      <w:r w:rsidRPr="00221BBA">
        <w:t>Promouvoir l’application pratique du Protocole et/ou de la</w:t>
      </w:r>
      <w:r w:rsidR="00311EDE">
        <w:t> </w:t>
      </w:r>
      <w:r w:rsidRPr="00221BBA">
        <w:t>Convention</w:t>
      </w:r>
    </w:p>
    <w:p w:rsidR="00F11985" w:rsidRPr="00221BBA" w:rsidRDefault="00F11985" w:rsidP="00156EBA">
      <w:pPr>
        <w:pStyle w:val="SingleTxtG"/>
        <w:ind w:firstLine="567"/>
      </w:pPr>
      <w:r w:rsidRPr="00221BBA">
        <w:t>Dans ce domaine, l’objectif est de promouvoir la pleine application du Protocole et de la Convention, y compris en renforçant les capacités et les compétences professionnelles des fonctionnaires concernés à tous les niveaux de l’administration publique et en augmentant la sensibilisation du public, y compris des ONG, en ce qui concerne les dispositions des traités et leur application. Il faut aussi contribuer à une plus large application de la Convention et du Protocole en encourageant les pays qui ne l’ont pas fait à les ratifier.</w:t>
      </w:r>
    </w:p>
    <w:p w:rsidR="00F11985" w:rsidRPr="00221BBA" w:rsidRDefault="00F11985" w:rsidP="00156EBA">
      <w:pPr>
        <w:pStyle w:val="SingleTxtG"/>
        <w:ind w:firstLine="567"/>
      </w:pPr>
      <w:r w:rsidRPr="00221BBA">
        <w:t>Pour réaliser ces objectifs, des activités seront déployées dans les domaines suivants</w:t>
      </w:r>
      <w:r w:rsidR="005628B1" w:rsidRPr="005628B1">
        <w:t> :</w:t>
      </w:r>
    </w:p>
    <w:p w:rsidR="00F11985" w:rsidRPr="00221BBA" w:rsidRDefault="00F11985" w:rsidP="00156EBA">
      <w:pPr>
        <w:pStyle w:val="SingleTxtG"/>
        <w:ind w:firstLine="567"/>
      </w:pPr>
      <w:r w:rsidRPr="00221BBA">
        <w:t>a)</w:t>
      </w:r>
      <w:r w:rsidRPr="00221BBA">
        <w:tab/>
        <w:t>Réalisation de projets pilotes</w:t>
      </w:r>
      <w:r w:rsidR="005D58ED" w:rsidRPr="00221BBA">
        <w:t> ;</w:t>
      </w:r>
    </w:p>
    <w:p w:rsidR="00F11985" w:rsidRPr="00221BBA" w:rsidRDefault="00F11985" w:rsidP="00156EBA">
      <w:pPr>
        <w:pStyle w:val="SingleTxtG"/>
        <w:ind w:firstLine="567"/>
      </w:pPr>
      <w:r w:rsidRPr="00221BBA">
        <w:t>b)</w:t>
      </w:r>
      <w:r w:rsidRPr="00221BBA">
        <w:tab/>
        <w:t>Ateliers de formation sur l’application des traités</w:t>
      </w:r>
      <w:r w:rsidR="005D58ED" w:rsidRPr="00221BBA">
        <w:t> ;</w:t>
      </w:r>
    </w:p>
    <w:p w:rsidR="00F11985" w:rsidRPr="00221BBA" w:rsidRDefault="00F11985" w:rsidP="00156EBA">
      <w:pPr>
        <w:pStyle w:val="SingleTxtG"/>
        <w:ind w:firstLine="567"/>
      </w:pPr>
      <w:bookmarkStart w:id="50" w:name="_Hlk36026335"/>
      <w:r w:rsidRPr="00221BBA">
        <w:t>c)</w:t>
      </w:r>
      <w:r w:rsidRPr="00221BBA">
        <w:tab/>
        <w:t>Activités de sensibilisation</w:t>
      </w:r>
      <w:r w:rsidR="005D58ED" w:rsidRPr="00221BBA">
        <w:t> ;</w:t>
      </w:r>
    </w:p>
    <w:bookmarkEnd w:id="50"/>
    <w:p w:rsidR="00F11985" w:rsidRPr="00221BBA" w:rsidRDefault="00F11985" w:rsidP="00156EBA">
      <w:pPr>
        <w:pStyle w:val="SingleTxtG"/>
        <w:ind w:firstLine="567"/>
      </w:pPr>
      <w:r w:rsidRPr="00221BBA">
        <w:t>d)</w:t>
      </w:r>
      <w:r w:rsidRPr="00221BBA">
        <w:tab/>
        <w:t>Matériels de sensibilisation</w:t>
      </w:r>
      <w:r w:rsidR="005D58ED" w:rsidRPr="00221BBA">
        <w:t> ;</w:t>
      </w:r>
    </w:p>
    <w:p w:rsidR="00F11985" w:rsidRPr="00221BBA" w:rsidRDefault="00F11985" w:rsidP="00156EBA">
      <w:pPr>
        <w:pStyle w:val="SingleTxtG"/>
        <w:ind w:firstLine="567"/>
      </w:pPr>
      <w:r w:rsidRPr="00221BBA">
        <w:t>e)</w:t>
      </w:r>
      <w:r w:rsidRPr="00221BBA">
        <w:tab/>
        <w:t>Lignes directrices thématiques ou sectorielles</w:t>
      </w:r>
      <w:r w:rsidR="005D58ED" w:rsidRPr="00221BBA">
        <w:t> ;</w:t>
      </w:r>
    </w:p>
    <w:p w:rsidR="00F11985" w:rsidRPr="00221BBA" w:rsidRDefault="00F11985" w:rsidP="00156EBA">
      <w:pPr>
        <w:pStyle w:val="SingleTxtG"/>
        <w:ind w:firstLine="567"/>
      </w:pPr>
      <w:r w:rsidRPr="00221BBA">
        <w:t>f)</w:t>
      </w:r>
      <w:r w:rsidRPr="00221BBA">
        <w:tab/>
        <w:t>Base de données modèle sur l’évaluation stratégique environnementale</w:t>
      </w:r>
      <w:r w:rsidR="005D58ED" w:rsidRPr="00221BBA">
        <w:t> ;</w:t>
      </w:r>
    </w:p>
    <w:p w:rsidR="00F11985" w:rsidRPr="00221BBA" w:rsidRDefault="00F11985" w:rsidP="00156EBA">
      <w:pPr>
        <w:pStyle w:val="SingleTxtG"/>
        <w:ind w:firstLine="567"/>
      </w:pPr>
      <w:r w:rsidRPr="00221BBA">
        <w:t>g)</w:t>
      </w:r>
      <w:r w:rsidRPr="00221BBA">
        <w:tab/>
        <w:t>Traduction de la vidéo sur l’application de la Convention</w:t>
      </w:r>
      <w:r w:rsidR="005D58ED" w:rsidRPr="00221BBA">
        <w:t> ;</w:t>
      </w:r>
    </w:p>
    <w:p w:rsidR="00F11985" w:rsidRPr="00221BBA" w:rsidRDefault="00F11985" w:rsidP="00156EBA">
      <w:pPr>
        <w:pStyle w:val="SingleTxtG"/>
        <w:ind w:firstLine="567"/>
      </w:pPr>
      <w:r w:rsidRPr="00221BBA">
        <w:t>h)</w:t>
      </w:r>
      <w:r w:rsidRPr="00221BBA">
        <w:tab/>
        <w:t>Préparation of FasTips.</w:t>
      </w:r>
    </w:p>
    <w:p w:rsidR="00F11985" w:rsidRPr="00221BBA" w:rsidRDefault="00F11985" w:rsidP="00492324">
      <w:pPr>
        <w:pStyle w:val="H1G"/>
      </w:pPr>
      <w:bookmarkStart w:id="51" w:name="_Hlk31990223"/>
      <w:r w:rsidRPr="00221BBA">
        <w:lastRenderedPageBreak/>
        <w:tab/>
        <w:t>A.</w:t>
      </w:r>
      <w:bookmarkEnd w:id="51"/>
      <w:r w:rsidRPr="00221BBA">
        <w:tab/>
      </w:r>
      <w:bookmarkStart w:id="52" w:name="_Hlk36025098"/>
      <w:r w:rsidRPr="00221BBA">
        <w:t>Réalisation de projets pilotes</w:t>
      </w:r>
      <w:bookmarkEnd w:id="52"/>
    </w:p>
    <w:p w:rsidR="00F11985" w:rsidRPr="00221BBA" w:rsidRDefault="00F11985" w:rsidP="00492324">
      <w:pPr>
        <w:pStyle w:val="SingleTxtG"/>
      </w:pPr>
      <w:r w:rsidRPr="00221BBA">
        <w:rPr>
          <w:i/>
          <w:iCs/>
        </w:rPr>
        <w:t>Activités</w:t>
      </w:r>
      <w:r w:rsidR="005628B1" w:rsidRPr="005628B1">
        <w:rPr>
          <w:iCs/>
        </w:rPr>
        <w:t> :</w:t>
      </w:r>
      <w:r w:rsidRPr="00221BBA">
        <w:t xml:space="preserve"> Essai d’évaluation stratégique environnementale (ou d’évaluation de l’impact sur l’environnement dans un contexte transfrontière) d’un plan ou d’un projet sélectionné par les pays bénéficiaires. Ces projets pilotes sont un apprentissage pratique de l’évaluation stratégique environnementale (ou de l’évaluation de l’impact sur l’environnement dans un contexte transfrontière), auquel est intégrée une formation aux travaux d’analyse et de consultation, suivant le Protocole(/la Convention). Les projets pilotes sur l’évaluation stratégique environnementale qui doivent être réalisés sont les suivants</w:t>
      </w:r>
      <w:r w:rsidR="00156EBA">
        <w:t> :</w:t>
      </w:r>
    </w:p>
    <w:p w:rsidR="00F11985" w:rsidRPr="00221BBA" w:rsidRDefault="00F11985" w:rsidP="00156EBA">
      <w:pPr>
        <w:pStyle w:val="SingleTxtG"/>
        <w:ind w:left="1701"/>
      </w:pPr>
      <w:r w:rsidRPr="00221BBA">
        <w:t>i)</w:t>
      </w:r>
      <w:r w:rsidRPr="00221BBA">
        <w:tab/>
        <w:t>Projet pilote en Arménie (2021)</w:t>
      </w:r>
      <w:r w:rsidR="005D58ED" w:rsidRPr="00221BBA">
        <w:t> ;</w:t>
      </w:r>
    </w:p>
    <w:p w:rsidR="00F11985" w:rsidRPr="00221BBA" w:rsidRDefault="00F11985" w:rsidP="00156EBA">
      <w:pPr>
        <w:pStyle w:val="SingleTxtG"/>
        <w:ind w:left="1701"/>
      </w:pPr>
      <w:r w:rsidRPr="00221BBA">
        <w:t>ii)</w:t>
      </w:r>
      <w:r w:rsidRPr="00221BBA">
        <w:tab/>
        <w:t>Projet pilote en Azerbaïdjan (2021)</w:t>
      </w:r>
      <w:r w:rsidR="005D58ED" w:rsidRPr="00221BBA">
        <w:t> ;</w:t>
      </w:r>
    </w:p>
    <w:p w:rsidR="00F11985" w:rsidRPr="00221BBA" w:rsidRDefault="00F11985" w:rsidP="00156EBA">
      <w:pPr>
        <w:pStyle w:val="SingleTxtG"/>
        <w:ind w:left="1701"/>
      </w:pPr>
      <w:r w:rsidRPr="00221BBA">
        <w:t>iii)</w:t>
      </w:r>
      <w:r w:rsidRPr="00221BBA">
        <w:tab/>
        <w:t>Projet pilote au Bélarus (2021</w:t>
      </w:r>
      <w:r w:rsidR="005E6839" w:rsidRPr="00221BBA">
        <w:t>-</w:t>
      </w:r>
      <w:r w:rsidRPr="00221BBA">
        <w:t>2022, à confirmer)</w:t>
      </w:r>
      <w:r w:rsidR="005D58ED" w:rsidRPr="00221BBA">
        <w:t> ;</w:t>
      </w:r>
    </w:p>
    <w:p w:rsidR="00F11985" w:rsidRPr="00221BBA" w:rsidRDefault="00F11985" w:rsidP="00156EBA">
      <w:pPr>
        <w:pStyle w:val="SingleTxtG"/>
        <w:ind w:left="1701"/>
      </w:pPr>
      <w:r w:rsidRPr="00221BBA">
        <w:t>iv)</w:t>
      </w:r>
      <w:r w:rsidRPr="00221BBA">
        <w:tab/>
        <w:t>Projet pilote en Géorgie (2021)</w:t>
      </w:r>
      <w:r w:rsidR="005D58ED" w:rsidRPr="00221BBA">
        <w:t> ;</w:t>
      </w:r>
    </w:p>
    <w:p w:rsidR="00F11985" w:rsidRPr="00221BBA" w:rsidRDefault="00F11985" w:rsidP="00156EBA">
      <w:pPr>
        <w:pStyle w:val="SingleTxtG"/>
        <w:ind w:left="1701"/>
      </w:pPr>
      <w:r w:rsidRPr="00221BBA">
        <w:t>v)</w:t>
      </w:r>
      <w:r w:rsidRPr="00221BBA">
        <w:tab/>
        <w:t>Projet pilote en République de Moldova (2021)</w:t>
      </w:r>
      <w:r w:rsidR="005D58ED" w:rsidRPr="00221BBA">
        <w:t> ;</w:t>
      </w:r>
    </w:p>
    <w:p w:rsidR="00F11985" w:rsidRPr="00221BBA" w:rsidRDefault="00F11985" w:rsidP="00156EBA">
      <w:pPr>
        <w:pStyle w:val="SingleTxtG"/>
        <w:ind w:left="1701"/>
      </w:pPr>
      <w:r w:rsidRPr="00221BBA">
        <w:t>vi)</w:t>
      </w:r>
      <w:r w:rsidRPr="00221BBA">
        <w:tab/>
        <w:t>Projet pilote en Ukraine (2021</w:t>
      </w:r>
      <w:r w:rsidR="005E6839" w:rsidRPr="00221BBA">
        <w:t>-</w:t>
      </w:r>
      <w:r w:rsidRPr="00221BBA">
        <w:t>2022, à confirmer).</w:t>
      </w:r>
    </w:p>
    <w:p w:rsidR="00F11985" w:rsidRPr="00221BBA" w:rsidRDefault="00F11985" w:rsidP="00492324">
      <w:pPr>
        <w:pStyle w:val="SingleTxtG"/>
      </w:pPr>
      <w:r w:rsidRPr="00221BBA">
        <w:rPr>
          <w:i/>
          <w:iCs/>
        </w:rPr>
        <w:t>Entité(s) responsable(s)</w:t>
      </w:r>
      <w:r w:rsidR="005628B1" w:rsidRPr="005628B1">
        <w:rPr>
          <w:iCs/>
        </w:rPr>
        <w:t> :</w:t>
      </w:r>
      <w:r w:rsidRPr="00221BBA">
        <w:t xml:space="preserve"> Facilité par le secrétariat, avec l’appui de consultants, et mis en œuvre avec la participation active des pays bénéficiaires et, le cas échéant, des organisations partenaires. Les délégations de l’Union européenne dans les pays bénéficiaires et la Commission européenne sont consultées concernant la sélection des projets pilotes.</w:t>
      </w:r>
    </w:p>
    <w:p w:rsidR="00F11985" w:rsidRPr="00221BBA" w:rsidRDefault="00F11985" w:rsidP="00492324">
      <w:pPr>
        <w:pStyle w:val="SingleTxtG"/>
      </w:pPr>
      <w:bookmarkStart w:id="53" w:name="_Hlk31990814"/>
      <w:r w:rsidRPr="00221BBA">
        <w:rPr>
          <w:i/>
          <w:iCs/>
        </w:rPr>
        <w:t>Ressources nécessaires</w:t>
      </w:r>
      <w:r w:rsidR="005628B1" w:rsidRPr="005628B1">
        <w:t> :</w:t>
      </w:r>
      <w:r w:rsidRPr="00221BBA">
        <w:t xml:space="preserve"> Financement disponible auprès du programme « EU4Environment », pour la prise en charge des journées de travail des administrateurs et des personnels administratifs du secrétariat affectés au projet et de la réalisation des activités.</w:t>
      </w:r>
      <w:bookmarkEnd w:id="53"/>
    </w:p>
    <w:p w:rsidR="00F11985" w:rsidRPr="00221BBA" w:rsidRDefault="00F11985" w:rsidP="00492324">
      <w:pPr>
        <w:pStyle w:val="H1G"/>
      </w:pPr>
      <w:r w:rsidRPr="00221BBA">
        <w:tab/>
        <w:t>B.</w:t>
      </w:r>
      <w:r w:rsidRPr="00221BBA">
        <w:tab/>
      </w:r>
      <w:bookmarkStart w:id="54" w:name="_Hlk36025379"/>
      <w:r w:rsidRPr="00221BBA">
        <w:t xml:space="preserve">Ateliers de formation sur l’application </w:t>
      </w:r>
      <w:bookmarkEnd w:id="54"/>
      <w:r w:rsidRPr="00221BBA">
        <w:t>des traités</w:t>
      </w:r>
    </w:p>
    <w:p w:rsidR="00F11985" w:rsidRPr="00221BBA" w:rsidRDefault="00F11985" w:rsidP="00492324">
      <w:pPr>
        <w:pStyle w:val="SingleTxtG"/>
      </w:pPr>
      <w:bookmarkStart w:id="55" w:name="_Hlk9278240"/>
      <w:r w:rsidRPr="00221BBA">
        <w:rPr>
          <w:i/>
          <w:iCs/>
        </w:rPr>
        <w:t>Activités</w:t>
      </w:r>
      <w:r w:rsidR="005628B1" w:rsidRPr="005628B1">
        <w:rPr>
          <w:iCs/>
        </w:rPr>
        <w:t> :</w:t>
      </w:r>
      <w:r w:rsidRPr="00221BBA">
        <w:t xml:space="preserve"> Organisation des ateliers de formation suivants en vue de renforcer les capacités sur l’application pratique du Protocole</w:t>
      </w:r>
      <w:r w:rsidR="005628B1" w:rsidRPr="005628B1">
        <w:t> :</w:t>
      </w:r>
    </w:p>
    <w:p w:rsidR="00F11985" w:rsidRPr="00221BBA" w:rsidRDefault="00F11985" w:rsidP="00156EBA">
      <w:pPr>
        <w:pStyle w:val="SingleTxtG"/>
        <w:ind w:left="1701"/>
      </w:pPr>
      <w:r w:rsidRPr="00221BBA">
        <w:t>i)</w:t>
      </w:r>
      <w:r w:rsidRPr="00221BBA">
        <w:tab/>
        <w:t>Atelier de formation en Azerbaïdjan (2021 ou 2022)</w:t>
      </w:r>
      <w:r w:rsidR="005D58ED" w:rsidRPr="00221BBA">
        <w:t> ;</w:t>
      </w:r>
    </w:p>
    <w:p w:rsidR="00F11985" w:rsidRPr="00221BBA" w:rsidRDefault="00F11985" w:rsidP="00156EBA">
      <w:pPr>
        <w:pStyle w:val="SingleTxtG"/>
        <w:ind w:left="1701"/>
      </w:pPr>
      <w:r w:rsidRPr="00221BBA">
        <w:t>ii)</w:t>
      </w:r>
      <w:r w:rsidRPr="00221BBA">
        <w:tab/>
        <w:t>Atelier de formation en Ukraine (2021 ou 2022 (à confirmer).</w:t>
      </w:r>
    </w:p>
    <w:p w:rsidR="00F11985" w:rsidRPr="00221BBA" w:rsidRDefault="00492324" w:rsidP="00492324">
      <w:pPr>
        <w:pStyle w:val="SingleTxtG"/>
      </w:pPr>
      <w:r w:rsidRPr="00221BBA">
        <w:rPr>
          <w:i/>
          <w:iCs/>
        </w:rPr>
        <w:t>E</w:t>
      </w:r>
      <w:r w:rsidR="00F11985" w:rsidRPr="00221BBA">
        <w:rPr>
          <w:i/>
          <w:iCs/>
        </w:rPr>
        <w:t>ntité(s) responsable(s)</w:t>
      </w:r>
      <w:r w:rsidR="005628B1" w:rsidRPr="005628B1">
        <w:rPr>
          <w:iCs/>
        </w:rPr>
        <w:t> :</w:t>
      </w:r>
      <w:r w:rsidR="00F11985" w:rsidRPr="00221BBA">
        <w:t xml:space="preserve"> Le secrétariat, avec l’appui de consultants, en coopération avec les pays bénéficiaires.</w:t>
      </w:r>
    </w:p>
    <w:p w:rsidR="00F11985" w:rsidRPr="00221BBA" w:rsidRDefault="00F11985" w:rsidP="00492324">
      <w:pPr>
        <w:pStyle w:val="SingleTxtG"/>
      </w:pPr>
      <w:bookmarkStart w:id="56" w:name="_Hlk31991282"/>
      <w:r w:rsidRPr="00221BBA">
        <w:rPr>
          <w:i/>
          <w:iCs/>
        </w:rPr>
        <w:t>Ressources nécessaires</w:t>
      </w:r>
      <w:r w:rsidR="005628B1" w:rsidRPr="005628B1">
        <w:t> :</w:t>
      </w:r>
      <w:r w:rsidRPr="00221BBA">
        <w:t xml:space="preserve"> </w:t>
      </w:r>
      <w:bookmarkStart w:id="57" w:name="_Hlk9278215"/>
      <w:bookmarkEnd w:id="55"/>
      <w:bookmarkEnd w:id="56"/>
      <w:r w:rsidRPr="00221BBA">
        <w:t>Financement disponible auprès du programme « EU4Environment », pour la prise en charge des journées de travail des administrateurs et des personnels administratifs du secrétariat affectés au projet et de la réalisation des activités.</w:t>
      </w:r>
    </w:p>
    <w:bookmarkEnd w:id="57"/>
    <w:p w:rsidR="00F11985" w:rsidRPr="00221BBA" w:rsidRDefault="00F11985" w:rsidP="00492324">
      <w:pPr>
        <w:pStyle w:val="H1G"/>
      </w:pPr>
      <w:r w:rsidRPr="00221BBA">
        <w:tab/>
        <w:t>C.</w:t>
      </w:r>
      <w:r w:rsidRPr="00221BBA">
        <w:tab/>
        <w:t>Activités de sensibilisation</w:t>
      </w:r>
    </w:p>
    <w:p w:rsidR="00F11985" w:rsidRPr="00221BBA" w:rsidRDefault="00F11985" w:rsidP="00492324">
      <w:pPr>
        <w:pStyle w:val="SingleTxtG"/>
      </w:pPr>
      <w:bookmarkStart w:id="58" w:name="_Hlk9278633"/>
      <w:r w:rsidRPr="00221BBA">
        <w:rPr>
          <w:i/>
          <w:iCs/>
        </w:rPr>
        <w:t>Activités</w:t>
      </w:r>
      <w:r w:rsidR="005628B1" w:rsidRPr="005628B1">
        <w:rPr>
          <w:iCs/>
        </w:rPr>
        <w:t> :</w:t>
      </w:r>
      <w:r w:rsidRPr="00221BBA">
        <w:t xml:space="preserve"> L’organisation des activités ci-après a pour but de sensibiliser les autorités sectorielles et d’autres acteurs concernés à la nécessité et aux avantages de faire appliquer la législation relative à l’évaluation stratégique environnementale (ou à l’évaluation de l’impact environnemental transfrontière) en application de la Convention et du Protocole</w:t>
      </w:r>
      <w:r w:rsidR="005628B1" w:rsidRPr="005628B1">
        <w:t> :</w:t>
      </w:r>
    </w:p>
    <w:p w:rsidR="00F11985" w:rsidRPr="00221BBA" w:rsidRDefault="00F11985" w:rsidP="00156EBA">
      <w:pPr>
        <w:pStyle w:val="SingleTxtG"/>
        <w:ind w:left="1701"/>
      </w:pPr>
      <w:r w:rsidRPr="00221BBA">
        <w:t>i)</w:t>
      </w:r>
      <w:r w:rsidRPr="00221BBA">
        <w:tab/>
        <w:t>Activité de sensibilisation en Azerbaïdjan (2021 ou 2022)</w:t>
      </w:r>
      <w:r w:rsidR="005D58ED" w:rsidRPr="00221BBA">
        <w:t> ;</w:t>
      </w:r>
    </w:p>
    <w:p w:rsidR="00F11985" w:rsidRPr="00221BBA" w:rsidRDefault="00F11985" w:rsidP="00156EBA">
      <w:pPr>
        <w:pStyle w:val="SingleTxtG"/>
        <w:ind w:left="1701"/>
      </w:pPr>
      <w:r w:rsidRPr="00221BBA">
        <w:t>ii)</w:t>
      </w:r>
      <w:r w:rsidRPr="00221BBA">
        <w:tab/>
        <w:t>Activité de sensibilisation au Bélarus (2021 ou 2022)</w:t>
      </w:r>
      <w:r w:rsidR="005D58ED" w:rsidRPr="00221BBA">
        <w:t> ;</w:t>
      </w:r>
    </w:p>
    <w:p w:rsidR="00F11985" w:rsidRPr="00221BBA" w:rsidRDefault="00F11985" w:rsidP="00156EBA">
      <w:pPr>
        <w:pStyle w:val="SingleTxtG"/>
        <w:ind w:left="1701"/>
      </w:pPr>
      <w:r w:rsidRPr="00221BBA">
        <w:t>iii)</w:t>
      </w:r>
      <w:r w:rsidRPr="00221BBA">
        <w:tab/>
        <w:t>Activité de sensibilisation en République de Moldova (2021 ou 2022).</w:t>
      </w:r>
    </w:p>
    <w:p w:rsidR="00F11985" w:rsidRPr="00221BBA" w:rsidRDefault="00F11985" w:rsidP="00492324">
      <w:pPr>
        <w:pStyle w:val="SingleTxtG"/>
      </w:pPr>
      <w:bookmarkStart w:id="59" w:name="_Hlk32160459"/>
      <w:r w:rsidRPr="00221BBA">
        <w:rPr>
          <w:i/>
          <w:iCs/>
        </w:rPr>
        <w:t>Entité(s) responsable(s)</w:t>
      </w:r>
      <w:r w:rsidR="005628B1" w:rsidRPr="005628B1">
        <w:rPr>
          <w:iCs/>
        </w:rPr>
        <w:t> :</w:t>
      </w:r>
      <w:r w:rsidRPr="00221BBA">
        <w:t xml:space="preserve"> Coordonné par le secrétariat, avec l’appui de consultants, en coopération avec les pays bénéficiaires.</w:t>
      </w:r>
    </w:p>
    <w:p w:rsidR="00F11985" w:rsidRPr="00221BBA" w:rsidRDefault="00F11985" w:rsidP="00492324">
      <w:pPr>
        <w:pStyle w:val="SingleTxtG"/>
      </w:pPr>
      <w:bookmarkStart w:id="60" w:name="_Hlk31991443"/>
      <w:bookmarkEnd w:id="59"/>
      <w:r w:rsidRPr="00221BBA">
        <w:rPr>
          <w:i/>
          <w:iCs/>
        </w:rPr>
        <w:lastRenderedPageBreak/>
        <w:t>Ressources nécessaires</w:t>
      </w:r>
      <w:r w:rsidR="005628B1" w:rsidRPr="005628B1">
        <w:t> :</w:t>
      </w:r>
      <w:r w:rsidRPr="00221BBA">
        <w:t xml:space="preserve"> Financement disponible auprès du programme « EU4Environment », pour la prise en charge des journées de travail des administrateurs et des personnels administratifs du secrétariat affectés au projet et de la réalisation des activités.</w:t>
      </w:r>
    </w:p>
    <w:p w:rsidR="00F11985" w:rsidRPr="00221BBA" w:rsidRDefault="00F11985" w:rsidP="00492324">
      <w:pPr>
        <w:pStyle w:val="H1G"/>
      </w:pPr>
      <w:bookmarkStart w:id="61" w:name="_Hlk31991478"/>
      <w:bookmarkEnd w:id="58"/>
      <w:bookmarkEnd w:id="60"/>
      <w:r w:rsidRPr="00221BBA">
        <w:tab/>
      </w:r>
      <w:bookmarkStart w:id="62" w:name="_Hlk36026039"/>
      <w:r w:rsidRPr="00221BBA">
        <w:t>D.</w:t>
      </w:r>
      <w:r w:rsidRPr="00221BBA">
        <w:tab/>
      </w:r>
      <w:bookmarkEnd w:id="62"/>
      <w:r w:rsidRPr="00221BBA">
        <w:t>Matériels de sensibilisation</w:t>
      </w:r>
    </w:p>
    <w:p w:rsidR="00F11985" w:rsidRPr="00221BBA" w:rsidRDefault="00F11985" w:rsidP="00492324">
      <w:pPr>
        <w:pStyle w:val="SingleTxtG"/>
      </w:pPr>
      <w:bookmarkStart w:id="63" w:name="_Hlk9278913"/>
      <w:bookmarkEnd w:id="61"/>
      <w:r w:rsidRPr="00221BBA">
        <w:rPr>
          <w:i/>
          <w:iCs/>
        </w:rPr>
        <w:t>Activités</w:t>
      </w:r>
      <w:r w:rsidR="005628B1" w:rsidRPr="005628B1">
        <w:rPr>
          <w:iCs/>
        </w:rPr>
        <w:t> :</w:t>
      </w:r>
      <w:r w:rsidRPr="00221BBA">
        <w:t xml:space="preserve"> Préparation des matériels de sensibilisation à l’évaluation environnementale stratégique (ou à l’évaluation de l’impact environnemental dans un contexte transfrontière) ci-après, demandés par les pays bénéficiaires (par exemple, brochure présentant les bonnes pratiques ou brochure sur le rôle de la participation du public), à savoir</w:t>
      </w:r>
      <w:r w:rsidR="005628B1" w:rsidRPr="005628B1">
        <w:t> :</w:t>
      </w:r>
    </w:p>
    <w:p w:rsidR="00F11985" w:rsidRPr="00221BBA" w:rsidRDefault="00F11985" w:rsidP="00D031E5">
      <w:pPr>
        <w:pStyle w:val="SingleTxtG"/>
        <w:ind w:left="1701"/>
      </w:pPr>
      <w:r w:rsidRPr="00221BBA">
        <w:t>i)</w:t>
      </w:r>
      <w:r w:rsidRPr="00221BBA">
        <w:tab/>
        <w:t>Matériels de sensibilisation destinés à l’Azerbaïdjan (en 2021 ou 2022)</w:t>
      </w:r>
      <w:r w:rsidR="005D58ED" w:rsidRPr="00221BBA">
        <w:t> ;</w:t>
      </w:r>
    </w:p>
    <w:p w:rsidR="00F11985" w:rsidRPr="00221BBA" w:rsidRDefault="00F11985" w:rsidP="00D031E5">
      <w:pPr>
        <w:pStyle w:val="SingleTxtG"/>
        <w:ind w:left="1701"/>
      </w:pPr>
      <w:r w:rsidRPr="00221BBA">
        <w:t>ii)</w:t>
      </w:r>
      <w:r w:rsidRPr="00221BBA">
        <w:tab/>
        <w:t>Matériels de sensibilisation destinés au Bélarus (en 2021 ou 2022)</w:t>
      </w:r>
      <w:r w:rsidR="005D58ED" w:rsidRPr="00221BBA">
        <w:t> ;</w:t>
      </w:r>
    </w:p>
    <w:p w:rsidR="00F11985" w:rsidRPr="00221BBA" w:rsidRDefault="00F11985" w:rsidP="00D031E5">
      <w:pPr>
        <w:pStyle w:val="SingleTxtG"/>
        <w:ind w:left="1701"/>
      </w:pPr>
      <w:r w:rsidRPr="00221BBA">
        <w:t>iii)</w:t>
      </w:r>
      <w:r w:rsidRPr="00221BBA">
        <w:tab/>
        <w:t>Matériels de sensibilisation destinés à l’Ukraine (en 2021 ou 2022).</w:t>
      </w:r>
    </w:p>
    <w:p w:rsidR="00F11985" w:rsidRPr="00221BBA" w:rsidRDefault="00F11985" w:rsidP="00492324">
      <w:pPr>
        <w:pStyle w:val="SingleTxtG"/>
      </w:pPr>
      <w:bookmarkStart w:id="64" w:name="_Hlk32160486"/>
      <w:r w:rsidRPr="00221BBA">
        <w:rPr>
          <w:i/>
          <w:iCs/>
        </w:rPr>
        <w:t>Entité(s) responsable(s)</w:t>
      </w:r>
      <w:r w:rsidR="005628B1" w:rsidRPr="005628B1">
        <w:t> :</w:t>
      </w:r>
      <w:r w:rsidRPr="00221BBA">
        <w:t xml:space="preserve"> Coordonné par le secrétariat, avec l’appui de consultants, en coopération avec les pays bénéficiaires.</w:t>
      </w:r>
      <w:bookmarkEnd w:id="64"/>
    </w:p>
    <w:p w:rsidR="00F11985" w:rsidRPr="00221BBA" w:rsidRDefault="00F11985" w:rsidP="00492324">
      <w:pPr>
        <w:pStyle w:val="SingleTxtG"/>
      </w:pPr>
      <w:bookmarkStart w:id="65" w:name="_Hlk31991742"/>
      <w:r w:rsidRPr="00221BBA">
        <w:rPr>
          <w:i/>
          <w:iCs/>
        </w:rPr>
        <w:t>Ressources nécessaires</w:t>
      </w:r>
      <w:r w:rsidR="005628B1" w:rsidRPr="005628B1">
        <w:t> :</w:t>
      </w:r>
      <w:r w:rsidRPr="00221BBA">
        <w:t xml:space="preserve"> Financement disponible auprès du programme « EU4Environment », pour la prise en charge des journées de travail des administrateurs et des personnels administratifs du secrétariat affectés au projet et de la réalisation des activités.</w:t>
      </w:r>
    </w:p>
    <w:bookmarkEnd w:id="63"/>
    <w:bookmarkEnd w:id="65"/>
    <w:p w:rsidR="00F11985" w:rsidRPr="00221BBA" w:rsidRDefault="00F11985" w:rsidP="00492324">
      <w:pPr>
        <w:pStyle w:val="H1G"/>
      </w:pPr>
      <w:r w:rsidRPr="00221BBA">
        <w:tab/>
        <w:t>E.</w:t>
      </w:r>
      <w:r w:rsidRPr="00221BBA">
        <w:tab/>
      </w:r>
      <w:bookmarkStart w:id="66" w:name="_Hlk36026469"/>
      <w:r w:rsidRPr="00221BBA">
        <w:t>Directives sectorielles</w:t>
      </w:r>
      <w:bookmarkEnd w:id="66"/>
    </w:p>
    <w:p w:rsidR="00F11985" w:rsidRPr="00221BBA" w:rsidRDefault="00F11985" w:rsidP="00492324">
      <w:pPr>
        <w:pStyle w:val="SingleTxtG"/>
      </w:pPr>
      <w:r w:rsidRPr="00221BBA">
        <w:rPr>
          <w:i/>
          <w:iCs/>
        </w:rPr>
        <w:t>Activités</w:t>
      </w:r>
      <w:r w:rsidR="005628B1" w:rsidRPr="005628B1">
        <w:rPr>
          <w:iCs/>
        </w:rPr>
        <w:t> :</w:t>
      </w:r>
      <w:r w:rsidRPr="00221BBA">
        <w:t xml:space="preserve"> L’élaboration des directives ci-après a pour but de compléter les directives générales qui existent sur l’évaluation stratégique environnementale concernant certains thèmes/secteurs, comme convenu avec les pays bénéficiaires</w:t>
      </w:r>
      <w:r w:rsidR="005628B1" w:rsidRPr="005628B1">
        <w:t> :</w:t>
      </w:r>
    </w:p>
    <w:p w:rsidR="00F11985" w:rsidRPr="00221BBA" w:rsidRDefault="00F11985" w:rsidP="00D031E5">
      <w:pPr>
        <w:pStyle w:val="SingleTxtG"/>
        <w:ind w:left="1701"/>
      </w:pPr>
      <w:r w:rsidRPr="00221BBA">
        <w:t>i)</w:t>
      </w:r>
      <w:r w:rsidRPr="00221BBA">
        <w:tab/>
        <w:t>Directive pour l’Azerbaïdjan dans le domaine du développement/transport régional/de l’agriculture régionale (secteur à confirmer), en 2021 ou 2022</w:t>
      </w:r>
      <w:r w:rsidR="005D58ED" w:rsidRPr="00221BBA">
        <w:t> ;</w:t>
      </w:r>
    </w:p>
    <w:p w:rsidR="00F11985" w:rsidRPr="00221BBA" w:rsidRDefault="00F11985" w:rsidP="00D031E5">
      <w:pPr>
        <w:pStyle w:val="SingleTxtG"/>
        <w:ind w:left="1701"/>
      </w:pPr>
      <w:r w:rsidRPr="00221BBA">
        <w:t>ii)</w:t>
      </w:r>
      <w:r w:rsidRPr="00221BBA">
        <w:tab/>
        <w:t>Directive pour le Bélarus dans le domaine de la planification urbaine, en 2121 (à confirmer)</w:t>
      </w:r>
      <w:r w:rsidR="005D58ED" w:rsidRPr="00221BBA">
        <w:t> ;</w:t>
      </w:r>
    </w:p>
    <w:p w:rsidR="00F11985" w:rsidRPr="00221BBA" w:rsidRDefault="00F11985" w:rsidP="00D031E5">
      <w:pPr>
        <w:pStyle w:val="SingleTxtG"/>
        <w:ind w:left="1701"/>
      </w:pPr>
      <w:r w:rsidRPr="00221BBA">
        <w:t>iii)</w:t>
      </w:r>
      <w:r w:rsidRPr="00221BBA">
        <w:tab/>
        <w:t>Directive pour la République de Moldova sur les procédures transfrontières, en 2021</w:t>
      </w:r>
      <w:r w:rsidR="005E6839" w:rsidRPr="00221BBA">
        <w:t>-</w:t>
      </w:r>
      <w:r w:rsidRPr="00221BBA">
        <w:t>2022</w:t>
      </w:r>
      <w:r w:rsidR="005D58ED" w:rsidRPr="00221BBA">
        <w:t> ;</w:t>
      </w:r>
    </w:p>
    <w:p w:rsidR="00F11985" w:rsidRPr="00221BBA" w:rsidRDefault="00F11985" w:rsidP="00D031E5">
      <w:pPr>
        <w:pStyle w:val="SingleTxtG"/>
        <w:ind w:left="1701"/>
      </w:pPr>
      <w:r w:rsidRPr="00221BBA">
        <w:t>iv)</w:t>
      </w:r>
      <w:r w:rsidRPr="00221BBA">
        <w:tab/>
        <w:t>Directive pour l’Ukraine dans le domaine de la planification urbaine, en</w:t>
      </w:r>
      <w:r w:rsidR="00D031E5">
        <w:t> </w:t>
      </w:r>
      <w:r w:rsidRPr="00221BBA">
        <w:t>2021.</w:t>
      </w:r>
    </w:p>
    <w:p w:rsidR="00F11985" w:rsidRPr="00221BBA" w:rsidRDefault="00F11985" w:rsidP="00492324">
      <w:pPr>
        <w:pStyle w:val="SingleTxtG"/>
      </w:pPr>
      <w:bookmarkStart w:id="67" w:name="_Hlk31993495"/>
      <w:r w:rsidRPr="00221BBA">
        <w:rPr>
          <w:i/>
          <w:iCs/>
        </w:rPr>
        <w:t>Entité(s) responsable(s)</w:t>
      </w:r>
      <w:r w:rsidR="005628B1" w:rsidRPr="005628B1">
        <w:t> :</w:t>
      </w:r>
      <w:r w:rsidRPr="00221BBA">
        <w:t xml:space="preserve"> Coordonné par le secrétariat, avec l’appui de consultants, en coopération avec les pays bénéficiaires.</w:t>
      </w:r>
    </w:p>
    <w:p w:rsidR="00F11985" w:rsidRPr="00221BBA" w:rsidRDefault="00F11985" w:rsidP="00492324">
      <w:pPr>
        <w:pStyle w:val="SingleTxtG"/>
      </w:pPr>
      <w:r w:rsidRPr="00221BBA">
        <w:rPr>
          <w:i/>
          <w:iCs/>
        </w:rPr>
        <w:t>Ressources nécessaires</w:t>
      </w:r>
      <w:r w:rsidR="005628B1" w:rsidRPr="005628B1">
        <w:t> :</w:t>
      </w:r>
      <w:r w:rsidRPr="00221BBA">
        <w:t xml:space="preserve"> Financement disponible auprès du programme « EU4Environment », pour la prise en charge des journées de travail des administrateurs et des personnels administratifs du secrétariat affectés au projet et de la réalisation des activités.</w:t>
      </w:r>
    </w:p>
    <w:bookmarkEnd w:id="67"/>
    <w:p w:rsidR="00F11985" w:rsidRPr="00221BBA" w:rsidRDefault="00F11985" w:rsidP="00492324">
      <w:pPr>
        <w:pStyle w:val="H1G"/>
      </w:pPr>
      <w:r w:rsidRPr="00221BBA">
        <w:tab/>
        <w:t>F.</w:t>
      </w:r>
      <w:r w:rsidRPr="00221BBA">
        <w:tab/>
        <w:t>Modèle de base de données sur l’évaluation stratégique environnementale</w:t>
      </w:r>
    </w:p>
    <w:p w:rsidR="00F11985" w:rsidRPr="00221BBA" w:rsidRDefault="00F11985" w:rsidP="00492324">
      <w:pPr>
        <w:pStyle w:val="SingleTxtG"/>
      </w:pPr>
      <w:r w:rsidRPr="00221BBA">
        <w:rPr>
          <w:i/>
          <w:iCs/>
        </w:rPr>
        <w:t>Action</w:t>
      </w:r>
      <w:r w:rsidR="005628B1" w:rsidRPr="005628B1">
        <w:rPr>
          <w:iCs/>
        </w:rPr>
        <w:t> :</w:t>
      </w:r>
      <w:r w:rsidRPr="00221BBA">
        <w:t xml:space="preserve"> La mise au point d’un modèle de base de données a pour but d’appuyer l’application de l’évaluation stratégique environnementale en Arménie, en Azerbaïdjan, au Bélarus, en Géorgie, en République de Moldova et en Ukraine.</w:t>
      </w:r>
    </w:p>
    <w:p w:rsidR="00F11985" w:rsidRPr="00221BBA" w:rsidRDefault="00F11985" w:rsidP="00492324">
      <w:pPr>
        <w:pStyle w:val="SingleTxtG"/>
      </w:pPr>
      <w:r w:rsidRPr="00221BBA">
        <w:rPr>
          <w:i/>
          <w:iCs/>
        </w:rPr>
        <w:t>Entité(s) responsable(s)</w:t>
      </w:r>
      <w:r w:rsidR="005628B1" w:rsidRPr="005628B1">
        <w:rPr>
          <w:iCs/>
        </w:rPr>
        <w:t> :</w:t>
      </w:r>
      <w:r w:rsidRPr="00221BBA">
        <w:t xml:space="preserve"> Coordonné par le secrétariat, avec l’appui de consultants, en coopération avec les pays bénéficiaires.</w:t>
      </w:r>
    </w:p>
    <w:p w:rsidR="00F11985" w:rsidRPr="00221BBA" w:rsidRDefault="00F11985" w:rsidP="00E73FF6">
      <w:pPr>
        <w:pStyle w:val="SingleTxtG"/>
        <w:keepLines/>
      </w:pPr>
      <w:r w:rsidRPr="00221BBA">
        <w:rPr>
          <w:bCs/>
          <w:i/>
          <w:iCs/>
        </w:rPr>
        <w:lastRenderedPageBreak/>
        <w:t>Ressources nécessaires</w:t>
      </w:r>
      <w:r w:rsidR="005628B1" w:rsidRPr="005628B1">
        <w:rPr>
          <w:bCs/>
          <w:iCs/>
        </w:rPr>
        <w:t> :</w:t>
      </w:r>
      <w:r w:rsidRPr="00221BBA">
        <w:rPr>
          <w:bCs/>
        </w:rPr>
        <w:t xml:space="preserve"> </w:t>
      </w:r>
      <w:r w:rsidRPr="00221BBA">
        <w:t>Financement disponible auprès du programme « EU4Environment », pour la prise en charge des journées de travail des administrateurs et des personnels administratifs du secrétariat affectés au projet et de la réalisation des activités.</w:t>
      </w:r>
    </w:p>
    <w:p w:rsidR="00F11985" w:rsidRPr="00221BBA" w:rsidRDefault="00F11985" w:rsidP="00492324">
      <w:pPr>
        <w:pStyle w:val="H1G"/>
      </w:pPr>
      <w:r w:rsidRPr="00221BBA">
        <w:tab/>
        <w:t>G.</w:t>
      </w:r>
      <w:r w:rsidRPr="00221BBA">
        <w:tab/>
      </w:r>
      <w:bookmarkStart w:id="68" w:name="_Hlk37175535"/>
      <w:bookmarkStart w:id="69" w:name="_Hlk36026591"/>
      <w:r w:rsidRPr="00221BBA">
        <w:t xml:space="preserve">Traduction de la vidéo sur l’application de la </w:t>
      </w:r>
      <w:bookmarkEnd w:id="68"/>
      <w:r w:rsidRPr="00221BBA">
        <w:t>Convention</w:t>
      </w:r>
      <w:bookmarkEnd w:id="69"/>
    </w:p>
    <w:p w:rsidR="00F11985" w:rsidRPr="00221BBA" w:rsidRDefault="00F11985" w:rsidP="00492324">
      <w:pPr>
        <w:pStyle w:val="SingleTxtG"/>
      </w:pPr>
      <w:r w:rsidRPr="00221BBA">
        <w:rPr>
          <w:i/>
          <w:iCs/>
        </w:rPr>
        <w:t>Activités</w:t>
      </w:r>
      <w:r w:rsidR="005628B1" w:rsidRPr="005628B1">
        <w:rPr>
          <w:iCs/>
        </w:rPr>
        <w:t> :</w:t>
      </w:r>
      <w:r w:rsidRPr="00221BBA">
        <w:t xml:space="preserve"> La traduction de la vidéo sur l’application de la Convention dans les langues nationales des pays bénéficiaires a pour but de faire connaître la Convention dans ces pays et d’y faciliter son application.</w:t>
      </w:r>
    </w:p>
    <w:p w:rsidR="00F11985" w:rsidRPr="00221BBA" w:rsidRDefault="00F11985" w:rsidP="00492324">
      <w:pPr>
        <w:pStyle w:val="SingleTxtG"/>
      </w:pPr>
      <w:r w:rsidRPr="00221BBA">
        <w:rPr>
          <w:i/>
          <w:iCs/>
        </w:rPr>
        <w:t>Entité(s) responsable(s)</w:t>
      </w:r>
      <w:r w:rsidR="005628B1" w:rsidRPr="005628B1">
        <w:rPr>
          <w:iCs/>
        </w:rPr>
        <w:t> :</w:t>
      </w:r>
      <w:r w:rsidRPr="00221BBA">
        <w:rPr>
          <w:i/>
          <w:iCs/>
        </w:rPr>
        <w:t xml:space="preserve"> </w:t>
      </w:r>
      <w:r w:rsidRPr="00221BBA">
        <w:t>Coordonné par le secrétariat, avec l’appui de consultants, en coopération avec les pays bénéficiaires.</w:t>
      </w:r>
    </w:p>
    <w:p w:rsidR="00F11985" w:rsidRPr="00221BBA" w:rsidRDefault="00F11985" w:rsidP="00492324">
      <w:pPr>
        <w:pStyle w:val="SingleTxtG"/>
        <w:rPr>
          <w:bCs/>
        </w:rPr>
      </w:pPr>
      <w:r w:rsidRPr="00221BBA">
        <w:rPr>
          <w:bCs/>
          <w:i/>
          <w:iCs/>
        </w:rPr>
        <w:t>Ressources nécessaires</w:t>
      </w:r>
      <w:r w:rsidR="005628B1" w:rsidRPr="005628B1">
        <w:rPr>
          <w:bCs/>
          <w:iCs/>
        </w:rPr>
        <w:t> :</w:t>
      </w:r>
      <w:r w:rsidRPr="00221BBA">
        <w:rPr>
          <w:bCs/>
          <w:i/>
          <w:iCs/>
        </w:rPr>
        <w:t xml:space="preserve"> </w:t>
      </w:r>
      <w:r w:rsidRPr="00221BBA">
        <w:t xml:space="preserve">Financement disponible auprès du programme « EU4Environment » au profit des pays visés par celui-ci </w:t>
      </w:r>
      <w:r w:rsidRPr="00221BBA">
        <w:rPr>
          <w:bCs/>
        </w:rPr>
        <w:t xml:space="preserve">(Arménie, Azerbaïdjan, Bélarus, Géorgie, République de Moldova et Ukraine), </w:t>
      </w:r>
      <w:r w:rsidRPr="00221BBA">
        <w:t>pour la prise en charge des journées de travail des administrateurs et des personnels administratifs du secrétariat affectés au projet et de la réalisation des activités</w:t>
      </w:r>
      <w:r w:rsidRPr="00221BBA">
        <w:rPr>
          <w:bCs/>
        </w:rPr>
        <w:t>. D’autres Parties intéressées décideront peut-être de financer la traduction de la vidéo dans leurs langues nationales.</w:t>
      </w:r>
    </w:p>
    <w:p w:rsidR="00F11985" w:rsidRPr="00221BBA" w:rsidRDefault="00F11985" w:rsidP="00492324">
      <w:pPr>
        <w:pStyle w:val="H1G"/>
      </w:pPr>
      <w:r w:rsidRPr="00221BBA">
        <w:tab/>
        <w:t>[H.</w:t>
      </w:r>
      <w:r w:rsidRPr="00221BBA">
        <w:tab/>
      </w:r>
      <w:bookmarkStart w:id="70" w:name="_Hlk36027098"/>
      <w:r w:rsidRPr="00221BBA">
        <w:t>Préparation de FasTips</w:t>
      </w:r>
    </w:p>
    <w:bookmarkEnd w:id="70"/>
    <w:p w:rsidR="00F11985" w:rsidRPr="00221BBA" w:rsidRDefault="00F11985" w:rsidP="00492324">
      <w:pPr>
        <w:pStyle w:val="SingleTxtG"/>
      </w:pPr>
      <w:r w:rsidRPr="00221BBA">
        <w:rPr>
          <w:i/>
          <w:iCs/>
        </w:rPr>
        <w:t>Action</w:t>
      </w:r>
      <w:r w:rsidR="005628B1" w:rsidRPr="005628B1">
        <w:rPr>
          <w:iCs/>
        </w:rPr>
        <w:t> :</w:t>
      </w:r>
      <w:r w:rsidRPr="00221BBA">
        <w:t xml:space="preserve"> Préparation de brochures de deux pages ou « FasTips », sur des questions cl</w:t>
      </w:r>
      <w:r w:rsidR="00EC3ED3">
        <w:t>ef</w:t>
      </w:r>
      <w:r w:rsidRPr="00221BBA">
        <w:t>s liées à la pratique de l’évaluation stratégique environnemental (thèmes à proposer).</w:t>
      </w:r>
    </w:p>
    <w:p w:rsidR="00F11985" w:rsidRPr="00221BBA" w:rsidRDefault="00F11985" w:rsidP="00492324">
      <w:pPr>
        <w:pStyle w:val="SingleTxtG"/>
      </w:pPr>
      <w:r w:rsidRPr="00221BBA">
        <w:rPr>
          <w:i/>
          <w:iCs/>
        </w:rPr>
        <w:t>Entité(s) responsable(s)</w:t>
      </w:r>
      <w:r w:rsidR="005628B1" w:rsidRPr="005628B1">
        <w:rPr>
          <w:iCs/>
        </w:rPr>
        <w:t> :</w:t>
      </w:r>
      <w:r w:rsidRPr="00221BBA">
        <w:t xml:space="preserve"> International Association for Impact Assessment.</w:t>
      </w:r>
    </w:p>
    <w:p w:rsidR="00F11985" w:rsidRPr="00221BBA" w:rsidRDefault="00F11985" w:rsidP="00492324">
      <w:pPr>
        <w:pStyle w:val="SingleTxtG"/>
      </w:pPr>
      <w:r w:rsidRPr="00221BBA">
        <w:rPr>
          <w:i/>
          <w:iCs/>
        </w:rPr>
        <w:t>Ressources</w:t>
      </w:r>
      <w:r w:rsidR="005628B1" w:rsidRPr="005628B1">
        <w:rPr>
          <w:iCs/>
        </w:rPr>
        <w:t> :</w:t>
      </w:r>
      <w:r w:rsidRPr="00221BBA">
        <w:t xml:space="preserve"> Contributions en nature.]</w:t>
      </w:r>
    </w:p>
    <w:p w:rsidR="00F11985" w:rsidRPr="00221BBA" w:rsidRDefault="00F11985" w:rsidP="00492324">
      <w:pPr>
        <w:pStyle w:val="HChG"/>
      </w:pPr>
      <w:r w:rsidRPr="00221BBA">
        <w:br w:type="page"/>
      </w:r>
      <w:r w:rsidRPr="00221BBA">
        <w:lastRenderedPageBreak/>
        <w:t>Annexe II</w:t>
      </w:r>
    </w:p>
    <w:p w:rsidR="00F11985" w:rsidRPr="00221BBA" w:rsidRDefault="00F11985" w:rsidP="00492324">
      <w:pPr>
        <w:pStyle w:val="HChG"/>
        <w:rPr>
          <w:szCs w:val="24"/>
        </w:rPr>
      </w:pPr>
      <w:bookmarkStart w:id="71" w:name="_Hlk34047917"/>
      <w:r w:rsidRPr="00221BBA">
        <w:rPr>
          <w:szCs w:val="24"/>
        </w:rPr>
        <w:tab/>
      </w:r>
      <w:r w:rsidRPr="00221BBA">
        <w:rPr>
          <w:szCs w:val="24"/>
        </w:rPr>
        <w:tab/>
      </w:r>
      <w:r w:rsidRPr="00221BBA">
        <w:rPr>
          <w:lang w:eastAsia="fr-CH"/>
        </w:rPr>
        <w:t xml:space="preserve">Plan de travail et ressources nécessaires pour </w:t>
      </w:r>
      <w:r w:rsidRPr="00221BBA">
        <w:rPr>
          <w:szCs w:val="24"/>
        </w:rPr>
        <w:t>2021</w:t>
      </w:r>
      <w:r w:rsidR="005E6839" w:rsidRPr="00221BBA">
        <w:rPr>
          <w:szCs w:val="24"/>
        </w:rPr>
        <w:t>-</w:t>
      </w:r>
      <w:r w:rsidRPr="00221BBA">
        <w:rPr>
          <w:szCs w:val="24"/>
        </w:rPr>
        <w:t>2023</w:t>
      </w:r>
      <w:bookmarkEnd w:id="71"/>
    </w:p>
    <w:p w:rsidR="00F11985" w:rsidRPr="00221BBA" w:rsidRDefault="00F11985" w:rsidP="005D6682">
      <w:pPr>
        <w:pStyle w:val="SingleTxtG"/>
        <w:jc w:val="left"/>
      </w:pPr>
      <w:r w:rsidRPr="00221BBA">
        <w:t>Tableau 1</w:t>
      </w:r>
      <w:r w:rsidRPr="00221BBA">
        <w:br/>
      </w:r>
      <w:r w:rsidRPr="00221BBA">
        <w:rPr>
          <w:b/>
        </w:rPr>
        <w:t>Ressources nécessaires pour 2021</w:t>
      </w:r>
      <w:r w:rsidR="00861A56">
        <w:rPr>
          <w:b/>
        </w:rPr>
        <w:t>-</w:t>
      </w:r>
      <w:r w:rsidRPr="00221BBA">
        <w:rPr>
          <w:b/>
        </w:rPr>
        <w:t>2023</w:t>
      </w:r>
    </w:p>
    <w:tbl>
      <w:tblPr>
        <w:tblW w:w="7370"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1E0" w:firstRow="1" w:lastRow="1" w:firstColumn="1" w:lastColumn="1" w:noHBand="0" w:noVBand="0"/>
      </w:tblPr>
      <w:tblGrid>
        <w:gridCol w:w="1560"/>
        <w:gridCol w:w="2949"/>
        <w:gridCol w:w="1357"/>
        <w:gridCol w:w="800"/>
        <w:gridCol w:w="704"/>
      </w:tblGrid>
      <w:tr w:rsidR="005D6682" w:rsidRPr="00221BBA" w:rsidTr="009A258D">
        <w:trPr>
          <w:cantSplit/>
          <w:tblHeader/>
        </w:trPr>
        <w:tc>
          <w:tcPr>
            <w:tcW w:w="1560" w:type="dxa"/>
            <w:vMerge w:val="restart"/>
            <w:tcBorders>
              <w:top w:val="single" w:sz="4" w:space="0" w:color="auto"/>
              <w:bottom w:val="single" w:sz="12" w:space="0" w:color="auto"/>
            </w:tcBorders>
            <w:shd w:val="clear" w:color="auto" w:fill="auto"/>
            <w:vAlign w:val="bottom"/>
          </w:tcPr>
          <w:p w:rsidR="005D6682" w:rsidRPr="00EC3ED3" w:rsidRDefault="005D6682" w:rsidP="005D6682">
            <w:pPr>
              <w:spacing w:before="80" w:after="80" w:line="200" w:lineRule="exact"/>
              <w:ind w:right="113"/>
              <w:rPr>
                <w:i/>
                <w:sz w:val="16"/>
              </w:rPr>
            </w:pPr>
            <w:bookmarkStart w:id="72" w:name="_Hlk32164981"/>
            <w:r w:rsidRPr="00EC3ED3">
              <w:rPr>
                <w:i/>
                <w:sz w:val="16"/>
              </w:rPr>
              <w:t>Domaine</w:t>
            </w:r>
          </w:p>
        </w:tc>
        <w:tc>
          <w:tcPr>
            <w:tcW w:w="2949" w:type="dxa"/>
            <w:vMerge w:val="restart"/>
            <w:tcBorders>
              <w:top w:val="single" w:sz="4" w:space="0" w:color="auto"/>
              <w:bottom w:val="single" w:sz="12" w:space="0" w:color="auto"/>
            </w:tcBorders>
            <w:shd w:val="clear" w:color="auto" w:fill="auto"/>
            <w:vAlign w:val="bottom"/>
          </w:tcPr>
          <w:p w:rsidR="005D6682" w:rsidRPr="00221BBA" w:rsidRDefault="005D6682" w:rsidP="005D6682">
            <w:pPr>
              <w:spacing w:before="80" w:after="80" w:line="200" w:lineRule="exact"/>
              <w:ind w:right="113"/>
              <w:rPr>
                <w:i/>
                <w:sz w:val="16"/>
              </w:rPr>
            </w:pPr>
            <w:r w:rsidRPr="00221BBA">
              <w:rPr>
                <w:i/>
                <w:sz w:val="16"/>
              </w:rPr>
              <w:t>Activités</w:t>
            </w:r>
          </w:p>
        </w:tc>
        <w:tc>
          <w:tcPr>
            <w:tcW w:w="1357" w:type="dxa"/>
            <w:vMerge w:val="restart"/>
            <w:tcBorders>
              <w:top w:val="single" w:sz="4" w:space="0" w:color="auto"/>
              <w:bottom w:val="single" w:sz="12" w:space="0" w:color="auto"/>
            </w:tcBorders>
            <w:shd w:val="clear" w:color="auto" w:fill="auto"/>
            <w:vAlign w:val="bottom"/>
          </w:tcPr>
          <w:p w:rsidR="005D6682" w:rsidRPr="00221BBA" w:rsidRDefault="005D6682" w:rsidP="005D6682">
            <w:pPr>
              <w:spacing w:before="80" w:after="80" w:line="200" w:lineRule="exact"/>
              <w:jc w:val="right"/>
              <w:rPr>
                <w:i/>
                <w:sz w:val="16"/>
              </w:rPr>
            </w:pPr>
            <w:r w:rsidRPr="00221BBA">
              <w:rPr>
                <w:i/>
                <w:sz w:val="16"/>
              </w:rPr>
              <w:t>Ressources financières extrabudgétaires (en espèces et en nature, en dollars)</w:t>
            </w:r>
          </w:p>
        </w:tc>
        <w:tc>
          <w:tcPr>
            <w:tcW w:w="1504" w:type="dxa"/>
            <w:gridSpan w:val="2"/>
            <w:tcBorders>
              <w:top w:val="single" w:sz="4" w:space="0" w:color="auto"/>
              <w:bottom w:val="single" w:sz="4" w:space="0" w:color="auto"/>
            </w:tcBorders>
            <w:shd w:val="clear" w:color="auto" w:fill="auto"/>
            <w:vAlign w:val="bottom"/>
          </w:tcPr>
          <w:p w:rsidR="005D6682" w:rsidRPr="00221BBA" w:rsidRDefault="005D6682" w:rsidP="007400AF">
            <w:pPr>
              <w:spacing w:before="80" w:after="80" w:line="200" w:lineRule="exact"/>
              <w:ind w:left="57"/>
              <w:jc w:val="center"/>
              <w:rPr>
                <w:i/>
                <w:sz w:val="16"/>
              </w:rPr>
            </w:pPr>
            <w:r w:rsidRPr="00221BBA">
              <w:rPr>
                <w:i/>
                <w:sz w:val="16"/>
              </w:rPr>
              <w:t>Ressources humaines financées par le</w:t>
            </w:r>
            <w:r w:rsidR="007400AF" w:rsidRPr="00221BBA">
              <w:rPr>
                <w:i/>
                <w:sz w:val="16"/>
              </w:rPr>
              <w:t> </w:t>
            </w:r>
            <w:r w:rsidRPr="00221BBA">
              <w:rPr>
                <w:i/>
                <w:sz w:val="16"/>
              </w:rPr>
              <w:t>budget ordinaire ou</w:t>
            </w:r>
            <w:r w:rsidR="007400AF" w:rsidRPr="00221BBA">
              <w:rPr>
                <w:i/>
                <w:sz w:val="16"/>
              </w:rPr>
              <w:t> </w:t>
            </w:r>
            <w:r w:rsidRPr="00221BBA">
              <w:rPr>
                <w:i/>
                <w:sz w:val="16"/>
              </w:rPr>
              <w:t>des fonds extrabudgétaires (en mois de travail d’administrateur (P) et</w:t>
            </w:r>
            <w:r w:rsidR="007400AF" w:rsidRPr="00221BBA">
              <w:rPr>
                <w:i/>
                <w:sz w:val="16"/>
              </w:rPr>
              <w:t xml:space="preserve"> </w:t>
            </w:r>
            <w:r w:rsidRPr="00221BBA">
              <w:rPr>
                <w:i/>
                <w:sz w:val="16"/>
              </w:rPr>
              <w:t>d’agent des services généraux (G) du secrétariat)</w:t>
            </w:r>
          </w:p>
        </w:tc>
      </w:tr>
      <w:tr w:rsidR="005D6682" w:rsidRPr="00221BBA" w:rsidTr="009A258D">
        <w:tblPrEx>
          <w:tblBorders>
            <w:top w:val="none" w:sz="0" w:space="0" w:color="auto"/>
            <w:bottom w:val="none" w:sz="0" w:space="0" w:color="auto"/>
            <w:insideH w:val="none" w:sz="0" w:space="0" w:color="auto"/>
          </w:tblBorders>
        </w:tblPrEx>
        <w:trPr>
          <w:cantSplit/>
          <w:tblHeader/>
        </w:trPr>
        <w:tc>
          <w:tcPr>
            <w:tcW w:w="1560" w:type="dxa"/>
            <w:vMerge/>
            <w:tcBorders>
              <w:bottom w:val="single" w:sz="12" w:space="0" w:color="auto"/>
            </w:tcBorders>
            <w:shd w:val="clear" w:color="auto" w:fill="auto"/>
            <w:vAlign w:val="bottom"/>
          </w:tcPr>
          <w:p w:rsidR="005D6682" w:rsidRPr="00221BBA" w:rsidRDefault="005D6682" w:rsidP="005D6682">
            <w:pPr>
              <w:spacing w:before="80" w:after="80" w:line="200" w:lineRule="exact"/>
              <w:ind w:right="113"/>
              <w:rPr>
                <w:b/>
                <w:i/>
                <w:sz w:val="16"/>
              </w:rPr>
            </w:pPr>
          </w:p>
        </w:tc>
        <w:tc>
          <w:tcPr>
            <w:tcW w:w="2949" w:type="dxa"/>
            <w:vMerge/>
            <w:tcBorders>
              <w:bottom w:val="single" w:sz="12" w:space="0" w:color="auto"/>
            </w:tcBorders>
            <w:shd w:val="clear" w:color="auto" w:fill="auto"/>
            <w:vAlign w:val="bottom"/>
          </w:tcPr>
          <w:p w:rsidR="005D6682" w:rsidRPr="00221BBA" w:rsidRDefault="005D6682" w:rsidP="005D6682">
            <w:pPr>
              <w:spacing w:before="80" w:after="80" w:line="200" w:lineRule="exact"/>
              <w:ind w:right="113"/>
              <w:rPr>
                <w:i/>
                <w:sz w:val="16"/>
              </w:rPr>
            </w:pPr>
          </w:p>
        </w:tc>
        <w:tc>
          <w:tcPr>
            <w:tcW w:w="1357" w:type="dxa"/>
            <w:vMerge/>
            <w:tcBorders>
              <w:bottom w:val="single" w:sz="12" w:space="0" w:color="auto"/>
            </w:tcBorders>
            <w:shd w:val="clear" w:color="auto" w:fill="auto"/>
            <w:vAlign w:val="bottom"/>
          </w:tcPr>
          <w:p w:rsidR="005D6682" w:rsidRPr="00221BBA" w:rsidRDefault="005D6682" w:rsidP="005D6682">
            <w:pPr>
              <w:spacing w:before="80" w:after="80" w:line="200" w:lineRule="exact"/>
              <w:jc w:val="right"/>
              <w:rPr>
                <w:i/>
                <w:sz w:val="16"/>
              </w:rPr>
            </w:pPr>
          </w:p>
        </w:tc>
        <w:tc>
          <w:tcPr>
            <w:tcW w:w="800" w:type="dxa"/>
            <w:tcBorders>
              <w:top w:val="single" w:sz="4" w:space="0" w:color="auto"/>
              <w:bottom w:val="single" w:sz="12" w:space="0" w:color="auto"/>
            </w:tcBorders>
            <w:shd w:val="clear" w:color="auto" w:fill="auto"/>
            <w:vAlign w:val="bottom"/>
          </w:tcPr>
          <w:p w:rsidR="005D6682" w:rsidRPr="00221BBA" w:rsidRDefault="005D6682" w:rsidP="007400AF">
            <w:pPr>
              <w:spacing w:before="80" w:after="80" w:line="200" w:lineRule="exact"/>
              <w:ind w:left="57"/>
              <w:jc w:val="right"/>
              <w:rPr>
                <w:i/>
                <w:sz w:val="16"/>
              </w:rPr>
            </w:pPr>
            <w:r w:rsidRPr="00221BBA">
              <w:rPr>
                <w:i/>
                <w:sz w:val="16"/>
              </w:rPr>
              <w:t>P</w:t>
            </w:r>
          </w:p>
        </w:tc>
        <w:tc>
          <w:tcPr>
            <w:tcW w:w="704" w:type="dxa"/>
            <w:tcBorders>
              <w:top w:val="single" w:sz="4" w:space="0" w:color="auto"/>
              <w:bottom w:val="single" w:sz="12" w:space="0" w:color="auto"/>
            </w:tcBorders>
            <w:shd w:val="clear" w:color="auto" w:fill="auto"/>
            <w:vAlign w:val="bottom"/>
          </w:tcPr>
          <w:p w:rsidR="005D6682" w:rsidRPr="00221BBA" w:rsidRDefault="005D6682" w:rsidP="007400AF">
            <w:pPr>
              <w:spacing w:before="80" w:after="80" w:line="200" w:lineRule="exact"/>
              <w:ind w:left="57"/>
              <w:jc w:val="right"/>
              <w:rPr>
                <w:i/>
                <w:sz w:val="16"/>
              </w:rPr>
            </w:pPr>
            <w:r w:rsidRPr="00221BBA">
              <w:rPr>
                <w:i/>
                <w:sz w:val="16"/>
              </w:rPr>
              <w:t>G</w:t>
            </w:r>
          </w:p>
        </w:tc>
      </w:tr>
      <w:tr w:rsidR="009A258D" w:rsidRPr="00221BBA" w:rsidTr="00EC3ED3">
        <w:tblPrEx>
          <w:tblBorders>
            <w:top w:val="none" w:sz="0" w:space="0" w:color="auto"/>
            <w:bottom w:val="none" w:sz="0" w:space="0" w:color="auto"/>
            <w:insideH w:val="none" w:sz="0" w:space="0" w:color="auto"/>
          </w:tblBorders>
        </w:tblPrEx>
        <w:trPr>
          <w:cantSplit/>
        </w:trPr>
        <w:tc>
          <w:tcPr>
            <w:tcW w:w="5866" w:type="dxa"/>
            <w:gridSpan w:val="3"/>
            <w:tcBorders>
              <w:top w:val="single" w:sz="12" w:space="0" w:color="auto"/>
            </w:tcBorders>
            <w:shd w:val="clear" w:color="auto" w:fill="auto"/>
            <w:vAlign w:val="bottom"/>
          </w:tcPr>
          <w:p w:rsidR="00F11985" w:rsidRPr="00221BBA" w:rsidRDefault="00F11985" w:rsidP="009A258D">
            <w:pPr>
              <w:suppressAutoHyphens w:val="0"/>
              <w:spacing w:before="40" w:after="40" w:line="220" w:lineRule="exact"/>
              <w:rPr>
                <w:b/>
                <w:bCs/>
                <w:sz w:val="18"/>
              </w:rPr>
            </w:pPr>
            <w:r w:rsidRPr="00221BBA">
              <w:rPr>
                <w:b/>
                <w:bCs/>
                <w:sz w:val="18"/>
              </w:rPr>
              <w:t>I.</w:t>
            </w:r>
            <w:r w:rsidRPr="00221BBA">
              <w:rPr>
                <w:b/>
                <w:bCs/>
                <w:sz w:val="18"/>
              </w:rPr>
              <w:tab/>
              <w:t xml:space="preserve">Gestions, coordination et visibilité </w:t>
            </w:r>
            <w:r w:rsidR="00D031E5">
              <w:rPr>
                <w:b/>
                <w:bCs/>
                <w:sz w:val="18"/>
              </w:rPr>
              <w:br/>
            </w:r>
            <w:r w:rsidRPr="00221BBA">
              <w:rPr>
                <w:b/>
                <w:bCs/>
                <w:sz w:val="18"/>
              </w:rPr>
              <w:t>des activités intersessions</w:t>
            </w:r>
          </w:p>
        </w:tc>
        <w:tc>
          <w:tcPr>
            <w:tcW w:w="800" w:type="dxa"/>
            <w:tcBorders>
              <w:top w:val="single" w:sz="12" w:space="0" w:color="auto"/>
            </w:tcBorders>
            <w:shd w:val="clear" w:color="auto" w:fill="auto"/>
            <w:vAlign w:val="bottom"/>
          </w:tcPr>
          <w:p w:rsidR="00F11985" w:rsidRPr="00221BBA" w:rsidRDefault="00F11985" w:rsidP="009A258D">
            <w:pPr>
              <w:suppressAutoHyphens w:val="0"/>
              <w:spacing w:before="40" w:after="40" w:line="220" w:lineRule="exact"/>
              <w:rPr>
                <w:b/>
                <w:bCs/>
                <w:sz w:val="18"/>
              </w:rPr>
            </w:pPr>
            <w:r w:rsidRPr="00221BBA">
              <w:rPr>
                <w:b/>
                <w:bCs/>
                <w:sz w:val="18"/>
              </w:rPr>
              <w:t>29</w:t>
            </w:r>
            <w:r w:rsidR="005D6682" w:rsidRPr="00221BBA">
              <w:rPr>
                <w:b/>
                <w:bCs/>
                <w:sz w:val="18"/>
              </w:rPr>
              <w:t>,</w:t>
            </w:r>
            <w:r w:rsidRPr="00221BBA">
              <w:rPr>
                <w:b/>
                <w:bCs/>
                <w:sz w:val="18"/>
              </w:rPr>
              <w:t>5</w:t>
            </w:r>
          </w:p>
        </w:tc>
        <w:tc>
          <w:tcPr>
            <w:tcW w:w="704" w:type="dxa"/>
            <w:tcBorders>
              <w:top w:val="single" w:sz="12" w:space="0" w:color="auto"/>
            </w:tcBorders>
            <w:shd w:val="clear" w:color="auto" w:fill="auto"/>
            <w:vAlign w:val="bottom"/>
          </w:tcPr>
          <w:p w:rsidR="00F11985" w:rsidRPr="00221BBA" w:rsidRDefault="00F11985" w:rsidP="00EC3ED3">
            <w:pPr>
              <w:suppressAutoHyphens w:val="0"/>
              <w:spacing w:before="40" w:after="40" w:line="220" w:lineRule="exact"/>
              <w:jc w:val="right"/>
              <w:rPr>
                <w:b/>
                <w:bCs/>
                <w:sz w:val="18"/>
              </w:rPr>
            </w:pPr>
            <w:r w:rsidRPr="00221BBA">
              <w:rPr>
                <w:b/>
                <w:bCs/>
                <w:sz w:val="18"/>
              </w:rPr>
              <w:t>15</w:t>
            </w:r>
            <w:r w:rsidR="005D6682" w:rsidRPr="00221BBA">
              <w:rPr>
                <w:b/>
                <w:bCs/>
                <w:sz w:val="18"/>
              </w:rPr>
              <w:t>,</w:t>
            </w:r>
            <w:r w:rsidRPr="00221BBA">
              <w:rPr>
                <w:b/>
                <w:bCs/>
                <w:sz w:val="18"/>
              </w:rPr>
              <w:t>75</w:t>
            </w:r>
          </w:p>
        </w:tc>
      </w:tr>
      <w:tr w:rsidR="009A258D" w:rsidRPr="00221BBA" w:rsidTr="009A258D">
        <w:tblPrEx>
          <w:tblBorders>
            <w:top w:val="none" w:sz="0" w:space="0" w:color="auto"/>
            <w:bottom w:val="none" w:sz="0" w:space="0" w:color="auto"/>
            <w:insideH w:val="none" w:sz="0" w:space="0" w:color="auto"/>
          </w:tblBorders>
        </w:tblPrEx>
        <w:trPr>
          <w:cantSplit/>
        </w:trPr>
        <w:tc>
          <w:tcPr>
            <w:tcW w:w="1560" w:type="dxa"/>
            <w:shd w:val="clear" w:color="auto" w:fill="auto"/>
          </w:tcPr>
          <w:p w:rsidR="00F11985" w:rsidRPr="00221BBA" w:rsidRDefault="00F11985" w:rsidP="009A258D">
            <w:pPr>
              <w:suppressAutoHyphens w:val="0"/>
              <w:spacing w:before="40" w:after="40" w:line="220" w:lineRule="exact"/>
              <w:rPr>
                <w:b/>
                <w:bCs/>
                <w:sz w:val="18"/>
              </w:rPr>
            </w:pPr>
            <w:r w:rsidRPr="00221BBA">
              <w:rPr>
                <w:b/>
                <w:bCs/>
                <w:sz w:val="18"/>
              </w:rPr>
              <w:t>A.</w:t>
            </w:r>
            <w:r w:rsidR="007400AF" w:rsidRPr="00221BBA">
              <w:rPr>
                <w:b/>
                <w:bCs/>
                <w:sz w:val="18"/>
              </w:rPr>
              <w:br/>
            </w:r>
            <w:r w:rsidRPr="00221BBA">
              <w:rPr>
                <w:b/>
                <w:bCs/>
                <w:sz w:val="18"/>
              </w:rPr>
              <w:t>Organisation des</w:t>
            </w:r>
            <w:r w:rsidR="00EC3ED3">
              <w:rPr>
                <w:b/>
                <w:bCs/>
                <w:sz w:val="18"/>
              </w:rPr>
              <w:t> </w:t>
            </w:r>
            <w:r w:rsidRPr="00221BBA">
              <w:rPr>
                <w:b/>
                <w:bCs/>
                <w:sz w:val="18"/>
              </w:rPr>
              <w:t>réunions</w:t>
            </w:r>
          </w:p>
        </w:tc>
        <w:tc>
          <w:tcPr>
            <w:tcW w:w="2949" w:type="dxa"/>
            <w:shd w:val="clear" w:color="auto" w:fill="auto"/>
          </w:tcPr>
          <w:p w:rsidR="00F11985" w:rsidRPr="00221BBA" w:rsidRDefault="00F11985" w:rsidP="009A258D">
            <w:pPr>
              <w:suppressAutoHyphens w:val="0"/>
              <w:spacing w:before="40" w:after="40" w:line="220" w:lineRule="exact"/>
              <w:rPr>
                <w:sz w:val="18"/>
              </w:rPr>
            </w:pPr>
            <w:r w:rsidRPr="00221BBA">
              <w:rPr>
                <w:sz w:val="18"/>
              </w:rPr>
              <w:t>Préparatifs de fond et préparatifs administratifs, service et suivi des réunions du Bureau, du Groupe de travail et des Réunions des Parties</w:t>
            </w:r>
          </w:p>
        </w:tc>
        <w:tc>
          <w:tcPr>
            <w:tcW w:w="1357" w:type="dxa"/>
            <w:shd w:val="clear" w:color="auto" w:fill="auto"/>
            <w:vAlign w:val="bottom"/>
          </w:tcPr>
          <w:p w:rsidR="00F11985" w:rsidRPr="00221BBA" w:rsidRDefault="00F11985" w:rsidP="009A258D">
            <w:pPr>
              <w:suppressAutoHyphens w:val="0"/>
              <w:spacing w:before="40" w:after="40" w:line="220" w:lineRule="exact"/>
              <w:jc w:val="right"/>
              <w:rPr>
                <w:sz w:val="18"/>
              </w:rPr>
            </w:pPr>
          </w:p>
        </w:tc>
        <w:tc>
          <w:tcPr>
            <w:tcW w:w="800" w:type="dxa"/>
            <w:shd w:val="clear" w:color="auto" w:fill="auto"/>
            <w:vAlign w:val="bottom"/>
          </w:tcPr>
          <w:p w:rsidR="00F11985" w:rsidRPr="00221BBA" w:rsidRDefault="00F11985" w:rsidP="009A258D">
            <w:pPr>
              <w:suppressAutoHyphens w:val="0"/>
              <w:spacing w:before="40" w:after="40" w:line="220" w:lineRule="exact"/>
              <w:jc w:val="right"/>
              <w:rPr>
                <w:sz w:val="18"/>
              </w:rPr>
            </w:pPr>
          </w:p>
        </w:tc>
        <w:tc>
          <w:tcPr>
            <w:tcW w:w="704" w:type="dxa"/>
            <w:shd w:val="clear" w:color="auto" w:fill="auto"/>
            <w:vAlign w:val="bottom"/>
          </w:tcPr>
          <w:p w:rsidR="00F11985" w:rsidRPr="00221BBA" w:rsidRDefault="00F11985" w:rsidP="009A258D">
            <w:pPr>
              <w:suppressAutoHyphens w:val="0"/>
              <w:spacing w:before="40" w:after="40" w:line="220" w:lineRule="exact"/>
              <w:jc w:val="right"/>
              <w:rPr>
                <w:sz w:val="18"/>
              </w:rPr>
            </w:pPr>
          </w:p>
        </w:tc>
      </w:tr>
      <w:tr w:rsidR="009A258D" w:rsidRPr="00221BBA" w:rsidTr="009A258D">
        <w:tblPrEx>
          <w:tblBorders>
            <w:top w:val="none" w:sz="0" w:space="0" w:color="auto"/>
            <w:bottom w:val="none" w:sz="0" w:space="0" w:color="auto"/>
            <w:insideH w:val="none" w:sz="0" w:space="0" w:color="auto"/>
          </w:tblBorders>
        </w:tblPrEx>
        <w:trPr>
          <w:cantSplit/>
        </w:trPr>
        <w:tc>
          <w:tcPr>
            <w:tcW w:w="1560" w:type="dxa"/>
            <w:shd w:val="clear" w:color="auto" w:fill="auto"/>
          </w:tcPr>
          <w:p w:rsidR="00F11985" w:rsidRPr="00221BBA" w:rsidRDefault="00F11985" w:rsidP="009A258D">
            <w:pPr>
              <w:suppressAutoHyphens w:val="0"/>
              <w:spacing w:before="40" w:after="40" w:line="220" w:lineRule="exact"/>
              <w:rPr>
                <w:b/>
                <w:bCs/>
                <w:sz w:val="18"/>
              </w:rPr>
            </w:pPr>
          </w:p>
        </w:tc>
        <w:tc>
          <w:tcPr>
            <w:tcW w:w="2949" w:type="dxa"/>
            <w:shd w:val="clear" w:color="auto" w:fill="auto"/>
          </w:tcPr>
          <w:p w:rsidR="00F11985" w:rsidRPr="00221BBA" w:rsidRDefault="00F11985" w:rsidP="009A258D">
            <w:pPr>
              <w:suppressAutoHyphens w:val="0"/>
              <w:spacing w:before="40" w:after="40" w:line="220" w:lineRule="exact"/>
              <w:rPr>
                <w:sz w:val="18"/>
              </w:rPr>
            </w:pPr>
            <w:r w:rsidRPr="00221BBA">
              <w:rPr>
                <w:sz w:val="18"/>
              </w:rPr>
              <w:t>Réunions du Bureau (estimations</w:t>
            </w:r>
            <w:r w:rsidR="005628B1" w:rsidRPr="005628B1">
              <w:rPr>
                <w:sz w:val="18"/>
              </w:rPr>
              <w:t> :</w:t>
            </w:r>
            <w:r w:rsidRPr="00221BBA">
              <w:rPr>
                <w:sz w:val="18"/>
              </w:rPr>
              <w:t xml:space="preserve"> 4</w:t>
            </w:r>
            <w:r w:rsidR="005D6682" w:rsidRPr="00221BBA">
              <w:rPr>
                <w:sz w:val="18"/>
              </w:rPr>
              <w:t> </w:t>
            </w:r>
            <w:r w:rsidRPr="00221BBA">
              <w:rPr>
                <w:sz w:val="18"/>
              </w:rPr>
              <w:t>réunions)</w:t>
            </w:r>
            <w:r w:rsidR="005628B1" w:rsidRPr="005628B1">
              <w:rPr>
                <w:sz w:val="18"/>
              </w:rPr>
              <w:t> :</w:t>
            </w:r>
            <w:r w:rsidRPr="00221BBA">
              <w:rPr>
                <w:sz w:val="18"/>
              </w:rPr>
              <w:t xml:space="preserve"> frais de voyage des experts admis à bénéficier d’une aide financière (estimations</w:t>
            </w:r>
            <w:r w:rsidR="005628B1" w:rsidRPr="005628B1">
              <w:rPr>
                <w:sz w:val="18"/>
              </w:rPr>
              <w:t> :</w:t>
            </w:r>
            <w:r w:rsidRPr="00221BBA">
              <w:rPr>
                <w:sz w:val="18"/>
              </w:rPr>
              <w:t xml:space="preserve"> 4</w:t>
            </w:r>
            <w:r w:rsidR="005D6682" w:rsidRPr="00221BBA">
              <w:rPr>
                <w:sz w:val="18"/>
              </w:rPr>
              <w:t> </w:t>
            </w:r>
            <w:r w:rsidRPr="00221BBA">
              <w:rPr>
                <w:sz w:val="18"/>
              </w:rPr>
              <w:t xml:space="preserve">experts/6 000 dollars pour une réunion de </w:t>
            </w:r>
            <w:r w:rsidR="005D6682" w:rsidRPr="00221BBA">
              <w:rPr>
                <w:sz w:val="18"/>
              </w:rPr>
              <w:t>deux</w:t>
            </w:r>
            <w:r w:rsidRPr="00221BBA">
              <w:rPr>
                <w:sz w:val="18"/>
              </w:rPr>
              <w:t xml:space="preserve"> jours)</w:t>
            </w:r>
          </w:p>
        </w:tc>
        <w:tc>
          <w:tcPr>
            <w:tcW w:w="1357" w:type="dxa"/>
            <w:shd w:val="clear" w:color="auto" w:fill="auto"/>
            <w:vAlign w:val="bottom"/>
          </w:tcPr>
          <w:p w:rsidR="00F11985" w:rsidRPr="00221BBA" w:rsidRDefault="00F11985" w:rsidP="009A258D">
            <w:pPr>
              <w:suppressAutoHyphens w:val="0"/>
              <w:spacing w:before="40" w:after="40" w:line="220" w:lineRule="exact"/>
              <w:jc w:val="right"/>
              <w:rPr>
                <w:sz w:val="18"/>
              </w:rPr>
            </w:pPr>
            <w:r w:rsidRPr="00221BBA">
              <w:rPr>
                <w:sz w:val="18"/>
              </w:rPr>
              <w:t>24 000</w:t>
            </w:r>
          </w:p>
        </w:tc>
        <w:tc>
          <w:tcPr>
            <w:tcW w:w="800" w:type="dxa"/>
            <w:shd w:val="clear" w:color="auto" w:fill="auto"/>
            <w:vAlign w:val="bottom"/>
          </w:tcPr>
          <w:p w:rsidR="00F11985" w:rsidRPr="00221BBA" w:rsidRDefault="00F11985" w:rsidP="009A258D">
            <w:pPr>
              <w:suppressAutoHyphens w:val="0"/>
              <w:spacing w:before="40" w:after="40" w:line="220" w:lineRule="exact"/>
              <w:jc w:val="right"/>
              <w:rPr>
                <w:sz w:val="18"/>
              </w:rPr>
            </w:pPr>
          </w:p>
        </w:tc>
        <w:tc>
          <w:tcPr>
            <w:tcW w:w="704" w:type="dxa"/>
            <w:shd w:val="clear" w:color="auto" w:fill="auto"/>
            <w:vAlign w:val="bottom"/>
          </w:tcPr>
          <w:p w:rsidR="00F11985" w:rsidRPr="00221BBA" w:rsidRDefault="00F11985" w:rsidP="009A258D">
            <w:pPr>
              <w:suppressAutoHyphens w:val="0"/>
              <w:spacing w:before="40" w:after="40" w:line="220" w:lineRule="exact"/>
              <w:jc w:val="right"/>
              <w:rPr>
                <w:sz w:val="18"/>
              </w:rPr>
            </w:pPr>
          </w:p>
        </w:tc>
      </w:tr>
      <w:tr w:rsidR="009A258D" w:rsidRPr="00221BBA" w:rsidTr="009A258D">
        <w:tblPrEx>
          <w:tblBorders>
            <w:top w:val="none" w:sz="0" w:space="0" w:color="auto"/>
            <w:bottom w:val="none" w:sz="0" w:space="0" w:color="auto"/>
            <w:insideH w:val="none" w:sz="0" w:space="0" w:color="auto"/>
          </w:tblBorders>
        </w:tblPrEx>
        <w:trPr>
          <w:cantSplit/>
        </w:trPr>
        <w:tc>
          <w:tcPr>
            <w:tcW w:w="1560" w:type="dxa"/>
            <w:shd w:val="clear" w:color="auto" w:fill="auto"/>
          </w:tcPr>
          <w:p w:rsidR="00F11985" w:rsidRPr="00221BBA" w:rsidRDefault="00F11985" w:rsidP="009A258D">
            <w:pPr>
              <w:suppressAutoHyphens w:val="0"/>
              <w:spacing w:before="40" w:after="40" w:line="220" w:lineRule="exact"/>
              <w:rPr>
                <w:b/>
                <w:sz w:val="18"/>
              </w:rPr>
            </w:pPr>
          </w:p>
        </w:tc>
        <w:tc>
          <w:tcPr>
            <w:tcW w:w="2949" w:type="dxa"/>
            <w:shd w:val="clear" w:color="auto" w:fill="auto"/>
          </w:tcPr>
          <w:p w:rsidR="00F11985" w:rsidRPr="00221BBA" w:rsidRDefault="00F11985" w:rsidP="009A258D">
            <w:pPr>
              <w:suppressAutoHyphens w:val="0"/>
              <w:spacing w:before="40" w:after="40" w:line="220" w:lineRule="exact"/>
              <w:rPr>
                <w:sz w:val="18"/>
              </w:rPr>
            </w:pPr>
            <w:r w:rsidRPr="00221BBA">
              <w:rPr>
                <w:sz w:val="18"/>
              </w:rPr>
              <w:t>Réunions du Groupe de travail (3)</w:t>
            </w:r>
            <w:r w:rsidR="005628B1" w:rsidRPr="005628B1">
              <w:rPr>
                <w:sz w:val="18"/>
              </w:rPr>
              <w:t> :</w:t>
            </w:r>
            <w:r w:rsidRPr="00221BBA">
              <w:rPr>
                <w:sz w:val="18"/>
              </w:rPr>
              <w:t xml:space="preserve"> frais de voyage d’environ 20</w:t>
            </w:r>
            <w:r w:rsidR="005D6682" w:rsidRPr="00221BBA">
              <w:rPr>
                <w:sz w:val="18"/>
              </w:rPr>
              <w:t> </w:t>
            </w:r>
            <w:r w:rsidRPr="00221BBA">
              <w:rPr>
                <w:sz w:val="18"/>
              </w:rPr>
              <w:t>experts/</w:t>
            </w:r>
            <w:r w:rsidR="00861A56">
              <w:rPr>
                <w:sz w:val="18"/>
              </w:rPr>
              <w:t xml:space="preserve"> </w:t>
            </w:r>
            <w:r w:rsidRPr="00221BBA">
              <w:rPr>
                <w:sz w:val="18"/>
              </w:rPr>
              <w:t>réunion</w:t>
            </w:r>
            <w:r w:rsidR="005628B1" w:rsidRPr="005628B1">
              <w:rPr>
                <w:sz w:val="18"/>
              </w:rPr>
              <w:t> :</w:t>
            </w:r>
            <w:r w:rsidRPr="00221BBA">
              <w:rPr>
                <w:sz w:val="18"/>
              </w:rPr>
              <w:t xml:space="preserve"> 14 de pays de la CEE admis à bénéficier d’une aide financière (max. 20 000 dollars)</w:t>
            </w:r>
            <w:r w:rsidR="005D58ED" w:rsidRPr="00221BBA">
              <w:rPr>
                <w:sz w:val="18"/>
              </w:rPr>
              <w:t> ;</w:t>
            </w:r>
            <w:r w:rsidRPr="00221BBA">
              <w:rPr>
                <w:sz w:val="18"/>
              </w:rPr>
              <w:t xml:space="preserve"> 5 d’ONG (max. 10 000 dollars)</w:t>
            </w:r>
            <w:r w:rsidR="005D58ED" w:rsidRPr="00221BBA">
              <w:rPr>
                <w:sz w:val="18"/>
              </w:rPr>
              <w:t> ;</w:t>
            </w:r>
            <w:r w:rsidRPr="00221BBA">
              <w:rPr>
                <w:sz w:val="18"/>
              </w:rPr>
              <w:t xml:space="preserve"> 1 d’États non membres de la CEE (max. 3 000 dollars) </w:t>
            </w:r>
            <w:r w:rsidR="00861A56">
              <w:rPr>
                <w:sz w:val="18"/>
              </w:rPr>
              <w:t>−</w:t>
            </w:r>
            <w:r w:rsidRPr="00221BBA">
              <w:rPr>
                <w:sz w:val="18"/>
              </w:rPr>
              <w:t xml:space="preserve"> sous réserve de la disponibilité des fonds et de l’approbation du Bureau) </w:t>
            </w:r>
          </w:p>
        </w:tc>
        <w:tc>
          <w:tcPr>
            <w:tcW w:w="1357" w:type="dxa"/>
            <w:shd w:val="clear" w:color="auto" w:fill="auto"/>
            <w:vAlign w:val="bottom"/>
          </w:tcPr>
          <w:p w:rsidR="00F11985" w:rsidRPr="00221BBA" w:rsidRDefault="00F11985" w:rsidP="009A258D">
            <w:pPr>
              <w:suppressAutoHyphens w:val="0"/>
              <w:spacing w:before="40" w:after="40" w:line="220" w:lineRule="exact"/>
              <w:jc w:val="right"/>
              <w:rPr>
                <w:sz w:val="18"/>
              </w:rPr>
            </w:pPr>
            <w:r w:rsidRPr="00221BBA">
              <w:rPr>
                <w:sz w:val="18"/>
              </w:rPr>
              <w:t>100 000</w:t>
            </w:r>
          </w:p>
        </w:tc>
        <w:tc>
          <w:tcPr>
            <w:tcW w:w="800" w:type="dxa"/>
            <w:shd w:val="clear" w:color="auto" w:fill="auto"/>
            <w:vAlign w:val="bottom"/>
          </w:tcPr>
          <w:p w:rsidR="00F11985" w:rsidRPr="00221BBA" w:rsidRDefault="00F11985" w:rsidP="009A258D">
            <w:pPr>
              <w:suppressAutoHyphens w:val="0"/>
              <w:spacing w:before="40" w:after="40" w:line="220" w:lineRule="exact"/>
              <w:jc w:val="right"/>
              <w:rPr>
                <w:sz w:val="18"/>
              </w:rPr>
            </w:pPr>
          </w:p>
        </w:tc>
        <w:tc>
          <w:tcPr>
            <w:tcW w:w="704" w:type="dxa"/>
            <w:shd w:val="clear" w:color="auto" w:fill="auto"/>
            <w:vAlign w:val="bottom"/>
          </w:tcPr>
          <w:p w:rsidR="00F11985" w:rsidRPr="00221BBA" w:rsidRDefault="00F11985" w:rsidP="009A258D">
            <w:pPr>
              <w:suppressAutoHyphens w:val="0"/>
              <w:spacing w:before="40" w:after="40" w:line="220" w:lineRule="exact"/>
              <w:jc w:val="right"/>
              <w:rPr>
                <w:sz w:val="18"/>
              </w:rPr>
            </w:pPr>
          </w:p>
        </w:tc>
      </w:tr>
      <w:tr w:rsidR="009A258D" w:rsidRPr="00221BBA" w:rsidTr="009A258D">
        <w:tblPrEx>
          <w:tblBorders>
            <w:top w:val="none" w:sz="0" w:space="0" w:color="auto"/>
            <w:bottom w:val="none" w:sz="0" w:space="0" w:color="auto"/>
            <w:insideH w:val="none" w:sz="0" w:space="0" w:color="auto"/>
          </w:tblBorders>
        </w:tblPrEx>
        <w:trPr>
          <w:cantSplit/>
        </w:trPr>
        <w:tc>
          <w:tcPr>
            <w:tcW w:w="1560" w:type="dxa"/>
            <w:shd w:val="clear" w:color="auto" w:fill="auto"/>
          </w:tcPr>
          <w:p w:rsidR="00F11985" w:rsidRPr="00221BBA" w:rsidRDefault="00F11985" w:rsidP="009A258D">
            <w:pPr>
              <w:suppressAutoHyphens w:val="0"/>
              <w:spacing w:before="40" w:after="40" w:line="220" w:lineRule="exact"/>
              <w:rPr>
                <w:b/>
                <w:sz w:val="18"/>
              </w:rPr>
            </w:pPr>
          </w:p>
        </w:tc>
        <w:tc>
          <w:tcPr>
            <w:tcW w:w="2949" w:type="dxa"/>
            <w:shd w:val="clear" w:color="auto" w:fill="auto"/>
          </w:tcPr>
          <w:p w:rsidR="00F11985" w:rsidRPr="00221BBA" w:rsidRDefault="00F11985" w:rsidP="009A258D">
            <w:pPr>
              <w:suppressAutoHyphens w:val="0"/>
              <w:spacing w:before="40" w:after="40" w:line="220" w:lineRule="exact"/>
              <w:rPr>
                <w:sz w:val="18"/>
              </w:rPr>
            </w:pPr>
            <w:r w:rsidRPr="00221BBA">
              <w:rPr>
                <w:sz w:val="18"/>
              </w:rPr>
              <w:t>Sessions des Réunions des Parties (en 2023)</w:t>
            </w:r>
            <w:r w:rsidR="005628B1" w:rsidRPr="005628B1">
              <w:rPr>
                <w:sz w:val="18"/>
              </w:rPr>
              <w:t> :</w:t>
            </w:r>
            <w:r w:rsidRPr="00221BBA">
              <w:rPr>
                <w:sz w:val="18"/>
              </w:rPr>
              <w:t xml:space="preserve"> frais de voyage d’environ 37</w:t>
            </w:r>
            <w:r w:rsidR="005D6682" w:rsidRPr="00221BBA">
              <w:rPr>
                <w:sz w:val="18"/>
              </w:rPr>
              <w:t> </w:t>
            </w:r>
            <w:r w:rsidRPr="00221BBA">
              <w:rPr>
                <w:sz w:val="18"/>
              </w:rPr>
              <w:t>experts</w:t>
            </w:r>
            <w:r w:rsidR="005628B1" w:rsidRPr="005628B1">
              <w:rPr>
                <w:sz w:val="18"/>
              </w:rPr>
              <w:t> :</w:t>
            </w:r>
            <w:r w:rsidRPr="00221BBA">
              <w:rPr>
                <w:sz w:val="18"/>
              </w:rPr>
              <w:t xml:space="preserve"> 22 de pays de la CEE, admis à bénéficier d’une aide financière (max. 30 000 dollars)</w:t>
            </w:r>
            <w:r w:rsidR="005D58ED" w:rsidRPr="00221BBA">
              <w:rPr>
                <w:sz w:val="18"/>
              </w:rPr>
              <w:t> ;</w:t>
            </w:r>
            <w:r w:rsidRPr="00221BBA">
              <w:rPr>
                <w:sz w:val="18"/>
              </w:rPr>
              <w:t xml:space="preserve"> 10 d’ONG (max. 20 000 dollars)</w:t>
            </w:r>
            <w:r w:rsidR="005D58ED" w:rsidRPr="00221BBA">
              <w:rPr>
                <w:sz w:val="18"/>
              </w:rPr>
              <w:t> ;</w:t>
            </w:r>
            <w:r w:rsidRPr="00221BBA">
              <w:rPr>
                <w:sz w:val="18"/>
              </w:rPr>
              <w:t xml:space="preserve"> 5 d’États non membres de la CEE (max. 15 000 dollars)</w:t>
            </w:r>
            <w:r w:rsidR="005D58ED" w:rsidRPr="00221BBA">
              <w:rPr>
                <w:sz w:val="18"/>
              </w:rPr>
              <w:t> ;</w:t>
            </w:r>
            <w:r w:rsidRPr="00221BBA">
              <w:rPr>
                <w:sz w:val="18"/>
              </w:rPr>
              <w:t xml:space="preserve"> 5</w:t>
            </w:r>
            <w:r w:rsidR="005D6682" w:rsidRPr="00221BBA">
              <w:rPr>
                <w:sz w:val="18"/>
              </w:rPr>
              <w:t> </w:t>
            </w:r>
            <w:r w:rsidRPr="00221BBA">
              <w:rPr>
                <w:sz w:val="18"/>
              </w:rPr>
              <w:t>intervenants (max. 15 000 dollars)</w:t>
            </w:r>
          </w:p>
        </w:tc>
        <w:tc>
          <w:tcPr>
            <w:tcW w:w="1357" w:type="dxa"/>
            <w:shd w:val="clear" w:color="auto" w:fill="auto"/>
            <w:vAlign w:val="bottom"/>
          </w:tcPr>
          <w:p w:rsidR="00F11985" w:rsidRPr="00221BBA" w:rsidRDefault="00F11985" w:rsidP="009A258D">
            <w:pPr>
              <w:suppressAutoHyphens w:val="0"/>
              <w:spacing w:before="40" w:after="40" w:line="220" w:lineRule="exact"/>
              <w:jc w:val="right"/>
              <w:rPr>
                <w:sz w:val="18"/>
              </w:rPr>
            </w:pPr>
            <w:r w:rsidRPr="00221BBA">
              <w:rPr>
                <w:sz w:val="18"/>
              </w:rPr>
              <w:t>80 000</w:t>
            </w:r>
          </w:p>
        </w:tc>
        <w:tc>
          <w:tcPr>
            <w:tcW w:w="800" w:type="dxa"/>
            <w:shd w:val="clear" w:color="auto" w:fill="auto"/>
            <w:vAlign w:val="bottom"/>
          </w:tcPr>
          <w:p w:rsidR="00F11985" w:rsidRPr="00221BBA" w:rsidRDefault="00F11985" w:rsidP="009A258D">
            <w:pPr>
              <w:suppressAutoHyphens w:val="0"/>
              <w:spacing w:before="40" w:after="40" w:line="220" w:lineRule="exact"/>
              <w:jc w:val="right"/>
              <w:rPr>
                <w:sz w:val="18"/>
              </w:rPr>
            </w:pPr>
          </w:p>
        </w:tc>
        <w:tc>
          <w:tcPr>
            <w:tcW w:w="704" w:type="dxa"/>
            <w:shd w:val="clear" w:color="auto" w:fill="auto"/>
            <w:vAlign w:val="bottom"/>
          </w:tcPr>
          <w:p w:rsidR="00F11985" w:rsidRPr="00221BBA" w:rsidRDefault="00F11985" w:rsidP="009A258D">
            <w:pPr>
              <w:suppressAutoHyphens w:val="0"/>
              <w:spacing w:before="40" w:after="40" w:line="220" w:lineRule="exact"/>
              <w:jc w:val="right"/>
              <w:rPr>
                <w:sz w:val="18"/>
              </w:rPr>
            </w:pPr>
          </w:p>
        </w:tc>
      </w:tr>
      <w:tr w:rsidR="009A258D" w:rsidRPr="00221BBA" w:rsidTr="009A258D">
        <w:tblPrEx>
          <w:tblBorders>
            <w:top w:val="none" w:sz="0" w:space="0" w:color="auto"/>
            <w:bottom w:val="none" w:sz="0" w:space="0" w:color="auto"/>
            <w:insideH w:val="none" w:sz="0" w:space="0" w:color="auto"/>
          </w:tblBorders>
        </w:tblPrEx>
        <w:trPr>
          <w:cantSplit/>
        </w:trPr>
        <w:tc>
          <w:tcPr>
            <w:tcW w:w="1560" w:type="dxa"/>
            <w:shd w:val="clear" w:color="auto" w:fill="auto"/>
          </w:tcPr>
          <w:p w:rsidR="00F11985" w:rsidRPr="00221BBA" w:rsidRDefault="00F11985" w:rsidP="009A258D">
            <w:pPr>
              <w:suppressAutoHyphens w:val="0"/>
              <w:spacing w:before="40" w:after="40" w:line="220" w:lineRule="exact"/>
              <w:rPr>
                <w:b/>
                <w:bCs/>
                <w:sz w:val="18"/>
              </w:rPr>
            </w:pPr>
            <w:bookmarkStart w:id="73" w:name="_Hlk423232"/>
            <w:r w:rsidRPr="00221BBA">
              <w:rPr>
                <w:b/>
                <w:bCs/>
                <w:sz w:val="18"/>
              </w:rPr>
              <w:t>B. Communication, visibilité, coordination</w:t>
            </w:r>
          </w:p>
        </w:tc>
        <w:tc>
          <w:tcPr>
            <w:tcW w:w="2949" w:type="dxa"/>
            <w:shd w:val="clear" w:color="auto" w:fill="auto"/>
          </w:tcPr>
          <w:p w:rsidR="00F11985" w:rsidRPr="00221BBA" w:rsidRDefault="00F11985" w:rsidP="009A258D">
            <w:pPr>
              <w:suppressAutoHyphens w:val="0"/>
              <w:spacing w:before="40" w:after="40" w:line="220" w:lineRule="exact"/>
              <w:rPr>
                <w:sz w:val="18"/>
              </w:rPr>
            </w:pPr>
            <w:r w:rsidRPr="00221BBA">
              <w:rPr>
                <w:sz w:val="18"/>
              </w:rPr>
              <w:t xml:space="preserve">Frais de voyage de membres du secrétariat liés à l’exécution du plan de travail, et activités de promotion ou de coordination (environ 8 voyages/an) </w:t>
            </w:r>
          </w:p>
        </w:tc>
        <w:tc>
          <w:tcPr>
            <w:tcW w:w="1357" w:type="dxa"/>
            <w:shd w:val="clear" w:color="auto" w:fill="auto"/>
            <w:vAlign w:val="bottom"/>
          </w:tcPr>
          <w:p w:rsidR="00F11985" w:rsidRPr="00221BBA" w:rsidRDefault="00F11985" w:rsidP="009A258D">
            <w:pPr>
              <w:suppressAutoHyphens w:val="0"/>
              <w:spacing w:before="40" w:after="40" w:line="220" w:lineRule="exact"/>
              <w:jc w:val="right"/>
              <w:rPr>
                <w:sz w:val="18"/>
              </w:rPr>
            </w:pPr>
            <w:r w:rsidRPr="00221BBA">
              <w:rPr>
                <w:sz w:val="18"/>
              </w:rPr>
              <w:t>40 000</w:t>
            </w:r>
          </w:p>
        </w:tc>
        <w:tc>
          <w:tcPr>
            <w:tcW w:w="800" w:type="dxa"/>
            <w:shd w:val="clear" w:color="auto" w:fill="auto"/>
            <w:vAlign w:val="bottom"/>
          </w:tcPr>
          <w:p w:rsidR="00F11985" w:rsidRPr="00221BBA" w:rsidRDefault="00F11985" w:rsidP="009A258D">
            <w:pPr>
              <w:suppressAutoHyphens w:val="0"/>
              <w:spacing w:before="40" w:after="40" w:line="220" w:lineRule="exact"/>
              <w:jc w:val="right"/>
              <w:rPr>
                <w:sz w:val="18"/>
              </w:rPr>
            </w:pPr>
          </w:p>
        </w:tc>
        <w:tc>
          <w:tcPr>
            <w:tcW w:w="704" w:type="dxa"/>
            <w:shd w:val="clear" w:color="auto" w:fill="auto"/>
            <w:vAlign w:val="bottom"/>
          </w:tcPr>
          <w:p w:rsidR="00F11985" w:rsidRPr="00221BBA" w:rsidRDefault="00F11985" w:rsidP="009A258D">
            <w:pPr>
              <w:suppressAutoHyphens w:val="0"/>
              <w:spacing w:before="40" w:after="40" w:line="220" w:lineRule="exact"/>
              <w:jc w:val="right"/>
              <w:rPr>
                <w:sz w:val="18"/>
              </w:rPr>
            </w:pPr>
          </w:p>
        </w:tc>
      </w:tr>
      <w:tr w:rsidR="009A258D" w:rsidRPr="00221BBA" w:rsidTr="009A258D">
        <w:tblPrEx>
          <w:tblBorders>
            <w:top w:val="none" w:sz="0" w:space="0" w:color="auto"/>
            <w:bottom w:val="none" w:sz="0" w:space="0" w:color="auto"/>
            <w:insideH w:val="none" w:sz="0" w:space="0" w:color="auto"/>
          </w:tblBorders>
        </w:tblPrEx>
        <w:trPr>
          <w:cantSplit/>
        </w:trPr>
        <w:tc>
          <w:tcPr>
            <w:tcW w:w="1560" w:type="dxa"/>
            <w:shd w:val="clear" w:color="auto" w:fill="auto"/>
          </w:tcPr>
          <w:p w:rsidR="00F11985" w:rsidRPr="00221BBA" w:rsidRDefault="00F11985" w:rsidP="009A258D">
            <w:pPr>
              <w:suppressAutoHyphens w:val="0"/>
              <w:spacing w:before="40" w:after="40" w:line="220" w:lineRule="exact"/>
              <w:rPr>
                <w:b/>
                <w:bCs/>
                <w:sz w:val="18"/>
              </w:rPr>
            </w:pPr>
          </w:p>
        </w:tc>
        <w:tc>
          <w:tcPr>
            <w:tcW w:w="2949" w:type="dxa"/>
            <w:shd w:val="clear" w:color="auto" w:fill="auto"/>
          </w:tcPr>
          <w:p w:rsidR="00F11985" w:rsidRPr="00221BBA" w:rsidRDefault="00F11985" w:rsidP="009A258D">
            <w:pPr>
              <w:suppressAutoHyphens w:val="0"/>
              <w:spacing w:before="40" w:after="40" w:line="220" w:lineRule="exact"/>
              <w:rPr>
                <w:sz w:val="18"/>
              </w:rPr>
            </w:pPr>
            <w:r w:rsidRPr="00221BBA">
              <w:rPr>
                <w:sz w:val="18"/>
              </w:rPr>
              <w:t>Appui de consultants et matériels promotionnels</w:t>
            </w:r>
          </w:p>
        </w:tc>
        <w:tc>
          <w:tcPr>
            <w:tcW w:w="1357" w:type="dxa"/>
            <w:shd w:val="clear" w:color="auto" w:fill="auto"/>
            <w:vAlign w:val="bottom"/>
          </w:tcPr>
          <w:p w:rsidR="00F11985" w:rsidRPr="00221BBA" w:rsidRDefault="00F11985" w:rsidP="009A258D">
            <w:pPr>
              <w:suppressAutoHyphens w:val="0"/>
              <w:spacing w:before="40" w:after="40" w:line="220" w:lineRule="exact"/>
              <w:jc w:val="right"/>
              <w:rPr>
                <w:sz w:val="18"/>
              </w:rPr>
            </w:pPr>
            <w:r w:rsidRPr="00221BBA">
              <w:rPr>
                <w:sz w:val="18"/>
              </w:rPr>
              <w:t>10 000</w:t>
            </w:r>
          </w:p>
        </w:tc>
        <w:tc>
          <w:tcPr>
            <w:tcW w:w="800" w:type="dxa"/>
            <w:shd w:val="clear" w:color="auto" w:fill="auto"/>
            <w:vAlign w:val="bottom"/>
          </w:tcPr>
          <w:p w:rsidR="00F11985" w:rsidRPr="00221BBA" w:rsidRDefault="00F11985" w:rsidP="009A258D">
            <w:pPr>
              <w:suppressAutoHyphens w:val="0"/>
              <w:spacing w:before="40" w:after="40" w:line="220" w:lineRule="exact"/>
              <w:jc w:val="right"/>
              <w:rPr>
                <w:sz w:val="18"/>
              </w:rPr>
            </w:pPr>
          </w:p>
        </w:tc>
        <w:tc>
          <w:tcPr>
            <w:tcW w:w="704" w:type="dxa"/>
            <w:shd w:val="clear" w:color="auto" w:fill="auto"/>
            <w:vAlign w:val="bottom"/>
          </w:tcPr>
          <w:p w:rsidR="00F11985" w:rsidRPr="00221BBA" w:rsidRDefault="00F11985" w:rsidP="009A258D">
            <w:pPr>
              <w:suppressAutoHyphens w:val="0"/>
              <w:spacing w:before="40" w:after="40" w:line="220" w:lineRule="exact"/>
              <w:jc w:val="right"/>
              <w:rPr>
                <w:sz w:val="18"/>
              </w:rPr>
            </w:pPr>
          </w:p>
        </w:tc>
      </w:tr>
      <w:tr w:rsidR="009A258D" w:rsidRPr="00221BBA" w:rsidTr="009A258D">
        <w:tblPrEx>
          <w:tblBorders>
            <w:top w:val="none" w:sz="0" w:space="0" w:color="auto"/>
            <w:bottom w:val="none" w:sz="0" w:space="0" w:color="auto"/>
            <w:insideH w:val="none" w:sz="0" w:space="0" w:color="auto"/>
          </w:tblBorders>
        </w:tblPrEx>
        <w:trPr>
          <w:cantSplit/>
        </w:trPr>
        <w:tc>
          <w:tcPr>
            <w:tcW w:w="1560" w:type="dxa"/>
            <w:tcBorders>
              <w:bottom w:val="single" w:sz="4" w:space="0" w:color="auto"/>
            </w:tcBorders>
            <w:shd w:val="clear" w:color="auto" w:fill="auto"/>
          </w:tcPr>
          <w:p w:rsidR="00F11985" w:rsidRPr="00221BBA" w:rsidRDefault="00F11985" w:rsidP="009A258D">
            <w:pPr>
              <w:suppressAutoHyphens w:val="0"/>
              <w:spacing w:before="40" w:after="40" w:line="220" w:lineRule="exact"/>
              <w:rPr>
                <w:b/>
                <w:bCs/>
                <w:sz w:val="18"/>
              </w:rPr>
            </w:pPr>
            <w:r w:rsidRPr="00221BBA">
              <w:rPr>
                <w:b/>
                <w:bCs/>
                <w:sz w:val="18"/>
              </w:rPr>
              <w:t xml:space="preserve">C. Gestion générale du programme </w:t>
            </w:r>
          </w:p>
        </w:tc>
        <w:tc>
          <w:tcPr>
            <w:tcW w:w="2949" w:type="dxa"/>
            <w:tcBorders>
              <w:bottom w:val="single" w:sz="4" w:space="0" w:color="auto"/>
            </w:tcBorders>
            <w:shd w:val="clear" w:color="auto" w:fill="auto"/>
          </w:tcPr>
          <w:p w:rsidR="00F11985" w:rsidRPr="00221BBA" w:rsidRDefault="00F11985" w:rsidP="009A258D">
            <w:pPr>
              <w:suppressAutoHyphens w:val="0"/>
              <w:spacing w:before="40" w:after="40" w:line="220" w:lineRule="exact"/>
              <w:rPr>
                <w:sz w:val="18"/>
              </w:rPr>
            </w:pPr>
            <w:r w:rsidRPr="00221BBA">
              <w:rPr>
                <w:sz w:val="18"/>
              </w:rPr>
              <w:t xml:space="preserve">Fonctions, décisions administratives et rapports liés à la planification et la gestion des finances, des ressources humaines et d’autres aspects généraux du programme </w:t>
            </w:r>
          </w:p>
        </w:tc>
        <w:tc>
          <w:tcPr>
            <w:tcW w:w="1357" w:type="dxa"/>
            <w:tcBorders>
              <w:bottom w:val="single" w:sz="4" w:space="0" w:color="auto"/>
            </w:tcBorders>
            <w:shd w:val="clear" w:color="auto" w:fill="auto"/>
            <w:vAlign w:val="bottom"/>
          </w:tcPr>
          <w:p w:rsidR="00F11985" w:rsidRPr="00221BBA" w:rsidRDefault="00F11985" w:rsidP="009A258D">
            <w:pPr>
              <w:suppressAutoHyphens w:val="0"/>
              <w:spacing w:before="40" w:after="40" w:line="220" w:lineRule="exact"/>
              <w:jc w:val="right"/>
              <w:rPr>
                <w:sz w:val="18"/>
              </w:rPr>
            </w:pPr>
            <w:r w:rsidRPr="00221BBA">
              <w:rPr>
                <w:sz w:val="18"/>
              </w:rPr>
              <w:t>-</w:t>
            </w:r>
          </w:p>
        </w:tc>
        <w:tc>
          <w:tcPr>
            <w:tcW w:w="800" w:type="dxa"/>
            <w:tcBorders>
              <w:bottom w:val="single" w:sz="4" w:space="0" w:color="auto"/>
            </w:tcBorders>
            <w:shd w:val="clear" w:color="auto" w:fill="auto"/>
            <w:vAlign w:val="bottom"/>
          </w:tcPr>
          <w:p w:rsidR="00F11985" w:rsidRPr="00221BBA" w:rsidRDefault="00F11985" w:rsidP="009A258D">
            <w:pPr>
              <w:suppressAutoHyphens w:val="0"/>
              <w:spacing w:before="40" w:after="40" w:line="220" w:lineRule="exact"/>
              <w:jc w:val="right"/>
              <w:rPr>
                <w:sz w:val="18"/>
              </w:rPr>
            </w:pPr>
          </w:p>
        </w:tc>
        <w:tc>
          <w:tcPr>
            <w:tcW w:w="704" w:type="dxa"/>
            <w:tcBorders>
              <w:bottom w:val="single" w:sz="4" w:space="0" w:color="auto"/>
            </w:tcBorders>
            <w:shd w:val="clear" w:color="auto" w:fill="auto"/>
            <w:vAlign w:val="bottom"/>
          </w:tcPr>
          <w:p w:rsidR="00F11985" w:rsidRPr="00221BBA" w:rsidRDefault="00F11985" w:rsidP="009A258D">
            <w:pPr>
              <w:suppressAutoHyphens w:val="0"/>
              <w:spacing w:before="40" w:after="40" w:line="220" w:lineRule="exact"/>
              <w:jc w:val="right"/>
              <w:rPr>
                <w:sz w:val="18"/>
              </w:rPr>
            </w:pPr>
          </w:p>
        </w:tc>
      </w:tr>
      <w:tr w:rsidR="009A258D" w:rsidRPr="00221BBA" w:rsidTr="009A258D">
        <w:tblPrEx>
          <w:tblBorders>
            <w:top w:val="none" w:sz="0" w:space="0" w:color="auto"/>
            <w:bottom w:val="none" w:sz="0" w:space="0" w:color="auto"/>
            <w:insideH w:val="none" w:sz="0" w:space="0" w:color="auto"/>
          </w:tblBorders>
        </w:tblPrEx>
        <w:trPr>
          <w:cantSplit/>
        </w:trPr>
        <w:tc>
          <w:tcPr>
            <w:tcW w:w="1560" w:type="dxa"/>
            <w:tcBorders>
              <w:top w:val="single" w:sz="4" w:space="0" w:color="auto"/>
              <w:bottom w:val="single" w:sz="12" w:space="0" w:color="auto"/>
            </w:tcBorders>
            <w:shd w:val="clear" w:color="auto" w:fill="auto"/>
          </w:tcPr>
          <w:p w:rsidR="00F11985" w:rsidRPr="00221BBA" w:rsidRDefault="00F11985" w:rsidP="009A258D">
            <w:pPr>
              <w:suppressAutoHyphens w:val="0"/>
              <w:spacing w:before="80" w:after="80" w:line="220" w:lineRule="exact"/>
              <w:ind w:left="283"/>
              <w:rPr>
                <w:b/>
                <w:bCs/>
                <w:sz w:val="18"/>
              </w:rPr>
            </w:pPr>
            <w:r w:rsidRPr="00221BBA">
              <w:rPr>
                <w:b/>
                <w:bCs/>
                <w:sz w:val="18"/>
              </w:rPr>
              <w:t>Total partiel</w:t>
            </w:r>
          </w:p>
        </w:tc>
        <w:tc>
          <w:tcPr>
            <w:tcW w:w="2949" w:type="dxa"/>
            <w:tcBorders>
              <w:top w:val="single" w:sz="4" w:space="0" w:color="auto"/>
              <w:bottom w:val="single" w:sz="12" w:space="0" w:color="auto"/>
            </w:tcBorders>
            <w:shd w:val="clear" w:color="auto" w:fill="auto"/>
          </w:tcPr>
          <w:p w:rsidR="00F11985" w:rsidRPr="00221BBA" w:rsidRDefault="00F11985" w:rsidP="009A258D">
            <w:pPr>
              <w:suppressAutoHyphens w:val="0"/>
              <w:spacing w:before="80" w:after="80" w:line="220" w:lineRule="exact"/>
              <w:rPr>
                <w:b/>
                <w:sz w:val="18"/>
              </w:rPr>
            </w:pPr>
          </w:p>
        </w:tc>
        <w:tc>
          <w:tcPr>
            <w:tcW w:w="1357" w:type="dxa"/>
            <w:tcBorders>
              <w:top w:val="single" w:sz="4" w:space="0" w:color="auto"/>
              <w:bottom w:val="single" w:sz="12" w:space="0" w:color="auto"/>
            </w:tcBorders>
            <w:shd w:val="clear" w:color="auto" w:fill="auto"/>
            <w:vAlign w:val="bottom"/>
          </w:tcPr>
          <w:p w:rsidR="00F11985" w:rsidRPr="00221BBA" w:rsidRDefault="00F11985" w:rsidP="009A258D">
            <w:pPr>
              <w:suppressAutoHyphens w:val="0"/>
              <w:spacing w:before="80" w:after="80" w:line="220" w:lineRule="exact"/>
              <w:jc w:val="right"/>
              <w:rPr>
                <w:b/>
                <w:bCs/>
                <w:sz w:val="18"/>
              </w:rPr>
            </w:pPr>
            <w:r w:rsidRPr="00221BBA">
              <w:rPr>
                <w:b/>
                <w:bCs/>
                <w:sz w:val="18"/>
              </w:rPr>
              <w:t>254 000</w:t>
            </w:r>
          </w:p>
        </w:tc>
        <w:tc>
          <w:tcPr>
            <w:tcW w:w="800" w:type="dxa"/>
            <w:tcBorders>
              <w:top w:val="single" w:sz="4" w:space="0" w:color="auto"/>
              <w:bottom w:val="single" w:sz="12" w:space="0" w:color="auto"/>
            </w:tcBorders>
            <w:shd w:val="clear" w:color="auto" w:fill="auto"/>
            <w:vAlign w:val="bottom"/>
          </w:tcPr>
          <w:p w:rsidR="00F11985" w:rsidRPr="00221BBA" w:rsidRDefault="00F11985" w:rsidP="009A258D">
            <w:pPr>
              <w:suppressAutoHyphens w:val="0"/>
              <w:spacing w:before="80" w:after="80" w:line="220" w:lineRule="exact"/>
              <w:jc w:val="right"/>
              <w:rPr>
                <w:b/>
                <w:sz w:val="18"/>
              </w:rPr>
            </w:pPr>
          </w:p>
        </w:tc>
        <w:tc>
          <w:tcPr>
            <w:tcW w:w="704" w:type="dxa"/>
            <w:tcBorders>
              <w:top w:val="single" w:sz="4" w:space="0" w:color="auto"/>
              <w:bottom w:val="single" w:sz="12" w:space="0" w:color="auto"/>
            </w:tcBorders>
            <w:shd w:val="clear" w:color="auto" w:fill="auto"/>
            <w:vAlign w:val="bottom"/>
          </w:tcPr>
          <w:p w:rsidR="00F11985" w:rsidRPr="00221BBA" w:rsidRDefault="00F11985" w:rsidP="009A258D">
            <w:pPr>
              <w:suppressAutoHyphens w:val="0"/>
              <w:spacing w:before="80" w:after="80" w:line="220" w:lineRule="exact"/>
              <w:jc w:val="right"/>
              <w:rPr>
                <w:b/>
                <w:sz w:val="18"/>
              </w:rPr>
            </w:pPr>
          </w:p>
        </w:tc>
      </w:tr>
      <w:bookmarkEnd w:id="73"/>
      <w:tr w:rsidR="009A258D" w:rsidRPr="00221BBA" w:rsidTr="009A258D">
        <w:tblPrEx>
          <w:tblBorders>
            <w:top w:val="none" w:sz="0" w:space="0" w:color="auto"/>
            <w:bottom w:val="none" w:sz="0" w:space="0" w:color="auto"/>
            <w:insideH w:val="none" w:sz="0" w:space="0" w:color="auto"/>
          </w:tblBorders>
        </w:tblPrEx>
        <w:trPr>
          <w:cantSplit/>
        </w:trPr>
        <w:tc>
          <w:tcPr>
            <w:tcW w:w="5866" w:type="dxa"/>
            <w:gridSpan w:val="3"/>
            <w:tcBorders>
              <w:top w:val="single" w:sz="12" w:space="0" w:color="auto"/>
            </w:tcBorders>
            <w:shd w:val="clear" w:color="auto" w:fill="auto"/>
          </w:tcPr>
          <w:p w:rsidR="00F11985" w:rsidRPr="00221BBA" w:rsidRDefault="00F11985" w:rsidP="009A258D">
            <w:pPr>
              <w:suppressAutoHyphens w:val="0"/>
              <w:spacing w:before="40" w:after="40" w:line="220" w:lineRule="exact"/>
              <w:rPr>
                <w:b/>
                <w:sz w:val="18"/>
              </w:rPr>
            </w:pPr>
            <w:r w:rsidRPr="00221BBA">
              <w:rPr>
                <w:b/>
                <w:sz w:val="18"/>
              </w:rPr>
              <w:lastRenderedPageBreak/>
              <w:t>II.</w:t>
            </w:r>
            <w:r w:rsidRPr="00221BBA">
              <w:rPr>
                <w:b/>
                <w:sz w:val="18"/>
              </w:rPr>
              <w:tab/>
              <w:t xml:space="preserve">Respect des dispositions et application </w:t>
            </w:r>
            <w:r w:rsidR="00D031E5">
              <w:rPr>
                <w:b/>
                <w:sz w:val="18"/>
              </w:rPr>
              <w:br/>
            </w:r>
            <w:r w:rsidRPr="00221BBA">
              <w:rPr>
                <w:b/>
                <w:sz w:val="18"/>
              </w:rPr>
              <w:t>de la Convention et du Protocole</w:t>
            </w:r>
          </w:p>
        </w:tc>
        <w:tc>
          <w:tcPr>
            <w:tcW w:w="800" w:type="dxa"/>
            <w:tcBorders>
              <w:top w:val="single" w:sz="12" w:space="0" w:color="auto"/>
            </w:tcBorders>
            <w:shd w:val="clear" w:color="auto" w:fill="auto"/>
            <w:vAlign w:val="bottom"/>
          </w:tcPr>
          <w:p w:rsidR="00F11985" w:rsidRPr="00221BBA" w:rsidRDefault="00F11985" w:rsidP="009A258D">
            <w:pPr>
              <w:suppressAutoHyphens w:val="0"/>
              <w:spacing w:before="40" w:after="40" w:line="220" w:lineRule="exact"/>
              <w:jc w:val="right"/>
              <w:rPr>
                <w:b/>
                <w:sz w:val="18"/>
              </w:rPr>
            </w:pPr>
            <w:r w:rsidRPr="00221BBA">
              <w:rPr>
                <w:b/>
                <w:sz w:val="18"/>
              </w:rPr>
              <w:t>26</w:t>
            </w:r>
            <w:r w:rsidR="007400AF" w:rsidRPr="00221BBA">
              <w:rPr>
                <w:b/>
                <w:sz w:val="18"/>
              </w:rPr>
              <w:t>,</w:t>
            </w:r>
            <w:r w:rsidRPr="00221BBA">
              <w:rPr>
                <w:b/>
                <w:sz w:val="18"/>
              </w:rPr>
              <w:t>5</w:t>
            </w:r>
          </w:p>
        </w:tc>
        <w:tc>
          <w:tcPr>
            <w:tcW w:w="704" w:type="dxa"/>
            <w:tcBorders>
              <w:top w:val="single" w:sz="12" w:space="0" w:color="auto"/>
            </w:tcBorders>
            <w:shd w:val="clear" w:color="auto" w:fill="auto"/>
            <w:vAlign w:val="bottom"/>
          </w:tcPr>
          <w:p w:rsidR="00F11985" w:rsidRPr="00221BBA" w:rsidRDefault="00F11985" w:rsidP="009A258D">
            <w:pPr>
              <w:suppressAutoHyphens w:val="0"/>
              <w:spacing w:before="40" w:after="40" w:line="220" w:lineRule="exact"/>
              <w:jc w:val="right"/>
              <w:rPr>
                <w:b/>
                <w:sz w:val="18"/>
              </w:rPr>
            </w:pPr>
            <w:r w:rsidRPr="00221BBA">
              <w:rPr>
                <w:b/>
                <w:sz w:val="18"/>
              </w:rPr>
              <w:t>10</w:t>
            </w:r>
            <w:r w:rsidR="007400AF" w:rsidRPr="00221BBA">
              <w:rPr>
                <w:b/>
                <w:sz w:val="18"/>
              </w:rPr>
              <w:t>,</w:t>
            </w:r>
            <w:r w:rsidRPr="00221BBA">
              <w:rPr>
                <w:b/>
                <w:sz w:val="18"/>
              </w:rPr>
              <w:t>25</w:t>
            </w:r>
          </w:p>
        </w:tc>
      </w:tr>
      <w:tr w:rsidR="009A258D" w:rsidRPr="00221BBA" w:rsidTr="009A258D">
        <w:tblPrEx>
          <w:tblBorders>
            <w:top w:val="none" w:sz="0" w:space="0" w:color="auto"/>
            <w:bottom w:val="none" w:sz="0" w:space="0" w:color="auto"/>
            <w:insideH w:val="none" w:sz="0" w:space="0" w:color="auto"/>
          </w:tblBorders>
        </w:tblPrEx>
        <w:trPr>
          <w:cantSplit/>
        </w:trPr>
        <w:tc>
          <w:tcPr>
            <w:tcW w:w="1560" w:type="dxa"/>
            <w:shd w:val="clear" w:color="auto" w:fill="auto"/>
          </w:tcPr>
          <w:p w:rsidR="00F11985" w:rsidRPr="00221BBA" w:rsidRDefault="00F11985" w:rsidP="009A258D">
            <w:pPr>
              <w:suppressAutoHyphens w:val="0"/>
              <w:spacing w:before="40" w:after="40" w:line="220" w:lineRule="exact"/>
              <w:rPr>
                <w:b/>
                <w:bCs/>
                <w:sz w:val="18"/>
              </w:rPr>
            </w:pPr>
            <w:r w:rsidRPr="00221BBA">
              <w:rPr>
                <w:b/>
                <w:bCs/>
                <w:sz w:val="18"/>
              </w:rPr>
              <w:t>A.</w:t>
            </w:r>
            <w:r w:rsidR="009A258D" w:rsidRPr="00221BBA">
              <w:rPr>
                <w:b/>
                <w:bCs/>
                <w:sz w:val="18"/>
              </w:rPr>
              <w:t xml:space="preserve"> </w:t>
            </w:r>
            <w:r w:rsidRPr="00221BBA">
              <w:rPr>
                <w:b/>
                <w:bCs/>
                <w:sz w:val="18"/>
              </w:rPr>
              <w:t>Examen du</w:t>
            </w:r>
            <w:r w:rsidR="00EC3ED3">
              <w:rPr>
                <w:b/>
                <w:bCs/>
                <w:sz w:val="18"/>
              </w:rPr>
              <w:t> </w:t>
            </w:r>
            <w:r w:rsidRPr="00221BBA">
              <w:rPr>
                <w:b/>
                <w:bCs/>
                <w:sz w:val="18"/>
              </w:rPr>
              <w:t>respect des dispositions</w:t>
            </w:r>
          </w:p>
        </w:tc>
        <w:tc>
          <w:tcPr>
            <w:tcW w:w="2949" w:type="dxa"/>
            <w:shd w:val="clear" w:color="auto" w:fill="auto"/>
          </w:tcPr>
          <w:p w:rsidR="00F11985" w:rsidRPr="00221BBA" w:rsidRDefault="00F11985" w:rsidP="009A258D">
            <w:pPr>
              <w:suppressAutoHyphens w:val="0"/>
              <w:spacing w:before="40" w:after="40" w:line="220" w:lineRule="exact"/>
              <w:rPr>
                <w:sz w:val="18"/>
              </w:rPr>
            </w:pPr>
            <w:r w:rsidRPr="00221BBA">
              <w:rPr>
                <w:sz w:val="18"/>
              </w:rPr>
              <w:t>Réunions du Comité d’application (9)</w:t>
            </w:r>
            <w:r w:rsidR="005628B1" w:rsidRPr="005628B1">
              <w:rPr>
                <w:sz w:val="18"/>
              </w:rPr>
              <w:t> :</w:t>
            </w:r>
            <w:r w:rsidRPr="00221BBA">
              <w:rPr>
                <w:sz w:val="18"/>
              </w:rPr>
              <w:t>frais de voyage d’experts admis à bénéficier d’une aide financière (4</w:t>
            </w:r>
            <w:r w:rsidR="00EC3ED3">
              <w:rPr>
                <w:sz w:val="18"/>
              </w:rPr>
              <w:t> </w:t>
            </w:r>
            <w:r w:rsidRPr="00221BBA">
              <w:rPr>
                <w:sz w:val="18"/>
              </w:rPr>
              <w:t xml:space="preserve">experts/max. 6 000 dollars pour une réunion de </w:t>
            </w:r>
            <w:r w:rsidR="007400AF" w:rsidRPr="00221BBA">
              <w:rPr>
                <w:sz w:val="18"/>
              </w:rPr>
              <w:t>quatre </w:t>
            </w:r>
            <w:r w:rsidRPr="00221BBA">
              <w:rPr>
                <w:sz w:val="18"/>
              </w:rPr>
              <w:t>jours)</w:t>
            </w:r>
          </w:p>
        </w:tc>
        <w:tc>
          <w:tcPr>
            <w:tcW w:w="1357" w:type="dxa"/>
            <w:shd w:val="clear" w:color="auto" w:fill="auto"/>
            <w:vAlign w:val="bottom"/>
          </w:tcPr>
          <w:p w:rsidR="00F11985" w:rsidRPr="00221BBA" w:rsidRDefault="00F11985" w:rsidP="009A258D">
            <w:pPr>
              <w:suppressAutoHyphens w:val="0"/>
              <w:spacing w:before="40" w:after="40" w:line="220" w:lineRule="exact"/>
              <w:jc w:val="right"/>
              <w:rPr>
                <w:sz w:val="18"/>
              </w:rPr>
            </w:pPr>
            <w:r w:rsidRPr="00221BBA">
              <w:rPr>
                <w:sz w:val="18"/>
              </w:rPr>
              <w:t>54 000</w:t>
            </w:r>
          </w:p>
        </w:tc>
        <w:tc>
          <w:tcPr>
            <w:tcW w:w="800" w:type="dxa"/>
            <w:shd w:val="clear" w:color="auto" w:fill="auto"/>
            <w:vAlign w:val="bottom"/>
          </w:tcPr>
          <w:p w:rsidR="00F11985" w:rsidRPr="00221BBA" w:rsidRDefault="00F11985" w:rsidP="009A258D">
            <w:pPr>
              <w:suppressAutoHyphens w:val="0"/>
              <w:spacing w:before="40" w:after="40" w:line="220" w:lineRule="exact"/>
              <w:jc w:val="right"/>
              <w:rPr>
                <w:sz w:val="18"/>
              </w:rPr>
            </w:pPr>
          </w:p>
        </w:tc>
        <w:tc>
          <w:tcPr>
            <w:tcW w:w="704" w:type="dxa"/>
            <w:shd w:val="clear" w:color="auto" w:fill="auto"/>
            <w:vAlign w:val="bottom"/>
          </w:tcPr>
          <w:p w:rsidR="00F11985" w:rsidRPr="00221BBA" w:rsidRDefault="00F11985" w:rsidP="009A258D">
            <w:pPr>
              <w:suppressAutoHyphens w:val="0"/>
              <w:spacing w:before="40" w:after="40" w:line="220" w:lineRule="exact"/>
              <w:jc w:val="right"/>
              <w:rPr>
                <w:sz w:val="18"/>
              </w:rPr>
            </w:pPr>
          </w:p>
        </w:tc>
      </w:tr>
      <w:tr w:rsidR="009A258D" w:rsidRPr="00221BBA" w:rsidTr="009A258D">
        <w:tblPrEx>
          <w:tblBorders>
            <w:top w:val="none" w:sz="0" w:space="0" w:color="auto"/>
            <w:bottom w:val="none" w:sz="0" w:space="0" w:color="auto"/>
            <w:insideH w:val="none" w:sz="0" w:space="0" w:color="auto"/>
          </w:tblBorders>
        </w:tblPrEx>
        <w:trPr>
          <w:cantSplit/>
        </w:trPr>
        <w:tc>
          <w:tcPr>
            <w:tcW w:w="1560" w:type="dxa"/>
            <w:shd w:val="clear" w:color="auto" w:fill="auto"/>
          </w:tcPr>
          <w:p w:rsidR="00F11985" w:rsidRPr="00221BBA" w:rsidRDefault="00F11985" w:rsidP="00EC3ED3">
            <w:pPr>
              <w:suppressAutoHyphens w:val="0"/>
              <w:spacing w:before="40" w:after="40" w:line="220" w:lineRule="exact"/>
              <w:rPr>
                <w:b/>
                <w:bCs/>
                <w:sz w:val="18"/>
              </w:rPr>
            </w:pPr>
            <w:r w:rsidRPr="00221BBA">
              <w:rPr>
                <w:b/>
                <w:bCs/>
                <w:sz w:val="18"/>
              </w:rPr>
              <w:t>B.</w:t>
            </w:r>
            <w:r w:rsidR="00EC3ED3">
              <w:rPr>
                <w:b/>
                <w:bCs/>
                <w:sz w:val="18"/>
              </w:rPr>
              <w:t xml:space="preserve"> </w:t>
            </w:r>
            <w:r w:rsidRPr="00221BBA">
              <w:rPr>
                <w:b/>
                <w:bCs/>
                <w:sz w:val="18"/>
              </w:rPr>
              <w:t>Établissement de</w:t>
            </w:r>
            <w:r w:rsidR="00EC3ED3">
              <w:rPr>
                <w:b/>
                <w:bCs/>
                <w:sz w:val="18"/>
              </w:rPr>
              <w:t> </w:t>
            </w:r>
            <w:r w:rsidRPr="00221BBA">
              <w:rPr>
                <w:b/>
                <w:bCs/>
                <w:sz w:val="18"/>
              </w:rPr>
              <w:t xml:space="preserve">rapports et examen de l’application </w:t>
            </w:r>
            <w:r w:rsidR="00EC3ED3">
              <w:rPr>
                <w:b/>
                <w:bCs/>
                <w:sz w:val="18"/>
              </w:rPr>
              <w:br/>
            </w:r>
            <w:r w:rsidRPr="00221BBA">
              <w:rPr>
                <w:b/>
                <w:bCs/>
                <w:sz w:val="18"/>
              </w:rPr>
              <w:t>de la Convention</w:t>
            </w:r>
          </w:p>
        </w:tc>
        <w:tc>
          <w:tcPr>
            <w:tcW w:w="2949" w:type="dxa"/>
            <w:shd w:val="clear" w:color="auto" w:fill="auto"/>
          </w:tcPr>
          <w:p w:rsidR="00F11985" w:rsidRPr="00221BBA" w:rsidRDefault="00F11985" w:rsidP="009A258D">
            <w:pPr>
              <w:suppressAutoHyphens w:val="0"/>
              <w:spacing w:before="40" w:after="40" w:line="220" w:lineRule="exact"/>
              <w:rPr>
                <w:sz w:val="18"/>
              </w:rPr>
            </w:pPr>
            <w:r w:rsidRPr="00221BBA">
              <w:rPr>
                <w:sz w:val="18"/>
              </w:rPr>
              <w:t>Préparation des projets d’examen de l’application de la Convention et du Protocole</w:t>
            </w:r>
            <w:r w:rsidR="005628B1" w:rsidRPr="005628B1">
              <w:rPr>
                <w:sz w:val="18"/>
              </w:rPr>
              <w:t> :</w:t>
            </w:r>
            <w:r w:rsidRPr="00221BBA">
              <w:rPr>
                <w:sz w:val="18"/>
              </w:rPr>
              <w:t xml:space="preserve"> coût des consultants et de la traduction des rapports nationaux</w:t>
            </w:r>
          </w:p>
        </w:tc>
        <w:tc>
          <w:tcPr>
            <w:tcW w:w="1357" w:type="dxa"/>
            <w:shd w:val="clear" w:color="auto" w:fill="auto"/>
            <w:vAlign w:val="bottom"/>
          </w:tcPr>
          <w:p w:rsidR="00F11985" w:rsidRPr="00221BBA" w:rsidRDefault="00F11985" w:rsidP="009A258D">
            <w:pPr>
              <w:suppressAutoHyphens w:val="0"/>
              <w:spacing w:before="40" w:after="40" w:line="220" w:lineRule="exact"/>
              <w:jc w:val="right"/>
              <w:rPr>
                <w:sz w:val="18"/>
              </w:rPr>
            </w:pPr>
            <w:r w:rsidRPr="00221BBA">
              <w:rPr>
                <w:sz w:val="18"/>
              </w:rPr>
              <w:t>25 000</w:t>
            </w:r>
          </w:p>
        </w:tc>
        <w:tc>
          <w:tcPr>
            <w:tcW w:w="800" w:type="dxa"/>
            <w:shd w:val="clear" w:color="auto" w:fill="auto"/>
            <w:vAlign w:val="bottom"/>
          </w:tcPr>
          <w:p w:rsidR="00F11985" w:rsidRPr="00221BBA" w:rsidRDefault="00F11985" w:rsidP="009A258D">
            <w:pPr>
              <w:suppressAutoHyphens w:val="0"/>
              <w:spacing w:before="40" w:after="40" w:line="220" w:lineRule="exact"/>
              <w:jc w:val="right"/>
              <w:rPr>
                <w:sz w:val="18"/>
              </w:rPr>
            </w:pPr>
          </w:p>
        </w:tc>
        <w:tc>
          <w:tcPr>
            <w:tcW w:w="704" w:type="dxa"/>
            <w:shd w:val="clear" w:color="auto" w:fill="auto"/>
            <w:vAlign w:val="bottom"/>
          </w:tcPr>
          <w:p w:rsidR="00F11985" w:rsidRPr="00221BBA" w:rsidRDefault="00F11985" w:rsidP="009A258D">
            <w:pPr>
              <w:suppressAutoHyphens w:val="0"/>
              <w:spacing w:before="40" w:after="40" w:line="220" w:lineRule="exact"/>
              <w:jc w:val="right"/>
              <w:rPr>
                <w:sz w:val="18"/>
              </w:rPr>
            </w:pPr>
          </w:p>
        </w:tc>
      </w:tr>
      <w:tr w:rsidR="007400AF" w:rsidRPr="00221BBA" w:rsidTr="009A258D">
        <w:tblPrEx>
          <w:tblBorders>
            <w:top w:val="none" w:sz="0" w:space="0" w:color="auto"/>
            <w:bottom w:val="none" w:sz="0" w:space="0" w:color="auto"/>
            <w:insideH w:val="none" w:sz="0" w:space="0" w:color="auto"/>
          </w:tblBorders>
        </w:tblPrEx>
        <w:trPr>
          <w:cantSplit/>
        </w:trPr>
        <w:tc>
          <w:tcPr>
            <w:tcW w:w="1560" w:type="dxa"/>
            <w:vMerge w:val="restart"/>
            <w:shd w:val="clear" w:color="auto" w:fill="auto"/>
          </w:tcPr>
          <w:p w:rsidR="007400AF" w:rsidRPr="00221BBA" w:rsidRDefault="007400AF" w:rsidP="009A258D">
            <w:pPr>
              <w:suppressAutoHyphens w:val="0"/>
              <w:spacing w:before="40" w:after="40" w:line="220" w:lineRule="exact"/>
              <w:rPr>
                <w:b/>
                <w:bCs/>
                <w:sz w:val="18"/>
              </w:rPr>
            </w:pPr>
            <w:r w:rsidRPr="00221BBA">
              <w:rPr>
                <w:b/>
                <w:bCs/>
                <w:sz w:val="18"/>
              </w:rPr>
              <w:t>C.</w:t>
            </w:r>
            <w:r w:rsidR="00EC3ED3">
              <w:rPr>
                <w:b/>
                <w:bCs/>
                <w:sz w:val="18"/>
              </w:rPr>
              <w:t xml:space="preserve"> </w:t>
            </w:r>
            <w:r w:rsidRPr="00221BBA">
              <w:rPr>
                <w:b/>
                <w:bCs/>
                <w:sz w:val="18"/>
              </w:rPr>
              <w:t>Assistance législative aux</w:t>
            </w:r>
            <w:r w:rsidR="00EC3ED3">
              <w:rPr>
                <w:b/>
                <w:bCs/>
                <w:sz w:val="18"/>
              </w:rPr>
              <w:t> </w:t>
            </w:r>
            <w:r w:rsidRPr="00221BBA">
              <w:rPr>
                <w:b/>
                <w:bCs/>
                <w:sz w:val="18"/>
              </w:rPr>
              <w:t>Parties</w:t>
            </w:r>
          </w:p>
        </w:tc>
        <w:tc>
          <w:tcPr>
            <w:tcW w:w="2949" w:type="dxa"/>
            <w:shd w:val="clear" w:color="auto" w:fill="auto"/>
          </w:tcPr>
          <w:p w:rsidR="007400AF" w:rsidRPr="00221BBA" w:rsidRDefault="007400AF" w:rsidP="009A258D">
            <w:pPr>
              <w:suppressAutoHyphens w:val="0"/>
              <w:spacing w:before="40" w:after="40" w:line="220" w:lineRule="exact"/>
              <w:rPr>
                <w:sz w:val="18"/>
                <w:lang w:eastAsia="fr-CH"/>
              </w:rPr>
            </w:pPr>
            <w:r w:rsidRPr="00221BBA">
              <w:rPr>
                <w:sz w:val="18"/>
              </w:rPr>
              <w:t>Aide à la rédaction de textes législatifs et aux activités de sensibilisation (voir tableau 3)</w:t>
            </w:r>
          </w:p>
        </w:tc>
        <w:tc>
          <w:tcPr>
            <w:tcW w:w="1357" w:type="dxa"/>
            <w:shd w:val="clear" w:color="auto" w:fill="auto"/>
            <w:vAlign w:val="bottom"/>
          </w:tcPr>
          <w:p w:rsidR="007400AF" w:rsidRPr="00221BBA" w:rsidRDefault="007400AF" w:rsidP="009A258D">
            <w:pPr>
              <w:suppressAutoHyphens w:val="0"/>
              <w:spacing w:before="40" w:after="40" w:line="220" w:lineRule="exact"/>
              <w:jc w:val="right"/>
              <w:rPr>
                <w:sz w:val="18"/>
              </w:rPr>
            </w:pPr>
          </w:p>
        </w:tc>
        <w:tc>
          <w:tcPr>
            <w:tcW w:w="800" w:type="dxa"/>
            <w:shd w:val="clear" w:color="auto" w:fill="auto"/>
            <w:vAlign w:val="bottom"/>
          </w:tcPr>
          <w:p w:rsidR="007400AF" w:rsidRPr="00221BBA" w:rsidRDefault="007400AF" w:rsidP="009A258D">
            <w:pPr>
              <w:suppressAutoHyphens w:val="0"/>
              <w:spacing w:before="40" w:after="40" w:line="220" w:lineRule="exact"/>
              <w:jc w:val="right"/>
              <w:rPr>
                <w:sz w:val="18"/>
              </w:rPr>
            </w:pPr>
          </w:p>
        </w:tc>
        <w:tc>
          <w:tcPr>
            <w:tcW w:w="704" w:type="dxa"/>
            <w:shd w:val="clear" w:color="auto" w:fill="auto"/>
            <w:vAlign w:val="bottom"/>
          </w:tcPr>
          <w:p w:rsidR="007400AF" w:rsidRPr="00221BBA" w:rsidRDefault="007400AF" w:rsidP="009A258D">
            <w:pPr>
              <w:suppressAutoHyphens w:val="0"/>
              <w:spacing w:before="40" w:after="40" w:line="220" w:lineRule="exact"/>
              <w:jc w:val="right"/>
              <w:rPr>
                <w:sz w:val="18"/>
              </w:rPr>
            </w:pPr>
          </w:p>
        </w:tc>
      </w:tr>
      <w:tr w:rsidR="007400AF" w:rsidRPr="00221BBA" w:rsidTr="009A258D">
        <w:tblPrEx>
          <w:tblBorders>
            <w:top w:val="none" w:sz="0" w:space="0" w:color="auto"/>
            <w:bottom w:val="none" w:sz="0" w:space="0" w:color="auto"/>
            <w:insideH w:val="none" w:sz="0" w:space="0" w:color="auto"/>
          </w:tblBorders>
        </w:tblPrEx>
        <w:trPr>
          <w:cantSplit/>
        </w:trPr>
        <w:tc>
          <w:tcPr>
            <w:tcW w:w="1560" w:type="dxa"/>
            <w:vMerge/>
            <w:shd w:val="clear" w:color="auto" w:fill="auto"/>
          </w:tcPr>
          <w:p w:rsidR="007400AF" w:rsidRPr="00221BBA" w:rsidRDefault="007400AF" w:rsidP="009A258D">
            <w:pPr>
              <w:suppressAutoHyphens w:val="0"/>
              <w:spacing w:before="40" w:after="40" w:line="220" w:lineRule="exact"/>
              <w:rPr>
                <w:b/>
                <w:sz w:val="18"/>
              </w:rPr>
            </w:pPr>
          </w:p>
        </w:tc>
        <w:tc>
          <w:tcPr>
            <w:tcW w:w="2949" w:type="dxa"/>
            <w:shd w:val="clear" w:color="auto" w:fill="auto"/>
          </w:tcPr>
          <w:p w:rsidR="007400AF" w:rsidRPr="00221BBA" w:rsidRDefault="007400AF" w:rsidP="009A258D">
            <w:pPr>
              <w:suppressAutoHyphens w:val="0"/>
              <w:spacing w:before="40" w:after="40" w:line="220" w:lineRule="exact"/>
              <w:rPr>
                <w:sz w:val="18"/>
                <w:lang w:eastAsia="fr-CH"/>
              </w:rPr>
            </w:pPr>
            <w:r w:rsidRPr="00221BBA">
              <w:rPr>
                <w:sz w:val="18"/>
                <w:lang w:eastAsia="fr-CH"/>
              </w:rPr>
              <w:t>Élaboration d’un document d’orientation/directive</w:t>
            </w:r>
          </w:p>
        </w:tc>
        <w:tc>
          <w:tcPr>
            <w:tcW w:w="1357" w:type="dxa"/>
            <w:shd w:val="clear" w:color="auto" w:fill="auto"/>
            <w:vAlign w:val="bottom"/>
          </w:tcPr>
          <w:p w:rsidR="007400AF" w:rsidRPr="00221BBA" w:rsidRDefault="007400AF" w:rsidP="009A258D">
            <w:pPr>
              <w:suppressAutoHyphens w:val="0"/>
              <w:spacing w:before="40" w:after="40" w:line="220" w:lineRule="exact"/>
              <w:jc w:val="right"/>
              <w:rPr>
                <w:sz w:val="18"/>
              </w:rPr>
            </w:pPr>
            <w:r w:rsidRPr="00221BBA">
              <w:rPr>
                <w:sz w:val="18"/>
              </w:rPr>
              <w:t>25 000</w:t>
            </w:r>
          </w:p>
        </w:tc>
        <w:tc>
          <w:tcPr>
            <w:tcW w:w="800" w:type="dxa"/>
            <w:shd w:val="clear" w:color="auto" w:fill="auto"/>
            <w:vAlign w:val="bottom"/>
          </w:tcPr>
          <w:p w:rsidR="007400AF" w:rsidRPr="00221BBA" w:rsidRDefault="007400AF" w:rsidP="009A258D">
            <w:pPr>
              <w:suppressAutoHyphens w:val="0"/>
              <w:spacing w:before="40" w:after="40" w:line="220" w:lineRule="exact"/>
              <w:jc w:val="right"/>
              <w:rPr>
                <w:sz w:val="18"/>
              </w:rPr>
            </w:pPr>
          </w:p>
        </w:tc>
        <w:tc>
          <w:tcPr>
            <w:tcW w:w="704" w:type="dxa"/>
            <w:shd w:val="clear" w:color="auto" w:fill="auto"/>
            <w:vAlign w:val="bottom"/>
          </w:tcPr>
          <w:p w:rsidR="007400AF" w:rsidRPr="00221BBA" w:rsidRDefault="007400AF" w:rsidP="009A258D">
            <w:pPr>
              <w:suppressAutoHyphens w:val="0"/>
              <w:spacing w:before="40" w:after="40" w:line="220" w:lineRule="exact"/>
              <w:jc w:val="right"/>
              <w:rPr>
                <w:sz w:val="18"/>
              </w:rPr>
            </w:pPr>
          </w:p>
        </w:tc>
      </w:tr>
      <w:tr w:rsidR="009A258D" w:rsidRPr="00221BBA" w:rsidTr="009A258D">
        <w:tblPrEx>
          <w:tblBorders>
            <w:top w:val="none" w:sz="0" w:space="0" w:color="auto"/>
            <w:bottom w:val="none" w:sz="0" w:space="0" w:color="auto"/>
            <w:insideH w:val="none" w:sz="0" w:space="0" w:color="auto"/>
          </w:tblBorders>
        </w:tblPrEx>
        <w:trPr>
          <w:cantSplit/>
        </w:trPr>
        <w:tc>
          <w:tcPr>
            <w:tcW w:w="1560" w:type="dxa"/>
            <w:tcBorders>
              <w:bottom w:val="single" w:sz="4" w:space="0" w:color="auto"/>
            </w:tcBorders>
            <w:shd w:val="clear" w:color="auto" w:fill="auto"/>
          </w:tcPr>
          <w:p w:rsidR="00F11985" w:rsidRPr="00221BBA" w:rsidRDefault="00F11985" w:rsidP="009A258D">
            <w:pPr>
              <w:suppressAutoHyphens w:val="0"/>
              <w:spacing w:before="40" w:after="40" w:line="220" w:lineRule="exact"/>
              <w:rPr>
                <w:b/>
                <w:sz w:val="18"/>
              </w:rPr>
            </w:pPr>
          </w:p>
        </w:tc>
        <w:tc>
          <w:tcPr>
            <w:tcW w:w="2949" w:type="dxa"/>
            <w:tcBorders>
              <w:bottom w:val="single" w:sz="4" w:space="0" w:color="auto"/>
            </w:tcBorders>
            <w:shd w:val="clear" w:color="auto" w:fill="auto"/>
          </w:tcPr>
          <w:p w:rsidR="00F11985" w:rsidRPr="00221BBA" w:rsidRDefault="00F11985" w:rsidP="009A258D">
            <w:pPr>
              <w:suppressAutoHyphens w:val="0"/>
              <w:spacing w:before="40" w:after="40" w:line="220" w:lineRule="exact"/>
              <w:rPr>
                <w:sz w:val="18"/>
                <w:lang w:eastAsia="fr-CH"/>
              </w:rPr>
            </w:pPr>
            <w:r w:rsidRPr="00221BBA">
              <w:rPr>
                <w:sz w:val="18"/>
                <w:lang w:eastAsia="fr-CH"/>
              </w:rPr>
              <w:t>Mise à jour d’un document d’orientation/directive</w:t>
            </w:r>
          </w:p>
        </w:tc>
        <w:tc>
          <w:tcPr>
            <w:tcW w:w="1357" w:type="dxa"/>
            <w:tcBorders>
              <w:bottom w:val="single" w:sz="4" w:space="0" w:color="auto"/>
            </w:tcBorders>
            <w:shd w:val="clear" w:color="auto" w:fill="auto"/>
            <w:vAlign w:val="bottom"/>
          </w:tcPr>
          <w:p w:rsidR="00F11985" w:rsidRPr="00221BBA" w:rsidRDefault="00F11985" w:rsidP="009A258D">
            <w:pPr>
              <w:suppressAutoHyphens w:val="0"/>
              <w:spacing w:before="40" w:after="40" w:line="220" w:lineRule="exact"/>
              <w:jc w:val="right"/>
              <w:rPr>
                <w:sz w:val="18"/>
              </w:rPr>
            </w:pPr>
            <w:r w:rsidRPr="00221BBA">
              <w:rPr>
                <w:sz w:val="18"/>
              </w:rPr>
              <w:t>15 000</w:t>
            </w:r>
          </w:p>
        </w:tc>
        <w:tc>
          <w:tcPr>
            <w:tcW w:w="800" w:type="dxa"/>
            <w:tcBorders>
              <w:bottom w:val="single" w:sz="4" w:space="0" w:color="auto"/>
            </w:tcBorders>
            <w:shd w:val="clear" w:color="auto" w:fill="auto"/>
            <w:vAlign w:val="bottom"/>
          </w:tcPr>
          <w:p w:rsidR="00F11985" w:rsidRPr="00221BBA" w:rsidRDefault="00F11985" w:rsidP="009A258D">
            <w:pPr>
              <w:suppressAutoHyphens w:val="0"/>
              <w:spacing w:before="40" w:after="40" w:line="220" w:lineRule="exact"/>
              <w:jc w:val="right"/>
              <w:rPr>
                <w:sz w:val="18"/>
              </w:rPr>
            </w:pPr>
          </w:p>
        </w:tc>
        <w:tc>
          <w:tcPr>
            <w:tcW w:w="704" w:type="dxa"/>
            <w:tcBorders>
              <w:bottom w:val="single" w:sz="4" w:space="0" w:color="auto"/>
            </w:tcBorders>
            <w:shd w:val="clear" w:color="auto" w:fill="auto"/>
            <w:vAlign w:val="bottom"/>
          </w:tcPr>
          <w:p w:rsidR="00F11985" w:rsidRPr="00221BBA" w:rsidRDefault="00F11985" w:rsidP="009A258D">
            <w:pPr>
              <w:suppressAutoHyphens w:val="0"/>
              <w:spacing w:before="40" w:after="40" w:line="220" w:lineRule="exact"/>
              <w:jc w:val="right"/>
              <w:rPr>
                <w:sz w:val="18"/>
              </w:rPr>
            </w:pPr>
          </w:p>
        </w:tc>
      </w:tr>
      <w:tr w:rsidR="009A258D" w:rsidRPr="00221BBA" w:rsidTr="009A258D">
        <w:tblPrEx>
          <w:tblBorders>
            <w:top w:val="none" w:sz="0" w:space="0" w:color="auto"/>
            <w:bottom w:val="none" w:sz="0" w:space="0" w:color="auto"/>
            <w:insideH w:val="none" w:sz="0" w:space="0" w:color="auto"/>
          </w:tblBorders>
        </w:tblPrEx>
        <w:trPr>
          <w:cantSplit/>
        </w:trPr>
        <w:tc>
          <w:tcPr>
            <w:tcW w:w="1560" w:type="dxa"/>
            <w:tcBorders>
              <w:top w:val="single" w:sz="4" w:space="0" w:color="auto"/>
              <w:bottom w:val="single" w:sz="12" w:space="0" w:color="auto"/>
            </w:tcBorders>
            <w:shd w:val="clear" w:color="auto" w:fill="auto"/>
          </w:tcPr>
          <w:p w:rsidR="00F11985" w:rsidRPr="00221BBA" w:rsidRDefault="00F11985" w:rsidP="009A258D">
            <w:pPr>
              <w:suppressAutoHyphens w:val="0"/>
              <w:spacing w:before="80" w:after="80" w:line="220" w:lineRule="exact"/>
              <w:ind w:left="283"/>
              <w:rPr>
                <w:b/>
                <w:sz w:val="18"/>
              </w:rPr>
            </w:pPr>
            <w:r w:rsidRPr="00221BBA">
              <w:rPr>
                <w:b/>
                <w:sz w:val="18"/>
              </w:rPr>
              <w:t>Total partiel</w:t>
            </w:r>
          </w:p>
        </w:tc>
        <w:tc>
          <w:tcPr>
            <w:tcW w:w="2949" w:type="dxa"/>
            <w:tcBorders>
              <w:top w:val="single" w:sz="4" w:space="0" w:color="auto"/>
              <w:bottom w:val="single" w:sz="12" w:space="0" w:color="auto"/>
            </w:tcBorders>
            <w:shd w:val="clear" w:color="auto" w:fill="auto"/>
          </w:tcPr>
          <w:p w:rsidR="00F11985" w:rsidRPr="00221BBA" w:rsidRDefault="00F11985" w:rsidP="009A258D">
            <w:pPr>
              <w:suppressAutoHyphens w:val="0"/>
              <w:spacing w:before="80" w:after="80" w:line="220" w:lineRule="exact"/>
              <w:rPr>
                <w:b/>
                <w:sz w:val="18"/>
              </w:rPr>
            </w:pPr>
          </w:p>
        </w:tc>
        <w:tc>
          <w:tcPr>
            <w:tcW w:w="1357" w:type="dxa"/>
            <w:tcBorders>
              <w:top w:val="single" w:sz="4" w:space="0" w:color="auto"/>
              <w:bottom w:val="single" w:sz="12" w:space="0" w:color="auto"/>
            </w:tcBorders>
            <w:shd w:val="clear" w:color="auto" w:fill="auto"/>
            <w:vAlign w:val="bottom"/>
          </w:tcPr>
          <w:p w:rsidR="00F11985" w:rsidRPr="00221BBA" w:rsidRDefault="00F11985" w:rsidP="009A258D">
            <w:pPr>
              <w:suppressAutoHyphens w:val="0"/>
              <w:spacing w:before="80" w:after="80" w:line="220" w:lineRule="exact"/>
              <w:jc w:val="right"/>
              <w:rPr>
                <w:b/>
                <w:sz w:val="18"/>
              </w:rPr>
            </w:pPr>
            <w:r w:rsidRPr="00221BBA">
              <w:rPr>
                <w:b/>
                <w:sz w:val="18"/>
              </w:rPr>
              <w:t>119 000</w:t>
            </w:r>
          </w:p>
        </w:tc>
        <w:tc>
          <w:tcPr>
            <w:tcW w:w="800" w:type="dxa"/>
            <w:tcBorders>
              <w:top w:val="single" w:sz="4" w:space="0" w:color="auto"/>
              <w:bottom w:val="single" w:sz="12" w:space="0" w:color="auto"/>
            </w:tcBorders>
            <w:shd w:val="clear" w:color="auto" w:fill="auto"/>
            <w:vAlign w:val="bottom"/>
          </w:tcPr>
          <w:p w:rsidR="00F11985" w:rsidRPr="00221BBA" w:rsidRDefault="00F11985" w:rsidP="009A258D">
            <w:pPr>
              <w:suppressAutoHyphens w:val="0"/>
              <w:spacing w:before="80" w:after="80" w:line="220" w:lineRule="exact"/>
              <w:jc w:val="right"/>
              <w:rPr>
                <w:b/>
                <w:sz w:val="18"/>
              </w:rPr>
            </w:pPr>
          </w:p>
        </w:tc>
        <w:tc>
          <w:tcPr>
            <w:tcW w:w="704" w:type="dxa"/>
            <w:tcBorders>
              <w:top w:val="single" w:sz="4" w:space="0" w:color="auto"/>
              <w:bottom w:val="single" w:sz="12" w:space="0" w:color="auto"/>
            </w:tcBorders>
            <w:shd w:val="clear" w:color="auto" w:fill="auto"/>
            <w:vAlign w:val="bottom"/>
          </w:tcPr>
          <w:p w:rsidR="00F11985" w:rsidRPr="00221BBA" w:rsidRDefault="00F11985" w:rsidP="009A258D">
            <w:pPr>
              <w:suppressAutoHyphens w:val="0"/>
              <w:spacing w:before="80" w:after="80" w:line="220" w:lineRule="exact"/>
              <w:jc w:val="right"/>
              <w:rPr>
                <w:b/>
                <w:sz w:val="18"/>
              </w:rPr>
            </w:pPr>
          </w:p>
        </w:tc>
      </w:tr>
      <w:tr w:rsidR="009A258D" w:rsidRPr="00EC3ED3" w:rsidTr="009A258D">
        <w:tblPrEx>
          <w:tblBorders>
            <w:top w:val="none" w:sz="0" w:space="0" w:color="auto"/>
            <w:bottom w:val="none" w:sz="0" w:space="0" w:color="auto"/>
            <w:insideH w:val="none" w:sz="0" w:space="0" w:color="auto"/>
          </w:tblBorders>
        </w:tblPrEx>
        <w:trPr>
          <w:cantSplit/>
        </w:trPr>
        <w:tc>
          <w:tcPr>
            <w:tcW w:w="5866" w:type="dxa"/>
            <w:gridSpan w:val="3"/>
            <w:tcBorders>
              <w:top w:val="single" w:sz="12" w:space="0" w:color="auto"/>
            </w:tcBorders>
            <w:shd w:val="clear" w:color="auto" w:fill="auto"/>
          </w:tcPr>
          <w:p w:rsidR="00F11985" w:rsidRPr="00EC3ED3" w:rsidRDefault="00F11985" w:rsidP="009A258D">
            <w:pPr>
              <w:suppressAutoHyphens w:val="0"/>
              <w:spacing w:before="40" w:after="40" w:line="220" w:lineRule="exact"/>
              <w:rPr>
                <w:b/>
                <w:bCs/>
                <w:sz w:val="18"/>
              </w:rPr>
            </w:pPr>
            <w:r w:rsidRPr="00EC3ED3">
              <w:rPr>
                <w:b/>
                <w:bCs/>
                <w:sz w:val="18"/>
              </w:rPr>
              <w:t>III.</w:t>
            </w:r>
            <w:r w:rsidRPr="00EC3ED3">
              <w:rPr>
                <w:b/>
                <w:bCs/>
                <w:sz w:val="18"/>
              </w:rPr>
              <w:tab/>
              <w:t xml:space="preserve">Coopération sous-régionale et renforcement </w:t>
            </w:r>
            <w:r w:rsidR="00D031E5" w:rsidRPr="00EC3ED3">
              <w:rPr>
                <w:b/>
                <w:bCs/>
                <w:sz w:val="18"/>
              </w:rPr>
              <w:br/>
            </w:r>
            <w:r w:rsidRPr="00EC3ED3">
              <w:rPr>
                <w:b/>
                <w:bCs/>
                <w:sz w:val="18"/>
              </w:rPr>
              <w:t>des capacités</w:t>
            </w:r>
          </w:p>
        </w:tc>
        <w:tc>
          <w:tcPr>
            <w:tcW w:w="800" w:type="dxa"/>
            <w:tcBorders>
              <w:top w:val="single" w:sz="12" w:space="0" w:color="auto"/>
            </w:tcBorders>
            <w:shd w:val="clear" w:color="auto" w:fill="auto"/>
            <w:vAlign w:val="bottom"/>
          </w:tcPr>
          <w:p w:rsidR="00F11985" w:rsidRPr="00EC3ED3" w:rsidRDefault="00F11985" w:rsidP="009A258D">
            <w:pPr>
              <w:suppressAutoHyphens w:val="0"/>
              <w:spacing w:before="40" w:after="40" w:line="220" w:lineRule="exact"/>
              <w:jc w:val="right"/>
              <w:rPr>
                <w:b/>
                <w:sz w:val="18"/>
              </w:rPr>
            </w:pPr>
            <w:r w:rsidRPr="00EC3ED3">
              <w:rPr>
                <w:b/>
                <w:sz w:val="18"/>
              </w:rPr>
              <w:t>1</w:t>
            </w:r>
            <w:r w:rsidR="007400AF" w:rsidRPr="00EC3ED3">
              <w:rPr>
                <w:b/>
                <w:sz w:val="18"/>
              </w:rPr>
              <w:t>,</w:t>
            </w:r>
            <w:r w:rsidRPr="00EC3ED3">
              <w:rPr>
                <w:b/>
                <w:sz w:val="18"/>
              </w:rPr>
              <w:t>5</w:t>
            </w:r>
          </w:p>
        </w:tc>
        <w:tc>
          <w:tcPr>
            <w:tcW w:w="704" w:type="dxa"/>
            <w:tcBorders>
              <w:top w:val="single" w:sz="12" w:space="0" w:color="auto"/>
            </w:tcBorders>
            <w:shd w:val="clear" w:color="auto" w:fill="auto"/>
            <w:vAlign w:val="bottom"/>
          </w:tcPr>
          <w:p w:rsidR="00F11985" w:rsidRPr="00EC3ED3" w:rsidRDefault="00F11985" w:rsidP="009A258D">
            <w:pPr>
              <w:suppressAutoHyphens w:val="0"/>
              <w:spacing w:before="40" w:after="40" w:line="220" w:lineRule="exact"/>
              <w:jc w:val="right"/>
              <w:rPr>
                <w:b/>
                <w:sz w:val="18"/>
              </w:rPr>
            </w:pPr>
            <w:r w:rsidRPr="00EC3ED3">
              <w:rPr>
                <w:b/>
                <w:sz w:val="18"/>
              </w:rPr>
              <w:t>2</w:t>
            </w:r>
            <w:r w:rsidR="007400AF" w:rsidRPr="00EC3ED3">
              <w:rPr>
                <w:b/>
                <w:sz w:val="18"/>
              </w:rPr>
              <w:t>,</w:t>
            </w:r>
            <w:r w:rsidRPr="00EC3ED3">
              <w:rPr>
                <w:b/>
                <w:sz w:val="18"/>
              </w:rPr>
              <w:t>5</w:t>
            </w:r>
          </w:p>
        </w:tc>
      </w:tr>
      <w:tr w:rsidR="009A258D" w:rsidRPr="00221BBA" w:rsidTr="009A258D">
        <w:tblPrEx>
          <w:tblBorders>
            <w:top w:val="none" w:sz="0" w:space="0" w:color="auto"/>
            <w:bottom w:val="none" w:sz="0" w:space="0" w:color="auto"/>
            <w:insideH w:val="none" w:sz="0" w:space="0" w:color="auto"/>
          </w:tblBorders>
        </w:tblPrEx>
        <w:trPr>
          <w:cantSplit/>
        </w:trPr>
        <w:tc>
          <w:tcPr>
            <w:tcW w:w="1560" w:type="dxa"/>
            <w:shd w:val="clear" w:color="auto" w:fill="auto"/>
          </w:tcPr>
          <w:p w:rsidR="00F11985" w:rsidRPr="00221BBA" w:rsidRDefault="00F11985" w:rsidP="009A258D">
            <w:pPr>
              <w:suppressAutoHyphens w:val="0"/>
              <w:spacing w:before="40" w:after="40" w:line="220" w:lineRule="exact"/>
              <w:rPr>
                <w:b/>
                <w:sz w:val="18"/>
              </w:rPr>
            </w:pPr>
          </w:p>
        </w:tc>
        <w:tc>
          <w:tcPr>
            <w:tcW w:w="2949" w:type="dxa"/>
            <w:shd w:val="clear" w:color="auto" w:fill="auto"/>
          </w:tcPr>
          <w:p w:rsidR="00F11985" w:rsidRPr="00221BBA" w:rsidRDefault="00F11985" w:rsidP="009A258D">
            <w:pPr>
              <w:suppressAutoHyphens w:val="0"/>
              <w:spacing w:before="40" w:after="40" w:line="220" w:lineRule="exact"/>
              <w:rPr>
                <w:sz w:val="18"/>
                <w:lang w:eastAsia="fr-CH"/>
              </w:rPr>
            </w:pPr>
            <w:r w:rsidRPr="00221BBA">
              <w:rPr>
                <w:sz w:val="18"/>
                <w:lang w:eastAsia="fr-CH"/>
              </w:rPr>
              <w:t>Mer Baltique (contributions en nature à confirmer)</w:t>
            </w:r>
          </w:p>
        </w:tc>
        <w:tc>
          <w:tcPr>
            <w:tcW w:w="1357" w:type="dxa"/>
            <w:shd w:val="clear" w:color="auto" w:fill="auto"/>
            <w:vAlign w:val="bottom"/>
          </w:tcPr>
          <w:p w:rsidR="00F11985" w:rsidRPr="00221BBA" w:rsidRDefault="00F11985" w:rsidP="009A258D">
            <w:pPr>
              <w:suppressAutoHyphens w:val="0"/>
              <w:spacing w:before="40" w:after="40" w:line="220" w:lineRule="exact"/>
              <w:jc w:val="right"/>
              <w:rPr>
                <w:sz w:val="18"/>
              </w:rPr>
            </w:pPr>
          </w:p>
        </w:tc>
        <w:tc>
          <w:tcPr>
            <w:tcW w:w="800" w:type="dxa"/>
            <w:shd w:val="clear" w:color="auto" w:fill="auto"/>
            <w:vAlign w:val="bottom"/>
          </w:tcPr>
          <w:p w:rsidR="00F11985" w:rsidRPr="00221BBA" w:rsidRDefault="00F11985" w:rsidP="009A258D">
            <w:pPr>
              <w:suppressAutoHyphens w:val="0"/>
              <w:spacing w:before="40" w:after="40" w:line="220" w:lineRule="exact"/>
              <w:jc w:val="right"/>
              <w:rPr>
                <w:iCs/>
                <w:sz w:val="18"/>
              </w:rPr>
            </w:pPr>
          </w:p>
        </w:tc>
        <w:tc>
          <w:tcPr>
            <w:tcW w:w="704" w:type="dxa"/>
            <w:shd w:val="clear" w:color="auto" w:fill="auto"/>
            <w:vAlign w:val="bottom"/>
          </w:tcPr>
          <w:p w:rsidR="00F11985" w:rsidRPr="00221BBA" w:rsidRDefault="00F11985" w:rsidP="009A258D">
            <w:pPr>
              <w:suppressAutoHyphens w:val="0"/>
              <w:spacing w:before="40" w:after="40" w:line="220" w:lineRule="exact"/>
              <w:jc w:val="right"/>
              <w:rPr>
                <w:iCs/>
                <w:sz w:val="18"/>
              </w:rPr>
            </w:pPr>
          </w:p>
        </w:tc>
      </w:tr>
      <w:tr w:rsidR="009A258D" w:rsidRPr="00221BBA" w:rsidTr="009A258D">
        <w:tblPrEx>
          <w:tblBorders>
            <w:top w:val="none" w:sz="0" w:space="0" w:color="auto"/>
            <w:bottom w:val="none" w:sz="0" w:space="0" w:color="auto"/>
            <w:insideH w:val="none" w:sz="0" w:space="0" w:color="auto"/>
          </w:tblBorders>
        </w:tblPrEx>
        <w:trPr>
          <w:cantSplit/>
        </w:trPr>
        <w:tc>
          <w:tcPr>
            <w:tcW w:w="1560" w:type="dxa"/>
            <w:shd w:val="clear" w:color="auto" w:fill="auto"/>
          </w:tcPr>
          <w:p w:rsidR="00F11985" w:rsidRPr="00221BBA" w:rsidRDefault="00F11985" w:rsidP="009A258D">
            <w:pPr>
              <w:suppressAutoHyphens w:val="0"/>
              <w:spacing w:before="40" w:after="40" w:line="220" w:lineRule="exact"/>
              <w:rPr>
                <w:b/>
                <w:sz w:val="18"/>
              </w:rPr>
            </w:pPr>
          </w:p>
        </w:tc>
        <w:tc>
          <w:tcPr>
            <w:tcW w:w="2949" w:type="dxa"/>
            <w:shd w:val="clear" w:color="auto" w:fill="auto"/>
          </w:tcPr>
          <w:p w:rsidR="00F11985" w:rsidRPr="00221BBA" w:rsidRDefault="00F11985" w:rsidP="009A258D">
            <w:pPr>
              <w:suppressAutoHyphens w:val="0"/>
              <w:spacing w:before="40" w:after="40" w:line="220" w:lineRule="exact"/>
              <w:rPr>
                <w:sz w:val="18"/>
                <w:lang w:eastAsia="fr-CH"/>
              </w:rPr>
            </w:pPr>
            <w:r w:rsidRPr="00221BBA">
              <w:rPr>
                <w:sz w:val="18"/>
              </w:rPr>
              <w:t>Europe orientale</w:t>
            </w:r>
            <w:r w:rsidRPr="00221BBA">
              <w:rPr>
                <w:sz w:val="18"/>
                <w:lang w:eastAsia="fr-CH"/>
              </w:rPr>
              <w:t>, Caucase et Asie centrale (voir tableau 3)</w:t>
            </w:r>
          </w:p>
        </w:tc>
        <w:tc>
          <w:tcPr>
            <w:tcW w:w="1357" w:type="dxa"/>
            <w:shd w:val="clear" w:color="auto" w:fill="auto"/>
            <w:vAlign w:val="bottom"/>
          </w:tcPr>
          <w:p w:rsidR="00F11985" w:rsidRPr="00221BBA" w:rsidRDefault="00F11985" w:rsidP="009A258D">
            <w:pPr>
              <w:suppressAutoHyphens w:val="0"/>
              <w:spacing w:before="40" w:after="40" w:line="220" w:lineRule="exact"/>
              <w:jc w:val="right"/>
              <w:rPr>
                <w:sz w:val="18"/>
              </w:rPr>
            </w:pPr>
          </w:p>
        </w:tc>
        <w:tc>
          <w:tcPr>
            <w:tcW w:w="800" w:type="dxa"/>
            <w:shd w:val="clear" w:color="auto" w:fill="auto"/>
            <w:vAlign w:val="bottom"/>
          </w:tcPr>
          <w:p w:rsidR="00F11985" w:rsidRPr="00221BBA" w:rsidRDefault="00F11985" w:rsidP="009A258D">
            <w:pPr>
              <w:suppressAutoHyphens w:val="0"/>
              <w:spacing w:before="40" w:after="40" w:line="220" w:lineRule="exact"/>
              <w:jc w:val="right"/>
              <w:rPr>
                <w:iCs/>
                <w:sz w:val="18"/>
              </w:rPr>
            </w:pPr>
          </w:p>
        </w:tc>
        <w:tc>
          <w:tcPr>
            <w:tcW w:w="704" w:type="dxa"/>
            <w:shd w:val="clear" w:color="auto" w:fill="auto"/>
            <w:vAlign w:val="bottom"/>
          </w:tcPr>
          <w:p w:rsidR="00F11985" w:rsidRPr="00221BBA" w:rsidRDefault="00F11985" w:rsidP="009A258D">
            <w:pPr>
              <w:suppressAutoHyphens w:val="0"/>
              <w:spacing w:before="40" w:after="40" w:line="220" w:lineRule="exact"/>
              <w:jc w:val="right"/>
              <w:rPr>
                <w:iCs/>
                <w:sz w:val="18"/>
              </w:rPr>
            </w:pPr>
          </w:p>
        </w:tc>
      </w:tr>
      <w:tr w:rsidR="009A258D" w:rsidRPr="00221BBA" w:rsidTr="009A258D">
        <w:tblPrEx>
          <w:tblBorders>
            <w:top w:val="none" w:sz="0" w:space="0" w:color="auto"/>
            <w:bottom w:val="none" w:sz="0" w:space="0" w:color="auto"/>
            <w:insideH w:val="none" w:sz="0" w:space="0" w:color="auto"/>
          </w:tblBorders>
        </w:tblPrEx>
        <w:trPr>
          <w:cantSplit/>
        </w:trPr>
        <w:tc>
          <w:tcPr>
            <w:tcW w:w="1560" w:type="dxa"/>
            <w:tcBorders>
              <w:bottom w:val="single" w:sz="4" w:space="0" w:color="auto"/>
            </w:tcBorders>
            <w:shd w:val="clear" w:color="auto" w:fill="auto"/>
          </w:tcPr>
          <w:p w:rsidR="007400AF" w:rsidRPr="00221BBA" w:rsidRDefault="007400AF" w:rsidP="009A258D">
            <w:pPr>
              <w:suppressAutoHyphens w:val="0"/>
              <w:spacing w:before="40" w:after="40" w:line="220" w:lineRule="exact"/>
              <w:rPr>
                <w:b/>
                <w:sz w:val="18"/>
              </w:rPr>
            </w:pPr>
          </w:p>
        </w:tc>
        <w:tc>
          <w:tcPr>
            <w:tcW w:w="2949" w:type="dxa"/>
            <w:tcBorders>
              <w:bottom w:val="single" w:sz="4" w:space="0" w:color="auto"/>
            </w:tcBorders>
            <w:shd w:val="clear" w:color="auto" w:fill="auto"/>
          </w:tcPr>
          <w:p w:rsidR="007400AF" w:rsidRPr="00221BBA" w:rsidRDefault="007400AF" w:rsidP="009A258D">
            <w:pPr>
              <w:suppressAutoHyphens w:val="0"/>
              <w:spacing w:before="40" w:after="40" w:line="220" w:lineRule="exact"/>
              <w:rPr>
                <w:sz w:val="18"/>
              </w:rPr>
            </w:pPr>
            <w:r w:rsidRPr="00221BBA">
              <w:rPr>
                <w:sz w:val="18"/>
                <w:lang w:eastAsia="fr-CH"/>
              </w:rPr>
              <w:t>Ressources pour les frais de voyage d’environ 10 experts d’Asie centrale participant à la conférences sous-régionale (à trouver)</w:t>
            </w:r>
          </w:p>
        </w:tc>
        <w:tc>
          <w:tcPr>
            <w:tcW w:w="1357" w:type="dxa"/>
            <w:tcBorders>
              <w:bottom w:val="single" w:sz="4" w:space="0" w:color="auto"/>
            </w:tcBorders>
            <w:shd w:val="clear" w:color="auto" w:fill="auto"/>
            <w:vAlign w:val="bottom"/>
          </w:tcPr>
          <w:p w:rsidR="007400AF" w:rsidRPr="00221BBA" w:rsidRDefault="00EC3ED3" w:rsidP="009A258D">
            <w:pPr>
              <w:suppressAutoHyphens w:val="0"/>
              <w:spacing w:before="40" w:after="40" w:line="220" w:lineRule="exact"/>
              <w:jc w:val="right"/>
              <w:rPr>
                <w:sz w:val="18"/>
              </w:rPr>
            </w:pPr>
            <w:r w:rsidRPr="00221BBA">
              <w:rPr>
                <w:sz w:val="18"/>
              </w:rPr>
              <w:t>20 000</w:t>
            </w:r>
          </w:p>
        </w:tc>
        <w:tc>
          <w:tcPr>
            <w:tcW w:w="800" w:type="dxa"/>
            <w:tcBorders>
              <w:bottom w:val="single" w:sz="4" w:space="0" w:color="auto"/>
            </w:tcBorders>
            <w:shd w:val="clear" w:color="auto" w:fill="auto"/>
            <w:vAlign w:val="bottom"/>
          </w:tcPr>
          <w:p w:rsidR="007400AF" w:rsidRPr="00221BBA" w:rsidRDefault="007400AF" w:rsidP="009A258D">
            <w:pPr>
              <w:suppressAutoHyphens w:val="0"/>
              <w:spacing w:before="40" w:after="40" w:line="220" w:lineRule="exact"/>
              <w:jc w:val="right"/>
              <w:rPr>
                <w:iCs/>
                <w:sz w:val="18"/>
              </w:rPr>
            </w:pPr>
          </w:p>
        </w:tc>
        <w:tc>
          <w:tcPr>
            <w:tcW w:w="704" w:type="dxa"/>
            <w:tcBorders>
              <w:bottom w:val="single" w:sz="4" w:space="0" w:color="auto"/>
            </w:tcBorders>
            <w:shd w:val="clear" w:color="auto" w:fill="auto"/>
            <w:vAlign w:val="bottom"/>
          </w:tcPr>
          <w:p w:rsidR="007400AF" w:rsidRPr="00221BBA" w:rsidRDefault="007400AF" w:rsidP="009A258D">
            <w:pPr>
              <w:suppressAutoHyphens w:val="0"/>
              <w:spacing w:before="40" w:after="40" w:line="220" w:lineRule="exact"/>
              <w:jc w:val="right"/>
              <w:rPr>
                <w:iCs/>
                <w:sz w:val="18"/>
              </w:rPr>
            </w:pPr>
          </w:p>
        </w:tc>
      </w:tr>
      <w:tr w:rsidR="009A258D" w:rsidRPr="00221BBA" w:rsidTr="009A258D">
        <w:tblPrEx>
          <w:tblBorders>
            <w:top w:val="none" w:sz="0" w:space="0" w:color="auto"/>
            <w:bottom w:val="none" w:sz="0" w:space="0" w:color="auto"/>
            <w:insideH w:val="none" w:sz="0" w:space="0" w:color="auto"/>
          </w:tblBorders>
        </w:tblPrEx>
        <w:trPr>
          <w:cantSplit/>
        </w:trPr>
        <w:tc>
          <w:tcPr>
            <w:tcW w:w="1560" w:type="dxa"/>
            <w:tcBorders>
              <w:top w:val="single" w:sz="4" w:space="0" w:color="auto"/>
              <w:bottom w:val="single" w:sz="12" w:space="0" w:color="auto"/>
            </w:tcBorders>
            <w:shd w:val="clear" w:color="auto" w:fill="auto"/>
          </w:tcPr>
          <w:p w:rsidR="00F11985" w:rsidRPr="00221BBA" w:rsidRDefault="00F11985" w:rsidP="009A258D">
            <w:pPr>
              <w:suppressAutoHyphens w:val="0"/>
              <w:spacing w:before="80" w:after="80" w:line="220" w:lineRule="exact"/>
              <w:ind w:left="283"/>
              <w:rPr>
                <w:b/>
                <w:bCs/>
                <w:sz w:val="18"/>
              </w:rPr>
            </w:pPr>
            <w:r w:rsidRPr="00221BBA">
              <w:rPr>
                <w:b/>
                <w:bCs/>
                <w:sz w:val="18"/>
              </w:rPr>
              <w:t>Total partiel</w:t>
            </w:r>
          </w:p>
        </w:tc>
        <w:tc>
          <w:tcPr>
            <w:tcW w:w="2949" w:type="dxa"/>
            <w:tcBorders>
              <w:top w:val="single" w:sz="4" w:space="0" w:color="auto"/>
              <w:bottom w:val="single" w:sz="12" w:space="0" w:color="auto"/>
            </w:tcBorders>
            <w:shd w:val="clear" w:color="auto" w:fill="auto"/>
          </w:tcPr>
          <w:p w:rsidR="00F11985" w:rsidRPr="00221BBA" w:rsidRDefault="00F11985" w:rsidP="009A258D">
            <w:pPr>
              <w:suppressAutoHyphens w:val="0"/>
              <w:spacing w:before="80" w:after="80" w:line="220" w:lineRule="exact"/>
              <w:rPr>
                <w:b/>
                <w:sz w:val="18"/>
                <w:lang w:eastAsia="fr-CH"/>
              </w:rPr>
            </w:pPr>
          </w:p>
        </w:tc>
        <w:tc>
          <w:tcPr>
            <w:tcW w:w="1357" w:type="dxa"/>
            <w:tcBorders>
              <w:top w:val="single" w:sz="4" w:space="0" w:color="auto"/>
              <w:bottom w:val="single" w:sz="12" w:space="0" w:color="auto"/>
            </w:tcBorders>
            <w:shd w:val="clear" w:color="auto" w:fill="auto"/>
            <w:vAlign w:val="bottom"/>
          </w:tcPr>
          <w:p w:rsidR="00F11985" w:rsidRPr="00221BBA" w:rsidRDefault="00F11985" w:rsidP="009A258D">
            <w:pPr>
              <w:suppressAutoHyphens w:val="0"/>
              <w:spacing w:before="80" w:after="80" w:line="220" w:lineRule="exact"/>
              <w:jc w:val="right"/>
              <w:rPr>
                <w:b/>
                <w:bCs/>
                <w:sz w:val="18"/>
              </w:rPr>
            </w:pPr>
            <w:r w:rsidRPr="00221BBA">
              <w:rPr>
                <w:b/>
                <w:bCs/>
                <w:sz w:val="18"/>
              </w:rPr>
              <w:t>20 000</w:t>
            </w:r>
          </w:p>
        </w:tc>
        <w:tc>
          <w:tcPr>
            <w:tcW w:w="800" w:type="dxa"/>
            <w:tcBorders>
              <w:top w:val="single" w:sz="4" w:space="0" w:color="auto"/>
              <w:bottom w:val="single" w:sz="12" w:space="0" w:color="auto"/>
            </w:tcBorders>
            <w:shd w:val="clear" w:color="auto" w:fill="auto"/>
            <w:vAlign w:val="bottom"/>
          </w:tcPr>
          <w:p w:rsidR="00F11985" w:rsidRPr="00221BBA" w:rsidRDefault="00F11985" w:rsidP="009A258D">
            <w:pPr>
              <w:suppressAutoHyphens w:val="0"/>
              <w:spacing w:before="80" w:after="80" w:line="220" w:lineRule="exact"/>
              <w:jc w:val="right"/>
              <w:rPr>
                <w:b/>
                <w:bCs/>
                <w:iCs/>
                <w:sz w:val="18"/>
              </w:rPr>
            </w:pPr>
          </w:p>
        </w:tc>
        <w:tc>
          <w:tcPr>
            <w:tcW w:w="704" w:type="dxa"/>
            <w:tcBorders>
              <w:top w:val="single" w:sz="4" w:space="0" w:color="auto"/>
              <w:bottom w:val="single" w:sz="12" w:space="0" w:color="auto"/>
            </w:tcBorders>
            <w:shd w:val="clear" w:color="auto" w:fill="auto"/>
            <w:vAlign w:val="bottom"/>
          </w:tcPr>
          <w:p w:rsidR="00F11985" w:rsidRPr="00221BBA" w:rsidRDefault="00F11985" w:rsidP="009A258D">
            <w:pPr>
              <w:suppressAutoHyphens w:val="0"/>
              <w:spacing w:before="80" w:after="80" w:line="220" w:lineRule="exact"/>
              <w:jc w:val="right"/>
              <w:rPr>
                <w:b/>
                <w:iCs/>
                <w:sz w:val="18"/>
              </w:rPr>
            </w:pPr>
          </w:p>
        </w:tc>
      </w:tr>
      <w:tr w:rsidR="009A258D" w:rsidRPr="00EC3ED3" w:rsidTr="009A258D">
        <w:tblPrEx>
          <w:tblBorders>
            <w:top w:val="none" w:sz="0" w:space="0" w:color="auto"/>
            <w:bottom w:val="none" w:sz="0" w:space="0" w:color="auto"/>
            <w:insideH w:val="none" w:sz="0" w:space="0" w:color="auto"/>
          </w:tblBorders>
        </w:tblPrEx>
        <w:trPr>
          <w:cantSplit/>
        </w:trPr>
        <w:tc>
          <w:tcPr>
            <w:tcW w:w="5866" w:type="dxa"/>
            <w:gridSpan w:val="3"/>
            <w:tcBorders>
              <w:top w:val="single" w:sz="12" w:space="0" w:color="auto"/>
            </w:tcBorders>
            <w:shd w:val="clear" w:color="auto" w:fill="auto"/>
          </w:tcPr>
          <w:p w:rsidR="00F11985" w:rsidRPr="00EC3ED3" w:rsidRDefault="00F11985" w:rsidP="009A258D">
            <w:pPr>
              <w:suppressAutoHyphens w:val="0"/>
              <w:spacing w:before="40" w:after="40" w:line="220" w:lineRule="exact"/>
              <w:rPr>
                <w:b/>
                <w:sz w:val="18"/>
              </w:rPr>
            </w:pPr>
            <w:r w:rsidRPr="00EC3ED3">
              <w:rPr>
                <w:b/>
                <w:bCs/>
                <w:sz w:val="18"/>
              </w:rPr>
              <w:t>IV.</w:t>
            </w:r>
            <w:r w:rsidRPr="00EC3ED3">
              <w:rPr>
                <w:b/>
                <w:bCs/>
                <w:sz w:val="18"/>
              </w:rPr>
              <w:tab/>
              <w:t>Échange de bonnes pratiques</w:t>
            </w:r>
          </w:p>
        </w:tc>
        <w:tc>
          <w:tcPr>
            <w:tcW w:w="800" w:type="dxa"/>
            <w:tcBorders>
              <w:top w:val="single" w:sz="12" w:space="0" w:color="auto"/>
            </w:tcBorders>
            <w:shd w:val="clear" w:color="auto" w:fill="auto"/>
            <w:vAlign w:val="bottom"/>
          </w:tcPr>
          <w:p w:rsidR="00F11985" w:rsidRPr="00EC3ED3" w:rsidRDefault="00F11985" w:rsidP="009A258D">
            <w:pPr>
              <w:suppressAutoHyphens w:val="0"/>
              <w:spacing w:before="40" w:after="40" w:line="220" w:lineRule="exact"/>
              <w:jc w:val="right"/>
              <w:rPr>
                <w:b/>
                <w:bCs/>
                <w:iCs/>
                <w:sz w:val="18"/>
              </w:rPr>
            </w:pPr>
            <w:r w:rsidRPr="00EC3ED3">
              <w:rPr>
                <w:b/>
                <w:bCs/>
                <w:iCs/>
                <w:sz w:val="18"/>
              </w:rPr>
              <w:t>3</w:t>
            </w:r>
          </w:p>
        </w:tc>
        <w:tc>
          <w:tcPr>
            <w:tcW w:w="704" w:type="dxa"/>
            <w:tcBorders>
              <w:top w:val="single" w:sz="12" w:space="0" w:color="auto"/>
            </w:tcBorders>
            <w:shd w:val="clear" w:color="auto" w:fill="auto"/>
            <w:vAlign w:val="bottom"/>
          </w:tcPr>
          <w:p w:rsidR="00F11985" w:rsidRPr="00EC3ED3" w:rsidRDefault="00F11985" w:rsidP="009A258D">
            <w:pPr>
              <w:suppressAutoHyphens w:val="0"/>
              <w:spacing w:before="40" w:after="40" w:line="220" w:lineRule="exact"/>
              <w:jc w:val="right"/>
              <w:rPr>
                <w:b/>
                <w:bCs/>
                <w:iCs/>
                <w:sz w:val="18"/>
              </w:rPr>
            </w:pPr>
            <w:r w:rsidRPr="00EC3ED3">
              <w:rPr>
                <w:b/>
                <w:bCs/>
                <w:iCs/>
                <w:sz w:val="18"/>
              </w:rPr>
              <w:t>3</w:t>
            </w:r>
          </w:p>
        </w:tc>
      </w:tr>
      <w:tr w:rsidR="009A258D" w:rsidRPr="00221BBA" w:rsidTr="009A258D">
        <w:tblPrEx>
          <w:tblBorders>
            <w:top w:val="none" w:sz="0" w:space="0" w:color="auto"/>
            <w:bottom w:val="none" w:sz="0" w:space="0" w:color="auto"/>
            <w:insideH w:val="none" w:sz="0" w:space="0" w:color="auto"/>
          </w:tblBorders>
        </w:tblPrEx>
        <w:trPr>
          <w:cantSplit/>
        </w:trPr>
        <w:tc>
          <w:tcPr>
            <w:tcW w:w="1560" w:type="dxa"/>
            <w:shd w:val="clear" w:color="auto" w:fill="auto"/>
          </w:tcPr>
          <w:p w:rsidR="00F11985" w:rsidRPr="00221BBA" w:rsidRDefault="00F11985" w:rsidP="009A258D">
            <w:pPr>
              <w:suppressAutoHyphens w:val="0"/>
              <w:spacing w:before="40" w:after="40" w:line="220" w:lineRule="exact"/>
              <w:rPr>
                <w:b/>
                <w:sz w:val="18"/>
              </w:rPr>
            </w:pPr>
          </w:p>
        </w:tc>
        <w:tc>
          <w:tcPr>
            <w:tcW w:w="2949" w:type="dxa"/>
            <w:shd w:val="clear" w:color="auto" w:fill="auto"/>
          </w:tcPr>
          <w:p w:rsidR="00F11985" w:rsidRPr="00221BBA" w:rsidRDefault="00F11985" w:rsidP="009A258D">
            <w:pPr>
              <w:suppressAutoHyphens w:val="0"/>
              <w:spacing w:before="40" w:after="40" w:line="220" w:lineRule="exact"/>
              <w:rPr>
                <w:bCs/>
                <w:sz w:val="18"/>
              </w:rPr>
            </w:pPr>
            <w:r w:rsidRPr="00221BBA">
              <w:rPr>
                <w:bCs/>
                <w:sz w:val="18"/>
              </w:rPr>
              <w:t>Organisation d’ateliers ou de séminaires thématiques dans le cadre des réunions du Groupe de travail ou des Réunions des Parties (</w:t>
            </w:r>
            <w:r w:rsidRPr="00221BBA">
              <w:rPr>
                <w:sz w:val="18"/>
              </w:rPr>
              <w:t>contributions</w:t>
            </w:r>
            <w:r w:rsidRPr="00221BBA">
              <w:rPr>
                <w:bCs/>
                <w:sz w:val="18"/>
              </w:rPr>
              <w:t xml:space="preserve"> en nature des Parties/parties prenantes)</w:t>
            </w:r>
          </w:p>
        </w:tc>
        <w:tc>
          <w:tcPr>
            <w:tcW w:w="1357" w:type="dxa"/>
            <w:shd w:val="clear" w:color="auto" w:fill="auto"/>
            <w:vAlign w:val="bottom"/>
          </w:tcPr>
          <w:p w:rsidR="00F11985" w:rsidRPr="00221BBA" w:rsidRDefault="00F11985" w:rsidP="009A258D">
            <w:pPr>
              <w:suppressAutoHyphens w:val="0"/>
              <w:spacing w:before="40" w:after="40" w:line="220" w:lineRule="exact"/>
              <w:jc w:val="right"/>
              <w:rPr>
                <w:bCs/>
                <w:sz w:val="18"/>
              </w:rPr>
            </w:pPr>
            <w:r w:rsidRPr="00221BBA">
              <w:rPr>
                <w:bCs/>
                <w:sz w:val="18"/>
              </w:rPr>
              <w:t>-</w:t>
            </w:r>
          </w:p>
        </w:tc>
        <w:tc>
          <w:tcPr>
            <w:tcW w:w="800" w:type="dxa"/>
            <w:shd w:val="clear" w:color="auto" w:fill="auto"/>
            <w:vAlign w:val="bottom"/>
          </w:tcPr>
          <w:p w:rsidR="00F11985" w:rsidRPr="00221BBA" w:rsidRDefault="00F11985" w:rsidP="009A258D">
            <w:pPr>
              <w:suppressAutoHyphens w:val="0"/>
              <w:spacing w:before="40" w:after="40" w:line="220" w:lineRule="exact"/>
              <w:jc w:val="right"/>
              <w:rPr>
                <w:bCs/>
                <w:sz w:val="18"/>
              </w:rPr>
            </w:pPr>
          </w:p>
        </w:tc>
        <w:tc>
          <w:tcPr>
            <w:tcW w:w="704" w:type="dxa"/>
            <w:shd w:val="clear" w:color="auto" w:fill="auto"/>
            <w:vAlign w:val="bottom"/>
          </w:tcPr>
          <w:p w:rsidR="00F11985" w:rsidRPr="00221BBA" w:rsidRDefault="00F11985" w:rsidP="009A258D">
            <w:pPr>
              <w:suppressAutoHyphens w:val="0"/>
              <w:spacing w:before="40" w:after="40" w:line="220" w:lineRule="exact"/>
              <w:jc w:val="right"/>
              <w:rPr>
                <w:sz w:val="18"/>
              </w:rPr>
            </w:pPr>
          </w:p>
        </w:tc>
      </w:tr>
      <w:tr w:rsidR="009A258D" w:rsidRPr="00221BBA" w:rsidTr="009A258D">
        <w:tblPrEx>
          <w:tblBorders>
            <w:top w:val="none" w:sz="0" w:space="0" w:color="auto"/>
            <w:bottom w:val="none" w:sz="0" w:space="0" w:color="auto"/>
            <w:insideH w:val="none" w:sz="0" w:space="0" w:color="auto"/>
          </w:tblBorders>
        </w:tblPrEx>
        <w:trPr>
          <w:cantSplit/>
        </w:trPr>
        <w:tc>
          <w:tcPr>
            <w:tcW w:w="1560" w:type="dxa"/>
            <w:shd w:val="clear" w:color="auto" w:fill="auto"/>
          </w:tcPr>
          <w:p w:rsidR="00F11985" w:rsidRPr="00221BBA" w:rsidRDefault="00F11985" w:rsidP="009A258D">
            <w:pPr>
              <w:suppressAutoHyphens w:val="0"/>
              <w:spacing w:before="40" w:after="40" w:line="220" w:lineRule="exact"/>
              <w:rPr>
                <w:b/>
                <w:iCs/>
                <w:sz w:val="18"/>
              </w:rPr>
            </w:pPr>
          </w:p>
        </w:tc>
        <w:tc>
          <w:tcPr>
            <w:tcW w:w="2949" w:type="dxa"/>
            <w:shd w:val="clear" w:color="auto" w:fill="auto"/>
          </w:tcPr>
          <w:p w:rsidR="00F11985" w:rsidRPr="00221BBA" w:rsidRDefault="00F11985" w:rsidP="009A258D">
            <w:pPr>
              <w:suppressAutoHyphens w:val="0"/>
              <w:spacing w:before="40" w:after="40" w:line="220" w:lineRule="exact"/>
              <w:rPr>
                <w:sz w:val="18"/>
              </w:rPr>
            </w:pPr>
            <w:r w:rsidRPr="00221BBA">
              <w:rPr>
                <w:sz w:val="18"/>
              </w:rPr>
              <w:t>Préparation de fiches de synthèse (contributions</w:t>
            </w:r>
            <w:r w:rsidRPr="00221BBA">
              <w:rPr>
                <w:bCs/>
                <w:sz w:val="18"/>
              </w:rPr>
              <w:t xml:space="preserve"> en nature des Parties/parties prenantes</w:t>
            </w:r>
            <w:r w:rsidRPr="00221BBA">
              <w:rPr>
                <w:sz w:val="18"/>
              </w:rPr>
              <w:t>)</w:t>
            </w:r>
          </w:p>
        </w:tc>
        <w:tc>
          <w:tcPr>
            <w:tcW w:w="1357" w:type="dxa"/>
            <w:shd w:val="clear" w:color="auto" w:fill="auto"/>
            <w:vAlign w:val="bottom"/>
          </w:tcPr>
          <w:p w:rsidR="00F11985" w:rsidRPr="00221BBA" w:rsidRDefault="00F11985" w:rsidP="009A258D">
            <w:pPr>
              <w:suppressAutoHyphens w:val="0"/>
              <w:spacing w:before="40" w:after="40" w:line="220" w:lineRule="exact"/>
              <w:jc w:val="right"/>
              <w:rPr>
                <w:sz w:val="18"/>
              </w:rPr>
            </w:pPr>
            <w:r w:rsidRPr="00221BBA">
              <w:rPr>
                <w:sz w:val="18"/>
              </w:rPr>
              <w:t>-</w:t>
            </w:r>
          </w:p>
        </w:tc>
        <w:tc>
          <w:tcPr>
            <w:tcW w:w="800" w:type="dxa"/>
            <w:shd w:val="clear" w:color="auto" w:fill="auto"/>
            <w:vAlign w:val="bottom"/>
          </w:tcPr>
          <w:p w:rsidR="00F11985" w:rsidRPr="00221BBA" w:rsidRDefault="00F11985" w:rsidP="009A258D">
            <w:pPr>
              <w:suppressAutoHyphens w:val="0"/>
              <w:spacing w:before="40" w:after="40" w:line="220" w:lineRule="exact"/>
              <w:jc w:val="right"/>
              <w:rPr>
                <w:sz w:val="18"/>
              </w:rPr>
            </w:pPr>
          </w:p>
        </w:tc>
        <w:tc>
          <w:tcPr>
            <w:tcW w:w="704" w:type="dxa"/>
            <w:shd w:val="clear" w:color="auto" w:fill="auto"/>
            <w:vAlign w:val="bottom"/>
          </w:tcPr>
          <w:p w:rsidR="00F11985" w:rsidRPr="00221BBA" w:rsidRDefault="00F11985" w:rsidP="009A258D">
            <w:pPr>
              <w:suppressAutoHyphens w:val="0"/>
              <w:spacing w:before="40" w:after="40" w:line="220" w:lineRule="exact"/>
              <w:jc w:val="right"/>
              <w:rPr>
                <w:sz w:val="18"/>
              </w:rPr>
            </w:pPr>
          </w:p>
        </w:tc>
      </w:tr>
      <w:tr w:rsidR="009A258D" w:rsidRPr="00221BBA" w:rsidTr="009A258D">
        <w:tblPrEx>
          <w:tblBorders>
            <w:top w:val="none" w:sz="0" w:space="0" w:color="auto"/>
            <w:bottom w:val="none" w:sz="0" w:space="0" w:color="auto"/>
            <w:insideH w:val="none" w:sz="0" w:space="0" w:color="auto"/>
          </w:tblBorders>
        </w:tblPrEx>
        <w:trPr>
          <w:cantSplit/>
        </w:trPr>
        <w:tc>
          <w:tcPr>
            <w:tcW w:w="1560" w:type="dxa"/>
            <w:shd w:val="clear" w:color="auto" w:fill="auto"/>
          </w:tcPr>
          <w:p w:rsidR="00F11985" w:rsidRPr="00221BBA" w:rsidRDefault="00F11985" w:rsidP="009A258D">
            <w:pPr>
              <w:suppressAutoHyphens w:val="0"/>
              <w:spacing w:before="40" w:after="40" w:line="220" w:lineRule="exact"/>
              <w:rPr>
                <w:b/>
                <w:iCs/>
                <w:sz w:val="18"/>
              </w:rPr>
            </w:pPr>
          </w:p>
        </w:tc>
        <w:tc>
          <w:tcPr>
            <w:tcW w:w="2949" w:type="dxa"/>
            <w:shd w:val="clear" w:color="auto" w:fill="auto"/>
          </w:tcPr>
          <w:p w:rsidR="00F11985" w:rsidRPr="00221BBA" w:rsidRDefault="00F11985" w:rsidP="009A258D">
            <w:pPr>
              <w:suppressAutoHyphens w:val="0"/>
              <w:spacing w:before="40" w:after="40" w:line="220" w:lineRule="exact"/>
              <w:rPr>
                <w:sz w:val="18"/>
              </w:rPr>
            </w:pPr>
            <w:r w:rsidRPr="00221BBA">
              <w:rPr>
                <w:sz w:val="18"/>
              </w:rPr>
              <w:t xml:space="preserve">Création d’une base de données en ligne des bonnes pratiques des Parties ou collecte et compilation des bonnes pratiques (montant des honoraires de consultant à trouver) </w:t>
            </w:r>
          </w:p>
        </w:tc>
        <w:tc>
          <w:tcPr>
            <w:tcW w:w="1357" w:type="dxa"/>
            <w:shd w:val="clear" w:color="auto" w:fill="auto"/>
            <w:vAlign w:val="bottom"/>
          </w:tcPr>
          <w:p w:rsidR="00F11985" w:rsidRPr="00221BBA" w:rsidRDefault="00F11985" w:rsidP="009A258D">
            <w:pPr>
              <w:suppressAutoHyphens w:val="0"/>
              <w:spacing w:before="40" w:after="40" w:line="220" w:lineRule="exact"/>
              <w:jc w:val="right"/>
              <w:rPr>
                <w:sz w:val="18"/>
              </w:rPr>
            </w:pPr>
            <w:r w:rsidRPr="00221BBA">
              <w:rPr>
                <w:sz w:val="18"/>
              </w:rPr>
              <w:t>20 000</w:t>
            </w:r>
          </w:p>
        </w:tc>
        <w:tc>
          <w:tcPr>
            <w:tcW w:w="800" w:type="dxa"/>
            <w:shd w:val="clear" w:color="auto" w:fill="auto"/>
            <w:vAlign w:val="bottom"/>
          </w:tcPr>
          <w:p w:rsidR="00F11985" w:rsidRPr="00221BBA" w:rsidRDefault="00F11985" w:rsidP="009A258D">
            <w:pPr>
              <w:suppressAutoHyphens w:val="0"/>
              <w:spacing w:before="40" w:after="40" w:line="220" w:lineRule="exact"/>
              <w:jc w:val="right"/>
              <w:rPr>
                <w:sz w:val="18"/>
              </w:rPr>
            </w:pPr>
          </w:p>
        </w:tc>
        <w:tc>
          <w:tcPr>
            <w:tcW w:w="704" w:type="dxa"/>
            <w:shd w:val="clear" w:color="auto" w:fill="auto"/>
            <w:vAlign w:val="bottom"/>
          </w:tcPr>
          <w:p w:rsidR="00F11985" w:rsidRPr="00221BBA" w:rsidRDefault="00F11985" w:rsidP="009A258D">
            <w:pPr>
              <w:suppressAutoHyphens w:val="0"/>
              <w:spacing w:before="40" w:after="40" w:line="220" w:lineRule="exact"/>
              <w:jc w:val="right"/>
              <w:rPr>
                <w:sz w:val="18"/>
              </w:rPr>
            </w:pPr>
          </w:p>
        </w:tc>
      </w:tr>
      <w:tr w:rsidR="009A258D" w:rsidRPr="00221BBA" w:rsidTr="009A258D">
        <w:tblPrEx>
          <w:tblBorders>
            <w:top w:val="none" w:sz="0" w:space="0" w:color="auto"/>
            <w:bottom w:val="none" w:sz="0" w:space="0" w:color="auto"/>
            <w:insideH w:val="none" w:sz="0" w:space="0" w:color="auto"/>
          </w:tblBorders>
        </w:tblPrEx>
        <w:trPr>
          <w:cantSplit/>
        </w:trPr>
        <w:tc>
          <w:tcPr>
            <w:tcW w:w="1560" w:type="dxa"/>
            <w:tcBorders>
              <w:bottom w:val="single" w:sz="4" w:space="0" w:color="auto"/>
            </w:tcBorders>
            <w:shd w:val="clear" w:color="auto" w:fill="auto"/>
          </w:tcPr>
          <w:p w:rsidR="00F11985" w:rsidRPr="00221BBA" w:rsidRDefault="00F11985" w:rsidP="009A258D">
            <w:pPr>
              <w:suppressAutoHyphens w:val="0"/>
              <w:spacing w:before="40" w:after="40" w:line="220" w:lineRule="exact"/>
              <w:rPr>
                <w:b/>
                <w:iCs/>
                <w:sz w:val="18"/>
              </w:rPr>
            </w:pPr>
          </w:p>
        </w:tc>
        <w:tc>
          <w:tcPr>
            <w:tcW w:w="2949" w:type="dxa"/>
            <w:tcBorders>
              <w:bottom w:val="single" w:sz="4" w:space="0" w:color="auto"/>
            </w:tcBorders>
            <w:shd w:val="clear" w:color="auto" w:fill="auto"/>
          </w:tcPr>
          <w:p w:rsidR="00F11985" w:rsidRPr="00221BBA" w:rsidRDefault="00F11985" w:rsidP="009A258D">
            <w:pPr>
              <w:suppressAutoHyphens w:val="0"/>
              <w:spacing w:before="40" w:after="40" w:line="220" w:lineRule="exact"/>
              <w:rPr>
                <w:sz w:val="18"/>
              </w:rPr>
            </w:pPr>
            <w:r w:rsidRPr="00221BBA">
              <w:rPr>
                <w:sz w:val="18"/>
              </w:rPr>
              <w:t>Élaboration de recommandations de bonnes pratiques (montant des honoraires de consultant à trouver)</w:t>
            </w:r>
          </w:p>
        </w:tc>
        <w:tc>
          <w:tcPr>
            <w:tcW w:w="1357" w:type="dxa"/>
            <w:tcBorders>
              <w:bottom w:val="single" w:sz="4" w:space="0" w:color="auto"/>
            </w:tcBorders>
            <w:shd w:val="clear" w:color="auto" w:fill="auto"/>
            <w:vAlign w:val="bottom"/>
          </w:tcPr>
          <w:p w:rsidR="00F11985" w:rsidRPr="00221BBA" w:rsidRDefault="00F11985" w:rsidP="009A258D">
            <w:pPr>
              <w:suppressAutoHyphens w:val="0"/>
              <w:spacing w:before="40" w:after="40" w:line="220" w:lineRule="exact"/>
              <w:jc w:val="right"/>
              <w:rPr>
                <w:sz w:val="18"/>
              </w:rPr>
            </w:pPr>
            <w:r w:rsidRPr="00221BBA">
              <w:rPr>
                <w:sz w:val="18"/>
              </w:rPr>
              <w:t>20 000</w:t>
            </w:r>
          </w:p>
        </w:tc>
        <w:tc>
          <w:tcPr>
            <w:tcW w:w="800" w:type="dxa"/>
            <w:tcBorders>
              <w:bottom w:val="single" w:sz="4" w:space="0" w:color="auto"/>
            </w:tcBorders>
            <w:shd w:val="clear" w:color="auto" w:fill="auto"/>
            <w:vAlign w:val="bottom"/>
          </w:tcPr>
          <w:p w:rsidR="00F11985" w:rsidRPr="00221BBA" w:rsidRDefault="00F11985" w:rsidP="009A258D">
            <w:pPr>
              <w:suppressAutoHyphens w:val="0"/>
              <w:spacing w:before="40" w:after="40" w:line="220" w:lineRule="exact"/>
              <w:jc w:val="right"/>
              <w:rPr>
                <w:sz w:val="18"/>
              </w:rPr>
            </w:pPr>
          </w:p>
        </w:tc>
        <w:tc>
          <w:tcPr>
            <w:tcW w:w="704" w:type="dxa"/>
            <w:tcBorders>
              <w:bottom w:val="single" w:sz="4" w:space="0" w:color="auto"/>
            </w:tcBorders>
            <w:shd w:val="clear" w:color="auto" w:fill="auto"/>
            <w:vAlign w:val="bottom"/>
          </w:tcPr>
          <w:p w:rsidR="00F11985" w:rsidRPr="00221BBA" w:rsidRDefault="00F11985" w:rsidP="009A258D">
            <w:pPr>
              <w:suppressAutoHyphens w:val="0"/>
              <w:spacing w:before="40" w:after="40" w:line="220" w:lineRule="exact"/>
              <w:jc w:val="right"/>
              <w:rPr>
                <w:sz w:val="18"/>
              </w:rPr>
            </w:pPr>
          </w:p>
        </w:tc>
      </w:tr>
      <w:tr w:rsidR="009A258D" w:rsidRPr="00221BBA" w:rsidTr="009A258D">
        <w:tblPrEx>
          <w:tblBorders>
            <w:top w:val="none" w:sz="0" w:space="0" w:color="auto"/>
            <w:bottom w:val="none" w:sz="0" w:space="0" w:color="auto"/>
            <w:insideH w:val="none" w:sz="0" w:space="0" w:color="auto"/>
          </w:tblBorders>
        </w:tblPrEx>
        <w:trPr>
          <w:cantSplit/>
        </w:trPr>
        <w:tc>
          <w:tcPr>
            <w:tcW w:w="1560" w:type="dxa"/>
            <w:tcBorders>
              <w:top w:val="single" w:sz="4" w:space="0" w:color="auto"/>
              <w:bottom w:val="single" w:sz="12" w:space="0" w:color="auto"/>
            </w:tcBorders>
            <w:shd w:val="clear" w:color="auto" w:fill="auto"/>
          </w:tcPr>
          <w:p w:rsidR="00F11985" w:rsidRPr="00221BBA" w:rsidRDefault="00F11985" w:rsidP="009A258D">
            <w:pPr>
              <w:suppressAutoHyphens w:val="0"/>
              <w:spacing w:before="80" w:after="80" w:line="220" w:lineRule="exact"/>
              <w:ind w:left="283"/>
              <w:rPr>
                <w:b/>
                <w:bCs/>
                <w:sz w:val="18"/>
              </w:rPr>
            </w:pPr>
            <w:r w:rsidRPr="00221BBA">
              <w:rPr>
                <w:b/>
                <w:bCs/>
                <w:sz w:val="18"/>
              </w:rPr>
              <w:t>Total partiel</w:t>
            </w:r>
          </w:p>
        </w:tc>
        <w:tc>
          <w:tcPr>
            <w:tcW w:w="2949" w:type="dxa"/>
            <w:tcBorders>
              <w:top w:val="single" w:sz="4" w:space="0" w:color="auto"/>
              <w:bottom w:val="single" w:sz="12" w:space="0" w:color="auto"/>
            </w:tcBorders>
            <w:shd w:val="clear" w:color="auto" w:fill="auto"/>
          </w:tcPr>
          <w:p w:rsidR="00F11985" w:rsidRPr="00221BBA" w:rsidRDefault="00F11985" w:rsidP="009A258D">
            <w:pPr>
              <w:suppressAutoHyphens w:val="0"/>
              <w:spacing w:before="80" w:after="80" w:line="220" w:lineRule="exact"/>
              <w:rPr>
                <w:b/>
                <w:sz w:val="18"/>
              </w:rPr>
            </w:pPr>
          </w:p>
        </w:tc>
        <w:tc>
          <w:tcPr>
            <w:tcW w:w="1357" w:type="dxa"/>
            <w:tcBorders>
              <w:top w:val="single" w:sz="4" w:space="0" w:color="auto"/>
              <w:bottom w:val="single" w:sz="12" w:space="0" w:color="auto"/>
            </w:tcBorders>
            <w:shd w:val="clear" w:color="auto" w:fill="auto"/>
            <w:vAlign w:val="bottom"/>
          </w:tcPr>
          <w:p w:rsidR="00F11985" w:rsidRPr="00221BBA" w:rsidRDefault="00F11985" w:rsidP="009A258D">
            <w:pPr>
              <w:suppressAutoHyphens w:val="0"/>
              <w:spacing w:before="80" w:after="80" w:line="220" w:lineRule="exact"/>
              <w:jc w:val="right"/>
              <w:rPr>
                <w:b/>
                <w:bCs/>
                <w:sz w:val="18"/>
              </w:rPr>
            </w:pPr>
            <w:r w:rsidRPr="00221BBA">
              <w:rPr>
                <w:b/>
                <w:bCs/>
                <w:sz w:val="18"/>
              </w:rPr>
              <w:t>40 000</w:t>
            </w:r>
          </w:p>
        </w:tc>
        <w:tc>
          <w:tcPr>
            <w:tcW w:w="800" w:type="dxa"/>
            <w:tcBorders>
              <w:top w:val="single" w:sz="4" w:space="0" w:color="auto"/>
              <w:bottom w:val="single" w:sz="12" w:space="0" w:color="auto"/>
            </w:tcBorders>
            <w:shd w:val="clear" w:color="auto" w:fill="auto"/>
            <w:vAlign w:val="bottom"/>
          </w:tcPr>
          <w:p w:rsidR="00F11985" w:rsidRPr="00221BBA" w:rsidRDefault="00F11985" w:rsidP="009A258D">
            <w:pPr>
              <w:suppressAutoHyphens w:val="0"/>
              <w:spacing w:before="80" w:after="80" w:line="220" w:lineRule="exact"/>
              <w:jc w:val="right"/>
              <w:rPr>
                <w:b/>
                <w:bCs/>
                <w:sz w:val="18"/>
              </w:rPr>
            </w:pPr>
          </w:p>
        </w:tc>
        <w:tc>
          <w:tcPr>
            <w:tcW w:w="704" w:type="dxa"/>
            <w:tcBorders>
              <w:top w:val="single" w:sz="4" w:space="0" w:color="auto"/>
              <w:bottom w:val="single" w:sz="12" w:space="0" w:color="auto"/>
            </w:tcBorders>
            <w:shd w:val="clear" w:color="auto" w:fill="auto"/>
            <w:vAlign w:val="bottom"/>
          </w:tcPr>
          <w:p w:rsidR="00F11985" w:rsidRPr="00221BBA" w:rsidRDefault="00F11985" w:rsidP="009A258D">
            <w:pPr>
              <w:suppressAutoHyphens w:val="0"/>
              <w:spacing w:before="80" w:after="80" w:line="220" w:lineRule="exact"/>
              <w:jc w:val="right"/>
              <w:rPr>
                <w:b/>
                <w:sz w:val="18"/>
              </w:rPr>
            </w:pPr>
          </w:p>
        </w:tc>
      </w:tr>
      <w:tr w:rsidR="009A258D" w:rsidRPr="00EC3ED3" w:rsidTr="009A258D">
        <w:tblPrEx>
          <w:tblBorders>
            <w:top w:val="none" w:sz="0" w:space="0" w:color="auto"/>
            <w:bottom w:val="none" w:sz="0" w:space="0" w:color="auto"/>
            <w:insideH w:val="none" w:sz="0" w:space="0" w:color="auto"/>
          </w:tblBorders>
        </w:tblPrEx>
        <w:trPr>
          <w:cantSplit/>
        </w:trPr>
        <w:tc>
          <w:tcPr>
            <w:tcW w:w="5866" w:type="dxa"/>
            <w:gridSpan w:val="3"/>
            <w:tcBorders>
              <w:top w:val="single" w:sz="12" w:space="0" w:color="auto"/>
            </w:tcBorders>
            <w:shd w:val="clear" w:color="auto" w:fill="auto"/>
          </w:tcPr>
          <w:p w:rsidR="00F11985" w:rsidRPr="00EC3ED3" w:rsidRDefault="00F11985" w:rsidP="009A258D">
            <w:pPr>
              <w:suppressAutoHyphens w:val="0"/>
              <w:spacing w:before="40" w:after="40" w:line="220" w:lineRule="exact"/>
              <w:rPr>
                <w:b/>
                <w:sz w:val="18"/>
              </w:rPr>
            </w:pPr>
            <w:r w:rsidRPr="00EC3ED3">
              <w:rPr>
                <w:b/>
                <w:bCs/>
                <w:sz w:val="18"/>
              </w:rPr>
              <w:t>V.</w:t>
            </w:r>
            <w:r w:rsidRPr="00EC3ED3">
              <w:rPr>
                <w:b/>
                <w:bCs/>
                <w:sz w:val="18"/>
              </w:rPr>
              <w:tab/>
            </w:r>
            <w:r w:rsidRPr="00EC3ED3">
              <w:rPr>
                <w:b/>
                <w:sz w:val="18"/>
              </w:rPr>
              <w:t>Promouvoir</w:t>
            </w:r>
            <w:r w:rsidRPr="00EC3ED3">
              <w:rPr>
                <w:b/>
                <w:bCs/>
                <w:sz w:val="18"/>
              </w:rPr>
              <w:t xml:space="preserve"> l’application pratique du Protocole </w:t>
            </w:r>
            <w:r w:rsidR="007400AF" w:rsidRPr="00EC3ED3">
              <w:rPr>
                <w:b/>
                <w:bCs/>
                <w:sz w:val="18"/>
              </w:rPr>
              <w:br/>
            </w:r>
            <w:r w:rsidRPr="00EC3ED3">
              <w:rPr>
                <w:b/>
                <w:bCs/>
                <w:sz w:val="18"/>
              </w:rPr>
              <w:t>et/ou de la Convention</w:t>
            </w:r>
          </w:p>
        </w:tc>
        <w:tc>
          <w:tcPr>
            <w:tcW w:w="800" w:type="dxa"/>
            <w:tcBorders>
              <w:top w:val="single" w:sz="12" w:space="0" w:color="auto"/>
            </w:tcBorders>
            <w:shd w:val="clear" w:color="auto" w:fill="auto"/>
            <w:vAlign w:val="bottom"/>
          </w:tcPr>
          <w:p w:rsidR="00F11985" w:rsidRPr="00EC3ED3" w:rsidRDefault="00F11985" w:rsidP="009A258D">
            <w:pPr>
              <w:suppressAutoHyphens w:val="0"/>
              <w:spacing w:before="40" w:after="40" w:line="220" w:lineRule="exact"/>
              <w:jc w:val="right"/>
              <w:rPr>
                <w:b/>
                <w:bCs/>
                <w:sz w:val="18"/>
              </w:rPr>
            </w:pPr>
            <w:r w:rsidRPr="00EC3ED3">
              <w:rPr>
                <w:b/>
                <w:bCs/>
                <w:sz w:val="18"/>
              </w:rPr>
              <w:t>2</w:t>
            </w:r>
            <w:r w:rsidR="007400AF" w:rsidRPr="00EC3ED3">
              <w:rPr>
                <w:b/>
                <w:bCs/>
                <w:sz w:val="18"/>
              </w:rPr>
              <w:t>,</w:t>
            </w:r>
            <w:r w:rsidRPr="00EC3ED3">
              <w:rPr>
                <w:b/>
                <w:bCs/>
                <w:sz w:val="18"/>
              </w:rPr>
              <w:t>5</w:t>
            </w:r>
          </w:p>
        </w:tc>
        <w:tc>
          <w:tcPr>
            <w:tcW w:w="704" w:type="dxa"/>
            <w:tcBorders>
              <w:top w:val="single" w:sz="12" w:space="0" w:color="auto"/>
            </w:tcBorders>
            <w:shd w:val="clear" w:color="auto" w:fill="auto"/>
            <w:vAlign w:val="bottom"/>
          </w:tcPr>
          <w:p w:rsidR="00F11985" w:rsidRPr="00EC3ED3" w:rsidRDefault="00F11985" w:rsidP="009A258D">
            <w:pPr>
              <w:suppressAutoHyphens w:val="0"/>
              <w:spacing w:before="40" w:after="40" w:line="220" w:lineRule="exact"/>
              <w:jc w:val="right"/>
              <w:rPr>
                <w:b/>
                <w:bCs/>
                <w:sz w:val="18"/>
              </w:rPr>
            </w:pPr>
            <w:r w:rsidRPr="00EC3ED3">
              <w:rPr>
                <w:b/>
                <w:bCs/>
                <w:sz w:val="18"/>
              </w:rPr>
              <w:t>0</w:t>
            </w:r>
          </w:p>
        </w:tc>
      </w:tr>
      <w:tr w:rsidR="009A258D" w:rsidRPr="00221BBA" w:rsidTr="009A258D">
        <w:tblPrEx>
          <w:tblBorders>
            <w:top w:val="none" w:sz="0" w:space="0" w:color="auto"/>
            <w:bottom w:val="none" w:sz="0" w:space="0" w:color="auto"/>
            <w:insideH w:val="none" w:sz="0" w:space="0" w:color="auto"/>
          </w:tblBorders>
        </w:tblPrEx>
        <w:trPr>
          <w:cantSplit/>
        </w:trPr>
        <w:tc>
          <w:tcPr>
            <w:tcW w:w="1560" w:type="dxa"/>
            <w:shd w:val="clear" w:color="auto" w:fill="auto"/>
          </w:tcPr>
          <w:p w:rsidR="00F11985" w:rsidRPr="00221BBA" w:rsidRDefault="00F11985" w:rsidP="009A258D">
            <w:pPr>
              <w:suppressAutoHyphens w:val="0"/>
              <w:spacing w:before="40" w:after="40" w:line="220" w:lineRule="exact"/>
              <w:rPr>
                <w:b/>
                <w:bCs/>
                <w:sz w:val="18"/>
              </w:rPr>
            </w:pPr>
          </w:p>
        </w:tc>
        <w:tc>
          <w:tcPr>
            <w:tcW w:w="2949" w:type="dxa"/>
            <w:shd w:val="clear" w:color="auto" w:fill="auto"/>
          </w:tcPr>
          <w:p w:rsidR="00F11985" w:rsidRPr="00221BBA" w:rsidRDefault="00F11985" w:rsidP="009A258D">
            <w:pPr>
              <w:suppressAutoHyphens w:val="0"/>
              <w:spacing w:before="40" w:after="40" w:line="220" w:lineRule="exact"/>
              <w:rPr>
                <w:sz w:val="18"/>
              </w:rPr>
            </w:pPr>
            <w:r w:rsidRPr="00221BBA">
              <w:rPr>
                <w:sz w:val="18"/>
              </w:rPr>
              <w:t>Projets pilotes, formation, sensibilisation, lignes directrices thématiques ou sectorielles et modèle de base de données pour les pays d’Europe orientale et du Caucase (voir tableau 3)</w:t>
            </w:r>
          </w:p>
        </w:tc>
        <w:tc>
          <w:tcPr>
            <w:tcW w:w="1357" w:type="dxa"/>
            <w:shd w:val="clear" w:color="auto" w:fill="auto"/>
            <w:vAlign w:val="bottom"/>
          </w:tcPr>
          <w:p w:rsidR="00F11985" w:rsidRPr="00221BBA" w:rsidRDefault="00F11985" w:rsidP="009A258D">
            <w:pPr>
              <w:suppressAutoHyphens w:val="0"/>
              <w:spacing w:before="40" w:after="40" w:line="220" w:lineRule="exact"/>
              <w:jc w:val="right"/>
              <w:rPr>
                <w:sz w:val="18"/>
              </w:rPr>
            </w:pPr>
            <w:r w:rsidRPr="00221BBA">
              <w:rPr>
                <w:sz w:val="18"/>
              </w:rPr>
              <w:t>-</w:t>
            </w:r>
          </w:p>
        </w:tc>
        <w:tc>
          <w:tcPr>
            <w:tcW w:w="800" w:type="dxa"/>
            <w:shd w:val="clear" w:color="auto" w:fill="auto"/>
            <w:vAlign w:val="bottom"/>
          </w:tcPr>
          <w:p w:rsidR="00F11985" w:rsidRPr="00221BBA" w:rsidRDefault="00F11985" w:rsidP="009A258D">
            <w:pPr>
              <w:suppressAutoHyphens w:val="0"/>
              <w:spacing w:before="40" w:after="40" w:line="220" w:lineRule="exact"/>
              <w:jc w:val="right"/>
              <w:rPr>
                <w:sz w:val="18"/>
              </w:rPr>
            </w:pPr>
          </w:p>
        </w:tc>
        <w:tc>
          <w:tcPr>
            <w:tcW w:w="704" w:type="dxa"/>
            <w:shd w:val="clear" w:color="auto" w:fill="auto"/>
            <w:vAlign w:val="bottom"/>
          </w:tcPr>
          <w:p w:rsidR="00F11985" w:rsidRPr="00221BBA" w:rsidRDefault="00F11985" w:rsidP="009A258D">
            <w:pPr>
              <w:suppressAutoHyphens w:val="0"/>
              <w:spacing w:before="40" w:after="40" w:line="220" w:lineRule="exact"/>
              <w:jc w:val="right"/>
              <w:rPr>
                <w:sz w:val="18"/>
              </w:rPr>
            </w:pPr>
          </w:p>
        </w:tc>
      </w:tr>
      <w:tr w:rsidR="009A258D" w:rsidRPr="00221BBA" w:rsidTr="009A258D">
        <w:tblPrEx>
          <w:tblBorders>
            <w:top w:val="none" w:sz="0" w:space="0" w:color="auto"/>
            <w:bottom w:val="none" w:sz="0" w:space="0" w:color="auto"/>
            <w:insideH w:val="none" w:sz="0" w:space="0" w:color="auto"/>
          </w:tblBorders>
        </w:tblPrEx>
        <w:trPr>
          <w:cantSplit/>
        </w:trPr>
        <w:tc>
          <w:tcPr>
            <w:tcW w:w="1560" w:type="dxa"/>
            <w:tcBorders>
              <w:bottom w:val="single" w:sz="4" w:space="0" w:color="auto"/>
            </w:tcBorders>
            <w:shd w:val="clear" w:color="auto" w:fill="auto"/>
          </w:tcPr>
          <w:p w:rsidR="00F11985" w:rsidRPr="00221BBA" w:rsidRDefault="00F11985" w:rsidP="009A258D">
            <w:pPr>
              <w:suppressAutoHyphens w:val="0"/>
              <w:spacing w:before="40" w:after="40" w:line="220" w:lineRule="exact"/>
              <w:rPr>
                <w:b/>
                <w:sz w:val="18"/>
              </w:rPr>
            </w:pPr>
          </w:p>
        </w:tc>
        <w:tc>
          <w:tcPr>
            <w:tcW w:w="2949" w:type="dxa"/>
            <w:tcBorders>
              <w:bottom w:val="single" w:sz="4" w:space="0" w:color="auto"/>
            </w:tcBorders>
            <w:shd w:val="clear" w:color="auto" w:fill="auto"/>
          </w:tcPr>
          <w:p w:rsidR="00F11985" w:rsidRPr="00221BBA" w:rsidRDefault="00F11985" w:rsidP="009A258D">
            <w:pPr>
              <w:suppressAutoHyphens w:val="0"/>
              <w:spacing w:before="40" w:after="40" w:line="220" w:lineRule="exact"/>
              <w:rPr>
                <w:sz w:val="18"/>
              </w:rPr>
            </w:pPr>
            <w:r w:rsidRPr="00221BBA">
              <w:rPr>
                <w:sz w:val="18"/>
              </w:rPr>
              <w:t>Préparation de FasTips par l’IAIA (contribution en nature)</w:t>
            </w:r>
          </w:p>
        </w:tc>
        <w:tc>
          <w:tcPr>
            <w:tcW w:w="1357" w:type="dxa"/>
            <w:tcBorders>
              <w:bottom w:val="single" w:sz="4" w:space="0" w:color="auto"/>
            </w:tcBorders>
            <w:shd w:val="clear" w:color="auto" w:fill="auto"/>
            <w:vAlign w:val="bottom"/>
          </w:tcPr>
          <w:p w:rsidR="00F11985" w:rsidRPr="00221BBA" w:rsidRDefault="00F11985" w:rsidP="009A258D">
            <w:pPr>
              <w:suppressAutoHyphens w:val="0"/>
              <w:spacing w:before="40" w:after="40" w:line="220" w:lineRule="exact"/>
              <w:jc w:val="right"/>
              <w:rPr>
                <w:sz w:val="18"/>
              </w:rPr>
            </w:pPr>
            <w:r w:rsidRPr="00221BBA">
              <w:rPr>
                <w:sz w:val="18"/>
              </w:rPr>
              <w:t>-</w:t>
            </w:r>
          </w:p>
        </w:tc>
        <w:tc>
          <w:tcPr>
            <w:tcW w:w="800" w:type="dxa"/>
            <w:tcBorders>
              <w:bottom w:val="single" w:sz="4" w:space="0" w:color="auto"/>
            </w:tcBorders>
            <w:shd w:val="clear" w:color="auto" w:fill="auto"/>
            <w:vAlign w:val="bottom"/>
          </w:tcPr>
          <w:p w:rsidR="00F11985" w:rsidRPr="00221BBA" w:rsidRDefault="00F11985" w:rsidP="009A258D">
            <w:pPr>
              <w:suppressAutoHyphens w:val="0"/>
              <w:spacing w:before="40" w:after="40" w:line="220" w:lineRule="exact"/>
              <w:jc w:val="right"/>
              <w:rPr>
                <w:sz w:val="18"/>
              </w:rPr>
            </w:pPr>
          </w:p>
        </w:tc>
        <w:tc>
          <w:tcPr>
            <w:tcW w:w="704" w:type="dxa"/>
            <w:tcBorders>
              <w:bottom w:val="single" w:sz="4" w:space="0" w:color="auto"/>
            </w:tcBorders>
            <w:shd w:val="clear" w:color="auto" w:fill="auto"/>
            <w:vAlign w:val="bottom"/>
          </w:tcPr>
          <w:p w:rsidR="00F11985" w:rsidRPr="00221BBA" w:rsidRDefault="00F11985" w:rsidP="009A258D">
            <w:pPr>
              <w:suppressAutoHyphens w:val="0"/>
              <w:spacing w:before="40" w:after="40" w:line="220" w:lineRule="exact"/>
              <w:jc w:val="right"/>
              <w:rPr>
                <w:sz w:val="18"/>
              </w:rPr>
            </w:pPr>
          </w:p>
        </w:tc>
      </w:tr>
      <w:tr w:rsidR="009A258D" w:rsidRPr="00221BBA" w:rsidTr="009A258D">
        <w:tblPrEx>
          <w:tblBorders>
            <w:top w:val="none" w:sz="0" w:space="0" w:color="auto"/>
            <w:bottom w:val="none" w:sz="0" w:space="0" w:color="auto"/>
            <w:insideH w:val="none" w:sz="0" w:space="0" w:color="auto"/>
          </w:tblBorders>
        </w:tblPrEx>
        <w:trPr>
          <w:cantSplit/>
        </w:trPr>
        <w:tc>
          <w:tcPr>
            <w:tcW w:w="1560" w:type="dxa"/>
            <w:tcBorders>
              <w:top w:val="single" w:sz="4" w:space="0" w:color="auto"/>
              <w:bottom w:val="single" w:sz="4" w:space="0" w:color="auto"/>
            </w:tcBorders>
            <w:shd w:val="clear" w:color="auto" w:fill="auto"/>
          </w:tcPr>
          <w:p w:rsidR="00F11985" w:rsidRPr="00221BBA" w:rsidRDefault="00F11985" w:rsidP="009A258D">
            <w:pPr>
              <w:suppressAutoHyphens w:val="0"/>
              <w:spacing w:before="80" w:after="80" w:line="220" w:lineRule="exact"/>
              <w:ind w:left="283"/>
              <w:rPr>
                <w:b/>
                <w:bCs/>
                <w:sz w:val="18"/>
              </w:rPr>
            </w:pPr>
            <w:r w:rsidRPr="00221BBA">
              <w:rPr>
                <w:b/>
                <w:bCs/>
                <w:sz w:val="18"/>
              </w:rPr>
              <w:t>Total partiel</w:t>
            </w:r>
          </w:p>
        </w:tc>
        <w:tc>
          <w:tcPr>
            <w:tcW w:w="2949" w:type="dxa"/>
            <w:tcBorders>
              <w:top w:val="single" w:sz="4" w:space="0" w:color="auto"/>
              <w:bottom w:val="single" w:sz="4" w:space="0" w:color="auto"/>
            </w:tcBorders>
            <w:shd w:val="clear" w:color="auto" w:fill="auto"/>
          </w:tcPr>
          <w:p w:rsidR="00F11985" w:rsidRPr="00221BBA" w:rsidRDefault="00F11985" w:rsidP="009A258D">
            <w:pPr>
              <w:suppressAutoHyphens w:val="0"/>
              <w:spacing w:before="80" w:after="80" w:line="220" w:lineRule="exact"/>
              <w:rPr>
                <w:b/>
                <w:sz w:val="18"/>
              </w:rPr>
            </w:pPr>
          </w:p>
        </w:tc>
        <w:tc>
          <w:tcPr>
            <w:tcW w:w="1357" w:type="dxa"/>
            <w:tcBorders>
              <w:top w:val="single" w:sz="4" w:space="0" w:color="auto"/>
              <w:bottom w:val="single" w:sz="4" w:space="0" w:color="auto"/>
            </w:tcBorders>
            <w:shd w:val="clear" w:color="auto" w:fill="auto"/>
            <w:vAlign w:val="bottom"/>
          </w:tcPr>
          <w:p w:rsidR="00F11985" w:rsidRPr="00221BBA" w:rsidRDefault="00F11985" w:rsidP="009A258D">
            <w:pPr>
              <w:suppressAutoHyphens w:val="0"/>
              <w:spacing w:before="80" w:after="80" w:line="220" w:lineRule="exact"/>
              <w:jc w:val="right"/>
              <w:rPr>
                <w:b/>
                <w:sz w:val="18"/>
              </w:rPr>
            </w:pPr>
            <w:r w:rsidRPr="00221BBA">
              <w:rPr>
                <w:b/>
                <w:sz w:val="18"/>
              </w:rPr>
              <w:t>0</w:t>
            </w:r>
          </w:p>
        </w:tc>
        <w:tc>
          <w:tcPr>
            <w:tcW w:w="800" w:type="dxa"/>
            <w:tcBorders>
              <w:top w:val="single" w:sz="4" w:space="0" w:color="auto"/>
              <w:bottom w:val="single" w:sz="4" w:space="0" w:color="auto"/>
            </w:tcBorders>
            <w:shd w:val="clear" w:color="auto" w:fill="auto"/>
            <w:vAlign w:val="bottom"/>
          </w:tcPr>
          <w:p w:rsidR="00F11985" w:rsidRPr="00221BBA" w:rsidRDefault="00F11985" w:rsidP="009A258D">
            <w:pPr>
              <w:suppressAutoHyphens w:val="0"/>
              <w:spacing w:before="80" w:after="80" w:line="220" w:lineRule="exact"/>
              <w:jc w:val="right"/>
              <w:rPr>
                <w:b/>
                <w:sz w:val="18"/>
              </w:rPr>
            </w:pPr>
          </w:p>
        </w:tc>
        <w:tc>
          <w:tcPr>
            <w:tcW w:w="704" w:type="dxa"/>
            <w:tcBorders>
              <w:top w:val="single" w:sz="4" w:space="0" w:color="auto"/>
              <w:bottom w:val="single" w:sz="4" w:space="0" w:color="auto"/>
            </w:tcBorders>
            <w:shd w:val="clear" w:color="auto" w:fill="auto"/>
            <w:vAlign w:val="bottom"/>
          </w:tcPr>
          <w:p w:rsidR="00F11985" w:rsidRPr="00221BBA" w:rsidRDefault="00F11985" w:rsidP="009A258D">
            <w:pPr>
              <w:suppressAutoHyphens w:val="0"/>
              <w:spacing w:before="80" w:after="80" w:line="220" w:lineRule="exact"/>
              <w:jc w:val="right"/>
              <w:rPr>
                <w:b/>
                <w:sz w:val="18"/>
              </w:rPr>
            </w:pPr>
          </w:p>
        </w:tc>
      </w:tr>
      <w:tr w:rsidR="009A258D" w:rsidRPr="00221BBA" w:rsidTr="009A258D">
        <w:tblPrEx>
          <w:tblBorders>
            <w:top w:val="none" w:sz="0" w:space="0" w:color="auto"/>
            <w:bottom w:val="none" w:sz="0" w:space="0" w:color="auto"/>
            <w:insideH w:val="none" w:sz="0" w:space="0" w:color="auto"/>
          </w:tblBorders>
        </w:tblPrEx>
        <w:trPr>
          <w:cantSplit/>
        </w:trPr>
        <w:tc>
          <w:tcPr>
            <w:tcW w:w="4509" w:type="dxa"/>
            <w:gridSpan w:val="2"/>
            <w:tcBorders>
              <w:top w:val="single" w:sz="4" w:space="0" w:color="auto"/>
              <w:bottom w:val="single" w:sz="12" w:space="0" w:color="auto"/>
            </w:tcBorders>
            <w:shd w:val="clear" w:color="auto" w:fill="auto"/>
          </w:tcPr>
          <w:p w:rsidR="00F11985" w:rsidRPr="00221BBA" w:rsidRDefault="00F11985" w:rsidP="009A258D">
            <w:pPr>
              <w:suppressAutoHyphens w:val="0"/>
              <w:spacing w:before="80" w:after="80" w:line="220" w:lineRule="exact"/>
              <w:ind w:left="283"/>
              <w:rPr>
                <w:b/>
                <w:bCs/>
                <w:sz w:val="18"/>
              </w:rPr>
            </w:pPr>
            <w:r w:rsidRPr="00221BBA">
              <w:rPr>
                <w:b/>
                <w:sz w:val="18"/>
              </w:rPr>
              <w:t>Total des activités (sections I à V)</w:t>
            </w:r>
          </w:p>
        </w:tc>
        <w:tc>
          <w:tcPr>
            <w:tcW w:w="1357" w:type="dxa"/>
            <w:tcBorders>
              <w:top w:val="single" w:sz="4" w:space="0" w:color="auto"/>
              <w:bottom w:val="single" w:sz="12" w:space="0" w:color="auto"/>
            </w:tcBorders>
            <w:shd w:val="clear" w:color="auto" w:fill="auto"/>
            <w:vAlign w:val="bottom"/>
          </w:tcPr>
          <w:p w:rsidR="00F11985" w:rsidRPr="00221BBA" w:rsidRDefault="00F11985" w:rsidP="009A258D">
            <w:pPr>
              <w:suppressAutoHyphens w:val="0"/>
              <w:spacing w:before="80" w:after="80" w:line="220" w:lineRule="exact"/>
              <w:jc w:val="right"/>
              <w:rPr>
                <w:b/>
                <w:sz w:val="18"/>
              </w:rPr>
            </w:pPr>
            <w:r w:rsidRPr="00221BBA">
              <w:rPr>
                <w:b/>
                <w:sz w:val="18"/>
              </w:rPr>
              <w:t>433 000</w:t>
            </w:r>
          </w:p>
        </w:tc>
        <w:tc>
          <w:tcPr>
            <w:tcW w:w="800" w:type="dxa"/>
            <w:tcBorders>
              <w:top w:val="single" w:sz="4" w:space="0" w:color="auto"/>
              <w:bottom w:val="single" w:sz="12" w:space="0" w:color="auto"/>
            </w:tcBorders>
            <w:shd w:val="clear" w:color="auto" w:fill="auto"/>
            <w:vAlign w:val="bottom"/>
          </w:tcPr>
          <w:p w:rsidR="00F11985" w:rsidRPr="00221BBA" w:rsidRDefault="00F11985" w:rsidP="009A258D">
            <w:pPr>
              <w:suppressAutoHyphens w:val="0"/>
              <w:spacing w:before="80" w:after="80" w:line="220" w:lineRule="exact"/>
              <w:jc w:val="right"/>
              <w:rPr>
                <w:b/>
                <w:sz w:val="18"/>
              </w:rPr>
            </w:pPr>
            <w:r w:rsidRPr="00221BBA">
              <w:rPr>
                <w:b/>
                <w:sz w:val="18"/>
              </w:rPr>
              <w:t>63</w:t>
            </w:r>
          </w:p>
        </w:tc>
        <w:tc>
          <w:tcPr>
            <w:tcW w:w="704" w:type="dxa"/>
            <w:tcBorders>
              <w:top w:val="single" w:sz="4" w:space="0" w:color="auto"/>
              <w:bottom w:val="single" w:sz="12" w:space="0" w:color="auto"/>
            </w:tcBorders>
            <w:shd w:val="clear" w:color="auto" w:fill="auto"/>
            <w:vAlign w:val="bottom"/>
          </w:tcPr>
          <w:p w:rsidR="00F11985" w:rsidRPr="00221BBA" w:rsidRDefault="00F11985" w:rsidP="009A258D">
            <w:pPr>
              <w:suppressAutoHyphens w:val="0"/>
              <w:spacing w:before="80" w:after="80" w:line="220" w:lineRule="exact"/>
              <w:jc w:val="right"/>
              <w:rPr>
                <w:b/>
                <w:sz w:val="18"/>
              </w:rPr>
            </w:pPr>
            <w:r w:rsidRPr="00221BBA">
              <w:rPr>
                <w:b/>
                <w:sz w:val="18"/>
              </w:rPr>
              <w:t>31</w:t>
            </w:r>
            <w:r w:rsidR="005D6682" w:rsidRPr="00221BBA">
              <w:rPr>
                <w:b/>
                <w:sz w:val="18"/>
              </w:rPr>
              <w:t>,</w:t>
            </w:r>
            <w:r w:rsidRPr="00221BBA">
              <w:rPr>
                <w:b/>
                <w:sz w:val="18"/>
              </w:rPr>
              <w:t>5</w:t>
            </w:r>
          </w:p>
        </w:tc>
      </w:tr>
    </w:tbl>
    <w:p w:rsidR="00F11985" w:rsidRPr="00221BBA" w:rsidRDefault="00F11985" w:rsidP="005D6682">
      <w:pPr>
        <w:pStyle w:val="SingleTxtG"/>
        <w:spacing w:after="0" w:line="200" w:lineRule="atLeast"/>
        <w:ind w:firstLine="170"/>
        <w:jc w:val="left"/>
        <w:rPr>
          <w:sz w:val="18"/>
          <w:szCs w:val="18"/>
        </w:rPr>
      </w:pPr>
      <w:bookmarkStart w:id="74" w:name="_Hlk32495233"/>
      <w:bookmarkEnd w:id="72"/>
      <w:r w:rsidRPr="00221BBA">
        <w:rPr>
          <w:i/>
          <w:sz w:val="18"/>
          <w:szCs w:val="18"/>
        </w:rPr>
        <w:t>Abréviations</w:t>
      </w:r>
      <w:r w:rsidR="005628B1" w:rsidRPr="005628B1">
        <w:rPr>
          <w:sz w:val="18"/>
          <w:szCs w:val="18"/>
        </w:rPr>
        <w:t> :</w:t>
      </w:r>
      <w:r w:rsidRPr="00221BBA">
        <w:rPr>
          <w:sz w:val="18"/>
          <w:szCs w:val="18"/>
        </w:rPr>
        <w:t xml:space="preserve"> G = agent des services généraux</w:t>
      </w:r>
      <w:r w:rsidR="005D58ED" w:rsidRPr="00221BBA">
        <w:rPr>
          <w:sz w:val="18"/>
          <w:szCs w:val="18"/>
        </w:rPr>
        <w:t> ;</w:t>
      </w:r>
      <w:r w:rsidRPr="00221BBA">
        <w:rPr>
          <w:sz w:val="18"/>
          <w:szCs w:val="18"/>
        </w:rPr>
        <w:t xml:space="preserve"> P = administrateur</w:t>
      </w:r>
      <w:r w:rsidR="005D58ED" w:rsidRPr="00221BBA">
        <w:rPr>
          <w:sz w:val="18"/>
          <w:szCs w:val="18"/>
        </w:rPr>
        <w:t> ;</w:t>
      </w:r>
      <w:r w:rsidRPr="00221BBA">
        <w:rPr>
          <w:sz w:val="18"/>
          <w:szCs w:val="18"/>
        </w:rPr>
        <w:t xml:space="preserve"> IAIA = International Association for Impact Assessment.</w:t>
      </w:r>
    </w:p>
    <w:bookmarkEnd w:id="74"/>
    <w:p w:rsidR="00F11985" w:rsidRPr="00221BBA" w:rsidRDefault="00F11985" w:rsidP="005D6682">
      <w:pPr>
        <w:pStyle w:val="SingleTxtG"/>
        <w:spacing w:after="240" w:line="200" w:lineRule="atLeast"/>
        <w:ind w:firstLine="170"/>
        <w:jc w:val="left"/>
        <w:rPr>
          <w:sz w:val="18"/>
          <w:szCs w:val="18"/>
        </w:rPr>
      </w:pPr>
      <w:r w:rsidRPr="00221BBA">
        <w:rPr>
          <w:i/>
          <w:sz w:val="18"/>
          <w:szCs w:val="18"/>
          <w:vertAlign w:val="superscript"/>
        </w:rPr>
        <w:t>a</w:t>
      </w:r>
      <w:r w:rsidR="005D6682" w:rsidRPr="00221BBA">
        <w:rPr>
          <w:i/>
          <w:sz w:val="18"/>
          <w:szCs w:val="18"/>
        </w:rPr>
        <w:t xml:space="preserve"> </w:t>
      </w:r>
      <w:r w:rsidRPr="00221BBA">
        <w:rPr>
          <w:i/>
          <w:sz w:val="18"/>
          <w:szCs w:val="18"/>
        </w:rPr>
        <w:t xml:space="preserve"> </w:t>
      </w:r>
      <w:r w:rsidRPr="00221BBA">
        <w:rPr>
          <w:sz w:val="18"/>
          <w:szCs w:val="18"/>
        </w:rPr>
        <w:t>Le financement des activités prévues dans le plan de travail pour la période 2021-2023, tel qu’il figure dans le tableau 1, est subordonné au versement de fonds suffisants par les Parties sous forme de contributions volontaires au Fonds d’affectation spéciale de la Convention et du Protocole.</w:t>
      </w:r>
    </w:p>
    <w:p w:rsidR="00F11985" w:rsidRPr="00EC3ED3" w:rsidRDefault="00F11985" w:rsidP="005D6682">
      <w:pPr>
        <w:pStyle w:val="SingleTxtG"/>
        <w:jc w:val="left"/>
        <w:rPr>
          <w:sz w:val="16"/>
          <w:szCs w:val="16"/>
        </w:rPr>
      </w:pPr>
      <w:bookmarkStart w:id="75" w:name="_Hlk34213913"/>
      <w:bookmarkStart w:id="76" w:name="_Hlk32231736"/>
      <w:r w:rsidRPr="00221BBA">
        <w:t>Tableau 2</w:t>
      </w:r>
      <w:r w:rsidRPr="00221BBA">
        <w:br/>
      </w:r>
      <w:r w:rsidRPr="00221BBA">
        <w:rPr>
          <w:b/>
        </w:rPr>
        <w:t>Ressources totales pour 2021</w:t>
      </w:r>
      <w:r w:rsidR="005E6839" w:rsidRPr="00221BBA">
        <w:rPr>
          <w:b/>
        </w:rPr>
        <w:t>-</w:t>
      </w:r>
      <w:r w:rsidRPr="00221BBA">
        <w:rPr>
          <w:b/>
        </w:rPr>
        <w:t xml:space="preserve">2023 </w:t>
      </w:r>
      <w:bookmarkEnd w:id="75"/>
      <w:r w:rsidRPr="00221BBA">
        <w:rPr>
          <w:b/>
        </w:rPr>
        <w:br/>
      </w:r>
      <w:r w:rsidRPr="00EC3ED3">
        <w:rPr>
          <w:sz w:val="16"/>
          <w:szCs w:val="16"/>
        </w:rPr>
        <w:t>(En dollars des États-Unis)</w:t>
      </w:r>
    </w:p>
    <w:tbl>
      <w:tblPr>
        <w:tblW w:w="7370" w:type="dxa"/>
        <w:tblInd w:w="1134" w:type="dxa"/>
        <w:tblLayout w:type="fixed"/>
        <w:tblCellMar>
          <w:left w:w="0" w:type="dxa"/>
          <w:right w:w="0" w:type="dxa"/>
        </w:tblCellMar>
        <w:tblLook w:val="01E0" w:firstRow="1" w:lastRow="1" w:firstColumn="1" w:lastColumn="1" w:noHBand="0" w:noVBand="0"/>
      </w:tblPr>
      <w:tblGrid>
        <w:gridCol w:w="6039"/>
        <w:gridCol w:w="1331"/>
      </w:tblGrid>
      <w:tr w:rsidR="00F11985" w:rsidRPr="00221BBA" w:rsidTr="007400AF">
        <w:trPr>
          <w:tblHeader/>
        </w:trPr>
        <w:tc>
          <w:tcPr>
            <w:tcW w:w="6039" w:type="dxa"/>
            <w:tcBorders>
              <w:top w:val="single" w:sz="4" w:space="0" w:color="auto"/>
              <w:bottom w:val="single" w:sz="12" w:space="0" w:color="auto"/>
            </w:tcBorders>
            <w:shd w:val="clear" w:color="auto" w:fill="auto"/>
            <w:vAlign w:val="bottom"/>
          </w:tcPr>
          <w:bookmarkEnd w:id="76"/>
          <w:p w:rsidR="00F11985" w:rsidRPr="00221BBA" w:rsidRDefault="00F11985" w:rsidP="007400AF">
            <w:pPr>
              <w:suppressAutoHyphens w:val="0"/>
              <w:spacing w:before="80" w:after="80" w:line="200" w:lineRule="exact"/>
              <w:rPr>
                <w:i/>
                <w:sz w:val="16"/>
              </w:rPr>
            </w:pPr>
            <w:r w:rsidRPr="00221BBA">
              <w:rPr>
                <w:i/>
                <w:sz w:val="16"/>
              </w:rPr>
              <w:t>Postes/activités + ressources humaines (du tableau 1 ci-dessus)</w:t>
            </w:r>
          </w:p>
        </w:tc>
        <w:tc>
          <w:tcPr>
            <w:tcW w:w="1331" w:type="dxa"/>
            <w:tcBorders>
              <w:top w:val="single" w:sz="4" w:space="0" w:color="auto"/>
              <w:bottom w:val="single" w:sz="12" w:space="0" w:color="auto"/>
            </w:tcBorders>
            <w:shd w:val="clear" w:color="auto" w:fill="auto"/>
            <w:vAlign w:val="bottom"/>
          </w:tcPr>
          <w:p w:rsidR="00F11985" w:rsidRPr="00221BBA" w:rsidRDefault="00F11985" w:rsidP="007400AF">
            <w:pPr>
              <w:suppressAutoHyphens w:val="0"/>
              <w:spacing w:before="80" w:after="80" w:line="200" w:lineRule="exact"/>
              <w:jc w:val="right"/>
              <w:rPr>
                <w:i/>
                <w:sz w:val="16"/>
              </w:rPr>
            </w:pPr>
            <w:r w:rsidRPr="00221BBA">
              <w:rPr>
                <w:i/>
                <w:sz w:val="16"/>
              </w:rPr>
              <w:t>Coût</w:t>
            </w:r>
          </w:p>
        </w:tc>
      </w:tr>
      <w:tr w:rsidR="00F11985" w:rsidRPr="00221BBA" w:rsidTr="007400AF">
        <w:tc>
          <w:tcPr>
            <w:tcW w:w="6039" w:type="dxa"/>
            <w:shd w:val="clear" w:color="auto" w:fill="auto"/>
          </w:tcPr>
          <w:p w:rsidR="00F11985" w:rsidRPr="00221BBA" w:rsidRDefault="00F11985" w:rsidP="007400AF">
            <w:pPr>
              <w:suppressAutoHyphens w:val="0"/>
              <w:spacing w:before="40" w:after="40" w:line="220" w:lineRule="exact"/>
              <w:rPr>
                <w:sz w:val="18"/>
              </w:rPr>
            </w:pPr>
            <w:bookmarkStart w:id="77" w:name="_Hlk34214090"/>
            <w:r w:rsidRPr="00221BBA">
              <w:rPr>
                <w:sz w:val="18"/>
              </w:rPr>
              <w:t>Activités</w:t>
            </w:r>
          </w:p>
        </w:tc>
        <w:tc>
          <w:tcPr>
            <w:tcW w:w="1331" w:type="dxa"/>
            <w:shd w:val="clear" w:color="auto" w:fill="auto"/>
            <w:vAlign w:val="bottom"/>
          </w:tcPr>
          <w:p w:rsidR="00F11985" w:rsidRPr="00221BBA" w:rsidRDefault="00F11985" w:rsidP="007400AF">
            <w:pPr>
              <w:suppressAutoHyphens w:val="0"/>
              <w:spacing w:before="40" w:after="40" w:line="220" w:lineRule="exact"/>
              <w:jc w:val="right"/>
              <w:rPr>
                <w:sz w:val="18"/>
              </w:rPr>
            </w:pPr>
            <w:r w:rsidRPr="00221BBA">
              <w:rPr>
                <w:sz w:val="18"/>
              </w:rPr>
              <w:t>433 000</w:t>
            </w:r>
          </w:p>
        </w:tc>
      </w:tr>
      <w:bookmarkEnd w:id="77"/>
      <w:tr w:rsidR="00F11985" w:rsidRPr="00221BBA" w:rsidTr="007400AF">
        <w:tc>
          <w:tcPr>
            <w:tcW w:w="6039" w:type="dxa"/>
            <w:shd w:val="clear" w:color="auto" w:fill="auto"/>
          </w:tcPr>
          <w:p w:rsidR="00F11985" w:rsidRPr="00221BBA" w:rsidRDefault="00F11985" w:rsidP="007400AF">
            <w:pPr>
              <w:suppressAutoHyphens w:val="0"/>
              <w:spacing w:before="40" w:after="40" w:line="220" w:lineRule="exact"/>
              <w:rPr>
                <w:sz w:val="18"/>
              </w:rPr>
            </w:pPr>
            <w:r w:rsidRPr="00221BBA">
              <w:rPr>
                <w:sz w:val="18"/>
              </w:rPr>
              <w:t>Personnel</w:t>
            </w:r>
            <w:r w:rsidR="005628B1" w:rsidRPr="005628B1">
              <w:rPr>
                <w:sz w:val="18"/>
              </w:rPr>
              <w:t> :</w:t>
            </w:r>
          </w:p>
        </w:tc>
        <w:tc>
          <w:tcPr>
            <w:tcW w:w="1331" w:type="dxa"/>
            <w:shd w:val="clear" w:color="auto" w:fill="auto"/>
            <w:vAlign w:val="bottom"/>
          </w:tcPr>
          <w:p w:rsidR="00F11985" w:rsidRPr="00221BBA" w:rsidRDefault="00F11985" w:rsidP="007400AF">
            <w:pPr>
              <w:suppressAutoHyphens w:val="0"/>
              <w:spacing w:before="40" w:after="40" w:line="220" w:lineRule="exact"/>
              <w:jc w:val="right"/>
              <w:rPr>
                <w:sz w:val="18"/>
              </w:rPr>
            </w:pPr>
          </w:p>
        </w:tc>
      </w:tr>
      <w:tr w:rsidR="00F11985" w:rsidRPr="00221BBA" w:rsidTr="007400AF">
        <w:tc>
          <w:tcPr>
            <w:tcW w:w="6039" w:type="dxa"/>
            <w:shd w:val="clear" w:color="auto" w:fill="auto"/>
          </w:tcPr>
          <w:p w:rsidR="00F11985" w:rsidRPr="00221BBA" w:rsidRDefault="00F11985" w:rsidP="007400AF">
            <w:pPr>
              <w:suppressAutoHyphens w:val="0"/>
              <w:spacing w:before="40" w:after="40" w:line="220" w:lineRule="exact"/>
              <w:rPr>
                <w:sz w:val="18"/>
              </w:rPr>
            </w:pPr>
            <w:r w:rsidRPr="00221BBA">
              <w:rPr>
                <w:sz w:val="18"/>
              </w:rPr>
              <w:t>Administrateur, BO, temps plein, niveau P</w:t>
            </w:r>
            <w:r w:rsidR="005E6839" w:rsidRPr="00221BBA">
              <w:rPr>
                <w:sz w:val="18"/>
              </w:rPr>
              <w:t>-</w:t>
            </w:r>
            <w:r w:rsidRPr="00221BBA">
              <w:rPr>
                <w:sz w:val="18"/>
              </w:rPr>
              <w:t>4 (31,5 mois de travail)</w:t>
            </w:r>
          </w:p>
        </w:tc>
        <w:tc>
          <w:tcPr>
            <w:tcW w:w="1331" w:type="dxa"/>
            <w:shd w:val="clear" w:color="auto" w:fill="auto"/>
            <w:vAlign w:val="bottom"/>
          </w:tcPr>
          <w:p w:rsidR="00F11985" w:rsidRPr="00221BBA" w:rsidRDefault="00F11985" w:rsidP="007400AF">
            <w:pPr>
              <w:suppressAutoHyphens w:val="0"/>
              <w:spacing w:before="40" w:after="40" w:line="220" w:lineRule="exact"/>
              <w:jc w:val="right"/>
              <w:rPr>
                <w:i/>
                <w:iCs/>
                <w:sz w:val="18"/>
                <w:vertAlign w:val="superscript"/>
              </w:rPr>
            </w:pPr>
            <w:r w:rsidRPr="00221BBA">
              <w:rPr>
                <w:i/>
                <w:iCs/>
                <w:sz w:val="18"/>
                <w:vertAlign w:val="superscript"/>
              </w:rPr>
              <w:t>a</w:t>
            </w:r>
          </w:p>
        </w:tc>
      </w:tr>
      <w:tr w:rsidR="00F11985" w:rsidRPr="00221BBA" w:rsidTr="007400AF">
        <w:tc>
          <w:tcPr>
            <w:tcW w:w="6039" w:type="dxa"/>
            <w:shd w:val="clear" w:color="auto" w:fill="auto"/>
          </w:tcPr>
          <w:p w:rsidR="00F11985" w:rsidRPr="00221BBA" w:rsidRDefault="00F11985" w:rsidP="007400AF">
            <w:pPr>
              <w:suppressAutoHyphens w:val="0"/>
              <w:spacing w:before="40" w:after="40" w:line="220" w:lineRule="exact"/>
              <w:rPr>
                <w:sz w:val="18"/>
              </w:rPr>
            </w:pPr>
            <w:r w:rsidRPr="00221BBA">
              <w:rPr>
                <w:sz w:val="18"/>
              </w:rPr>
              <w:t>Agent des services généraux, BO, temps partiel, à 50 % (15,75 mois de travail)</w:t>
            </w:r>
          </w:p>
        </w:tc>
        <w:tc>
          <w:tcPr>
            <w:tcW w:w="1331" w:type="dxa"/>
            <w:shd w:val="clear" w:color="auto" w:fill="auto"/>
            <w:vAlign w:val="bottom"/>
          </w:tcPr>
          <w:p w:rsidR="00F11985" w:rsidRPr="00221BBA" w:rsidRDefault="00F11985" w:rsidP="007400AF">
            <w:pPr>
              <w:suppressAutoHyphens w:val="0"/>
              <w:spacing w:before="40" w:after="40" w:line="220" w:lineRule="exact"/>
              <w:jc w:val="right"/>
              <w:rPr>
                <w:i/>
                <w:iCs/>
                <w:sz w:val="18"/>
                <w:vertAlign w:val="superscript"/>
              </w:rPr>
            </w:pPr>
            <w:r w:rsidRPr="00221BBA">
              <w:rPr>
                <w:i/>
                <w:iCs/>
                <w:sz w:val="18"/>
                <w:vertAlign w:val="superscript"/>
              </w:rPr>
              <w:t>a</w:t>
            </w:r>
          </w:p>
        </w:tc>
      </w:tr>
      <w:tr w:rsidR="00F11985" w:rsidRPr="00221BBA" w:rsidTr="007400AF">
        <w:tc>
          <w:tcPr>
            <w:tcW w:w="6039" w:type="dxa"/>
            <w:shd w:val="clear" w:color="auto" w:fill="auto"/>
          </w:tcPr>
          <w:p w:rsidR="00F11985" w:rsidRPr="00221BBA" w:rsidDel="005F76A2" w:rsidRDefault="00F11985" w:rsidP="007400AF">
            <w:pPr>
              <w:suppressAutoHyphens w:val="0"/>
              <w:spacing w:before="40" w:after="40" w:line="220" w:lineRule="exact"/>
              <w:rPr>
                <w:sz w:val="18"/>
              </w:rPr>
            </w:pPr>
            <w:r w:rsidRPr="00221BBA">
              <w:rPr>
                <w:sz w:val="18"/>
              </w:rPr>
              <w:t>Administrateur, BO, temps plein, niveau P</w:t>
            </w:r>
            <w:r w:rsidR="005E6839" w:rsidRPr="00221BBA">
              <w:rPr>
                <w:sz w:val="18"/>
              </w:rPr>
              <w:t>-</w:t>
            </w:r>
            <w:r w:rsidRPr="00221BBA">
              <w:rPr>
                <w:sz w:val="18"/>
              </w:rPr>
              <w:t>3 (31,5 mois de travail)</w:t>
            </w:r>
          </w:p>
        </w:tc>
        <w:tc>
          <w:tcPr>
            <w:tcW w:w="1331" w:type="dxa"/>
            <w:shd w:val="clear" w:color="auto" w:fill="auto"/>
            <w:vAlign w:val="bottom"/>
          </w:tcPr>
          <w:p w:rsidR="00F11985" w:rsidRPr="00221BBA" w:rsidRDefault="00F11985" w:rsidP="007400AF">
            <w:pPr>
              <w:suppressAutoHyphens w:val="0"/>
              <w:spacing w:before="40" w:after="40" w:line="220" w:lineRule="exact"/>
              <w:jc w:val="right"/>
              <w:rPr>
                <w:sz w:val="18"/>
              </w:rPr>
            </w:pPr>
            <w:r w:rsidRPr="00221BBA">
              <w:rPr>
                <w:sz w:val="18"/>
              </w:rPr>
              <w:t>630 000</w:t>
            </w:r>
          </w:p>
        </w:tc>
      </w:tr>
      <w:tr w:rsidR="00F11985" w:rsidRPr="00221BBA" w:rsidTr="007400AF">
        <w:tc>
          <w:tcPr>
            <w:tcW w:w="6039" w:type="dxa"/>
            <w:tcBorders>
              <w:bottom w:val="single" w:sz="4" w:space="0" w:color="auto"/>
            </w:tcBorders>
            <w:shd w:val="clear" w:color="auto" w:fill="auto"/>
          </w:tcPr>
          <w:p w:rsidR="00F11985" w:rsidRPr="00221BBA" w:rsidRDefault="00F11985" w:rsidP="007400AF">
            <w:pPr>
              <w:suppressAutoHyphens w:val="0"/>
              <w:spacing w:before="40" w:after="40" w:line="220" w:lineRule="exact"/>
              <w:rPr>
                <w:sz w:val="18"/>
              </w:rPr>
            </w:pPr>
            <w:r w:rsidRPr="00221BBA">
              <w:rPr>
                <w:sz w:val="18"/>
              </w:rPr>
              <w:t>Agent des services généraux, BO, temps partiel, à 50 % (15,75 mois de travail)</w:t>
            </w:r>
          </w:p>
        </w:tc>
        <w:tc>
          <w:tcPr>
            <w:tcW w:w="1331" w:type="dxa"/>
            <w:tcBorders>
              <w:bottom w:val="single" w:sz="4" w:space="0" w:color="auto"/>
            </w:tcBorders>
            <w:shd w:val="clear" w:color="auto" w:fill="auto"/>
            <w:vAlign w:val="bottom"/>
          </w:tcPr>
          <w:p w:rsidR="00F11985" w:rsidRPr="00221BBA" w:rsidRDefault="00F11985" w:rsidP="007400AF">
            <w:pPr>
              <w:suppressAutoHyphens w:val="0"/>
              <w:spacing w:before="40" w:after="40" w:line="220" w:lineRule="exact"/>
              <w:jc w:val="right"/>
              <w:rPr>
                <w:sz w:val="18"/>
              </w:rPr>
            </w:pPr>
            <w:r w:rsidRPr="00221BBA">
              <w:rPr>
                <w:sz w:val="18"/>
              </w:rPr>
              <w:t>165 000</w:t>
            </w:r>
          </w:p>
        </w:tc>
      </w:tr>
      <w:tr w:rsidR="00F11985" w:rsidRPr="00221BBA" w:rsidTr="007400AF">
        <w:tc>
          <w:tcPr>
            <w:tcW w:w="6039" w:type="dxa"/>
            <w:tcBorders>
              <w:top w:val="single" w:sz="4" w:space="0" w:color="auto"/>
              <w:bottom w:val="single" w:sz="12" w:space="0" w:color="auto"/>
            </w:tcBorders>
            <w:shd w:val="clear" w:color="auto" w:fill="auto"/>
          </w:tcPr>
          <w:p w:rsidR="00F11985" w:rsidRPr="00221BBA" w:rsidRDefault="00F11985" w:rsidP="007400AF">
            <w:pPr>
              <w:suppressAutoHyphens w:val="0"/>
              <w:spacing w:before="80" w:after="80" w:line="220" w:lineRule="exact"/>
              <w:ind w:left="283"/>
              <w:rPr>
                <w:b/>
                <w:sz w:val="18"/>
              </w:rPr>
            </w:pPr>
            <w:r w:rsidRPr="00221BBA">
              <w:rPr>
                <w:b/>
                <w:sz w:val="18"/>
              </w:rPr>
              <w:t>Total partiel</w:t>
            </w:r>
          </w:p>
        </w:tc>
        <w:tc>
          <w:tcPr>
            <w:tcW w:w="1331" w:type="dxa"/>
            <w:tcBorders>
              <w:top w:val="single" w:sz="4" w:space="0" w:color="auto"/>
              <w:bottom w:val="single" w:sz="12" w:space="0" w:color="auto"/>
            </w:tcBorders>
            <w:shd w:val="clear" w:color="auto" w:fill="auto"/>
            <w:vAlign w:val="bottom"/>
          </w:tcPr>
          <w:p w:rsidR="00F11985" w:rsidRPr="00221BBA" w:rsidRDefault="00F11985" w:rsidP="007400AF">
            <w:pPr>
              <w:suppressAutoHyphens w:val="0"/>
              <w:spacing w:before="80" w:after="80" w:line="220" w:lineRule="exact"/>
              <w:jc w:val="right"/>
              <w:rPr>
                <w:b/>
                <w:sz w:val="18"/>
              </w:rPr>
            </w:pPr>
            <w:r w:rsidRPr="00221BBA">
              <w:rPr>
                <w:b/>
                <w:sz w:val="18"/>
              </w:rPr>
              <w:t>1 228 000</w:t>
            </w:r>
          </w:p>
        </w:tc>
      </w:tr>
      <w:tr w:rsidR="00F11985" w:rsidRPr="00221BBA" w:rsidTr="007400AF">
        <w:tc>
          <w:tcPr>
            <w:tcW w:w="6039" w:type="dxa"/>
            <w:tcBorders>
              <w:top w:val="single" w:sz="12" w:space="0" w:color="auto"/>
              <w:bottom w:val="single" w:sz="4" w:space="0" w:color="auto"/>
            </w:tcBorders>
            <w:shd w:val="clear" w:color="auto" w:fill="auto"/>
          </w:tcPr>
          <w:p w:rsidR="00F11985" w:rsidRPr="00221BBA" w:rsidRDefault="00F11985" w:rsidP="007400AF">
            <w:pPr>
              <w:suppressAutoHyphens w:val="0"/>
              <w:spacing w:before="40" w:after="40" w:line="220" w:lineRule="exact"/>
              <w:rPr>
                <w:sz w:val="18"/>
              </w:rPr>
            </w:pPr>
            <w:r w:rsidRPr="00221BBA">
              <w:rPr>
                <w:sz w:val="18"/>
              </w:rPr>
              <w:t>Frais généraux (13</w:t>
            </w:r>
            <w:r w:rsidR="007400AF" w:rsidRPr="00221BBA">
              <w:rPr>
                <w:sz w:val="18"/>
              </w:rPr>
              <w:t> </w:t>
            </w:r>
            <w:r w:rsidRPr="00221BBA">
              <w:rPr>
                <w:sz w:val="18"/>
              </w:rPr>
              <w:t>%) (arrondi)</w:t>
            </w:r>
          </w:p>
        </w:tc>
        <w:tc>
          <w:tcPr>
            <w:tcW w:w="1331" w:type="dxa"/>
            <w:tcBorders>
              <w:top w:val="single" w:sz="12" w:space="0" w:color="auto"/>
              <w:bottom w:val="single" w:sz="4" w:space="0" w:color="auto"/>
            </w:tcBorders>
            <w:shd w:val="clear" w:color="auto" w:fill="auto"/>
            <w:vAlign w:val="bottom"/>
          </w:tcPr>
          <w:p w:rsidR="00F11985" w:rsidRPr="00221BBA" w:rsidRDefault="00F11985" w:rsidP="007400AF">
            <w:pPr>
              <w:suppressAutoHyphens w:val="0"/>
              <w:spacing w:before="40" w:after="40" w:line="220" w:lineRule="exact"/>
              <w:jc w:val="right"/>
              <w:rPr>
                <w:sz w:val="18"/>
              </w:rPr>
            </w:pPr>
            <w:r w:rsidRPr="00221BBA">
              <w:rPr>
                <w:sz w:val="18"/>
              </w:rPr>
              <w:t>159 640</w:t>
            </w:r>
          </w:p>
        </w:tc>
      </w:tr>
      <w:tr w:rsidR="00F11985" w:rsidRPr="00221BBA" w:rsidTr="007400AF">
        <w:tc>
          <w:tcPr>
            <w:tcW w:w="6039" w:type="dxa"/>
            <w:tcBorders>
              <w:top w:val="single" w:sz="4" w:space="0" w:color="auto"/>
              <w:bottom w:val="single" w:sz="12" w:space="0" w:color="auto"/>
            </w:tcBorders>
            <w:shd w:val="clear" w:color="auto" w:fill="auto"/>
          </w:tcPr>
          <w:p w:rsidR="00F11985" w:rsidRPr="00221BBA" w:rsidRDefault="00F11985" w:rsidP="007400AF">
            <w:pPr>
              <w:suppressAutoHyphens w:val="0"/>
              <w:spacing w:before="80" w:after="80" w:line="220" w:lineRule="exact"/>
              <w:ind w:left="283"/>
              <w:rPr>
                <w:b/>
                <w:sz w:val="18"/>
              </w:rPr>
            </w:pPr>
            <w:r w:rsidRPr="00221BBA">
              <w:rPr>
                <w:b/>
                <w:sz w:val="18"/>
              </w:rPr>
              <w:t xml:space="preserve">Total </w:t>
            </w:r>
          </w:p>
        </w:tc>
        <w:tc>
          <w:tcPr>
            <w:tcW w:w="1331" w:type="dxa"/>
            <w:tcBorders>
              <w:top w:val="single" w:sz="4" w:space="0" w:color="auto"/>
              <w:bottom w:val="single" w:sz="12" w:space="0" w:color="auto"/>
            </w:tcBorders>
            <w:shd w:val="clear" w:color="auto" w:fill="auto"/>
            <w:vAlign w:val="bottom"/>
          </w:tcPr>
          <w:p w:rsidR="00F11985" w:rsidRPr="00221BBA" w:rsidRDefault="00F11985" w:rsidP="007400AF">
            <w:pPr>
              <w:suppressAutoHyphens w:val="0"/>
              <w:spacing w:before="80" w:after="80" w:line="220" w:lineRule="exact"/>
              <w:jc w:val="right"/>
              <w:rPr>
                <w:b/>
                <w:sz w:val="18"/>
              </w:rPr>
            </w:pPr>
            <w:r w:rsidRPr="00221BBA">
              <w:rPr>
                <w:b/>
                <w:sz w:val="18"/>
              </w:rPr>
              <w:t>1 387 640</w:t>
            </w:r>
          </w:p>
        </w:tc>
      </w:tr>
    </w:tbl>
    <w:p w:rsidR="00F11985" w:rsidRPr="00221BBA" w:rsidRDefault="00F11985" w:rsidP="007400AF">
      <w:pPr>
        <w:pStyle w:val="SingleTxtG"/>
        <w:spacing w:after="0" w:line="200" w:lineRule="atLeast"/>
        <w:ind w:firstLine="170"/>
        <w:jc w:val="left"/>
        <w:rPr>
          <w:sz w:val="18"/>
          <w:szCs w:val="18"/>
        </w:rPr>
      </w:pPr>
      <w:bookmarkStart w:id="78" w:name="_Hlk32247406"/>
      <w:r w:rsidRPr="00221BBA">
        <w:rPr>
          <w:i/>
          <w:sz w:val="18"/>
          <w:szCs w:val="18"/>
        </w:rPr>
        <w:t>Abréviations</w:t>
      </w:r>
      <w:r w:rsidR="005628B1" w:rsidRPr="005628B1">
        <w:rPr>
          <w:sz w:val="18"/>
          <w:szCs w:val="18"/>
        </w:rPr>
        <w:t> :</w:t>
      </w:r>
      <w:r w:rsidRPr="00221BBA">
        <w:rPr>
          <w:sz w:val="18"/>
          <w:szCs w:val="18"/>
        </w:rPr>
        <w:t xml:space="preserve"> BO = budget ordinaire</w:t>
      </w:r>
      <w:r w:rsidR="005D58ED" w:rsidRPr="00221BBA">
        <w:rPr>
          <w:sz w:val="18"/>
          <w:szCs w:val="18"/>
        </w:rPr>
        <w:t> ;</w:t>
      </w:r>
      <w:r w:rsidRPr="00221BBA">
        <w:rPr>
          <w:sz w:val="18"/>
          <w:szCs w:val="18"/>
        </w:rPr>
        <w:t xml:space="preserve"> XB = ressources extrabudgétaires.</w:t>
      </w:r>
    </w:p>
    <w:p w:rsidR="00F11985" w:rsidRPr="00221BBA" w:rsidRDefault="00F11985" w:rsidP="007400AF">
      <w:pPr>
        <w:pStyle w:val="SingleTxtG"/>
        <w:spacing w:after="0" w:line="200" w:lineRule="atLeast"/>
        <w:ind w:firstLine="170"/>
        <w:jc w:val="left"/>
        <w:rPr>
          <w:sz w:val="18"/>
          <w:szCs w:val="18"/>
        </w:rPr>
      </w:pPr>
      <w:r w:rsidRPr="00221BBA">
        <w:rPr>
          <w:i/>
          <w:sz w:val="18"/>
          <w:szCs w:val="18"/>
        </w:rPr>
        <w:t>Note</w:t>
      </w:r>
      <w:r w:rsidR="005628B1" w:rsidRPr="005628B1">
        <w:rPr>
          <w:sz w:val="18"/>
          <w:szCs w:val="18"/>
        </w:rPr>
        <w:t> :</w:t>
      </w:r>
      <w:r w:rsidRPr="00221BBA">
        <w:rPr>
          <w:sz w:val="18"/>
          <w:szCs w:val="18"/>
        </w:rPr>
        <w:t xml:space="preserve"> Un poste (d’administrateur ou d’agent des services généraux) équivaut à 10,5</w:t>
      </w:r>
      <w:r w:rsidR="007400AF" w:rsidRPr="00221BBA">
        <w:rPr>
          <w:sz w:val="18"/>
          <w:szCs w:val="18"/>
        </w:rPr>
        <w:t> </w:t>
      </w:r>
      <w:r w:rsidRPr="00221BBA">
        <w:rPr>
          <w:sz w:val="18"/>
          <w:szCs w:val="18"/>
        </w:rPr>
        <w:t>mois de travail par an, ou 31,5</w:t>
      </w:r>
      <w:r w:rsidR="007400AF" w:rsidRPr="00221BBA">
        <w:rPr>
          <w:sz w:val="18"/>
          <w:szCs w:val="18"/>
        </w:rPr>
        <w:t> </w:t>
      </w:r>
      <w:r w:rsidRPr="00221BBA">
        <w:rPr>
          <w:sz w:val="18"/>
          <w:szCs w:val="18"/>
        </w:rPr>
        <w:t>mois de travail par période triennale par membre du personnel. L’estimation des frais au titre des ressources en personnel est calculée sur la base des taux standards de l’ONU, y compris la rémunération nette, les taxes et les dépenses communes de personnel, ainsi que les dépenses obligatoires pour les locaux à usage de bureaux, l’équipement informatique, la communication et la</w:t>
      </w:r>
      <w:r w:rsidR="00EC3ED3">
        <w:rPr>
          <w:sz w:val="18"/>
          <w:szCs w:val="18"/>
        </w:rPr>
        <w:t> </w:t>
      </w:r>
      <w:r w:rsidRPr="00221BBA">
        <w:rPr>
          <w:sz w:val="18"/>
          <w:szCs w:val="18"/>
        </w:rPr>
        <w:t>formation.</w:t>
      </w:r>
    </w:p>
    <w:bookmarkEnd w:id="78"/>
    <w:p w:rsidR="00F11985" w:rsidRPr="00221BBA" w:rsidRDefault="00F11985" w:rsidP="005628B1">
      <w:pPr>
        <w:pStyle w:val="SingleTxtG"/>
        <w:spacing w:after="240" w:line="200" w:lineRule="atLeast"/>
        <w:ind w:firstLine="170"/>
        <w:jc w:val="left"/>
        <w:rPr>
          <w:sz w:val="18"/>
          <w:szCs w:val="18"/>
        </w:rPr>
      </w:pPr>
      <w:r w:rsidRPr="00221BBA">
        <w:rPr>
          <w:i/>
          <w:sz w:val="18"/>
          <w:szCs w:val="18"/>
          <w:vertAlign w:val="superscript"/>
        </w:rPr>
        <w:lastRenderedPageBreak/>
        <w:t>a</w:t>
      </w:r>
      <w:r w:rsidRPr="00221BBA">
        <w:rPr>
          <w:sz w:val="18"/>
          <w:szCs w:val="18"/>
        </w:rPr>
        <w:t xml:space="preserve"> </w:t>
      </w:r>
      <w:r w:rsidR="007400AF" w:rsidRPr="00221BBA">
        <w:rPr>
          <w:sz w:val="18"/>
          <w:szCs w:val="18"/>
        </w:rPr>
        <w:t xml:space="preserve"> </w:t>
      </w:r>
      <w:r w:rsidRPr="00221BBA">
        <w:rPr>
          <w:sz w:val="18"/>
          <w:szCs w:val="18"/>
        </w:rPr>
        <w:t>Financé par le budget ordinaire de l’ONU. Le titulaire du poste d’administrateur financé par le budget ordinaire est le secrétaire de la Convention d’Espoo et de son Protocole, qui est notamment chargé de superviser le bon fonctionnement du secrétariat et l’exécution du plan de travail.</w:t>
      </w:r>
    </w:p>
    <w:p w:rsidR="00F11985" w:rsidRPr="00EC3ED3" w:rsidRDefault="00F11985" w:rsidP="007400AF">
      <w:pPr>
        <w:pStyle w:val="SingleTxtG"/>
        <w:jc w:val="left"/>
        <w:rPr>
          <w:sz w:val="16"/>
          <w:szCs w:val="16"/>
        </w:rPr>
      </w:pPr>
      <w:r w:rsidRPr="00221BBA">
        <w:t>Tableau 3</w:t>
      </w:r>
      <w:r w:rsidRPr="00221BBA">
        <w:br/>
      </w:r>
      <w:r w:rsidRPr="00221BBA">
        <w:rPr>
          <w:b/>
          <w:bCs/>
        </w:rPr>
        <w:t>Aperçu des ressources provenant du programme « EU4Environment » pour 2021 et</w:t>
      </w:r>
      <w:r w:rsidR="005628B1">
        <w:rPr>
          <w:b/>
          <w:bCs/>
        </w:rPr>
        <w:t> </w:t>
      </w:r>
      <w:r w:rsidRPr="00221BBA">
        <w:rPr>
          <w:b/>
          <w:bCs/>
        </w:rPr>
        <w:t>2022</w:t>
      </w:r>
      <w:r w:rsidRPr="00D031E5">
        <w:rPr>
          <w:bCs/>
          <w:i/>
          <w:iCs/>
          <w:sz w:val="18"/>
          <w:szCs w:val="18"/>
          <w:vertAlign w:val="superscript"/>
        </w:rPr>
        <w:t>a</w:t>
      </w:r>
      <w:r w:rsidR="007400AF" w:rsidRPr="005628B1">
        <w:rPr>
          <w:b/>
          <w:bCs/>
          <w:i/>
          <w:iCs/>
        </w:rPr>
        <w:br/>
      </w:r>
      <w:r w:rsidRPr="00EC3ED3">
        <w:rPr>
          <w:sz w:val="16"/>
          <w:szCs w:val="16"/>
        </w:rPr>
        <w:t>(En dollars des États-Unis)</w:t>
      </w:r>
    </w:p>
    <w:tbl>
      <w:tblPr>
        <w:tblW w:w="7370" w:type="dxa"/>
        <w:tblInd w:w="1134" w:type="dxa"/>
        <w:tblLayout w:type="fixed"/>
        <w:tblCellMar>
          <w:left w:w="0" w:type="dxa"/>
          <w:right w:w="0" w:type="dxa"/>
        </w:tblCellMar>
        <w:tblLook w:val="01E0" w:firstRow="1" w:lastRow="1" w:firstColumn="1" w:lastColumn="1" w:noHBand="0" w:noVBand="0"/>
      </w:tblPr>
      <w:tblGrid>
        <w:gridCol w:w="616"/>
        <w:gridCol w:w="3070"/>
        <w:gridCol w:w="1417"/>
        <w:gridCol w:w="709"/>
        <w:gridCol w:w="709"/>
        <w:gridCol w:w="849"/>
      </w:tblGrid>
      <w:tr w:rsidR="00D031E5" w:rsidRPr="00221BBA" w:rsidTr="00D031E5">
        <w:trPr>
          <w:cantSplit/>
          <w:tblHeader/>
        </w:trPr>
        <w:tc>
          <w:tcPr>
            <w:tcW w:w="616" w:type="dxa"/>
            <w:vMerge w:val="restart"/>
            <w:tcBorders>
              <w:top w:val="single" w:sz="4" w:space="0" w:color="auto"/>
              <w:bottom w:val="single" w:sz="12" w:space="0" w:color="auto"/>
            </w:tcBorders>
            <w:shd w:val="clear" w:color="auto" w:fill="auto"/>
            <w:vAlign w:val="bottom"/>
          </w:tcPr>
          <w:p w:rsidR="00D031E5" w:rsidRPr="00221BBA" w:rsidRDefault="00D031E5" w:rsidP="007400AF">
            <w:pPr>
              <w:suppressAutoHyphens w:val="0"/>
              <w:spacing w:before="80" w:after="80" w:line="200" w:lineRule="exact"/>
              <w:rPr>
                <w:i/>
                <w:sz w:val="16"/>
              </w:rPr>
            </w:pPr>
            <w:r w:rsidRPr="00221BBA">
              <w:rPr>
                <w:i/>
                <w:sz w:val="16"/>
              </w:rPr>
              <w:t>Année</w:t>
            </w:r>
          </w:p>
        </w:tc>
        <w:tc>
          <w:tcPr>
            <w:tcW w:w="3070" w:type="dxa"/>
            <w:vMerge w:val="restart"/>
            <w:tcBorders>
              <w:top w:val="single" w:sz="4" w:space="0" w:color="auto"/>
              <w:bottom w:val="single" w:sz="12" w:space="0" w:color="auto"/>
            </w:tcBorders>
            <w:shd w:val="clear" w:color="auto" w:fill="auto"/>
            <w:vAlign w:val="bottom"/>
          </w:tcPr>
          <w:p w:rsidR="00D031E5" w:rsidRPr="00221BBA" w:rsidRDefault="00D031E5" w:rsidP="009A258D">
            <w:pPr>
              <w:suppressAutoHyphens w:val="0"/>
              <w:spacing w:before="80" w:after="80" w:line="200" w:lineRule="exact"/>
              <w:rPr>
                <w:bCs/>
                <w:i/>
                <w:sz w:val="16"/>
              </w:rPr>
            </w:pPr>
            <w:r w:rsidRPr="00221BBA">
              <w:rPr>
                <w:bCs/>
                <w:i/>
                <w:sz w:val="16"/>
              </w:rPr>
              <w:t xml:space="preserve">Domaines et activités en Europe orientale </w:t>
            </w:r>
            <w:r>
              <w:rPr>
                <w:bCs/>
                <w:i/>
                <w:sz w:val="16"/>
              </w:rPr>
              <w:br/>
            </w:r>
            <w:r w:rsidRPr="00221BBA">
              <w:rPr>
                <w:bCs/>
                <w:i/>
                <w:sz w:val="16"/>
              </w:rPr>
              <w:t>et dans le Caucase</w:t>
            </w:r>
          </w:p>
        </w:tc>
        <w:tc>
          <w:tcPr>
            <w:tcW w:w="1417" w:type="dxa"/>
            <w:vMerge w:val="restart"/>
            <w:tcBorders>
              <w:top w:val="single" w:sz="4" w:space="0" w:color="auto"/>
              <w:bottom w:val="single" w:sz="12" w:space="0" w:color="auto"/>
            </w:tcBorders>
            <w:shd w:val="clear" w:color="auto" w:fill="auto"/>
            <w:vAlign w:val="bottom"/>
          </w:tcPr>
          <w:p w:rsidR="00D031E5" w:rsidRPr="00221BBA" w:rsidRDefault="00D031E5" w:rsidP="007400AF">
            <w:pPr>
              <w:suppressAutoHyphens w:val="0"/>
              <w:spacing w:before="80" w:after="80" w:line="200" w:lineRule="exact"/>
              <w:jc w:val="right"/>
              <w:rPr>
                <w:i/>
                <w:sz w:val="16"/>
              </w:rPr>
            </w:pPr>
            <w:r w:rsidRPr="00221BBA">
              <w:rPr>
                <w:i/>
                <w:sz w:val="16"/>
              </w:rPr>
              <w:t>Total des ressources financières extrabudgétaires provenant du programme «</w:t>
            </w:r>
            <w:r>
              <w:rPr>
                <w:i/>
                <w:sz w:val="16"/>
              </w:rPr>
              <w:t> </w:t>
            </w:r>
            <w:r w:rsidRPr="00221BBA">
              <w:rPr>
                <w:i/>
                <w:sz w:val="16"/>
              </w:rPr>
              <w:t>EU4Environment »</w:t>
            </w:r>
            <w:r w:rsidRPr="00221BBA">
              <w:rPr>
                <w:i/>
                <w:sz w:val="16"/>
              </w:rPr>
              <w:br/>
              <w:t>(en espèces, en</w:t>
            </w:r>
            <w:r w:rsidR="00EC3ED3">
              <w:rPr>
                <w:i/>
                <w:sz w:val="16"/>
              </w:rPr>
              <w:t> </w:t>
            </w:r>
            <w:r w:rsidRPr="00221BBA">
              <w:rPr>
                <w:i/>
                <w:sz w:val="16"/>
              </w:rPr>
              <w:t>dollars)</w:t>
            </w:r>
          </w:p>
          <w:p w:rsidR="00D031E5" w:rsidRPr="00221BBA" w:rsidRDefault="00D031E5" w:rsidP="007400AF">
            <w:pPr>
              <w:suppressAutoHyphens w:val="0"/>
              <w:spacing w:before="80" w:after="80" w:line="200" w:lineRule="exact"/>
              <w:jc w:val="right"/>
              <w:rPr>
                <w:i/>
                <w:sz w:val="16"/>
              </w:rPr>
            </w:pPr>
            <w:r w:rsidRPr="00221BBA">
              <w:rPr>
                <w:i/>
                <w:sz w:val="16"/>
              </w:rPr>
              <w:t>(Activités + personnel finance par des ressources extrabudgétaires)</w:t>
            </w:r>
          </w:p>
        </w:tc>
        <w:tc>
          <w:tcPr>
            <w:tcW w:w="1418" w:type="dxa"/>
            <w:gridSpan w:val="2"/>
            <w:tcBorders>
              <w:top w:val="single" w:sz="4" w:space="0" w:color="auto"/>
              <w:bottom w:val="single" w:sz="4" w:space="0" w:color="auto"/>
            </w:tcBorders>
            <w:shd w:val="clear" w:color="auto" w:fill="auto"/>
            <w:vAlign w:val="bottom"/>
          </w:tcPr>
          <w:p w:rsidR="00D031E5" w:rsidRPr="00221BBA" w:rsidRDefault="00D031E5" w:rsidP="00D031E5">
            <w:pPr>
              <w:suppressAutoHyphens w:val="0"/>
              <w:spacing w:before="80" w:after="80" w:line="200" w:lineRule="exact"/>
              <w:jc w:val="center"/>
              <w:rPr>
                <w:i/>
                <w:sz w:val="16"/>
              </w:rPr>
            </w:pPr>
            <w:r w:rsidRPr="00221BBA">
              <w:rPr>
                <w:i/>
                <w:sz w:val="16"/>
              </w:rPr>
              <w:t>Ressources en personnel financées par des ressources extrabudgétaires provenant du programme « EU4Environment » (directeur de projet +</w:t>
            </w:r>
            <w:r>
              <w:rPr>
                <w:i/>
                <w:sz w:val="16"/>
              </w:rPr>
              <w:t> </w:t>
            </w:r>
            <w:r w:rsidRPr="00221BBA">
              <w:rPr>
                <w:i/>
                <w:sz w:val="16"/>
              </w:rPr>
              <w:t xml:space="preserve">assistant) </w:t>
            </w:r>
            <w:r>
              <w:rPr>
                <w:i/>
                <w:sz w:val="16"/>
              </w:rPr>
              <w:br/>
            </w:r>
            <w:r w:rsidRPr="00221BBA">
              <w:rPr>
                <w:i/>
                <w:sz w:val="16"/>
              </w:rPr>
              <w:t>(en mois de travail)</w:t>
            </w:r>
            <w:r w:rsidRPr="00221BBA">
              <w:rPr>
                <w:i/>
                <w:sz w:val="16"/>
                <w:vertAlign w:val="superscript"/>
              </w:rPr>
              <w:t>b</w:t>
            </w:r>
          </w:p>
        </w:tc>
        <w:tc>
          <w:tcPr>
            <w:tcW w:w="849" w:type="dxa"/>
            <w:tcBorders>
              <w:top w:val="single" w:sz="4" w:space="0" w:color="auto"/>
              <w:bottom w:val="single" w:sz="4" w:space="0" w:color="auto"/>
            </w:tcBorders>
            <w:shd w:val="clear" w:color="auto" w:fill="auto"/>
            <w:vAlign w:val="bottom"/>
          </w:tcPr>
          <w:p w:rsidR="00D031E5" w:rsidRPr="00221BBA" w:rsidRDefault="00D031E5" w:rsidP="007400AF">
            <w:pPr>
              <w:suppressAutoHyphens w:val="0"/>
              <w:spacing w:before="80" w:after="80" w:line="200" w:lineRule="exact"/>
              <w:jc w:val="right"/>
              <w:rPr>
                <w:i/>
                <w:sz w:val="16"/>
              </w:rPr>
            </w:pPr>
            <w:r w:rsidRPr="00221BBA">
              <w:rPr>
                <w:i/>
                <w:sz w:val="16"/>
              </w:rPr>
              <w:t>Autres ressources en personnel de</w:t>
            </w:r>
            <w:r w:rsidR="00EC3ED3">
              <w:rPr>
                <w:i/>
                <w:sz w:val="16"/>
              </w:rPr>
              <w:t xml:space="preserve"> </w:t>
            </w:r>
            <w:r w:rsidRPr="00221BBA">
              <w:rPr>
                <w:i/>
                <w:sz w:val="16"/>
              </w:rPr>
              <w:t>secrétariat financées par des ressources budgétaires et extra</w:t>
            </w:r>
            <w:r>
              <w:rPr>
                <w:i/>
                <w:sz w:val="16"/>
              </w:rPr>
              <w:t>-</w:t>
            </w:r>
            <w:r w:rsidRPr="00221BBA">
              <w:rPr>
                <w:i/>
                <w:sz w:val="16"/>
              </w:rPr>
              <w:t>budgétaires (en mois de</w:t>
            </w:r>
            <w:r w:rsidR="00EC3ED3">
              <w:rPr>
                <w:i/>
                <w:sz w:val="16"/>
              </w:rPr>
              <w:t> </w:t>
            </w:r>
            <w:r w:rsidRPr="00221BBA">
              <w:rPr>
                <w:i/>
                <w:sz w:val="16"/>
              </w:rPr>
              <w:t>travail)</w:t>
            </w:r>
          </w:p>
        </w:tc>
      </w:tr>
      <w:tr w:rsidR="00D031E5" w:rsidRPr="00221BBA" w:rsidTr="00D031E5">
        <w:trPr>
          <w:cantSplit/>
          <w:tblHeader/>
        </w:trPr>
        <w:tc>
          <w:tcPr>
            <w:tcW w:w="616" w:type="dxa"/>
            <w:vMerge/>
            <w:tcBorders>
              <w:bottom w:val="single" w:sz="12" w:space="0" w:color="auto"/>
            </w:tcBorders>
            <w:shd w:val="clear" w:color="auto" w:fill="auto"/>
            <w:vAlign w:val="bottom"/>
          </w:tcPr>
          <w:p w:rsidR="00D031E5" w:rsidRPr="00221BBA" w:rsidRDefault="00D031E5" w:rsidP="007400AF">
            <w:pPr>
              <w:suppressAutoHyphens w:val="0"/>
              <w:spacing w:before="40" w:after="40" w:line="220" w:lineRule="exact"/>
              <w:rPr>
                <w:sz w:val="18"/>
              </w:rPr>
            </w:pPr>
          </w:p>
        </w:tc>
        <w:tc>
          <w:tcPr>
            <w:tcW w:w="3070" w:type="dxa"/>
            <w:vMerge/>
            <w:tcBorders>
              <w:bottom w:val="single" w:sz="12" w:space="0" w:color="auto"/>
            </w:tcBorders>
            <w:shd w:val="clear" w:color="auto" w:fill="auto"/>
            <w:vAlign w:val="bottom"/>
          </w:tcPr>
          <w:p w:rsidR="00D031E5" w:rsidRPr="00221BBA" w:rsidRDefault="00D031E5" w:rsidP="009A258D">
            <w:pPr>
              <w:suppressAutoHyphens w:val="0"/>
              <w:spacing w:before="40" w:after="40" w:line="220" w:lineRule="exact"/>
              <w:rPr>
                <w:sz w:val="18"/>
              </w:rPr>
            </w:pPr>
          </w:p>
        </w:tc>
        <w:tc>
          <w:tcPr>
            <w:tcW w:w="1417" w:type="dxa"/>
            <w:vMerge/>
            <w:tcBorders>
              <w:bottom w:val="single" w:sz="12" w:space="0" w:color="auto"/>
            </w:tcBorders>
            <w:shd w:val="clear" w:color="auto" w:fill="auto"/>
            <w:vAlign w:val="bottom"/>
          </w:tcPr>
          <w:p w:rsidR="00D031E5" w:rsidRPr="00221BBA" w:rsidRDefault="00D031E5" w:rsidP="007400AF">
            <w:pPr>
              <w:suppressAutoHyphens w:val="0"/>
              <w:spacing w:before="40" w:after="40" w:line="220" w:lineRule="exact"/>
              <w:jc w:val="right"/>
              <w:rPr>
                <w:sz w:val="18"/>
              </w:rPr>
            </w:pPr>
          </w:p>
        </w:tc>
        <w:tc>
          <w:tcPr>
            <w:tcW w:w="709" w:type="dxa"/>
            <w:tcBorders>
              <w:top w:val="single" w:sz="4" w:space="0" w:color="auto"/>
              <w:bottom w:val="single" w:sz="12" w:space="0" w:color="auto"/>
            </w:tcBorders>
            <w:shd w:val="clear" w:color="auto" w:fill="auto"/>
            <w:vAlign w:val="bottom"/>
          </w:tcPr>
          <w:p w:rsidR="00D031E5" w:rsidRPr="00221BBA" w:rsidRDefault="00D031E5" w:rsidP="007400AF">
            <w:pPr>
              <w:suppressAutoHyphens w:val="0"/>
              <w:spacing w:before="40" w:after="40" w:line="220" w:lineRule="exact"/>
              <w:jc w:val="right"/>
              <w:rPr>
                <w:sz w:val="18"/>
              </w:rPr>
            </w:pPr>
            <w:r w:rsidRPr="00221BBA">
              <w:rPr>
                <w:sz w:val="18"/>
              </w:rPr>
              <w:t>P</w:t>
            </w:r>
          </w:p>
        </w:tc>
        <w:tc>
          <w:tcPr>
            <w:tcW w:w="709" w:type="dxa"/>
            <w:tcBorders>
              <w:top w:val="single" w:sz="4" w:space="0" w:color="auto"/>
              <w:bottom w:val="single" w:sz="12" w:space="0" w:color="auto"/>
            </w:tcBorders>
            <w:shd w:val="clear" w:color="auto" w:fill="auto"/>
            <w:vAlign w:val="bottom"/>
          </w:tcPr>
          <w:p w:rsidR="00D031E5" w:rsidRPr="00221BBA" w:rsidRDefault="00D031E5" w:rsidP="007400AF">
            <w:pPr>
              <w:suppressAutoHyphens w:val="0"/>
              <w:spacing w:before="40" w:after="40" w:line="220" w:lineRule="exact"/>
              <w:jc w:val="right"/>
              <w:rPr>
                <w:sz w:val="18"/>
              </w:rPr>
            </w:pPr>
            <w:r w:rsidRPr="00221BBA">
              <w:rPr>
                <w:sz w:val="18"/>
              </w:rPr>
              <w:t>G</w:t>
            </w:r>
          </w:p>
        </w:tc>
        <w:tc>
          <w:tcPr>
            <w:tcW w:w="849" w:type="dxa"/>
            <w:tcBorders>
              <w:top w:val="single" w:sz="4" w:space="0" w:color="auto"/>
              <w:bottom w:val="single" w:sz="12" w:space="0" w:color="auto"/>
            </w:tcBorders>
            <w:shd w:val="clear" w:color="auto" w:fill="auto"/>
            <w:vAlign w:val="bottom"/>
          </w:tcPr>
          <w:p w:rsidR="00D031E5" w:rsidRPr="00221BBA" w:rsidRDefault="00D031E5" w:rsidP="007400AF">
            <w:pPr>
              <w:suppressAutoHyphens w:val="0"/>
              <w:spacing w:before="40" w:after="40" w:line="220" w:lineRule="exact"/>
              <w:jc w:val="right"/>
              <w:rPr>
                <w:sz w:val="18"/>
              </w:rPr>
            </w:pPr>
            <w:r w:rsidRPr="00221BBA">
              <w:rPr>
                <w:sz w:val="18"/>
              </w:rPr>
              <w:t>P</w:t>
            </w:r>
          </w:p>
        </w:tc>
      </w:tr>
      <w:tr w:rsidR="00D031E5" w:rsidRPr="00221BBA" w:rsidTr="00D031E5">
        <w:trPr>
          <w:cantSplit/>
        </w:trPr>
        <w:tc>
          <w:tcPr>
            <w:tcW w:w="616" w:type="dxa"/>
            <w:shd w:val="clear" w:color="auto" w:fill="auto"/>
          </w:tcPr>
          <w:p w:rsidR="00F11985" w:rsidRPr="00221BBA" w:rsidRDefault="00F11985" w:rsidP="007400AF">
            <w:pPr>
              <w:suppressAutoHyphens w:val="0"/>
              <w:spacing w:before="40" w:after="40" w:line="220" w:lineRule="exact"/>
              <w:rPr>
                <w:b/>
                <w:bCs/>
                <w:sz w:val="18"/>
              </w:rPr>
            </w:pPr>
            <w:r w:rsidRPr="00221BBA">
              <w:rPr>
                <w:b/>
                <w:bCs/>
                <w:sz w:val="18"/>
              </w:rPr>
              <w:t>2021</w:t>
            </w:r>
          </w:p>
        </w:tc>
        <w:tc>
          <w:tcPr>
            <w:tcW w:w="3070" w:type="dxa"/>
            <w:shd w:val="clear" w:color="auto" w:fill="auto"/>
            <w:vAlign w:val="bottom"/>
          </w:tcPr>
          <w:p w:rsidR="00F11985" w:rsidRPr="00221BBA" w:rsidRDefault="00F11985" w:rsidP="00D031E5">
            <w:pPr>
              <w:suppressAutoHyphens w:val="0"/>
              <w:spacing w:before="40" w:after="40" w:line="220" w:lineRule="exact"/>
              <w:rPr>
                <w:sz w:val="18"/>
              </w:rPr>
            </w:pPr>
            <w:r w:rsidRPr="00221BBA">
              <w:rPr>
                <w:sz w:val="18"/>
              </w:rPr>
              <w:t>II. Respect des dispositions et application de la Convention et du Protocole (C)</w:t>
            </w:r>
            <w:r w:rsidR="005D58ED" w:rsidRPr="00221BBA">
              <w:rPr>
                <w:sz w:val="18"/>
              </w:rPr>
              <w:t> ;</w:t>
            </w:r>
          </w:p>
        </w:tc>
        <w:tc>
          <w:tcPr>
            <w:tcW w:w="1417" w:type="dxa"/>
            <w:shd w:val="clear" w:color="auto" w:fill="auto"/>
            <w:vAlign w:val="bottom"/>
          </w:tcPr>
          <w:p w:rsidR="00F11985" w:rsidRPr="00221BBA" w:rsidRDefault="00F11985" w:rsidP="007400AF">
            <w:pPr>
              <w:suppressAutoHyphens w:val="0"/>
              <w:spacing w:before="40" w:after="40" w:line="220" w:lineRule="exact"/>
              <w:jc w:val="right"/>
              <w:rPr>
                <w:sz w:val="18"/>
              </w:rPr>
            </w:pPr>
          </w:p>
        </w:tc>
        <w:tc>
          <w:tcPr>
            <w:tcW w:w="709" w:type="dxa"/>
            <w:shd w:val="clear" w:color="auto" w:fill="auto"/>
            <w:vAlign w:val="bottom"/>
          </w:tcPr>
          <w:p w:rsidR="00F11985" w:rsidRPr="00221BBA" w:rsidRDefault="00F11985" w:rsidP="007400AF">
            <w:pPr>
              <w:suppressAutoHyphens w:val="0"/>
              <w:spacing w:before="40" w:after="40" w:line="220" w:lineRule="exact"/>
              <w:jc w:val="right"/>
              <w:rPr>
                <w:sz w:val="18"/>
              </w:rPr>
            </w:pPr>
          </w:p>
        </w:tc>
        <w:tc>
          <w:tcPr>
            <w:tcW w:w="709" w:type="dxa"/>
            <w:shd w:val="clear" w:color="auto" w:fill="auto"/>
            <w:vAlign w:val="bottom"/>
          </w:tcPr>
          <w:p w:rsidR="00F11985" w:rsidRPr="00221BBA" w:rsidRDefault="00F11985" w:rsidP="007400AF">
            <w:pPr>
              <w:suppressAutoHyphens w:val="0"/>
              <w:spacing w:before="40" w:after="40" w:line="220" w:lineRule="exact"/>
              <w:jc w:val="right"/>
              <w:rPr>
                <w:sz w:val="18"/>
              </w:rPr>
            </w:pPr>
          </w:p>
        </w:tc>
        <w:tc>
          <w:tcPr>
            <w:tcW w:w="849" w:type="dxa"/>
            <w:shd w:val="clear" w:color="auto" w:fill="auto"/>
            <w:vAlign w:val="bottom"/>
          </w:tcPr>
          <w:p w:rsidR="00F11985" w:rsidRPr="00221BBA" w:rsidRDefault="00F11985" w:rsidP="007400AF">
            <w:pPr>
              <w:suppressAutoHyphens w:val="0"/>
              <w:spacing w:before="40" w:after="40" w:line="220" w:lineRule="exact"/>
              <w:jc w:val="right"/>
              <w:rPr>
                <w:sz w:val="18"/>
              </w:rPr>
            </w:pPr>
          </w:p>
        </w:tc>
      </w:tr>
      <w:tr w:rsidR="00D031E5" w:rsidRPr="00221BBA" w:rsidTr="00D031E5">
        <w:trPr>
          <w:cantSplit/>
        </w:trPr>
        <w:tc>
          <w:tcPr>
            <w:tcW w:w="616" w:type="dxa"/>
            <w:shd w:val="clear" w:color="auto" w:fill="auto"/>
          </w:tcPr>
          <w:p w:rsidR="00D031E5" w:rsidRPr="00221BBA" w:rsidRDefault="00D031E5" w:rsidP="007400AF">
            <w:pPr>
              <w:suppressAutoHyphens w:val="0"/>
              <w:spacing w:before="40" w:after="40" w:line="220" w:lineRule="exact"/>
              <w:rPr>
                <w:b/>
                <w:bCs/>
                <w:sz w:val="18"/>
              </w:rPr>
            </w:pPr>
          </w:p>
        </w:tc>
        <w:tc>
          <w:tcPr>
            <w:tcW w:w="3070" w:type="dxa"/>
            <w:shd w:val="clear" w:color="auto" w:fill="auto"/>
            <w:vAlign w:val="bottom"/>
          </w:tcPr>
          <w:p w:rsidR="00D031E5" w:rsidRPr="00221BBA" w:rsidRDefault="00D031E5" w:rsidP="00D031E5">
            <w:pPr>
              <w:suppressAutoHyphens w:val="0"/>
              <w:spacing w:before="40" w:after="40" w:line="220" w:lineRule="exact"/>
              <w:rPr>
                <w:sz w:val="18"/>
              </w:rPr>
            </w:pPr>
            <w:r w:rsidRPr="00221BBA">
              <w:rPr>
                <w:sz w:val="18"/>
              </w:rPr>
              <w:t>III. Coopération sous-régionale et renforcement des capacités (B) ;</w:t>
            </w:r>
          </w:p>
        </w:tc>
        <w:tc>
          <w:tcPr>
            <w:tcW w:w="1417" w:type="dxa"/>
            <w:shd w:val="clear" w:color="auto" w:fill="auto"/>
            <w:vAlign w:val="bottom"/>
          </w:tcPr>
          <w:p w:rsidR="00D031E5" w:rsidRPr="00221BBA" w:rsidRDefault="00D031E5" w:rsidP="007400AF">
            <w:pPr>
              <w:suppressAutoHyphens w:val="0"/>
              <w:spacing w:before="40" w:after="40" w:line="220" w:lineRule="exact"/>
              <w:jc w:val="right"/>
              <w:rPr>
                <w:sz w:val="18"/>
              </w:rPr>
            </w:pPr>
          </w:p>
        </w:tc>
        <w:tc>
          <w:tcPr>
            <w:tcW w:w="709" w:type="dxa"/>
            <w:shd w:val="clear" w:color="auto" w:fill="auto"/>
            <w:vAlign w:val="bottom"/>
          </w:tcPr>
          <w:p w:rsidR="00D031E5" w:rsidRPr="00221BBA" w:rsidRDefault="00D031E5" w:rsidP="007400AF">
            <w:pPr>
              <w:suppressAutoHyphens w:val="0"/>
              <w:spacing w:before="40" w:after="40" w:line="220" w:lineRule="exact"/>
              <w:jc w:val="right"/>
              <w:rPr>
                <w:sz w:val="18"/>
              </w:rPr>
            </w:pPr>
          </w:p>
        </w:tc>
        <w:tc>
          <w:tcPr>
            <w:tcW w:w="709" w:type="dxa"/>
            <w:shd w:val="clear" w:color="auto" w:fill="auto"/>
            <w:vAlign w:val="bottom"/>
          </w:tcPr>
          <w:p w:rsidR="00D031E5" w:rsidRPr="00221BBA" w:rsidRDefault="00D031E5" w:rsidP="007400AF">
            <w:pPr>
              <w:suppressAutoHyphens w:val="0"/>
              <w:spacing w:before="40" w:after="40" w:line="220" w:lineRule="exact"/>
              <w:jc w:val="right"/>
              <w:rPr>
                <w:sz w:val="18"/>
              </w:rPr>
            </w:pPr>
          </w:p>
        </w:tc>
        <w:tc>
          <w:tcPr>
            <w:tcW w:w="849" w:type="dxa"/>
            <w:shd w:val="clear" w:color="auto" w:fill="auto"/>
            <w:vAlign w:val="bottom"/>
          </w:tcPr>
          <w:p w:rsidR="00D031E5" w:rsidRPr="00221BBA" w:rsidRDefault="00D031E5" w:rsidP="007400AF">
            <w:pPr>
              <w:suppressAutoHyphens w:val="0"/>
              <w:spacing w:before="40" w:after="40" w:line="220" w:lineRule="exact"/>
              <w:jc w:val="right"/>
              <w:rPr>
                <w:sz w:val="18"/>
              </w:rPr>
            </w:pPr>
          </w:p>
        </w:tc>
      </w:tr>
      <w:tr w:rsidR="00D031E5" w:rsidRPr="00221BBA" w:rsidTr="00EC3ED3">
        <w:trPr>
          <w:cantSplit/>
        </w:trPr>
        <w:tc>
          <w:tcPr>
            <w:tcW w:w="616" w:type="dxa"/>
            <w:shd w:val="clear" w:color="auto" w:fill="auto"/>
          </w:tcPr>
          <w:p w:rsidR="00D031E5" w:rsidRPr="00221BBA" w:rsidRDefault="00D031E5" w:rsidP="007400AF">
            <w:pPr>
              <w:suppressAutoHyphens w:val="0"/>
              <w:spacing w:before="40" w:after="40" w:line="220" w:lineRule="exact"/>
              <w:rPr>
                <w:b/>
                <w:bCs/>
                <w:sz w:val="18"/>
              </w:rPr>
            </w:pPr>
          </w:p>
        </w:tc>
        <w:tc>
          <w:tcPr>
            <w:tcW w:w="3070" w:type="dxa"/>
            <w:shd w:val="clear" w:color="auto" w:fill="auto"/>
            <w:vAlign w:val="bottom"/>
          </w:tcPr>
          <w:p w:rsidR="00D031E5" w:rsidRPr="00221BBA" w:rsidRDefault="00D031E5" w:rsidP="00D031E5">
            <w:pPr>
              <w:suppressAutoHyphens w:val="0"/>
              <w:spacing w:before="40" w:after="40" w:line="220" w:lineRule="exact"/>
              <w:rPr>
                <w:sz w:val="18"/>
              </w:rPr>
            </w:pPr>
            <w:r w:rsidRPr="00221BBA">
              <w:rPr>
                <w:sz w:val="18"/>
              </w:rPr>
              <w:t>V. Promouvoir l’application pratique du Protocole et/ou de la Convention (A-F)</w:t>
            </w:r>
          </w:p>
        </w:tc>
        <w:tc>
          <w:tcPr>
            <w:tcW w:w="1417" w:type="dxa"/>
            <w:shd w:val="clear" w:color="auto" w:fill="auto"/>
            <w:vAlign w:val="bottom"/>
          </w:tcPr>
          <w:p w:rsidR="00D031E5" w:rsidRPr="00221BBA" w:rsidRDefault="00D031E5" w:rsidP="007400AF">
            <w:pPr>
              <w:suppressAutoHyphens w:val="0"/>
              <w:spacing w:before="40" w:after="40" w:line="220" w:lineRule="exact"/>
              <w:jc w:val="right"/>
              <w:rPr>
                <w:sz w:val="18"/>
              </w:rPr>
            </w:pPr>
          </w:p>
        </w:tc>
        <w:tc>
          <w:tcPr>
            <w:tcW w:w="709" w:type="dxa"/>
            <w:shd w:val="clear" w:color="auto" w:fill="auto"/>
            <w:vAlign w:val="bottom"/>
          </w:tcPr>
          <w:p w:rsidR="00D031E5" w:rsidRPr="00221BBA" w:rsidRDefault="00D031E5" w:rsidP="007400AF">
            <w:pPr>
              <w:suppressAutoHyphens w:val="0"/>
              <w:spacing w:before="40" w:after="40" w:line="220" w:lineRule="exact"/>
              <w:jc w:val="right"/>
              <w:rPr>
                <w:sz w:val="18"/>
              </w:rPr>
            </w:pPr>
          </w:p>
        </w:tc>
        <w:tc>
          <w:tcPr>
            <w:tcW w:w="709" w:type="dxa"/>
            <w:shd w:val="clear" w:color="auto" w:fill="auto"/>
            <w:vAlign w:val="bottom"/>
          </w:tcPr>
          <w:p w:rsidR="00D031E5" w:rsidRPr="00221BBA" w:rsidRDefault="00D031E5" w:rsidP="007400AF">
            <w:pPr>
              <w:suppressAutoHyphens w:val="0"/>
              <w:spacing w:before="40" w:after="40" w:line="220" w:lineRule="exact"/>
              <w:jc w:val="right"/>
              <w:rPr>
                <w:sz w:val="18"/>
              </w:rPr>
            </w:pPr>
          </w:p>
        </w:tc>
        <w:tc>
          <w:tcPr>
            <w:tcW w:w="849" w:type="dxa"/>
            <w:shd w:val="clear" w:color="auto" w:fill="auto"/>
            <w:vAlign w:val="bottom"/>
          </w:tcPr>
          <w:p w:rsidR="00D031E5" w:rsidRPr="00221BBA" w:rsidRDefault="00D031E5" w:rsidP="007400AF">
            <w:pPr>
              <w:suppressAutoHyphens w:val="0"/>
              <w:spacing w:before="40" w:after="40" w:line="220" w:lineRule="exact"/>
              <w:jc w:val="right"/>
              <w:rPr>
                <w:sz w:val="18"/>
              </w:rPr>
            </w:pPr>
          </w:p>
        </w:tc>
      </w:tr>
      <w:tr w:rsidR="00D031E5" w:rsidRPr="00EC3ED3" w:rsidTr="00EC3ED3">
        <w:trPr>
          <w:cantSplit/>
        </w:trPr>
        <w:tc>
          <w:tcPr>
            <w:tcW w:w="616" w:type="dxa"/>
            <w:shd w:val="clear" w:color="auto" w:fill="auto"/>
          </w:tcPr>
          <w:p w:rsidR="00F11985" w:rsidRPr="00EC3ED3" w:rsidRDefault="00F11985" w:rsidP="00EC3ED3">
            <w:pPr>
              <w:suppressAutoHyphens w:val="0"/>
              <w:spacing w:before="80" w:after="80" w:line="220" w:lineRule="exact"/>
              <w:ind w:left="283"/>
              <w:rPr>
                <w:b/>
                <w:bCs/>
                <w:sz w:val="18"/>
              </w:rPr>
            </w:pPr>
          </w:p>
        </w:tc>
        <w:tc>
          <w:tcPr>
            <w:tcW w:w="3070" w:type="dxa"/>
            <w:shd w:val="clear" w:color="auto" w:fill="auto"/>
            <w:vAlign w:val="bottom"/>
          </w:tcPr>
          <w:p w:rsidR="00F11985" w:rsidRPr="00EC3ED3" w:rsidRDefault="00F11985" w:rsidP="00EC3ED3">
            <w:pPr>
              <w:suppressAutoHyphens w:val="0"/>
              <w:spacing w:before="80" w:after="80" w:line="220" w:lineRule="exact"/>
              <w:ind w:left="283"/>
              <w:rPr>
                <w:b/>
                <w:sz w:val="18"/>
              </w:rPr>
            </w:pPr>
            <w:r w:rsidRPr="00EC3ED3">
              <w:rPr>
                <w:b/>
                <w:bCs/>
                <w:sz w:val="18"/>
              </w:rPr>
              <w:t>Total</w:t>
            </w:r>
            <w:r w:rsidRPr="00EC3ED3">
              <w:rPr>
                <w:b/>
                <w:sz w:val="18"/>
              </w:rPr>
              <w:t xml:space="preserve"> partiel</w:t>
            </w:r>
          </w:p>
        </w:tc>
        <w:tc>
          <w:tcPr>
            <w:tcW w:w="1417" w:type="dxa"/>
            <w:shd w:val="clear" w:color="auto" w:fill="auto"/>
            <w:vAlign w:val="bottom"/>
          </w:tcPr>
          <w:p w:rsidR="00F11985" w:rsidRPr="00EC3ED3" w:rsidRDefault="00F11985" w:rsidP="00EC3ED3">
            <w:pPr>
              <w:suppressAutoHyphens w:val="0"/>
              <w:spacing w:before="80" w:after="80" w:line="220" w:lineRule="exact"/>
              <w:jc w:val="right"/>
              <w:rPr>
                <w:b/>
                <w:sz w:val="18"/>
              </w:rPr>
            </w:pPr>
            <w:r w:rsidRPr="00EC3ED3">
              <w:rPr>
                <w:b/>
                <w:sz w:val="18"/>
              </w:rPr>
              <w:t>664 007</w:t>
            </w:r>
          </w:p>
        </w:tc>
        <w:tc>
          <w:tcPr>
            <w:tcW w:w="709" w:type="dxa"/>
            <w:shd w:val="clear" w:color="auto" w:fill="auto"/>
            <w:vAlign w:val="bottom"/>
          </w:tcPr>
          <w:p w:rsidR="00F11985" w:rsidRPr="00EC3ED3" w:rsidRDefault="00F11985" w:rsidP="00EC3ED3">
            <w:pPr>
              <w:suppressAutoHyphens w:val="0"/>
              <w:spacing w:before="80" w:after="80" w:line="220" w:lineRule="exact"/>
              <w:jc w:val="right"/>
              <w:rPr>
                <w:b/>
                <w:sz w:val="18"/>
              </w:rPr>
            </w:pPr>
            <w:r w:rsidRPr="00EC3ED3">
              <w:rPr>
                <w:b/>
                <w:sz w:val="18"/>
              </w:rPr>
              <w:t>10</w:t>
            </w:r>
            <w:r w:rsidR="00D031E5" w:rsidRPr="00EC3ED3">
              <w:rPr>
                <w:b/>
                <w:sz w:val="18"/>
              </w:rPr>
              <w:t>,</w:t>
            </w:r>
            <w:r w:rsidRPr="00EC3ED3">
              <w:rPr>
                <w:b/>
                <w:sz w:val="18"/>
              </w:rPr>
              <w:t>5</w:t>
            </w:r>
          </w:p>
        </w:tc>
        <w:tc>
          <w:tcPr>
            <w:tcW w:w="709" w:type="dxa"/>
            <w:shd w:val="clear" w:color="auto" w:fill="auto"/>
            <w:vAlign w:val="bottom"/>
          </w:tcPr>
          <w:p w:rsidR="00F11985" w:rsidRPr="00EC3ED3" w:rsidRDefault="00F11985" w:rsidP="00EC3ED3">
            <w:pPr>
              <w:suppressAutoHyphens w:val="0"/>
              <w:spacing w:before="80" w:after="80" w:line="220" w:lineRule="exact"/>
              <w:jc w:val="right"/>
              <w:rPr>
                <w:b/>
                <w:sz w:val="18"/>
              </w:rPr>
            </w:pPr>
            <w:r w:rsidRPr="00EC3ED3">
              <w:rPr>
                <w:b/>
                <w:sz w:val="18"/>
              </w:rPr>
              <w:t>10</w:t>
            </w:r>
            <w:r w:rsidR="00D031E5" w:rsidRPr="00EC3ED3">
              <w:rPr>
                <w:b/>
                <w:sz w:val="18"/>
              </w:rPr>
              <w:t>,</w:t>
            </w:r>
            <w:r w:rsidRPr="00EC3ED3">
              <w:rPr>
                <w:b/>
                <w:sz w:val="18"/>
              </w:rPr>
              <w:t>5</w:t>
            </w:r>
          </w:p>
        </w:tc>
        <w:tc>
          <w:tcPr>
            <w:tcW w:w="849" w:type="dxa"/>
            <w:shd w:val="clear" w:color="auto" w:fill="auto"/>
            <w:vAlign w:val="bottom"/>
          </w:tcPr>
          <w:p w:rsidR="00F11985" w:rsidRPr="00EC3ED3" w:rsidRDefault="00F11985" w:rsidP="00EC3ED3">
            <w:pPr>
              <w:suppressAutoHyphens w:val="0"/>
              <w:spacing w:before="80" w:after="80" w:line="220" w:lineRule="exact"/>
              <w:jc w:val="right"/>
              <w:rPr>
                <w:b/>
                <w:sz w:val="18"/>
              </w:rPr>
            </w:pPr>
            <w:r w:rsidRPr="00EC3ED3">
              <w:rPr>
                <w:b/>
                <w:sz w:val="18"/>
              </w:rPr>
              <w:t xml:space="preserve">1 </w:t>
            </w:r>
          </w:p>
        </w:tc>
      </w:tr>
      <w:tr w:rsidR="00D031E5" w:rsidRPr="00221BBA" w:rsidTr="00EC3ED3">
        <w:trPr>
          <w:cantSplit/>
        </w:trPr>
        <w:tc>
          <w:tcPr>
            <w:tcW w:w="616" w:type="dxa"/>
            <w:shd w:val="clear" w:color="auto" w:fill="auto"/>
          </w:tcPr>
          <w:p w:rsidR="00F11985" w:rsidRPr="00221BBA" w:rsidRDefault="00F11985" w:rsidP="007400AF">
            <w:pPr>
              <w:suppressAutoHyphens w:val="0"/>
              <w:spacing w:before="40" w:after="40" w:line="220" w:lineRule="exact"/>
              <w:rPr>
                <w:b/>
                <w:sz w:val="18"/>
              </w:rPr>
            </w:pPr>
            <w:r w:rsidRPr="00221BBA">
              <w:rPr>
                <w:b/>
                <w:sz w:val="18"/>
              </w:rPr>
              <w:t>2022</w:t>
            </w:r>
          </w:p>
        </w:tc>
        <w:tc>
          <w:tcPr>
            <w:tcW w:w="3070" w:type="dxa"/>
            <w:shd w:val="clear" w:color="auto" w:fill="auto"/>
            <w:vAlign w:val="bottom"/>
          </w:tcPr>
          <w:p w:rsidR="00F11985" w:rsidRPr="00221BBA" w:rsidRDefault="00F11985" w:rsidP="00D031E5">
            <w:pPr>
              <w:suppressAutoHyphens w:val="0"/>
              <w:spacing w:before="40" w:after="40" w:line="220" w:lineRule="exact"/>
              <w:rPr>
                <w:sz w:val="18"/>
              </w:rPr>
            </w:pPr>
            <w:r w:rsidRPr="00221BBA">
              <w:rPr>
                <w:sz w:val="18"/>
              </w:rPr>
              <w:t>III. Coopération sous-régionale et renforcement des capacités (B)</w:t>
            </w:r>
            <w:r w:rsidR="005D58ED" w:rsidRPr="00221BBA">
              <w:rPr>
                <w:sz w:val="18"/>
              </w:rPr>
              <w:t> ;</w:t>
            </w:r>
          </w:p>
        </w:tc>
        <w:tc>
          <w:tcPr>
            <w:tcW w:w="1417" w:type="dxa"/>
            <w:shd w:val="clear" w:color="auto" w:fill="auto"/>
            <w:vAlign w:val="bottom"/>
          </w:tcPr>
          <w:p w:rsidR="00F11985" w:rsidRPr="00221BBA" w:rsidRDefault="00F11985" w:rsidP="007400AF">
            <w:pPr>
              <w:suppressAutoHyphens w:val="0"/>
              <w:spacing w:before="40" w:after="40" w:line="220" w:lineRule="exact"/>
              <w:jc w:val="right"/>
              <w:rPr>
                <w:b/>
                <w:sz w:val="18"/>
              </w:rPr>
            </w:pPr>
          </w:p>
        </w:tc>
        <w:tc>
          <w:tcPr>
            <w:tcW w:w="709" w:type="dxa"/>
            <w:shd w:val="clear" w:color="auto" w:fill="auto"/>
            <w:vAlign w:val="bottom"/>
          </w:tcPr>
          <w:p w:rsidR="00F11985" w:rsidRPr="00221BBA" w:rsidRDefault="00F11985" w:rsidP="007400AF">
            <w:pPr>
              <w:suppressAutoHyphens w:val="0"/>
              <w:spacing w:before="40" w:after="40" w:line="220" w:lineRule="exact"/>
              <w:jc w:val="right"/>
              <w:rPr>
                <w:sz w:val="18"/>
              </w:rPr>
            </w:pPr>
          </w:p>
        </w:tc>
        <w:tc>
          <w:tcPr>
            <w:tcW w:w="709" w:type="dxa"/>
            <w:shd w:val="clear" w:color="auto" w:fill="auto"/>
            <w:vAlign w:val="bottom"/>
          </w:tcPr>
          <w:p w:rsidR="00F11985" w:rsidRPr="00221BBA" w:rsidRDefault="00F11985" w:rsidP="007400AF">
            <w:pPr>
              <w:suppressAutoHyphens w:val="0"/>
              <w:spacing w:before="40" w:after="40" w:line="220" w:lineRule="exact"/>
              <w:jc w:val="right"/>
              <w:rPr>
                <w:sz w:val="18"/>
              </w:rPr>
            </w:pPr>
          </w:p>
        </w:tc>
        <w:tc>
          <w:tcPr>
            <w:tcW w:w="849" w:type="dxa"/>
            <w:shd w:val="clear" w:color="auto" w:fill="auto"/>
            <w:vAlign w:val="bottom"/>
          </w:tcPr>
          <w:p w:rsidR="00F11985" w:rsidRPr="00221BBA" w:rsidRDefault="00F11985" w:rsidP="007400AF">
            <w:pPr>
              <w:suppressAutoHyphens w:val="0"/>
              <w:spacing w:before="40" w:after="40" w:line="220" w:lineRule="exact"/>
              <w:jc w:val="right"/>
              <w:rPr>
                <w:bCs/>
                <w:sz w:val="18"/>
              </w:rPr>
            </w:pPr>
          </w:p>
        </w:tc>
      </w:tr>
      <w:tr w:rsidR="00D031E5" w:rsidRPr="00221BBA" w:rsidTr="00D031E5">
        <w:trPr>
          <w:cantSplit/>
        </w:trPr>
        <w:tc>
          <w:tcPr>
            <w:tcW w:w="616" w:type="dxa"/>
            <w:tcBorders>
              <w:bottom w:val="single" w:sz="4" w:space="0" w:color="auto"/>
            </w:tcBorders>
            <w:shd w:val="clear" w:color="auto" w:fill="auto"/>
          </w:tcPr>
          <w:p w:rsidR="00D031E5" w:rsidRPr="00221BBA" w:rsidRDefault="00D031E5" w:rsidP="007400AF">
            <w:pPr>
              <w:suppressAutoHyphens w:val="0"/>
              <w:spacing w:before="40" w:after="40" w:line="220" w:lineRule="exact"/>
              <w:rPr>
                <w:b/>
                <w:sz w:val="18"/>
              </w:rPr>
            </w:pPr>
          </w:p>
        </w:tc>
        <w:tc>
          <w:tcPr>
            <w:tcW w:w="3070" w:type="dxa"/>
            <w:tcBorders>
              <w:bottom w:val="single" w:sz="4" w:space="0" w:color="auto"/>
            </w:tcBorders>
            <w:shd w:val="clear" w:color="auto" w:fill="auto"/>
            <w:vAlign w:val="bottom"/>
          </w:tcPr>
          <w:p w:rsidR="00D031E5" w:rsidRPr="00221BBA" w:rsidRDefault="00D031E5" w:rsidP="00D031E5">
            <w:pPr>
              <w:suppressAutoHyphens w:val="0"/>
              <w:spacing w:before="40" w:after="40" w:line="220" w:lineRule="exact"/>
              <w:rPr>
                <w:sz w:val="18"/>
              </w:rPr>
            </w:pPr>
            <w:r w:rsidRPr="00221BBA">
              <w:rPr>
                <w:sz w:val="18"/>
              </w:rPr>
              <w:t>V. Promouvoir l’application pratique du Protocole et/ou de la Convention (A-F)</w:t>
            </w:r>
          </w:p>
        </w:tc>
        <w:tc>
          <w:tcPr>
            <w:tcW w:w="1417" w:type="dxa"/>
            <w:tcBorders>
              <w:bottom w:val="single" w:sz="4" w:space="0" w:color="auto"/>
            </w:tcBorders>
            <w:shd w:val="clear" w:color="auto" w:fill="auto"/>
            <w:vAlign w:val="bottom"/>
          </w:tcPr>
          <w:p w:rsidR="00D031E5" w:rsidRPr="00221BBA" w:rsidRDefault="00D031E5" w:rsidP="007400AF">
            <w:pPr>
              <w:suppressAutoHyphens w:val="0"/>
              <w:spacing w:before="40" w:after="40" w:line="220" w:lineRule="exact"/>
              <w:jc w:val="right"/>
              <w:rPr>
                <w:b/>
                <w:sz w:val="18"/>
              </w:rPr>
            </w:pPr>
          </w:p>
        </w:tc>
        <w:tc>
          <w:tcPr>
            <w:tcW w:w="709" w:type="dxa"/>
            <w:tcBorders>
              <w:bottom w:val="single" w:sz="4" w:space="0" w:color="auto"/>
            </w:tcBorders>
            <w:shd w:val="clear" w:color="auto" w:fill="auto"/>
            <w:vAlign w:val="bottom"/>
          </w:tcPr>
          <w:p w:rsidR="00D031E5" w:rsidRPr="00221BBA" w:rsidRDefault="00D031E5" w:rsidP="007400AF">
            <w:pPr>
              <w:suppressAutoHyphens w:val="0"/>
              <w:spacing w:before="40" w:after="40" w:line="220" w:lineRule="exact"/>
              <w:jc w:val="right"/>
              <w:rPr>
                <w:sz w:val="18"/>
              </w:rPr>
            </w:pPr>
          </w:p>
        </w:tc>
        <w:tc>
          <w:tcPr>
            <w:tcW w:w="709" w:type="dxa"/>
            <w:tcBorders>
              <w:bottom w:val="single" w:sz="4" w:space="0" w:color="auto"/>
            </w:tcBorders>
            <w:shd w:val="clear" w:color="auto" w:fill="auto"/>
            <w:vAlign w:val="bottom"/>
          </w:tcPr>
          <w:p w:rsidR="00D031E5" w:rsidRPr="00221BBA" w:rsidRDefault="00D031E5" w:rsidP="007400AF">
            <w:pPr>
              <w:suppressAutoHyphens w:val="0"/>
              <w:spacing w:before="40" w:after="40" w:line="220" w:lineRule="exact"/>
              <w:jc w:val="right"/>
              <w:rPr>
                <w:sz w:val="18"/>
              </w:rPr>
            </w:pPr>
          </w:p>
        </w:tc>
        <w:tc>
          <w:tcPr>
            <w:tcW w:w="849" w:type="dxa"/>
            <w:tcBorders>
              <w:bottom w:val="single" w:sz="4" w:space="0" w:color="auto"/>
            </w:tcBorders>
            <w:shd w:val="clear" w:color="auto" w:fill="auto"/>
            <w:vAlign w:val="bottom"/>
          </w:tcPr>
          <w:p w:rsidR="00D031E5" w:rsidRPr="00221BBA" w:rsidRDefault="00D031E5" w:rsidP="007400AF">
            <w:pPr>
              <w:suppressAutoHyphens w:val="0"/>
              <w:spacing w:before="40" w:after="40" w:line="220" w:lineRule="exact"/>
              <w:jc w:val="right"/>
              <w:rPr>
                <w:bCs/>
                <w:sz w:val="18"/>
              </w:rPr>
            </w:pPr>
          </w:p>
        </w:tc>
      </w:tr>
      <w:tr w:rsidR="00D031E5" w:rsidRPr="00D031E5" w:rsidTr="00D031E5">
        <w:trPr>
          <w:cantSplit/>
        </w:trPr>
        <w:tc>
          <w:tcPr>
            <w:tcW w:w="616" w:type="dxa"/>
            <w:tcBorders>
              <w:top w:val="single" w:sz="4" w:space="0" w:color="auto"/>
              <w:bottom w:val="single" w:sz="4" w:space="0" w:color="auto"/>
            </w:tcBorders>
            <w:shd w:val="clear" w:color="auto" w:fill="auto"/>
          </w:tcPr>
          <w:p w:rsidR="00F11985" w:rsidRPr="00D031E5" w:rsidRDefault="00F11985" w:rsidP="00D031E5">
            <w:pPr>
              <w:suppressAutoHyphens w:val="0"/>
              <w:spacing w:before="80" w:after="80" w:line="220" w:lineRule="exact"/>
              <w:ind w:left="283"/>
              <w:rPr>
                <w:b/>
                <w:sz w:val="18"/>
              </w:rPr>
            </w:pPr>
          </w:p>
        </w:tc>
        <w:tc>
          <w:tcPr>
            <w:tcW w:w="3070" w:type="dxa"/>
            <w:tcBorders>
              <w:top w:val="single" w:sz="4" w:space="0" w:color="auto"/>
              <w:bottom w:val="single" w:sz="4" w:space="0" w:color="auto"/>
            </w:tcBorders>
            <w:shd w:val="clear" w:color="auto" w:fill="auto"/>
            <w:vAlign w:val="bottom"/>
          </w:tcPr>
          <w:p w:rsidR="00F11985" w:rsidRPr="00D031E5" w:rsidRDefault="00F11985" w:rsidP="00D031E5">
            <w:pPr>
              <w:suppressAutoHyphens w:val="0"/>
              <w:spacing w:before="80" w:after="80" w:line="220" w:lineRule="exact"/>
              <w:ind w:left="283"/>
              <w:rPr>
                <w:b/>
                <w:sz w:val="18"/>
              </w:rPr>
            </w:pPr>
            <w:r w:rsidRPr="00D031E5">
              <w:rPr>
                <w:b/>
                <w:sz w:val="18"/>
              </w:rPr>
              <w:t>Total partiel</w:t>
            </w:r>
          </w:p>
        </w:tc>
        <w:tc>
          <w:tcPr>
            <w:tcW w:w="1417" w:type="dxa"/>
            <w:tcBorders>
              <w:top w:val="single" w:sz="4" w:space="0" w:color="auto"/>
              <w:bottom w:val="single" w:sz="4" w:space="0" w:color="auto"/>
            </w:tcBorders>
            <w:shd w:val="clear" w:color="auto" w:fill="auto"/>
            <w:vAlign w:val="bottom"/>
          </w:tcPr>
          <w:p w:rsidR="00F11985" w:rsidRPr="00D031E5" w:rsidRDefault="00F11985" w:rsidP="00D031E5">
            <w:pPr>
              <w:suppressAutoHyphens w:val="0"/>
              <w:spacing w:before="80" w:after="80" w:line="220" w:lineRule="exact"/>
              <w:jc w:val="right"/>
              <w:rPr>
                <w:b/>
                <w:sz w:val="18"/>
              </w:rPr>
            </w:pPr>
            <w:r w:rsidRPr="00D031E5">
              <w:rPr>
                <w:b/>
                <w:sz w:val="18"/>
              </w:rPr>
              <w:t>402 795</w:t>
            </w:r>
          </w:p>
        </w:tc>
        <w:tc>
          <w:tcPr>
            <w:tcW w:w="709" w:type="dxa"/>
            <w:tcBorders>
              <w:top w:val="single" w:sz="4" w:space="0" w:color="auto"/>
              <w:bottom w:val="single" w:sz="4" w:space="0" w:color="auto"/>
            </w:tcBorders>
            <w:shd w:val="clear" w:color="auto" w:fill="auto"/>
            <w:vAlign w:val="bottom"/>
          </w:tcPr>
          <w:p w:rsidR="00F11985" w:rsidRPr="00D031E5" w:rsidRDefault="00F11985" w:rsidP="00D031E5">
            <w:pPr>
              <w:suppressAutoHyphens w:val="0"/>
              <w:spacing w:before="80" w:after="80" w:line="220" w:lineRule="exact"/>
              <w:jc w:val="right"/>
              <w:rPr>
                <w:b/>
                <w:sz w:val="18"/>
              </w:rPr>
            </w:pPr>
            <w:r w:rsidRPr="00D031E5">
              <w:rPr>
                <w:b/>
                <w:sz w:val="18"/>
              </w:rPr>
              <w:t>10</w:t>
            </w:r>
            <w:r w:rsidR="00D031E5">
              <w:rPr>
                <w:b/>
                <w:sz w:val="18"/>
              </w:rPr>
              <w:t>,</w:t>
            </w:r>
            <w:r w:rsidRPr="00D031E5">
              <w:rPr>
                <w:b/>
                <w:sz w:val="18"/>
              </w:rPr>
              <w:t>5</w:t>
            </w:r>
          </w:p>
        </w:tc>
        <w:tc>
          <w:tcPr>
            <w:tcW w:w="709" w:type="dxa"/>
            <w:tcBorders>
              <w:top w:val="single" w:sz="4" w:space="0" w:color="auto"/>
              <w:bottom w:val="single" w:sz="4" w:space="0" w:color="auto"/>
            </w:tcBorders>
            <w:shd w:val="clear" w:color="auto" w:fill="auto"/>
            <w:vAlign w:val="bottom"/>
          </w:tcPr>
          <w:p w:rsidR="00F11985" w:rsidRPr="00D031E5" w:rsidRDefault="00F11985" w:rsidP="00D031E5">
            <w:pPr>
              <w:suppressAutoHyphens w:val="0"/>
              <w:spacing w:before="80" w:after="80" w:line="220" w:lineRule="exact"/>
              <w:jc w:val="right"/>
              <w:rPr>
                <w:b/>
                <w:sz w:val="18"/>
              </w:rPr>
            </w:pPr>
            <w:r w:rsidRPr="00D031E5">
              <w:rPr>
                <w:b/>
                <w:sz w:val="18"/>
              </w:rPr>
              <w:t>10</w:t>
            </w:r>
            <w:r w:rsidR="00D031E5">
              <w:rPr>
                <w:b/>
                <w:sz w:val="18"/>
              </w:rPr>
              <w:t>,</w:t>
            </w:r>
            <w:r w:rsidRPr="00D031E5">
              <w:rPr>
                <w:b/>
                <w:sz w:val="18"/>
              </w:rPr>
              <w:t>5</w:t>
            </w:r>
          </w:p>
        </w:tc>
        <w:tc>
          <w:tcPr>
            <w:tcW w:w="849" w:type="dxa"/>
            <w:tcBorders>
              <w:top w:val="single" w:sz="4" w:space="0" w:color="auto"/>
              <w:bottom w:val="single" w:sz="4" w:space="0" w:color="auto"/>
            </w:tcBorders>
            <w:shd w:val="clear" w:color="auto" w:fill="auto"/>
            <w:vAlign w:val="bottom"/>
          </w:tcPr>
          <w:p w:rsidR="00F11985" w:rsidRPr="00D031E5" w:rsidRDefault="00F11985" w:rsidP="00D031E5">
            <w:pPr>
              <w:suppressAutoHyphens w:val="0"/>
              <w:spacing w:before="80" w:after="80" w:line="220" w:lineRule="exact"/>
              <w:jc w:val="right"/>
              <w:rPr>
                <w:b/>
                <w:bCs/>
                <w:sz w:val="18"/>
              </w:rPr>
            </w:pPr>
            <w:r w:rsidRPr="00D031E5">
              <w:rPr>
                <w:b/>
                <w:sz w:val="18"/>
              </w:rPr>
              <w:t xml:space="preserve">1 </w:t>
            </w:r>
          </w:p>
        </w:tc>
      </w:tr>
      <w:tr w:rsidR="00D031E5" w:rsidRPr="00D031E5" w:rsidTr="00D031E5">
        <w:trPr>
          <w:cantSplit/>
        </w:trPr>
        <w:tc>
          <w:tcPr>
            <w:tcW w:w="3686" w:type="dxa"/>
            <w:gridSpan w:val="2"/>
            <w:tcBorders>
              <w:top w:val="single" w:sz="4" w:space="0" w:color="auto"/>
              <w:bottom w:val="single" w:sz="12" w:space="0" w:color="auto"/>
            </w:tcBorders>
            <w:shd w:val="clear" w:color="auto" w:fill="auto"/>
          </w:tcPr>
          <w:p w:rsidR="00F11985" w:rsidRPr="00D031E5" w:rsidRDefault="00F11985" w:rsidP="00D031E5">
            <w:pPr>
              <w:suppressAutoHyphens w:val="0"/>
              <w:spacing w:before="80" w:after="80" w:line="220" w:lineRule="exact"/>
              <w:ind w:left="283"/>
              <w:rPr>
                <w:b/>
                <w:sz w:val="18"/>
              </w:rPr>
            </w:pPr>
            <w:r w:rsidRPr="00D031E5">
              <w:rPr>
                <w:b/>
                <w:sz w:val="18"/>
              </w:rPr>
              <w:t>Total des ressources extrabudgétaires pour</w:t>
            </w:r>
            <w:r w:rsidR="00D031E5">
              <w:rPr>
                <w:b/>
                <w:sz w:val="18"/>
              </w:rPr>
              <w:t> </w:t>
            </w:r>
            <w:r w:rsidRPr="00D031E5">
              <w:rPr>
                <w:b/>
                <w:sz w:val="18"/>
              </w:rPr>
              <w:t xml:space="preserve">2021 et 2022 (couvrant les activités </w:t>
            </w:r>
            <w:r w:rsidR="00D031E5">
              <w:rPr>
                <w:b/>
                <w:sz w:val="18"/>
              </w:rPr>
              <w:br/>
            </w:r>
            <w:r w:rsidRPr="00D031E5">
              <w:rPr>
                <w:b/>
                <w:sz w:val="18"/>
              </w:rPr>
              <w:t xml:space="preserve">et les ressources humaines) </w:t>
            </w:r>
          </w:p>
        </w:tc>
        <w:tc>
          <w:tcPr>
            <w:tcW w:w="1417" w:type="dxa"/>
            <w:tcBorders>
              <w:top w:val="single" w:sz="4" w:space="0" w:color="auto"/>
              <w:bottom w:val="single" w:sz="12" w:space="0" w:color="auto"/>
            </w:tcBorders>
            <w:shd w:val="clear" w:color="auto" w:fill="auto"/>
            <w:vAlign w:val="bottom"/>
          </w:tcPr>
          <w:p w:rsidR="00F11985" w:rsidRPr="00D031E5" w:rsidRDefault="00F11985" w:rsidP="00D031E5">
            <w:pPr>
              <w:suppressAutoHyphens w:val="0"/>
              <w:spacing w:before="80" w:after="80" w:line="220" w:lineRule="exact"/>
              <w:jc w:val="right"/>
              <w:rPr>
                <w:b/>
                <w:bCs/>
                <w:sz w:val="18"/>
              </w:rPr>
            </w:pPr>
            <w:r w:rsidRPr="00D031E5">
              <w:rPr>
                <w:b/>
                <w:bCs/>
                <w:sz w:val="18"/>
              </w:rPr>
              <w:t>1 066 802</w:t>
            </w:r>
          </w:p>
        </w:tc>
        <w:tc>
          <w:tcPr>
            <w:tcW w:w="709" w:type="dxa"/>
            <w:tcBorders>
              <w:top w:val="single" w:sz="4" w:space="0" w:color="auto"/>
              <w:bottom w:val="single" w:sz="12" w:space="0" w:color="auto"/>
            </w:tcBorders>
            <w:shd w:val="clear" w:color="auto" w:fill="auto"/>
            <w:vAlign w:val="bottom"/>
          </w:tcPr>
          <w:p w:rsidR="00F11985" w:rsidRPr="00D031E5" w:rsidRDefault="00F11985" w:rsidP="00D031E5">
            <w:pPr>
              <w:suppressAutoHyphens w:val="0"/>
              <w:spacing w:before="80" w:after="80" w:line="220" w:lineRule="exact"/>
              <w:jc w:val="right"/>
              <w:rPr>
                <w:b/>
                <w:bCs/>
                <w:sz w:val="18"/>
              </w:rPr>
            </w:pPr>
            <w:r w:rsidRPr="00D031E5">
              <w:rPr>
                <w:b/>
                <w:bCs/>
                <w:sz w:val="18"/>
              </w:rPr>
              <w:t>42</w:t>
            </w:r>
          </w:p>
        </w:tc>
        <w:tc>
          <w:tcPr>
            <w:tcW w:w="709" w:type="dxa"/>
            <w:tcBorders>
              <w:top w:val="single" w:sz="4" w:space="0" w:color="auto"/>
              <w:bottom w:val="single" w:sz="12" w:space="0" w:color="auto"/>
            </w:tcBorders>
            <w:shd w:val="clear" w:color="auto" w:fill="auto"/>
            <w:vAlign w:val="bottom"/>
          </w:tcPr>
          <w:p w:rsidR="00F11985" w:rsidRPr="00D031E5" w:rsidRDefault="00F11985" w:rsidP="00D031E5">
            <w:pPr>
              <w:suppressAutoHyphens w:val="0"/>
              <w:spacing w:before="80" w:after="80" w:line="220" w:lineRule="exact"/>
              <w:jc w:val="right"/>
              <w:rPr>
                <w:b/>
                <w:bCs/>
                <w:sz w:val="18"/>
              </w:rPr>
            </w:pPr>
            <w:r w:rsidRPr="00D031E5">
              <w:rPr>
                <w:b/>
                <w:bCs/>
                <w:sz w:val="18"/>
              </w:rPr>
              <w:t>42</w:t>
            </w:r>
          </w:p>
        </w:tc>
        <w:tc>
          <w:tcPr>
            <w:tcW w:w="849" w:type="dxa"/>
            <w:tcBorders>
              <w:top w:val="single" w:sz="4" w:space="0" w:color="auto"/>
              <w:bottom w:val="single" w:sz="12" w:space="0" w:color="auto"/>
            </w:tcBorders>
            <w:shd w:val="clear" w:color="auto" w:fill="auto"/>
            <w:vAlign w:val="bottom"/>
          </w:tcPr>
          <w:p w:rsidR="00F11985" w:rsidRPr="00D031E5" w:rsidRDefault="00F11985" w:rsidP="00D031E5">
            <w:pPr>
              <w:suppressAutoHyphens w:val="0"/>
              <w:spacing w:before="80" w:after="80" w:line="220" w:lineRule="exact"/>
              <w:jc w:val="right"/>
              <w:rPr>
                <w:b/>
                <w:bCs/>
                <w:sz w:val="18"/>
              </w:rPr>
            </w:pPr>
            <w:r w:rsidRPr="00D031E5">
              <w:rPr>
                <w:b/>
                <w:bCs/>
                <w:sz w:val="18"/>
              </w:rPr>
              <w:t>2</w:t>
            </w:r>
          </w:p>
        </w:tc>
      </w:tr>
    </w:tbl>
    <w:p w:rsidR="00F11985" w:rsidRPr="00221BBA" w:rsidRDefault="00F11985" w:rsidP="00AC6FF8">
      <w:pPr>
        <w:pStyle w:val="SingleTxtG"/>
        <w:spacing w:after="0" w:line="200" w:lineRule="atLeast"/>
        <w:ind w:firstLine="170"/>
        <w:jc w:val="left"/>
        <w:rPr>
          <w:sz w:val="18"/>
          <w:szCs w:val="18"/>
        </w:rPr>
      </w:pPr>
      <w:bookmarkStart w:id="79" w:name="_Hlk34208675"/>
      <w:r w:rsidRPr="00D031E5">
        <w:rPr>
          <w:i/>
          <w:sz w:val="18"/>
          <w:szCs w:val="18"/>
          <w:vertAlign w:val="superscript"/>
        </w:rPr>
        <w:t>a</w:t>
      </w:r>
      <w:r w:rsidRPr="00221BBA">
        <w:rPr>
          <w:sz w:val="18"/>
          <w:szCs w:val="18"/>
        </w:rPr>
        <w:t xml:space="preserve"> </w:t>
      </w:r>
      <w:r w:rsidR="00AC6FF8" w:rsidRPr="00221BBA">
        <w:rPr>
          <w:sz w:val="18"/>
          <w:szCs w:val="18"/>
        </w:rPr>
        <w:t xml:space="preserve"> </w:t>
      </w:r>
      <w:r w:rsidRPr="00221BBA">
        <w:rPr>
          <w:sz w:val="18"/>
          <w:szCs w:val="18"/>
        </w:rPr>
        <w:t>« EU4Environment » est un projet régional en multipartenariat de l’Union européenne, qui couvre la période allant de 2019 à 2022. L’Union européenne a versé un montant total de 2 384 687 euros, soit environ 2 579 670 dollars (taux de change de décembre 2019), au titre de l’évaluation de l’impact environnemental de la CEE. Le financement est soumis aux procédures applicables au projet.</w:t>
      </w:r>
    </w:p>
    <w:p w:rsidR="00F11985" w:rsidRPr="00221BBA" w:rsidRDefault="00F11985" w:rsidP="00AC6FF8">
      <w:pPr>
        <w:pStyle w:val="SingleTxtG"/>
        <w:spacing w:after="0" w:line="200" w:lineRule="atLeast"/>
        <w:ind w:firstLine="170"/>
        <w:jc w:val="left"/>
        <w:rPr>
          <w:sz w:val="18"/>
          <w:szCs w:val="18"/>
        </w:rPr>
      </w:pPr>
      <w:r w:rsidRPr="00221BBA">
        <w:rPr>
          <w:i/>
          <w:iCs/>
          <w:sz w:val="18"/>
          <w:szCs w:val="18"/>
          <w:vertAlign w:val="superscript"/>
        </w:rPr>
        <w:t>b</w:t>
      </w:r>
      <w:r w:rsidRPr="00221BBA">
        <w:rPr>
          <w:i/>
          <w:iCs/>
          <w:sz w:val="18"/>
          <w:szCs w:val="18"/>
        </w:rPr>
        <w:t xml:space="preserve"> </w:t>
      </w:r>
      <w:bookmarkEnd w:id="79"/>
      <w:r w:rsidR="00AC6FF8" w:rsidRPr="00221BBA">
        <w:rPr>
          <w:i/>
          <w:iCs/>
          <w:sz w:val="18"/>
          <w:szCs w:val="18"/>
        </w:rPr>
        <w:t xml:space="preserve"> </w:t>
      </w:r>
      <w:r w:rsidRPr="00221BBA">
        <w:rPr>
          <w:sz w:val="18"/>
          <w:szCs w:val="18"/>
        </w:rPr>
        <w:t>Un poste (d’administrateur ou d’agent des services généraux) équivaut à 10,5 mois de travail par an, ou 31,5 mois de travail par période triennale.</w:t>
      </w:r>
    </w:p>
    <w:p w:rsidR="00F11985" w:rsidRPr="00221BBA" w:rsidRDefault="00F11985" w:rsidP="00AC6FF8">
      <w:pPr>
        <w:pStyle w:val="HChG"/>
      </w:pPr>
      <w:r w:rsidRPr="00221BBA">
        <w:rPr>
          <w:sz w:val="24"/>
        </w:rPr>
        <w:br w:type="page"/>
      </w:r>
      <w:bookmarkStart w:id="80" w:name="_Hlk34209124"/>
      <w:r w:rsidRPr="00221BBA">
        <w:lastRenderedPageBreak/>
        <w:t>Annexe III</w:t>
      </w:r>
      <w:bookmarkStart w:id="81" w:name="_Hlk34048008"/>
    </w:p>
    <w:p w:rsidR="00F11985" w:rsidRPr="00221BBA" w:rsidRDefault="00F11985" w:rsidP="00AC6FF8">
      <w:pPr>
        <w:pStyle w:val="HChG"/>
      </w:pPr>
      <w:r w:rsidRPr="00221BBA">
        <w:rPr>
          <w:lang w:eastAsia="en-GB"/>
        </w:rPr>
        <w:tab/>
      </w:r>
      <w:r w:rsidRPr="00221BBA">
        <w:rPr>
          <w:lang w:eastAsia="en-GB"/>
        </w:rPr>
        <w:tab/>
      </w:r>
      <w:r w:rsidRPr="00221BBA">
        <w:t xml:space="preserve">Activités dont la réalisation pendant la période 2021-2023 nécessiterait des </w:t>
      </w:r>
      <w:r w:rsidRPr="00221BBA">
        <w:rPr>
          <w:lang w:eastAsia="en-GB"/>
        </w:rPr>
        <w:t>ressources supplémentaires, y compris des</w:t>
      </w:r>
      <w:r w:rsidR="00356B95">
        <w:rPr>
          <w:lang w:eastAsia="en-GB"/>
        </w:rPr>
        <w:t> </w:t>
      </w:r>
      <w:r w:rsidRPr="00221BBA">
        <w:rPr>
          <w:lang w:eastAsia="en-GB"/>
        </w:rPr>
        <w:t>effectifs de secrétariat</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842"/>
        <w:gridCol w:w="2836"/>
        <w:gridCol w:w="1276"/>
        <w:gridCol w:w="708"/>
        <w:gridCol w:w="708"/>
      </w:tblGrid>
      <w:tr w:rsidR="009A258D" w:rsidRPr="00221BBA" w:rsidTr="008E5C90">
        <w:trPr>
          <w:tblHeader/>
        </w:trPr>
        <w:tc>
          <w:tcPr>
            <w:tcW w:w="1842" w:type="dxa"/>
            <w:vMerge w:val="restart"/>
            <w:shd w:val="clear" w:color="auto" w:fill="auto"/>
            <w:vAlign w:val="bottom"/>
          </w:tcPr>
          <w:bookmarkEnd w:id="80"/>
          <w:bookmarkEnd w:id="81"/>
          <w:p w:rsidR="009A258D" w:rsidRPr="00221BBA" w:rsidRDefault="009A258D" w:rsidP="009A258D">
            <w:pPr>
              <w:suppressAutoHyphens w:val="0"/>
              <w:spacing w:before="80" w:after="80" w:line="200" w:lineRule="exact"/>
              <w:rPr>
                <w:i/>
                <w:sz w:val="16"/>
              </w:rPr>
            </w:pPr>
            <w:r w:rsidRPr="00221BBA">
              <w:rPr>
                <w:i/>
                <w:sz w:val="16"/>
              </w:rPr>
              <w:t>Domaine</w:t>
            </w:r>
          </w:p>
        </w:tc>
        <w:tc>
          <w:tcPr>
            <w:tcW w:w="2836" w:type="dxa"/>
            <w:vMerge w:val="restart"/>
            <w:shd w:val="clear" w:color="auto" w:fill="auto"/>
            <w:vAlign w:val="bottom"/>
          </w:tcPr>
          <w:p w:rsidR="009A258D" w:rsidRPr="00221BBA" w:rsidRDefault="009A258D" w:rsidP="009A258D">
            <w:pPr>
              <w:suppressAutoHyphens w:val="0"/>
              <w:spacing w:before="80" w:after="80" w:line="200" w:lineRule="exact"/>
              <w:rPr>
                <w:i/>
                <w:sz w:val="16"/>
              </w:rPr>
            </w:pPr>
            <w:r w:rsidRPr="00221BBA">
              <w:rPr>
                <w:i/>
                <w:sz w:val="16"/>
              </w:rPr>
              <w:t>Activités, pays chefs de file/d’appui</w:t>
            </w:r>
          </w:p>
        </w:tc>
        <w:tc>
          <w:tcPr>
            <w:tcW w:w="1276" w:type="dxa"/>
            <w:vMerge w:val="restart"/>
            <w:shd w:val="clear" w:color="auto" w:fill="auto"/>
            <w:vAlign w:val="bottom"/>
          </w:tcPr>
          <w:p w:rsidR="009A258D" w:rsidRPr="00221BBA" w:rsidRDefault="009A258D" w:rsidP="009A258D">
            <w:pPr>
              <w:suppressAutoHyphens w:val="0"/>
              <w:spacing w:before="80" w:after="80" w:line="200" w:lineRule="exact"/>
              <w:jc w:val="right"/>
              <w:rPr>
                <w:i/>
                <w:sz w:val="16"/>
              </w:rPr>
            </w:pPr>
            <w:r w:rsidRPr="00221BBA">
              <w:rPr>
                <w:i/>
                <w:sz w:val="16"/>
              </w:rPr>
              <w:t xml:space="preserve">Premières estimations des ressources financières extrabudgétaires (en espèces et en nature, en dollars) </w:t>
            </w:r>
            <w:bookmarkStart w:id="82" w:name="_Hlk32167078"/>
          </w:p>
        </w:tc>
        <w:bookmarkEnd w:id="82"/>
        <w:tc>
          <w:tcPr>
            <w:tcW w:w="1416" w:type="dxa"/>
            <w:gridSpan w:val="2"/>
            <w:shd w:val="clear" w:color="auto" w:fill="auto"/>
            <w:vAlign w:val="bottom"/>
          </w:tcPr>
          <w:p w:rsidR="009A258D" w:rsidRPr="00221BBA" w:rsidRDefault="009A258D" w:rsidP="009A258D">
            <w:pPr>
              <w:suppressAutoHyphens w:val="0"/>
              <w:spacing w:before="80" w:after="80" w:line="200" w:lineRule="exact"/>
              <w:jc w:val="center"/>
              <w:rPr>
                <w:i/>
                <w:sz w:val="16"/>
              </w:rPr>
            </w:pPr>
            <w:r w:rsidRPr="00221BBA">
              <w:rPr>
                <w:i/>
                <w:sz w:val="16"/>
              </w:rPr>
              <w:t>Ressources humaines financées par des ressources extrabudgétaires nécessaires pour contribuer à la réalisation des activités (en mois-personnes)</w:t>
            </w:r>
          </w:p>
        </w:tc>
      </w:tr>
      <w:tr w:rsidR="009A258D" w:rsidRPr="00221BBA" w:rsidTr="008E5C90">
        <w:tblPrEx>
          <w:tblBorders>
            <w:top w:val="none" w:sz="0" w:space="0" w:color="auto"/>
            <w:bottom w:val="none" w:sz="0" w:space="0" w:color="auto"/>
          </w:tblBorders>
        </w:tblPrEx>
        <w:trPr>
          <w:tblHeader/>
        </w:trPr>
        <w:tc>
          <w:tcPr>
            <w:tcW w:w="1842" w:type="dxa"/>
            <w:vMerge/>
            <w:tcBorders>
              <w:bottom w:val="single" w:sz="12" w:space="0" w:color="auto"/>
            </w:tcBorders>
            <w:shd w:val="clear" w:color="auto" w:fill="auto"/>
            <w:vAlign w:val="bottom"/>
          </w:tcPr>
          <w:p w:rsidR="009A258D" w:rsidRPr="00221BBA" w:rsidRDefault="009A258D" w:rsidP="009A258D">
            <w:pPr>
              <w:suppressAutoHyphens w:val="0"/>
              <w:spacing w:before="80" w:after="80" w:line="200" w:lineRule="exact"/>
              <w:rPr>
                <w:i/>
                <w:sz w:val="16"/>
              </w:rPr>
            </w:pPr>
          </w:p>
        </w:tc>
        <w:tc>
          <w:tcPr>
            <w:tcW w:w="2836" w:type="dxa"/>
            <w:vMerge/>
            <w:tcBorders>
              <w:bottom w:val="single" w:sz="12" w:space="0" w:color="auto"/>
            </w:tcBorders>
            <w:shd w:val="clear" w:color="auto" w:fill="auto"/>
            <w:vAlign w:val="bottom"/>
          </w:tcPr>
          <w:p w:rsidR="009A258D" w:rsidRPr="00221BBA" w:rsidRDefault="009A258D" w:rsidP="009A258D">
            <w:pPr>
              <w:suppressAutoHyphens w:val="0"/>
              <w:spacing w:before="80" w:after="80" w:line="200" w:lineRule="exact"/>
              <w:rPr>
                <w:i/>
                <w:sz w:val="16"/>
              </w:rPr>
            </w:pPr>
          </w:p>
        </w:tc>
        <w:tc>
          <w:tcPr>
            <w:tcW w:w="1276" w:type="dxa"/>
            <w:vMerge/>
            <w:tcBorders>
              <w:bottom w:val="single" w:sz="12" w:space="0" w:color="auto"/>
            </w:tcBorders>
            <w:shd w:val="clear" w:color="auto" w:fill="auto"/>
            <w:vAlign w:val="bottom"/>
          </w:tcPr>
          <w:p w:rsidR="009A258D" w:rsidRPr="00221BBA" w:rsidRDefault="009A258D" w:rsidP="009A258D">
            <w:pPr>
              <w:suppressAutoHyphens w:val="0"/>
              <w:spacing w:before="80" w:after="80" w:line="200" w:lineRule="exact"/>
              <w:jc w:val="right"/>
              <w:rPr>
                <w:i/>
                <w:sz w:val="16"/>
              </w:rPr>
            </w:pPr>
          </w:p>
        </w:tc>
        <w:tc>
          <w:tcPr>
            <w:tcW w:w="708" w:type="dxa"/>
            <w:tcBorders>
              <w:top w:val="single" w:sz="4" w:space="0" w:color="auto"/>
              <w:bottom w:val="single" w:sz="12" w:space="0" w:color="auto"/>
            </w:tcBorders>
            <w:shd w:val="clear" w:color="auto" w:fill="auto"/>
            <w:vAlign w:val="bottom"/>
          </w:tcPr>
          <w:p w:rsidR="009A258D" w:rsidRPr="00221BBA" w:rsidRDefault="009A258D" w:rsidP="009A258D">
            <w:pPr>
              <w:suppressAutoHyphens w:val="0"/>
              <w:spacing w:before="80" w:after="80" w:line="200" w:lineRule="exact"/>
              <w:jc w:val="right"/>
              <w:rPr>
                <w:i/>
                <w:sz w:val="16"/>
              </w:rPr>
            </w:pPr>
            <w:r w:rsidRPr="00221BBA">
              <w:rPr>
                <w:i/>
                <w:sz w:val="16"/>
              </w:rPr>
              <w:t>P</w:t>
            </w:r>
          </w:p>
        </w:tc>
        <w:tc>
          <w:tcPr>
            <w:tcW w:w="708" w:type="dxa"/>
            <w:tcBorders>
              <w:top w:val="single" w:sz="4" w:space="0" w:color="auto"/>
              <w:bottom w:val="single" w:sz="12" w:space="0" w:color="auto"/>
            </w:tcBorders>
            <w:shd w:val="clear" w:color="auto" w:fill="auto"/>
            <w:vAlign w:val="bottom"/>
          </w:tcPr>
          <w:p w:rsidR="009A258D" w:rsidRPr="00221BBA" w:rsidRDefault="009A258D" w:rsidP="009A258D">
            <w:pPr>
              <w:suppressAutoHyphens w:val="0"/>
              <w:spacing w:before="80" w:after="80" w:line="200" w:lineRule="exact"/>
              <w:jc w:val="right"/>
              <w:rPr>
                <w:i/>
                <w:sz w:val="16"/>
              </w:rPr>
            </w:pPr>
            <w:r w:rsidRPr="00221BBA">
              <w:rPr>
                <w:i/>
                <w:sz w:val="16"/>
              </w:rPr>
              <w:t>G</w:t>
            </w:r>
          </w:p>
        </w:tc>
      </w:tr>
      <w:tr w:rsidR="00F11985" w:rsidRPr="00221BBA" w:rsidTr="008E5C90">
        <w:tblPrEx>
          <w:tblBorders>
            <w:top w:val="none" w:sz="0" w:space="0" w:color="auto"/>
            <w:bottom w:val="none" w:sz="0" w:space="0" w:color="auto"/>
          </w:tblBorders>
        </w:tblPrEx>
        <w:tc>
          <w:tcPr>
            <w:tcW w:w="4678" w:type="dxa"/>
            <w:gridSpan w:val="2"/>
            <w:shd w:val="clear" w:color="auto" w:fill="auto"/>
          </w:tcPr>
          <w:p w:rsidR="00F11985" w:rsidRPr="00221BBA" w:rsidRDefault="00F11985" w:rsidP="009A258D">
            <w:pPr>
              <w:suppressAutoHyphens w:val="0"/>
              <w:spacing w:before="40" w:after="40" w:line="220" w:lineRule="exact"/>
              <w:rPr>
                <w:sz w:val="18"/>
              </w:rPr>
            </w:pPr>
            <w:r w:rsidRPr="00221BBA">
              <w:rPr>
                <w:b/>
                <w:bCs/>
                <w:sz w:val="18"/>
              </w:rPr>
              <w:t>III.</w:t>
            </w:r>
            <w:r w:rsidR="009A258D" w:rsidRPr="00221BBA">
              <w:rPr>
                <w:b/>
                <w:bCs/>
                <w:sz w:val="18"/>
              </w:rPr>
              <w:tab/>
            </w:r>
            <w:r w:rsidRPr="00221BBA">
              <w:rPr>
                <w:b/>
                <w:bCs/>
                <w:sz w:val="18"/>
              </w:rPr>
              <w:t>Coopération sous-régionale et renforcement des</w:t>
            </w:r>
            <w:r w:rsidR="009A258D" w:rsidRPr="00221BBA">
              <w:rPr>
                <w:b/>
                <w:bCs/>
                <w:sz w:val="18"/>
              </w:rPr>
              <w:t> </w:t>
            </w:r>
            <w:r w:rsidRPr="00221BBA">
              <w:rPr>
                <w:b/>
                <w:bCs/>
                <w:sz w:val="18"/>
              </w:rPr>
              <w:t>capacités</w:t>
            </w:r>
          </w:p>
        </w:tc>
        <w:tc>
          <w:tcPr>
            <w:tcW w:w="1276" w:type="dxa"/>
            <w:shd w:val="clear" w:color="auto" w:fill="auto"/>
            <w:vAlign w:val="bottom"/>
          </w:tcPr>
          <w:p w:rsidR="00F11985" w:rsidRPr="00221BBA" w:rsidRDefault="00F11985" w:rsidP="009A258D">
            <w:pPr>
              <w:suppressAutoHyphens w:val="0"/>
              <w:spacing w:before="40" w:after="40" w:line="220" w:lineRule="exact"/>
              <w:jc w:val="right"/>
              <w:rPr>
                <w:sz w:val="18"/>
              </w:rPr>
            </w:pPr>
          </w:p>
        </w:tc>
        <w:tc>
          <w:tcPr>
            <w:tcW w:w="708" w:type="dxa"/>
            <w:shd w:val="clear" w:color="auto" w:fill="auto"/>
            <w:vAlign w:val="bottom"/>
          </w:tcPr>
          <w:p w:rsidR="00F11985" w:rsidRPr="00221BBA" w:rsidRDefault="00F11985" w:rsidP="009A258D">
            <w:pPr>
              <w:suppressAutoHyphens w:val="0"/>
              <w:spacing w:before="40" w:after="40" w:line="220" w:lineRule="exact"/>
              <w:jc w:val="right"/>
              <w:rPr>
                <w:sz w:val="18"/>
              </w:rPr>
            </w:pPr>
          </w:p>
        </w:tc>
        <w:tc>
          <w:tcPr>
            <w:tcW w:w="708" w:type="dxa"/>
            <w:shd w:val="clear" w:color="auto" w:fill="auto"/>
            <w:vAlign w:val="bottom"/>
          </w:tcPr>
          <w:p w:rsidR="00F11985" w:rsidRPr="00221BBA" w:rsidRDefault="00F11985" w:rsidP="009A258D">
            <w:pPr>
              <w:suppressAutoHyphens w:val="0"/>
              <w:spacing w:before="40" w:after="40" w:line="220" w:lineRule="exact"/>
              <w:jc w:val="right"/>
              <w:rPr>
                <w:sz w:val="18"/>
              </w:rPr>
            </w:pPr>
          </w:p>
        </w:tc>
      </w:tr>
      <w:tr w:rsidR="00F11985" w:rsidRPr="00221BBA" w:rsidTr="008E5C90">
        <w:tblPrEx>
          <w:tblBorders>
            <w:top w:val="none" w:sz="0" w:space="0" w:color="auto"/>
            <w:bottom w:val="none" w:sz="0" w:space="0" w:color="auto"/>
          </w:tblBorders>
        </w:tblPrEx>
        <w:tc>
          <w:tcPr>
            <w:tcW w:w="4678" w:type="dxa"/>
            <w:gridSpan w:val="2"/>
            <w:shd w:val="clear" w:color="auto" w:fill="auto"/>
          </w:tcPr>
          <w:p w:rsidR="00F11985" w:rsidRPr="00221BBA" w:rsidRDefault="00F11985" w:rsidP="009A258D">
            <w:pPr>
              <w:suppressAutoHyphens w:val="0"/>
              <w:spacing w:before="40" w:after="40" w:line="220" w:lineRule="exact"/>
              <w:rPr>
                <w:sz w:val="18"/>
              </w:rPr>
            </w:pPr>
            <w:r w:rsidRPr="00221BBA">
              <w:rPr>
                <w:b/>
                <w:bCs/>
                <w:sz w:val="18"/>
              </w:rPr>
              <w:t>Europe du Sud-Est</w:t>
            </w:r>
          </w:p>
        </w:tc>
        <w:tc>
          <w:tcPr>
            <w:tcW w:w="1276" w:type="dxa"/>
            <w:shd w:val="clear" w:color="auto" w:fill="auto"/>
            <w:vAlign w:val="bottom"/>
          </w:tcPr>
          <w:p w:rsidR="00F11985" w:rsidRPr="00221BBA" w:rsidRDefault="00F11985" w:rsidP="009A258D">
            <w:pPr>
              <w:suppressAutoHyphens w:val="0"/>
              <w:spacing w:before="40" w:after="40" w:line="220" w:lineRule="exact"/>
              <w:jc w:val="right"/>
              <w:rPr>
                <w:sz w:val="18"/>
              </w:rPr>
            </w:pPr>
          </w:p>
        </w:tc>
        <w:tc>
          <w:tcPr>
            <w:tcW w:w="708" w:type="dxa"/>
            <w:shd w:val="clear" w:color="auto" w:fill="auto"/>
            <w:vAlign w:val="bottom"/>
          </w:tcPr>
          <w:p w:rsidR="00F11985" w:rsidRPr="00221BBA" w:rsidRDefault="00F11985" w:rsidP="009A258D">
            <w:pPr>
              <w:suppressAutoHyphens w:val="0"/>
              <w:spacing w:before="40" w:after="40" w:line="220" w:lineRule="exact"/>
              <w:jc w:val="right"/>
              <w:rPr>
                <w:sz w:val="18"/>
              </w:rPr>
            </w:pPr>
          </w:p>
        </w:tc>
        <w:tc>
          <w:tcPr>
            <w:tcW w:w="708" w:type="dxa"/>
            <w:shd w:val="clear" w:color="auto" w:fill="auto"/>
            <w:vAlign w:val="bottom"/>
          </w:tcPr>
          <w:p w:rsidR="00F11985" w:rsidRPr="00221BBA" w:rsidRDefault="00F11985" w:rsidP="009A258D">
            <w:pPr>
              <w:suppressAutoHyphens w:val="0"/>
              <w:spacing w:before="40" w:after="40" w:line="220" w:lineRule="exact"/>
              <w:jc w:val="right"/>
              <w:rPr>
                <w:sz w:val="18"/>
              </w:rPr>
            </w:pPr>
          </w:p>
        </w:tc>
      </w:tr>
      <w:tr w:rsidR="00920C96" w:rsidRPr="00221BBA" w:rsidTr="008E5C90">
        <w:tblPrEx>
          <w:tblBorders>
            <w:top w:val="none" w:sz="0" w:space="0" w:color="auto"/>
            <w:bottom w:val="none" w:sz="0" w:space="0" w:color="auto"/>
          </w:tblBorders>
        </w:tblPrEx>
        <w:tc>
          <w:tcPr>
            <w:tcW w:w="1842" w:type="dxa"/>
            <w:shd w:val="clear" w:color="auto" w:fill="auto"/>
          </w:tcPr>
          <w:p w:rsidR="00920C96" w:rsidRPr="00221BBA" w:rsidRDefault="00920C96" w:rsidP="00920C96">
            <w:pPr>
              <w:suppressAutoHyphens w:val="0"/>
              <w:spacing w:before="40" w:after="40" w:line="220" w:lineRule="exact"/>
              <w:rPr>
                <w:b/>
                <w:bCs/>
                <w:sz w:val="18"/>
              </w:rPr>
            </w:pPr>
            <w:r w:rsidRPr="00221BBA">
              <w:rPr>
                <w:b/>
                <w:bCs/>
                <w:sz w:val="18"/>
              </w:rPr>
              <w:t>1. Réunion des Parties à l’Accord de Bucarest</w:t>
            </w:r>
          </w:p>
        </w:tc>
        <w:tc>
          <w:tcPr>
            <w:tcW w:w="2836" w:type="dxa"/>
            <w:shd w:val="clear" w:color="auto" w:fill="auto"/>
            <w:vAlign w:val="bottom"/>
          </w:tcPr>
          <w:p w:rsidR="00920C96" w:rsidRPr="00920C96" w:rsidRDefault="00920C96" w:rsidP="00920C96">
            <w:pPr>
              <w:suppressAutoHyphens w:val="0"/>
              <w:spacing w:before="40" w:after="40" w:line="220" w:lineRule="exact"/>
              <w:rPr>
                <w:spacing w:val="-2"/>
                <w:sz w:val="18"/>
              </w:rPr>
            </w:pPr>
            <w:r w:rsidRPr="00920C96">
              <w:rPr>
                <w:i/>
                <w:spacing w:val="-2"/>
                <w:sz w:val="18"/>
              </w:rPr>
              <w:t>Entité(s) responsable(s)</w:t>
            </w:r>
            <w:r w:rsidRPr="00920C96">
              <w:rPr>
                <w:spacing w:val="-2"/>
                <w:sz w:val="18"/>
              </w:rPr>
              <w:t> : La Roumanie, en sa qualité de dépositaire de l’Accord de Bucarest, éventuellement avec un autre pays chef de file</w:t>
            </w:r>
          </w:p>
        </w:tc>
        <w:tc>
          <w:tcPr>
            <w:tcW w:w="1276" w:type="dxa"/>
            <w:shd w:val="clear" w:color="auto" w:fill="auto"/>
            <w:vAlign w:val="bottom"/>
          </w:tcPr>
          <w:p w:rsidR="00920C96" w:rsidRPr="00221BBA" w:rsidRDefault="00920C96" w:rsidP="00920C96">
            <w:pPr>
              <w:suppressAutoHyphens w:val="0"/>
              <w:spacing w:before="40" w:after="40" w:line="220" w:lineRule="exact"/>
              <w:jc w:val="right"/>
              <w:rPr>
                <w:sz w:val="18"/>
              </w:rPr>
            </w:pPr>
            <w:r w:rsidRPr="00221BBA">
              <w:rPr>
                <w:sz w:val="18"/>
              </w:rPr>
              <w:t>40 000</w:t>
            </w:r>
            <w:r w:rsidRPr="00221BBA">
              <w:rPr>
                <w:sz w:val="18"/>
              </w:rPr>
              <w:br/>
              <w:t>(ou contribution en nature)</w:t>
            </w:r>
          </w:p>
        </w:tc>
        <w:tc>
          <w:tcPr>
            <w:tcW w:w="708" w:type="dxa"/>
            <w:shd w:val="clear" w:color="auto" w:fill="auto"/>
            <w:vAlign w:val="bottom"/>
          </w:tcPr>
          <w:p w:rsidR="00920C96" w:rsidRPr="00221BBA" w:rsidRDefault="00920C96" w:rsidP="00920C96">
            <w:pPr>
              <w:suppressAutoHyphens w:val="0"/>
              <w:spacing w:before="40" w:after="40" w:line="220" w:lineRule="exact"/>
              <w:jc w:val="right"/>
              <w:rPr>
                <w:sz w:val="18"/>
              </w:rPr>
            </w:pPr>
            <w:r w:rsidRPr="00221BBA">
              <w:rPr>
                <w:sz w:val="18"/>
              </w:rPr>
              <w:t>1,5</w:t>
            </w:r>
          </w:p>
        </w:tc>
        <w:tc>
          <w:tcPr>
            <w:tcW w:w="708" w:type="dxa"/>
            <w:shd w:val="clear" w:color="auto" w:fill="auto"/>
            <w:vAlign w:val="bottom"/>
          </w:tcPr>
          <w:p w:rsidR="00920C96" w:rsidRPr="00221BBA" w:rsidRDefault="00920C96" w:rsidP="00920C96">
            <w:pPr>
              <w:suppressAutoHyphens w:val="0"/>
              <w:spacing w:before="40" w:after="40" w:line="220" w:lineRule="exact"/>
              <w:jc w:val="right"/>
              <w:rPr>
                <w:sz w:val="18"/>
              </w:rPr>
            </w:pPr>
            <w:r w:rsidRPr="00221BBA">
              <w:rPr>
                <w:sz w:val="18"/>
              </w:rPr>
              <w:t>1,5</w:t>
            </w:r>
          </w:p>
        </w:tc>
      </w:tr>
      <w:tr w:rsidR="00920C96" w:rsidRPr="00221BBA" w:rsidTr="008E5C90">
        <w:tblPrEx>
          <w:tblBorders>
            <w:top w:val="none" w:sz="0" w:space="0" w:color="auto"/>
            <w:bottom w:val="none" w:sz="0" w:space="0" w:color="auto"/>
          </w:tblBorders>
        </w:tblPrEx>
        <w:tc>
          <w:tcPr>
            <w:tcW w:w="1842" w:type="dxa"/>
            <w:shd w:val="clear" w:color="auto" w:fill="auto"/>
          </w:tcPr>
          <w:p w:rsidR="00920C96" w:rsidRPr="00221BBA" w:rsidRDefault="00920C96" w:rsidP="00920C96">
            <w:pPr>
              <w:suppressAutoHyphens w:val="0"/>
              <w:spacing w:before="40" w:after="40" w:line="220" w:lineRule="exact"/>
              <w:rPr>
                <w:b/>
                <w:bCs/>
                <w:sz w:val="18"/>
              </w:rPr>
            </w:pPr>
          </w:p>
        </w:tc>
        <w:tc>
          <w:tcPr>
            <w:tcW w:w="2836" w:type="dxa"/>
            <w:shd w:val="clear" w:color="auto" w:fill="auto"/>
            <w:vAlign w:val="bottom"/>
          </w:tcPr>
          <w:p w:rsidR="00920C96" w:rsidRPr="00221BBA" w:rsidRDefault="00920C96" w:rsidP="00920C96">
            <w:pPr>
              <w:suppressAutoHyphens w:val="0"/>
              <w:spacing w:before="40" w:after="40" w:line="220" w:lineRule="exact"/>
              <w:rPr>
                <w:sz w:val="18"/>
              </w:rPr>
            </w:pPr>
            <w:r w:rsidRPr="00920C96">
              <w:rPr>
                <w:i/>
                <w:sz w:val="18"/>
              </w:rPr>
              <w:t>Activité(s)</w:t>
            </w:r>
            <w:r w:rsidRPr="005628B1">
              <w:rPr>
                <w:sz w:val="18"/>
              </w:rPr>
              <w:t> :</w:t>
            </w:r>
            <w:r w:rsidRPr="00221BBA">
              <w:rPr>
                <w:sz w:val="18"/>
              </w:rPr>
              <w:t xml:space="preserve"> Organiser la première Réunion des Parties à l’Accord de Bucarest. Détails et calendrier à préciser.</w:t>
            </w:r>
          </w:p>
        </w:tc>
        <w:tc>
          <w:tcPr>
            <w:tcW w:w="1276" w:type="dxa"/>
            <w:shd w:val="clear" w:color="auto" w:fill="auto"/>
            <w:vAlign w:val="bottom"/>
          </w:tcPr>
          <w:p w:rsidR="00920C96" w:rsidRPr="00221BBA" w:rsidRDefault="00920C96" w:rsidP="00920C96">
            <w:pPr>
              <w:suppressAutoHyphens w:val="0"/>
              <w:spacing w:before="40" w:after="40" w:line="220" w:lineRule="exact"/>
              <w:jc w:val="right"/>
              <w:rPr>
                <w:sz w:val="18"/>
              </w:rPr>
            </w:pPr>
          </w:p>
        </w:tc>
        <w:tc>
          <w:tcPr>
            <w:tcW w:w="708" w:type="dxa"/>
            <w:shd w:val="clear" w:color="auto" w:fill="auto"/>
            <w:vAlign w:val="bottom"/>
          </w:tcPr>
          <w:p w:rsidR="00920C96" w:rsidRPr="00221BBA" w:rsidRDefault="00920C96" w:rsidP="00920C96">
            <w:pPr>
              <w:suppressAutoHyphens w:val="0"/>
              <w:spacing w:before="40" w:after="40" w:line="220" w:lineRule="exact"/>
              <w:jc w:val="right"/>
              <w:rPr>
                <w:sz w:val="18"/>
              </w:rPr>
            </w:pPr>
          </w:p>
        </w:tc>
        <w:tc>
          <w:tcPr>
            <w:tcW w:w="708" w:type="dxa"/>
            <w:shd w:val="clear" w:color="auto" w:fill="auto"/>
            <w:vAlign w:val="bottom"/>
          </w:tcPr>
          <w:p w:rsidR="00920C96" w:rsidRPr="00221BBA" w:rsidRDefault="00920C96" w:rsidP="00920C96">
            <w:pPr>
              <w:suppressAutoHyphens w:val="0"/>
              <w:spacing w:before="40" w:after="40" w:line="220" w:lineRule="exact"/>
              <w:jc w:val="right"/>
              <w:rPr>
                <w:sz w:val="18"/>
              </w:rPr>
            </w:pPr>
          </w:p>
        </w:tc>
      </w:tr>
      <w:tr w:rsidR="00920C96" w:rsidRPr="00221BBA" w:rsidTr="008E5C90">
        <w:tblPrEx>
          <w:tblBorders>
            <w:top w:val="none" w:sz="0" w:space="0" w:color="auto"/>
            <w:bottom w:val="none" w:sz="0" w:space="0" w:color="auto"/>
          </w:tblBorders>
        </w:tblPrEx>
        <w:tc>
          <w:tcPr>
            <w:tcW w:w="1842" w:type="dxa"/>
            <w:shd w:val="clear" w:color="auto" w:fill="auto"/>
          </w:tcPr>
          <w:p w:rsidR="00920C96" w:rsidRPr="00221BBA" w:rsidRDefault="00920C96" w:rsidP="00920C96">
            <w:pPr>
              <w:suppressAutoHyphens w:val="0"/>
              <w:spacing w:before="40" w:after="40" w:line="220" w:lineRule="exact"/>
              <w:rPr>
                <w:b/>
                <w:bCs/>
                <w:sz w:val="18"/>
              </w:rPr>
            </w:pPr>
          </w:p>
        </w:tc>
        <w:tc>
          <w:tcPr>
            <w:tcW w:w="2836" w:type="dxa"/>
            <w:shd w:val="clear" w:color="auto" w:fill="auto"/>
            <w:vAlign w:val="bottom"/>
          </w:tcPr>
          <w:p w:rsidR="00920C96" w:rsidRPr="008E5C90" w:rsidRDefault="00920C96" w:rsidP="00920C96">
            <w:pPr>
              <w:suppressAutoHyphens w:val="0"/>
              <w:spacing w:before="40" w:after="40" w:line="220" w:lineRule="exact"/>
              <w:rPr>
                <w:spacing w:val="-1"/>
                <w:sz w:val="18"/>
              </w:rPr>
            </w:pPr>
            <w:r w:rsidRPr="00920C96">
              <w:rPr>
                <w:i/>
                <w:spacing w:val="-1"/>
                <w:sz w:val="18"/>
              </w:rPr>
              <w:t>Ressources nécessaires</w:t>
            </w:r>
            <w:r w:rsidRPr="008E5C90">
              <w:rPr>
                <w:spacing w:val="-1"/>
                <w:sz w:val="18"/>
              </w:rPr>
              <w:t xml:space="preserve"> : Environ 40 000 dollars pour une réunion de </w:t>
            </w:r>
            <w:r>
              <w:rPr>
                <w:spacing w:val="-1"/>
                <w:sz w:val="18"/>
              </w:rPr>
              <w:t>deux</w:t>
            </w:r>
            <w:r w:rsidRPr="008E5C90">
              <w:rPr>
                <w:spacing w:val="-1"/>
                <w:sz w:val="18"/>
              </w:rPr>
              <w:t xml:space="preserve"> jours pour 2 à 3 personnes/pays ; ou contributions en nature du pays hôte et, éventuellement, d’autres pays chefs de file, et ressources du secrétariat visant à contribuer à l’activité en cas de</w:t>
            </w:r>
            <w:r>
              <w:rPr>
                <w:spacing w:val="-1"/>
                <w:sz w:val="18"/>
              </w:rPr>
              <w:t> </w:t>
            </w:r>
            <w:r w:rsidRPr="008E5C90">
              <w:rPr>
                <w:spacing w:val="-1"/>
                <w:sz w:val="18"/>
              </w:rPr>
              <w:t>besoin.</w:t>
            </w:r>
          </w:p>
        </w:tc>
        <w:tc>
          <w:tcPr>
            <w:tcW w:w="1276" w:type="dxa"/>
            <w:shd w:val="clear" w:color="auto" w:fill="auto"/>
            <w:vAlign w:val="bottom"/>
          </w:tcPr>
          <w:p w:rsidR="00920C96" w:rsidRPr="00221BBA" w:rsidRDefault="00920C96" w:rsidP="00920C96">
            <w:pPr>
              <w:suppressAutoHyphens w:val="0"/>
              <w:spacing w:before="40" w:after="40" w:line="220" w:lineRule="exact"/>
              <w:jc w:val="right"/>
              <w:rPr>
                <w:sz w:val="18"/>
              </w:rPr>
            </w:pPr>
          </w:p>
        </w:tc>
        <w:tc>
          <w:tcPr>
            <w:tcW w:w="708" w:type="dxa"/>
            <w:shd w:val="clear" w:color="auto" w:fill="auto"/>
            <w:vAlign w:val="bottom"/>
          </w:tcPr>
          <w:p w:rsidR="00920C96" w:rsidRPr="00221BBA" w:rsidRDefault="00920C96" w:rsidP="00920C96">
            <w:pPr>
              <w:suppressAutoHyphens w:val="0"/>
              <w:spacing w:before="40" w:after="40" w:line="220" w:lineRule="exact"/>
              <w:jc w:val="right"/>
              <w:rPr>
                <w:sz w:val="18"/>
              </w:rPr>
            </w:pPr>
          </w:p>
        </w:tc>
        <w:tc>
          <w:tcPr>
            <w:tcW w:w="708" w:type="dxa"/>
            <w:shd w:val="clear" w:color="auto" w:fill="auto"/>
            <w:vAlign w:val="bottom"/>
          </w:tcPr>
          <w:p w:rsidR="00920C96" w:rsidRPr="00221BBA" w:rsidRDefault="00920C96" w:rsidP="00920C96">
            <w:pPr>
              <w:suppressAutoHyphens w:val="0"/>
              <w:spacing w:before="40" w:after="40" w:line="220" w:lineRule="exact"/>
              <w:jc w:val="right"/>
              <w:rPr>
                <w:sz w:val="18"/>
              </w:rPr>
            </w:pPr>
          </w:p>
        </w:tc>
      </w:tr>
      <w:tr w:rsidR="00920C96" w:rsidRPr="00221BBA" w:rsidTr="008E5C90">
        <w:tblPrEx>
          <w:tblBorders>
            <w:top w:val="none" w:sz="0" w:space="0" w:color="auto"/>
            <w:bottom w:val="none" w:sz="0" w:space="0" w:color="auto"/>
          </w:tblBorders>
        </w:tblPrEx>
        <w:tc>
          <w:tcPr>
            <w:tcW w:w="1842" w:type="dxa"/>
            <w:shd w:val="clear" w:color="auto" w:fill="auto"/>
          </w:tcPr>
          <w:p w:rsidR="00920C96" w:rsidRPr="00221BBA" w:rsidRDefault="00920C96" w:rsidP="00920C96">
            <w:pPr>
              <w:suppressAutoHyphens w:val="0"/>
              <w:spacing w:before="40" w:after="40" w:line="220" w:lineRule="exact"/>
              <w:rPr>
                <w:b/>
                <w:bCs/>
                <w:sz w:val="18"/>
              </w:rPr>
            </w:pPr>
            <w:r w:rsidRPr="00221BBA">
              <w:rPr>
                <w:b/>
                <w:bCs/>
                <w:sz w:val="18"/>
              </w:rPr>
              <w:t>2. Renforcement des</w:t>
            </w:r>
            <w:r>
              <w:rPr>
                <w:b/>
                <w:bCs/>
                <w:sz w:val="18"/>
              </w:rPr>
              <w:t> </w:t>
            </w:r>
            <w:r w:rsidRPr="00221BBA">
              <w:rPr>
                <w:b/>
                <w:bCs/>
                <w:sz w:val="18"/>
              </w:rPr>
              <w:t xml:space="preserve">capacités pour l’application de l’Accord de Bucarest </w:t>
            </w:r>
          </w:p>
        </w:tc>
        <w:tc>
          <w:tcPr>
            <w:tcW w:w="2836" w:type="dxa"/>
            <w:shd w:val="clear" w:color="auto" w:fill="auto"/>
            <w:vAlign w:val="bottom"/>
          </w:tcPr>
          <w:p w:rsidR="00920C96" w:rsidRPr="00221BBA" w:rsidRDefault="00920C96" w:rsidP="00920C96">
            <w:pPr>
              <w:suppressAutoHyphens w:val="0"/>
              <w:spacing w:before="40" w:after="40" w:line="220" w:lineRule="exact"/>
              <w:rPr>
                <w:sz w:val="18"/>
              </w:rPr>
            </w:pPr>
            <w:r w:rsidRPr="00221BBA">
              <w:rPr>
                <w:sz w:val="18"/>
              </w:rPr>
              <w:t>Initiative sous-</w:t>
            </w:r>
            <w:r w:rsidRPr="00221BBA">
              <w:rPr>
                <w:bCs/>
                <w:sz w:val="18"/>
              </w:rPr>
              <w:t xml:space="preserve">régionale proposée par le </w:t>
            </w:r>
            <w:r w:rsidRPr="00221BBA">
              <w:rPr>
                <w:sz w:val="18"/>
              </w:rPr>
              <w:t>Monténégro (et appuyée à ce jour par l’Albanie, la Macédoine du Nord et la Serbie), qui vise à améliorer l’application de l’Accord de Bucarest, de la Convention et de son Protocole dans un contexte transfrontière parmi les Parties à l’Accord de Bucarest (et d’autres pays de la sous-région de l’Europe du Sud-Est).</w:t>
            </w:r>
          </w:p>
        </w:tc>
        <w:tc>
          <w:tcPr>
            <w:tcW w:w="1276" w:type="dxa"/>
            <w:shd w:val="clear" w:color="auto" w:fill="auto"/>
            <w:vAlign w:val="bottom"/>
          </w:tcPr>
          <w:p w:rsidR="00920C96" w:rsidRPr="00221BBA" w:rsidRDefault="00920C96" w:rsidP="00920C96">
            <w:pPr>
              <w:suppressAutoHyphens w:val="0"/>
              <w:spacing w:before="40" w:after="40" w:line="220" w:lineRule="exact"/>
              <w:jc w:val="right"/>
              <w:rPr>
                <w:sz w:val="18"/>
              </w:rPr>
            </w:pPr>
            <w:r w:rsidRPr="00221BBA">
              <w:rPr>
                <w:sz w:val="18"/>
              </w:rPr>
              <w:t>750 000</w:t>
            </w:r>
          </w:p>
        </w:tc>
        <w:tc>
          <w:tcPr>
            <w:tcW w:w="708" w:type="dxa"/>
            <w:shd w:val="clear" w:color="auto" w:fill="auto"/>
            <w:vAlign w:val="bottom"/>
          </w:tcPr>
          <w:p w:rsidR="00920C96" w:rsidRPr="00221BBA" w:rsidRDefault="00920C96" w:rsidP="00920C96">
            <w:pPr>
              <w:suppressAutoHyphens w:val="0"/>
              <w:spacing w:before="40" w:after="40" w:line="220" w:lineRule="exact"/>
              <w:jc w:val="right"/>
              <w:rPr>
                <w:sz w:val="18"/>
              </w:rPr>
            </w:pPr>
            <w:r w:rsidRPr="00221BBA">
              <w:rPr>
                <w:sz w:val="18"/>
              </w:rPr>
              <w:t>15</w:t>
            </w:r>
          </w:p>
        </w:tc>
        <w:tc>
          <w:tcPr>
            <w:tcW w:w="708" w:type="dxa"/>
            <w:shd w:val="clear" w:color="auto" w:fill="auto"/>
            <w:vAlign w:val="bottom"/>
          </w:tcPr>
          <w:p w:rsidR="00920C96" w:rsidRPr="00221BBA" w:rsidRDefault="00920C96" w:rsidP="00920C96">
            <w:pPr>
              <w:suppressAutoHyphens w:val="0"/>
              <w:spacing w:before="40" w:after="40" w:line="220" w:lineRule="exact"/>
              <w:jc w:val="right"/>
              <w:rPr>
                <w:sz w:val="18"/>
              </w:rPr>
            </w:pPr>
            <w:r w:rsidRPr="00221BBA">
              <w:rPr>
                <w:sz w:val="18"/>
              </w:rPr>
              <w:t>15</w:t>
            </w:r>
          </w:p>
        </w:tc>
      </w:tr>
      <w:tr w:rsidR="00920C96" w:rsidRPr="00221BBA" w:rsidTr="008E5C90">
        <w:tblPrEx>
          <w:tblBorders>
            <w:top w:val="none" w:sz="0" w:space="0" w:color="auto"/>
            <w:bottom w:val="none" w:sz="0" w:space="0" w:color="auto"/>
          </w:tblBorders>
        </w:tblPrEx>
        <w:tc>
          <w:tcPr>
            <w:tcW w:w="1842" w:type="dxa"/>
            <w:shd w:val="clear" w:color="auto" w:fill="auto"/>
          </w:tcPr>
          <w:p w:rsidR="00920C96" w:rsidRPr="00221BBA" w:rsidRDefault="00920C96" w:rsidP="00920C96">
            <w:pPr>
              <w:suppressAutoHyphens w:val="0"/>
              <w:spacing w:before="40" w:after="40" w:line="220" w:lineRule="exact"/>
              <w:rPr>
                <w:b/>
                <w:bCs/>
                <w:sz w:val="18"/>
              </w:rPr>
            </w:pPr>
          </w:p>
        </w:tc>
        <w:tc>
          <w:tcPr>
            <w:tcW w:w="2836" w:type="dxa"/>
            <w:shd w:val="clear" w:color="auto" w:fill="auto"/>
            <w:vAlign w:val="bottom"/>
          </w:tcPr>
          <w:p w:rsidR="00920C96" w:rsidRPr="00221BBA" w:rsidRDefault="00920C96" w:rsidP="00920C96">
            <w:pPr>
              <w:suppressAutoHyphens w:val="0"/>
              <w:spacing w:before="40" w:after="40" w:line="220" w:lineRule="exact"/>
              <w:rPr>
                <w:sz w:val="18"/>
              </w:rPr>
            </w:pPr>
            <w:r w:rsidRPr="00221BBA">
              <w:rPr>
                <w:sz w:val="18"/>
              </w:rPr>
              <w:t>Les activités proposées sont l’établissement d’un secrétariat chargé de coordonner l’application de l’Accord de Bucarest, l’échange de bonnes pratiques et la conception et la réalisation d’activités de renforcement des capacités telles que des ateliers de formation, par exemple, pour 5 pays (25 000 dollars), l’élaboration de lignes directrices (25 000 dollars) et l’exécution de projets pilotes (85 000-100 000 dollars).</w:t>
            </w:r>
          </w:p>
        </w:tc>
        <w:tc>
          <w:tcPr>
            <w:tcW w:w="1276" w:type="dxa"/>
            <w:shd w:val="clear" w:color="auto" w:fill="auto"/>
            <w:vAlign w:val="bottom"/>
          </w:tcPr>
          <w:p w:rsidR="00920C96" w:rsidRPr="00221BBA" w:rsidRDefault="00920C96" w:rsidP="00920C96">
            <w:pPr>
              <w:suppressAutoHyphens w:val="0"/>
              <w:spacing w:before="40" w:after="40" w:line="220" w:lineRule="exact"/>
              <w:jc w:val="right"/>
              <w:rPr>
                <w:sz w:val="18"/>
              </w:rPr>
            </w:pPr>
          </w:p>
        </w:tc>
        <w:tc>
          <w:tcPr>
            <w:tcW w:w="708" w:type="dxa"/>
            <w:shd w:val="clear" w:color="auto" w:fill="auto"/>
            <w:vAlign w:val="bottom"/>
          </w:tcPr>
          <w:p w:rsidR="00920C96" w:rsidRPr="00221BBA" w:rsidRDefault="00920C96" w:rsidP="00920C96">
            <w:pPr>
              <w:suppressAutoHyphens w:val="0"/>
              <w:spacing w:before="40" w:after="40" w:line="220" w:lineRule="exact"/>
              <w:jc w:val="right"/>
              <w:rPr>
                <w:sz w:val="18"/>
              </w:rPr>
            </w:pPr>
          </w:p>
        </w:tc>
        <w:tc>
          <w:tcPr>
            <w:tcW w:w="708" w:type="dxa"/>
            <w:shd w:val="clear" w:color="auto" w:fill="auto"/>
            <w:vAlign w:val="bottom"/>
          </w:tcPr>
          <w:p w:rsidR="00920C96" w:rsidRPr="00221BBA" w:rsidRDefault="00920C96" w:rsidP="00920C96">
            <w:pPr>
              <w:suppressAutoHyphens w:val="0"/>
              <w:spacing w:before="40" w:after="40" w:line="220" w:lineRule="exact"/>
              <w:jc w:val="right"/>
              <w:rPr>
                <w:sz w:val="18"/>
              </w:rPr>
            </w:pPr>
          </w:p>
        </w:tc>
      </w:tr>
      <w:tr w:rsidR="00920C96" w:rsidRPr="00221BBA" w:rsidTr="008E5C90">
        <w:tblPrEx>
          <w:tblBorders>
            <w:top w:val="none" w:sz="0" w:space="0" w:color="auto"/>
            <w:bottom w:val="none" w:sz="0" w:space="0" w:color="auto"/>
          </w:tblBorders>
        </w:tblPrEx>
        <w:tc>
          <w:tcPr>
            <w:tcW w:w="1842" w:type="dxa"/>
            <w:shd w:val="clear" w:color="auto" w:fill="auto"/>
          </w:tcPr>
          <w:p w:rsidR="00920C96" w:rsidRPr="00221BBA" w:rsidRDefault="00920C96" w:rsidP="00920C96">
            <w:pPr>
              <w:suppressAutoHyphens w:val="0"/>
              <w:spacing w:before="40" w:after="40" w:line="220" w:lineRule="exact"/>
              <w:rPr>
                <w:b/>
                <w:bCs/>
                <w:sz w:val="18"/>
              </w:rPr>
            </w:pPr>
          </w:p>
        </w:tc>
        <w:tc>
          <w:tcPr>
            <w:tcW w:w="2836" w:type="dxa"/>
            <w:shd w:val="clear" w:color="auto" w:fill="auto"/>
            <w:vAlign w:val="bottom"/>
          </w:tcPr>
          <w:p w:rsidR="00920C96" w:rsidRPr="00221BBA" w:rsidRDefault="00920C96" w:rsidP="00920C96">
            <w:pPr>
              <w:suppressAutoHyphens w:val="0"/>
              <w:spacing w:before="40" w:after="40" w:line="220" w:lineRule="exact"/>
              <w:rPr>
                <w:sz w:val="18"/>
              </w:rPr>
            </w:pPr>
            <w:r w:rsidRPr="00221BBA">
              <w:rPr>
                <w:sz w:val="18"/>
              </w:rPr>
              <w:t>Activités, calendrier et modalités d’exécution à préciser. Le Monténégro a proposé une éventuelle coopération avec l’Organisation pour la sécurité et la coopération en Europe.</w:t>
            </w:r>
          </w:p>
        </w:tc>
        <w:tc>
          <w:tcPr>
            <w:tcW w:w="1276" w:type="dxa"/>
            <w:shd w:val="clear" w:color="auto" w:fill="auto"/>
            <w:vAlign w:val="bottom"/>
          </w:tcPr>
          <w:p w:rsidR="00920C96" w:rsidRPr="00221BBA" w:rsidRDefault="00920C96" w:rsidP="00920C96">
            <w:pPr>
              <w:suppressAutoHyphens w:val="0"/>
              <w:spacing w:before="40" w:after="40" w:line="220" w:lineRule="exact"/>
              <w:jc w:val="right"/>
              <w:rPr>
                <w:sz w:val="18"/>
              </w:rPr>
            </w:pPr>
          </w:p>
        </w:tc>
        <w:tc>
          <w:tcPr>
            <w:tcW w:w="708" w:type="dxa"/>
            <w:shd w:val="clear" w:color="auto" w:fill="auto"/>
            <w:vAlign w:val="bottom"/>
          </w:tcPr>
          <w:p w:rsidR="00920C96" w:rsidRPr="00221BBA" w:rsidRDefault="00920C96" w:rsidP="00920C96">
            <w:pPr>
              <w:suppressAutoHyphens w:val="0"/>
              <w:spacing w:before="40" w:after="40" w:line="220" w:lineRule="exact"/>
              <w:jc w:val="right"/>
              <w:rPr>
                <w:sz w:val="18"/>
              </w:rPr>
            </w:pPr>
          </w:p>
        </w:tc>
        <w:tc>
          <w:tcPr>
            <w:tcW w:w="708" w:type="dxa"/>
            <w:shd w:val="clear" w:color="auto" w:fill="auto"/>
            <w:vAlign w:val="bottom"/>
          </w:tcPr>
          <w:p w:rsidR="00920C96" w:rsidRPr="00221BBA" w:rsidRDefault="00920C96" w:rsidP="00920C96">
            <w:pPr>
              <w:suppressAutoHyphens w:val="0"/>
              <w:spacing w:before="40" w:after="40" w:line="220" w:lineRule="exact"/>
              <w:jc w:val="right"/>
              <w:rPr>
                <w:sz w:val="18"/>
              </w:rPr>
            </w:pPr>
          </w:p>
        </w:tc>
      </w:tr>
      <w:tr w:rsidR="00920C96" w:rsidRPr="00221BBA" w:rsidTr="009A258D">
        <w:tblPrEx>
          <w:tblBorders>
            <w:top w:val="none" w:sz="0" w:space="0" w:color="auto"/>
            <w:bottom w:val="none" w:sz="0" w:space="0" w:color="auto"/>
          </w:tblBorders>
        </w:tblPrEx>
        <w:tc>
          <w:tcPr>
            <w:tcW w:w="7370" w:type="dxa"/>
            <w:gridSpan w:val="5"/>
            <w:shd w:val="clear" w:color="auto" w:fill="auto"/>
          </w:tcPr>
          <w:p w:rsidR="00920C96" w:rsidRPr="00221BBA" w:rsidRDefault="00920C96" w:rsidP="00920C96">
            <w:pPr>
              <w:suppressAutoHyphens w:val="0"/>
              <w:spacing w:before="40" w:after="40" w:line="220" w:lineRule="exact"/>
              <w:rPr>
                <w:sz w:val="18"/>
              </w:rPr>
            </w:pPr>
            <w:r w:rsidRPr="00221BBA">
              <w:rPr>
                <w:b/>
                <w:bCs/>
                <w:sz w:val="18"/>
              </w:rPr>
              <w:t xml:space="preserve">V. Promouvoir l’application pratique du Protocole </w:t>
            </w:r>
            <w:r>
              <w:rPr>
                <w:b/>
                <w:bCs/>
                <w:sz w:val="18"/>
              </w:rPr>
              <w:br/>
            </w:r>
            <w:r w:rsidRPr="00221BBA">
              <w:rPr>
                <w:b/>
                <w:bCs/>
                <w:sz w:val="18"/>
              </w:rPr>
              <w:t>et/ou de la Convention</w:t>
            </w:r>
          </w:p>
        </w:tc>
      </w:tr>
      <w:tr w:rsidR="00920C96" w:rsidRPr="00221BBA" w:rsidTr="008E5C90">
        <w:tblPrEx>
          <w:tblBorders>
            <w:top w:val="none" w:sz="0" w:space="0" w:color="auto"/>
            <w:bottom w:val="none" w:sz="0" w:space="0" w:color="auto"/>
          </w:tblBorders>
        </w:tblPrEx>
        <w:tc>
          <w:tcPr>
            <w:tcW w:w="1842" w:type="dxa"/>
            <w:shd w:val="clear" w:color="auto" w:fill="auto"/>
          </w:tcPr>
          <w:p w:rsidR="00920C96" w:rsidRPr="00221BBA" w:rsidRDefault="00920C96" w:rsidP="00920C96">
            <w:pPr>
              <w:suppressAutoHyphens w:val="0"/>
              <w:spacing w:before="40" w:after="40" w:line="220" w:lineRule="exact"/>
              <w:rPr>
                <w:b/>
                <w:bCs/>
                <w:sz w:val="18"/>
              </w:rPr>
            </w:pPr>
            <w:r w:rsidRPr="00221BBA">
              <w:rPr>
                <w:b/>
                <w:bCs/>
                <w:sz w:val="18"/>
              </w:rPr>
              <w:t>Asie centrale</w:t>
            </w:r>
          </w:p>
        </w:tc>
        <w:tc>
          <w:tcPr>
            <w:tcW w:w="2836" w:type="dxa"/>
            <w:shd w:val="clear" w:color="auto" w:fill="auto"/>
            <w:vAlign w:val="bottom"/>
          </w:tcPr>
          <w:p w:rsidR="00920C96" w:rsidRPr="00221BBA" w:rsidRDefault="00920C96" w:rsidP="00920C96">
            <w:pPr>
              <w:suppressAutoHyphens w:val="0"/>
              <w:spacing w:before="40" w:after="40" w:line="220" w:lineRule="exact"/>
              <w:rPr>
                <w:sz w:val="18"/>
              </w:rPr>
            </w:pPr>
            <w:r w:rsidRPr="00221BBA">
              <w:rPr>
                <w:sz w:val="18"/>
              </w:rPr>
              <w:t>Activités de renforcement des capacités dans 5 républiques d’Asie centrale afin de contribuer à l’application et à la ratification du Protocole et/ou de la Convention. Mettre à profit l’assistance législative qui a été apportée.</w:t>
            </w:r>
          </w:p>
        </w:tc>
        <w:tc>
          <w:tcPr>
            <w:tcW w:w="1276" w:type="dxa"/>
            <w:shd w:val="clear" w:color="auto" w:fill="auto"/>
            <w:vAlign w:val="bottom"/>
          </w:tcPr>
          <w:p w:rsidR="00920C96" w:rsidRPr="00221BBA" w:rsidRDefault="00920C96" w:rsidP="00920C96">
            <w:pPr>
              <w:suppressAutoHyphens w:val="0"/>
              <w:spacing w:before="40" w:after="40" w:line="220" w:lineRule="exact"/>
              <w:jc w:val="right"/>
              <w:rPr>
                <w:sz w:val="18"/>
              </w:rPr>
            </w:pPr>
            <w:r w:rsidRPr="00221BBA">
              <w:rPr>
                <w:sz w:val="18"/>
              </w:rPr>
              <w:t>750 000</w:t>
            </w:r>
          </w:p>
        </w:tc>
        <w:tc>
          <w:tcPr>
            <w:tcW w:w="708" w:type="dxa"/>
            <w:shd w:val="clear" w:color="auto" w:fill="auto"/>
            <w:vAlign w:val="bottom"/>
          </w:tcPr>
          <w:p w:rsidR="00920C96" w:rsidRPr="00221BBA" w:rsidRDefault="00920C96" w:rsidP="00920C96">
            <w:pPr>
              <w:suppressAutoHyphens w:val="0"/>
              <w:spacing w:before="40" w:after="40" w:line="220" w:lineRule="exact"/>
              <w:jc w:val="right"/>
              <w:rPr>
                <w:sz w:val="18"/>
              </w:rPr>
            </w:pPr>
            <w:r w:rsidRPr="00221BBA">
              <w:rPr>
                <w:sz w:val="18"/>
              </w:rPr>
              <w:t>15</w:t>
            </w:r>
          </w:p>
        </w:tc>
        <w:tc>
          <w:tcPr>
            <w:tcW w:w="708" w:type="dxa"/>
            <w:shd w:val="clear" w:color="auto" w:fill="auto"/>
            <w:vAlign w:val="bottom"/>
          </w:tcPr>
          <w:p w:rsidR="00920C96" w:rsidRPr="00221BBA" w:rsidRDefault="00920C96" w:rsidP="00920C96">
            <w:pPr>
              <w:suppressAutoHyphens w:val="0"/>
              <w:spacing w:before="40" w:after="40" w:line="220" w:lineRule="exact"/>
              <w:jc w:val="right"/>
              <w:rPr>
                <w:sz w:val="18"/>
              </w:rPr>
            </w:pPr>
            <w:r w:rsidRPr="00221BBA">
              <w:rPr>
                <w:sz w:val="18"/>
              </w:rPr>
              <w:t>15</w:t>
            </w:r>
          </w:p>
        </w:tc>
      </w:tr>
      <w:tr w:rsidR="00920C96" w:rsidRPr="00221BBA" w:rsidTr="008E5C90">
        <w:tblPrEx>
          <w:tblBorders>
            <w:top w:val="none" w:sz="0" w:space="0" w:color="auto"/>
            <w:bottom w:val="none" w:sz="0" w:space="0" w:color="auto"/>
          </w:tblBorders>
        </w:tblPrEx>
        <w:tc>
          <w:tcPr>
            <w:tcW w:w="1842" w:type="dxa"/>
            <w:shd w:val="clear" w:color="auto" w:fill="auto"/>
          </w:tcPr>
          <w:p w:rsidR="00920C96" w:rsidRPr="00221BBA" w:rsidRDefault="00920C96" w:rsidP="00920C96">
            <w:pPr>
              <w:suppressAutoHyphens w:val="0"/>
              <w:spacing w:before="40" w:after="40" w:line="220" w:lineRule="exact"/>
              <w:rPr>
                <w:b/>
                <w:bCs/>
                <w:sz w:val="18"/>
              </w:rPr>
            </w:pPr>
          </w:p>
        </w:tc>
        <w:tc>
          <w:tcPr>
            <w:tcW w:w="2836" w:type="dxa"/>
            <w:shd w:val="clear" w:color="auto" w:fill="auto"/>
            <w:vAlign w:val="bottom"/>
          </w:tcPr>
          <w:p w:rsidR="00920C96" w:rsidRPr="00221BBA" w:rsidRDefault="00920C96" w:rsidP="00920C96">
            <w:pPr>
              <w:suppressAutoHyphens w:val="0"/>
              <w:spacing w:before="40" w:after="40" w:line="220" w:lineRule="exact"/>
              <w:rPr>
                <w:sz w:val="18"/>
              </w:rPr>
            </w:pPr>
            <w:r w:rsidRPr="00221BBA">
              <w:rPr>
                <w:sz w:val="18"/>
              </w:rPr>
              <w:t>Ateliers de formation (25 000 dollars), élaboration de lignes directrices (25 000 dollars) et projets pilotes (85 000-100 000 dollars).</w:t>
            </w:r>
          </w:p>
        </w:tc>
        <w:tc>
          <w:tcPr>
            <w:tcW w:w="1276" w:type="dxa"/>
            <w:shd w:val="clear" w:color="auto" w:fill="auto"/>
            <w:vAlign w:val="bottom"/>
          </w:tcPr>
          <w:p w:rsidR="00920C96" w:rsidRPr="00221BBA" w:rsidRDefault="00920C96" w:rsidP="00920C96">
            <w:pPr>
              <w:suppressAutoHyphens w:val="0"/>
              <w:spacing w:before="40" w:after="40" w:line="220" w:lineRule="exact"/>
              <w:jc w:val="right"/>
              <w:rPr>
                <w:sz w:val="18"/>
              </w:rPr>
            </w:pPr>
          </w:p>
        </w:tc>
        <w:tc>
          <w:tcPr>
            <w:tcW w:w="708" w:type="dxa"/>
            <w:shd w:val="clear" w:color="auto" w:fill="auto"/>
            <w:vAlign w:val="bottom"/>
          </w:tcPr>
          <w:p w:rsidR="00920C96" w:rsidRPr="00221BBA" w:rsidRDefault="00920C96" w:rsidP="00920C96">
            <w:pPr>
              <w:suppressAutoHyphens w:val="0"/>
              <w:spacing w:before="40" w:after="40" w:line="220" w:lineRule="exact"/>
              <w:jc w:val="right"/>
              <w:rPr>
                <w:sz w:val="18"/>
              </w:rPr>
            </w:pPr>
          </w:p>
        </w:tc>
        <w:tc>
          <w:tcPr>
            <w:tcW w:w="708" w:type="dxa"/>
            <w:shd w:val="clear" w:color="auto" w:fill="auto"/>
            <w:vAlign w:val="bottom"/>
          </w:tcPr>
          <w:p w:rsidR="00920C96" w:rsidRPr="00221BBA" w:rsidRDefault="00920C96" w:rsidP="00920C96">
            <w:pPr>
              <w:suppressAutoHyphens w:val="0"/>
              <w:spacing w:before="40" w:after="40" w:line="220" w:lineRule="exact"/>
              <w:jc w:val="right"/>
              <w:rPr>
                <w:sz w:val="18"/>
              </w:rPr>
            </w:pPr>
          </w:p>
        </w:tc>
      </w:tr>
      <w:tr w:rsidR="00920C96" w:rsidRPr="00221BBA" w:rsidTr="008E5C90">
        <w:tblPrEx>
          <w:tblBorders>
            <w:top w:val="none" w:sz="0" w:space="0" w:color="auto"/>
            <w:bottom w:val="none" w:sz="0" w:space="0" w:color="auto"/>
          </w:tblBorders>
        </w:tblPrEx>
        <w:tc>
          <w:tcPr>
            <w:tcW w:w="4678" w:type="dxa"/>
            <w:gridSpan w:val="2"/>
            <w:shd w:val="clear" w:color="auto" w:fill="auto"/>
          </w:tcPr>
          <w:p w:rsidR="00920C96" w:rsidRPr="00221BBA" w:rsidRDefault="00920C96" w:rsidP="00920C96">
            <w:pPr>
              <w:suppressAutoHyphens w:val="0"/>
              <w:spacing w:before="40" w:after="40" w:line="220" w:lineRule="exact"/>
              <w:rPr>
                <w:sz w:val="18"/>
              </w:rPr>
            </w:pPr>
            <w:r w:rsidRPr="00221BBA">
              <w:rPr>
                <w:b/>
                <w:bCs/>
                <w:sz w:val="18"/>
              </w:rPr>
              <w:t>III et V. Activités et ressources en personnel</w:t>
            </w:r>
            <w:r w:rsidRPr="005628B1">
              <w:rPr>
                <w:bCs/>
                <w:sz w:val="18"/>
              </w:rPr>
              <w:t> :</w:t>
            </w:r>
            <w:r w:rsidRPr="00221BBA">
              <w:rPr>
                <w:b/>
                <w:bCs/>
                <w:sz w:val="18"/>
              </w:rPr>
              <w:t xml:space="preserve"> </w:t>
            </w:r>
          </w:p>
        </w:tc>
        <w:tc>
          <w:tcPr>
            <w:tcW w:w="1276" w:type="dxa"/>
            <w:shd w:val="clear" w:color="auto" w:fill="auto"/>
            <w:vAlign w:val="bottom"/>
          </w:tcPr>
          <w:p w:rsidR="00920C96" w:rsidRPr="00221BBA" w:rsidRDefault="00920C96" w:rsidP="00920C96">
            <w:pPr>
              <w:suppressAutoHyphens w:val="0"/>
              <w:spacing w:before="40" w:after="40" w:line="220" w:lineRule="exact"/>
              <w:jc w:val="right"/>
              <w:rPr>
                <w:b/>
                <w:bCs/>
                <w:sz w:val="18"/>
              </w:rPr>
            </w:pPr>
          </w:p>
          <w:p w:rsidR="00920C96" w:rsidRPr="00221BBA" w:rsidRDefault="00920C96" w:rsidP="00920C96">
            <w:pPr>
              <w:suppressAutoHyphens w:val="0"/>
              <w:spacing w:before="40" w:after="40" w:line="220" w:lineRule="exact"/>
              <w:jc w:val="right"/>
              <w:rPr>
                <w:sz w:val="18"/>
              </w:rPr>
            </w:pPr>
            <w:r w:rsidRPr="00221BBA">
              <w:rPr>
                <w:b/>
                <w:bCs/>
                <w:sz w:val="18"/>
              </w:rPr>
              <w:t>1 540 000</w:t>
            </w:r>
          </w:p>
        </w:tc>
        <w:tc>
          <w:tcPr>
            <w:tcW w:w="708" w:type="dxa"/>
            <w:shd w:val="clear" w:color="auto" w:fill="auto"/>
            <w:vAlign w:val="bottom"/>
          </w:tcPr>
          <w:p w:rsidR="00920C96" w:rsidRPr="00221BBA" w:rsidRDefault="00920C96" w:rsidP="00920C96">
            <w:pPr>
              <w:suppressAutoHyphens w:val="0"/>
              <w:spacing w:before="40" w:after="40" w:line="220" w:lineRule="exact"/>
              <w:jc w:val="right"/>
              <w:rPr>
                <w:b/>
                <w:bCs/>
                <w:sz w:val="18"/>
              </w:rPr>
            </w:pPr>
            <w:r w:rsidRPr="00221BBA">
              <w:rPr>
                <w:b/>
                <w:bCs/>
                <w:sz w:val="18"/>
              </w:rPr>
              <w:t>31,5</w:t>
            </w:r>
          </w:p>
          <w:p w:rsidR="00920C96" w:rsidRPr="00221BBA" w:rsidRDefault="00920C96" w:rsidP="00920C96">
            <w:pPr>
              <w:suppressAutoHyphens w:val="0"/>
              <w:spacing w:before="40" w:after="40" w:line="220" w:lineRule="exact"/>
              <w:jc w:val="right"/>
              <w:rPr>
                <w:b/>
                <w:bCs/>
                <w:sz w:val="18"/>
              </w:rPr>
            </w:pPr>
            <w:r w:rsidRPr="00221BBA">
              <w:rPr>
                <w:sz w:val="18"/>
              </w:rPr>
              <w:t>(</w:t>
            </w:r>
            <w:r w:rsidRPr="00221BBA">
              <w:rPr>
                <w:b/>
                <w:bCs/>
                <w:sz w:val="18"/>
              </w:rPr>
              <w:t>610 000 dollars)</w:t>
            </w:r>
          </w:p>
        </w:tc>
        <w:tc>
          <w:tcPr>
            <w:tcW w:w="708" w:type="dxa"/>
            <w:shd w:val="clear" w:color="auto" w:fill="auto"/>
            <w:vAlign w:val="bottom"/>
          </w:tcPr>
          <w:p w:rsidR="00920C96" w:rsidRPr="00221BBA" w:rsidRDefault="00920C96" w:rsidP="00920C96">
            <w:pPr>
              <w:suppressAutoHyphens w:val="0"/>
              <w:spacing w:before="40" w:after="40" w:line="220" w:lineRule="exact"/>
              <w:jc w:val="right"/>
              <w:rPr>
                <w:b/>
                <w:bCs/>
                <w:sz w:val="18"/>
              </w:rPr>
            </w:pPr>
            <w:r w:rsidRPr="00221BBA">
              <w:rPr>
                <w:b/>
                <w:bCs/>
                <w:sz w:val="18"/>
              </w:rPr>
              <w:t>31,5</w:t>
            </w:r>
          </w:p>
          <w:p w:rsidR="00920C96" w:rsidRPr="00221BBA" w:rsidRDefault="00920C96" w:rsidP="00920C96">
            <w:pPr>
              <w:suppressAutoHyphens w:val="0"/>
              <w:spacing w:before="40" w:after="40" w:line="220" w:lineRule="exact"/>
              <w:jc w:val="right"/>
              <w:rPr>
                <w:sz w:val="18"/>
              </w:rPr>
            </w:pPr>
            <w:r w:rsidRPr="00221BBA">
              <w:rPr>
                <w:sz w:val="18"/>
              </w:rPr>
              <w:t xml:space="preserve"> (</w:t>
            </w:r>
            <w:r w:rsidRPr="00221BBA">
              <w:rPr>
                <w:b/>
                <w:bCs/>
                <w:sz w:val="18"/>
              </w:rPr>
              <w:t>330 000</w:t>
            </w:r>
            <w:r w:rsidRPr="00221BBA">
              <w:rPr>
                <w:sz w:val="18"/>
              </w:rPr>
              <w:t xml:space="preserve"> </w:t>
            </w:r>
            <w:r w:rsidRPr="00221BBA">
              <w:rPr>
                <w:b/>
                <w:sz w:val="18"/>
              </w:rPr>
              <w:t>dollars</w:t>
            </w:r>
            <w:r w:rsidRPr="00221BBA">
              <w:rPr>
                <w:b/>
                <w:bCs/>
                <w:sz w:val="18"/>
              </w:rPr>
              <w:t>)</w:t>
            </w:r>
          </w:p>
        </w:tc>
      </w:tr>
      <w:tr w:rsidR="00920C96" w:rsidRPr="00221BBA" w:rsidTr="009A258D">
        <w:tblPrEx>
          <w:tblBorders>
            <w:top w:val="none" w:sz="0" w:space="0" w:color="auto"/>
            <w:bottom w:val="none" w:sz="0" w:space="0" w:color="auto"/>
          </w:tblBorders>
        </w:tblPrEx>
        <w:tc>
          <w:tcPr>
            <w:tcW w:w="7370" w:type="dxa"/>
            <w:gridSpan w:val="5"/>
            <w:shd w:val="clear" w:color="auto" w:fill="auto"/>
          </w:tcPr>
          <w:p w:rsidR="00920C96" w:rsidRPr="00221BBA" w:rsidRDefault="00920C96" w:rsidP="00920C96">
            <w:pPr>
              <w:suppressAutoHyphens w:val="0"/>
              <w:spacing w:before="40" w:after="40" w:line="220" w:lineRule="exact"/>
              <w:rPr>
                <w:b/>
                <w:bCs/>
                <w:sz w:val="18"/>
              </w:rPr>
            </w:pPr>
            <w:r w:rsidRPr="00221BBA">
              <w:rPr>
                <w:b/>
                <w:bCs/>
                <w:sz w:val="18"/>
              </w:rPr>
              <w:t>Total partiel III et V</w:t>
            </w:r>
            <w:r w:rsidRPr="005628B1">
              <w:rPr>
                <w:bCs/>
                <w:sz w:val="18"/>
              </w:rPr>
              <w:t> :</w:t>
            </w:r>
            <w:r w:rsidRPr="00221BBA">
              <w:rPr>
                <w:b/>
                <w:bCs/>
                <w:sz w:val="18"/>
              </w:rPr>
              <w:t xml:space="preserve"> 2 480 000 + frais généraux 13</w:t>
            </w:r>
            <w:r>
              <w:rPr>
                <w:b/>
                <w:bCs/>
                <w:sz w:val="18"/>
              </w:rPr>
              <w:t> </w:t>
            </w:r>
            <w:r w:rsidRPr="00221BBA">
              <w:rPr>
                <w:b/>
                <w:bCs/>
                <w:sz w:val="18"/>
              </w:rPr>
              <w:t>% (322 400) = 2 802 400</w:t>
            </w:r>
          </w:p>
        </w:tc>
      </w:tr>
      <w:tr w:rsidR="00920C96" w:rsidRPr="00221BBA" w:rsidTr="009A258D">
        <w:tblPrEx>
          <w:tblBorders>
            <w:top w:val="none" w:sz="0" w:space="0" w:color="auto"/>
            <w:bottom w:val="none" w:sz="0" w:space="0" w:color="auto"/>
          </w:tblBorders>
        </w:tblPrEx>
        <w:tc>
          <w:tcPr>
            <w:tcW w:w="7370" w:type="dxa"/>
            <w:gridSpan w:val="5"/>
            <w:shd w:val="clear" w:color="auto" w:fill="auto"/>
          </w:tcPr>
          <w:p w:rsidR="00920C96" w:rsidRPr="00221BBA" w:rsidRDefault="00920C96" w:rsidP="00920C96">
            <w:pPr>
              <w:suppressAutoHyphens w:val="0"/>
              <w:spacing w:before="40" w:after="40" w:line="220" w:lineRule="exact"/>
              <w:rPr>
                <w:sz w:val="18"/>
              </w:rPr>
            </w:pPr>
            <w:r w:rsidRPr="00221BBA">
              <w:rPr>
                <w:b/>
                <w:bCs/>
                <w:sz w:val="18"/>
              </w:rPr>
              <w:t>VI. Activités de communication</w:t>
            </w:r>
          </w:p>
        </w:tc>
      </w:tr>
      <w:tr w:rsidR="00920C96" w:rsidRPr="00221BBA" w:rsidTr="009A258D">
        <w:tblPrEx>
          <w:tblBorders>
            <w:top w:val="none" w:sz="0" w:space="0" w:color="auto"/>
            <w:bottom w:val="none" w:sz="0" w:space="0" w:color="auto"/>
          </w:tblBorders>
        </w:tblPrEx>
        <w:tc>
          <w:tcPr>
            <w:tcW w:w="7370" w:type="dxa"/>
            <w:gridSpan w:val="5"/>
            <w:shd w:val="clear" w:color="auto" w:fill="auto"/>
          </w:tcPr>
          <w:p w:rsidR="00920C96" w:rsidRPr="00221BBA" w:rsidRDefault="00920C96" w:rsidP="00920C96">
            <w:pPr>
              <w:suppressAutoHyphens w:val="0"/>
              <w:spacing w:before="40" w:after="40" w:line="220" w:lineRule="exact"/>
              <w:rPr>
                <w:b/>
                <w:bCs/>
                <w:sz w:val="18"/>
              </w:rPr>
            </w:pPr>
            <w:r w:rsidRPr="00920C96">
              <w:rPr>
                <w:i/>
                <w:sz w:val="18"/>
              </w:rPr>
              <w:t>Objective</w:t>
            </w:r>
            <w:r w:rsidRPr="005628B1">
              <w:rPr>
                <w:sz w:val="18"/>
              </w:rPr>
              <w:t> :</w:t>
            </w:r>
            <w:r w:rsidRPr="00221BBA">
              <w:rPr>
                <w:sz w:val="18"/>
              </w:rPr>
              <w:t xml:space="preserve"> Faire mieux connaître la Convention et le Protocole, faire augmenter le nombre des adhésions aux traités et faire davantage appliquer leurs principes à l’extérieur de la région de la CEE. </w:t>
            </w:r>
            <w:r w:rsidRPr="00920C96">
              <w:rPr>
                <w:i/>
                <w:sz w:val="18"/>
              </w:rPr>
              <w:t>Entité(s) responsable(s)</w:t>
            </w:r>
            <w:r w:rsidRPr="005628B1">
              <w:rPr>
                <w:sz w:val="18"/>
              </w:rPr>
              <w:t> :</w:t>
            </w:r>
            <w:r w:rsidRPr="00221BBA">
              <w:rPr>
                <w:sz w:val="18"/>
              </w:rPr>
              <w:t xml:space="preserve"> Le secrétariat, avec le concours de pays chefs de files, en consultation avec les organes créés en vertu des traités.</w:t>
            </w:r>
          </w:p>
        </w:tc>
      </w:tr>
      <w:tr w:rsidR="00920C96" w:rsidRPr="00221BBA" w:rsidTr="008E5C90">
        <w:tblPrEx>
          <w:tblBorders>
            <w:top w:val="none" w:sz="0" w:space="0" w:color="auto"/>
            <w:bottom w:val="none" w:sz="0" w:space="0" w:color="auto"/>
          </w:tblBorders>
        </w:tblPrEx>
        <w:tc>
          <w:tcPr>
            <w:tcW w:w="1842" w:type="dxa"/>
            <w:shd w:val="clear" w:color="auto" w:fill="auto"/>
          </w:tcPr>
          <w:p w:rsidR="00920C96" w:rsidRPr="00221BBA" w:rsidRDefault="00920C96" w:rsidP="00920C96">
            <w:pPr>
              <w:suppressAutoHyphens w:val="0"/>
              <w:spacing w:before="40" w:after="40" w:line="220" w:lineRule="exact"/>
              <w:rPr>
                <w:b/>
                <w:bCs/>
                <w:sz w:val="18"/>
              </w:rPr>
            </w:pPr>
            <w:r w:rsidRPr="00221BBA">
              <w:rPr>
                <w:b/>
                <w:bCs/>
                <w:sz w:val="18"/>
              </w:rPr>
              <w:t>1. Faire connaître la</w:t>
            </w:r>
            <w:r>
              <w:rPr>
                <w:b/>
                <w:bCs/>
                <w:sz w:val="18"/>
              </w:rPr>
              <w:t> </w:t>
            </w:r>
            <w:r w:rsidRPr="00221BBA">
              <w:rPr>
                <w:b/>
                <w:bCs/>
                <w:sz w:val="18"/>
              </w:rPr>
              <w:t>Convention et le</w:t>
            </w:r>
            <w:r>
              <w:rPr>
                <w:b/>
                <w:bCs/>
                <w:sz w:val="18"/>
              </w:rPr>
              <w:t> </w:t>
            </w:r>
            <w:r w:rsidRPr="00221BBA">
              <w:rPr>
                <w:b/>
                <w:bCs/>
                <w:sz w:val="18"/>
              </w:rPr>
              <w:t>Protocole</w:t>
            </w:r>
          </w:p>
        </w:tc>
        <w:tc>
          <w:tcPr>
            <w:tcW w:w="2836" w:type="dxa"/>
            <w:shd w:val="clear" w:color="auto" w:fill="auto"/>
            <w:vAlign w:val="bottom"/>
          </w:tcPr>
          <w:p w:rsidR="00920C96" w:rsidRPr="00221BBA" w:rsidRDefault="00920C96" w:rsidP="00920C96">
            <w:pPr>
              <w:suppressAutoHyphens w:val="0"/>
              <w:spacing w:before="40" w:after="40" w:line="220" w:lineRule="exact"/>
              <w:rPr>
                <w:sz w:val="18"/>
              </w:rPr>
            </w:pPr>
            <w:r w:rsidRPr="00221BBA">
              <w:rPr>
                <w:sz w:val="18"/>
              </w:rPr>
              <w:t xml:space="preserve">Faire mieux connaître les traités </w:t>
            </w:r>
            <w:r>
              <w:rPr>
                <w:sz w:val="18"/>
              </w:rPr>
              <w:br/>
            </w:r>
            <w:r w:rsidRPr="00221BBA">
              <w:rPr>
                <w:sz w:val="18"/>
              </w:rPr>
              <w:t xml:space="preserve">et les activités auxquelles ils donnent lieu à l’occasion de rencontres internationales et régionales, </w:t>
            </w:r>
            <w:r>
              <w:rPr>
                <w:sz w:val="18"/>
              </w:rPr>
              <w:br/>
            </w:r>
            <w:r w:rsidRPr="00221BBA">
              <w:rPr>
                <w:sz w:val="18"/>
              </w:rPr>
              <w:t xml:space="preserve">en faisant des présentations et en organisant des sessions et/ou </w:t>
            </w:r>
            <w:r>
              <w:rPr>
                <w:sz w:val="18"/>
              </w:rPr>
              <w:br/>
            </w:r>
            <w:r w:rsidRPr="00221BBA">
              <w:rPr>
                <w:sz w:val="18"/>
              </w:rPr>
              <w:t xml:space="preserve">des activités parallèles ; ressources destinées à couvrir les frais </w:t>
            </w:r>
            <w:r>
              <w:rPr>
                <w:sz w:val="18"/>
              </w:rPr>
              <w:br/>
            </w:r>
            <w:r w:rsidRPr="00221BBA">
              <w:rPr>
                <w:sz w:val="18"/>
              </w:rPr>
              <w:t>de voyage.</w:t>
            </w:r>
          </w:p>
        </w:tc>
        <w:tc>
          <w:tcPr>
            <w:tcW w:w="1276" w:type="dxa"/>
            <w:shd w:val="clear" w:color="auto" w:fill="auto"/>
            <w:vAlign w:val="bottom"/>
          </w:tcPr>
          <w:p w:rsidR="00920C96" w:rsidRPr="00221BBA" w:rsidRDefault="00920C96" w:rsidP="00920C96">
            <w:pPr>
              <w:suppressAutoHyphens w:val="0"/>
              <w:spacing w:before="40" w:after="40" w:line="220" w:lineRule="exact"/>
              <w:jc w:val="right"/>
              <w:rPr>
                <w:sz w:val="18"/>
              </w:rPr>
            </w:pPr>
            <w:r w:rsidRPr="00221BBA">
              <w:rPr>
                <w:sz w:val="18"/>
              </w:rPr>
              <w:t>50 000</w:t>
            </w:r>
          </w:p>
        </w:tc>
        <w:tc>
          <w:tcPr>
            <w:tcW w:w="708" w:type="dxa"/>
            <w:shd w:val="clear" w:color="auto" w:fill="auto"/>
            <w:vAlign w:val="bottom"/>
          </w:tcPr>
          <w:p w:rsidR="00920C96" w:rsidRPr="00221BBA" w:rsidRDefault="00920C96" w:rsidP="00920C96">
            <w:pPr>
              <w:suppressAutoHyphens w:val="0"/>
              <w:spacing w:before="40" w:after="40" w:line="220" w:lineRule="exact"/>
              <w:jc w:val="right"/>
              <w:rPr>
                <w:sz w:val="18"/>
              </w:rPr>
            </w:pPr>
          </w:p>
        </w:tc>
        <w:tc>
          <w:tcPr>
            <w:tcW w:w="708" w:type="dxa"/>
            <w:shd w:val="clear" w:color="auto" w:fill="auto"/>
            <w:vAlign w:val="bottom"/>
          </w:tcPr>
          <w:p w:rsidR="00920C96" w:rsidRPr="00221BBA" w:rsidRDefault="00920C96" w:rsidP="00920C96">
            <w:pPr>
              <w:suppressAutoHyphens w:val="0"/>
              <w:spacing w:before="40" w:after="40" w:line="220" w:lineRule="exact"/>
              <w:jc w:val="right"/>
              <w:rPr>
                <w:sz w:val="18"/>
              </w:rPr>
            </w:pPr>
          </w:p>
        </w:tc>
      </w:tr>
      <w:tr w:rsidR="00920C96" w:rsidRPr="00221BBA" w:rsidTr="008E5C90">
        <w:tblPrEx>
          <w:tblBorders>
            <w:top w:val="none" w:sz="0" w:space="0" w:color="auto"/>
            <w:bottom w:val="none" w:sz="0" w:space="0" w:color="auto"/>
          </w:tblBorders>
        </w:tblPrEx>
        <w:tc>
          <w:tcPr>
            <w:tcW w:w="1842" w:type="dxa"/>
            <w:shd w:val="clear" w:color="auto" w:fill="auto"/>
          </w:tcPr>
          <w:p w:rsidR="00920C96" w:rsidRPr="00221BBA" w:rsidRDefault="00920C96" w:rsidP="00920C96">
            <w:pPr>
              <w:suppressAutoHyphens w:val="0"/>
              <w:spacing w:before="40" w:after="40" w:line="220" w:lineRule="exact"/>
              <w:rPr>
                <w:b/>
                <w:bCs/>
                <w:sz w:val="18"/>
              </w:rPr>
            </w:pPr>
            <w:r w:rsidRPr="00221BBA">
              <w:rPr>
                <w:b/>
                <w:bCs/>
                <w:sz w:val="18"/>
              </w:rPr>
              <w:t>2. Appuyer les</w:t>
            </w:r>
            <w:r>
              <w:rPr>
                <w:b/>
                <w:bCs/>
                <w:sz w:val="18"/>
              </w:rPr>
              <w:t> </w:t>
            </w:r>
            <w:r w:rsidRPr="00221BBA">
              <w:rPr>
                <w:b/>
                <w:bCs/>
                <w:sz w:val="18"/>
              </w:rPr>
              <w:t>adhésions</w:t>
            </w:r>
          </w:p>
        </w:tc>
        <w:tc>
          <w:tcPr>
            <w:tcW w:w="2836" w:type="dxa"/>
            <w:shd w:val="clear" w:color="auto" w:fill="auto"/>
            <w:vAlign w:val="bottom"/>
          </w:tcPr>
          <w:p w:rsidR="00920C96" w:rsidRPr="00221BBA" w:rsidRDefault="00920C96" w:rsidP="00920C96">
            <w:pPr>
              <w:suppressAutoHyphens w:val="0"/>
              <w:spacing w:before="40" w:after="40" w:line="220" w:lineRule="exact"/>
              <w:rPr>
                <w:sz w:val="18"/>
              </w:rPr>
            </w:pPr>
            <w:r w:rsidRPr="00221BBA">
              <w:rPr>
                <w:sz w:val="18"/>
              </w:rPr>
              <w:t>Préparer et traduire des documents d’information traitant de questions de</w:t>
            </w:r>
            <w:r>
              <w:rPr>
                <w:sz w:val="18"/>
              </w:rPr>
              <w:t> </w:t>
            </w:r>
            <w:r w:rsidRPr="00221BBA">
              <w:rPr>
                <w:sz w:val="18"/>
              </w:rPr>
              <w:t>caractère général ou particulier liées</w:t>
            </w:r>
            <w:r>
              <w:rPr>
                <w:sz w:val="18"/>
              </w:rPr>
              <w:t> </w:t>
            </w:r>
            <w:r w:rsidRPr="00221BBA">
              <w:rPr>
                <w:sz w:val="18"/>
              </w:rPr>
              <w:t>à l’adhésion aux traités et à leur</w:t>
            </w:r>
            <w:r>
              <w:rPr>
                <w:sz w:val="18"/>
              </w:rPr>
              <w:t> </w:t>
            </w:r>
            <w:r w:rsidRPr="00221BBA">
              <w:rPr>
                <w:sz w:val="18"/>
              </w:rPr>
              <w:t>application. Honoraires de consultants pour un montant d’environ</w:t>
            </w:r>
            <w:r>
              <w:rPr>
                <w:sz w:val="18"/>
              </w:rPr>
              <w:t> </w:t>
            </w:r>
            <w:r w:rsidRPr="00221BBA">
              <w:rPr>
                <w:sz w:val="18"/>
              </w:rPr>
              <w:t>25 000 dollars.</w:t>
            </w:r>
          </w:p>
        </w:tc>
        <w:tc>
          <w:tcPr>
            <w:tcW w:w="1276" w:type="dxa"/>
            <w:shd w:val="clear" w:color="auto" w:fill="auto"/>
            <w:vAlign w:val="bottom"/>
          </w:tcPr>
          <w:p w:rsidR="00920C96" w:rsidRPr="00221BBA" w:rsidRDefault="00920C96" w:rsidP="00920C96">
            <w:pPr>
              <w:suppressAutoHyphens w:val="0"/>
              <w:spacing w:before="40" w:after="40" w:line="220" w:lineRule="exact"/>
              <w:jc w:val="right"/>
              <w:rPr>
                <w:sz w:val="18"/>
              </w:rPr>
            </w:pPr>
            <w:r w:rsidRPr="00221BBA">
              <w:rPr>
                <w:sz w:val="18"/>
              </w:rPr>
              <w:t>25 000</w:t>
            </w:r>
          </w:p>
        </w:tc>
        <w:tc>
          <w:tcPr>
            <w:tcW w:w="708" w:type="dxa"/>
            <w:shd w:val="clear" w:color="auto" w:fill="auto"/>
            <w:vAlign w:val="bottom"/>
          </w:tcPr>
          <w:p w:rsidR="00920C96" w:rsidRPr="00221BBA" w:rsidRDefault="00920C96" w:rsidP="00920C96">
            <w:pPr>
              <w:suppressAutoHyphens w:val="0"/>
              <w:spacing w:before="40" w:after="40" w:line="220" w:lineRule="exact"/>
              <w:jc w:val="right"/>
              <w:rPr>
                <w:sz w:val="18"/>
              </w:rPr>
            </w:pPr>
          </w:p>
        </w:tc>
        <w:tc>
          <w:tcPr>
            <w:tcW w:w="708" w:type="dxa"/>
            <w:shd w:val="clear" w:color="auto" w:fill="auto"/>
            <w:vAlign w:val="bottom"/>
          </w:tcPr>
          <w:p w:rsidR="00920C96" w:rsidRPr="00221BBA" w:rsidRDefault="00920C96" w:rsidP="00920C96">
            <w:pPr>
              <w:suppressAutoHyphens w:val="0"/>
              <w:spacing w:before="40" w:after="40" w:line="220" w:lineRule="exact"/>
              <w:jc w:val="right"/>
              <w:rPr>
                <w:sz w:val="18"/>
              </w:rPr>
            </w:pPr>
          </w:p>
        </w:tc>
      </w:tr>
      <w:tr w:rsidR="00920C96" w:rsidRPr="00221BBA" w:rsidTr="008E5C90">
        <w:tblPrEx>
          <w:tblBorders>
            <w:top w:val="none" w:sz="0" w:space="0" w:color="auto"/>
            <w:bottom w:val="none" w:sz="0" w:space="0" w:color="auto"/>
          </w:tblBorders>
        </w:tblPrEx>
        <w:tc>
          <w:tcPr>
            <w:tcW w:w="1842" w:type="dxa"/>
            <w:shd w:val="clear" w:color="auto" w:fill="auto"/>
          </w:tcPr>
          <w:p w:rsidR="00920C96" w:rsidRPr="00221BBA" w:rsidRDefault="00920C96" w:rsidP="00920C96">
            <w:pPr>
              <w:keepNext/>
              <w:suppressAutoHyphens w:val="0"/>
              <w:spacing w:before="40" w:after="40" w:line="220" w:lineRule="exact"/>
              <w:rPr>
                <w:b/>
                <w:bCs/>
                <w:sz w:val="18"/>
              </w:rPr>
            </w:pPr>
            <w:r w:rsidRPr="00221BBA">
              <w:rPr>
                <w:b/>
                <w:bCs/>
                <w:sz w:val="18"/>
              </w:rPr>
              <w:lastRenderedPageBreak/>
              <w:t>3. Promouvoir et faire</w:t>
            </w:r>
            <w:r>
              <w:rPr>
                <w:b/>
                <w:bCs/>
                <w:sz w:val="18"/>
              </w:rPr>
              <w:t> </w:t>
            </w:r>
            <w:r w:rsidRPr="00221BBA">
              <w:rPr>
                <w:b/>
                <w:bCs/>
                <w:sz w:val="18"/>
              </w:rPr>
              <w:t>connaître les avantages présentés par</w:t>
            </w:r>
            <w:r>
              <w:rPr>
                <w:b/>
                <w:bCs/>
                <w:sz w:val="18"/>
              </w:rPr>
              <w:t> </w:t>
            </w:r>
            <w:r w:rsidRPr="00221BBA">
              <w:rPr>
                <w:b/>
                <w:bCs/>
                <w:sz w:val="18"/>
              </w:rPr>
              <w:t>les traités</w:t>
            </w:r>
          </w:p>
        </w:tc>
        <w:tc>
          <w:tcPr>
            <w:tcW w:w="2836" w:type="dxa"/>
            <w:shd w:val="clear" w:color="auto" w:fill="auto"/>
            <w:vAlign w:val="bottom"/>
          </w:tcPr>
          <w:p w:rsidR="00920C96" w:rsidRPr="00221BBA" w:rsidRDefault="00920C96" w:rsidP="00920C96">
            <w:pPr>
              <w:keepNext/>
              <w:suppressAutoHyphens w:val="0"/>
              <w:spacing w:before="40" w:after="40" w:line="220" w:lineRule="exact"/>
              <w:rPr>
                <w:sz w:val="18"/>
              </w:rPr>
            </w:pPr>
            <w:r w:rsidRPr="00221BBA">
              <w:rPr>
                <w:sz w:val="18"/>
              </w:rPr>
              <w:t>Élaborer une note d’information à l’intention des décideurs sur les avantages présentés par la Convention et le Protocole, y compris des exemples de bonnes pratiques et des</w:t>
            </w:r>
            <w:r>
              <w:rPr>
                <w:sz w:val="18"/>
              </w:rPr>
              <w:t> </w:t>
            </w:r>
            <w:r w:rsidRPr="00221BBA">
              <w:rPr>
                <w:sz w:val="18"/>
              </w:rPr>
              <w:t>études de cas.</w:t>
            </w:r>
          </w:p>
        </w:tc>
        <w:tc>
          <w:tcPr>
            <w:tcW w:w="1276" w:type="dxa"/>
            <w:shd w:val="clear" w:color="auto" w:fill="auto"/>
            <w:vAlign w:val="bottom"/>
          </w:tcPr>
          <w:p w:rsidR="00920C96" w:rsidRPr="00221BBA" w:rsidRDefault="00920C96" w:rsidP="00920C96">
            <w:pPr>
              <w:keepNext/>
              <w:suppressAutoHyphens w:val="0"/>
              <w:spacing w:before="40" w:after="40" w:line="220" w:lineRule="exact"/>
              <w:jc w:val="right"/>
              <w:rPr>
                <w:sz w:val="18"/>
              </w:rPr>
            </w:pPr>
            <w:r w:rsidRPr="00221BBA">
              <w:rPr>
                <w:sz w:val="18"/>
              </w:rPr>
              <w:t>25 000</w:t>
            </w:r>
          </w:p>
        </w:tc>
        <w:tc>
          <w:tcPr>
            <w:tcW w:w="708" w:type="dxa"/>
            <w:shd w:val="clear" w:color="auto" w:fill="auto"/>
            <w:vAlign w:val="bottom"/>
          </w:tcPr>
          <w:p w:rsidR="00920C96" w:rsidRPr="00221BBA" w:rsidRDefault="00920C96" w:rsidP="00920C96">
            <w:pPr>
              <w:keepNext/>
              <w:suppressAutoHyphens w:val="0"/>
              <w:spacing w:before="40" w:after="40" w:line="220" w:lineRule="exact"/>
              <w:jc w:val="right"/>
              <w:rPr>
                <w:sz w:val="18"/>
              </w:rPr>
            </w:pPr>
          </w:p>
        </w:tc>
        <w:tc>
          <w:tcPr>
            <w:tcW w:w="708" w:type="dxa"/>
            <w:shd w:val="clear" w:color="auto" w:fill="auto"/>
            <w:vAlign w:val="bottom"/>
          </w:tcPr>
          <w:p w:rsidR="00920C96" w:rsidRPr="00221BBA" w:rsidRDefault="00920C96" w:rsidP="00920C96">
            <w:pPr>
              <w:keepNext/>
              <w:suppressAutoHyphens w:val="0"/>
              <w:spacing w:before="40" w:after="40" w:line="220" w:lineRule="exact"/>
              <w:jc w:val="right"/>
              <w:rPr>
                <w:sz w:val="18"/>
              </w:rPr>
            </w:pPr>
          </w:p>
        </w:tc>
      </w:tr>
      <w:tr w:rsidR="00920C96" w:rsidRPr="00221BBA" w:rsidTr="008E5C90">
        <w:tblPrEx>
          <w:tblBorders>
            <w:top w:val="none" w:sz="0" w:space="0" w:color="auto"/>
            <w:bottom w:val="none" w:sz="0" w:space="0" w:color="auto"/>
          </w:tblBorders>
        </w:tblPrEx>
        <w:tc>
          <w:tcPr>
            <w:tcW w:w="1842" w:type="dxa"/>
            <w:shd w:val="clear" w:color="auto" w:fill="auto"/>
          </w:tcPr>
          <w:p w:rsidR="00920C96" w:rsidRPr="00221BBA" w:rsidRDefault="00920C96" w:rsidP="00920C96">
            <w:pPr>
              <w:suppressAutoHyphens w:val="0"/>
              <w:spacing w:before="40" w:after="40" w:line="220" w:lineRule="exact"/>
              <w:rPr>
                <w:b/>
                <w:bCs/>
                <w:sz w:val="18"/>
              </w:rPr>
            </w:pPr>
            <w:r w:rsidRPr="00221BBA">
              <w:rPr>
                <w:b/>
                <w:bCs/>
                <w:sz w:val="18"/>
              </w:rPr>
              <w:t xml:space="preserve">4. Assistance </w:t>
            </w:r>
            <w:r>
              <w:rPr>
                <w:b/>
                <w:bCs/>
                <w:sz w:val="18"/>
              </w:rPr>
              <w:br/>
            </w:r>
            <w:r w:rsidRPr="00221BBA">
              <w:rPr>
                <w:b/>
                <w:bCs/>
                <w:sz w:val="18"/>
              </w:rPr>
              <w:t>législative</w:t>
            </w:r>
          </w:p>
        </w:tc>
        <w:tc>
          <w:tcPr>
            <w:tcW w:w="2836" w:type="dxa"/>
            <w:shd w:val="clear" w:color="auto" w:fill="auto"/>
            <w:vAlign w:val="bottom"/>
          </w:tcPr>
          <w:p w:rsidR="00920C96" w:rsidRPr="00221BBA" w:rsidRDefault="00920C96" w:rsidP="00920C96">
            <w:pPr>
              <w:suppressAutoHyphens w:val="0"/>
              <w:spacing w:before="40" w:after="40" w:line="220" w:lineRule="exact"/>
              <w:rPr>
                <w:sz w:val="18"/>
              </w:rPr>
            </w:pPr>
            <w:r w:rsidRPr="00221BBA">
              <w:rPr>
                <w:sz w:val="18"/>
              </w:rPr>
              <w:t>Révision de la législation et aide à la</w:t>
            </w:r>
            <w:r>
              <w:rPr>
                <w:sz w:val="18"/>
              </w:rPr>
              <w:t> </w:t>
            </w:r>
            <w:r w:rsidRPr="00221BBA">
              <w:rPr>
                <w:sz w:val="18"/>
              </w:rPr>
              <w:t>rédaction de textes législatifs visant à mettre la législation nationale en conformité avec la Convention et le</w:t>
            </w:r>
            <w:r>
              <w:rPr>
                <w:sz w:val="18"/>
              </w:rPr>
              <w:t> </w:t>
            </w:r>
            <w:r w:rsidRPr="00221BBA">
              <w:rPr>
                <w:sz w:val="18"/>
              </w:rPr>
              <w:t>Protocole (30 000 dollars) pour</w:t>
            </w:r>
            <w:r>
              <w:rPr>
                <w:sz w:val="18"/>
              </w:rPr>
              <w:t> </w:t>
            </w:r>
            <w:r w:rsidRPr="00221BBA">
              <w:rPr>
                <w:sz w:val="18"/>
              </w:rPr>
              <w:t>5</w:t>
            </w:r>
            <w:r>
              <w:rPr>
                <w:sz w:val="18"/>
              </w:rPr>
              <w:t> </w:t>
            </w:r>
            <w:r w:rsidRPr="00221BBA">
              <w:rPr>
                <w:sz w:val="18"/>
              </w:rPr>
              <w:t>pays.</w:t>
            </w:r>
          </w:p>
        </w:tc>
        <w:tc>
          <w:tcPr>
            <w:tcW w:w="1276" w:type="dxa"/>
            <w:shd w:val="clear" w:color="auto" w:fill="auto"/>
            <w:vAlign w:val="bottom"/>
          </w:tcPr>
          <w:p w:rsidR="00920C96" w:rsidRPr="00221BBA" w:rsidRDefault="00920C96" w:rsidP="00920C96">
            <w:pPr>
              <w:suppressAutoHyphens w:val="0"/>
              <w:spacing w:before="40" w:after="40" w:line="220" w:lineRule="exact"/>
              <w:jc w:val="right"/>
              <w:rPr>
                <w:sz w:val="18"/>
              </w:rPr>
            </w:pPr>
            <w:r w:rsidRPr="00221BBA">
              <w:rPr>
                <w:sz w:val="18"/>
              </w:rPr>
              <w:t>150 000</w:t>
            </w:r>
          </w:p>
        </w:tc>
        <w:tc>
          <w:tcPr>
            <w:tcW w:w="708" w:type="dxa"/>
            <w:shd w:val="clear" w:color="auto" w:fill="auto"/>
            <w:vAlign w:val="bottom"/>
          </w:tcPr>
          <w:p w:rsidR="00920C96" w:rsidRPr="00221BBA" w:rsidRDefault="00920C96" w:rsidP="00920C96">
            <w:pPr>
              <w:suppressAutoHyphens w:val="0"/>
              <w:spacing w:before="40" w:after="40" w:line="220" w:lineRule="exact"/>
              <w:jc w:val="right"/>
              <w:rPr>
                <w:sz w:val="18"/>
              </w:rPr>
            </w:pPr>
          </w:p>
        </w:tc>
        <w:tc>
          <w:tcPr>
            <w:tcW w:w="708" w:type="dxa"/>
            <w:shd w:val="clear" w:color="auto" w:fill="auto"/>
            <w:vAlign w:val="bottom"/>
          </w:tcPr>
          <w:p w:rsidR="00920C96" w:rsidRPr="00221BBA" w:rsidRDefault="00920C96" w:rsidP="00920C96">
            <w:pPr>
              <w:suppressAutoHyphens w:val="0"/>
              <w:spacing w:before="40" w:after="40" w:line="220" w:lineRule="exact"/>
              <w:jc w:val="right"/>
              <w:rPr>
                <w:sz w:val="18"/>
              </w:rPr>
            </w:pPr>
          </w:p>
        </w:tc>
      </w:tr>
      <w:tr w:rsidR="00920C96" w:rsidRPr="00221BBA" w:rsidTr="008E5C90">
        <w:tblPrEx>
          <w:tblBorders>
            <w:top w:val="none" w:sz="0" w:space="0" w:color="auto"/>
            <w:bottom w:val="none" w:sz="0" w:space="0" w:color="auto"/>
          </w:tblBorders>
        </w:tblPrEx>
        <w:tc>
          <w:tcPr>
            <w:tcW w:w="1842" w:type="dxa"/>
            <w:shd w:val="clear" w:color="auto" w:fill="auto"/>
          </w:tcPr>
          <w:p w:rsidR="00920C96" w:rsidRPr="00221BBA" w:rsidRDefault="00920C96" w:rsidP="00920C96">
            <w:pPr>
              <w:suppressAutoHyphens w:val="0"/>
              <w:spacing w:before="40" w:after="40" w:line="220" w:lineRule="exact"/>
              <w:rPr>
                <w:b/>
                <w:bCs/>
                <w:sz w:val="18"/>
              </w:rPr>
            </w:pPr>
            <w:r w:rsidRPr="00221BBA">
              <w:rPr>
                <w:b/>
                <w:bCs/>
                <w:sz w:val="18"/>
              </w:rPr>
              <w:t>5.</w:t>
            </w:r>
            <w:r>
              <w:rPr>
                <w:b/>
                <w:bCs/>
                <w:sz w:val="18"/>
              </w:rPr>
              <w:t xml:space="preserve"> </w:t>
            </w:r>
            <w:r w:rsidRPr="00221BBA">
              <w:rPr>
                <w:b/>
                <w:bCs/>
                <w:sz w:val="18"/>
              </w:rPr>
              <w:t>Renforcement des</w:t>
            </w:r>
            <w:r>
              <w:rPr>
                <w:b/>
                <w:bCs/>
                <w:sz w:val="18"/>
              </w:rPr>
              <w:t> </w:t>
            </w:r>
            <w:r w:rsidRPr="00221BBA">
              <w:rPr>
                <w:b/>
                <w:bCs/>
                <w:sz w:val="18"/>
              </w:rPr>
              <w:t>capacités</w:t>
            </w:r>
          </w:p>
        </w:tc>
        <w:tc>
          <w:tcPr>
            <w:tcW w:w="2836" w:type="dxa"/>
            <w:shd w:val="clear" w:color="auto" w:fill="auto"/>
            <w:vAlign w:val="bottom"/>
          </w:tcPr>
          <w:p w:rsidR="00920C96" w:rsidRPr="00221BBA" w:rsidRDefault="00920C96" w:rsidP="00920C96">
            <w:pPr>
              <w:suppressAutoHyphens w:val="0"/>
              <w:spacing w:before="40" w:after="40" w:line="220" w:lineRule="exact"/>
              <w:rPr>
                <w:sz w:val="18"/>
              </w:rPr>
            </w:pPr>
            <w:r w:rsidRPr="00221BBA">
              <w:rPr>
                <w:sz w:val="18"/>
              </w:rPr>
              <w:t>Promouvoir une application pratique et efficiente de la Convention et du Protocole.</w:t>
            </w:r>
          </w:p>
        </w:tc>
        <w:tc>
          <w:tcPr>
            <w:tcW w:w="1276" w:type="dxa"/>
            <w:shd w:val="clear" w:color="auto" w:fill="auto"/>
            <w:vAlign w:val="bottom"/>
          </w:tcPr>
          <w:p w:rsidR="00920C96" w:rsidRPr="00221BBA" w:rsidRDefault="00920C96" w:rsidP="00920C96">
            <w:pPr>
              <w:suppressAutoHyphens w:val="0"/>
              <w:spacing w:before="40" w:after="40" w:line="220" w:lineRule="exact"/>
              <w:jc w:val="right"/>
              <w:rPr>
                <w:sz w:val="18"/>
              </w:rPr>
            </w:pPr>
          </w:p>
        </w:tc>
        <w:tc>
          <w:tcPr>
            <w:tcW w:w="708" w:type="dxa"/>
            <w:shd w:val="clear" w:color="auto" w:fill="auto"/>
            <w:vAlign w:val="bottom"/>
          </w:tcPr>
          <w:p w:rsidR="00920C96" w:rsidRPr="00221BBA" w:rsidRDefault="00920C96" w:rsidP="00920C96">
            <w:pPr>
              <w:suppressAutoHyphens w:val="0"/>
              <w:spacing w:before="40" w:after="40" w:line="220" w:lineRule="exact"/>
              <w:jc w:val="right"/>
              <w:rPr>
                <w:sz w:val="18"/>
              </w:rPr>
            </w:pPr>
          </w:p>
        </w:tc>
        <w:tc>
          <w:tcPr>
            <w:tcW w:w="708" w:type="dxa"/>
            <w:shd w:val="clear" w:color="auto" w:fill="auto"/>
            <w:vAlign w:val="bottom"/>
          </w:tcPr>
          <w:p w:rsidR="00920C96" w:rsidRPr="00221BBA" w:rsidRDefault="00920C96" w:rsidP="00920C96">
            <w:pPr>
              <w:suppressAutoHyphens w:val="0"/>
              <w:spacing w:before="40" w:after="40" w:line="220" w:lineRule="exact"/>
              <w:jc w:val="right"/>
              <w:rPr>
                <w:sz w:val="18"/>
              </w:rPr>
            </w:pPr>
          </w:p>
        </w:tc>
      </w:tr>
      <w:tr w:rsidR="00920C96" w:rsidRPr="00221BBA" w:rsidTr="008E5C90">
        <w:tblPrEx>
          <w:tblBorders>
            <w:top w:val="none" w:sz="0" w:space="0" w:color="auto"/>
            <w:bottom w:val="none" w:sz="0" w:space="0" w:color="auto"/>
          </w:tblBorders>
        </w:tblPrEx>
        <w:tc>
          <w:tcPr>
            <w:tcW w:w="1842" w:type="dxa"/>
            <w:shd w:val="clear" w:color="auto" w:fill="auto"/>
          </w:tcPr>
          <w:p w:rsidR="00920C96" w:rsidRPr="00221BBA" w:rsidRDefault="00920C96" w:rsidP="00920C96">
            <w:pPr>
              <w:suppressAutoHyphens w:val="0"/>
              <w:spacing w:before="40" w:after="40" w:line="220" w:lineRule="exact"/>
              <w:rPr>
                <w:b/>
                <w:bCs/>
                <w:sz w:val="18"/>
              </w:rPr>
            </w:pPr>
          </w:p>
        </w:tc>
        <w:tc>
          <w:tcPr>
            <w:tcW w:w="2836" w:type="dxa"/>
            <w:shd w:val="clear" w:color="auto" w:fill="auto"/>
            <w:vAlign w:val="bottom"/>
          </w:tcPr>
          <w:p w:rsidR="00920C96" w:rsidRPr="00221BBA" w:rsidRDefault="00920C96" w:rsidP="00920C96">
            <w:pPr>
              <w:suppressAutoHyphens w:val="0"/>
              <w:spacing w:before="40" w:after="40" w:line="220" w:lineRule="exact"/>
              <w:rPr>
                <w:sz w:val="18"/>
              </w:rPr>
            </w:pPr>
            <w:r w:rsidRPr="00221BBA">
              <w:rPr>
                <w:sz w:val="18"/>
              </w:rPr>
              <w:t>Ateliers de formation (25 000 dollars), élaboration de lignes directrices (25 000 dollars) et projets pilotes (85</w:t>
            </w:r>
            <w:r>
              <w:rPr>
                <w:sz w:val="18"/>
              </w:rPr>
              <w:t> </w:t>
            </w:r>
            <w:r w:rsidRPr="00221BBA">
              <w:rPr>
                <w:sz w:val="18"/>
              </w:rPr>
              <w:t>000</w:t>
            </w:r>
            <w:r>
              <w:rPr>
                <w:sz w:val="18"/>
              </w:rPr>
              <w:t>-</w:t>
            </w:r>
            <w:r w:rsidRPr="00221BBA">
              <w:rPr>
                <w:sz w:val="18"/>
              </w:rPr>
              <w:t>100 000 dollars) pour 5 pays.</w:t>
            </w:r>
          </w:p>
        </w:tc>
        <w:tc>
          <w:tcPr>
            <w:tcW w:w="1276" w:type="dxa"/>
            <w:shd w:val="clear" w:color="auto" w:fill="auto"/>
            <w:vAlign w:val="bottom"/>
          </w:tcPr>
          <w:p w:rsidR="00920C96" w:rsidRPr="00221BBA" w:rsidRDefault="00920C96" w:rsidP="00920C96">
            <w:pPr>
              <w:suppressAutoHyphens w:val="0"/>
              <w:spacing w:before="40" w:after="40" w:line="220" w:lineRule="exact"/>
              <w:jc w:val="right"/>
              <w:rPr>
                <w:sz w:val="18"/>
              </w:rPr>
            </w:pPr>
            <w:r w:rsidRPr="00221BBA">
              <w:rPr>
                <w:sz w:val="18"/>
              </w:rPr>
              <w:t>750 000</w:t>
            </w:r>
          </w:p>
        </w:tc>
        <w:tc>
          <w:tcPr>
            <w:tcW w:w="708" w:type="dxa"/>
            <w:shd w:val="clear" w:color="auto" w:fill="auto"/>
            <w:vAlign w:val="bottom"/>
          </w:tcPr>
          <w:p w:rsidR="00920C96" w:rsidRPr="00221BBA" w:rsidRDefault="00920C96" w:rsidP="00920C96">
            <w:pPr>
              <w:suppressAutoHyphens w:val="0"/>
              <w:spacing w:before="40" w:after="40" w:line="220" w:lineRule="exact"/>
              <w:jc w:val="right"/>
              <w:rPr>
                <w:sz w:val="18"/>
              </w:rPr>
            </w:pPr>
          </w:p>
        </w:tc>
        <w:tc>
          <w:tcPr>
            <w:tcW w:w="708" w:type="dxa"/>
            <w:shd w:val="clear" w:color="auto" w:fill="auto"/>
            <w:vAlign w:val="bottom"/>
          </w:tcPr>
          <w:p w:rsidR="00920C96" w:rsidRPr="00221BBA" w:rsidRDefault="00920C96" w:rsidP="00920C96">
            <w:pPr>
              <w:suppressAutoHyphens w:val="0"/>
              <w:spacing w:before="40" w:after="40" w:line="220" w:lineRule="exact"/>
              <w:jc w:val="right"/>
              <w:rPr>
                <w:sz w:val="18"/>
              </w:rPr>
            </w:pPr>
          </w:p>
        </w:tc>
      </w:tr>
      <w:tr w:rsidR="00920C96" w:rsidRPr="00221BBA" w:rsidTr="008E5C90">
        <w:tblPrEx>
          <w:tblBorders>
            <w:top w:val="none" w:sz="0" w:space="0" w:color="auto"/>
            <w:bottom w:val="none" w:sz="0" w:space="0" w:color="auto"/>
          </w:tblBorders>
        </w:tblPrEx>
        <w:tc>
          <w:tcPr>
            <w:tcW w:w="4678" w:type="dxa"/>
            <w:gridSpan w:val="2"/>
            <w:tcBorders>
              <w:bottom w:val="single" w:sz="4" w:space="0" w:color="auto"/>
            </w:tcBorders>
            <w:shd w:val="clear" w:color="auto" w:fill="auto"/>
          </w:tcPr>
          <w:p w:rsidR="00920C96" w:rsidRPr="00221BBA" w:rsidRDefault="00920C96" w:rsidP="00920C96">
            <w:pPr>
              <w:suppressAutoHyphens w:val="0"/>
              <w:spacing w:before="40" w:after="40" w:line="220" w:lineRule="exact"/>
              <w:rPr>
                <w:sz w:val="18"/>
              </w:rPr>
            </w:pPr>
            <w:r w:rsidRPr="00221BBA">
              <w:rPr>
                <w:b/>
                <w:bCs/>
                <w:sz w:val="18"/>
              </w:rPr>
              <w:t>VI. Activités et ressources en personnel</w:t>
            </w:r>
          </w:p>
        </w:tc>
        <w:tc>
          <w:tcPr>
            <w:tcW w:w="1276" w:type="dxa"/>
            <w:tcBorders>
              <w:bottom w:val="single" w:sz="4" w:space="0" w:color="auto"/>
            </w:tcBorders>
            <w:shd w:val="clear" w:color="auto" w:fill="auto"/>
            <w:vAlign w:val="bottom"/>
          </w:tcPr>
          <w:p w:rsidR="00920C96" w:rsidRPr="00221BBA" w:rsidRDefault="00920C96" w:rsidP="00920C96">
            <w:pPr>
              <w:suppressAutoHyphens w:val="0"/>
              <w:spacing w:before="40" w:after="40" w:line="220" w:lineRule="exact"/>
              <w:jc w:val="right"/>
              <w:rPr>
                <w:b/>
                <w:bCs/>
                <w:sz w:val="18"/>
              </w:rPr>
            </w:pPr>
          </w:p>
          <w:p w:rsidR="00920C96" w:rsidRPr="00221BBA" w:rsidRDefault="00920C96" w:rsidP="00920C96">
            <w:pPr>
              <w:suppressAutoHyphens w:val="0"/>
              <w:spacing w:before="40" w:after="40" w:line="220" w:lineRule="exact"/>
              <w:jc w:val="right"/>
              <w:rPr>
                <w:b/>
                <w:bCs/>
                <w:sz w:val="18"/>
              </w:rPr>
            </w:pPr>
            <w:r w:rsidRPr="00221BBA">
              <w:rPr>
                <w:b/>
                <w:bCs/>
                <w:sz w:val="18"/>
              </w:rPr>
              <w:t>950 000</w:t>
            </w:r>
          </w:p>
        </w:tc>
        <w:tc>
          <w:tcPr>
            <w:tcW w:w="708" w:type="dxa"/>
            <w:tcBorders>
              <w:bottom w:val="single" w:sz="4" w:space="0" w:color="auto"/>
            </w:tcBorders>
            <w:shd w:val="clear" w:color="auto" w:fill="auto"/>
            <w:vAlign w:val="bottom"/>
          </w:tcPr>
          <w:p w:rsidR="00920C96" w:rsidRPr="00221BBA" w:rsidRDefault="00920C96" w:rsidP="00920C96">
            <w:pPr>
              <w:suppressAutoHyphens w:val="0"/>
              <w:spacing w:before="40" w:after="40" w:line="220" w:lineRule="exact"/>
              <w:jc w:val="right"/>
              <w:rPr>
                <w:b/>
                <w:bCs/>
                <w:sz w:val="18"/>
              </w:rPr>
            </w:pPr>
            <w:r w:rsidRPr="00221BBA">
              <w:rPr>
                <w:b/>
                <w:bCs/>
                <w:sz w:val="18"/>
              </w:rPr>
              <w:t>31,5</w:t>
            </w:r>
          </w:p>
          <w:p w:rsidR="00920C96" w:rsidRPr="00221BBA" w:rsidRDefault="00920C96" w:rsidP="00920C96">
            <w:pPr>
              <w:suppressAutoHyphens w:val="0"/>
              <w:spacing w:before="40" w:after="40" w:line="220" w:lineRule="exact"/>
              <w:jc w:val="right"/>
              <w:rPr>
                <w:b/>
                <w:bCs/>
                <w:sz w:val="18"/>
              </w:rPr>
            </w:pPr>
            <w:r w:rsidRPr="00221BBA">
              <w:rPr>
                <w:sz w:val="18"/>
              </w:rPr>
              <w:t>(</w:t>
            </w:r>
            <w:r w:rsidRPr="00221BBA">
              <w:rPr>
                <w:b/>
                <w:bCs/>
                <w:sz w:val="18"/>
              </w:rPr>
              <w:t>610 000</w:t>
            </w:r>
            <w:r w:rsidRPr="00221BBA">
              <w:rPr>
                <w:sz w:val="18"/>
              </w:rPr>
              <w:t xml:space="preserve"> </w:t>
            </w:r>
            <w:r w:rsidRPr="00221BBA">
              <w:rPr>
                <w:b/>
                <w:sz w:val="18"/>
              </w:rPr>
              <w:t>dollars</w:t>
            </w:r>
            <w:r w:rsidRPr="00221BBA">
              <w:rPr>
                <w:b/>
                <w:bCs/>
                <w:sz w:val="18"/>
              </w:rPr>
              <w:t>)</w:t>
            </w:r>
          </w:p>
        </w:tc>
        <w:tc>
          <w:tcPr>
            <w:tcW w:w="708" w:type="dxa"/>
            <w:tcBorders>
              <w:bottom w:val="single" w:sz="4" w:space="0" w:color="auto"/>
            </w:tcBorders>
            <w:shd w:val="clear" w:color="auto" w:fill="auto"/>
            <w:vAlign w:val="bottom"/>
          </w:tcPr>
          <w:p w:rsidR="00920C96" w:rsidRPr="00221BBA" w:rsidRDefault="00920C96" w:rsidP="00920C96">
            <w:pPr>
              <w:suppressAutoHyphens w:val="0"/>
              <w:spacing w:before="40" w:after="40" w:line="220" w:lineRule="exact"/>
              <w:jc w:val="right"/>
              <w:rPr>
                <w:b/>
                <w:bCs/>
                <w:sz w:val="18"/>
              </w:rPr>
            </w:pPr>
            <w:r w:rsidRPr="00221BBA">
              <w:rPr>
                <w:b/>
                <w:bCs/>
                <w:sz w:val="18"/>
              </w:rPr>
              <w:t>31,5</w:t>
            </w:r>
          </w:p>
          <w:p w:rsidR="00920C96" w:rsidRPr="00221BBA" w:rsidRDefault="00920C96" w:rsidP="00920C96">
            <w:pPr>
              <w:suppressAutoHyphens w:val="0"/>
              <w:spacing w:before="40" w:after="40" w:line="220" w:lineRule="exact"/>
              <w:jc w:val="right"/>
              <w:rPr>
                <w:b/>
                <w:bCs/>
                <w:sz w:val="18"/>
              </w:rPr>
            </w:pPr>
            <w:r w:rsidRPr="00221BBA">
              <w:rPr>
                <w:sz w:val="18"/>
              </w:rPr>
              <w:t xml:space="preserve"> (</w:t>
            </w:r>
            <w:r w:rsidRPr="00221BBA">
              <w:rPr>
                <w:b/>
                <w:bCs/>
                <w:sz w:val="18"/>
              </w:rPr>
              <w:t>330 000</w:t>
            </w:r>
            <w:r w:rsidRPr="00221BBA">
              <w:rPr>
                <w:sz w:val="18"/>
              </w:rPr>
              <w:t xml:space="preserve"> </w:t>
            </w:r>
            <w:r w:rsidRPr="00221BBA">
              <w:rPr>
                <w:b/>
                <w:sz w:val="18"/>
              </w:rPr>
              <w:t>dollars</w:t>
            </w:r>
            <w:r w:rsidRPr="00221BBA">
              <w:rPr>
                <w:b/>
                <w:bCs/>
                <w:sz w:val="18"/>
              </w:rPr>
              <w:t>)</w:t>
            </w:r>
          </w:p>
        </w:tc>
      </w:tr>
      <w:tr w:rsidR="00920C96" w:rsidRPr="00221BBA" w:rsidTr="00B62F0B">
        <w:tblPrEx>
          <w:tblBorders>
            <w:top w:val="none" w:sz="0" w:space="0" w:color="auto"/>
            <w:bottom w:val="none" w:sz="0" w:space="0" w:color="auto"/>
          </w:tblBorders>
        </w:tblPrEx>
        <w:tc>
          <w:tcPr>
            <w:tcW w:w="7370" w:type="dxa"/>
            <w:gridSpan w:val="5"/>
            <w:tcBorders>
              <w:top w:val="single" w:sz="4" w:space="0" w:color="auto"/>
              <w:bottom w:val="single" w:sz="4" w:space="0" w:color="auto"/>
            </w:tcBorders>
            <w:shd w:val="clear" w:color="auto" w:fill="auto"/>
          </w:tcPr>
          <w:p w:rsidR="00920C96" w:rsidRPr="00221BBA" w:rsidRDefault="00920C96" w:rsidP="00920C96">
            <w:pPr>
              <w:suppressAutoHyphens w:val="0"/>
              <w:spacing w:before="80" w:after="80" w:line="220" w:lineRule="exact"/>
              <w:ind w:left="283"/>
              <w:rPr>
                <w:b/>
                <w:sz w:val="18"/>
              </w:rPr>
            </w:pPr>
            <w:r w:rsidRPr="00221BBA">
              <w:rPr>
                <w:b/>
                <w:bCs/>
                <w:sz w:val="18"/>
              </w:rPr>
              <w:t>Total partiel VI</w:t>
            </w:r>
            <w:r w:rsidRPr="005628B1">
              <w:rPr>
                <w:bCs/>
                <w:sz w:val="18"/>
              </w:rPr>
              <w:t> :</w:t>
            </w:r>
            <w:r w:rsidRPr="00221BBA">
              <w:rPr>
                <w:b/>
                <w:sz w:val="18"/>
              </w:rPr>
              <w:t xml:space="preserve"> </w:t>
            </w:r>
            <w:r w:rsidRPr="00221BBA">
              <w:rPr>
                <w:b/>
                <w:bCs/>
                <w:sz w:val="18"/>
              </w:rPr>
              <w:t>1 890 000 + frais généraux (245 700) = 2 135 700</w:t>
            </w:r>
          </w:p>
        </w:tc>
      </w:tr>
      <w:tr w:rsidR="00920C96" w:rsidRPr="00221BBA" w:rsidTr="00B62F0B">
        <w:tblPrEx>
          <w:tblBorders>
            <w:top w:val="none" w:sz="0" w:space="0" w:color="auto"/>
            <w:bottom w:val="none" w:sz="0" w:space="0" w:color="auto"/>
          </w:tblBorders>
        </w:tblPrEx>
        <w:tc>
          <w:tcPr>
            <w:tcW w:w="7370" w:type="dxa"/>
            <w:gridSpan w:val="5"/>
            <w:tcBorders>
              <w:top w:val="single" w:sz="4" w:space="0" w:color="auto"/>
              <w:bottom w:val="single" w:sz="12" w:space="0" w:color="auto"/>
            </w:tcBorders>
            <w:shd w:val="clear" w:color="auto" w:fill="auto"/>
          </w:tcPr>
          <w:p w:rsidR="00920C96" w:rsidRPr="00221BBA" w:rsidRDefault="00920C96" w:rsidP="00920C96">
            <w:pPr>
              <w:suppressAutoHyphens w:val="0"/>
              <w:spacing w:before="80" w:after="80" w:line="220" w:lineRule="exact"/>
              <w:ind w:left="283"/>
              <w:rPr>
                <w:b/>
                <w:bCs/>
                <w:sz w:val="18"/>
              </w:rPr>
            </w:pPr>
            <w:r w:rsidRPr="00221BBA">
              <w:rPr>
                <w:b/>
                <w:sz w:val="18"/>
              </w:rPr>
              <w:t>Total III, V et VI</w:t>
            </w:r>
            <w:r w:rsidRPr="00221BBA">
              <w:rPr>
                <w:b/>
                <w:bCs/>
                <w:sz w:val="18"/>
              </w:rPr>
              <w:t xml:space="preserve"> </w:t>
            </w:r>
            <w:r w:rsidRPr="00221BBA">
              <w:rPr>
                <w:b/>
                <w:sz w:val="18"/>
              </w:rPr>
              <w:t>= 4 938 100</w:t>
            </w:r>
          </w:p>
        </w:tc>
      </w:tr>
    </w:tbl>
    <w:p w:rsidR="00F11985" w:rsidRPr="00356B95" w:rsidRDefault="00F11985" w:rsidP="00356B95">
      <w:pPr>
        <w:pStyle w:val="SingleTxtG"/>
        <w:spacing w:after="0" w:line="200" w:lineRule="atLeast"/>
        <w:ind w:firstLine="170"/>
        <w:jc w:val="left"/>
        <w:rPr>
          <w:sz w:val="18"/>
          <w:szCs w:val="18"/>
        </w:rPr>
      </w:pPr>
      <w:r w:rsidRPr="00356B95">
        <w:rPr>
          <w:i/>
          <w:sz w:val="18"/>
          <w:szCs w:val="18"/>
        </w:rPr>
        <w:t>Abréviations</w:t>
      </w:r>
      <w:r w:rsidR="005628B1" w:rsidRPr="005628B1">
        <w:rPr>
          <w:sz w:val="18"/>
          <w:szCs w:val="18"/>
        </w:rPr>
        <w:t> :</w:t>
      </w:r>
      <w:r w:rsidRPr="00356B95">
        <w:rPr>
          <w:sz w:val="18"/>
          <w:szCs w:val="18"/>
        </w:rPr>
        <w:t xml:space="preserve"> G = agent des services généraux</w:t>
      </w:r>
      <w:r w:rsidR="005D58ED" w:rsidRPr="00356B95">
        <w:rPr>
          <w:sz w:val="18"/>
          <w:szCs w:val="18"/>
        </w:rPr>
        <w:t> ;</w:t>
      </w:r>
      <w:r w:rsidRPr="00356B95">
        <w:rPr>
          <w:sz w:val="18"/>
          <w:szCs w:val="18"/>
        </w:rPr>
        <w:t xml:space="preserve"> P = administrateur</w:t>
      </w:r>
      <w:r w:rsidR="005D58ED" w:rsidRPr="00356B95">
        <w:rPr>
          <w:sz w:val="18"/>
          <w:szCs w:val="18"/>
        </w:rPr>
        <w:t> ;</w:t>
      </w:r>
      <w:r w:rsidRPr="00356B95">
        <w:rPr>
          <w:sz w:val="18"/>
          <w:szCs w:val="18"/>
        </w:rPr>
        <w:t xml:space="preserve"> Accord de Bucarest = Accord multilatéral entre les pays d’Europe du Sud-Est pour l’application de la Convention sur l’évaluation de l’impact sur l’environnement dans un contexte transfrontière.</w:t>
      </w:r>
    </w:p>
    <w:p w:rsidR="00F11985" w:rsidRPr="008E5C90" w:rsidRDefault="00F11985" w:rsidP="00356B95">
      <w:pPr>
        <w:pStyle w:val="SingleTxtG"/>
        <w:spacing w:after="0" w:line="200" w:lineRule="atLeast"/>
        <w:ind w:firstLine="170"/>
        <w:jc w:val="left"/>
        <w:rPr>
          <w:spacing w:val="-2"/>
          <w:sz w:val="18"/>
          <w:szCs w:val="18"/>
        </w:rPr>
      </w:pPr>
      <w:r w:rsidRPr="008E5C90">
        <w:rPr>
          <w:i/>
          <w:spacing w:val="-2"/>
          <w:sz w:val="18"/>
          <w:szCs w:val="18"/>
        </w:rPr>
        <w:t>Note</w:t>
      </w:r>
      <w:r w:rsidR="005628B1" w:rsidRPr="008E5C90">
        <w:rPr>
          <w:spacing w:val="-2"/>
          <w:sz w:val="18"/>
          <w:szCs w:val="18"/>
        </w:rPr>
        <w:t> :</w:t>
      </w:r>
      <w:r w:rsidRPr="008E5C90">
        <w:rPr>
          <w:spacing w:val="-2"/>
          <w:sz w:val="18"/>
          <w:szCs w:val="18"/>
        </w:rPr>
        <w:t xml:space="preserve"> Un poste (d’administrateur ou d’agent des services généraux) équivaut à 10,5 mois de travail par an, ou 31,5 mois de travail par période triennale par membre du personnel. L’estimation des frais au titre des ressources en personnel est calculée sur la base des taux standards de l’ONU, y compris la rémunération nette, les taxes et les dépenses communes de personnel, ainsi que les dépenses obligatoires pour les locaux à usage de bureaux, l’équipement informatique, la communication et la formation.</w:t>
      </w:r>
    </w:p>
    <w:p w:rsidR="00F11985" w:rsidRPr="00221BBA" w:rsidRDefault="00F11985" w:rsidP="005D58ED">
      <w:pPr>
        <w:pStyle w:val="HChG"/>
      </w:pPr>
      <w:r w:rsidRPr="00221BBA">
        <w:rPr>
          <w:bCs/>
        </w:rPr>
        <w:br w:type="page"/>
      </w:r>
      <w:r w:rsidRPr="00221BBA">
        <w:lastRenderedPageBreak/>
        <w:tab/>
      </w:r>
      <w:r w:rsidRPr="00221BBA">
        <w:tab/>
        <w:t>Décision VIII/3</w:t>
      </w:r>
      <w:r w:rsidR="005E6839" w:rsidRPr="00221BBA">
        <w:t>-</w:t>
      </w:r>
      <w:r w:rsidRPr="00221BBA">
        <w:t>IV/3</w:t>
      </w:r>
    </w:p>
    <w:p w:rsidR="00F11985" w:rsidRPr="00221BBA" w:rsidRDefault="00F11985" w:rsidP="005D58ED">
      <w:pPr>
        <w:pStyle w:val="HChG"/>
      </w:pPr>
      <w:r w:rsidRPr="00221BBA">
        <w:tab/>
      </w:r>
      <w:r w:rsidRPr="00221BBA">
        <w:tab/>
        <w:t>La stratégie et le plan d’action à long terme pour l</w:t>
      </w:r>
      <w:r w:rsidR="005628B1">
        <w:t>a </w:t>
      </w:r>
      <w:r w:rsidRPr="00221BBA">
        <w:t>Convention et le Protocole</w:t>
      </w:r>
    </w:p>
    <w:p w:rsidR="00F11985" w:rsidRPr="00221BBA" w:rsidRDefault="00F11985" w:rsidP="005D58ED">
      <w:pPr>
        <w:pStyle w:val="SingleTxtG"/>
        <w:ind w:firstLine="567"/>
        <w:rPr>
          <w:iCs/>
        </w:rPr>
      </w:pPr>
      <w:r w:rsidRPr="00221BBA">
        <w:rPr>
          <w:i/>
        </w:rPr>
        <w:t>La Réunion des Parties à la Convention et la Réunion des Parties à la Convention agissant comme réunion des Parties au Protocole (Réunion des Parties au Protocole), réunies en session conjointe</w:t>
      </w:r>
      <w:r w:rsidRPr="00221BBA">
        <w:t>,</w:t>
      </w:r>
    </w:p>
    <w:p w:rsidR="00F11985" w:rsidRPr="00221BBA" w:rsidRDefault="00F11985" w:rsidP="005D58ED">
      <w:pPr>
        <w:pStyle w:val="SingleTxtG"/>
        <w:ind w:firstLine="567"/>
        <w:rPr>
          <w:iCs/>
        </w:rPr>
      </w:pPr>
      <w:r w:rsidRPr="00221BBA">
        <w:rPr>
          <w:i/>
        </w:rPr>
        <w:t xml:space="preserve">Rappelant </w:t>
      </w:r>
      <w:r w:rsidRPr="00221BBA">
        <w:t>leur décision VII/7-III/6 relative à l’élaboration d’une stratégie et d’un plan d’action pour l’application future de la Convention et du Protocole,</w:t>
      </w:r>
    </w:p>
    <w:p w:rsidR="00F11985" w:rsidRPr="00221BBA" w:rsidRDefault="00F11985" w:rsidP="005D58ED">
      <w:pPr>
        <w:pStyle w:val="SingleTxtG"/>
        <w:ind w:firstLine="567"/>
        <w:rPr>
          <w:iCs/>
        </w:rPr>
      </w:pPr>
      <w:r w:rsidRPr="00221BBA">
        <w:rPr>
          <w:i/>
        </w:rPr>
        <w:t xml:space="preserve">Reconnaissant </w:t>
      </w:r>
      <w:r w:rsidRPr="00221BBA">
        <w:t>l’importance de la stratégie et du plan d’action à long terme pour orienter les travaux et les priorités dans le cadre de la Convention et du Protocole</w:t>
      </w:r>
      <w:r w:rsidRPr="00221BBA">
        <w:rPr>
          <w:iCs/>
        </w:rPr>
        <w:t>,</w:t>
      </w:r>
    </w:p>
    <w:p w:rsidR="00F11985" w:rsidRPr="00221BBA" w:rsidRDefault="00F11985" w:rsidP="005D58ED">
      <w:pPr>
        <w:pStyle w:val="SingleTxtG"/>
        <w:ind w:firstLine="567"/>
        <w:rPr>
          <w:iCs/>
        </w:rPr>
      </w:pPr>
      <w:r w:rsidRPr="00221BBA">
        <w:rPr>
          <w:i/>
        </w:rPr>
        <w:t xml:space="preserve">Conscientes </w:t>
      </w:r>
      <w:r w:rsidRPr="00221BBA">
        <w:t>de la nécessité de disposer de ressources suffisantes pour leur application</w:t>
      </w:r>
      <w:r w:rsidRPr="00221BBA">
        <w:rPr>
          <w:iCs/>
        </w:rPr>
        <w:t>,</w:t>
      </w:r>
    </w:p>
    <w:p w:rsidR="00F11985" w:rsidRPr="00221BBA" w:rsidRDefault="00F11985" w:rsidP="005D58ED">
      <w:pPr>
        <w:pStyle w:val="SingleTxtG"/>
        <w:ind w:firstLine="567"/>
        <w:rPr>
          <w:iCs/>
        </w:rPr>
      </w:pPr>
      <w:r w:rsidRPr="00221BBA">
        <w:rPr>
          <w:iCs/>
        </w:rPr>
        <w:t>1.</w:t>
      </w:r>
      <w:r w:rsidRPr="00221BBA">
        <w:rPr>
          <w:iCs/>
        </w:rPr>
        <w:tab/>
      </w:r>
      <w:r w:rsidRPr="00221BBA">
        <w:rPr>
          <w:i/>
        </w:rPr>
        <w:t xml:space="preserve">Se félicitent </w:t>
      </w:r>
      <w:r w:rsidRPr="00221BBA">
        <w:t>de l’élaboration du projet de stratégie à long terme par des Parties qui se sont portées volontaires à cet effet dans le cadre de consultations informelles coprésidées par les Pays-Bas, initialement avec le concours de l’Autriche, puis avec celui de la Pologne, avec l’appui du secrétariat</w:t>
      </w:r>
      <w:r w:rsidR="005D58ED" w:rsidRPr="00221BBA">
        <w:rPr>
          <w:iCs/>
        </w:rPr>
        <w:t> ;</w:t>
      </w:r>
    </w:p>
    <w:p w:rsidR="00F11985" w:rsidRPr="00221BBA" w:rsidRDefault="00F11985" w:rsidP="005D58ED">
      <w:pPr>
        <w:pStyle w:val="SingleTxtG"/>
        <w:ind w:firstLine="567"/>
        <w:rPr>
          <w:iCs/>
        </w:rPr>
      </w:pPr>
      <w:r w:rsidRPr="00221BBA">
        <w:rPr>
          <w:iCs/>
        </w:rPr>
        <w:t>2.</w:t>
      </w:r>
      <w:r w:rsidRPr="00221BBA">
        <w:rPr>
          <w:iCs/>
        </w:rPr>
        <w:tab/>
      </w:r>
      <w:r w:rsidRPr="00221BBA">
        <w:rPr>
          <w:i/>
        </w:rPr>
        <w:t>Adoptent</w:t>
      </w:r>
      <w:r w:rsidRPr="00221BBA">
        <w:rPr>
          <w:iCs/>
        </w:rPr>
        <w:t xml:space="preserve"> </w:t>
      </w:r>
      <w:r w:rsidRPr="00221BBA">
        <w:t xml:space="preserve">la stratégie et le plan d’action à long terme, tels qu’ils figurent dans le </w:t>
      </w:r>
      <w:r w:rsidRPr="00221BBA">
        <w:rPr>
          <w:iCs/>
        </w:rPr>
        <w:t>document [(ECE/MP.EIA/2020/[3]</w:t>
      </w:r>
      <w:r w:rsidR="005E6839" w:rsidRPr="00221BBA">
        <w:rPr>
          <w:iCs/>
        </w:rPr>
        <w:t>-</w:t>
      </w:r>
      <w:r w:rsidRPr="00221BBA">
        <w:rPr>
          <w:iCs/>
        </w:rPr>
        <w:t>ECE/MP.EIA/SEA/2020/[3])]</w:t>
      </w:r>
      <w:r w:rsidR="005D58ED" w:rsidRPr="00221BBA">
        <w:rPr>
          <w:iCs/>
        </w:rPr>
        <w:t> ;</w:t>
      </w:r>
    </w:p>
    <w:p w:rsidR="00F11985" w:rsidRPr="00221BBA" w:rsidRDefault="00F11985" w:rsidP="005D58ED">
      <w:pPr>
        <w:pStyle w:val="SingleTxtG"/>
        <w:ind w:firstLine="567"/>
      </w:pPr>
      <w:r w:rsidRPr="00221BBA">
        <w:t>3.</w:t>
      </w:r>
      <w:r w:rsidRPr="00221BBA">
        <w:tab/>
      </w:r>
      <w:r w:rsidRPr="00221BBA">
        <w:rPr>
          <w:i/>
        </w:rPr>
        <w:t>Décident</w:t>
      </w:r>
      <w:r w:rsidRPr="00221BBA">
        <w:t xml:space="preserve"> que la stratégie et du plan d’action à long terme seront mis en œuvre par les mesures inscrites dans les plans de travail et par les décisions des Réunions des Parties</w:t>
      </w:r>
      <w:r w:rsidR="005D58ED" w:rsidRPr="00221BBA">
        <w:t> ;</w:t>
      </w:r>
    </w:p>
    <w:p w:rsidR="00F11985" w:rsidRPr="00221BBA" w:rsidRDefault="00F11985" w:rsidP="005D58ED">
      <w:pPr>
        <w:pStyle w:val="SingleTxtG"/>
        <w:ind w:firstLine="567"/>
      </w:pPr>
      <w:r w:rsidRPr="00221BBA">
        <w:t>4.</w:t>
      </w:r>
      <w:r w:rsidRPr="00221BBA">
        <w:tab/>
      </w:r>
      <w:r w:rsidRPr="00221BBA">
        <w:rPr>
          <w:i/>
        </w:rPr>
        <w:t xml:space="preserve">Conviennent </w:t>
      </w:r>
      <w:r w:rsidRPr="00221BBA">
        <w:t>de mettre tout en œuvre pour financer l’exécution des mesures</w:t>
      </w:r>
      <w:r w:rsidR="005D58ED" w:rsidRPr="00221BBA">
        <w:t> ;</w:t>
      </w:r>
    </w:p>
    <w:p w:rsidR="00F11985" w:rsidRPr="00221BBA" w:rsidRDefault="00F11985" w:rsidP="005D58ED">
      <w:pPr>
        <w:pStyle w:val="SingleTxtG"/>
        <w:ind w:firstLine="567"/>
      </w:pPr>
      <w:r w:rsidRPr="00221BBA">
        <w:t>5.</w:t>
      </w:r>
      <w:r w:rsidRPr="00221BBA">
        <w:tab/>
      </w:r>
      <w:r w:rsidRPr="00221BBA">
        <w:rPr>
          <w:i/>
        </w:rPr>
        <w:t>Décident</w:t>
      </w:r>
      <w:r w:rsidRPr="00221BBA">
        <w:t xml:space="preserve"> d’évaluer régulièrement les progrès accomplis en ce qui concerne la réalisation de la stratégie et du plan d’action à long terme</w:t>
      </w:r>
      <w:r w:rsidR="005D58ED" w:rsidRPr="00221BBA">
        <w:t> ;</w:t>
      </w:r>
    </w:p>
    <w:p w:rsidR="00F11985" w:rsidRPr="00221BBA" w:rsidRDefault="00F11985" w:rsidP="005D58ED">
      <w:pPr>
        <w:pStyle w:val="SingleTxtG"/>
        <w:ind w:firstLine="567"/>
      </w:pPr>
      <w:r w:rsidRPr="00221BBA">
        <w:t>6.</w:t>
      </w:r>
      <w:r w:rsidRPr="00221BBA">
        <w:tab/>
      </w:r>
      <w:r w:rsidRPr="00221BBA">
        <w:rPr>
          <w:i/>
        </w:rPr>
        <w:t>Décident également</w:t>
      </w:r>
      <w:r w:rsidRPr="00221BBA">
        <w:t xml:space="preserve"> de passer en revue et, au besoin, d’ajuster les buts stratégiques et les objectifs prioritaires en 2030.</w:t>
      </w:r>
    </w:p>
    <w:p w:rsidR="005F26E5" w:rsidRPr="00221BBA" w:rsidRDefault="000D0B9F" w:rsidP="000D0B9F">
      <w:pPr>
        <w:pStyle w:val="SingleTxtG"/>
        <w:spacing w:before="240" w:after="0"/>
        <w:jc w:val="center"/>
        <w:rPr>
          <w:u w:val="single"/>
        </w:rPr>
      </w:pPr>
      <w:r w:rsidRPr="00221BBA">
        <w:rPr>
          <w:u w:val="single"/>
        </w:rPr>
        <w:tab/>
      </w:r>
      <w:r w:rsidRPr="00221BBA">
        <w:rPr>
          <w:u w:val="single"/>
        </w:rPr>
        <w:tab/>
      </w:r>
      <w:r w:rsidRPr="00221BBA">
        <w:rPr>
          <w:u w:val="single"/>
        </w:rPr>
        <w:tab/>
      </w:r>
    </w:p>
    <w:sectPr w:rsidR="005F26E5" w:rsidRPr="00221BBA" w:rsidSect="00B90E5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5B10" w:rsidRDefault="000E5B10" w:rsidP="00F95C08">
      <w:pPr>
        <w:spacing w:line="240" w:lineRule="auto"/>
      </w:pPr>
    </w:p>
  </w:endnote>
  <w:endnote w:type="continuationSeparator" w:id="0">
    <w:p w:rsidR="000E5B10" w:rsidRPr="00AC3823" w:rsidRDefault="000E5B10" w:rsidP="00AC3823">
      <w:pPr>
        <w:pStyle w:val="Footer"/>
      </w:pPr>
    </w:p>
  </w:endnote>
  <w:endnote w:type="continuationNotice" w:id="1">
    <w:p w:rsidR="000E5B10" w:rsidRDefault="000E5B1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B10" w:rsidRPr="00B90E55" w:rsidRDefault="000E5B10" w:rsidP="00B90E55">
    <w:pPr>
      <w:pStyle w:val="Footer"/>
      <w:tabs>
        <w:tab w:val="right" w:pos="9638"/>
      </w:tabs>
    </w:pPr>
    <w:r w:rsidRPr="00B90E55">
      <w:rPr>
        <w:b/>
        <w:sz w:val="18"/>
      </w:rPr>
      <w:fldChar w:fldCharType="begin"/>
    </w:r>
    <w:r w:rsidRPr="00B90E55">
      <w:rPr>
        <w:b/>
        <w:sz w:val="18"/>
      </w:rPr>
      <w:instrText xml:space="preserve"> PAGE  \* MERGEFORMAT </w:instrText>
    </w:r>
    <w:r w:rsidRPr="00B90E55">
      <w:rPr>
        <w:b/>
        <w:sz w:val="18"/>
      </w:rPr>
      <w:fldChar w:fldCharType="separate"/>
    </w:r>
    <w:r w:rsidRPr="00B90E55">
      <w:rPr>
        <w:b/>
        <w:noProof/>
        <w:sz w:val="18"/>
      </w:rPr>
      <w:t>2</w:t>
    </w:r>
    <w:r w:rsidRPr="00B90E55">
      <w:rPr>
        <w:b/>
        <w:sz w:val="18"/>
      </w:rPr>
      <w:fldChar w:fldCharType="end"/>
    </w:r>
    <w:r>
      <w:rPr>
        <w:b/>
        <w:sz w:val="18"/>
      </w:rPr>
      <w:tab/>
    </w:r>
    <w:r>
      <w:t>GE.20-04571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B10" w:rsidRPr="00B90E55" w:rsidRDefault="000E5B10" w:rsidP="00B90E55">
    <w:pPr>
      <w:pStyle w:val="Footer"/>
      <w:tabs>
        <w:tab w:val="right" w:pos="9638"/>
      </w:tabs>
      <w:rPr>
        <w:b/>
        <w:sz w:val="18"/>
      </w:rPr>
    </w:pPr>
    <w:r>
      <w:t>GE.20-04571</w:t>
    </w:r>
    <w:r>
      <w:tab/>
    </w:r>
    <w:r w:rsidRPr="00B90E55">
      <w:rPr>
        <w:b/>
        <w:sz w:val="18"/>
      </w:rPr>
      <w:fldChar w:fldCharType="begin"/>
    </w:r>
    <w:r w:rsidRPr="00B90E55">
      <w:rPr>
        <w:b/>
        <w:sz w:val="18"/>
      </w:rPr>
      <w:instrText xml:space="preserve"> PAGE  \* MERGEFORMAT </w:instrText>
    </w:r>
    <w:r w:rsidRPr="00B90E55">
      <w:rPr>
        <w:b/>
        <w:sz w:val="18"/>
      </w:rPr>
      <w:fldChar w:fldCharType="separate"/>
    </w:r>
    <w:r w:rsidRPr="00B90E55">
      <w:rPr>
        <w:b/>
        <w:noProof/>
        <w:sz w:val="18"/>
      </w:rPr>
      <w:t>3</w:t>
    </w:r>
    <w:r w:rsidRPr="00B90E5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B10" w:rsidRPr="00B90E55" w:rsidRDefault="000E5B10" w:rsidP="00B90E55">
    <w:pPr>
      <w:pStyle w:val="Footer"/>
      <w:spacing w:before="120"/>
      <w:rPr>
        <w:sz w:val="20"/>
      </w:rPr>
    </w:pPr>
    <w:r>
      <w:rPr>
        <w:sz w:val="20"/>
      </w:rPr>
      <w:t>GE.</w:t>
    </w:r>
    <w:r>
      <w:rPr>
        <w:noProof/>
        <w:lang w:eastAsia="fr-CH"/>
      </w:rPr>
      <w:drawing>
        <wp:anchor distT="0" distB="0" distL="114300" distR="114300" simplePos="0" relativeHeight="251660288" behindDoc="0" locked="0" layoutInCell="1" allowOverlap="0" wp14:anchorId="1A4095E7" wp14:editId="3AC373E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20-04571  (F)    140420    150420</w:t>
    </w:r>
    <w:r>
      <w:rPr>
        <w:sz w:val="20"/>
      </w:rPr>
      <w:br/>
    </w:r>
    <w:r w:rsidRPr="00B90E55">
      <w:rPr>
        <w:rFonts w:ascii="C39T30Lfz" w:hAnsi="C39T30Lfz"/>
        <w:sz w:val="56"/>
      </w:rPr>
      <w:t></w:t>
    </w:r>
    <w:r w:rsidRPr="00B90E55">
      <w:rPr>
        <w:rFonts w:ascii="C39T30Lfz" w:hAnsi="C39T30Lfz"/>
        <w:sz w:val="56"/>
      </w:rPr>
      <w:t></w:t>
    </w:r>
    <w:r w:rsidRPr="00B90E55">
      <w:rPr>
        <w:rFonts w:ascii="C39T30Lfz" w:hAnsi="C39T30Lfz"/>
        <w:sz w:val="56"/>
      </w:rPr>
      <w:t></w:t>
    </w:r>
    <w:r w:rsidRPr="00B90E55">
      <w:rPr>
        <w:rFonts w:ascii="C39T30Lfz" w:hAnsi="C39T30Lfz"/>
        <w:sz w:val="56"/>
      </w:rPr>
      <w:t></w:t>
    </w:r>
    <w:r w:rsidRPr="00B90E55">
      <w:rPr>
        <w:rFonts w:ascii="C39T30Lfz" w:hAnsi="C39T30Lfz"/>
        <w:sz w:val="56"/>
      </w:rPr>
      <w:t></w:t>
    </w:r>
    <w:r w:rsidRPr="00B90E55">
      <w:rPr>
        <w:rFonts w:ascii="C39T30Lfz" w:hAnsi="C39T30Lfz"/>
        <w:sz w:val="56"/>
      </w:rPr>
      <w:t></w:t>
    </w:r>
    <w:r w:rsidRPr="00B90E55">
      <w:rPr>
        <w:rFonts w:ascii="C39T30Lfz" w:hAnsi="C39T30Lfz"/>
        <w:sz w:val="56"/>
      </w:rPr>
      <w:t></w:t>
    </w:r>
    <w:r w:rsidRPr="00B90E55">
      <w:rPr>
        <w:rFonts w:ascii="C39T30Lfz" w:hAnsi="C39T30Lfz"/>
        <w:sz w:val="56"/>
      </w:rPr>
      <w:t></w:t>
    </w:r>
    <w:r w:rsidRPr="00B90E55">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MP.EIA/WG.2/2020/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MP.EIA/WG.2/2020/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5B10" w:rsidRPr="00AC3823" w:rsidRDefault="000E5B10" w:rsidP="00AC3823">
      <w:pPr>
        <w:pStyle w:val="Footer"/>
        <w:tabs>
          <w:tab w:val="right" w:pos="2155"/>
        </w:tabs>
        <w:spacing w:after="80" w:line="240" w:lineRule="atLeast"/>
        <w:ind w:left="680"/>
        <w:rPr>
          <w:u w:val="single"/>
        </w:rPr>
      </w:pPr>
      <w:r>
        <w:rPr>
          <w:u w:val="single"/>
        </w:rPr>
        <w:tab/>
      </w:r>
    </w:p>
  </w:footnote>
  <w:footnote w:type="continuationSeparator" w:id="0">
    <w:p w:rsidR="000E5B10" w:rsidRPr="00AC3823" w:rsidRDefault="000E5B10" w:rsidP="00AC3823">
      <w:pPr>
        <w:pStyle w:val="Footer"/>
        <w:tabs>
          <w:tab w:val="right" w:pos="2155"/>
        </w:tabs>
        <w:spacing w:after="80" w:line="240" w:lineRule="atLeast"/>
        <w:ind w:left="680"/>
        <w:rPr>
          <w:u w:val="single"/>
        </w:rPr>
      </w:pPr>
      <w:r>
        <w:rPr>
          <w:u w:val="single"/>
        </w:rPr>
        <w:tab/>
      </w:r>
    </w:p>
  </w:footnote>
  <w:footnote w:type="continuationNotice" w:id="1">
    <w:p w:rsidR="000E5B10" w:rsidRPr="00AC3823" w:rsidRDefault="000E5B10">
      <w:pPr>
        <w:spacing w:line="240" w:lineRule="auto"/>
        <w:rPr>
          <w:sz w:val="2"/>
          <w:szCs w:val="2"/>
        </w:rPr>
      </w:pPr>
    </w:p>
  </w:footnote>
  <w:footnote w:id="2">
    <w:p w:rsidR="000E5B10" w:rsidRPr="007F409A" w:rsidRDefault="000E5B10" w:rsidP="00F11985">
      <w:pPr>
        <w:pStyle w:val="FootnoteText"/>
      </w:pPr>
      <w:r>
        <w:tab/>
      </w:r>
      <w:r w:rsidRPr="00F524CD">
        <w:rPr>
          <w:rStyle w:val="FootnoteReference"/>
        </w:rPr>
        <w:footnoteRef/>
      </w:r>
      <w:r w:rsidRPr="00C96340">
        <w:tab/>
        <w:t>Le barème des quotes-parts de l’ONU est adopté par l’Assemblée générale pour une période de trois ans. Il constitue la base de calcul des contributions des États Membres au budget ordinaire de l’ONU. En décembre 201</w:t>
      </w:r>
      <w:r>
        <w:t>8</w:t>
      </w:r>
      <w:r w:rsidRPr="00C96340">
        <w:t>, l’Assemblée générale a adopté la résolution 7</w:t>
      </w:r>
      <w:r>
        <w:t>3</w:t>
      </w:r>
      <w:r w:rsidRPr="00C96340">
        <w:t>/2</w:t>
      </w:r>
      <w:r>
        <w:t>71</w:t>
      </w:r>
      <w:r w:rsidRPr="00C96340">
        <w:t xml:space="preserve"> sur le barème des quotes-parts pour la répartition des dépenses de l’ONU pour la période 201</w:t>
      </w:r>
      <w:r>
        <w:t>9</w:t>
      </w:r>
      <w:r w:rsidRPr="00C96340">
        <w:t>-20</w:t>
      </w:r>
      <w:r>
        <w:t>2</w:t>
      </w:r>
      <w:r w:rsidRPr="00C96340">
        <w:t xml:space="preserve">1. </w:t>
      </w:r>
      <w:r w:rsidRPr="007F409A">
        <w:t>Ce barème est ajusté en f</w:t>
      </w:r>
      <w:r>
        <w:t>o</w:t>
      </w:r>
      <w:r w:rsidRPr="007F409A">
        <w:t>nction du nombre de Parties à</w:t>
      </w:r>
      <w:r>
        <w:t xml:space="preserve"> la</w:t>
      </w:r>
      <w:r w:rsidRPr="007F409A">
        <w:t xml:space="preserve"> Convention </w:t>
      </w:r>
      <w:r>
        <w:t>et au</w:t>
      </w:r>
      <w:r w:rsidRPr="007F409A">
        <w:t xml:space="preserve"> Protocol</w:t>
      </w:r>
      <w:r>
        <w:t>e.</w:t>
      </w:r>
    </w:p>
  </w:footnote>
  <w:footnote w:id="3">
    <w:p w:rsidR="000E5B10" w:rsidRPr="00B816A8" w:rsidRDefault="000E5B10" w:rsidP="00F11985">
      <w:pPr>
        <w:pStyle w:val="FootnoteText"/>
      </w:pPr>
      <w:r w:rsidRPr="007F409A">
        <w:tab/>
      </w:r>
      <w:r w:rsidRPr="00F524CD">
        <w:rPr>
          <w:rStyle w:val="FootnoteReference"/>
        </w:rPr>
        <w:footnoteRef/>
      </w:r>
      <w:r w:rsidRPr="007F16ED">
        <w:tab/>
        <w:t xml:space="preserve">Les ministères des affaires étrangères et les agences de coopération au service du développement pourraient être en mesure de financer </w:t>
      </w:r>
      <w:r>
        <w:t xml:space="preserve">les </w:t>
      </w:r>
      <w:r w:rsidRPr="002E324A">
        <w:t>activités de renforcement des capacités et les activités de communication</w:t>
      </w:r>
      <w:r>
        <w:t xml:space="preserve"> prévues </w:t>
      </w:r>
      <w:r w:rsidRPr="007F16ED">
        <w:t xml:space="preserve">dans </w:t>
      </w:r>
      <w:r>
        <w:t xml:space="preserve">le plan de travail </w:t>
      </w:r>
      <w:r w:rsidRPr="007F16ED">
        <w:t xml:space="preserve">dans les pays </w:t>
      </w:r>
      <w:r>
        <w:t xml:space="preserve">qui </w:t>
      </w:r>
      <w:r w:rsidRPr="007F16ED">
        <w:t>réuniss</w:t>
      </w:r>
      <w:r>
        <w:t>e</w:t>
      </w:r>
      <w:r w:rsidRPr="007F16ED">
        <w:t>nt les conditions requises pour bénéficier de l’aide publique au développement (APD). La liste de ces pays peut être consultée sur le site Web de l’Organisation de coopération et de développement économiques (OCDE), à l’adresse</w:t>
      </w:r>
      <w:r w:rsidRPr="005628B1">
        <w:t> :</w:t>
      </w:r>
      <w:r w:rsidRPr="007F16ED">
        <w:t xml:space="preserve"> </w:t>
      </w:r>
      <w:hyperlink r:id="rId1" w:history="1">
        <w:r w:rsidRPr="00D24881">
          <w:rPr>
            <w:rStyle w:val="Hyperlink"/>
          </w:rPr>
          <w:t>http://www.oecd.org/fr/cad/financementpourledeveloppementdurable/normes-financement-developpement/listecad.htm</w:t>
        </w:r>
      </w:hyperlink>
      <w:r>
        <w:t>.</w:t>
      </w:r>
    </w:p>
  </w:footnote>
  <w:footnote w:id="4">
    <w:p w:rsidR="000E5B10" w:rsidRPr="00736E1C" w:rsidRDefault="000E5B10" w:rsidP="00F11985">
      <w:pPr>
        <w:pStyle w:val="FootnoteText"/>
      </w:pPr>
      <w:r w:rsidRPr="00B816A8">
        <w:tab/>
      </w:r>
      <w:r w:rsidRPr="00F524CD">
        <w:rPr>
          <w:rStyle w:val="FootnoteReference"/>
        </w:rPr>
        <w:footnoteRef/>
      </w:r>
      <w:r w:rsidRPr="00736E1C">
        <w:tab/>
        <w:t>Publication des Nations Unies, ECE/MP.EIA/7.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B10" w:rsidRPr="00B90E55" w:rsidRDefault="00904198">
    <w:pPr>
      <w:pStyle w:val="Header"/>
    </w:pPr>
    <w:r>
      <w:fldChar w:fldCharType="begin"/>
    </w:r>
    <w:r>
      <w:instrText xml:space="preserve"> TITLE  \* MERGEFORMAT </w:instrText>
    </w:r>
    <w:r>
      <w:fldChar w:fldCharType="separate"/>
    </w:r>
    <w:r w:rsidR="000E5B10">
      <w:t>ECE/MP.EIA/WG.2/2020/3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B10" w:rsidRPr="00B90E55" w:rsidRDefault="00904198" w:rsidP="00B90E55">
    <w:pPr>
      <w:pStyle w:val="Header"/>
      <w:jc w:val="right"/>
    </w:pPr>
    <w:r>
      <w:fldChar w:fldCharType="begin"/>
    </w:r>
    <w:r>
      <w:instrText xml:space="preserve"> TITLE  \* MERGEFORMAT </w:instrText>
    </w:r>
    <w:r>
      <w:fldChar w:fldCharType="separate"/>
    </w:r>
    <w:r w:rsidR="000E5B10">
      <w:t>ECE/MP.EIA/WG.2/2020/3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CF1FD8"/>
    <w:multiLevelType w:val="hybridMultilevel"/>
    <w:tmpl w:val="CD50F350"/>
    <w:lvl w:ilvl="0" w:tplc="92C04D62">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2" w15:restartNumberingAfterBreak="0">
    <w:nsid w:val="0B4761C0"/>
    <w:multiLevelType w:val="hybridMultilevel"/>
    <w:tmpl w:val="43709344"/>
    <w:lvl w:ilvl="0" w:tplc="2E48E25A">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3" w15:restartNumberingAfterBreak="0">
    <w:nsid w:val="0C030799"/>
    <w:multiLevelType w:val="hybridMultilevel"/>
    <w:tmpl w:val="52E8E318"/>
    <w:lvl w:ilvl="0" w:tplc="92C04D62">
      <w:numFmt w:val="bullet"/>
      <w:lvlText w:val="•"/>
      <w:lvlJc w:val="left"/>
      <w:pPr>
        <w:ind w:left="2421" w:hanging="360"/>
      </w:pPr>
      <w:rPr>
        <w:rFonts w:ascii="Times New Roman" w:eastAsia="Times New Roman" w:hAnsi="Times New Roman" w:cs="Times New Roman"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4" w15:restartNumberingAfterBreak="0">
    <w:nsid w:val="0C414440"/>
    <w:multiLevelType w:val="hybridMultilevel"/>
    <w:tmpl w:val="0F7C6434"/>
    <w:lvl w:ilvl="0" w:tplc="08F27AB6">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5" w15:restartNumberingAfterBreak="0">
    <w:nsid w:val="0D954887"/>
    <w:multiLevelType w:val="hybridMultilevel"/>
    <w:tmpl w:val="ABC672C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13AA24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A1C6872"/>
    <w:multiLevelType w:val="hybridMultilevel"/>
    <w:tmpl w:val="43800E36"/>
    <w:lvl w:ilvl="0" w:tplc="E258E180">
      <w:start w:val="1"/>
      <w:numFmt w:val="lowerLetter"/>
      <w:lvlText w:val="(%1)"/>
      <w:lvlJc w:val="left"/>
      <w:pPr>
        <w:ind w:left="1494" w:hanging="360"/>
      </w:pPr>
      <w:rPr>
        <w:rFonts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1DBA14D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8550BE8"/>
    <w:multiLevelType w:val="hybridMultilevel"/>
    <w:tmpl w:val="F31C22F0"/>
    <w:lvl w:ilvl="0" w:tplc="E258E180">
      <w:start w:val="1"/>
      <w:numFmt w:val="lowerLetter"/>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3" w15:restartNumberingAfterBreak="0">
    <w:nsid w:val="2A077E38"/>
    <w:multiLevelType w:val="hybridMultilevel"/>
    <w:tmpl w:val="DDB034C8"/>
    <w:lvl w:ilvl="0" w:tplc="92C04D62">
      <w:numFmt w:val="bullet"/>
      <w:lvlText w:val="•"/>
      <w:lvlJc w:val="left"/>
      <w:pPr>
        <w:ind w:left="1854" w:hanging="360"/>
      </w:pPr>
      <w:rPr>
        <w:rFonts w:ascii="Times New Roman" w:eastAsia="Times New Roma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20E0DAC"/>
    <w:multiLevelType w:val="hybridMultilevel"/>
    <w:tmpl w:val="0CC06E80"/>
    <w:lvl w:ilvl="0" w:tplc="F52C5C6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8E020A8"/>
    <w:multiLevelType w:val="hybridMultilevel"/>
    <w:tmpl w:val="AEE40C46"/>
    <w:lvl w:ilvl="0" w:tplc="F9C8297A">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8" w15:restartNumberingAfterBreak="0">
    <w:nsid w:val="391222D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3ACF4EB2"/>
    <w:multiLevelType w:val="hybridMultilevel"/>
    <w:tmpl w:val="B6C4FF4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0" w15:restartNumberingAfterBreak="0">
    <w:nsid w:val="4B030325"/>
    <w:multiLevelType w:val="hybridMultilevel"/>
    <w:tmpl w:val="E81276AE"/>
    <w:lvl w:ilvl="0" w:tplc="D3423DC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1" w15:restartNumberingAfterBreak="0">
    <w:nsid w:val="53CA2A7E"/>
    <w:multiLevelType w:val="hybridMultilevel"/>
    <w:tmpl w:val="B6BE27A2"/>
    <w:lvl w:ilvl="0" w:tplc="B72EE362">
      <w:start w:val="1"/>
      <w:numFmt w:val="upperLetter"/>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4837044"/>
    <w:multiLevelType w:val="hybridMultilevel"/>
    <w:tmpl w:val="7FFA196A"/>
    <w:lvl w:ilvl="0" w:tplc="E258E180">
      <w:start w:val="1"/>
      <w:numFmt w:val="lowerLetter"/>
      <w:lvlText w:val="(%1)"/>
      <w:lvlJc w:val="left"/>
      <w:pPr>
        <w:ind w:left="1498" w:hanging="360"/>
      </w:pPr>
      <w:rPr>
        <w:rFonts w:hint="default"/>
      </w:rPr>
    </w:lvl>
    <w:lvl w:ilvl="1" w:tplc="08090003" w:tentative="1">
      <w:start w:val="1"/>
      <w:numFmt w:val="bullet"/>
      <w:lvlText w:val="o"/>
      <w:lvlJc w:val="left"/>
      <w:pPr>
        <w:ind w:left="2218" w:hanging="360"/>
      </w:pPr>
      <w:rPr>
        <w:rFonts w:ascii="Courier New" w:hAnsi="Courier New" w:cs="Courier New" w:hint="default"/>
      </w:rPr>
    </w:lvl>
    <w:lvl w:ilvl="2" w:tplc="08090005" w:tentative="1">
      <w:start w:val="1"/>
      <w:numFmt w:val="bullet"/>
      <w:lvlText w:val=""/>
      <w:lvlJc w:val="left"/>
      <w:pPr>
        <w:ind w:left="2938" w:hanging="360"/>
      </w:pPr>
      <w:rPr>
        <w:rFonts w:ascii="Wingdings" w:hAnsi="Wingdings" w:hint="default"/>
      </w:rPr>
    </w:lvl>
    <w:lvl w:ilvl="3" w:tplc="08090001" w:tentative="1">
      <w:start w:val="1"/>
      <w:numFmt w:val="bullet"/>
      <w:lvlText w:val=""/>
      <w:lvlJc w:val="left"/>
      <w:pPr>
        <w:ind w:left="3658" w:hanging="360"/>
      </w:pPr>
      <w:rPr>
        <w:rFonts w:ascii="Symbol" w:hAnsi="Symbol" w:hint="default"/>
      </w:rPr>
    </w:lvl>
    <w:lvl w:ilvl="4" w:tplc="08090003" w:tentative="1">
      <w:start w:val="1"/>
      <w:numFmt w:val="bullet"/>
      <w:lvlText w:val="o"/>
      <w:lvlJc w:val="left"/>
      <w:pPr>
        <w:ind w:left="4378" w:hanging="360"/>
      </w:pPr>
      <w:rPr>
        <w:rFonts w:ascii="Courier New" w:hAnsi="Courier New" w:cs="Courier New" w:hint="default"/>
      </w:rPr>
    </w:lvl>
    <w:lvl w:ilvl="5" w:tplc="08090005" w:tentative="1">
      <w:start w:val="1"/>
      <w:numFmt w:val="bullet"/>
      <w:lvlText w:val=""/>
      <w:lvlJc w:val="left"/>
      <w:pPr>
        <w:ind w:left="5098" w:hanging="360"/>
      </w:pPr>
      <w:rPr>
        <w:rFonts w:ascii="Wingdings" w:hAnsi="Wingdings" w:hint="default"/>
      </w:rPr>
    </w:lvl>
    <w:lvl w:ilvl="6" w:tplc="08090001" w:tentative="1">
      <w:start w:val="1"/>
      <w:numFmt w:val="bullet"/>
      <w:lvlText w:val=""/>
      <w:lvlJc w:val="left"/>
      <w:pPr>
        <w:ind w:left="5818" w:hanging="360"/>
      </w:pPr>
      <w:rPr>
        <w:rFonts w:ascii="Symbol" w:hAnsi="Symbol" w:hint="default"/>
      </w:rPr>
    </w:lvl>
    <w:lvl w:ilvl="7" w:tplc="08090003" w:tentative="1">
      <w:start w:val="1"/>
      <w:numFmt w:val="bullet"/>
      <w:lvlText w:val="o"/>
      <w:lvlJc w:val="left"/>
      <w:pPr>
        <w:ind w:left="6538" w:hanging="360"/>
      </w:pPr>
      <w:rPr>
        <w:rFonts w:ascii="Courier New" w:hAnsi="Courier New" w:cs="Courier New" w:hint="default"/>
      </w:rPr>
    </w:lvl>
    <w:lvl w:ilvl="8" w:tplc="08090005" w:tentative="1">
      <w:start w:val="1"/>
      <w:numFmt w:val="bullet"/>
      <w:lvlText w:val=""/>
      <w:lvlJc w:val="left"/>
      <w:pPr>
        <w:ind w:left="7258" w:hanging="360"/>
      </w:pPr>
      <w:rPr>
        <w:rFonts w:ascii="Wingdings" w:hAnsi="Wingdings" w:hint="default"/>
      </w:rPr>
    </w:lvl>
  </w:abstractNum>
  <w:abstractNum w:abstractNumId="33" w15:restartNumberingAfterBreak="0">
    <w:nsid w:val="5ED1476F"/>
    <w:multiLevelType w:val="hybridMultilevel"/>
    <w:tmpl w:val="1E98EDF0"/>
    <w:lvl w:ilvl="0" w:tplc="FF203914">
      <w:start w:val="1"/>
      <w:numFmt w:val="upperLetter"/>
      <w:lvlText w:val="%1."/>
      <w:lvlJc w:val="left"/>
      <w:pPr>
        <w:ind w:left="530" w:hanging="360"/>
      </w:pPr>
      <w:rPr>
        <w:rFonts w:hint="default"/>
      </w:rPr>
    </w:lvl>
    <w:lvl w:ilvl="1" w:tplc="08090019" w:tentative="1">
      <w:start w:val="1"/>
      <w:numFmt w:val="lowerLetter"/>
      <w:lvlText w:val="%2."/>
      <w:lvlJc w:val="left"/>
      <w:pPr>
        <w:ind w:left="1250" w:hanging="360"/>
      </w:pPr>
    </w:lvl>
    <w:lvl w:ilvl="2" w:tplc="0809001B" w:tentative="1">
      <w:start w:val="1"/>
      <w:numFmt w:val="lowerRoman"/>
      <w:lvlText w:val="%3."/>
      <w:lvlJc w:val="right"/>
      <w:pPr>
        <w:ind w:left="1970" w:hanging="180"/>
      </w:pPr>
    </w:lvl>
    <w:lvl w:ilvl="3" w:tplc="0809000F" w:tentative="1">
      <w:start w:val="1"/>
      <w:numFmt w:val="decimal"/>
      <w:lvlText w:val="%4."/>
      <w:lvlJc w:val="left"/>
      <w:pPr>
        <w:ind w:left="2690" w:hanging="360"/>
      </w:pPr>
    </w:lvl>
    <w:lvl w:ilvl="4" w:tplc="08090019" w:tentative="1">
      <w:start w:val="1"/>
      <w:numFmt w:val="lowerLetter"/>
      <w:lvlText w:val="%5."/>
      <w:lvlJc w:val="left"/>
      <w:pPr>
        <w:ind w:left="3410" w:hanging="360"/>
      </w:pPr>
    </w:lvl>
    <w:lvl w:ilvl="5" w:tplc="0809001B" w:tentative="1">
      <w:start w:val="1"/>
      <w:numFmt w:val="lowerRoman"/>
      <w:lvlText w:val="%6."/>
      <w:lvlJc w:val="right"/>
      <w:pPr>
        <w:ind w:left="4130" w:hanging="180"/>
      </w:pPr>
    </w:lvl>
    <w:lvl w:ilvl="6" w:tplc="0809000F" w:tentative="1">
      <w:start w:val="1"/>
      <w:numFmt w:val="decimal"/>
      <w:lvlText w:val="%7."/>
      <w:lvlJc w:val="left"/>
      <w:pPr>
        <w:ind w:left="4850" w:hanging="360"/>
      </w:pPr>
    </w:lvl>
    <w:lvl w:ilvl="7" w:tplc="08090019" w:tentative="1">
      <w:start w:val="1"/>
      <w:numFmt w:val="lowerLetter"/>
      <w:lvlText w:val="%8."/>
      <w:lvlJc w:val="left"/>
      <w:pPr>
        <w:ind w:left="5570" w:hanging="360"/>
      </w:pPr>
    </w:lvl>
    <w:lvl w:ilvl="8" w:tplc="0809001B" w:tentative="1">
      <w:start w:val="1"/>
      <w:numFmt w:val="lowerRoman"/>
      <w:lvlText w:val="%9."/>
      <w:lvlJc w:val="right"/>
      <w:pPr>
        <w:ind w:left="6290" w:hanging="180"/>
      </w:pPr>
    </w:lvl>
  </w:abstractNum>
  <w:abstractNum w:abstractNumId="34" w15:restartNumberingAfterBreak="0">
    <w:nsid w:val="63E04AA9"/>
    <w:multiLevelType w:val="hybridMultilevel"/>
    <w:tmpl w:val="2A740634"/>
    <w:lvl w:ilvl="0" w:tplc="0414A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BF1472"/>
    <w:multiLevelType w:val="hybridMultilevel"/>
    <w:tmpl w:val="116CAB80"/>
    <w:lvl w:ilvl="0" w:tplc="E258E180">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7" w15:restartNumberingAfterBreak="0">
    <w:nsid w:val="68AD07B2"/>
    <w:multiLevelType w:val="hybridMultilevel"/>
    <w:tmpl w:val="BAF4D30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8" w15:restartNumberingAfterBreak="0">
    <w:nsid w:val="69400FF7"/>
    <w:multiLevelType w:val="hybridMultilevel"/>
    <w:tmpl w:val="4424995A"/>
    <w:lvl w:ilvl="0" w:tplc="92C04D62">
      <w:numFmt w:val="bullet"/>
      <w:lvlText w:val="•"/>
      <w:lvlJc w:val="left"/>
      <w:pPr>
        <w:ind w:left="2421" w:hanging="360"/>
      </w:pPr>
      <w:rPr>
        <w:rFonts w:ascii="Times New Roman" w:eastAsia="Times New Roman" w:hAnsi="Times New Roman" w:cs="Times New Roman"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39" w15:restartNumberingAfterBreak="0">
    <w:nsid w:val="6D5A62B1"/>
    <w:multiLevelType w:val="hybridMultilevel"/>
    <w:tmpl w:val="C73826BC"/>
    <w:lvl w:ilvl="0" w:tplc="92C04D62">
      <w:numFmt w:val="bullet"/>
      <w:lvlText w:val="•"/>
      <w:lvlJc w:val="left"/>
      <w:pPr>
        <w:ind w:left="2421" w:hanging="360"/>
      </w:pPr>
      <w:rPr>
        <w:rFonts w:ascii="Times New Roman" w:eastAsia="Times New Roman" w:hAnsi="Times New Roman" w:cs="Times New Roman"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40"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11072D"/>
    <w:multiLevelType w:val="hybridMultilevel"/>
    <w:tmpl w:val="A4A2425E"/>
    <w:lvl w:ilvl="0" w:tplc="7CDA1A12">
      <w:start w:val="8"/>
      <w:numFmt w:val="bullet"/>
      <w:lvlText w:val="-"/>
      <w:lvlJc w:val="left"/>
      <w:pPr>
        <w:ind w:left="789" w:hanging="360"/>
      </w:pPr>
      <w:rPr>
        <w:rFonts w:ascii="Times New Roman" w:eastAsia="Times New Roman" w:hAnsi="Times New Roman" w:cs="Times New Roman"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42" w15:restartNumberingAfterBreak="0">
    <w:nsid w:val="7B6F2A8F"/>
    <w:multiLevelType w:val="hybridMultilevel"/>
    <w:tmpl w:val="41888896"/>
    <w:lvl w:ilvl="0" w:tplc="DCB8242E">
      <w:start w:val="2"/>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F6C166C"/>
    <w:multiLevelType w:val="hybridMultilevel"/>
    <w:tmpl w:val="1D8613BE"/>
    <w:lvl w:ilvl="0" w:tplc="93720250">
      <w:start w:val="1"/>
      <w:numFmt w:val="lowerLetter"/>
      <w:lvlText w:val="(%1)"/>
      <w:lvlJc w:val="left"/>
      <w:pPr>
        <w:ind w:left="2060" w:hanging="360"/>
      </w:pPr>
      <w:rPr>
        <w:rFonts w:hint="default"/>
      </w:rPr>
    </w:lvl>
    <w:lvl w:ilvl="1" w:tplc="08090019" w:tentative="1">
      <w:start w:val="1"/>
      <w:numFmt w:val="lowerLetter"/>
      <w:lvlText w:val="%2."/>
      <w:lvlJc w:val="left"/>
      <w:pPr>
        <w:ind w:left="2780" w:hanging="360"/>
      </w:pPr>
    </w:lvl>
    <w:lvl w:ilvl="2" w:tplc="0809001B" w:tentative="1">
      <w:start w:val="1"/>
      <w:numFmt w:val="lowerRoman"/>
      <w:lvlText w:val="%3."/>
      <w:lvlJc w:val="right"/>
      <w:pPr>
        <w:ind w:left="3500" w:hanging="180"/>
      </w:pPr>
    </w:lvl>
    <w:lvl w:ilvl="3" w:tplc="0809000F" w:tentative="1">
      <w:start w:val="1"/>
      <w:numFmt w:val="decimal"/>
      <w:lvlText w:val="%4."/>
      <w:lvlJc w:val="left"/>
      <w:pPr>
        <w:ind w:left="4220" w:hanging="360"/>
      </w:pPr>
    </w:lvl>
    <w:lvl w:ilvl="4" w:tplc="08090019" w:tentative="1">
      <w:start w:val="1"/>
      <w:numFmt w:val="lowerLetter"/>
      <w:lvlText w:val="%5."/>
      <w:lvlJc w:val="left"/>
      <w:pPr>
        <w:ind w:left="4940" w:hanging="360"/>
      </w:pPr>
    </w:lvl>
    <w:lvl w:ilvl="5" w:tplc="0809001B" w:tentative="1">
      <w:start w:val="1"/>
      <w:numFmt w:val="lowerRoman"/>
      <w:lvlText w:val="%6."/>
      <w:lvlJc w:val="right"/>
      <w:pPr>
        <w:ind w:left="5660" w:hanging="180"/>
      </w:pPr>
    </w:lvl>
    <w:lvl w:ilvl="6" w:tplc="0809000F" w:tentative="1">
      <w:start w:val="1"/>
      <w:numFmt w:val="decimal"/>
      <w:lvlText w:val="%7."/>
      <w:lvlJc w:val="left"/>
      <w:pPr>
        <w:ind w:left="6380" w:hanging="360"/>
      </w:pPr>
    </w:lvl>
    <w:lvl w:ilvl="7" w:tplc="08090019" w:tentative="1">
      <w:start w:val="1"/>
      <w:numFmt w:val="lowerLetter"/>
      <w:lvlText w:val="%8."/>
      <w:lvlJc w:val="left"/>
      <w:pPr>
        <w:ind w:left="7100" w:hanging="360"/>
      </w:pPr>
    </w:lvl>
    <w:lvl w:ilvl="8" w:tplc="0809001B" w:tentative="1">
      <w:start w:val="1"/>
      <w:numFmt w:val="lowerRoman"/>
      <w:lvlText w:val="%9."/>
      <w:lvlJc w:val="right"/>
      <w:pPr>
        <w:ind w:left="7820" w:hanging="180"/>
      </w:pPr>
    </w:lvl>
  </w:abstractNum>
  <w:num w:numId="1">
    <w:abstractNumId w:val="37"/>
  </w:num>
  <w:num w:numId="2">
    <w:abstractNumId w:val="29"/>
  </w:num>
  <w:num w:numId="3">
    <w:abstractNumId w:val="15"/>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37"/>
  </w:num>
  <w:num w:numId="15">
    <w:abstractNumId w:val="29"/>
  </w:num>
  <w:num w:numId="16">
    <w:abstractNumId w:val="15"/>
  </w:num>
  <w:num w:numId="17">
    <w:abstractNumId w:val="24"/>
  </w:num>
  <w:num w:numId="18">
    <w:abstractNumId w:val="21"/>
  </w:num>
  <w:num w:numId="19">
    <w:abstractNumId w:val="10"/>
  </w:num>
  <w:num w:numId="20">
    <w:abstractNumId w:val="18"/>
  </w:num>
  <w:num w:numId="21">
    <w:abstractNumId w:val="26"/>
  </w:num>
  <w:num w:numId="22">
    <w:abstractNumId w:val="20"/>
  </w:num>
  <w:num w:numId="23">
    <w:abstractNumId w:val="35"/>
  </w:num>
  <w:num w:numId="24">
    <w:abstractNumId w:val="40"/>
  </w:num>
  <w:num w:numId="25">
    <w:abstractNumId w:val="28"/>
  </w:num>
  <w:num w:numId="26">
    <w:abstractNumId w:val="16"/>
  </w:num>
  <w:num w:numId="27">
    <w:abstractNumId w:val="19"/>
  </w:num>
  <w:num w:numId="28">
    <w:abstractNumId w:val="23"/>
  </w:num>
  <w:num w:numId="29">
    <w:abstractNumId w:val="39"/>
  </w:num>
  <w:num w:numId="30">
    <w:abstractNumId w:val="13"/>
  </w:num>
  <w:num w:numId="31">
    <w:abstractNumId w:val="11"/>
  </w:num>
  <w:num w:numId="32">
    <w:abstractNumId w:val="38"/>
  </w:num>
  <w:num w:numId="33">
    <w:abstractNumId w:val="42"/>
  </w:num>
  <w:num w:numId="34">
    <w:abstractNumId w:val="41"/>
  </w:num>
  <w:num w:numId="35">
    <w:abstractNumId w:val="32"/>
  </w:num>
  <w:num w:numId="36">
    <w:abstractNumId w:val="17"/>
  </w:num>
  <w:num w:numId="37">
    <w:abstractNumId w:val="36"/>
  </w:num>
  <w:num w:numId="38">
    <w:abstractNumId w:val="22"/>
  </w:num>
  <w:num w:numId="39">
    <w:abstractNumId w:val="14"/>
  </w:num>
  <w:num w:numId="40">
    <w:abstractNumId w:val="12"/>
  </w:num>
  <w:num w:numId="41">
    <w:abstractNumId w:val="27"/>
  </w:num>
  <w:num w:numId="42">
    <w:abstractNumId w:val="43"/>
  </w:num>
  <w:num w:numId="43">
    <w:abstractNumId w:val="31"/>
  </w:num>
  <w:num w:numId="44">
    <w:abstractNumId w:val="30"/>
  </w:num>
  <w:num w:numId="45">
    <w:abstractNumId w:val="25"/>
  </w:num>
  <w:num w:numId="46">
    <w:abstractNumId w:val="34"/>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0689E"/>
    <w:rsid w:val="0000689E"/>
    <w:rsid w:val="00017F94"/>
    <w:rsid w:val="00023842"/>
    <w:rsid w:val="00031189"/>
    <w:rsid w:val="000334F9"/>
    <w:rsid w:val="0007796D"/>
    <w:rsid w:val="000B7790"/>
    <w:rsid w:val="000D0B9F"/>
    <w:rsid w:val="000E5B10"/>
    <w:rsid w:val="000F458A"/>
    <w:rsid w:val="00111F2F"/>
    <w:rsid w:val="0014365E"/>
    <w:rsid w:val="00156EBA"/>
    <w:rsid w:val="001570D1"/>
    <w:rsid w:val="00176178"/>
    <w:rsid w:val="001F525A"/>
    <w:rsid w:val="00203D5E"/>
    <w:rsid w:val="00221BBA"/>
    <w:rsid w:val="00223272"/>
    <w:rsid w:val="0024779E"/>
    <w:rsid w:val="002832AC"/>
    <w:rsid w:val="00287F4B"/>
    <w:rsid w:val="002B40F9"/>
    <w:rsid w:val="002D7C93"/>
    <w:rsid w:val="002E4B4E"/>
    <w:rsid w:val="00311EDE"/>
    <w:rsid w:val="00356B95"/>
    <w:rsid w:val="00441C3B"/>
    <w:rsid w:val="00446FE5"/>
    <w:rsid w:val="00452396"/>
    <w:rsid w:val="00492324"/>
    <w:rsid w:val="004E468C"/>
    <w:rsid w:val="004F6BBD"/>
    <w:rsid w:val="005279C7"/>
    <w:rsid w:val="00534BA0"/>
    <w:rsid w:val="005505B7"/>
    <w:rsid w:val="005628B1"/>
    <w:rsid w:val="00573BE5"/>
    <w:rsid w:val="00586ED3"/>
    <w:rsid w:val="00596AA9"/>
    <w:rsid w:val="005D58ED"/>
    <w:rsid w:val="005D6682"/>
    <w:rsid w:val="005D6D16"/>
    <w:rsid w:val="005E6839"/>
    <w:rsid w:val="005F26E5"/>
    <w:rsid w:val="006C0E3B"/>
    <w:rsid w:val="00711A90"/>
    <w:rsid w:val="0071601D"/>
    <w:rsid w:val="007400AF"/>
    <w:rsid w:val="007A5FC4"/>
    <w:rsid w:val="007A62E6"/>
    <w:rsid w:val="007B72D9"/>
    <w:rsid w:val="007D01FA"/>
    <w:rsid w:val="007E4B8A"/>
    <w:rsid w:val="0080684C"/>
    <w:rsid w:val="008501EE"/>
    <w:rsid w:val="00861A56"/>
    <w:rsid w:val="00871C75"/>
    <w:rsid w:val="008776DC"/>
    <w:rsid w:val="0088629B"/>
    <w:rsid w:val="008D6B3F"/>
    <w:rsid w:val="008E5C90"/>
    <w:rsid w:val="00904198"/>
    <w:rsid w:val="0090540F"/>
    <w:rsid w:val="00920C96"/>
    <w:rsid w:val="00941DC1"/>
    <w:rsid w:val="009705C8"/>
    <w:rsid w:val="009A258D"/>
    <w:rsid w:val="009C1CF4"/>
    <w:rsid w:val="00A14420"/>
    <w:rsid w:val="00A30353"/>
    <w:rsid w:val="00A32778"/>
    <w:rsid w:val="00A406AC"/>
    <w:rsid w:val="00AC3823"/>
    <w:rsid w:val="00AC6FF8"/>
    <w:rsid w:val="00AE323C"/>
    <w:rsid w:val="00B00181"/>
    <w:rsid w:val="00B00B0D"/>
    <w:rsid w:val="00B50C28"/>
    <w:rsid w:val="00B62F0B"/>
    <w:rsid w:val="00B765F7"/>
    <w:rsid w:val="00B90E55"/>
    <w:rsid w:val="00BA0CA9"/>
    <w:rsid w:val="00BD5030"/>
    <w:rsid w:val="00BF09A6"/>
    <w:rsid w:val="00C02897"/>
    <w:rsid w:val="00C554CE"/>
    <w:rsid w:val="00C64E02"/>
    <w:rsid w:val="00CD3921"/>
    <w:rsid w:val="00CE26D2"/>
    <w:rsid w:val="00D031E5"/>
    <w:rsid w:val="00D24881"/>
    <w:rsid w:val="00D3439C"/>
    <w:rsid w:val="00D503D3"/>
    <w:rsid w:val="00D9119B"/>
    <w:rsid w:val="00DB1831"/>
    <w:rsid w:val="00DD3BFD"/>
    <w:rsid w:val="00DF5712"/>
    <w:rsid w:val="00DF6678"/>
    <w:rsid w:val="00E73FF6"/>
    <w:rsid w:val="00E96BD6"/>
    <w:rsid w:val="00EC3ED3"/>
    <w:rsid w:val="00EE22F9"/>
    <w:rsid w:val="00EF20AE"/>
    <w:rsid w:val="00EF2E22"/>
    <w:rsid w:val="00F11985"/>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52768CA-2B1D-4988-9EF7-F870314E0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22F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E22F9"/>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E22F9"/>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E22F9"/>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E22F9"/>
    <w:pPr>
      <w:spacing w:line="240" w:lineRule="auto"/>
    </w:pPr>
    <w:rPr>
      <w:sz w:val="16"/>
    </w:rPr>
  </w:style>
  <w:style w:type="character" w:customStyle="1" w:styleId="FooterChar">
    <w:name w:val="Footer Char"/>
    <w:aliases w:val="3_G Char"/>
    <w:basedOn w:val="DefaultParagraphFont"/>
    <w:link w:val="Footer"/>
    <w:rsid w:val="00EE22F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E22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E22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E22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E22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E22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E22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E22F9"/>
    <w:pPr>
      <w:spacing w:after="120"/>
      <w:ind w:left="1134" w:right="1134"/>
      <w:jc w:val="both"/>
    </w:pPr>
  </w:style>
  <w:style w:type="paragraph" w:customStyle="1" w:styleId="SLG">
    <w:name w:val="__S_L_G"/>
    <w:basedOn w:val="Normal"/>
    <w:next w:val="Normal"/>
    <w:rsid w:val="00EE22F9"/>
    <w:pPr>
      <w:keepNext/>
      <w:keepLines/>
      <w:spacing w:before="240" w:after="240" w:line="580" w:lineRule="exact"/>
      <w:ind w:left="1134" w:right="1134"/>
    </w:pPr>
    <w:rPr>
      <w:b/>
      <w:sz w:val="56"/>
    </w:rPr>
  </w:style>
  <w:style w:type="paragraph" w:customStyle="1" w:styleId="SMG">
    <w:name w:val="__S_M_G"/>
    <w:basedOn w:val="Normal"/>
    <w:next w:val="Normal"/>
    <w:rsid w:val="00EE22F9"/>
    <w:pPr>
      <w:keepNext/>
      <w:keepLines/>
      <w:spacing w:before="240" w:after="240" w:line="420" w:lineRule="exact"/>
      <w:ind w:left="1134" w:right="1134"/>
    </w:pPr>
    <w:rPr>
      <w:b/>
      <w:sz w:val="40"/>
    </w:rPr>
  </w:style>
  <w:style w:type="paragraph" w:customStyle="1" w:styleId="SSG">
    <w:name w:val="__S_S_G"/>
    <w:basedOn w:val="Normal"/>
    <w:next w:val="Normal"/>
    <w:rsid w:val="00EE22F9"/>
    <w:pPr>
      <w:keepNext/>
      <w:keepLines/>
      <w:spacing w:before="240" w:after="240" w:line="300" w:lineRule="exact"/>
      <w:ind w:left="1134" w:right="1134"/>
    </w:pPr>
    <w:rPr>
      <w:b/>
      <w:sz w:val="28"/>
    </w:rPr>
  </w:style>
  <w:style w:type="paragraph" w:customStyle="1" w:styleId="XLargeG">
    <w:name w:val="__XLarge_G"/>
    <w:basedOn w:val="Normal"/>
    <w:next w:val="Normal"/>
    <w:rsid w:val="00EE22F9"/>
    <w:pPr>
      <w:keepNext/>
      <w:keepLines/>
      <w:spacing w:before="240" w:after="240" w:line="420" w:lineRule="exact"/>
      <w:ind w:left="1134" w:right="1134"/>
    </w:pPr>
    <w:rPr>
      <w:b/>
      <w:sz w:val="40"/>
    </w:rPr>
  </w:style>
  <w:style w:type="paragraph" w:customStyle="1" w:styleId="Bullet1G">
    <w:name w:val="_Bullet 1_G"/>
    <w:basedOn w:val="Normal"/>
    <w:qFormat/>
    <w:rsid w:val="00EE22F9"/>
    <w:pPr>
      <w:numPr>
        <w:numId w:val="14"/>
      </w:numPr>
      <w:spacing w:after="120"/>
      <w:ind w:right="1134"/>
      <w:jc w:val="both"/>
    </w:pPr>
  </w:style>
  <w:style w:type="paragraph" w:customStyle="1" w:styleId="Bullet2G">
    <w:name w:val="_Bullet 2_G"/>
    <w:basedOn w:val="Normal"/>
    <w:qFormat/>
    <w:rsid w:val="00EE22F9"/>
    <w:pPr>
      <w:numPr>
        <w:numId w:val="15"/>
      </w:numPr>
      <w:spacing w:after="120"/>
      <w:ind w:right="1134"/>
      <w:jc w:val="both"/>
    </w:pPr>
  </w:style>
  <w:style w:type="paragraph" w:customStyle="1" w:styleId="ParNoG">
    <w:name w:val="_ParNo_G"/>
    <w:basedOn w:val="Normal"/>
    <w:qFormat/>
    <w:rsid w:val="00EE22F9"/>
    <w:pPr>
      <w:numPr>
        <w:numId w:val="16"/>
      </w:numPr>
      <w:tabs>
        <w:tab w:val="clear" w:pos="1701"/>
      </w:tabs>
      <w:spacing w:after="120"/>
      <w:ind w:right="1134"/>
      <w:jc w:val="both"/>
    </w:pPr>
  </w:style>
  <w:style w:type="character" w:styleId="FootnoteReference">
    <w:name w:val="footnote reference"/>
    <w:aliases w:val="4_G,4_GR"/>
    <w:basedOn w:val="DefaultParagraphFont"/>
    <w:qFormat/>
    <w:rsid w:val="00EE22F9"/>
    <w:rPr>
      <w:rFonts w:ascii="Times New Roman" w:hAnsi="Times New Roman"/>
      <w:sz w:val="18"/>
      <w:vertAlign w:val="superscript"/>
      <w:lang w:val="fr-CH"/>
    </w:rPr>
  </w:style>
  <w:style w:type="character" w:styleId="EndnoteReference">
    <w:name w:val="endnote reference"/>
    <w:aliases w:val="1_G"/>
    <w:basedOn w:val="FootnoteReference"/>
    <w:qFormat/>
    <w:rsid w:val="00EE22F9"/>
    <w:rPr>
      <w:rFonts w:ascii="Times New Roman" w:hAnsi="Times New Roman"/>
      <w:sz w:val="18"/>
      <w:vertAlign w:val="superscript"/>
      <w:lang w:val="fr-CH"/>
    </w:rPr>
  </w:style>
  <w:style w:type="table" w:styleId="TableGrid">
    <w:name w:val="Table Grid"/>
    <w:basedOn w:val="TableNormal"/>
    <w:rsid w:val="00EE22F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E22F9"/>
    <w:rPr>
      <w:color w:val="0000FF"/>
      <w:u w:val="none"/>
    </w:rPr>
  </w:style>
  <w:style w:type="character" w:styleId="FollowedHyperlink">
    <w:name w:val="FollowedHyperlink"/>
    <w:basedOn w:val="DefaultParagraphFont"/>
    <w:unhideWhenUsed/>
    <w:rsid w:val="00EE22F9"/>
    <w:rPr>
      <w:color w:val="0000FF"/>
      <w:u w:val="none"/>
    </w:rPr>
  </w:style>
  <w:style w:type="paragraph" w:styleId="FootnoteText">
    <w:name w:val="footnote text"/>
    <w:aliases w:val="5_G"/>
    <w:basedOn w:val="Normal"/>
    <w:link w:val="FootnoteTextChar"/>
    <w:qFormat/>
    <w:rsid w:val="00EE22F9"/>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E22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E22F9"/>
  </w:style>
  <w:style w:type="character" w:customStyle="1" w:styleId="EndnoteTextChar">
    <w:name w:val="Endnote Text Char"/>
    <w:aliases w:val="2_G Char"/>
    <w:basedOn w:val="DefaultParagraphFont"/>
    <w:link w:val="EndnoteText"/>
    <w:rsid w:val="00EE22F9"/>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E22F9"/>
    <w:rPr>
      <w:rFonts w:ascii="Times New Roman" w:hAnsi="Times New Roman"/>
      <w:b/>
      <w:sz w:val="18"/>
      <w:lang w:val="fr-CH"/>
    </w:rPr>
  </w:style>
  <w:style w:type="character" w:customStyle="1" w:styleId="Heading1Char">
    <w:name w:val="Heading 1 Char"/>
    <w:aliases w:val="Table_G Char"/>
    <w:basedOn w:val="DefaultParagraphFont"/>
    <w:link w:val="Heading1"/>
    <w:rsid w:val="00EE22F9"/>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semiHidden/>
    <w:unhideWhenUsed/>
    <w:rsid w:val="00A14420"/>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14420"/>
    <w:rPr>
      <w:rFonts w:ascii="Tahoma" w:hAnsi="Tahoma" w:cs="Tahoma"/>
      <w:sz w:val="16"/>
      <w:szCs w:val="16"/>
      <w:lang w:eastAsia="en-US"/>
    </w:rPr>
  </w:style>
  <w:style w:type="character" w:customStyle="1" w:styleId="SingleTxtGChar">
    <w:name w:val="_ Single Txt_G Char"/>
    <w:link w:val="SingleTxtG"/>
    <w:rsid w:val="00F11985"/>
    <w:rPr>
      <w:rFonts w:ascii="Times New Roman" w:eastAsiaTheme="minorHAnsi" w:hAnsi="Times New Roman" w:cs="Times New Roman"/>
      <w:sz w:val="20"/>
      <w:szCs w:val="20"/>
      <w:lang w:eastAsia="en-US"/>
    </w:rPr>
  </w:style>
  <w:style w:type="character" w:customStyle="1" w:styleId="HChGChar">
    <w:name w:val="_ H _Ch_G Char"/>
    <w:link w:val="HChG"/>
    <w:rsid w:val="00F11985"/>
    <w:rPr>
      <w:rFonts w:ascii="Times New Roman" w:eastAsiaTheme="minorHAnsi" w:hAnsi="Times New Roman" w:cs="Times New Roman"/>
      <w:b/>
      <w:sz w:val="28"/>
      <w:szCs w:val="20"/>
      <w:lang w:eastAsia="en-US"/>
    </w:rPr>
  </w:style>
  <w:style w:type="character" w:customStyle="1" w:styleId="H1GChar">
    <w:name w:val="_ H_1_G Char"/>
    <w:link w:val="H1G"/>
    <w:rsid w:val="00F11985"/>
    <w:rPr>
      <w:rFonts w:ascii="Times New Roman" w:eastAsiaTheme="minorHAnsi" w:hAnsi="Times New Roman" w:cs="Times New Roman"/>
      <w:b/>
      <w:sz w:val="24"/>
      <w:szCs w:val="20"/>
      <w:lang w:eastAsia="en-US"/>
    </w:rPr>
  </w:style>
  <w:style w:type="character" w:customStyle="1" w:styleId="H23GChar">
    <w:name w:val="_ H_2/3_G Char"/>
    <w:link w:val="H23G"/>
    <w:rsid w:val="00F11985"/>
    <w:rPr>
      <w:rFonts w:ascii="Times New Roman" w:eastAsiaTheme="minorHAnsi" w:hAnsi="Times New Roman" w:cs="Times New Roman"/>
      <w:b/>
      <w:sz w:val="20"/>
      <w:szCs w:val="20"/>
      <w:lang w:eastAsia="en-US"/>
    </w:rPr>
  </w:style>
  <w:style w:type="table" w:styleId="Table3Deffects1">
    <w:name w:val="Table 3D effects 1"/>
    <w:basedOn w:val="TableNormal"/>
    <w:semiHidden/>
    <w:rsid w:val="00F11985"/>
    <w:pPr>
      <w:suppressAutoHyphens/>
      <w:spacing w:after="0" w:line="240" w:lineRule="atLeast"/>
    </w:pPr>
    <w:rPr>
      <w:rFonts w:ascii="Times New Roman" w:hAnsi="Times New Roman" w:cs="Times New Roman"/>
      <w:sz w:val="20"/>
      <w:szCs w:val="20"/>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11985"/>
    <w:pPr>
      <w:suppressAutoHyphens/>
      <w:spacing w:after="0" w:line="240" w:lineRule="atLeast"/>
    </w:pPr>
    <w:rPr>
      <w:rFonts w:ascii="Times New Roman" w:hAnsi="Times New Roman" w:cs="Times New Roman"/>
      <w:sz w:val="20"/>
      <w:szCs w:val="20"/>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11985"/>
    <w:pPr>
      <w:suppressAutoHyphens/>
      <w:spacing w:after="0" w:line="240" w:lineRule="atLeast"/>
    </w:pPr>
    <w:rPr>
      <w:rFonts w:ascii="Times New Roman" w:hAnsi="Times New Roman" w:cs="Times New Roman"/>
      <w:sz w:val="20"/>
      <w:szCs w:val="20"/>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11985"/>
    <w:pPr>
      <w:suppressAutoHyphens/>
      <w:spacing w:after="0" w:line="240" w:lineRule="atLeast"/>
    </w:pPr>
    <w:rPr>
      <w:rFonts w:ascii="Times New Roman" w:hAnsi="Times New Roman" w:cs="Times New Roman"/>
      <w:sz w:val="20"/>
      <w:szCs w:val="20"/>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11985"/>
    <w:pPr>
      <w:suppressAutoHyphens/>
      <w:spacing w:after="0" w:line="240" w:lineRule="atLeast"/>
    </w:pPr>
    <w:rPr>
      <w:rFonts w:ascii="Times New Roman" w:hAnsi="Times New Roman" w:cs="Times New Roman"/>
      <w:sz w:val="20"/>
      <w:szCs w:val="20"/>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11985"/>
    <w:pPr>
      <w:suppressAutoHyphens/>
      <w:spacing w:after="0" w:line="240" w:lineRule="atLeast"/>
    </w:pPr>
    <w:rPr>
      <w:rFonts w:ascii="Times New Roman" w:hAnsi="Times New Roman" w:cs="Times New Roman"/>
      <w:color w:val="000080"/>
      <w:sz w:val="20"/>
      <w:szCs w:val="20"/>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11985"/>
    <w:pPr>
      <w:suppressAutoHyphens/>
      <w:spacing w:after="0" w:line="240" w:lineRule="atLeast"/>
    </w:pPr>
    <w:rPr>
      <w:rFonts w:ascii="Times New Roman" w:hAnsi="Times New Roman" w:cs="Times New Roman"/>
      <w:sz w:val="20"/>
      <w:szCs w:val="20"/>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11985"/>
    <w:pPr>
      <w:suppressAutoHyphens/>
      <w:spacing w:after="0" w:line="240" w:lineRule="atLeast"/>
    </w:pPr>
    <w:rPr>
      <w:rFonts w:ascii="Times New Roman" w:hAnsi="Times New Roman" w:cs="Times New Roman"/>
      <w:color w:val="FFFFFF"/>
      <w:sz w:val="20"/>
      <w:szCs w:val="20"/>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11985"/>
    <w:pPr>
      <w:suppressAutoHyphens/>
      <w:spacing w:after="0" w:line="240" w:lineRule="atLeast"/>
    </w:pPr>
    <w:rPr>
      <w:rFonts w:ascii="Times New Roman" w:hAnsi="Times New Roman" w:cs="Times New Roman"/>
      <w:sz w:val="20"/>
      <w:szCs w:val="20"/>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11985"/>
    <w:pPr>
      <w:suppressAutoHyphens/>
      <w:spacing w:after="0" w:line="240" w:lineRule="atLeast"/>
    </w:pPr>
    <w:rPr>
      <w:rFonts w:ascii="Times New Roman" w:hAnsi="Times New Roman" w:cs="Times New Roman"/>
      <w:sz w:val="20"/>
      <w:szCs w:val="20"/>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11985"/>
    <w:pPr>
      <w:suppressAutoHyphens/>
      <w:spacing w:after="0" w:line="240" w:lineRule="atLeast"/>
    </w:pPr>
    <w:rPr>
      <w:rFonts w:ascii="Times New Roman" w:hAnsi="Times New Roman" w:cs="Times New Roman"/>
      <w:b/>
      <w:bCs/>
      <w:sz w:val="20"/>
      <w:szCs w:val="20"/>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11985"/>
    <w:pPr>
      <w:suppressAutoHyphens/>
      <w:spacing w:after="0" w:line="240" w:lineRule="atLeast"/>
    </w:pPr>
    <w:rPr>
      <w:rFonts w:ascii="Times New Roman" w:hAnsi="Times New Roman" w:cs="Times New Roman"/>
      <w:b/>
      <w:bCs/>
      <w:sz w:val="20"/>
      <w:szCs w:val="20"/>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11985"/>
    <w:pPr>
      <w:suppressAutoHyphens/>
      <w:spacing w:after="0" w:line="240" w:lineRule="atLeast"/>
    </w:pPr>
    <w:rPr>
      <w:rFonts w:ascii="Times New Roman" w:hAnsi="Times New Roman" w:cs="Times New Roman"/>
      <w:b/>
      <w:bCs/>
      <w:sz w:val="20"/>
      <w:szCs w:val="20"/>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11985"/>
    <w:pPr>
      <w:suppressAutoHyphens/>
      <w:spacing w:after="0" w:line="240" w:lineRule="atLeast"/>
    </w:pPr>
    <w:rPr>
      <w:rFonts w:ascii="Times New Roman" w:hAnsi="Times New Roman" w:cs="Times New Roman"/>
      <w:sz w:val="20"/>
      <w:szCs w:val="20"/>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11985"/>
    <w:pPr>
      <w:suppressAutoHyphens/>
      <w:spacing w:after="0" w:line="240" w:lineRule="atLeast"/>
    </w:pPr>
    <w:rPr>
      <w:rFonts w:ascii="Times New Roman" w:hAnsi="Times New Roman" w:cs="Times New Roman"/>
      <w:sz w:val="20"/>
      <w:szCs w:val="20"/>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11985"/>
    <w:pPr>
      <w:suppressAutoHyphens/>
      <w:spacing w:after="0" w:line="240" w:lineRule="atLeast"/>
    </w:pPr>
    <w:rPr>
      <w:rFonts w:ascii="Times New Roman" w:hAnsi="Times New Roman" w:cs="Times New Roman"/>
      <w:sz w:val="20"/>
      <w:szCs w:val="20"/>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11985"/>
    <w:pPr>
      <w:suppressAutoHyphens/>
      <w:spacing w:after="0" w:line="240" w:lineRule="atLeast"/>
    </w:pPr>
    <w:rPr>
      <w:rFonts w:ascii="Times New Roman" w:hAnsi="Times New Roman" w:cs="Times New Roman"/>
      <w:sz w:val="20"/>
      <w:szCs w:val="20"/>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F11985"/>
    <w:pPr>
      <w:suppressAutoHyphens/>
      <w:spacing w:after="0" w:line="240" w:lineRule="atLeast"/>
    </w:pPr>
    <w:rPr>
      <w:rFonts w:ascii="Times New Roman" w:hAnsi="Times New Roman" w:cs="Times New Roman"/>
      <w:sz w:val="20"/>
      <w:szCs w:val="20"/>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11985"/>
    <w:pPr>
      <w:suppressAutoHyphens/>
      <w:spacing w:after="0" w:line="240" w:lineRule="atLeast"/>
    </w:pPr>
    <w:rPr>
      <w:rFonts w:ascii="Times New Roman" w:hAnsi="Times New Roman" w:cs="Times New Roman"/>
      <w:sz w:val="20"/>
      <w:szCs w:val="20"/>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11985"/>
    <w:pPr>
      <w:suppressAutoHyphens/>
      <w:spacing w:after="0" w:line="240" w:lineRule="atLeast"/>
    </w:pPr>
    <w:rPr>
      <w:rFonts w:ascii="Times New Roman" w:hAnsi="Times New Roman" w:cs="Times New Roman"/>
      <w:sz w:val="20"/>
      <w:szCs w:val="20"/>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11985"/>
    <w:pPr>
      <w:suppressAutoHyphens/>
      <w:spacing w:after="0" w:line="240" w:lineRule="atLeast"/>
    </w:pPr>
    <w:rPr>
      <w:rFonts w:ascii="Times New Roman" w:hAnsi="Times New Roman" w:cs="Times New Roman"/>
      <w:sz w:val="20"/>
      <w:szCs w:val="20"/>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11985"/>
    <w:pPr>
      <w:suppressAutoHyphens/>
      <w:spacing w:after="0" w:line="240" w:lineRule="atLeast"/>
    </w:pPr>
    <w:rPr>
      <w:rFonts w:ascii="Times New Roman" w:hAnsi="Times New Roman" w:cs="Times New Roman"/>
      <w:sz w:val="20"/>
      <w:szCs w:val="20"/>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11985"/>
    <w:pPr>
      <w:suppressAutoHyphens/>
      <w:spacing w:after="0" w:line="240" w:lineRule="atLeast"/>
    </w:pPr>
    <w:rPr>
      <w:rFonts w:ascii="Times New Roman" w:hAnsi="Times New Roman" w:cs="Times New Roman"/>
      <w:sz w:val="20"/>
      <w:szCs w:val="20"/>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11985"/>
    <w:pPr>
      <w:suppressAutoHyphens/>
      <w:spacing w:after="0" w:line="240" w:lineRule="atLeast"/>
    </w:pPr>
    <w:rPr>
      <w:rFonts w:ascii="Times New Roman" w:hAnsi="Times New Roman" w:cs="Times New Roman"/>
      <w:b/>
      <w:bCs/>
      <w:sz w:val="20"/>
      <w:szCs w:val="20"/>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11985"/>
    <w:pPr>
      <w:suppressAutoHyphens/>
      <w:spacing w:after="0" w:line="240" w:lineRule="atLeast"/>
    </w:pPr>
    <w:rPr>
      <w:rFonts w:ascii="Times New Roman" w:hAnsi="Times New Roman" w:cs="Times New Roman"/>
      <w:sz w:val="20"/>
      <w:szCs w:val="20"/>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11985"/>
    <w:pPr>
      <w:suppressAutoHyphens/>
      <w:spacing w:after="0" w:line="240" w:lineRule="atLeast"/>
    </w:pPr>
    <w:rPr>
      <w:rFonts w:ascii="Times New Roman" w:hAnsi="Times New Roman" w:cs="Times New Roman"/>
      <w:sz w:val="20"/>
      <w:szCs w:val="20"/>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11985"/>
    <w:pPr>
      <w:suppressAutoHyphens/>
      <w:spacing w:after="0" w:line="240" w:lineRule="atLeast"/>
    </w:pPr>
    <w:rPr>
      <w:rFonts w:ascii="Times New Roman" w:hAnsi="Times New Roman" w:cs="Times New Roman"/>
      <w:sz w:val="20"/>
      <w:szCs w:val="20"/>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11985"/>
    <w:pPr>
      <w:suppressAutoHyphens/>
      <w:spacing w:after="0" w:line="240" w:lineRule="atLeast"/>
    </w:pPr>
    <w:rPr>
      <w:rFonts w:ascii="Times New Roman" w:hAnsi="Times New Roman" w:cs="Times New Roman"/>
      <w:sz w:val="20"/>
      <w:szCs w:val="20"/>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11985"/>
    <w:pPr>
      <w:suppressAutoHyphens/>
      <w:spacing w:after="0" w:line="240" w:lineRule="atLeast"/>
    </w:pPr>
    <w:rPr>
      <w:rFonts w:ascii="Times New Roman" w:hAnsi="Times New Roman" w:cs="Times New Roman"/>
      <w:sz w:val="20"/>
      <w:szCs w:val="20"/>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11985"/>
    <w:pPr>
      <w:suppressAutoHyphens/>
      <w:spacing w:after="0" w:line="240" w:lineRule="atLeast"/>
    </w:pPr>
    <w:rPr>
      <w:rFonts w:ascii="Times New Roman" w:hAnsi="Times New Roman" w:cs="Times New Roman"/>
      <w:sz w:val="20"/>
      <w:szCs w:val="20"/>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11985"/>
    <w:pPr>
      <w:suppressAutoHyphens/>
      <w:spacing w:after="0" w:line="240" w:lineRule="atLeast"/>
    </w:pPr>
    <w:rPr>
      <w:rFonts w:ascii="Times New Roman" w:hAnsi="Times New Roman" w:cs="Times New Roman"/>
      <w:sz w:val="20"/>
      <w:szCs w:val="20"/>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11985"/>
    <w:pPr>
      <w:suppressAutoHyphens/>
      <w:spacing w:after="0" w:line="240" w:lineRule="atLeast"/>
    </w:pPr>
    <w:rPr>
      <w:rFonts w:ascii="Times New Roman" w:hAnsi="Times New Roman" w:cs="Times New Roman"/>
      <w:sz w:val="20"/>
      <w:szCs w:val="20"/>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11985"/>
    <w:pPr>
      <w:suppressAutoHyphens/>
      <w:spacing w:after="0" w:line="240" w:lineRule="atLeast"/>
    </w:pPr>
    <w:rPr>
      <w:rFonts w:ascii="Times New Roman" w:hAnsi="Times New Roman" w:cs="Times New Roman"/>
      <w:sz w:val="20"/>
      <w:szCs w:val="20"/>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F11985"/>
    <w:pPr>
      <w:suppressAutoHyphens/>
      <w:spacing w:after="0" w:line="240" w:lineRule="atLeast"/>
    </w:pPr>
    <w:rPr>
      <w:rFonts w:ascii="Times New Roman" w:hAnsi="Times New Roman" w:cs="Times New Roman"/>
      <w:sz w:val="20"/>
      <w:szCs w:val="20"/>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11985"/>
    <w:pPr>
      <w:suppressAutoHyphens/>
      <w:spacing w:after="0" w:line="240" w:lineRule="atLeast"/>
    </w:pPr>
    <w:rPr>
      <w:rFonts w:ascii="Times New Roman" w:hAnsi="Times New Roman" w:cs="Times New Roman"/>
      <w:sz w:val="20"/>
      <w:szCs w:val="20"/>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11985"/>
    <w:pPr>
      <w:suppressAutoHyphens/>
      <w:spacing w:after="0" w:line="240" w:lineRule="atLeast"/>
    </w:pPr>
    <w:rPr>
      <w:rFonts w:ascii="Times New Roman" w:hAnsi="Times New Roman" w:cs="Times New Roman"/>
      <w:sz w:val="20"/>
      <w:szCs w:val="20"/>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11985"/>
    <w:pPr>
      <w:suppressAutoHyphens/>
      <w:spacing w:after="0" w:line="240" w:lineRule="atLeast"/>
    </w:pPr>
    <w:rPr>
      <w:rFonts w:ascii="Times New Roman" w:hAnsi="Times New Roman" w:cs="Times New Roman"/>
      <w:sz w:val="20"/>
      <w:szCs w:val="20"/>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11985"/>
    <w:pPr>
      <w:suppressAutoHyphens/>
      <w:spacing w:after="0" w:line="240" w:lineRule="atLeast"/>
    </w:pPr>
    <w:rPr>
      <w:rFonts w:ascii="Times New Roman" w:hAnsi="Times New Roman" w:cs="Times New Roman"/>
      <w:sz w:val="20"/>
      <w:szCs w:val="20"/>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11985"/>
    <w:pPr>
      <w:suppressAutoHyphens/>
      <w:spacing w:after="0" w:line="240" w:lineRule="atLeast"/>
    </w:pPr>
    <w:rPr>
      <w:rFonts w:ascii="Times New Roman" w:hAnsi="Times New Roman" w:cs="Times New Roman"/>
      <w:sz w:val="20"/>
      <w:szCs w:val="20"/>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F11985"/>
    <w:pPr>
      <w:suppressAutoHyphens/>
      <w:spacing w:after="0" w:line="240" w:lineRule="atLeast"/>
    </w:pPr>
    <w:rPr>
      <w:rFonts w:ascii="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F11985"/>
    <w:pPr>
      <w:suppressAutoHyphens/>
      <w:spacing w:after="0" w:line="240" w:lineRule="atLeast"/>
    </w:pPr>
    <w:rPr>
      <w:rFonts w:ascii="Times New Roman" w:hAnsi="Times New Roman" w:cs="Times New Roman"/>
      <w:sz w:val="20"/>
      <w:szCs w:val="20"/>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11985"/>
    <w:pPr>
      <w:suppressAutoHyphens/>
      <w:spacing w:after="0" w:line="240" w:lineRule="atLeast"/>
    </w:pPr>
    <w:rPr>
      <w:rFonts w:ascii="Times New Roman" w:hAnsi="Times New Roman" w:cs="Times New Roman"/>
      <w:sz w:val="20"/>
      <w:szCs w:val="20"/>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11985"/>
    <w:pPr>
      <w:suppressAutoHyphens/>
      <w:spacing w:after="0" w:line="240" w:lineRule="atLeast"/>
    </w:pPr>
    <w:rPr>
      <w:rFonts w:ascii="Times New Roman" w:hAnsi="Times New Roman" w:cs="Times New Roman"/>
      <w:sz w:val="20"/>
      <w:szCs w:val="20"/>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on">
    <w:name w:val="Revision"/>
    <w:hidden/>
    <w:uiPriority w:val="99"/>
    <w:semiHidden/>
    <w:rsid w:val="00F11985"/>
    <w:pPr>
      <w:spacing w:after="0" w:line="240" w:lineRule="auto"/>
    </w:pPr>
    <w:rPr>
      <w:rFonts w:ascii="Times New Roman" w:hAnsi="Times New Roman" w:cs="Times New Roman"/>
      <w:sz w:val="20"/>
      <w:szCs w:val="20"/>
      <w:lang w:val="en-GB" w:eastAsia="en-US"/>
    </w:rPr>
  </w:style>
  <w:style w:type="character" w:styleId="UnresolvedMention">
    <w:name w:val="Unresolved Mention"/>
    <w:basedOn w:val="DefaultParagraphFont"/>
    <w:uiPriority w:val="99"/>
    <w:semiHidden/>
    <w:unhideWhenUsed/>
    <w:rsid w:val="00D248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oecd.org/fr/cad/financementpourledeveloppementdurable/normes-financement-developpement/listeca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12153</Words>
  <Characters>69273</Characters>
  <Application>Microsoft Office Word</Application>
  <DocSecurity>4</DocSecurity>
  <Lines>577</Lines>
  <Paragraphs>162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ECE/MP.EIA/WG.2/2020/3</vt:lpstr>
      <vt:lpstr>ECE/MP.EIA/WG.2/2020/3</vt:lpstr>
    </vt:vector>
  </TitlesOfParts>
  <Company>DCM</Company>
  <LinksUpToDate>false</LinksUpToDate>
  <CharactersWithSpaces>81264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ECE/MP.EIA/WG.2/2020/3</dc:title>
  <dc:subject/>
  <dc:creator>Nicolas MORIN</dc:creator>
  <cp:keywords/>
  <cp:lastModifiedBy>Elisabeth James</cp:lastModifiedBy>
  <cp:revision>2</cp:revision>
  <cp:lastPrinted>2014-05-14T10:59:00Z</cp:lastPrinted>
  <dcterms:created xsi:type="dcterms:W3CDTF">2020-04-17T08:07:00Z</dcterms:created>
  <dcterms:modified xsi:type="dcterms:W3CDTF">2020-04-17T08:07:00Z</dcterms:modified>
</cp:coreProperties>
</file>