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CAFA" w14:textId="1DB82B1E" w:rsidR="00B33F5C" w:rsidRPr="00DA0772" w:rsidRDefault="00B33F5C" w:rsidP="00DA0772">
      <w:pPr>
        <w:jc w:val="center"/>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211">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Criteria for </w:t>
      </w:r>
      <w:r w:rsidR="00744B72">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Pr="00097211">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practices</w:t>
      </w:r>
      <w:r w:rsidR="00CD2D16">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lessons learned</w:t>
      </w:r>
    </w:p>
    <w:p w14:paraId="63F5191E" w14:textId="77777777" w:rsidR="00DA0772" w:rsidRDefault="00DA0772" w:rsidP="00DA0772">
      <w:pPr>
        <w:rPr>
          <w:b/>
          <w:bCs/>
          <w:lang w:val="en-AU"/>
        </w:rPr>
      </w:pPr>
    </w:p>
    <w:p w14:paraId="4CD17D66" w14:textId="5FEA9BD9" w:rsidR="00DA0772" w:rsidRPr="00C268ED" w:rsidRDefault="00DA0772" w:rsidP="00DA0772">
      <w:pPr>
        <w:pStyle w:val="Title"/>
        <w:spacing w:after="120"/>
        <w:jc w:val="left"/>
        <w:rPr>
          <w:color w:val="4472C4" w:themeColor="accent1"/>
          <w:sz w:val="24"/>
          <w:szCs w:val="24"/>
          <w:lang w:val="en-US"/>
        </w:rPr>
      </w:pPr>
      <w:r>
        <w:rPr>
          <w:color w:val="4472C4" w:themeColor="accent1"/>
          <w:sz w:val="24"/>
          <w:szCs w:val="24"/>
          <w:lang w:val="en-US"/>
        </w:rPr>
        <w:t>Topics</w:t>
      </w:r>
    </w:p>
    <w:p w14:paraId="4ED927EE" w14:textId="2F15A2B4" w:rsidR="00B33F5C" w:rsidRDefault="00B33F5C" w:rsidP="00B33F5C">
      <w:pPr>
        <w:rPr>
          <w:rFonts w:eastAsia="Calibri"/>
          <w:szCs w:val="20"/>
          <w:lang w:val="en-US"/>
        </w:rPr>
      </w:pPr>
      <w:r>
        <w:rPr>
          <w:rFonts w:eastAsia="Calibri"/>
          <w:szCs w:val="20"/>
          <w:lang w:val="en-US"/>
        </w:rPr>
        <w:t>T</w:t>
      </w:r>
      <w:r w:rsidRPr="00972CB9">
        <w:rPr>
          <w:rFonts w:eastAsia="Calibri"/>
          <w:szCs w:val="20"/>
          <w:lang w:val="en-US"/>
        </w:rPr>
        <w:t xml:space="preserve">he </w:t>
      </w:r>
      <w:r w:rsidR="00D307B0">
        <w:rPr>
          <w:rFonts w:eastAsia="Calibri"/>
          <w:szCs w:val="20"/>
          <w:lang w:val="en-US"/>
        </w:rPr>
        <w:t xml:space="preserve">case studies of </w:t>
      </w:r>
      <w:r w:rsidRPr="00972CB9">
        <w:rPr>
          <w:rFonts w:eastAsia="Calibri"/>
          <w:szCs w:val="20"/>
          <w:lang w:val="en-US"/>
        </w:rPr>
        <w:t>good practices</w:t>
      </w:r>
      <w:r w:rsidR="00CD2D16">
        <w:rPr>
          <w:rFonts w:eastAsia="Calibri"/>
          <w:szCs w:val="20"/>
          <w:lang w:val="en-US"/>
        </w:rPr>
        <w:t xml:space="preserve"> and</w:t>
      </w:r>
      <w:r w:rsidR="00D307B0">
        <w:rPr>
          <w:rFonts w:eastAsia="Calibri"/>
          <w:szCs w:val="20"/>
          <w:lang w:val="en-US"/>
        </w:rPr>
        <w:t>/or</w:t>
      </w:r>
      <w:r w:rsidR="00CD2D16">
        <w:rPr>
          <w:rFonts w:eastAsia="Calibri"/>
          <w:szCs w:val="20"/>
          <w:lang w:val="en-US"/>
        </w:rPr>
        <w:t xml:space="preserve"> lessons learned</w:t>
      </w:r>
      <w:r w:rsidRPr="00972CB9">
        <w:rPr>
          <w:rFonts w:eastAsia="Calibri"/>
          <w:szCs w:val="20"/>
          <w:lang w:val="en-US"/>
        </w:rPr>
        <w:t xml:space="preserve"> </w:t>
      </w:r>
      <w:r w:rsidR="00110C3F">
        <w:rPr>
          <w:rFonts w:eastAsia="Calibri"/>
          <w:szCs w:val="20"/>
          <w:lang w:val="en-US"/>
        </w:rPr>
        <w:t xml:space="preserve">that will be </w:t>
      </w:r>
      <w:r w:rsidR="008B21CA">
        <w:rPr>
          <w:rFonts w:eastAsia="Calibri"/>
          <w:szCs w:val="20"/>
          <w:lang w:val="en-US"/>
        </w:rPr>
        <w:t xml:space="preserve">selected for </w:t>
      </w:r>
      <w:r w:rsidR="008B21CA" w:rsidRPr="00126E3A">
        <w:rPr>
          <w:rFonts w:eastAsia="Calibri"/>
          <w:szCs w:val="20"/>
          <w:lang w:val="en-US"/>
        </w:rPr>
        <w:t>inclu</w:t>
      </w:r>
      <w:r w:rsidR="008B21CA">
        <w:rPr>
          <w:rFonts w:eastAsia="Calibri"/>
          <w:szCs w:val="20"/>
          <w:lang w:val="en-US"/>
        </w:rPr>
        <w:t>sion</w:t>
      </w:r>
      <w:r w:rsidR="008B21CA" w:rsidRPr="00126E3A">
        <w:rPr>
          <w:rFonts w:eastAsia="Calibri"/>
          <w:szCs w:val="20"/>
          <w:lang w:val="en-US"/>
        </w:rPr>
        <w:t xml:space="preserve"> </w:t>
      </w:r>
      <w:r w:rsidRPr="00126E3A">
        <w:rPr>
          <w:rFonts w:eastAsia="Calibri"/>
          <w:szCs w:val="20"/>
          <w:lang w:val="en-US"/>
        </w:rPr>
        <w:t>i</w:t>
      </w:r>
      <w:r w:rsidRPr="00464F63">
        <w:rPr>
          <w:rFonts w:eastAsia="Calibri"/>
          <w:szCs w:val="20"/>
          <w:lang w:val="en-US"/>
        </w:rPr>
        <w:t xml:space="preserve">n the </w:t>
      </w:r>
      <w:r w:rsidR="00373B78" w:rsidRPr="00373B78">
        <w:rPr>
          <w:rFonts w:eastAsia="Calibri"/>
          <w:i/>
          <w:iCs/>
          <w:szCs w:val="20"/>
          <w:lang w:val="en-US"/>
        </w:rPr>
        <w:t>In</w:t>
      </w:r>
      <w:r w:rsidRPr="00373B78">
        <w:rPr>
          <w:rFonts w:eastAsia="Calibri"/>
          <w:i/>
          <w:iCs/>
          <w:szCs w:val="20"/>
          <w:lang w:val="en-US"/>
        </w:rPr>
        <w:t xml:space="preserve">formation Repository </w:t>
      </w:r>
      <w:r w:rsidR="00373B78" w:rsidRPr="00373B78">
        <w:rPr>
          <w:rFonts w:eastAsia="Calibri"/>
          <w:i/>
          <w:iCs/>
          <w:szCs w:val="20"/>
          <w:lang w:val="en-US"/>
        </w:rPr>
        <w:t>of Good Practices</w:t>
      </w:r>
      <w:r w:rsidR="00AC242B">
        <w:rPr>
          <w:rFonts w:eastAsia="Calibri"/>
          <w:i/>
          <w:iCs/>
          <w:szCs w:val="20"/>
          <w:lang w:val="en-US"/>
        </w:rPr>
        <w:t xml:space="preserve"> and Lessons Learned</w:t>
      </w:r>
      <w:r w:rsidR="00373B78" w:rsidRPr="00373B78">
        <w:rPr>
          <w:rFonts w:eastAsia="Calibri"/>
          <w:i/>
          <w:iCs/>
          <w:szCs w:val="20"/>
          <w:lang w:val="en-US"/>
        </w:rPr>
        <w:t xml:space="preserve"> in Land-Use Planning and Industrial Safety</w:t>
      </w:r>
      <w:r w:rsidR="00373B78">
        <w:rPr>
          <w:rFonts w:eastAsia="Calibri"/>
          <w:szCs w:val="20"/>
          <w:lang w:val="en-US"/>
        </w:rPr>
        <w:t xml:space="preserve"> </w:t>
      </w:r>
      <w:r w:rsidR="00CB5993">
        <w:rPr>
          <w:rFonts w:eastAsia="Calibri"/>
          <w:szCs w:val="20"/>
          <w:lang w:val="en-US"/>
        </w:rPr>
        <w:t xml:space="preserve">must relate to </w:t>
      </w:r>
      <w:r w:rsidR="000116CC" w:rsidRPr="00366166">
        <w:rPr>
          <w:rFonts w:eastAsia="Calibri"/>
          <w:szCs w:val="20"/>
          <w:u w:val="single"/>
          <w:lang w:val="en-US"/>
        </w:rPr>
        <w:t xml:space="preserve">one or more of the following </w:t>
      </w:r>
      <w:r w:rsidR="00A92A9F" w:rsidRPr="00366166">
        <w:rPr>
          <w:rFonts w:eastAsia="Calibri"/>
          <w:szCs w:val="20"/>
          <w:u w:val="single"/>
          <w:lang w:val="en-US"/>
        </w:rPr>
        <w:t xml:space="preserve">three </w:t>
      </w:r>
      <w:r w:rsidR="00D53536" w:rsidRPr="00366166">
        <w:rPr>
          <w:rFonts w:eastAsia="Calibri"/>
          <w:szCs w:val="20"/>
          <w:u w:val="single"/>
          <w:lang w:val="en-US"/>
        </w:rPr>
        <w:t>topics</w:t>
      </w:r>
      <w:r w:rsidRPr="00E151D7">
        <w:rPr>
          <w:rFonts w:eastAsia="Calibri"/>
          <w:szCs w:val="20"/>
          <w:lang w:val="en-US"/>
        </w:rPr>
        <w:t>:</w:t>
      </w:r>
    </w:p>
    <w:p w14:paraId="688F8B42" w14:textId="5D77D052" w:rsidR="00B33F5C" w:rsidRDefault="00B43A8F" w:rsidP="00B33F5C">
      <w:pPr>
        <w:numPr>
          <w:ilvl w:val="0"/>
          <w:numId w:val="2"/>
        </w:numPr>
        <w:spacing w:before="100" w:beforeAutospacing="1"/>
        <w:jc w:val="both"/>
        <w:rPr>
          <w:rFonts w:eastAsia="Calibri"/>
          <w:szCs w:val="20"/>
          <w:lang w:val="en-US"/>
        </w:rPr>
      </w:pPr>
      <w:r>
        <w:rPr>
          <w:rFonts w:eastAsia="Calibri"/>
          <w:szCs w:val="20"/>
          <w:lang w:val="en-US"/>
        </w:rPr>
        <w:t>P</w:t>
      </w:r>
      <w:r w:rsidR="00B33F5C" w:rsidRPr="0096572C">
        <w:rPr>
          <w:rFonts w:eastAsia="Calibri"/>
          <w:szCs w:val="20"/>
          <w:lang w:val="en-US"/>
        </w:rPr>
        <w:t>olicies</w:t>
      </w:r>
      <w:r w:rsidR="00FF3CA4">
        <w:rPr>
          <w:rFonts w:eastAsia="Calibri"/>
          <w:szCs w:val="20"/>
          <w:lang w:val="en-US"/>
        </w:rPr>
        <w:t xml:space="preserve">, </w:t>
      </w:r>
      <w:r w:rsidR="00B33F5C" w:rsidRPr="00D0047E">
        <w:rPr>
          <w:rFonts w:eastAsia="Calibri"/>
          <w:szCs w:val="20"/>
          <w:lang w:val="en-US"/>
        </w:rPr>
        <w:t>legislation</w:t>
      </w:r>
      <w:r>
        <w:rPr>
          <w:rFonts w:eastAsia="Calibri"/>
          <w:szCs w:val="20"/>
          <w:lang w:val="en-US"/>
        </w:rPr>
        <w:t>,</w:t>
      </w:r>
      <w:r w:rsidR="008321C5">
        <w:rPr>
          <w:rFonts w:eastAsia="Calibri"/>
          <w:szCs w:val="20"/>
          <w:lang w:val="en-US"/>
        </w:rPr>
        <w:t xml:space="preserve"> </w:t>
      </w:r>
      <w:r w:rsidR="009C36EB" w:rsidRPr="009C36EB">
        <w:rPr>
          <w:rFonts w:eastAsia="Calibri"/>
          <w:szCs w:val="20"/>
          <w:lang w:val="en-US"/>
        </w:rPr>
        <w:t xml:space="preserve">plans, programmes, </w:t>
      </w:r>
      <w:r>
        <w:rPr>
          <w:rFonts w:eastAsia="Calibri"/>
          <w:szCs w:val="20"/>
          <w:lang w:val="en-US"/>
        </w:rPr>
        <w:t>measures</w:t>
      </w:r>
      <w:r w:rsidR="009C36EB">
        <w:rPr>
          <w:rFonts w:eastAsia="Calibri"/>
          <w:szCs w:val="20"/>
          <w:lang w:val="en-US"/>
        </w:rPr>
        <w:t xml:space="preserve"> or projects</w:t>
      </w:r>
      <w:r w:rsidR="009C36EB">
        <w:rPr>
          <w:rStyle w:val="FootnoteReference"/>
          <w:rFonts w:eastAsia="Calibri"/>
          <w:szCs w:val="20"/>
          <w:lang w:val="en-US"/>
        </w:rPr>
        <w:footnoteReference w:id="1"/>
      </w:r>
      <w:r w:rsidR="00846EC8">
        <w:rPr>
          <w:rFonts w:eastAsia="Calibri"/>
          <w:szCs w:val="20"/>
          <w:lang w:val="en-US"/>
        </w:rPr>
        <w:t xml:space="preserve"> </w:t>
      </w:r>
      <w:r w:rsidR="00B33F5C" w:rsidRPr="00D0047E">
        <w:rPr>
          <w:rFonts w:eastAsia="Calibri"/>
          <w:szCs w:val="20"/>
          <w:lang w:val="en-US"/>
        </w:rPr>
        <w:t>that address</w:t>
      </w:r>
      <w:r w:rsidR="00024AD5">
        <w:rPr>
          <w:rFonts w:eastAsia="Calibri"/>
          <w:szCs w:val="20"/>
          <w:lang w:val="en-US"/>
        </w:rPr>
        <w:t>:</w:t>
      </w:r>
    </w:p>
    <w:p w14:paraId="2CB01EBF" w14:textId="37D4A2B4" w:rsidR="00B33F5C" w:rsidRPr="006F7D9D" w:rsidRDefault="00B33F5C" w:rsidP="00B33F5C">
      <w:pPr>
        <w:numPr>
          <w:ilvl w:val="1"/>
          <w:numId w:val="2"/>
        </w:numPr>
        <w:spacing w:before="100" w:beforeAutospacing="1"/>
        <w:jc w:val="both"/>
        <w:rPr>
          <w:rFonts w:eastAsia="Calibri"/>
          <w:szCs w:val="20"/>
          <w:lang w:val="en-US"/>
        </w:rPr>
      </w:pPr>
      <w:r w:rsidRPr="006F7D9D">
        <w:rPr>
          <w:rFonts w:eastAsia="Calibri"/>
          <w:b/>
          <w:bCs/>
          <w:szCs w:val="20"/>
          <w:lang w:val="en-US"/>
        </w:rPr>
        <w:t>Industrial safety</w:t>
      </w:r>
      <w:r w:rsidR="00846EC8" w:rsidRPr="006F7D9D">
        <w:rPr>
          <w:rFonts w:eastAsia="Calibri"/>
          <w:szCs w:val="20"/>
          <w:lang w:val="en-US"/>
        </w:rPr>
        <w:t>, such as</w:t>
      </w:r>
      <w:r w:rsidR="00846EC8" w:rsidRPr="006F7D9D">
        <w:rPr>
          <w:rFonts w:eastAsia="Calibri"/>
          <w:b/>
          <w:bCs/>
          <w:szCs w:val="20"/>
          <w:lang w:val="en-US"/>
        </w:rPr>
        <w:t xml:space="preserve"> </w:t>
      </w:r>
      <w:r w:rsidRPr="006F7D9D">
        <w:rPr>
          <w:rFonts w:eastAsia="Calibri"/>
          <w:szCs w:val="20"/>
          <w:lang w:val="en-US"/>
        </w:rPr>
        <w:t>accident prevention, preparedness and response measures, risk assessment, industrial</w:t>
      </w:r>
      <w:r w:rsidR="0041345A">
        <w:rPr>
          <w:rFonts w:eastAsia="Calibri"/>
          <w:szCs w:val="20"/>
          <w:lang w:val="en-US"/>
        </w:rPr>
        <w:t>/chemical</w:t>
      </w:r>
      <w:r w:rsidRPr="006F7D9D">
        <w:rPr>
          <w:rFonts w:eastAsia="Calibri"/>
          <w:szCs w:val="20"/>
          <w:lang w:val="en-US"/>
        </w:rPr>
        <w:t xml:space="preserve"> facility development projects, </w:t>
      </w:r>
      <w:r w:rsidR="00E02411">
        <w:rPr>
          <w:rFonts w:eastAsia="Calibri"/>
          <w:szCs w:val="20"/>
          <w:lang w:val="en-US"/>
        </w:rPr>
        <w:t xml:space="preserve">modifications to the industrial facility and/or its operational activities, </w:t>
      </w:r>
      <w:r w:rsidRPr="006F7D9D">
        <w:rPr>
          <w:rFonts w:eastAsia="Calibri"/>
          <w:szCs w:val="20"/>
          <w:lang w:val="en-US"/>
        </w:rPr>
        <w:t>etc</w:t>
      </w:r>
      <w:r w:rsidR="003711A5">
        <w:rPr>
          <w:rFonts w:eastAsia="Calibri"/>
          <w:szCs w:val="20"/>
          <w:lang w:val="en-US"/>
        </w:rPr>
        <w:t>.</w:t>
      </w:r>
      <w:r w:rsidRPr="006F7D9D">
        <w:rPr>
          <w:rFonts w:eastAsia="Calibri"/>
          <w:szCs w:val="20"/>
          <w:lang w:val="en-US"/>
        </w:rPr>
        <w:t xml:space="preserve">, </w:t>
      </w:r>
      <w:r w:rsidRPr="006F7D9D">
        <w:rPr>
          <w:rFonts w:eastAsia="Calibri"/>
          <w:b/>
          <w:bCs/>
          <w:szCs w:val="20"/>
          <w:lang w:val="en-US"/>
        </w:rPr>
        <w:t>and</w:t>
      </w:r>
      <w:r w:rsidRPr="006F7D9D">
        <w:rPr>
          <w:rFonts w:eastAsia="Calibri"/>
          <w:szCs w:val="20"/>
          <w:lang w:val="en-US"/>
        </w:rPr>
        <w:t xml:space="preserve"> </w:t>
      </w:r>
    </w:p>
    <w:p w14:paraId="1ABBBD19" w14:textId="6E84F415" w:rsidR="00B33F5C" w:rsidRPr="006F7D9D" w:rsidRDefault="00B33F5C">
      <w:pPr>
        <w:numPr>
          <w:ilvl w:val="1"/>
          <w:numId w:val="2"/>
        </w:numPr>
        <w:spacing w:before="100" w:beforeAutospacing="1"/>
        <w:jc w:val="both"/>
        <w:rPr>
          <w:rFonts w:eastAsia="Calibri"/>
          <w:szCs w:val="20"/>
          <w:lang w:val="en-US"/>
        </w:rPr>
      </w:pPr>
      <w:r w:rsidRPr="006F7D9D">
        <w:rPr>
          <w:rFonts w:eastAsia="Calibri"/>
          <w:b/>
          <w:bCs/>
          <w:szCs w:val="20"/>
          <w:lang w:val="en-US"/>
        </w:rPr>
        <w:t>Land-use planning</w:t>
      </w:r>
      <w:r w:rsidR="00AB7624" w:rsidRPr="006F7D9D">
        <w:rPr>
          <w:rFonts w:eastAsia="Calibri"/>
          <w:b/>
          <w:bCs/>
          <w:szCs w:val="20"/>
          <w:lang w:val="en-US"/>
        </w:rPr>
        <w:t xml:space="preserve"> and s</w:t>
      </w:r>
      <w:r w:rsidR="00E810DB" w:rsidRPr="006F7D9D">
        <w:rPr>
          <w:rFonts w:eastAsia="Calibri"/>
          <w:b/>
          <w:bCs/>
          <w:szCs w:val="20"/>
          <w:lang w:val="en-US"/>
        </w:rPr>
        <w:t>iting decisions</w:t>
      </w:r>
      <w:r w:rsidR="00846EC8" w:rsidRPr="006F7D9D">
        <w:rPr>
          <w:rFonts w:eastAsia="Calibri"/>
          <w:szCs w:val="20"/>
          <w:lang w:val="en-US"/>
        </w:rPr>
        <w:t>, such as</w:t>
      </w:r>
      <w:r w:rsidRPr="006F7D9D">
        <w:rPr>
          <w:rFonts w:eastAsia="Calibri"/>
          <w:b/>
          <w:bCs/>
          <w:szCs w:val="20"/>
          <w:lang w:val="en-US"/>
        </w:rPr>
        <w:t xml:space="preserve"> </w:t>
      </w:r>
      <w:r w:rsidR="00846EC8" w:rsidRPr="006F7D9D">
        <w:rPr>
          <w:rFonts w:eastAsia="Calibri"/>
          <w:szCs w:val="20"/>
          <w:lang w:val="en-US"/>
        </w:rPr>
        <w:t>d</w:t>
      </w:r>
      <w:r w:rsidRPr="006F7D9D">
        <w:rPr>
          <w:rFonts w:eastAsia="Calibri"/>
          <w:szCs w:val="20"/>
          <w:lang w:val="en-US"/>
        </w:rPr>
        <w:t>ecision</w:t>
      </w:r>
      <w:r w:rsidR="00E810DB" w:rsidRPr="006F7D9D">
        <w:rPr>
          <w:rFonts w:eastAsia="Calibri"/>
          <w:szCs w:val="20"/>
          <w:lang w:val="en-US"/>
        </w:rPr>
        <w:t>-</w:t>
      </w:r>
      <w:r w:rsidRPr="006F7D9D">
        <w:rPr>
          <w:rFonts w:eastAsia="Calibri"/>
          <w:szCs w:val="20"/>
          <w:lang w:val="en-US"/>
        </w:rPr>
        <w:t xml:space="preserve">making on the siting </w:t>
      </w:r>
      <w:r w:rsidR="00B43A8F" w:rsidRPr="006F7D9D">
        <w:rPr>
          <w:rFonts w:eastAsia="Calibri"/>
          <w:szCs w:val="20"/>
          <w:lang w:val="en-US"/>
        </w:rPr>
        <w:t>or</w:t>
      </w:r>
      <w:r w:rsidR="00D05E00" w:rsidRPr="006F7D9D">
        <w:rPr>
          <w:rFonts w:eastAsia="Calibri"/>
          <w:szCs w:val="20"/>
          <w:lang w:val="en-US"/>
        </w:rPr>
        <w:t xml:space="preserve"> significant</w:t>
      </w:r>
      <w:r w:rsidR="00B43A8F" w:rsidRPr="006F7D9D">
        <w:rPr>
          <w:rFonts w:eastAsia="Calibri"/>
          <w:szCs w:val="20"/>
          <w:lang w:val="en-US"/>
        </w:rPr>
        <w:t xml:space="preserve"> modification </w:t>
      </w:r>
      <w:r w:rsidRPr="006F7D9D">
        <w:rPr>
          <w:rFonts w:eastAsia="Calibri"/>
          <w:szCs w:val="20"/>
          <w:lang w:val="en-US"/>
        </w:rPr>
        <w:t xml:space="preserve">of </w:t>
      </w:r>
      <w:r w:rsidR="00D05E00" w:rsidRPr="006F7D9D">
        <w:rPr>
          <w:rFonts w:eastAsia="Calibri"/>
          <w:szCs w:val="20"/>
          <w:lang w:val="en-US"/>
        </w:rPr>
        <w:t>chemical/</w:t>
      </w:r>
      <w:r w:rsidRPr="006F7D9D">
        <w:rPr>
          <w:rFonts w:eastAsia="Calibri"/>
          <w:szCs w:val="20"/>
          <w:lang w:val="en-US"/>
        </w:rPr>
        <w:t>industrial facilities</w:t>
      </w:r>
      <w:r w:rsidR="00EF35B1" w:rsidRPr="006F7D9D">
        <w:rPr>
          <w:rFonts w:eastAsia="Calibri"/>
          <w:szCs w:val="20"/>
          <w:lang w:val="en-US"/>
        </w:rPr>
        <w:t>, including those with potential transboundary effects</w:t>
      </w:r>
      <w:r w:rsidR="00372F60" w:rsidRPr="006F7D9D">
        <w:rPr>
          <w:rFonts w:eastAsia="Calibri"/>
          <w:szCs w:val="20"/>
          <w:lang w:val="en-US"/>
        </w:rPr>
        <w:t>.</w:t>
      </w:r>
      <w:r w:rsidR="00D05E00" w:rsidRPr="006F7D9D">
        <w:rPr>
          <w:rStyle w:val="FootnoteReference"/>
          <w:rFonts w:eastAsia="Calibri"/>
          <w:szCs w:val="20"/>
          <w:lang w:val="en-US"/>
        </w:rPr>
        <w:footnoteReference w:id="2"/>
      </w:r>
      <w:r w:rsidR="00075F6F" w:rsidRPr="006F7D9D">
        <w:rPr>
          <w:rStyle w:val="FootnoteReference"/>
          <w:rFonts w:eastAsia="Calibri"/>
          <w:szCs w:val="20"/>
          <w:lang w:val="en-US"/>
        </w:rPr>
        <w:t xml:space="preserve"> </w:t>
      </w:r>
    </w:p>
    <w:p w14:paraId="4AB56147" w14:textId="7FE0CBE7" w:rsidR="00B33F5C" w:rsidRPr="000116CC" w:rsidRDefault="009C36EB" w:rsidP="006F7D9D">
      <w:pPr>
        <w:snapToGrid w:val="0"/>
        <w:spacing w:before="120"/>
        <w:ind w:left="425"/>
        <w:jc w:val="both"/>
        <w:rPr>
          <w:rFonts w:eastAsia="Calibri"/>
          <w:szCs w:val="20"/>
          <w:lang w:val="en-US"/>
        </w:rPr>
      </w:pPr>
      <w:r>
        <w:rPr>
          <w:rFonts w:eastAsia="Calibri"/>
          <w:szCs w:val="20"/>
          <w:lang w:val="en-US"/>
        </w:rPr>
        <w:t>T</w:t>
      </w:r>
      <w:r w:rsidR="000116CC">
        <w:rPr>
          <w:rFonts w:eastAsia="Calibri"/>
          <w:szCs w:val="20"/>
          <w:lang w:val="en-US"/>
        </w:rPr>
        <w:t xml:space="preserve">he </w:t>
      </w:r>
      <w:r w:rsidR="00B97585">
        <w:rPr>
          <w:rFonts w:eastAsia="Calibri"/>
          <w:szCs w:val="20"/>
          <w:lang w:val="en-US"/>
        </w:rPr>
        <w:t>case study</w:t>
      </w:r>
      <w:r w:rsidR="000116CC">
        <w:rPr>
          <w:rFonts w:eastAsia="Calibri"/>
          <w:szCs w:val="20"/>
          <w:lang w:val="en-US"/>
        </w:rPr>
        <w:t xml:space="preserve"> may relate to</w:t>
      </w:r>
      <w:r w:rsidR="00B33F5C" w:rsidRPr="000116CC">
        <w:rPr>
          <w:rFonts w:eastAsia="Calibri"/>
          <w:szCs w:val="20"/>
          <w:lang w:val="en-US"/>
        </w:rPr>
        <w:t xml:space="preserve"> </w:t>
      </w:r>
      <w:r>
        <w:rPr>
          <w:rFonts w:eastAsia="Calibri"/>
          <w:szCs w:val="20"/>
          <w:lang w:val="en-US"/>
        </w:rPr>
        <w:t>the preparatory process/development covering aspects such as</w:t>
      </w:r>
      <w:r w:rsidR="00B33F5C" w:rsidRPr="000116CC">
        <w:rPr>
          <w:rFonts w:eastAsia="Calibri"/>
          <w:szCs w:val="20"/>
          <w:lang w:val="en-US"/>
        </w:rPr>
        <w:t xml:space="preserve">: </w:t>
      </w:r>
    </w:p>
    <w:p w14:paraId="39138114" w14:textId="364A0C96" w:rsidR="00CB5876" w:rsidRDefault="009C36EB" w:rsidP="00CB5876">
      <w:pPr>
        <w:numPr>
          <w:ilvl w:val="1"/>
          <w:numId w:val="4"/>
        </w:numPr>
        <w:snapToGrid w:val="0"/>
        <w:jc w:val="both"/>
        <w:rPr>
          <w:rFonts w:eastAsia="Calibri"/>
          <w:szCs w:val="20"/>
          <w:lang w:val="en-US"/>
        </w:rPr>
      </w:pPr>
      <w:r w:rsidRPr="009C36EB">
        <w:rPr>
          <w:rFonts w:eastAsia="Calibri"/>
          <w:szCs w:val="20"/>
          <w:lang w:val="en-US"/>
        </w:rPr>
        <w:t>The application of</w:t>
      </w:r>
      <w:r>
        <w:rPr>
          <w:rFonts w:eastAsia="Calibri"/>
          <w:b/>
          <w:bCs/>
          <w:szCs w:val="20"/>
          <w:lang w:val="en-US"/>
        </w:rPr>
        <w:t xml:space="preserve"> e</w:t>
      </w:r>
      <w:r w:rsidR="00B33F5C" w:rsidRPr="00B33F5C">
        <w:rPr>
          <w:rFonts w:eastAsia="Calibri"/>
          <w:b/>
          <w:bCs/>
          <w:szCs w:val="20"/>
          <w:lang w:val="en-US"/>
        </w:rPr>
        <w:t>nvironmental impact assessment</w:t>
      </w:r>
      <w:r w:rsidR="00B33F5C" w:rsidRPr="00126E3A">
        <w:rPr>
          <w:rFonts w:eastAsia="Calibri"/>
          <w:szCs w:val="20"/>
          <w:lang w:val="en-US"/>
        </w:rPr>
        <w:t xml:space="preserve"> </w:t>
      </w:r>
      <w:r w:rsidR="00B33F5C">
        <w:rPr>
          <w:rFonts w:eastAsia="Calibri"/>
          <w:szCs w:val="20"/>
          <w:lang w:val="en-US"/>
        </w:rPr>
        <w:t xml:space="preserve">(EIA) and/or </w:t>
      </w:r>
      <w:r>
        <w:rPr>
          <w:rFonts w:eastAsia="Calibri"/>
          <w:b/>
          <w:bCs/>
          <w:szCs w:val="20"/>
          <w:lang w:val="en-US"/>
        </w:rPr>
        <w:t>s</w:t>
      </w:r>
      <w:r w:rsidR="00B33F5C" w:rsidRPr="00B33F5C">
        <w:rPr>
          <w:rFonts w:eastAsia="Calibri"/>
          <w:b/>
          <w:bCs/>
          <w:szCs w:val="20"/>
          <w:lang w:val="en-US"/>
        </w:rPr>
        <w:t>trategic environmental assessment</w:t>
      </w:r>
      <w:r w:rsidR="00B33F5C">
        <w:rPr>
          <w:rFonts w:eastAsia="Calibri"/>
          <w:szCs w:val="20"/>
          <w:lang w:val="en-US"/>
        </w:rPr>
        <w:t xml:space="preserve"> (SEA), </w:t>
      </w:r>
    </w:p>
    <w:p w14:paraId="1CD89BB3" w14:textId="0BA9FFEF" w:rsidR="00DB4D76" w:rsidRPr="00CB5876" w:rsidRDefault="00B33F5C" w:rsidP="00CB5876">
      <w:pPr>
        <w:numPr>
          <w:ilvl w:val="1"/>
          <w:numId w:val="4"/>
        </w:numPr>
        <w:snapToGrid w:val="0"/>
        <w:jc w:val="both"/>
        <w:rPr>
          <w:rFonts w:eastAsia="Calibri"/>
          <w:szCs w:val="20"/>
          <w:lang w:val="en-US"/>
        </w:rPr>
      </w:pPr>
      <w:r w:rsidRPr="00CB5876">
        <w:rPr>
          <w:rFonts w:eastAsia="Calibri"/>
          <w:b/>
          <w:bCs/>
          <w:szCs w:val="20"/>
          <w:lang w:val="en-US"/>
        </w:rPr>
        <w:t>Public participation and</w:t>
      </w:r>
      <w:r w:rsidR="004F79D4">
        <w:rPr>
          <w:rFonts w:eastAsia="Calibri"/>
          <w:b/>
          <w:bCs/>
          <w:szCs w:val="20"/>
          <w:lang w:val="en-US"/>
        </w:rPr>
        <w:t xml:space="preserve"> provision of</w:t>
      </w:r>
      <w:r w:rsidRPr="00CB5876">
        <w:rPr>
          <w:rFonts w:eastAsia="Calibri"/>
          <w:b/>
          <w:bCs/>
          <w:szCs w:val="20"/>
          <w:lang w:val="en-US"/>
        </w:rPr>
        <w:t xml:space="preserve"> information to the public</w:t>
      </w:r>
      <w:r w:rsidR="00CB5993" w:rsidRPr="00CB5876">
        <w:rPr>
          <w:rFonts w:eastAsia="Calibri"/>
          <w:szCs w:val="20"/>
          <w:lang w:val="en-US"/>
        </w:rPr>
        <w:t xml:space="preserve">, </w:t>
      </w:r>
      <w:r w:rsidR="00FF3CA4" w:rsidRPr="00CB5876">
        <w:rPr>
          <w:rFonts w:eastAsia="Calibri"/>
          <w:szCs w:val="20"/>
          <w:lang w:val="en-US"/>
        </w:rPr>
        <w:t>and/or</w:t>
      </w:r>
      <w:r w:rsidR="00DB4D76" w:rsidRPr="00CB5876">
        <w:rPr>
          <w:rFonts w:eastAsia="Calibri"/>
          <w:szCs w:val="20"/>
          <w:lang w:val="en-US"/>
        </w:rPr>
        <w:t xml:space="preserve"> </w:t>
      </w:r>
    </w:p>
    <w:p w14:paraId="6F270A27" w14:textId="31FFCF9F" w:rsidR="00DB4D76" w:rsidRPr="00372F60" w:rsidRDefault="00BF5AE5" w:rsidP="00372F60">
      <w:pPr>
        <w:numPr>
          <w:ilvl w:val="1"/>
          <w:numId w:val="4"/>
        </w:numPr>
        <w:spacing w:before="100" w:beforeAutospacing="1"/>
        <w:jc w:val="both"/>
        <w:rPr>
          <w:rFonts w:eastAsia="Calibri"/>
          <w:szCs w:val="20"/>
          <w:lang w:val="en-US"/>
        </w:rPr>
      </w:pPr>
      <w:r w:rsidRPr="00F168C3">
        <w:rPr>
          <w:rFonts w:eastAsia="Calibri"/>
          <w:szCs w:val="20"/>
          <w:lang w:val="en-US"/>
        </w:rPr>
        <w:t xml:space="preserve">Consideration of </w:t>
      </w:r>
      <w:r w:rsidR="00CB5993" w:rsidRPr="00C06627">
        <w:rPr>
          <w:rFonts w:eastAsia="Calibri"/>
          <w:b/>
          <w:bCs/>
          <w:szCs w:val="20"/>
          <w:lang w:val="en-US"/>
        </w:rPr>
        <w:t>Disaster Risk Reduction</w:t>
      </w:r>
      <w:r w:rsidR="00DB4D76">
        <w:rPr>
          <w:rFonts w:eastAsia="Calibri"/>
          <w:szCs w:val="20"/>
          <w:lang w:val="en-US"/>
        </w:rPr>
        <w:t xml:space="preserve"> </w:t>
      </w:r>
      <w:r w:rsidR="00F929FD">
        <w:rPr>
          <w:rFonts w:eastAsia="Calibri"/>
          <w:szCs w:val="20"/>
          <w:lang w:val="en-US"/>
        </w:rPr>
        <w:t>(</w:t>
      </w:r>
      <w:r w:rsidR="00DB4D76" w:rsidRPr="00846EC8">
        <w:rPr>
          <w:rFonts w:eastAsia="Calibri"/>
          <w:szCs w:val="20"/>
          <w:lang w:val="en-US"/>
        </w:rPr>
        <w:t>prevent</w:t>
      </w:r>
      <w:r w:rsidR="00F104D9">
        <w:rPr>
          <w:rFonts w:eastAsia="Calibri"/>
          <w:szCs w:val="20"/>
          <w:lang w:val="en-US"/>
        </w:rPr>
        <w:t xml:space="preserve">ing </w:t>
      </w:r>
      <w:r w:rsidR="00DB4D76" w:rsidRPr="00846EC8">
        <w:rPr>
          <w:rFonts w:eastAsia="Calibri"/>
          <w:szCs w:val="20"/>
          <w:lang w:val="en-US"/>
        </w:rPr>
        <w:t>new disaster risk, reduc</w:t>
      </w:r>
      <w:r w:rsidR="00F104D9">
        <w:rPr>
          <w:rFonts w:eastAsia="Calibri"/>
          <w:szCs w:val="20"/>
          <w:lang w:val="en-US"/>
        </w:rPr>
        <w:t>ing</w:t>
      </w:r>
      <w:r w:rsidR="00DB4D76" w:rsidRPr="00846EC8">
        <w:rPr>
          <w:rFonts w:eastAsia="Calibri"/>
          <w:szCs w:val="20"/>
          <w:lang w:val="en-US"/>
        </w:rPr>
        <w:t xml:space="preserve"> existing disaster risk and manag</w:t>
      </w:r>
      <w:r w:rsidR="00F104D9">
        <w:rPr>
          <w:rFonts w:eastAsia="Calibri"/>
          <w:szCs w:val="20"/>
          <w:lang w:val="en-US"/>
        </w:rPr>
        <w:t>ing</w:t>
      </w:r>
      <w:r w:rsidR="00DB4D76" w:rsidRPr="00846EC8">
        <w:rPr>
          <w:rFonts w:eastAsia="Calibri"/>
          <w:szCs w:val="20"/>
          <w:lang w:val="en-US"/>
        </w:rPr>
        <w:t xml:space="preserve"> residual risk </w:t>
      </w:r>
      <w:r w:rsidR="00DB4D76">
        <w:rPr>
          <w:rFonts w:eastAsia="Calibri"/>
          <w:szCs w:val="20"/>
          <w:lang w:val="en-US"/>
        </w:rPr>
        <w:t>related to technological</w:t>
      </w:r>
      <w:r w:rsidR="00F929FD">
        <w:rPr>
          <w:rFonts w:eastAsia="Calibri"/>
          <w:szCs w:val="20"/>
          <w:lang w:val="en-US"/>
        </w:rPr>
        <w:t>/industrial</w:t>
      </w:r>
      <w:r w:rsidR="00DB4D76">
        <w:rPr>
          <w:rFonts w:eastAsia="Calibri"/>
          <w:szCs w:val="20"/>
          <w:lang w:val="en-US"/>
        </w:rPr>
        <w:t xml:space="preserve"> hazards or natural hazards which could trigger technological accidents (</w:t>
      </w:r>
      <w:r w:rsidR="00F929FD">
        <w:rPr>
          <w:rFonts w:eastAsia="Calibri"/>
          <w:szCs w:val="20"/>
          <w:lang w:val="en-US"/>
        </w:rPr>
        <w:t>also known as ‘</w:t>
      </w:r>
      <w:r w:rsidR="00DB4D76">
        <w:rPr>
          <w:rFonts w:eastAsia="Calibri"/>
          <w:szCs w:val="20"/>
          <w:lang w:val="en-US"/>
        </w:rPr>
        <w:t>NaTech</w:t>
      </w:r>
      <w:r w:rsidR="00F929FD">
        <w:rPr>
          <w:rFonts w:eastAsia="Calibri"/>
          <w:szCs w:val="20"/>
          <w:lang w:val="en-US"/>
        </w:rPr>
        <w:t>’</w:t>
      </w:r>
      <w:r w:rsidR="00DB4D76">
        <w:rPr>
          <w:rFonts w:eastAsia="Calibri"/>
          <w:szCs w:val="20"/>
          <w:lang w:val="en-US"/>
        </w:rPr>
        <w:t xml:space="preserve"> events)</w:t>
      </w:r>
      <w:r w:rsidR="00F104D9">
        <w:rPr>
          <w:rFonts w:eastAsia="Calibri"/>
          <w:szCs w:val="20"/>
          <w:lang w:val="en-US"/>
        </w:rPr>
        <w:t>, functioning of multi-hazard early warning system</w:t>
      </w:r>
      <w:r w:rsidR="00B854CD">
        <w:rPr>
          <w:rFonts w:eastAsia="Calibri"/>
          <w:szCs w:val="20"/>
          <w:lang w:val="en-US"/>
        </w:rPr>
        <w:t>s,</w:t>
      </w:r>
      <w:r w:rsidR="004F79D4">
        <w:rPr>
          <w:rFonts w:eastAsia="Calibri"/>
          <w:szCs w:val="20"/>
          <w:lang w:val="en-US"/>
        </w:rPr>
        <w:t xml:space="preserve"> and</w:t>
      </w:r>
      <w:r w:rsidR="00B854CD">
        <w:rPr>
          <w:rFonts w:eastAsia="Calibri"/>
          <w:szCs w:val="20"/>
          <w:lang w:val="en-US"/>
        </w:rPr>
        <w:t>/or</w:t>
      </w:r>
      <w:r w:rsidR="004F79D4">
        <w:rPr>
          <w:rFonts w:eastAsia="Calibri"/>
          <w:szCs w:val="20"/>
          <w:lang w:val="en-US"/>
        </w:rPr>
        <w:t xml:space="preserve"> </w:t>
      </w:r>
      <w:r w:rsidR="00B854CD">
        <w:rPr>
          <w:rFonts w:eastAsia="Calibri"/>
          <w:szCs w:val="20"/>
          <w:lang w:val="en-US"/>
        </w:rPr>
        <w:t>building back</w:t>
      </w:r>
      <w:r w:rsidR="004F79D4">
        <w:rPr>
          <w:rFonts w:eastAsia="Calibri"/>
          <w:szCs w:val="20"/>
          <w:lang w:val="en-US"/>
        </w:rPr>
        <w:t xml:space="preserve"> better</w:t>
      </w:r>
      <w:r w:rsidR="00D05E00">
        <w:rPr>
          <w:rFonts w:eastAsia="Calibri"/>
          <w:szCs w:val="20"/>
          <w:lang w:val="en-US"/>
        </w:rPr>
        <w:t>)</w:t>
      </w:r>
      <w:r w:rsidR="002F6991">
        <w:rPr>
          <w:rFonts w:eastAsia="Calibri"/>
          <w:szCs w:val="20"/>
          <w:lang w:val="en-US"/>
        </w:rPr>
        <w:t>.</w:t>
      </w:r>
    </w:p>
    <w:p w14:paraId="16A4B488" w14:textId="0F6F80F6" w:rsidR="00777EC8" w:rsidRPr="00777EC8" w:rsidRDefault="00777EC8" w:rsidP="00990BB1">
      <w:pPr>
        <w:snapToGrid w:val="0"/>
        <w:spacing w:before="120" w:after="240"/>
        <w:ind w:left="425"/>
        <w:jc w:val="both"/>
        <w:rPr>
          <w:rFonts w:eastAsia="Calibri"/>
          <w:szCs w:val="20"/>
          <w:lang w:val="en-US"/>
        </w:rPr>
      </w:pPr>
      <w:r>
        <w:rPr>
          <w:rFonts w:eastAsia="Calibri"/>
          <w:szCs w:val="20"/>
          <w:lang w:val="en-US"/>
        </w:rPr>
        <w:t>The case studies should p</w:t>
      </w:r>
      <w:r w:rsidRPr="00777EC8">
        <w:rPr>
          <w:rFonts w:eastAsia="Calibri"/>
          <w:szCs w:val="20"/>
          <w:lang w:val="en-US"/>
        </w:rPr>
        <w:t xml:space="preserve">referably </w:t>
      </w:r>
      <w:r>
        <w:rPr>
          <w:rFonts w:eastAsia="Calibri"/>
          <w:szCs w:val="20"/>
          <w:lang w:val="en-US"/>
        </w:rPr>
        <w:t>have</w:t>
      </w:r>
      <w:r w:rsidRPr="00777EC8">
        <w:rPr>
          <w:rFonts w:eastAsia="Calibri"/>
          <w:szCs w:val="20"/>
          <w:lang w:val="en-US"/>
        </w:rPr>
        <w:t xml:space="preserve"> links to the relevant UNECE instruments/conventions, frameworks and tools</w:t>
      </w:r>
      <w:r>
        <w:rPr>
          <w:rStyle w:val="FootnoteReference"/>
          <w:rFonts w:eastAsia="Calibri"/>
          <w:szCs w:val="20"/>
          <w:lang w:val="en-US"/>
        </w:rPr>
        <w:footnoteReference w:id="3"/>
      </w:r>
      <w:r>
        <w:rPr>
          <w:rFonts w:eastAsia="Calibri"/>
          <w:szCs w:val="20"/>
          <w:lang w:val="en-US"/>
        </w:rPr>
        <w:t>.</w:t>
      </w:r>
    </w:p>
    <w:p w14:paraId="5D20A485" w14:textId="1A18976F" w:rsidR="00CD2D16" w:rsidRDefault="00B33F5C" w:rsidP="00CD2D16">
      <w:pPr>
        <w:numPr>
          <w:ilvl w:val="0"/>
          <w:numId w:val="2"/>
        </w:numPr>
        <w:snapToGrid w:val="0"/>
        <w:spacing w:after="120"/>
        <w:ind w:left="357" w:hanging="357"/>
        <w:jc w:val="both"/>
        <w:rPr>
          <w:rFonts w:eastAsia="Calibri"/>
          <w:szCs w:val="20"/>
          <w:lang w:val="en-US"/>
        </w:rPr>
      </w:pPr>
      <w:r w:rsidRPr="00CD2D16">
        <w:rPr>
          <w:rFonts w:eastAsia="Calibri"/>
          <w:szCs w:val="20"/>
          <w:lang w:val="en-US"/>
        </w:rPr>
        <w:t xml:space="preserve">Case </w:t>
      </w:r>
      <w:r w:rsidR="002B6D7D">
        <w:rPr>
          <w:rFonts w:eastAsia="Calibri"/>
          <w:szCs w:val="20"/>
          <w:lang w:val="en-US"/>
        </w:rPr>
        <w:t xml:space="preserve">study </w:t>
      </w:r>
      <w:r w:rsidRPr="00CD2D16">
        <w:rPr>
          <w:rFonts w:eastAsia="Calibri"/>
          <w:szCs w:val="20"/>
          <w:lang w:val="en-US"/>
        </w:rPr>
        <w:t xml:space="preserve">examples of </w:t>
      </w:r>
      <w:r w:rsidRPr="00CD2D16">
        <w:rPr>
          <w:rFonts w:eastAsia="Calibri"/>
          <w:b/>
          <w:bCs/>
          <w:szCs w:val="20"/>
          <w:lang w:val="en-US"/>
        </w:rPr>
        <w:t>legislative</w:t>
      </w:r>
      <w:r w:rsidR="004F79D4">
        <w:rPr>
          <w:rFonts w:eastAsia="Calibri"/>
          <w:b/>
          <w:bCs/>
          <w:szCs w:val="20"/>
          <w:lang w:val="en-US"/>
        </w:rPr>
        <w:t xml:space="preserve">, </w:t>
      </w:r>
      <w:r w:rsidRPr="00CD2D16">
        <w:rPr>
          <w:rFonts w:eastAsia="Calibri"/>
          <w:b/>
          <w:bCs/>
          <w:szCs w:val="20"/>
          <w:lang w:val="en-US"/>
        </w:rPr>
        <w:t>policy</w:t>
      </w:r>
      <w:r w:rsidRPr="00CD2D16">
        <w:rPr>
          <w:rFonts w:eastAsia="Calibri"/>
          <w:szCs w:val="20"/>
          <w:lang w:val="en-US"/>
        </w:rPr>
        <w:t xml:space="preserve"> or </w:t>
      </w:r>
      <w:r w:rsidRPr="00CD2D16">
        <w:rPr>
          <w:rFonts w:eastAsia="Calibri"/>
          <w:b/>
          <w:bCs/>
          <w:szCs w:val="20"/>
          <w:lang w:val="en-US"/>
        </w:rPr>
        <w:t>organizational/structural changes</w:t>
      </w:r>
      <w:r w:rsidR="00CD2D16">
        <w:rPr>
          <w:rFonts w:eastAsia="Calibri"/>
          <w:b/>
          <w:bCs/>
          <w:szCs w:val="20"/>
          <w:lang w:val="en-US"/>
        </w:rPr>
        <w:t>, or other measures taken</w:t>
      </w:r>
      <w:r w:rsidRPr="00CD2D16">
        <w:rPr>
          <w:rFonts w:eastAsia="Calibri"/>
          <w:szCs w:val="20"/>
          <w:lang w:val="en-US"/>
        </w:rPr>
        <w:t xml:space="preserve"> </w:t>
      </w:r>
      <w:r w:rsidR="00B43A8F" w:rsidRPr="00CD2D16">
        <w:rPr>
          <w:rFonts w:eastAsia="Calibri"/>
          <w:szCs w:val="20"/>
          <w:lang w:val="en-US"/>
        </w:rPr>
        <w:t xml:space="preserve">to </w:t>
      </w:r>
      <w:r w:rsidR="00CD2D16" w:rsidRPr="00CD2D16">
        <w:rPr>
          <w:rFonts w:eastAsia="Calibri"/>
          <w:szCs w:val="20"/>
          <w:lang w:val="en-US"/>
        </w:rPr>
        <w:t xml:space="preserve">reduce exposure and vulnerability to disaster risks and </w:t>
      </w:r>
      <w:r w:rsidR="00071579">
        <w:rPr>
          <w:rFonts w:eastAsia="Calibri"/>
          <w:szCs w:val="20"/>
          <w:lang w:val="en-US"/>
        </w:rPr>
        <w:t xml:space="preserve">to </w:t>
      </w:r>
      <w:r w:rsidR="00B43A8F" w:rsidRPr="00CD2D16">
        <w:rPr>
          <w:rFonts w:eastAsia="Calibri"/>
          <w:szCs w:val="20"/>
          <w:lang w:val="en-US"/>
        </w:rPr>
        <w:t>enhance industrial safety</w:t>
      </w:r>
      <w:r w:rsidR="00CD2D16" w:rsidRPr="00CD2D16">
        <w:rPr>
          <w:rFonts w:eastAsia="Calibri"/>
          <w:szCs w:val="20"/>
          <w:lang w:val="en-US"/>
        </w:rPr>
        <w:t xml:space="preserve"> through respective land-use planning and siting decisions or practices, </w:t>
      </w:r>
      <w:r w:rsidR="00CD2D16">
        <w:rPr>
          <w:rFonts w:eastAsia="Calibri"/>
          <w:szCs w:val="20"/>
          <w:lang w:val="en-US"/>
        </w:rPr>
        <w:t>for example addressing:</w:t>
      </w:r>
    </w:p>
    <w:p w14:paraId="23ACD289" w14:textId="49D53A87" w:rsidR="00CD2D16" w:rsidRPr="00F642C3" w:rsidRDefault="0037083A" w:rsidP="00F642C3">
      <w:pPr>
        <w:pStyle w:val="ListParagraph"/>
        <w:numPr>
          <w:ilvl w:val="0"/>
          <w:numId w:val="7"/>
        </w:numPr>
        <w:snapToGrid w:val="0"/>
        <w:spacing w:after="120"/>
        <w:jc w:val="both"/>
        <w:rPr>
          <w:rFonts w:eastAsia="Calibri"/>
          <w:szCs w:val="20"/>
          <w:lang w:val="en-US"/>
        </w:rPr>
      </w:pPr>
      <w:r>
        <w:rPr>
          <w:rFonts w:eastAsia="Calibri"/>
          <w:szCs w:val="20"/>
          <w:lang w:val="en-US"/>
        </w:rPr>
        <w:lastRenderedPageBreak/>
        <w:t>P</w:t>
      </w:r>
      <w:r w:rsidR="00B43A8F" w:rsidRPr="00F642C3">
        <w:rPr>
          <w:rFonts w:eastAsia="Calibri"/>
          <w:szCs w:val="20"/>
          <w:lang w:val="en-US"/>
        </w:rPr>
        <w:t xml:space="preserve">ublic </w:t>
      </w:r>
      <w:r w:rsidR="004F79D4">
        <w:rPr>
          <w:rFonts w:eastAsia="Calibri"/>
          <w:szCs w:val="20"/>
          <w:lang w:val="en-US"/>
        </w:rPr>
        <w:t xml:space="preserve">access to </w:t>
      </w:r>
      <w:r w:rsidR="00B43A8F" w:rsidRPr="00F642C3">
        <w:rPr>
          <w:rFonts w:eastAsia="Calibri"/>
          <w:szCs w:val="20"/>
          <w:lang w:val="en-US"/>
        </w:rPr>
        <w:t>information and participation</w:t>
      </w:r>
      <w:r w:rsidR="00CD2D16" w:rsidRPr="00F642C3">
        <w:rPr>
          <w:rFonts w:eastAsia="Calibri"/>
          <w:szCs w:val="20"/>
          <w:lang w:val="en-US"/>
        </w:rPr>
        <w:t xml:space="preserve"> in decision-making on land-use planning/siting</w:t>
      </w:r>
      <w:r w:rsidR="006A070A">
        <w:rPr>
          <w:rFonts w:eastAsia="Calibri"/>
          <w:szCs w:val="20"/>
          <w:lang w:val="en-US"/>
        </w:rPr>
        <w:t>/industrial safety</w:t>
      </w:r>
      <w:r w:rsidR="009F3ECB" w:rsidRPr="00F642C3">
        <w:rPr>
          <w:rFonts w:eastAsia="Calibri"/>
          <w:szCs w:val="20"/>
          <w:lang w:val="en-US"/>
        </w:rPr>
        <w:t>, incl</w:t>
      </w:r>
      <w:r w:rsidR="008715DE">
        <w:rPr>
          <w:rFonts w:eastAsia="Calibri"/>
          <w:szCs w:val="20"/>
          <w:lang w:val="en-US"/>
        </w:rPr>
        <w:t>uding</w:t>
      </w:r>
      <w:r w:rsidR="009F3ECB" w:rsidRPr="00F642C3">
        <w:rPr>
          <w:rFonts w:eastAsia="Calibri"/>
          <w:szCs w:val="20"/>
          <w:lang w:val="en-US"/>
        </w:rPr>
        <w:t xml:space="preserve"> of vulnerable persons or groups</w:t>
      </w:r>
      <w:r w:rsidR="002F6991">
        <w:rPr>
          <w:rFonts w:eastAsia="Calibri"/>
          <w:szCs w:val="20"/>
          <w:lang w:val="en-US"/>
        </w:rPr>
        <w:t>,</w:t>
      </w:r>
    </w:p>
    <w:p w14:paraId="5CE1914A" w14:textId="62217B74" w:rsidR="00F50DFC" w:rsidRDefault="00F168C3" w:rsidP="00F642C3">
      <w:pPr>
        <w:pStyle w:val="ListParagraph"/>
        <w:numPr>
          <w:ilvl w:val="0"/>
          <w:numId w:val="7"/>
        </w:numPr>
        <w:snapToGrid w:val="0"/>
        <w:spacing w:after="120"/>
        <w:jc w:val="both"/>
        <w:rPr>
          <w:rFonts w:eastAsia="Calibri"/>
          <w:szCs w:val="20"/>
          <w:lang w:val="en-US"/>
        </w:rPr>
      </w:pPr>
      <w:r>
        <w:rPr>
          <w:rFonts w:eastAsia="Calibri"/>
          <w:szCs w:val="20"/>
          <w:lang w:val="en-US"/>
        </w:rPr>
        <w:t>Consistent and effective u</w:t>
      </w:r>
      <w:r w:rsidR="00CD2D16" w:rsidRPr="00F642C3">
        <w:rPr>
          <w:rFonts w:eastAsia="Calibri"/>
          <w:szCs w:val="20"/>
          <w:lang w:val="en-US"/>
        </w:rPr>
        <w:t>se of SEA (for land-use plans</w:t>
      </w:r>
      <w:r w:rsidR="00504F24">
        <w:rPr>
          <w:rFonts w:eastAsia="Calibri"/>
          <w:szCs w:val="20"/>
          <w:lang w:val="en-US"/>
        </w:rPr>
        <w:t xml:space="preserve"> and programmes</w:t>
      </w:r>
      <w:r w:rsidR="00CD2D16" w:rsidRPr="00F642C3">
        <w:rPr>
          <w:rFonts w:eastAsia="Calibri"/>
          <w:szCs w:val="20"/>
          <w:lang w:val="en-US"/>
        </w:rPr>
        <w:t xml:space="preserve">) and/or EIA (for </w:t>
      </w:r>
      <w:r w:rsidR="00504F24">
        <w:rPr>
          <w:rFonts w:eastAsia="Calibri"/>
          <w:szCs w:val="20"/>
          <w:lang w:val="en-US"/>
        </w:rPr>
        <w:t>planned</w:t>
      </w:r>
      <w:r w:rsidR="00CD2D16" w:rsidRPr="00F642C3">
        <w:rPr>
          <w:rFonts w:eastAsia="Calibri"/>
          <w:szCs w:val="20"/>
          <w:lang w:val="en-US"/>
        </w:rPr>
        <w:t xml:space="preserve"> siting </w:t>
      </w:r>
      <w:r w:rsidR="00504F24">
        <w:rPr>
          <w:rFonts w:eastAsia="Calibri"/>
          <w:szCs w:val="20"/>
          <w:lang w:val="en-US"/>
        </w:rPr>
        <w:t>or</w:t>
      </w:r>
      <w:r w:rsidR="00504F24" w:rsidRPr="00F642C3">
        <w:rPr>
          <w:rFonts w:eastAsia="Calibri"/>
          <w:szCs w:val="20"/>
          <w:lang w:val="en-US"/>
        </w:rPr>
        <w:t xml:space="preserve"> </w:t>
      </w:r>
      <w:r w:rsidR="00CD2D16" w:rsidRPr="00F642C3">
        <w:rPr>
          <w:rFonts w:eastAsia="Calibri"/>
          <w:szCs w:val="20"/>
          <w:lang w:val="en-US"/>
        </w:rPr>
        <w:t>modification of hazardous activities)</w:t>
      </w:r>
      <w:r w:rsidR="002F6991">
        <w:rPr>
          <w:rFonts w:eastAsia="Calibri"/>
          <w:szCs w:val="20"/>
          <w:lang w:val="en-US"/>
        </w:rPr>
        <w:t xml:space="preserve">, </w:t>
      </w:r>
    </w:p>
    <w:p w14:paraId="65E2B99A" w14:textId="6730252A" w:rsidR="009C3391" w:rsidRPr="009C3391" w:rsidRDefault="009C3391" w:rsidP="009C3391">
      <w:pPr>
        <w:pStyle w:val="ListParagraph"/>
        <w:numPr>
          <w:ilvl w:val="0"/>
          <w:numId w:val="7"/>
        </w:numPr>
        <w:snapToGrid w:val="0"/>
        <w:spacing w:after="120"/>
        <w:jc w:val="both"/>
        <w:rPr>
          <w:rFonts w:eastAsia="Calibri"/>
          <w:szCs w:val="20"/>
          <w:lang w:val="en-US"/>
        </w:rPr>
      </w:pPr>
      <w:r w:rsidRPr="009C3391">
        <w:rPr>
          <w:rFonts w:eastAsia="Calibri"/>
          <w:szCs w:val="20"/>
          <w:lang w:val="en-US"/>
        </w:rPr>
        <w:t>Use of web applications, digital technologies and other tools for communicating the risks between planners, safety experts, other experts, and the public (for example, hazard/risk identification tools, pollutant release and transfer registers, data crowdsourcing, or online education and training tools),</w:t>
      </w:r>
    </w:p>
    <w:p w14:paraId="53A4FB17" w14:textId="2BC21F7F" w:rsidR="00D05E00" w:rsidRDefault="0037083A" w:rsidP="00F642C3">
      <w:pPr>
        <w:pStyle w:val="ListParagraph"/>
        <w:numPr>
          <w:ilvl w:val="0"/>
          <w:numId w:val="7"/>
        </w:numPr>
        <w:snapToGrid w:val="0"/>
        <w:spacing w:after="120"/>
        <w:jc w:val="both"/>
        <w:rPr>
          <w:rFonts w:eastAsia="Calibri"/>
          <w:szCs w:val="20"/>
          <w:lang w:val="en-US"/>
        </w:rPr>
      </w:pPr>
      <w:r>
        <w:rPr>
          <w:rFonts w:eastAsia="Calibri"/>
          <w:szCs w:val="20"/>
          <w:lang w:val="en-US"/>
        </w:rPr>
        <w:t>C</w:t>
      </w:r>
      <w:r w:rsidR="00B33F5C" w:rsidRPr="002F6991">
        <w:rPr>
          <w:rFonts w:eastAsia="Calibri"/>
          <w:szCs w:val="20"/>
          <w:lang w:val="en-US"/>
        </w:rPr>
        <w:t>ooperation between experts</w:t>
      </w:r>
      <w:r w:rsidR="00B33F5C" w:rsidRPr="00F642C3">
        <w:rPr>
          <w:rFonts w:eastAsia="Calibri"/>
          <w:szCs w:val="20"/>
          <w:lang w:val="en-US"/>
        </w:rPr>
        <w:t xml:space="preserve"> in industrial safety, land-use planning, environmental assessment</w:t>
      </w:r>
      <w:r w:rsidR="00332EDC">
        <w:rPr>
          <w:rFonts w:eastAsia="Calibri"/>
          <w:szCs w:val="20"/>
          <w:lang w:val="en-US"/>
        </w:rPr>
        <w:t>,</w:t>
      </w:r>
      <w:r w:rsidR="00B33F5C" w:rsidRPr="00F642C3">
        <w:rPr>
          <w:rFonts w:eastAsia="Calibri"/>
          <w:szCs w:val="20"/>
          <w:lang w:val="en-US"/>
        </w:rPr>
        <w:t xml:space="preserve"> public participation</w:t>
      </w:r>
      <w:r w:rsidR="00332EDC">
        <w:rPr>
          <w:rFonts w:eastAsia="Calibri"/>
          <w:szCs w:val="20"/>
          <w:lang w:val="en-US"/>
        </w:rPr>
        <w:t xml:space="preserve"> and</w:t>
      </w:r>
      <w:r w:rsidR="00B33F5C" w:rsidRPr="00F642C3">
        <w:rPr>
          <w:rFonts w:eastAsia="Calibri"/>
          <w:szCs w:val="20"/>
          <w:lang w:val="en-US"/>
        </w:rPr>
        <w:t>/</w:t>
      </w:r>
      <w:r w:rsidR="00332EDC">
        <w:rPr>
          <w:rFonts w:eastAsia="Calibri"/>
          <w:szCs w:val="20"/>
          <w:lang w:val="en-US"/>
        </w:rPr>
        <w:t xml:space="preserve">or </w:t>
      </w:r>
      <w:r w:rsidR="00B33F5C" w:rsidRPr="00F642C3">
        <w:rPr>
          <w:rFonts w:eastAsia="Calibri"/>
          <w:szCs w:val="20"/>
          <w:lang w:val="en-US"/>
        </w:rPr>
        <w:t xml:space="preserve">information </w:t>
      </w:r>
      <w:r w:rsidR="00332EDC">
        <w:rPr>
          <w:rFonts w:eastAsia="Calibri"/>
          <w:szCs w:val="20"/>
          <w:lang w:val="en-US"/>
        </w:rPr>
        <w:t>management and communication</w:t>
      </w:r>
      <w:r w:rsidR="00366166">
        <w:rPr>
          <w:rFonts w:eastAsia="Calibri"/>
          <w:szCs w:val="20"/>
          <w:lang w:val="en-US"/>
        </w:rPr>
        <w:t xml:space="preserve"> </w:t>
      </w:r>
      <w:r w:rsidR="000116CC" w:rsidRPr="00F642C3">
        <w:rPr>
          <w:rFonts w:eastAsia="Calibri"/>
          <w:szCs w:val="20"/>
          <w:lang w:val="en-US"/>
        </w:rPr>
        <w:t>(</w:t>
      </w:r>
      <w:r w:rsidR="00B33F5C" w:rsidRPr="00F642C3">
        <w:rPr>
          <w:rFonts w:eastAsia="Calibri"/>
          <w:szCs w:val="20"/>
          <w:lang w:val="en-US"/>
        </w:rPr>
        <w:t>e.g. through the establishment of working groups</w:t>
      </w:r>
      <w:r w:rsidR="00FF3CA4" w:rsidRPr="00F642C3">
        <w:rPr>
          <w:rFonts w:eastAsia="Calibri"/>
          <w:szCs w:val="20"/>
          <w:lang w:val="en-US"/>
        </w:rPr>
        <w:t>,</w:t>
      </w:r>
      <w:r w:rsidR="00B33F5C" w:rsidRPr="00F642C3">
        <w:rPr>
          <w:rFonts w:eastAsia="Calibri"/>
          <w:szCs w:val="20"/>
          <w:lang w:val="en-US"/>
        </w:rPr>
        <w:t xml:space="preserve"> </w:t>
      </w:r>
      <w:r w:rsidR="00D82EAB">
        <w:rPr>
          <w:rFonts w:eastAsia="Calibri"/>
          <w:szCs w:val="20"/>
          <w:lang w:val="en-US"/>
        </w:rPr>
        <w:t xml:space="preserve">the establishment of boards for competent authorities, </w:t>
      </w:r>
      <w:r w:rsidR="00B33F5C" w:rsidRPr="00F642C3">
        <w:rPr>
          <w:rFonts w:eastAsia="Calibri"/>
          <w:szCs w:val="20"/>
          <w:lang w:val="en-US"/>
        </w:rPr>
        <w:t>or the merging of departments, or dedicated trainings/capacity building activities</w:t>
      </w:r>
      <w:r w:rsidR="000116CC" w:rsidRPr="00F642C3">
        <w:rPr>
          <w:rFonts w:eastAsia="Calibri"/>
          <w:szCs w:val="20"/>
          <w:lang w:val="en-US"/>
        </w:rPr>
        <w:t>)</w:t>
      </w:r>
      <w:r w:rsidR="00847DAD">
        <w:rPr>
          <w:rFonts w:eastAsia="Calibri"/>
          <w:szCs w:val="20"/>
          <w:lang w:val="en-US"/>
        </w:rPr>
        <w:t>,</w:t>
      </w:r>
    </w:p>
    <w:p w14:paraId="0C8EBBCF" w14:textId="513F1132" w:rsidR="00CD2D16" w:rsidRPr="00597414" w:rsidRDefault="00D05E00" w:rsidP="00F642C3">
      <w:pPr>
        <w:pStyle w:val="ListParagraph"/>
        <w:numPr>
          <w:ilvl w:val="0"/>
          <w:numId w:val="7"/>
        </w:numPr>
        <w:snapToGrid w:val="0"/>
        <w:spacing w:after="120"/>
        <w:jc w:val="both"/>
        <w:rPr>
          <w:rFonts w:eastAsia="Calibri"/>
          <w:szCs w:val="20"/>
          <w:lang w:val="en-US"/>
        </w:rPr>
      </w:pPr>
      <w:r>
        <w:rPr>
          <w:rFonts w:eastAsia="Calibri"/>
          <w:szCs w:val="20"/>
          <w:lang w:val="en-US"/>
        </w:rPr>
        <w:t>Policy integration among respective disciplines (</w:t>
      </w:r>
      <w:r w:rsidR="00DB2C61">
        <w:rPr>
          <w:rFonts w:eastAsia="Calibri"/>
          <w:szCs w:val="20"/>
          <w:lang w:val="en-US"/>
        </w:rPr>
        <w:t xml:space="preserve">e.g. </w:t>
      </w:r>
      <w:r>
        <w:rPr>
          <w:rFonts w:eastAsia="Calibri"/>
          <w:szCs w:val="20"/>
          <w:lang w:val="en-US"/>
        </w:rPr>
        <w:t>disaster risk reduction, industrial safety, SEA/EIA</w:t>
      </w:r>
      <w:r w:rsidR="00DB2C61">
        <w:rPr>
          <w:rFonts w:eastAsia="Calibri"/>
          <w:szCs w:val="20"/>
          <w:lang w:val="en-US"/>
        </w:rPr>
        <w:t xml:space="preserve">, public </w:t>
      </w:r>
      <w:r w:rsidR="00332EDC">
        <w:rPr>
          <w:rFonts w:eastAsia="Calibri"/>
          <w:szCs w:val="20"/>
          <w:lang w:val="en-US"/>
        </w:rPr>
        <w:t xml:space="preserve">access to </w:t>
      </w:r>
      <w:r w:rsidR="00DB2C61">
        <w:rPr>
          <w:rFonts w:eastAsia="Calibri"/>
          <w:szCs w:val="20"/>
          <w:lang w:val="en-US"/>
        </w:rPr>
        <w:t>information and participation</w:t>
      </w:r>
      <w:r w:rsidR="00332EDC">
        <w:rPr>
          <w:rFonts w:eastAsia="Calibri"/>
          <w:szCs w:val="20"/>
          <w:lang w:val="en-US"/>
        </w:rPr>
        <w:t xml:space="preserve"> in decision-making</w:t>
      </w:r>
      <w:r w:rsidR="00DB2C61">
        <w:rPr>
          <w:rFonts w:eastAsia="Calibri"/>
          <w:szCs w:val="20"/>
          <w:lang w:val="en-US"/>
        </w:rPr>
        <w:t>)</w:t>
      </w:r>
      <w:r w:rsidR="00847DAD">
        <w:rPr>
          <w:rFonts w:eastAsia="Calibri"/>
          <w:szCs w:val="20"/>
          <w:lang w:val="en-US"/>
        </w:rPr>
        <w:t>.</w:t>
      </w:r>
    </w:p>
    <w:p w14:paraId="6918F159" w14:textId="3E9E98CF" w:rsidR="00A92A9F" w:rsidRPr="00DA0C09" w:rsidRDefault="00B33F5C" w:rsidP="00597414">
      <w:pPr>
        <w:numPr>
          <w:ilvl w:val="0"/>
          <w:numId w:val="2"/>
        </w:numPr>
        <w:snapToGrid w:val="0"/>
        <w:spacing w:before="240" w:after="120"/>
        <w:ind w:left="357" w:hanging="357"/>
        <w:jc w:val="both"/>
        <w:rPr>
          <w:rFonts w:eastAsia="Calibri"/>
          <w:szCs w:val="20"/>
          <w:lang w:val="en-US"/>
        </w:rPr>
      </w:pPr>
      <w:r w:rsidRPr="000116CC">
        <w:rPr>
          <w:rFonts w:eastAsia="Calibri"/>
          <w:b/>
          <w:bCs/>
          <w:szCs w:val="20"/>
          <w:lang w:val="en-US"/>
        </w:rPr>
        <w:t>Transboundary cooperation</w:t>
      </w:r>
      <w:r w:rsidRPr="00972CB9">
        <w:rPr>
          <w:rFonts w:eastAsia="Calibri"/>
          <w:szCs w:val="20"/>
          <w:lang w:val="en-US"/>
        </w:rPr>
        <w:t xml:space="preserve"> between UNECE countries on policies</w:t>
      </w:r>
      <w:r w:rsidR="009F3ECB">
        <w:rPr>
          <w:rFonts w:eastAsia="Calibri"/>
          <w:szCs w:val="20"/>
          <w:lang w:val="en-US"/>
        </w:rPr>
        <w:t>, legislation</w:t>
      </w:r>
      <w:r w:rsidR="00847DAD">
        <w:rPr>
          <w:rFonts w:eastAsia="Calibri"/>
          <w:szCs w:val="20"/>
          <w:lang w:val="en-US"/>
        </w:rPr>
        <w:t xml:space="preserve">, </w:t>
      </w:r>
      <w:r w:rsidR="009F3ECB">
        <w:rPr>
          <w:rFonts w:eastAsia="Calibri"/>
          <w:szCs w:val="20"/>
          <w:lang w:val="en-US"/>
        </w:rPr>
        <w:t>measures, plans</w:t>
      </w:r>
      <w:r w:rsidR="00435A6D">
        <w:rPr>
          <w:rFonts w:eastAsia="Calibri"/>
          <w:szCs w:val="20"/>
          <w:lang w:val="en-US"/>
        </w:rPr>
        <w:t>/programmes</w:t>
      </w:r>
      <w:r w:rsidR="009F3ECB">
        <w:rPr>
          <w:rFonts w:eastAsia="Calibri"/>
          <w:szCs w:val="20"/>
          <w:lang w:val="en-US"/>
        </w:rPr>
        <w:t xml:space="preserve"> </w:t>
      </w:r>
      <w:r w:rsidR="00847DAD">
        <w:rPr>
          <w:rFonts w:eastAsia="Calibri"/>
          <w:szCs w:val="20"/>
          <w:lang w:val="en-US"/>
        </w:rPr>
        <w:t>or</w:t>
      </w:r>
      <w:r w:rsidR="009F3ECB">
        <w:rPr>
          <w:rFonts w:eastAsia="Calibri"/>
          <w:szCs w:val="20"/>
          <w:lang w:val="en-US"/>
        </w:rPr>
        <w:t xml:space="preserve"> </w:t>
      </w:r>
      <w:r w:rsidRPr="00972CB9">
        <w:rPr>
          <w:rFonts w:eastAsia="Calibri"/>
          <w:szCs w:val="20"/>
          <w:lang w:val="en-US"/>
        </w:rPr>
        <w:t>projects involving industrial safety and land-use planning, which may also involve environment</w:t>
      </w:r>
      <w:r w:rsidRPr="00126E3A">
        <w:rPr>
          <w:rFonts w:eastAsia="Calibri"/>
          <w:szCs w:val="20"/>
          <w:lang w:val="en-US"/>
        </w:rPr>
        <w:t>a</w:t>
      </w:r>
      <w:r w:rsidRPr="00464F63">
        <w:rPr>
          <w:rFonts w:eastAsia="Calibri"/>
          <w:szCs w:val="20"/>
          <w:lang w:val="en-US"/>
        </w:rPr>
        <w:t xml:space="preserve">l assessment </w:t>
      </w:r>
      <w:r w:rsidR="00832F1A">
        <w:rPr>
          <w:rFonts w:eastAsia="Calibri"/>
          <w:szCs w:val="20"/>
          <w:lang w:val="en-US"/>
        </w:rPr>
        <w:t>(EIA or SEA) and/</w:t>
      </w:r>
      <w:r w:rsidRPr="00464F63">
        <w:rPr>
          <w:rFonts w:eastAsia="Calibri"/>
          <w:szCs w:val="20"/>
          <w:lang w:val="en-US"/>
        </w:rPr>
        <w:t xml:space="preserve">or public participation and </w:t>
      </w:r>
      <w:r w:rsidR="004F79D4">
        <w:rPr>
          <w:rFonts w:eastAsia="Calibri"/>
          <w:szCs w:val="20"/>
          <w:lang w:val="en-US"/>
        </w:rPr>
        <w:t xml:space="preserve">access to </w:t>
      </w:r>
      <w:r w:rsidRPr="00464F63">
        <w:rPr>
          <w:rFonts w:eastAsia="Calibri"/>
          <w:szCs w:val="20"/>
          <w:lang w:val="en-US"/>
        </w:rPr>
        <w:t>information</w:t>
      </w:r>
      <w:r w:rsidR="00CB5993">
        <w:rPr>
          <w:rFonts w:eastAsia="Calibri"/>
          <w:szCs w:val="20"/>
          <w:lang w:val="en-US"/>
        </w:rPr>
        <w:t>.</w:t>
      </w:r>
    </w:p>
    <w:p w14:paraId="53DF554B" w14:textId="77777777" w:rsidR="00DA0772" w:rsidRPr="0084615A" w:rsidRDefault="00DA0772" w:rsidP="0084615A">
      <w:pPr>
        <w:rPr>
          <w:b/>
          <w:bCs/>
          <w:lang w:val="en-AU"/>
        </w:rPr>
      </w:pPr>
    </w:p>
    <w:p w14:paraId="39D7EDD2" w14:textId="357C2A9E" w:rsidR="00DA0772" w:rsidRPr="00C268ED" w:rsidRDefault="00DA0772" w:rsidP="00DA0772">
      <w:pPr>
        <w:pStyle w:val="Title"/>
        <w:spacing w:after="120"/>
        <w:jc w:val="left"/>
        <w:rPr>
          <w:color w:val="4472C4" w:themeColor="accent1"/>
          <w:sz w:val="24"/>
          <w:szCs w:val="24"/>
          <w:lang w:val="en-US"/>
        </w:rPr>
      </w:pPr>
      <w:r>
        <w:rPr>
          <w:color w:val="4472C4" w:themeColor="accent1"/>
          <w:sz w:val="24"/>
          <w:szCs w:val="24"/>
          <w:lang w:val="en-US"/>
        </w:rPr>
        <w:t>Criteria</w:t>
      </w:r>
    </w:p>
    <w:p w14:paraId="247AE1A7" w14:textId="6A0E0DC0" w:rsidR="00B33F5C" w:rsidRDefault="00A92A9F" w:rsidP="003C4044">
      <w:pPr>
        <w:snapToGrid w:val="0"/>
        <w:spacing w:after="120"/>
        <w:rPr>
          <w:lang w:val="en-US"/>
        </w:rPr>
      </w:pPr>
      <w:r>
        <w:rPr>
          <w:lang w:val="en-US"/>
        </w:rPr>
        <w:t xml:space="preserve">When selecting </w:t>
      </w:r>
      <w:r w:rsidR="00B97585">
        <w:rPr>
          <w:lang w:val="en-US"/>
        </w:rPr>
        <w:t>case studies</w:t>
      </w:r>
      <w:r w:rsidR="000F4038">
        <w:rPr>
          <w:lang w:val="en-US"/>
        </w:rPr>
        <w:t xml:space="preserve"> </w:t>
      </w:r>
      <w:r>
        <w:rPr>
          <w:lang w:val="en-US"/>
        </w:rPr>
        <w:t>to be presented in the Information Repository, the EIB and UNECE will consider the following criteria</w:t>
      </w:r>
      <w:r w:rsidR="00DA0C09">
        <w:rPr>
          <w:lang w:val="en-US"/>
        </w:rPr>
        <w:t xml:space="preserve">. The </w:t>
      </w:r>
      <w:r w:rsidR="000F4038">
        <w:rPr>
          <w:lang w:val="en-US"/>
        </w:rPr>
        <w:t>case stud</w:t>
      </w:r>
      <w:r w:rsidR="00303353">
        <w:rPr>
          <w:lang w:val="en-US"/>
        </w:rPr>
        <w:t>ies</w:t>
      </w:r>
      <w:r w:rsidR="00DA0C09">
        <w:rPr>
          <w:lang w:val="en-US"/>
        </w:rPr>
        <w:t xml:space="preserve"> should:</w:t>
      </w:r>
    </w:p>
    <w:p w14:paraId="732CD021" w14:textId="08FD98FB" w:rsidR="00DA0C09" w:rsidRPr="000414DE" w:rsidRDefault="00DA0C09" w:rsidP="00DA0C09">
      <w:pPr>
        <w:pStyle w:val="ListParagraph"/>
        <w:numPr>
          <w:ilvl w:val="0"/>
          <w:numId w:val="5"/>
        </w:numPr>
        <w:rPr>
          <w:lang w:val="en-US"/>
        </w:rPr>
      </w:pPr>
      <w:r>
        <w:rPr>
          <w:rFonts w:eastAsia="Calibri"/>
          <w:szCs w:val="20"/>
          <w:lang w:val="en-US"/>
        </w:rPr>
        <w:t>Relate to one or more of the topics/points outlined above,</w:t>
      </w:r>
    </w:p>
    <w:p w14:paraId="03E28152" w14:textId="03CAFE53" w:rsidR="000414DE" w:rsidRPr="00DA0C09" w:rsidRDefault="000414DE" w:rsidP="00DA0C09">
      <w:pPr>
        <w:pStyle w:val="ListParagraph"/>
        <w:numPr>
          <w:ilvl w:val="0"/>
          <w:numId w:val="5"/>
        </w:numPr>
        <w:rPr>
          <w:lang w:val="en-US"/>
        </w:rPr>
      </w:pPr>
      <w:r>
        <w:rPr>
          <w:rFonts w:eastAsia="Calibri"/>
          <w:szCs w:val="20"/>
          <w:lang w:val="en-US"/>
        </w:rPr>
        <w:t xml:space="preserve">Have occurred within the last </w:t>
      </w:r>
      <w:r w:rsidR="00B516EE">
        <w:rPr>
          <w:rFonts w:eastAsia="Calibri"/>
          <w:szCs w:val="20"/>
          <w:lang w:val="en-US"/>
        </w:rPr>
        <w:t xml:space="preserve">10 </w:t>
      </w:r>
      <w:r>
        <w:rPr>
          <w:rFonts w:eastAsia="Calibri"/>
          <w:szCs w:val="20"/>
          <w:lang w:val="en-US"/>
        </w:rPr>
        <w:t>years</w:t>
      </w:r>
      <w:r w:rsidR="00DF30E9">
        <w:rPr>
          <w:rFonts w:eastAsia="Calibri"/>
          <w:szCs w:val="20"/>
          <w:lang w:val="en-US"/>
        </w:rPr>
        <w:t xml:space="preserve"> </w:t>
      </w:r>
      <w:r>
        <w:rPr>
          <w:rFonts w:eastAsia="Calibri"/>
          <w:szCs w:val="20"/>
          <w:lang w:val="en-US"/>
        </w:rPr>
        <w:t>(</w:t>
      </w:r>
      <w:r w:rsidR="0017297A">
        <w:rPr>
          <w:rFonts w:eastAsia="Calibri"/>
          <w:szCs w:val="20"/>
          <w:lang w:val="en-US"/>
        </w:rPr>
        <w:t>201</w:t>
      </w:r>
      <w:r w:rsidR="00B516EE">
        <w:rPr>
          <w:rFonts w:eastAsia="Calibri"/>
          <w:szCs w:val="20"/>
          <w:lang w:val="en-US"/>
        </w:rPr>
        <w:t>0</w:t>
      </w:r>
      <w:r>
        <w:rPr>
          <w:rFonts w:eastAsia="Calibri"/>
          <w:szCs w:val="20"/>
          <w:lang w:val="en-US"/>
        </w:rPr>
        <w:t xml:space="preserve"> – 2020) </w:t>
      </w:r>
    </w:p>
    <w:p w14:paraId="19AE25E6" w14:textId="0BD8F6AD" w:rsidR="00DA0C09" w:rsidRPr="00060DD4" w:rsidRDefault="004516C4" w:rsidP="00060DD4">
      <w:pPr>
        <w:pStyle w:val="ListParagraph"/>
        <w:numPr>
          <w:ilvl w:val="0"/>
          <w:numId w:val="5"/>
        </w:numPr>
        <w:rPr>
          <w:lang w:val="en-US"/>
        </w:rPr>
      </w:pPr>
      <w:r>
        <w:rPr>
          <w:rFonts w:eastAsia="Calibri"/>
          <w:szCs w:val="20"/>
          <w:lang w:val="en-US"/>
        </w:rPr>
        <w:t>Where relevant, h</w:t>
      </w:r>
      <w:r w:rsidR="00DA0C09" w:rsidRPr="00DA0C09">
        <w:rPr>
          <w:rFonts w:eastAsia="Calibri"/>
          <w:szCs w:val="20"/>
          <w:lang w:val="en-US"/>
        </w:rPr>
        <w:t>ighlight the implementation of the relevant UNECE instruments</w:t>
      </w:r>
      <w:r w:rsidR="00F53578">
        <w:rPr>
          <w:rFonts w:eastAsia="Calibri"/>
          <w:szCs w:val="20"/>
          <w:lang w:val="en-US"/>
        </w:rPr>
        <w:t>/</w:t>
      </w:r>
      <w:r w:rsidR="00DA0C09" w:rsidRPr="00DA0C09">
        <w:rPr>
          <w:rFonts w:eastAsia="Calibri"/>
          <w:szCs w:val="20"/>
          <w:lang w:val="en-US"/>
        </w:rPr>
        <w:t xml:space="preserve">conventions, frameworks </w:t>
      </w:r>
      <w:r w:rsidR="00DA0C09">
        <w:rPr>
          <w:rFonts w:eastAsia="Calibri"/>
          <w:szCs w:val="20"/>
          <w:lang w:val="en-US"/>
        </w:rPr>
        <w:t>or</w:t>
      </w:r>
      <w:r w:rsidR="00DA0C09" w:rsidRPr="00DA0C09">
        <w:rPr>
          <w:rFonts w:eastAsia="Calibri"/>
          <w:szCs w:val="20"/>
          <w:lang w:val="en-US"/>
        </w:rPr>
        <w:t xml:space="preserve"> tools</w:t>
      </w:r>
      <w:r w:rsidR="00924E35">
        <w:rPr>
          <w:rFonts w:eastAsia="Calibri"/>
          <w:szCs w:val="20"/>
          <w:lang w:val="en-US"/>
        </w:rPr>
        <w:t>,</w:t>
      </w:r>
      <w:r w:rsidR="006167E1">
        <w:rPr>
          <w:rFonts w:eastAsia="Calibri"/>
          <w:szCs w:val="20"/>
          <w:lang w:val="en-US"/>
        </w:rPr>
        <w:t xml:space="preserve"> </w:t>
      </w:r>
      <w:r w:rsidR="006167E1" w:rsidRPr="00060DD4">
        <w:rPr>
          <w:rFonts w:eastAsia="Calibri"/>
          <w:szCs w:val="20"/>
          <w:lang w:val="en-US"/>
        </w:rPr>
        <w:t>and</w:t>
      </w:r>
    </w:p>
    <w:p w14:paraId="1A76E2A8" w14:textId="6E1E364A" w:rsidR="009E126D" w:rsidRDefault="00431526" w:rsidP="00DA0C09">
      <w:pPr>
        <w:pStyle w:val="ListParagraph"/>
        <w:numPr>
          <w:ilvl w:val="0"/>
          <w:numId w:val="5"/>
        </w:numPr>
        <w:rPr>
          <w:lang w:val="en-US"/>
        </w:rPr>
      </w:pPr>
      <w:r>
        <w:rPr>
          <w:lang w:val="en-US"/>
        </w:rPr>
        <w:t>Demonstrate</w:t>
      </w:r>
      <w:r w:rsidR="00DA0C09">
        <w:rPr>
          <w:lang w:val="en-US"/>
        </w:rPr>
        <w:t xml:space="preserve"> positive outcomes </w:t>
      </w:r>
      <w:r w:rsidR="003C4044">
        <w:rPr>
          <w:lang w:val="en-US"/>
        </w:rPr>
        <w:t>for sustainable development</w:t>
      </w:r>
      <w:r w:rsidR="00AF70BF">
        <w:rPr>
          <w:lang w:val="en-US"/>
        </w:rPr>
        <w:t xml:space="preserve"> and</w:t>
      </w:r>
      <w:r w:rsidR="000E507F">
        <w:rPr>
          <w:lang w:val="en-US"/>
        </w:rPr>
        <w:t xml:space="preserve"> </w:t>
      </w:r>
      <w:r w:rsidR="00B516EE">
        <w:rPr>
          <w:lang w:val="en-US"/>
        </w:rPr>
        <w:t xml:space="preserve">disaster </w:t>
      </w:r>
      <w:r w:rsidR="009E126D">
        <w:rPr>
          <w:lang w:val="en-US"/>
        </w:rPr>
        <w:t>risk reduction</w:t>
      </w:r>
      <w:r w:rsidR="003C4044">
        <w:rPr>
          <w:lang w:val="en-US"/>
        </w:rPr>
        <w:t>, in line with Agenda 2030 and its</w:t>
      </w:r>
      <w:r w:rsidR="009E126D">
        <w:rPr>
          <w:lang w:val="en-US"/>
        </w:rPr>
        <w:t>:</w:t>
      </w:r>
    </w:p>
    <w:p w14:paraId="76340020" w14:textId="77777777" w:rsidR="009E126D" w:rsidRDefault="003C4044" w:rsidP="009E126D">
      <w:pPr>
        <w:pStyle w:val="ListParagraph"/>
        <w:numPr>
          <w:ilvl w:val="1"/>
          <w:numId w:val="5"/>
        </w:numPr>
        <w:rPr>
          <w:lang w:val="en-US"/>
        </w:rPr>
      </w:pPr>
      <w:r>
        <w:rPr>
          <w:lang w:val="en-US"/>
        </w:rPr>
        <w:t>Sustainable Development Goals (SDGs), and/or</w:t>
      </w:r>
    </w:p>
    <w:p w14:paraId="69A2C6A6" w14:textId="22D31B56" w:rsidR="00C75048" w:rsidRDefault="003C4044" w:rsidP="00C75048">
      <w:pPr>
        <w:pStyle w:val="ListParagraph"/>
        <w:numPr>
          <w:ilvl w:val="1"/>
          <w:numId w:val="5"/>
        </w:numPr>
        <w:rPr>
          <w:lang w:val="en-US"/>
        </w:rPr>
      </w:pPr>
      <w:r w:rsidRPr="009E126D">
        <w:rPr>
          <w:lang w:val="en-US"/>
        </w:rPr>
        <w:t>Sendai Framework for Disaster Risk Reduction 2015-2030</w:t>
      </w:r>
      <w:r w:rsidR="00431526" w:rsidRPr="009E126D">
        <w:rPr>
          <w:lang w:val="en-US"/>
        </w:rPr>
        <w:t>.</w:t>
      </w:r>
    </w:p>
    <w:p w14:paraId="17CC7B4D" w14:textId="015EA3B4" w:rsidR="00CC090F" w:rsidRDefault="00CC090F" w:rsidP="00CC090F">
      <w:pPr>
        <w:rPr>
          <w:lang w:val="en-US"/>
        </w:rPr>
      </w:pPr>
    </w:p>
    <w:p w14:paraId="26BAD75B" w14:textId="2A8A2B1F" w:rsidR="00CC090F" w:rsidRPr="00CC090F" w:rsidRDefault="00CC090F" w:rsidP="00CC090F">
      <w:pPr>
        <w:rPr>
          <w:lang w:val="en-US"/>
        </w:rPr>
      </w:pPr>
      <w:r>
        <w:rPr>
          <w:lang w:val="en-US"/>
        </w:rPr>
        <w:t>Please refer to the example below for guidance.</w:t>
      </w:r>
    </w:p>
    <w:p w14:paraId="33E54C0A" w14:textId="77777777" w:rsidR="00814013" w:rsidRDefault="00814013" w:rsidP="00C75048">
      <w:pPr>
        <w:rPr>
          <w:lang w:val="en-US"/>
        </w:rPr>
      </w:pPr>
    </w:p>
    <w:p w14:paraId="603B8CF1" w14:textId="0A5E8E19" w:rsidR="001A5959" w:rsidRDefault="001A5959" w:rsidP="00097211">
      <w:pPr>
        <w:jc w:val="center"/>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7E027D" w14:textId="45325219" w:rsidR="008940FE" w:rsidRDefault="008940FE" w:rsidP="00097211">
      <w:pPr>
        <w:jc w:val="center"/>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845702" w14:textId="0E0ABDF9" w:rsidR="008940FE" w:rsidRDefault="008940FE" w:rsidP="00097211">
      <w:pPr>
        <w:jc w:val="center"/>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26AF8E" w14:textId="6029B9F8" w:rsidR="008940FE" w:rsidRDefault="008940FE" w:rsidP="00097211">
      <w:pPr>
        <w:jc w:val="center"/>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218960" w14:textId="77777777" w:rsidR="00545F54" w:rsidRDefault="00545F54" w:rsidP="00097211">
      <w:pPr>
        <w:jc w:val="center"/>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0499BD6" w14:textId="5376AEED" w:rsidR="008704CC" w:rsidRPr="00097211" w:rsidRDefault="008704CC" w:rsidP="00097211">
      <w:pPr>
        <w:jc w:val="center"/>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7211">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Example of a Good Practice</w:t>
      </w:r>
      <w:r w:rsidR="00AC242B">
        <w:rPr>
          <w:rFonts w:eastAsia="DengXian" w:cs="Times New Roman"/>
          <w:bCs/>
          <w:i/>
          <w:iCs/>
          <w:color w:val="4472C4" w:themeColor="accent1"/>
          <w:sz w:val="36"/>
          <w:szCs w:val="36"/>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Lessons learned</w:t>
      </w:r>
    </w:p>
    <w:p w14:paraId="5180D363" w14:textId="77777777" w:rsidR="008704CC" w:rsidRDefault="008704CC" w:rsidP="003C27CA">
      <w:pPr>
        <w:rPr>
          <w:lang w:val="en-US"/>
        </w:rPr>
      </w:pPr>
    </w:p>
    <w:p w14:paraId="67F1AF4E" w14:textId="250A9A3B" w:rsidR="00A13882" w:rsidRPr="00BC5276" w:rsidRDefault="00A13882" w:rsidP="003C27CA">
      <w:pPr>
        <w:rPr>
          <w:lang w:val="en-US"/>
        </w:rPr>
      </w:pPr>
      <w:r w:rsidRPr="00BC5276">
        <w:rPr>
          <w:lang w:val="en-US"/>
        </w:rPr>
        <w:t xml:space="preserve">Below is an example </w:t>
      </w:r>
      <w:r w:rsidR="00C53822" w:rsidRPr="00BC5276">
        <w:rPr>
          <w:lang w:val="en-US"/>
        </w:rPr>
        <w:t>of</w:t>
      </w:r>
      <w:r w:rsidR="00DE07F8" w:rsidRPr="00BC5276">
        <w:rPr>
          <w:lang w:val="en-US"/>
        </w:rPr>
        <w:t xml:space="preserve"> how the </w:t>
      </w:r>
      <w:r w:rsidR="00B97585" w:rsidRPr="00BC5276">
        <w:rPr>
          <w:lang w:val="en-US"/>
        </w:rPr>
        <w:t>case studies</w:t>
      </w:r>
      <w:r w:rsidR="00FB4C64" w:rsidRPr="00BC5276">
        <w:rPr>
          <w:lang w:val="en-US"/>
        </w:rPr>
        <w:t xml:space="preserve"> </w:t>
      </w:r>
      <w:r w:rsidR="00DE07F8" w:rsidRPr="00BC5276">
        <w:rPr>
          <w:lang w:val="en-US"/>
        </w:rPr>
        <w:t>are expected to be presented in the Information Repository.</w:t>
      </w:r>
      <w:r w:rsidR="00C53822" w:rsidRPr="00BC5276">
        <w:rPr>
          <w:lang w:val="en-US"/>
        </w:rPr>
        <w:t xml:space="preserve"> Please note that the </w:t>
      </w:r>
      <w:r w:rsidR="00B55640" w:rsidRPr="00BC5276">
        <w:rPr>
          <w:lang w:val="en-US"/>
        </w:rPr>
        <w:t xml:space="preserve">category and an </w:t>
      </w:r>
      <w:r w:rsidR="00C53822" w:rsidRPr="00BC5276">
        <w:rPr>
          <w:lang w:val="en-US"/>
        </w:rPr>
        <w:t>image will be selected by the EIB and UNECE</w:t>
      </w:r>
      <w:r w:rsidR="00B55640" w:rsidRPr="00BC5276">
        <w:rPr>
          <w:lang w:val="en-US"/>
        </w:rPr>
        <w:t xml:space="preserve"> based on the information </w:t>
      </w:r>
      <w:r w:rsidR="004C05ED" w:rsidRPr="00BC5276">
        <w:rPr>
          <w:lang w:val="en-US"/>
        </w:rPr>
        <w:t>your country</w:t>
      </w:r>
      <w:r w:rsidR="00D535EE" w:rsidRPr="00BC5276">
        <w:rPr>
          <w:lang w:val="en-US"/>
        </w:rPr>
        <w:t>/organization</w:t>
      </w:r>
      <w:r w:rsidR="00B55640" w:rsidRPr="00BC5276">
        <w:rPr>
          <w:lang w:val="en-US"/>
        </w:rPr>
        <w:t xml:space="preserve"> provide</w:t>
      </w:r>
      <w:r w:rsidR="00D535EE" w:rsidRPr="00BC5276">
        <w:rPr>
          <w:lang w:val="en-US"/>
        </w:rPr>
        <w:t>s</w:t>
      </w:r>
      <w:r w:rsidR="00B55640" w:rsidRPr="00BC5276">
        <w:rPr>
          <w:lang w:val="en-US"/>
        </w:rPr>
        <w:t xml:space="preserve"> in the completed Questionnaire</w:t>
      </w:r>
      <w:r w:rsidR="00C53822" w:rsidRPr="00BC5276">
        <w:rPr>
          <w:lang w:val="en-US"/>
        </w:rPr>
        <w:t>.</w:t>
      </w:r>
    </w:p>
    <w:p w14:paraId="1B58BF0E" w14:textId="682F1FF3" w:rsidR="00DE07F8" w:rsidRDefault="00DE07F8" w:rsidP="003C27CA">
      <w:pPr>
        <w:rPr>
          <w:lang w:val="en-US"/>
        </w:rPr>
      </w:pPr>
    </w:p>
    <w:p w14:paraId="6A67D7B9" w14:textId="176DC499" w:rsidR="00DE07F8" w:rsidRPr="00DE07F8" w:rsidRDefault="008D3537" w:rsidP="00E30318">
      <w:pPr>
        <w:snapToGrid w:val="0"/>
        <w:spacing w:after="120"/>
        <w:rPr>
          <w:rFonts w:ascii="Times New Roman" w:eastAsia="Times New Roman" w:hAnsi="Times New Roman" w:cs="Times New Roman"/>
          <w:sz w:val="30"/>
          <w:szCs w:val="30"/>
          <w:lang w:eastAsia="en-GB"/>
        </w:rPr>
      </w:pPr>
      <w:r w:rsidRPr="008C30A1">
        <w:rPr>
          <w:rFonts w:ascii="Optima LT Std Medium" w:eastAsia="Times New Roman" w:hAnsi="Optima LT Std Medium" w:cs="Times New Roman"/>
          <w:color w:val="195591"/>
          <w:kern w:val="36"/>
          <w:sz w:val="30"/>
          <w:szCs w:val="30"/>
          <w:lang w:val="en-AU" w:eastAsia="en-GB"/>
        </w:rPr>
        <w:t>Land</w:t>
      </w:r>
      <w:r w:rsidR="00E30318" w:rsidRPr="008C30A1">
        <w:rPr>
          <w:rFonts w:ascii="Optima LT Std Medium" w:eastAsia="Times New Roman" w:hAnsi="Optima LT Std Medium" w:cs="Times New Roman"/>
          <w:color w:val="195591"/>
          <w:kern w:val="36"/>
          <w:sz w:val="30"/>
          <w:szCs w:val="30"/>
          <w:lang w:val="en-AU" w:eastAsia="en-GB"/>
        </w:rPr>
        <w:t>-</w:t>
      </w:r>
      <w:r w:rsidRPr="008C30A1">
        <w:rPr>
          <w:rFonts w:ascii="Optima LT Std Medium" w:eastAsia="Times New Roman" w:hAnsi="Optima LT Std Medium" w:cs="Times New Roman"/>
          <w:color w:val="195591"/>
          <w:kern w:val="36"/>
          <w:sz w:val="30"/>
          <w:szCs w:val="30"/>
          <w:lang w:val="en-AU" w:eastAsia="en-GB"/>
        </w:rPr>
        <w:t>Use Plan</w:t>
      </w:r>
      <w:r w:rsidR="001319ED" w:rsidRPr="008C30A1">
        <w:rPr>
          <w:rFonts w:ascii="Optima LT Std Medium" w:eastAsia="Times New Roman" w:hAnsi="Optima LT Std Medium" w:cs="Times New Roman"/>
          <w:color w:val="195591"/>
          <w:kern w:val="36"/>
          <w:sz w:val="30"/>
          <w:szCs w:val="30"/>
          <w:lang w:val="en-AU" w:eastAsia="en-GB"/>
        </w:rPr>
        <w:t>ning Around an Existing</w:t>
      </w:r>
      <w:r w:rsidRPr="008C30A1">
        <w:rPr>
          <w:rFonts w:ascii="Optima LT Std Medium" w:eastAsia="Times New Roman" w:hAnsi="Optima LT Std Medium" w:cs="Times New Roman"/>
          <w:color w:val="195591"/>
          <w:kern w:val="36"/>
          <w:sz w:val="30"/>
          <w:szCs w:val="30"/>
          <w:lang w:val="en-AU" w:eastAsia="en-GB"/>
        </w:rPr>
        <w:t xml:space="preserve"> </w:t>
      </w:r>
      <w:r w:rsidR="00000021" w:rsidRPr="008C30A1">
        <w:rPr>
          <w:rFonts w:ascii="Optima LT Std Medium" w:eastAsia="Times New Roman" w:hAnsi="Optima LT Std Medium" w:cs="Times New Roman"/>
          <w:color w:val="195591"/>
          <w:kern w:val="36"/>
          <w:sz w:val="30"/>
          <w:szCs w:val="30"/>
          <w:lang w:val="en-AU" w:eastAsia="en-GB"/>
        </w:rPr>
        <w:t>Hazardous Facility</w:t>
      </w:r>
      <w:r w:rsidRPr="008C30A1">
        <w:rPr>
          <w:rFonts w:ascii="Optima LT Std Medium" w:eastAsia="Times New Roman" w:hAnsi="Optima LT Std Medium" w:cs="Times New Roman"/>
          <w:color w:val="195591"/>
          <w:kern w:val="36"/>
          <w:sz w:val="30"/>
          <w:szCs w:val="30"/>
          <w:lang w:val="en-AU" w:eastAsia="en-GB"/>
        </w:rPr>
        <w:t>, Sarpsborg</w:t>
      </w:r>
      <w:r w:rsidRPr="008C30A1">
        <w:rPr>
          <w:rFonts w:ascii="Optima LT Std Medium" w:eastAsia="Times New Roman" w:hAnsi="Optima LT Std Medium" w:cs="Times New Roman"/>
          <w:color w:val="195591"/>
          <w:kern w:val="36"/>
          <w:sz w:val="30"/>
          <w:szCs w:val="30"/>
          <w:lang w:eastAsia="en-GB"/>
        </w:rPr>
        <w:t xml:space="preserve"> </w:t>
      </w:r>
      <w:hyperlink r:id="rId8" w:history="1"/>
    </w:p>
    <w:p w14:paraId="01D4A1BA" w14:textId="0BE241E2" w:rsidR="00DE07F8" w:rsidRPr="00DE07F8" w:rsidRDefault="00000021" w:rsidP="002E6339">
      <w:pPr>
        <w:snapToGrid w:val="0"/>
        <w:spacing w:after="120"/>
        <w:rPr>
          <w:rFonts w:ascii="Times New Roman" w:eastAsia="Times New Roman" w:hAnsi="Times New Roman" w:cs="Times New Roman"/>
          <w:color w:val="195591"/>
          <w:lang w:val="en-AU" w:eastAsia="en-GB"/>
        </w:rPr>
      </w:pPr>
      <w:r w:rsidRPr="001D1B1A">
        <w:rPr>
          <w:rFonts w:ascii="Times New Roman" w:eastAsia="Times New Roman" w:hAnsi="Times New Roman" w:cs="Times New Roman"/>
          <w:noProof/>
          <w:color w:val="195591"/>
          <w:lang w:eastAsia="en-GB"/>
        </w:rPr>
        <w:drawing>
          <wp:anchor distT="0" distB="0" distL="114300" distR="114300" simplePos="0" relativeHeight="251658240" behindDoc="1" locked="0" layoutInCell="1" allowOverlap="1" wp14:anchorId="672EACCA" wp14:editId="15B4FEF4">
            <wp:simplePos x="0" y="0"/>
            <wp:positionH relativeFrom="column">
              <wp:posOffset>35560</wp:posOffset>
            </wp:positionH>
            <wp:positionV relativeFrom="paragraph">
              <wp:posOffset>46484</wp:posOffset>
            </wp:positionV>
            <wp:extent cx="1443990" cy="1909445"/>
            <wp:effectExtent l="12700" t="12700" r="16510" b="8255"/>
            <wp:wrapTight wrapText="bothSides">
              <wp:wrapPolygon edited="0">
                <wp:start x="-190" y="-144"/>
                <wp:lineTo x="-190" y="21550"/>
                <wp:lineTo x="21657" y="21550"/>
                <wp:lineTo x="21657" y="-144"/>
                <wp:lineTo x="-190" y="-14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43990" cy="19094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B5319" w:rsidRPr="001D1B1A">
        <w:rPr>
          <w:rFonts w:ascii="OpenSans-Bold" w:eastAsia="Times New Roman" w:hAnsi="OpenSans-Bold" w:cs="OpenSans-Bold"/>
          <w:b/>
          <w:bCs/>
          <w:lang w:val="en-AU" w:eastAsia="en-GB"/>
        </w:rPr>
        <w:t>Sub-title</w:t>
      </w:r>
      <w:r w:rsidR="00DE07F8" w:rsidRPr="00DE07F8">
        <w:rPr>
          <w:rFonts w:ascii="OpenSans-Bold" w:eastAsia="Times New Roman" w:hAnsi="OpenSans-Bold" w:cs="OpenSans-Bold"/>
          <w:b/>
          <w:bCs/>
          <w:lang w:eastAsia="en-GB"/>
        </w:rPr>
        <w:t>:</w:t>
      </w:r>
      <w:r w:rsidR="00FB5319" w:rsidRPr="001D1B1A">
        <w:rPr>
          <w:rFonts w:ascii="OpenSans-Bold" w:eastAsia="Times New Roman" w:hAnsi="OpenSans-Bold" w:cs="OpenSans-Bold"/>
          <w:b/>
          <w:bCs/>
          <w:lang w:val="en-AU" w:eastAsia="en-GB"/>
        </w:rPr>
        <w:t xml:space="preserve"> </w:t>
      </w:r>
      <w:r w:rsidR="001319ED" w:rsidRPr="001D1B1A">
        <w:rPr>
          <w:rFonts w:ascii="Times New Roman" w:eastAsia="Times New Roman" w:hAnsi="Times New Roman" w:cs="Times New Roman"/>
          <w:color w:val="195591"/>
          <w:lang w:val="en-AU" w:eastAsia="en-GB"/>
        </w:rPr>
        <w:t>Communicating the risks to the</w:t>
      </w:r>
      <w:r w:rsidR="007842CA">
        <w:rPr>
          <w:rFonts w:ascii="Times New Roman" w:eastAsia="Times New Roman" w:hAnsi="Times New Roman" w:cs="Times New Roman"/>
          <w:color w:val="195591"/>
          <w:lang w:val="en-AU" w:eastAsia="en-GB"/>
        </w:rPr>
        <w:t xml:space="preserve"> </w:t>
      </w:r>
      <w:r w:rsidR="001319ED" w:rsidRPr="001D1B1A">
        <w:rPr>
          <w:rFonts w:ascii="Times New Roman" w:eastAsia="Times New Roman" w:hAnsi="Times New Roman" w:cs="Times New Roman"/>
          <w:color w:val="195591"/>
          <w:lang w:val="en-AU" w:eastAsia="en-GB"/>
        </w:rPr>
        <w:t>public, and</w:t>
      </w:r>
      <w:r w:rsidR="007842CA">
        <w:rPr>
          <w:rFonts w:ascii="Times New Roman" w:eastAsia="Times New Roman" w:hAnsi="Times New Roman" w:cs="Times New Roman"/>
          <w:color w:val="195591"/>
          <w:lang w:val="en-AU" w:eastAsia="en-GB"/>
        </w:rPr>
        <w:t xml:space="preserve"> </w:t>
      </w:r>
      <w:r w:rsidR="001319ED" w:rsidRPr="001D1B1A">
        <w:rPr>
          <w:rFonts w:ascii="Times New Roman" w:eastAsia="Times New Roman" w:hAnsi="Times New Roman" w:cs="Times New Roman"/>
          <w:color w:val="195591"/>
          <w:lang w:val="en-AU" w:eastAsia="en-GB"/>
        </w:rPr>
        <w:t>coordination between</w:t>
      </w:r>
      <w:r w:rsidR="007842CA">
        <w:rPr>
          <w:rFonts w:ascii="Times New Roman" w:eastAsia="Times New Roman" w:hAnsi="Times New Roman" w:cs="Times New Roman"/>
          <w:color w:val="195591"/>
          <w:lang w:val="en-AU" w:eastAsia="en-GB"/>
        </w:rPr>
        <w:t xml:space="preserve"> </w:t>
      </w:r>
      <w:r w:rsidR="001319ED" w:rsidRPr="001D1B1A">
        <w:rPr>
          <w:rFonts w:ascii="Times New Roman" w:eastAsia="Times New Roman" w:hAnsi="Times New Roman" w:cs="Times New Roman"/>
          <w:color w:val="195591"/>
          <w:lang w:val="en-AU" w:eastAsia="en-GB"/>
        </w:rPr>
        <w:t>the local planner, the national</w:t>
      </w:r>
      <w:r w:rsidR="007842CA">
        <w:rPr>
          <w:rFonts w:ascii="Times New Roman" w:eastAsia="Times New Roman" w:hAnsi="Times New Roman" w:cs="Times New Roman"/>
          <w:color w:val="195591"/>
          <w:lang w:val="en-AU" w:eastAsia="en-GB"/>
        </w:rPr>
        <w:t xml:space="preserve"> </w:t>
      </w:r>
      <w:r w:rsidR="001319ED" w:rsidRPr="001D1B1A">
        <w:rPr>
          <w:rFonts w:ascii="Times New Roman" w:eastAsia="Times New Roman" w:hAnsi="Times New Roman" w:cs="Times New Roman"/>
          <w:color w:val="195591"/>
          <w:lang w:val="en-AU" w:eastAsia="en-GB"/>
        </w:rPr>
        <w:t>authority and the operator</w:t>
      </w:r>
      <w:r w:rsidR="008D3537" w:rsidRPr="001D1B1A">
        <w:rPr>
          <w:rFonts w:ascii="Times New Roman" w:eastAsia="Times New Roman" w:hAnsi="Times New Roman" w:cs="Times New Roman"/>
          <w:color w:val="195591"/>
          <w:lang w:val="en-AU" w:eastAsia="en-GB"/>
        </w:rPr>
        <w:t xml:space="preserve"> </w:t>
      </w:r>
    </w:p>
    <w:p w14:paraId="0E43CA37" w14:textId="3CD12301" w:rsidR="00B623C0" w:rsidRDefault="00B623C0" w:rsidP="00034232">
      <w:pPr>
        <w:snapToGrid w:val="0"/>
        <w:spacing w:after="120"/>
        <w:rPr>
          <w:rFonts w:ascii="OpenSans-Bold" w:eastAsia="Times New Roman" w:hAnsi="OpenSans-Bold" w:cs="OpenSans-Bold"/>
          <w:b/>
          <w:bCs/>
          <w:lang w:val="en-AU" w:eastAsia="en-GB"/>
        </w:rPr>
      </w:pPr>
      <w:r>
        <w:rPr>
          <w:rFonts w:ascii="OpenSans-Bold" w:eastAsia="Times New Roman" w:hAnsi="OpenSans-Bold" w:cs="OpenSans-Bold"/>
          <w:b/>
          <w:bCs/>
          <w:lang w:val="en-AU" w:eastAsia="en-GB"/>
        </w:rPr>
        <w:t xml:space="preserve">Country: </w:t>
      </w:r>
      <w:r>
        <w:rPr>
          <w:rFonts w:ascii="Times New Roman" w:eastAsia="Times New Roman" w:hAnsi="Times New Roman" w:cs="Times New Roman"/>
          <w:color w:val="195591"/>
          <w:lang w:val="en-AU" w:eastAsia="en-GB"/>
        </w:rPr>
        <w:t>Norway</w:t>
      </w:r>
    </w:p>
    <w:p w14:paraId="7A4A8A4B" w14:textId="6491E3CF" w:rsidR="00034232" w:rsidRDefault="00034232" w:rsidP="00034232">
      <w:pPr>
        <w:snapToGrid w:val="0"/>
        <w:spacing w:after="120"/>
        <w:rPr>
          <w:rFonts w:ascii="Times New Roman" w:eastAsia="Times New Roman" w:hAnsi="Times New Roman" w:cs="Times New Roman"/>
          <w:color w:val="195591"/>
          <w:lang w:val="en-AU" w:eastAsia="en-GB"/>
        </w:rPr>
      </w:pPr>
      <w:r w:rsidRPr="00FB5319">
        <w:rPr>
          <w:rFonts w:ascii="OpenSans-Bold" w:eastAsia="Times New Roman" w:hAnsi="OpenSans-Bold" w:cs="OpenSans-Bold"/>
          <w:b/>
          <w:bCs/>
          <w:lang w:eastAsia="en-GB"/>
        </w:rPr>
        <w:t>Date</w:t>
      </w:r>
      <w:r w:rsidRPr="001D1B1A">
        <w:rPr>
          <w:rFonts w:ascii="OpenSans-Bold" w:eastAsia="Times New Roman" w:hAnsi="OpenSans-Bold" w:cs="OpenSans-Bold"/>
          <w:b/>
          <w:bCs/>
          <w:lang w:val="en-AU" w:eastAsia="en-GB"/>
        </w:rPr>
        <w:t xml:space="preserve">: </w:t>
      </w:r>
      <w:r w:rsidRPr="001D1B1A">
        <w:rPr>
          <w:rFonts w:ascii="Times New Roman" w:eastAsia="Times New Roman" w:hAnsi="Times New Roman" w:cs="Times New Roman"/>
          <w:color w:val="195591"/>
          <w:lang w:val="en-AU" w:eastAsia="en-GB"/>
        </w:rPr>
        <w:t>201</w:t>
      </w:r>
      <w:r w:rsidR="00A127A4">
        <w:rPr>
          <w:rFonts w:ascii="Times New Roman" w:eastAsia="Times New Roman" w:hAnsi="Times New Roman" w:cs="Times New Roman"/>
          <w:color w:val="195591"/>
          <w:lang w:val="en-AU" w:eastAsia="en-GB"/>
        </w:rPr>
        <w:t>6</w:t>
      </w:r>
    </w:p>
    <w:p w14:paraId="4BDD6B3E" w14:textId="1D35321F" w:rsidR="00D55EAA" w:rsidRPr="00FB5319" w:rsidRDefault="00D55EAA" w:rsidP="00034232">
      <w:pPr>
        <w:snapToGrid w:val="0"/>
        <w:spacing w:after="120"/>
        <w:rPr>
          <w:rFonts w:ascii="OpenSans-Bold" w:eastAsia="Times New Roman" w:hAnsi="OpenSans-Bold" w:cs="OpenSans-Bold"/>
          <w:b/>
          <w:bCs/>
          <w:lang w:val="en-AU" w:eastAsia="en-GB"/>
        </w:rPr>
      </w:pPr>
      <w:r>
        <w:rPr>
          <w:rFonts w:ascii="OpenSans-Bold" w:eastAsia="Times New Roman" w:hAnsi="OpenSans-Bold" w:cs="OpenSans-Bold"/>
          <w:b/>
          <w:bCs/>
          <w:lang w:eastAsia="en-GB"/>
        </w:rPr>
        <w:t>Category</w:t>
      </w:r>
      <w:r w:rsidRPr="001D1B1A">
        <w:rPr>
          <w:rFonts w:ascii="OpenSans-Bold" w:eastAsia="Times New Roman" w:hAnsi="OpenSans-Bold" w:cs="OpenSans-Bold"/>
          <w:b/>
          <w:bCs/>
          <w:lang w:val="en-AU" w:eastAsia="en-GB"/>
        </w:rPr>
        <w:t xml:space="preserve">: </w:t>
      </w:r>
      <w:r>
        <w:rPr>
          <w:rFonts w:ascii="Times New Roman" w:eastAsia="Times New Roman" w:hAnsi="Times New Roman" w:cs="Times New Roman"/>
          <w:color w:val="195591"/>
          <w:lang w:val="en-AU" w:eastAsia="en-GB"/>
        </w:rPr>
        <w:t xml:space="preserve">Plans, </w:t>
      </w:r>
      <w:r w:rsidR="002A2673">
        <w:rPr>
          <w:rFonts w:ascii="Times New Roman" w:eastAsia="Times New Roman" w:hAnsi="Times New Roman" w:cs="Times New Roman"/>
          <w:color w:val="195591"/>
          <w:lang w:val="en-AU" w:eastAsia="en-GB"/>
        </w:rPr>
        <w:t>P</w:t>
      </w:r>
      <w:r>
        <w:rPr>
          <w:rFonts w:ascii="Times New Roman" w:eastAsia="Times New Roman" w:hAnsi="Times New Roman" w:cs="Times New Roman"/>
          <w:color w:val="195591"/>
          <w:lang w:val="en-AU" w:eastAsia="en-GB"/>
        </w:rPr>
        <w:t>olicies</w:t>
      </w:r>
      <w:r w:rsidR="002A2673">
        <w:rPr>
          <w:rFonts w:ascii="Times New Roman" w:eastAsia="Times New Roman" w:hAnsi="Times New Roman" w:cs="Times New Roman"/>
          <w:color w:val="195591"/>
          <w:lang w:val="en-AU" w:eastAsia="en-GB"/>
        </w:rPr>
        <w:t>, M</w:t>
      </w:r>
      <w:r>
        <w:rPr>
          <w:rFonts w:ascii="Times New Roman" w:eastAsia="Times New Roman" w:hAnsi="Times New Roman" w:cs="Times New Roman"/>
          <w:color w:val="195591"/>
          <w:lang w:val="en-AU" w:eastAsia="en-GB"/>
        </w:rPr>
        <w:t>easures</w:t>
      </w:r>
    </w:p>
    <w:p w14:paraId="38B01377" w14:textId="1C4DE03B" w:rsidR="00FB5319" w:rsidRPr="005B6C61" w:rsidRDefault="00FB5319" w:rsidP="001319ED">
      <w:pPr>
        <w:snapToGrid w:val="0"/>
        <w:spacing w:after="120"/>
        <w:rPr>
          <w:rFonts w:ascii="OpenSans-Bold" w:eastAsia="Times New Roman" w:hAnsi="OpenSans-Bold" w:cs="OpenSans-Bold"/>
          <w:b/>
          <w:bCs/>
          <w:lang w:eastAsia="en-GB"/>
        </w:rPr>
      </w:pPr>
      <w:r w:rsidRPr="00FB5319">
        <w:rPr>
          <w:rFonts w:ascii="OpenSans-Bold" w:eastAsia="Times New Roman" w:hAnsi="OpenSans-Bold" w:cs="OpenSans-Bold"/>
          <w:b/>
          <w:bCs/>
          <w:lang w:eastAsia="en-GB"/>
        </w:rPr>
        <w:t>Tags</w:t>
      </w:r>
      <w:r w:rsidRPr="001D1B1A">
        <w:rPr>
          <w:rFonts w:ascii="OpenSans-Bold" w:eastAsia="Times New Roman" w:hAnsi="OpenSans-Bold" w:cs="OpenSans-Bold"/>
          <w:b/>
          <w:bCs/>
          <w:lang w:val="en-AU" w:eastAsia="en-GB"/>
        </w:rPr>
        <w:t xml:space="preserve">: </w:t>
      </w:r>
      <w:r w:rsidRPr="001D1B1A">
        <w:rPr>
          <w:rFonts w:ascii="Times New Roman" w:eastAsia="Times New Roman" w:hAnsi="Times New Roman" w:cs="Times New Roman"/>
          <w:color w:val="195591"/>
          <w:lang w:eastAsia="en-GB"/>
        </w:rPr>
        <w:t>Land-Use Planning</w:t>
      </w:r>
      <w:r w:rsidRPr="00FB5319">
        <w:rPr>
          <w:rFonts w:ascii="Times New Roman" w:eastAsia="Times New Roman" w:hAnsi="Times New Roman" w:cs="Times New Roman"/>
          <w:color w:val="195591"/>
          <w:lang w:eastAsia="en-GB"/>
        </w:rPr>
        <w:t xml:space="preserve">, </w:t>
      </w:r>
      <w:r w:rsidRPr="001D1B1A">
        <w:rPr>
          <w:rFonts w:ascii="Times New Roman" w:eastAsia="Times New Roman" w:hAnsi="Times New Roman" w:cs="Times New Roman"/>
          <w:color w:val="195591"/>
          <w:lang w:eastAsia="en-GB"/>
        </w:rPr>
        <w:t>Industrial Safety</w:t>
      </w:r>
      <w:r w:rsidRPr="00FB5319">
        <w:rPr>
          <w:rFonts w:ascii="Times New Roman" w:eastAsia="Times New Roman" w:hAnsi="Times New Roman" w:cs="Times New Roman"/>
          <w:color w:val="195591"/>
          <w:lang w:eastAsia="en-GB"/>
        </w:rPr>
        <w:t xml:space="preserve">, </w:t>
      </w:r>
      <w:r w:rsidRPr="001D1B1A">
        <w:rPr>
          <w:rFonts w:ascii="Times New Roman" w:eastAsia="Times New Roman" w:hAnsi="Times New Roman" w:cs="Times New Roman"/>
          <w:color w:val="195591"/>
          <w:lang w:val="en-AU" w:eastAsia="en-GB"/>
        </w:rPr>
        <w:t>Public Participation</w:t>
      </w:r>
      <w:r w:rsidR="00000021" w:rsidRPr="001D1B1A">
        <w:rPr>
          <w:rFonts w:ascii="Times New Roman" w:eastAsia="Times New Roman" w:hAnsi="Times New Roman" w:cs="Times New Roman"/>
          <w:color w:val="195591"/>
          <w:lang w:val="en-AU" w:eastAsia="en-GB"/>
        </w:rPr>
        <w:t>,</w:t>
      </w:r>
      <w:r w:rsidRPr="001D1B1A">
        <w:rPr>
          <w:rFonts w:ascii="Times New Roman" w:eastAsia="Times New Roman" w:hAnsi="Times New Roman" w:cs="Times New Roman"/>
          <w:color w:val="195591"/>
          <w:lang w:val="en-AU" w:eastAsia="en-GB"/>
        </w:rPr>
        <w:t xml:space="preserve"> </w:t>
      </w:r>
      <w:r w:rsidR="008A4398">
        <w:rPr>
          <w:rFonts w:ascii="Times New Roman" w:eastAsia="Times New Roman" w:hAnsi="Times New Roman" w:cs="Times New Roman"/>
          <w:color w:val="195591"/>
          <w:lang w:val="en-AU" w:eastAsia="en-GB"/>
        </w:rPr>
        <w:t xml:space="preserve">Public Access to </w:t>
      </w:r>
      <w:r w:rsidRPr="001D1B1A">
        <w:rPr>
          <w:rFonts w:ascii="Times New Roman" w:eastAsia="Times New Roman" w:hAnsi="Times New Roman" w:cs="Times New Roman"/>
          <w:color w:val="195591"/>
          <w:lang w:val="en-AU" w:eastAsia="en-GB"/>
        </w:rPr>
        <w:t xml:space="preserve">Information </w:t>
      </w:r>
      <w:r w:rsidR="008A4398">
        <w:rPr>
          <w:rFonts w:ascii="Times New Roman" w:eastAsia="Times New Roman" w:hAnsi="Times New Roman" w:cs="Times New Roman"/>
          <w:color w:val="195591"/>
          <w:lang w:val="en-AU" w:eastAsia="en-GB"/>
        </w:rPr>
        <w:t xml:space="preserve"> </w:t>
      </w:r>
    </w:p>
    <w:p w14:paraId="36E991D2" w14:textId="63BDC089" w:rsidR="008A4398" w:rsidRPr="00FB5319" w:rsidRDefault="00FB5319" w:rsidP="001319ED">
      <w:pPr>
        <w:snapToGrid w:val="0"/>
        <w:spacing w:after="120"/>
        <w:rPr>
          <w:rFonts w:ascii="OpenSans-Bold" w:eastAsia="Times New Roman" w:hAnsi="OpenSans-Bold" w:cs="OpenSans-Bold"/>
          <w:b/>
          <w:bCs/>
          <w:lang w:val="en-AU" w:eastAsia="en-GB"/>
        </w:rPr>
      </w:pPr>
      <w:r w:rsidRPr="00FB5319">
        <w:rPr>
          <w:rFonts w:ascii="OpenSans-Bold" w:eastAsia="Times New Roman" w:hAnsi="OpenSans-Bold" w:cs="OpenSans-Bold"/>
          <w:b/>
          <w:bCs/>
          <w:lang w:eastAsia="en-GB"/>
        </w:rPr>
        <w:t>Organization</w:t>
      </w:r>
      <w:r w:rsidR="00000021" w:rsidRPr="001D1B1A">
        <w:rPr>
          <w:rFonts w:ascii="OpenSans-Bold" w:eastAsia="Times New Roman" w:hAnsi="OpenSans-Bold" w:cs="OpenSans-Bold"/>
          <w:b/>
          <w:bCs/>
          <w:lang w:val="en-AU" w:eastAsia="en-GB"/>
        </w:rPr>
        <w:t>(s)</w:t>
      </w:r>
      <w:r w:rsidR="00DE2FE9">
        <w:rPr>
          <w:rFonts w:ascii="OpenSans-Bold" w:eastAsia="Times New Roman" w:hAnsi="OpenSans-Bold" w:cs="OpenSans-Bold"/>
          <w:b/>
          <w:bCs/>
          <w:lang w:val="en-AU" w:eastAsia="en-GB"/>
        </w:rPr>
        <w:t xml:space="preserve"> involved</w:t>
      </w:r>
      <w:r w:rsidRPr="001D1B1A">
        <w:rPr>
          <w:rFonts w:ascii="OpenSans-Bold" w:eastAsia="Times New Roman" w:hAnsi="OpenSans-Bold" w:cs="OpenSans-Bold"/>
          <w:b/>
          <w:bCs/>
          <w:lang w:val="en-AU" w:eastAsia="en-GB"/>
        </w:rPr>
        <w:t xml:space="preserve">: </w:t>
      </w:r>
      <w:r w:rsidR="009C425A" w:rsidRPr="001D1B1A">
        <w:rPr>
          <w:rFonts w:ascii="Times New Roman" w:eastAsia="Times New Roman" w:hAnsi="Times New Roman" w:cs="Times New Roman"/>
          <w:color w:val="195591"/>
          <w:lang w:val="en-AU" w:eastAsia="en-GB"/>
        </w:rPr>
        <w:t>Borregaard and Norwegian Directorate for Civil Protection</w:t>
      </w:r>
      <w:r w:rsidR="008A4398">
        <w:rPr>
          <w:rFonts w:ascii="Times New Roman" w:eastAsia="Times New Roman" w:hAnsi="Times New Roman" w:cs="Times New Roman"/>
          <w:color w:val="195591"/>
          <w:lang w:val="en-AU" w:eastAsia="en-GB"/>
        </w:rPr>
        <w:t xml:space="preserve"> </w:t>
      </w:r>
    </w:p>
    <w:p w14:paraId="0BBBD44B" w14:textId="77777777" w:rsidR="00E11144" w:rsidRPr="00B623C0" w:rsidRDefault="00E11144" w:rsidP="00E11144">
      <w:pPr>
        <w:snapToGrid w:val="0"/>
        <w:spacing w:after="120"/>
        <w:rPr>
          <w:rFonts w:ascii="OpenSans-Bold" w:eastAsia="Times New Roman" w:hAnsi="OpenSans-Bold" w:cs="OpenSans-Bold"/>
          <w:b/>
          <w:bCs/>
          <w:lang w:eastAsia="en-GB"/>
        </w:rPr>
      </w:pPr>
      <w:r>
        <w:rPr>
          <w:rFonts w:ascii="OpenSans-Bold" w:eastAsia="Times New Roman" w:hAnsi="OpenSans-Bold" w:cs="OpenSans-Bold"/>
          <w:b/>
          <w:bCs/>
          <w:lang w:val="en-AU" w:eastAsia="en-GB"/>
        </w:rPr>
        <w:t>Summary</w:t>
      </w:r>
      <w:r w:rsidRPr="00B623C0">
        <w:rPr>
          <w:rFonts w:ascii="OpenSans-Bold" w:eastAsia="Times New Roman" w:hAnsi="OpenSans-Bold" w:cs="OpenSans-Bold"/>
          <w:b/>
          <w:bCs/>
          <w:lang w:eastAsia="en-GB"/>
        </w:rPr>
        <w:t>:</w:t>
      </w:r>
      <w:r w:rsidRPr="00B623C0">
        <w:rPr>
          <w:rFonts w:ascii="OpenSans-Bold" w:eastAsia="Times New Roman" w:hAnsi="OpenSans-Bold" w:cs="OpenSans-Bold"/>
          <w:b/>
          <w:bCs/>
          <w:lang w:val="en-AU" w:eastAsia="en-GB"/>
        </w:rPr>
        <w:t xml:space="preserve"> </w:t>
      </w:r>
      <w:hyperlink r:id="rId10" w:history="1">
        <w:r w:rsidRPr="00B623C0">
          <w:rPr>
            <w:rFonts w:ascii="Times New Roman" w:eastAsia="Times New Roman" w:hAnsi="Times New Roman" w:cs="Times New Roman"/>
            <w:vanish/>
            <w:color w:val="195591"/>
            <w:sz w:val="22"/>
            <w:szCs w:val="22"/>
            <w:lang w:eastAsia="en-GB"/>
          </w:rPr>
          <w:t>See all articles of this issue</w:t>
        </w:r>
      </w:hyperlink>
    </w:p>
    <w:p w14:paraId="3FCC0B47" w14:textId="5670D170" w:rsidR="00E11144" w:rsidRDefault="00E11144" w:rsidP="00E11144">
      <w:pPr>
        <w:jc w:val="both"/>
        <w:rPr>
          <w:rFonts w:ascii="Times New Roman" w:eastAsia="Times New Roman" w:hAnsi="Times New Roman" w:cs="Times New Roman"/>
          <w:color w:val="195591"/>
          <w:lang w:val="en-AU" w:eastAsia="en-GB"/>
        </w:rPr>
      </w:pPr>
      <w:r>
        <w:rPr>
          <w:rFonts w:ascii="Times New Roman" w:eastAsia="Times New Roman" w:hAnsi="Times New Roman" w:cs="Times New Roman"/>
          <w:color w:val="195591"/>
          <w:lang w:val="en-AU" w:eastAsia="en-GB"/>
        </w:rPr>
        <w:t>In 2016, the local government proposed a r</w:t>
      </w:r>
      <w:r w:rsidRPr="00A127A4">
        <w:rPr>
          <w:rFonts w:ascii="Times New Roman" w:eastAsia="Times New Roman" w:hAnsi="Times New Roman" w:cs="Times New Roman"/>
          <w:color w:val="195591"/>
          <w:lang w:eastAsia="en-GB"/>
        </w:rPr>
        <w:t>evision of the land</w:t>
      </w:r>
      <w:r w:rsidR="00F40246">
        <w:rPr>
          <w:rFonts w:ascii="Times New Roman" w:eastAsia="Times New Roman" w:hAnsi="Times New Roman" w:cs="Times New Roman"/>
          <w:color w:val="195591"/>
          <w:lang w:eastAsia="en-GB"/>
        </w:rPr>
        <w:t xml:space="preserve"> </w:t>
      </w:r>
      <w:r w:rsidRPr="00A127A4">
        <w:rPr>
          <w:rFonts w:ascii="Times New Roman" w:eastAsia="Times New Roman" w:hAnsi="Times New Roman" w:cs="Times New Roman"/>
          <w:color w:val="195591"/>
          <w:lang w:eastAsia="en-GB"/>
        </w:rPr>
        <w:t>use plan for the city</w:t>
      </w:r>
      <w:r>
        <w:rPr>
          <w:rFonts w:ascii="Times New Roman" w:eastAsia="Times New Roman" w:hAnsi="Times New Roman" w:cs="Times New Roman"/>
          <w:color w:val="195591"/>
          <w:lang w:val="en-AU" w:eastAsia="en-GB"/>
        </w:rPr>
        <w:t xml:space="preserve"> of Sarpsborg in Norway. The revision included proposals for new u</w:t>
      </w:r>
      <w:r w:rsidRPr="00C94965">
        <w:rPr>
          <w:rFonts w:ascii="Times New Roman" w:eastAsia="Times New Roman" w:hAnsi="Times New Roman" w:cs="Times New Roman"/>
          <w:color w:val="195591"/>
          <w:lang w:val="en-AU" w:eastAsia="en-GB"/>
        </w:rPr>
        <w:t>rban development</w:t>
      </w:r>
      <w:r w:rsidR="00F40246">
        <w:rPr>
          <w:rFonts w:ascii="Times New Roman" w:eastAsia="Times New Roman" w:hAnsi="Times New Roman" w:cs="Times New Roman"/>
          <w:color w:val="195591"/>
          <w:lang w:val="en-AU" w:eastAsia="en-GB"/>
        </w:rPr>
        <w:t xml:space="preserve"> and</w:t>
      </w:r>
      <w:r>
        <w:rPr>
          <w:rFonts w:ascii="Times New Roman" w:eastAsia="Times New Roman" w:hAnsi="Times New Roman" w:cs="Times New Roman"/>
          <w:color w:val="195591"/>
          <w:lang w:val="en-AU" w:eastAsia="en-GB"/>
        </w:rPr>
        <w:t xml:space="preserve"> densification of existing</w:t>
      </w:r>
      <w:r w:rsidRPr="00C94965">
        <w:rPr>
          <w:rFonts w:ascii="Times New Roman" w:eastAsia="Times New Roman" w:hAnsi="Times New Roman" w:cs="Times New Roman"/>
          <w:color w:val="195591"/>
          <w:lang w:val="en-AU" w:eastAsia="en-GB"/>
        </w:rPr>
        <w:t xml:space="preserve"> residential areas (from low-rise</w:t>
      </w:r>
      <w:r>
        <w:rPr>
          <w:rFonts w:ascii="Times New Roman" w:eastAsia="Times New Roman" w:hAnsi="Times New Roman" w:cs="Times New Roman"/>
          <w:color w:val="195591"/>
          <w:lang w:val="en-AU" w:eastAsia="en-GB"/>
        </w:rPr>
        <w:t xml:space="preserve"> housing</w:t>
      </w:r>
      <w:r w:rsidRPr="00C94965">
        <w:rPr>
          <w:rFonts w:ascii="Times New Roman" w:eastAsia="Times New Roman" w:hAnsi="Times New Roman" w:cs="Times New Roman"/>
          <w:color w:val="195591"/>
          <w:lang w:val="en-AU" w:eastAsia="en-GB"/>
        </w:rPr>
        <w:t xml:space="preserve"> to </w:t>
      </w:r>
      <w:r>
        <w:rPr>
          <w:rFonts w:ascii="Times New Roman" w:eastAsia="Times New Roman" w:hAnsi="Times New Roman" w:cs="Times New Roman"/>
          <w:color w:val="195591"/>
          <w:lang w:val="en-AU" w:eastAsia="en-GB"/>
        </w:rPr>
        <w:t>apartment blocks</w:t>
      </w:r>
      <w:r w:rsidRPr="00C94965">
        <w:rPr>
          <w:rFonts w:ascii="Times New Roman" w:eastAsia="Times New Roman" w:hAnsi="Times New Roman" w:cs="Times New Roman"/>
          <w:color w:val="195591"/>
          <w:lang w:val="en-AU" w:eastAsia="en-GB"/>
        </w:rPr>
        <w:t>)</w:t>
      </w:r>
      <w:r>
        <w:rPr>
          <w:rFonts w:ascii="Times New Roman" w:eastAsia="Times New Roman" w:hAnsi="Times New Roman" w:cs="Times New Roman"/>
          <w:color w:val="195591"/>
          <w:lang w:val="en-AU" w:eastAsia="en-GB"/>
        </w:rPr>
        <w:t xml:space="preserve"> to accommodate a growth in population of the city </w:t>
      </w:r>
      <w:r w:rsidRPr="00C94965">
        <w:rPr>
          <w:rFonts w:ascii="Times New Roman" w:eastAsia="Times New Roman" w:hAnsi="Times New Roman" w:cs="Times New Roman"/>
          <w:color w:val="195591"/>
          <w:lang w:val="en-AU" w:eastAsia="en-GB"/>
        </w:rPr>
        <w:t xml:space="preserve">by 40 % </w:t>
      </w:r>
      <w:r>
        <w:rPr>
          <w:rFonts w:ascii="Times New Roman" w:eastAsia="Times New Roman" w:hAnsi="Times New Roman" w:cs="Times New Roman"/>
          <w:color w:val="195591"/>
          <w:lang w:val="en-AU" w:eastAsia="en-GB"/>
        </w:rPr>
        <w:t xml:space="preserve">over the </w:t>
      </w:r>
      <w:r w:rsidRPr="00C94965">
        <w:rPr>
          <w:rFonts w:ascii="Times New Roman" w:eastAsia="Times New Roman" w:hAnsi="Times New Roman" w:cs="Times New Roman"/>
          <w:color w:val="195591"/>
          <w:lang w:val="en-AU" w:eastAsia="en-GB"/>
        </w:rPr>
        <w:t>next decade</w:t>
      </w:r>
      <w:r>
        <w:rPr>
          <w:rFonts w:ascii="Times New Roman" w:eastAsia="Times New Roman" w:hAnsi="Times New Roman" w:cs="Times New Roman"/>
          <w:color w:val="195591"/>
          <w:lang w:val="en-AU" w:eastAsia="en-GB"/>
        </w:rPr>
        <w:t>. A major challenge that they faced related to a</w:t>
      </w:r>
      <w:r w:rsidRPr="00A127A4">
        <w:rPr>
          <w:rFonts w:ascii="Times New Roman" w:eastAsia="Times New Roman" w:hAnsi="Times New Roman" w:cs="Times New Roman"/>
          <w:color w:val="195591"/>
          <w:lang w:eastAsia="en-GB"/>
        </w:rPr>
        <w:t xml:space="preserve">n existing </w:t>
      </w:r>
      <w:r>
        <w:rPr>
          <w:rFonts w:ascii="Times New Roman" w:eastAsia="Times New Roman" w:hAnsi="Times New Roman" w:cs="Times New Roman"/>
          <w:color w:val="195591"/>
          <w:lang w:val="en-AU" w:eastAsia="en-GB"/>
        </w:rPr>
        <w:t xml:space="preserve">hazardous facility located within the city – the </w:t>
      </w:r>
      <w:r w:rsidRPr="00A127A4">
        <w:rPr>
          <w:rFonts w:ascii="Times New Roman" w:eastAsia="Times New Roman" w:hAnsi="Times New Roman" w:cs="Times New Roman"/>
          <w:color w:val="195591"/>
          <w:lang w:eastAsia="en-GB"/>
        </w:rPr>
        <w:t>Borregaard</w:t>
      </w:r>
      <w:r>
        <w:rPr>
          <w:rFonts w:ascii="Times New Roman" w:eastAsia="Times New Roman" w:hAnsi="Times New Roman" w:cs="Times New Roman"/>
          <w:color w:val="195591"/>
          <w:lang w:val="en-AU" w:eastAsia="en-GB"/>
        </w:rPr>
        <w:t xml:space="preserve"> </w:t>
      </w:r>
      <w:r w:rsidRPr="00A127A4">
        <w:rPr>
          <w:rFonts w:ascii="Times New Roman" w:eastAsia="Times New Roman" w:hAnsi="Times New Roman" w:cs="Times New Roman"/>
          <w:color w:val="195591"/>
          <w:lang w:eastAsia="en-GB"/>
        </w:rPr>
        <w:t xml:space="preserve">cellulose factory </w:t>
      </w:r>
      <w:r>
        <w:rPr>
          <w:rFonts w:ascii="Times New Roman" w:eastAsia="Times New Roman" w:hAnsi="Times New Roman" w:cs="Times New Roman"/>
          <w:color w:val="195591"/>
          <w:lang w:val="en-AU" w:eastAsia="en-GB"/>
        </w:rPr>
        <w:t xml:space="preserve">that </w:t>
      </w:r>
      <w:r w:rsidRPr="00A127A4">
        <w:rPr>
          <w:rFonts w:ascii="Times New Roman" w:eastAsia="Times New Roman" w:hAnsi="Times New Roman" w:cs="Times New Roman"/>
          <w:color w:val="195591"/>
          <w:lang w:eastAsia="en-GB"/>
        </w:rPr>
        <w:t>utilize</w:t>
      </w:r>
      <w:r>
        <w:rPr>
          <w:rFonts w:ascii="Times New Roman" w:eastAsia="Times New Roman" w:hAnsi="Times New Roman" w:cs="Times New Roman"/>
          <w:color w:val="195591"/>
          <w:lang w:val="en-AU" w:eastAsia="en-GB"/>
        </w:rPr>
        <w:t>s</w:t>
      </w:r>
      <w:r w:rsidRPr="00A127A4">
        <w:rPr>
          <w:rFonts w:ascii="Times New Roman" w:eastAsia="Times New Roman" w:hAnsi="Times New Roman" w:cs="Times New Roman"/>
          <w:color w:val="195591"/>
          <w:lang w:eastAsia="en-GB"/>
        </w:rPr>
        <w:t xml:space="preserve"> large amounts</w:t>
      </w:r>
      <w:r>
        <w:rPr>
          <w:rFonts w:ascii="Times New Roman" w:eastAsia="Times New Roman" w:hAnsi="Times New Roman" w:cs="Times New Roman"/>
          <w:color w:val="195591"/>
          <w:lang w:val="en-AU" w:eastAsia="en-GB"/>
        </w:rPr>
        <w:t xml:space="preserve"> </w:t>
      </w:r>
      <w:r w:rsidRPr="00A127A4">
        <w:rPr>
          <w:rFonts w:ascii="Times New Roman" w:eastAsia="Times New Roman" w:hAnsi="Times New Roman" w:cs="Times New Roman"/>
          <w:color w:val="195591"/>
          <w:lang w:eastAsia="en-GB"/>
        </w:rPr>
        <w:t>of sulphur dioxide</w:t>
      </w:r>
      <w:r>
        <w:rPr>
          <w:rFonts w:ascii="Times New Roman" w:eastAsia="Times New Roman" w:hAnsi="Times New Roman" w:cs="Times New Roman"/>
          <w:color w:val="195591"/>
          <w:lang w:val="en-AU" w:eastAsia="en-GB"/>
        </w:rPr>
        <w:t xml:space="preserve">. </w:t>
      </w:r>
      <w:r w:rsidRPr="00284927">
        <w:rPr>
          <w:rFonts w:ascii="Times New Roman" w:eastAsia="Times New Roman" w:hAnsi="Times New Roman" w:cs="Times New Roman"/>
          <w:color w:val="195591"/>
          <w:lang w:val="en-AU" w:eastAsia="en-GB"/>
        </w:rPr>
        <w:t>If an accident were to occur, the toxic gas could have significant health impacts on the surrounding urban areas.</w:t>
      </w:r>
      <w:r>
        <w:rPr>
          <w:rFonts w:ascii="Times New Roman" w:eastAsia="Times New Roman" w:hAnsi="Times New Roman" w:cs="Times New Roman"/>
          <w:color w:val="195591"/>
          <w:lang w:val="en-AU" w:eastAsia="en-GB"/>
        </w:rPr>
        <w:t xml:space="preserve"> Therefore, it was decided to introduce </w:t>
      </w:r>
      <w:r w:rsidRPr="00C94965">
        <w:rPr>
          <w:rFonts w:ascii="Times New Roman" w:eastAsia="Times New Roman" w:hAnsi="Times New Roman" w:cs="Times New Roman"/>
          <w:color w:val="195591"/>
          <w:lang w:val="en-AU" w:eastAsia="en-GB"/>
        </w:rPr>
        <w:t>new consideration zones in existing</w:t>
      </w:r>
      <w:r>
        <w:rPr>
          <w:rFonts w:ascii="Times New Roman" w:eastAsia="Times New Roman" w:hAnsi="Times New Roman" w:cs="Times New Roman"/>
          <w:color w:val="195591"/>
          <w:lang w:val="en-AU" w:eastAsia="en-GB"/>
        </w:rPr>
        <w:t xml:space="preserve"> </w:t>
      </w:r>
      <w:r w:rsidRPr="00C94965">
        <w:rPr>
          <w:rFonts w:ascii="Times New Roman" w:eastAsia="Times New Roman" w:hAnsi="Times New Roman" w:cs="Times New Roman"/>
          <w:color w:val="195591"/>
          <w:lang w:val="en-AU" w:eastAsia="en-GB"/>
        </w:rPr>
        <w:t>residential areas</w:t>
      </w:r>
      <w:r>
        <w:rPr>
          <w:rFonts w:ascii="Times New Roman" w:eastAsia="Times New Roman" w:hAnsi="Times New Roman" w:cs="Times New Roman"/>
          <w:color w:val="195591"/>
          <w:lang w:val="en-AU" w:eastAsia="en-GB"/>
        </w:rPr>
        <w:t xml:space="preserve">, and to involve the public in the process. </w:t>
      </w:r>
      <w:r w:rsidRPr="00594909">
        <w:rPr>
          <w:rFonts w:ascii="Times New Roman" w:eastAsia="Times New Roman" w:hAnsi="Times New Roman" w:cs="Times New Roman"/>
          <w:color w:val="195591"/>
          <w:lang w:val="en-AU" w:eastAsia="en-GB"/>
        </w:rPr>
        <w:t xml:space="preserve">Norway </w:t>
      </w:r>
      <w:r>
        <w:rPr>
          <w:rFonts w:ascii="Times New Roman" w:eastAsia="Times New Roman" w:hAnsi="Times New Roman" w:cs="Times New Roman"/>
          <w:color w:val="195591"/>
          <w:lang w:val="en-AU" w:eastAsia="en-GB"/>
        </w:rPr>
        <w:t>has</w:t>
      </w:r>
      <w:r w:rsidRPr="00594909">
        <w:rPr>
          <w:rFonts w:ascii="Times New Roman" w:eastAsia="Times New Roman" w:hAnsi="Times New Roman" w:cs="Times New Roman"/>
          <w:color w:val="195591"/>
          <w:lang w:val="en-AU" w:eastAsia="en-GB"/>
        </w:rPr>
        <w:t xml:space="preserve"> </w:t>
      </w:r>
      <w:r>
        <w:rPr>
          <w:rFonts w:ascii="Times New Roman" w:eastAsia="Times New Roman" w:hAnsi="Times New Roman" w:cs="Times New Roman"/>
          <w:color w:val="195591"/>
          <w:lang w:val="en-AU" w:eastAsia="en-GB"/>
        </w:rPr>
        <w:t>a number of</w:t>
      </w:r>
      <w:r w:rsidRPr="00594909">
        <w:rPr>
          <w:rFonts w:ascii="Times New Roman" w:eastAsia="Times New Roman" w:hAnsi="Times New Roman" w:cs="Times New Roman"/>
          <w:color w:val="195591"/>
          <w:lang w:val="en-AU" w:eastAsia="en-GB"/>
        </w:rPr>
        <w:t xml:space="preserve"> regulations to </w:t>
      </w:r>
      <w:r>
        <w:rPr>
          <w:rFonts w:ascii="Times New Roman" w:eastAsia="Times New Roman" w:hAnsi="Times New Roman" w:cs="Times New Roman"/>
          <w:color w:val="195591"/>
          <w:lang w:val="en-AU" w:eastAsia="en-GB"/>
        </w:rPr>
        <w:t>ensure</w:t>
      </w:r>
      <w:r w:rsidRPr="00594909">
        <w:rPr>
          <w:rFonts w:ascii="Times New Roman" w:eastAsia="Times New Roman" w:hAnsi="Times New Roman" w:cs="Times New Roman"/>
          <w:color w:val="195591"/>
          <w:lang w:val="en-AU" w:eastAsia="en-GB"/>
        </w:rPr>
        <w:t xml:space="preserve"> that the safety of</w:t>
      </w:r>
      <w:r>
        <w:rPr>
          <w:rFonts w:ascii="Times New Roman" w:eastAsia="Times New Roman" w:hAnsi="Times New Roman" w:cs="Times New Roman"/>
          <w:color w:val="195591"/>
          <w:lang w:val="en-AU" w:eastAsia="en-GB"/>
        </w:rPr>
        <w:t xml:space="preserve"> the </w:t>
      </w:r>
      <w:r w:rsidRPr="00594909">
        <w:rPr>
          <w:rFonts w:ascii="Times New Roman" w:eastAsia="Times New Roman" w:hAnsi="Times New Roman" w:cs="Times New Roman"/>
          <w:color w:val="195591"/>
          <w:lang w:val="en-AU" w:eastAsia="en-GB"/>
        </w:rPr>
        <w:t xml:space="preserve">public is considered around hazardous </w:t>
      </w:r>
      <w:r>
        <w:rPr>
          <w:rFonts w:ascii="Times New Roman" w:eastAsia="Times New Roman" w:hAnsi="Times New Roman" w:cs="Times New Roman"/>
          <w:color w:val="195591"/>
          <w:lang w:val="en-AU" w:eastAsia="en-GB"/>
        </w:rPr>
        <w:t>industrial facilities, including the P</w:t>
      </w:r>
      <w:r w:rsidRPr="00594909">
        <w:rPr>
          <w:rFonts w:ascii="Times New Roman" w:eastAsia="Times New Roman" w:hAnsi="Times New Roman" w:cs="Times New Roman"/>
          <w:color w:val="195591"/>
          <w:lang w:val="en-AU" w:eastAsia="en-GB"/>
        </w:rPr>
        <w:t xml:space="preserve">lanning and Building Act </w:t>
      </w:r>
      <w:r>
        <w:rPr>
          <w:rFonts w:ascii="Times New Roman" w:eastAsia="Times New Roman" w:hAnsi="Times New Roman" w:cs="Times New Roman"/>
          <w:color w:val="195591"/>
          <w:lang w:val="en-AU" w:eastAsia="en-GB"/>
        </w:rPr>
        <w:t>and the</w:t>
      </w:r>
      <w:r w:rsidRPr="00594909">
        <w:rPr>
          <w:rFonts w:ascii="Times New Roman" w:eastAsia="Times New Roman" w:hAnsi="Times New Roman" w:cs="Times New Roman"/>
          <w:color w:val="195591"/>
          <w:lang w:val="en-AU" w:eastAsia="en-GB"/>
        </w:rPr>
        <w:t xml:space="preserve"> Fire and Explosion Prevention Act</w:t>
      </w:r>
      <w:r>
        <w:rPr>
          <w:rFonts w:ascii="Times New Roman" w:eastAsia="Times New Roman" w:hAnsi="Times New Roman" w:cs="Times New Roman"/>
          <w:color w:val="195591"/>
          <w:lang w:val="en-AU" w:eastAsia="en-GB"/>
        </w:rPr>
        <w:t>. The</w:t>
      </w:r>
      <w:r w:rsidRPr="00594909">
        <w:rPr>
          <w:rFonts w:ascii="Times New Roman" w:eastAsia="Times New Roman" w:hAnsi="Times New Roman" w:cs="Times New Roman"/>
          <w:color w:val="195591"/>
          <w:lang w:val="en-AU" w:eastAsia="en-GB"/>
        </w:rPr>
        <w:t xml:space="preserve"> two acts are the legal framework for the national policy on siting</w:t>
      </w:r>
      <w:r>
        <w:rPr>
          <w:rFonts w:ascii="Times New Roman" w:eastAsia="Times New Roman" w:hAnsi="Times New Roman" w:cs="Times New Roman"/>
          <w:color w:val="195591"/>
          <w:lang w:val="en-AU" w:eastAsia="en-GB"/>
        </w:rPr>
        <w:t xml:space="preserve"> </w:t>
      </w:r>
      <w:r w:rsidRPr="00594909">
        <w:rPr>
          <w:rFonts w:ascii="Times New Roman" w:eastAsia="Times New Roman" w:hAnsi="Times New Roman" w:cs="Times New Roman"/>
          <w:color w:val="195591"/>
          <w:lang w:val="en-AU" w:eastAsia="en-GB"/>
        </w:rPr>
        <w:t xml:space="preserve">of major hazard installations, </w:t>
      </w:r>
      <w:r>
        <w:rPr>
          <w:rFonts w:ascii="Times New Roman" w:eastAsia="Times New Roman" w:hAnsi="Times New Roman" w:cs="Times New Roman"/>
          <w:color w:val="195591"/>
          <w:lang w:val="en-AU" w:eastAsia="en-GB"/>
        </w:rPr>
        <w:t>created</w:t>
      </w:r>
      <w:r w:rsidRPr="00594909">
        <w:rPr>
          <w:rFonts w:ascii="Times New Roman" w:eastAsia="Times New Roman" w:hAnsi="Times New Roman" w:cs="Times New Roman"/>
          <w:color w:val="195591"/>
          <w:lang w:val="en-AU" w:eastAsia="en-GB"/>
        </w:rPr>
        <w:t xml:space="preserve"> in </w:t>
      </w:r>
      <w:r>
        <w:rPr>
          <w:rFonts w:ascii="Times New Roman" w:eastAsia="Times New Roman" w:hAnsi="Times New Roman" w:cs="Times New Roman"/>
          <w:color w:val="195591"/>
          <w:lang w:val="en-AU" w:eastAsia="en-GB"/>
        </w:rPr>
        <w:t xml:space="preserve">line with article 7 of </w:t>
      </w:r>
      <w:r w:rsidRPr="00594909">
        <w:rPr>
          <w:rFonts w:ascii="Times New Roman" w:eastAsia="Times New Roman" w:hAnsi="Times New Roman" w:cs="Times New Roman"/>
          <w:color w:val="195591"/>
          <w:lang w:val="en-AU" w:eastAsia="en-GB"/>
        </w:rPr>
        <w:t>the UNECE Industrial</w:t>
      </w:r>
      <w:r>
        <w:rPr>
          <w:rFonts w:ascii="Times New Roman" w:eastAsia="Times New Roman" w:hAnsi="Times New Roman" w:cs="Times New Roman"/>
          <w:color w:val="195591"/>
          <w:lang w:val="en-AU" w:eastAsia="en-GB"/>
        </w:rPr>
        <w:t xml:space="preserve"> </w:t>
      </w:r>
      <w:r w:rsidRPr="00594909">
        <w:rPr>
          <w:rFonts w:ascii="Times New Roman" w:eastAsia="Times New Roman" w:hAnsi="Times New Roman" w:cs="Times New Roman"/>
          <w:color w:val="195591"/>
          <w:lang w:val="en-AU" w:eastAsia="en-GB"/>
        </w:rPr>
        <w:t>Accident</w:t>
      </w:r>
      <w:r>
        <w:rPr>
          <w:rFonts w:ascii="Times New Roman" w:eastAsia="Times New Roman" w:hAnsi="Times New Roman" w:cs="Times New Roman"/>
          <w:color w:val="195591"/>
          <w:lang w:val="en-AU" w:eastAsia="en-GB"/>
        </w:rPr>
        <w:t>s</w:t>
      </w:r>
      <w:r w:rsidRPr="00594909">
        <w:rPr>
          <w:rFonts w:ascii="Times New Roman" w:eastAsia="Times New Roman" w:hAnsi="Times New Roman" w:cs="Times New Roman"/>
          <w:color w:val="195591"/>
          <w:lang w:val="en-AU" w:eastAsia="en-GB"/>
        </w:rPr>
        <w:t xml:space="preserve"> Convention</w:t>
      </w:r>
      <w:r>
        <w:rPr>
          <w:rFonts w:ascii="Times New Roman" w:eastAsia="Times New Roman" w:hAnsi="Times New Roman" w:cs="Times New Roman"/>
          <w:color w:val="195591"/>
          <w:lang w:val="en-AU" w:eastAsia="en-GB"/>
        </w:rPr>
        <w:t xml:space="preserve"> on d</w:t>
      </w:r>
      <w:r w:rsidRPr="00594909">
        <w:rPr>
          <w:rFonts w:ascii="Times New Roman" w:eastAsia="Times New Roman" w:hAnsi="Times New Roman" w:cs="Times New Roman"/>
          <w:color w:val="195591"/>
          <w:lang w:val="en-AU" w:eastAsia="en-GB"/>
        </w:rPr>
        <w:t>ecision-making on siting.</w:t>
      </w:r>
      <w:r>
        <w:rPr>
          <w:rFonts w:ascii="Times New Roman" w:eastAsia="Times New Roman" w:hAnsi="Times New Roman" w:cs="Times New Roman"/>
          <w:color w:val="195591"/>
          <w:lang w:val="en-AU" w:eastAsia="en-GB"/>
        </w:rPr>
        <w:t xml:space="preserve"> </w:t>
      </w:r>
      <w:r w:rsidRPr="00780A5F">
        <w:rPr>
          <w:rFonts w:ascii="Times New Roman" w:eastAsia="Times New Roman" w:hAnsi="Times New Roman" w:cs="Times New Roman"/>
          <w:color w:val="195591"/>
          <w:lang w:val="en-AU" w:eastAsia="en-GB"/>
        </w:rPr>
        <w:t xml:space="preserve">The </w:t>
      </w:r>
      <w:r>
        <w:rPr>
          <w:rFonts w:ascii="Times New Roman" w:eastAsia="Times New Roman" w:hAnsi="Times New Roman" w:cs="Times New Roman"/>
          <w:color w:val="195591"/>
          <w:lang w:val="en-AU" w:eastAsia="en-GB"/>
        </w:rPr>
        <w:t xml:space="preserve">city of Sarpsborg sought </w:t>
      </w:r>
      <w:r w:rsidRPr="00780A5F">
        <w:rPr>
          <w:rFonts w:ascii="Times New Roman" w:eastAsia="Times New Roman" w:hAnsi="Times New Roman" w:cs="Times New Roman"/>
          <w:color w:val="195591"/>
          <w:lang w:val="en-AU" w:eastAsia="en-GB"/>
        </w:rPr>
        <w:t>to strengthen their planning procedures</w:t>
      </w:r>
      <w:r>
        <w:rPr>
          <w:rFonts w:ascii="Times New Roman" w:eastAsia="Times New Roman" w:hAnsi="Times New Roman" w:cs="Times New Roman"/>
          <w:color w:val="195591"/>
          <w:lang w:val="en-AU" w:eastAsia="en-GB"/>
        </w:rPr>
        <w:t xml:space="preserve"> by</w:t>
      </w:r>
      <w:r w:rsidRPr="00780A5F">
        <w:rPr>
          <w:rFonts w:ascii="Times New Roman" w:eastAsia="Times New Roman" w:hAnsi="Times New Roman" w:cs="Times New Roman"/>
          <w:color w:val="195591"/>
          <w:lang w:val="en-AU" w:eastAsia="en-GB"/>
        </w:rPr>
        <w:t xml:space="preserve"> actively engag</w:t>
      </w:r>
      <w:r>
        <w:rPr>
          <w:rFonts w:ascii="Times New Roman" w:eastAsia="Times New Roman" w:hAnsi="Times New Roman" w:cs="Times New Roman"/>
          <w:color w:val="195591"/>
          <w:lang w:val="en-AU" w:eastAsia="en-GB"/>
        </w:rPr>
        <w:t>ing</w:t>
      </w:r>
      <w:r w:rsidRPr="00780A5F">
        <w:rPr>
          <w:rFonts w:ascii="Times New Roman" w:eastAsia="Times New Roman" w:hAnsi="Times New Roman" w:cs="Times New Roman"/>
          <w:color w:val="195591"/>
          <w:lang w:val="en-AU" w:eastAsia="en-GB"/>
        </w:rPr>
        <w:t xml:space="preserve"> the public and other stakeholders in</w:t>
      </w:r>
      <w:r>
        <w:rPr>
          <w:rFonts w:ascii="Times New Roman" w:eastAsia="Times New Roman" w:hAnsi="Times New Roman" w:cs="Times New Roman"/>
          <w:color w:val="195591"/>
          <w:lang w:val="en-AU" w:eastAsia="en-GB"/>
        </w:rPr>
        <w:t xml:space="preserve"> </w:t>
      </w:r>
      <w:r w:rsidRPr="00780A5F">
        <w:rPr>
          <w:rFonts w:ascii="Times New Roman" w:eastAsia="Times New Roman" w:hAnsi="Times New Roman" w:cs="Times New Roman"/>
          <w:color w:val="195591"/>
          <w:lang w:val="en-AU" w:eastAsia="en-GB"/>
        </w:rPr>
        <w:t xml:space="preserve">the process, </w:t>
      </w:r>
      <w:r>
        <w:rPr>
          <w:rFonts w:ascii="Times New Roman" w:eastAsia="Times New Roman" w:hAnsi="Times New Roman" w:cs="Times New Roman"/>
          <w:color w:val="195591"/>
          <w:lang w:val="en-AU" w:eastAsia="en-GB"/>
        </w:rPr>
        <w:t>by</w:t>
      </w:r>
      <w:r w:rsidRPr="00780A5F">
        <w:rPr>
          <w:rFonts w:ascii="Times New Roman" w:eastAsia="Times New Roman" w:hAnsi="Times New Roman" w:cs="Times New Roman"/>
          <w:color w:val="195591"/>
          <w:lang w:val="en-AU" w:eastAsia="en-GB"/>
        </w:rPr>
        <w:t xml:space="preserve"> provid</w:t>
      </w:r>
      <w:r>
        <w:rPr>
          <w:rFonts w:ascii="Times New Roman" w:eastAsia="Times New Roman" w:hAnsi="Times New Roman" w:cs="Times New Roman"/>
          <w:color w:val="195591"/>
          <w:lang w:val="en-AU" w:eastAsia="en-GB"/>
        </w:rPr>
        <w:t>ing</w:t>
      </w:r>
      <w:r w:rsidRPr="00780A5F">
        <w:rPr>
          <w:rFonts w:ascii="Times New Roman" w:eastAsia="Times New Roman" w:hAnsi="Times New Roman" w:cs="Times New Roman"/>
          <w:color w:val="195591"/>
          <w:lang w:val="en-AU" w:eastAsia="en-GB"/>
        </w:rPr>
        <w:t xml:space="preserve"> </w:t>
      </w:r>
      <w:r>
        <w:rPr>
          <w:rFonts w:ascii="Times New Roman" w:eastAsia="Times New Roman" w:hAnsi="Times New Roman" w:cs="Times New Roman"/>
          <w:color w:val="195591"/>
          <w:lang w:val="en-AU" w:eastAsia="en-GB"/>
        </w:rPr>
        <w:t>clear</w:t>
      </w:r>
      <w:r w:rsidRPr="00780A5F">
        <w:rPr>
          <w:rFonts w:ascii="Times New Roman" w:eastAsia="Times New Roman" w:hAnsi="Times New Roman" w:cs="Times New Roman"/>
          <w:color w:val="195591"/>
          <w:lang w:val="en-AU" w:eastAsia="en-GB"/>
        </w:rPr>
        <w:t xml:space="preserve"> information in </w:t>
      </w:r>
      <w:r>
        <w:rPr>
          <w:rFonts w:ascii="Times New Roman" w:eastAsia="Times New Roman" w:hAnsi="Times New Roman" w:cs="Times New Roman"/>
          <w:color w:val="195591"/>
          <w:lang w:val="en-AU" w:eastAsia="en-GB"/>
        </w:rPr>
        <w:t>a</w:t>
      </w:r>
      <w:r w:rsidRPr="00780A5F">
        <w:rPr>
          <w:rFonts w:ascii="Times New Roman" w:eastAsia="Times New Roman" w:hAnsi="Times New Roman" w:cs="Times New Roman"/>
          <w:color w:val="195591"/>
          <w:lang w:val="en-AU" w:eastAsia="en-GB"/>
        </w:rPr>
        <w:t xml:space="preserve"> time</w:t>
      </w:r>
      <w:r>
        <w:rPr>
          <w:rFonts w:ascii="Times New Roman" w:eastAsia="Times New Roman" w:hAnsi="Times New Roman" w:cs="Times New Roman"/>
          <w:color w:val="195591"/>
          <w:lang w:val="en-AU" w:eastAsia="en-GB"/>
        </w:rPr>
        <w:t>ly manner,</w:t>
      </w:r>
      <w:r w:rsidRPr="00780A5F">
        <w:rPr>
          <w:rFonts w:ascii="Times New Roman" w:eastAsia="Times New Roman" w:hAnsi="Times New Roman" w:cs="Times New Roman"/>
          <w:color w:val="195591"/>
          <w:lang w:val="en-AU" w:eastAsia="en-GB"/>
        </w:rPr>
        <w:t xml:space="preserve"> and</w:t>
      </w:r>
      <w:r>
        <w:rPr>
          <w:rFonts w:ascii="Times New Roman" w:eastAsia="Times New Roman" w:hAnsi="Times New Roman" w:cs="Times New Roman"/>
          <w:color w:val="195591"/>
          <w:lang w:val="en-AU" w:eastAsia="en-GB"/>
        </w:rPr>
        <w:t xml:space="preserve"> by </w:t>
      </w:r>
      <w:r w:rsidRPr="00780A5F">
        <w:rPr>
          <w:rFonts w:ascii="Times New Roman" w:eastAsia="Times New Roman" w:hAnsi="Times New Roman" w:cs="Times New Roman"/>
          <w:color w:val="195591"/>
          <w:lang w:val="en-AU" w:eastAsia="en-GB"/>
        </w:rPr>
        <w:t>listen</w:t>
      </w:r>
      <w:r>
        <w:rPr>
          <w:rFonts w:ascii="Times New Roman" w:eastAsia="Times New Roman" w:hAnsi="Times New Roman" w:cs="Times New Roman"/>
          <w:color w:val="195591"/>
          <w:lang w:val="en-AU" w:eastAsia="en-GB"/>
        </w:rPr>
        <w:t>ing</w:t>
      </w:r>
      <w:r w:rsidRPr="00780A5F">
        <w:rPr>
          <w:rFonts w:ascii="Times New Roman" w:eastAsia="Times New Roman" w:hAnsi="Times New Roman" w:cs="Times New Roman"/>
          <w:color w:val="195591"/>
          <w:lang w:val="en-AU" w:eastAsia="en-GB"/>
        </w:rPr>
        <w:t xml:space="preserve"> and respond</w:t>
      </w:r>
      <w:r>
        <w:rPr>
          <w:rFonts w:ascii="Times New Roman" w:eastAsia="Times New Roman" w:hAnsi="Times New Roman" w:cs="Times New Roman"/>
          <w:color w:val="195591"/>
          <w:lang w:val="en-AU" w:eastAsia="en-GB"/>
        </w:rPr>
        <w:t>ing</w:t>
      </w:r>
      <w:r w:rsidRPr="00780A5F">
        <w:rPr>
          <w:rFonts w:ascii="Times New Roman" w:eastAsia="Times New Roman" w:hAnsi="Times New Roman" w:cs="Times New Roman"/>
          <w:color w:val="195591"/>
          <w:lang w:val="en-AU" w:eastAsia="en-GB"/>
        </w:rPr>
        <w:t xml:space="preserve"> to the public’s views. </w:t>
      </w:r>
    </w:p>
    <w:p w14:paraId="11D967F4" w14:textId="6943DDCE" w:rsidR="00E11144" w:rsidRDefault="00E11144" w:rsidP="00E11144">
      <w:pPr>
        <w:jc w:val="both"/>
        <w:rPr>
          <w:rFonts w:ascii="Times New Roman" w:eastAsia="Times New Roman" w:hAnsi="Times New Roman" w:cs="Times New Roman"/>
          <w:color w:val="195591"/>
          <w:lang w:val="en-AU" w:eastAsia="en-GB"/>
        </w:rPr>
      </w:pPr>
      <w:r>
        <w:rPr>
          <w:rFonts w:ascii="Times New Roman" w:eastAsia="Times New Roman" w:hAnsi="Times New Roman" w:cs="Times New Roman"/>
          <w:color w:val="195591"/>
          <w:lang w:val="en-AU" w:eastAsia="en-GB"/>
        </w:rPr>
        <w:t>Key lessons learned: In this case</w:t>
      </w:r>
      <w:r w:rsidRPr="00780A5F">
        <w:rPr>
          <w:rFonts w:ascii="Times New Roman" w:eastAsia="Times New Roman" w:hAnsi="Times New Roman" w:cs="Times New Roman"/>
          <w:color w:val="195591"/>
          <w:lang w:val="en-AU" w:eastAsia="en-GB"/>
        </w:rPr>
        <w:t>, it was acknowledged that a lengthy</w:t>
      </w:r>
      <w:r>
        <w:rPr>
          <w:rFonts w:ascii="Times New Roman" w:eastAsia="Times New Roman" w:hAnsi="Times New Roman" w:cs="Times New Roman"/>
          <w:color w:val="195591"/>
          <w:lang w:val="en-AU" w:eastAsia="en-GB"/>
        </w:rPr>
        <w:t xml:space="preserve"> </w:t>
      </w:r>
      <w:r w:rsidRPr="00780A5F">
        <w:rPr>
          <w:rFonts w:ascii="Times New Roman" w:eastAsia="Times New Roman" w:hAnsi="Times New Roman" w:cs="Times New Roman"/>
          <w:color w:val="195591"/>
          <w:lang w:val="en-AU" w:eastAsia="en-GB"/>
        </w:rPr>
        <w:t xml:space="preserve">and transparent planning and public participation process </w:t>
      </w:r>
      <w:r>
        <w:rPr>
          <w:rFonts w:ascii="Times New Roman" w:eastAsia="Times New Roman" w:hAnsi="Times New Roman" w:cs="Times New Roman"/>
          <w:color w:val="195591"/>
          <w:lang w:val="en-AU" w:eastAsia="en-GB"/>
        </w:rPr>
        <w:t xml:space="preserve">led to positive outcomes between members of the public, stakeholders, industrial operators, developers and the government. Through the planning process, the </w:t>
      </w:r>
      <w:r w:rsidR="003711A5">
        <w:rPr>
          <w:rFonts w:ascii="Times New Roman" w:eastAsia="Times New Roman" w:hAnsi="Times New Roman" w:cs="Times New Roman"/>
          <w:color w:val="195591"/>
          <w:lang w:val="en-AU" w:eastAsia="en-GB"/>
        </w:rPr>
        <w:t xml:space="preserve">members of the public </w:t>
      </w:r>
      <w:r>
        <w:rPr>
          <w:rFonts w:ascii="Times New Roman" w:eastAsia="Times New Roman" w:hAnsi="Times New Roman" w:cs="Times New Roman"/>
          <w:color w:val="195591"/>
          <w:lang w:val="en-AU" w:eastAsia="en-GB"/>
        </w:rPr>
        <w:t xml:space="preserve">of the city of Sarpsborg were actively engaged in identifying the advantages and disadvantages of the draft land use plan and the proposed urban developments, and </w:t>
      </w:r>
      <w:r w:rsidR="00AE7EE1">
        <w:rPr>
          <w:rFonts w:ascii="Times New Roman" w:eastAsia="Times New Roman" w:hAnsi="Times New Roman" w:cs="Times New Roman"/>
          <w:color w:val="195591"/>
          <w:lang w:val="en-AU" w:eastAsia="en-GB"/>
        </w:rPr>
        <w:t xml:space="preserve">they </w:t>
      </w:r>
      <w:r>
        <w:rPr>
          <w:rFonts w:ascii="Times New Roman" w:eastAsia="Times New Roman" w:hAnsi="Times New Roman" w:cs="Times New Roman"/>
          <w:color w:val="195591"/>
          <w:lang w:val="en-AU" w:eastAsia="en-GB"/>
        </w:rPr>
        <w:t xml:space="preserve">played an active role in securing a safer environment in the vicinity of the hazardous industrial facility. This process and the public’s input </w:t>
      </w:r>
      <w:r w:rsidR="00AE7EE1">
        <w:rPr>
          <w:rFonts w:ascii="Times New Roman" w:eastAsia="Times New Roman" w:hAnsi="Times New Roman" w:cs="Times New Roman"/>
          <w:color w:val="195591"/>
          <w:lang w:val="en-AU" w:eastAsia="en-GB"/>
        </w:rPr>
        <w:t>were</w:t>
      </w:r>
      <w:r w:rsidRPr="00780A5F">
        <w:rPr>
          <w:rFonts w:ascii="Times New Roman" w:eastAsia="Times New Roman" w:hAnsi="Times New Roman" w:cs="Times New Roman"/>
          <w:color w:val="195591"/>
          <w:lang w:val="en-AU" w:eastAsia="en-GB"/>
        </w:rPr>
        <w:t xml:space="preserve"> </w:t>
      </w:r>
      <w:r>
        <w:rPr>
          <w:rFonts w:ascii="Times New Roman" w:eastAsia="Times New Roman" w:hAnsi="Times New Roman" w:cs="Times New Roman"/>
          <w:color w:val="195591"/>
          <w:lang w:val="en-AU" w:eastAsia="en-GB"/>
        </w:rPr>
        <w:t>crucial</w:t>
      </w:r>
      <w:r w:rsidRPr="00780A5F">
        <w:rPr>
          <w:rFonts w:ascii="Times New Roman" w:eastAsia="Times New Roman" w:hAnsi="Times New Roman" w:cs="Times New Roman"/>
          <w:color w:val="195591"/>
          <w:lang w:val="en-AU" w:eastAsia="en-GB"/>
        </w:rPr>
        <w:t xml:space="preserve"> in order to </w:t>
      </w:r>
      <w:r>
        <w:rPr>
          <w:rFonts w:ascii="Times New Roman" w:eastAsia="Times New Roman" w:hAnsi="Times New Roman" w:cs="Times New Roman"/>
          <w:color w:val="195591"/>
          <w:lang w:val="en-AU" w:eastAsia="en-GB"/>
        </w:rPr>
        <w:t xml:space="preserve">achieve </w:t>
      </w:r>
      <w:r w:rsidRPr="00780A5F">
        <w:rPr>
          <w:rFonts w:ascii="Times New Roman" w:eastAsia="Times New Roman" w:hAnsi="Times New Roman" w:cs="Times New Roman"/>
          <w:color w:val="195591"/>
          <w:lang w:val="en-AU" w:eastAsia="en-GB"/>
        </w:rPr>
        <w:t>sustainable land</w:t>
      </w:r>
      <w:r w:rsidR="00AE7EE1">
        <w:rPr>
          <w:rFonts w:ascii="Times New Roman" w:eastAsia="Times New Roman" w:hAnsi="Times New Roman" w:cs="Times New Roman"/>
          <w:color w:val="195591"/>
          <w:lang w:val="en-AU" w:eastAsia="en-GB"/>
        </w:rPr>
        <w:t xml:space="preserve"> </w:t>
      </w:r>
      <w:r w:rsidRPr="00780A5F">
        <w:rPr>
          <w:rFonts w:ascii="Times New Roman" w:eastAsia="Times New Roman" w:hAnsi="Times New Roman" w:cs="Times New Roman"/>
          <w:color w:val="195591"/>
          <w:lang w:val="en-AU" w:eastAsia="en-GB"/>
        </w:rPr>
        <w:t>use management in the long term</w:t>
      </w:r>
      <w:r>
        <w:rPr>
          <w:rFonts w:ascii="Times New Roman" w:eastAsia="Times New Roman" w:hAnsi="Times New Roman" w:cs="Times New Roman"/>
          <w:color w:val="195591"/>
          <w:lang w:val="en-AU" w:eastAsia="en-GB"/>
        </w:rPr>
        <w:t>, in line with SDGs 3, 11 and 16</w:t>
      </w:r>
      <w:r w:rsidR="00C23304">
        <w:rPr>
          <w:rFonts w:ascii="Times New Roman" w:eastAsia="Times New Roman" w:hAnsi="Times New Roman" w:cs="Times New Roman"/>
          <w:color w:val="195591"/>
          <w:lang w:val="en-AU" w:eastAsia="en-GB"/>
        </w:rPr>
        <w:t xml:space="preserve">, </w:t>
      </w:r>
      <w:r>
        <w:rPr>
          <w:rFonts w:ascii="Times New Roman" w:eastAsia="Times New Roman" w:hAnsi="Times New Roman" w:cs="Times New Roman"/>
          <w:color w:val="195591"/>
          <w:lang w:val="en-AU" w:eastAsia="en-GB"/>
        </w:rPr>
        <w:t>the Sendai Framework for Disaster Risk Reduction, and the relevant UNECE instruments</w:t>
      </w:r>
      <w:r w:rsidRPr="00780A5F">
        <w:rPr>
          <w:rFonts w:ascii="Times New Roman" w:eastAsia="Times New Roman" w:hAnsi="Times New Roman" w:cs="Times New Roman"/>
          <w:color w:val="195591"/>
          <w:lang w:val="en-AU" w:eastAsia="en-GB"/>
        </w:rPr>
        <w:t>.</w:t>
      </w:r>
      <w:r>
        <w:rPr>
          <w:rFonts w:ascii="Times New Roman" w:eastAsia="Times New Roman" w:hAnsi="Times New Roman" w:cs="Times New Roman"/>
          <w:color w:val="195591"/>
          <w:lang w:val="en-AU" w:eastAsia="en-GB"/>
        </w:rPr>
        <w:t xml:space="preserve"> </w:t>
      </w:r>
    </w:p>
    <w:p w14:paraId="5C75C837" w14:textId="77777777" w:rsidR="00E11144" w:rsidRDefault="00E11144" w:rsidP="00E11144">
      <w:pPr>
        <w:jc w:val="both"/>
        <w:rPr>
          <w:rFonts w:ascii="Times New Roman" w:eastAsia="Times New Roman" w:hAnsi="Times New Roman" w:cs="Times New Roman"/>
          <w:color w:val="195591"/>
          <w:lang w:val="en-AU" w:eastAsia="en-GB"/>
        </w:rPr>
      </w:pPr>
    </w:p>
    <w:p w14:paraId="7913C47B" w14:textId="0689351B" w:rsidR="00B52960" w:rsidRPr="00B52960" w:rsidRDefault="00E11144" w:rsidP="006C1996">
      <w:pPr>
        <w:snapToGrid w:val="0"/>
        <w:rPr>
          <w:rFonts w:ascii="Times New Roman" w:eastAsia="Times New Roman" w:hAnsi="Times New Roman" w:cs="Times New Roman"/>
          <w:color w:val="195591"/>
          <w:lang w:eastAsia="en-GB"/>
        </w:rPr>
      </w:pPr>
      <w:r>
        <w:rPr>
          <w:rFonts w:ascii="OpenSans-Bold" w:eastAsia="Times New Roman" w:hAnsi="OpenSans-Bold" w:cs="OpenSans-Bold"/>
          <w:b/>
          <w:bCs/>
          <w:lang w:val="en-AU" w:eastAsia="en-GB"/>
        </w:rPr>
        <w:t>Weblink</w:t>
      </w:r>
      <w:r w:rsidRPr="001D1B1A">
        <w:rPr>
          <w:rFonts w:ascii="OpenSans-Bold" w:eastAsia="Times New Roman" w:hAnsi="OpenSans-Bold" w:cs="OpenSans-Bold"/>
          <w:b/>
          <w:bCs/>
          <w:lang w:val="en-AU" w:eastAsia="en-GB"/>
        </w:rPr>
        <w:t xml:space="preserve">: </w:t>
      </w:r>
      <w:hyperlink r:id="rId11" w:history="1">
        <w:r w:rsidRPr="006A01B1">
          <w:rPr>
            <w:rStyle w:val="Hyperlink"/>
            <w:rFonts w:ascii="Times New Roman" w:eastAsia="Times New Roman" w:hAnsi="Times New Roman" w:cs="Times New Roman"/>
            <w:lang w:val="en-AU" w:eastAsia="en-GB"/>
          </w:rPr>
          <w:t>Presentation by DSB</w:t>
        </w:r>
      </w:hyperlink>
      <w:r>
        <w:rPr>
          <w:rFonts w:ascii="Times New Roman" w:eastAsia="Times New Roman" w:hAnsi="Times New Roman" w:cs="Times New Roman"/>
          <w:color w:val="195591"/>
          <w:lang w:val="en-AU" w:eastAsia="en-GB"/>
        </w:rPr>
        <w:t xml:space="preserve"> of Norway at the U</w:t>
      </w:r>
      <w:r w:rsidRPr="001D1B1A">
        <w:rPr>
          <w:rFonts w:ascii="Times New Roman" w:eastAsia="Times New Roman" w:hAnsi="Times New Roman" w:cs="Times New Roman"/>
          <w:color w:val="195591"/>
          <w:lang w:val="en-AU" w:eastAsia="en-GB"/>
        </w:rPr>
        <w:t xml:space="preserve">NECE </w:t>
      </w:r>
      <w:hyperlink r:id="rId12" w:history="1">
        <w:r>
          <w:rPr>
            <w:rStyle w:val="Hyperlink"/>
            <w:rFonts w:ascii="Times New Roman" w:eastAsia="Times New Roman" w:hAnsi="Times New Roman" w:cs="Times New Roman"/>
            <w:lang w:val="en-AU" w:eastAsia="en-GB"/>
          </w:rPr>
          <w:t>S</w:t>
        </w:r>
        <w:r w:rsidRPr="001D1B1A">
          <w:rPr>
            <w:rStyle w:val="Hyperlink"/>
            <w:rFonts w:ascii="Times New Roman" w:eastAsia="Times New Roman" w:hAnsi="Times New Roman" w:cs="Times New Roman"/>
            <w:lang w:val="en-AU" w:eastAsia="en-GB"/>
          </w:rPr>
          <w:t>eminar on land-use planning and industrial safety</w:t>
        </w:r>
      </w:hyperlink>
      <w:r>
        <w:rPr>
          <w:rFonts w:ascii="Times New Roman" w:eastAsia="Times New Roman" w:hAnsi="Times New Roman" w:cs="Times New Roman"/>
          <w:color w:val="195591"/>
          <w:lang w:val="en-AU" w:eastAsia="en-GB"/>
        </w:rPr>
        <w:t xml:space="preserve">, Mechelen, Belgium, </w:t>
      </w:r>
      <w:r w:rsidRPr="001D1B1A">
        <w:rPr>
          <w:rFonts w:ascii="Times New Roman" w:eastAsia="Times New Roman" w:hAnsi="Times New Roman" w:cs="Times New Roman"/>
          <w:color w:val="195591"/>
          <w:lang w:val="en-AU" w:eastAsia="en-GB"/>
        </w:rPr>
        <w:t xml:space="preserve">2018 </w:t>
      </w:r>
    </w:p>
    <w:sectPr w:rsidR="00B52960" w:rsidRPr="00B52960" w:rsidSect="00970375">
      <w:headerReference w:type="default" r:id="rId13"/>
      <w:pgSz w:w="11900" w:h="16840"/>
      <w:pgMar w:top="1622" w:right="1246" w:bottom="107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5DFB9" w14:textId="77777777" w:rsidR="00D107D9" w:rsidRDefault="00D107D9" w:rsidP="00DA0C09">
      <w:r>
        <w:separator/>
      </w:r>
    </w:p>
  </w:endnote>
  <w:endnote w:type="continuationSeparator" w:id="0">
    <w:p w14:paraId="6234C723" w14:textId="77777777" w:rsidR="00D107D9" w:rsidRDefault="00D107D9" w:rsidP="00DA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Optima LT Std Medium">
    <w:altName w:val="Calibri"/>
    <w:panose1 w:val="02000503060000020004"/>
    <w:charset w:val="00"/>
    <w:family w:val="auto"/>
    <w:pitch w:val="variable"/>
    <w:sig w:usb0="80000067" w:usb1="00000000" w:usb2="00000000" w:usb3="00000000" w:csb0="00000001" w:csb1="00000000"/>
  </w:font>
  <w:font w:name="OpenSans-Bold">
    <w:altName w:val="Calibri"/>
    <w:panose1 w:val="020B08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E8158" w14:textId="77777777" w:rsidR="00D107D9" w:rsidRDefault="00D107D9" w:rsidP="00DA0C09">
      <w:r>
        <w:separator/>
      </w:r>
    </w:p>
  </w:footnote>
  <w:footnote w:type="continuationSeparator" w:id="0">
    <w:p w14:paraId="55CDDD0E" w14:textId="77777777" w:rsidR="00D107D9" w:rsidRDefault="00D107D9" w:rsidP="00DA0C09">
      <w:r>
        <w:continuationSeparator/>
      </w:r>
    </w:p>
  </w:footnote>
  <w:footnote w:id="1">
    <w:p w14:paraId="1BA8013B" w14:textId="77777777" w:rsidR="009C36EB" w:rsidRPr="00213713" w:rsidRDefault="009C36EB" w:rsidP="009C36EB">
      <w:pPr>
        <w:pStyle w:val="FootnoteText"/>
      </w:pPr>
      <w:r>
        <w:rPr>
          <w:rStyle w:val="FootnoteReference"/>
        </w:rPr>
        <w:footnoteRef/>
      </w:r>
      <w:r>
        <w:t xml:space="preserve"> </w:t>
      </w:r>
      <w:r w:rsidRPr="00213713">
        <w:t>Projects that relate to development proposals (or modifications to developments) on a specific site, e.g. decisions on whether or not to authorize the development of a hazardous industrial/chemical facility in a certain location.</w:t>
      </w:r>
    </w:p>
  </w:footnote>
  <w:footnote w:id="2">
    <w:p w14:paraId="4F97C7AF" w14:textId="0BEF053D" w:rsidR="00D05E00" w:rsidRPr="006C08A5" w:rsidRDefault="00D05E00" w:rsidP="006C08A5">
      <w:pPr>
        <w:autoSpaceDE w:val="0"/>
        <w:autoSpaceDN w:val="0"/>
        <w:rPr>
          <w:rFonts w:ascii="Times New Roman" w:hAnsi="Times New Roman" w:cs="Times New Roman"/>
        </w:rPr>
      </w:pPr>
      <w:r w:rsidRPr="00991E0E">
        <w:rPr>
          <w:rStyle w:val="FootnoteReference"/>
          <w:sz w:val="20"/>
          <w:szCs w:val="20"/>
        </w:rPr>
        <w:footnoteRef/>
      </w:r>
      <w:r w:rsidRPr="00991E0E">
        <w:rPr>
          <w:rStyle w:val="FootnoteReference"/>
          <w:sz w:val="20"/>
          <w:szCs w:val="20"/>
        </w:rPr>
        <w:t xml:space="preserve"> </w:t>
      </w:r>
      <w:r w:rsidRPr="00991E0E">
        <w:rPr>
          <w:sz w:val="20"/>
          <w:szCs w:val="20"/>
        </w:rPr>
        <w:t>The</w:t>
      </w:r>
      <w:r w:rsidRPr="000456C1">
        <w:rPr>
          <w:sz w:val="20"/>
          <w:szCs w:val="20"/>
        </w:rPr>
        <w:t xml:space="preserve">  Convention on the Transboundary Effects of Industrial Accidents defines a “hazardous activity” as “any activity in which one or more hazardous substances are present or may be present in quantities at or in excess of the threshold quantities listed in Annex I hereto, and which is capable of causing transboundary effects.” Th</w:t>
      </w:r>
      <w:r w:rsidR="0061186F">
        <w:rPr>
          <w:sz w:val="20"/>
          <w:szCs w:val="20"/>
        </w:rPr>
        <w:t>e</w:t>
      </w:r>
      <w:r w:rsidRPr="000456C1">
        <w:rPr>
          <w:sz w:val="20"/>
          <w:szCs w:val="20"/>
        </w:rPr>
        <w:t xml:space="preserve"> industrial/chemical facilities included in this repository can correspond to these hazardous activities, while they can also address other chemical/industrial facilities.</w:t>
      </w:r>
    </w:p>
  </w:footnote>
  <w:footnote w:id="3">
    <w:p w14:paraId="43B31CFB" w14:textId="6377A7A5" w:rsidR="00777EC8" w:rsidRPr="00777EC8" w:rsidRDefault="00777EC8" w:rsidP="00777EC8">
      <w:pPr>
        <w:pStyle w:val="FootnoteText"/>
      </w:pPr>
      <w:r>
        <w:rPr>
          <w:rStyle w:val="FootnoteReference"/>
        </w:rPr>
        <w:footnoteRef/>
      </w:r>
      <w:r>
        <w:t xml:space="preserve"> i.e. the Convention on the Transboundary Effects of Industrial Accidents (Industrial Accidents Convention), the instruments adopted by the Committee on Urban Development, Housing and Land Management (such as the Geneva UN Charter on Sustainable Housing and the Geneva Ministerial Declaration on Sustainable Housing and Urban Development), the Convention on Environmental Assessment in a Transboundary Context (Espoo Convention), the Protocol on Strategic Environmental Assessment (Protocol on SEA), </w:t>
      </w:r>
      <w:r w:rsidR="00BD465B">
        <w:t xml:space="preserve">and </w:t>
      </w:r>
      <w:r>
        <w:t>the Convention on Access to Information, Public Participation in Decision-making and Access to Justice in Environmental Matters (Aarhus Convention)</w:t>
      </w:r>
      <w:r w:rsidR="00332EDC">
        <w:t xml:space="preserve"> </w:t>
      </w:r>
      <w:r w:rsidR="00332EDC" w:rsidRPr="00D13EF9">
        <w:t xml:space="preserve">and </w:t>
      </w:r>
      <w:r w:rsidR="003C2BDE" w:rsidRPr="00D13EF9">
        <w:t>its</w:t>
      </w:r>
      <w:r w:rsidR="00332EDC" w:rsidRPr="00D13EF9">
        <w:t xml:space="preserve"> Protocol on Pollutant Release and Transfer Registers (Protocol on PRTRs)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CB29" w14:textId="18932873" w:rsidR="00105003" w:rsidRDefault="00105003">
    <w:pPr>
      <w:pStyle w:val="Header"/>
    </w:pPr>
    <w:r w:rsidRPr="00105003">
      <w:rPr>
        <w:noProof/>
        <w:lang w:eastAsia="en-GB"/>
      </w:rPr>
      <w:drawing>
        <wp:anchor distT="0" distB="0" distL="114300" distR="114300" simplePos="0" relativeHeight="251659264" behindDoc="0" locked="0" layoutInCell="1" allowOverlap="1" wp14:anchorId="7D85F91C" wp14:editId="6977ECC2">
          <wp:simplePos x="0" y="0"/>
          <wp:positionH relativeFrom="column">
            <wp:posOffset>3740785</wp:posOffset>
          </wp:positionH>
          <wp:positionV relativeFrom="paragraph">
            <wp:posOffset>45085</wp:posOffset>
          </wp:positionV>
          <wp:extent cx="1286510" cy="38417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84175"/>
                  </a:xfrm>
                  <a:prstGeom prst="rect">
                    <a:avLst/>
                  </a:prstGeom>
                  <a:noFill/>
                </pic:spPr>
              </pic:pic>
            </a:graphicData>
          </a:graphic>
          <wp14:sizeRelH relativeFrom="page">
            <wp14:pctWidth>0</wp14:pctWidth>
          </wp14:sizeRelH>
          <wp14:sizeRelV relativeFrom="page">
            <wp14:pctHeight>0</wp14:pctHeight>
          </wp14:sizeRelV>
        </wp:anchor>
      </w:drawing>
    </w:r>
    <w:r w:rsidRPr="00105003">
      <w:rPr>
        <w:noProof/>
        <w:lang w:eastAsia="en-GB"/>
      </w:rPr>
      <w:drawing>
        <wp:anchor distT="0" distB="0" distL="114300" distR="114300" simplePos="0" relativeHeight="251660288" behindDoc="0" locked="0" layoutInCell="1" allowOverlap="1" wp14:anchorId="39DA9612" wp14:editId="585FACE0">
          <wp:simplePos x="0" y="0"/>
          <wp:positionH relativeFrom="column">
            <wp:posOffset>771525</wp:posOffset>
          </wp:positionH>
          <wp:positionV relativeFrom="paragraph">
            <wp:posOffset>-635</wp:posOffset>
          </wp:positionV>
          <wp:extent cx="1257935" cy="560705"/>
          <wp:effectExtent l="0" t="0" r="0" b="0"/>
          <wp:wrapNone/>
          <wp:docPr id="9" name="Picture 8" descr="Image result for european investment bank logo">
            <a:extLst xmlns:a="http://schemas.openxmlformats.org/drawingml/2006/main">
              <a:ext uri="{FF2B5EF4-FFF2-40B4-BE49-F238E27FC236}">
                <a16:creationId xmlns:a16="http://schemas.microsoft.com/office/drawing/2014/main" id="{B51957E6-6263-4A42-91B1-D9AF28685E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Image result for european investment bank logo">
                    <a:extLst>
                      <a:ext uri="{FF2B5EF4-FFF2-40B4-BE49-F238E27FC236}">
                        <a16:creationId xmlns:a16="http://schemas.microsoft.com/office/drawing/2014/main" id="{B51957E6-6263-4A42-91B1-D9AF28685E80}"/>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57935" cy="5607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8213D"/>
    <w:multiLevelType w:val="hybridMultilevel"/>
    <w:tmpl w:val="C5B64F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43EE2"/>
    <w:multiLevelType w:val="hybridMultilevel"/>
    <w:tmpl w:val="3668B2E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b w:val="0"/>
      </w:rPr>
    </w:lvl>
    <w:lvl w:ilvl="2" w:tplc="04090003">
      <w:start w:val="1"/>
      <w:numFmt w:val="bullet"/>
      <w:lvlText w:val="o"/>
      <w:lvlJc w:val="left"/>
      <w:pPr>
        <w:ind w:left="1980" w:hanging="360"/>
      </w:pPr>
      <w:rPr>
        <w:rFonts w:ascii="Courier New" w:hAnsi="Courier New" w:cs="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50574C"/>
    <w:multiLevelType w:val="hybridMultilevel"/>
    <w:tmpl w:val="A2FC0DA4"/>
    <w:lvl w:ilvl="0" w:tplc="24B6CF44">
      <w:start w:val="1"/>
      <w:numFmt w:val="lowerRoman"/>
      <w:lvlText w:val="%1)"/>
      <w:lvlJc w:val="left"/>
      <w:pPr>
        <w:ind w:left="1080" w:hanging="720"/>
      </w:pPr>
      <w:rPr>
        <w:rFonts w:hint="default"/>
      </w:rPr>
    </w:lvl>
    <w:lvl w:ilvl="1" w:tplc="20ACAA6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C65E3"/>
    <w:multiLevelType w:val="hybridMultilevel"/>
    <w:tmpl w:val="768A2F68"/>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b w:val="0"/>
      </w:rPr>
    </w:lvl>
    <w:lvl w:ilvl="2" w:tplc="0809001B">
      <w:start w:val="1"/>
      <w:numFmt w:val="lowerRoman"/>
      <w:lvlText w:val="%3."/>
      <w:lvlJc w:val="right"/>
      <w:pPr>
        <w:ind w:left="1800" w:hanging="180"/>
      </w:pPr>
    </w:lvl>
    <w:lvl w:ilvl="3" w:tplc="031CB7FC">
      <w:numFmt w:val="bullet"/>
      <w:lvlText w:val="-"/>
      <w:lvlJc w:val="left"/>
      <w:pPr>
        <w:ind w:left="2560" w:hanging="400"/>
      </w:pPr>
      <w:rPr>
        <w:rFonts w:ascii="Calibri" w:eastAsia="Calibri" w:hAnsi="Calibri" w:cstheme="minorBidi"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822FFA"/>
    <w:multiLevelType w:val="hybridMultilevel"/>
    <w:tmpl w:val="A240100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b w:val="0"/>
      </w:rPr>
    </w:lvl>
    <w:lvl w:ilvl="2" w:tplc="08090001">
      <w:start w:val="1"/>
      <w:numFmt w:val="bullet"/>
      <w:lvlText w:val=""/>
      <w:lvlJc w:val="left"/>
      <w:pPr>
        <w:ind w:left="1980" w:hanging="36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367DFA"/>
    <w:multiLevelType w:val="hybridMultilevel"/>
    <w:tmpl w:val="8ECE1434"/>
    <w:lvl w:ilvl="0" w:tplc="230E236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F08799A"/>
    <w:multiLevelType w:val="hybridMultilevel"/>
    <w:tmpl w:val="CF2C7B1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7A085750"/>
    <w:multiLevelType w:val="hybridMultilevel"/>
    <w:tmpl w:val="5C86E9E8"/>
    <w:lvl w:ilvl="0" w:tplc="115422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5C"/>
    <w:rsid w:val="00000021"/>
    <w:rsid w:val="00005261"/>
    <w:rsid w:val="000058DC"/>
    <w:rsid w:val="000116CC"/>
    <w:rsid w:val="00013843"/>
    <w:rsid w:val="00024AD5"/>
    <w:rsid w:val="00027384"/>
    <w:rsid w:val="00034232"/>
    <w:rsid w:val="000414DE"/>
    <w:rsid w:val="00042F28"/>
    <w:rsid w:val="000456C1"/>
    <w:rsid w:val="00056830"/>
    <w:rsid w:val="00060DD4"/>
    <w:rsid w:val="00071579"/>
    <w:rsid w:val="00071F0F"/>
    <w:rsid w:val="00075F6F"/>
    <w:rsid w:val="00076127"/>
    <w:rsid w:val="00097211"/>
    <w:rsid w:val="000A69CD"/>
    <w:rsid w:val="000B6294"/>
    <w:rsid w:val="000E507F"/>
    <w:rsid w:val="000E64C8"/>
    <w:rsid w:val="000F06F9"/>
    <w:rsid w:val="000F4038"/>
    <w:rsid w:val="0010248E"/>
    <w:rsid w:val="00105003"/>
    <w:rsid w:val="00110C3F"/>
    <w:rsid w:val="001319ED"/>
    <w:rsid w:val="0015692F"/>
    <w:rsid w:val="00167D3E"/>
    <w:rsid w:val="0017297A"/>
    <w:rsid w:val="001A5959"/>
    <w:rsid w:val="001B02F4"/>
    <w:rsid w:val="001C5044"/>
    <w:rsid w:val="001D1B1A"/>
    <w:rsid w:val="001D60E7"/>
    <w:rsid w:val="001E2D87"/>
    <w:rsid w:val="00203D79"/>
    <w:rsid w:val="002436B6"/>
    <w:rsid w:val="00247807"/>
    <w:rsid w:val="00263021"/>
    <w:rsid w:val="00291D7F"/>
    <w:rsid w:val="00291F6D"/>
    <w:rsid w:val="002972DD"/>
    <w:rsid w:val="002A0BF8"/>
    <w:rsid w:val="002A2673"/>
    <w:rsid w:val="002B6D7D"/>
    <w:rsid w:val="002C0466"/>
    <w:rsid w:val="002E1653"/>
    <w:rsid w:val="002E29C9"/>
    <w:rsid w:val="002E6339"/>
    <w:rsid w:val="002F6991"/>
    <w:rsid w:val="00303353"/>
    <w:rsid w:val="003036C4"/>
    <w:rsid w:val="00304505"/>
    <w:rsid w:val="003104D8"/>
    <w:rsid w:val="00315CD0"/>
    <w:rsid w:val="00317E7D"/>
    <w:rsid w:val="00331CFD"/>
    <w:rsid w:val="00332EDC"/>
    <w:rsid w:val="00342292"/>
    <w:rsid w:val="00366166"/>
    <w:rsid w:val="003662EB"/>
    <w:rsid w:val="0037083A"/>
    <w:rsid w:val="003711A5"/>
    <w:rsid w:val="00372C8C"/>
    <w:rsid w:val="00372F60"/>
    <w:rsid w:val="00373B78"/>
    <w:rsid w:val="003923EE"/>
    <w:rsid w:val="00395261"/>
    <w:rsid w:val="00396033"/>
    <w:rsid w:val="003A06CF"/>
    <w:rsid w:val="003A1377"/>
    <w:rsid w:val="003C27CA"/>
    <w:rsid w:val="003C2BDE"/>
    <w:rsid w:val="003C4044"/>
    <w:rsid w:val="003D33FF"/>
    <w:rsid w:val="003E78C3"/>
    <w:rsid w:val="003F0588"/>
    <w:rsid w:val="004133B2"/>
    <w:rsid w:val="0041345A"/>
    <w:rsid w:val="00425397"/>
    <w:rsid w:val="00431526"/>
    <w:rsid w:val="0043375C"/>
    <w:rsid w:val="00435A6D"/>
    <w:rsid w:val="004516C4"/>
    <w:rsid w:val="004811B0"/>
    <w:rsid w:val="00495E87"/>
    <w:rsid w:val="004A3BC8"/>
    <w:rsid w:val="004B7258"/>
    <w:rsid w:val="004C05ED"/>
    <w:rsid w:val="004E20A6"/>
    <w:rsid w:val="004F79D4"/>
    <w:rsid w:val="00504F24"/>
    <w:rsid w:val="00523650"/>
    <w:rsid w:val="00531E37"/>
    <w:rsid w:val="00545F54"/>
    <w:rsid w:val="0055022E"/>
    <w:rsid w:val="00584CEC"/>
    <w:rsid w:val="00594909"/>
    <w:rsid w:val="00597414"/>
    <w:rsid w:val="005B6C61"/>
    <w:rsid w:val="005C0C7D"/>
    <w:rsid w:val="005F2311"/>
    <w:rsid w:val="0061186F"/>
    <w:rsid w:val="00613521"/>
    <w:rsid w:val="006167E1"/>
    <w:rsid w:val="00640F25"/>
    <w:rsid w:val="00645E6B"/>
    <w:rsid w:val="006472F5"/>
    <w:rsid w:val="006826D3"/>
    <w:rsid w:val="006915C7"/>
    <w:rsid w:val="006A070A"/>
    <w:rsid w:val="006A6E69"/>
    <w:rsid w:val="006B2108"/>
    <w:rsid w:val="006C08A5"/>
    <w:rsid w:val="006C1996"/>
    <w:rsid w:val="006F7D9D"/>
    <w:rsid w:val="00744B72"/>
    <w:rsid w:val="00773F06"/>
    <w:rsid w:val="00777EC8"/>
    <w:rsid w:val="00780A5F"/>
    <w:rsid w:val="0078228E"/>
    <w:rsid w:val="00782F80"/>
    <w:rsid w:val="007842CA"/>
    <w:rsid w:val="00787F01"/>
    <w:rsid w:val="007A660D"/>
    <w:rsid w:val="007E14E1"/>
    <w:rsid w:val="007E4B7E"/>
    <w:rsid w:val="00814013"/>
    <w:rsid w:val="00826006"/>
    <w:rsid w:val="008274AA"/>
    <w:rsid w:val="008321C5"/>
    <w:rsid w:val="00832F1A"/>
    <w:rsid w:val="00833C66"/>
    <w:rsid w:val="00843A2C"/>
    <w:rsid w:val="0084615A"/>
    <w:rsid w:val="00846EC8"/>
    <w:rsid w:val="00847DAD"/>
    <w:rsid w:val="0086353A"/>
    <w:rsid w:val="008704CC"/>
    <w:rsid w:val="008715DE"/>
    <w:rsid w:val="008940FE"/>
    <w:rsid w:val="008954D5"/>
    <w:rsid w:val="008A29FF"/>
    <w:rsid w:val="008A4398"/>
    <w:rsid w:val="008B21CA"/>
    <w:rsid w:val="008B32CC"/>
    <w:rsid w:val="008C30A1"/>
    <w:rsid w:val="008D3537"/>
    <w:rsid w:val="008E59EF"/>
    <w:rsid w:val="008F67A8"/>
    <w:rsid w:val="00907D25"/>
    <w:rsid w:val="00924E35"/>
    <w:rsid w:val="0096411C"/>
    <w:rsid w:val="00970375"/>
    <w:rsid w:val="00973140"/>
    <w:rsid w:val="009741BD"/>
    <w:rsid w:val="0098261B"/>
    <w:rsid w:val="00990BB1"/>
    <w:rsid w:val="00991E0E"/>
    <w:rsid w:val="009A18AB"/>
    <w:rsid w:val="009C3391"/>
    <w:rsid w:val="009C36EB"/>
    <w:rsid w:val="009C425A"/>
    <w:rsid w:val="009C7188"/>
    <w:rsid w:val="009D6EA2"/>
    <w:rsid w:val="009E126D"/>
    <w:rsid w:val="009E4A8D"/>
    <w:rsid w:val="009E7701"/>
    <w:rsid w:val="009F058B"/>
    <w:rsid w:val="009F3ECB"/>
    <w:rsid w:val="00A10052"/>
    <w:rsid w:val="00A127A4"/>
    <w:rsid w:val="00A13882"/>
    <w:rsid w:val="00A26728"/>
    <w:rsid w:val="00A43B29"/>
    <w:rsid w:val="00A56F4B"/>
    <w:rsid w:val="00A5780D"/>
    <w:rsid w:val="00A61A6E"/>
    <w:rsid w:val="00A83182"/>
    <w:rsid w:val="00A92A9F"/>
    <w:rsid w:val="00AB7624"/>
    <w:rsid w:val="00AC242B"/>
    <w:rsid w:val="00AD1FB9"/>
    <w:rsid w:val="00AE7EE1"/>
    <w:rsid w:val="00AF70BF"/>
    <w:rsid w:val="00B114E3"/>
    <w:rsid w:val="00B33F5C"/>
    <w:rsid w:val="00B43A8F"/>
    <w:rsid w:val="00B516EE"/>
    <w:rsid w:val="00B52960"/>
    <w:rsid w:val="00B55640"/>
    <w:rsid w:val="00B556F2"/>
    <w:rsid w:val="00B623C0"/>
    <w:rsid w:val="00B80DDF"/>
    <w:rsid w:val="00B854CD"/>
    <w:rsid w:val="00B95B44"/>
    <w:rsid w:val="00B96DF9"/>
    <w:rsid w:val="00B97585"/>
    <w:rsid w:val="00BA07FB"/>
    <w:rsid w:val="00BC5276"/>
    <w:rsid w:val="00BD0A8B"/>
    <w:rsid w:val="00BD465B"/>
    <w:rsid w:val="00BF4A3B"/>
    <w:rsid w:val="00BF5AE5"/>
    <w:rsid w:val="00C02BA7"/>
    <w:rsid w:val="00C03A62"/>
    <w:rsid w:val="00C04230"/>
    <w:rsid w:val="00C06627"/>
    <w:rsid w:val="00C23304"/>
    <w:rsid w:val="00C2558C"/>
    <w:rsid w:val="00C47344"/>
    <w:rsid w:val="00C53822"/>
    <w:rsid w:val="00C57F6F"/>
    <w:rsid w:val="00C72799"/>
    <w:rsid w:val="00C75048"/>
    <w:rsid w:val="00C85D72"/>
    <w:rsid w:val="00C94965"/>
    <w:rsid w:val="00CA3829"/>
    <w:rsid w:val="00CA5CCB"/>
    <w:rsid w:val="00CB5876"/>
    <w:rsid w:val="00CB5993"/>
    <w:rsid w:val="00CC090F"/>
    <w:rsid w:val="00CC642B"/>
    <w:rsid w:val="00CD2D16"/>
    <w:rsid w:val="00CD7857"/>
    <w:rsid w:val="00CE1FB5"/>
    <w:rsid w:val="00CE53F2"/>
    <w:rsid w:val="00CE74C5"/>
    <w:rsid w:val="00D05E00"/>
    <w:rsid w:val="00D107D9"/>
    <w:rsid w:val="00D10850"/>
    <w:rsid w:val="00D11CDC"/>
    <w:rsid w:val="00D13EF9"/>
    <w:rsid w:val="00D307B0"/>
    <w:rsid w:val="00D361C9"/>
    <w:rsid w:val="00D4503D"/>
    <w:rsid w:val="00D53536"/>
    <w:rsid w:val="00D535EE"/>
    <w:rsid w:val="00D55EAA"/>
    <w:rsid w:val="00D623DC"/>
    <w:rsid w:val="00D80F7D"/>
    <w:rsid w:val="00D82EAB"/>
    <w:rsid w:val="00D964EE"/>
    <w:rsid w:val="00DA0772"/>
    <w:rsid w:val="00DA0C09"/>
    <w:rsid w:val="00DA7D1F"/>
    <w:rsid w:val="00DB2C61"/>
    <w:rsid w:val="00DB48B0"/>
    <w:rsid w:val="00DB4D76"/>
    <w:rsid w:val="00DE07F8"/>
    <w:rsid w:val="00DE2FE9"/>
    <w:rsid w:val="00DE3CE0"/>
    <w:rsid w:val="00DF30E9"/>
    <w:rsid w:val="00DF5782"/>
    <w:rsid w:val="00E02411"/>
    <w:rsid w:val="00E11144"/>
    <w:rsid w:val="00E25A0A"/>
    <w:rsid w:val="00E25B8E"/>
    <w:rsid w:val="00E30318"/>
    <w:rsid w:val="00E80E03"/>
    <w:rsid w:val="00E810DB"/>
    <w:rsid w:val="00EF35B1"/>
    <w:rsid w:val="00F1038C"/>
    <w:rsid w:val="00F104D9"/>
    <w:rsid w:val="00F168C3"/>
    <w:rsid w:val="00F35F3A"/>
    <w:rsid w:val="00F40246"/>
    <w:rsid w:val="00F50DFC"/>
    <w:rsid w:val="00F51D9C"/>
    <w:rsid w:val="00F53578"/>
    <w:rsid w:val="00F56042"/>
    <w:rsid w:val="00F642C3"/>
    <w:rsid w:val="00F65ECF"/>
    <w:rsid w:val="00F67C79"/>
    <w:rsid w:val="00F74CFC"/>
    <w:rsid w:val="00F876EB"/>
    <w:rsid w:val="00F929FD"/>
    <w:rsid w:val="00F959E2"/>
    <w:rsid w:val="00F96214"/>
    <w:rsid w:val="00F96ACD"/>
    <w:rsid w:val="00FA4457"/>
    <w:rsid w:val="00FB4C64"/>
    <w:rsid w:val="00FB5319"/>
    <w:rsid w:val="00FD74D9"/>
    <w:rsid w:val="00FF0FF2"/>
    <w:rsid w:val="00FF3C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9B6E48"/>
  <w15:chartTrackingRefBased/>
  <w15:docId w15:val="{566DE44D-E9C9-6F43-B237-D259D257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07F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F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3F5C"/>
    <w:rPr>
      <w:rFonts w:ascii="Times New Roman" w:hAnsi="Times New Roman" w:cs="Times New Roman"/>
      <w:sz w:val="18"/>
      <w:szCs w:val="18"/>
    </w:rPr>
  </w:style>
  <w:style w:type="paragraph" w:styleId="ListParagraph">
    <w:name w:val="List Paragraph"/>
    <w:basedOn w:val="Normal"/>
    <w:uiPriority w:val="34"/>
    <w:qFormat/>
    <w:rsid w:val="00A92A9F"/>
    <w:pPr>
      <w:ind w:left="720"/>
      <w:contextualSpacing/>
    </w:pPr>
  </w:style>
  <w:style w:type="paragraph" w:styleId="FootnoteText">
    <w:name w:val="footnote text"/>
    <w:basedOn w:val="Normal"/>
    <w:link w:val="FootnoteTextChar"/>
    <w:uiPriority w:val="99"/>
    <w:semiHidden/>
    <w:unhideWhenUsed/>
    <w:rsid w:val="00DA0C09"/>
    <w:rPr>
      <w:sz w:val="20"/>
      <w:szCs w:val="20"/>
    </w:rPr>
  </w:style>
  <w:style w:type="character" w:customStyle="1" w:styleId="FootnoteTextChar">
    <w:name w:val="Footnote Text Char"/>
    <w:basedOn w:val="DefaultParagraphFont"/>
    <w:link w:val="FootnoteText"/>
    <w:uiPriority w:val="99"/>
    <w:semiHidden/>
    <w:rsid w:val="00DA0C09"/>
    <w:rPr>
      <w:sz w:val="20"/>
      <w:szCs w:val="20"/>
    </w:rPr>
  </w:style>
  <w:style w:type="character" w:styleId="FootnoteReference">
    <w:name w:val="footnote reference"/>
    <w:basedOn w:val="DefaultParagraphFont"/>
    <w:uiPriority w:val="99"/>
    <w:semiHidden/>
    <w:unhideWhenUsed/>
    <w:rsid w:val="00DA0C09"/>
    <w:rPr>
      <w:vertAlign w:val="superscript"/>
    </w:rPr>
  </w:style>
  <w:style w:type="character" w:customStyle="1" w:styleId="Heading1Char">
    <w:name w:val="Heading 1 Char"/>
    <w:basedOn w:val="DefaultParagraphFont"/>
    <w:link w:val="Heading1"/>
    <w:uiPriority w:val="9"/>
    <w:rsid w:val="00DE07F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E07F8"/>
    <w:rPr>
      <w:color w:val="0000FF"/>
      <w:u w:val="single"/>
    </w:rPr>
  </w:style>
  <w:style w:type="character" w:customStyle="1" w:styleId="metadato">
    <w:name w:val="metadato"/>
    <w:basedOn w:val="DefaultParagraphFont"/>
    <w:rsid w:val="00DE07F8"/>
  </w:style>
  <w:style w:type="character" w:customStyle="1" w:styleId="UnresolvedMention1">
    <w:name w:val="Unresolved Mention1"/>
    <w:basedOn w:val="DefaultParagraphFont"/>
    <w:uiPriority w:val="99"/>
    <w:semiHidden/>
    <w:unhideWhenUsed/>
    <w:rsid w:val="00CE74C5"/>
    <w:rPr>
      <w:color w:val="605E5C"/>
      <w:shd w:val="clear" w:color="auto" w:fill="E1DFDD"/>
    </w:rPr>
  </w:style>
  <w:style w:type="paragraph" w:styleId="Header">
    <w:name w:val="header"/>
    <w:basedOn w:val="Normal"/>
    <w:link w:val="HeaderChar"/>
    <w:uiPriority w:val="99"/>
    <w:unhideWhenUsed/>
    <w:rsid w:val="00105003"/>
    <w:pPr>
      <w:tabs>
        <w:tab w:val="center" w:pos="4513"/>
        <w:tab w:val="right" w:pos="9026"/>
      </w:tabs>
    </w:pPr>
  </w:style>
  <w:style w:type="character" w:customStyle="1" w:styleId="HeaderChar">
    <w:name w:val="Header Char"/>
    <w:basedOn w:val="DefaultParagraphFont"/>
    <w:link w:val="Header"/>
    <w:uiPriority w:val="99"/>
    <w:rsid w:val="00105003"/>
  </w:style>
  <w:style w:type="paragraph" w:styleId="Footer">
    <w:name w:val="footer"/>
    <w:basedOn w:val="Normal"/>
    <w:link w:val="FooterChar"/>
    <w:uiPriority w:val="99"/>
    <w:unhideWhenUsed/>
    <w:rsid w:val="00105003"/>
    <w:pPr>
      <w:tabs>
        <w:tab w:val="center" w:pos="4513"/>
        <w:tab w:val="right" w:pos="9026"/>
      </w:tabs>
    </w:pPr>
  </w:style>
  <w:style w:type="character" w:customStyle="1" w:styleId="FooterChar">
    <w:name w:val="Footer Char"/>
    <w:basedOn w:val="DefaultParagraphFont"/>
    <w:link w:val="Footer"/>
    <w:uiPriority w:val="99"/>
    <w:rsid w:val="00105003"/>
  </w:style>
  <w:style w:type="paragraph" w:styleId="Title">
    <w:name w:val="Title"/>
    <w:basedOn w:val="Normal"/>
    <w:next w:val="Normal"/>
    <w:link w:val="TitleChar"/>
    <w:uiPriority w:val="10"/>
    <w:qFormat/>
    <w:rsid w:val="00DA0772"/>
    <w:pPr>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sz w:val="72"/>
      <w:szCs w:val="72"/>
      <w:lang w:eastAsia="zh-CN"/>
    </w:rPr>
  </w:style>
  <w:style w:type="character" w:customStyle="1" w:styleId="TitleChar">
    <w:name w:val="Title Char"/>
    <w:basedOn w:val="DefaultParagraphFont"/>
    <w:link w:val="Title"/>
    <w:uiPriority w:val="10"/>
    <w:rsid w:val="00DA0772"/>
    <w:rPr>
      <w:rFonts w:asciiTheme="majorHAnsi" w:eastAsiaTheme="majorEastAsia" w:hAnsiTheme="majorHAnsi" w:cstheme="majorBidi"/>
      <w:caps/>
      <w:color w:val="44546A" w:themeColor="text2"/>
      <w:spacing w:val="30"/>
      <w:sz w:val="72"/>
      <w:szCs w:val="72"/>
      <w:lang w:val="en-GB" w:eastAsia="zh-CN"/>
    </w:rPr>
  </w:style>
  <w:style w:type="paragraph" w:styleId="Revision">
    <w:name w:val="Revision"/>
    <w:hidden/>
    <w:uiPriority w:val="99"/>
    <w:semiHidden/>
    <w:rsid w:val="009741BD"/>
  </w:style>
  <w:style w:type="character" w:styleId="CommentReference">
    <w:name w:val="annotation reference"/>
    <w:basedOn w:val="DefaultParagraphFont"/>
    <w:uiPriority w:val="99"/>
    <w:semiHidden/>
    <w:unhideWhenUsed/>
    <w:rsid w:val="00CE1FB5"/>
    <w:rPr>
      <w:sz w:val="16"/>
      <w:szCs w:val="16"/>
    </w:rPr>
  </w:style>
  <w:style w:type="paragraph" w:styleId="CommentText">
    <w:name w:val="annotation text"/>
    <w:basedOn w:val="Normal"/>
    <w:link w:val="CommentTextChar"/>
    <w:uiPriority w:val="99"/>
    <w:semiHidden/>
    <w:unhideWhenUsed/>
    <w:rsid w:val="00CE1FB5"/>
    <w:rPr>
      <w:sz w:val="20"/>
      <w:szCs w:val="20"/>
    </w:rPr>
  </w:style>
  <w:style w:type="character" w:customStyle="1" w:styleId="CommentTextChar">
    <w:name w:val="Comment Text Char"/>
    <w:basedOn w:val="DefaultParagraphFont"/>
    <w:link w:val="CommentText"/>
    <w:uiPriority w:val="99"/>
    <w:semiHidden/>
    <w:rsid w:val="00CE1FB5"/>
    <w:rPr>
      <w:sz w:val="20"/>
      <w:szCs w:val="20"/>
    </w:rPr>
  </w:style>
  <w:style w:type="paragraph" w:styleId="CommentSubject">
    <w:name w:val="annotation subject"/>
    <w:basedOn w:val="CommentText"/>
    <w:next w:val="CommentText"/>
    <w:link w:val="CommentSubjectChar"/>
    <w:uiPriority w:val="99"/>
    <w:semiHidden/>
    <w:unhideWhenUsed/>
    <w:rsid w:val="00CE1FB5"/>
    <w:rPr>
      <w:b/>
      <w:bCs/>
    </w:rPr>
  </w:style>
  <w:style w:type="character" w:customStyle="1" w:styleId="CommentSubjectChar">
    <w:name w:val="Comment Subject Char"/>
    <w:basedOn w:val="CommentTextChar"/>
    <w:link w:val="CommentSubject"/>
    <w:uiPriority w:val="99"/>
    <w:semiHidden/>
    <w:rsid w:val="00CE1FB5"/>
    <w:rPr>
      <w:b/>
      <w:bCs/>
      <w:sz w:val="20"/>
      <w:szCs w:val="20"/>
    </w:rPr>
  </w:style>
  <w:style w:type="character" w:styleId="FollowedHyperlink">
    <w:name w:val="FollowedHyperlink"/>
    <w:basedOn w:val="DefaultParagraphFont"/>
    <w:uiPriority w:val="99"/>
    <w:semiHidden/>
    <w:unhideWhenUsed/>
    <w:rsid w:val="009C7188"/>
    <w:rPr>
      <w:color w:val="954F72" w:themeColor="followedHyperlink"/>
      <w:u w:val="single"/>
    </w:rPr>
  </w:style>
  <w:style w:type="paragraph" w:customStyle="1" w:styleId="Default">
    <w:name w:val="Default"/>
    <w:rsid w:val="00D361C9"/>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6891">
      <w:bodyDiv w:val="1"/>
      <w:marLeft w:val="0"/>
      <w:marRight w:val="0"/>
      <w:marTop w:val="0"/>
      <w:marBottom w:val="0"/>
      <w:divBdr>
        <w:top w:val="none" w:sz="0" w:space="0" w:color="auto"/>
        <w:left w:val="none" w:sz="0" w:space="0" w:color="auto"/>
        <w:bottom w:val="none" w:sz="0" w:space="0" w:color="auto"/>
        <w:right w:val="none" w:sz="0" w:space="0" w:color="auto"/>
      </w:divBdr>
    </w:div>
    <w:div w:id="167252585">
      <w:bodyDiv w:val="1"/>
      <w:marLeft w:val="0"/>
      <w:marRight w:val="0"/>
      <w:marTop w:val="0"/>
      <w:marBottom w:val="0"/>
      <w:divBdr>
        <w:top w:val="none" w:sz="0" w:space="0" w:color="auto"/>
        <w:left w:val="none" w:sz="0" w:space="0" w:color="auto"/>
        <w:bottom w:val="none" w:sz="0" w:space="0" w:color="auto"/>
        <w:right w:val="none" w:sz="0" w:space="0" w:color="auto"/>
      </w:divBdr>
    </w:div>
    <w:div w:id="1277444871">
      <w:bodyDiv w:val="1"/>
      <w:marLeft w:val="0"/>
      <w:marRight w:val="0"/>
      <w:marTop w:val="0"/>
      <w:marBottom w:val="0"/>
      <w:divBdr>
        <w:top w:val="none" w:sz="0" w:space="0" w:color="auto"/>
        <w:left w:val="none" w:sz="0" w:space="0" w:color="auto"/>
        <w:bottom w:val="none" w:sz="0" w:space="0" w:color="auto"/>
        <w:right w:val="none" w:sz="0" w:space="0" w:color="auto"/>
      </w:divBdr>
    </w:div>
    <w:div w:id="1806653115">
      <w:bodyDiv w:val="1"/>
      <w:marLeft w:val="0"/>
      <w:marRight w:val="0"/>
      <w:marTop w:val="0"/>
      <w:marBottom w:val="0"/>
      <w:divBdr>
        <w:top w:val="none" w:sz="0" w:space="0" w:color="auto"/>
        <w:left w:val="none" w:sz="0" w:space="0" w:color="auto"/>
        <w:bottom w:val="none" w:sz="0" w:space="0" w:color="auto"/>
        <w:right w:val="none" w:sz="0" w:space="0" w:color="auto"/>
      </w:divBdr>
      <w:divsChild>
        <w:div w:id="1062489559">
          <w:marLeft w:val="0"/>
          <w:marRight w:val="254"/>
          <w:marTop w:val="0"/>
          <w:marBottom w:val="0"/>
          <w:divBdr>
            <w:top w:val="none" w:sz="0" w:space="0" w:color="auto"/>
            <w:left w:val="none" w:sz="0" w:space="0" w:color="auto"/>
            <w:bottom w:val="none" w:sz="0" w:space="0" w:color="auto"/>
            <w:right w:val="none" w:sz="0" w:space="0" w:color="auto"/>
          </w:divBdr>
        </w:div>
        <w:div w:id="1071268134">
          <w:marLeft w:val="0"/>
          <w:marRight w:val="0"/>
          <w:marTop w:val="0"/>
          <w:marBottom w:val="240"/>
          <w:divBdr>
            <w:top w:val="none" w:sz="0" w:space="0" w:color="auto"/>
            <w:left w:val="none" w:sz="0" w:space="0" w:color="auto"/>
            <w:bottom w:val="single" w:sz="6" w:space="12" w:color="F2F2F2"/>
            <w:right w:val="none" w:sz="0" w:space="0" w:color="auto"/>
          </w:divBdr>
        </w:div>
      </w:divsChild>
    </w:div>
    <w:div w:id="185179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cepal.org/bitstream/handle/11362/10559/58095113I_en.pdf?sequence=1&amp;isAllowed=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ece.org/environmental-policy/conventions/industrial-accidents/meetings-and-events/industrial-accidents/workshops/2018/seminar-on-land-use-planning-and-industrial-safety/doc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ce.org/fileadmin/DAM/env/documents/2018/TEIA/Seminar_on_LuP_and_Ind_Safety__16-17_May_2018/presentation/Session_2_-_Pres_4_-_J_Roed_DSB_NORWAY-_planning_around_Borregar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positorio.cepal.org/discover?filtertype_0=unsymbol&amp;filter_relational_operator_0=equals&amp;filter_0=LC/G.1916-P&amp;filtertype_3=biblevel&amp;filter_relational_operator_3=equals&amp;filter_3=Secci%C3%B3n%20o%20Parte%20de%20un%20Documento&amp;filtertype_4=doctype&amp;filter_relational_operator_4=equals&amp;filter_4=Revistas&amp;filtertype_5=language&amp;filter_relational_operator_5=equals&amp;filter_5=en&amp;submit_apply_filter=Aplicar+filtro&amp;quer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B8F32-98F1-4BF7-8696-04E1A2AC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Wardle</dc:creator>
  <cp:keywords/>
  <dc:description/>
  <cp:lastModifiedBy>Bec Wardle</cp:lastModifiedBy>
  <cp:revision>6</cp:revision>
  <dcterms:created xsi:type="dcterms:W3CDTF">2020-07-16T06:23:00Z</dcterms:created>
  <dcterms:modified xsi:type="dcterms:W3CDTF">2020-07-20T10:22:00Z</dcterms:modified>
</cp:coreProperties>
</file>