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15499AAD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A8C371" w14:textId="77777777" w:rsidR="001433FD" w:rsidRPr="00DB58B5" w:rsidRDefault="001433FD" w:rsidP="004872A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5E88BD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B08776" w14:textId="77777777" w:rsidR="001433FD" w:rsidRPr="00DB58B5" w:rsidRDefault="004872A3" w:rsidP="004872A3">
            <w:pPr>
              <w:jc w:val="right"/>
            </w:pPr>
            <w:r w:rsidRPr="004872A3">
              <w:rPr>
                <w:sz w:val="40"/>
              </w:rPr>
              <w:t>ECE</w:t>
            </w:r>
            <w:r>
              <w:t>/CP.TEIA/2020/6</w:t>
            </w:r>
          </w:p>
        </w:tc>
      </w:tr>
      <w:tr w:rsidR="001433FD" w:rsidRPr="00DB58B5" w14:paraId="69BFF81A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3BFAC66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C78A59E" wp14:editId="2B767B29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459ED2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EAA8FF" w14:textId="77777777" w:rsidR="001433FD" w:rsidRDefault="004872A3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D61F5C9" w14:textId="77777777" w:rsidR="004872A3" w:rsidRDefault="004872A3" w:rsidP="004872A3">
            <w:pPr>
              <w:spacing w:line="240" w:lineRule="exact"/>
            </w:pPr>
            <w:r>
              <w:t>25 septembre 2020</w:t>
            </w:r>
          </w:p>
          <w:p w14:paraId="421EEDDF" w14:textId="77777777" w:rsidR="004872A3" w:rsidRDefault="004872A3" w:rsidP="004872A3">
            <w:pPr>
              <w:spacing w:line="240" w:lineRule="exact"/>
            </w:pPr>
            <w:r>
              <w:t>Français</w:t>
            </w:r>
          </w:p>
          <w:p w14:paraId="37985349" w14:textId="77777777" w:rsidR="004872A3" w:rsidRPr="00DB58B5" w:rsidRDefault="004872A3" w:rsidP="004872A3">
            <w:pPr>
              <w:spacing w:line="240" w:lineRule="exact"/>
            </w:pPr>
            <w:r>
              <w:t>Original : anglais</w:t>
            </w:r>
          </w:p>
        </w:tc>
      </w:tr>
    </w:tbl>
    <w:p w14:paraId="049DDC75" w14:textId="77777777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058B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71F3445" w14:textId="77777777" w:rsidR="004872A3" w:rsidRPr="00DF701D" w:rsidRDefault="004872A3" w:rsidP="001541D3">
      <w:pPr>
        <w:spacing w:before="120"/>
        <w:rPr>
          <w:sz w:val="28"/>
          <w:szCs w:val="28"/>
          <w:lang w:val="fr-FR"/>
        </w:rPr>
      </w:pPr>
      <w:r w:rsidRPr="00DF701D">
        <w:rPr>
          <w:sz w:val="28"/>
          <w:szCs w:val="28"/>
          <w:lang w:val="fr-FR"/>
        </w:rPr>
        <w:t>Conférence des Parties à la Convention</w:t>
      </w:r>
      <w:r>
        <w:rPr>
          <w:sz w:val="28"/>
          <w:szCs w:val="28"/>
          <w:lang w:val="fr-FR"/>
        </w:rPr>
        <w:br/>
      </w:r>
      <w:r w:rsidRPr="00DF701D">
        <w:rPr>
          <w:sz w:val="28"/>
          <w:szCs w:val="28"/>
          <w:lang w:val="fr-FR"/>
        </w:rPr>
        <w:t>sur</w:t>
      </w:r>
      <w:r>
        <w:rPr>
          <w:sz w:val="28"/>
          <w:szCs w:val="28"/>
          <w:lang w:val="fr-FR"/>
        </w:rPr>
        <w:t xml:space="preserve"> </w:t>
      </w:r>
      <w:r w:rsidRPr="00DF701D">
        <w:rPr>
          <w:sz w:val="28"/>
          <w:szCs w:val="28"/>
          <w:lang w:val="fr-FR"/>
        </w:rPr>
        <w:t>les effets</w:t>
      </w:r>
      <w:r>
        <w:rPr>
          <w:sz w:val="28"/>
          <w:szCs w:val="28"/>
          <w:lang w:val="fr-FR"/>
        </w:rPr>
        <w:t xml:space="preserve"> </w:t>
      </w:r>
      <w:r w:rsidRPr="00DF701D">
        <w:rPr>
          <w:sz w:val="28"/>
          <w:szCs w:val="28"/>
          <w:lang w:val="fr-FR"/>
        </w:rPr>
        <w:t>transfrontières des accidents industriels</w:t>
      </w:r>
    </w:p>
    <w:p w14:paraId="432504A5" w14:textId="77777777" w:rsidR="004872A3" w:rsidRPr="004872A3" w:rsidRDefault="004872A3" w:rsidP="004872A3">
      <w:pPr>
        <w:spacing w:before="120"/>
        <w:rPr>
          <w:b/>
        </w:rPr>
      </w:pPr>
      <w:r w:rsidRPr="004872A3">
        <w:rPr>
          <w:b/>
          <w:bCs/>
          <w:lang w:val="fr-FR"/>
        </w:rPr>
        <w:t>Onzième réunion</w:t>
      </w:r>
    </w:p>
    <w:p w14:paraId="7E301603" w14:textId="77777777" w:rsidR="004872A3" w:rsidRPr="004872A3" w:rsidRDefault="004872A3" w:rsidP="004872A3">
      <w:r w:rsidRPr="004872A3">
        <w:rPr>
          <w:lang w:val="fr-FR"/>
        </w:rPr>
        <w:t>Genève, 7</w:t>
      </w:r>
      <w:r>
        <w:rPr>
          <w:lang w:val="fr-FR"/>
        </w:rPr>
        <w:t>-</w:t>
      </w:r>
      <w:r w:rsidRPr="004872A3">
        <w:rPr>
          <w:lang w:val="fr-FR"/>
        </w:rPr>
        <w:t>9 décembre 2020</w:t>
      </w:r>
    </w:p>
    <w:p w14:paraId="15C97CC2" w14:textId="77777777" w:rsidR="004872A3" w:rsidRPr="004872A3" w:rsidRDefault="004872A3" w:rsidP="004872A3">
      <w:r w:rsidRPr="004872A3">
        <w:rPr>
          <w:lang w:val="fr-FR"/>
        </w:rPr>
        <w:t>Point 5 a) de l</w:t>
      </w:r>
      <w:r w:rsidR="000058B8">
        <w:rPr>
          <w:lang w:val="fr-FR"/>
        </w:rPr>
        <w:t>’</w:t>
      </w:r>
      <w:r w:rsidRPr="004872A3">
        <w:rPr>
          <w:lang w:val="fr-FR"/>
        </w:rPr>
        <w:t>ordre du jour provisoire</w:t>
      </w:r>
    </w:p>
    <w:p w14:paraId="6DC3E821" w14:textId="77777777" w:rsidR="00446FE5" w:rsidRDefault="004872A3" w:rsidP="004872A3">
      <w:pPr>
        <w:rPr>
          <w:b/>
          <w:bCs/>
          <w:lang w:val="fr-FR"/>
        </w:rPr>
      </w:pPr>
      <w:r w:rsidRPr="004872A3">
        <w:rPr>
          <w:b/>
          <w:bCs/>
          <w:lang w:val="fr-FR"/>
        </w:rPr>
        <w:t>Application de la Convention</w:t>
      </w:r>
      <w:r>
        <w:rPr>
          <w:b/>
          <w:bCs/>
          <w:lang w:val="fr-FR"/>
        </w:rPr>
        <w:t> </w:t>
      </w:r>
      <w:r w:rsidRPr="004872A3">
        <w:rPr>
          <w:b/>
          <w:bCs/>
          <w:lang w:val="fr-FR"/>
        </w:rPr>
        <w:t xml:space="preserve">: activités du Groupe de travail </w:t>
      </w:r>
      <w:r>
        <w:rPr>
          <w:b/>
          <w:bCs/>
          <w:lang w:val="fr-FR"/>
        </w:rPr>
        <w:br/>
      </w:r>
      <w:proofErr w:type="gramStart"/>
      <w:r w:rsidRPr="004872A3">
        <w:rPr>
          <w:b/>
          <w:bCs/>
          <w:lang w:val="fr-FR"/>
        </w:rPr>
        <w:t>de</w:t>
      </w:r>
      <w:proofErr w:type="gramEnd"/>
      <w:r w:rsidRPr="004872A3">
        <w:rPr>
          <w:b/>
          <w:bCs/>
          <w:lang w:val="fr-FR"/>
        </w:rPr>
        <w:t xml:space="preserve"> l</w:t>
      </w:r>
      <w:r w:rsidR="000058B8">
        <w:rPr>
          <w:b/>
          <w:bCs/>
          <w:lang w:val="fr-FR"/>
        </w:rPr>
        <w:t>’</w:t>
      </w:r>
      <w:r w:rsidRPr="004872A3">
        <w:rPr>
          <w:b/>
          <w:bCs/>
          <w:lang w:val="fr-FR"/>
        </w:rPr>
        <w:t>application et neuvième rapport sur l</w:t>
      </w:r>
      <w:r w:rsidR="000058B8">
        <w:rPr>
          <w:b/>
          <w:bCs/>
          <w:lang w:val="fr-FR"/>
        </w:rPr>
        <w:t>’</w:t>
      </w:r>
      <w:r w:rsidRPr="004872A3">
        <w:rPr>
          <w:b/>
          <w:bCs/>
          <w:lang w:val="fr-FR"/>
        </w:rPr>
        <w:t xml:space="preserve">application </w:t>
      </w:r>
      <w:r>
        <w:rPr>
          <w:b/>
          <w:bCs/>
          <w:lang w:val="fr-FR"/>
        </w:rPr>
        <w:br/>
      </w:r>
      <w:r w:rsidRPr="004872A3">
        <w:rPr>
          <w:b/>
          <w:bCs/>
          <w:lang w:val="fr-FR"/>
        </w:rPr>
        <w:t>de la Convention</w:t>
      </w:r>
    </w:p>
    <w:p w14:paraId="0FAD2909" w14:textId="77777777" w:rsidR="004872A3" w:rsidRPr="00E3389F" w:rsidRDefault="004872A3" w:rsidP="004872A3">
      <w:pPr>
        <w:pStyle w:val="HChG"/>
      </w:pPr>
      <w:r w:rsidRPr="00E3389F">
        <w:rPr>
          <w:lang w:val="fr-FR"/>
        </w:rPr>
        <w:tab/>
      </w:r>
      <w:r w:rsidRPr="00E3389F">
        <w:rPr>
          <w:lang w:val="fr-FR"/>
        </w:rPr>
        <w:tab/>
        <w:t xml:space="preserve">Projet de décision </w:t>
      </w:r>
      <w:r>
        <w:rPr>
          <w:lang w:val="fr-FR"/>
        </w:rPr>
        <w:t xml:space="preserve">visant à renforcer </w:t>
      </w:r>
      <w:r w:rsidRPr="00E3389F">
        <w:rPr>
          <w:lang w:val="fr-FR"/>
        </w:rPr>
        <w:t>l</w:t>
      </w:r>
      <w:r w:rsidR="000058B8">
        <w:rPr>
          <w:lang w:val="fr-FR"/>
        </w:rPr>
        <w:t>’</w:t>
      </w:r>
      <w:r w:rsidRPr="00E3389F">
        <w:rPr>
          <w:lang w:val="fr-FR"/>
        </w:rPr>
        <w:t xml:space="preserve">application </w:t>
      </w:r>
      <w:r>
        <w:rPr>
          <w:lang w:val="fr-FR"/>
        </w:rPr>
        <w:br/>
      </w:r>
      <w:r w:rsidRPr="00E3389F">
        <w:rPr>
          <w:lang w:val="fr-FR"/>
        </w:rPr>
        <w:t>de la Convention</w:t>
      </w:r>
    </w:p>
    <w:p w14:paraId="010BF93E" w14:textId="77777777" w:rsidR="004872A3" w:rsidRDefault="004872A3" w:rsidP="004872A3">
      <w:pPr>
        <w:pStyle w:val="H1G"/>
        <w:rPr>
          <w:lang w:val="fr-FR"/>
        </w:rPr>
      </w:pPr>
      <w:r w:rsidRPr="00E3389F">
        <w:rPr>
          <w:lang w:val="fr-FR"/>
        </w:rPr>
        <w:tab/>
      </w:r>
      <w:r w:rsidRPr="00E3389F">
        <w:rPr>
          <w:lang w:val="fr-FR"/>
        </w:rPr>
        <w:tab/>
        <w:t>Soumis par le Groupe de travail de l</w:t>
      </w:r>
      <w:r w:rsidR="000058B8">
        <w:rPr>
          <w:lang w:val="fr-FR"/>
        </w:rPr>
        <w:t>’</w:t>
      </w:r>
      <w:r w:rsidRPr="00E3389F">
        <w:rPr>
          <w:lang w:val="fr-FR"/>
        </w:rPr>
        <w:t>application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872A3" w14:paraId="25B1BBE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3657120" w14:textId="77777777" w:rsidR="004872A3" w:rsidRDefault="004872A3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872A3" w14:paraId="614471B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E828C13" w14:textId="77777777" w:rsidR="004872A3" w:rsidRDefault="004872A3" w:rsidP="004872A3">
            <w:pPr>
              <w:pStyle w:val="SingleTxtG"/>
              <w:ind w:firstLine="567"/>
            </w:pPr>
            <w:r w:rsidRPr="004872A3">
              <w:rPr>
                <w:lang w:val="fr-FR"/>
              </w:rPr>
              <w:t>Conformément à son mandat (ECE/CP.TEIA/32/Add.1), le Groupe de travail de l</w:t>
            </w:r>
            <w:r w:rsidR="000058B8">
              <w:rPr>
                <w:lang w:val="fr-FR"/>
              </w:rPr>
              <w:t>’</w:t>
            </w:r>
            <w:r w:rsidRPr="004872A3">
              <w:rPr>
                <w:lang w:val="fr-FR"/>
              </w:rPr>
              <w:t>application formulera des recommandations destinées à renforcer l</w:t>
            </w:r>
            <w:r w:rsidR="000058B8">
              <w:rPr>
                <w:lang w:val="fr-FR"/>
              </w:rPr>
              <w:t>’</w:t>
            </w:r>
            <w:r w:rsidRPr="004872A3">
              <w:rPr>
                <w:lang w:val="fr-FR"/>
              </w:rPr>
              <w:t>application de la Convention et, par l</w:t>
            </w:r>
            <w:r w:rsidR="000058B8">
              <w:rPr>
                <w:lang w:val="fr-FR"/>
              </w:rPr>
              <w:t>’</w:t>
            </w:r>
            <w:r w:rsidRPr="004872A3">
              <w:rPr>
                <w:lang w:val="fr-FR"/>
              </w:rPr>
              <w:t>intermédiaire du Bureau, les soumettra à la Conférence des Parties pour adoption. Ces recommandations sont contenues dans la présente décision.</w:t>
            </w:r>
          </w:p>
        </w:tc>
      </w:tr>
      <w:tr w:rsidR="004872A3" w14:paraId="535AD25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9CC72BF" w14:textId="77777777" w:rsidR="004872A3" w:rsidRDefault="004872A3" w:rsidP="004872A3">
            <w:pPr>
              <w:pStyle w:val="SingleTxtG"/>
              <w:ind w:firstLine="567"/>
            </w:pPr>
            <w:r w:rsidRPr="004872A3">
              <w:rPr>
                <w:lang w:val="fr-FR"/>
              </w:rPr>
              <w:t>La Conférence des Parties sera invitée à adopter la présente décision visant à renforcer la Convention. Les Parties ayant des observations à formuler sur le projet de décision sont invitées à les communiquer à la Présidente et au secrétariat quatre semaines avant la réunion (par courriel, à l</w:t>
            </w:r>
            <w:r w:rsidR="000058B8">
              <w:rPr>
                <w:lang w:val="fr-FR"/>
              </w:rPr>
              <w:t>’</w:t>
            </w:r>
            <w:r w:rsidRPr="004872A3">
              <w:rPr>
                <w:lang w:val="fr-FR"/>
              </w:rPr>
              <w:t>adresse</w:t>
            </w:r>
            <w:r w:rsidR="000058B8">
              <w:rPr>
                <w:lang w:val="fr-FR"/>
              </w:rPr>
              <w:t> </w:t>
            </w:r>
            <w:r w:rsidRPr="004872A3">
              <w:rPr>
                <w:lang w:val="fr-FR"/>
              </w:rPr>
              <w:t>: ece-teia.conv@un.org), c</w:t>
            </w:r>
            <w:r w:rsidR="000058B8">
              <w:rPr>
                <w:lang w:val="fr-FR"/>
              </w:rPr>
              <w:t>’</w:t>
            </w:r>
            <w:r w:rsidRPr="004872A3">
              <w:rPr>
                <w:lang w:val="fr-FR"/>
              </w:rPr>
              <w:t>est-à-dire avant le 9</w:t>
            </w:r>
            <w:r w:rsidR="000058B8">
              <w:rPr>
                <w:lang w:val="fr-FR"/>
              </w:rPr>
              <w:t> </w:t>
            </w:r>
            <w:r w:rsidRPr="004872A3">
              <w:rPr>
                <w:lang w:val="fr-FR"/>
              </w:rPr>
              <w:t>novembre 2020 au plus tard. L</w:t>
            </w:r>
            <w:r w:rsidR="000058B8">
              <w:rPr>
                <w:lang w:val="fr-FR"/>
              </w:rPr>
              <w:t>’</w:t>
            </w:r>
            <w:r w:rsidRPr="004872A3">
              <w:rPr>
                <w:lang w:val="fr-FR"/>
              </w:rPr>
              <w:t>objectif est de faciliter la présentation pendant la réunion d</w:t>
            </w:r>
            <w:r w:rsidR="000058B8">
              <w:rPr>
                <w:lang w:val="fr-FR"/>
              </w:rPr>
              <w:t>’</w:t>
            </w:r>
            <w:r w:rsidRPr="004872A3">
              <w:rPr>
                <w:lang w:val="fr-FR"/>
              </w:rPr>
              <w:t>une version actualisée du projet de décision sur laquelle les changements proposés seront clairement indiqués, et de parvenir à un consensus sur la décision qui sera prise par la Conférence.</w:t>
            </w:r>
          </w:p>
        </w:tc>
      </w:tr>
      <w:tr w:rsidR="004872A3" w14:paraId="2055B604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E4536D7" w14:textId="77777777" w:rsidR="004872A3" w:rsidRDefault="004872A3"/>
        </w:tc>
      </w:tr>
    </w:tbl>
    <w:p w14:paraId="13347E1D" w14:textId="77777777" w:rsidR="004872A3" w:rsidRDefault="004872A3" w:rsidP="004872A3">
      <w:pPr>
        <w:rPr>
          <w:bCs/>
          <w:szCs w:val="24"/>
          <w:lang w:val="fr-FR"/>
        </w:rPr>
      </w:pPr>
    </w:p>
    <w:p w14:paraId="5FD6DD06" w14:textId="77777777" w:rsidR="004872A3" w:rsidRPr="004872A3" w:rsidRDefault="004872A3" w:rsidP="004872A3">
      <w:pPr>
        <w:pStyle w:val="SingleTxtG"/>
        <w:ind w:firstLine="567"/>
        <w:rPr>
          <w:i/>
          <w:iCs/>
        </w:rPr>
      </w:pPr>
      <w:r>
        <w:rPr>
          <w:lang w:val="fr-FR"/>
        </w:rPr>
        <w:br w:type="page"/>
      </w:r>
      <w:r w:rsidRPr="004872A3">
        <w:rPr>
          <w:i/>
          <w:iCs/>
          <w:lang w:val="fr-FR"/>
        </w:rPr>
        <w:lastRenderedPageBreak/>
        <w:t>La Conférence des Parties,</w:t>
      </w:r>
    </w:p>
    <w:p w14:paraId="50EA1BC0" w14:textId="77777777" w:rsidR="004872A3" w:rsidRPr="004872A3" w:rsidRDefault="004872A3" w:rsidP="004872A3">
      <w:pPr>
        <w:pStyle w:val="SingleTxtG"/>
        <w:ind w:firstLine="567"/>
      </w:pPr>
      <w:r w:rsidRPr="004872A3">
        <w:rPr>
          <w:i/>
          <w:iCs/>
          <w:lang w:val="fr-FR"/>
        </w:rPr>
        <w:t>Rappelant</w:t>
      </w:r>
      <w:r w:rsidRPr="004872A3">
        <w:rPr>
          <w:lang w:val="fr-FR"/>
        </w:rPr>
        <w:t xml:space="preserve"> les articles 18 et 23 de la Convention sur les effets transfrontières des accidents industriels,</w:t>
      </w:r>
    </w:p>
    <w:p w14:paraId="40377628" w14:textId="77777777" w:rsidR="004872A3" w:rsidRPr="004872A3" w:rsidRDefault="004872A3" w:rsidP="004872A3">
      <w:pPr>
        <w:pStyle w:val="SingleTxtG"/>
        <w:ind w:firstLine="567"/>
      </w:pPr>
      <w:r w:rsidRPr="004872A3">
        <w:rPr>
          <w:i/>
          <w:iCs/>
          <w:lang w:val="fr-FR"/>
        </w:rPr>
        <w:t>Constatant</w:t>
      </w:r>
      <w:r w:rsidRPr="004872A3">
        <w:rPr>
          <w:lang w:val="fr-FR"/>
        </w:rPr>
        <w:t xml:space="preserve"> que, pendant le neuvième cycle de présentation des rapports (2016</w:t>
      </w:r>
      <w:r w:rsidR="00BC0618">
        <w:rPr>
          <w:lang w:val="fr-FR"/>
        </w:rPr>
        <w:noBreakHyphen/>
      </w:r>
      <w:r w:rsidRPr="004872A3">
        <w:rPr>
          <w:lang w:val="fr-FR"/>
        </w:rPr>
        <w:t>2018), seules 31 des 41 Parties ont rendu compte de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la Convention dans les délais impartis,</w:t>
      </w:r>
    </w:p>
    <w:p w14:paraId="2ABCBB78" w14:textId="77777777" w:rsidR="004872A3" w:rsidRPr="004872A3" w:rsidRDefault="004872A3" w:rsidP="004872A3">
      <w:pPr>
        <w:pStyle w:val="SingleTxtG"/>
        <w:ind w:firstLine="567"/>
      </w:pPr>
      <w:r w:rsidRPr="004872A3">
        <w:rPr>
          <w:i/>
          <w:iCs/>
          <w:lang w:val="fr-FR"/>
        </w:rPr>
        <w:t>Constatant</w:t>
      </w:r>
      <w:r w:rsidRPr="004872A3">
        <w:rPr>
          <w:lang w:val="fr-FR"/>
        </w:rPr>
        <w:t xml:space="preserve"> également que seul un des cinq pays engagés</w:t>
      </w:r>
      <w:r w:rsidRPr="00BC0618">
        <w:rPr>
          <w:rStyle w:val="FootnoteReference"/>
        </w:rPr>
        <w:footnoteReference w:id="2"/>
      </w:r>
      <w:r w:rsidRPr="004872A3">
        <w:rPr>
          <w:lang w:val="fr-FR"/>
        </w:rPr>
        <w:t xml:space="preserve"> qui ne sont pas encore parties à la Convention a rendu compte de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la Convention dans les délais impartis pour le neuvième cycle de présentation des rapports,</w:t>
      </w:r>
    </w:p>
    <w:p w14:paraId="2570A364" w14:textId="77777777" w:rsidR="004872A3" w:rsidRPr="004872A3" w:rsidRDefault="004872A3" w:rsidP="004872A3">
      <w:pPr>
        <w:pStyle w:val="SingleTxtG"/>
        <w:ind w:firstLine="567"/>
      </w:pPr>
      <w:r w:rsidRPr="004872A3">
        <w:rPr>
          <w:i/>
          <w:iCs/>
          <w:lang w:val="fr-FR"/>
        </w:rPr>
        <w:t>Tenant compte et prenant note avec satisfaction</w:t>
      </w:r>
      <w:r w:rsidRPr="004872A3">
        <w:rPr>
          <w:lang w:val="fr-FR"/>
        </w:rPr>
        <w:t xml:space="preserve"> du travail fait par le Groupe de travail de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pour analyser et évaluer les rapports nationaux sur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et, avec le concours du secrétariat, établir le neuvième rapport sur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la Convention,</w:t>
      </w:r>
    </w:p>
    <w:p w14:paraId="6D390107" w14:textId="77777777" w:rsidR="004872A3" w:rsidRPr="004872A3" w:rsidRDefault="004872A3" w:rsidP="004872A3">
      <w:pPr>
        <w:pStyle w:val="SingleTxtG"/>
        <w:ind w:firstLine="567"/>
      </w:pPr>
      <w:r w:rsidRPr="004872A3">
        <w:rPr>
          <w:i/>
          <w:iCs/>
          <w:lang w:val="fr-FR"/>
        </w:rPr>
        <w:t>Prenant également note avec satisfaction</w:t>
      </w:r>
      <w:r w:rsidRPr="004872A3">
        <w:rPr>
          <w:lang w:val="fr-FR"/>
        </w:rPr>
        <w:t xml:space="preserve"> des travaux très utiles menés par le Groupe de travail de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s</w:t>
      </w:r>
      <w:r w:rsidR="000058B8">
        <w:rPr>
          <w:lang w:val="fr-FR"/>
        </w:rPr>
        <w:t>’</w:t>
      </w:r>
      <w:r w:rsidRPr="004872A3">
        <w:rPr>
          <w:lang w:val="fr-FR"/>
        </w:rPr>
        <w:t>agissant du suivi de la mise en œuvre de l</w:t>
      </w:r>
      <w:r w:rsidR="000058B8">
        <w:rPr>
          <w:lang w:val="fr-FR"/>
        </w:rPr>
        <w:t>’</w:t>
      </w:r>
      <w:r w:rsidRPr="004872A3">
        <w:rPr>
          <w:lang w:val="fr-FR"/>
        </w:rPr>
        <w:t>approche stratégique pour le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(ECE/CP.TEIA/2008/5) et de l</w:t>
      </w:r>
      <w:r w:rsidR="000058B8">
        <w:rPr>
          <w:lang w:val="fr-FR"/>
        </w:rPr>
        <w:t>’</w:t>
      </w:r>
      <w:r w:rsidRPr="004872A3">
        <w:rPr>
          <w:lang w:val="fr-FR"/>
        </w:rPr>
        <w:t>appui apporté par le Bureau pour garantir la mise à disposition de ressources financières et d</w:t>
      </w:r>
      <w:r w:rsidR="000058B8">
        <w:rPr>
          <w:lang w:val="fr-FR"/>
        </w:rPr>
        <w:t>’</w:t>
      </w:r>
      <w:r w:rsidRPr="004872A3">
        <w:rPr>
          <w:lang w:val="fr-FR"/>
        </w:rPr>
        <w:t>apports en nature aux fins de la mise en œuvre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coopération,</w:t>
      </w:r>
    </w:p>
    <w:p w14:paraId="3EE9513E" w14:textId="77777777" w:rsidR="004872A3" w:rsidRPr="004872A3" w:rsidRDefault="004872A3" w:rsidP="004872A3">
      <w:pPr>
        <w:pStyle w:val="SingleTxtG"/>
        <w:ind w:firstLine="567"/>
      </w:pPr>
      <w:r w:rsidRPr="004872A3">
        <w:rPr>
          <w:i/>
          <w:iCs/>
          <w:lang w:val="fr-FR"/>
        </w:rPr>
        <w:t>Saluant</w:t>
      </w:r>
      <w:r w:rsidRPr="004872A3">
        <w:rPr>
          <w:lang w:val="fr-FR"/>
        </w:rPr>
        <w:t xml:space="preserve"> les activités conduites dans le cadre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au cours de la période 2019-2020, telles qu</w:t>
      </w:r>
      <w:r w:rsidR="000058B8">
        <w:rPr>
          <w:lang w:val="fr-FR"/>
        </w:rPr>
        <w:t>’</w:t>
      </w:r>
      <w:r w:rsidRPr="004872A3">
        <w:rPr>
          <w:lang w:val="fr-FR"/>
        </w:rPr>
        <w:t>elles sont décrites dans le rapport sur les activités d</w:t>
      </w:r>
      <w:r w:rsidR="000058B8">
        <w:rPr>
          <w:lang w:val="fr-FR"/>
        </w:rPr>
        <w:t>’</w:t>
      </w:r>
      <w:r w:rsidRPr="004872A3">
        <w:rPr>
          <w:lang w:val="fr-FR"/>
        </w:rPr>
        <w:t>assistance menées en 2019-2020 (ECE/CP.TEIA/2020/7),</w:t>
      </w:r>
    </w:p>
    <w:p w14:paraId="17DEA05A" w14:textId="77777777" w:rsidR="004872A3" w:rsidRPr="004872A3" w:rsidRDefault="004872A3" w:rsidP="00BC0618">
      <w:pPr>
        <w:pStyle w:val="H1G"/>
      </w:pPr>
      <w:r w:rsidRPr="004872A3">
        <w:rPr>
          <w:lang w:val="fr-FR"/>
        </w:rPr>
        <w:tab/>
      </w:r>
      <w:r w:rsidRPr="004872A3">
        <w:rPr>
          <w:lang w:val="fr-FR"/>
        </w:rPr>
        <w:tab/>
        <w:t>Recommandations générales</w:t>
      </w:r>
    </w:p>
    <w:p w14:paraId="52BA5497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1.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Adopte</w:t>
      </w:r>
      <w:r w:rsidRPr="004872A3">
        <w:rPr>
          <w:lang w:val="fr-FR"/>
        </w:rPr>
        <w:t xml:space="preserve"> le neuvième rapport sur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la Convention (2016-2018) (ECE/CP.TEIA/2020/5), tel qu</w:t>
      </w:r>
      <w:r w:rsidR="000058B8">
        <w:rPr>
          <w:lang w:val="fr-FR"/>
        </w:rPr>
        <w:t>’</w:t>
      </w:r>
      <w:r w:rsidRPr="004872A3">
        <w:rPr>
          <w:lang w:val="fr-FR"/>
        </w:rPr>
        <w:t>il a été établi et soumis par le Groupe de travail de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 ;</w:t>
      </w:r>
    </w:p>
    <w:p w14:paraId="514C1206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2.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Engage</w:t>
      </w:r>
      <w:r w:rsidRPr="004872A3">
        <w:rPr>
          <w:lang w:val="fr-FR"/>
        </w:rPr>
        <w:t xml:space="preserve"> l</w:t>
      </w:r>
      <w:r w:rsidR="000058B8">
        <w:rPr>
          <w:lang w:val="fr-FR"/>
        </w:rPr>
        <w:t>’</w:t>
      </w:r>
      <w:r w:rsidRPr="004872A3">
        <w:rPr>
          <w:lang w:val="fr-FR"/>
        </w:rPr>
        <w:t>Albanie, la Bosnie-Herzégovine, la Géorgie, le Kirghizstan et le Tadjikistan, qui n</w:t>
      </w:r>
      <w:r w:rsidR="000058B8">
        <w:rPr>
          <w:lang w:val="fr-FR"/>
        </w:rPr>
        <w:t>’</w:t>
      </w:r>
      <w:r w:rsidRPr="004872A3">
        <w:rPr>
          <w:lang w:val="fr-FR"/>
        </w:rPr>
        <w:t>ont pas encore soumis leurs rapports nationaux sur l</w:t>
      </w:r>
      <w:r w:rsidR="000058B8">
        <w:rPr>
          <w:lang w:val="fr-FR"/>
        </w:rPr>
        <w:t>’</w:t>
      </w:r>
      <w:r w:rsidRPr="004872A3">
        <w:rPr>
          <w:lang w:val="fr-FR"/>
        </w:rPr>
        <w:t xml:space="preserve">application, à le faire sans plus tarder, et invite </w:t>
      </w:r>
      <w:proofErr w:type="gramStart"/>
      <w:r w:rsidRPr="004872A3">
        <w:rPr>
          <w:lang w:val="fr-FR"/>
        </w:rPr>
        <w:t>les autres pays non parties</w:t>
      </w:r>
      <w:proofErr w:type="gramEnd"/>
      <w:r w:rsidRPr="004872A3">
        <w:rPr>
          <w:lang w:val="fr-FR"/>
        </w:rPr>
        <w:t>, dont le Turkménistan, qui bénéficient aussi d</w:t>
      </w:r>
      <w:r w:rsidR="000058B8">
        <w:rPr>
          <w:lang w:val="fr-FR"/>
        </w:rPr>
        <w:t>’</w:t>
      </w:r>
      <w:r w:rsidRPr="004872A3">
        <w:rPr>
          <w:lang w:val="fr-FR"/>
        </w:rPr>
        <w:t>activités au titre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coopération, à soumettre ces rapports à titre volontaire</w:t>
      </w:r>
      <w:r w:rsidR="00BC0618">
        <w:rPr>
          <w:lang w:val="fr-FR"/>
        </w:rPr>
        <w:t> </w:t>
      </w:r>
      <w:r w:rsidRPr="004872A3">
        <w:rPr>
          <w:lang w:val="fr-FR"/>
        </w:rPr>
        <w:t>;</w:t>
      </w:r>
    </w:p>
    <w:p w14:paraId="6E5C62F8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3.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Prie instamment</w:t>
      </w:r>
      <w:r w:rsidRPr="004872A3">
        <w:rPr>
          <w:lang w:val="fr-FR"/>
        </w:rPr>
        <w:t xml:space="preserve"> la Bosnie-Herzégovine, la Géorgie, le Kirghizstan et le Tadjikistan, qui n</w:t>
      </w:r>
      <w:r w:rsidR="000058B8">
        <w:rPr>
          <w:lang w:val="fr-FR"/>
        </w:rPr>
        <w:t>’</w:t>
      </w:r>
      <w:r w:rsidRPr="004872A3">
        <w:rPr>
          <w:lang w:val="fr-FR"/>
        </w:rPr>
        <w:t>ont pas soumis leurs rapports sur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pendant plusieurs cycles consécutifs, de soumettre sans plus tarder leurs rapports nationaux pour le cycle de présentation des rapports en cours</w:t>
      </w:r>
      <w:r w:rsidR="00BC0618">
        <w:rPr>
          <w:lang w:val="fr-FR"/>
        </w:rPr>
        <w:t> </w:t>
      </w:r>
      <w:r w:rsidRPr="004872A3">
        <w:rPr>
          <w:lang w:val="fr-FR"/>
        </w:rPr>
        <w:t>;</w:t>
      </w:r>
    </w:p>
    <w:p w14:paraId="694DA86C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4.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Souligne</w:t>
      </w:r>
      <w:r w:rsidRPr="004872A3">
        <w:rPr>
          <w:lang w:val="fr-FR"/>
        </w:rPr>
        <w:t xml:space="preserve"> la nécessité de soumettre les rapports nationaux sur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dans les délais convenus, et invite</w:t>
      </w:r>
      <w:r w:rsidRPr="00BC0618">
        <w:rPr>
          <w:rStyle w:val="FootnoteReference"/>
        </w:rPr>
        <w:footnoteReference w:id="3"/>
      </w:r>
      <w:r w:rsidRPr="004872A3">
        <w:rPr>
          <w:lang w:val="fr-FR"/>
        </w:rPr>
        <w:t xml:space="preserve"> toutes les Parties, les pays engagés et les autres pays qui soumettent des rapports à respecter ces délais à l</w:t>
      </w:r>
      <w:r w:rsidR="000058B8">
        <w:rPr>
          <w:lang w:val="fr-FR"/>
        </w:rPr>
        <w:t>’</w:t>
      </w:r>
      <w:r w:rsidRPr="004872A3">
        <w:rPr>
          <w:lang w:val="fr-FR"/>
        </w:rPr>
        <w:t>avenir</w:t>
      </w:r>
      <w:r w:rsidR="00BC0618">
        <w:rPr>
          <w:lang w:val="fr-FR"/>
        </w:rPr>
        <w:t> </w:t>
      </w:r>
      <w:r w:rsidRPr="004872A3">
        <w:rPr>
          <w:lang w:val="fr-FR"/>
        </w:rPr>
        <w:t>;</w:t>
      </w:r>
    </w:p>
    <w:p w14:paraId="63431977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5.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Demande</w:t>
      </w:r>
      <w:r w:rsidRPr="004872A3">
        <w:rPr>
          <w:lang w:val="fr-FR"/>
        </w:rPr>
        <w:t xml:space="preserve"> à toutes les Parties et aux pays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d</w:t>
      </w:r>
      <w:r w:rsidR="000058B8">
        <w:rPr>
          <w:lang w:val="fr-FR"/>
        </w:rPr>
        <w:t>’</w:t>
      </w:r>
      <w:r w:rsidRPr="004872A3">
        <w:rPr>
          <w:lang w:val="fr-FR"/>
        </w:rPr>
        <w:t>examiner</w:t>
      </w:r>
      <w:r w:rsidRPr="00BC0618">
        <w:rPr>
          <w:rStyle w:val="FootnoteReference"/>
        </w:rPr>
        <w:footnoteReference w:id="4"/>
      </w:r>
      <w:r w:rsidRPr="004872A3">
        <w:rPr>
          <w:lang w:val="fr-FR"/>
        </w:rPr>
        <w:t xml:space="preserve"> et, selon qu</w:t>
      </w:r>
      <w:r w:rsidR="000058B8">
        <w:rPr>
          <w:lang w:val="fr-FR"/>
        </w:rPr>
        <w:t>’</w:t>
      </w:r>
      <w:r w:rsidRPr="004872A3">
        <w:rPr>
          <w:lang w:val="fr-FR"/>
        </w:rPr>
        <w:t>il conviendra, d</w:t>
      </w:r>
      <w:r w:rsidR="000058B8">
        <w:rPr>
          <w:lang w:val="fr-FR"/>
        </w:rPr>
        <w:t>’</w:t>
      </w:r>
      <w:r w:rsidRPr="004872A3">
        <w:rPr>
          <w:lang w:val="fr-FR"/>
        </w:rPr>
        <w:t xml:space="preserve">appliquer les bonnes pratiques </w:t>
      </w:r>
      <w:r w:rsidRPr="004872A3">
        <w:rPr>
          <w:lang w:val="fr-FR"/>
        </w:rPr>
        <w:lastRenderedPageBreak/>
        <w:t>existantes dans les domaines de travail relevant de la Convention</w:t>
      </w:r>
      <w:r w:rsidRPr="00BC0618">
        <w:rPr>
          <w:rStyle w:val="FootnoteReference"/>
        </w:rPr>
        <w:footnoteReference w:id="5"/>
      </w:r>
      <w:r w:rsidRPr="004872A3">
        <w:rPr>
          <w:lang w:val="fr-FR"/>
        </w:rPr>
        <w:t>, y compris la prévention de la pollution accidentelle des eaux</w:t>
      </w:r>
      <w:r w:rsidRPr="00BC0618">
        <w:rPr>
          <w:rStyle w:val="FootnoteReference"/>
        </w:rPr>
        <w:footnoteReference w:id="6"/>
      </w:r>
      <w:r w:rsidRPr="004872A3">
        <w:rPr>
          <w:lang w:val="fr-FR"/>
        </w:rPr>
        <w:t>, afin de surmonter les faiblesses et de renforcer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la Convention</w:t>
      </w:r>
      <w:r w:rsidRPr="00BC0618">
        <w:rPr>
          <w:rStyle w:val="FootnoteReference"/>
        </w:rPr>
        <w:footnoteReference w:id="7"/>
      </w:r>
      <w:r w:rsidRPr="004872A3">
        <w:rPr>
          <w:lang w:val="fr-FR"/>
        </w:rPr>
        <w:t> ;</w:t>
      </w:r>
      <w:bookmarkStart w:id="2" w:name="_Hlk46932445"/>
      <w:bookmarkEnd w:id="2"/>
    </w:p>
    <w:p w14:paraId="2034C918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6.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Encourage</w:t>
      </w:r>
      <w:r w:rsidRPr="004872A3">
        <w:rPr>
          <w:lang w:val="fr-FR"/>
        </w:rPr>
        <w:t xml:space="preserve"> toutes les Parties et tous les pays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coopération, à la lumière du paragraphe 1 de l</w:t>
      </w:r>
      <w:r w:rsidR="000058B8">
        <w:rPr>
          <w:lang w:val="fr-FR"/>
        </w:rPr>
        <w:t>’</w:t>
      </w:r>
      <w:r w:rsidRPr="004872A3">
        <w:rPr>
          <w:lang w:val="fr-FR"/>
        </w:rPr>
        <w:t>article 2 et de l</w:t>
      </w:r>
      <w:r w:rsidR="000058B8">
        <w:rPr>
          <w:lang w:val="fr-FR"/>
        </w:rPr>
        <w:t>’</w:t>
      </w:r>
      <w:r w:rsidRPr="004872A3">
        <w:rPr>
          <w:lang w:val="fr-FR"/>
        </w:rPr>
        <w:t>article 15 de la Convention, à passer en revue les innovations, les bonnes pratiques, les lignes directrices et d</w:t>
      </w:r>
      <w:r w:rsidR="000058B8">
        <w:rPr>
          <w:lang w:val="fr-FR"/>
        </w:rPr>
        <w:t>’</w:t>
      </w:r>
      <w:r w:rsidRPr="004872A3">
        <w:rPr>
          <w:lang w:val="fr-FR"/>
        </w:rPr>
        <w:t>autres éléments pertinents concernant les différents domaines de travail relevant de la Convention, qui sont communiqués dans les rapports nationaux sur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application, et à continuer de communiquer ces informations dans leurs rapports sur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application, y compris des liens Internet</w:t>
      </w:r>
      <w:r w:rsidR="00E014E4">
        <w:rPr>
          <w:lang w:val="fr-FR"/>
        </w:rPr>
        <w:t> </w:t>
      </w:r>
      <w:r w:rsidRPr="004872A3">
        <w:rPr>
          <w:lang w:val="fr-FR"/>
        </w:rPr>
        <w:t>;</w:t>
      </w:r>
    </w:p>
    <w:p w14:paraId="24134F8C" w14:textId="77777777" w:rsidR="004872A3" w:rsidRPr="004872A3" w:rsidRDefault="004872A3" w:rsidP="00E014E4">
      <w:pPr>
        <w:pStyle w:val="H1G"/>
      </w:pPr>
      <w:r w:rsidRPr="004872A3">
        <w:rPr>
          <w:lang w:val="fr-FR"/>
        </w:rPr>
        <w:tab/>
      </w:r>
      <w:r w:rsidRPr="004872A3">
        <w:rPr>
          <w:lang w:val="fr-FR"/>
        </w:rPr>
        <w:tab/>
        <w:t>Recensement et notification des activités dangereuses et prévention des</w:t>
      </w:r>
      <w:r w:rsidR="00E014E4">
        <w:rPr>
          <w:lang w:val="fr-FR"/>
        </w:rPr>
        <w:t> </w:t>
      </w:r>
      <w:r w:rsidRPr="004872A3">
        <w:rPr>
          <w:lang w:val="fr-FR"/>
        </w:rPr>
        <w:t>accidents industriels</w:t>
      </w:r>
    </w:p>
    <w:p w14:paraId="13DF7FAF" w14:textId="77777777" w:rsidR="004872A3" w:rsidRPr="004872A3" w:rsidRDefault="004872A3" w:rsidP="00E014E4">
      <w:pPr>
        <w:pStyle w:val="SingleTxtG"/>
        <w:ind w:firstLine="567"/>
      </w:pPr>
      <w:r w:rsidRPr="004872A3">
        <w:rPr>
          <w:lang w:val="fr-FR"/>
        </w:rPr>
        <w:t>7.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 xml:space="preserve">Invite </w:t>
      </w:r>
      <w:r w:rsidRPr="004872A3">
        <w:rPr>
          <w:lang w:val="fr-FR"/>
        </w:rPr>
        <w:t>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qui n</w:t>
      </w:r>
      <w:r w:rsidR="000058B8">
        <w:rPr>
          <w:lang w:val="fr-FR"/>
        </w:rPr>
        <w:t>’</w:t>
      </w:r>
      <w:r w:rsidRPr="004872A3">
        <w:rPr>
          <w:lang w:val="fr-FR"/>
        </w:rPr>
        <w:t>ont pas encore recensé les activités dangereuses répondant aux critères de la Convention</w:t>
      </w:r>
      <w:r w:rsidRPr="00BC0618">
        <w:rPr>
          <w:rStyle w:val="FootnoteReference"/>
        </w:rPr>
        <w:footnoteReference w:id="8"/>
      </w:r>
      <w:r w:rsidRPr="004872A3">
        <w:rPr>
          <w:lang w:val="fr-FR"/>
        </w:rPr>
        <w:t xml:space="preserve"> à se conformer sans plus tarder à cette exigence essentielle</w:t>
      </w:r>
      <w:r w:rsidR="00E014E4">
        <w:rPr>
          <w:lang w:val="fr-FR"/>
        </w:rPr>
        <w:t> </w:t>
      </w:r>
      <w:r w:rsidRPr="004872A3">
        <w:rPr>
          <w:lang w:val="fr-FR"/>
        </w:rPr>
        <w:t>;</w:t>
      </w:r>
    </w:p>
    <w:p w14:paraId="00321D8B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8.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 également</w:t>
      </w:r>
      <w:r w:rsidRPr="004872A3">
        <w:rPr>
          <w:lang w:val="fr-FR"/>
        </w:rPr>
        <w:t xml:space="preserve"> 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qui n</w:t>
      </w:r>
      <w:r w:rsidR="000058B8">
        <w:rPr>
          <w:lang w:val="fr-FR"/>
        </w:rPr>
        <w:t>’</w:t>
      </w:r>
      <w:r w:rsidRPr="004872A3">
        <w:rPr>
          <w:lang w:val="fr-FR"/>
        </w:rPr>
        <w:t>ont pas encore notifié leurs activités dangereuses à un ou plusieurs pays touchés, à procéder à ces notifications</w:t>
      </w:r>
      <w:r w:rsidRPr="00BC0618">
        <w:rPr>
          <w:rStyle w:val="FootnoteReference"/>
        </w:rPr>
        <w:footnoteReference w:id="9"/>
      </w:r>
      <w:r w:rsidRPr="004872A3">
        <w:rPr>
          <w:lang w:val="fr-FR"/>
        </w:rPr>
        <w:t xml:space="preserve"> sans plus tarder</w:t>
      </w:r>
      <w:r w:rsidR="00E014E4">
        <w:rPr>
          <w:lang w:val="fr-FR"/>
        </w:rPr>
        <w:t> </w:t>
      </w:r>
      <w:r w:rsidRPr="004872A3">
        <w:rPr>
          <w:lang w:val="fr-FR"/>
        </w:rPr>
        <w:t>;</w:t>
      </w:r>
    </w:p>
    <w:p w14:paraId="1DA3FD1E" w14:textId="77777777" w:rsidR="004872A3" w:rsidRPr="004872A3" w:rsidRDefault="004872A3" w:rsidP="00E014E4">
      <w:pPr>
        <w:pStyle w:val="SingleTxtG"/>
        <w:ind w:firstLine="567"/>
      </w:pPr>
      <w:r w:rsidRPr="004872A3">
        <w:rPr>
          <w:lang w:val="fr-FR"/>
        </w:rPr>
        <w:t>9.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Encourage</w:t>
      </w:r>
      <w:r w:rsidRPr="004872A3">
        <w:rPr>
          <w:lang w:val="fr-FR"/>
        </w:rPr>
        <w:t xml:space="preserve"> 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coopération, que des activités dangereuses se déroulent ou non sur leur territoire, à mettre en place des mécanismes de notification et de consultation ou, s</w:t>
      </w:r>
      <w:r w:rsidR="000058B8">
        <w:rPr>
          <w:lang w:val="fr-FR"/>
        </w:rPr>
        <w:t>’</w:t>
      </w:r>
      <w:r w:rsidRPr="004872A3">
        <w:rPr>
          <w:lang w:val="fr-FR"/>
        </w:rPr>
        <w:t>il en existe déjà, à les renforcer</w:t>
      </w:r>
      <w:r w:rsidR="00E014E4">
        <w:rPr>
          <w:lang w:val="fr-FR"/>
        </w:rPr>
        <w:t> </w:t>
      </w:r>
      <w:r w:rsidRPr="004872A3">
        <w:rPr>
          <w:lang w:val="fr-FR"/>
        </w:rPr>
        <w:t>;</w:t>
      </w:r>
    </w:p>
    <w:p w14:paraId="37323467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10.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</w:t>
      </w:r>
      <w:r w:rsidRPr="004872A3">
        <w:rPr>
          <w:lang w:val="fr-FR"/>
        </w:rPr>
        <w:t xml:space="preserve"> 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à fournir dans leurs rapports sur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plus amples informations sur la nature et la localisation des activités dangereuses se déroulant sur leur territoire, afin de mieux comprendre les risques particuliers de catastrophe qu</w:t>
      </w:r>
      <w:r w:rsidR="000058B8">
        <w:rPr>
          <w:lang w:val="fr-FR"/>
        </w:rPr>
        <w:t>’</w:t>
      </w:r>
      <w:r w:rsidRPr="004872A3">
        <w:rPr>
          <w:lang w:val="fr-FR"/>
        </w:rPr>
        <w:t>elles présentent et de s</w:t>
      </w:r>
      <w:r w:rsidR="000058B8">
        <w:rPr>
          <w:lang w:val="fr-FR"/>
        </w:rPr>
        <w:t>’</w:t>
      </w:r>
      <w:r w:rsidRPr="004872A3">
        <w:rPr>
          <w:lang w:val="fr-FR"/>
        </w:rPr>
        <w:t>y préparer, conformément à la priorité 1 (« Comprendre les risques de catastrophe ») du Cadre de Sendai pour la réduction des risques de catastrophe 2015-2030</w:t>
      </w:r>
      <w:r w:rsidRPr="00BC0618">
        <w:rPr>
          <w:rStyle w:val="FootnoteReference"/>
        </w:rPr>
        <w:footnoteReference w:id="10"/>
      </w:r>
      <w:r w:rsidR="00E014E4">
        <w:rPr>
          <w:lang w:val="fr-FR"/>
        </w:rPr>
        <w:t> ;</w:t>
      </w:r>
    </w:p>
    <w:p w14:paraId="1C1126BE" w14:textId="77777777" w:rsidR="004872A3" w:rsidRPr="004872A3" w:rsidRDefault="004872A3" w:rsidP="00021C40">
      <w:pPr>
        <w:pStyle w:val="SingleTxtG"/>
        <w:ind w:firstLine="567"/>
      </w:pPr>
      <w:r w:rsidRPr="004872A3">
        <w:rPr>
          <w:lang w:val="fr-FR"/>
        </w:rPr>
        <w:t>11.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Demande</w:t>
      </w:r>
      <w:r w:rsidRPr="004872A3">
        <w:rPr>
          <w:lang w:val="fr-FR"/>
        </w:rPr>
        <w:t xml:space="preserve"> à toutes les Parties et à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de poursuivre leurs efforts pour élaborer des politiques, des stratégies et des mesures de prévention des accidents liés aux activités dangereuses</w:t>
      </w:r>
      <w:r w:rsidR="00021C40">
        <w:rPr>
          <w:lang w:val="fr-FR"/>
        </w:rPr>
        <w:t> </w:t>
      </w:r>
      <w:r w:rsidRPr="004872A3">
        <w:rPr>
          <w:lang w:val="fr-FR"/>
        </w:rPr>
        <w:t>;</w:t>
      </w:r>
    </w:p>
    <w:p w14:paraId="5907F9E6" w14:textId="77777777" w:rsidR="004872A3" w:rsidRPr="004872A3" w:rsidRDefault="004872A3" w:rsidP="00021C40">
      <w:pPr>
        <w:pStyle w:val="SingleTxtG"/>
        <w:ind w:firstLine="567"/>
      </w:pPr>
      <w:r w:rsidRPr="004872A3">
        <w:rPr>
          <w:lang w:val="fr-FR"/>
        </w:rPr>
        <w:lastRenderedPageBreak/>
        <w:t>12.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Demande également</w:t>
      </w:r>
      <w:r w:rsidRPr="004872A3">
        <w:rPr>
          <w:lang w:val="fr-FR"/>
        </w:rPr>
        <w:t xml:space="preserve"> à toutes les Parties et à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de renforcer leurs mesures d</w:t>
      </w:r>
      <w:r w:rsidR="000058B8">
        <w:rPr>
          <w:lang w:val="fr-FR"/>
        </w:rPr>
        <w:t>’</w:t>
      </w:r>
      <w:r w:rsidRPr="004872A3">
        <w:rPr>
          <w:lang w:val="fr-FR"/>
        </w:rPr>
        <w:t>évaluation des risques et de prévention des accidents industriels provoqués par des catastrophes naturelles</w:t>
      </w:r>
      <w:r w:rsidR="00021C40">
        <w:rPr>
          <w:lang w:val="fr-FR"/>
        </w:rPr>
        <w:t> </w:t>
      </w:r>
      <w:r w:rsidRPr="004872A3">
        <w:rPr>
          <w:lang w:val="fr-FR"/>
        </w:rPr>
        <w:t>;</w:t>
      </w:r>
    </w:p>
    <w:p w14:paraId="220AD335" w14:textId="77777777" w:rsidR="004872A3" w:rsidRPr="004872A3" w:rsidRDefault="004872A3" w:rsidP="00021C40">
      <w:pPr>
        <w:pStyle w:val="H1G"/>
      </w:pPr>
      <w:r w:rsidRPr="004872A3">
        <w:rPr>
          <w:lang w:val="fr-FR"/>
        </w:rPr>
        <w:tab/>
      </w:r>
      <w:r w:rsidRPr="004872A3">
        <w:rPr>
          <w:lang w:val="fr-FR"/>
        </w:rPr>
        <w:tab/>
        <w:t>Préparation aux situations d</w:t>
      </w:r>
      <w:r w:rsidR="000058B8">
        <w:rPr>
          <w:lang w:val="fr-FR"/>
        </w:rPr>
        <w:t>’</w:t>
      </w:r>
      <w:r w:rsidRPr="004872A3">
        <w:rPr>
          <w:lang w:val="fr-FR"/>
        </w:rPr>
        <w:t>urgence, intervention et assistance mutuelle</w:t>
      </w:r>
    </w:p>
    <w:p w14:paraId="14556C40" w14:textId="77777777" w:rsidR="004872A3" w:rsidRPr="004872A3" w:rsidRDefault="004872A3" w:rsidP="00021C40">
      <w:pPr>
        <w:pStyle w:val="SingleTxtG"/>
        <w:ind w:firstLine="567"/>
      </w:pPr>
      <w:r w:rsidRPr="004872A3">
        <w:rPr>
          <w:lang w:val="fr-FR"/>
        </w:rPr>
        <w:t>13.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</w:t>
      </w:r>
      <w:r w:rsidRPr="004872A3">
        <w:rPr>
          <w:lang w:val="fr-FR"/>
        </w:rPr>
        <w:t xml:space="preserve"> 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qui comptent des activités dangereuses sur leur territoire ou qui peuvent être touchés par celles conduites dans d</w:t>
      </w:r>
      <w:r w:rsidR="000058B8">
        <w:rPr>
          <w:lang w:val="fr-FR"/>
        </w:rPr>
        <w:t>’</w:t>
      </w:r>
      <w:r w:rsidRPr="004872A3">
        <w:rPr>
          <w:lang w:val="fr-FR"/>
        </w:rPr>
        <w:t>autres pays à prendre des mesures supplémentaires pour renforcer la préparation aux situations d</w:t>
      </w:r>
      <w:r w:rsidR="000058B8">
        <w:rPr>
          <w:lang w:val="fr-FR"/>
        </w:rPr>
        <w:t>’</w:t>
      </w:r>
      <w:r w:rsidRPr="004872A3">
        <w:rPr>
          <w:lang w:val="fr-FR"/>
        </w:rPr>
        <w:t>urgence et les interventions transfrontières communes</w:t>
      </w:r>
      <w:r w:rsidR="00021C40">
        <w:rPr>
          <w:lang w:val="fr-FR"/>
        </w:rPr>
        <w:t> </w:t>
      </w:r>
      <w:r w:rsidRPr="004872A3">
        <w:rPr>
          <w:lang w:val="fr-FR"/>
        </w:rPr>
        <w:t>;</w:t>
      </w:r>
    </w:p>
    <w:p w14:paraId="2C269E7B" w14:textId="77777777" w:rsidR="004872A3" w:rsidRPr="004872A3" w:rsidRDefault="004872A3" w:rsidP="00021C40">
      <w:pPr>
        <w:pStyle w:val="SingleTxtG"/>
        <w:ind w:firstLine="567"/>
      </w:pPr>
      <w:r w:rsidRPr="004872A3">
        <w:rPr>
          <w:lang w:val="fr-FR"/>
        </w:rPr>
        <w:t>14.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 xml:space="preserve">Exhorte </w:t>
      </w:r>
      <w:r w:rsidRPr="004872A3">
        <w:rPr>
          <w:lang w:val="fr-FR"/>
        </w:rPr>
        <w:t>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qui comptent des activités dangereuses sur leur territoire à améliorer encore l</w:t>
      </w:r>
      <w:r w:rsidR="000058B8">
        <w:rPr>
          <w:lang w:val="fr-FR"/>
        </w:rPr>
        <w:t>’</w:t>
      </w:r>
      <w:r w:rsidRPr="004872A3">
        <w:rPr>
          <w:lang w:val="fr-FR"/>
        </w:rPr>
        <w:t>élaboration et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plans d</w:t>
      </w:r>
      <w:r w:rsidR="000058B8">
        <w:rPr>
          <w:lang w:val="fr-FR"/>
        </w:rPr>
        <w:t>’</w:t>
      </w:r>
      <w:r w:rsidRPr="004872A3">
        <w:rPr>
          <w:lang w:val="fr-FR"/>
        </w:rPr>
        <w:t>urgence externes en coopération avec les pays voisins, y compris en ce qui concerne leur mise à l</w:t>
      </w:r>
      <w:r w:rsidR="000058B8">
        <w:rPr>
          <w:lang w:val="fr-FR"/>
        </w:rPr>
        <w:t>’</w:t>
      </w:r>
      <w:r w:rsidRPr="004872A3">
        <w:rPr>
          <w:lang w:val="fr-FR"/>
        </w:rPr>
        <w:t>essai, leur actualisation et leur révision</w:t>
      </w:r>
      <w:r w:rsidR="00021C40">
        <w:rPr>
          <w:lang w:val="fr-FR"/>
        </w:rPr>
        <w:t> </w:t>
      </w:r>
      <w:r w:rsidRPr="004872A3">
        <w:rPr>
          <w:lang w:val="fr-FR"/>
        </w:rPr>
        <w:t>;</w:t>
      </w:r>
    </w:p>
    <w:p w14:paraId="609A963F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15.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Encourage</w:t>
      </w:r>
      <w:r w:rsidRPr="004872A3">
        <w:rPr>
          <w:lang w:val="fr-FR"/>
        </w:rPr>
        <w:t xml:space="preserve"> 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à mener des exercices conjoints de préparation et d</w:t>
      </w:r>
      <w:r w:rsidR="000058B8">
        <w:rPr>
          <w:lang w:val="fr-FR"/>
        </w:rPr>
        <w:t>’</w:t>
      </w:r>
      <w:r w:rsidRPr="004872A3">
        <w:rPr>
          <w:lang w:val="fr-FR"/>
        </w:rPr>
        <w:t>intervention, y compris en mettant à l</w:t>
      </w:r>
      <w:r w:rsidR="000058B8">
        <w:rPr>
          <w:lang w:val="fr-FR"/>
        </w:rPr>
        <w:t>’</w:t>
      </w:r>
      <w:r w:rsidRPr="004872A3">
        <w:rPr>
          <w:lang w:val="fr-FR"/>
        </w:rPr>
        <w:t>essai leurs procédures relatives à la notification des accidents industriels aux pays touchés, à l</w:t>
      </w:r>
      <w:r w:rsidR="000058B8">
        <w:rPr>
          <w:lang w:val="fr-FR"/>
        </w:rPr>
        <w:t>’</w:t>
      </w:r>
      <w:r w:rsidRPr="004872A3">
        <w:rPr>
          <w:lang w:val="fr-FR"/>
        </w:rPr>
        <w:t>assistance mutuelle et aux structures de commandement et de contrôle</w:t>
      </w:r>
      <w:r w:rsidR="00021C40">
        <w:rPr>
          <w:lang w:val="fr-FR"/>
        </w:rPr>
        <w:t> </w:t>
      </w:r>
      <w:r w:rsidRPr="004872A3">
        <w:rPr>
          <w:lang w:val="fr-FR"/>
        </w:rPr>
        <w:t>;</w:t>
      </w:r>
    </w:p>
    <w:p w14:paraId="2582C641" w14:textId="77777777" w:rsidR="004872A3" w:rsidRPr="004872A3" w:rsidRDefault="004872A3" w:rsidP="00021C40">
      <w:pPr>
        <w:pStyle w:val="SingleTxtG"/>
        <w:ind w:firstLine="567"/>
      </w:pPr>
      <w:r w:rsidRPr="004872A3">
        <w:rPr>
          <w:lang w:val="fr-FR"/>
        </w:rPr>
        <w:t>16.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Exhorte</w:t>
      </w:r>
      <w:r w:rsidRPr="004872A3">
        <w:rPr>
          <w:lang w:val="fr-FR"/>
        </w:rPr>
        <w:t xml:space="preserve"> le Monténégro à désigner un point de contact pour la notification des </w:t>
      </w:r>
      <w:r w:rsidRPr="00021C40">
        <w:rPr>
          <w:spacing w:val="-2"/>
          <w:lang w:val="fr-FR"/>
        </w:rPr>
        <w:t>accidents industriels et l</w:t>
      </w:r>
      <w:r w:rsidR="000058B8" w:rsidRPr="00021C40">
        <w:rPr>
          <w:spacing w:val="-2"/>
          <w:lang w:val="fr-FR"/>
        </w:rPr>
        <w:t>’</w:t>
      </w:r>
      <w:r w:rsidRPr="00021C40">
        <w:rPr>
          <w:spacing w:val="-2"/>
          <w:lang w:val="fr-FR"/>
        </w:rPr>
        <w:t>assistance mutuelle, conformément à l</w:t>
      </w:r>
      <w:r w:rsidR="000058B8" w:rsidRPr="00021C40">
        <w:rPr>
          <w:spacing w:val="-2"/>
          <w:lang w:val="fr-FR"/>
        </w:rPr>
        <w:t>’</w:t>
      </w:r>
      <w:r w:rsidRPr="00021C40">
        <w:rPr>
          <w:spacing w:val="-2"/>
          <w:lang w:val="fr-FR"/>
        </w:rPr>
        <w:t>article</w:t>
      </w:r>
      <w:r w:rsidRPr="004872A3">
        <w:rPr>
          <w:lang w:val="fr-FR"/>
        </w:rPr>
        <w:t xml:space="preserve"> 17 de la Convention</w:t>
      </w:r>
      <w:r w:rsidR="00021C40">
        <w:rPr>
          <w:lang w:val="fr-FR"/>
        </w:rPr>
        <w:t> </w:t>
      </w:r>
      <w:r w:rsidRPr="004872A3">
        <w:rPr>
          <w:lang w:val="fr-FR"/>
        </w:rPr>
        <w:t>;</w:t>
      </w:r>
    </w:p>
    <w:p w14:paraId="24FC7D83" w14:textId="77777777" w:rsidR="004872A3" w:rsidRPr="004872A3" w:rsidRDefault="004872A3" w:rsidP="00021C40">
      <w:pPr>
        <w:pStyle w:val="SingleTxtG"/>
        <w:ind w:firstLine="567"/>
      </w:pPr>
      <w:r w:rsidRPr="004872A3">
        <w:rPr>
          <w:lang w:val="fr-FR"/>
        </w:rPr>
        <w:t>17.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</w:t>
      </w:r>
      <w:r w:rsidRPr="004872A3">
        <w:rPr>
          <w:lang w:val="fr-FR"/>
        </w:rPr>
        <w:t xml:space="preserve"> le Turkménistan à désigner un point de contact pour la notification des </w:t>
      </w:r>
      <w:r w:rsidRPr="00021C40">
        <w:rPr>
          <w:spacing w:val="-2"/>
          <w:lang w:val="fr-FR"/>
        </w:rPr>
        <w:t>accidents industriels et l</w:t>
      </w:r>
      <w:r w:rsidR="000058B8" w:rsidRPr="00021C40">
        <w:rPr>
          <w:spacing w:val="-2"/>
          <w:lang w:val="fr-FR"/>
        </w:rPr>
        <w:t>’</w:t>
      </w:r>
      <w:r w:rsidRPr="00021C40">
        <w:rPr>
          <w:spacing w:val="-2"/>
          <w:lang w:val="fr-FR"/>
        </w:rPr>
        <w:t>assistance mutuelle, conformément à l</w:t>
      </w:r>
      <w:r w:rsidR="000058B8" w:rsidRPr="00021C40">
        <w:rPr>
          <w:spacing w:val="-2"/>
          <w:lang w:val="fr-FR"/>
        </w:rPr>
        <w:t>’</w:t>
      </w:r>
      <w:r w:rsidRPr="00021C40">
        <w:rPr>
          <w:spacing w:val="-2"/>
          <w:lang w:val="fr-FR"/>
        </w:rPr>
        <w:t>article 17 de</w:t>
      </w:r>
      <w:r w:rsidRPr="004872A3">
        <w:rPr>
          <w:lang w:val="fr-FR"/>
        </w:rPr>
        <w:t xml:space="preserve"> la Convention</w:t>
      </w:r>
      <w:r w:rsidR="00021C40">
        <w:rPr>
          <w:lang w:val="fr-FR"/>
        </w:rPr>
        <w:t> </w:t>
      </w:r>
      <w:r w:rsidRPr="004872A3">
        <w:rPr>
          <w:lang w:val="fr-FR"/>
        </w:rPr>
        <w:t>;</w:t>
      </w:r>
    </w:p>
    <w:p w14:paraId="0567D286" w14:textId="77777777" w:rsidR="004872A3" w:rsidRPr="004872A3" w:rsidRDefault="004872A3" w:rsidP="00021C40">
      <w:pPr>
        <w:pStyle w:val="SingleTxtG"/>
        <w:ind w:firstLine="567"/>
      </w:pPr>
      <w:r w:rsidRPr="004872A3">
        <w:rPr>
          <w:lang w:val="fr-FR"/>
        </w:rPr>
        <w:t>18.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Exhorte</w:t>
      </w:r>
      <w:r w:rsidRPr="004872A3">
        <w:rPr>
          <w:lang w:val="fr-FR"/>
        </w:rPr>
        <w:t xml:space="preserve"> 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à continuer d</w:t>
      </w:r>
      <w:r w:rsidR="000058B8">
        <w:rPr>
          <w:lang w:val="fr-FR"/>
        </w:rPr>
        <w:t>’</w:t>
      </w:r>
      <w:r w:rsidRPr="004872A3">
        <w:rPr>
          <w:lang w:val="fr-FR"/>
        </w:rPr>
        <w:t>améliorer leurs procédures d</w:t>
      </w:r>
      <w:r w:rsidR="000058B8">
        <w:rPr>
          <w:lang w:val="fr-FR"/>
        </w:rPr>
        <w:t>’</w:t>
      </w:r>
      <w:r w:rsidRPr="004872A3">
        <w:rPr>
          <w:lang w:val="fr-FR"/>
        </w:rPr>
        <w:t>assistance mutuelle</w:t>
      </w:r>
      <w:r w:rsidR="00021C40">
        <w:rPr>
          <w:lang w:val="fr-FR"/>
        </w:rPr>
        <w:t> </w:t>
      </w:r>
      <w:r w:rsidRPr="004872A3">
        <w:rPr>
          <w:lang w:val="fr-FR"/>
        </w:rPr>
        <w:t>;</w:t>
      </w:r>
    </w:p>
    <w:p w14:paraId="7B04208A" w14:textId="77777777" w:rsidR="004872A3" w:rsidRPr="004872A3" w:rsidRDefault="004872A3" w:rsidP="00021C40">
      <w:pPr>
        <w:pStyle w:val="SingleTxtG"/>
        <w:ind w:firstLine="567"/>
      </w:pPr>
      <w:r w:rsidRPr="004872A3">
        <w:rPr>
          <w:lang w:val="fr-FR"/>
        </w:rPr>
        <w:t>19.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</w:t>
      </w:r>
      <w:r w:rsidRPr="004872A3">
        <w:rPr>
          <w:lang w:val="fr-FR"/>
        </w:rPr>
        <w:t xml:space="preserve"> 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à utiliser le système de notification des accidents industriels pour notifier un accident aux pays potentiellement touchés ou demander une assistance, et les engage à organiser des tests de connectivité du système et des consultations des points de contact et/ou à y participer</w:t>
      </w:r>
      <w:r w:rsidR="006073C0">
        <w:rPr>
          <w:lang w:val="fr-FR"/>
        </w:rPr>
        <w:t> </w:t>
      </w:r>
      <w:r w:rsidRPr="004872A3">
        <w:rPr>
          <w:lang w:val="fr-FR"/>
        </w:rPr>
        <w:t>;</w:t>
      </w:r>
    </w:p>
    <w:p w14:paraId="6861415F" w14:textId="77777777" w:rsidR="004872A3" w:rsidRPr="004872A3" w:rsidRDefault="004872A3" w:rsidP="006073C0">
      <w:pPr>
        <w:pStyle w:val="H1G"/>
      </w:pPr>
      <w:r w:rsidRPr="004872A3">
        <w:rPr>
          <w:lang w:val="fr-FR"/>
        </w:rPr>
        <w:tab/>
      </w:r>
      <w:r w:rsidRPr="004872A3">
        <w:rPr>
          <w:lang w:val="fr-FR"/>
        </w:rPr>
        <w:tab/>
        <w:t>Coopération scientifique et technologique et échange d</w:t>
      </w:r>
      <w:r w:rsidR="000058B8">
        <w:rPr>
          <w:lang w:val="fr-FR"/>
        </w:rPr>
        <w:t>’</w:t>
      </w:r>
      <w:r w:rsidRPr="004872A3">
        <w:rPr>
          <w:lang w:val="fr-FR"/>
        </w:rPr>
        <w:t>informations</w:t>
      </w:r>
    </w:p>
    <w:p w14:paraId="7615C16F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20.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Recommande</w:t>
      </w:r>
      <w:r w:rsidRPr="004872A3">
        <w:rPr>
          <w:lang w:val="fr-FR"/>
        </w:rPr>
        <w:t xml:space="preserve"> aux Parties, aux pays engagés et aux autres pays soumettant des rapports qui ne l</w:t>
      </w:r>
      <w:r w:rsidR="000058B8">
        <w:rPr>
          <w:lang w:val="fr-FR"/>
        </w:rPr>
        <w:t>’</w:t>
      </w:r>
      <w:r w:rsidRPr="004872A3">
        <w:rPr>
          <w:lang w:val="fr-FR"/>
        </w:rPr>
        <w:t>ont pas encore fait de redoubler d</w:t>
      </w:r>
      <w:r w:rsidR="000058B8">
        <w:rPr>
          <w:lang w:val="fr-FR"/>
        </w:rPr>
        <w:t>’</w:t>
      </w:r>
      <w:r w:rsidRPr="004872A3">
        <w:rPr>
          <w:lang w:val="fr-FR"/>
        </w:rPr>
        <w:t>efforts pour conclure des accords bilatéraux et multilatéraux, selon qu</w:t>
      </w:r>
      <w:r w:rsidR="000058B8">
        <w:rPr>
          <w:lang w:val="fr-FR"/>
        </w:rPr>
        <w:t>’</w:t>
      </w:r>
      <w:r w:rsidRPr="004872A3">
        <w:rPr>
          <w:lang w:val="fr-FR"/>
        </w:rPr>
        <w:t>il conviendra, en particulier entre pays qui partagent le même bassin hydrographique ou la même frontière et au sein des différentes organisations d</w:t>
      </w:r>
      <w:r w:rsidR="000058B8">
        <w:rPr>
          <w:lang w:val="fr-FR"/>
        </w:rPr>
        <w:t>’</w:t>
      </w:r>
      <w:r w:rsidRPr="004872A3">
        <w:rPr>
          <w:lang w:val="fr-FR"/>
        </w:rPr>
        <w:t>intégration économique régionale, afin de pouvoir prévenir les accidents industriels ayant des effets transfrontières, s</w:t>
      </w:r>
      <w:r w:rsidR="000058B8">
        <w:rPr>
          <w:lang w:val="fr-FR"/>
        </w:rPr>
        <w:t>’</w:t>
      </w:r>
      <w:r w:rsidRPr="004872A3">
        <w:rPr>
          <w:lang w:val="fr-FR"/>
        </w:rPr>
        <w:t>y préparer et y faire face de façon efficace</w:t>
      </w:r>
      <w:r w:rsidR="006073C0">
        <w:rPr>
          <w:lang w:val="fr-FR"/>
        </w:rPr>
        <w:t> </w:t>
      </w:r>
      <w:r w:rsidRPr="004872A3">
        <w:rPr>
          <w:lang w:val="fr-FR"/>
        </w:rPr>
        <w:t>;</w:t>
      </w:r>
    </w:p>
    <w:p w14:paraId="3BAABD0E" w14:textId="77777777" w:rsidR="004872A3" w:rsidRPr="004872A3" w:rsidRDefault="004872A3" w:rsidP="006073C0">
      <w:pPr>
        <w:pStyle w:val="H1G"/>
      </w:pPr>
      <w:r w:rsidRPr="004872A3">
        <w:rPr>
          <w:lang w:val="fr-FR"/>
        </w:rPr>
        <w:tab/>
      </w:r>
      <w:r w:rsidRPr="004872A3">
        <w:rPr>
          <w:lang w:val="fr-FR"/>
        </w:rPr>
        <w:tab/>
        <w:t>Information et participation du public</w:t>
      </w:r>
    </w:p>
    <w:p w14:paraId="20239422" w14:textId="77777777" w:rsidR="004872A3" w:rsidRPr="004872A3" w:rsidRDefault="004872A3" w:rsidP="006073C0">
      <w:pPr>
        <w:pStyle w:val="SingleTxtG"/>
        <w:ind w:firstLine="567"/>
      </w:pPr>
      <w:r w:rsidRPr="004872A3">
        <w:rPr>
          <w:lang w:val="fr-FR"/>
        </w:rPr>
        <w:t>21.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</w:t>
      </w:r>
      <w:r w:rsidRPr="004872A3">
        <w:rPr>
          <w:lang w:val="fr-FR"/>
        </w:rPr>
        <w:t xml:space="preserve"> les Parties et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à organiser des séminaires, des ateliers et d</w:t>
      </w:r>
      <w:r w:rsidR="000058B8">
        <w:rPr>
          <w:lang w:val="fr-FR"/>
        </w:rPr>
        <w:t>’</w:t>
      </w:r>
      <w:r w:rsidRPr="004872A3">
        <w:rPr>
          <w:lang w:val="fr-FR"/>
        </w:rPr>
        <w:t>autres activités utiles pour appuyer la mise en place de lois et d</w:t>
      </w:r>
      <w:r w:rsidR="000058B8">
        <w:rPr>
          <w:lang w:val="fr-FR"/>
        </w:rPr>
        <w:t>’</w:t>
      </w:r>
      <w:r w:rsidRPr="004872A3">
        <w:rPr>
          <w:lang w:val="fr-FR"/>
        </w:rPr>
        <w:t>autres textes juridiques qui accorderaient les mêmes droits d</w:t>
      </w:r>
      <w:r w:rsidR="000058B8">
        <w:rPr>
          <w:lang w:val="fr-FR"/>
        </w:rPr>
        <w:t>’</w:t>
      </w:r>
      <w:r w:rsidRPr="004872A3">
        <w:rPr>
          <w:lang w:val="fr-FR"/>
        </w:rPr>
        <w:t>information et de participation au public de part et d</w:t>
      </w:r>
      <w:r w:rsidR="000058B8">
        <w:rPr>
          <w:lang w:val="fr-FR"/>
        </w:rPr>
        <w:t>’</w:t>
      </w:r>
      <w:r w:rsidRPr="004872A3">
        <w:rPr>
          <w:lang w:val="fr-FR"/>
        </w:rPr>
        <w:t>autre des frontières</w:t>
      </w:r>
      <w:r w:rsidR="006073C0">
        <w:rPr>
          <w:lang w:val="fr-FR"/>
        </w:rPr>
        <w:t> </w:t>
      </w:r>
      <w:r w:rsidRPr="004872A3">
        <w:rPr>
          <w:lang w:val="fr-FR"/>
        </w:rPr>
        <w:t>;</w:t>
      </w:r>
    </w:p>
    <w:p w14:paraId="0FF6B239" w14:textId="77777777" w:rsidR="004872A3" w:rsidRPr="004872A3" w:rsidRDefault="004872A3" w:rsidP="006073C0">
      <w:pPr>
        <w:pStyle w:val="H1G"/>
      </w:pPr>
      <w:r w:rsidRPr="004872A3">
        <w:rPr>
          <w:lang w:val="fr-FR"/>
        </w:rPr>
        <w:tab/>
      </w:r>
      <w:r w:rsidRPr="004872A3">
        <w:rPr>
          <w:lang w:val="fr-FR"/>
        </w:rPr>
        <w:tab/>
        <w:t>Prise de décision concernant le choix du site et l</w:t>
      </w:r>
      <w:r w:rsidR="000058B8">
        <w:rPr>
          <w:lang w:val="fr-FR"/>
        </w:rPr>
        <w:t>’</w:t>
      </w:r>
      <w:r w:rsidRPr="004872A3">
        <w:rPr>
          <w:lang w:val="fr-FR"/>
        </w:rPr>
        <w:t>aménagement du</w:t>
      </w:r>
      <w:r w:rsidR="006073C0">
        <w:rPr>
          <w:lang w:val="fr-FR"/>
        </w:rPr>
        <w:t> </w:t>
      </w:r>
      <w:r w:rsidRPr="004872A3">
        <w:rPr>
          <w:lang w:val="fr-FR"/>
        </w:rPr>
        <w:t>territoire</w:t>
      </w:r>
    </w:p>
    <w:p w14:paraId="061FEE55" w14:textId="77777777" w:rsidR="004872A3" w:rsidRPr="004872A3" w:rsidRDefault="004872A3" w:rsidP="006073C0">
      <w:pPr>
        <w:pStyle w:val="SingleTxtG"/>
        <w:ind w:firstLine="567"/>
      </w:pPr>
      <w:r w:rsidRPr="004872A3">
        <w:rPr>
          <w:lang w:val="fr-FR"/>
        </w:rPr>
        <w:t>22.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 également</w:t>
      </w:r>
      <w:r w:rsidRPr="004872A3">
        <w:rPr>
          <w:lang w:val="fr-FR"/>
        </w:rPr>
        <w:t xml:space="preserve"> les Parties et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qui ne l</w:t>
      </w:r>
      <w:r w:rsidR="000058B8">
        <w:rPr>
          <w:lang w:val="fr-FR"/>
        </w:rPr>
        <w:t>’</w:t>
      </w:r>
      <w:r w:rsidRPr="004872A3">
        <w:rPr>
          <w:lang w:val="fr-FR"/>
        </w:rPr>
        <w:t xml:space="preserve">ont pas encore fait à élaborer des politiques sur la prise de décision </w:t>
      </w:r>
      <w:r w:rsidRPr="004872A3">
        <w:rPr>
          <w:lang w:val="fr-FR"/>
        </w:rPr>
        <w:lastRenderedPageBreak/>
        <w:t>concernant le choix des sites et l</w:t>
      </w:r>
      <w:r w:rsidR="000058B8">
        <w:rPr>
          <w:lang w:val="fr-FR"/>
        </w:rPr>
        <w:t>’</w:t>
      </w:r>
      <w:r w:rsidRPr="004872A3">
        <w:rPr>
          <w:lang w:val="fr-FR"/>
        </w:rPr>
        <w:t>aménagement du territoire, en particulier s</w:t>
      </w:r>
      <w:r w:rsidR="000058B8">
        <w:rPr>
          <w:lang w:val="fr-FR"/>
        </w:rPr>
        <w:t>’</w:t>
      </w:r>
      <w:r w:rsidRPr="004872A3">
        <w:rPr>
          <w:lang w:val="fr-FR"/>
        </w:rPr>
        <w:t>agissant de la prise en compte des aspects transfrontières, et de veiller à leur application pratique</w:t>
      </w:r>
      <w:r w:rsidR="006073C0">
        <w:rPr>
          <w:lang w:val="fr-FR"/>
        </w:rPr>
        <w:t> </w:t>
      </w:r>
      <w:r w:rsidRPr="004872A3">
        <w:rPr>
          <w:lang w:val="fr-FR"/>
        </w:rPr>
        <w:t>;</w:t>
      </w:r>
    </w:p>
    <w:p w14:paraId="1206DA25" w14:textId="77777777" w:rsidR="004872A3" w:rsidRPr="004872A3" w:rsidRDefault="004872A3" w:rsidP="006073C0">
      <w:pPr>
        <w:pStyle w:val="SingleTxtG"/>
        <w:ind w:firstLine="567"/>
      </w:pPr>
      <w:r w:rsidRPr="004872A3">
        <w:rPr>
          <w:lang w:val="fr-FR"/>
        </w:rPr>
        <w:t>23.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 xml:space="preserve">Invite en outre </w:t>
      </w:r>
      <w:r w:rsidRPr="004872A3">
        <w:rPr>
          <w:lang w:val="fr-FR"/>
        </w:rPr>
        <w:t>toutes les Parties et tous les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à améliorer encore leur coopération transfrontière en matière de prise de décision concernant le choix des sites et l</w:t>
      </w:r>
      <w:r w:rsidR="000058B8">
        <w:rPr>
          <w:lang w:val="fr-FR"/>
        </w:rPr>
        <w:t>’</w:t>
      </w:r>
      <w:r w:rsidRPr="004872A3">
        <w:rPr>
          <w:lang w:val="fr-FR"/>
        </w:rPr>
        <w:t>aménagement du territoire, y compris en ce qui concerne la participation du public des pays voisins</w:t>
      </w:r>
      <w:r w:rsidR="006073C0">
        <w:rPr>
          <w:lang w:val="fr-FR"/>
        </w:rPr>
        <w:t> </w:t>
      </w:r>
      <w:r w:rsidRPr="004872A3">
        <w:rPr>
          <w:lang w:val="fr-FR"/>
        </w:rPr>
        <w:t>;</w:t>
      </w:r>
    </w:p>
    <w:p w14:paraId="2BEB77D0" w14:textId="77777777" w:rsidR="004872A3" w:rsidRPr="004872A3" w:rsidRDefault="004872A3" w:rsidP="006073C0">
      <w:pPr>
        <w:pStyle w:val="H1G"/>
      </w:pPr>
      <w:r w:rsidRPr="004872A3">
        <w:rPr>
          <w:lang w:val="fr-FR"/>
        </w:rPr>
        <w:tab/>
      </w:r>
      <w:r w:rsidRPr="004872A3">
        <w:rPr>
          <w:lang w:val="fr-FR"/>
        </w:rPr>
        <w:tab/>
        <w:t>Autres recommandations</w:t>
      </w:r>
    </w:p>
    <w:p w14:paraId="03602D26" w14:textId="77777777" w:rsidR="004872A3" w:rsidRPr="004872A3" w:rsidRDefault="004872A3" w:rsidP="006073C0">
      <w:pPr>
        <w:pStyle w:val="SingleTxtG"/>
        <w:ind w:firstLine="567"/>
      </w:pPr>
      <w:r w:rsidRPr="004872A3">
        <w:rPr>
          <w:lang w:val="fr-FR"/>
        </w:rPr>
        <w:t>24.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Demande</w:t>
      </w:r>
      <w:r w:rsidRPr="004872A3">
        <w:rPr>
          <w:lang w:val="fr-FR"/>
        </w:rPr>
        <w:t xml:space="preserve"> au Groupe de travail de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mettre à jour le modèle et les directives de présentation des rapports</w:t>
      </w:r>
      <w:r w:rsidRPr="00BC0618">
        <w:rPr>
          <w:rStyle w:val="FootnoteReference"/>
        </w:rPr>
        <w:footnoteReference w:id="11"/>
      </w:r>
      <w:r w:rsidRPr="004872A3">
        <w:rPr>
          <w:lang w:val="fr-FR"/>
        </w:rPr>
        <w:t xml:space="preserve"> avant le début du dixième cycle, de façon à favoriser la concision, y compris sur les progrès réalisés entre les cycles, sans pour autant alourdir la charge de travail</w:t>
      </w:r>
      <w:r w:rsidR="006073C0">
        <w:rPr>
          <w:lang w:val="fr-FR"/>
        </w:rPr>
        <w:t> </w:t>
      </w:r>
      <w:r w:rsidRPr="004872A3">
        <w:rPr>
          <w:lang w:val="fr-FR"/>
        </w:rPr>
        <w:t>;</w:t>
      </w:r>
    </w:p>
    <w:p w14:paraId="1BB0C254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25.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</w:t>
      </w:r>
      <w:r w:rsidRPr="004872A3">
        <w:rPr>
          <w:lang w:val="fr-FR"/>
        </w:rPr>
        <w:t xml:space="preserve"> les Parties et les pays qui soumettent des rapports à consulter les directives de présentation avant de mettre la dernière main à leurs rapports de sorte que ceux-ci traitent de manière adéquate et complète de toutes les questions, même en l</w:t>
      </w:r>
      <w:r w:rsidR="000058B8">
        <w:rPr>
          <w:lang w:val="fr-FR"/>
        </w:rPr>
        <w:t>’</w:t>
      </w:r>
      <w:r w:rsidRPr="004872A3">
        <w:rPr>
          <w:lang w:val="fr-FR"/>
        </w:rPr>
        <w:t>absence d</w:t>
      </w:r>
      <w:r w:rsidR="000058B8">
        <w:rPr>
          <w:lang w:val="fr-FR"/>
        </w:rPr>
        <w:t>’</w:t>
      </w:r>
      <w:r w:rsidRPr="004872A3">
        <w:rPr>
          <w:lang w:val="fr-FR"/>
        </w:rPr>
        <w:t>activités dangereuses visées par la Convention</w:t>
      </w:r>
      <w:r w:rsidR="006073C0">
        <w:rPr>
          <w:lang w:val="fr-FR"/>
        </w:rPr>
        <w:t> </w:t>
      </w:r>
      <w:r w:rsidRPr="004872A3">
        <w:rPr>
          <w:lang w:val="fr-FR"/>
        </w:rPr>
        <w:t>;</w:t>
      </w:r>
    </w:p>
    <w:p w14:paraId="671BDAD8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26.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</w:t>
      </w:r>
      <w:r w:rsidRPr="004872A3">
        <w:rPr>
          <w:lang w:val="fr-FR"/>
        </w:rPr>
        <w:t xml:space="preserve"> les pays qui ne l</w:t>
      </w:r>
      <w:r w:rsidR="000058B8">
        <w:rPr>
          <w:lang w:val="fr-FR"/>
        </w:rPr>
        <w:t>’</w:t>
      </w:r>
      <w:r w:rsidRPr="004872A3">
        <w:rPr>
          <w:lang w:val="fr-FR"/>
        </w:rPr>
        <w:t>ont pas encore fait à désigner une ou des autorités compétentes au titre de la Convention et un centre de liaison afin de communiquer entre eux et avec le secrétariat de la Convention, et à informer les centres de liaison de leur rôle et de leurs responsabilités</w:t>
      </w:r>
      <w:r w:rsidRPr="00BC0618">
        <w:rPr>
          <w:rStyle w:val="FootnoteReference"/>
        </w:rPr>
        <w:footnoteReference w:id="12"/>
      </w:r>
      <w:r w:rsidRPr="004872A3">
        <w:rPr>
          <w:lang w:val="fr-FR"/>
        </w:rPr>
        <w:t xml:space="preserve"> ; </w:t>
      </w:r>
    </w:p>
    <w:p w14:paraId="32A77181" w14:textId="77777777" w:rsidR="004872A3" w:rsidRPr="004872A3" w:rsidRDefault="004872A3" w:rsidP="004872A3">
      <w:pPr>
        <w:pStyle w:val="SingleTxtG"/>
        <w:ind w:firstLine="567"/>
      </w:pPr>
      <w:r w:rsidRPr="004872A3">
        <w:rPr>
          <w:lang w:val="fr-FR"/>
        </w:rPr>
        <w:t>27.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Rappelle</w:t>
      </w:r>
      <w:r w:rsidRPr="004872A3">
        <w:rPr>
          <w:lang w:val="fr-FR"/>
        </w:rPr>
        <w:t xml:space="preserve"> aux bénéficiaires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 d</w:t>
      </w:r>
      <w:r w:rsidR="000058B8">
        <w:rPr>
          <w:lang w:val="fr-FR"/>
        </w:rPr>
        <w:t>’</w:t>
      </w:r>
      <w:r w:rsidRPr="004872A3">
        <w:rPr>
          <w:lang w:val="fr-FR"/>
        </w:rPr>
        <w:t>utiliser l</w:t>
      </w:r>
      <w:r w:rsidR="000058B8">
        <w:rPr>
          <w:lang w:val="fr-FR"/>
        </w:rPr>
        <w:t>’</w:t>
      </w:r>
      <w:r w:rsidRPr="004872A3">
        <w:rPr>
          <w:lang w:val="fr-FR"/>
        </w:rPr>
        <w:t>approche stratégique et ses outils, l</w:t>
      </w:r>
      <w:r w:rsidR="000058B8">
        <w:rPr>
          <w:lang w:val="fr-FR"/>
        </w:rPr>
        <w:t>’</w:t>
      </w:r>
      <w:r w:rsidRPr="004872A3">
        <w:rPr>
          <w:lang w:val="fr-FR"/>
        </w:rPr>
        <w:t>auto-évaluation et les plans d</w:t>
      </w:r>
      <w:r w:rsidR="000058B8">
        <w:rPr>
          <w:lang w:val="fr-FR"/>
        </w:rPr>
        <w:t>’</w:t>
      </w:r>
      <w:r w:rsidRPr="004872A3">
        <w:rPr>
          <w:lang w:val="fr-FR"/>
        </w:rPr>
        <w:t>action, et de tirer parti de la version plus conviviale des repères pour l</w:t>
      </w:r>
      <w:r w:rsidR="000058B8">
        <w:rPr>
          <w:lang w:val="fr-FR"/>
        </w:rPr>
        <w:t>’</w:t>
      </w:r>
      <w:r w:rsidRPr="004872A3">
        <w:rPr>
          <w:lang w:val="fr-FR"/>
        </w:rPr>
        <w:t>application de la Convention</w:t>
      </w:r>
      <w:r w:rsidRPr="00BC0618">
        <w:rPr>
          <w:rStyle w:val="FootnoteReference"/>
        </w:rPr>
        <w:footnoteReference w:id="13"/>
      </w:r>
      <w:r w:rsidR="006073C0">
        <w:rPr>
          <w:lang w:val="fr-FR"/>
        </w:rPr>
        <w:t> </w:t>
      </w:r>
      <w:r w:rsidRPr="004872A3">
        <w:rPr>
          <w:lang w:val="fr-FR"/>
        </w:rPr>
        <w:t xml:space="preserve">; </w:t>
      </w:r>
    </w:p>
    <w:p w14:paraId="5CBA1DF4" w14:textId="77777777" w:rsidR="004872A3" w:rsidRPr="004872A3" w:rsidRDefault="004872A3" w:rsidP="004872A3">
      <w:pPr>
        <w:pStyle w:val="SingleTxtG"/>
        <w:ind w:firstLine="567"/>
        <w:rPr>
          <w:lang w:val="fr-FR"/>
        </w:rPr>
      </w:pPr>
      <w:r w:rsidRPr="004872A3">
        <w:rPr>
          <w:lang w:val="fr-FR"/>
        </w:rPr>
        <w:t>28.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Invite</w:t>
      </w:r>
      <w:r w:rsidRPr="004872A3">
        <w:rPr>
          <w:lang w:val="fr-FR"/>
        </w:rPr>
        <w:t xml:space="preserve"> les Parties et les autres donateurs à fournir des ressources financières et des apports en nature aux fins de la mise en œuvre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</w:t>
      </w:r>
      <w:r w:rsidR="006073C0">
        <w:rPr>
          <w:lang w:val="fr-FR"/>
        </w:rPr>
        <w:t> </w:t>
      </w:r>
      <w:r w:rsidRPr="004872A3">
        <w:rPr>
          <w:lang w:val="fr-FR"/>
        </w:rPr>
        <w:t>;</w:t>
      </w:r>
    </w:p>
    <w:p w14:paraId="6B1C0D67" w14:textId="77777777" w:rsidR="004872A3" w:rsidRDefault="004872A3" w:rsidP="004872A3">
      <w:pPr>
        <w:pStyle w:val="SingleTxtG"/>
        <w:ind w:firstLine="567"/>
        <w:rPr>
          <w:lang w:val="fr-FR"/>
        </w:rPr>
      </w:pPr>
      <w:r w:rsidRPr="004872A3">
        <w:rPr>
          <w:lang w:val="fr-FR"/>
        </w:rPr>
        <w:t>29.</w:t>
      </w:r>
      <w:r w:rsidRPr="004872A3">
        <w:rPr>
          <w:lang w:val="fr-FR"/>
        </w:rPr>
        <w:tab/>
      </w:r>
      <w:r w:rsidRPr="004872A3">
        <w:rPr>
          <w:i/>
          <w:iCs/>
          <w:lang w:val="fr-FR"/>
        </w:rPr>
        <w:t>Donne mandat</w:t>
      </w:r>
      <w:r w:rsidRPr="004872A3">
        <w:rPr>
          <w:lang w:val="fr-FR"/>
        </w:rPr>
        <w:t xml:space="preserve"> au Bureau de tout mettre en œuvre pour garantir la mise à disposition de ressources financières et d</w:t>
      </w:r>
      <w:r w:rsidR="000058B8">
        <w:rPr>
          <w:lang w:val="fr-FR"/>
        </w:rPr>
        <w:t>’</w:t>
      </w:r>
      <w:r w:rsidRPr="004872A3">
        <w:rPr>
          <w:lang w:val="fr-FR"/>
        </w:rPr>
        <w:t>apports en nature aux fins de la mise en œuvre du Programme d</w:t>
      </w:r>
      <w:r w:rsidR="000058B8">
        <w:rPr>
          <w:lang w:val="fr-FR"/>
        </w:rPr>
        <w:t>’</w:t>
      </w:r>
      <w:r w:rsidRPr="004872A3">
        <w:rPr>
          <w:lang w:val="fr-FR"/>
        </w:rPr>
        <w:t>aide et de coopération.</w:t>
      </w:r>
    </w:p>
    <w:p w14:paraId="2E3B1A9C" w14:textId="59E9F4B9" w:rsidR="004872A3" w:rsidRPr="004872A3" w:rsidRDefault="004872A3" w:rsidP="004872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1142">
        <w:rPr>
          <w:u w:val="single"/>
        </w:rPr>
        <w:tab/>
      </w:r>
    </w:p>
    <w:sectPr w:rsidR="004872A3" w:rsidRPr="004872A3" w:rsidSect="004872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42F4" w14:textId="77777777" w:rsidR="0097095C" w:rsidRDefault="0097095C" w:rsidP="00F95C08">
      <w:pPr>
        <w:spacing w:line="240" w:lineRule="auto"/>
      </w:pPr>
    </w:p>
  </w:endnote>
  <w:endnote w:type="continuationSeparator" w:id="0">
    <w:p w14:paraId="6FF8B16F" w14:textId="77777777" w:rsidR="0097095C" w:rsidRPr="00AC3823" w:rsidRDefault="0097095C" w:rsidP="00AC3823">
      <w:pPr>
        <w:pStyle w:val="Footer"/>
      </w:pPr>
    </w:p>
  </w:endnote>
  <w:endnote w:type="continuationNotice" w:id="1">
    <w:p w14:paraId="6EC9E0D2" w14:textId="77777777" w:rsidR="0097095C" w:rsidRDefault="009709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7993" w14:textId="77777777" w:rsidR="004872A3" w:rsidRPr="004872A3" w:rsidRDefault="004872A3" w:rsidP="004872A3">
    <w:pPr>
      <w:pStyle w:val="Footer"/>
      <w:tabs>
        <w:tab w:val="right" w:pos="9638"/>
      </w:tabs>
    </w:pPr>
    <w:r w:rsidRPr="004872A3">
      <w:rPr>
        <w:b/>
        <w:sz w:val="18"/>
      </w:rPr>
      <w:fldChar w:fldCharType="begin"/>
    </w:r>
    <w:r w:rsidRPr="004872A3">
      <w:rPr>
        <w:b/>
        <w:sz w:val="18"/>
      </w:rPr>
      <w:instrText xml:space="preserve"> PAGE  \* MERGEFORMAT </w:instrText>
    </w:r>
    <w:r w:rsidRPr="004872A3">
      <w:rPr>
        <w:b/>
        <w:sz w:val="18"/>
      </w:rPr>
      <w:fldChar w:fldCharType="separate"/>
    </w:r>
    <w:r w:rsidRPr="004872A3">
      <w:rPr>
        <w:b/>
        <w:noProof/>
        <w:sz w:val="18"/>
      </w:rPr>
      <w:t>2</w:t>
    </w:r>
    <w:r w:rsidRPr="004872A3">
      <w:rPr>
        <w:b/>
        <w:sz w:val="18"/>
      </w:rPr>
      <w:fldChar w:fldCharType="end"/>
    </w:r>
    <w:r>
      <w:rPr>
        <w:b/>
        <w:sz w:val="18"/>
      </w:rPr>
      <w:tab/>
    </w:r>
    <w:r>
      <w:t>GE.20-12520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5BBF" w14:textId="77777777" w:rsidR="004872A3" w:rsidRPr="004872A3" w:rsidRDefault="004872A3" w:rsidP="004872A3">
    <w:pPr>
      <w:pStyle w:val="Footer"/>
      <w:tabs>
        <w:tab w:val="right" w:pos="9638"/>
      </w:tabs>
      <w:rPr>
        <w:b/>
        <w:sz w:val="18"/>
      </w:rPr>
    </w:pPr>
    <w:r>
      <w:t>GE.20-12520</w:t>
    </w:r>
    <w:r>
      <w:tab/>
    </w:r>
    <w:r w:rsidRPr="004872A3">
      <w:rPr>
        <w:b/>
        <w:sz w:val="18"/>
      </w:rPr>
      <w:fldChar w:fldCharType="begin"/>
    </w:r>
    <w:r w:rsidRPr="004872A3">
      <w:rPr>
        <w:b/>
        <w:sz w:val="18"/>
      </w:rPr>
      <w:instrText xml:space="preserve"> PAGE  \* MERGEFORMAT </w:instrText>
    </w:r>
    <w:r w:rsidRPr="004872A3">
      <w:rPr>
        <w:b/>
        <w:sz w:val="18"/>
      </w:rPr>
      <w:fldChar w:fldCharType="separate"/>
    </w:r>
    <w:r w:rsidRPr="004872A3">
      <w:rPr>
        <w:b/>
        <w:noProof/>
        <w:sz w:val="18"/>
      </w:rPr>
      <w:t>3</w:t>
    </w:r>
    <w:r w:rsidRPr="004872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1860" w14:textId="77777777" w:rsidR="000D3EE9" w:rsidRPr="004872A3" w:rsidRDefault="004872A3" w:rsidP="004872A3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5D255272" wp14:editId="7BD8C76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12520  (</w:t>
    </w:r>
    <w:proofErr w:type="gramEnd"/>
    <w:r>
      <w:rPr>
        <w:sz w:val="20"/>
      </w:rPr>
      <w:t>F)</w:t>
    </w:r>
    <w:r w:rsidR="000058B8">
      <w:rPr>
        <w:sz w:val="20"/>
      </w:rPr>
      <w:t xml:space="preserve">    141020    151020</w:t>
    </w:r>
    <w:r>
      <w:rPr>
        <w:sz w:val="20"/>
      </w:rPr>
      <w:br/>
    </w:r>
    <w:r w:rsidRPr="004872A3">
      <w:rPr>
        <w:rFonts w:ascii="C39T30Lfz" w:hAnsi="C39T30Lfz"/>
        <w:sz w:val="56"/>
      </w:rPr>
      <w:t>*2012520*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6670BD8" wp14:editId="7A3E2B5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58AE" w14:textId="77777777" w:rsidR="0097095C" w:rsidRPr="00AC3823" w:rsidRDefault="009709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4C36A2" w14:textId="77777777" w:rsidR="0097095C" w:rsidRPr="00AC3823" w:rsidRDefault="009709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C558BF" w14:textId="77777777" w:rsidR="0097095C" w:rsidRPr="00AC3823" w:rsidRDefault="0097095C">
      <w:pPr>
        <w:spacing w:line="240" w:lineRule="auto"/>
        <w:rPr>
          <w:sz w:val="2"/>
          <w:szCs w:val="2"/>
        </w:rPr>
      </w:pPr>
    </w:p>
  </w:footnote>
  <w:footnote w:id="2">
    <w:p w14:paraId="3E10B810" w14:textId="77777777" w:rsidR="004872A3" w:rsidRPr="009144D2" w:rsidRDefault="004872A3" w:rsidP="004872A3">
      <w:pPr>
        <w:pStyle w:val="FootnoteText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  <w:t>En adoptant la déclaration d</w:t>
      </w:r>
      <w:r w:rsidR="00BC0618">
        <w:rPr>
          <w:lang w:val="fr-FR"/>
        </w:rPr>
        <w:t>’</w:t>
      </w:r>
      <w:r>
        <w:rPr>
          <w:lang w:val="fr-FR"/>
        </w:rPr>
        <w:t>engagement (CP.TEIA/2005/10) pendant la Réunion d</w:t>
      </w:r>
      <w:r w:rsidR="00BC0618">
        <w:rPr>
          <w:lang w:val="fr-FR"/>
        </w:rPr>
        <w:t>’</w:t>
      </w:r>
      <w:r>
        <w:rPr>
          <w:lang w:val="fr-FR"/>
        </w:rPr>
        <w:t>engagement de haut niveau (Genève, 14 et 15</w:t>
      </w:r>
      <w:r w:rsidR="00BC0618">
        <w:rPr>
          <w:lang w:val="fr-FR"/>
        </w:rPr>
        <w:t> </w:t>
      </w:r>
      <w:r>
        <w:rPr>
          <w:lang w:val="fr-FR"/>
        </w:rPr>
        <w:t>décembre 2005), des pays d</w:t>
      </w:r>
      <w:r w:rsidR="00BC0618">
        <w:rPr>
          <w:lang w:val="fr-FR"/>
        </w:rPr>
        <w:t>’</w:t>
      </w:r>
      <w:r>
        <w:rPr>
          <w:lang w:val="fr-FR"/>
        </w:rPr>
        <w:t>Europe orientale, d</w:t>
      </w:r>
      <w:r w:rsidR="00BC0618">
        <w:rPr>
          <w:lang w:val="fr-FR"/>
        </w:rPr>
        <w:t>’</w:t>
      </w:r>
      <w:r>
        <w:rPr>
          <w:lang w:val="fr-FR"/>
        </w:rPr>
        <w:t>Europe du Sud-Est, du Caucase et d</w:t>
      </w:r>
      <w:r w:rsidR="00BC0618">
        <w:rPr>
          <w:lang w:val="fr-FR"/>
        </w:rPr>
        <w:t>’</w:t>
      </w:r>
      <w:r>
        <w:rPr>
          <w:lang w:val="fr-FR"/>
        </w:rPr>
        <w:t>Asie centrale se sont engagés à améliorer la sécurité industrielle en participant au Programme d</w:t>
      </w:r>
      <w:r w:rsidR="00BC0618">
        <w:rPr>
          <w:lang w:val="fr-FR"/>
        </w:rPr>
        <w:t>’</w:t>
      </w:r>
      <w:r>
        <w:rPr>
          <w:lang w:val="fr-FR"/>
        </w:rPr>
        <w:t>aide et à l</w:t>
      </w:r>
      <w:r w:rsidR="00BC0618">
        <w:rPr>
          <w:lang w:val="fr-FR"/>
        </w:rPr>
        <w:t>’</w:t>
      </w:r>
      <w:r>
        <w:rPr>
          <w:lang w:val="fr-FR"/>
        </w:rPr>
        <w:t>application de la Convention, ainsi qu</w:t>
      </w:r>
      <w:r w:rsidR="00BC0618">
        <w:rPr>
          <w:lang w:val="fr-FR"/>
        </w:rPr>
        <w:t>’</w:t>
      </w:r>
      <w:r>
        <w:rPr>
          <w:lang w:val="fr-FR"/>
        </w:rPr>
        <w:t>à soumettre des rapports nationaux sur l</w:t>
      </w:r>
      <w:r w:rsidR="00BC0618">
        <w:rPr>
          <w:lang w:val="fr-FR"/>
        </w:rPr>
        <w:t>’</w:t>
      </w:r>
      <w:r>
        <w:rPr>
          <w:lang w:val="fr-FR"/>
        </w:rPr>
        <w:t>application. Les pays engagés sont la Géorgie, le Kirghizistan, l</w:t>
      </w:r>
      <w:r w:rsidR="00BC0618">
        <w:rPr>
          <w:lang w:val="fr-FR"/>
        </w:rPr>
        <w:t>’</w:t>
      </w:r>
      <w:r>
        <w:rPr>
          <w:lang w:val="fr-FR"/>
        </w:rPr>
        <w:t>Ouzbékistan, le Tadjikistan et l</w:t>
      </w:r>
      <w:r w:rsidR="00BC0618">
        <w:rPr>
          <w:lang w:val="fr-FR"/>
        </w:rPr>
        <w:t>’</w:t>
      </w:r>
      <w:r>
        <w:rPr>
          <w:lang w:val="fr-FR"/>
        </w:rPr>
        <w:t>Ukraine.</w:t>
      </w:r>
    </w:p>
  </w:footnote>
  <w:footnote w:id="3">
    <w:p w14:paraId="22721E8C" w14:textId="77777777" w:rsidR="004872A3" w:rsidRPr="00F42F88" w:rsidRDefault="004872A3" w:rsidP="004872A3">
      <w:pPr>
        <w:pStyle w:val="FootnoteText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</w:r>
      <w:r w:rsidRPr="00F42F88">
        <w:rPr>
          <w:lang w:val="fr-FR"/>
        </w:rPr>
        <w:t>Voir la décision 2016/2 relative à l</w:t>
      </w:r>
      <w:r w:rsidR="00BC0618">
        <w:rPr>
          <w:lang w:val="fr-FR"/>
        </w:rPr>
        <w:t>’</w:t>
      </w:r>
      <w:r w:rsidRPr="00F42F88">
        <w:rPr>
          <w:lang w:val="fr-FR"/>
        </w:rPr>
        <w:t xml:space="preserve">établissement des rapports exigés en application de la Convention (ECE/CP.TEIA/32/Add.1). </w:t>
      </w:r>
    </w:p>
  </w:footnote>
  <w:footnote w:id="4">
    <w:p w14:paraId="0F0AA772" w14:textId="77777777" w:rsidR="004872A3" w:rsidRPr="009144D2" w:rsidRDefault="004872A3" w:rsidP="004872A3">
      <w:pPr>
        <w:pStyle w:val="FootnoteText"/>
      </w:pPr>
      <w:r w:rsidRPr="00F42F88">
        <w:rPr>
          <w:lang w:val="fr-FR"/>
        </w:rPr>
        <w:tab/>
      </w:r>
      <w:r w:rsidRPr="00F42F88">
        <w:rPr>
          <w:rStyle w:val="FootnoteReference"/>
          <w:lang w:val="fr-FR"/>
        </w:rPr>
        <w:footnoteRef/>
      </w:r>
      <w:r w:rsidRPr="00F42F88">
        <w:rPr>
          <w:lang w:val="fr-FR"/>
        </w:rPr>
        <w:tab/>
        <w:t>Les pays ci-après bénéficient d</w:t>
      </w:r>
      <w:r w:rsidR="00BC0618">
        <w:rPr>
          <w:lang w:val="fr-FR"/>
        </w:rPr>
        <w:t>’</w:t>
      </w:r>
      <w:r w:rsidRPr="00F42F88">
        <w:rPr>
          <w:lang w:val="fr-FR"/>
        </w:rPr>
        <w:t>activités menées dans le cadre du Programme d</w:t>
      </w:r>
      <w:r w:rsidR="00BC0618">
        <w:rPr>
          <w:lang w:val="fr-FR"/>
        </w:rPr>
        <w:t>’</w:t>
      </w:r>
      <w:r w:rsidRPr="00F42F88">
        <w:rPr>
          <w:lang w:val="fr-FR"/>
        </w:rPr>
        <w:t>aide et de coopération : Albanie, Arménie, Azerbaïdjan, Bélarus, Bosnie-Herzégovine, Géorgie, Kazakhstan, Kirghizistan, Macédoine du Nord, Monténégro, Ouzbékistan, République de Moldova, Serbie, Tadjikistan, Turkménistan et Ukraine</w:t>
      </w:r>
      <w:r>
        <w:rPr>
          <w:lang w:val="fr-FR"/>
        </w:rPr>
        <w:t xml:space="preserve">. </w:t>
      </w:r>
      <w:r w:rsidRPr="004E2D78">
        <w:rPr>
          <w:lang w:val="fr-FR"/>
        </w:rPr>
        <w:t>Cette liste, qui contient tous les pays engagés et quelques parties, comprend également le Turkménistan.</w:t>
      </w:r>
      <w:bookmarkStart w:id="1" w:name="_Hlk46330802"/>
      <w:bookmarkEnd w:id="1"/>
    </w:p>
  </w:footnote>
  <w:footnote w:id="5">
    <w:p w14:paraId="26C677F0" w14:textId="77777777" w:rsidR="004872A3" w:rsidRPr="00F42F88" w:rsidRDefault="004872A3" w:rsidP="004872A3">
      <w:pPr>
        <w:pStyle w:val="FootnoteText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  <w:t xml:space="preserve">On trouvera </w:t>
      </w:r>
      <w:r w:rsidRPr="00F42F88">
        <w:rPr>
          <w:lang w:val="fr-FR"/>
        </w:rPr>
        <w:t>plus de précisions sur les bonnes pratiques dans les domaines de travail relevant de la Convention</w:t>
      </w:r>
      <w:r>
        <w:rPr>
          <w:lang w:val="fr-FR"/>
        </w:rPr>
        <w:t xml:space="preserve"> </w:t>
      </w:r>
      <w:r w:rsidRPr="00F42F88">
        <w:rPr>
          <w:lang w:val="fr-FR"/>
        </w:rPr>
        <w:t>à l</w:t>
      </w:r>
      <w:r w:rsidR="00BC0618">
        <w:rPr>
          <w:lang w:val="fr-FR"/>
        </w:rPr>
        <w:t>’</w:t>
      </w:r>
      <w:r w:rsidRPr="00F42F88">
        <w:rPr>
          <w:lang w:val="fr-FR"/>
        </w:rPr>
        <w:t>adresse</w:t>
      </w:r>
      <w:r w:rsidR="00E014E4">
        <w:rPr>
          <w:lang w:val="fr-FR"/>
        </w:rPr>
        <w:t> </w:t>
      </w:r>
      <w:r w:rsidRPr="00F42F88">
        <w:rPr>
          <w:lang w:val="fr-FR"/>
        </w:rPr>
        <w:t xml:space="preserve">: </w:t>
      </w:r>
      <w:hyperlink r:id="rId1" w:history="1">
        <w:r w:rsidRPr="00E014E4">
          <w:rPr>
            <w:rStyle w:val="Hyperlink"/>
            <w:lang w:val="fr-FR"/>
          </w:rPr>
          <w:t>http://www.unece.org/environmental-policy/conventions/industrial-accidents/publications.html</w:t>
        </w:r>
      </w:hyperlink>
      <w:r w:rsidRPr="00F42F88">
        <w:rPr>
          <w:lang w:val="fr-FR"/>
        </w:rPr>
        <w:t xml:space="preserve">. </w:t>
      </w:r>
    </w:p>
  </w:footnote>
  <w:footnote w:id="6">
    <w:p w14:paraId="26F3FC85" w14:textId="77777777" w:rsidR="004872A3" w:rsidRPr="00F42F88" w:rsidRDefault="004872A3" w:rsidP="004872A3">
      <w:pPr>
        <w:pStyle w:val="FootnoteText"/>
      </w:pPr>
      <w:r w:rsidRPr="00F42F88">
        <w:rPr>
          <w:lang w:val="fr-FR"/>
        </w:rPr>
        <w:tab/>
      </w:r>
      <w:r w:rsidRPr="00F42F88">
        <w:rPr>
          <w:rStyle w:val="FootnoteReference"/>
          <w:lang w:val="fr-FR"/>
        </w:rPr>
        <w:footnoteRef/>
      </w:r>
      <w:r w:rsidRPr="00F42F88">
        <w:rPr>
          <w:lang w:val="fr-FR"/>
        </w:rPr>
        <w:tab/>
        <w:t>Les orientations élaborées par le Groupe spécial mixte d</w:t>
      </w:r>
      <w:r w:rsidR="00BC0618">
        <w:rPr>
          <w:lang w:val="fr-FR"/>
        </w:rPr>
        <w:t>’</w:t>
      </w:r>
      <w:r w:rsidRPr="00F42F88">
        <w:rPr>
          <w:lang w:val="fr-FR"/>
        </w:rPr>
        <w:t>experts de l</w:t>
      </w:r>
      <w:r w:rsidR="00BC0618">
        <w:rPr>
          <w:lang w:val="fr-FR"/>
        </w:rPr>
        <w:t>’</w:t>
      </w:r>
      <w:r w:rsidRPr="00F42F88">
        <w:rPr>
          <w:lang w:val="fr-FR"/>
        </w:rPr>
        <w:t>eau et des accidents industriels peuvent être consultées à l</w:t>
      </w:r>
      <w:r w:rsidR="00BC0618">
        <w:rPr>
          <w:lang w:val="fr-FR"/>
        </w:rPr>
        <w:t>’</w:t>
      </w:r>
      <w:r w:rsidRPr="00F42F88">
        <w:rPr>
          <w:lang w:val="fr-FR"/>
        </w:rPr>
        <w:t xml:space="preserve">adresse : </w:t>
      </w:r>
      <w:hyperlink r:id="rId2" w:history="1">
        <w:r w:rsidRPr="00E014E4">
          <w:rPr>
            <w:rStyle w:val="Hyperlink"/>
            <w:lang w:val="fr-FR"/>
          </w:rPr>
          <w:t>http://www.unece.org/env/teia/water.htm</w:t>
        </w:r>
      </w:hyperlink>
      <w:r w:rsidRPr="00F42F88">
        <w:rPr>
          <w:lang w:val="fr-FR"/>
        </w:rPr>
        <w:t>.</w:t>
      </w:r>
    </w:p>
  </w:footnote>
  <w:footnote w:id="7">
    <w:p w14:paraId="792B34FB" w14:textId="77777777" w:rsidR="004872A3" w:rsidRPr="00F42F88" w:rsidRDefault="004872A3" w:rsidP="004872A3">
      <w:pPr>
        <w:pStyle w:val="FootnoteText"/>
      </w:pPr>
      <w:r w:rsidRPr="00F42F88">
        <w:rPr>
          <w:lang w:val="fr-FR"/>
        </w:rPr>
        <w:tab/>
      </w:r>
      <w:r w:rsidRPr="00F42F88">
        <w:rPr>
          <w:rStyle w:val="FootnoteReference"/>
          <w:lang w:val="fr-FR"/>
        </w:rPr>
        <w:footnoteRef/>
      </w:r>
      <w:r w:rsidRPr="00F42F88">
        <w:rPr>
          <w:lang w:val="fr-FR"/>
        </w:rPr>
        <w:tab/>
      </w:r>
      <w:r>
        <w:rPr>
          <w:lang w:val="fr-FR"/>
        </w:rPr>
        <w:t>On trouvera d</w:t>
      </w:r>
      <w:r w:rsidR="00BC0618">
        <w:rPr>
          <w:lang w:val="fr-FR"/>
        </w:rPr>
        <w:t>’</w:t>
      </w:r>
      <w:r w:rsidRPr="00F42F88">
        <w:rPr>
          <w:lang w:val="fr-FR"/>
        </w:rPr>
        <w:t xml:space="preserve">autres </w:t>
      </w:r>
      <w:r w:rsidRPr="004E2D78">
        <w:rPr>
          <w:lang w:val="fr-FR"/>
        </w:rPr>
        <w:t xml:space="preserve">orientations </w:t>
      </w:r>
      <w:r w:rsidRPr="00F42F88">
        <w:rPr>
          <w:lang w:val="fr-FR"/>
        </w:rPr>
        <w:t>élaborées dans le cadre de la Convention à l</w:t>
      </w:r>
      <w:r w:rsidR="00BC0618">
        <w:rPr>
          <w:lang w:val="fr-FR"/>
        </w:rPr>
        <w:t>’</w:t>
      </w:r>
      <w:r w:rsidRPr="00F42F88">
        <w:rPr>
          <w:lang w:val="fr-FR"/>
        </w:rPr>
        <w:t>adresse : http://www.unece.org/environmental-policy/conventions/industrial-accidents/publications.html.</w:t>
      </w:r>
    </w:p>
  </w:footnote>
  <w:footnote w:id="8">
    <w:p w14:paraId="099C8A02" w14:textId="77777777" w:rsidR="004872A3" w:rsidRPr="009144D2" w:rsidRDefault="004872A3" w:rsidP="004872A3">
      <w:pPr>
        <w:pStyle w:val="FootnoteText"/>
      </w:pPr>
      <w:r w:rsidRPr="00F42F88">
        <w:rPr>
          <w:lang w:val="fr-FR"/>
        </w:rPr>
        <w:tab/>
      </w:r>
      <w:r w:rsidRPr="00F42F88">
        <w:rPr>
          <w:rStyle w:val="FootnoteReference"/>
          <w:lang w:val="fr-FR"/>
        </w:rPr>
        <w:footnoteRef/>
      </w:r>
      <w:r w:rsidRPr="00F42F88">
        <w:rPr>
          <w:lang w:val="fr-FR"/>
        </w:rPr>
        <w:tab/>
        <w:t>Décision 2014/2 portant modification de l</w:t>
      </w:r>
      <w:r w:rsidR="00BC0618">
        <w:rPr>
          <w:lang w:val="fr-FR"/>
        </w:rPr>
        <w:t>’</w:t>
      </w:r>
      <w:r w:rsidRPr="00F42F88">
        <w:rPr>
          <w:lang w:val="fr-FR"/>
        </w:rPr>
        <w:t>annexe I de la Convention, peut être consultée à l</w:t>
      </w:r>
      <w:r w:rsidR="00BC0618">
        <w:rPr>
          <w:lang w:val="fr-FR"/>
        </w:rPr>
        <w:t>’</w:t>
      </w:r>
      <w:r w:rsidRPr="00F42F88">
        <w:rPr>
          <w:lang w:val="fr-FR"/>
        </w:rPr>
        <w:t>adresse</w:t>
      </w:r>
      <w:r w:rsidR="00021C40">
        <w:rPr>
          <w:lang w:val="fr-FR"/>
        </w:rPr>
        <w:t xml:space="preserve"> : </w:t>
      </w:r>
      <w:hyperlink r:id="rId3" w:history="1">
        <w:r w:rsidRPr="00F42F88">
          <w:rPr>
            <w:rStyle w:val="Hyperlink"/>
          </w:rPr>
          <w:t>https://www.unece.org/fileadmin/DAM/env/documents/2020/TEIA/CoP_Decisions/F_Decision_2014.2pdf.pdf</w:t>
        </w:r>
      </w:hyperlink>
      <w:r w:rsidR="00021C40">
        <w:rPr>
          <w:lang w:val="fr-FR"/>
        </w:rPr>
        <w:t> </w:t>
      </w:r>
      <w:r w:rsidRPr="00F42F88">
        <w:rPr>
          <w:lang w:val="fr-FR"/>
        </w:rPr>
        <w:t>; et Lignes directrices destinées à faciliter l</w:t>
      </w:r>
      <w:r w:rsidR="00BC0618">
        <w:rPr>
          <w:lang w:val="fr-FR"/>
        </w:rPr>
        <w:t>’</w:t>
      </w:r>
      <w:r w:rsidRPr="00F42F88">
        <w:rPr>
          <w:lang w:val="fr-FR"/>
        </w:rPr>
        <w:t>identification des activités dangereuses aux fins</w:t>
      </w:r>
      <w:r>
        <w:rPr>
          <w:lang w:val="fr-FR"/>
        </w:rPr>
        <w:t xml:space="preserve"> </w:t>
      </w:r>
      <w:r w:rsidRPr="004E2D78">
        <w:rPr>
          <w:lang w:val="fr-FR"/>
        </w:rPr>
        <w:t>de la Convention (par.</w:t>
      </w:r>
      <w:r w:rsidR="00E014E4">
        <w:rPr>
          <w:lang w:val="fr-FR"/>
        </w:rPr>
        <w:t> </w:t>
      </w:r>
      <w:r w:rsidRPr="004E2D78">
        <w:rPr>
          <w:lang w:val="fr-FR"/>
        </w:rPr>
        <w:t>5) peuvent être consultées à l</w:t>
      </w:r>
      <w:r w:rsidR="00BC0618">
        <w:rPr>
          <w:lang w:val="fr-FR"/>
        </w:rPr>
        <w:t>’</w:t>
      </w:r>
      <w:r w:rsidRPr="004E2D78">
        <w:rPr>
          <w:lang w:val="fr-FR"/>
        </w:rPr>
        <w:t>adresse :</w:t>
      </w:r>
      <w:r>
        <w:rPr>
          <w:lang w:val="fr-FR"/>
        </w:rPr>
        <w:t xml:space="preserve"> </w:t>
      </w:r>
      <w:hyperlink r:id="rId4" w:history="1">
        <w:r w:rsidRPr="00303AAE">
          <w:rPr>
            <w:rStyle w:val="Hyperlink"/>
          </w:rPr>
          <w:t>https://www.unece.org/fileadmin/</w:t>
        </w:r>
        <w:r w:rsidR="00021C40">
          <w:rPr>
            <w:rStyle w:val="Hyperlink"/>
          </w:rPr>
          <w:t xml:space="preserve"> </w:t>
        </w:r>
        <w:r w:rsidRPr="00303AAE">
          <w:rPr>
            <w:rStyle w:val="Hyperlink"/>
          </w:rPr>
          <w:t>DAM/env/documents/2019/TEIA/FR_Guidelines_to_facilitate_the_identification_of_hazardous_activities_for_the_purposes_of_the_UNECE_Industrial_Accidents_Convention__Location_Criteria_.pdf</w:t>
        </w:r>
      </w:hyperlink>
      <w:r>
        <w:rPr>
          <w:lang w:val="fr-FR"/>
        </w:rPr>
        <w:t>.</w:t>
      </w:r>
    </w:p>
  </w:footnote>
  <w:footnote w:id="9">
    <w:p w14:paraId="556715EA" w14:textId="77777777" w:rsidR="004872A3" w:rsidRPr="009144D2" w:rsidRDefault="004872A3" w:rsidP="004872A3">
      <w:pPr>
        <w:pStyle w:val="FootnoteText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</w:r>
      <w:r w:rsidRPr="00F42F88">
        <w:rPr>
          <w:lang w:val="fr-FR"/>
        </w:rPr>
        <w:t>Les Parties et les pays engagés peuvent utiliser le modèle dont l</w:t>
      </w:r>
      <w:r w:rsidR="00BC0618">
        <w:rPr>
          <w:lang w:val="fr-FR"/>
        </w:rPr>
        <w:t>’</w:t>
      </w:r>
      <w:r w:rsidRPr="00F42F88">
        <w:rPr>
          <w:lang w:val="fr-FR"/>
        </w:rPr>
        <w:t xml:space="preserve">utilisation est recommandé pour donner notification des activités dangereuses aux Parties potentiellement touchées. </w:t>
      </w:r>
      <w:r>
        <w:rPr>
          <w:lang w:val="fr-FR"/>
        </w:rPr>
        <w:t>On trouvera l</w:t>
      </w:r>
      <w:r w:rsidRPr="00F42F88">
        <w:rPr>
          <w:lang w:val="fr-FR"/>
        </w:rPr>
        <w:t>e modèle à l</w:t>
      </w:r>
      <w:r w:rsidR="00BC0618">
        <w:rPr>
          <w:lang w:val="fr-FR"/>
        </w:rPr>
        <w:t>’</w:t>
      </w:r>
      <w:r w:rsidRPr="00F42F88">
        <w:rPr>
          <w:lang w:val="fr-FR"/>
        </w:rPr>
        <w:t>adresse</w:t>
      </w:r>
      <w:r w:rsidR="00E014E4">
        <w:rPr>
          <w:lang w:val="fr-FR"/>
        </w:rPr>
        <w:t> </w:t>
      </w:r>
      <w:r w:rsidRPr="00F42F88">
        <w:rPr>
          <w:lang w:val="fr-FR"/>
        </w:rPr>
        <w:t>:</w:t>
      </w:r>
      <w:r>
        <w:rPr>
          <w:lang w:val="fr-FR"/>
        </w:rPr>
        <w:t xml:space="preserve"> </w:t>
      </w:r>
      <w:hyperlink r:id="rId5" w:history="1">
        <w:r w:rsidRPr="0044773C">
          <w:rPr>
            <w:rStyle w:val="Hyperlink"/>
          </w:rPr>
          <w:t>https://www.unece.org/fileadmin/DAM/env/documents/2018/TEIA/CoP_10/</w:t>
        </w:r>
        <w:r w:rsidR="00021C40">
          <w:rPr>
            <w:rStyle w:val="Hyperlink"/>
          </w:rPr>
          <w:t xml:space="preserve"> </w:t>
        </w:r>
        <w:r w:rsidRPr="0044773C">
          <w:rPr>
            <w:rStyle w:val="Hyperlink"/>
          </w:rPr>
          <w:t>Decisions_Add1/F_Template_for_the_notification_of_hazardous_activities.pdf</w:t>
        </w:r>
      </w:hyperlink>
      <w:r>
        <w:rPr>
          <w:lang w:val="fr-FR"/>
        </w:rPr>
        <w:t xml:space="preserve">. </w:t>
      </w:r>
    </w:p>
  </w:footnote>
  <w:footnote w:id="10">
    <w:p w14:paraId="6EC08BC5" w14:textId="77777777" w:rsidR="004872A3" w:rsidRPr="009144D2" w:rsidRDefault="004872A3" w:rsidP="004872A3">
      <w:pPr>
        <w:pStyle w:val="FootnoteText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</w:r>
      <w:r w:rsidRPr="00F42F88">
        <w:rPr>
          <w:lang w:val="fr-FR"/>
        </w:rPr>
        <w:t>Résolution 69/283 de l</w:t>
      </w:r>
      <w:r w:rsidR="00BC0618">
        <w:rPr>
          <w:lang w:val="fr-FR"/>
        </w:rPr>
        <w:t>’</w:t>
      </w:r>
      <w:r w:rsidRPr="00F42F88">
        <w:rPr>
          <w:lang w:val="fr-FR"/>
        </w:rPr>
        <w:t>Assemblée générale sur le Cadre de Sendai pour la réduction des risques de catastrophe 2015-2030, annexe II (A/RES/69/283)</w:t>
      </w:r>
      <w:r>
        <w:rPr>
          <w:lang w:val="fr-FR"/>
        </w:rPr>
        <w:t>,</w:t>
      </w:r>
      <w:r w:rsidRPr="00F42F88">
        <w:rPr>
          <w:lang w:val="fr-FR"/>
        </w:rPr>
        <w:t xml:space="preserve"> peut être consultée à l</w:t>
      </w:r>
      <w:r w:rsidR="00BC0618">
        <w:rPr>
          <w:lang w:val="fr-FR"/>
        </w:rPr>
        <w:t>’</w:t>
      </w:r>
      <w:r w:rsidRPr="00F42F88">
        <w:rPr>
          <w:lang w:val="fr-FR"/>
        </w:rPr>
        <w:t>adresse :</w:t>
      </w:r>
      <w:r>
        <w:rPr>
          <w:lang w:val="fr-FR"/>
        </w:rPr>
        <w:t xml:space="preserve"> </w:t>
      </w:r>
      <w:hyperlink r:id="rId6" w:history="1">
        <w:r w:rsidRPr="009513A9">
          <w:rPr>
            <w:rStyle w:val="Hyperlink"/>
          </w:rPr>
          <w:t>https://www.un.org/ga/search/view_doc.asp?symbol=A/RES/69/283&amp;Lang=F</w:t>
        </w:r>
      </w:hyperlink>
      <w:r>
        <w:rPr>
          <w:lang w:val="fr-FR"/>
        </w:rPr>
        <w:t xml:space="preserve">. </w:t>
      </w:r>
    </w:p>
  </w:footnote>
  <w:footnote w:id="11">
    <w:p w14:paraId="6BBEF5A2" w14:textId="0EDC65CE" w:rsidR="004872A3" w:rsidRPr="009144D2" w:rsidRDefault="004872A3" w:rsidP="004872A3">
      <w:pPr>
        <w:pStyle w:val="FootnoteText"/>
      </w:pPr>
      <w:r>
        <w:rPr>
          <w:lang w:val="fr-FR"/>
        </w:rPr>
        <w:tab/>
      </w:r>
      <w:r w:rsidRPr="00241C2A">
        <w:rPr>
          <w:rStyle w:val="FootnoteReference"/>
          <w:lang w:val="fr-FR"/>
        </w:rPr>
        <w:footnoteRef/>
      </w:r>
      <w:r>
        <w:rPr>
          <w:lang w:val="fr-FR"/>
        </w:rPr>
        <w:tab/>
        <w:t xml:space="preserve">Disponible à la rubrique « Reports on the </w:t>
      </w:r>
      <w:r>
        <w:rPr>
          <w:lang w:val="fr-FR"/>
        </w:rPr>
        <w:t>Implementation of the Convention » à l</w:t>
      </w:r>
      <w:r w:rsidR="00BC0618">
        <w:rPr>
          <w:lang w:val="fr-FR"/>
        </w:rPr>
        <w:t>’</w:t>
      </w:r>
      <w:r>
        <w:rPr>
          <w:lang w:val="fr-FR"/>
        </w:rPr>
        <w:t>adresse : http://www.unece.org/env/teia/wgimplementation.html.</w:t>
      </w:r>
    </w:p>
  </w:footnote>
  <w:footnote w:id="12">
    <w:p w14:paraId="17E22571" w14:textId="77777777" w:rsidR="004872A3" w:rsidRPr="009144D2" w:rsidRDefault="004872A3" w:rsidP="004872A3">
      <w:pPr>
        <w:pStyle w:val="FootnoteText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  <w:t xml:space="preserve">On trouvera de plus amples informations sur le rôle et les fonctions des centres de liaison nationaux dans le document « Guidance on the </w:t>
      </w:r>
      <w:r>
        <w:rPr>
          <w:lang w:val="fr-FR"/>
        </w:rPr>
        <w:t>role and tasks of national focal points to the UNECE Convention on the Transboundary Effects of Industrial Accidents » (Orientations relatives au rôle et aux fonctions des centres de liaison nationaux de la Convention de la CEE sur les effets transfrontières des accidents industriels) à l</w:t>
      </w:r>
      <w:r w:rsidR="00BC0618">
        <w:rPr>
          <w:lang w:val="fr-FR"/>
        </w:rPr>
        <w:t>’</w:t>
      </w:r>
      <w:r>
        <w:rPr>
          <w:lang w:val="fr-FR"/>
        </w:rPr>
        <w:t>adresse : https://www.unece.org/env/teia/contact.html.</w:t>
      </w:r>
    </w:p>
  </w:footnote>
  <w:footnote w:id="13">
    <w:p w14:paraId="59C30E94" w14:textId="77777777" w:rsidR="004872A3" w:rsidRPr="009144D2" w:rsidRDefault="004872A3" w:rsidP="004872A3">
      <w:pPr>
        <w:pStyle w:val="FootnoteText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  <w:t>Peut être consulté à l</w:t>
      </w:r>
      <w:r w:rsidR="00BC0618">
        <w:rPr>
          <w:lang w:val="fr-FR"/>
        </w:rPr>
        <w:t>’</w:t>
      </w:r>
      <w:r>
        <w:rPr>
          <w:lang w:val="fr-FR"/>
        </w:rPr>
        <w:t>adresse : www.unece.org/env/teia/ap/tools.html.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B3CE" w14:textId="36191FC4" w:rsidR="004872A3" w:rsidRPr="004872A3" w:rsidRDefault="009709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C1142">
      <w:t>ECE/CP.TEIA/2020/6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E9A7" w14:textId="64DEFF03" w:rsidR="004872A3" w:rsidRPr="004872A3" w:rsidRDefault="0097095C" w:rsidP="004872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C1142">
      <w:t>ECE/CP.TEIA/2020/6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24"/>
    <w:rsid w:val="000058B8"/>
    <w:rsid w:val="00017F94"/>
    <w:rsid w:val="00021C40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D4475"/>
    <w:rsid w:val="001F525A"/>
    <w:rsid w:val="00223272"/>
    <w:rsid w:val="0024779E"/>
    <w:rsid w:val="0026508A"/>
    <w:rsid w:val="002832AC"/>
    <w:rsid w:val="00295CCA"/>
    <w:rsid w:val="002D7C93"/>
    <w:rsid w:val="00441C3B"/>
    <w:rsid w:val="00446B0A"/>
    <w:rsid w:val="00446FE5"/>
    <w:rsid w:val="00452396"/>
    <w:rsid w:val="00486BF9"/>
    <w:rsid w:val="004872A3"/>
    <w:rsid w:val="004D11E7"/>
    <w:rsid w:val="004E468C"/>
    <w:rsid w:val="00506BE1"/>
    <w:rsid w:val="005316B0"/>
    <w:rsid w:val="00531FF5"/>
    <w:rsid w:val="005505B7"/>
    <w:rsid w:val="00573BE5"/>
    <w:rsid w:val="00586ED3"/>
    <w:rsid w:val="00596AA9"/>
    <w:rsid w:val="005F2353"/>
    <w:rsid w:val="006073C0"/>
    <w:rsid w:val="006E14D2"/>
    <w:rsid w:val="00706363"/>
    <w:rsid w:val="0071601D"/>
    <w:rsid w:val="0074674C"/>
    <w:rsid w:val="007A62E6"/>
    <w:rsid w:val="007C2824"/>
    <w:rsid w:val="0080684C"/>
    <w:rsid w:val="00871C75"/>
    <w:rsid w:val="008776DC"/>
    <w:rsid w:val="009705C8"/>
    <w:rsid w:val="0097095C"/>
    <w:rsid w:val="009C1142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BC0618"/>
    <w:rsid w:val="00C02897"/>
    <w:rsid w:val="00D3439C"/>
    <w:rsid w:val="00DB1831"/>
    <w:rsid w:val="00DD3BFD"/>
    <w:rsid w:val="00DF6678"/>
    <w:rsid w:val="00E014E4"/>
    <w:rsid w:val="00E22C3D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120EB"/>
  <w15:docId w15:val="{690D6ADF-6D38-48B3-BB1C-6F258969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4872A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4872A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ece.org/fileadmin/DAM/env/documents/2020/TEIA/CoP_Decisions/F_Decision_2014.2pdf.pdf" TargetMode="External"/><Relationship Id="rId2" Type="http://schemas.openxmlformats.org/officeDocument/2006/relationships/hyperlink" Target="http://www.unece.org/env/teia/water.htm" TargetMode="External"/><Relationship Id="rId1" Type="http://schemas.openxmlformats.org/officeDocument/2006/relationships/hyperlink" Target="http://www.unece.org/environmental-policy/conventions/industrial-accidents/publications.html" TargetMode="External"/><Relationship Id="rId6" Type="http://schemas.openxmlformats.org/officeDocument/2006/relationships/hyperlink" Target="https://www.un.org/ga/search/view_doc.asp?symbol=A/RES/69/283&amp;Lang=F" TargetMode="External"/><Relationship Id="rId5" Type="http://schemas.openxmlformats.org/officeDocument/2006/relationships/hyperlink" Target="https://www.unece.org/fileadmin/DAM/env/documents/2018/TEIA/CoP_10/Decisions_Add1/F_Template_for_the_notification_of_hazardous_activities.pdf" TargetMode="External"/><Relationship Id="rId4" Type="http://schemas.openxmlformats.org/officeDocument/2006/relationships/hyperlink" Target="https://www.unece.org/fileadmin/DAM/env/documents/2019/TEIA/FR_Guidelines_to_facilitate_the_identification_of_hazardous_activities_for_the_purposes_of_the_UNECE_Industrial_Accidents_Convention__Location_Criteria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ECE/CP.TEIA/2020/6</vt:lpstr>
    </vt:vector>
  </TitlesOfParts>
  <Company>DCM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ECE/CP.TEIA/2020/6</dc:title>
  <dc:subject/>
  <dc:creator>Fabienne CRELIER</dc:creator>
  <cp:keywords/>
  <cp:lastModifiedBy>Olga Carlos</cp:lastModifiedBy>
  <cp:revision>2</cp:revision>
  <cp:lastPrinted>2020-10-15T14:04:00Z</cp:lastPrinted>
  <dcterms:created xsi:type="dcterms:W3CDTF">2020-10-16T05:11:00Z</dcterms:created>
  <dcterms:modified xsi:type="dcterms:W3CDTF">2020-10-16T05:11:00Z</dcterms:modified>
</cp:coreProperties>
</file>