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339B06D" w14:textId="77777777" w:rsidTr="00B20551">
        <w:trPr>
          <w:cantSplit/>
          <w:trHeight w:hRule="exact" w:val="851"/>
        </w:trPr>
        <w:tc>
          <w:tcPr>
            <w:tcW w:w="1276" w:type="dxa"/>
            <w:tcBorders>
              <w:bottom w:val="single" w:sz="4" w:space="0" w:color="auto"/>
            </w:tcBorders>
            <w:vAlign w:val="bottom"/>
          </w:tcPr>
          <w:p w14:paraId="1C4AE7D7"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00ACD6E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1BC634A" w14:textId="7B0F1D10" w:rsidR="009E6CB7" w:rsidRPr="00D47EEA" w:rsidRDefault="00D47BC6" w:rsidP="00D47BC6">
            <w:pPr>
              <w:jc w:val="right"/>
            </w:pPr>
            <w:r w:rsidRPr="00D47BC6">
              <w:rPr>
                <w:sz w:val="40"/>
              </w:rPr>
              <w:t>ECE</w:t>
            </w:r>
            <w:r>
              <w:t>/CP.TEIA/2020/3</w:t>
            </w:r>
          </w:p>
        </w:tc>
      </w:tr>
      <w:tr w:rsidR="009E6CB7" w14:paraId="4A98B82B" w14:textId="77777777" w:rsidTr="00B20551">
        <w:trPr>
          <w:cantSplit/>
          <w:trHeight w:hRule="exact" w:val="2835"/>
        </w:trPr>
        <w:tc>
          <w:tcPr>
            <w:tcW w:w="1276" w:type="dxa"/>
            <w:tcBorders>
              <w:top w:val="single" w:sz="4" w:space="0" w:color="auto"/>
              <w:bottom w:val="single" w:sz="12" w:space="0" w:color="auto"/>
            </w:tcBorders>
          </w:tcPr>
          <w:p w14:paraId="473220D2" w14:textId="77777777" w:rsidR="009E6CB7" w:rsidRDefault="00686A48" w:rsidP="00B20551">
            <w:pPr>
              <w:spacing w:before="120"/>
            </w:pPr>
            <w:r>
              <w:rPr>
                <w:noProof/>
                <w:lang w:val="fr-CH" w:eastAsia="fr-CH"/>
              </w:rPr>
              <w:drawing>
                <wp:inline distT="0" distB="0" distL="0" distR="0" wp14:anchorId="6AD4B713" wp14:editId="7D80551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21F3F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98F0596" w14:textId="77777777" w:rsidR="009E6CB7" w:rsidRDefault="00D47BC6" w:rsidP="00D47BC6">
            <w:pPr>
              <w:spacing w:before="240" w:line="240" w:lineRule="exact"/>
            </w:pPr>
            <w:r>
              <w:t>Distr.: General</w:t>
            </w:r>
          </w:p>
          <w:p w14:paraId="0EF92BB1" w14:textId="7DE8C2B8" w:rsidR="00D47BC6" w:rsidRDefault="00D47BC6" w:rsidP="00D47BC6">
            <w:pPr>
              <w:spacing w:line="240" w:lineRule="exact"/>
            </w:pPr>
            <w:r>
              <w:t>2</w:t>
            </w:r>
            <w:r w:rsidR="002D4B5E">
              <w:t>5</w:t>
            </w:r>
            <w:r>
              <w:t xml:space="preserve"> September 2020</w:t>
            </w:r>
          </w:p>
          <w:p w14:paraId="178CC419" w14:textId="77777777" w:rsidR="00D47BC6" w:rsidRDefault="00D47BC6" w:rsidP="00D47BC6">
            <w:pPr>
              <w:spacing w:line="240" w:lineRule="exact"/>
            </w:pPr>
          </w:p>
          <w:p w14:paraId="56991A74" w14:textId="0E4BB5D9" w:rsidR="00D47BC6" w:rsidRDefault="00D47BC6" w:rsidP="00D47BC6">
            <w:pPr>
              <w:spacing w:line="240" w:lineRule="exact"/>
            </w:pPr>
            <w:r>
              <w:t>Original: English</w:t>
            </w:r>
          </w:p>
        </w:tc>
      </w:tr>
    </w:tbl>
    <w:p w14:paraId="3371A594" w14:textId="77777777" w:rsidR="002D4FCB" w:rsidRDefault="002D4FCB" w:rsidP="002D4FCB">
      <w:pPr>
        <w:spacing w:before="100"/>
        <w:rPr>
          <w:b/>
          <w:sz w:val="28"/>
          <w:szCs w:val="28"/>
        </w:rPr>
      </w:pPr>
      <w:r>
        <w:rPr>
          <w:b/>
          <w:sz w:val="28"/>
          <w:szCs w:val="28"/>
        </w:rPr>
        <w:t>Economic Commission for Europe</w:t>
      </w:r>
    </w:p>
    <w:p w14:paraId="29E9FA8E" w14:textId="77777777" w:rsidR="002D4FCB" w:rsidRDefault="002D4FCB" w:rsidP="002D4FCB">
      <w:pPr>
        <w:spacing w:before="100"/>
        <w:rPr>
          <w:sz w:val="28"/>
          <w:szCs w:val="28"/>
        </w:rPr>
      </w:pPr>
      <w:r>
        <w:rPr>
          <w:sz w:val="28"/>
          <w:szCs w:val="28"/>
        </w:rPr>
        <w:t xml:space="preserve">Conference of the Parties to the Convention on the </w:t>
      </w:r>
      <w:r>
        <w:rPr>
          <w:sz w:val="28"/>
          <w:szCs w:val="28"/>
        </w:rPr>
        <w:br/>
        <w:t>Transboundary Effects of Industrial Accidents</w:t>
      </w:r>
    </w:p>
    <w:p w14:paraId="103DE09F" w14:textId="77777777" w:rsidR="002D4FCB" w:rsidRDefault="002D4FCB" w:rsidP="002D4FCB">
      <w:pPr>
        <w:spacing w:before="120"/>
        <w:rPr>
          <w:b/>
        </w:rPr>
      </w:pPr>
      <w:r>
        <w:rPr>
          <w:b/>
        </w:rPr>
        <w:t>Eleventh meeting</w:t>
      </w:r>
    </w:p>
    <w:p w14:paraId="30DEEEBB" w14:textId="77777777" w:rsidR="002D4FCB" w:rsidRDefault="002D4FCB" w:rsidP="002D4FCB">
      <w:r>
        <w:t>Geneva, 7–9 December 2020</w:t>
      </w:r>
    </w:p>
    <w:p w14:paraId="737953E6" w14:textId="3EF88E12" w:rsidR="002D4FCB" w:rsidRDefault="002D4FCB" w:rsidP="002D4FCB">
      <w:r>
        <w:t>Item 3 of the provisional agenda</w:t>
      </w:r>
    </w:p>
    <w:p w14:paraId="670760DE" w14:textId="59D4118E" w:rsidR="001C6663" w:rsidRDefault="002D4FCB" w:rsidP="00595520">
      <w:pPr>
        <w:rPr>
          <w:b/>
          <w:bCs/>
        </w:rPr>
      </w:pPr>
      <w:r>
        <w:rPr>
          <w:b/>
          <w:bCs/>
        </w:rPr>
        <w:t>Decision on strengthening mine tailings safety in the</w:t>
      </w:r>
      <w:r>
        <w:rPr>
          <w:b/>
          <w:bCs/>
        </w:rPr>
        <w:br/>
        <w:t>United Nations Economic Commission for Europe</w:t>
      </w:r>
      <w:r>
        <w:rPr>
          <w:b/>
          <w:bCs/>
        </w:rPr>
        <w:br/>
        <w:t>region and beyond</w:t>
      </w:r>
    </w:p>
    <w:p w14:paraId="63E36C20" w14:textId="3DCF9B1F" w:rsidR="002D4FCB" w:rsidRPr="002D4FCB" w:rsidRDefault="002D4FCB" w:rsidP="002D4FCB">
      <w:pPr>
        <w:pStyle w:val="HChG"/>
      </w:pPr>
      <w:r>
        <w:rPr>
          <w:rFonts w:eastAsia="Calibri"/>
        </w:rPr>
        <w:tab/>
      </w:r>
      <w:r>
        <w:rPr>
          <w:rFonts w:eastAsia="Calibri"/>
        </w:rPr>
        <w:tab/>
      </w:r>
      <w:r w:rsidRPr="002D4FCB">
        <w:rPr>
          <w:rFonts w:eastAsia="Calibri"/>
        </w:rPr>
        <w:t xml:space="preserve">Draft </w:t>
      </w:r>
      <w:r w:rsidR="00C35601">
        <w:rPr>
          <w:rFonts w:eastAsia="Calibri"/>
        </w:rPr>
        <w:t>d</w:t>
      </w:r>
      <w:r w:rsidRPr="002D4FCB">
        <w:rPr>
          <w:rFonts w:eastAsia="Calibri"/>
        </w:rPr>
        <w:t>ecision on strengthening mine tailings safety in the United Nations Economic Commission for Europe region and beyond</w:t>
      </w:r>
    </w:p>
    <w:p w14:paraId="26B800A3" w14:textId="49803724" w:rsidR="002D4FCB" w:rsidRDefault="002D4FCB" w:rsidP="002D4FCB">
      <w:pPr>
        <w:pStyle w:val="H1G"/>
      </w:pPr>
      <w:r w:rsidRPr="002D4FCB">
        <w:tab/>
      </w:r>
      <w:r w:rsidRPr="002D4FCB">
        <w:tab/>
      </w:r>
      <w:r w:rsidRPr="002D4FCB">
        <w:rPr>
          <w:rFonts w:eastAsia="Calibri"/>
        </w:rPr>
        <w:t>Draft</w:t>
      </w:r>
      <w:r w:rsidRPr="002D4FCB">
        <w:t xml:space="preserve"> submitted by the Bureau of the Conference of the Parties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D4FCB" w14:paraId="18A6A712" w14:textId="77777777" w:rsidTr="003928E2">
        <w:trPr>
          <w:jc w:val="center"/>
        </w:trPr>
        <w:tc>
          <w:tcPr>
            <w:tcW w:w="9629" w:type="dxa"/>
            <w:shd w:val="clear" w:color="auto" w:fill="auto"/>
          </w:tcPr>
          <w:p w14:paraId="758CF6DA" w14:textId="77777777" w:rsidR="002D4FCB" w:rsidRDefault="002D4FCB" w:rsidP="006E5E26">
            <w:pPr>
              <w:spacing w:before="240" w:after="120"/>
              <w:ind w:left="255"/>
              <w:rPr>
                <w:i/>
                <w:sz w:val="24"/>
              </w:rPr>
            </w:pPr>
            <w:r w:rsidRPr="00C6263E">
              <w:rPr>
                <w:i/>
                <w:sz w:val="24"/>
              </w:rPr>
              <w:t>Summary</w:t>
            </w:r>
          </w:p>
          <w:p w14:paraId="10333C8D" w14:textId="01571324" w:rsidR="002D4FCB" w:rsidRPr="00C6263E" w:rsidRDefault="002D4FCB" w:rsidP="002D4FCB">
            <w:pPr>
              <w:pStyle w:val="SingleTxtG"/>
              <w:ind w:firstLine="567"/>
            </w:pPr>
            <w:r>
              <w:t xml:space="preserve">At its forty-second meeting (Oslo, 26 and 27 September 2019), the Bureau of the Conference of the Parties to the Convention on the Transboundary Effects of Industrial Accidents (Industrial Accidents Convention) agreed to organize a seminar on mine tailings safety, to be held at the eleventh meeting of the Conference of the Parties, and established a small group to carry out the necessary </w:t>
            </w:r>
            <w:proofErr w:type="spellStart"/>
            <w:r>
              <w:t>preparations.</w:t>
            </w:r>
            <w:r>
              <w:rPr>
                <w:vertAlign w:val="superscript"/>
              </w:rPr>
              <w:t>a</w:t>
            </w:r>
            <w:proofErr w:type="spellEnd"/>
            <w:r>
              <w:t xml:space="preserve"> The group, supported by the United Nations Economic Commission for Europe (ECE) secretariat, prepared the present draft decision, which was subsequently approved by the Bureau at its forty-third meeting (Geneva (online), 16 and 17 June 2020).</w:t>
            </w:r>
          </w:p>
        </w:tc>
      </w:tr>
      <w:tr w:rsidR="002D4FCB" w14:paraId="3D62A6E1" w14:textId="77777777" w:rsidTr="003928E2">
        <w:trPr>
          <w:jc w:val="center"/>
        </w:trPr>
        <w:tc>
          <w:tcPr>
            <w:tcW w:w="9629" w:type="dxa"/>
            <w:shd w:val="clear" w:color="auto" w:fill="auto"/>
          </w:tcPr>
          <w:p w14:paraId="1CEFFA51" w14:textId="5B7168BA" w:rsidR="002D4FCB" w:rsidRPr="00C6263E" w:rsidRDefault="002D4FCB" w:rsidP="002D4FCB">
            <w:pPr>
              <w:pStyle w:val="SingleTxtG"/>
              <w:ind w:firstLine="567"/>
            </w:pPr>
            <w:r>
              <w:t xml:space="preserve">Further information on the context and actions presented in the present draft decision is available in the background document for the </w:t>
            </w:r>
            <w:r w:rsidR="00187E69">
              <w:t xml:space="preserve">online </w:t>
            </w:r>
            <w:r>
              <w:t xml:space="preserve">seminar on mine </w:t>
            </w:r>
            <w:proofErr w:type="gramStart"/>
            <w:r>
              <w:t>tailings</w:t>
            </w:r>
            <w:proofErr w:type="gramEnd"/>
            <w:r>
              <w:t xml:space="preserve"> safety in the ECE region and beyond (ECE/CP.TEIA/2020/2).</w:t>
            </w:r>
          </w:p>
        </w:tc>
      </w:tr>
      <w:tr w:rsidR="002D4FCB" w14:paraId="60D55621" w14:textId="77777777" w:rsidTr="003928E2">
        <w:trPr>
          <w:jc w:val="center"/>
        </w:trPr>
        <w:tc>
          <w:tcPr>
            <w:tcW w:w="9629" w:type="dxa"/>
            <w:shd w:val="clear" w:color="auto" w:fill="auto"/>
          </w:tcPr>
          <w:p w14:paraId="27BEE148" w14:textId="538BB541" w:rsidR="002D4FCB" w:rsidRDefault="002D4FCB" w:rsidP="002D4FCB">
            <w:pPr>
              <w:pStyle w:val="SingleTxtG"/>
              <w:ind w:firstLine="567"/>
            </w:pPr>
            <w:r>
              <w:t xml:space="preserve">The Conference of the Parties is invited to adopt the draft decision. Parties with eventual comments on the draft decision are invited to communicate these four weeks in advance of the meeting to the Chair and the secretariat (via email to </w:t>
            </w:r>
            <w:hyperlink r:id="rId8" w:history="1">
              <w:r>
                <w:rPr>
                  <w:rStyle w:val="Hyperlink"/>
                </w:rPr>
                <w:t>ece-teia.conv@un.org</w:t>
              </w:r>
            </w:hyperlink>
            <w:r>
              <w:t xml:space="preserve">), i.e. by </w:t>
            </w:r>
            <w:r w:rsidRPr="00933724">
              <w:t>9 November 2020</w:t>
            </w:r>
            <w:r>
              <w:t>. This approach will facilitate the presentation of an updated draft decision in session, with a clear indication of comments as communicated by the Parties, and the reaching of a consensus on the decision to be adopted by the Conference.</w:t>
            </w:r>
          </w:p>
        </w:tc>
      </w:tr>
      <w:tr w:rsidR="002D4FCB" w14:paraId="7F9FA3CE" w14:textId="77777777" w:rsidTr="003928E2">
        <w:trPr>
          <w:jc w:val="center"/>
        </w:trPr>
        <w:tc>
          <w:tcPr>
            <w:tcW w:w="9629" w:type="dxa"/>
            <w:shd w:val="clear" w:color="auto" w:fill="auto"/>
          </w:tcPr>
          <w:p w14:paraId="666D0682" w14:textId="2301C71C" w:rsidR="002D4FCB" w:rsidRDefault="002D4FCB" w:rsidP="004A0202">
            <w:pPr>
              <w:pStyle w:val="SingleTxtG"/>
              <w:spacing w:after="0"/>
              <w:ind w:firstLine="567"/>
              <w:jc w:val="left"/>
            </w:pPr>
            <w:r>
              <w:rPr>
                <w:vertAlign w:val="superscript"/>
              </w:rPr>
              <w:t xml:space="preserve">a </w:t>
            </w:r>
            <w:r>
              <w:t xml:space="preserve">See </w:t>
            </w:r>
            <w:proofErr w:type="gramStart"/>
            <w:r>
              <w:t>CP.TEIA</w:t>
            </w:r>
            <w:proofErr w:type="gramEnd"/>
            <w:r>
              <w:t>/2019/B.3/Minutes, para. 55, available at</w:t>
            </w:r>
            <w:r w:rsidR="004A0202">
              <w:t xml:space="preserve"> </w:t>
            </w:r>
            <w:hyperlink r:id="rId9" w:history="1">
              <w:r w:rsidR="004B68D5">
                <w:rPr>
                  <w:rStyle w:val="Hyperlink"/>
                </w:rPr>
                <w:t>http://www.unece.org/fileadmin/DAM/env/documents/2019/TEIA/Bureau_Oslo/Bureau-42_Minutes_as_agreed_with_the_Chair_and_Bureau_final_clean.pdf</w:t>
              </w:r>
            </w:hyperlink>
          </w:p>
        </w:tc>
      </w:tr>
      <w:tr w:rsidR="002D4FCB" w14:paraId="364D0833" w14:textId="77777777" w:rsidTr="003928E2">
        <w:trPr>
          <w:jc w:val="center"/>
        </w:trPr>
        <w:tc>
          <w:tcPr>
            <w:tcW w:w="9629" w:type="dxa"/>
            <w:shd w:val="clear" w:color="auto" w:fill="auto"/>
          </w:tcPr>
          <w:p w14:paraId="6ED9D854" w14:textId="77777777" w:rsidR="002D4FCB" w:rsidRDefault="002D4FCB" w:rsidP="006E5E26"/>
        </w:tc>
      </w:tr>
    </w:tbl>
    <w:p w14:paraId="67F62789" w14:textId="77777777" w:rsidR="003928E2" w:rsidRDefault="003928E2">
      <w:pPr>
        <w:suppressAutoHyphens w:val="0"/>
        <w:spacing w:line="240" w:lineRule="auto"/>
      </w:pPr>
      <w:r>
        <w:br w:type="page"/>
      </w:r>
    </w:p>
    <w:p w14:paraId="7190B6A4" w14:textId="77777777" w:rsidR="002D4FCB" w:rsidRPr="005C21E6" w:rsidRDefault="002D4FCB" w:rsidP="003928E2">
      <w:pPr>
        <w:pStyle w:val="SingleTxtG"/>
        <w:ind w:firstLine="567"/>
        <w:rPr>
          <w:i/>
          <w:iCs/>
        </w:rPr>
      </w:pPr>
      <w:r w:rsidRPr="005C21E6">
        <w:rPr>
          <w:i/>
          <w:iCs/>
        </w:rPr>
        <w:lastRenderedPageBreak/>
        <w:t>The Conference of the Parties,</w:t>
      </w:r>
    </w:p>
    <w:p w14:paraId="56A5D725" w14:textId="77777777" w:rsidR="002D4FCB" w:rsidRDefault="002D4FCB" w:rsidP="003928E2">
      <w:pPr>
        <w:pStyle w:val="SingleTxtG"/>
        <w:ind w:firstLine="567"/>
      </w:pPr>
      <w:r w:rsidRPr="005C21E6">
        <w:rPr>
          <w:i/>
          <w:iCs/>
        </w:rPr>
        <w:t>Alarmed</w:t>
      </w:r>
      <w:r>
        <w:t xml:space="preserve"> by the increasing frequency of serious tailings dam failures over recent decades, causing deaths and the destruction of families, homes, infrastructure, ecosystems and the environment,</w:t>
      </w:r>
    </w:p>
    <w:p w14:paraId="0C72FECE" w14:textId="77777777" w:rsidR="002D4FCB" w:rsidRDefault="002D4FCB" w:rsidP="003928E2">
      <w:pPr>
        <w:pStyle w:val="SingleTxtG"/>
        <w:ind w:firstLine="567"/>
      </w:pPr>
      <w:r w:rsidRPr="005C21E6">
        <w:rPr>
          <w:i/>
          <w:iCs/>
        </w:rPr>
        <w:t>Increasingly aware</w:t>
      </w:r>
      <w:r>
        <w:t xml:space="preserve"> of the far-reaching and potentially transboundary nature of accidental water pollution caused by tailings dam failure, both within and beyond the United Nations Economic Commission for Europe (ECE) region, making tailings dam failures a matter not only of national but also of regional concern, calling for joint prevention and management approaches,</w:t>
      </w:r>
    </w:p>
    <w:p w14:paraId="220BC858" w14:textId="77777777" w:rsidR="002D4FCB" w:rsidRDefault="002D4FCB" w:rsidP="003928E2">
      <w:pPr>
        <w:pStyle w:val="SingleTxtG"/>
        <w:ind w:firstLine="567"/>
      </w:pPr>
      <w:r w:rsidRPr="005C21E6">
        <w:rPr>
          <w:i/>
          <w:iCs/>
        </w:rPr>
        <w:t>Concerned</w:t>
      </w:r>
      <w:r>
        <w:t xml:space="preserve"> by the observation that the majority of tailings dam failures can be attributed to a limited number of human factors, notably a lack of management continuity and inadequate resources for maintenance and management of tailings management facilities,</w:t>
      </w:r>
    </w:p>
    <w:p w14:paraId="756694CF" w14:textId="77777777" w:rsidR="002D4FCB" w:rsidRDefault="002D4FCB" w:rsidP="003928E2">
      <w:pPr>
        <w:pStyle w:val="SingleTxtG"/>
        <w:ind w:firstLine="567"/>
      </w:pPr>
      <w:r w:rsidRPr="00997F34">
        <w:rPr>
          <w:i/>
          <w:iCs/>
        </w:rPr>
        <w:t>Conscious</w:t>
      </w:r>
      <w:r>
        <w:t xml:space="preserve"> of the economic importance of the mining sector and its role in the transition to low-carbon energy production and storage technologies, and the interconnection of sustainably deployed infrastructure</w:t>
      </w:r>
      <w:r>
        <w:rPr>
          <w:shd w:val="clear" w:color="auto" w:fill="FFFFFF" w:themeFill="background1"/>
        </w:rPr>
        <w:t>,</w:t>
      </w:r>
      <w:r>
        <w:t xml:space="preserve"> mining safety, human well-being and the environment,</w:t>
      </w:r>
    </w:p>
    <w:p w14:paraId="57FF623B" w14:textId="77777777" w:rsidR="002D4FCB" w:rsidRDefault="002D4FCB" w:rsidP="003928E2">
      <w:pPr>
        <w:pStyle w:val="SingleTxtG"/>
        <w:ind w:firstLine="567"/>
      </w:pPr>
      <w:r w:rsidRPr="00997F34">
        <w:rPr>
          <w:i/>
          <w:iCs/>
        </w:rPr>
        <w:t>Conscious also</w:t>
      </w:r>
      <w:r>
        <w:t xml:space="preserve"> of the projected increase in global demand for mineral extraction and mining activities in and beyond the ECE region, which will, among other things, result in an increase in hazardous waste stored in mine tailings, requiring more reliable and resilient tailings design, management and land-use planning,</w:t>
      </w:r>
    </w:p>
    <w:p w14:paraId="6B3F0C8C" w14:textId="77777777" w:rsidR="002D4FCB" w:rsidRDefault="002D4FCB" w:rsidP="003928E2">
      <w:pPr>
        <w:pStyle w:val="SingleTxtG"/>
        <w:ind w:firstLine="567"/>
      </w:pPr>
      <w:r w:rsidRPr="00997F34">
        <w:rPr>
          <w:i/>
          <w:iCs/>
        </w:rPr>
        <w:t>Noting with concern</w:t>
      </w:r>
      <w:r>
        <w:t xml:space="preserve"> the elevated risk of accidents from mine tailings as a result of an increase in the frequency and intensity of climate-related extreme weather events (such as high energy storms, wind gusts, heavy precipitation and extreme temperatures), and slow-onset climate events</w:t>
      </w:r>
      <w:r>
        <w:rPr>
          <w:rStyle w:val="FootnoteReference"/>
        </w:rPr>
        <w:footnoteReference w:id="2"/>
      </w:r>
      <w:r>
        <w:t xml:space="preserve"> (such as rising sea levels, thawing of permafrost, land degradation and retreating glaciers), while also noting a lack of awareness in the mining sector concerning these phenomena,</w:t>
      </w:r>
    </w:p>
    <w:p w14:paraId="3450E638" w14:textId="77777777" w:rsidR="002D4FCB" w:rsidRDefault="002D4FCB" w:rsidP="003928E2">
      <w:pPr>
        <w:pStyle w:val="SingleTxtG"/>
        <w:ind w:firstLine="567"/>
      </w:pPr>
      <w:r w:rsidRPr="00997F34">
        <w:rPr>
          <w:i/>
          <w:iCs/>
        </w:rPr>
        <w:t>Emphasizing</w:t>
      </w:r>
      <w:r>
        <w:t xml:space="preserve"> the need for full awareness of disaster risk linked to mine tailings operations and the consequences of tailings dam failures, as well as the need for communities, tailings management operators and competent authorities to take strengthened disaster resilience and disaster risk reduction measures to mitigate such risks, and for the involvement of all concerned stakeholders in respective decision-making on mine tailings safety,</w:t>
      </w:r>
    </w:p>
    <w:p w14:paraId="7D7219DA" w14:textId="77777777" w:rsidR="002D4FCB" w:rsidRDefault="002D4FCB" w:rsidP="003928E2">
      <w:pPr>
        <w:pStyle w:val="SingleTxtG"/>
        <w:ind w:firstLine="567"/>
      </w:pPr>
      <w:r w:rsidRPr="00997F34">
        <w:rPr>
          <w:i/>
          <w:iCs/>
        </w:rPr>
        <w:t xml:space="preserve">Appreciating </w:t>
      </w:r>
      <w:r>
        <w:t>synergies between the strengthened implementation of the Convention on the Transboundary Effects of Industrial Accidents, the Sendai Framework for Disaster Risk Reduction 2015–2030 and the Sustainable Development Goals of the 2030 Agenda for Sustainable Development; and recognizing the linkages with the objectives for adaptation to climate change under the Paris Agreement,</w:t>
      </w:r>
    </w:p>
    <w:p w14:paraId="212EBCB0" w14:textId="77777777" w:rsidR="002D4FCB" w:rsidRDefault="002D4FCB" w:rsidP="003928E2">
      <w:pPr>
        <w:pStyle w:val="SingleTxtG"/>
        <w:ind w:firstLine="567"/>
      </w:pPr>
      <w:r w:rsidRPr="00997F34">
        <w:rPr>
          <w:i/>
          <w:iCs/>
        </w:rPr>
        <w:t>Recognizing</w:t>
      </w:r>
      <w:r>
        <w:t xml:space="preserve"> the importance of establishing a high level of tailings safety in the ECE region by addressing regional hotspots, in line with the implementation of the Convention’s Long-Term Strategy until 2030,</w:t>
      </w:r>
      <w:r>
        <w:rPr>
          <w:rStyle w:val="FootnoteReference"/>
        </w:rPr>
        <w:footnoteReference w:id="3"/>
      </w:r>
    </w:p>
    <w:p w14:paraId="196D025C" w14:textId="77777777" w:rsidR="002D4FCB" w:rsidRDefault="002D4FCB" w:rsidP="003928E2">
      <w:pPr>
        <w:pStyle w:val="SingleTxtG"/>
        <w:ind w:firstLine="567"/>
      </w:pPr>
      <w:r w:rsidRPr="00997F34">
        <w:rPr>
          <w:i/>
          <w:iCs/>
        </w:rPr>
        <w:t>Recalling</w:t>
      </w:r>
      <w:r>
        <w:t xml:space="preserve"> the endorsement of the Safety guidelines and good practices for tailings management facilities,</w:t>
      </w:r>
      <w:r>
        <w:rPr>
          <w:rStyle w:val="FootnoteReference"/>
        </w:rPr>
        <w:footnoteReference w:id="4"/>
      </w:r>
      <w:r>
        <w:t xml:space="preserve"> which were developed by the Joint Expert Group on Water and Industrial Accidents further to the evaluation of the Working Group on Development – at its fourth meeting (Geneva, 28 and 29 April 2014)</w:t>
      </w:r>
      <w:r>
        <w:rPr>
          <w:rStyle w:val="FootnoteReference"/>
        </w:rPr>
        <w:footnoteReference w:id="5"/>
      </w:r>
      <w:r>
        <w:t xml:space="preserve"> – that the Convention’s provisions also apply to tailings management facilities,</w:t>
      </w:r>
    </w:p>
    <w:p w14:paraId="55435951" w14:textId="77777777" w:rsidR="002D4FCB" w:rsidRDefault="002D4FCB" w:rsidP="003928E2">
      <w:pPr>
        <w:pStyle w:val="SingleTxtG"/>
        <w:ind w:firstLine="567"/>
      </w:pPr>
      <w:r w:rsidRPr="00997F34">
        <w:rPr>
          <w:i/>
          <w:iCs/>
        </w:rPr>
        <w:lastRenderedPageBreak/>
        <w:t>Welcoming</w:t>
      </w:r>
      <w:r>
        <w:t xml:space="preserve"> the recent developments and initiatives at the international level to strengthen mine tailings safety that also have an impact on ECE countries, such as the adoption in 2019 of United Nations Environment Assembly resolutions L.6 on sustainable infrastructure</w:t>
      </w:r>
      <w:r>
        <w:rPr>
          <w:rStyle w:val="FootnoteReference"/>
        </w:rPr>
        <w:footnoteReference w:id="6"/>
      </w:r>
      <w:r>
        <w:t xml:space="preserve"> and L.23 on mineral resource governance,</w:t>
      </w:r>
      <w:r>
        <w:rPr>
          <w:rStyle w:val="FootnoteReference"/>
        </w:rPr>
        <w:footnoteReference w:id="7"/>
      </w:r>
    </w:p>
    <w:p w14:paraId="39773613" w14:textId="77777777" w:rsidR="002D4FCB" w:rsidRDefault="002D4FCB" w:rsidP="003928E2">
      <w:pPr>
        <w:pStyle w:val="SingleTxtG"/>
        <w:ind w:firstLine="567"/>
      </w:pPr>
      <w:r w:rsidRPr="00997F34">
        <w:rPr>
          <w:i/>
          <w:iCs/>
        </w:rPr>
        <w:t>Noting with concern</w:t>
      </w:r>
      <w:r>
        <w:t xml:space="preserve"> the challenge that countries face, in particular those of Eastern and South-Eastern Europe, the Caucasus and Central Asia, concerning inter-institutional coordination, coherent policymaking and adequate disaster risk governance among competent authorities within and across countries to develop a holistic approach towards managing tailings facilities and preventing related accidents,</w:t>
      </w:r>
    </w:p>
    <w:p w14:paraId="300277B9" w14:textId="77777777" w:rsidR="002D4FCB" w:rsidRDefault="002D4FCB" w:rsidP="003928E2">
      <w:pPr>
        <w:pStyle w:val="SingleTxtG"/>
        <w:ind w:firstLine="567"/>
      </w:pPr>
      <w:r w:rsidRPr="00997F34">
        <w:rPr>
          <w:i/>
          <w:iCs/>
        </w:rPr>
        <w:t>Committed</w:t>
      </w:r>
      <w:r>
        <w:t xml:space="preserve"> to preventing mine tailings accidents and their disastrous effects on human lives, the environment, infrastructure, regional security and economic development, and to enhancing transboundary cooperation to that effect,</w:t>
      </w:r>
    </w:p>
    <w:p w14:paraId="1B48054E" w14:textId="6FE52AA1" w:rsidR="002D4FCB" w:rsidRDefault="003928E2" w:rsidP="003D291E">
      <w:pPr>
        <w:pStyle w:val="SingleTxtG"/>
        <w:ind w:firstLine="567"/>
        <w:rPr>
          <w:rFonts w:eastAsiaTheme="minorEastAsia"/>
        </w:rPr>
      </w:pPr>
      <w:bookmarkStart w:id="1" w:name="_Hlk51861593"/>
      <w:r w:rsidRPr="00842008">
        <w:t>1.</w:t>
      </w:r>
      <w:r>
        <w:rPr>
          <w:i/>
          <w:iCs/>
        </w:rPr>
        <w:tab/>
      </w:r>
      <w:r w:rsidR="002D4FCB" w:rsidRPr="003D2656">
        <w:rPr>
          <w:i/>
          <w:iCs/>
        </w:rPr>
        <w:t>Takes note</w:t>
      </w:r>
      <w:r w:rsidR="002D4FCB">
        <w:t xml:space="preserve"> of the </w:t>
      </w:r>
      <w:r w:rsidR="002D4FCB">
        <w:rPr>
          <w:rFonts w:eastAsiaTheme="minorEastAsia"/>
        </w:rPr>
        <w:t xml:space="preserve">conclusions and recommendations of the </w:t>
      </w:r>
      <w:r w:rsidR="003D291E">
        <w:rPr>
          <w:rFonts w:eastAsiaTheme="minorEastAsia"/>
        </w:rPr>
        <w:t xml:space="preserve">online </w:t>
      </w:r>
      <w:r w:rsidR="002D4FCB">
        <w:rPr>
          <w:rFonts w:eastAsiaTheme="minorEastAsia"/>
        </w:rPr>
        <w:t xml:space="preserve">seminar on mine </w:t>
      </w:r>
      <w:proofErr w:type="gramStart"/>
      <w:r w:rsidR="002D4FCB">
        <w:rPr>
          <w:rFonts w:eastAsiaTheme="minorEastAsia"/>
        </w:rPr>
        <w:t>tailings</w:t>
      </w:r>
      <w:proofErr w:type="gramEnd"/>
      <w:r w:rsidR="002D4FCB">
        <w:rPr>
          <w:rFonts w:eastAsiaTheme="minorEastAsia"/>
        </w:rPr>
        <w:t xml:space="preserve"> safety </w:t>
      </w:r>
      <w:r w:rsidR="003D291E" w:rsidRPr="0037334D">
        <w:t>in the ECE region and beyond</w:t>
      </w:r>
      <w:r w:rsidR="003D291E">
        <w:t xml:space="preserve"> </w:t>
      </w:r>
      <w:r w:rsidR="003D291E">
        <w:rPr>
          <w:rFonts w:eastAsiaTheme="minorEastAsia"/>
        </w:rPr>
        <w:t>which</w:t>
      </w:r>
      <w:r w:rsidR="002D4FCB">
        <w:rPr>
          <w:rFonts w:eastAsiaTheme="minorEastAsia"/>
        </w:rPr>
        <w:t xml:space="preserve"> took place on 1 December 2020;</w:t>
      </w:r>
    </w:p>
    <w:bookmarkEnd w:id="1"/>
    <w:p w14:paraId="659A8E5A" w14:textId="1C6768AE" w:rsidR="002D4FCB" w:rsidRDefault="00842008" w:rsidP="00842008">
      <w:pPr>
        <w:pStyle w:val="SingleTxtG"/>
        <w:ind w:firstLine="567"/>
      </w:pPr>
      <w:r w:rsidRPr="00842008">
        <w:t>2.</w:t>
      </w:r>
      <w:r>
        <w:rPr>
          <w:i/>
          <w:iCs/>
        </w:rPr>
        <w:tab/>
      </w:r>
      <w:r w:rsidR="002D4FCB" w:rsidRPr="003D2656">
        <w:rPr>
          <w:i/>
          <w:iCs/>
        </w:rPr>
        <w:t>Recommends</w:t>
      </w:r>
      <w:r w:rsidR="002D4FCB">
        <w:t xml:space="preserve"> that ECE countries that extract mineral resources use the Safety guidelines and good practices for tailings management facilities and the Methodology for improving TMF safety</w:t>
      </w:r>
      <w:r w:rsidR="002D4FCB" w:rsidRPr="00301054">
        <w:rPr>
          <w:rStyle w:val="FootnoteReference"/>
        </w:rPr>
        <w:footnoteReference w:id="8"/>
      </w:r>
      <w:r w:rsidR="002D4FCB" w:rsidRPr="00301054">
        <w:rPr>
          <w:rStyle w:val="FootnoteReference"/>
        </w:rPr>
        <w:t xml:space="preserve"> </w:t>
      </w:r>
      <w:r w:rsidR="002D4FCB">
        <w:t>developed under the Convention’s auspices to identify, map and improve the safe management of tailings management facilities, including of those bearing transboundary risks, with a view to achieving their harmonized application in the ECE region; and invites countries beyond the region to do the same;</w:t>
      </w:r>
    </w:p>
    <w:p w14:paraId="31668145" w14:textId="23B474BA" w:rsidR="002D4FCB" w:rsidRDefault="00842008" w:rsidP="00842008">
      <w:pPr>
        <w:pStyle w:val="SingleTxtG"/>
        <w:ind w:firstLine="567"/>
        <w:rPr>
          <w:rFonts w:eastAsiaTheme="minorEastAsia"/>
        </w:rPr>
      </w:pPr>
      <w:r>
        <w:t>3.</w:t>
      </w:r>
      <w:r>
        <w:tab/>
      </w:r>
      <w:r w:rsidR="002D4FCB" w:rsidRPr="003D2656">
        <w:rPr>
          <w:i/>
          <w:iCs/>
        </w:rPr>
        <w:t>Urges</w:t>
      </w:r>
      <w:r w:rsidR="002D4FCB">
        <w:t xml:space="preserve"> Parties to the Convention to facilitate the application of the above-mentioned Safety guidelines and Methodology and other good practices in the ECE region through capacity development, technology and knowledge transfer and the sharing of experiences, lessons learned and good practices, and invites other countries to join in these efforts;</w:t>
      </w:r>
    </w:p>
    <w:p w14:paraId="150D81A7" w14:textId="10F7546F" w:rsidR="002D4FCB" w:rsidRDefault="00842008" w:rsidP="00842008">
      <w:pPr>
        <w:pStyle w:val="SingleTxtG"/>
        <w:ind w:firstLine="567"/>
      </w:pPr>
      <w:r>
        <w:t>4.</w:t>
      </w:r>
      <w:r>
        <w:tab/>
      </w:r>
      <w:r w:rsidR="002D4FCB" w:rsidRPr="003D2656">
        <w:rPr>
          <w:i/>
          <w:iCs/>
        </w:rPr>
        <w:t>Calls</w:t>
      </w:r>
      <w:r w:rsidR="002D4FCB">
        <w:t xml:space="preserve"> on</w:t>
      </w:r>
      <w:r w:rsidR="002D4FCB">
        <w:rPr>
          <w:b/>
          <w:bCs/>
          <w:spacing w:val="-6"/>
        </w:rPr>
        <w:t xml:space="preserve"> </w:t>
      </w:r>
      <w:r w:rsidR="002D4FCB">
        <w:t>Parties</w:t>
      </w:r>
      <w:r w:rsidR="002D4FCB">
        <w:rPr>
          <w:spacing w:val="-6"/>
        </w:rPr>
        <w:t xml:space="preserve"> to the Convention to </w:t>
      </w:r>
      <w:r w:rsidR="002D4FCB">
        <w:t xml:space="preserve">improve inter-institutional and stakeholder coordination at the national and local levels and across borders, while increasing </w:t>
      </w:r>
      <w:r w:rsidR="002D4FCB">
        <w:rPr>
          <w:spacing w:val="-6"/>
        </w:rPr>
        <w:t xml:space="preserve">transparency for communities and other stakeholders on how these risks are taken into account; </w:t>
      </w:r>
      <w:r w:rsidR="002D4FCB">
        <w:t>and</w:t>
      </w:r>
      <w:r w:rsidR="002D4FCB">
        <w:rPr>
          <w:spacing w:val="-6"/>
        </w:rPr>
        <w:t xml:space="preserve"> invites other ECE member countries to do the same;</w:t>
      </w:r>
    </w:p>
    <w:p w14:paraId="50C9F1A5" w14:textId="54653A7D" w:rsidR="002D4FCB" w:rsidRDefault="00842008" w:rsidP="00842008">
      <w:pPr>
        <w:pStyle w:val="SingleTxtG"/>
        <w:ind w:firstLine="567"/>
      </w:pPr>
      <w:r>
        <w:t>5.</w:t>
      </w:r>
      <w:r>
        <w:tab/>
      </w:r>
      <w:r w:rsidR="002D4FCB" w:rsidRPr="003D2656">
        <w:rPr>
          <w:i/>
          <w:iCs/>
        </w:rPr>
        <w:t>Urges</w:t>
      </w:r>
      <w:r w:rsidR="002D4FCB">
        <w:t xml:space="preserve"> Parties to the Convention to review their legislation and policies on mine tailings storage and management against international good practices such as the Safety guidelines, and to work towards setting a standard for good practices for tailings management facilities, while ensuring their implementation at the national level and facilitating broader cooperation; and</w:t>
      </w:r>
      <w:r w:rsidR="002D4FCB">
        <w:rPr>
          <w:spacing w:val="-6"/>
        </w:rPr>
        <w:t xml:space="preserve"> invites other ECE member States to do the same;</w:t>
      </w:r>
    </w:p>
    <w:p w14:paraId="63AAC176" w14:textId="04E34DCE" w:rsidR="002D4FCB" w:rsidRDefault="00842008" w:rsidP="00842008">
      <w:pPr>
        <w:pStyle w:val="SingleTxtG"/>
        <w:ind w:firstLine="567"/>
      </w:pPr>
      <w:r>
        <w:t>6.</w:t>
      </w:r>
      <w:r>
        <w:tab/>
      </w:r>
      <w:r w:rsidR="002D4FCB" w:rsidRPr="003D2656">
        <w:rPr>
          <w:i/>
          <w:iCs/>
        </w:rPr>
        <w:t>Calls</w:t>
      </w:r>
      <w:r w:rsidR="002D4FCB">
        <w:t xml:space="preserve"> </w:t>
      </w:r>
      <w:r w:rsidR="002D4FCB" w:rsidRPr="003D2656">
        <w:rPr>
          <w:i/>
          <w:iCs/>
        </w:rPr>
        <w:t>on</w:t>
      </w:r>
      <w:r w:rsidR="002D4FCB">
        <w:t xml:space="preserve"> beneficiary countries of the Convention’s Assistance and Cooperation Programme to use the tools under the Strategic Approach, notably the self-assessments and action plans, to signal needs and to request support in overcoming capacity constraints;</w:t>
      </w:r>
    </w:p>
    <w:p w14:paraId="4E42DF52" w14:textId="080B0801" w:rsidR="002D4FCB" w:rsidRDefault="00842008" w:rsidP="00842008">
      <w:pPr>
        <w:pStyle w:val="SingleTxtG"/>
        <w:ind w:firstLine="567"/>
      </w:pPr>
      <w:r>
        <w:t>7.</w:t>
      </w:r>
      <w:r>
        <w:tab/>
      </w:r>
      <w:r w:rsidR="002D4FCB" w:rsidRPr="003D2656">
        <w:rPr>
          <w:i/>
          <w:iCs/>
        </w:rPr>
        <w:t>Calls on</w:t>
      </w:r>
      <w:r w:rsidR="002D4FCB">
        <w:t xml:space="preserve"> Parties to the Convention to make available funds to support the implementation of capacity-building activities in countries of Eastern and South-Eastern Europe, the Caucasus and Central Asia;</w:t>
      </w:r>
    </w:p>
    <w:p w14:paraId="62F86500" w14:textId="0B7C8B32" w:rsidR="002D4FCB" w:rsidRDefault="00842008" w:rsidP="00842008">
      <w:pPr>
        <w:pStyle w:val="SingleTxtG"/>
        <w:ind w:firstLine="567"/>
      </w:pPr>
      <w:r>
        <w:lastRenderedPageBreak/>
        <w:t>8.</w:t>
      </w:r>
      <w:r>
        <w:tab/>
      </w:r>
      <w:r w:rsidR="002D4FCB" w:rsidRPr="003D2656">
        <w:rPr>
          <w:i/>
          <w:iCs/>
        </w:rPr>
        <w:t>Reminds</w:t>
      </w:r>
      <w:r w:rsidR="002D4FCB">
        <w:t xml:space="preserve"> Parties to the Convention</w:t>
      </w:r>
      <w:r w:rsidR="002D4FCB">
        <w:rPr>
          <w:b/>
          <w:bCs/>
        </w:rPr>
        <w:t xml:space="preserve"> </w:t>
      </w:r>
      <w:r w:rsidR="002D4FCB">
        <w:t>that the identification and notification of hazardous activities shall comprise mine tailings facilities</w:t>
      </w:r>
      <w:r w:rsidR="002D4FCB" w:rsidRPr="00301054">
        <w:rPr>
          <w:rStyle w:val="FootnoteReference"/>
          <w:szCs w:val="18"/>
        </w:rPr>
        <w:footnoteReference w:id="9"/>
      </w:r>
      <w:r w:rsidR="002D4FCB">
        <w:t xml:space="preserve"> and requests them to report on these as part of their national implementation reports;</w:t>
      </w:r>
    </w:p>
    <w:p w14:paraId="4C1E8F53" w14:textId="190F1C2A" w:rsidR="002D4FCB" w:rsidRDefault="00842008" w:rsidP="00842008">
      <w:pPr>
        <w:pStyle w:val="SingleTxtG"/>
        <w:ind w:firstLine="567"/>
      </w:pPr>
      <w:r>
        <w:t>9.</w:t>
      </w:r>
      <w:r>
        <w:tab/>
      </w:r>
      <w:r w:rsidR="002D4FCB" w:rsidRPr="003D2656">
        <w:rPr>
          <w:i/>
          <w:iCs/>
        </w:rPr>
        <w:t>Encourages</w:t>
      </w:r>
      <w:r w:rsidR="002D4FCB">
        <w:t xml:space="preserve"> countries to make information available, to the extent feasible, on location-specific tailings management hazards and risk, to competent authorities, operators of tailings management facilities and communities;</w:t>
      </w:r>
    </w:p>
    <w:p w14:paraId="3ADA9626" w14:textId="08C1C864" w:rsidR="002D4FCB" w:rsidRDefault="00842008" w:rsidP="00842008">
      <w:pPr>
        <w:pStyle w:val="SingleTxtG"/>
        <w:ind w:firstLine="567"/>
        <w:rPr>
          <w:rFonts w:eastAsiaTheme="minorHAnsi"/>
          <w:lang w:eastAsia="zh-CN"/>
        </w:rPr>
      </w:pPr>
      <w:r>
        <w:t>10.</w:t>
      </w:r>
      <w:r>
        <w:tab/>
      </w:r>
      <w:r w:rsidR="002D4FCB" w:rsidRPr="003D2656">
        <w:rPr>
          <w:i/>
          <w:iCs/>
        </w:rPr>
        <w:t>Requests</w:t>
      </w:r>
      <w:r w:rsidR="002D4FCB">
        <w:t xml:space="preserve"> Parties to the Convention to increase their efforts to strengthen tailings safety and prevent failures, in view of the elevated risk of such accidents posed by the increasing frequency and severity of extreme weather events as a result of climate change; and invites other countries to do the same.</w:t>
      </w:r>
      <w:r w:rsidR="002D4FCB">
        <w:rPr>
          <w:rFonts w:eastAsiaTheme="minorHAnsi"/>
          <w:lang w:eastAsia="zh-CN"/>
        </w:rPr>
        <w:t xml:space="preserve"> </w:t>
      </w:r>
    </w:p>
    <w:p w14:paraId="4118CFF9" w14:textId="6FEF5ECB" w:rsidR="002D4FCB" w:rsidRPr="002D4FCB" w:rsidRDefault="002D4FCB" w:rsidP="002D4FCB">
      <w:pPr>
        <w:spacing w:before="240"/>
        <w:jc w:val="center"/>
        <w:rPr>
          <w:rFonts w:eastAsiaTheme="minorHAnsi"/>
          <w:u w:val="single"/>
          <w:lang w:eastAsia="zh-CN"/>
        </w:rPr>
      </w:pPr>
      <w:r>
        <w:rPr>
          <w:rFonts w:eastAsiaTheme="minorHAnsi"/>
          <w:u w:val="single"/>
          <w:lang w:eastAsia="zh-CN"/>
        </w:rPr>
        <w:tab/>
      </w:r>
      <w:r>
        <w:rPr>
          <w:rFonts w:eastAsiaTheme="minorHAnsi"/>
          <w:u w:val="single"/>
          <w:lang w:eastAsia="zh-CN"/>
        </w:rPr>
        <w:tab/>
      </w:r>
      <w:r>
        <w:rPr>
          <w:rFonts w:eastAsiaTheme="minorHAnsi"/>
          <w:u w:val="single"/>
          <w:lang w:eastAsia="zh-CN"/>
        </w:rPr>
        <w:tab/>
      </w:r>
    </w:p>
    <w:p w14:paraId="0FEB1B3A" w14:textId="77777777" w:rsidR="002D4FCB" w:rsidRPr="002D4FCB" w:rsidRDefault="002D4FCB" w:rsidP="002D4FCB"/>
    <w:p w14:paraId="208CCBAC" w14:textId="77777777" w:rsidR="002D4FCB" w:rsidRPr="00D47BC6" w:rsidRDefault="002D4FCB" w:rsidP="00595520"/>
    <w:sectPr w:rsidR="002D4FCB" w:rsidRPr="00D47BC6" w:rsidSect="003A7598">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26879" w14:textId="77777777" w:rsidR="00725E98" w:rsidRDefault="00725E98"/>
  </w:endnote>
  <w:endnote w:type="continuationSeparator" w:id="0">
    <w:p w14:paraId="2B8E2B37" w14:textId="77777777" w:rsidR="00725E98" w:rsidRDefault="00725E98"/>
  </w:endnote>
  <w:endnote w:type="continuationNotice" w:id="1">
    <w:p w14:paraId="4E7960A9" w14:textId="77777777" w:rsidR="00725E98" w:rsidRDefault="00725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515B" w14:textId="533FC480" w:rsidR="00D47BC6" w:rsidRPr="00D47BC6" w:rsidRDefault="00D47BC6" w:rsidP="00D47BC6">
    <w:pPr>
      <w:pStyle w:val="Footer"/>
      <w:tabs>
        <w:tab w:val="right" w:pos="9638"/>
      </w:tabs>
      <w:rPr>
        <w:sz w:val="18"/>
      </w:rPr>
    </w:pPr>
    <w:r w:rsidRPr="00D47BC6">
      <w:rPr>
        <w:b/>
        <w:sz w:val="18"/>
      </w:rPr>
      <w:fldChar w:fldCharType="begin"/>
    </w:r>
    <w:r w:rsidRPr="00D47BC6">
      <w:rPr>
        <w:b/>
        <w:sz w:val="18"/>
      </w:rPr>
      <w:instrText xml:space="preserve"> PAGE  \* MERGEFORMAT </w:instrText>
    </w:r>
    <w:r w:rsidRPr="00D47BC6">
      <w:rPr>
        <w:b/>
        <w:sz w:val="18"/>
      </w:rPr>
      <w:fldChar w:fldCharType="separate"/>
    </w:r>
    <w:r w:rsidRPr="00D47BC6">
      <w:rPr>
        <w:b/>
        <w:noProof/>
        <w:sz w:val="18"/>
      </w:rPr>
      <w:t>2</w:t>
    </w:r>
    <w:r w:rsidRPr="00D47B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20809" w14:textId="45B40DA9" w:rsidR="00D47BC6" w:rsidRPr="00D47BC6" w:rsidRDefault="00D47BC6" w:rsidP="00D47BC6">
    <w:pPr>
      <w:pStyle w:val="Footer"/>
      <w:tabs>
        <w:tab w:val="right" w:pos="9638"/>
      </w:tabs>
      <w:rPr>
        <w:b/>
        <w:sz w:val="18"/>
      </w:rPr>
    </w:pPr>
    <w:r>
      <w:tab/>
    </w:r>
    <w:r w:rsidRPr="00D47BC6">
      <w:rPr>
        <w:b/>
        <w:sz w:val="18"/>
      </w:rPr>
      <w:fldChar w:fldCharType="begin"/>
    </w:r>
    <w:r w:rsidRPr="00D47BC6">
      <w:rPr>
        <w:b/>
        <w:sz w:val="18"/>
      </w:rPr>
      <w:instrText xml:space="preserve"> PAGE  \* MERGEFORMAT </w:instrText>
    </w:r>
    <w:r w:rsidRPr="00D47BC6">
      <w:rPr>
        <w:b/>
        <w:sz w:val="18"/>
      </w:rPr>
      <w:fldChar w:fldCharType="separate"/>
    </w:r>
    <w:r w:rsidRPr="00D47BC6">
      <w:rPr>
        <w:b/>
        <w:noProof/>
        <w:sz w:val="18"/>
      </w:rPr>
      <w:t>3</w:t>
    </w:r>
    <w:r w:rsidRPr="00D47B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48B2" w14:textId="0F4B9656" w:rsidR="0035223F" w:rsidRDefault="00AA394D" w:rsidP="00AA394D">
    <w:pPr>
      <w:pStyle w:val="Footer"/>
      <w:rPr>
        <w:sz w:val="20"/>
      </w:rPr>
    </w:pPr>
    <w:r>
      <w:rPr>
        <w:rFonts w:ascii="C39T30Lfz" w:hAnsi="C39T30Lfz"/>
        <w:noProof/>
        <w:sz w:val="56"/>
      </w:rPr>
      <w:drawing>
        <wp:anchor distT="0" distB="0" distL="114300" distR="114300" simplePos="0" relativeHeight="251660800" behindDoc="0" locked="0" layoutInCell="1" allowOverlap="1" wp14:anchorId="32A1B2AB" wp14:editId="29712A79">
          <wp:simplePos x="0" y="0"/>
          <wp:positionH relativeFrom="column">
            <wp:posOffset>5421720</wp:posOffset>
          </wp:positionH>
          <wp:positionV relativeFrom="paragraph">
            <wp:posOffset>66469</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94D">
      <w:rPr>
        <w:noProof/>
        <w:sz w:val="20"/>
        <w:lang w:val="en-US" w:eastAsia="zh-CN"/>
      </w:rPr>
      <w:drawing>
        <wp:anchor distT="0" distB="0" distL="114300" distR="114300" simplePos="0" relativeHeight="251659776" behindDoc="1" locked="1" layoutInCell="1" allowOverlap="1" wp14:anchorId="3461CE97" wp14:editId="273F460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8DD9628" w14:textId="5456CEED" w:rsidR="00AA394D" w:rsidRDefault="00AA394D" w:rsidP="00AA394D">
    <w:pPr>
      <w:pStyle w:val="Footer"/>
      <w:ind w:right="1134"/>
      <w:rPr>
        <w:sz w:val="20"/>
      </w:rPr>
    </w:pPr>
    <w:r>
      <w:rPr>
        <w:sz w:val="20"/>
      </w:rPr>
      <w:t>GE.20-12561(E)</w:t>
    </w:r>
  </w:p>
  <w:p w14:paraId="214D3D3B" w14:textId="52A7ED68" w:rsidR="00AA394D" w:rsidRPr="00AA394D" w:rsidRDefault="00AA394D" w:rsidP="00AA394D">
    <w:pPr>
      <w:pStyle w:val="Footer"/>
      <w:ind w:right="1134"/>
      <w:rPr>
        <w:rFonts w:ascii="C39T30Lfz" w:hAnsi="C39T30Lfz"/>
        <w:sz w:val="56"/>
      </w:rPr>
    </w:pPr>
    <w:r>
      <w:rPr>
        <w:rFonts w:ascii="C39T30Lfz" w:hAnsi="C39T30Lfz"/>
        <w:sz w:val="56"/>
      </w:rPr>
      <w:t>*2012561*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66D1" w14:textId="77777777" w:rsidR="00725E98" w:rsidRPr="000B175B" w:rsidRDefault="00725E98" w:rsidP="000B175B">
      <w:pPr>
        <w:tabs>
          <w:tab w:val="right" w:pos="2155"/>
        </w:tabs>
        <w:spacing w:after="80"/>
        <w:ind w:left="680"/>
        <w:rPr>
          <w:u w:val="single"/>
        </w:rPr>
      </w:pPr>
      <w:r>
        <w:rPr>
          <w:u w:val="single"/>
        </w:rPr>
        <w:tab/>
      </w:r>
    </w:p>
  </w:footnote>
  <w:footnote w:type="continuationSeparator" w:id="0">
    <w:p w14:paraId="54CC53B6" w14:textId="77777777" w:rsidR="00725E98" w:rsidRPr="00FC68B7" w:rsidRDefault="00725E98" w:rsidP="00FC68B7">
      <w:pPr>
        <w:tabs>
          <w:tab w:val="left" w:pos="2155"/>
        </w:tabs>
        <w:spacing w:after="80"/>
        <w:ind w:left="680"/>
        <w:rPr>
          <w:u w:val="single"/>
        </w:rPr>
      </w:pPr>
      <w:r>
        <w:rPr>
          <w:u w:val="single"/>
        </w:rPr>
        <w:tab/>
      </w:r>
    </w:p>
  </w:footnote>
  <w:footnote w:type="continuationNotice" w:id="1">
    <w:p w14:paraId="4AD8F6BB" w14:textId="77777777" w:rsidR="00725E98" w:rsidRDefault="00725E98"/>
  </w:footnote>
  <w:footnote w:id="2">
    <w:p w14:paraId="6EBF122F" w14:textId="217A6ADC" w:rsidR="002D4FCB" w:rsidRPr="00301054" w:rsidRDefault="00301054" w:rsidP="00301054">
      <w:pPr>
        <w:pStyle w:val="FootnoteText"/>
        <w:rPr>
          <w:rFonts w:eastAsiaTheme="minorHAnsi"/>
        </w:rPr>
      </w:pPr>
      <w:r>
        <w:tab/>
      </w:r>
      <w:r w:rsidR="002D4FCB" w:rsidRPr="00301054">
        <w:rPr>
          <w:rStyle w:val="FootnoteReference"/>
        </w:rPr>
        <w:footnoteRef/>
      </w:r>
      <w:r>
        <w:tab/>
      </w:r>
      <w:r w:rsidR="002D4FCB" w:rsidRPr="00301054">
        <w:t xml:space="preserve">Slow-onset climate events are defined in the United Nations Framework Convention on Climate Change </w:t>
      </w:r>
      <w:hyperlink r:id="rId1" w:history="1">
        <w:r w:rsidR="002D4FCB" w:rsidRPr="00301054">
          <w:rPr>
            <w:rStyle w:val="Hyperlink"/>
            <w:color w:val="auto"/>
          </w:rPr>
          <w:t>technical paper on slow onset events</w:t>
        </w:r>
      </w:hyperlink>
      <w:r w:rsidR="002D4FCB" w:rsidRPr="00301054">
        <w:t xml:space="preserve"> (</w:t>
      </w:r>
      <w:r w:rsidR="002D4FCB" w:rsidRPr="00301054">
        <w:rPr>
          <w:rStyle w:val="Hyperlink"/>
          <w:color w:val="auto"/>
        </w:rPr>
        <w:t>FCCC/TP/2012/7)</w:t>
      </w:r>
      <w:r w:rsidR="002D4FCB" w:rsidRPr="00301054">
        <w:t xml:space="preserve">. The paper indicates a need to integrate disaster risk reduction, adaptation to climate change and sustainable development efforts to address the impacts of slow-onset climate events. </w:t>
      </w:r>
    </w:p>
  </w:footnote>
  <w:footnote w:id="3">
    <w:p w14:paraId="332981DF" w14:textId="124CFFE2" w:rsidR="002D4FCB" w:rsidRPr="00301054" w:rsidRDefault="00301054" w:rsidP="00301054">
      <w:pPr>
        <w:pStyle w:val="FootnoteText"/>
      </w:pPr>
      <w:r>
        <w:tab/>
      </w:r>
      <w:r w:rsidR="002D4FCB" w:rsidRPr="00301054">
        <w:rPr>
          <w:rStyle w:val="FootnoteReference"/>
        </w:rPr>
        <w:footnoteRef/>
      </w:r>
      <w:r>
        <w:tab/>
      </w:r>
      <w:r w:rsidR="002D4FCB" w:rsidRPr="00301054">
        <w:t>See ECE/CP.TEIA/38/Add.1.</w:t>
      </w:r>
    </w:p>
  </w:footnote>
  <w:footnote w:id="4">
    <w:p w14:paraId="5A6817F5" w14:textId="6470C732" w:rsidR="002D4FCB" w:rsidRPr="00301054" w:rsidRDefault="00301054" w:rsidP="00301054">
      <w:pPr>
        <w:pStyle w:val="FootnoteText"/>
      </w:pPr>
      <w:r>
        <w:tab/>
      </w:r>
      <w:r w:rsidR="002D4FCB" w:rsidRPr="00301054">
        <w:rPr>
          <w:rStyle w:val="FootnoteReference"/>
        </w:rPr>
        <w:footnoteRef/>
      </w:r>
      <w:r>
        <w:tab/>
      </w:r>
      <w:r w:rsidR="002D4FCB" w:rsidRPr="00301054">
        <w:t xml:space="preserve">United Nations publication, </w:t>
      </w:r>
      <w:hyperlink r:id="rId2" w:history="1">
        <w:r w:rsidR="002D4FCB" w:rsidRPr="00475F3F">
          <w:rPr>
            <w:rStyle w:val="Hyperlink"/>
          </w:rPr>
          <w:t>ECE/CP.TEIA/26</w:t>
        </w:r>
      </w:hyperlink>
      <w:r w:rsidR="002D4FCB" w:rsidRPr="00301054">
        <w:t>.</w:t>
      </w:r>
    </w:p>
  </w:footnote>
  <w:footnote w:id="5">
    <w:p w14:paraId="666C0AF0" w14:textId="2D7A7D6D" w:rsidR="002D4FCB" w:rsidRDefault="00301054" w:rsidP="00301054">
      <w:pPr>
        <w:pStyle w:val="FootnoteText"/>
      </w:pPr>
      <w:r>
        <w:tab/>
      </w:r>
      <w:r w:rsidR="002D4FCB" w:rsidRPr="00301054">
        <w:rPr>
          <w:rStyle w:val="FootnoteReference"/>
        </w:rPr>
        <w:footnoteRef/>
      </w:r>
      <w:r>
        <w:tab/>
      </w:r>
      <w:r w:rsidR="002D4FCB" w:rsidRPr="00301054">
        <w:t xml:space="preserve">See ECE/CP.TEIA/WG.1/2014/3, para. 23; and the definition of industrial accidents under the Protocol on Civil Liability and Compensation for Damage Caused by the Transboundary Effects of Industrial Accidents </w:t>
      </w:r>
      <w:r w:rsidR="002D4FCB">
        <w:t xml:space="preserve">on Transboundary Waters to the 1992 Convention on the Protection and Use of Transboundary Watercourses and International Lakes and to the 1992 Convention on the Transboundary Effects of Industrial Accidents, which also makes explicit mention of tailing dams (ECE/MP.WAT/11). Available at </w:t>
      </w:r>
      <w:hyperlink r:id="rId3" w:history="1">
        <w:r w:rsidR="002D4FCB" w:rsidRPr="00301054">
          <w:rPr>
            <w:rStyle w:val="Hyperlink"/>
          </w:rPr>
          <w:t>h</w:t>
        </w:r>
        <w:r w:rsidRPr="00301054">
          <w:rPr>
            <w:rStyle w:val="Hyperlink"/>
          </w:rPr>
          <w:t>ttp://</w:t>
        </w:r>
        <w:r w:rsidR="002D4FCB" w:rsidRPr="00301054">
          <w:rPr>
            <w:rStyle w:val="Hyperlink"/>
          </w:rPr>
          <w:t>www.unece.org/fileadmin/DAM/env/civil-liability/documents/protocol_e.pdf</w:t>
        </w:r>
      </w:hyperlink>
      <w:r w:rsidR="002D4FCB">
        <w:t xml:space="preserve">. </w:t>
      </w:r>
    </w:p>
  </w:footnote>
  <w:footnote w:id="6">
    <w:p w14:paraId="59EC7978" w14:textId="1D163C82" w:rsidR="002D4FCB" w:rsidRPr="00301054" w:rsidRDefault="00301054" w:rsidP="00301054">
      <w:pPr>
        <w:pStyle w:val="FootnoteText"/>
      </w:pPr>
      <w:r>
        <w:tab/>
      </w:r>
      <w:r w:rsidR="002D4FCB" w:rsidRPr="00301054">
        <w:rPr>
          <w:rStyle w:val="FootnoteReference"/>
        </w:rPr>
        <w:footnoteRef/>
      </w:r>
      <w:r>
        <w:tab/>
      </w:r>
      <w:r w:rsidR="002D4FCB" w:rsidRPr="00301054">
        <w:t>See UNEP/EA.4/L.6.</w:t>
      </w:r>
    </w:p>
  </w:footnote>
  <w:footnote w:id="7">
    <w:p w14:paraId="5FFCDA17" w14:textId="51E6AEAD" w:rsidR="002D4FCB" w:rsidRPr="00301054" w:rsidRDefault="00301054" w:rsidP="00301054">
      <w:pPr>
        <w:pStyle w:val="FootnoteText"/>
      </w:pPr>
      <w:r>
        <w:tab/>
      </w:r>
      <w:r w:rsidR="002D4FCB" w:rsidRPr="00301054">
        <w:rPr>
          <w:rStyle w:val="FootnoteReference"/>
        </w:rPr>
        <w:footnoteRef/>
      </w:r>
      <w:r>
        <w:tab/>
      </w:r>
      <w:r w:rsidR="002D4FCB" w:rsidRPr="00301054">
        <w:t>See UNEP/EA.4/L.23.</w:t>
      </w:r>
    </w:p>
  </w:footnote>
  <w:footnote w:id="8">
    <w:p w14:paraId="02479AF9" w14:textId="7AC96E5C" w:rsidR="002D4FCB" w:rsidRPr="00301054" w:rsidRDefault="00301054" w:rsidP="00301054">
      <w:pPr>
        <w:pStyle w:val="FootnoteText"/>
      </w:pPr>
      <w:r>
        <w:tab/>
      </w:r>
      <w:r w:rsidR="002D4FCB" w:rsidRPr="00301054">
        <w:rPr>
          <w:rStyle w:val="FootnoteReference"/>
        </w:rPr>
        <w:footnoteRef/>
      </w:r>
      <w:r>
        <w:tab/>
      </w:r>
      <w:r w:rsidR="002D4FCB" w:rsidRPr="00301054">
        <w:t xml:space="preserve">Available at </w:t>
      </w:r>
      <w:hyperlink r:id="rId4" w:history="1">
        <w:r w:rsidR="002D4FCB" w:rsidRPr="00301054">
          <w:rPr>
            <w:rStyle w:val="Hyperlink"/>
          </w:rPr>
          <w:t>http://www.unece.org/environmental-policy/conventions/industrial-accidents/publications.html</w:t>
        </w:r>
      </w:hyperlink>
      <w:r w:rsidR="002D4FCB" w:rsidRPr="00301054">
        <w:t>.</w:t>
      </w:r>
    </w:p>
  </w:footnote>
  <w:footnote w:id="9">
    <w:p w14:paraId="1010E42E" w14:textId="263A1FD0" w:rsidR="002D4FCB" w:rsidRPr="00301054" w:rsidRDefault="00301054" w:rsidP="00301054">
      <w:pPr>
        <w:pStyle w:val="FootnoteText"/>
      </w:pPr>
      <w:r>
        <w:tab/>
      </w:r>
      <w:r w:rsidR="002D4FCB" w:rsidRPr="00301054">
        <w:rPr>
          <w:rStyle w:val="FootnoteReference"/>
        </w:rPr>
        <w:footnoteRef/>
      </w:r>
      <w:r>
        <w:tab/>
      </w:r>
      <w:r w:rsidR="002D4FCB" w:rsidRPr="00301054">
        <w:t xml:space="preserve"> This refers to those mine tailings facilities that fall under the definition of a “hazardous activity” provided in article 1 (b) of the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FBBF" w14:textId="3497A0EA" w:rsidR="00D47BC6" w:rsidRPr="00D47BC6" w:rsidRDefault="00725E98">
    <w:pPr>
      <w:pStyle w:val="Header"/>
    </w:pPr>
    <w:r>
      <w:fldChar w:fldCharType="begin"/>
    </w:r>
    <w:r>
      <w:instrText xml:space="preserve"> TITLE  \* MERGEFORMAT </w:instrText>
    </w:r>
    <w:r>
      <w:fldChar w:fldCharType="separate"/>
    </w:r>
    <w:r w:rsidR="00D47BC6">
      <w:t>ECE/CP.TEIA/2020/3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6D85" w14:textId="78B4D267" w:rsidR="00D47BC6" w:rsidRPr="00D47BC6" w:rsidRDefault="00725E98" w:rsidP="00D47BC6">
    <w:pPr>
      <w:pStyle w:val="Header"/>
      <w:jc w:val="right"/>
    </w:pPr>
    <w:r>
      <w:fldChar w:fldCharType="begin"/>
    </w:r>
    <w:r>
      <w:instrText xml:space="preserve"> TITLE  \* MERGEFORMAT </w:instrText>
    </w:r>
    <w:r>
      <w:fldChar w:fldCharType="separate"/>
    </w:r>
    <w:r w:rsidR="00D47BC6">
      <w:t>ECE/CP.TEIA/2020/3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B0C32"/>
    <w:multiLevelType w:val="hybridMultilevel"/>
    <w:tmpl w:val="1B3ACD14"/>
    <w:lvl w:ilvl="0" w:tplc="354CEAC2">
      <w:start w:val="1"/>
      <w:numFmt w:val="decimal"/>
      <w:lvlText w:val="%1."/>
      <w:lvlJc w:val="left"/>
      <w:pPr>
        <w:ind w:left="392" w:hanging="720"/>
      </w:pPr>
      <w:rPr>
        <w:b w:val="0"/>
        <w:bCs w:val="0"/>
        <w:spacing w:val="-6"/>
        <w:w w:val="100"/>
        <w:sz w:val="24"/>
        <w:szCs w:val="24"/>
        <w:lang w:val="en-US" w:eastAsia="en-US" w:bidi="ar-SA"/>
      </w:rPr>
    </w:lvl>
    <w:lvl w:ilvl="1" w:tplc="B78ACB4C">
      <w:numFmt w:val="bullet"/>
      <w:lvlText w:val="•"/>
      <w:lvlJc w:val="left"/>
      <w:pPr>
        <w:ind w:left="1326" w:hanging="720"/>
      </w:pPr>
      <w:rPr>
        <w:lang w:val="en-US" w:eastAsia="en-US" w:bidi="ar-SA"/>
      </w:rPr>
    </w:lvl>
    <w:lvl w:ilvl="2" w:tplc="A9D0FC10">
      <w:numFmt w:val="bullet"/>
      <w:lvlText w:val="•"/>
      <w:lvlJc w:val="left"/>
      <w:pPr>
        <w:ind w:left="2252" w:hanging="720"/>
      </w:pPr>
      <w:rPr>
        <w:lang w:val="en-US" w:eastAsia="en-US" w:bidi="ar-SA"/>
      </w:rPr>
    </w:lvl>
    <w:lvl w:ilvl="3" w:tplc="B628949C">
      <w:numFmt w:val="bullet"/>
      <w:lvlText w:val="•"/>
      <w:lvlJc w:val="left"/>
      <w:pPr>
        <w:ind w:left="3178" w:hanging="720"/>
      </w:pPr>
      <w:rPr>
        <w:lang w:val="en-US" w:eastAsia="en-US" w:bidi="ar-SA"/>
      </w:rPr>
    </w:lvl>
    <w:lvl w:ilvl="4" w:tplc="8F1C8D86">
      <w:numFmt w:val="bullet"/>
      <w:lvlText w:val="•"/>
      <w:lvlJc w:val="left"/>
      <w:pPr>
        <w:ind w:left="4104" w:hanging="720"/>
      </w:pPr>
      <w:rPr>
        <w:lang w:val="en-US" w:eastAsia="en-US" w:bidi="ar-SA"/>
      </w:rPr>
    </w:lvl>
    <w:lvl w:ilvl="5" w:tplc="C9F439A0">
      <w:numFmt w:val="bullet"/>
      <w:lvlText w:val="•"/>
      <w:lvlJc w:val="left"/>
      <w:pPr>
        <w:ind w:left="5030" w:hanging="720"/>
      </w:pPr>
      <w:rPr>
        <w:lang w:val="en-US" w:eastAsia="en-US" w:bidi="ar-SA"/>
      </w:rPr>
    </w:lvl>
    <w:lvl w:ilvl="6" w:tplc="286E71D4">
      <w:numFmt w:val="bullet"/>
      <w:lvlText w:val="•"/>
      <w:lvlJc w:val="left"/>
      <w:pPr>
        <w:ind w:left="5956" w:hanging="720"/>
      </w:pPr>
      <w:rPr>
        <w:lang w:val="en-US" w:eastAsia="en-US" w:bidi="ar-SA"/>
      </w:rPr>
    </w:lvl>
    <w:lvl w:ilvl="7" w:tplc="3F7A981C">
      <w:numFmt w:val="bullet"/>
      <w:lvlText w:val="•"/>
      <w:lvlJc w:val="left"/>
      <w:pPr>
        <w:ind w:left="6882" w:hanging="720"/>
      </w:pPr>
      <w:rPr>
        <w:lang w:val="en-US" w:eastAsia="en-US" w:bidi="ar-SA"/>
      </w:rPr>
    </w:lvl>
    <w:lvl w:ilvl="8" w:tplc="F5066928">
      <w:numFmt w:val="bullet"/>
      <w:lvlText w:val="•"/>
      <w:lvlJc w:val="left"/>
      <w:pPr>
        <w:ind w:left="7808" w:hanging="720"/>
      </w:pPr>
      <w:rPr>
        <w:lang w:val="en-US" w:eastAsia="en-US" w:bidi="ar-SA"/>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5"/>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47508F-1CF6-48C5-A765-09697A04C88D}"/>
    <w:docVar w:name="dgnword-eventsink" w:val="643635872"/>
  </w:docVars>
  <w:rsids>
    <w:rsidRoot w:val="00D47BC6"/>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2AAE"/>
    <w:rsid w:val="00166124"/>
    <w:rsid w:val="00184DDA"/>
    <w:rsid w:val="00187E69"/>
    <w:rsid w:val="001900CD"/>
    <w:rsid w:val="001A0452"/>
    <w:rsid w:val="001B4B04"/>
    <w:rsid w:val="001B5875"/>
    <w:rsid w:val="001C4B9C"/>
    <w:rsid w:val="001C6663"/>
    <w:rsid w:val="001C7895"/>
    <w:rsid w:val="001D26DF"/>
    <w:rsid w:val="001F1599"/>
    <w:rsid w:val="001F19C4"/>
    <w:rsid w:val="001F2C31"/>
    <w:rsid w:val="002043F0"/>
    <w:rsid w:val="00211E0B"/>
    <w:rsid w:val="00232575"/>
    <w:rsid w:val="00247258"/>
    <w:rsid w:val="00257CAC"/>
    <w:rsid w:val="0027237A"/>
    <w:rsid w:val="002974E9"/>
    <w:rsid w:val="002A7F94"/>
    <w:rsid w:val="002B109A"/>
    <w:rsid w:val="002C6D45"/>
    <w:rsid w:val="002D4B5E"/>
    <w:rsid w:val="002D4FCB"/>
    <w:rsid w:val="002D6E53"/>
    <w:rsid w:val="002F046D"/>
    <w:rsid w:val="002F3023"/>
    <w:rsid w:val="00301054"/>
    <w:rsid w:val="00301764"/>
    <w:rsid w:val="003229D8"/>
    <w:rsid w:val="00336C97"/>
    <w:rsid w:val="00337F88"/>
    <w:rsid w:val="00342432"/>
    <w:rsid w:val="0035223F"/>
    <w:rsid w:val="00352D4B"/>
    <w:rsid w:val="0035638C"/>
    <w:rsid w:val="003928E2"/>
    <w:rsid w:val="003A46BB"/>
    <w:rsid w:val="003A4EC7"/>
    <w:rsid w:val="003A7295"/>
    <w:rsid w:val="003A7598"/>
    <w:rsid w:val="003B1F60"/>
    <w:rsid w:val="003C0780"/>
    <w:rsid w:val="003C2CC4"/>
    <w:rsid w:val="003C7291"/>
    <w:rsid w:val="003D2656"/>
    <w:rsid w:val="003D291E"/>
    <w:rsid w:val="003D4B23"/>
    <w:rsid w:val="003E278A"/>
    <w:rsid w:val="00413520"/>
    <w:rsid w:val="004325CB"/>
    <w:rsid w:val="00440A07"/>
    <w:rsid w:val="00462880"/>
    <w:rsid w:val="00475F3F"/>
    <w:rsid w:val="00476F24"/>
    <w:rsid w:val="00494118"/>
    <w:rsid w:val="004A0202"/>
    <w:rsid w:val="004B68D5"/>
    <w:rsid w:val="004C55B0"/>
    <w:rsid w:val="004E416F"/>
    <w:rsid w:val="004F6BA0"/>
    <w:rsid w:val="00503BEA"/>
    <w:rsid w:val="00503BF7"/>
    <w:rsid w:val="00507ACB"/>
    <w:rsid w:val="0052289D"/>
    <w:rsid w:val="00533616"/>
    <w:rsid w:val="00535ABA"/>
    <w:rsid w:val="0053768B"/>
    <w:rsid w:val="005420F2"/>
    <w:rsid w:val="0054285C"/>
    <w:rsid w:val="00561A16"/>
    <w:rsid w:val="00584173"/>
    <w:rsid w:val="00595520"/>
    <w:rsid w:val="005A44B9"/>
    <w:rsid w:val="005B1BA0"/>
    <w:rsid w:val="005B3DB3"/>
    <w:rsid w:val="005C21E6"/>
    <w:rsid w:val="005D15CA"/>
    <w:rsid w:val="005E054D"/>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4738"/>
    <w:rsid w:val="006E564B"/>
    <w:rsid w:val="006E7154"/>
    <w:rsid w:val="007003CD"/>
    <w:rsid w:val="0070701E"/>
    <w:rsid w:val="00725E98"/>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10BAC"/>
    <w:rsid w:val="008175E9"/>
    <w:rsid w:val="008242D7"/>
    <w:rsid w:val="0082577B"/>
    <w:rsid w:val="00842008"/>
    <w:rsid w:val="00860337"/>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33724"/>
    <w:rsid w:val="009360C0"/>
    <w:rsid w:val="00947162"/>
    <w:rsid w:val="009537DD"/>
    <w:rsid w:val="009610D0"/>
    <w:rsid w:val="0096375C"/>
    <w:rsid w:val="009662E6"/>
    <w:rsid w:val="0097095E"/>
    <w:rsid w:val="0098592B"/>
    <w:rsid w:val="00985FC4"/>
    <w:rsid w:val="00990766"/>
    <w:rsid w:val="00991261"/>
    <w:rsid w:val="009964C4"/>
    <w:rsid w:val="00997F3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394D"/>
    <w:rsid w:val="00AC0F2C"/>
    <w:rsid w:val="00AC502A"/>
    <w:rsid w:val="00AF4688"/>
    <w:rsid w:val="00AF58C1"/>
    <w:rsid w:val="00B04A3F"/>
    <w:rsid w:val="00B06643"/>
    <w:rsid w:val="00B15055"/>
    <w:rsid w:val="00B20551"/>
    <w:rsid w:val="00B30179"/>
    <w:rsid w:val="00B33FC7"/>
    <w:rsid w:val="00B37B15"/>
    <w:rsid w:val="00B40A34"/>
    <w:rsid w:val="00B45C02"/>
    <w:rsid w:val="00B70B63"/>
    <w:rsid w:val="00B72A1E"/>
    <w:rsid w:val="00B81E12"/>
    <w:rsid w:val="00B97389"/>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5601"/>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47BC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68B7"/>
    <w:rsid w:val="00FE6985"/>
    <w:rsid w:val="00FE787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C451"/>
  <w15:docId w15:val="{1D6B88CD-CD95-4A13-8F2A-CBAFE1B5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3C729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3C729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AF4688"/>
    <w:pPr>
      <w:numPr>
        <w:numId w:val="20"/>
      </w:numPr>
      <w:suppressAutoHyphens w:val="0"/>
    </w:pPr>
  </w:style>
  <w:style w:type="character" w:customStyle="1" w:styleId="HChGChar">
    <w:name w:val="_ H _Ch_G Char"/>
    <w:link w:val="HChG"/>
    <w:uiPriority w:val="99"/>
    <w:locked/>
    <w:rsid w:val="002D4FCB"/>
    <w:rPr>
      <w:b/>
      <w:sz w:val="28"/>
      <w:lang w:val="en-GB"/>
    </w:rPr>
  </w:style>
  <w:style w:type="character" w:styleId="UnresolvedMention">
    <w:name w:val="Unresolved Mention"/>
    <w:basedOn w:val="DefaultParagraphFont"/>
    <w:uiPriority w:val="99"/>
    <w:semiHidden/>
    <w:unhideWhenUsed/>
    <w:rsid w:val="002D4FCB"/>
    <w:rPr>
      <w:color w:val="605E5C"/>
      <w:shd w:val="clear" w:color="auto" w:fill="E1DFDD"/>
    </w:rPr>
  </w:style>
  <w:style w:type="character" w:customStyle="1" w:styleId="FootnoteTextChar">
    <w:name w:val="Footnote Text Char"/>
    <w:aliases w:val="5_G Char"/>
    <w:basedOn w:val="DefaultParagraphFont"/>
    <w:link w:val="FootnoteText"/>
    <w:uiPriority w:val="99"/>
    <w:rsid w:val="002D4FCB"/>
    <w:rPr>
      <w:sz w:val="18"/>
      <w:lang w:val="en-GB"/>
    </w:rPr>
  </w:style>
  <w:style w:type="paragraph" w:styleId="BodyText">
    <w:name w:val="Body Text"/>
    <w:basedOn w:val="Normal"/>
    <w:link w:val="BodyTextChar"/>
    <w:uiPriority w:val="1"/>
    <w:semiHidden/>
    <w:unhideWhenUsed/>
    <w:qFormat/>
    <w:rsid w:val="002D4FCB"/>
    <w:pPr>
      <w:widowControl w:val="0"/>
      <w:suppressAutoHyphens w:val="0"/>
      <w:autoSpaceDE w:val="0"/>
      <w:autoSpaceDN w:val="0"/>
      <w:spacing w:line="240" w:lineRule="auto"/>
    </w:pPr>
    <w:rPr>
      <w:sz w:val="24"/>
      <w:szCs w:val="24"/>
      <w:lang w:val="en-US" w:eastAsia="en-US"/>
    </w:rPr>
  </w:style>
  <w:style w:type="character" w:customStyle="1" w:styleId="BodyTextChar">
    <w:name w:val="Body Text Char"/>
    <w:basedOn w:val="DefaultParagraphFont"/>
    <w:link w:val="BodyText"/>
    <w:uiPriority w:val="1"/>
    <w:semiHidden/>
    <w:rsid w:val="002D4FCB"/>
    <w:rPr>
      <w:sz w:val="24"/>
      <w:szCs w:val="24"/>
      <w:lang w:val="en-US" w:eastAsia="en-US"/>
    </w:rPr>
  </w:style>
  <w:style w:type="paragraph" w:styleId="ListParagraph">
    <w:name w:val="List Paragraph"/>
    <w:basedOn w:val="Normal"/>
    <w:uiPriority w:val="1"/>
    <w:qFormat/>
    <w:rsid w:val="002D4FCB"/>
    <w:pPr>
      <w:widowControl w:val="0"/>
      <w:suppressAutoHyphens w:val="0"/>
      <w:autoSpaceDE w:val="0"/>
      <w:autoSpaceDN w:val="0"/>
      <w:spacing w:line="240" w:lineRule="auto"/>
      <w:ind w:left="392" w:right="130" w:firstLine="710"/>
    </w:pPr>
    <w:rPr>
      <w:sz w:val="22"/>
      <w:szCs w:val="22"/>
      <w:lang w:val="en-US" w:eastAsia="en-US"/>
    </w:rPr>
  </w:style>
  <w:style w:type="character" w:customStyle="1" w:styleId="SingleTxtGChar">
    <w:name w:val="_ Single Txt_G Char"/>
    <w:link w:val="SingleTxtG"/>
    <w:locked/>
    <w:rsid w:val="003D291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35870">
      <w:bodyDiv w:val="1"/>
      <w:marLeft w:val="0"/>
      <w:marRight w:val="0"/>
      <w:marTop w:val="0"/>
      <w:marBottom w:val="0"/>
      <w:divBdr>
        <w:top w:val="none" w:sz="0" w:space="0" w:color="auto"/>
        <w:left w:val="none" w:sz="0" w:space="0" w:color="auto"/>
        <w:bottom w:val="none" w:sz="0" w:space="0" w:color="auto"/>
        <w:right w:val="none" w:sz="0" w:space="0" w:color="auto"/>
      </w:divBdr>
    </w:div>
    <w:div w:id="1336030762">
      <w:bodyDiv w:val="1"/>
      <w:marLeft w:val="0"/>
      <w:marRight w:val="0"/>
      <w:marTop w:val="0"/>
      <w:marBottom w:val="0"/>
      <w:divBdr>
        <w:top w:val="none" w:sz="0" w:space="0" w:color="auto"/>
        <w:left w:val="none" w:sz="0" w:space="0" w:color="auto"/>
        <w:bottom w:val="none" w:sz="0" w:space="0" w:color="auto"/>
        <w:right w:val="none" w:sz="0" w:space="0" w:color="auto"/>
      </w:divBdr>
    </w:div>
    <w:div w:id="15730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e-teia.conv@u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fileadmin/DAM/env/documents/2019/TEIA/Bureau_Oslo/Bureau-42_Minutes_as_agreed_with_the_Chair_and_Bureau_final_clean.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ileadmin/DAM/env/civil-liability/documents/protocol_e.pdf" TargetMode="External"/><Relationship Id="rId2" Type="http://schemas.openxmlformats.org/officeDocument/2006/relationships/hyperlink" Target="http://www.unece.org/index.php?id=36132" TargetMode="External"/><Relationship Id="rId1" Type="http://schemas.openxmlformats.org/officeDocument/2006/relationships/hyperlink" Target="https://unfccc.int/resource/docs/2012/tp/07.pdf" TargetMode="External"/><Relationship Id="rId4" Type="http://schemas.openxmlformats.org/officeDocument/2006/relationships/hyperlink" Target="http://www.unece.org/environmental-policy/conventions/industrial-accidents/publica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8271</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ECE/CP.TEIA/2020/3</vt:lpstr>
      <vt:lpstr>United Nations</vt:lpstr>
    </vt:vector>
  </TitlesOfParts>
  <Company>CSD</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ECE/CP.TEIA/2020/3</dc:title>
  <dc:subject>2012561</dc:subject>
  <dc:creator>Olga Carlos</dc:creator>
  <cp:keywords/>
  <dc:description/>
  <cp:lastModifiedBy>Olga Carlos</cp:lastModifiedBy>
  <cp:revision>2</cp:revision>
  <cp:lastPrinted>2009-02-18T09:36:00Z</cp:lastPrinted>
  <dcterms:created xsi:type="dcterms:W3CDTF">2020-10-22T09:45:00Z</dcterms:created>
  <dcterms:modified xsi:type="dcterms:W3CDTF">2020-10-22T09:45:00Z</dcterms:modified>
</cp:coreProperties>
</file>