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6D43E2" w:rsidTr="009E6CB7">
        <w:trPr>
          <w:cantSplit/>
          <w:trHeight w:hRule="exact" w:val="851"/>
        </w:trPr>
        <w:tc>
          <w:tcPr>
            <w:tcW w:w="1276" w:type="dxa"/>
            <w:tcBorders>
              <w:bottom w:val="single" w:sz="4" w:space="0" w:color="auto"/>
            </w:tcBorders>
            <w:vAlign w:val="bottom"/>
          </w:tcPr>
          <w:p w:rsidR="009E6CB7" w:rsidRPr="006D43E2" w:rsidRDefault="009E6CB7" w:rsidP="009E6CB7">
            <w:pPr>
              <w:spacing w:after="80"/>
            </w:pPr>
          </w:p>
        </w:tc>
        <w:tc>
          <w:tcPr>
            <w:tcW w:w="2268" w:type="dxa"/>
            <w:tcBorders>
              <w:bottom w:val="single" w:sz="4" w:space="0" w:color="auto"/>
            </w:tcBorders>
            <w:vAlign w:val="bottom"/>
          </w:tcPr>
          <w:p w:rsidR="009E6CB7" w:rsidRPr="006D43E2" w:rsidRDefault="009E6CB7" w:rsidP="009E6CB7">
            <w:pPr>
              <w:spacing w:after="80" w:line="300" w:lineRule="exact"/>
              <w:rPr>
                <w:b/>
                <w:sz w:val="24"/>
                <w:szCs w:val="24"/>
              </w:rPr>
            </w:pPr>
            <w:r w:rsidRPr="006D43E2">
              <w:rPr>
                <w:sz w:val="28"/>
                <w:szCs w:val="28"/>
              </w:rPr>
              <w:t>United Nations</w:t>
            </w:r>
          </w:p>
        </w:tc>
        <w:tc>
          <w:tcPr>
            <w:tcW w:w="6095" w:type="dxa"/>
            <w:gridSpan w:val="2"/>
            <w:tcBorders>
              <w:bottom w:val="single" w:sz="4" w:space="0" w:color="auto"/>
            </w:tcBorders>
            <w:vAlign w:val="bottom"/>
          </w:tcPr>
          <w:p w:rsidR="009E6CB7" w:rsidRPr="006D43E2" w:rsidRDefault="00BC20DC" w:rsidP="00BC20DC">
            <w:pPr>
              <w:jc w:val="right"/>
            </w:pPr>
            <w:r w:rsidRPr="006D43E2">
              <w:rPr>
                <w:sz w:val="40"/>
              </w:rPr>
              <w:t>ECE</w:t>
            </w:r>
            <w:r w:rsidRPr="006D43E2">
              <w:t>/CEP/2019/7</w:t>
            </w:r>
          </w:p>
        </w:tc>
      </w:tr>
      <w:tr w:rsidR="009E6CB7" w:rsidRPr="006D43E2" w:rsidTr="009E6CB7">
        <w:trPr>
          <w:cantSplit/>
          <w:trHeight w:hRule="exact" w:val="2835"/>
        </w:trPr>
        <w:tc>
          <w:tcPr>
            <w:tcW w:w="1276" w:type="dxa"/>
            <w:tcBorders>
              <w:top w:val="single" w:sz="4" w:space="0" w:color="auto"/>
              <w:bottom w:val="single" w:sz="12" w:space="0" w:color="auto"/>
            </w:tcBorders>
          </w:tcPr>
          <w:p w:rsidR="009E6CB7" w:rsidRPr="006D43E2" w:rsidRDefault="00BC7F91" w:rsidP="009E6CB7">
            <w:pPr>
              <w:spacing w:before="120"/>
            </w:pPr>
            <w:r w:rsidRPr="006D43E2">
              <w:rPr>
                <w:noProof/>
                <w:lang w:eastAsia="zh-CN"/>
              </w:rPr>
              <w:drawing>
                <wp:inline distT="0" distB="0" distL="0" distR="0" wp14:anchorId="71500E97" wp14:editId="274C99E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6D43E2" w:rsidRDefault="009E6CB7" w:rsidP="009E6CB7">
            <w:pPr>
              <w:spacing w:before="120" w:line="420" w:lineRule="exact"/>
              <w:rPr>
                <w:sz w:val="40"/>
                <w:szCs w:val="40"/>
              </w:rPr>
            </w:pPr>
            <w:r w:rsidRPr="006D43E2">
              <w:rPr>
                <w:b/>
                <w:sz w:val="40"/>
                <w:szCs w:val="40"/>
              </w:rPr>
              <w:t>Economic and Social Council</w:t>
            </w:r>
          </w:p>
        </w:tc>
        <w:tc>
          <w:tcPr>
            <w:tcW w:w="2835" w:type="dxa"/>
            <w:tcBorders>
              <w:top w:val="single" w:sz="4" w:space="0" w:color="auto"/>
              <w:bottom w:val="single" w:sz="12" w:space="0" w:color="auto"/>
            </w:tcBorders>
          </w:tcPr>
          <w:p w:rsidR="009E6CB7" w:rsidRPr="006D43E2" w:rsidRDefault="00BC20DC" w:rsidP="00BC20DC">
            <w:pPr>
              <w:spacing w:before="240" w:line="240" w:lineRule="exact"/>
            </w:pPr>
            <w:r w:rsidRPr="006D43E2">
              <w:t xml:space="preserve">Distr.: General </w:t>
            </w:r>
          </w:p>
          <w:p w:rsidR="00BC20DC" w:rsidRPr="006D43E2" w:rsidRDefault="00062EAA" w:rsidP="00BC20DC">
            <w:pPr>
              <w:spacing w:line="240" w:lineRule="exact"/>
            </w:pPr>
            <w:r>
              <w:t>16</w:t>
            </w:r>
            <w:r w:rsidR="00BC20DC" w:rsidRPr="006D43E2">
              <w:t xml:space="preserve"> November 2018</w:t>
            </w:r>
          </w:p>
          <w:p w:rsidR="00BC20DC" w:rsidRPr="006D43E2" w:rsidRDefault="00BC20DC" w:rsidP="00BC20DC">
            <w:pPr>
              <w:spacing w:line="240" w:lineRule="exact"/>
            </w:pPr>
          </w:p>
          <w:p w:rsidR="00BC20DC" w:rsidRPr="006D43E2" w:rsidRDefault="00BC20DC" w:rsidP="00BC20DC">
            <w:pPr>
              <w:spacing w:line="240" w:lineRule="exact"/>
            </w:pPr>
            <w:r w:rsidRPr="006D43E2">
              <w:t>Original: English</w:t>
            </w:r>
          </w:p>
        </w:tc>
      </w:tr>
    </w:tbl>
    <w:p w:rsidR="003A1487" w:rsidRPr="006D43E2" w:rsidRDefault="003A1487" w:rsidP="003A1487">
      <w:pPr>
        <w:spacing w:before="120"/>
        <w:rPr>
          <w:b/>
          <w:sz w:val="28"/>
          <w:szCs w:val="28"/>
        </w:rPr>
      </w:pPr>
      <w:bookmarkStart w:id="0" w:name="_Hlk516862175"/>
      <w:r w:rsidRPr="006D43E2">
        <w:rPr>
          <w:b/>
          <w:sz w:val="28"/>
          <w:szCs w:val="28"/>
        </w:rPr>
        <w:t>Economic Commission for Europe</w:t>
      </w:r>
    </w:p>
    <w:p w:rsidR="003A1487" w:rsidRPr="006D43E2" w:rsidRDefault="003A1487" w:rsidP="003A1487">
      <w:pPr>
        <w:spacing w:before="120" w:line="240" w:lineRule="auto"/>
        <w:rPr>
          <w:bCs/>
          <w:sz w:val="28"/>
          <w:szCs w:val="28"/>
        </w:rPr>
      </w:pPr>
      <w:r w:rsidRPr="006D43E2">
        <w:rPr>
          <w:bCs/>
          <w:sz w:val="28"/>
          <w:szCs w:val="28"/>
        </w:rPr>
        <w:t>Committee on Environmental Policy</w:t>
      </w:r>
    </w:p>
    <w:p w:rsidR="003A1487" w:rsidRPr="006D43E2" w:rsidRDefault="003A1487" w:rsidP="003A1487">
      <w:pPr>
        <w:spacing w:before="120"/>
        <w:rPr>
          <w:b/>
        </w:rPr>
      </w:pPr>
      <w:r w:rsidRPr="006D43E2">
        <w:rPr>
          <w:b/>
        </w:rPr>
        <w:t>Twenty-fourth session</w:t>
      </w:r>
    </w:p>
    <w:p w:rsidR="003A1487" w:rsidRPr="006D43E2" w:rsidRDefault="003A1487" w:rsidP="003A1487">
      <w:r w:rsidRPr="006D43E2">
        <w:t>Geneva, 29–31 January 201</w:t>
      </w:r>
      <w:r w:rsidR="00596852">
        <w:t>9</w:t>
      </w:r>
    </w:p>
    <w:p w:rsidR="003A1487" w:rsidRPr="006D43E2" w:rsidRDefault="000764EE" w:rsidP="003A1487">
      <w:r w:rsidRPr="006D43E2">
        <w:t>Item 4 (b</w:t>
      </w:r>
      <w:r w:rsidR="003A1487" w:rsidRPr="006D43E2">
        <w:t>) of the provisional agenda</w:t>
      </w:r>
    </w:p>
    <w:p w:rsidR="006D43E2" w:rsidRDefault="006D43E2" w:rsidP="003A1487">
      <w:pPr>
        <w:rPr>
          <w:b/>
        </w:rPr>
      </w:pPr>
      <w:r w:rsidRPr="006D43E2">
        <w:rPr>
          <w:b/>
        </w:rPr>
        <w:t xml:space="preserve">Mid-term review of the main outcomes of the Eighth </w:t>
      </w:r>
      <w:r>
        <w:rPr>
          <w:b/>
        </w:rPr>
        <w:br/>
      </w:r>
      <w:r w:rsidRPr="006D43E2">
        <w:rPr>
          <w:b/>
        </w:rPr>
        <w:t>Environment fo</w:t>
      </w:r>
      <w:r>
        <w:rPr>
          <w:b/>
        </w:rPr>
        <w:t>r Europe Ministerial Conference</w:t>
      </w:r>
      <w:r w:rsidR="003A1487" w:rsidRPr="006D43E2">
        <w:rPr>
          <w:b/>
        </w:rPr>
        <w:t xml:space="preserve">: </w:t>
      </w:r>
    </w:p>
    <w:p w:rsidR="003A1487" w:rsidRPr="006D43E2" w:rsidRDefault="006D43E2" w:rsidP="003A1487">
      <w:pPr>
        <w:rPr>
          <w:b/>
        </w:rPr>
      </w:pPr>
      <w:r>
        <w:rPr>
          <w:b/>
        </w:rPr>
        <w:t>d</w:t>
      </w:r>
      <w:r w:rsidR="000764EE" w:rsidRPr="006D43E2">
        <w:rPr>
          <w:b/>
        </w:rPr>
        <w:t xml:space="preserve">eveloping the Shared Environmental </w:t>
      </w:r>
      <w:r>
        <w:rPr>
          <w:b/>
        </w:rPr>
        <w:br/>
      </w:r>
      <w:r w:rsidR="000764EE" w:rsidRPr="006D43E2">
        <w:rPr>
          <w:b/>
        </w:rPr>
        <w:t>Information System</w:t>
      </w:r>
    </w:p>
    <w:p w:rsidR="00BC20DC" w:rsidRPr="006D43E2" w:rsidRDefault="00BC20DC" w:rsidP="00BC20DC">
      <w:pPr>
        <w:pStyle w:val="HChG"/>
      </w:pPr>
      <w:r w:rsidRPr="006D43E2">
        <w:tab/>
      </w:r>
      <w:r w:rsidRPr="006D43E2">
        <w:tab/>
      </w:r>
      <w:r w:rsidR="000764EE" w:rsidRPr="006D43E2">
        <w:t>M</w:t>
      </w:r>
      <w:r w:rsidRPr="006D43E2">
        <w:t xml:space="preserve">id-term review </w:t>
      </w:r>
      <w:r w:rsidR="00275AE7">
        <w:t xml:space="preserve">report </w:t>
      </w:r>
      <w:r w:rsidR="008D0863">
        <w:t xml:space="preserve">on </w:t>
      </w:r>
      <w:r w:rsidRPr="006D43E2">
        <w:t>the establishment of the Shared Environmental Information System</w:t>
      </w:r>
      <w:bookmarkEnd w:id="0"/>
    </w:p>
    <w:p w:rsidR="00BC20DC" w:rsidRPr="006D43E2" w:rsidRDefault="00BC20DC" w:rsidP="00BC20DC">
      <w:pPr>
        <w:pStyle w:val="H1G"/>
        <w:rPr>
          <w:rFonts w:eastAsia="ヒラギノ角ゴ Pro W3"/>
          <w:lang w:eastAsia="en-GB"/>
        </w:rPr>
      </w:pPr>
      <w:r w:rsidRPr="006D43E2">
        <w:tab/>
      </w:r>
      <w:r w:rsidRPr="006D43E2">
        <w:tab/>
      </w:r>
      <w:r w:rsidR="00AD330D">
        <w:rPr>
          <w:rFonts w:eastAsia="ヒラギノ角ゴ Pro W3"/>
          <w:lang w:eastAsia="en-GB"/>
        </w:rPr>
        <w:t xml:space="preserve">Note </w:t>
      </w:r>
      <w:r w:rsidRPr="006D43E2">
        <w:rPr>
          <w:rFonts w:eastAsia="ヒラギノ角ゴ Pro W3"/>
          <w:lang w:eastAsia="en-GB"/>
        </w:rPr>
        <w:t>by the Working Group on Environmental Monitoring and</w:t>
      </w:r>
      <w:r w:rsidR="00AD330D">
        <w:rPr>
          <w:rFonts w:eastAsia="ヒラギノ角ゴ Pro W3"/>
          <w:lang w:eastAsia="en-GB"/>
        </w:rPr>
        <w:t> </w:t>
      </w:r>
      <w:r w:rsidRPr="006D43E2">
        <w:rPr>
          <w:rFonts w:eastAsia="ヒラギノ角ゴ Pro W3"/>
          <w:lang w:eastAsia="en-GB"/>
        </w:rPr>
        <w:t>Assessment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BC20DC" w:rsidRPr="006D43E2" w:rsidTr="005B5486">
        <w:trPr>
          <w:jc w:val="center"/>
        </w:trPr>
        <w:tc>
          <w:tcPr>
            <w:tcW w:w="9637" w:type="dxa"/>
            <w:shd w:val="clear" w:color="auto" w:fill="auto"/>
          </w:tcPr>
          <w:p w:rsidR="00BC20DC" w:rsidRPr="006D43E2" w:rsidRDefault="00BC20DC" w:rsidP="005B5486">
            <w:pPr>
              <w:spacing w:before="200" w:after="120"/>
              <w:ind w:left="255"/>
              <w:rPr>
                <w:rFonts w:eastAsia="ヒラギノ角ゴ Pro W3"/>
                <w:b/>
                <w:i/>
                <w:sz w:val="24"/>
                <w:lang w:eastAsia="en-GB"/>
              </w:rPr>
            </w:pPr>
            <w:r w:rsidRPr="006D43E2">
              <w:rPr>
                <w:rFonts w:eastAsia="ヒラギノ角ゴ Pro W3"/>
                <w:i/>
                <w:sz w:val="24"/>
                <w:lang w:eastAsia="en-GB"/>
              </w:rPr>
              <w:t>Summary</w:t>
            </w:r>
          </w:p>
        </w:tc>
      </w:tr>
      <w:tr w:rsidR="00BC20DC" w:rsidRPr="006D43E2" w:rsidTr="005B5486">
        <w:trPr>
          <w:jc w:val="center"/>
        </w:trPr>
        <w:tc>
          <w:tcPr>
            <w:tcW w:w="9637" w:type="dxa"/>
            <w:shd w:val="clear" w:color="auto" w:fill="auto"/>
          </w:tcPr>
          <w:p w:rsidR="00BC20DC" w:rsidRPr="006D43E2" w:rsidRDefault="00BC20DC" w:rsidP="005B5486">
            <w:pPr>
              <w:pStyle w:val="SingleTxtG"/>
              <w:rPr>
                <w:rFonts w:eastAsia="ヒラギノ角ゴ Pro W3"/>
              </w:rPr>
            </w:pPr>
            <w:r w:rsidRPr="006D43E2">
              <w:rPr>
                <w:rFonts w:eastAsia="ヒラギノ角ゴ Pro W3"/>
              </w:rPr>
              <w:tab/>
            </w:r>
            <w:r w:rsidRPr="006D43E2">
              <w:rPr>
                <w:rFonts w:eastAsia="ヒラギノ角ゴ Pro W3"/>
              </w:rPr>
              <w:tab/>
            </w:r>
            <w:r w:rsidR="00AD330D">
              <w:rPr>
                <w:rFonts w:eastAsia="ヒラギノ角ゴ Pro W3"/>
              </w:rPr>
              <w:t>A</w:t>
            </w:r>
            <w:r w:rsidRPr="006D43E2">
              <w:rPr>
                <w:rFonts w:eastAsia="ヒラギノ角ゴ Pro W3"/>
              </w:rPr>
              <w:t xml:space="preserve">t the Eighth Environment for Europe Ministerial Conference (Batumi, Georgia, 8–10 June 2016), ministers invited countries to develop their national information systems </w:t>
            </w:r>
            <w:r w:rsidR="00991105">
              <w:rPr>
                <w:rFonts w:eastAsia="ヒラギノ角ゴ Pro W3"/>
              </w:rPr>
              <w:t>to</w:t>
            </w:r>
            <w:r w:rsidRPr="006D43E2">
              <w:rPr>
                <w:rFonts w:eastAsia="ヒラギノ角ゴ Pro W3"/>
              </w:rPr>
              <w:t xml:space="preserve"> have the Shared Environmental Information System in place by 2021 (ECE/BATUMI.CONF/2016/2/Add.1, para. 10). They also invited the Committee on Environmental Policy to convene in 2018 a mid-term review to assess progress in the implementation of the </w:t>
            </w:r>
            <w:r w:rsidR="00162190">
              <w:rPr>
                <w:rFonts w:eastAsia="ヒラギノ角ゴ Pro W3"/>
              </w:rPr>
              <w:t xml:space="preserve">Batumi Conference’s </w:t>
            </w:r>
            <w:r w:rsidRPr="006D43E2">
              <w:rPr>
                <w:rFonts w:eastAsia="ヒラギノ角ゴ Pro W3"/>
              </w:rPr>
              <w:t>main outcomes (ibid., para. 16).</w:t>
            </w:r>
          </w:p>
          <w:p w:rsidR="00BC20DC" w:rsidRPr="006D43E2" w:rsidRDefault="00183C9E" w:rsidP="00307E6E">
            <w:pPr>
              <w:pStyle w:val="SingleTxtG"/>
              <w:rPr>
                <w:rFonts w:eastAsia="ヒラギノ角ゴ Pro W3"/>
              </w:rPr>
            </w:pPr>
            <w:r>
              <w:rPr>
                <w:rFonts w:eastAsia="ヒラギノ角ゴ Pro W3"/>
              </w:rPr>
              <w:tab/>
            </w:r>
            <w:r>
              <w:rPr>
                <w:rFonts w:eastAsia="ヒラギノ角ゴ Pro W3"/>
              </w:rPr>
              <w:tab/>
            </w:r>
            <w:r w:rsidR="00BC20DC" w:rsidRPr="00116939">
              <w:rPr>
                <w:rFonts w:eastAsia="ヒラギノ角ゴ Pro W3"/>
              </w:rPr>
              <w:t>The present document</w:t>
            </w:r>
            <w:r w:rsidR="00116939" w:rsidRPr="00116939">
              <w:rPr>
                <w:rFonts w:eastAsia="ヒラギノ角ゴ Pro W3"/>
              </w:rPr>
              <w:t>,</w:t>
            </w:r>
            <w:r w:rsidR="00BC20DC" w:rsidRPr="00116939">
              <w:rPr>
                <w:rFonts w:eastAsia="ヒラギノ角ゴ Pro W3"/>
              </w:rPr>
              <w:t xml:space="preserve"> prepared by the Working Group</w:t>
            </w:r>
            <w:r w:rsidR="00BC20DC" w:rsidRPr="00116939">
              <w:t xml:space="preserve"> </w:t>
            </w:r>
            <w:r w:rsidR="00BC20DC" w:rsidRPr="00116939">
              <w:rPr>
                <w:rFonts w:eastAsia="ヒラギノ角ゴ Pro W3"/>
              </w:rPr>
              <w:t>on Environmental Monitoring and Assessment with support from the secr</w:t>
            </w:r>
            <w:r w:rsidR="00162190">
              <w:rPr>
                <w:rFonts w:eastAsia="ヒラギノ角ゴ Pro W3"/>
              </w:rPr>
              <w:t>e</w:t>
            </w:r>
            <w:r w:rsidR="00BC20DC" w:rsidRPr="00116939">
              <w:rPr>
                <w:rFonts w:eastAsia="ヒラギノ角ゴ Pro W3"/>
              </w:rPr>
              <w:t xml:space="preserve">tariat, </w:t>
            </w:r>
            <w:r w:rsidR="00116939" w:rsidRPr="00116939">
              <w:rPr>
                <w:rFonts w:eastAsia="ヒラギノ角ゴ Pro W3"/>
              </w:rPr>
              <w:t xml:space="preserve">aims to </w:t>
            </w:r>
            <w:r w:rsidR="0051439C">
              <w:rPr>
                <w:rFonts w:eastAsia="ヒラギノ角ゴ Pro W3"/>
              </w:rPr>
              <w:t xml:space="preserve">facilitate </w:t>
            </w:r>
            <w:r w:rsidR="00116939" w:rsidRPr="00116939">
              <w:rPr>
                <w:rFonts w:eastAsia="ヒラギノ角ゴ Pro W3"/>
              </w:rPr>
              <w:t>t</w:t>
            </w:r>
            <w:r w:rsidRPr="00116939">
              <w:rPr>
                <w:rFonts w:eastAsia="ヒラギノ角ゴ Pro W3"/>
              </w:rPr>
              <w:t xml:space="preserve">he </w:t>
            </w:r>
            <w:r w:rsidR="00162190">
              <w:rPr>
                <w:rFonts w:eastAsia="ヒラギノ角ゴ Pro W3"/>
              </w:rPr>
              <w:t xml:space="preserve">Committee’s </w:t>
            </w:r>
            <w:r w:rsidR="0051439C">
              <w:rPr>
                <w:rFonts w:eastAsia="ヒラギノ角ゴ Pro W3"/>
              </w:rPr>
              <w:t xml:space="preserve">mid-term </w:t>
            </w:r>
            <w:r w:rsidRPr="00116939">
              <w:rPr>
                <w:rFonts w:eastAsia="ヒラギノ角ゴ Pro W3"/>
              </w:rPr>
              <w:t>review</w:t>
            </w:r>
            <w:r w:rsidR="00162190">
              <w:rPr>
                <w:rFonts w:eastAsia="ヒラギノ角ゴ Pro W3"/>
              </w:rPr>
              <w:t>, which will be conducted during the Committee’s twenty-fourth session</w:t>
            </w:r>
            <w:r w:rsidRPr="00116939">
              <w:rPr>
                <w:rFonts w:eastAsia="ヒラギノ角ゴ Pro W3"/>
              </w:rPr>
              <w:t>.</w:t>
            </w:r>
            <w:r w:rsidR="00116939" w:rsidRPr="00116939">
              <w:rPr>
                <w:rFonts w:eastAsia="ヒラギノ角ゴ Pro W3"/>
              </w:rPr>
              <w:t xml:space="preserve"> </w:t>
            </w:r>
            <w:r w:rsidR="00162190">
              <w:rPr>
                <w:rFonts w:eastAsia="ヒラギノ角ゴ Pro W3"/>
              </w:rPr>
              <w:t xml:space="preserve">The report </w:t>
            </w:r>
            <w:r w:rsidR="00116939" w:rsidRPr="00116939">
              <w:rPr>
                <w:rFonts w:eastAsia="ヒラギノ角ゴ Pro W3"/>
              </w:rPr>
              <w:t>was prepared in accordance with the template for mid-term review reports (ECE/CEP/2017/16, annex II) and using the updated assessment framework for monitoring progress in establishing the Shared Environmental Information System (ECE/CEP/AC.10/2018/5).</w:t>
            </w:r>
            <w:r w:rsidR="00116939">
              <w:rPr>
                <w:rFonts w:eastAsia="ヒラギノ角ゴ Pro W3"/>
              </w:rPr>
              <w:t xml:space="preserve"> </w:t>
            </w:r>
          </w:p>
        </w:tc>
      </w:tr>
      <w:tr w:rsidR="00BC20DC" w:rsidRPr="006D43E2" w:rsidTr="005B5486">
        <w:trPr>
          <w:jc w:val="center"/>
        </w:trPr>
        <w:tc>
          <w:tcPr>
            <w:tcW w:w="9637" w:type="dxa"/>
            <w:shd w:val="clear" w:color="auto" w:fill="auto"/>
          </w:tcPr>
          <w:p w:rsidR="00BC20DC" w:rsidRPr="006D43E2" w:rsidRDefault="00BC20DC" w:rsidP="005B5486">
            <w:pPr>
              <w:spacing w:line="240" w:lineRule="auto"/>
              <w:ind w:right="1134"/>
              <w:jc w:val="both"/>
              <w:rPr>
                <w:rFonts w:eastAsia="ヒラギノ角ゴ Pro W3"/>
                <w:lang w:eastAsia="en-GB"/>
              </w:rPr>
            </w:pPr>
          </w:p>
        </w:tc>
      </w:tr>
    </w:tbl>
    <w:p w:rsidR="005B5486" w:rsidRPr="006D43E2" w:rsidRDefault="005B5486" w:rsidP="00BC20DC">
      <w:pPr>
        <w:suppressAutoHyphens w:val="0"/>
        <w:spacing w:line="240" w:lineRule="auto"/>
        <w:rPr>
          <w:b/>
          <w:sz w:val="28"/>
        </w:rPr>
      </w:pPr>
      <w:r w:rsidRPr="006D43E2">
        <w:rPr>
          <w:b/>
          <w:sz w:val="28"/>
        </w:rPr>
        <w:br w:type="page"/>
      </w:r>
      <w:bookmarkStart w:id="1" w:name="_GoBack"/>
      <w:bookmarkEnd w:id="1"/>
    </w:p>
    <w:p w:rsidR="00BC20DC" w:rsidRPr="006D43E2" w:rsidRDefault="00BC20DC" w:rsidP="005B5486">
      <w:pPr>
        <w:pStyle w:val="HChG"/>
      </w:pPr>
      <w:r w:rsidRPr="006D43E2">
        <w:lastRenderedPageBreak/>
        <w:tab/>
        <w:t>I.</w:t>
      </w:r>
      <w:r w:rsidRPr="006D43E2">
        <w:tab/>
        <w:t xml:space="preserve">Overview of main achievements and key findings </w:t>
      </w:r>
    </w:p>
    <w:p w:rsidR="00BC20DC" w:rsidRPr="006D43E2" w:rsidRDefault="00BC20DC" w:rsidP="00BC20DC">
      <w:pPr>
        <w:pStyle w:val="SingleTxtG"/>
      </w:pPr>
      <w:r w:rsidRPr="006D43E2">
        <w:t>1.</w:t>
      </w:r>
      <w:r w:rsidRPr="006D43E2">
        <w:tab/>
        <w:t xml:space="preserve">The </w:t>
      </w:r>
      <w:r w:rsidR="00116939">
        <w:t xml:space="preserve">present document, prepared for the </w:t>
      </w:r>
      <w:r w:rsidRPr="006D43E2">
        <w:t>mid-term review of the Shared Environmental Information System in Europe and Central Asia</w:t>
      </w:r>
      <w:r w:rsidR="00116939">
        <w:t>,</w:t>
      </w:r>
      <w:r w:rsidRPr="006D43E2">
        <w:t xml:space="preserve"> is based on an assessment framework developed by the Working Group on Environmental Monitoring and Assessment</w:t>
      </w:r>
      <w:r w:rsidR="00116939">
        <w:t xml:space="preserve"> (</w:t>
      </w:r>
      <w:r w:rsidR="00116939" w:rsidRPr="00635DB8">
        <w:t>ECE/CEP/AC.10/2018/5</w:t>
      </w:r>
      <w:r w:rsidR="00116939">
        <w:t>)</w:t>
      </w:r>
      <w:r w:rsidRPr="006D43E2">
        <w:t xml:space="preserve">, in close cooperation with the United Nations Economic Commission for Europe (ECE), the United Nations Environment Programme (UNEP) and the European Environment Agency. The </w:t>
      </w:r>
      <w:r w:rsidR="00116939">
        <w:t>a</w:t>
      </w:r>
      <w:r w:rsidRPr="006D43E2">
        <w:t xml:space="preserve">ssessment </w:t>
      </w:r>
      <w:r w:rsidR="00116939">
        <w:t>f</w:t>
      </w:r>
      <w:r w:rsidRPr="006D43E2">
        <w:t>ramework focuses on the quality of the ECE environmental indicators</w:t>
      </w:r>
      <w:r w:rsidRPr="006D43E2">
        <w:rPr>
          <w:rStyle w:val="FootnoteReference"/>
        </w:rPr>
        <w:footnoteReference w:id="2"/>
      </w:r>
      <w:r w:rsidRPr="006D43E2">
        <w:t xml:space="preserve"> and addresses limitations associated with the earlier assessment </w:t>
      </w:r>
      <w:r w:rsidR="00116939">
        <w:t xml:space="preserve">of the Shared Environmental Information System </w:t>
      </w:r>
      <w:r w:rsidRPr="006D43E2">
        <w:t>in 2016</w:t>
      </w:r>
      <w:r w:rsidR="00116939">
        <w:t xml:space="preserve"> (ECE/BATUMI.CONF/2016/8)</w:t>
      </w:r>
      <w:r w:rsidRPr="006D43E2">
        <w:t xml:space="preserve">. </w:t>
      </w:r>
    </w:p>
    <w:p w:rsidR="00BC20DC" w:rsidRPr="006D43E2" w:rsidRDefault="00BC20DC" w:rsidP="00615E61">
      <w:pPr>
        <w:pStyle w:val="SingleTxtG"/>
      </w:pPr>
      <w:r w:rsidRPr="006D43E2">
        <w:t>2.</w:t>
      </w:r>
      <w:r w:rsidRPr="006D43E2">
        <w:tab/>
        <w:t xml:space="preserve">The </w:t>
      </w:r>
      <w:r w:rsidR="00514BEB">
        <w:t xml:space="preserve">present </w:t>
      </w:r>
      <w:r w:rsidR="008D0863">
        <w:t xml:space="preserve">report </w:t>
      </w:r>
      <w:r w:rsidRPr="006D43E2">
        <w:t xml:space="preserve">builds on countries’ responses to </w:t>
      </w:r>
      <w:r w:rsidR="00162190">
        <w:t xml:space="preserve">the </w:t>
      </w:r>
      <w:r w:rsidRPr="006D43E2">
        <w:t>self-assessment questionnaire</w:t>
      </w:r>
      <w:r w:rsidR="00162190">
        <w:t xml:space="preserve"> contained in </w:t>
      </w:r>
      <w:r w:rsidRPr="006D43E2">
        <w:t xml:space="preserve">the </w:t>
      </w:r>
      <w:r w:rsidR="00514BEB">
        <w:t>a</w:t>
      </w:r>
      <w:r w:rsidRPr="006D43E2">
        <w:t xml:space="preserve">ssessment </w:t>
      </w:r>
      <w:r w:rsidR="00514BEB">
        <w:t>f</w:t>
      </w:r>
      <w:r w:rsidRPr="006D43E2">
        <w:t>ramework</w:t>
      </w:r>
      <w:r w:rsidR="00162190">
        <w:t xml:space="preserve">, </w:t>
      </w:r>
      <w:r w:rsidRPr="006D43E2">
        <w:t>covering seven categories that are associated with data production and use of the ECE environmental indicators</w:t>
      </w:r>
      <w:r w:rsidR="00615E61">
        <w:t>:</w:t>
      </w:r>
      <w:r w:rsidRPr="006D43E2">
        <w:t xml:space="preserve"> relevance; accuracy; timeliness and punctuality; accessibility; clarity; comparability; and institutional and organizational arrangements. The review </w:t>
      </w:r>
      <w:r w:rsidR="00162190">
        <w:t xml:space="preserve">report </w:t>
      </w:r>
      <w:r w:rsidRPr="006D43E2">
        <w:t>addresses all three pillars</w:t>
      </w:r>
      <w:r w:rsidR="0092372A">
        <w:t xml:space="preserve"> of the Shared Environmental Information System</w:t>
      </w:r>
      <w:r w:rsidRPr="006D43E2">
        <w:t xml:space="preserve"> –– </w:t>
      </w:r>
      <w:r w:rsidR="00502162">
        <w:t xml:space="preserve">common </w:t>
      </w:r>
      <w:r w:rsidRPr="006D43E2">
        <w:t xml:space="preserve">content, infrastructure and cooperation –– and all seven </w:t>
      </w:r>
      <w:r w:rsidR="00615E61">
        <w:t>Shared Environmental Information System</w:t>
      </w:r>
      <w:r w:rsidRPr="006D43E2">
        <w:t xml:space="preserve"> principles</w:t>
      </w:r>
      <w:r w:rsidR="00615E61">
        <w:t xml:space="preserve"> (ECE/CEP/AC.10/2018/5, para. 36)</w:t>
      </w:r>
      <w:r w:rsidRPr="006D43E2">
        <w:t>, unlike previous assessments. The present exercise is furthermore a trial</w:t>
      </w:r>
      <w:r w:rsidR="00615E61">
        <w:t xml:space="preserve"> </w:t>
      </w:r>
      <w:r w:rsidRPr="006D43E2">
        <w:t xml:space="preserve">run of the </w:t>
      </w:r>
      <w:r w:rsidR="00615E61">
        <w:t>updated a</w:t>
      </w:r>
      <w:r w:rsidRPr="006D43E2">
        <w:t xml:space="preserve">ssessment </w:t>
      </w:r>
      <w:r w:rsidR="00615E61">
        <w:t>f</w:t>
      </w:r>
      <w:r w:rsidRPr="006D43E2">
        <w:t xml:space="preserve">ramework, leading up to the </w:t>
      </w:r>
      <w:r w:rsidR="00615E61">
        <w:t xml:space="preserve">assessment to </w:t>
      </w:r>
      <w:r w:rsidR="00307E6E">
        <w:t xml:space="preserve">be </w:t>
      </w:r>
      <w:r w:rsidR="00615E61">
        <w:t xml:space="preserve">presented to ministers at </w:t>
      </w:r>
      <w:r w:rsidRPr="006D43E2">
        <w:t>the Ninth Environment for Europe Ministerial Conference</w:t>
      </w:r>
      <w:r w:rsidR="00615E61">
        <w:t xml:space="preserve"> </w:t>
      </w:r>
      <w:r w:rsidRPr="006D43E2">
        <w:t>in 2021.</w:t>
      </w:r>
    </w:p>
    <w:p w:rsidR="00BC20DC" w:rsidRPr="006D43E2" w:rsidRDefault="00BC20DC" w:rsidP="00BC20DC">
      <w:pPr>
        <w:pStyle w:val="SingleTxtG"/>
      </w:pPr>
      <w:r w:rsidRPr="006D43E2">
        <w:t>3.</w:t>
      </w:r>
      <w:r w:rsidRPr="006D43E2">
        <w:tab/>
      </w:r>
      <w:r w:rsidR="004930F4">
        <w:t>S</w:t>
      </w:r>
      <w:r w:rsidRPr="006D43E2">
        <w:t xml:space="preserve">elf-assessments </w:t>
      </w:r>
      <w:r w:rsidR="004930F4">
        <w:t xml:space="preserve">were </w:t>
      </w:r>
      <w:r w:rsidRPr="006D43E2">
        <w:t>submitted by 34 of the 53 ECE member States in Europe and Central Asia:</w:t>
      </w:r>
      <w:r w:rsidRPr="00F8678E">
        <w:rPr>
          <w:vertAlign w:val="superscript"/>
        </w:rPr>
        <w:footnoteReference w:id="3"/>
      </w:r>
      <w:r w:rsidRPr="006D43E2">
        <w:t xml:space="preserve"> </w:t>
      </w:r>
      <w:bookmarkStart w:id="2" w:name="_Hlk525140056"/>
      <w:r w:rsidRPr="006D43E2">
        <w:t>Albania, Armenia, Azerbaijan, Belarus, Belgium, Bosnia and Herzegovina, Bulgaria, Croatia, Estonia, Finland, France, Germany, Georgia, Hungary, Italy, Kazakhstan, Kyrgyzstan, Latvia, Lithuania, Montenegro, Poland, Republic of Moldova, Romania, Russian Federation, Serbia, Slovakia, Sweden, Switzerland, Tajikistan, the former Yugoslav Republic of Macedonia, Turkey, Turkmenistan, Ukraine and Uzbekistan</w:t>
      </w:r>
      <w:bookmarkEnd w:id="2"/>
      <w:r w:rsidRPr="006D43E2">
        <w:t>. All member States with economies in transition submitted self-assessments.</w:t>
      </w:r>
    </w:p>
    <w:p w:rsidR="00BC20DC" w:rsidRPr="006D43E2" w:rsidRDefault="00BC20DC" w:rsidP="00BC20DC">
      <w:pPr>
        <w:pStyle w:val="SingleTxtG"/>
      </w:pPr>
      <w:r w:rsidRPr="006D43E2">
        <w:t>4.</w:t>
      </w:r>
      <w:r w:rsidRPr="006D43E2">
        <w:tab/>
        <w:t xml:space="preserve">The </w:t>
      </w:r>
      <w:r w:rsidR="008D0863">
        <w:t xml:space="preserve">mid-term review report </w:t>
      </w:r>
      <w:r w:rsidRPr="006D43E2">
        <w:t xml:space="preserve">is limited to seven data flows, covering three of the ECE environmental indicators. For theme A on air pollution and ozone depletion and indicator A2 (on ambient air quality in urban areas), the four data flows were </w:t>
      </w:r>
      <w:r w:rsidR="00E47E73">
        <w:t xml:space="preserve">for </w:t>
      </w:r>
      <w:r w:rsidRPr="006D43E2">
        <w:t>annual average concentrations of particulate matter with a diameter of 10 micrometres or less</w:t>
      </w:r>
      <w:r w:rsidR="00E47E73">
        <w:t xml:space="preserve"> (PM</w:t>
      </w:r>
      <w:r w:rsidR="00E47E73" w:rsidRPr="00F8678E">
        <w:rPr>
          <w:vertAlign w:val="subscript"/>
        </w:rPr>
        <w:t>10</w:t>
      </w:r>
      <w:r w:rsidRPr="006D43E2">
        <w:t>), sulphur dioxide, nitrogen dioxide and ground-level ozone. For theme C on water and indicator C10 (on biochemical oxygen demand (BOD) and concentration of ammonium in rivers), the two data flows addressed the mean concentration of BOD</w:t>
      </w:r>
      <w:r w:rsidRPr="00F8678E">
        <w:rPr>
          <w:vertAlign w:val="subscript"/>
        </w:rPr>
        <w:t>5</w:t>
      </w:r>
      <w:r w:rsidRPr="006D43E2">
        <w:t xml:space="preserve"> (</w:t>
      </w:r>
      <w:r w:rsidR="00E47E73">
        <w:t>five</w:t>
      </w:r>
      <w:r w:rsidRPr="006D43E2">
        <w:t xml:space="preserve">-day BOD) and ammonium in major rivers. Lastly, for theme D on biodiversity and indicator D1 (on protected areas), the data flow was </w:t>
      </w:r>
      <w:r w:rsidR="00E47E73">
        <w:t xml:space="preserve">for </w:t>
      </w:r>
      <w:r w:rsidRPr="006D43E2">
        <w:t>total protected areas.</w:t>
      </w:r>
    </w:p>
    <w:p w:rsidR="00BC20DC" w:rsidRPr="006D43E2" w:rsidRDefault="00BC20DC" w:rsidP="00BC20DC">
      <w:pPr>
        <w:pStyle w:val="SingleTxtG"/>
      </w:pPr>
      <w:r w:rsidRPr="006D43E2">
        <w:t>5.</w:t>
      </w:r>
      <w:r w:rsidRPr="006D43E2">
        <w:tab/>
        <w:t xml:space="preserve">More information on the </w:t>
      </w:r>
      <w:r w:rsidR="00E47E73">
        <w:t>a</w:t>
      </w:r>
      <w:r w:rsidRPr="006D43E2">
        <w:t xml:space="preserve">ssessment </w:t>
      </w:r>
      <w:r w:rsidR="00E47E73">
        <w:t>f</w:t>
      </w:r>
      <w:r w:rsidRPr="006D43E2">
        <w:t xml:space="preserve">ramework and data collection for the </w:t>
      </w:r>
      <w:r w:rsidR="008D0863">
        <w:t xml:space="preserve">mid-term review report </w:t>
      </w:r>
      <w:r w:rsidRPr="006D43E2">
        <w:t xml:space="preserve">is provided in </w:t>
      </w:r>
      <w:r w:rsidR="00BE34CA">
        <w:t xml:space="preserve">an </w:t>
      </w:r>
      <w:r w:rsidRPr="006D43E2">
        <w:t>annex</w:t>
      </w:r>
      <w:r w:rsidR="00BE34CA">
        <w:t xml:space="preserve"> to the present document</w:t>
      </w:r>
      <w:r w:rsidRPr="006D43E2">
        <w:t>.</w:t>
      </w:r>
    </w:p>
    <w:p w:rsidR="00BC20DC" w:rsidRPr="006D43E2" w:rsidRDefault="00BC20DC" w:rsidP="00BC20DC">
      <w:pPr>
        <w:pStyle w:val="H1G"/>
      </w:pPr>
      <w:r w:rsidRPr="006D43E2">
        <w:tab/>
        <w:t>A.</w:t>
      </w:r>
      <w:r w:rsidRPr="006D43E2">
        <w:tab/>
        <w:t>Working Group recommendations</w:t>
      </w:r>
    </w:p>
    <w:p w:rsidR="00BC20DC" w:rsidRPr="006D43E2" w:rsidRDefault="00BC20DC" w:rsidP="00BC20DC">
      <w:pPr>
        <w:pStyle w:val="SingleTxtG"/>
      </w:pPr>
      <w:r w:rsidRPr="006D43E2">
        <w:t>6.</w:t>
      </w:r>
      <w:r w:rsidRPr="006D43E2">
        <w:tab/>
        <w:t xml:space="preserve">Based on key findings and results </w:t>
      </w:r>
      <w:r w:rsidR="008D0863">
        <w:t xml:space="preserve">of </w:t>
      </w:r>
      <w:r w:rsidRPr="006D43E2">
        <w:t xml:space="preserve">the </w:t>
      </w:r>
      <w:r w:rsidR="00E47E73">
        <w:t>present assessment</w:t>
      </w:r>
      <w:r w:rsidRPr="006D43E2">
        <w:t xml:space="preserve">, as presented in the sections below, the Working Group recommends </w:t>
      </w:r>
      <w:r w:rsidR="004566F3">
        <w:t xml:space="preserve">that </w:t>
      </w:r>
      <w:r w:rsidRPr="006D43E2">
        <w:t>countries:</w:t>
      </w:r>
    </w:p>
    <w:p w:rsidR="00BC20DC" w:rsidRPr="006D43E2" w:rsidRDefault="00BC20DC" w:rsidP="00BC20DC">
      <w:pPr>
        <w:pStyle w:val="SingleTxtG"/>
        <w:ind w:firstLine="567"/>
      </w:pPr>
      <w:r w:rsidRPr="006D43E2">
        <w:lastRenderedPageBreak/>
        <w:t>(a)</w:t>
      </w:r>
      <w:r w:rsidRPr="006D43E2">
        <w:tab/>
        <w:t>Improve regular data production and the publication of environmental information online. Environmental authorities are encouraged to work closely with their corresponding national statistical agencies to integrate and share information;</w:t>
      </w:r>
    </w:p>
    <w:p w:rsidR="00BC20DC" w:rsidRPr="006D43E2" w:rsidRDefault="00BC20DC" w:rsidP="00BC20DC">
      <w:pPr>
        <w:pStyle w:val="SingleTxtG"/>
        <w:ind w:firstLine="567"/>
      </w:pPr>
      <w:r w:rsidRPr="006D43E2">
        <w:t>(b)</w:t>
      </w:r>
      <w:r w:rsidRPr="006D43E2">
        <w:tab/>
        <w:t xml:space="preserve">Continue work on the integration and harmonization of environmental data flows, in line with the </w:t>
      </w:r>
      <w:r w:rsidR="008D0863">
        <w:t>Shared Environmental Information System</w:t>
      </w:r>
      <w:r w:rsidRPr="006D43E2">
        <w:t xml:space="preserve"> principles and taking into account the System of Environmental</w:t>
      </w:r>
      <w:r w:rsidR="008D0863">
        <w:t>-</w:t>
      </w:r>
      <w:r w:rsidRPr="006D43E2">
        <w:t>Economic Accounting;</w:t>
      </w:r>
    </w:p>
    <w:p w:rsidR="00BC20DC" w:rsidRPr="006D43E2" w:rsidRDefault="00BC20DC" w:rsidP="00BC20DC">
      <w:pPr>
        <w:pStyle w:val="SingleTxtG"/>
        <w:ind w:firstLine="567"/>
      </w:pPr>
      <w:r w:rsidRPr="006D43E2">
        <w:t>(c)</w:t>
      </w:r>
      <w:r w:rsidRPr="006D43E2">
        <w:tab/>
        <w:t xml:space="preserve">Address gaps in </w:t>
      </w:r>
      <w:r w:rsidR="008D0863">
        <w:t xml:space="preserve">the </w:t>
      </w:r>
      <w:r w:rsidRPr="006D43E2">
        <w:t>establishment</w:t>
      </w:r>
      <w:r w:rsidR="008D0863">
        <w:t xml:space="preserve"> of the Shared Environmental Information System</w:t>
      </w:r>
      <w:r w:rsidRPr="006D43E2">
        <w:t>, particularly leading up to the next progress report, covering relevant pillars, thematic categories and data flows</w:t>
      </w:r>
      <w:r w:rsidR="0092372A">
        <w:t xml:space="preserve"> of the Shared Environmental Information System</w:t>
      </w:r>
      <w:r w:rsidRPr="006D43E2">
        <w:t>;</w:t>
      </w:r>
    </w:p>
    <w:p w:rsidR="00BC20DC" w:rsidRPr="006D43E2" w:rsidRDefault="00BC20DC" w:rsidP="00BC20DC">
      <w:pPr>
        <w:pStyle w:val="SingleTxtG"/>
        <w:ind w:firstLine="567"/>
      </w:pPr>
      <w:r w:rsidRPr="006D43E2">
        <w:t>(d)</w:t>
      </w:r>
      <w:r w:rsidRPr="006D43E2">
        <w:tab/>
        <w:t>Better align data collection processes with national policy contexts and targets and improve the use of available data flows and related indicators in the production of environmental assessments and reports;</w:t>
      </w:r>
    </w:p>
    <w:p w:rsidR="00BC20DC" w:rsidRPr="006D43E2" w:rsidRDefault="00BC20DC" w:rsidP="00BC20DC">
      <w:pPr>
        <w:pStyle w:val="SingleTxtG"/>
        <w:ind w:firstLine="567"/>
      </w:pPr>
      <w:r w:rsidRPr="006D43E2">
        <w:t>(e)</w:t>
      </w:r>
      <w:r w:rsidRPr="006D43E2">
        <w:tab/>
        <w:t>Improve the use of relevant environmental assessments and reports to measure progress against policy targets and objectives and improve policymaking.</w:t>
      </w:r>
    </w:p>
    <w:p w:rsidR="00BC20DC" w:rsidRPr="006D43E2" w:rsidRDefault="00BC20DC" w:rsidP="00BC20DC">
      <w:pPr>
        <w:pStyle w:val="SingleTxtG"/>
      </w:pPr>
      <w:r w:rsidRPr="006D43E2">
        <w:t>7.</w:t>
      </w:r>
      <w:r w:rsidRPr="006D43E2">
        <w:tab/>
      </w:r>
      <w:r w:rsidR="004566F3">
        <w:t xml:space="preserve">The Working Group also </w:t>
      </w:r>
      <w:r w:rsidRPr="006D43E2">
        <w:t>recommend</w:t>
      </w:r>
      <w:r w:rsidR="004566F3">
        <w:t>s</w:t>
      </w:r>
      <w:r w:rsidRPr="006D43E2">
        <w:t xml:space="preserve"> that ECE, UNEP and </w:t>
      </w:r>
      <w:r w:rsidR="004566F3">
        <w:t xml:space="preserve">the </w:t>
      </w:r>
      <w:r w:rsidRPr="006D43E2">
        <w:t>E</w:t>
      </w:r>
      <w:r w:rsidR="004566F3">
        <w:t>uropean Environmental Agency</w:t>
      </w:r>
      <w:r w:rsidRPr="006D43E2">
        <w:t xml:space="preserve"> continue their long-standing and effective cooperation in support of the establishment of </w:t>
      </w:r>
      <w:r w:rsidR="004566F3">
        <w:t>the Shared Environmental Information System</w:t>
      </w:r>
      <w:r w:rsidRPr="006D43E2">
        <w:t xml:space="preserve"> in Europe and Central Asia. These organizations should also actively support countries in the review of progress.</w:t>
      </w:r>
    </w:p>
    <w:p w:rsidR="00BC20DC" w:rsidRPr="006D43E2" w:rsidRDefault="00BC20DC" w:rsidP="00BC20DC">
      <w:pPr>
        <w:pStyle w:val="H1G"/>
      </w:pPr>
      <w:r w:rsidRPr="006D43E2">
        <w:tab/>
        <w:t>B</w:t>
      </w:r>
      <w:r w:rsidRPr="006D43E2">
        <w:tab/>
        <w:t xml:space="preserve">Key </w:t>
      </w:r>
      <w:r w:rsidR="00C706AE">
        <w:t>f</w:t>
      </w:r>
      <w:r w:rsidRPr="006D43E2">
        <w:t>indings</w:t>
      </w:r>
    </w:p>
    <w:p w:rsidR="00BC20DC" w:rsidRPr="006D43E2" w:rsidRDefault="00BC20DC" w:rsidP="00BC20DC">
      <w:pPr>
        <w:pStyle w:val="SingleTxtG"/>
      </w:pPr>
      <w:r w:rsidRPr="006D43E2">
        <w:t>8.</w:t>
      </w:r>
      <w:r w:rsidRPr="006D43E2">
        <w:tab/>
        <w:t xml:space="preserve">The self-assessments confirm that many countries have continued to harmonize relevant data flows and improve the quality of the selected environmental indicators and underpinning data flows since 2016. This demonstrates a positive trend </w:t>
      </w:r>
      <w:r w:rsidR="002D5DF2">
        <w:t xml:space="preserve">since </w:t>
      </w:r>
      <w:r w:rsidRPr="006D43E2">
        <w:t xml:space="preserve">the </w:t>
      </w:r>
      <w:r w:rsidR="002D5DF2">
        <w:t xml:space="preserve">Batumi </w:t>
      </w:r>
      <w:r w:rsidRPr="006D43E2">
        <w:t>Conference.</w:t>
      </w:r>
    </w:p>
    <w:p w:rsidR="00BC20DC" w:rsidRPr="006D43E2" w:rsidRDefault="00BC20DC" w:rsidP="00BC20DC">
      <w:pPr>
        <w:pStyle w:val="SingleTxtG"/>
      </w:pPr>
      <w:r w:rsidRPr="006D43E2">
        <w:t>9.</w:t>
      </w:r>
      <w:r w:rsidRPr="006D43E2">
        <w:tab/>
        <w:t>Results reveal that theme A (air pollution and ozone depletion) has the highest performance scores, followed by D (biodiversity) and C (water). The same applies to the indicator level</w:t>
      </w:r>
      <w:r w:rsidR="002542E2">
        <w:t>,</w:t>
      </w:r>
      <w:r w:rsidRPr="006D43E2">
        <w:t xml:space="preserve"> as only one indicator was assessed per theme. At the data flow level, the average score was highest for air quality (sulphur dioxide, PM</w:t>
      </w:r>
      <w:r w:rsidRPr="00F8678E">
        <w:rPr>
          <w:vertAlign w:val="subscript"/>
        </w:rPr>
        <w:t>10</w:t>
      </w:r>
      <w:r w:rsidRPr="006D43E2">
        <w:t>, ground-level ozone and nitrogen dioxide), followed by total protected areas, ammonium in major rivers and BOD5 in major rivers.</w:t>
      </w:r>
    </w:p>
    <w:p w:rsidR="00BC20DC" w:rsidRPr="006D43E2" w:rsidRDefault="00BC20DC" w:rsidP="00BC20DC">
      <w:pPr>
        <w:pStyle w:val="SingleTxtG"/>
      </w:pPr>
      <w:r w:rsidRPr="006D43E2">
        <w:t>10.</w:t>
      </w:r>
      <w:r w:rsidRPr="006D43E2">
        <w:tab/>
        <w:t xml:space="preserve">Most of the data flows are used for different purposes and </w:t>
      </w:r>
      <w:r w:rsidR="002542E2">
        <w:t xml:space="preserve">are </w:t>
      </w:r>
      <w:r w:rsidRPr="006D43E2">
        <w:t>converted into different formats</w:t>
      </w:r>
      <w:r w:rsidR="002542E2">
        <w:t xml:space="preserve">, such as </w:t>
      </w:r>
      <w:r w:rsidRPr="006D43E2">
        <w:t>tables and maps. There is also generally consistency between national and ECE indicators included in the review. These are positive developments. However, the use of the indicators in state-of-the-environment reporting remains poor.</w:t>
      </w:r>
    </w:p>
    <w:p w:rsidR="00BC20DC" w:rsidRPr="006D43E2" w:rsidRDefault="00BC20DC" w:rsidP="00BC20DC">
      <w:pPr>
        <w:pStyle w:val="SingleTxtG"/>
      </w:pPr>
      <w:r w:rsidRPr="006D43E2">
        <w:t>11.</w:t>
      </w:r>
      <w:r w:rsidRPr="006D43E2">
        <w:tab/>
        <w:t xml:space="preserve">Nearly all countries highlighted limitations in comparing data flows across regions or between countries. </w:t>
      </w:r>
      <w:r w:rsidR="002542E2">
        <w:t xml:space="preserve">A </w:t>
      </w:r>
      <w:r w:rsidRPr="006D43E2">
        <w:t xml:space="preserve">prominent example </w:t>
      </w:r>
      <w:r w:rsidR="002542E2">
        <w:t xml:space="preserve">is that </w:t>
      </w:r>
      <w:r w:rsidRPr="006D43E2">
        <w:t>for protected areas many countries provided information on national categories of protected areas rather than using the categories established by the International Union for Conservation of Nature</w:t>
      </w:r>
      <w:r w:rsidR="00D8727C">
        <w:t xml:space="preserve"> (IUCN)</w:t>
      </w:r>
      <w:r w:rsidRPr="006D43E2">
        <w:t xml:space="preserve">, as foreseen by the relevant ECE environmental indicator. </w:t>
      </w:r>
      <w:r w:rsidR="002542E2">
        <w:t>F</w:t>
      </w:r>
      <w:r w:rsidRPr="006D43E2">
        <w:t xml:space="preserve">urther efforts </w:t>
      </w:r>
      <w:r w:rsidR="002542E2">
        <w:t xml:space="preserve">are therefore needed </w:t>
      </w:r>
      <w:r w:rsidRPr="006D43E2">
        <w:t>to harmonize data flows across the region, including in view of reporting obligations and for use in thematic assessments at different geographical levels</w:t>
      </w:r>
      <w:r w:rsidR="002542E2">
        <w:t>,</w:t>
      </w:r>
      <w:r w:rsidRPr="006D43E2">
        <w:t xml:space="preserve"> </w:t>
      </w:r>
      <w:r w:rsidR="002542E2">
        <w:t xml:space="preserve">such as </w:t>
      </w:r>
      <w:r w:rsidRPr="006D43E2">
        <w:t>for transboundary ecosystems or river basins.</w:t>
      </w:r>
    </w:p>
    <w:p w:rsidR="00BC20DC" w:rsidRPr="006D43E2" w:rsidRDefault="00BC20DC" w:rsidP="00BC20DC">
      <w:pPr>
        <w:pStyle w:val="SingleTxtG"/>
      </w:pPr>
      <w:r w:rsidRPr="006D43E2">
        <w:t>12.</w:t>
      </w:r>
      <w:r w:rsidRPr="006D43E2">
        <w:tab/>
        <w:t>The</w:t>
      </w:r>
      <w:r w:rsidR="002542E2">
        <w:t>se</w:t>
      </w:r>
      <w:r w:rsidRPr="006D43E2">
        <w:t xml:space="preserve"> </w:t>
      </w:r>
      <w:r w:rsidR="002542E2">
        <w:t xml:space="preserve">findings </w:t>
      </w:r>
      <w:r w:rsidRPr="006D43E2">
        <w:t xml:space="preserve">demonstrate the inherent value in continued monitoring of </w:t>
      </w:r>
      <w:r w:rsidR="002542E2">
        <w:t xml:space="preserve">the </w:t>
      </w:r>
      <w:r w:rsidRPr="006D43E2">
        <w:t xml:space="preserve">establishment </w:t>
      </w:r>
      <w:r w:rsidR="002542E2">
        <w:t xml:space="preserve">of Shared Environmental Information System </w:t>
      </w:r>
      <w:r w:rsidRPr="006D43E2">
        <w:t xml:space="preserve">through a regular self-assessment of progress, particularly as </w:t>
      </w:r>
      <w:r w:rsidR="002542E2">
        <w:t xml:space="preserve">the System </w:t>
      </w:r>
      <w:r w:rsidRPr="006D43E2">
        <w:t>improv</w:t>
      </w:r>
      <w:r w:rsidR="002542E2">
        <w:t>es</w:t>
      </w:r>
      <w:r w:rsidRPr="006D43E2">
        <w:t xml:space="preserve"> the use of relevant environmental data flows across multiple contexts, bodies of knowled</w:t>
      </w:r>
      <w:r w:rsidR="00D91D7D">
        <w:t>ge and policymaking approaches.</w:t>
      </w:r>
    </w:p>
    <w:p w:rsidR="00BC20DC" w:rsidRPr="006D43E2" w:rsidRDefault="00BC20DC" w:rsidP="00BC20DC">
      <w:pPr>
        <w:pStyle w:val="H1G"/>
        <w:rPr>
          <w:sz w:val="28"/>
          <w:szCs w:val="28"/>
          <w:shd w:val="clear" w:color="auto" w:fill="FFFF00"/>
        </w:rPr>
      </w:pPr>
      <w:r w:rsidRPr="006D43E2">
        <w:lastRenderedPageBreak/>
        <w:tab/>
        <w:t>C.</w:t>
      </w:r>
      <w:r w:rsidRPr="006D43E2">
        <w:tab/>
        <w:t>The pillars of the Shared Environmental Information System</w:t>
      </w:r>
    </w:p>
    <w:p w:rsidR="00BC20DC" w:rsidRPr="006D43E2" w:rsidRDefault="00BC20DC" w:rsidP="00BC20DC">
      <w:pPr>
        <w:pStyle w:val="SingleTxtG"/>
      </w:pPr>
      <w:r w:rsidRPr="006D43E2">
        <w:t>13.</w:t>
      </w:r>
      <w:r w:rsidRPr="006D43E2">
        <w:tab/>
      </w:r>
      <w:r w:rsidR="002542E2">
        <w:t>The Shared Environmental Information System</w:t>
      </w:r>
      <w:r w:rsidRPr="006D43E2">
        <w:t xml:space="preserve"> is basically a set of principles, operationalized as a distributed environmental information system that is connected and integrated with the help of modern technologies. The pillars </w:t>
      </w:r>
      <w:r w:rsidR="002542E2">
        <w:t xml:space="preserve">of the </w:t>
      </w:r>
      <w:r w:rsidR="0092372A">
        <w:t>Shared Environmental Information System</w:t>
      </w:r>
      <w:r w:rsidR="0092372A" w:rsidRPr="006D43E2">
        <w:t xml:space="preserve"> </w:t>
      </w:r>
      <w:r w:rsidR="00502162">
        <w:t xml:space="preserve">reinforce </w:t>
      </w:r>
      <w:r w:rsidRPr="006D43E2">
        <w:t xml:space="preserve">the importance of linking environmental data flows, networks, policymakers and governance. All three pillars are considered within the mid-term review </w:t>
      </w:r>
      <w:r w:rsidR="002542E2">
        <w:t xml:space="preserve">report </w:t>
      </w:r>
      <w:r w:rsidR="0092372A" w:rsidRPr="006D43E2">
        <w:t>to</w:t>
      </w:r>
      <w:r w:rsidRPr="006D43E2">
        <w:t xml:space="preserve"> account for the entire data value chain.</w:t>
      </w:r>
    </w:p>
    <w:p w:rsidR="00BC20DC" w:rsidRPr="006D43E2" w:rsidRDefault="005B5486" w:rsidP="00BC20DC">
      <w:pPr>
        <w:pStyle w:val="H23G"/>
      </w:pPr>
      <w:r w:rsidRPr="006D43E2">
        <w:tab/>
      </w:r>
      <w:r w:rsidR="00BC20DC" w:rsidRPr="006D43E2">
        <w:t>1.</w:t>
      </w:r>
      <w:r w:rsidR="00BC20DC" w:rsidRPr="006D43E2">
        <w:tab/>
        <w:t>C</w:t>
      </w:r>
      <w:r w:rsidR="00502162">
        <w:t>ommon c</w:t>
      </w:r>
      <w:r w:rsidR="00BC20DC" w:rsidRPr="006D43E2">
        <w:t>ontent</w:t>
      </w:r>
    </w:p>
    <w:p w:rsidR="00BC20DC" w:rsidRPr="006D43E2" w:rsidRDefault="00BC20DC" w:rsidP="00BC20DC">
      <w:pPr>
        <w:pStyle w:val="SingleTxtG"/>
      </w:pPr>
      <w:r w:rsidRPr="006D43E2">
        <w:t>14.</w:t>
      </w:r>
      <w:r w:rsidRPr="006D43E2">
        <w:tab/>
        <w:t>Countries reported that nearly all of the seven data flows are being produced at the national level (90 per cent). In most cases, primary data from public authorities are accessible (71 per cent).</w:t>
      </w:r>
    </w:p>
    <w:p w:rsidR="00BC20DC" w:rsidRPr="006D43E2" w:rsidRDefault="00BC20DC" w:rsidP="00BC20DC">
      <w:pPr>
        <w:pStyle w:val="SingleTxtG"/>
      </w:pPr>
      <w:r w:rsidRPr="006D43E2">
        <w:t>15.</w:t>
      </w:r>
      <w:r w:rsidRPr="006D43E2">
        <w:tab/>
        <w:t xml:space="preserve">Almost all countries reported that procedures and guidelines for data quality management exist (89 per cent) and that metadata is available for the seven data flows (92 per cent), thus ensuring greater clarity and quality of the information provided. </w:t>
      </w:r>
    </w:p>
    <w:p w:rsidR="00BC20DC" w:rsidRPr="006D43E2" w:rsidRDefault="00BC20DC" w:rsidP="00BC20DC">
      <w:pPr>
        <w:pStyle w:val="SingleTxtG"/>
      </w:pPr>
      <w:r w:rsidRPr="006D43E2">
        <w:t>16.</w:t>
      </w:r>
      <w:r w:rsidRPr="006D43E2">
        <w:tab/>
        <w:t xml:space="preserve">The data flows are most often used to produce different types of content (69 per cent), such as reports and visual representations. This is a positive development, aside from the relatively low use of indicators in state-of-the-environment reporting (see </w:t>
      </w:r>
      <w:r w:rsidR="00CC78F5">
        <w:t>f</w:t>
      </w:r>
      <w:r w:rsidRPr="006D43E2">
        <w:t>igure 3).</w:t>
      </w:r>
    </w:p>
    <w:p w:rsidR="00BC20DC" w:rsidRPr="006D43E2" w:rsidRDefault="00BC20DC" w:rsidP="00BC20DC">
      <w:pPr>
        <w:pStyle w:val="H23G"/>
      </w:pPr>
      <w:r w:rsidRPr="006D43E2">
        <w:tab/>
        <w:t>2.</w:t>
      </w:r>
      <w:r w:rsidRPr="006D43E2">
        <w:tab/>
        <w:t>Infrastructure</w:t>
      </w:r>
    </w:p>
    <w:p w:rsidR="00BC20DC" w:rsidRPr="006D43E2" w:rsidRDefault="00BC20DC" w:rsidP="00BC20DC">
      <w:pPr>
        <w:pStyle w:val="SingleTxtG"/>
      </w:pPr>
      <w:r w:rsidRPr="006D43E2">
        <w:t>17.</w:t>
      </w:r>
      <w:r w:rsidRPr="006D43E2">
        <w:tab/>
        <w:t xml:space="preserve">Nearly all of the seven data flows are readily available and accessible online for users on national platforms (see </w:t>
      </w:r>
      <w:r w:rsidR="005624B1">
        <w:t>f</w:t>
      </w:r>
      <w:r w:rsidRPr="006D43E2">
        <w:t xml:space="preserve">igure 2). This suggests a positive development regarding the accessibility and availability of the data flows, in part, due to efforts to establish </w:t>
      </w:r>
      <w:r w:rsidR="005624B1">
        <w:t>the System</w:t>
      </w:r>
      <w:r w:rsidRPr="006D43E2">
        <w:t>.</w:t>
      </w:r>
    </w:p>
    <w:p w:rsidR="00BC20DC" w:rsidRPr="006D43E2" w:rsidRDefault="00BC20DC" w:rsidP="00BC20DC">
      <w:pPr>
        <w:pStyle w:val="SingleTxtG"/>
      </w:pPr>
      <w:r w:rsidRPr="006D43E2">
        <w:t>18.</w:t>
      </w:r>
      <w:r w:rsidRPr="006D43E2">
        <w:tab/>
        <w:t>Most countries also reported that the seven data flows were readily available and accessible on integrated platforms (90 per cent). Some limitations have</w:t>
      </w:r>
      <w:r w:rsidR="005624B1">
        <w:t>,</w:t>
      </w:r>
      <w:r w:rsidRPr="006D43E2">
        <w:t xml:space="preserve"> however</w:t>
      </w:r>
      <w:r w:rsidR="005624B1">
        <w:t>,</w:t>
      </w:r>
      <w:r w:rsidRPr="006D43E2">
        <w:t xml:space="preserve"> been reported, notably for BOD</w:t>
      </w:r>
      <w:r w:rsidRPr="006D43E2">
        <w:rPr>
          <w:vertAlign w:val="subscript"/>
        </w:rPr>
        <w:t>5</w:t>
      </w:r>
      <w:r w:rsidRPr="006D43E2">
        <w:t xml:space="preserve"> and ammonium in major rivers and total protected areas. Inconsistencies have</w:t>
      </w:r>
      <w:r w:rsidR="00887B8A">
        <w:t>,</w:t>
      </w:r>
      <w:r w:rsidRPr="006D43E2">
        <w:t xml:space="preserve"> moreover</w:t>
      </w:r>
      <w:r w:rsidR="00887B8A">
        <w:t>,</w:t>
      </w:r>
      <w:r w:rsidRPr="006D43E2">
        <w:t xml:space="preserve"> been found in the self-assessments regarding the links provided for the respective data flows</w:t>
      </w:r>
      <w:r w:rsidR="005624B1">
        <w:t>,</w:t>
      </w:r>
      <w:r w:rsidRPr="006D43E2">
        <w:t xml:space="preserve"> as many are not operational or do not indicate a relevant source or platform.</w:t>
      </w:r>
    </w:p>
    <w:p w:rsidR="00BC20DC" w:rsidRPr="006D43E2" w:rsidRDefault="00BC20DC" w:rsidP="00BC20DC">
      <w:pPr>
        <w:pStyle w:val="SingleTxtG"/>
      </w:pPr>
      <w:r w:rsidRPr="006D43E2">
        <w:t>19.</w:t>
      </w:r>
      <w:r w:rsidRPr="006D43E2">
        <w:tab/>
        <w:t xml:space="preserve">Many countries have also established internal procedures, such as regular data validation (79 per cent) and revision (61 per cent) for all the seven data flows. The prevalence of internal procedures </w:t>
      </w:r>
      <w:r w:rsidR="00887B8A">
        <w:t xml:space="preserve">for </w:t>
      </w:r>
      <w:r w:rsidRPr="006D43E2">
        <w:t>how to use and manage the data flows implies that the trustworthiness of the data infrastructure has increased.</w:t>
      </w:r>
    </w:p>
    <w:p w:rsidR="00BC20DC" w:rsidRPr="006D43E2" w:rsidRDefault="00BC20DC" w:rsidP="00BC20DC">
      <w:pPr>
        <w:pStyle w:val="H23G"/>
      </w:pPr>
      <w:r w:rsidRPr="006D43E2">
        <w:tab/>
        <w:t>3.</w:t>
      </w:r>
      <w:r w:rsidRPr="006D43E2">
        <w:tab/>
      </w:r>
      <w:r w:rsidR="00502162">
        <w:t>C</w:t>
      </w:r>
      <w:r w:rsidRPr="006D43E2">
        <w:t>ooperation</w:t>
      </w:r>
    </w:p>
    <w:p w:rsidR="00BC20DC" w:rsidRPr="006D43E2" w:rsidRDefault="00BC20DC" w:rsidP="00BC20DC">
      <w:pPr>
        <w:pStyle w:val="SingleTxtG"/>
      </w:pPr>
      <w:r w:rsidRPr="006D43E2">
        <w:t>20.</w:t>
      </w:r>
      <w:r w:rsidRPr="006D43E2">
        <w:tab/>
        <w:t xml:space="preserve">Countries reported having in place national legislation, plans, programmes or strategies related to the production of the indicators and legal or institutional arrangements for regular production and sharing of data between various institutions at </w:t>
      </w:r>
      <w:r w:rsidR="005624B1">
        <w:t xml:space="preserve">the </w:t>
      </w:r>
      <w:r w:rsidRPr="006D43E2">
        <w:t xml:space="preserve">national level (97 per cent). Effective institutional and administrative capacities at </w:t>
      </w:r>
      <w:r w:rsidR="00887B8A">
        <w:t xml:space="preserve">the </w:t>
      </w:r>
      <w:r w:rsidRPr="006D43E2">
        <w:t>local, regional and national level</w:t>
      </w:r>
      <w:r w:rsidR="00887B8A">
        <w:t>s</w:t>
      </w:r>
      <w:r w:rsidRPr="006D43E2" w:rsidDel="00461616">
        <w:t xml:space="preserve"> </w:t>
      </w:r>
      <w:r w:rsidRPr="006D43E2">
        <w:t xml:space="preserve">are crucial for </w:t>
      </w:r>
      <w:r w:rsidR="005624B1">
        <w:t xml:space="preserve">the </w:t>
      </w:r>
      <w:r w:rsidRPr="006D43E2">
        <w:t>establishment</w:t>
      </w:r>
      <w:r w:rsidR="005624B1">
        <w:t xml:space="preserve"> of the Shared Environmental Information System</w:t>
      </w:r>
      <w:r w:rsidRPr="006D43E2">
        <w:t xml:space="preserve">. </w:t>
      </w:r>
    </w:p>
    <w:p w:rsidR="00BC20DC" w:rsidRPr="006D43E2" w:rsidRDefault="00BC20DC" w:rsidP="00BC20DC">
      <w:pPr>
        <w:pStyle w:val="SingleTxtG"/>
      </w:pPr>
      <w:r w:rsidRPr="006D43E2">
        <w:t>21.</w:t>
      </w:r>
      <w:r w:rsidRPr="006D43E2">
        <w:tab/>
        <w:t xml:space="preserve">Countries from across the region noted that the self-assessment questionnaire facilitated communication between data producers that normally do not share or exchange information. This demonstrates the added value of the </w:t>
      </w:r>
      <w:r w:rsidR="005624B1">
        <w:t>a</w:t>
      </w:r>
      <w:r w:rsidRPr="006D43E2">
        <w:t xml:space="preserve">ssessment </w:t>
      </w:r>
      <w:r w:rsidR="005624B1">
        <w:t>f</w:t>
      </w:r>
      <w:r w:rsidRPr="006D43E2">
        <w:t>ramework as an instrument that can improve communication between data producers. It also highlights the need to improve institutional cooperation between fragmented data producers and users.</w:t>
      </w:r>
    </w:p>
    <w:tbl>
      <w:tblPr>
        <w:tblW w:w="7320"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0"/>
      </w:tblGrid>
      <w:tr w:rsidR="00BC20DC" w:rsidRPr="006D43E2" w:rsidTr="003E011E">
        <w:trPr>
          <w:jc w:val="center"/>
        </w:trPr>
        <w:tc>
          <w:tcPr>
            <w:tcW w:w="7320" w:type="dxa"/>
            <w:tcBorders>
              <w:top w:val="single" w:sz="4" w:space="0" w:color="auto"/>
            </w:tcBorders>
            <w:shd w:val="clear" w:color="auto" w:fill="auto"/>
          </w:tcPr>
          <w:p w:rsidR="00BC20DC" w:rsidRPr="006D43E2" w:rsidRDefault="00BC20DC" w:rsidP="00F8678E">
            <w:pPr>
              <w:pStyle w:val="SingleTxtG"/>
              <w:spacing w:before="240"/>
              <w:ind w:left="561"/>
              <w:jc w:val="left"/>
              <w:rPr>
                <w:b/>
              </w:rPr>
            </w:pPr>
            <w:r w:rsidRPr="006D43E2">
              <w:rPr>
                <w:b/>
              </w:rPr>
              <w:lastRenderedPageBreak/>
              <w:t>Developments since the Eighth Environment for Europe Ministerial</w:t>
            </w:r>
            <w:r w:rsidR="006D43E2">
              <w:rPr>
                <w:b/>
              </w:rPr>
              <w:t> </w:t>
            </w:r>
            <w:r w:rsidRPr="006D43E2">
              <w:rPr>
                <w:b/>
              </w:rPr>
              <w:t>Conference</w:t>
            </w:r>
          </w:p>
        </w:tc>
      </w:tr>
      <w:tr w:rsidR="00BC20DC" w:rsidRPr="006D43E2" w:rsidTr="005B5486">
        <w:trPr>
          <w:jc w:val="center"/>
        </w:trPr>
        <w:tc>
          <w:tcPr>
            <w:tcW w:w="7320" w:type="dxa"/>
            <w:tcBorders>
              <w:bottom w:val="nil"/>
            </w:tcBorders>
            <w:shd w:val="clear" w:color="auto" w:fill="auto"/>
            <w:tcMar>
              <w:left w:w="142" w:type="dxa"/>
              <w:right w:w="142" w:type="dxa"/>
            </w:tcMar>
          </w:tcPr>
          <w:p w:rsidR="00BC20DC" w:rsidRPr="006D43E2" w:rsidRDefault="00BC20DC" w:rsidP="005B54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6" w:right="476"/>
            </w:pPr>
            <w:r w:rsidRPr="006D43E2">
              <w:tab/>
              <w:t xml:space="preserve">Gaps identified in the </w:t>
            </w:r>
            <w:r w:rsidR="005624B1">
              <w:t>Shared Environmental Information System</w:t>
            </w:r>
            <w:r w:rsidRPr="006D43E2">
              <w:t xml:space="preserve"> progress report in 2016 </w:t>
            </w:r>
            <w:r w:rsidR="00887B8A">
              <w:t xml:space="preserve">indicated </w:t>
            </w:r>
            <w:r w:rsidRPr="006D43E2">
              <w:t>the continued need for assistance to achieve the production and sharing of the ECE environmental indicators and data flows (</w:t>
            </w:r>
            <w:r w:rsidR="005624B1">
              <w:t xml:space="preserve">see </w:t>
            </w:r>
            <w:r w:rsidRPr="006D43E2">
              <w:t>ECE/BATUMI.CONF/2016/8).</w:t>
            </w:r>
          </w:p>
          <w:p w:rsidR="00BC20DC" w:rsidRPr="006D43E2" w:rsidRDefault="00BC20DC" w:rsidP="005B54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6" w:right="476"/>
            </w:pPr>
            <w:r w:rsidRPr="006D43E2">
              <w:tab/>
              <w:t xml:space="preserve">One positive development since 2016, when data usage was not assessed, is that most countries report that the data flows are being used for multiple purposes, in line with the </w:t>
            </w:r>
            <w:r w:rsidR="0092372A">
              <w:t>Shared Environmental Information System</w:t>
            </w:r>
            <w:r w:rsidR="0092372A" w:rsidRPr="006D43E2">
              <w:t xml:space="preserve"> </w:t>
            </w:r>
            <w:r w:rsidRPr="006D43E2">
              <w:t>principles. Those purposes include the production of national and regional indicators</w:t>
            </w:r>
            <w:r w:rsidR="005624B1">
              <w:t xml:space="preserve"> and</w:t>
            </w:r>
            <w:r w:rsidRPr="006D43E2">
              <w:t xml:space="preserve"> national frameworks for reporting on multilateral environmental agreements and the state</w:t>
            </w:r>
            <w:r w:rsidR="005624B1">
              <w:t xml:space="preserve"> </w:t>
            </w:r>
            <w:r w:rsidRPr="006D43E2">
              <w:t>of</w:t>
            </w:r>
            <w:r w:rsidR="005624B1">
              <w:t xml:space="preserve"> </w:t>
            </w:r>
            <w:r w:rsidRPr="006D43E2">
              <w:t>the</w:t>
            </w:r>
            <w:r w:rsidR="005624B1">
              <w:t xml:space="preserve"> </w:t>
            </w:r>
            <w:r w:rsidRPr="006D43E2">
              <w:t xml:space="preserve">environment. </w:t>
            </w:r>
          </w:p>
          <w:p w:rsidR="00BC20DC" w:rsidRPr="006D43E2" w:rsidRDefault="00BC20DC" w:rsidP="005B548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6" w:right="476"/>
            </w:pPr>
            <w:r w:rsidRPr="006D43E2">
              <w:tab/>
              <w:t xml:space="preserve">The mid-term review </w:t>
            </w:r>
            <w:r w:rsidR="005624B1">
              <w:t xml:space="preserve">report </w:t>
            </w:r>
            <w:r w:rsidRPr="006D43E2">
              <w:t>provides a more holistic and complete picture of data sharing and access, data practices and quality and information infrastructure</w:t>
            </w:r>
            <w:r w:rsidR="00887B8A">
              <w:t xml:space="preserve"> than the 2016 report</w:t>
            </w:r>
            <w:r w:rsidRPr="006D43E2">
              <w:t xml:space="preserve">. However, it also </w:t>
            </w:r>
            <w:r w:rsidR="00887B8A">
              <w:t xml:space="preserve">reveals </w:t>
            </w:r>
            <w:r w:rsidRPr="006D43E2">
              <w:t>limitations in using certain data flows</w:t>
            </w:r>
            <w:r w:rsidR="005624B1">
              <w:t>,</w:t>
            </w:r>
            <w:r w:rsidRPr="006D43E2">
              <w:t xml:space="preserve"> </w:t>
            </w:r>
            <w:r w:rsidR="005624B1">
              <w:t xml:space="preserve">such as </w:t>
            </w:r>
            <w:r w:rsidRPr="006D43E2">
              <w:t>ground-level ozone and BOD</w:t>
            </w:r>
            <w:r w:rsidRPr="006D43E2">
              <w:rPr>
                <w:vertAlign w:val="subscript"/>
              </w:rPr>
              <w:t>5</w:t>
            </w:r>
            <w:r w:rsidRPr="006D43E2">
              <w:t xml:space="preserve"> in major rivers</w:t>
            </w:r>
            <w:r w:rsidR="005624B1">
              <w:t>,</w:t>
            </w:r>
            <w:r w:rsidRPr="006D43E2">
              <w:t xml:space="preserve"> for multiple purposes and that only some countries explicitly use the indicators for environmental policymaking</w:t>
            </w:r>
            <w:r w:rsidR="005624B1">
              <w:t>, for example</w:t>
            </w:r>
            <w:r w:rsidRPr="006D43E2">
              <w:t>, tracking progress towards policy targets</w:t>
            </w:r>
            <w:r w:rsidR="005624B1">
              <w:t>,</w:t>
            </w:r>
            <w:r w:rsidRPr="006D43E2">
              <w:t xml:space="preserve"> and reporting on implementation of the Sustainable Development Goals.</w:t>
            </w:r>
          </w:p>
        </w:tc>
      </w:tr>
      <w:tr w:rsidR="00BC20DC" w:rsidRPr="006D43E2" w:rsidTr="005B5486">
        <w:trPr>
          <w:jc w:val="center"/>
        </w:trPr>
        <w:tc>
          <w:tcPr>
            <w:tcW w:w="7320" w:type="dxa"/>
            <w:tcBorders>
              <w:bottom w:val="nil"/>
            </w:tcBorders>
            <w:shd w:val="clear" w:color="auto" w:fill="auto"/>
            <w:tcMar>
              <w:left w:w="142" w:type="dxa"/>
              <w:right w:w="142" w:type="dxa"/>
            </w:tcMar>
          </w:tcPr>
          <w:p w:rsidR="00BC20DC" w:rsidRPr="006D43E2" w:rsidRDefault="00BC20DC" w:rsidP="003E011E">
            <w:pPr>
              <w:pStyle w:val="SingleTxtG"/>
              <w:spacing w:after="0"/>
              <w:ind w:left="431" w:right="567"/>
            </w:pPr>
          </w:p>
        </w:tc>
      </w:tr>
      <w:tr w:rsidR="00BC20DC" w:rsidRPr="006D43E2" w:rsidTr="005B5486">
        <w:trPr>
          <w:trHeight w:hRule="exact" w:val="20"/>
          <w:jc w:val="center"/>
        </w:trPr>
        <w:tc>
          <w:tcPr>
            <w:tcW w:w="7320" w:type="dxa"/>
            <w:tcBorders>
              <w:bottom w:val="single" w:sz="4" w:space="0" w:color="auto"/>
            </w:tcBorders>
            <w:shd w:val="clear" w:color="auto" w:fill="auto"/>
          </w:tcPr>
          <w:p w:rsidR="00BC20DC" w:rsidRPr="006D43E2" w:rsidRDefault="00BC20DC" w:rsidP="005B5486">
            <w:pPr>
              <w:suppressAutoHyphens w:val="0"/>
              <w:spacing w:line="240" w:lineRule="auto"/>
            </w:pPr>
          </w:p>
        </w:tc>
      </w:tr>
    </w:tbl>
    <w:p w:rsidR="00BC20DC" w:rsidRPr="006D43E2" w:rsidRDefault="00BC20DC" w:rsidP="00BC20DC">
      <w:pPr>
        <w:pStyle w:val="HChG"/>
      </w:pPr>
      <w:r w:rsidRPr="006D43E2">
        <w:tab/>
        <w:t>D.</w:t>
      </w:r>
      <w:r w:rsidRPr="006D43E2">
        <w:tab/>
      </w:r>
      <w:r w:rsidR="005624B1">
        <w:t xml:space="preserve">Assessment framework for the </w:t>
      </w:r>
      <w:r w:rsidRPr="006D43E2">
        <w:t xml:space="preserve">Shared Environmental Information System </w:t>
      </w:r>
    </w:p>
    <w:p w:rsidR="00BC20DC" w:rsidRPr="006D43E2" w:rsidRDefault="00BC20DC" w:rsidP="00BC20DC">
      <w:pPr>
        <w:pStyle w:val="SingleTxtG"/>
      </w:pPr>
      <w:r w:rsidRPr="006D43E2">
        <w:t>22.</w:t>
      </w:r>
      <w:r w:rsidRPr="006D43E2">
        <w:tab/>
        <w:t xml:space="preserve">Piloting the </w:t>
      </w:r>
      <w:r w:rsidR="005624B1">
        <w:t>a</w:t>
      </w:r>
      <w:r w:rsidRPr="006D43E2">
        <w:t xml:space="preserve">ssessment </w:t>
      </w:r>
      <w:r w:rsidR="005624B1">
        <w:t>f</w:t>
      </w:r>
      <w:r w:rsidRPr="006D43E2">
        <w:t xml:space="preserve">ramework </w:t>
      </w:r>
      <w:r w:rsidR="00B71A42">
        <w:t xml:space="preserve">in preparing the mid-term review report </w:t>
      </w:r>
      <w:r w:rsidRPr="006D43E2">
        <w:t xml:space="preserve">has been a significant step forward in assessing </w:t>
      </w:r>
      <w:r w:rsidR="00B71A42">
        <w:t xml:space="preserve">the </w:t>
      </w:r>
      <w:r w:rsidRPr="006D43E2">
        <w:t>establishment</w:t>
      </w:r>
      <w:r w:rsidR="00B71A42">
        <w:t xml:space="preserve"> of the Shared Environmental Information System</w:t>
      </w:r>
      <w:r w:rsidRPr="006D43E2">
        <w:t xml:space="preserve">. Lessons learned, as provided by countries, nevertheless demonstrate the need </w:t>
      </w:r>
      <w:r w:rsidR="007E30BE">
        <w:t xml:space="preserve">to </w:t>
      </w:r>
      <w:r w:rsidRPr="006D43E2">
        <w:t xml:space="preserve">adjust the framework leading up to the next Environment for Europe </w:t>
      </w:r>
      <w:r w:rsidR="00B71A42">
        <w:t>m</w:t>
      </w:r>
      <w:r w:rsidRPr="006D43E2">
        <w:t xml:space="preserve">inisterial </w:t>
      </w:r>
      <w:r w:rsidR="00B71A42">
        <w:t>c</w:t>
      </w:r>
      <w:r w:rsidRPr="006D43E2">
        <w:t>onference.</w:t>
      </w:r>
    </w:p>
    <w:p w:rsidR="00BC20DC" w:rsidRPr="006D43E2" w:rsidRDefault="00BC20DC" w:rsidP="00BC20DC">
      <w:pPr>
        <w:pStyle w:val="SingleTxtG"/>
      </w:pPr>
      <w:r w:rsidRPr="006D43E2">
        <w:t>23.</w:t>
      </w:r>
      <w:r w:rsidRPr="006D43E2">
        <w:tab/>
        <w:t xml:space="preserve">The </w:t>
      </w:r>
      <w:r w:rsidR="00B71A42">
        <w:t xml:space="preserve">present report </w:t>
      </w:r>
      <w:r w:rsidRPr="006D43E2">
        <w:t xml:space="preserve">is based on self-assessments by countries. The secretariat has not verified the information. Inconsistencies in the information provided do, however, suggest the need for a validation mechanism. The significant time invested by countries in answering a questionnaire for each data flow furthermore suggests the need </w:t>
      </w:r>
      <w:r w:rsidR="00B71A42">
        <w:t xml:space="preserve">to </w:t>
      </w:r>
      <w:r w:rsidRPr="006D43E2">
        <w:t xml:space="preserve">simplify the </w:t>
      </w:r>
      <w:r w:rsidR="00B71A42">
        <w:t xml:space="preserve">assessment </w:t>
      </w:r>
      <w:r w:rsidRPr="006D43E2">
        <w:t xml:space="preserve">process. </w:t>
      </w:r>
    </w:p>
    <w:p w:rsidR="00BC20DC" w:rsidRPr="006D43E2" w:rsidRDefault="00BC20DC" w:rsidP="007E30BE">
      <w:pPr>
        <w:pStyle w:val="SingleTxtG"/>
      </w:pPr>
      <w:r w:rsidRPr="006D43E2">
        <w:t>24.</w:t>
      </w:r>
      <w:r w:rsidRPr="006D43E2">
        <w:tab/>
        <w:t xml:space="preserve">The Working Group has </w:t>
      </w:r>
      <w:r w:rsidR="007E30BE">
        <w:t xml:space="preserve">therefore </w:t>
      </w:r>
      <w:r w:rsidRPr="006D43E2">
        <w:t xml:space="preserve">decided </w:t>
      </w:r>
      <w:r w:rsidR="007E30BE">
        <w:t xml:space="preserve">that the </w:t>
      </w:r>
      <w:r w:rsidRPr="006D43E2">
        <w:t xml:space="preserve">assessment framework </w:t>
      </w:r>
      <w:r w:rsidR="007E30BE">
        <w:t>sh</w:t>
      </w:r>
      <w:r w:rsidRPr="006D43E2">
        <w:t xml:space="preserve">ould be </w:t>
      </w:r>
      <w:r w:rsidR="007E30BE">
        <w:t xml:space="preserve">revised </w:t>
      </w:r>
      <w:r w:rsidRPr="006D43E2">
        <w:t xml:space="preserve">for the </w:t>
      </w:r>
      <w:r w:rsidR="007E30BE">
        <w:t xml:space="preserve">preparation of the next </w:t>
      </w:r>
      <w:r w:rsidRPr="006D43E2">
        <w:t xml:space="preserve">progress </w:t>
      </w:r>
      <w:r w:rsidR="007E30BE">
        <w:t xml:space="preserve">report, to be presented to ministers </w:t>
      </w:r>
      <w:r w:rsidRPr="006D43E2">
        <w:t>in 2021</w:t>
      </w:r>
      <w:r w:rsidR="007E30BE">
        <w:t xml:space="preserve">, in accordance with a timeline to be established by </w:t>
      </w:r>
      <w:r w:rsidRPr="006D43E2">
        <w:t>the Committee on Environmental Policy.</w:t>
      </w:r>
    </w:p>
    <w:p w:rsidR="00BC20DC" w:rsidRPr="006D43E2" w:rsidRDefault="00BC20DC" w:rsidP="00BC20DC">
      <w:pPr>
        <w:pStyle w:val="HChG"/>
      </w:pPr>
      <w:r w:rsidRPr="006D43E2">
        <w:tab/>
        <w:t>II.</w:t>
      </w:r>
      <w:r w:rsidRPr="006D43E2">
        <w:tab/>
        <w:t>Lessons learned and challenges</w:t>
      </w:r>
    </w:p>
    <w:p w:rsidR="00BC20DC" w:rsidRPr="006D43E2" w:rsidRDefault="00BC20DC" w:rsidP="00BC20DC">
      <w:pPr>
        <w:pStyle w:val="SingleTxtG"/>
      </w:pPr>
      <w:r w:rsidRPr="006D43E2">
        <w:t>25.</w:t>
      </w:r>
      <w:r w:rsidRPr="006D43E2">
        <w:tab/>
        <w:t xml:space="preserve">The mid-term review </w:t>
      </w:r>
      <w:r w:rsidR="007E30BE">
        <w:t xml:space="preserve">report </w:t>
      </w:r>
      <w:r w:rsidRPr="006D43E2">
        <w:t xml:space="preserve">is a milestone in reviewing </w:t>
      </w:r>
      <w:r w:rsidR="007E30BE">
        <w:t>the Shared Environmental Information System</w:t>
      </w:r>
      <w:r w:rsidRPr="006D43E2">
        <w:t xml:space="preserve">, particularly as the </w:t>
      </w:r>
      <w:r w:rsidR="007E30BE">
        <w:t>a</w:t>
      </w:r>
      <w:r w:rsidRPr="006D43E2">
        <w:t xml:space="preserve">ssessment </w:t>
      </w:r>
      <w:r w:rsidR="007E30BE">
        <w:t>f</w:t>
      </w:r>
      <w:r w:rsidRPr="006D43E2">
        <w:t xml:space="preserve">ramework considers all three pillars </w:t>
      </w:r>
      <w:r w:rsidR="007E30BE">
        <w:t xml:space="preserve">of the </w:t>
      </w:r>
      <w:r w:rsidR="0092372A">
        <w:t xml:space="preserve">Shared Environmental Information System </w:t>
      </w:r>
      <w:r w:rsidRPr="006D43E2">
        <w:t>in contrast to the earlier assessment. This is an important step forward. Nevertheless, due to the limited scope of th</w:t>
      </w:r>
      <w:r w:rsidR="007E30BE">
        <w:t xml:space="preserve">e present progress </w:t>
      </w:r>
      <w:r w:rsidR="007E30BE">
        <w:lastRenderedPageBreak/>
        <w:t>report</w:t>
      </w:r>
      <w:r w:rsidRPr="006D43E2">
        <w:t xml:space="preserve">, it is not yet possible to determine whether countries are fully on track to establish </w:t>
      </w:r>
      <w:r w:rsidR="007E30BE">
        <w:t>the Shared Environmental Information System</w:t>
      </w:r>
      <w:r w:rsidRPr="006D43E2">
        <w:t xml:space="preserve"> by 2021. </w:t>
      </w:r>
    </w:p>
    <w:p w:rsidR="00BC20DC" w:rsidRPr="006D43E2" w:rsidRDefault="00BC20DC" w:rsidP="00BC20DC">
      <w:pPr>
        <w:pStyle w:val="SingleTxtG"/>
      </w:pPr>
      <w:r w:rsidRPr="006D43E2">
        <w:t>26.</w:t>
      </w:r>
      <w:r w:rsidRPr="006D43E2">
        <w:tab/>
        <w:t xml:space="preserve">The present </w:t>
      </w:r>
      <w:r w:rsidR="007E30BE">
        <w:t xml:space="preserve">assessment </w:t>
      </w:r>
      <w:r w:rsidRPr="006D43E2">
        <w:t>was limited to three indicators and seven data flows. One key challenge would be to encourage countries to report on all data flows associated with the ECE core environmental indicators</w:t>
      </w:r>
      <w:r w:rsidR="007E30BE">
        <w:t>,</w:t>
      </w:r>
      <w:r w:rsidRPr="006D43E2">
        <w:t xml:space="preserve"> across all themes</w:t>
      </w:r>
      <w:r w:rsidR="007E30BE">
        <w:t>,</w:t>
      </w:r>
      <w:r w:rsidRPr="006D43E2">
        <w:t xml:space="preserve"> to provide a more complete picture of the progress achieved since the </w:t>
      </w:r>
      <w:r w:rsidR="007E30BE">
        <w:t xml:space="preserve">Batumi </w:t>
      </w:r>
      <w:r w:rsidRPr="006D43E2">
        <w:t xml:space="preserve">Conference. </w:t>
      </w:r>
    </w:p>
    <w:p w:rsidR="00BC20DC" w:rsidRPr="006D43E2" w:rsidRDefault="00BC20DC" w:rsidP="00BC20DC">
      <w:pPr>
        <w:pStyle w:val="SingleTxtG"/>
      </w:pPr>
      <w:r w:rsidRPr="006D43E2">
        <w:t>27.</w:t>
      </w:r>
      <w:r w:rsidRPr="006D43E2">
        <w:tab/>
        <w:t>F</w:t>
      </w:r>
      <w:r w:rsidR="00657C68">
        <w:t>urthermore, f</w:t>
      </w:r>
      <w:r w:rsidRPr="006D43E2">
        <w:t xml:space="preserve">ull participation in the </w:t>
      </w:r>
      <w:r w:rsidR="00657C68">
        <w:t xml:space="preserve">preparation of the report </w:t>
      </w:r>
      <w:r w:rsidRPr="006D43E2">
        <w:t xml:space="preserve">by all countries in the pan-European region was not achieved. For instance, even though </w:t>
      </w:r>
      <w:r w:rsidR="00657C68">
        <w:t xml:space="preserve">the European </w:t>
      </w:r>
      <w:r w:rsidRPr="006D43E2">
        <w:t>E</w:t>
      </w:r>
      <w:r w:rsidR="00657C68">
        <w:t>nvironment Agency</w:t>
      </w:r>
      <w:r w:rsidRPr="006D43E2">
        <w:t xml:space="preserve"> pre-filled the self-assessment questionnaires for its member countries, participation from European Union countries remain</w:t>
      </w:r>
      <w:r w:rsidR="00657C68">
        <w:t>ed</w:t>
      </w:r>
      <w:r w:rsidRPr="006D43E2">
        <w:t xml:space="preserve"> moderate</w:t>
      </w:r>
      <w:r w:rsidR="00657C68">
        <w:t xml:space="preserve">, with </w:t>
      </w:r>
      <w:r w:rsidRPr="006D43E2">
        <w:t>15 out of 28 countries</w:t>
      </w:r>
      <w:r w:rsidR="00657C68">
        <w:t xml:space="preserve"> responding</w:t>
      </w:r>
      <w:r w:rsidRPr="006D43E2">
        <w:t xml:space="preserve">. Despite a clear upward trend since 2016, further steps to achieve higher participation are therefore needed. This should include collaborative efforts, together with </w:t>
      </w:r>
      <w:r w:rsidR="00657C68">
        <w:t>the European Environment Agency</w:t>
      </w:r>
      <w:r w:rsidRPr="006D43E2">
        <w:t xml:space="preserve"> and UNEP, to identify mechanisms to motivate countries to participate in the regular self-assessment of progress. </w:t>
      </w:r>
    </w:p>
    <w:p w:rsidR="00BC20DC" w:rsidRPr="006D43E2" w:rsidRDefault="00BC20DC" w:rsidP="00BC20DC">
      <w:pPr>
        <w:pStyle w:val="SingleTxtG"/>
      </w:pPr>
      <w:r w:rsidRPr="006D43E2">
        <w:t>28.</w:t>
      </w:r>
      <w:r w:rsidRPr="006D43E2">
        <w:tab/>
        <w:t xml:space="preserve">The purpose of a regular self-assessment is to encourage countries to implement measures that address gaps in </w:t>
      </w:r>
      <w:r w:rsidR="00657C68">
        <w:t xml:space="preserve">the </w:t>
      </w:r>
      <w:r w:rsidRPr="006D43E2">
        <w:t>establishment</w:t>
      </w:r>
      <w:r w:rsidR="00657C68">
        <w:t xml:space="preserve"> of the </w:t>
      </w:r>
      <w:r w:rsidR="00547C48">
        <w:t>S</w:t>
      </w:r>
      <w:r w:rsidR="00657C68">
        <w:t>ystem</w:t>
      </w:r>
      <w:r w:rsidRPr="006D43E2">
        <w:t xml:space="preserve"> over time. The </w:t>
      </w:r>
      <w:r w:rsidR="00657C68">
        <w:t>a</w:t>
      </w:r>
      <w:r w:rsidRPr="006D43E2">
        <w:t xml:space="preserve">ssessment </w:t>
      </w:r>
      <w:r w:rsidR="00657C68">
        <w:t>f</w:t>
      </w:r>
      <w:r w:rsidRPr="006D43E2">
        <w:t>ramework consequently provides a tool that allow</w:t>
      </w:r>
      <w:r w:rsidR="00657C68">
        <w:t>s</w:t>
      </w:r>
      <w:r w:rsidRPr="006D43E2">
        <w:t xml:space="preserve"> countries to monitor progress and identify solutions. </w:t>
      </w:r>
      <w:r w:rsidR="009125FC">
        <w:t>Among l</w:t>
      </w:r>
      <w:r w:rsidRPr="006D43E2">
        <w:t xml:space="preserve">essons learned from using the self-assessment questionnaire, however, </w:t>
      </w:r>
      <w:r w:rsidR="009125FC">
        <w:t xml:space="preserve">is </w:t>
      </w:r>
      <w:r w:rsidRPr="006D43E2">
        <w:t>that it needs to be easier for countries to respond. This could be achieved by reducing the number of questions at the data flow level.</w:t>
      </w:r>
    </w:p>
    <w:p w:rsidR="00BC20DC" w:rsidRPr="006D43E2" w:rsidRDefault="00BC20DC" w:rsidP="00BC20DC">
      <w:pPr>
        <w:pStyle w:val="SingleTxtG"/>
      </w:pPr>
      <w:r w:rsidRPr="006D43E2">
        <w:t>29.</w:t>
      </w:r>
      <w:r w:rsidRPr="006D43E2">
        <w:tab/>
        <w:t xml:space="preserve">It may also be relevant for the self-assessment questionnaire to look beyond the data flow to quantitively and qualitatively assess how countries use the data in policymaking, </w:t>
      </w:r>
      <w:r w:rsidR="00657C68">
        <w:t xml:space="preserve">in </w:t>
      </w:r>
      <w:r w:rsidRPr="006D43E2">
        <w:t xml:space="preserve">monitoring progress towards policy targets and </w:t>
      </w:r>
      <w:r w:rsidR="00657C68">
        <w:t xml:space="preserve">in </w:t>
      </w:r>
      <w:r w:rsidRPr="006D43E2">
        <w:t xml:space="preserve">streamlining reporting processes. This may help to make the </w:t>
      </w:r>
      <w:r w:rsidR="00657C68">
        <w:t>f</w:t>
      </w:r>
      <w:r w:rsidRPr="006D43E2">
        <w:t>ramework more relevant</w:t>
      </w:r>
      <w:r w:rsidRPr="006D43E2" w:rsidDel="00E90C72">
        <w:t xml:space="preserve"> </w:t>
      </w:r>
      <w:r w:rsidRPr="006D43E2">
        <w:t>for the countries in the region.</w:t>
      </w:r>
    </w:p>
    <w:p w:rsidR="00BC20DC" w:rsidRPr="006D43E2" w:rsidRDefault="00BC20DC" w:rsidP="00BC20DC">
      <w:pPr>
        <w:pStyle w:val="SingleTxtG"/>
      </w:pPr>
      <w:r w:rsidRPr="006D43E2">
        <w:t>30.</w:t>
      </w:r>
      <w:r w:rsidRPr="006D43E2">
        <w:tab/>
        <w:t xml:space="preserve">The online reporting tool, developed by UNEP in consultation with the Working Group and supported by ECE and </w:t>
      </w:r>
      <w:r w:rsidR="00657C68">
        <w:t>the European Environment Agency</w:t>
      </w:r>
      <w:r w:rsidRPr="006D43E2">
        <w:t xml:space="preserve">, was made available </w:t>
      </w:r>
      <w:r w:rsidR="00657C68">
        <w:t xml:space="preserve">for </w:t>
      </w:r>
      <w:r w:rsidRPr="006D43E2">
        <w:t xml:space="preserve">the </w:t>
      </w:r>
      <w:r w:rsidR="00657C68">
        <w:t xml:space="preserve">preparation of the present report </w:t>
      </w:r>
      <w:r w:rsidRPr="006D43E2">
        <w:t xml:space="preserve">for testing only. It would be useful to complete and improve the online reporting tool, so that it can be operational for the next review. </w:t>
      </w:r>
    </w:p>
    <w:p w:rsidR="00BC20DC" w:rsidRPr="006D43E2" w:rsidRDefault="00BC20DC" w:rsidP="00BC20DC">
      <w:pPr>
        <w:pStyle w:val="HChG"/>
      </w:pPr>
      <w:r w:rsidRPr="006D43E2">
        <w:tab/>
        <w:t>III.</w:t>
      </w:r>
      <w:r w:rsidRPr="006D43E2">
        <w:tab/>
        <w:t>Further steps</w:t>
      </w:r>
    </w:p>
    <w:p w:rsidR="00BC20DC" w:rsidRPr="006D43E2" w:rsidRDefault="00BC20DC" w:rsidP="00BC20DC">
      <w:pPr>
        <w:pStyle w:val="SingleTxtG"/>
      </w:pPr>
      <w:r w:rsidRPr="006D43E2">
        <w:t>31.</w:t>
      </w:r>
      <w:r w:rsidRPr="006D43E2">
        <w:tab/>
      </w:r>
      <w:r w:rsidR="00541C49">
        <w:t xml:space="preserve">The </w:t>
      </w:r>
      <w:r w:rsidRPr="006D43E2">
        <w:t xml:space="preserve">establishment </w:t>
      </w:r>
      <w:r w:rsidR="00541C49">
        <w:t xml:space="preserve">of the Shared Environmental Information System </w:t>
      </w:r>
      <w:r w:rsidRPr="006D43E2">
        <w:t>is supported by several international capacity</w:t>
      </w:r>
      <w:r w:rsidR="00541C49">
        <w:t xml:space="preserve"> </w:t>
      </w:r>
      <w:r w:rsidRPr="006D43E2">
        <w:t>development mechanisms in the pan-European region, including the ECE Working Group on Environmental Monitoring and Assessment, the Joint Task Force on Environmental Statistics and Indicators and relevant projects being carried out by ECE</w:t>
      </w:r>
      <w:r w:rsidR="008E1FD0">
        <w:t xml:space="preserve">, the European Environment Agency </w:t>
      </w:r>
      <w:r w:rsidRPr="006D43E2">
        <w:t xml:space="preserve">and UNEP. These activities are being implemented with financial support from donor countries, the European Union European Neighbourhood Policy Instrument and the United Nations Development Account. </w:t>
      </w:r>
    </w:p>
    <w:p w:rsidR="00BC20DC" w:rsidRPr="006D43E2" w:rsidRDefault="00BC20DC" w:rsidP="00BC20DC">
      <w:pPr>
        <w:pStyle w:val="SingleTxtG"/>
      </w:pPr>
      <w:r w:rsidRPr="006D43E2">
        <w:t>32.</w:t>
      </w:r>
      <w:r w:rsidRPr="006D43E2">
        <w:tab/>
        <w:t xml:space="preserve">ECE has received funding from </w:t>
      </w:r>
      <w:r w:rsidR="008E1FD0">
        <w:t>the European Environment Agency</w:t>
      </w:r>
      <w:r w:rsidRPr="006D43E2">
        <w:t xml:space="preserve"> to assist in the implementation of one </w:t>
      </w:r>
      <w:r w:rsidR="008E1FD0">
        <w:t>European Environment Agency</w:t>
      </w:r>
      <w:r w:rsidRPr="006D43E2">
        <w:t xml:space="preserve"> project in Eastern Europe and the Caucasus.</w:t>
      </w:r>
      <w:r w:rsidRPr="006D43E2">
        <w:rPr>
          <w:rStyle w:val="FootnoteReference"/>
        </w:rPr>
        <w:footnoteReference w:id="4"/>
      </w:r>
      <w:r w:rsidRPr="006D43E2">
        <w:t xml:space="preserve"> Together with UNEP, ECE is also implementing a project funded by the United Nations Development Account in the Caucasus, Central Asia and South-Eastern Europe. This project focuses on assessing the status of </w:t>
      </w:r>
      <w:r w:rsidR="008E1FD0">
        <w:t xml:space="preserve">the </w:t>
      </w:r>
      <w:r w:rsidRPr="006D43E2">
        <w:t>establishment</w:t>
      </w:r>
      <w:r w:rsidR="008E1FD0">
        <w:t xml:space="preserve"> of the Shared Environmental Information System and</w:t>
      </w:r>
      <w:r w:rsidRPr="006D43E2">
        <w:t xml:space="preserve"> </w:t>
      </w:r>
      <w:r w:rsidR="008E1FD0">
        <w:t xml:space="preserve">the </w:t>
      </w:r>
      <w:r w:rsidRPr="006D43E2">
        <w:t>production of data flows for the full set of ECE environmental indicators and their use for various reporting purposes, including in the context of the 2030 Agenda for Sustainable Development.</w:t>
      </w:r>
    </w:p>
    <w:p w:rsidR="00BC20DC" w:rsidRPr="006D43E2" w:rsidRDefault="00BC20DC" w:rsidP="00BC20DC">
      <w:pPr>
        <w:pStyle w:val="SingleTxtG"/>
      </w:pPr>
      <w:r w:rsidRPr="006D43E2">
        <w:lastRenderedPageBreak/>
        <w:t>33.</w:t>
      </w:r>
      <w:r w:rsidRPr="006D43E2">
        <w:tab/>
        <w:t>While the above projects cannot fully address all three pillars</w:t>
      </w:r>
      <w:r w:rsidR="008E1FD0">
        <w:t xml:space="preserve"> of the </w:t>
      </w:r>
      <w:r w:rsidR="0092372A">
        <w:t>Shared Environmental Information System</w:t>
      </w:r>
      <w:r w:rsidRPr="006D43E2">
        <w:t xml:space="preserve">, they provide a valuable source of information on and support for </w:t>
      </w:r>
      <w:r w:rsidR="008E1FD0">
        <w:t xml:space="preserve">its </w:t>
      </w:r>
      <w:r w:rsidRPr="006D43E2">
        <w:t xml:space="preserve">establishment </w:t>
      </w:r>
      <w:r w:rsidR="008E1FD0">
        <w:t xml:space="preserve">and </w:t>
      </w:r>
      <w:r w:rsidRPr="006D43E2">
        <w:t xml:space="preserve">the production and use of the ECE environmental indicators. They moreover contribute to reaching the Batumi target to have </w:t>
      </w:r>
      <w:r w:rsidR="008E1FD0">
        <w:t xml:space="preserve">the Shared Environmental Information System </w:t>
      </w:r>
      <w:r w:rsidRPr="006D43E2">
        <w:t>in place in the countries of Europe and Central Asia by 2021.</w:t>
      </w:r>
    </w:p>
    <w:p w:rsidR="00BC20DC" w:rsidRPr="006D43E2" w:rsidRDefault="00BC20DC" w:rsidP="00BC20DC">
      <w:pPr>
        <w:pStyle w:val="SingleTxtG"/>
      </w:pPr>
      <w:r w:rsidRPr="006D43E2">
        <w:t>34.</w:t>
      </w:r>
      <w:r w:rsidRPr="006D43E2">
        <w:tab/>
        <w:t xml:space="preserve">The gaps identified by the self-assessments </w:t>
      </w:r>
      <w:r w:rsidR="001536AC">
        <w:t xml:space="preserve">indicate </w:t>
      </w:r>
      <w:r w:rsidR="00967C14">
        <w:t xml:space="preserve">that countries still </w:t>
      </w:r>
      <w:r w:rsidRPr="006D43E2">
        <w:t xml:space="preserve">need assistance </w:t>
      </w:r>
      <w:r w:rsidR="00967C14">
        <w:t xml:space="preserve">to </w:t>
      </w:r>
      <w:r w:rsidRPr="006D43E2">
        <w:t>full</w:t>
      </w:r>
      <w:r w:rsidR="00967C14">
        <w:t>y</w:t>
      </w:r>
      <w:r w:rsidRPr="006D43E2">
        <w:t xml:space="preserve"> implement the pillars and principles </w:t>
      </w:r>
      <w:r w:rsidR="0092372A">
        <w:t xml:space="preserve">of the Shared Environmental Information System </w:t>
      </w:r>
      <w:r w:rsidRPr="006D43E2">
        <w:t xml:space="preserve">and </w:t>
      </w:r>
      <w:r w:rsidR="00967C14">
        <w:t xml:space="preserve">for </w:t>
      </w:r>
      <w:r w:rsidRPr="006D43E2">
        <w:t>the full production and sharing of all data flows associated with the ECE environmental indicators by 2021.</w:t>
      </w:r>
    </w:p>
    <w:p w:rsidR="00BC20DC" w:rsidRPr="006D43E2" w:rsidRDefault="00BC20DC" w:rsidP="00BC20DC">
      <w:pPr>
        <w:pStyle w:val="SingleTxtG"/>
      </w:pPr>
      <w:r w:rsidRPr="006D43E2">
        <w:t>35.</w:t>
      </w:r>
      <w:r w:rsidRPr="006D43E2">
        <w:tab/>
        <w:t xml:space="preserve">Results from the </w:t>
      </w:r>
      <w:r w:rsidR="00967C14">
        <w:t xml:space="preserve">present assessment </w:t>
      </w:r>
      <w:r w:rsidRPr="006D43E2">
        <w:t xml:space="preserve">will serve as a baseline for the next progress report and, in particular, help to </w:t>
      </w:r>
      <w:r w:rsidR="00967C14">
        <w:t xml:space="preserve">evaluate </w:t>
      </w:r>
      <w:r w:rsidRPr="006D43E2">
        <w:t xml:space="preserve">country performance related to data quality aspects, the effective operationalization of all three pillars of </w:t>
      </w:r>
      <w:r w:rsidR="00967C14">
        <w:t xml:space="preserve">the </w:t>
      </w:r>
      <w:r w:rsidR="0092372A">
        <w:t>Shared Environmental Information System</w:t>
      </w:r>
      <w:r w:rsidR="0092372A" w:rsidRPr="006D43E2">
        <w:t xml:space="preserve"> </w:t>
      </w:r>
      <w:r w:rsidRPr="006D43E2">
        <w:t xml:space="preserve">and data flows underpinning the ECE set of environmental indicators. It is expected that the continued review of </w:t>
      </w:r>
      <w:r w:rsidR="00967C14">
        <w:t xml:space="preserve">the </w:t>
      </w:r>
      <w:r w:rsidRPr="006D43E2">
        <w:t xml:space="preserve">establishment </w:t>
      </w:r>
      <w:r w:rsidR="00967C14">
        <w:t xml:space="preserve">of </w:t>
      </w:r>
      <w:r w:rsidR="009125FC">
        <w:t xml:space="preserve">the </w:t>
      </w:r>
      <w:r w:rsidR="00967C14">
        <w:t xml:space="preserve">Shared Environmental Information System </w:t>
      </w:r>
      <w:r w:rsidRPr="006D43E2">
        <w:t xml:space="preserve">will help to address gaps, and by doing so, ensure that </w:t>
      </w:r>
      <w:r w:rsidR="009125FC">
        <w:t xml:space="preserve">it </w:t>
      </w:r>
      <w:r w:rsidRPr="006D43E2">
        <w:t xml:space="preserve">supports regular assessments and reporting in the region. </w:t>
      </w:r>
    </w:p>
    <w:p w:rsidR="00BC20DC" w:rsidRPr="006D43E2" w:rsidRDefault="00BC20DC" w:rsidP="00BC20DC">
      <w:pPr>
        <w:pStyle w:val="SingleTxtG"/>
      </w:pPr>
      <w:r w:rsidRPr="006D43E2">
        <w:t>36.</w:t>
      </w:r>
      <w:r w:rsidRPr="006D43E2">
        <w:tab/>
      </w:r>
      <w:r w:rsidR="00967C14">
        <w:t xml:space="preserve">The responses to the questionnaire </w:t>
      </w:r>
      <w:r w:rsidRPr="006D43E2">
        <w:t xml:space="preserve">not only </w:t>
      </w:r>
      <w:r w:rsidR="00967C14">
        <w:t xml:space="preserve">indicate a </w:t>
      </w:r>
      <w:r w:rsidRPr="006D43E2">
        <w:t xml:space="preserve">continued demand for improved data sharing and use of available data for multiple purposes but also the need </w:t>
      </w:r>
      <w:r w:rsidR="00967C14" w:rsidRPr="004F3EC9">
        <w:t xml:space="preserve">to </w:t>
      </w:r>
      <w:r w:rsidRPr="004F3EC9">
        <w:t>streamlin</w:t>
      </w:r>
      <w:r w:rsidR="00967C14" w:rsidRPr="004F3EC9">
        <w:t>e</w:t>
      </w:r>
      <w:r w:rsidRPr="004F3EC9">
        <w:t xml:space="preserve"> </w:t>
      </w:r>
      <w:r w:rsidR="00967C14" w:rsidRPr="004F3EC9">
        <w:t xml:space="preserve">reporting and to harmonize it </w:t>
      </w:r>
      <w:r w:rsidRPr="006D43E2">
        <w:t xml:space="preserve">with </w:t>
      </w:r>
      <w:r w:rsidR="004F3EC9">
        <w:t xml:space="preserve">the reporting under </w:t>
      </w:r>
      <w:r w:rsidRPr="006D43E2">
        <w:t>other indicator-based initiatives</w:t>
      </w:r>
      <w:r w:rsidR="00967C14">
        <w:t>,</w:t>
      </w:r>
      <w:r w:rsidRPr="006D43E2">
        <w:t xml:space="preserve"> </w:t>
      </w:r>
      <w:r w:rsidR="00967C14">
        <w:t xml:space="preserve">such as </w:t>
      </w:r>
      <w:r w:rsidRPr="006D43E2">
        <w:t xml:space="preserve">the </w:t>
      </w:r>
      <w:r w:rsidR="00967C14">
        <w:t xml:space="preserve">Organization for Economic Cooperation and Development </w:t>
      </w:r>
      <w:r w:rsidRPr="006D43E2">
        <w:t xml:space="preserve">green growth indicators. </w:t>
      </w:r>
      <w:r w:rsidR="009125FC" w:rsidRPr="006D43E2">
        <w:t xml:space="preserve">It is recommended that the establishment of </w:t>
      </w:r>
      <w:r w:rsidR="009125FC">
        <w:t>the System</w:t>
      </w:r>
      <w:r w:rsidR="009125FC" w:rsidRPr="006D43E2">
        <w:t xml:space="preserve"> and the production of relevant data flows that underpin the ECE environmental indicators be harmonized and aligned with other monitoring and assessment processes at the regional and global levels, including in the context of the 2030 Agenda.</w:t>
      </w:r>
    </w:p>
    <w:p w:rsidR="00BC20DC" w:rsidRPr="006D43E2" w:rsidRDefault="00BC20DC" w:rsidP="00BC20DC">
      <w:pPr>
        <w:pStyle w:val="SingleTxtG"/>
      </w:pPr>
      <w:r w:rsidRPr="006D43E2">
        <w:t>37.</w:t>
      </w:r>
      <w:r w:rsidRPr="006D43E2">
        <w:tab/>
        <w:t xml:space="preserve">The next reporting round should include the data flows that underpin the ECE core environmental indicators. Future </w:t>
      </w:r>
      <w:r w:rsidR="00967C14">
        <w:t xml:space="preserve">reports </w:t>
      </w:r>
      <w:r w:rsidRPr="006D43E2">
        <w:t xml:space="preserve">should also aim to monitor variations from the baseline established through the mid-term review </w:t>
      </w:r>
      <w:r w:rsidR="00967C14">
        <w:t xml:space="preserve">process </w:t>
      </w:r>
      <w:r w:rsidRPr="006D43E2">
        <w:t xml:space="preserve">and the earlier review in 2016. </w:t>
      </w:r>
    </w:p>
    <w:p w:rsidR="00BC20DC" w:rsidRPr="006D43E2" w:rsidRDefault="00BC20DC" w:rsidP="00BC20DC">
      <w:pPr>
        <w:pStyle w:val="SingleTxtG"/>
      </w:pPr>
      <w:r w:rsidRPr="006D43E2">
        <w:t>38.</w:t>
      </w:r>
      <w:r w:rsidRPr="006D43E2">
        <w:tab/>
        <w:t xml:space="preserve">It would be useful to identify national contact points for </w:t>
      </w:r>
      <w:r w:rsidR="00967C14">
        <w:t>the System</w:t>
      </w:r>
      <w:r w:rsidRPr="006D43E2">
        <w:t xml:space="preserve">. The continued monitoring of progress on establishing </w:t>
      </w:r>
      <w:r w:rsidR="00967C14">
        <w:t xml:space="preserve">the System </w:t>
      </w:r>
      <w:r w:rsidRPr="006D43E2">
        <w:t xml:space="preserve">in Central Asia and Europe will require contact points who can assist in data collection. </w:t>
      </w:r>
    </w:p>
    <w:p w:rsidR="00BC20DC" w:rsidRPr="006D43E2" w:rsidRDefault="00BC20DC" w:rsidP="00BC20DC">
      <w:pPr>
        <w:pStyle w:val="SingleTxtG"/>
      </w:pPr>
      <w:r w:rsidRPr="006D43E2">
        <w:t>39.</w:t>
      </w:r>
      <w:r w:rsidRPr="006D43E2">
        <w:tab/>
        <w:t xml:space="preserve">The </w:t>
      </w:r>
      <w:r w:rsidR="00967C14">
        <w:t xml:space="preserve">expected timeline for the review of progress in establishing the Shared Environmental Information System to </w:t>
      </w:r>
      <w:r w:rsidRPr="006D43E2">
        <w:t xml:space="preserve">2021 </w:t>
      </w:r>
      <w:r w:rsidR="00967C14">
        <w:t>is as follows</w:t>
      </w:r>
      <w:r w:rsidRPr="006D43E2">
        <w:t>:</w:t>
      </w:r>
    </w:p>
    <w:p w:rsidR="00BC20DC" w:rsidRPr="006D43E2" w:rsidRDefault="00BC20DC" w:rsidP="00BC20DC">
      <w:pPr>
        <w:pStyle w:val="SingleTxtG"/>
        <w:ind w:firstLine="567"/>
      </w:pPr>
      <w:r w:rsidRPr="006D43E2">
        <w:t>(a)</w:t>
      </w:r>
      <w:r w:rsidRPr="006D43E2">
        <w:tab/>
        <w:t xml:space="preserve">January 2019: </w:t>
      </w:r>
      <w:r w:rsidR="00967C14">
        <w:t xml:space="preserve">the </w:t>
      </w:r>
      <w:r w:rsidRPr="006D43E2">
        <w:t>Committee on Environmental Policy considers the mid-term review</w:t>
      </w:r>
      <w:r w:rsidR="00967C14">
        <w:t xml:space="preserve"> report</w:t>
      </w:r>
      <w:r w:rsidRPr="006D43E2">
        <w:t>;</w:t>
      </w:r>
    </w:p>
    <w:p w:rsidR="00BC20DC" w:rsidRPr="006D43E2" w:rsidRDefault="00BC20DC" w:rsidP="00BC20DC">
      <w:pPr>
        <w:pStyle w:val="SingleTxtG"/>
        <w:ind w:firstLine="567"/>
      </w:pPr>
      <w:r w:rsidRPr="006D43E2">
        <w:t>(b)</w:t>
      </w:r>
      <w:r w:rsidRPr="006D43E2">
        <w:tab/>
        <w:t xml:space="preserve">May 2019: </w:t>
      </w:r>
      <w:r w:rsidR="00967C14">
        <w:t xml:space="preserve">the </w:t>
      </w:r>
      <w:r w:rsidRPr="006D43E2">
        <w:t>Working Group on Environmental Monitoring and Assessment reviews and revises the assessment framework, as necessary;</w:t>
      </w:r>
    </w:p>
    <w:p w:rsidR="00BC20DC" w:rsidRPr="006D43E2" w:rsidRDefault="00BC20DC" w:rsidP="00BC20DC">
      <w:pPr>
        <w:pStyle w:val="SingleTxtG"/>
        <w:ind w:firstLine="567"/>
      </w:pPr>
      <w:r w:rsidRPr="006D43E2">
        <w:t>(c)</w:t>
      </w:r>
      <w:r w:rsidRPr="006D43E2">
        <w:tab/>
        <w:t>In 2020: Countries provide data for the next review;</w:t>
      </w:r>
    </w:p>
    <w:p w:rsidR="00BC20DC" w:rsidRPr="006D43E2" w:rsidRDefault="00BC20DC" w:rsidP="00BC20DC">
      <w:pPr>
        <w:pStyle w:val="SingleTxtG"/>
        <w:ind w:firstLine="567"/>
      </w:pPr>
      <w:r w:rsidRPr="006D43E2">
        <w:t>(d)</w:t>
      </w:r>
      <w:r w:rsidRPr="006D43E2">
        <w:tab/>
        <w:t xml:space="preserve">November 2020: </w:t>
      </w:r>
      <w:r w:rsidR="003767A0">
        <w:t xml:space="preserve">the </w:t>
      </w:r>
      <w:r w:rsidRPr="006D43E2">
        <w:t xml:space="preserve">Committee considers the final </w:t>
      </w:r>
      <w:r w:rsidR="00C25720">
        <w:t xml:space="preserve">progress report </w:t>
      </w:r>
      <w:r w:rsidRPr="006D43E2">
        <w:t xml:space="preserve">on </w:t>
      </w:r>
      <w:r w:rsidR="00C25720">
        <w:t xml:space="preserve">the </w:t>
      </w:r>
      <w:r w:rsidRPr="006D43E2">
        <w:t xml:space="preserve">establishment </w:t>
      </w:r>
      <w:r w:rsidR="00C25720">
        <w:t xml:space="preserve">of Shared Environmental Information System </w:t>
      </w:r>
      <w:r w:rsidRPr="006D43E2">
        <w:t>in Europe and Central Asia;</w:t>
      </w:r>
    </w:p>
    <w:p w:rsidR="00BC20DC" w:rsidRPr="006D43E2" w:rsidRDefault="00BC20DC" w:rsidP="00BC20DC">
      <w:pPr>
        <w:pStyle w:val="SingleTxtG"/>
        <w:ind w:firstLine="567"/>
      </w:pPr>
      <w:r w:rsidRPr="006D43E2">
        <w:t>(e)</w:t>
      </w:r>
      <w:r w:rsidRPr="006D43E2">
        <w:tab/>
        <w:t xml:space="preserve">In 2021: Ministers consider the final review </w:t>
      </w:r>
      <w:r w:rsidR="00C25720">
        <w:t xml:space="preserve">report at </w:t>
      </w:r>
      <w:r w:rsidRPr="006D43E2">
        <w:t>the Ninth Environment for Europe Ministerial Conference.</w:t>
      </w:r>
    </w:p>
    <w:p w:rsidR="00BC20DC" w:rsidRPr="006D43E2" w:rsidRDefault="00BC20DC" w:rsidP="0049623A">
      <w:pPr>
        <w:pStyle w:val="HChG"/>
        <w:spacing w:before="320" w:after="200"/>
      </w:pPr>
      <w:r w:rsidRPr="006D43E2">
        <w:lastRenderedPageBreak/>
        <w:tab/>
        <w:t>IV.</w:t>
      </w:r>
      <w:r w:rsidRPr="006D43E2">
        <w:tab/>
        <w:t>Fact sheets on key findings and messages</w:t>
      </w:r>
    </w:p>
    <w:p w:rsidR="00BC20DC" w:rsidRPr="006D43E2" w:rsidRDefault="00BC20DC" w:rsidP="0049623A">
      <w:pPr>
        <w:pStyle w:val="H1G"/>
        <w:spacing w:before="280" w:after="200"/>
      </w:pPr>
      <w:r w:rsidRPr="006D43E2">
        <w:tab/>
        <w:t>A.</w:t>
      </w:r>
      <w:r w:rsidRPr="006D43E2">
        <w:tab/>
        <w:t>Relevance</w:t>
      </w:r>
    </w:p>
    <w:p w:rsidR="00BC20DC" w:rsidRPr="006D43E2" w:rsidRDefault="00BC20DC" w:rsidP="0049623A">
      <w:pPr>
        <w:pStyle w:val="SingleTxtG"/>
        <w:spacing w:after="100"/>
      </w:pPr>
      <w:r w:rsidRPr="006D43E2">
        <w:t>40.</w:t>
      </w:r>
      <w:r w:rsidRPr="006D43E2">
        <w:tab/>
        <w:t xml:space="preserve">In the category of “relevance”, countries were invited to specify, for each data flow, whether it was used for more than one </w:t>
      </w:r>
      <w:r w:rsidR="009C668C">
        <w:t xml:space="preserve">purpose, such as </w:t>
      </w:r>
      <w:r w:rsidRPr="006D43E2">
        <w:t>for the production of national indicators and in order to meet reporting obligations</w:t>
      </w:r>
      <w:r w:rsidR="009C668C">
        <w:t>,</w:t>
      </w:r>
      <w:r w:rsidRPr="006D43E2">
        <w:t xml:space="preserve"> with the option of replying “yes”, “partly” or “no”. The results from the 34 submissions are shown in </w:t>
      </w:r>
      <w:r w:rsidR="009C668C">
        <w:t>f</w:t>
      </w:r>
      <w:r w:rsidRPr="006D43E2">
        <w:t xml:space="preserve">igure 1. The default response provided by </w:t>
      </w:r>
      <w:r w:rsidR="009C668C">
        <w:t>the European Environment Agency</w:t>
      </w:r>
      <w:r w:rsidRPr="006D43E2">
        <w:t xml:space="preserve"> was “yes” for all seven data flows. Data flows were used for multiple purposes in 95 per cent of cases.</w:t>
      </w:r>
    </w:p>
    <w:p w:rsidR="00BC20DC" w:rsidRPr="006D43E2" w:rsidRDefault="00BC20DC" w:rsidP="0049623A">
      <w:pPr>
        <w:pStyle w:val="SingleTxtG"/>
        <w:keepNext/>
        <w:spacing w:before="200"/>
        <w:ind w:left="1140" w:right="1140"/>
        <w:jc w:val="left"/>
        <w:rPr>
          <w:b/>
          <w:bCs/>
        </w:rPr>
      </w:pPr>
      <w:r w:rsidRPr="006D43E2">
        <w:rPr>
          <w:bCs/>
        </w:rPr>
        <w:t>Figure 1</w:t>
      </w:r>
      <w:r w:rsidRPr="006D43E2">
        <w:rPr>
          <w:b/>
          <w:bCs/>
        </w:rPr>
        <w:br/>
        <w:t>Use of data flows for more than one purpose</w:t>
      </w:r>
    </w:p>
    <w:p w:rsidR="00BC20DC" w:rsidRPr="006D43E2" w:rsidRDefault="00BC20DC" w:rsidP="00BC20DC">
      <w:pPr>
        <w:pStyle w:val="SingleTxtG"/>
        <w:rPr>
          <w:b/>
          <w:bCs/>
        </w:rPr>
      </w:pPr>
      <w:r w:rsidRPr="006D43E2">
        <w:rPr>
          <w:noProof/>
          <w:lang w:eastAsia="zh-CN"/>
        </w:rPr>
        <w:drawing>
          <wp:inline distT="0" distB="0" distL="0" distR="0" wp14:anchorId="40B95E94" wp14:editId="226E32ED">
            <wp:extent cx="5162550" cy="2562225"/>
            <wp:effectExtent l="0" t="0" r="19050" b="9525"/>
            <wp:docPr id="3" name="Chart 3">
              <a:extLst xmlns:a="http://schemas.openxmlformats.org/drawingml/2006/main">
                <a:ext uri="{FF2B5EF4-FFF2-40B4-BE49-F238E27FC236}">
                  <a16:creationId xmlns:a16="http://schemas.microsoft.com/office/drawing/2014/main" id="{00000000-0008-0000-05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C20DC" w:rsidRPr="006D43E2" w:rsidRDefault="00BC20DC" w:rsidP="002728F3">
      <w:pPr>
        <w:pStyle w:val="SingleTxtG"/>
        <w:spacing w:before="240"/>
      </w:pPr>
      <w:r w:rsidRPr="006D43E2">
        <w:t>41.</w:t>
      </w:r>
      <w:r w:rsidRPr="006D43E2">
        <w:tab/>
        <w:t xml:space="preserve">Countries were asked to provide examples of </w:t>
      </w:r>
      <w:r w:rsidR="009C668C">
        <w:t xml:space="preserve">the </w:t>
      </w:r>
      <w:r w:rsidRPr="006D43E2">
        <w:t>multipurpose use of data flows. The replies included combinations of the following:</w:t>
      </w:r>
    </w:p>
    <w:p w:rsidR="00BC20DC" w:rsidRPr="006D43E2" w:rsidRDefault="00BC20DC" w:rsidP="00BC20DC">
      <w:pPr>
        <w:pStyle w:val="SingleTxtG"/>
        <w:ind w:firstLine="567"/>
      </w:pPr>
      <w:r w:rsidRPr="006D43E2">
        <w:t>(a)</w:t>
      </w:r>
      <w:r w:rsidRPr="006D43E2">
        <w:tab/>
        <w:t>Reporting under European Union directives</w:t>
      </w:r>
      <w:r w:rsidR="009C668C">
        <w:t>,</w:t>
      </w:r>
      <w:r w:rsidRPr="006D43E2">
        <w:t xml:space="preserve"> ECE multilateral environmental agreements</w:t>
      </w:r>
      <w:r w:rsidR="009C668C">
        <w:t xml:space="preserve"> and for </w:t>
      </w:r>
      <w:r w:rsidRPr="006D43E2">
        <w:t>other national and international reporting purposes;</w:t>
      </w:r>
    </w:p>
    <w:p w:rsidR="00BC20DC" w:rsidRPr="006D43E2" w:rsidRDefault="00BC20DC" w:rsidP="00BC20DC">
      <w:pPr>
        <w:pStyle w:val="SingleTxtG"/>
        <w:ind w:firstLine="567"/>
      </w:pPr>
      <w:r w:rsidRPr="006D43E2">
        <w:t>(b)</w:t>
      </w:r>
      <w:r w:rsidRPr="006D43E2">
        <w:tab/>
        <w:t>Provision of data for the European Air Quality Portal and for posting on the websites of national statistical agencies;</w:t>
      </w:r>
    </w:p>
    <w:p w:rsidR="00BC20DC" w:rsidRPr="006D43E2" w:rsidRDefault="00BC20DC" w:rsidP="00BC20DC">
      <w:pPr>
        <w:pStyle w:val="SingleTxtG"/>
        <w:ind w:firstLine="567"/>
      </w:pPr>
      <w:r w:rsidRPr="006D43E2">
        <w:t>(c)</w:t>
      </w:r>
      <w:r w:rsidRPr="006D43E2">
        <w:tab/>
        <w:t xml:space="preserve">Provision of data for the </w:t>
      </w:r>
      <w:r w:rsidR="009C668C">
        <w:t>European Environment Agency</w:t>
      </w:r>
      <w:r w:rsidRPr="006D43E2">
        <w:t xml:space="preserve"> and Eurostat </w:t>
      </w:r>
      <w:r w:rsidR="009C668C">
        <w:t>e</w:t>
      </w:r>
      <w:r w:rsidRPr="006D43E2">
        <w:t xml:space="preserve">nvironmental </w:t>
      </w:r>
      <w:r w:rsidR="009C668C">
        <w:t>i</w:t>
      </w:r>
      <w:r w:rsidRPr="006D43E2">
        <w:t>ndicators and other national and regional indicators;</w:t>
      </w:r>
    </w:p>
    <w:p w:rsidR="00BC20DC" w:rsidRPr="006D43E2" w:rsidRDefault="00BC20DC" w:rsidP="00BC20DC">
      <w:pPr>
        <w:pStyle w:val="SingleTxtG"/>
        <w:ind w:firstLine="567"/>
      </w:pPr>
      <w:r w:rsidRPr="006D43E2">
        <w:t>(d)</w:t>
      </w:r>
      <w:r w:rsidRPr="006D43E2">
        <w:tab/>
        <w:t xml:space="preserve">Inputs to </w:t>
      </w:r>
      <w:r w:rsidR="00FC1100">
        <w:t>European Environment Agency</w:t>
      </w:r>
      <w:r w:rsidRPr="006D43E2">
        <w:t xml:space="preserve"> reports, such as the </w:t>
      </w:r>
      <w:r w:rsidRPr="002728F3">
        <w:t>Air Quality in Europe</w:t>
      </w:r>
      <w:r w:rsidRPr="006D43E2">
        <w:t xml:space="preserve"> report series, and Eurostat reports</w:t>
      </w:r>
      <w:r w:rsidR="00FC1100">
        <w:t>, for example</w:t>
      </w:r>
      <w:r w:rsidRPr="006D43E2">
        <w:t xml:space="preserve">, </w:t>
      </w:r>
      <w:r w:rsidR="00FC1100">
        <w:t xml:space="preserve">on </w:t>
      </w:r>
      <w:r w:rsidRPr="006D43E2">
        <w:t>Sustainable Development Goal</w:t>
      </w:r>
      <w:r w:rsidR="00FC1100">
        <w:t xml:space="preserve"> </w:t>
      </w:r>
      <w:r w:rsidRPr="006D43E2">
        <w:t xml:space="preserve">6 </w:t>
      </w:r>
      <w:r w:rsidR="00FC1100">
        <w:t>(</w:t>
      </w:r>
      <w:r w:rsidRPr="006D43E2">
        <w:t>clean water and sanitation</w:t>
      </w:r>
      <w:r w:rsidR="00FC1100">
        <w:t>)</w:t>
      </w:r>
      <w:r w:rsidRPr="006D43E2">
        <w:t>;</w:t>
      </w:r>
    </w:p>
    <w:p w:rsidR="00BC20DC" w:rsidRPr="006D43E2" w:rsidRDefault="00BC20DC" w:rsidP="00BC20DC">
      <w:pPr>
        <w:pStyle w:val="SingleTxtG"/>
        <w:ind w:firstLine="567"/>
      </w:pPr>
      <w:r w:rsidRPr="006D43E2">
        <w:t>(e)</w:t>
      </w:r>
      <w:r w:rsidRPr="006D43E2">
        <w:tab/>
        <w:t>Production of national state-of-the-environment reports and thematic bulletins;</w:t>
      </w:r>
    </w:p>
    <w:p w:rsidR="00BC20DC" w:rsidRPr="006D43E2" w:rsidRDefault="00BC20DC" w:rsidP="00BC20DC">
      <w:pPr>
        <w:pStyle w:val="SingleTxtG"/>
        <w:ind w:firstLine="567"/>
      </w:pPr>
      <w:r w:rsidRPr="006D43E2">
        <w:t>(f)</w:t>
      </w:r>
      <w:r w:rsidRPr="006D43E2">
        <w:tab/>
        <w:t xml:space="preserve">Production of technical reports on, for example, urban air quality for specific purposes and requests; </w:t>
      </w:r>
      <w:r w:rsidR="00FC1100">
        <w:t xml:space="preserve">the </w:t>
      </w:r>
      <w:r w:rsidRPr="006D43E2">
        <w:t>improvement of a national monitoring programme; legislative frameworks concerning air quality; and justif</w:t>
      </w:r>
      <w:r w:rsidR="00FC1100">
        <w:t>ying</w:t>
      </w:r>
      <w:r w:rsidRPr="006D43E2">
        <w:t xml:space="preserve"> the need for an increase in air quality monitoring capacity at the national level;</w:t>
      </w:r>
    </w:p>
    <w:p w:rsidR="00BC20DC" w:rsidRPr="006D43E2" w:rsidRDefault="00BC20DC" w:rsidP="00BC20DC">
      <w:pPr>
        <w:pStyle w:val="SingleTxtG"/>
        <w:ind w:firstLine="567"/>
      </w:pPr>
      <w:r w:rsidRPr="006D43E2">
        <w:t>(g)</w:t>
      </w:r>
      <w:r w:rsidRPr="006D43E2">
        <w:tab/>
        <w:t xml:space="preserve">Policymaking at the national level; </w:t>
      </w:r>
    </w:p>
    <w:p w:rsidR="00BC20DC" w:rsidRPr="006D43E2" w:rsidRDefault="00BC20DC" w:rsidP="00BC20DC">
      <w:pPr>
        <w:pStyle w:val="SingleTxtG"/>
        <w:ind w:firstLine="567"/>
      </w:pPr>
      <w:r w:rsidRPr="006D43E2">
        <w:t>(h)</w:t>
      </w:r>
      <w:r w:rsidRPr="006D43E2">
        <w:tab/>
        <w:t>Public information.</w:t>
      </w:r>
    </w:p>
    <w:p w:rsidR="00BC20DC" w:rsidRPr="006D43E2" w:rsidRDefault="00BC20DC" w:rsidP="00BC20DC">
      <w:pPr>
        <w:pStyle w:val="H1G"/>
      </w:pPr>
      <w:r w:rsidRPr="006D43E2">
        <w:lastRenderedPageBreak/>
        <w:tab/>
        <w:t>B.</w:t>
      </w:r>
      <w:r w:rsidRPr="006D43E2">
        <w:tab/>
        <w:t>Accessibility</w:t>
      </w:r>
    </w:p>
    <w:p w:rsidR="00BC20DC" w:rsidRPr="006D43E2" w:rsidRDefault="00BC20DC" w:rsidP="00BC20DC">
      <w:pPr>
        <w:pStyle w:val="SingleTxtG"/>
      </w:pPr>
      <w:r w:rsidRPr="006D43E2">
        <w:t>42.</w:t>
      </w:r>
      <w:r w:rsidRPr="006D43E2">
        <w:tab/>
        <w:t xml:space="preserve">In the category of “accessibility”, countries were invited to specify, for each data set, whether it was readily available and accessible online for users on any national platform, with the option of replying either “yes” or “no”. The results from the 34 submissions are shown in </w:t>
      </w:r>
      <w:r w:rsidR="0090156B">
        <w:t>f</w:t>
      </w:r>
      <w:r w:rsidRPr="006D43E2">
        <w:t xml:space="preserve">igure 2. The default response provided by </w:t>
      </w:r>
      <w:r w:rsidR="0090156B">
        <w:t>the European Environment Agency</w:t>
      </w:r>
      <w:r w:rsidRPr="006D43E2">
        <w:t xml:space="preserve"> was “yes” for all seven data flows. Data flows were readily available and accessible online in 90 per cent of cases, though that proportion dropped to 77 per cent for water-related data flows. Countries were also asked in what </w:t>
      </w:r>
      <w:bookmarkStart w:id="3" w:name="_Hlk517193929"/>
      <w:r w:rsidRPr="006D43E2">
        <w:t>formats information on the data flows was presented</w:t>
      </w:r>
      <w:bookmarkEnd w:id="3"/>
      <w:r w:rsidRPr="006D43E2">
        <w:t xml:space="preserve"> with the option to select all applicable options. The results are shown in </w:t>
      </w:r>
      <w:r w:rsidR="0052311A">
        <w:t>f</w:t>
      </w:r>
      <w:r w:rsidRPr="006D43E2">
        <w:t>igure 3. The most popular formats were reports</w:t>
      </w:r>
      <w:r w:rsidR="0052311A">
        <w:t xml:space="preserve">, </w:t>
      </w:r>
      <w:r w:rsidRPr="006D43E2">
        <w:t>such as state-of-the-environment reports</w:t>
      </w:r>
      <w:r w:rsidR="0052311A">
        <w:t>,</w:t>
      </w:r>
      <w:r w:rsidRPr="006D43E2">
        <w:t xml:space="preserve"> and visual presentations.</w:t>
      </w:r>
    </w:p>
    <w:p w:rsidR="00BC20DC" w:rsidRPr="006D43E2" w:rsidRDefault="00BC20DC" w:rsidP="002728F3">
      <w:pPr>
        <w:pStyle w:val="SingleTxtG"/>
        <w:keepNext/>
        <w:spacing w:before="240"/>
        <w:ind w:left="1140" w:right="1140"/>
        <w:jc w:val="left"/>
        <w:rPr>
          <w:b/>
          <w:bCs/>
        </w:rPr>
      </w:pPr>
      <w:r w:rsidRPr="006D43E2">
        <w:t>Figure 2</w:t>
      </w:r>
      <w:r w:rsidRPr="006D43E2">
        <w:br/>
      </w:r>
      <w:r w:rsidRPr="006D43E2">
        <w:rPr>
          <w:b/>
          <w:bCs/>
        </w:rPr>
        <w:t xml:space="preserve">Ready </w:t>
      </w:r>
      <w:r w:rsidR="0052311A">
        <w:rPr>
          <w:b/>
          <w:bCs/>
        </w:rPr>
        <w:t xml:space="preserve">online </w:t>
      </w:r>
      <w:r w:rsidRPr="006D43E2">
        <w:rPr>
          <w:b/>
          <w:bCs/>
        </w:rPr>
        <w:t>availability and accessibility of data flows on a national platform</w:t>
      </w:r>
    </w:p>
    <w:p w:rsidR="00BC20DC" w:rsidRPr="006D43E2" w:rsidRDefault="00BC20DC" w:rsidP="00BC20DC">
      <w:pPr>
        <w:pStyle w:val="SingleTxtG"/>
        <w:rPr>
          <w:noProof/>
          <w:lang w:eastAsia="en-GB"/>
        </w:rPr>
      </w:pPr>
      <w:r w:rsidRPr="006D43E2">
        <w:rPr>
          <w:noProof/>
          <w:lang w:eastAsia="zh-CN"/>
        </w:rPr>
        <w:drawing>
          <wp:inline distT="0" distB="0" distL="0" distR="0" wp14:anchorId="78A47BCC" wp14:editId="592E28CF">
            <wp:extent cx="5162550" cy="2400300"/>
            <wp:effectExtent l="0" t="0" r="19050" b="19050"/>
            <wp:docPr id="4" name="Chart 4">
              <a:extLst xmlns:a="http://schemas.openxmlformats.org/drawingml/2006/main">
                <a:ext uri="{FF2B5EF4-FFF2-40B4-BE49-F238E27FC236}">
                  <a16:creationId xmlns:a16="http://schemas.microsoft.com/office/drawing/2014/main" id="{00000000-0008-0000-05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C20DC" w:rsidRPr="006D43E2" w:rsidRDefault="00BC20DC" w:rsidP="002728F3">
      <w:pPr>
        <w:pStyle w:val="SingleTxtG"/>
        <w:spacing w:before="240"/>
        <w:jc w:val="left"/>
        <w:rPr>
          <w:b/>
          <w:bCs/>
        </w:rPr>
      </w:pPr>
      <w:r w:rsidRPr="006D43E2">
        <w:t>Figure 3</w:t>
      </w:r>
      <w:r w:rsidRPr="006D43E2">
        <w:br/>
      </w:r>
      <w:r w:rsidRPr="006D43E2">
        <w:rPr>
          <w:b/>
          <w:bCs/>
        </w:rPr>
        <w:t>Formats in which information on the data flows is presented</w:t>
      </w:r>
    </w:p>
    <w:p w:rsidR="00BC20DC" w:rsidRPr="006D43E2" w:rsidRDefault="00BC20DC" w:rsidP="00BC20DC">
      <w:pPr>
        <w:pStyle w:val="SingleTxtG"/>
      </w:pPr>
      <w:r w:rsidRPr="006D43E2">
        <w:rPr>
          <w:b/>
          <w:noProof/>
          <w:lang w:eastAsia="zh-CN"/>
        </w:rPr>
        <w:drawing>
          <wp:inline distT="0" distB="0" distL="0" distR="0" wp14:anchorId="5AE07606" wp14:editId="6CF9C198">
            <wp:extent cx="5162550" cy="2988000"/>
            <wp:effectExtent l="0" t="0" r="0" b="3175"/>
            <wp:docPr id="6" name="Chart 6">
              <a:extLst xmlns:a="http://schemas.openxmlformats.org/drawingml/2006/main">
                <a:ext uri="{FF2B5EF4-FFF2-40B4-BE49-F238E27FC236}">
                  <a16:creationId xmlns:a16="http://schemas.microsoft.com/office/drawing/2014/main" id="{00000000-0008-0000-05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C20DC" w:rsidRPr="006D43E2" w:rsidRDefault="00BC20DC" w:rsidP="00BC20DC">
      <w:pPr>
        <w:pStyle w:val="H1G"/>
      </w:pPr>
      <w:r w:rsidRPr="006D43E2">
        <w:lastRenderedPageBreak/>
        <w:tab/>
        <w:t>C.</w:t>
      </w:r>
      <w:r w:rsidRPr="006D43E2">
        <w:tab/>
        <w:t>Comparability</w:t>
      </w:r>
    </w:p>
    <w:p w:rsidR="00BC20DC" w:rsidRPr="006D43E2" w:rsidRDefault="00BC20DC" w:rsidP="00BC20DC">
      <w:pPr>
        <w:pStyle w:val="SingleTxtG"/>
      </w:pPr>
      <w:r w:rsidRPr="006D43E2">
        <w:t>43.</w:t>
      </w:r>
      <w:r w:rsidRPr="006D43E2">
        <w:tab/>
        <w:t>Within the category of “comparability”, countries were invited to specify, for each data flow, whether they applied internationally</w:t>
      </w:r>
      <w:r w:rsidR="0052311A">
        <w:t xml:space="preserve"> </w:t>
      </w:r>
      <w:r w:rsidRPr="006D43E2">
        <w:t xml:space="preserve">agreed procedures in its production with the option of replying “yes”, “partly” or “no”. The results from the submissions are shown in </w:t>
      </w:r>
      <w:r w:rsidR="0052311A">
        <w:t>f</w:t>
      </w:r>
      <w:r w:rsidRPr="006D43E2">
        <w:t xml:space="preserve">igure 4. The default response provided by </w:t>
      </w:r>
      <w:r w:rsidR="0052311A">
        <w:t>the European Environment Agency</w:t>
      </w:r>
      <w:r w:rsidRPr="006D43E2">
        <w:t xml:space="preserve"> was “yes” for all seven data flows. Internationally</w:t>
      </w:r>
      <w:r w:rsidR="0052311A">
        <w:t xml:space="preserve"> </w:t>
      </w:r>
      <w:r w:rsidRPr="006D43E2">
        <w:t>agreed procedures were applied in 72 per cent of cases, falling to 67 per cent for total protected areas.</w:t>
      </w:r>
    </w:p>
    <w:p w:rsidR="00BC20DC" w:rsidRPr="006D43E2" w:rsidRDefault="00BC20DC" w:rsidP="002728F3">
      <w:pPr>
        <w:pStyle w:val="SingleTxtG"/>
        <w:keepNext/>
        <w:spacing w:before="240"/>
        <w:ind w:left="1140" w:right="1140"/>
        <w:jc w:val="left"/>
        <w:rPr>
          <w:b/>
          <w:bCs/>
        </w:rPr>
      </w:pPr>
      <w:r w:rsidRPr="006D43E2">
        <w:t>Figure 4</w:t>
      </w:r>
      <w:r w:rsidRPr="006D43E2">
        <w:br/>
      </w:r>
      <w:r w:rsidRPr="006D43E2">
        <w:rPr>
          <w:b/>
          <w:bCs/>
        </w:rPr>
        <w:t>Application of internationally</w:t>
      </w:r>
      <w:r w:rsidR="005624B1">
        <w:rPr>
          <w:b/>
          <w:bCs/>
        </w:rPr>
        <w:t xml:space="preserve"> </w:t>
      </w:r>
      <w:r w:rsidRPr="006D43E2">
        <w:rPr>
          <w:b/>
          <w:bCs/>
        </w:rPr>
        <w:t>agreed procedures in the production of data flows</w:t>
      </w:r>
    </w:p>
    <w:p w:rsidR="00BC20DC" w:rsidRPr="006D43E2" w:rsidRDefault="00BC20DC" w:rsidP="002728F3">
      <w:pPr>
        <w:pStyle w:val="SingleTxtG"/>
        <w:spacing w:after="240"/>
        <w:rPr>
          <w:noProof/>
          <w:lang w:eastAsia="en-GB"/>
        </w:rPr>
      </w:pPr>
      <w:r w:rsidRPr="006D43E2">
        <w:rPr>
          <w:noProof/>
          <w:lang w:eastAsia="zh-CN"/>
        </w:rPr>
        <w:drawing>
          <wp:inline distT="0" distB="0" distL="0" distR="0" wp14:anchorId="15908FDC" wp14:editId="65EBB76C">
            <wp:extent cx="5162550" cy="2686050"/>
            <wp:effectExtent l="0" t="0" r="19050" b="19050"/>
            <wp:docPr id="7" name="Chart 7">
              <a:extLst xmlns:a="http://schemas.openxmlformats.org/drawingml/2006/main">
                <a:ext uri="{FF2B5EF4-FFF2-40B4-BE49-F238E27FC236}">
                  <a16:creationId xmlns:a16="http://schemas.microsoft.com/office/drawing/2014/main" id="{00000000-0008-0000-05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C20DC" w:rsidRPr="006D43E2" w:rsidRDefault="00BC20DC" w:rsidP="00BC20DC">
      <w:pPr>
        <w:pStyle w:val="SingleTxtG"/>
      </w:pPr>
      <w:r w:rsidRPr="006D43E2">
        <w:t>44.</w:t>
      </w:r>
      <w:r w:rsidRPr="006D43E2">
        <w:tab/>
        <w:t>Within the same category, countries described limitations in comparing data flows across regions and between countries owing to differences in, for example:</w:t>
      </w:r>
    </w:p>
    <w:p w:rsidR="00BC20DC" w:rsidRPr="006D43E2" w:rsidRDefault="00BC20DC" w:rsidP="00BC20DC">
      <w:pPr>
        <w:pStyle w:val="SingleTxtG"/>
      </w:pPr>
      <w:r w:rsidRPr="006D43E2">
        <w:tab/>
      </w:r>
      <w:r w:rsidRPr="006D43E2">
        <w:tab/>
        <w:t>(a)</w:t>
      </w:r>
      <w:r w:rsidRPr="006D43E2">
        <w:tab/>
        <w:t>Densities of measurement stations and configurations of monitoring networks;</w:t>
      </w:r>
    </w:p>
    <w:p w:rsidR="00BC20DC" w:rsidRPr="006D43E2" w:rsidRDefault="00BC20DC" w:rsidP="00BC20DC">
      <w:pPr>
        <w:pStyle w:val="SingleTxtG"/>
      </w:pPr>
      <w:r w:rsidRPr="006D43E2">
        <w:tab/>
      </w:r>
      <w:r w:rsidRPr="006D43E2">
        <w:tab/>
        <w:t>(b)</w:t>
      </w:r>
      <w:r w:rsidRPr="006D43E2">
        <w:tab/>
      </w:r>
      <w:r w:rsidR="0052311A">
        <w:t>The m</w:t>
      </w:r>
      <w:r w:rsidRPr="006D43E2">
        <w:t>eans of data collection</w:t>
      </w:r>
      <w:r w:rsidR="0052311A">
        <w:t>,</w:t>
      </w:r>
      <w:r w:rsidRPr="006D43E2">
        <w:t xml:space="preserve"> </w:t>
      </w:r>
      <w:r w:rsidR="0052311A">
        <w:t xml:space="preserve">for example </w:t>
      </w:r>
      <w:r w:rsidRPr="006D43E2">
        <w:t xml:space="preserve">automated stations </w:t>
      </w:r>
      <w:r w:rsidR="0052311A">
        <w:t xml:space="preserve">versus </w:t>
      </w:r>
      <w:r w:rsidRPr="006D43E2">
        <w:t>laboratory processing</w:t>
      </w:r>
      <w:r w:rsidR="0052311A">
        <w:t>,</w:t>
      </w:r>
      <w:r w:rsidRPr="006D43E2">
        <w:t xml:space="preserve"> and determination methodologies;</w:t>
      </w:r>
    </w:p>
    <w:p w:rsidR="00BC20DC" w:rsidRPr="006D43E2" w:rsidRDefault="00BC20DC" w:rsidP="00BC20DC">
      <w:pPr>
        <w:pStyle w:val="SingleTxtG"/>
      </w:pPr>
      <w:r w:rsidRPr="006D43E2">
        <w:tab/>
      </w:r>
      <w:r w:rsidRPr="006D43E2">
        <w:tab/>
        <w:t>(c)</w:t>
      </w:r>
      <w:r w:rsidRPr="006D43E2">
        <w:tab/>
        <w:t>Data flow definitions</w:t>
      </w:r>
      <w:r w:rsidR="0052311A">
        <w:t xml:space="preserve">, for example the </w:t>
      </w:r>
      <w:r w:rsidRPr="006D43E2">
        <w:t xml:space="preserve">use of </w:t>
      </w:r>
      <w:r w:rsidR="0052311A">
        <w:t>seven</w:t>
      </w:r>
      <w:r w:rsidRPr="006D43E2">
        <w:t xml:space="preserve">-day BOD instead of </w:t>
      </w:r>
      <w:r w:rsidR="0052311A">
        <w:t>five</w:t>
      </w:r>
      <w:r w:rsidRPr="006D43E2">
        <w:t>-day BOD and differing definitions of protected areas;</w:t>
      </w:r>
    </w:p>
    <w:p w:rsidR="00BC20DC" w:rsidRPr="006D43E2" w:rsidRDefault="00BC20DC" w:rsidP="00BC20DC">
      <w:pPr>
        <w:pStyle w:val="SingleTxtG"/>
      </w:pPr>
      <w:r w:rsidRPr="006D43E2">
        <w:tab/>
      </w:r>
      <w:r w:rsidRPr="006D43E2">
        <w:tab/>
        <w:t>(d)</w:t>
      </w:r>
      <w:r w:rsidRPr="006D43E2">
        <w:tab/>
        <w:t>Legislation.</w:t>
      </w:r>
    </w:p>
    <w:p w:rsidR="0052311A" w:rsidRDefault="0052311A" w:rsidP="00BC20DC">
      <w:pPr>
        <w:suppressAutoHyphens w:val="0"/>
        <w:spacing w:line="240" w:lineRule="auto"/>
      </w:pPr>
    </w:p>
    <w:p w:rsidR="0052311A" w:rsidRDefault="0052311A" w:rsidP="00BC20DC">
      <w:pPr>
        <w:suppressAutoHyphens w:val="0"/>
        <w:spacing w:line="240" w:lineRule="auto"/>
        <w:sectPr w:rsidR="0052311A" w:rsidSect="00BC20DC">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701" w:gutter="0"/>
          <w:cols w:space="720"/>
          <w:titlePg/>
          <w:docGrid w:linePitch="272"/>
        </w:sectPr>
      </w:pPr>
    </w:p>
    <w:p w:rsidR="00BC20DC" w:rsidRPr="006D43E2" w:rsidRDefault="00BC20DC" w:rsidP="00BC20DC">
      <w:pPr>
        <w:suppressAutoHyphens w:val="0"/>
        <w:spacing w:line="240" w:lineRule="auto"/>
      </w:pPr>
      <w:r w:rsidRPr="006D43E2">
        <w:br w:type="page"/>
      </w:r>
    </w:p>
    <w:p w:rsidR="00BC20DC" w:rsidRPr="006D43E2" w:rsidRDefault="00BC20DC" w:rsidP="00BC20DC">
      <w:pPr>
        <w:pStyle w:val="HChG"/>
      </w:pPr>
      <w:r w:rsidRPr="006D43E2">
        <w:lastRenderedPageBreak/>
        <w:t>Annex</w:t>
      </w:r>
    </w:p>
    <w:p w:rsidR="00BC20DC" w:rsidRPr="006D43E2" w:rsidRDefault="00BC20DC" w:rsidP="00BC20DC">
      <w:pPr>
        <w:pStyle w:val="HChG"/>
      </w:pPr>
      <w:r w:rsidRPr="006D43E2">
        <w:tab/>
      </w:r>
      <w:r w:rsidRPr="006D43E2">
        <w:tab/>
        <w:t>Background information</w:t>
      </w:r>
    </w:p>
    <w:p w:rsidR="00BC20DC" w:rsidRPr="006D43E2" w:rsidRDefault="00BC20DC" w:rsidP="00BC20DC">
      <w:pPr>
        <w:pStyle w:val="H1G"/>
      </w:pPr>
      <w:r w:rsidRPr="006D43E2">
        <w:tab/>
        <w:t>A.</w:t>
      </w:r>
      <w:r w:rsidRPr="006D43E2">
        <w:tab/>
        <w:t>Assessment framework</w:t>
      </w:r>
    </w:p>
    <w:p w:rsidR="00BC20DC" w:rsidRPr="006D43E2" w:rsidRDefault="00BC20DC" w:rsidP="00BC20DC">
      <w:pPr>
        <w:pStyle w:val="SingleTxtG"/>
      </w:pPr>
      <w:r w:rsidRPr="006D43E2">
        <w:t>1.</w:t>
      </w:r>
      <w:r w:rsidRPr="006D43E2">
        <w:tab/>
        <w:t xml:space="preserve">The Working Group agreed at its sixteenth session (16–17 April 2015) that the data and information included in the </w:t>
      </w:r>
      <w:r w:rsidR="006F745D">
        <w:t xml:space="preserve">preparation of the </w:t>
      </w:r>
      <w:r w:rsidRPr="006D43E2">
        <w:t xml:space="preserve">mid-term review </w:t>
      </w:r>
      <w:r w:rsidR="006F745D">
        <w:t xml:space="preserve">report </w:t>
      </w:r>
      <w:r w:rsidRPr="006D43E2">
        <w:t xml:space="preserve">should allow the measurement of progress towards agreed global and regional priorities in line, as relevant, with global and regional multilateral environmental agreements. The Working Group </w:t>
      </w:r>
      <w:r w:rsidR="00F617BD">
        <w:t xml:space="preserve">also </w:t>
      </w:r>
      <w:r w:rsidRPr="006D43E2">
        <w:t xml:space="preserve">agreed on a first development milestone: 67 specific data flows that every country in the pan-European region should aim to make available and accessible online during 2015. </w:t>
      </w:r>
    </w:p>
    <w:p w:rsidR="00BC20DC" w:rsidRPr="006D43E2" w:rsidRDefault="00BC20DC" w:rsidP="00BC20DC">
      <w:pPr>
        <w:pStyle w:val="SingleTxtG"/>
      </w:pPr>
      <w:r w:rsidRPr="006D43E2">
        <w:t>2.</w:t>
      </w:r>
      <w:r w:rsidRPr="006D43E2">
        <w:tab/>
        <w:t>During the first assessment in 2015, full participation of all countries in the pan-European region could not be achieved and the assessment was not able to take into account internationally accepted standards for data set production or data quality, given the limited resources available. Neither data quality nor data usage was, as such, assessed. It was suggested that these shortcomings should be rectified in the next review round.</w:t>
      </w:r>
    </w:p>
    <w:p w:rsidR="00BC20DC" w:rsidRPr="006D43E2" w:rsidRDefault="00BC20DC" w:rsidP="00BC20DC">
      <w:pPr>
        <w:pStyle w:val="SingleTxtG"/>
      </w:pPr>
      <w:r w:rsidRPr="006D43E2">
        <w:t>3.</w:t>
      </w:r>
      <w:r w:rsidRPr="006D43E2">
        <w:tab/>
        <w:t>At its eighteenth session (28–29 June 2016), the Working Group agreed that the secretariat would revise the review criteria and integrate a quality component as part of the assessment framework. The purpose of that continuing review of the assessment framework was to utilize the revised assessment framework in the preparation of the mid-term review</w:t>
      </w:r>
      <w:r w:rsidR="006F745D">
        <w:t xml:space="preserve"> report</w:t>
      </w:r>
      <w:r w:rsidRPr="006D43E2">
        <w:t xml:space="preserve">. </w:t>
      </w:r>
    </w:p>
    <w:p w:rsidR="00BC20DC" w:rsidRPr="006D43E2" w:rsidRDefault="00BC20DC" w:rsidP="00BC20DC">
      <w:pPr>
        <w:pStyle w:val="SingleTxtG"/>
      </w:pPr>
      <w:r w:rsidRPr="006D43E2">
        <w:t>4.</w:t>
      </w:r>
      <w:r w:rsidRPr="006D43E2">
        <w:tab/>
        <w:t>At its nineteenth session (27–28 June 2017), the Working Group examined the results of the review of the assessment framework (see ECE/CEP/AC.10/2017/5). The Working Group agreed that it would be necessary to pilot the assessment framework and its associated reporting application before moving on to data collection for the mid-term assessment</w:t>
      </w:r>
      <w:r w:rsidR="005F596B">
        <w:t xml:space="preserve"> report</w:t>
      </w:r>
      <w:r w:rsidRPr="006D43E2">
        <w:t xml:space="preserve">. It was also noted that steps would need to be taken to ensure that the assessment framework was </w:t>
      </w:r>
      <w:r w:rsidR="006F745D">
        <w:t xml:space="preserve">harmonized </w:t>
      </w:r>
      <w:r w:rsidRPr="006D43E2">
        <w:t>with other initiatives.</w:t>
      </w:r>
    </w:p>
    <w:p w:rsidR="00BC20DC" w:rsidRPr="006D43E2" w:rsidRDefault="00BC20DC" w:rsidP="00BC20DC">
      <w:pPr>
        <w:pStyle w:val="SingleTxtG"/>
      </w:pPr>
      <w:r w:rsidRPr="006D43E2">
        <w:t>5.</w:t>
      </w:r>
      <w:r w:rsidRPr="006D43E2">
        <w:tab/>
        <w:t xml:space="preserve">The self-assessment questionnaire, as part of the assessment framework, has been developed by the Working Group together with ECE, UNEP and the </w:t>
      </w:r>
      <w:r w:rsidR="006F745D">
        <w:t>European Environment Agency</w:t>
      </w:r>
      <w:r w:rsidRPr="006D43E2">
        <w:t xml:space="preserve">. The questionnaire is available as an online reporting tool and as a Microsoft Excel workbook. These two reporting tools provided the basis to pilot the reporting across the pan-European region and for </w:t>
      </w:r>
      <w:r w:rsidR="006F745D">
        <w:t xml:space="preserve">preparing </w:t>
      </w:r>
      <w:r w:rsidRPr="006D43E2">
        <w:t>the mid-term review</w:t>
      </w:r>
      <w:r w:rsidR="006F745D">
        <w:t xml:space="preserve"> report.</w:t>
      </w:r>
    </w:p>
    <w:p w:rsidR="00BC20DC" w:rsidRPr="006D43E2" w:rsidRDefault="00BC20DC" w:rsidP="00BC20DC">
      <w:pPr>
        <w:pStyle w:val="SingleTxtG"/>
      </w:pPr>
      <w:r w:rsidRPr="006D43E2">
        <w:t>6.</w:t>
      </w:r>
      <w:r w:rsidRPr="006D43E2">
        <w:tab/>
        <w:t xml:space="preserve">During a </w:t>
      </w:r>
      <w:r w:rsidR="006F745D">
        <w:t>t</w:t>
      </w:r>
      <w:r w:rsidRPr="006D43E2">
        <w:t xml:space="preserve">echnical </w:t>
      </w:r>
      <w:r w:rsidR="006F745D">
        <w:t>m</w:t>
      </w:r>
      <w:r w:rsidRPr="006D43E2">
        <w:t xml:space="preserve">eeting and </w:t>
      </w:r>
      <w:r w:rsidR="006F745D">
        <w:t>c</w:t>
      </w:r>
      <w:r w:rsidRPr="006D43E2">
        <w:t xml:space="preserve">ountry </w:t>
      </w:r>
      <w:r w:rsidR="006F745D">
        <w:t>w</w:t>
      </w:r>
      <w:r w:rsidRPr="006D43E2">
        <w:t xml:space="preserve">orkshop </w:t>
      </w:r>
      <w:r w:rsidR="006F745D">
        <w:t xml:space="preserve">in </w:t>
      </w:r>
      <w:r w:rsidRPr="006D43E2">
        <w:t xml:space="preserve">Vienna </w:t>
      </w:r>
      <w:r w:rsidR="006F745D">
        <w:t>(</w:t>
      </w:r>
      <w:r w:rsidRPr="006D43E2">
        <w:t xml:space="preserve">13–15 September 2017), the self-assessment questionnaire was further developed with countries that </w:t>
      </w:r>
      <w:r w:rsidR="006F745D">
        <w:t xml:space="preserve">had </w:t>
      </w:r>
      <w:r w:rsidRPr="006D43E2">
        <w:t xml:space="preserve">volunteered </w:t>
      </w:r>
      <w:r w:rsidR="006F745D">
        <w:t xml:space="preserve">to do so </w:t>
      </w:r>
      <w:r w:rsidRPr="006D43E2">
        <w:t xml:space="preserve">at the thirteenth session of the Joint Task Force on Environmental Statistics and Indicators (29–30 June 2017). The workshop was attended by representatives of ECE, UNEP and the </w:t>
      </w:r>
      <w:r w:rsidR="006F745D">
        <w:t>European Environment Agency</w:t>
      </w:r>
      <w:r w:rsidRPr="006D43E2">
        <w:t xml:space="preserve">. </w:t>
      </w:r>
    </w:p>
    <w:p w:rsidR="00BC20DC" w:rsidRPr="006D43E2" w:rsidRDefault="00BC20DC" w:rsidP="00BC20DC">
      <w:pPr>
        <w:pStyle w:val="SingleTxtG"/>
      </w:pPr>
      <w:r w:rsidRPr="006D43E2">
        <w:t>7.</w:t>
      </w:r>
      <w:r w:rsidRPr="006D43E2">
        <w:tab/>
        <w:t xml:space="preserve">Based on the outcomes of the </w:t>
      </w:r>
      <w:r w:rsidR="00F617BD">
        <w:t xml:space="preserve">Vienna </w:t>
      </w:r>
      <w:r w:rsidRPr="006D43E2">
        <w:t xml:space="preserve">workshop, the self-assessment questionnaire was updated and then further discussed during the fourteenth session of the Joint Task Force (2–3 October 2017). During this meeting, member States agreed on the modalities and data flows </w:t>
      </w:r>
      <w:r w:rsidR="00BD5348">
        <w:t xml:space="preserve">to be </w:t>
      </w:r>
      <w:r w:rsidRPr="006D43E2">
        <w:t>included in the mid-term review</w:t>
      </w:r>
      <w:r w:rsidR="005F596B">
        <w:t xml:space="preserve"> report</w:t>
      </w:r>
      <w:r w:rsidRPr="006D43E2">
        <w:t xml:space="preserve">. </w:t>
      </w:r>
    </w:p>
    <w:p w:rsidR="00BC20DC" w:rsidRPr="006D43E2" w:rsidRDefault="00BC20DC" w:rsidP="00BC20DC">
      <w:pPr>
        <w:pStyle w:val="SingleTxtG"/>
      </w:pPr>
      <w:r w:rsidRPr="006D43E2">
        <w:t>8.</w:t>
      </w:r>
      <w:r w:rsidRPr="006D43E2">
        <w:tab/>
        <w:t>At the Working Group</w:t>
      </w:r>
      <w:r w:rsidR="003021E7">
        <w:t>’s twentieth session</w:t>
      </w:r>
      <w:r w:rsidRPr="006D43E2">
        <w:t xml:space="preserve"> (3–4 September 2018), the secretariat presented the assessment framework and the draft mid-term review </w:t>
      </w:r>
      <w:r w:rsidR="003021E7">
        <w:t>report</w:t>
      </w:r>
      <w:r w:rsidRPr="006D43E2">
        <w:t xml:space="preserve">. Members of the Working Group </w:t>
      </w:r>
      <w:r w:rsidR="003021E7">
        <w:t xml:space="preserve">also </w:t>
      </w:r>
      <w:r w:rsidRPr="006D43E2">
        <w:t xml:space="preserve">reported on their experiences in monitoring progress towards </w:t>
      </w:r>
      <w:r w:rsidR="003021E7">
        <w:t>the establishment of the System</w:t>
      </w:r>
      <w:r w:rsidRPr="006D43E2">
        <w:t xml:space="preserve"> and commented on both the assessment framework and the draft mid-term review</w:t>
      </w:r>
      <w:r w:rsidR="003021E7">
        <w:t xml:space="preserve"> report</w:t>
      </w:r>
      <w:r w:rsidRPr="006D43E2">
        <w:t>. It was agreed that the assessment framework would be further improved for the next reporting period.</w:t>
      </w:r>
    </w:p>
    <w:p w:rsidR="00BC20DC" w:rsidRPr="006D43E2" w:rsidRDefault="00BC20DC" w:rsidP="00BC20DC">
      <w:pPr>
        <w:pStyle w:val="H1G"/>
      </w:pPr>
      <w:r w:rsidRPr="006D43E2">
        <w:lastRenderedPageBreak/>
        <w:tab/>
        <w:t>B.</w:t>
      </w:r>
      <w:r w:rsidRPr="006D43E2">
        <w:tab/>
        <w:t>Data collection</w:t>
      </w:r>
    </w:p>
    <w:p w:rsidR="00BC20DC" w:rsidRPr="006D43E2" w:rsidRDefault="00BC20DC" w:rsidP="00BC20DC">
      <w:pPr>
        <w:pStyle w:val="SingleTxtG"/>
      </w:pPr>
      <w:r w:rsidRPr="006D43E2">
        <w:t>9.</w:t>
      </w:r>
      <w:r w:rsidRPr="006D43E2">
        <w:tab/>
        <w:t xml:space="preserve">Data collection based on the assessment framework and self-assessment questionnaire and the analysis for the current mid-term review </w:t>
      </w:r>
      <w:r w:rsidR="001D6C85">
        <w:t xml:space="preserve">report </w:t>
      </w:r>
      <w:r w:rsidRPr="006D43E2">
        <w:t xml:space="preserve">was conducted in the period between March and June 2018: </w:t>
      </w:r>
    </w:p>
    <w:p w:rsidR="00BC20DC" w:rsidRPr="006D43E2" w:rsidRDefault="00BC20DC" w:rsidP="00BC20DC">
      <w:pPr>
        <w:pStyle w:val="SingleTxtG"/>
      </w:pPr>
      <w:r w:rsidRPr="006D43E2">
        <w:tab/>
      </w:r>
      <w:r w:rsidRPr="006D43E2">
        <w:tab/>
        <w:t>(a)</w:t>
      </w:r>
      <w:r w:rsidRPr="006D43E2">
        <w:tab/>
        <w:t>The secretariat shared the self-assessment questionnaire at the beginning of March 2018 and member States were invited to complete the self-assessment questionnaire by 6 May 2018;</w:t>
      </w:r>
    </w:p>
    <w:p w:rsidR="00BC20DC" w:rsidRPr="006D43E2" w:rsidRDefault="00BC20DC" w:rsidP="00BC20DC">
      <w:pPr>
        <w:pStyle w:val="SingleTxtG"/>
      </w:pPr>
      <w:r w:rsidRPr="006D43E2">
        <w:tab/>
      </w:r>
      <w:r w:rsidRPr="006D43E2">
        <w:tab/>
        <w:t>(b)</w:t>
      </w:r>
      <w:r w:rsidRPr="006D43E2">
        <w:tab/>
        <w:t xml:space="preserve">Replies to 15 of the 25 questions contained in the self-assessment questionnaire were mandatory. The performance score was calculated </w:t>
      </w:r>
      <w:r w:rsidR="0092372A" w:rsidRPr="006D43E2">
        <w:t>based on</w:t>
      </w:r>
      <w:r w:rsidRPr="006D43E2">
        <w:t xml:space="preserve"> the answers to the mandatory questions, with averages calculated for countries and subregions. The results presented in this document are based on countries’ responses to the 15 mandatory questions;</w:t>
      </w:r>
    </w:p>
    <w:p w:rsidR="00BC20DC" w:rsidRPr="006D43E2" w:rsidRDefault="00BC20DC" w:rsidP="00BC20DC">
      <w:pPr>
        <w:pStyle w:val="SingleTxtG"/>
      </w:pPr>
      <w:r w:rsidRPr="006D43E2">
        <w:tab/>
      </w:r>
      <w:r w:rsidRPr="006D43E2">
        <w:tab/>
        <w:t>(c)</w:t>
      </w:r>
      <w:r w:rsidRPr="006D43E2">
        <w:tab/>
        <w:t xml:space="preserve">The scoring of mandatory questions according to the </w:t>
      </w:r>
      <w:r w:rsidR="001D6C85">
        <w:t xml:space="preserve">seven </w:t>
      </w:r>
      <w:r w:rsidRPr="006D43E2">
        <w:t>review criteria was done automatically</w:t>
      </w:r>
      <w:r w:rsidR="001D6C85">
        <w:t>,</w:t>
      </w:r>
      <w:r w:rsidRPr="006D43E2">
        <w:t xml:space="preserve"> </w:t>
      </w:r>
      <w:r w:rsidR="001D6C85">
        <w:t xml:space="preserve">using </w:t>
      </w:r>
      <w:r w:rsidRPr="006D43E2">
        <w:t xml:space="preserve">calculation formula </w:t>
      </w:r>
      <w:r w:rsidR="001D6C85">
        <w:t xml:space="preserve">based on </w:t>
      </w:r>
      <w:r w:rsidRPr="006D43E2">
        <w:t>the scorin</w:t>
      </w:r>
      <w:r w:rsidR="001D6C85">
        <w:t xml:space="preserve">g system </w:t>
      </w:r>
      <w:r w:rsidRPr="006D43E2">
        <w:t>in the assessment framework</w:t>
      </w:r>
      <w:r w:rsidR="001D6C85">
        <w:t xml:space="preserve"> that had been incorporated in the Excel workbook reporting template</w:t>
      </w:r>
      <w:r w:rsidRPr="006D43E2">
        <w:t>;</w:t>
      </w:r>
    </w:p>
    <w:p w:rsidR="00BC20DC" w:rsidRPr="006D43E2" w:rsidRDefault="00BC20DC" w:rsidP="00BC20DC">
      <w:pPr>
        <w:pStyle w:val="SingleTxtG"/>
      </w:pPr>
      <w:r w:rsidRPr="006D43E2">
        <w:tab/>
      </w:r>
      <w:r w:rsidRPr="006D43E2">
        <w:tab/>
        <w:t>(d)</w:t>
      </w:r>
      <w:r w:rsidRPr="006D43E2">
        <w:tab/>
        <w:t>Based on the submitted self-assessments</w:t>
      </w:r>
      <w:r w:rsidR="001D6C85">
        <w:t>,</w:t>
      </w:r>
      <w:r w:rsidRPr="006D43E2">
        <w:t xml:space="preserve"> the secretariat compiled the draft mid-term review report. All self-assessments submitted </w:t>
      </w:r>
      <w:r w:rsidR="00BD5348">
        <w:t xml:space="preserve">were </w:t>
      </w:r>
      <w:r w:rsidRPr="006D43E2">
        <w:t>integrated into the report;</w:t>
      </w:r>
    </w:p>
    <w:p w:rsidR="00BC20DC" w:rsidRPr="006D43E2" w:rsidRDefault="00BC20DC" w:rsidP="001D6C85">
      <w:pPr>
        <w:pStyle w:val="SingleTxtG"/>
      </w:pPr>
      <w:r w:rsidRPr="006D43E2">
        <w:tab/>
      </w:r>
      <w:r w:rsidRPr="006D43E2">
        <w:tab/>
        <w:t>(e)</w:t>
      </w:r>
      <w:r w:rsidRPr="006D43E2">
        <w:tab/>
        <w:t xml:space="preserve">Only a few countries requested clarifications </w:t>
      </w:r>
      <w:r w:rsidR="001D6C85">
        <w:t xml:space="preserve">concerning </w:t>
      </w:r>
      <w:r w:rsidRPr="006D43E2">
        <w:t xml:space="preserve">the filling </w:t>
      </w:r>
      <w:r w:rsidR="001D6C85">
        <w:t xml:space="preserve">out </w:t>
      </w:r>
      <w:r w:rsidRPr="006D43E2">
        <w:t>of the questionnaire</w:t>
      </w:r>
      <w:r w:rsidR="001D6C85">
        <w:t xml:space="preserve"> template</w:t>
      </w:r>
      <w:r w:rsidRPr="006D43E2">
        <w:t xml:space="preserve">. The secretariat and </w:t>
      </w:r>
      <w:r w:rsidR="001D6C85">
        <w:t>the European Environment Agency</w:t>
      </w:r>
      <w:r w:rsidRPr="006D43E2">
        <w:t xml:space="preserve"> provided clarifications where needed. </w:t>
      </w:r>
    </w:p>
    <w:p w:rsidR="00BC20DC" w:rsidRPr="006D43E2" w:rsidRDefault="00BC20DC" w:rsidP="00BC20DC">
      <w:pPr>
        <w:pStyle w:val="SingleTxtG"/>
      </w:pPr>
      <w:r w:rsidRPr="006D43E2">
        <w:t>10.</w:t>
      </w:r>
      <w:r w:rsidRPr="006D43E2">
        <w:tab/>
      </w:r>
      <w:r w:rsidR="001D6C85">
        <w:t>The European Environment Agency</w:t>
      </w:r>
      <w:r w:rsidRPr="006D43E2">
        <w:t xml:space="preserve"> pre-filled the self-assessment questionnaire for its 33 members and 5 cooperating countries in South-Eastern Europe;</w:t>
      </w:r>
      <w:r w:rsidRPr="006D43E2">
        <w:rPr>
          <w:rStyle w:val="FootnoteReference"/>
        </w:rPr>
        <w:footnoteReference w:id="5"/>
      </w:r>
      <w:r w:rsidRPr="006D43E2">
        <w:t xml:space="preserve"> for </w:t>
      </w:r>
      <w:r w:rsidR="001D6C85">
        <w:t>European Environment Agency</w:t>
      </w:r>
      <w:r w:rsidRPr="006D43E2">
        <w:t xml:space="preserve"> members that did not submit a self-assessment, the default values were used for the review at the suggestion of </w:t>
      </w:r>
      <w:r w:rsidR="001D6C85">
        <w:t>the Agency</w:t>
      </w:r>
      <w:r w:rsidRPr="006D43E2">
        <w:t>. Countries were invited to report on other data flows underpinning the ECE set of environmental indicators, in addition to the seven listed, but none did so. They were also invited to review the assessment framework, test an online reporting tool and provide suggestions for improvement of the framework and tool</w:t>
      </w:r>
      <w:r w:rsidR="00FC0201">
        <w:t>.</w:t>
      </w:r>
      <w:r w:rsidRPr="006D43E2">
        <w:t xml:space="preserve"> </w:t>
      </w:r>
      <w:r w:rsidR="00FC0201">
        <w:t>S</w:t>
      </w:r>
      <w:r w:rsidRPr="006D43E2">
        <w:t xml:space="preserve">everal </w:t>
      </w:r>
      <w:r w:rsidR="00FC0201">
        <w:t xml:space="preserve">countries </w:t>
      </w:r>
      <w:r w:rsidRPr="006D43E2">
        <w:t>did so and their comments are being used to refine the two instruments.</w:t>
      </w:r>
    </w:p>
    <w:p w:rsidR="00BC20DC" w:rsidRPr="006D43E2" w:rsidRDefault="00BC20DC" w:rsidP="00BC20DC">
      <w:pPr>
        <w:pStyle w:val="SingleTxtG"/>
      </w:pPr>
      <w:r w:rsidRPr="006D43E2">
        <w:t>11.</w:t>
      </w:r>
      <w:r w:rsidRPr="006D43E2">
        <w:tab/>
        <w:t>Of the 34 countries that responded, 30 submitted results for all seven data flows and answered all 15 mandatory questions. Four countries (Kyrgyzstan, Poland, Tajikistan</w:t>
      </w:r>
      <w:r w:rsidRPr="006D43E2" w:rsidDel="00D90CB8">
        <w:t xml:space="preserve"> </w:t>
      </w:r>
      <w:r w:rsidRPr="006D43E2">
        <w:t xml:space="preserve">and Ukraine) did not answer some of the mandatory questions for one or two data flows. </w:t>
      </w:r>
    </w:p>
    <w:p w:rsidR="00BC20DC" w:rsidRPr="006D43E2" w:rsidRDefault="00BC20DC" w:rsidP="00BC20DC">
      <w:pPr>
        <w:pStyle w:val="SingleTxtG"/>
      </w:pPr>
      <w:r w:rsidRPr="006D43E2">
        <w:t>12.</w:t>
      </w:r>
      <w:r w:rsidRPr="006D43E2">
        <w:tab/>
        <w:t>Of the countries that responded, 19 answered all 10 non-mandatory questions for at least one data set: Albania, Belgium, Bulgaria, Croatia, Estonia, Finland, France, Germany, Hungary, Italy, Lithuania, Poland, Republic of Moldova, Romania, Russian Federation, Sweden, Switzerland, Turkmenistan and Ukraine.</w:t>
      </w:r>
    </w:p>
    <w:p w:rsidR="00BC20DC" w:rsidRPr="006D43E2" w:rsidRDefault="00BC20DC" w:rsidP="00BC20DC">
      <w:pPr>
        <w:pStyle w:val="SingleTxtG"/>
      </w:pPr>
      <w:r w:rsidRPr="006D43E2">
        <w:t>13.</w:t>
      </w:r>
      <w:r w:rsidRPr="006D43E2">
        <w:tab/>
        <w:t xml:space="preserve">The self-assessment conducted by </w:t>
      </w:r>
      <w:r w:rsidR="00147883">
        <w:t>the European Environment Agency</w:t>
      </w:r>
      <w:r w:rsidRPr="006D43E2">
        <w:t xml:space="preserve"> members and cooperating countries revealed an overall good performance. However, </w:t>
      </w:r>
      <w:r w:rsidR="00147883">
        <w:t>European Environment Agency</w:t>
      </w:r>
      <w:r w:rsidRPr="006D43E2">
        <w:t xml:space="preserve"> members were also the least likely to provide a response (only 17 did so), whereas all countries in the Caucasus, Central Asia and Eastern and South-Eastern Europe</w:t>
      </w:r>
      <w:r w:rsidR="00147883">
        <w:t xml:space="preserve"> and </w:t>
      </w:r>
      <w:r w:rsidRPr="006D43E2">
        <w:t xml:space="preserve">the Russian Federation did so. </w:t>
      </w:r>
    </w:p>
    <w:p w:rsidR="00BC20DC" w:rsidRPr="006D43E2" w:rsidRDefault="00BC20DC" w:rsidP="00BC20DC">
      <w:pPr>
        <w:pStyle w:val="H1G"/>
      </w:pPr>
      <w:r w:rsidRPr="006D43E2">
        <w:lastRenderedPageBreak/>
        <w:tab/>
        <w:t>C.</w:t>
      </w:r>
      <w:r w:rsidRPr="006D43E2">
        <w:tab/>
        <w:t>Indicator and national performance scores</w:t>
      </w:r>
    </w:p>
    <w:p w:rsidR="00BC20DC" w:rsidRPr="006D43E2" w:rsidRDefault="00BC20DC" w:rsidP="00BC20DC">
      <w:pPr>
        <w:pStyle w:val="SingleTxtG"/>
      </w:pPr>
      <w:r w:rsidRPr="006D43E2">
        <w:t>14.</w:t>
      </w:r>
      <w:r w:rsidRPr="006D43E2">
        <w:tab/>
        <w:t>For the 2016 progress report, the assessment was not able to review the progress for all three pillars</w:t>
      </w:r>
      <w:r w:rsidR="0092372A">
        <w:t xml:space="preserve"> of the Shared Environmental Information System</w:t>
      </w:r>
      <w:r w:rsidR="0092372A" w:rsidRPr="006D43E2">
        <w:t xml:space="preserve"> </w:t>
      </w:r>
      <w:r w:rsidRPr="006D43E2">
        <w:t>and it was highlighted that the next assessment would benefit from an adequate review of all three main pillars — cooperation, content and infrastructure.</w:t>
      </w:r>
    </w:p>
    <w:p w:rsidR="00BC20DC" w:rsidRPr="006D43E2" w:rsidRDefault="00BC20DC" w:rsidP="00BC20DC">
      <w:pPr>
        <w:pStyle w:val="SingleTxtG"/>
      </w:pPr>
      <w:r w:rsidRPr="006D43E2">
        <w:t>15.</w:t>
      </w:r>
      <w:r w:rsidRPr="006D43E2">
        <w:tab/>
        <w:t xml:space="preserve">The revised assessment framework addressed this shortcoming through the introduction of 25 review questions grouped into </w:t>
      </w:r>
      <w:r w:rsidR="00EA64CD">
        <w:t>seven</w:t>
      </w:r>
      <w:r w:rsidRPr="006D43E2">
        <w:t xml:space="preserve"> categories. These categories (review criteria) are linked to one or more of the pillars.</w:t>
      </w:r>
    </w:p>
    <w:p w:rsidR="00BC20DC" w:rsidRDefault="00BC20DC" w:rsidP="002728F3">
      <w:pPr>
        <w:pStyle w:val="SingleTxtG"/>
      </w:pPr>
      <w:r w:rsidRPr="006D43E2">
        <w:t>16.</w:t>
      </w:r>
      <w:r w:rsidRPr="006D43E2">
        <w:tab/>
        <w:t xml:space="preserve">The results </w:t>
      </w:r>
      <w:r w:rsidR="00EA64CD">
        <w:t xml:space="preserve">of </w:t>
      </w:r>
      <w:r w:rsidRPr="006D43E2">
        <w:t xml:space="preserve">the self-assessments submitted by countries are presented in the table below, based on the mandatory questions. </w:t>
      </w:r>
      <w:r w:rsidR="00EA64CD">
        <w:t>T</w:t>
      </w:r>
      <w:r w:rsidRPr="006D43E2">
        <w:t xml:space="preserve">he </w:t>
      </w:r>
      <w:r w:rsidR="00EA64CD">
        <w:t xml:space="preserve">fact that the </w:t>
      </w:r>
      <w:r w:rsidRPr="006D43E2">
        <w:t xml:space="preserve">current </w:t>
      </w:r>
      <w:r w:rsidR="00EA64CD">
        <w:t xml:space="preserve">report includes an assessment </w:t>
      </w:r>
      <w:r w:rsidRPr="006D43E2">
        <w:t xml:space="preserve">of all </w:t>
      </w:r>
      <w:r w:rsidR="00EA64CD">
        <w:t xml:space="preserve">the </w:t>
      </w:r>
      <w:r w:rsidRPr="006D43E2">
        <w:t xml:space="preserve">pillars </w:t>
      </w:r>
      <w:r w:rsidR="0092372A">
        <w:t>of the Shared Environmental Information System</w:t>
      </w:r>
      <w:r w:rsidR="0092372A" w:rsidRPr="006D43E2">
        <w:t xml:space="preserve"> </w:t>
      </w:r>
      <w:r w:rsidR="00EA64CD">
        <w:t xml:space="preserve">is one of the </w:t>
      </w:r>
      <w:r w:rsidRPr="006D43E2">
        <w:t>major achievement</w:t>
      </w:r>
      <w:r w:rsidR="00EA64CD">
        <w:t>s</w:t>
      </w:r>
      <w:r w:rsidRPr="006D43E2">
        <w:t xml:space="preserve"> of this review </w:t>
      </w:r>
      <w:r w:rsidR="00EA64CD">
        <w:t xml:space="preserve">report </w:t>
      </w:r>
      <w:r w:rsidRPr="006D43E2">
        <w:t xml:space="preserve">and </w:t>
      </w:r>
      <w:r w:rsidR="00EA64CD">
        <w:t xml:space="preserve">illustrates the </w:t>
      </w:r>
      <w:r w:rsidRPr="006D43E2">
        <w:t xml:space="preserve">progress </w:t>
      </w:r>
      <w:r w:rsidR="00BD5348">
        <w:t xml:space="preserve">made by </w:t>
      </w:r>
      <w:r w:rsidRPr="006D43E2">
        <w:t>countries in self-assessing their performance in the different categories.</w:t>
      </w:r>
    </w:p>
    <w:p w:rsidR="00EA64CD" w:rsidRPr="006D43E2" w:rsidRDefault="00EA64CD" w:rsidP="002728F3">
      <w:pPr>
        <w:pStyle w:val="SingleTxtG"/>
      </w:pPr>
    </w:p>
    <w:p w:rsidR="00BC20DC" w:rsidRPr="006D43E2" w:rsidRDefault="00BC20DC">
      <w:pPr>
        <w:suppressAutoHyphens w:val="0"/>
        <w:spacing w:line="240" w:lineRule="auto"/>
        <w:sectPr w:rsidR="00BC20DC" w:rsidRPr="006D43E2" w:rsidSect="0052311A">
          <w:footnotePr>
            <w:numRestart w:val="eachSect"/>
          </w:footnotePr>
          <w:endnotePr>
            <w:numFmt w:val="decimal"/>
          </w:endnotePr>
          <w:type w:val="continuous"/>
          <w:pgSz w:w="11907" w:h="16840" w:code="9"/>
          <w:pgMar w:top="1701" w:right="1134" w:bottom="2268" w:left="1134" w:header="1134" w:footer="1701" w:gutter="0"/>
          <w:cols w:space="720"/>
          <w:titlePg/>
          <w:docGrid w:linePitch="272"/>
        </w:sectPr>
      </w:pPr>
      <w:r w:rsidRPr="006D43E2">
        <w:br w:type="page"/>
      </w:r>
    </w:p>
    <w:p w:rsidR="00BC20DC" w:rsidRPr="006D43E2" w:rsidRDefault="00536243" w:rsidP="002728F3">
      <w:pPr>
        <w:pStyle w:val="H1G"/>
        <w:ind w:hanging="850"/>
      </w:pPr>
      <w:r>
        <w:lastRenderedPageBreak/>
        <w:t>Indicator and national performance scores</w:t>
      </w:r>
    </w:p>
    <w:tbl>
      <w:tblPr>
        <w:tblW w:w="12474" w:type="dxa"/>
        <w:tblInd w:w="227" w:type="dxa"/>
        <w:tblLayout w:type="fixed"/>
        <w:tblLook w:val="04A0" w:firstRow="1" w:lastRow="0" w:firstColumn="1" w:lastColumn="0" w:noHBand="0" w:noVBand="1"/>
      </w:tblPr>
      <w:tblGrid>
        <w:gridCol w:w="1772"/>
        <w:gridCol w:w="1397"/>
        <w:gridCol w:w="1363"/>
        <w:gridCol w:w="1359"/>
        <w:gridCol w:w="1255"/>
        <w:gridCol w:w="274"/>
        <w:gridCol w:w="1263"/>
        <w:gridCol w:w="1044"/>
        <w:gridCol w:w="316"/>
        <w:gridCol w:w="1391"/>
        <w:gridCol w:w="1040"/>
      </w:tblGrid>
      <w:tr w:rsidR="008F3971" w:rsidRPr="006D43E2" w:rsidTr="002728F3">
        <w:trPr>
          <w:tblHeader/>
        </w:trPr>
        <w:tc>
          <w:tcPr>
            <w:tcW w:w="1738" w:type="dxa"/>
            <w:tcBorders>
              <w:top w:val="single" w:sz="4" w:space="0" w:color="auto"/>
            </w:tcBorders>
            <w:shd w:val="clear" w:color="auto" w:fill="auto"/>
            <w:vAlign w:val="bottom"/>
          </w:tcPr>
          <w:p w:rsidR="00BC20DC" w:rsidRPr="002728F3" w:rsidRDefault="00BC20DC" w:rsidP="002728F3">
            <w:pPr>
              <w:spacing w:before="80" w:after="80" w:line="220" w:lineRule="exact"/>
              <w:ind w:right="170"/>
              <w:rPr>
                <w:i/>
                <w:iCs/>
                <w:color w:val="000000" w:themeColor="text1"/>
                <w:sz w:val="16"/>
                <w:szCs w:val="16"/>
                <w:lang w:eastAsia="en-GB"/>
              </w:rPr>
            </w:pPr>
            <w:bookmarkStart w:id="4" w:name="_Hlk529173030"/>
          </w:p>
        </w:tc>
        <w:tc>
          <w:tcPr>
            <w:tcW w:w="5543" w:type="dxa"/>
            <w:gridSpan w:val="5"/>
            <w:tcBorders>
              <w:top w:val="single" w:sz="4" w:space="0" w:color="auto"/>
            </w:tcBorders>
            <w:shd w:val="clear" w:color="auto" w:fill="auto"/>
            <w:vAlign w:val="bottom"/>
            <w:hideMark/>
          </w:tcPr>
          <w:p w:rsidR="00BC20DC" w:rsidRPr="002728F3" w:rsidRDefault="00BC20DC" w:rsidP="002728F3">
            <w:pPr>
              <w:spacing w:before="80" w:after="80" w:line="220" w:lineRule="exact"/>
              <w:ind w:right="284"/>
              <w:jc w:val="center"/>
              <w:rPr>
                <w:b/>
                <w:bCs/>
                <w:color w:val="000000" w:themeColor="text1"/>
                <w:sz w:val="16"/>
                <w:szCs w:val="16"/>
                <w:lang w:eastAsia="en-GB"/>
              </w:rPr>
            </w:pPr>
            <w:r w:rsidRPr="002728F3">
              <w:rPr>
                <w:b/>
                <w:bCs/>
                <w:color w:val="000000" w:themeColor="text1"/>
                <w:sz w:val="16"/>
                <w:szCs w:val="16"/>
                <w:lang w:eastAsia="en-GB"/>
              </w:rPr>
              <w:t>A. Air pollution and ozone depletion</w:t>
            </w:r>
          </w:p>
        </w:tc>
        <w:tc>
          <w:tcPr>
            <w:tcW w:w="2575" w:type="dxa"/>
            <w:gridSpan w:val="3"/>
            <w:tcBorders>
              <w:top w:val="single" w:sz="4" w:space="0" w:color="auto"/>
            </w:tcBorders>
            <w:shd w:val="clear" w:color="auto" w:fill="auto"/>
            <w:vAlign w:val="bottom"/>
            <w:hideMark/>
          </w:tcPr>
          <w:p w:rsidR="00BC20DC" w:rsidRPr="002728F3" w:rsidRDefault="00BC20DC" w:rsidP="002728F3">
            <w:pPr>
              <w:spacing w:before="80" w:after="80" w:line="220" w:lineRule="exact"/>
              <w:ind w:right="170"/>
              <w:jc w:val="center"/>
              <w:rPr>
                <w:b/>
                <w:bCs/>
                <w:color w:val="000000" w:themeColor="text1"/>
                <w:sz w:val="16"/>
                <w:szCs w:val="16"/>
                <w:lang w:eastAsia="en-GB"/>
              </w:rPr>
            </w:pPr>
            <w:r w:rsidRPr="002728F3">
              <w:rPr>
                <w:b/>
                <w:bCs/>
                <w:color w:val="000000" w:themeColor="text1"/>
                <w:sz w:val="16"/>
                <w:szCs w:val="16"/>
                <w:lang w:eastAsia="en-GB"/>
              </w:rPr>
              <w:t>C. Water</w:t>
            </w:r>
          </w:p>
        </w:tc>
        <w:tc>
          <w:tcPr>
            <w:tcW w:w="1365" w:type="dxa"/>
            <w:tcBorders>
              <w:top w:val="single" w:sz="4" w:space="0" w:color="auto"/>
            </w:tcBorders>
            <w:shd w:val="clear" w:color="auto" w:fill="auto"/>
            <w:vAlign w:val="bottom"/>
            <w:hideMark/>
          </w:tcPr>
          <w:p w:rsidR="00BC20DC" w:rsidRPr="002728F3" w:rsidRDefault="00BC20DC" w:rsidP="002728F3">
            <w:pPr>
              <w:spacing w:before="80" w:after="80" w:line="220" w:lineRule="exact"/>
              <w:jc w:val="center"/>
              <w:rPr>
                <w:b/>
                <w:bCs/>
                <w:color w:val="000000" w:themeColor="text1"/>
                <w:sz w:val="16"/>
                <w:szCs w:val="16"/>
                <w:lang w:eastAsia="en-GB"/>
              </w:rPr>
            </w:pPr>
            <w:r w:rsidRPr="002728F3">
              <w:rPr>
                <w:b/>
                <w:bCs/>
                <w:color w:val="000000" w:themeColor="text1"/>
                <w:sz w:val="16"/>
                <w:szCs w:val="16"/>
                <w:lang w:eastAsia="en-GB"/>
              </w:rPr>
              <w:t>D. Biodiversity</w:t>
            </w:r>
          </w:p>
        </w:tc>
        <w:tc>
          <w:tcPr>
            <w:tcW w:w="1021" w:type="dxa"/>
            <w:tcBorders>
              <w:top w:val="single" w:sz="4" w:space="0" w:color="auto"/>
            </w:tcBorders>
            <w:shd w:val="clear" w:color="auto" w:fill="auto"/>
            <w:vAlign w:val="bottom"/>
          </w:tcPr>
          <w:p w:rsidR="00BC20DC" w:rsidRPr="002728F3" w:rsidRDefault="00BC20DC" w:rsidP="002728F3">
            <w:pPr>
              <w:spacing w:before="80" w:after="80" w:line="220" w:lineRule="exact"/>
              <w:jc w:val="center"/>
              <w:rPr>
                <w:i/>
                <w:iCs/>
                <w:color w:val="000000" w:themeColor="text1"/>
                <w:sz w:val="16"/>
                <w:szCs w:val="16"/>
                <w:lang w:eastAsia="en-GB"/>
              </w:rPr>
            </w:pPr>
          </w:p>
        </w:tc>
      </w:tr>
      <w:tr w:rsidR="00486978" w:rsidRPr="006D43E2" w:rsidTr="002728F3">
        <w:trPr>
          <w:tblHeader/>
        </w:trPr>
        <w:tc>
          <w:tcPr>
            <w:tcW w:w="1738" w:type="dxa"/>
            <w:shd w:val="clear" w:color="auto" w:fill="auto"/>
            <w:vAlign w:val="bottom"/>
            <w:hideMark/>
          </w:tcPr>
          <w:p w:rsidR="00486978" w:rsidRPr="002728F3" w:rsidRDefault="00486978" w:rsidP="002728F3">
            <w:pPr>
              <w:spacing w:before="80" w:after="80" w:line="220" w:lineRule="exact"/>
              <w:rPr>
                <w:i/>
                <w:iCs/>
                <w:color w:val="000000" w:themeColor="text1"/>
                <w:sz w:val="16"/>
                <w:szCs w:val="16"/>
                <w:lang w:eastAsia="en-GB"/>
              </w:rPr>
            </w:pPr>
          </w:p>
        </w:tc>
        <w:tc>
          <w:tcPr>
            <w:tcW w:w="5274" w:type="dxa"/>
            <w:gridSpan w:val="4"/>
            <w:tcBorders>
              <w:bottom w:val="single" w:sz="4" w:space="0" w:color="auto"/>
            </w:tcBorders>
            <w:shd w:val="clear" w:color="auto" w:fill="auto"/>
            <w:vAlign w:val="bottom"/>
            <w:hideMark/>
          </w:tcPr>
          <w:p w:rsidR="00486978" w:rsidRPr="00FB5B98" w:rsidRDefault="00486978" w:rsidP="002728F3">
            <w:pPr>
              <w:spacing w:before="80" w:after="80" w:line="220" w:lineRule="exact"/>
              <w:ind w:right="284"/>
              <w:jc w:val="center"/>
              <w:rPr>
                <w:i/>
                <w:iCs/>
                <w:color w:val="000000" w:themeColor="text1"/>
                <w:sz w:val="16"/>
                <w:szCs w:val="16"/>
                <w:lang w:eastAsia="en-GB"/>
              </w:rPr>
            </w:pPr>
            <w:r w:rsidRPr="002728F3">
              <w:rPr>
                <w:i/>
                <w:iCs/>
                <w:color w:val="000000" w:themeColor="text1"/>
                <w:sz w:val="16"/>
                <w:szCs w:val="16"/>
                <w:lang w:eastAsia="en-GB"/>
              </w:rPr>
              <w:t>A2. Ambient air quality in urban areas</w:t>
            </w:r>
          </w:p>
        </w:tc>
        <w:tc>
          <w:tcPr>
            <w:tcW w:w="269" w:type="dxa"/>
            <w:shd w:val="clear" w:color="auto" w:fill="auto"/>
            <w:vAlign w:val="bottom"/>
          </w:tcPr>
          <w:p w:rsidR="00486978" w:rsidRPr="002728F3" w:rsidRDefault="00486978" w:rsidP="002728F3">
            <w:pPr>
              <w:spacing w:before="80" w:after="80" w:line="220" w:lineRule="exact"/>
              <w:ind w:right="284"/>
              <w:jc w:val="center"/>
              <w:rPr>
                <w:i/>
                <w:iCs/>
                <w:color w:val="000000" w:themeColor="text1"/>
                <w:sz w:val="16"/>
                <w:szCs w:val="16"/>
                <w:lang w:eastAsia="en-GB"/>
              </w:rPr>
            </w:pPr>
          </w:p>
        </w:tc>
        <w:tc>
          <w:tcPr>
            <w:tcW w:w="2265" w:type="dxa"/>
            <w:gridSpan w:val="2"/>
            <w:tcBorders>
              <w:bottom w:val="single" w:sz="4" w:space="0" w:color="auto"/>
            </w:tcBorders>
            <w:shd w:val="clear" w:color="auto" w:fill="auto"/>
            <w:vAlign w:val="bottom"/>
            <w:hideMark/>
          </w:tcPr>
          <w:p w:rsidR="00486978" w:rsidRPr="002728F3" w:rsidRDefault="00486978" w:rsidP="00F857C3">
            <w:pPr>
              <w:spacing w:before="80" w:after="80" w:line="220" w:lineRule="exact"/>
              <w:ind w:right="170"/>
              <w:jc w:val="center"/>
              <w:rPr>
                <w:i/>
                <w:iCs/>
                <w:color w:val="000000" w:themeColor="text1"/>
                <w:sz w:val="15"/>
                <w:szCs w:val="15"/>
                <w:lang w:eastAsia="en-GB"/>
              </w:rPr>
            </w:pPr>
            <w:r w:rsidRPr="002728F3">
              <w:rPr>
                <w:i/>
                <w:iCs/>
                <w:color w:val="000000" w:themeColor="text1"/>
                <w:sz w:val="15"/>
                <w:szCs w:val="15"/>
                <w:lang w:eastAsia="en-GB"/>
              </w:rPr>
              <w:t>C10. BOD</w:t>
            </w:r>
            <w:r w:rsidRPr="002728F3">
              <w:rPr>
                <w:i/>
                <w:iCs/>
                <w:color w:val="000000" w:themeColor="text1"/>
                <w:sz w:val="15"/>
                <w:szCs w:val="15"/>
                <w:vertAlign w:val="subscript"/>
                <w:lang w:eastAsia="en-GB"/>
              </w:rPr>
              <w:t>5</w:t>
            </w:r>
            <w:r w:rsidRPr="002728F3">
              <w:rPr>
                <w:i/>
                <w:iCs/>
                <w:color w:val="000000" w:themeColor="text1"/>
                <w:sz w:val="15"/>
                <w:szCs w:val="15"/>
                <w:lang w:eastAsia="en-GB"/>
              </w:rPr>
              <w:t xml:space="preserve"> and concentration of ammonium in rivers</w:t>
            </w:r>
          </w:p>
        </w:tc>
        <w:tc>
          <w:tcPr>
            <w:tcW w:w="310" w:type="dxa"/>
            <w:shd w:val="clear" w:color="auto" w:fill="auto"/>
            <w:vAlign w:val="bottom"/>
          </w:tcPr>
          <w:p w:rsidR="00486978" w:rsidRPr="002728F3" w:rsidRDefault="00486978" w:rsidP="002728F3">
            <w:pPr>
              <w:spacing w:before="80" w:after="80" w:line="220" w:lineRule="exact"/>
              <w:ind w:right="170"/>
              <w:jc w:val="center"/>
              <w:rPr>
                <w:i/>
                <w:iCs/>
                <w:color w:val="000000" w:themeColor="text1"/>
                <w:sz w:val="16"/>
                <w:szCs w:val="16"/>
                <w:lang w:eastAsia="en-GB"/>
              </w:rPr>
            </w:pPr>
          </w:p>
        </w:tc>
        <w:tc>
          <w:tcPr>
            <w:tcW w:w="1365" w:type="dxa"/>
            <w:tcBorders>
              <w:bottom w:val="single" w:sz="4" w:space="0" w:color="auto"/>
            </w:tcBorders>
            <w:shd w:val="clear" w:color="auto" w:fill="auto"/>
            <w:vAlign w:val="bottom"/>
            <w:hideMark/>
          </w:tcPr>
          <w:p w:rsidR="00486978" w:rsidRPr="002728F3" w:rsidRDefault="00486978" w:rsidP="002728F3">
            <w:pPr>
              <w:spacing w:before="80" w:after="80" w:line="220" w:lineRule="exact"/>
              <w:jc w:val="center"/>
              <w:rPr>
                <w:i/>
                <w:iCs/>
                <w:color w:val="000000" w:themeColor="text1"/>
                <w:sz w:val="16"/>
                <w:szCs w:val="16"/>
                <w:lang w:eastAsia="en-GB"/>
              </w:rPr>
            </w:pPr>
            <w:r w:rsidRPr="002728F3">
              <w:rPr>
                <w:i/>
                <w:iCs/>
                <w:color w:val="000000" w:themeColor="text1"/>
                <w:sz w:val="16"/>
                <w:szCs w:val="16"/>
                <w:lang w:eastAsia="en-GB"/>
              </w:rPr>
              <w:t>D1. Protected areas</w:t>
            </w:r>
          </w:p>
        </w:tc>
        <w:tc>
          <w:tcPr>
            <w:tcW w:w="1021" w:type="dxa"/>
            <w:shd w:val="clear" w:color="auto" w:fill="auto"/>
            <w:vAlign w:val="center"/>
          </w:tcPr>
          <w:p w:rsidR="00486978" w:rsidRPr="002728F3" w:rsidRDefault="00486978" w:rsidP="002728F3">
            <w:pPr>
              <w:spacing w:before="80" w:after="80" w:line="220" w:lineRule="exact"/>
              <w:jc w:val="center"/>
              <w:rPr>
                <w:i/>
                <w:iCs/>
                <w:color w:val="000000" w:themeColor="text1"/>
                <w:sz w:val="16"/>
                <w:szCs w:val="16"/>
                <w:lang w:eastAsia="en-GB"/>
              </w:rPr>
            </w:pPr>
          </w:p>
        </w:tc>
      </w:tr>
      <w:tr w:rsidR="00F857C3" w:rsidRPr="006D43E2" w:rsidTr="002728F3">
        <w:trPr>
          <w:tblHeader/>
        </w:trPr>
        <w:tc>
          <w:tcPr>
            <w:tcW w:w="1738" w:type="dxa"/>
            <w:tcBorders>
              <w:bottom w:val="single" w:sz="12" w:space="0" w:color="auto"/>
            </w:tcBorders>
            <w:shd w:val="clear" w:color="auto" w:fill="auto"/>
            <w:vAlign w:val="bottom"/>
            <w:hideMark/>
          </w:tcPr>
          <w:p w:rsidR="00BC20DC" w:rsidRPr="002728F3" w:rsidRDefault="00BA6E05" w:rsidP="002728F3">
            <w:pPr>
              <w:spacing w:before="80" w:after="80" w:line="220" w:lineRule="exact"/>
              <w:rPr>
                <w:i/>
                <w:iCs/>
                <w:color w:val="000000" w:themeColor="text1"/>
                <w:sz w:val="16"/>
                <w:szCs w:val="16"/>
                <w:lang w:eastAsia="en-GB"/>
              </w:rPr>
            </w:pPr>
            <w:r w:rsidRPr="002728F3">
              <w:rPr>
                <w:i/>
                <w:iCs/>
                <w:color w:val="000000" w:themeColor="text1"/>
                <w:sz w:val="16"/>
                <w:szCs w:val="16"/>
                <w:lang w:eastAsia="en-GB"/>
              </w:rPr>
              <w:t>Country</w:t>
            </w:r>
          </w:p>
        </w:tc>
        <w:tc>
          <w:tcPr>
            <w:tcW w:w="1370" w:type="dxa"/>
            <w:tcBorders>
              <w:top w:val="single" w:sz="4" w:space="0" w:color="auto"/>
              <w:bottom w:val="single" w:sz="12" w:space="0" w:color="auto"/>
            </w:tcBorders>
            <w:shd w:val="clear" w:color="auto" w:fill="auto"/>
            <w:vAlign w:val="bottom"/>
            <w:hideMark/>
          </w:tcPr>
          <w:p w:rsidR="00BC20DC" w:rsidRPr="006D43E2" w:rsidRDefault="00BC20DC" w:rsidP="002728F3">
            <w:pPr>
              <w:spacing w:before="80" w:after="80" w:line="220" w:lineRule="exact"/>
              <w:jc w:val="right"/>
              <w:rPr>
                <w:bCs/>
                <w:i/>
                <w:color w:val="000000" w:themeColor="text1"/>
                <w:sz w:val="16"/>
                <w:szCs w:val="16"/>
                <w:lang w:eastAsia="en-GB"/>
              </w:rPr>
            </w:pPr>
            <w:r w:rsidRPr="006D43E2">
              <w:rPr>
                <w:bCs/>
                <w:i/>
                <w:color w:val="000000" w:themeColor="text1"/>
                <w:sz w:val="16"/>
                <w:szCs w:val="16"/>
                <w:lang w:eastAsia="en-GB"/>
              </w:rPr>
              <w:t>Annual average concentration of PM</w:t>
            </w:r>
            <w:r w:rsidRPr="002728F3">
              <w:rPr>
                <w:bCs/>
                <w:i/>
                <w:color w:val="000000" w:themeColor="text1"/>
                <w:sz w:val="16"/>
                <w:szCs w:val="16"/>
                <w:vertAlign w:val="subscript"/>
                <w:lang w:eastAsia="en-GB"/>
              </w:rPr>
              <w:t>10</w:t>
            </w:r>
            <w:r w:rsidRPr="006D43E2">
              <w:rPr>
                <w:bCs/>
                <w:i/>
                <w:color w:val="000000" w:themeColor="text1"/>
                <w:sz w:val="16"/>
                <w:szCs w:val="16"/>
                <w:lang w:eastAsia="en-GB"/>
              </w:rPr>
              <w:t xml:space="preserve"> </w:t>
            </w:r>
            <w:r w:rsidR="00AF3582">
              <w:rPr>
                <w:bCs/>
                <w:i/>
                <w:color w:val="000000" w:themeColor="text1"/>
                <w:sz w:val="16"/>
                <w:szCs w:val="16"/>
                <w:lang w:eastAsia="en-GB"/>
              </w:rPr>
              <w:t>–</w:t>
            </w:r>
            <w:r w:rsidRPr="006D43E2">
              <w:rPr>
                <w:bCs/>
                <w:i/>
                <w:color w:val="000000" w:themeColor="text1"/>
                <w:sz w:val="16"/>
                <w:szCs w:val="16"/>
                <w:lang w:eastAsia="en-GB"/>
              </w:rPr>
              <w:t xml:space="preserve"> validated</w:t>
            </w:r>
          </w:p>
        </w:tc>
        <w:tc>
          <w:tcPr>
            <w:tcW w:w="1338" w:type="dxa"/>
            <w:tcBorders>
              <w:top w:val="single" w:sz="4" w:space="0" w:color="auto"/>
              <w:bottom w:val="single" w:sz="12" w:space="0" w:color="auto"/>
            </w:tcBorders>
            <w:shd w:val="clear" w:color="auto" w:fill="auto"/>
            <w:vAlign w:val="bottom"/>
            <w:hideMark/>
          </w:tcPr>
          <w:p w:rsidR="00BC20DC" w:rsidRPr="006D43E2" w:rsidRDefault="00BC20DC" w:rsidP="002728F3">
            <w:pPr>
              <w:spacing w:before="80" w:after="80" w:line="220" w:lineRule="exact"/>
              <w:jc w:val="right"/>
              <w:rPr>
                <w:bCs/>
                <w:i/>
                <w:color w:val="000000" w:themeColor="text1"/>
                <w:sz w:val="16"/>
                <w:szCs w:val="16"/>
                <w:lang w:eastAsia="en-GB"/>
              </w:rPr>
            </w:pPr>
            <w:r w:rsidRPr="006D43E2">
              <w:rPr>
                <w:bCs/>
                <w:i/>
                <w:color w:val="000000" w:themeColor="text1"/>
                <w:sz w:val="16"/>
                <w:szCs w:val="16"/>
                <w:lang w:eastAsia="en-GB"/>
              </w:rPr>
              <w:t>Annual average concentration of sulphur dioxide</w:t>
            </w:r>
            <w:r w:rsidR="00BA6E05">
              <w:rPr>
                <w:bCs/>
                <w:i/>
                <w:color w:val="000000" w:themeColor="text1"/>
                <w:sz w:val="16"/>
                <w:szCs w:val="16"/>
                <w:lang w:eastAsia="en-GB"/>
              </w:rPr>
              <w:t> –</w:t>
            </w:r>
            <w:r w:rsidRPr="006D43E2">
              <w:rPr>
                <w:bCs/>
                <w:i/>
                <w:color w:val="000000" w:themeColor="text1"/>
                <w:sz w:val="16"/>
                <w:szCs w:val="16"/>
                <w:lang w:eastAsia="en-GB"/>
              </w:rPr>
              <w:t xml:space="preserve"> validated</w:t>
            </w:r>
          </w:p>
        </w:tc>
        <w:tc>
          <w:tcPr>
            <w:tcW w:w="1334" w:type="dxa"/>
            <w:tcBorders>
              <w:top w:val="single" w:sz="4" w:space="0" w:color="auto"/>
              <w:bottom w:val="single" w:sz="12" w:space="0" w:color="auto"/>
            </w:tcBorders>
            <w:shd w:val="clear" w:color="auto" w:fill="auto"/>
            <w:vAlign w:val="bottom"/>
            <w:hideMark/>
          </w:tcPr>
          <w:p w:rsidR="00BC20DC" w:rsidRPr="002728F3" w:rsidRDefault="00BC20DC" w:rsidP="002728F3">
            <w:pPr>
              <w:spacing w:before="80" w:after="80" w:line="220" w:lineRule="exact"/>
              <w:jc w:val="right"/>
              <w:rPr>
                <w:bCs/>
                <w:i/>
                <w:color w:val="000000" w:themeColor="text1"/>
                <w:spacing w:val="-2"/>
                <w:sz w:val="16"/>
                <w:szCs w:val="16"/>
                <w:lang w:eastAsia="en-GB"/>
              </w:rPr>
            </w:pPr>
            <w:r w:rsidRPr="002728F3">
              <w:rPr>
                <w:bCs/>
                <w:i/>
                <w:color w:val="000000" w:themeColor="text1"/>
                <w:spacing w:val="-2"/>
                <w:sz w:val="16"/>
                <w:szCs w:val="16"/>
                <w:lang w:eastAsia="en-GB"/>
              </w:rPr>
              <w:t>Annual average concentration of nitrogen dioxide</w:t>
            </w:r>
            <w:r w:rsidR="00BA6E05" w:rsidRPr="002728F3">
              <w:rPr>
                <w:bCs/>
                <w:i/>
                <w:color w:val="000000" w:themeColor="text1"/>
                <w:spacing w:val="-2"/>
                <w:sz w:val="16"/>
                <w:szCs w:val="16"/>
                <w:lang w:eastAsia="en-GB"/>
              </w:rPr>
              <w:t> –</w:t>
            </w:r>
            <w:r w:rsidRPr="002728F3">
              <w:rPr>
                <w:bCs/>
                <w:i/>
                <w:color w:val="000000" w:themeColor="text1"/>
                <w:spacing w:val="-2"/>
                <w:sz w:val="16"/>
                <w:szCs w:val="16"/>
                <w:lang w:eastAsia="en-GB"/>
              </w:rPr>
              <w:t xml:space="preserve"> validated</w:t>
            </w:r>
          </w:p>
        </w:tc>
        <w:tc>
          <w:tcPr>
            <w:tcW w:w="1501" w:type="dxa"/>
            <w:gridSpan w:val="2"/>
            <w:tcBorders>
              <w:bottom w:val="single" w:sz="12" w:space="0" w:color="auto"/>
            </w:tcBorders>
            <w:shd w:val="clear" w:color="auto" w:fill="auto"/>
            <w:vAlign w:val="bottom"/>
            <w:hideMark/>
          </w:tcPr>
          <w:p w:rsidR="00BC20DC" w:rsidRPr="002728F3" w:rsidRDefault="00BC20DC" w:rsidP="002728F3">
            <w:pPr>
              <w:spacing w:before="80" w:after="80" w:line="220" w:lineRule="exact"/>
              <w:ind w:right="284"/>
              <w:jc w:val="right"/>
              <w:rPr>
                <w:bCs/>
                <w:i/>
                <w:color w:val="000000" w:themeColor="text1"/>
                <w:spacing w:val="-2"/>
                <w:sz w:val="15"/>
                <w:szCs w:val="15"/>
                <w:lang w:eastAsia="en-GB"/>
              </w:rPr>
            </w:pPr>
            <w:r w:rsidRPr="002728F3">
              <w:rPr>
                <w:bCs/>
                <w:i/>
                <w:color w:val="000000" w:themeColor="text1"/>
                <w:spacing w:val="-2"/>
                <w:sz w:val="15"/>
                <w:szCs w:val="15"/>
                <w:lang w:eastAsia="en-GB"/>
              </w:rPr>
              <w:t>Annual average concentration of ground-level ozone</w:t>
            </w:r>
            <w:r w:rsidR="00BA6E05" w:rsidRPr="002728F3">
              <w:rPr>
                <w:bCs/>
                <w:i/>
                <w:color w:val="000000" w:themeColor="text1"/>
                <w:spacing w:val="-2"/>
                <w:sz w:val="15"/>
                <w:szCs w:val="15"/>
                <w:lang w:eastAsia="en-GB"/>
              </w:rPr>
              <w:t> –</w:t>
            </w:r>
            <w:r w:rsidRPr="002728F3">
              <w:rPr>
                <w:bCs/>
                <w:i/>
                <w:color w:val="000000" w:themeColor="text1"/>
                <w:spacing w:val="-2"/>
                <w:sz w:val="15"/>
                <w:szCs w:val="15"/>
                <w:lang w:eastAsia="en-GB"/>
              </w:rPr>
              <w:t xml:space="preserve"> validated</w:t>
            </w:r>
          </w:p>
        </w:tc>
        <w:tc>
          <w:tcPr>
            <w:tcW w:w="1240" w:type="dxa"/>
            <w:tcBorders>
              <w:top w:val="single" w:sz="4" w:space="0" w:color="auto"/>
              <w:bottom w:val="single" w:sz="12" w:space="0" w:color="auto"/>
            </w:tcBorders>
            <w:shd w:val="clear" w:color="auto" w:fill="auto"/>
            <w:vAlign w:val="bottom"/>
            <w:hideMark/>
          </w:tcPr>
          <w:p w:rsidR="00BC20DC" w:rsidRPr="006D43E2" w:rsidRDefault="00BC20DC" w:rsidP="002728F3">
            <w:pPr>
              <w:spacing w:before="80" w:after="80" w:line="220" w:lineRule="exact"/>
              <w:jc w:val="right"/>
              <w:rPr>
                <w:bCs/>
                <w:i/>
                <w:color w:val="000000" w:themeColor="text1"/>
                <w:sz w:val="16"/>
                <w:szCs w:val="16"/>
                <w:lang w:eastAsia="en-GB"/>
              </w:rPr>
            </w:pPr>
            <w:r w:rsidRPr="006D43E2">
              <w:rPr>
                <w:bCs/>
                <w:i/>
                <w:color w:val="000000" w:themeColor="text1"/>
                <w:sz w:val="16"/>
                <w:szCs w:val="16"/>
                <w:lang w:eastAsia="en-GB"/>
              </w:rPr>
              <w:t>Mean concentration of BOD</w:t>
            </w:r>
            <w:r w:rsidRPr="002728F3">
              <w:rPr>
                <w:bCs/>
                <w:i/>
                <w:color w:val="000000" w:themeColor="text1"/>
                <w:sz w:val="16"/>
                <w:szCs w:val="16"/>
                <w:vertAlign w:val="subscript"/>
                <w:lang w:eastAsia="en-GB"/>
              </w:rPr>
              <w:t>5</w:t>
            </w:r>
            <w:r w:rsidRPr="006D43E2">
              <w:rPr>
                <w:bCs/>
                <w:i/>
                <w:color w:val="000000" w:themeColor="text1"/>
                <w:sz w:val="16"/>
                <w:szCs w:val="16"/>
                <w:lang w:eastAsia="en-GB"/>
              </w:rPr>
              <w:t xml:space="preserve"> in major rivers</w:t>
            </w:r>
          </w:p>
        </w:tc>
        <w:tc>
          <w:tcPr>
            <w:tcW w:w="1335" w:type="dxa"/>
            <w:gridSpan w:val="2"/>
            <w:tcBorders>
              <w:bottom w:val="single" w:sz="12" w:space="0" w:color="auto"/>
            </w:tcBorders>
            <w:shd w:val="clear" w:color="auto" w:fill="auto"/>
            <w:vAlign w:val="bottom"/>
            <w:hideMark/>
          </w:tcPr>
          <w:p w:rsidR="00BC20DC" w:rsidRPr="006D43E2" w:rsidRDefault="00BC20DC" w:rsidP="002728F3">
            <w:pPr>
              <w:spacing w:before="80" w:after="80" w:line="220" w:lineRule="exact"/>
              <w:ind w:right="170"/>
              <w:jc w:val="right"/>
              <w:rPr>
                <w:bCs/>
                <w:i/>
                <w:color w:val="000000" w:themeColor="text1"/>
                <w:sz w:val="16"/>
                <w:szCs w:val="16"/>
                <w:lang w:eastAsia="en-GB"/>
              </w:rPr>
            </w:pPr>
            <w:r w:rsidRPr="006D43E2">
              <w:rPr>
                <w:bCs/>
                <w:i/>
                <w:color w:val="000000" w:themeColor="text1"/>
                <w:sz w:val="16"/>
                <w:szCs w:val="16"/>
                <w:lang w:eastAsia="en-GB"/>
              </w:rPr>
              <w:t>Mean concentration of ammonium in major rivers</w:t>
            </w:r>
          </w:p>
        </w:tc>
        <w:tc>
          <w:tcPr>
            <w:tcW w:w="1365" w:type="dxa"/>
            <w:tcBorders>
              <w:top w:val="single" w:sz="4" w:space="0" w:color="auto"/>
              <w:bottom w:val="single" w:sz="12" w:space="0" w:color="auto"/>
            </w:tcBorders>
            <w:shd w:val="clear" w:color="auto" w:fill="auto"/>
            <w:vAlign w:val="bottom"/>
            <w:hideMark/>
          </w:tcPr>
          <w:p w:rsidR="00BC20DC" w:rsidRPr="006D43E2" w:rsidRDefault="00BC20DC" w:rsidP="002728F3">
            <w:pPr>
              <w:spacing w:before="80" w:after="80" w:line="220" w:lineRule="exact"/>
              <w:jc w:val="right"/>
              <w:rPr>
                <w:bCs/>
                <w:i/>
                <w:color w:val="000000" w:themeColor="text1"/>
                <w:sz w:val="16"/>
                <w:szCs w:val="16"/>
                <w:lang w:eastAsia="en-GB"/>
              </w:rPr>
            </w:pPr>
            <w:r w:rsidRPr="006D43E2">
              <w:rPr>
                <w:bCs/>
                <w:i/>
                <w:color w:val="000000" w:themeColor="text1"/>
                <w:sz w:val="16"/>
                <w:szCs w:val="16"/>
                <w:lang w:eastAsia="en-GB"/>
              </w:rPr>
              <w:t>Total protected areas (by IUCN categories)</w:t>
            </w:r>
          </w:p>
        </w:tc>
        <w:tc>
          <w:tcPr>
            <w:tcW w:w="1021" w:type="dxa"/>
            <w:tcBorders>
              <w:bottom w:val="single" w:sz="12" w:space="0" w:color="auto"/>
            </w:tcBorders>
            <w:shd w:val="clear" w:color="auto" w:fill="auto"/>
            <w:vAlign w:val="bottom"/>
            <w:hideMark/>
          </w:tcPr>
          <w:p w:rsidR="00BC20DC" w:rsidRPr="002728F3" w:rsidRDefault="00BA6E05" w:rsidP="002728F3">
            <w:pPr>
              <w:spacing w:before="80" w:after="80" w:line="220" w:lineRule="exact"/>
              <w:jc w:val="right"/>
              <w:rPr>
                <w:bCs/>
                <w:i/>
                <w:iCs/>
                <w:color w:val="000000" w:themeColor="text1"/>
                <w:sz w:val="16"/>
                <w:szCs w:val="16"/>
                <w:lang w:eastAsia="en-GB"/>
              </w:rPr>
            </w:pPr>
            <w:r w:rsidRPr="002728F3">
              <w:rPr>
                <w:bCs/>
                <w:i/>
                <w:iCs/>
                <w:color w:val="000000" w:themeColor="text1"/>
                <w:sz w:val="16"/>
                <w:szCs w:val="16"/>
                <w:lang w:eastAsia="en-GB"/>
              </w:rPr>
              <w:t>National performance score</w:t>
            </w:r>
          </w:p>
        </w:tc>
      </w:tr>
      <w:tr w:rsidR="00F857C3" w:rsidRPr="006D43E2" w:rsidTr="002728F3">
        <w:tc>
          <w:tcPr>
            <w:tcW w:w="1738" w:type="dxa"/>
            <w:shd w:val="clear" w:color="auto" w:fill="auto"/>
            <w:vAlign w:val="bottom"/>
            <w:hideMark/>
          </w:tcPr>
          <w:p w:rsidR="00BC20DC" w:rsidRPr="006D43E2" w:rsidRDefault="00BC20DC" w:rsidP="005B5486">
            <w:pPr>
              <w:tabs>
                <w:tab w:val="left" w:pos="352"/>
              </w:tabs>
              <w:spacing w:beforeLines="20" w:before="48" w:afterLines="20" w:after="48" w:line="240" w:lineRule="auto"/>
              <w:rPr>
                <w:color w:val="000000" w:themeColor="text1"/>
                <w:sz w:val="18"/>
                <w:szCs w:val="18"/>
              </w:rPr>
            </w:pPr>
            <w:r w:rsidRPr="006D43E2">
              <w:rPr>
                <w:color w:val="000000" w:themeColor="text1"/>
                <w:sz w:val="18"/>
                <w:szCs w:val="18"/>
              </w:rPr>
              <w:t>Albania</w:t>
            </w:r>
          </w:p>
        </w:tc>
        <w:tc>
          <w:tcPr>
            <w:tcW w:w="1370"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87%</w:t>
            </w:r>
          </w:p>
        </w:tc>
        <w:tc>
          <w:tcPr>
            <w:tcW w:w="1338"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87%</w:t>
            </w:r>
          </w:p>
        </w:tc>
        <w:tc>
          <w:tcPr>
            <w:tcW w:w="1334"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87%</w:t>
            </w:r>
          </w:p>
        </w:tc>
        <w:tc>
          <w:tcPr>
            <w:tcW w:w="1501" w:type="dxa"/>
            <w:gridSpan w:val="2"/>
            <w:shd w:val="clear" w:color="000000" w:fill="A9D08E"/>
            <w:noWrap/>
            <w:hideMark/>
          </w:tcPr>
          <w:p w:rsidR="00BC20DC" w:rsidRPr="006D43E2" w:rsidRDefault="00BC20DC" w:rsidP="002728F3">
            <w:pPr>
              <w:spacing w:beforeLines="20" w:before="48" w:afterLines="20" w:after="48" w:line="240" w:lineRule="auto"/>
              <w:ind w:right="284"/>
              <w:jc w:val="right"/>
              <w:rPr>
                <w:color w:val="000000" w:themeColor="text1"/>
                <w:sz w:val="18"/>
                <w:szCs w:val="18"/>
                <w:lang w:eastAsia="en-GB"/>
              </w:rPr>
            </w:pPr>
            <w:r w:rsidRPr="006D43E2">
              <w:rPr>
                <w:color w:val="000000" w:themeColor="text1"/>
                <w:sz w:val="18"/>
                <w:szCs w:val="18"/>
                <w:lang w:eastAsia="en-GB"/>
              </w:rPr>
              <w:t>87%</w:t>
            </w:r>
          </w:p>
        </w:tc>
        <w:tc>
          <w:tcPr>
            <w:tcW w:w="1240"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87%</w:t>
            </w:r>
          </w:p>
        </w:tc>
        <w:tc>
          <w:tcPr>
            <w:tcW w:w="1335" w:type="dxa"/>
            <w:gridSpan w:val="2"/>
            <w:shd w:val="clear" w:color="000000" w:fill="A9D08E"/>
            <w:noWrap/>
            <w:hideMark/>
          </w:tcPr>
          <w:p w:rsidR="00BC20DC" w:rsidRPr="006D43E2" w:rsidRDefault="00BC20DC" w:rsidP="002728F3">
            <w:pPr>
              <w:spacing w:beforeLines="20" w:before="48" w:afterLines="20" w:after="48" w:line="240" w:lineRule="auto"/>
              <w:ind w:right="170"/>
              <w:jc w:val="right"/>
              <w:rPr>
                <w:color w:val="000000" w:themeColor="text1"/>
                <w:sz w:val="18"/>
                <w:szCs w:val="18"/>
                <w:lang w:eastAsia="en-GB"/>
              </w:rPr>
            </w:pPr>
            <w:r w:rsidRPr="006D43E2">
              <w:rPr>
                <w:color w:val="000000" w:themeColor="text1"/>
                <w:sz w:val="18"/>
                <w:szCs w:val="18"/>
                <w:lang w:eastAsia="en-GB"/>
              </w:rPr>
              <w:t>87%</w:t>
            </w:r>
          </w:p>
        </w:tc>
        <w:tc>
          <w:tcPr>
            <w:tcW w:w="1365"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87%</w:t>
            </w:r>
          </w:p>
        </w:tc>
        <w:tc>
          <w:tcPr>
            <w:tcW w:w="1021" w:type="dxa"/>
            <w:shd w:val="clear" w:color="000000" w:fill="A9D08E"/>
            <w:noWrap/>
            <w:hideMark/>
          </w:tcPr>
          <w:p w:rsidR="00BC20DC" w:rsidRPr="006D43E2" w:rsidRDefault="00BC20DC" w:rsidP="002728F3">
            <w:pPr>
              <w:spacing w:beforeLines="20" w:before="48" w:afterLines="20" w:after="48" w:line="240" w:lineRule="auto"/>
              <w:jc w:val="right"/>
              <w:rPr>
                <w:b/>
                <w:color w:val="000000" w:themeColor="text1"/>
                <w:sz w:val="18"/>
                <w:szCs w:val="18"/>
                <w:lang w:eastAsia="en-GB"/>
              </w:rPr>
            </w:pPr>
            <w:r w:rsidRPr="006D43E2">
              <w:rPr>
                <w:b/>
                <w:color w:val="000000" w:themeColor="text1"/>
                <w:sz w:val="18"/>
                <w:szCs w:val="18"/>
                <w:lang w:eastAsia="en-GB"/>
              </w:rPr>
              <w:t>87%</w:t>
            </w:r>
          </w:p>
        </w:tc>
      </w:tr>
      <w:tr w:rsidR="00F857C3" w:rsidRPr="006D43E2" w:rsidTr="002728F3">
        <w:tc>
          <w:tcPr>
            <w:tcW w:w="1738" w:type="dxa"/>
            <w:shd w:val="clear" w:color="auto" w:fill="auto"/>
            <w:vAlign w:val="bottom"/>
            <w:hideMark/>
          </w:tcPr>
          <w:p w:rsidR="00BC20DC" w:rsidRPr="006D43E2" w:rsidRDefault="00BC20DC" w:rsidP="005B5486">
            <w:pPr>
              <w:tabs>
                <w:tab w:val="left" w:pos="352"/>
              </w:tabs>
              <w:spacing w:beforeLines="20" w:before="48" w:afterLines="20" w:after="48" w:line="240" w:lineRule="auto"/>
              <w:rPr>
                <w:color w:val="000000" w:themeColor="text1"/>
                <w:sz w:val="18"/>
                <w:szCs w:val="18"/>
              </w:rPr>
            </w:pPr>
            <w:r w:rsidRPr="006D43E2">
              <w:rPr>
                <w:color w:val="000000" w:themeColor="text1"/>
                <w:sz w:val="18"/>
                <w:szCs w:val="18"/>
              </w:rPr>
              <w:t>Armenia</w:t>
            </w:r>
          </w:p>
        </w:tc>
        <w:tc>
          <w:tcPr>
            <w:tcW w:w="1370" w:type="dxa"/>
            <w:shd w:val="clear" w:color="000000" w:fill="339966"/>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97%</w:t>
            </w:r>
          </w:p>
        </w:tc>
        <w:tc>
          <w:tcPr>
            <w:tcW w:w="1338" w:type="dxa"/>
            <w:shd w:val="clear" w:color="000000" w:fill="339966"/>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97%</w:t>
            </w:r>
          </w:p>
        </w:tc>
        <w:tc>
          <w:tcPr>
            <w:tcW w:w="1334"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85%</w:t>
            </w:r>
          </w:p>
        </w:tc>
        <w:tc>
          <w:tcPr>
            <w:tcW w:w="1501" w:type="dxa"/>
            <w:gridSpan w:val="2"/>
            <w:shd w:val="clear" w:color="000000" w:fill="339966"/>
            <w:noWrap/>
            <w:hideMark/>
          </w:tcPr>
          <w:p w:rsidR="00BC20DC" w:rsidRPr="006D43E2" w:rsidRDefault="00BC20DC" w:rsidP="002728F3">
            <w:pPr>
              <w:spacing w:beforeLines="20" w:before="48" w:afterLines="20" w:after="48" w:line="240" w:lineRule="auto"/>
              <w:ind w:right="284"/>
              <w:jc w:val="right"/>
              <w:rPr>
                <w:color w:val="000000" w:themeColor="text1"/>
                <w:sz w:val="18"/>
                <w:szCs w:val="18"/>
                <w:lang w:eastAsia="en-GB"/>
              </w:rPr>
            </w:pPr>
            <w:r w:rsidRPr="006D43E2">
              <w:rPr>
                <w:color w:val="000000" w:themeColor="text1"/>
                <w:sz w:val="18"/>
                <w:szCs w:val="18"/>
                <w:lang w:eastAsia="en-GB"/>
              </w:rPr>
              <w:t>97%</w:t>
            </w:r>
          </w:p>
        </w:tc>
        <w:tc>
          <w:tcPr>
            <w:tcW w:w="1240" w:type="dxa"/>
            <w:shd w:val="clear" w:color="000000" w:fill="339966"/>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100%</w:t>
            </w:r>
          </w:p>
        </w:tc>
        <w:tc>
          <w:tcPr>
            <w:tcW w:w="1335" w:type="dxa"/>
            <w:gridSpan w:val="2"/>
            <w:shd w:val="clear" w:color="000000" w:fill="339966"/>
            <w:noWrap/>
            <w:hideMark/>
          </w:tcPr>
          <w:p w:rsidR="00BC20DC" w:rsidRPr="006D43E2" w:rsidRDefault="00BC20DC" w:rsidP="002728F3">
            <w:pPr>
              <w:spacing w:beforeLines="20" w:before="48" w:afterLines="20" w:after="48" w:line="240" w:lineRule="auto"/>
              <w:ind w:right="170"/>
              <w:jc w:val="right"/>
              <w:rPr>
                <w:color w:val="000000" w:themeColor="text1"/>
                <w:sz w:val="18"/>
                <w:szCs w:val="18"/>
                <w:lang w:eastAsia="en-GB"/>
              </w:rPr>
            </w:pPr>
            <w:r w:rsidRPr="006D43E2">
              <w:rPr>
                <w:color w:val="000000" w:themeColor="text1"/>
                <w:sz w:val="18"/>
                <w:szCs w:val="18"/>
                <w:lang w:eastAsia="en-GB"/>
              </w:rPr>
              <w:t>100%</w:t>
            </w:r>
          </w:p>
        </w:tc>
        <w:tc>
          <w:tcPr>
            <w:tcW w:w="1365" w:type="dxa"/>
            <w:shd w:val="clear" w:color="000000" w:fill="339966"/>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100%</w:t>
            </w:r>
          </w:p>
        </w:tc>
        <w:tc>
          <w:tcPr>
            <w:tcW w:w="1021" w:type="dxa"/>
            <w:shd w:val="clear" w:color="000000" w:fill="339966"/>
            <w:noWrap/>
            <w:hideMark/>
          </w:tcPr>
          <w:p w:rsidR="00BC20DC" w:rsidRPr="006D43E2" w:rsidRDefault="00BC20DC" w:rsidP="002728F3">
            <w:pPr>
              <w:spacing w:beforeLines="20" w:before="48" w:afterLines="20" w:after="48" w:line="240" w:lineRule="auto"/>
              <w:jc w:val="right"/>
              <w:rPr>
                <w:b/>
                <w:color w:val="000000" w:themeColor="text1"/>
                <w:sz w:val="18"/>
                <w:szCs w:val="18"/>
                <w:lang w:eastAsia="en-GB"/>
              </w:rPr>
            </w:pPr>
            <w:r w:rsidRPr="006D43E2">
              <w:rPr>
                <w:b/>
                <w:color w:val="000000" w:themeColor="text1"/>
                <w:sz w:val="18"/>
                <w:szCs w:val="18"/>
                <w:lang w:eastAsia="en-GB"/>
              </w:rPr>
              <w:t>96%</w:t>
            </w:r>
          </w:p>
        </w:tc>
      </w:tr>
      <w:tr w:rsidR="00F857C3" w:rsidRPr="006D43E2" w:rsidTr="002728F3">
        <w:tc>
          <w:tcPr>
            <w:tcW w:w="1738" w:type="dxa"/>
            <w:shd w:val="clear" w:color="auto" w:fill="auto"/>
            <w:vAlign w:val="bottom"/>
            <w:hideMark/>
          </w:tcPr>
          <w:p w:rsidR="00BC20DC" w:rsidRPr="006D43E2" w:rsidRDefault="00BC20DC" w:rsidP="005B5486">
            <w:pPr>
              <w:tabs>
                <w:tab w:val="left" w:pos="352"/>
              </w:tabs>
              <w:spacing w:beforeLines="20" w:before="48" w:afterLines="20" w:after="48" w:line="240" w:lineRule="auto"/>
              <w:rPr>
                <w:color w:val="000000" w:themeColor="text1"/>
                <w:sz w:val="18"/>
                <w:szCs w:val="18"/>
              </w:rPr>
            </w:pPr>
            <w:r w:rsidRPr="006D43E2">
              <w:rPr>
                <w:color w:val="000000" w:themeColor="text1"/>
                <w:sz w:val="18"/>
                <w:szCs w:val="18"/>
              </w:rPr>
              <w:t>Azerbaijan</w:t>
            </w:r>
          </w:p>
        </w:tc>
        <w:tc>
          <w:tcPr>
            <w:tcW w:w="1370"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90%</w:t>
            </w:r>
          </w:p>
        </w:tc>
        <w:tc>
          <w:tcPr>
            <w:tcW w:w="1338"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90%</w:t>
            </w:r>
          </w:p>
        </w:tc>
        <w:tc>
          <w:tcPr>
            <w:tcW w:w="1334"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90%</w:t>
            </w:r>
          </w:p>
        </w:tc>
        <w:tc>
          <w:tcPr>
            <w:tcW w:w="1501" w:type="dxa"/>
            <w:gridSpan w:val="2"/>
            <w:shd w:val="clear" w:color="000000" w:fill="A9D08E"/>
            <w:noWrap/>
            <w:hideMark/>
          </w:tcPr>
          <w:p w:rsidR="00BC20DC" w:rsidRPr="006D43E2" w:rsidRDefault="00BC20DC" w:rsidP="002728F3">
            <w:pPr>
              <w:spacing w:beforeLines="20" w:before="48" w:afterLines="20" w:after="48" w:line="240" w:lineRule="auto"/>
              <w:ind w:right="284"/>
              <w:jc w:val="right"/>
              <w:rPr>
                <w:color w:val="000000" w:themeColor="text1"/>
                <w:sz w:val="18"/>
                <w:szCs w:val="18"/>
                <w:lang w:eastAsia="en-GB"/>
              </w:rPr>
            </w:pPr>
            <w:r w:rsidRPr="006D43E2">
              <w:rPr>
                <w:color w:val="000000" w:themeColor="text1"/>
                <w:sz w:val="18"/>
                <w:szCs w:val="18"/>
                <w:lang w:eastAsia="en-GB"/>
              </w:rPr>
              <w:t>90%</w:t>
            </w:r>
          </w:p>
        </w:tc>
        <w:tc>
          <w:tcPr>
            <w:tcW w:w="1240"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90%</w:t>
            </w:r>
          </w:p>
        </w:tc>
        <w:tc>
          <w:tcPr>
            <w:tcW w:w="1335" w:type="dxa"/>
            <w:gridSpan w:val="2"/>
            <w:shd w:val="clear" w:color="000000" w:fill="A9D08E"/>
            <w:noWrap/>
            <w:hideMark/>
          </w:tcPr>
          <w:p w:rsidR="00BC20DC" w:rsidRPr="006D43E2" w:rsidRDefault="00BC20DC" w:rsidP="002728F3">
            <w:pPr>
              <w:spacing w:beforeLines="20" w:before="48" w:afterLines="20" w:after="48" w:line="240" w:lineRule="auto"/>
              <w:ind w:right="170"/>
              <w:jc w:val="right"/>
              <w:rPr>
                <w:color w:val="000000" w:themeColor="text1"/>
                <w:sz w:val="18"/>
                <w:szCs w:val="18"/>
                <w:lang w:eastAsia="en-GB"/>
              </w:rPr>
            </w:pPr>
            <w:r w:rsidRPr="006D43E2">
              <w:rPr>
                <w:color w:val="000000" w:themeColor="text1"/>
                <w:sz w:val="18"/>
                <w:szCs w:val="18"/>
                <w:lang w:eastAsia="en-GB"/>
              </w:rPr>
              <w:t>90%</w:t>
            </w:r>
          </w:p>
        </w:tc>
        <w:tc>
          <w:tcPr>
            <w:tcW w:w="1365"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93%</w:t>
            </w:r>
          </w:p>
        </w:tc>
        <w:tc>
          <w:tcPr>
            <w:tcW w:w="1021" w:type="dxa"/>
            <w:shd w:val="clear" w:color="000000" w:fill="A9D08E"/>
            <w:noWrap/>
            <w:hideMark/>
          </w:tcPr>
          <w:p w:rsidR="00BC20DC" w:rsidRPr="006D43E2" w:rsidRDefault="00BC20DC" w:rsidP="002728F3">
            <w:pPr>
              <w:spacing w:beforeLines="20" w:before="48" w:afterLines="20" w:after="48" w:line="240" w:lineRule="auto"/>
              <w:jc w:val="right"/>
              <w:rPr>
                <w:b/>
                <w:color w:val="000000" w:themeColor="text1"/>
                <w:sz w:val="18"/>
                <w:szCs w:val="18"/>
                <w:lang w:eastAsia="en-GB"/>
              </w:rPr>
            </w:pPr>
            <w:r w:rsidRPr="006D43E2">
              <w:rPr>
                <w:b/>
                <w:color w:val="000000" w:themeColor="text1"/>
                <w:sz w:val="18"/>
                <w:szCs w:val="18"/>
                <w:lang w:eastAsia="en-GB"/>
              </w:rPr>
              <w:t>90%</w:t>
            </w:r>
          </w:p>
        </w:tc>
      </w:tr>
      <w:tr w:rsidR="00F857C3" w:rsidRPr="006D43E2" w:rsidTr="002728F3">
        <w:tc>
          <w:tcPr>
            <w:tcW w:w="1738" w:type="dxa"/>
            <w:shd w:val="clear" w:color="auto" w:fill="auto"/>
            <w:vAlign w:val="bottom"/>
            <w:hideMark/>
          </w:tcPr>
          <w:p w:rsidR="00BC20DC" w:rsidRPr="006D43E2" w:rsidRDefault="00BC20DC" w:rsidP="005B5486">
            <w:pPr>
              <w:tabs>
                <w:tab w:val="left" w:pos="352"/>
              </w:tabs>
              <w:spacing w:beforeLines="20" w:before="48" w:afterLines="20" w:after="48" w:line="240" w:lineRule="auto"/>
              <w:rPr>
                <w:color w:val="000000" w:themeColor="text1"/>
                <w:sz w:val="18"/>
                <w:szCs w:val="18"/>
              </w:rPr>
            </w:pPr>
            <w:r w:rsidRPr="006D43E2">
              <w:rPr>
                <w:color w:val="000000" w:themeColor="text1"/>
                <w:sz w:val="18"/>
                <w:szCs w:val="18"/>
              </w:rPr>
              <w:t>Belarus</w:t>
            </w:r>
          </w:p>
        </w:tc>
        <w:tc>
          <w:tcPr>
            <w:tcW w:w="1370"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90%</w:t>
            </w:r>
          </w:p>
        </w:tc>
        <w:tc>
          <w:tcPr>
            <w:tcW w:w="1338"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90%</w:t>
            </w:r>
          </w:p>
        </w:tc>
        <w:tc>
          <w:tcPr>
            <w:tcW w:w="1334"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90%</w:t>
            </w:r>
          </w:p>
        </w:tc>
        <w:tc>
          <w:tcPr>
            <w:tcW w:w="1501" w:type="dxa"/>
            <w:gridSpan w:val="2"/>
            <w:shd w:val="clear" w:color="000000" w:fill="A9D08E"/>
            <w:noWrap/>
            <w:hideMark/>
          </w:tcPr>
          <w:p w:rsidR="00BC20DC" w:rsidRPr="006D43E2" w:rsidRDefault="00BC20DC" w:rsidP="002728F3">
            <w:pPr>
              <w:spacing w:beforeLines="20" w:before="48" w:afterLines="20" w:after="48" w:line="240" w:lineRule="auto"/>
              <w:ind w:right="284"/>
              <w:jc w:val="right"/>
              <w:rPr>
                <w:color w:val="000000" w:themeColor="text1"/>
                <w:sz w:val="18"/>
                <w:szCs w:val="18"/>
                <w:lang w:eastAsia="en-GB"/>
              </w:rPr>
            </w:pPr>
            <w:r w:rsidRPr="006D43E2">
              <w:rPr>
                <w:color w:val="000000" w:themeColor="text1"/>
                <w:sz w:val="18"/>
                <w:szCs w:val="18"/>
                <w:lang w:eastAsia="en-GB"/>
              </w:rPr>
              <w:t>90%</w:t>
            </w:r>
          </w:p>
        </w:tc>
        <w:tc>
          <w:tcPr>
            <w:tcW w:w="1240"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85%</w:t>
            </w:r>
          </w:p>
        </w:tc>
        <w:tc>
          <w:tcPr>
            <w:tcW w:w="1335" w:type="dxa"/>
            <w:gridSpan w:val="2"/>
            <w:shd w:val="clear" w:color="000000" w:fill="A9D08E"/>
            <w:noWrap/>
            <w:hideMark/>
          </w:tcPr>
          <w:p w:rsidR="00BC20DC" w:rsidRPr="006D43E2" w:rsidRDefault="00BC20DC" w:rsidP="002728F3">
            <w:pPr>
              <w:spacing w:beforeLines="20" w:before="48" w:afterLines="20" w:after="48" w:line="240" w:lineRule="auto"/>
              <w:ind w:right="170"/>
              <w:jc w:val="right"/>
              <w:rPr>
                <w:color w:val="000000" w:themeColor="text1"/>
                <w:sz w:val="18"/>
                <w:szCs w:val="18"/>
                <w:lang w:eastAsia="en-GB"/>
              </w:rPr>
            </w:pPr>
            <w:r w:rsidRPr="006D43E2">
              <w:rPr>
                <w:color w:val="000000" w:themeColor="text1"/>
                <w:sz w:val="18"/>
                <w:szCs w:val="18"/>
                <w:lang w:eastAsia="en-GB"/>
              </w:rPr>
              <w:t>85%</w:t>
            </w:r>
          </w:p>
        </w:tc>
        <w:tc>
          <w:tcPr>
            <w:tcW w:w="1365" w:type="dxa"/>
            <w:shd w:val="clear" w:color="000000" w:fill="FFD966"/>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60%</w:t>
            </w:r>
          </w:p>
        </w:tc>
        <w:tc>
          <w:tcPr>
            <w:tcW w:w="1021" w:type="dxa"/>
            <w:shd w:val="clear" w:color="000000" w:fill="A9D08E"/>
            <w:noWrap/>
            <w:hideMark/>
          </w:tcPr>
          <w:p w:rsidR="00BC20DC" w:rsidRPr="006D43E2" w:rsidRDefault="00BC20DC" w:rsidP="002728F3">
            <w:pPr>
              <w:spacing w:beforeLines="20" w:before="48" w:afterLines="20" w:after="48" w:line="240" w:lineRule="auto"/>
              <w:jc w:val="right"/>
              <w:rPr>
                <w:b/>
                <w:color w:val="000000" w:themeColor="text1"/>
                <w:sz w:val="18"/>
                <w:szCs w:val="18"/>
                <w:lang w:eastAsia="en-GB"/>
              </w:rPr>
            </w:pPr>
            <w:r w:rsidRPr="006D43E2">
              <w:rPr>
                <w:b/>
                <w:color w:val="000000" w:themeColor="text1"/>
                <w:sz w:val="18"/>
                <w:szCs w:val="18"/>
                <w:lang w:eastAsia="en-GB"/>
              </w:rPr>
              <w:t>84%</w:t>
            </w:r>
          </w:p>
        </w:tc>
      </w:tr>
      <w:tr w:rsidR="00F857C3" w:rsidRPr="006D43E2" w:rsidTr="002728F3">
        <w:tc>
          <w:tcPr>
            <w:tcW w:w="1738" w:type="dxa"/>
            <w:shd w:val="clear" w:color="auto" w:fill="auto"/>
            <w:vAlign w:val="bottom"/>
            <w:hideMark/>
          </w:tcPr>
          <w:p w:rsidR="00BC20DC" w:rsidRPr="006D43E2" w:rsidRDefault="00BC20DC" w:rsidP="005B5486">
            <w:pPr>
              <w:tabs>
                <w:tab w:val="left" w:pos="352"/>
              </w:tabs>
              <w:spacing w:beforeLines="20" w:before="48" w:afterLines="20" w:after="48" w:line="240" w:lineRule="auto"/>
              <w:rPr>
                <w:color w:val="000000" w:themeColor="text1"/>
                <w:sz w:val="18"/>
                <w:szCs w:val="18"/>
              </w:rPr>
            </w:pPr>
            <w:r w:rsidRPr="006D43E2">
              <w:rPr>
                <w:color w:val="000000" w:themeColor="text1"/>
                <w:sz w:val="18"/>
                <w:szCs w:val="18"/>
              </w:rPr>
              <w:t>Belgium</w:t>
            </w:r>
          </w:p>
        </w:tc>
        <w:tc>
          <w:tcPr>
            <w:tcW w:w="1370"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87%</w:t>
            </w:r>
          </w:p>
        </w:tc>
        <w:tc>
          <w:tcPr>
            <w:tcW w:w="1338"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87%</w:t>
            </w:r>
          </w:p>
        </w:tc>
        <w:tc>
          <w:tcPr>
            <w:tcW w:w="1334"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87%</w:t>
            </w:r>
          </w:p>
        </w:tc>
        <w:tc>
          <w:tcPr>
            <w:tcW w:w="1501" w:type="dxa"/>
            <w:gridSpan w:val="2"/>
            <w:shd w:val="clear" w:color="000000" w:fill="A9D08E"/>
            <w:noWrap/>
            <w:hideMark/>
          </w:tcPr>
          <w:p w:rsidR="00BC20DC" w:rsidRPr="006D43E2" w:rsidRDefault="00BC20DC" w:rsidP="002728F3">
            <w:pPr>
              <w:spacing w:beforeLines="20" w:before="48" w:afterLines="20" w:after="48" w:line="240" w:lineRule="auto"/>
              <w:ind w:right="284"/>
              <w:jc w:val="right"/>
              <w:rPr>
                <w:color w:val="000000" w:themeColor="text1"/>
                <w:sz w:val="18"/>
                <w:szCs w:val="18"/>
                <w:lang w:eastAsia="en-GB"/>
              </w:rPr>
            </w:pPr>
            <w:r w:rsidRPr="006D43E2">
              <w:rPr>
                <w:color w:val="000000" w:themeColor="text1"/>
                <w:sz w:val="18"/>
                <w:szCs w:val="18"/>
                <w:lang w:eastAsia="en-GB"/>
              </w:rPr>
              <w:t>87%</w:t>
            </w:r>
          </w:p>
        </w:tc>
        <w:tc>
          <w:tcPr>
            <w:tcW w:w="1240"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85%</w:t>
            </w:r>
          </w:p>
        </w:tc>
        <w:tc>
          <w:tcPr>
            <w:tcW w:w="1335" w:type="dxa"/>
            <w:gridSpan w:val="2"/>
            <w:shd w:val="clear" w:color="000000" w:fill="A9D08E"/>
            <w:noWrap/>
            <w:hideMark/>
          </w:tcPr>
          <w:p w:rsidR="00BC20DC" w:rsidRPr="006D43E2" w:rsidRDefault="00BC20DC" w:rsidP="002728F3">
            <w:pPr>
              <w:spacing w:beforeLines="20" w:before="48" w:afterLines="20" w:after="48" w:line="240" w:lineRule="auto"/>
              <w:ind w:right="170"/>
              <w:jc w:val="right"/>
              <w:rPr>
                <w:color w:val="000000" w:themeColor="text1"/>
                <w:sz w:val="18"/>
                <w:szCs w:val="18"/>
                <w:lang w:eastAsia="en-GB"/>
              </w:rPr>
            </w:pPr>
            <w:r w:rsidRPr="006D43E2">
              <w:rPr>
                <w:color w:val="000000" w:themeColor="text1"/>
                <w:sz w:val="18"/>
                <w:szCs w:val="18"/>
                <w:lang w:eastAsia="en-GB"/>
              </w:rPr>
              <w:t>85%</w:t>
            </w:r>
          </w:p>
        </w:tc>
        <w:tc>
          <w:tcPr>
            <w:tcW w:w="1365"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83%</w:t>
            </w:r>
          </w:p>
        </w:tc>
        <w:tc>
          <w:tcPr>
            <w:tcW w:w="1021" w:type="dxa"/>
            <w:shd w:val="clear" w:color="000000" w:fill="A9D08E"/>
            <w:noWrap/>
            <w:hideMark/>
          </w:tcPr>
          <w:p w:rsidR="00BC20DC" w:rsidRPr="006D43E2" w:rsidRDefault="00BC20DC" w:rsidP="002728F3">
            <w:pPr>
              <w:spacing w:beforeLines="20" w:before="48" w:afterLines="20" w:after="48" w:line="240" w:lineRule="auto"/>
              <w:jc w:val="right"/>
              <w:rPr>
                <w:b/>
                <w:color w:val="000000" w:themeColor="text1"/>
                <w:sz w:val="18"/>
                <w:szCs w:val="18"/>
                <w:lang w:eastAsia="en-GB"/>
              </w:rPr>
            </w:pPr>
            <w:r w:rsidRPr="006D43E2">
              <w:rPr>
                <w:b/>
                <w:color w:val="000000" w:themeColor="text1"/>
                <w:sz w:val="18"/>
                <w:szCs w:val="18"/>
                <w:lang w:eastAsia="en-GB"/>
              </w:rPr>
              <w:t>86%</w:t>
            </w:r>
          </w:p>
        </w:tc>
      </w:tr>
      <w:tr w:rsidR="00F857C3" w:rsidRPr="006D43E2" w:rsidTr="002728F3">
        <w:tc>
          <w:tcPr>
            <w:tcW w:w="1738" w:type="dxa"/>
            <w:shd w:val="clear" w:color="auto" w:fill="auto"/>
            <w:vAlign w:val="bottom"/>
            <w:hideMark/>
          </w:tcPr>
          <w:p w:rsidR="00BC20DC" w:rsidRPr="006D43E2" w:rsidRDefault="00BC20DC" w:rsidP="005B5486">
            <w:pPr>
              <w:tabs>
                <w:tab w:val="left" w:pos="352"/>
              </w:tabs>
              <w:spacing w:beforeLines="20" w:before="48" w:afterLines="20" w:after="48" w:line="240" w:lineRule="auto"/>
              <w:rPr>
                <w:color w:val="000000" w:themeColor="text1"/>
                <w:sz w:val="18"/>
                <w:szCs w:val="18"/>
              </w:rPr>
            </w:pPr>
            <w:r w:rsidRPr="006D43E2">
              <w:rPr>
                <w:color w:val="000000" w:themeColor="text1"/>
                <w:sz w:val="18"/>
                <w:szCs w:val="18"/>
              </w:rPr>
              <w:t>Bosnia and Herzegovina</w:t>
            </w:r>
          </w:p>
        </w:tc>
        <w:tc>
          <w:tcPr>
            <w:tcW w:w="1370"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90%</w:t>
            </w:r>
          </w:p>
        </w:tc>
        <w:tc>
          <w:tcPr>
            <w:tcW w:w="1338"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90%</w:t>
            </w:r>
          </w:p>
        </w:tc>
        <w:tc>
          <w:tcPr>
            <w:tcW w:w="1334"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90%</w:t>
            </w:r>
          </w:p>
        </w:tc>
        <w:tc>
          <w:tcPr>
            <w:tcW w:w="1501" w:type="dxa"/>
            <w:gridSpan w:val="2"/>
            <w:shd w:val="clear" w:color="000000" w:fill="A9D08E"/>
            <w:noWrap/>
            <w:hideMark/>
          </w:tcPr>
          <w:p w:rsidR="00BC20DC" w:rsidRPr="006D43E2" w:rsidRDefault="00BC20DC" w:rsidP="002728F3">
            <w:pPr>
              <w:spacing w:beforeLines="20" w:before="48" w:afterLines="20" w:after="48" w:line="240" w:lineRule="auto"/>
              <w:ind w:right="284"/>
              <w:jc w:val="right"/>
              <w:rPr>
                <w:color w:val="000000" w:themeColor="text1"/>
                <w:sz w:val="18"/>
                <w:szCs w:val="18"/>
                <w:lang w:eastAsia="en-GB"/>
              </w:rPr>
            </w:pPr>
            <w:r w:rsidRPr="006D43E2">
              <w:rPr>
                <w:color w:val="000000" w:themeColor="text1"/>
                <w:sz w:val="18"/>
                <w:szCs w:val="18"/>
                <w:lang w:eastAsia="en-GB"/>
              </w:rPr>
              <w:t>90%</w:t>
            </w:r>
          </w:p>
        </w:tc>
        <w:tc>
          <w:tcPr>
            <w:tcW w:w="1240"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92%</w:t>
            </w:r>
          </w:p>
        </w:tc>
        <w:tc>
          <w:tcPr>
            <w:tcW w:w="1335" w:type="dxa"/>
            <w:gridSpan w:val="2"/>
            <w:shd w:val="clear" w:color="000000" w:fill="A9D08E"/>
            <w:noWrap/>
            <w:hideMark/>
          </w:tcPr>
          <w:p w:rsidR="00BC20DC" w:rsidRPr="006D43E2" w:rsidRDefault="00BC20DC" w:rsidP="002728F3">
            <w:pPr>
              <w:spacing w:beforeLines="20" w:before="48" w:afterLines="20" w:after="48" w:line="240" w:lineRule="auto"/>
              <w:ind w:right="170"/>
              <w:jc w:val="right"/>
              <w:rPr>
                <w:color w:val="000000" w:themeColor="text1"/>
                <w:sz w:val="18"/>
                <w:szCs w:val="18"/>
                <w:lang w:eastAsia="en-GB"/>
              </w:rPr>
            </w:pPr>
            <w:r w:rsidRPr="006D43E2">
              <w:rPr>
                <w:color w:val="000000" w:themeColor="text1"/>
                <w:sz w:val="18"/>
                <w:szCs w:val="18"/>
                <w:lang w:eastAsia="en-GB"/>
              </w:rPr>
              <w:t>92%</w:t>
            </w:r>
          </w:p>
        </w:tc>
        <w:tc>
          <w:tcPr>
            <w:tcW w:w="1365"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82%</w:t>
            </w:r>
          </w:p>
        </w:tc>
        <w:tc>
          <w:tcPr>
            <w:tcW w:w="1021" w:type="dxa"/>
            <w:shd w:val="clear" w:color="000000" w:fill="A9D08E"/>
            <w:noWrap/>
            <w:hideMark/>
          </w:tcPr>
          <w:p w:rsidR="00BC20DC" w:rsidRPr="006D43E2" w:rsidRDefault="00BC20DC" w:rsidP="002728F3">
            <w:pPr>
              <w:spacing w:beforeLines="20" w:before="48" w:afterLines="20" w:after="48" w:line="240" w:lineRule="auto"/>
              <w:jc w:val="right"/>
              <w:rPr>
                <w:b/>
                <w:color w:val="000000" w:themeColor="text1"/>
                <w:sz w:val="18"/>
                <w:szCs w:val="18"/>
                <w:lang w:eastAsia="en-GB"/>
              </w:rPr>
            </w:pPr>
            <w:r w:rsidRPr="006D43E2">
              <w:rPr>
                <w:b/>
                <w:color w:val="000000" w:themeColor="text1"/>
                <w:sz w:val="18"/>
                <w:szCs w:val="18"/>
                <w:lang w:eastAsia="en-GB"/>
              </w:rPr>
              <w:t>89%</w:t>
            </w:r>
          </w:p>
        </w:tc>
      </w:tr>
      <w:tr w:rsidR="00F857C3" w:rsidRPr="006D43E2" w:rsidTr="002728F3">
        <w:tc>
          <w:tcPr>
            <w:tcW w:w="1738" w:type="dxa"/>
            <w:shd w:val="clear" w:color="auto" w:fill="auto"/>
            <w:vAlign w:val="bottom"/>
            <w:hideMark/>
          </w:tcPr>
          <w:p w:rsidR="00BC20DC" w:rsidRPr="006D43E2" w:rsidRDefault="00BC20DC" w:rsidP="005B5486">
            <w:pPr>
              <w:tabs>
                <w:tab w:val="left" w:pos="352"/>
              </w:tabs>
              <w:spacing w:beforeLines="20" w:before="48" w:afterLines="20" w:after="48" w:line="240" w:lineRule="auto"/>
              <w:rPr>
                <w:color w:val="000000" w:themeColor="text1"/>
                <w:sz w:val="18"/>
                <w:szCs w:val="18"/>
              </w:rPr>
            </w:pPr>
            <w:r w:rsidRPr="006D43E2">
              <w:rPr>
                <w:color w:val="000000" w:themeColor="text1"/>
                <w:sz w:val="18"/>
                <w:szCs w:val="18"/>
              </w:rPr>
              <w:t>Bulgaria</w:t>
            </w:r>
          </w:p>
        </w:tc>
        <w:tc>
          <w:tcPr>
            <w:tcW w:w="1370"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87%</w:t>
            </w:r>
          </w:p>
        </w:tc>
        <w:tc>
          <w:tcPr>
            <w:tcW w:w="1338"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87%</w:t>
            </w:r>
          </w:p>
        </w:tc>
        <w:tc>
          <w:tcPr>
            <w:tcW w:w="1334"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87%</w:t>
            </w:r>
          </w:p>
        </w:tc>
        <w:tc>
          <w:tcPr>
            <w:tcW w:w="1501" w:type="dxa"/>
            <w:gridSpan w:val="2"/>
            <w:shd w:val="clear" w:color="000000" w:fill="A9D08E"/>
            <w:noWrap/>
            <w:hideMark/>
          </w:tcPr>
          <w:p w:rsidR="00BC20DC" w:rsidRPr="006D43E2" w:rsidRDefault="00BC20DC" w:rsidP="002728F3">
            <w:pPr>
              <w:spacing w:beforeLines="20" w:before="48" w:afterLines="20" w:after="48" w:line="240" w:lineRule="auto"/>
              <w:ind w:right="284"/>
              <w:jc w:val="right"/>
              <w:rPr>
                <w:color w:val="000000" w:themeColor="text1"/>
                <w:sz w:val="18"/>
                <w:szCs w:val="18"/>
                <w:lang w:eastAsia="en-GB"/>
              </w:rPr>
            </w:pPr>
            <w:r w:rsidRPr="006D43E2">
              <w:rPr>
                <w:color w:val="000000" w:themeColor="text1"/>
                <w:sz w:val="18"/>
                <w:szCs w:val="18"/>
                <w:lang w:eastAsia="en-GB"/>
              </w:rPr>
              <w:t>87%</w:t>
            </w:r>
          </w:p>
        </w:tc>
        <w:tc>
          <w:tcPr>
            <w:tcW w:w="1240" w:type="dxa"/>
            <w:shd w:val="clear" w:color="000000" w:fill="FFD966"/>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70%</w:t>
            </w:r>
          </w:p>
        </w:tc>
        <w:tc>
          <w:tcPr>
            <w:tcW w:w="1335" w:type="dxa"/>
            <w:gridSpan w:val="2"/>
            <w:shd w:val="clear" w:color="000000" w:fill="FFD966"/>
            <w:noWrap/>
            <w:hideMark/>
          </w:tcPr>
          <w:p w:rsidR="00BC20DC" w:rsidRPr="006D43E2" w:rsidRDefault="00BC20DC" w:rsidP="002728F3">
            <w:pPr>
              <w:spacing w:beforeLines="20" w:before="48" w:afterLines="20" w:after="48" w:line="240" w:lineRule="auto"/>
              <w:ind w:right="170"/>
              <w:jc w:val="right"/>
              <w:rPr>
                <w:color w:val="000000" w:themeColor="text1"/>
                <w:sz w:val="18"/>
                <w:szCs w:val="18"/>
                <w:lang w:eastAsia="en-GB"/>
              </w:rPr>
            </w:pPr>
            <w:r w:rsidRPr="006D43E2">
              <w:rPr>
                <w:color w:val="000000" w:themeColor="text1"/>
                <w:sz w:val="18"/>
                <w:szCs w:val="18"/>
                <w:lang w:eastAsia="en-GB"/>
              </w:rPr>
              <w:t>70%</w:t>
            </w:r>
          </w:p>
        </w:tc>
        <w:tc>
          <w:tcPr>
            <w:tcW w:w="1365" w:type="dxa"/>
            <w:shd w:val="clear" w:color="000000" w:fill="339966"/>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98%</w:t>
            </w:r>
          </w:p>
        </w:tc>
        <w:tc>
          <w:tcPr>
            <w:tcW w:w="1021" w:type="dxa"/>
            <w:shd w:val="clear" w:color="000000" w:fill="A9D08E"/>
            <w:noWrap/>
            <w:hideMark/>
          </w:tcPr>
          <w:p w:rsidR="00BC20DC" w:rsidRPr="006D43E2" w:rsidRDefault="00BC20DC" w:rsidP="002728F3">
            <w:pPr>
              <w:spacing w:beforeLines="20" w:before="48" w:afterLines="20" w:after="48" w:line="240" w:lineRule="auto"/>
              <w:jc w:val="right"/>
              <w:rPr>
                <w:b/>
                <w:color w:val="000000" w:themeColor="text1"/>
                <w:sz w:val="18"/>
                <w:szCs w:val="18"/>
                <w:lang w:eastAsia="en-GB"/>
              </w:rPr>
            </w:pPr>
            <w:r w:rsidRPr="006D43E2">
              <w:rPr>
                <w:b/>
                <w:color w:val="000000" w:themeColor="text1"/>
                <w:sz w:val="18"/>
                <w:szCs w:val="18"/>
                <w:lang w:eastAsia="en-GB"/>
              </w:rPr>
              <w:t>84%</w:t>
            </w:r>
          </w:p>
        </w:tc>
      </w:tr>
      <w:tr w:rsidR="00F857C3" w:rsidRPr="006D43E2" w:rsidTr="002728F3">
        <w:tc>
          <w:tcPr>
            <w:tcW w:w="1738" w:type="dxa"/>
            <w:shd w:val="clear" w:color="auto" w:fill="auto"/>
            <w:vAlign w:val="bottom"/>
            <w:hideMark/>
          </w:tcPr>
          <w:p w:rsidR="00BC20DC" w:rsidRPr="006D43E2" w:rsidRDefault="00BC20DC" w:rsidP="005B5486">
            <w:pPr>
              <w:tabs>
                <w:tab w:val="left" w:pos="352"/>
              </w:tabs>
              <w:spacing w:beforeLines="20" w:before="48" w:afterLines="20" w:after="48" w:line="240" w:lineRule="auto"/>
              <w:rPr>
                <w:color w:val="000000" w:themeColor="text1"/>
                <w:sz w:val="18"/>
                <w:szCs w:val="18"/>
              </w:rPr>
            </w:pPr>
            <w:r w:rsidRPr="006D43E2">
              <w:rPr>
                <w:color w:val="000000" w:themeColor="text1"/>
                <w:sz w:val="18"/>
                <w:szCs w:val="18"/>
              </w:rPr>
              <w:t>Croatia</w:t>
            </w:r>
          </w:p>
        </w:tc>
        <w:tc>
          <w:tcPr>
            <w:tcW w:w="1370"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90%</w:t>
            </w:r>
          </w:p>
        </w:tc>
        <w:tc>
          <w:tcPr>
            <w:tcW w:w="1338"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90%</w:t>
            </w:r>
          </w:p>
        </w:tc>
        <w:tc>
          <w:tcPr>
            <w:tcW w:w="1334"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90%</w:t>
            </w:r>
          </w:p>
        </w:tc>
        <w:tc>
          <w:tcPr>
            <w:tcW w:w="1501" w:type="dxa"/>
            <w:gridSpan w:val="2"/>
            <w:shd w:val="clear" w:color="000000" w:fill="A9D08E"/>
            <w:noWrap/>
            <w:hideMark/>
          </w:tcPr>
          <w:p w:rsidR="00BC20DC" w:rsidRPr="006D43E2" w:rsidRDefault="00BC20DC" w:rsidP="002728F3">
            <w:pPr>
              <w:spacing w:beforeLines="20" w:before="48" w:afterLines="20" w:after="48" w:line="240" w:lineRule="auto"/>
              <w:ind w:right="284"/>
              <w:jc w:val="right"/>
              <w:rPr>
                <w:color w:val="000000" w:themeColor="text1"/>
                <w:sz w:val="18"/>
                <w:szCs w:val="18"/>
                <w:lang w:eastAsia="en-GB"/>
              </w:rPr>
            </w:pPr>
            <w:r w:rsidRPr="006D43E2">
              <w:rPr>
                <w:color w:val="000000" w:themeColor="text1"/>
                <w:sz w:val="18"/>
                <w:szCs w:val="18"/>
                <w:lang w:eastAsia="en-GB"/>
              </w:rPr>
              <w:t>90%</w:t>
            </w:r>
          </w:p>
        </w:tc>
        <w:tc>
          <w:tcPr>
            <w:tcW w:w="1240"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92%</w:t>
            </w:r>
          </w:p>
        </w:tc>
        <w:tc>
          <w:tcPr>
            <w:tcW w:w="1335" w:type="dxa"/>
            <w:gridSpan w:val="2"/>
            <w:shd w:val="clear" w:color="000000" w:fill="A9D08E"/>
            <w:noWrap/>
            <w:hideMark/>
          </w:tcPr>
          <w:p w:rsidR="00BC20DC" w:rsidRPr="006D43E2" w:rsidRDefault="00BC20DC" w:rsidP="002728F3">
            <w:pPr>
              <w:spacing w:beforeLines="20" w:before="48" w:afterLines="20" w:after="48" w:line="240" w:lineRule="auto"/>
              <w:ind w:right="170"/>
              <w:jc w:val="right"/>
              <w:rPr>
                <w:color w:val="000000" w:themeColor="text1"/>
                <w:sz w:val="18"/>
                <w:szCs w:val="18"/>
                <w:lang w:eastAsia="en-GB"/>
              </w:rPr>
            </w:pPr>
            <w:r w:rsidRPr="006D43E2">
              <w:rPr>
                <w:color w:val="000000" w:themeColor="text1"/>
                <w:sz w:val="18"/>
                <w:szCs w:val="18"/>
                <w:lang w:eastAsia="en-GB"/>
              </w:rPr>
              <w:t>85%</w:t>
            </w:r>
          </w:p>
        </w:tc>
        <w:tc>
          <w:tcPr>
            <w:tcW w:w="1365"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85%</w:t>
            </w:r>
          </w:p>
        </w:tc>
        <w:tc>
          <w:tcPr>
            <w:tcW w:w="1021" w:type="dxa"/>
            <w:shd w:val="clear" w:color="000000" w:fill="A9D08E"/>
            <w:noWrap/>
            <w:hideMark/>
          </w:tcPr>
          <w:p w:rsidR="00BC20DC" w:rsidRPr="006D43E2" w:rsidRDefault="00BC20DC" w:rsidP="002728F3">
            <w:pPr>
              <w:spacing w:beforeLines="20" w:before="48" w:afterLines="20" w:after="48" w:line="240" w:lineRule="auto"/>
              <w:jc w:val="right"/>
              <w:rPr>
                <w:b/>
                <w:color w:val="000000" w:themeColor="text1"/>
                <w:sz w:val="18"/>
                <w:szCs w:val="18"/>
                <w:lang w:eastAsia="en-GB"/>
              </w:rPr>
            </w:pPr>
            <w:r w:rsidRPr="006D43E2">
              <w:rPr>
                <w:b/>
                <w:color w:val="000000" w:themeColor="text1"/>
                <w:sz w:val="18"/>
                <w:szCs w:val="18"/>
                <w:lang w:eastAsia="en-GB"/>
              </w:rPr>
              <w:t>89%</w:t>
            </w:r>
          </w:p>
        </w:tc>
      </w:tr>
      <w:tr w:rsidR="00F857C3" w:rsidRPr="006D43E2" w:rsidTr="002728F3">
        <w:tc>
          <w:tcPr>
            <w:tcW w:w="1738" w:type="dxa"/>
            <w:shd w:val="clear" w:color="auto" w:fill="auto"/>
            <w:vAlign w:val="bottom"/>
            <w:hideMark/>
          </w:tcPr>
          <w:p w:rsidR="00BC20DC" w:rsidRPr="006D43E2" w:rsidRDefault="00BC20DC" w:rsidP="005B5486">
            <w:pPr>
              <w:tabs>
                <w:tab w:val="left" w:pos="352"/>
              </w:tabs>
              <w:spacing w:beforeLines="20" w:before="48" w:afterLines="20" w:after="48" w:line="240" w:lineRule="auto"/>
              <w:rPr>
                <w:color w:val="000000" w:themeColor="text1"/>
                <w:sz w:val="18"/>
                <w:szCs w:val="18"/>
              </w:rPr>
            </w:pPr>
            <w:r w:rsidRPr="006D43E2">
              <w:rPr>
                <w:color w:val="000000" w:themeColor="text1"/>
                <w:sz w:val="18"/>
                <w:szCs w:val="18"/>
              </w:rPr>
              <w:t>Estonia</w:t>
            </w:r>
          </w:p>
        </w:tc>
        <w:tc>
          <w:tcPr>
            <w:tcW w:w="1370"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90%</w:t>
            </w:r>
          </w:p>
        </w:tc>
        <w:tc>
          <w:tcPr>
            <w:tcW w:w="1338"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90%</w:t>
            </w:r>
          </w:p>
        </w:tc>
        <w:tc>
          <w:tcPr>
            <w:tcW w:w="1334"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90%</w:t>
            </w:r>
          </w:p>
        </w:tc>
        <w:tc>
          <w:tcPr>
            <w:tcW w:w="1501" w:type="dxa"/>
            <w:gridSpan w:val="2"/>
            <w:shd w:val="clear" w:color="000000" w:fill="A9D08E"/>
            <w:noWrap/>
            <w:hideMark/>
          </w:tcPr>
          <w:p w:rsidR="00BC20DC" w:rsidRPr="006D43E2" w:rsidRDefault="00BC20DC" w:rsidP="002728F3">
            <w:pPr>
              <w:spacing w:beforeLines="20" w:before="48" w:afterLines="20" w:after="48" w:line="240" w:lineRule="auto"/>
              <w:ind w:right="284"/>
              <w:jc w:val="right"/>
              <w:rPr>
                <w:color w:val="000000" w:themeColor="text1"/>
                <w:sz w:val="18"/>
                <w:szCs w:val="18"/>
                <w:lang w:eastAsia="en-GB"/>
              </w:rPr>
            </w:pPr>
            <w:r w:rsidRPr="006D43E2">
              <w:rPr>
                <w:color w:val="000000" w:themeColor="text1"/>
                <w:sz w:val="18"/>
                <w:szCs w:val="18"/>
                <w:lang w:eastAsia="en-GB"/>
              </w:rPr>
              <w:t>90%</w:t>
            </w:r>
          </w:p>
        </w:tc>
        <w:tc>
          <w:tcPr>
            <w:tcW w:w="1240"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93%</w:t>
            </w:r>
          </w:p>
        </w:tc>
        <w:tc>
          <w:tcPr>
            <w:tcW w:w="1335" w:type="dxa"/>
            <w:gridSpan w:val="2"/>
            <w:shd w:val="clear" w:color="000000" w:fill="A9D08E"/>
            <w:noWrap/>
            <w:hideMark/>
          </w:tcPr>
          <w:p w:rsidR="00BC20DC" w:rsidRPr="006D43E2" w:rsidRDefault="00BC20DC" w:rsidP="002728F3">
            <w:pPr>
              <w:spacing w:beforeLines="20" w:before="48" w:afterLines="20" w:after="48" w:line="240" w:lineRule="auto"/>
              <w:ind w:right="170"/>
              <w:jc w:val="right"/>
              <w:rPr>
                <w:color w:val="000000" w:themeColor="text1"/>
                <w:sz w:val="18"/>
                <w:szCs w:val="18"/>
                <w:lang w:eastAsia="en-GB"/>
              </w:rPr>
            </w:pPr>
            <w:r w:rsidRPr="006D43E2">
              <w:rPr>
                <w:color w:val="000000" w:themeColor="text1"/>
                <w:sz w:val="18"/>
                <w:szCs w:val="18"/>
                <w:lang w:eastAsia="en-GB"/>
              </w:rPr>
              <w:t>93%</w:t>
            </w:r>
          </w:p>
        </w:tc>
        <w:tc>
          <w:tcPr>
            <w:tcW w:w="1365"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88%</w:t>
            </w:r>
          </w:p>
        </w:tc>
        <w:tc>
          <w:tcPr>
            <w:tcW w:w="1021" w:type="dxa"/>
            <w:shd w:val="clear" w:color="000000" w:fill="A9D08E"/>
            <w:noWrap/>
            <w:hideMark/>
          </w:tcPr>
          <w:p w:rsidR="00BC20DC" w:rsidRPr="006D43E2" w:rsidRDefault="00BC20DC" w:rsidP="002728F3">
            <w:pPr>
              <w:spacing w:beforeLines="20" w:before="48" w:afterLines="20" w:after="48" w:line="240" w:lineRule="auto"/>
              <w:jc w:val="right"/>
              <w:rPr>
                <w:b/>
                <w:color w:val="000000" w:themeColor="text1"/>
                <w:sz w:val="18"/>
                <w:szCs w:val="18"/>
                <w:lang w:eastAsia="en-GB"/>
              </w:rPr>
            </w:pPr>
            <w:r w:rsidRPr="006D43E2">
              <w:rPr>
                <w:b/>
                <w:color w:val="000000" w:themeColor="text1"/>
                <w:sz w:val="18"/>
                <w:szCs w:val="18"/>
                <w:lang w:eastAsia="en-GB"/>
              </w:rPr>
              <w:t>91%</w:t>
            </w:r>
          </w:p>
        </w:tc>
      </w:tr>
      <w:tr w:rsidR="00F857C3" w:rsidRPr="006D43E2" w:rsidTr="002728F3">
        <w:tc>
          <w:tcPr>
            <w:tcW w:w="1738" w:type="dxa"/>
            <w:shd w:val="clear" w:color="auto" w:fill="auto"/>
            <w:vAlign w:val="bottom"/>
            <w:hideMark/>
          </w:tcPr>
          <w:p w:rsidR="00BC20DC" w:rsidRPr="006D43E2" w:rsidRDefault="00BC20DC" w:rsidP="005B5486">
            <w:pPr>
              <w:tabs>
                <w:tab w:val="left" w:pos="352"/>
              </w:tabs>
              <w:spacing w:beforeLines="20" w:before="48" w:afterLines="20" w:after="48" w:line="240" w:lineRule="auto"/>
              <w:rPr>
                <w:color w:val="000000" w:themeColor="text1"/>
                <w:sz w:val="18"/>
                <w:szCs w:val="18"/>
              </w:rPr>
            </w:pPr>
            <w:r w:rsidRPr="006D43E2">
              <w:rPr>
                <w:color w:val="000000" w:themeColor="text1"/>
                <w:sz w:val="18"/>
                <w:szCs w:val="18"/>
              </w:rPr>
              <w:t>Finland</w:t>
            </w:r>
          </w:p>
        </w:tc>
        <w:tc>
          <w:tcPr>
            <w:tcW w:w="1370"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93%</w:t>
            </w:r>
          </w:p>
        </w:tc>
        <w:tc>
          <w:tcPr>
            <w:tcW w:w="1338"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93%</w:t>
            </w:r>
          </w:p>
        </w:tc>
        <w:tc>
          <w:tcPr>
            <w:tcW w:w="1334"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93%</w:t>
            </w:r>
          </w:p>
        </w:tc>
        <w:tc>
          <w:tcPr>
            <w:tcW w:w="1501" w:type="dxa"/>
            <w:gridSpan w:val="2"/>
            <w:shd w:val="clear" w:color="000000" w:fill="A9D08E"/>
            <w:noWrap/>
            <w:hideMark/>
          </w:tcPr>
          <w:p w:rsidR="00BC20DC" w:rsidRPr="006D43E2" w:rsidRDefault="00BC20DC" w:rsidP="002728F3">
            <w:pPr>
              <w:spacing w:beforeLines="20" w:before="48" w:afterLines="20" w:after="48" w:line="240" w:lineRule="auto"/>
              <w:ind w:right="284"/>
              <w:jc w:val="right"/>
              <w:rPr>
                <w:color w:val="000000" w:themeColor="text1"/>
                <w:sz w:val="18"/>
                <w:szCs w:val="18"/>
                <w:lang w:eastAsia="en-GB"/>
              </w:rPr>
            </w:pPr>
            <w:r w:rsidRPr="006D43E2">
              <w:rPr>
                <w:color w:val="000000" w:themeColor="text1"/>
                <w:sz w:val="18"/>
                <w:szCs w:val="18"/>
                <w:lang w:eastAsia="en-GB"/>
              </w:rPr>
              <w:t>93%</w:t>
            </w:r>
          </w:p>
        </w:tc>
        <w:tc>
          <w:tcPr>
            <w:tcW w:w="1240" w:type="dxa"/>
            <w:shd w:val="clear" w:color="000000" w:fill="339966"/>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98%</w:t>
            </w:r>
          </w:p>
        </w:tc>
        <w:tc>
          <w:tcPr>
            <w:tcW w:w="1335" w:type="dxa"/>
            <w:gridSpan w:val="2"/>
            <w:shd w:val="clear" w:color="000000" w:fill="339966"/>
            <w:noWrap/>
            <w:hideMark/>
          </w:tcPr>
          <w:p w:rsidR="00BC20DC" w:rsidRPr="006D43E2" w:rsidRDefault="00BC20DC" w:rsidP="002728F3">
            <w:pPr>
              <w:spacing w:beforeLines="20" w:before="48" w:afterLines="20" w:after="48" w:line="240" w:lineRule="auto"/>
              <w:ind w:right="170"/>
              <w:jc w:val="right"/>
              <w:rPr>
                <w:color w:val="000000" w:themeColor="text1"/>
                <w:sz w:val="18"/>
                <w:szCs w:val="18"/>
                <w:lang w:eastAsia="en-GB"/>
              </w:rPr>
            </w:pPr>
            <w:r w:rsidRPr="006D43E2">
              <w:rPr>
                <w:color w:val="000000" w:themeColor="text1"/>
                <w:sz w:val="18"/>
                <w:szCs w:val="18"/>
                <w:lang w:eastAsia="en-GB"/>
              </w:rPr>
              <w:t>98%</w:t>
            </w:r>
          </w:p>
        </w:tc>
        <w:tc>
          <w:tcPr>
            <w:tcW w:w="1365"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82%</w:t>
            </w:r>
          </w:p>
        </w:tc>
        <w:tc>
          <w:tcPr>
            <w:tcW w:w="1021" w:type="dxa"/>
            <w:shd w:val="clear" w:color="000000" w:fill="A9D08E"/>
            <w:noWrap/>
            <w:hideMark/>
          </w:tcPr>
          <w:p w:rsidR="00BC20DC" w:rsidRPr="006D43E2" w:rsidRDefault="00BC20DC" w:rsidP="002728F3">
            <w:pPr>
              <w:spacing w:beforeLines="20" w:before="48" w:afterLines="20" w:after="48" w:line="240" w:lineRule="auto"/>
              <w:jc w:val="right"/>
              <w:rPr>
                <w:b/>
                <w:color w:val="000000" w:themeColor="text1"/>
                <w:sz w:val="18"/>
                <w:szCs w:val="18"/>
                <w:lang w:eastAsia="en-GB"/>
              </w:rPr>
            </w:pPr>
            <w:r w:rsidRPr="006D43E2">
              <w:rPr>
                <w:b/>
                <w:color w:val="000000" w:themeColor="text1"/>
                <w:sz w:val="18"/>
                <w:szCs w:val="18"/>
                <w:lang w:eastAsia="en-GB"/>
              </w:rPr>
              <w:t>93%</w:t>
            </w:r>
          </w:p>
        </w:tc>
      </w:tr>
      <w:tr w:rsidR="00F857C3" w:rsidRPr="006D43E2" w:rsidTr="002728F3">
        <w:tc>
          <w:tcPr>
            <w:tcW w:w="1738" w:type="dxa"/>
            <w:shd w:val="clear" w:color="auto" w:fill="auto"/>
            <w:vAlign w:val="bottom"/>
            <w:hideMark/>
          </w:tcPr>
          <w:p w:rsidR="00BC20DC" w:rsidRPr="006D43E2" w:rsidRDefault="00BC20DC" w:rsidP="005B5486">
            <w:pPr>
              <w:tabs>
                <w:tab w:val="left" w:pos="352"/>
              </w:tabs>
              <w:spacing w:beforeLines="20" w:before="48" w:afterLines="20" w:after="48" w:line="240" w:lineRule="auto"/>
              <w:rPr>
                <w:color w:val="000000" w:themeColor="text1"/>
                <w:sz w:val="18"/>
                <w:szCs w:val="18"/>
              </w:rPr>
            </w:pPr>
            <w:r w:rsidRPr="006D43E2">
              <w:rPr>
                <w:color w:val="000000" w:themeColor="text1"/>
                <w:sz w:val="18"/>
                <w:szCs w:val="18"/>
              </w:rPr>
              <w:t>France</w:t>
            </w:r>
          </w:p>
        </w:tc>
        <w:tc>
          <w:tcPr>
            <w:tcW w:w="1370"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88%</w:t>
            </w:r>
          </w:p>
        </w:tc>
        <w:tc>
          <w:tcPr>
            <w:tcW w:w="1338"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88%</w:t>
            </w:r>
          </w:p>
        </w:tc>
        <w:tc>
          <w:tcPr>
            <w:tcW w:w="1334"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88%</w:t>
            </w:r>
          </w:p>
        </w:tc>
        <w:tc>
          <w:tcPr>
            <w:tcW w:w="1501" w:type="dxa"/>
            <w:gridSpan w:val="2"/>
            <w:shd w:val="clear" w:color="000000" w:fill="A9D08E"/>
            <w:noWrap/>
            <w:hideMark/>
          </w:tcPr>
          <w:p w:rsidR="00BC20DC" w:rsidRPr="006D43E2" w:rsidRDefault="00BC20DC" w:rsidP="002728F3">
            <w:pPr>
              <w:spacing w:beforeLines="20" w:before="48" w:afterLines="20" w:after="48" w:line="240" w:lineRule="auto"/>
              <w:ind w:right="284"/>
              <w:jc w:val="right"/>
              <w:rPr>
                <w:color w:val="000000" w:themeColor="text1"/>
                <w:sz w:val="18"/>
                <w:szCs w:val="18"/>
                <w:lang w:eastAsia="en-GB"/>
              </w:rPr>
            </w:pPr>
            <w:r w:rsidRPr="006D43E2">
              <w:rPr>
                <w:color w:val="000000" w:themeColor="text1"/>
                <w:sz w:val="18"/>
                <w:szCs w:val="18"/>
                <w:lang w:eastAsia="en-GB"/>
              </w:rPr>
              <w:t>88%</w:t>
            </w:r>
          </w:p>
        </w:tc>
        <w:tc>
          <w:tcPr>
            <w:tcW w:w="1240"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92%</w:t>
            </w:r>
          </w:p>
        </w:tc>
        <w:tc>
          <w:tcPr>
            <w:tcW w:w="1335" w:type="dxa"/>
            <w:gridSpan w:val="2"/>
            <w:shd w:val="clear" w:color="000000" w:fill="A9D08E"/>
            <w:noWrap/>
            <w:hideMark/>
          </w:tcPr>
          <w:p w:rsidR="00BC20DC" w:rsidRPr="006D43E2" w:rsidRDefault="00BC20DC" w:rsidP="002728F3">
            <w:pPr>
              <w:spacing w:beforeLines="20" w:before="48" w:afterLines="20" w:after="48" w:line="240" w:lineRule="auto"/>
              <w:ind w:right="170"/>
              <w:jc w:val="right"/>
              <w:rPr>
                <w:color w:val="000000" w:themeColor="text1"/>
                <w:sz w:val="18"/>
                <w:szCs w:val="18"/>
                <w:lang w:eastAsia="en-GB"/>
              </w:rPr>
            </w:pPr>
            <w:r w:rsidRPr="006D43E2">
              <w:rPr>
                <w:color w:val="000000" w:themeColor="text1"/>
                <w:sz w:val="18"/>
                <w:szCs w:val="18"/>
                <w:lang w:eastAsia="en-GB"/>
              </w:rPr>
              <w:t>92%</w:t>
            </w:r>
          </w:p>
        </w:tc>
        <w:tc>
          <w:tcPr>
            <w:tcW w:w="1365"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93%</w:t>
            </w:r>
          </w:p>
        </w:tc>
        <w:tc>
          <w:tcPr>
            <w:tcW w:w="1021" w:type="dxa"/>
            <w:shd w:val="clear" w:color="000000" w:fill="A9D08E"/>
            <w:noWrap/>
            <w:hideMark/>
          </w:tcPr>
          <w:p w:rsidR="00BC20DC" w:rsidRPr="006D43E2" w:rsidRDefault="00BC20DC" w:rsidP="002728F3">
            <w:pPr>
              <w:spacing w:beforeLines="20" w:before="48" w:afterLines="20" w:after="48" w:line="240" w:lineRule="auto"/>
              <w:jc w:val="right"/>
              <w:rPr>
                <w:b/>
                <w:color w:val="000000" w:themeColor="text1"/>
                <w:sz w:val="18"/>
                <w:szCs w:val="18"/>
                <w:lang w:eastAsia="en-GB"/>
              </w:rPr>
            </w:pPr>
            <w:r w:rsidRPr="006D43E2">
              <w:rPr>
                <w:b/>
                <w:color w:val="000000" w:themeColor="text1"/>
                <w:sz w:val="18"/>
                <w:szCs w:val="18"/>
                <w:lang w:eastAsia="en-GB"/>
              </w:rPr>
              <w:t>90%</w:t>
            </w:r>
          </w:p>
        </w:tc>
      </w:tr>
      <w:tr w:rsidR="00F857C3" w:rsidRPr="006D43E2" w:rsidTr="002728F3">
        <w:tc>
          <w:tcPr>
            <w:tcW w:w="1738" w:type="dxa"/>
            <w:shd w:val="clear" w:color="auto" w:fill="auto"/>
            <w:vAlign w:val="bottom"/>
            <w:hideMark/>
          </w:tcPr>
          <w:p w:rsidR="00BC20DC" w:rsidRPr="006D43E2" w:rsidRDefault="00BC20DC" w:rsidP="005B5486">
            <w:pPr>
              <w:tabs>
                <w:tab w:val="left" w:pos="352"/>
              </w:tabs>
              <w:spacing w:beforeLines="20" w:before="48" w:afterLines="20" w:after="48" w:line="240" w:lineRule="auto"/>
              <w:rPr>
                <w:color w:val="000000" w:themeColor="text1"/>
                <w:sz w:val="18"/>
                <w:szCs w:val="18"/>
              </w:rPr>
            </w:pPr>
            <w:r w:rsidRPr="006D43E2">
              <w:rPr>
                <w:color w:val="000000" w:themeColor="text1"/>
                <w:sz w:val="18"/>
                <w:szCs w:val="18"/>
              </w:rPr>
              <w:t>Georgia</w:t>
            </w:r>
          </w:p>
        </w:tc>
        <w:tc>
          <w:tcPr>
            <w:tcW w:w="1370"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80%</w:t>
            </w:r>
          </w:p>
        </w:tc>
        <w:tc>
          <w:tcPr>
            <w:tcW w:w="1338"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80%</w:t>
            </w:r>
          </w:p>
        </w:tc>
        <w:tc>
          <w:tcPr>
            <w:tcW w:w="1334"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80%</w:t>
            </w:r>
          </w:p>
        </w:tc>
        <w:tc>
          <w:tcPr>
            <w:tcW w:w="1501" w:type="dxa"/>
            <w:gridSpan w:val="2"/>
            <w:shd w:val="clear" w:color="000000" w:fill="A9D08E"/>
            <w:noWrap/>
            <w:hideMark/>
          </w:tcPr>
          <w:p w:rsidR="00BC20DC" w:rsidRPr="006D43E2" w:rsidRDefault="00BC20DC" w:rsidP="002728F3">
            <w:pPr>
              <w:spacing w:beforeLines="20" w:before="48" w:afterLines="20" w:after="48" w:line="240" w:lineRule="auto"/>
              <w:ind w:right="284"/>
              <w:jc w:val="right"/>
              <w:rPr>
                <w:color w:val="000000" w:themeColor="text1"/>
                <w:sz w:val="18"/>
                <w:szCs w:val="18"/>
                <w:lang w:eastAsia="en-GB"/>
              </w:rPr>
            </w:pPr>
            <w:r w:rsidRPr="006D43E2">
              <w:rPr>
                <w:color w:val="000000" w:themeColor="text1"/>
                <w:sz w:val="18"/>
                <w:szCs w:val="18"/>
                <w:lang w:eastAsia="en-GB"/>
              </w:rPr>
              <w:t>80%</w:t>
            </w:r>
          </w:p>
        </w:tc>
        <w:tc>
          <w:tcPr>
            <w:tcW w:w="1240"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78%</w:t>
            </w:r>
          </w:p>
        </w:tc>
        <w:tc>
          <w:tcPr>
            <w:tcW w:w="1335" w:type="dxa"/>
            <w:gridSpan w:val="2"/>
            <w:shd w:val="clear" w:color="000000" w:fill="A9D08E"/>
            <w:noWrap/>
            <w:hideMark/>
          </w:tcPr>
          <w:p w:rsidR="00BC20DC" w:rsidRPr="006D43E2" w:rsidRDefault="00BC20DC" w:rsidP="002728F3">
            <w:pPr>
              <w:spacing w:beforeLines="20" w:before="48" w:afterLines="20" w:after="48" w:line="240" w:lineRule="auto"/>
              <w:ind w:right="170"/>
              <w:jc w:val="right"/>
              <w:rPr>
                <w:color w:val="000000" w:themeColor="text1"/>
                <w:sz w:val="18"/>
                <w:szCs w:val="18"/>
                <w:lang w:eastAsia="en-GB"/>
              </w:rPr>
            </w:pPr>
            <w:r w:rsidRPr="006D43E2">
              <w:rPr>
                <w:color w:val="000000" w:themeColor="text1"/>
                <w:sz w:val="18"/>
                <w:szCs w:val="18"/>
                <w:lang w:eastAsia="en-GB"/>
              </w:rPr>
              <w:t>78%</w:t>
            </w:r>
          </w:p>
        </w:tc>
        <w:tc>
          <w:tcPr>
            <w:tcW w:w="1365" w:type="dxa"/>
            <w:shd w:val="clear" w:color="000000" w:fill="FFD966"/>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68%</w:t>
            </w:r>
          </w:p>
        </w:tc>
        <w:tc>
          <w:tcPr>
            <w:tcW w:w="1021" w:type="dxa"/>
            <w:shd w:val="clear" w:color="000000" w:fill="A9D08E"/>
            <w:noWrap/>
            <w:hideMark/>
          </w:tcPr>
          <w:p w:rsidR="00BC20DC" w:rsidRPr="006D43E2" w:rsidRDefault="00BC20DC" w:rsidP="002728F3">
            <w:pPr>
              <w:spacing w:beforeLines="20" w:before="48" w:afterLines="20" w:after="48" w:line="240" w:lineRule="auto"/>
              <w:jc w:val="right"/>
              <w:rPr>
                <w:b/>
                <w:color w:val="000000" w:themeColor="text1"/>
                <w:sz w:val="18"/>
                <w:szCs w:val="18"/>
                <w:lang w:eastAsia="en-GB"/>
              </w:rPr>
            </w:pPr>
            <w:r w:rsidRPr="006D43E2">
              <w:rPr>
                <w:b/>
                <w:color w:val="000000" w:themeColor="text1"/>
                <w:sz w:val="18"/>
                <w:szCs w:val="18"/>
                <w:lang w:eastAsia="en-GB"/>
              </w:rPr>
              <w:t>78%</w:t>
            </w:r>
          </w:p>
        </w:tc>
      </w:tr>
      <w:tr w:rsidR="00F857C3" w:rsidRPr="006D43E2" w:rsidTr="002728F3">
        <w:tc>
          <w:tcPr>
            <w:tcW w:w="1738" w:type="dxa"/>
            <w:shd w:val="clear" w:color="auto" w:fill="auto"/>
            <w:vAlign w:val="bottom"/>
            <w:hideMark/>
          </w:tcPr>
          <w:p w:rsidR="00BC20DC" w:rsidRPr="006D43E2" w:rsidRDefault="00BC20DC" w:rsidP="005B5486">
            <w:pPr>
              <w:tabs>
                <w:tab w:val="left" w:pos="352"/>
              </w:tabs>
              <w:spacing w:beforeLines="20" w:before="48" w:afterLines="20" w:after="48" w:line="240" w:lineRule="auto"/>
              <w:rPr>
                <w:color w:val="000000" w:themeColor="text1"/>
                <w:sz w:val="18"/>
                <w:szCs w:val="18"/>
              </w:rPr>
            </w:pPr>
            <w:r w:rsidRPr="006D43E2">
              <w:rPr>
                <w:color w:val="000000" w:themeColor="text1"/>
                <w:sz w:val="18"/>
                <w:szCs w:val="18"/>
              </w:rPr>
              <w:t>Germany</w:t>
            </w:r>
          </w:p>
        </w:tc>
        <w:tc>
          <w:tcPr>
            <w:tcW w:w="1370" w:type="dxa"/>
            <w:shd w:val="clear" w:color="000000" w:fill="339966"/>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100%</w:t>
            </w:r>
          </w:p>
        </w:tc>
        <w:tc>
          <w:tcPr>
            <w:tcW w:w="1338" w:type="dxa"/>
            <w:shd w:val="clear" w:color="000000" w:fill="339966"/>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100%</w:t>
            </w:r>
          </w:p>
        </w:tc>
        <w:tc>
          <w:tcPr>
            <w:tcW w:w="1334" w:type="dxa"/>
            <w:shd w:val="clear" w:color="000000" w:fill="339966"/>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100%</w:t>
            </w:r>
          </w:p>
        </w:tc>
        <w:tc>
          <w:tcPr>
            <w:tcW w:w="1501" w:type="dxa"/>
            <w:gridSpan w:val="2"/>
            <w:shd w:val="clear" w:color="000000" w:fill="339966"/>
            <w:noWrap/>
            <w:hideMark/>
          </w:tcPr>
          <w:p w:rsidR="00BC20DC" w:rsidRPr="006D43E2" w:rsidRDefault="00BC20DC" w:rsidP="002728F3">
            <w:pPr>
              <w:spacing w:beforeLines="20" w:before="48" w:afterLines="20" w:after="48" w:line="240" w:lineRule="auto"/>
              <w:ind w:right="284"/>
              <w:jc w:val="right"/>
              <w:rPr>
                <w:color w:val="000000" w:themeColor="text1"/>
                <w:sz w:val="18"/>
                <w:szCs w:val="18"/>
                <w:lang w:eastAsia="en-GB"/>
              </w:rPr>
            </w:pPr>
            <w:r w:rsidRPr="006D43E2">
              <w:rPr>
                <w:color w:val="000000" w:themeColor="text1"/>
                <w:sz w:val="18"/>
                <w:szCs w:val="18"/>
                <w:lang w:eastAsia="en-GB"/>
              </w:rPr>
              <w:t>100%</w:t>
            </w:r>
          </w:p>
        </w:tc>
        <w:tc>
          <w:tcPr>
            <w:tcW w:w="1240" w:type="dxa"/>
            <w:shd w:val="clear" w:color="000000" w:fill="FFD966"/>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73%</w:t>
            </w:r>
          </w:p>
        </w:tc>
        <w:tc>
          <w:tcPr>
            <w:tcW w:w="1335" w:type="dxa"/>
            <w:gridSpan w:val="2"/>
            <w:shd w:val="clear" w:color="000000" w:fill="A9D08E"/>
            <w:noWrap/>
            <w:hideMark/>
          </w:tcPr>
          <w:p w:rsidR="00BC20DC" w:rsidRPr="006D43E2" w:rsidRDefault="00BC20DC" w:rsidP="002728F3">
            <w:pPr>
              <w:spacing w:beforeLines="20" w:before="48" w:afterLines="20" w:after="48" w:line="240" w:lineRule="auto"/>
              <w:ind w:right="170"/>
              <w:jc w:val="right"/>
              <w:rPr>
                <w:color w:val="000000" w:themeColor="text1"/>
                <w:sz w:val="18"/>
                <w:szCs w:val="18"/>
                <w:lang w:eastAsia="en-GB"/>
              </w:rPr>
            </w:pPr>
            <w:r w:rsidRPr="006D43E2">
              <w:rPr>
                <w:color w:val="000000" w:themeColor="text1"/>
                <w:sz w:val="18"/>
                <w:szCs w:val="18"/>
                <w:lang w:eastAsia="en-GB"/>
              </w:rPr>
              <w:t>80%</w:t>
            </w:r>
          </w:p>
        </w:tc>
        <w:tc>
          <w:tcPr>
            <w:tcW w:w="1365"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77%</w:t>
            </w:r>
          </w:p>
        </w:tc>
        <w:tc>
          <w:tcPr>
            <w:tcW w:w="1021" w:type="dxa"/>
            <w:shd w:val="clear" w:color="000000" w:fill="A9D08E"/>
            <w:noWrap/>
            <w:hideMark/>
          </w:tcPr>
          <w:p w:rsidR="00BC20DC" w:rsidRPr="006D43E2" w:rsidRDefault="00BC20DC" w:rsidP="002728F3">
            <w:pPr>
              <w:spacing w:beforeLines="20" w:before="48" w:afterLines="20" w:after="48" w:line="240" w:lineRule="auto"/>
              <w:jc w:val="right"/>
              <w:rPr>
                <w:b/>
                <w:color w:val="000000" w:themeColor="text1"/>
                <w:sz w:val="18"/>
                <w:szCs w:val="18"/>
                <w:lang w:eastAsia="en-GB"/>
              </w:rPr>
            </w:pPr>
            <w:r w:rsidRPr="006D43E2">
              <w:rPr>
                <w:b/>
                <w:color w:val="000000" w:themeColor="text1"/>
                <w:sz w:val="18"/>
                <w:szCs w:val="18"/>
                <w:lang w:eastAsia="en-GB"/>
              </w:rPr>
              <w:t>90%</w:t>
            </w:r>
          </w:p>
        </w:tc>
      </w:tr>
      <w:tr w:rsidR="00F857C3" w:rsidRPr="006D43E2" w:rsidTr="002728F3">
        <w:tc>
          <w:tcPr>
            <w:tcW w:w="1738" w:type="dxa"/>
            <w:shd w:val="clear" w:color="auto" w:fill="auto"/>
            <w:vAlign w:val="bottom"/>
            <w:hideMark/>
          </w:tcPr>
          <w:p w:rsidR="00BC20DC" w:rsidRPr="006D43E2" w:rsidRDefault="00BC20DC" w:rsidP="005B5486">
            <w:pPr>
              <w:tabs>
                <w:tab w:val="left" w:pos="352"/>
              </w:tabs>
              <w:spacing w:beforeLines="20" w:before="48" w:afterLines="20" w:after="48" w:line="240" w:lineRule="auto"/>
              <w:rPr>
                <w:color w:val="000000" w:themeColor="text1"/>
                <w:sz w:val="18"/>
                <w:szCs w:val="18"/>
              </w:rPr>
            </w:pPr>
            <w:r w:rsidRPr="006D43E2">
              <w:rPr>
                <w:color w:val="000000" w:themeColor="text1"/>
                <w:sz w:val="18"/>
                <w:szCs w:val="18"/>
              </w:rPr>
              <w:t>Hungary</w:t>
            </w:r>
          </w:p>
        </w:tc>
        <w:tc>
          <w:tcPr>
            <w:tcW w:w="1370"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87%</w:t>
            </w:r>
          </w:p>
        </w:tc>
        <w:tc>
          <w:tcPr>
            <w:tcW w:w="1338"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87%</w:t>
            </w:r>
          </w:p>
        </w:tc>
        <w:tc>
          <w:tcPr>
            <w:tcW w:w="1334"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87%</w:t>
            </w:r>
          </w:p>
        </w:tc>
        <w:tc>
          <w:tcPr>
            <w:tcW w:w="1501" w:type="dxa"/>
            <w:gridSpan w:val="2"/>
            <w:shd w:val="clear" w:color="000000" w:fill="A9D08E"/>
            <w:noWrap/>
            <w:hideMark/>
          </w:tcPr>
          <w:p w:rsidR="00BC20DC" w:rsidRPr="006D43E2" w:rsidRDefault="00BC20DC" w:rsidP="002728F3">
            <w:pPr>
              <w:spacing w:beforeLines="20" w:before="48" w:afterLines="20" w:after="48" w:line="240" w:lineRule="auto"/>
              <w:ind w:right="284"/>
              <w:jc w:val="right"/>
              <w:rPr>
                <w:color w:val="000000" w:themeColor="text1"/>
                <w:sz w:val="18"/>
                <w:szCs w:val="18"/>
                <w:lang w:eastAsia="en-GB"/>
              </w:rPr>
            </w:pPr>
            <w:r w:rsidRPr="006D43E2">
              <w:rPr>
                <w:color w:val="000000" w:themeColor="text1"/>
                <w:sz w:val="18"/>
                <w:szCs w:val="18"/>
                <w:lang w:eastAsia="en-GB"/>
              </w:rPr>
              <w:t>87%</w:t>
            </w:r>
          </w:p>
        </w:tc>
        <w:tc>
          <w:tcPr>
            <w:tcW w:w="1240"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93%</w:t>
            </w:r>
          </w:p>
        </w:tc>
        <w:tc>
          <w:tcPr>
            <w:tcW w:w="1335" w:type="dxa"/>
            <w:gridSpan w:val="2"/>
            <w:shd w:val="clear" w:color="000000" w:fill="A9D08E"/>
            <w:noWrap/>
            <w:hideMark/>
          </w:tcPr>
          <w:p w:rsidR="00BC20DC" w:rsidRPr="006D43E2" w:rsidRDefault="00BC20DC" w:rsidP="002728F3">
            <w:pPr>
              <w:spacing w:beforeLines="20" w:before="48" w:afterLines="20" w:after="48" w:line="240" w:lineRule="auto"/>
              <w:ind w:right="170"/>
              <w:jc w:val="right"/>
              <w:rPr>
                <w:color w:val="000000" w:themeColor="text1"/>
                <w:sz w:val="18"/>
                <w:szCs w:val="18"/>
                <w:lang w:eastAsia="en-GB"/>
              </w:rPr>
            </w:pPr>
            <w:r w:rsidRPr="006D43E2">
              <w:rPr>
                <w:color w:val="000000" w:themeColor="text1"/>
                <w:sz w:val="18"/>
                <w:szCs w:val="18"/>
                <w:lang w:eastAsia="en-GB"/>
              </w:rPr>
              <w:t>93%</w:t>
            </w:r>
          </w:p>
        </w:tc>
        <w:tc>
          <w:tcPr>
            <w:tcW w:w="1365"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93%</w:t>
            </w:r>
          </w:p>
        </w:tc>
        <w:tc>
          <w:tcPr>
            <w:tcW w:w="1021" w:type="dxa"/>
            <w:shd w:val="clear" w:color="000000" w:fill="A9D08E"/>
            <w:noWrap/>
            <w:hideMark/>
          </w:tcPr>
          <w:p w:rsidR="00BC20DC" w:rsidRPr="006D43E2" w:rsidRDefault="00BC20DC" w:rsidP="002728F3">
            <w:pPr>
              <w:spacing w:beforeLines="20" w:before="48" w:afterLines="20" w:after="48" w:line="240" w:lineRule="auto"/>
              <w:jc w:val="right"/>
              <w:rPr>
                <w:b/>
                <w:color w:val="000000" w:themeColor="text1"/>
                <w:sz w:val="18"/>
                <w:szCs w:val="18"/>
                <w:lang w:eastAsia="en-GB"/>
              </w:rPr>
            </w:pPr>
            <w:r w:rsidRPr="006D43E2">
              <w:rPr>
                <w:b/>
                <w:color w:val="000000" w:themeColor="text1"/>
                <w:sz w:val="18"/>
                <w:szCs w:val="18"/>
                <w:lang w:eastAsia="en-GB"/>
              </w:rPr>
              <w:t>90%</w:t>
            </w:r>
          </w:p>
        </w:tc>
      </w:tr>
      <w:tr w:rsidR="00F857C3" w:rsidRPr="006D43E2" w:rsidTr="002728F3">
        <w:tc>
          <w:tcPr>
            <w:tcW w:w="1738" w:type="dxa"/>
            <w:shd w:val="clear" w:color="auto" w:fill="auto"/>
            <w:vAlign w:val="bottom"/>
            <w:hideMark/>
          </w:tcPr>
          <w:p w:rsidR="00BC20DC" w:rsidRPr="006D43E2" w:rsidRDefault="00BC20DC" w:rsidP="005B5486">
            <w:pPr>
              <w:tabs>
                <w:tab w:val="left" w:pos="352"/>
              </w:tabs>
              <w:spacing w:beforeLines="20" w:before="48" w:afterLines="20" w:after="48" w:line="240" w:lineRule="auto"/>
              <w:rPr>
                <w:color w:val="000000" w:themeColor="text1"/>
                <w:sz w:val="18"/>
                <w:szCs w:val="18"/>
              </w:rPr>
            </w:pPr>
            <w:r w:rsidRPr="006D43E2">
              <w:rPr>
                <w:color w:val="000000" w:themeColor="text1"/>
                <w:sz w:val="18"/>
                <w:szCs w:val="18"/>
              </w:rPr>
              <w:t>Italy</w:t>
            </w:r>
          </w:p>
        </w:tc>
        <w:tc>
          <w:tcPr>
            <w:tcW w:w="1370"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88%</w:t>
            </w:r>
          </w:p>
        </w:tc>
        <w:tc>
          <w:tcPr>
            <w:tcW w:w="1338"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88%</w:t>
            </w:r>
          </w:p>
        </w:tc>
        <w:tc>
          <w:tcPr>
            <w:tcW w:w="1334"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88%</w:t>
            </w:r>
          </w:p>
        </w:tc>
        <w:tc>
          <w:tcPr>
            <w:tcW w:w="1501" w:type="dxa"/>
            <w:gridSpan w:val="2"/>
            <w:shd w:val="clear" w:color="000000" w:fill="A9D08E"/>
            <w:noWrap/>
            <w:hideMark/>
          </w:tcPr>
          <w:p w:rsidR="00BC20DC" w:rsidRPr="006D43E2" w:rsidRDefault="00BC20DC" w:rsidP="002728F3">
            <w:pPr>
              <w:spacing w:beforeLines="20" w:before="48" w:afterLines="20" w:after="48" w:line="240" w:lineRule="auto"/>
              <w:ind w:right="284"/>
              <w:jc w:val="right"/>
              <w:rPr>
                <w:color w:val="000000" w:themeColor="text1"/>
                <w:sz w:val="18"/>
                <w:szCs w:val="18"/>
                <w:lang w:eastAsia="en-GB"/>
              </w:rPr>
            </w:pPr>
            <w:r w:rsidRPr="006D43E2">
              <w:rPr>
                <w:color w:val="000000" w:themeColor="text1"/>
                <w:sz w:val="18"/>
                <w:szCs w:val="18"/>
                <w:lang w:eastAsia="en-GB"/>
              </w:rPr>
              <w:t>88%</w:t>
            </w:r>
          </w:p>
        </w:tc>
        <w:tc>
          <w:tcPr>
            <w:tcW w:w="1240"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87%</w:t>
            </w:r>
          </w:p>
        </w:tc>
        <w:tc>
          <w:tcPr>
            <w:tcW w:w="1335" w:type="dxa"/>
            <w:gridSpan w:val="2"/>
            <w:shd w:val="clear" w:color="000000" w:fill="A9D08E"/>
            <w:noWrap/>
            <w:hideMark/>
          </w:tcPr>
          <w:p w:rsidR="00BC20DC" w:rsidRPr="006D43E2" w:rsidRDefault="00BC20DC" w:rsidP="002728F3">
            <w:pPr>
              <w:spacing w:beforeLines="20" w:before="48" w:afterLines="20" w:after="48" w:line="240" w:lineRule="auto"/>
              <w:ind w:right="170"/>
              <w:jc w:val="right"/>
              <w:rPr>
                <w:color w:val="000000" w:themeColor="text1"/>
                <w:sz w:val="18"/>
                <w:szCs w:val="18"/>
                <w:lang w:eastAsia="en-GB"/>
              </w:rPr>
            </w:pPr>
            <w:r w:rsidRPr="006D43E2">
              <w:rPr>
                <w:color w:val="000000" w:themeColor="text1"/>
                <w:sz w:val="18"/>
                <w:szCs w:val="18"/>
                <w:lang w:eastAsia="en-GB"/>
              </w:rPr>
              <w:t>87%</w:t>
            </w:r>
          </w:p>
        </w:tc>
        <w:tc>
          <w:tcPr>
            <w:tcW w:w="1365"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82%</w:t>
            </w:r>
          </w:p>
        </w:tc>
        <w:tc>
          <w:tcPr>
            <w:tcW w:w="1021" w:type="dxa"/>
            <w:shd w:val="clear" w:color="000000" w:fill="A9D08E"/>
            <w:noWrap/>
            <w:hideMark/>
          </w:tcPr>
          <w:p w:rsidR="00BC20DC" w:rsidRPr="006D43E2" w:rsidRDefault="00BC20DC" w:rsidP="002728F3">
            <w:pPr>
              <w:spacing w:beforeLines="20" w:before="48" w:afterLines="20" w:after="48" w:line="240" w:lineRule="auto"/>
              <w:jc w:val="right"/>
              <w:rPr>
                <w:b/>
                <w:color w:val="000000" w:themeColor="text1"/>
                <w:sz w:val="18"/>
                <w:szCs w:val="18"/>
                <w:lang w:eastAsia="en-GB"/>
              </w:rPr>
            </w:pPr>
            <w:r w:rsidRPr="006D43E2">
              <w:rPr>
                <w:b/>
                <w:color w:val="000000" w:themeColor="text1"/>
                <w:sz w:val="18"/>
                <w:szCs w:val="18"/>
                <w:lang w:eastAsia="en-GB"/>
              </w:rPr>
              <w:t>87%</w:t>
            </w:r>
          </w:p>
        </w:tc>
      </w:tr>
      <w:tr w:rsidR="00F857C3" w:rsidRPr="006D43E2" w:rsidTr="002728F3">
        <w:tc>
          <w:tcPr>
            <w:tcW w:w="1738" w:type="dxa"/>
            <w:shd w:val="clear" w:color="auto" w:fill="auto"/>
            <w:vAlign w:val="bottom"/>
            <w:hideMark/>
          </w:tcPr>
          <w:p w:rsidR="00BC20DC" w:rsidRPr="006D43E2" w:rsidRDefault="00BC20DC" w:rsidP="005B5486">
            <w:pPr>
              <w:tabs>
                <w:tab w:val="left" w:pos="352"/>
              </w:tabs>
              <w:spacing w:beforeLines="20" w:before="48" w:afterLines="20" w:after="48" w:line="240" w:lineRule="auto"/>
              <w:rPr>
                <w:color w:val="000000" w:themeColor="text1"/>
                <w:sz w:val="18"/>
                <w:szCs w:val="18"/>
              </w:rPr>
            </w:pPr>
            <w:r w:rsidRPr="006D43E2">
              <w:rPr>
                <w:color w:val="000000" w:themeColor="text1"/>
                <w:sz w:val="18"/>
                <w:szCs w:val="18"/>
              </w:rPr>
              <w:t>Kazakhstan</w:t>
            </w:r>
          </w:p>
        </w:tc>
        <w:tc>
          <w:tcPr>
            <w:tcW w:w="1370"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87%</w:t>
            </w:r>
          </w:p>
        </w:tc>
        <w:tc>
          <w:tcPr>
            <w:tcW w:w="1338"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87%</w:t>
            </w:r>
          </w:p>
        </w:tc>
        <w:tc>
          <w:tcPr>
            <w:tcW w:w="1334"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87%</w:t>
            </w:r>
          </w:p>
        </w:tc>
        <w:tc>
          <w:tcPr>
            <w:tcW w:w="1501" w:type="dxa"/>
            <w:gridSpan w:val="2"/>
            <w:shd w:val="clear" w:color="000000" w:fill="A9D08E"/>
            <w:noWrap/>
            <w:hideMark/>
          </w:tcPr>
          <w:p w:rsidR="00BC20DC" w:rsidRPr="006D43E2" w:rsidRDefault="00BC20DC" w:rsidP="002728F3">
            <w:pPr>
              <w:spacing w:beforeLines="20" w:before="48" w:afterLines="20" w:after="48" w:line="240" w:lineRule="auto"/>
              <w:ind w:right="284"/>
              <w:jc w:val="right"/>
              <w:rPr>
                <w:color w:val="000000" w:themeColor="text1"/>
                <w:sz w:val="18"/>
                <w:szCs w:val="18"/>
                <w:lang w:eastAsia="en-GB"/>
              </w:rPr>
            </w:pPr>
            <w:r w:rsidRPr="006D43E2">
              <w:rPr>
                <w:color w:val="000000" w:themeColor="text1"/>
                <w:sz w:val="18"/>
                <w:szCs w:val="18"/>
                <w:lang w:eastAsia="en-GB"/>
              </w:rPr>
              <w:t>87%</w:t>
            </w:r>
          </w:p>
        </w:tc>
        <w:tc>
          <w:tcPr>
            <w:tcW w:w="1240"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87%</w:t>
            </w:r>
          </w:p>
        </w:tc>
        <w:tc>
          <w:tcPr>
            <w:tcW w:w="1335" w:type="dxa"/>
            <w:gridSpan w:val="2"/>
            <w:shd w:val="clear" w:color="000000" w:fill="A9D08E"/>
            <w:noWrap/>
            <w:hideMark/>
          </w:tcPr>
          <w:p w:rsidR="00BC20DC" w:rsidRPr="006D43E2" w:rsidRDefault="00BC20DC" w:rsidP="002728F3">
            <w:pPr>
              <w:spacing w:beforeLines="20" w:before="48" w:afterLines="20" w:after="48" w:line="240" w:lineRule="auto"/>
              <w:ind w:right="170"/>
              <w:jc w:val="right"/>
              <w:rPr>
                <w:color w:val="000000" w:themeColor="text1"/>
                <w:sz w:val="18"/>
                <w:szCs w:val="18"/>
                <w:lang w:eastAsia="en-GB"/>
              </w:rPr>
            </w:pPr>
            <w:r w:rsidRPr="006D43E2">
              <w:rPr>
                <w:color w:val="000000" w:themeColor="text1"/>
                <w:sz w:val="18"/>
                <w:szCs w:val="18"/>
                <w:lang w:eastAsia="en-GB"/>
              </w:rPr>
              <w:t>87%</w:t>
            </w:r>
          </w:p>
        </w:tc>
        <w:tc>
          <w:tcPr>
            <w:tcW w:w="1365"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87%</w:t>
            </w:r>
          </w:p>
        </w:tc>
        <w:tc>
          <w:tcPr>
            <w:tcW w:w="1021" w:type="dxa"/>
            <w:shd w:val="clear" w:color="000000" w:fill="A9D08E"/>
            <w:noWrap/>
            <w:hideMark/>
          </w:tcPr>
          <w:p w:rsidR="00BC20DC" w:rsidRPr="006D43E2" w:rsidRDefault="00BC20DC" w:rsidP="002728F3">
            <w:pPr>
              <w:spacing w:beforeLines="20" w:before="48" w:afterLines="20" w:after="48" w:line="240" w:lineRule="auto"/>
              <w:jc w:val="right"/>
              <w:rPr>
                <w:b/>
                <w:color w:val="000000" w:themeColor="text1"/>
                <w:sz w:val="18"/>
                <w:szCs w:val="18"/>
                <w:lang w:eastAsia="en-GB"/>
              </w:rPr>
            </w:pPr>
            <w:r w:rsidRPr="006D43E2">
              <w:rPr>
                <w:b/>
                <w:color w:val="000000" w:themeColor="text1"/>
                <w:sz w:val="18"/>
                <w:szCs w:val="18"/>
                <w:lang w:eastAsia="en-GB"/>
              </w:rPr>
              <w:t>87%</w:t>
            </w:r>
          </w:p>
        </w:tc>
      </w:tr>
      <w:tr w:rsidR="00F857C3" w:rsidRPr="006D43E2" w:rsidTr="002728F3">
        <w:tc>
          <w:tcPr>
            <w:tcW w:w="1738" w:type="dxa"/>
            <w:shd w:val="clear" w:color="auto" w:fill="auto"/>
            <w:vAlign w:val="bottom"/>
            <w:hideMark/>
          </w:tcPr>
          <w:p w:rsidR="00BC20DC" w:rsidRPr="006D43E2" w:rsidRDefault="00BC20DC" w:rsidP="005B5486">
            <w:pPr>
              <w:tabs>
                <w:tab w:val="left" w:pos="352"/>
              </w:tabs>
              <w:spacing w:beforeLines="20" w:before="48" w:afterLines="20" w:after="48" w:line="240" w:lineRule="auto"/>
              <w:rPr>
                <w:color w:val="000000" w:themeColor="text1"/>
                <w:sz w:val="18"/>
                <w:szCs w:val="18"/>
              </w:rPr>
            </w:pPr>
            <w:r w:rsidRPr="006D43E2">
              <w:rPr>
                <w:color w:val="000000" w:themeColor="text1"/>
                <w:sz w:val="18"/>
                <w:szCs w:val="18"/>
              </w:rPr>
              <w:t>Kyrgyzstan</w:t>
            </w:r>
          </w:p>
        </w:tc>
        <w:tc>
          <w:tcPr>
            <w:tcW w:w="1370" w:type="dxa"/>
            <w:shd w:val="clear" w:color="auto" w:fill="F2F2F2" w:themeFill="background1" w:themeFillShade="F2"/>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N/A</w:t>
            </w:r>
          </w:p>
        </w:tc>
        <w:tc>
          <w:tcPr>
            <w:tcW w:w="1338" w:type="dxa"/>
            <w:shd w:val="clear" w:color="000000" w:fill="FFD966"/>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53%</w:t>
            </w:r>
          </w:p>
        </w:tc>
        <w:tc>
          <w:tcPr>
            <w:tcW w:w="1334" w:type="dxa"/>
            <w:shd w:val="clear" w:color="000000" w:fill="F4B084"/>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48%</w:t>
            </w:r>
          </w:p>
        </w:tc>
        <w:tc>
          <w:tcPr>
            <w:tcW w:w="1501" w:type="dxa"/>
            <w:gridSpan w:val="2"/>
            <w:shd w:val="clear" w:color="auto" w:fill="F2F2F2" w:themeFill="background1" w:themeFillShade="F2"/>
            <w:noWrap/>
            <w:hideMark/>
          </w:tcPr>
          <w:p w:rsidR="00BC20DC" w:rsidRPr="006D43E2" w:rsidRDefault="00BC20DC" w:rsidP="002728F3">
            <w:pPr>
              <w:spacing w:beforeLines="20" w:before="48" w:afterLines="20" w:after="48" w:line="240" w:lineRule="auto"/>
              <w:ind w:right="284"/>
              <w:jc w:val="right"/>
              <w:rPr>
                <w:color w:val="000000" w:themeColor="text1"/>
                <w:sz w:val="18"/>
                <w:szCs w:val="18"/>
                <w:lang w:eastAsia="en-GB"/>
              </w:rPr>
            </w:pPr>
            <w:r w:rsidRPr="006D43E2">
              <w:rPr>
                <w:color w:val="000000" w:themeColor="text1"/>
                <w:sz w:val="18"/>
                <w:szCs w:val="18"/>
                <w:lang w:eastAsia="en-GB"/>
              </w:rPr>
              <w:t>N/A</w:t>
            </w:r>
          </w:p>
        </w:tc>
        <w:tc>
          <w:tcPr>
            <w:tcW w:w="1240" w:type="dxa"/>
            <w:shd w:val="clear" w:color="000000" w:fill="F4B084"/>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50%</w:t>
            </w:r>
          </w:p>
        </w:tc>
        <w:tc>
          <w:tcPr>
            <w:tcW w:w="1335" w:type="dxa"/>
            <w:gridSpan w:val="2"/>
            <w:shd w:val="clear" w:color="000000" w:fill="FFD966"/>
            <w:noWrap/>
            <w:hideMark/>
          </w:tcPr>
          <w:p w:rsidR="00BC20DC" w:rsidRPr="006D43E2" w:rsidRDefault="00BC20DC" w:rsidP="002728F3">
            <w:pPr>
              <w:spacing w:beforeLines="20" w:before="48" w:afterLines="20" w:after="48" w:line="240" w:lineRule="auto"/>
              <w:ind w:right="170"/>
              <w:jc w:val="right"/>
              <w:rPr>
                <w:color w:val="000000" w:themeColor="text1"/>
                <w:sz w:val="18"/>
                <w:szCs w:val="18"/>
                <w:lang w:eastAsia="en-GB"/>
              </w:rPr>
            </w:pPr>
            <w:r w:rsidRPr="006D43E2">
              <w:rPr>
                <w:color w:val="000000" w:themeColor="text1"/>
                <w:sz w:val="18"/>
                <w:szCs w:val="18"/>
                <w:lang w:eastAsia="en-GB"/>
              </w:rPr>
              <w:t>53%</w:t>
            </w:r>
          </w:p>
        </w:tc>
        <w:tc>
          <w:tcPr>
            <w:tcW w:w="1365" w:type="dxa"/>
            <w:shd w:val="clear" w:color="000000" w:fill="FFD966"/>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65%</w:t>
            </w:r>
          </w:p>
        </w:tc>
        <w:tc>
          <w:tcPr>
            <w:tcW w:w="1021" w:type="dxa"/>
            <w:shd w:val="clear" w:color="000000" w:fill="F4B084"/>
            <w:noWrap/>
            <w:hideMark/>
          </w:tcPr>
          <w:p w:rsidR="00BC20DC" w:rsidRPr="006D43E2" w:rsidRDefault="00BC20DC" w:rsidP="002728F3">
            <w:pPr>
              <w:spacing w:beforeLines="20" w:before="48" w:afterLines="20" w:after="48" w:line="240" w:lineRule="auto"/>
              <w:jc w:val="right"/>
              <w:rPr>
                <w:b/>
                <w:color w:val="000000" w:themeColor="text1"/>
                <w:sz w:val="18"/>
                <w:szCs w:val="18"/>
                <w:lang w:eastAsia="en-GB"/>
              </w:rPr>
            </w:pPr>
            <w:r w:rsidRPr="006D43E2">
              <w:rPr>
                <w:b/>
                <w:color w:val="000000" w:themeColor="text1"/>
                <w:sz w:val="18"/>
                <w:szCs w:val="18"/>
                <w:lang w:eastAsia="en-GB"/>
              </w:rPr>
              <w:t>39%</w:t>
            </w:r>
          </w:p>
        </w:tc>
      </w:tr>
      <w:tr w:rsidR="00F857C3" w:rsidRPr="006D43E2" w:rsidTr="002728F3">
        <w:tc>
          <w:tcPr>
            <w:tcW w:w="1738" w:type="dxa"/>
            <w:shd w:val="clear" w:color="000000" w:fill="FFFFFF"/>
            <w:vAlign w:val="bottom"/>
            <w:hideMark/>
          </w:tcPr>
          <w:p w:rsidR="00BC20DC" w:rsidRPr="006D43E2" w:rsidRDefault="00BC20DC" w:rsidP="005B5486">
            <w:pPr>
              <w:tabs>
                <w:tab w:val="left" w:pos="352"/>
              </w:tabs>
              <w:spacing w:beforeLines="20" w:before="48" w:afterLines="20" w:after="48" w:line="240" w:lineRule="auto"/>
              <w:rPr>
                <w:color w:val="000000" w:themeColor="text1"/>
                <w:sz w:val="18"/>
                <w:szCs w:val="18"/>
              </w:rPr>
            </w:pPr>
            <w:r w:rsidRPr="006D43E2">
              <w:rPr>
                <w:color w:val="000000" w:themeColor="text1"/>
                <w:sz w:val="18"/>
                <w:szCs w:val="18"/>
              </w:rPr>
              <w:t>Latvia</w:t>
            </w:r>
          </w:p>
        </w:tc>
        <w:tc>
          <w:tcPr>
            <w:tcW w:w="1370" w:type="dxa"/>
            <w:shd w:val="clear" w:color="000000" w:fill="339966"/>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100%</w:t>
            </w:r>
          </w:p>
        </w:tc>
        <w:tc>
          <w:tcPr>
            <w:tcW w:w="1338"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90%</w:t>
            </w:r>
          </w:p>
        </w:tc>
        <w:tc>
          <w:tcPr>
            <w:tcW w:w="1334" w:type="dxa"/>
            <w:shd w:val="clear" w:color="000000" w:fill="339966"/>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100%</w:t>
            </w:r>
          </w:p>
        </w:tc>
        <w:tc>
          <w:tcPr>
            <w:tcW w:w="1501" w:type="dxa"/>
            <w:gridSpan w:val="2"/>
            <w:shd w:val="clear" w:color="000000" w:fill="A9D08E"/>
            <w:noWrap/>
            <w:hideMark/>
          </w:tcPr>
          <w:p w:rsidR="00BC20DC" w:rsidRPr="006D43E2" w:rsidRDefault="00BC20DC" w:rsidP="002728F3">
            <w:pPr>
              <w:spacing w:beforeLines="20" w:before="48" w:afterLines="20" w:after="48" w:line="240" w:lineRule="auto"/>
              <w:ind w:right="284"/>
              <w:jc w:val="right"/>
              <w:rPr>
                <w:color w:val="000000" w:themeColor="text1"/>
                <w:sz w:val="18"/>
                <w:szCs w:val="18"/>
                <w:lang w:eastAsia="en-GB"/>
              </w:rPr>
            </w:pPr>
            <w:r w:rsidRPr="006D43E2">
              <w:rPr>
                <w:color w:val="000000" w:themeColor="text1"/>
                <w:sz w:val="18"/>
                <w:szCs w:val="18"/>
                <w:lang w:eastAsia="en-GB"/>
              </w:rPr>
              <w:t>90%</w:t>
            </w:r>
          </w:p>
        </w:tc>
        <w:tc>
          <w:tcPr>
            <w:tcW w:w="1240"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95%</w:t>
            </w:r>
          </w:p>
        </w:tc>
        <w:tc>
          <w:tcPr>
            <w:tcW w:w="1335" w:type="dxa"/>
            <w:gridSpan w:val="2"/>
            <w:shd w:val="clear" w:color="000000" w:fill="A9D08E"/>
            <w:noWrap/>
            <w:hideMark/>
          </w:tcPr>
          <w:p w:rsidR="00BC20DC" w:rsidRPr="006D43E2" w:rsidRDefault="00BC20DC" w:rsidP="002728F3">
            <w:pPr>
              <w:spacing w:beforeLines="20" w:before="48" w:afterLines="20" w:after="48" w:line="240" w:lineRule="auto"/>
              <w:ind w:right="170"/>
              <w:jc w:val="right"/>
              <w:rPr>
                <w:color w:val="000000" w:themeColor="text1"/>
                <w:sz w:val="18"/>
                <w:szCs w:val="18"/>
                <w:lang w:eastAsia="en-GB"/>
              </w:rPr>
            </w:pPr>
            <w:r w:rsidRPr="006D43E2">
              <w:rPr>
                <w:color w:val="000000" w:themeColor="text1"/>
                <w:sz w:val="18"/>
                <w:szCs w:val="18"/>
                <w:lang w:eastAsia="en-GB"/>
              </w:rPr>
              <w:t>95%</w:t>
            </w:r>
          </w:p>
        </w:tc>
        <w:tc>
          <w:tcPr>
            <w:tcW w:w="1365" w:type="dxa"/>
            <w:shd w:val="clear" w:color="000000" w:fill="339966"/>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97%</w:t>
            </w:r>
          </w:p>
        </w:tc>
        <w:tc>
          <w:tcPr>
            <w:tcW w:w="1021" w:type="dxa"/>
            <w:shd w:val="clear" w:color="000000" w:fill="A9D08E"/>
            <w:noWrap/>
            <w:hideMark/>
          </w:tcPr>
          <w:p w:rsidR="00BC20DC" w:rsidRPr="006D43E2" w:rsidRDefault="00BC20DC" w:rsidP="002728F3">
            <w:pPr>
              <w:spacing w:beforeLines="20" w:before="48" w:afterLines="20" w:after="48" w:line="240" w:lineRule="auto"/>
              <w:jc w:val="right"/>
              <w:rPr>
                <w:b/>
                <w:color w:val="000000" w:themeColor="text1"/>
                <w:sz w:val="18"/>
                <w:szCs w:val="18"/>
                <w:lang w:eastAsia="en-GB"/>
              </w:rPr>
            </w:pPr>
            <w:r w:rsidRPr="006D43E2">
              <w:rPr>
                <w:b/>
                <w:color w:val="000000" w:themeColor="text1"/>
                <w:sz w:val="18"/>
                <w:szCs w:val="18"/>
                <w:lang w:eastAsia="en-GB"/>
              </w:rPr>
              <w:t>95%</w:t>
            </w:r>
          </w:p>
        </w:tc>
      </w:tr>
      <w:tr w:rsidR="00F857C3" w:rsidRPr="006D43E2" w:rsidTr="002728F3">
        <w:tc>
          <w:tcPr>
            <w:tcW w:w="1738" w:type="dxa"/>
            <w:shd w:val="clear" w:color="auto" w:fill="auto"/>
            <w:vAlign w:val="bottom"/>
            <w:hideMark/>
          </w:tcPr>
          <w:p w:rsidR="00BC20DC" w:rsidRPr="006D43E2" w:rsidRDefault="00BC20DC" w:rsidP="005B5486">
            <w:pPr>
              <w:tabs>
                <w:tab w:val="left" w:pos="352"/>
              </w:tabs>
              <w:spacing w:beforeLines="20" w:before="48" w:afterLines="20" w:after="48" w:line="240" w:lineRule="auto"/>
              <w:rPr>
                <w:color w:val="000000" w:themeColor="text1"/>
                <w:sz w:val="18"/>
                <w:szCs w:val="18"/>
              </w:rPr>
            </w:pPr>
            <w:r w:rsidRPr="006D43E2">
              <w:rPr>
                <w:color w:val="000000" w:themeColor="text1"/>
                <w:sz w:val="18"/>
                <w:szCs w:val="18"/>
              </w:rPr>
              <w:t>Lithuania</w:t>
            </w:r>
          </w:p>
        </w:tc>
        <w:tc>
          <w:tcPr>
            <w:tcW w:w="1370"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85%</w:t>
            </w:r>
          </w:p>
        </w:tc>
        <w:tc>
          <w:tcPr>
            <w:tcW w:w="1338"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85%</w:t>
            </w:r>
          </w:p>
        </w:tc>
        <w:tc>
          <w:tcPr>
            <w:tcW w:w="1334"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85%</w:t>
            </w:r>
          </w:p>
        </w:tc>
        <w:tc>
          <w:tcPr>
            <w:tcW w:w="1501" w:type="dxa"/>
            <w:gridSpan w:val="2"/>
            <w:shd w:val="clear" w:color="000000" w:fill="A9D08E"/>
            <w:noWrap/>
            <w:hideMark/>
          </w:tcPr>
          <w:p w:rsidR="00BC20DC" w:rsidRPr="006D43E2" w:rsidRDefault="00BC20DC" w:rsidP="002728F3">
            <w:pPr>
              <w:spacing w:beforeLines="20" w:before="48" w:afterLines="20" w:after="48" w:line="240" w:lineRule="auto"/>
              <w:ind w:right="284"/>
              <w:jc w:val="right"/>
              <w:rPr>
                <w:color w:val="000000" w:themeColor="text1"/>
                <w:sz w:val="18"/>
                <w:szCs w:val="18"/>
                <w:lang w:eastAsia="en-GB"/>
              </w:rPr>
            </w:pPr>
            <w:r w:rsidRPr="006D43E2">
              <w:rPr>
                <w:color w:val="000000" w:themeColor="text1"/>
                <w:sz w:val="18"/>
                <w:szCs w:val="18"/>
                <w:lang w:eastAsia="en-GB"/>
              </w:rPr>
              <w:t>85%</w:t>
            </w:r>
          </w:p>
        </w:tc>
        <w:tc>
          <w:tcPr>
            <w:tcW w:w="1240"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80%</w:t>
            </w:r>
          </w:p>
        </w:tc>
        <w:tc>
          <w:tcPr>
            <w:tcW w:w="1335" w:type="dxa"/>
            <w:gridSpan w:val="2"/>
            <w:shd w:val="clear" w:color="000000" w:fill="A9D08E"/>
            <w:noWrap/>
            <w:hideMark/>
          </w:tcPr>
          <w:p w:rsidR="00BC20DC" w:rsidRPr="006D43E2" w:rsidRDefault="00BC20DC" w:rsidP="002728F3">
            <w:pPr>
              <w:spacing w:beforeLines="20" w:before="48" w:afterLines="20" w:after="48" w:line="240" w:lineRule="auto"/>
              <w:ind w:right="170"/>
              <w:jc w:val="right"/>
              <w:rPr>
                <w:color w:val="000000" w:themeColor="text1"/>
                <w:sz w:val="18"/>
                <w:szCs w:val="18"/>
                <w:lang w:eastAsia="en-GB"/>
              </w:rPr>
            </w:pPr>
            <w:r w:rsidRPr="006D43E2">
              <w:rPr>
                <w:color w:val="000000" w:themeColor="text1"/>
                <w:sz w:val="18"/>
                <w:szCs w:val="18"/>
                <w:lang w:eastAsia="en-GB"/>
              </w:rPr>
              <w:t>80%</w:t>
            </w:r>
          </w:p>
        </w:tc>
        <w:tc>
          <w:tcPr>
            <w:tcW w:w="1365" w:type="dxa"/>
            <w:shd w:val="clear" w:color="000000" w:fill="FFD966"/>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73%</w:t>
            </w:r>
          </w:p>
        </w:tc>
        <w:tc>
          <w:tcPr>
            <w:tcW w:w="1021" w:type="dxa"/>
            <w:shd w:val="clear" w:color="000000" w:fill="A9D08E"/>
            <w:noWrap/>
            <w:hideMark/>
          </w:tcPr>
          <w:p w:rsidR="00BC20DC" w:rsidRPr="006D43E2" w:rsidRDefault="00BC20DC" w:rsidP="002728F3">
            <w:pPr>
              <w:spacing w:beforeLines="20" w:before="48" w:afterLines="20" w:after="48" w:line="240" w:lineRule="auto"/>
              <w:jc w:val="right"/>
              <w:rPr>
                <w:b/>
                <w:color w:val="000000" w:themeColor="text1"/>
                <w:sz w:val="18"/>
                <w:szCs w:val="18"/>
                <w:lang w:eastAsia="en-GB"/>
              </w:rPr>
            </w:pPr>
            <w:r w:rsidRPr="006D43E2">
              <w:rPr>
                <w:b/>
                <w:color w:val="000000" w:themeColor="text1"/>
                <w:sz w:val="18"/>
                <w:szCs w:val="18"/>
                <w:lang w:eastAsia="en-GB"/>
              </w:rPr>
              <w:t>82%</w:t>
            </w:r>
          </w:p>
        </w:tc>
      </w:tr>
      <w:tr w:rsidR="00F857C3" w:rsidRPr="006D43E2" w:rsidTr="002728F3">
        <w:tc>
          <w:tcPr>
            <w:tcW w:w="1738" w:type="dxa"/>
            <w:shd w:val="clear" w:color="auto" w:fill="auto"/>
            <w:vAlign w:val="bottom"/>
            <w:hideMark/>
          </w:tcPr>
          <w:p w:rsidR="00BC20DC" w:rsidRPr="006D43E2" w:rsidRDefault="00BC20DC" w:rsidP="005B5486">
            <w:pPr>
              <w:tabs>
                <w:tab w:val="left" w:pos="352"/>
              </w:tabs>
              <w:spacing w:beforeLines="20" w:before="48" w:afterLines="20" w:after="48" w:line="240" w:lineRule="auto"/>
              <w:rPr>
                <w:color w:val="000000" w:themeColor="text1"/>
                <w:sz w:val="18"/>
                <w:szCs w:val="18"/>
              </w:rPr>
            </w:pPr>
            <w:r w:rsidRPr="006D43E2">
              <w:rPr>
                <w:color w:val="000000" w:themeColor="text1"/>
                <w:sz w:val="18"/>
                <w:szCs w:val="18"/>
              </w:rPr>
              <w:t>Montenegro</w:t>
            </w:r>
          </w:p>
        </w:tc>
        <w:tc>
          <w:tcPr>
            <w:tcW w:w="1370" w:type="dxa"/>
            <w:shd w:val="clear" w:color="000000" w:fill="339966"/>
            <w:noWrap/>
            <w:hideMark/>
          </w:tcPr>
          <w:p w:rsidR="00BC20DC" w:rsidRPr="006D43E2" w:rsidRDefault="00BC20DC" w:rsidP="003064DC">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100%</w:t>
            </w:r>
          </w:p>
        </w:tc>
        <w:tc>
          <w:tcPr>
            <w:tcW w:w="1338" w:type="dxa"/>
            <w:shd w:val="clear" w:color="000000" w:fill="339966"/>
            <w:noWrap/>
            <w:hideMark/>
          </w:tcPr>
          <w:p w:rsidR="00BC20DC" w:rsidRPr="006D43E2" w:rsidRDefault="00BC20DC" w:rsidP="003064DC">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100%</w:t>
            </w:r>
          </w:p>
        </w:tc>
        <w:tc>
          <w:tcPr>
            <w:tcW w:w="1334" w:type="dxa"/>
            <w:shd w:val="clear" w:color="000000" w:fill="339966"/>
            <w:noWrap/>
            <w:hideMark/>
          </w:tcPr>
          <w:p w:rsidR="00BC20DC" w:rsidRPr="006D43E2" w:rsidRDefault="00BC20DC" w:rsidP="003064DC">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100%</w:t>
            </w:r>
          </w:p>
        </w:tc>
        <w:tc>
          <w:tcPr>
            <w:tcW w:w="1501" w:type="dxa"/>
            <w:gridSpan w:val="2"/>
            <w:shd w:val="clear" w:color="000000" w:fill="339966"/>
            <w:noWrap/>
            <w:hideMark/>
          </w:tcPr>
          <w:p w:rsidR="00BC20DC" w:rsidRPr="006D43E2" w:rsidRDefault="00BC20DC" w:rsidP="003064DC">
            <w:pPr>
              <w:spacing w:beforeLines="20" w:before="48" w:afterLines="20" w:after="48" w:line="240" w:lineRule="auto"/>
              <w:ind w:right="284"/>
              <w:jc w:val="right"/>
              <w:rPr>
                <w:color w:val="000000" w:themeColor="text1"/>
                <w:sz w:val="18"/>
                <w:szCs w:val="18"/>
                <w:lang w:eastAsia="en-GB"/>
              </w:rPr>
            </w:pPr>
            <w:r w:rsidRPr="006D43E2">
              <w:rPr>
                <w:color w:val="000000" w:themeColor="text1"/>
                <w:sz w:val="18"/>
                <w:szCs w:val="18"/>
                <w:lang w:eastAsia="en-GB"/>
              </w:rPr>
              <w:t>100%</w:t>
            </w:r>
          </w:p>
        </w:tc>
        <w:tc>
          <w:tcPr>
            <w:tcW w:w="1240" w:type="dxa"/>
            <w:shd w:val="clear" w:color="000000" w:fill="A9D08E"/>
            <w:noWrap/>
            <w:hideMark/>
          </w:tcPr>
          <w:p w:rsidR="00BC20DC" w:rsidRPr="006D43E2" w:rsidRDefault="00BC20DC" w:rsidP="003064DC">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77%</w:t>
            </w:r>
          </w:p>
        </w:tc>
        <w:tc>
          <w:tcPr>
            <w:tcW w:w="1335" w:type="dxa"/>
            <w:gridSpan w:val="2"/>
            <w:shd w:val="clear" w:color="000000" w:fill="A9D08E"/>
            <w:noWrap/>
            <w:hideMark/>
          </w:tcPr>
          <w:p w:rsidR="00BC20DC" w:rsidRPr="006D43E2" w:rsidRDefault="00BC20DC" w:rsidP="003064DC">
            <w:pPr>
              <w:spacing w:beforeLines="20" w:before="48" w:afterLines="20" w:after="48" w:line="240" w:lineRule="auto"/>
              <w:ind w:right="170"/>
              <w:jc w:val="right"/>
              <w:rPr>
                <w:color w:val="000000" w:themeColor="text1"/>
                <w:sz w:val="18"/>
                <w:szCs w:val="18"/>
                <w:lang w:eastAsia="en-GB"/>
              </w:rPr>
            </w:pPr>
            <w:r w:rsidRPr="006D43E2">
              <w:rPr>
                <w:color w:val="000000" w:themeColor="text1"/>
                <w:sz w:val="18"/>
                <w:szCs w:val="18"/>
                <w:lang w:eastAsia="en-GB"/>
              </w:rPr>
              <w:t>77%</w:t>
            </w:r>
          </w:p>
        </w:tc>
        <w:tc>
          <w:tcPr>
            <w:tcW w:w="1365" w:type="dxa"/>
            <w:shd w:val="clear" w:color="000000" w:fill="FFD966"/>
            <w:noWrap/>
            <w:hideMark/>
          </w:tcPr>
          <w:p w:rsidR="00BC20DC" w:rsidRPr="006D43E2" w:rsidRDefault="00BC20DC" w:rsidP="003064DC">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65%</w:t>
            </w:r>
          </w:p>
        </w:tc>
        <w:tc>
          <w:tcPr>
            <w:tcW w:w="1021" w:type="dxa"/>
            <w:shd w:val="clear" w:color="000000" w:fill="A9D08E"/>
            <w:noWrap/>
            <w:hideMark/>
          </w:tcPr>
          <w:p w:rsidR="00BC20DC" w:rsidRPr="006D43E2" w:rsidRDefault="00BC20DC" w:rsidP="003064DC">
            <w:pPr>
              <w:spacing w:beforeLines="20" w:before="48" w:afterLines="20" w:after="48" w:line="240" w:lineRule="auto"/>
              <w:jc w:val="right"/>
              <w:rPr>
                <w:b/>
                <w:color w:val="000000" w:themeColor="text1"/>
                <w:sz w:val="18"/>
                <w:szCs w:val="18"/>
                <w:lang w:eastAsia="en-GB"/>
              </w:rPr>
            </w:pPr>
            <w:r w:rsidRPr="006D43E2">
              <w:rPr>
                <w:b/>
                <w:color w:val="000000" w:themeColor="text1"/>
                <w:sz w:val="18"/>
                <w:szCs w:val="18"/>
                <w:lang w:eastAsia="en-GB"/>
              </w:rPr>
              <w:t>88%</w:t>
            </w:r>
          </w:p>
        </w:tc>
      </w:tr>
      <w:tr w:rsidR="00F857C3" w:rsidRPr="006D43E2" w:rsidTr="002728F3">
        <w:tc>
          <w:tcPr>
            <w:tcW w:w="1738" w:type="dxa"/>
            <w:shd w:val="clear" w:color="auto" w:fill="auto"/>
            <w:vAlign w:val="bottom"/>
            <w:hideMark/>
          </w:tcPr>
          <w:p w:rsidR="00BC20DC" w:rsidRPr="006D43E2" w:rsidRDefault="00BC20DC" w:rsidP="005B5486">
            <w:pPr>
              <w:tabs>
                <w:tab w:val="left" w:pos="352"/>
              </w:tabs>
              <w:spacing w:beforeLines="20" w:before="48" w:afterLines="20" w:after="48" w:line="240" w:lineRule="auto"/>
              <w:rPr>
                <w:color w:val="000000" w:themeColor="text1"/>
                <w:sz w:val="18"/>
                <w:szCs w:val="18"/>
              </w:rPr>
            </w:pPr>
            <w:r w:rsidRPr="006D43E2">
              <w:rPr>
                <w:color w:val="000000" w:themeColor="text1"/>
                <w:sz w:val="18"/>
                <w:szCs w:val="18"/>
              </w:rPr>
              <w:t>Poland</w:t>
            </w:r>
          </w:p>
        </w:tc>
        <w:tc>
          <w:tcPr>
            <w:tcW w:w="1370" w:type="dxa"/>
            <w:shd w:val="clear" w:color="000000" w:fill="339966"/>
            <w:noWrap/>
            <w:hideMark/>
          </w:tcPr>
          <w:p w:rsidR="00BC20DC" w:rsidRPr="006D43E2" w:rsidRDefault="00BC20DC" w:rsidP="003064DC">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97%</w:t>
            </w:r>
          </w:p>
        </w:tc>
        <w:tc>
          <w:tcPr>
            <w:tcW w:w="1338" w:type="dxa"/>
            <w:shd w:val="clear" w:color="000000" w:fill="339966"/>
            <w:noWrap/>
            <w:hideMark/>
          </w:tcPr>
          <w:p w:rsidR="00BC20DC" w:rsidRPr="006D43E2" w:rsidRDefault="00BC20DC" w:rsidP="003064DC">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97%</w:t>
            </w:r>
          </w:p>
        </w:tc>
        <w:tc>
          <w:tcPr>
            <w:tcW w:w="1334" w:type="dxa"/>
            <w:shd w:val="clear" w:color="000000" w:fill="339966"/>
            <w:noWrap/>
            <w:hideMark/>
          </w:tcPr>
          <w:p w:rsidR="00BC20DC" w:rsidRPr="006D43E2" w:rsidRDefault="00BC20DC" w:rsidP="003064DC">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97%</w:t>
            </w:r>
          </w:p>
        </w:tc>
        <w:tc>
          <w:tcPr>
            <w:tcW w:w="1501" w:type="dxa"/>
            <w:gridSpan w:val="2"/>
            <w:shd w:val="clear" w:color="000000" w:fill="339966"/>
            <w:noWrap/>
            <w:hideMark/>
          </w:tcPr>
          <w:p w:rsidR="00BC20DC" w:rsidRPr="006D43E2" w:rsidRDefault="00BC20DC" w:rsidP="003064DC">
            <w:pPr>
              <w:spacing w:beforeLines="20" w:before="48" w:afterLines="20" w:after="48" w:line="240" w:lineRule="auto"/>
              <w:ind w:right="284"/>
              <w:jc w:val="right"/>
              <w:rPr>
                <w:color w:val="000000" w:themeColor="text1"/>
                <w:sz w:val="18"/>
                <w:szCs w:val="18"/>
                <w:lang w:eastAsia="en-GB"/>
              </w:rPr>
            </w:pPr>
            <w:r w:rsidRPr="006D43E2">
              <w:rPr>
                <w:color w:val="000000" w:themeColor="text1"/>
                <w:sz w:val="18"/>
                <w:szCs w:val="18"/>
                <w:lang w:eastAsia="en-GB"/>
              </w:rPr>
              <w:t>97%</w:t>
            </w:r>
          </w:p>
        </w:tc>
        <w:tc>
          <w:tcPr>
            <w:tcW w:w="1240" w:type="dxa"/>
            <w:shd w:val="clear" w:color="000000" w:fill="FFD966"/>
            <w:noWrap/>
            <w:hideMark/>
          </w:tcPr>
          <w:p w:rsidR="00BC20DC" w:rsidRPr="006D43E2" w:rsidRDefault="00BC20DC" w:rsidP="003064DC">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62%</w:t>
            </w:r>
          </w:p>
        </w:tc>
        <w:tc>
          <w:tcPr>
            <w:tcW w:w="1335" w:type="dxa"/>
            <w:gridSpan w:val="2"/>
            <w:shd w:val="clear" w:color="000000" w:fill="FFD966"/>
            <w:noWrap/>
            <w:hideMark/>
          </w:tcPr>
          <w:p w:rsidR="00BC20DC" w:rsidRPr="006D43E2" w:rsidRDefault="00BC20DC" w:rsidP="003064DC">
            <w:pPr>
              <w:spacing w:beforeLines="20" w:before="48" w:afterLines="20" w:after="48" w:line="240" w:lineRule="auto"/>
              <w:ind w:right="170"/>
              <w:jc w:val="right"/>
              <w:rPr>
                <w:color w:val="000000" w:themeColor="text1"/>
                <w:sz w:val="18"/>
                <w:szCs w:val="18"/>
                <w:lang w:eastAsia="en-GB"/>
              </w:rPr>
            </w:pPr>
            <w:r w:rsidRPr="006D43E2">
              <w:rPr>
                <w:color w:val="000000" w:themeColor="text1"/>
                <w:sz w:val="18"/>
                <w:szCs w:val="18"/>
                <w:lang w:eastAsia="en-GB"/>
              </w:rPr>
              <w:t>62%</w:t>
            </w:r>
          </w:p>
        </w:tc>
        <w:tc>
          <w:tcPr>
            <w:tcW w:w="1365" w:type="dxa"/>
            <w:shd w:val="clear" w:color="000000" w:fill="A9D08E"/>
            <w:noWrap/>
            <w:hideMark/>
          </w:tcPr>
          <w:p w:rsidR="00BC20DC" w:rsidRPr="006D43E2" w:rsidRDefault="00BC20DC" w:rsidP="003064DC">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82%</w:t>
            </w:r>
          </w:p>
        </w:tc>
        <w:tc>
          <w:tcPr>
            <w:tcW w:w="1021" w:type="dxa"/>
            <w:shd w:val="clear" w:color="000000" w:fill="A9D08E"/>
            <w:noWrap/>
            <w:hideMark/>
          </w:tcPr>
          <w:p w:rsidR="00BC20DC" w:rsidRPr="006D43E2" w:rsidRDefault="00BC20DC" w:rsidP="003064DC">
            <w:pPr>
              <w:spacing w:beforeLines="20" w:before="48" w:afterLines="20" w:after="48" w:line="240" w:lineRule="auto"/>
              <w:jc w:val="right"/>
              <w:rPr>
                <w:b/>
                <w:color w:val="000000" w:themeColor="text1"/>
                <w:sz w:val="18"/>
                <w:szCs w:val="18"/>
                <w:lang w:eastAsia="en-GB"/>
              </w:rPr>
            </w:pPr>
            <w:r w:rsidRPr="006D43E2">
              <w:rPr>
                <w:b/>
                <w:color w:val="000000" w:themeColor="text1"/>
                <w:sz w:val="18"/>
                <w:szCs w:val="18"/>
                <w:lang w:eastAsia="en-GB"/>
              </w:rPr>
              <w:t>85%</w:t>
            </w:r>
          </w:p>
        </w:tc>
      </w:tr>
      <w:tr w:rsidR="00F857C3" w:rsidRPr="006D43E2" w:rsidTr="002728F3">
        <w:tc>
          <w:tcPr>
            <w:tcW w:w="1738" w:type="dxa"/>
            <w:shd w:val="clear" w:color="auto" w:fill="auto"/>
            <w:vAlign w:val="bottom"/>
            <w:hideMark/>
          </w:tcPr>
          <w:p w:rsidR="00BC20DC" w:rsidRPr="006D43E2" w:rsidRDefault="00BC20DC" w:rsidP="005B5486">
            <w:pPr>
              <w:tabs>
                <w:tab w:val="left" w:pos="352"/>
              </w:tabs>
              <w:spacing w:beforeLines="20" w:before="48" w:afterLines="20" w:after="48" w:line="240" w:lineRule="auto"/>
              <w:rPr>
                <w:color w:val="000000" w:themeColor="text1"/>
                <w:sz w:val="18"/>
                <w:szCs w:val="18"/>
              </w:rPr>
            </w:pPr>
            <w:r w:rsidRPr="006D43E2">
              <w:rPr>
                <w:color w:val="000000" w:themeColor="text1"/>
                <w:sz w:val="18"/>
                <w:szCs w:val="18"/>
              </w:rPr>
              <w:lastRenderedPageBreak/>
              <w:t>Republic of Moldova</w:t>
            </w:r>
          </w:p>
        </w:tc>
        <w:tc>
          <w:tcPr>
            <w:tcW w:w="1370" w:type="dxa"/>
            <w:shd w:val="clear" w:color="000000" w:fill="FFD966"/>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70%</w:t>
            </w:r>
          </w:p>
        </w:tc>
        <w:tc>
          <w:tcPr>
            <w:tcW w:w="1338" w:type="dxa"/>
            <w:shd w:val="clear" w:color="000000" w:fill="FFD966"/>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72%</w:t>
            </w:r>
          </w:p>
        </w:tc>
        <w:tc>
          <w:tcPr>
            <w:tcW w:w="1334" w:type="dxa"/>
            <w:shd w:val="clear" w:color="000000" w:fill="FFD966"/>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70%</w:t>
            </w:r>
          </w:p>
        </w:tc>
        <w:tc>
          <w:tcPr>
            <w:tcW w:w="1501" w:type="dxa"/>
            <w:gridSpan w:val="2"/>
            <w:shd w:val="clear" w:color="000000" w:fill="FFD966"/>
            <w:noWrap/>
            <w:hideMark/>
          </w:tcPr>
          <w:p w:rsidR="00BC20DC" w:rsidRPr="006D43E2" w:rsidRDefault="00BC20DC" w:rsidP="002728F3">
            <w:pPr>
              <w:spacing w:beforeLines="20" w:before="48" w:afterLines="20" w:after="48" w:line="240" w:lineRule="auto"/>
              <w:ind w:right="284"/>
              <w:jc w:val="right"/>
              <w:rPr>
                <w:color w:val="000000" w:themeColor="text1"/>
                <w:sz w:val="18"/>
                <w:szCs w:val="18"/>
                <w:lang w:eastAsia="en-GB"/>
              </w:rPr>
            </w:pPr>
            <w:r w:rsidRPr="006D43E2">
              <w:rPr>
                <w:color w:val="000000" w:themeColor="text1"/>
                <w:sz w:val="18"/>
                <w:szCs w:val="18"/>
                <w:lang w:eastAsia="en-GB"/>
              </w:rPr>
              <w:t>70%</w:t>
            </w:r>
          </w:p>
        </w:tc>
        <w:tc>
          <w:tcPr>
            <w:tcW w:w="1240"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95%</w:t>
            </w:r>
          </w:p>
        </w:tc>
        <w:tc>
          <w:tcPr>
            <w:tcW w:w="1335" w:type="dxa"/>
            <w:gridSpan w:val="2"/>
            <w:shd w:val="clear" w:color="000000" w:fill="A9D08E"/>
            <w:noWrap/>
            <w:hideMark/>
          </w:tcPr>
          <w:p w:rsidR="00BC20DC" w:rsidRPr="006D43E2" w:rsidRDefault="00BC20DC" w:rsidP="002728F3">
            <w:pPr>
              <w:spacing w:beforeLines="20" w:before="48" w:afterLines="20" w:after="48" w:line="240" w:lineRule="auto"/>
              <w:ind w:right="170"/>
              <w:jc w:val="right"/>
              <w:rPr>
                <w:color w:val="000000" w:themeColor="text1"/>
                <w:sz w:val="18"/>
                <w:szCs w:val="18"/>
                <w:lang w:eastAsia="en-GB"/>
              </w:rPr>
            </w:pPr>
            <w:r w:rsidRPr="006D43E2">
              <w:rPr>
                <w:color w:val="000000" w:themeColor="text1"/>
                <w:sz w:val="18"/>
                <w:szCs w:val="18"/>
                <w:lang w:eastAsia="en-GB"/>
              </w:rPr>
              <w:t>95%</w:t>
            </w:r>
          </w:p>
        </w:tc>
        <w:tc>
          <w:tcPr>
            <w:tcW w:w="1365" w:type="dxa"/>
            <w:shd w:val="clear" w:color="000000" w:fill="FFD966"/>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73%</w:t>
            </w:r>
          </w:p>
        </w:tc>
        <w:tc>
          <w:tcPr>
            <w:tcW w:w="1021" w:type="dxa"/>
            <w:shd w:val="clear" w:color="000000" w:fill="A9D08E"/>
            <w:noWrap/>
            <w:hideMark/>
          </w:tcPr>
          <w:p w:rsidR="00BC20DC" w:rsidRPr="006D43E2" w:rsidRDefault="00BC20DC" w:rsidP="002728F3">
            <w:pPr>
              <w:spacing w:beforeLines="20" w:before="48" w:afterLines="20" w:after="48" w:line="240" w:lineRule="auto"/>
              <w:jc w:val="right"/>
              <w:rPr>
                <w:b/>
                <w:color w:val="000000" w:themeColor="text1"/>
                <w:sz w:val="18"/>
                <w:szCs w:val="18"/>
                <w:lang w:eastAsia="en-GB"/>
              </w:rPr>
            </w:pPr>
            <w:r w:rsidRPr="006D43E2">
              <w:rPr>
                <w:b/>
                <w:color w:val="000000" w:themeColor="text1"/>
                <w:sz w:val="18"/>
                <w:szCs w:val="18"/>
                <w:lang w:eastAsia="en-GB"/>
              </w:rPr>
              <w:t>78%</w:t>
            </w:r>
          </w:p>
        </w:tc>
      </w:tr>
      <w:tr w:rsidR="00F857C3" w:rsidRPr="006D43E2" w:rsidTr="002728F3">
        <w:tc>
          <w:tcPr>
            <w:tcW w:w="1738" w:type="dxa"/>
            <w:shd w:val="clear" w:color="auto" w:fill="auto"/>
            <w:vAlign w:val="bottom"/>
            <w:hideMark/>
          </w:tcPr>
          <w:p w:rsidR="00BC20DC" w:rsidRPr="006D43E2" w:rsidRDefault="00BC20DC" w:rsidP="005B5486">
            <w:pPr>
              <w:tabs>
                <w:tab w:val="left" w:pos="352"/>
              </w:tabs>
              <w:spacing w:beforeLines="20" w:before="48" w:afterLines="20" w:after="48" w:line="240" w:lineRule="auto"/>
              <w:rPr>
                <w:color w:val="000000" w:themeColor="text1"/>
                <w:sz w:val="18"/>
                <w:szCs w:val="18"/>
              </w:rPr>
            </w:pPr>
            <w:r w:rsidRPr="006D43E2">
              <w:rPr>
                <w:color w:val="000000" w:themeColor="text1"/>
                <w:sz w:val="18"/>
                <w:szCs w:val="18"/>
              </w:rPr>
              <w:t>Romania</w:t>
            </w:r>
          </w:p>
        </w:tc>
        <w:tc>
          <w:tcPr>
            <w:tcW w:w="1370" w:type="dxa"/>
            <w:shd w:val="clear" w:color="000000" w:fill="FFD966"/>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63%</w:t>
            </w:r>
          </w:p>
        </w:tc>
        <w:tc>
          <w:tcPr>
            <w:tcW w:w="1338" w:type="dxa"/>
            <w:shd w:val="clear" w:color="000000" w:fill="FFD966"/>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63%</w:t>
            </w:r>
          </w:p>
        </w:tc>
        <w:tc>
          <w:tcPr>
            <w:tcW w:w="1334" w:type="dxa"/>
            <w:shd w:val="clear" w:color="000000" w:fill="FFD966"/>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63%</w:t>
            </w:r>
          </w:p>
        </w:tc>
        <w:tc>
          <w:tcPr>
            <w:tcW w:w="1501" w:type="dxa"/>
            <w:gridSpan w:val="2"/>
            <w:shd w:val="clear" w:color="000000" w:fill="FFD966"/>
            <w:noWrap/>
            <w:hideMark/>
          </w:tcPr>
          <w:p w:rsidR="00BC20DC" w:rsidRPr="006D43E2" w:rsidRDefault="00BC20DC" w:rsidP="002728F3">
            <w:pPr>
              <w:spacing w:beforeLines="20" w:before="48" w:afterLines="20" w:after="48" w:line="240" w:lineRule="auto"/>
              <w:ind w:right="284"/>
              <w:jc w:val="right"/>
              <w:rPr>
                <w:color w:val="000000" w:themeColor="text1"/>
                <w:sz w:val="18"/>
                <w:szCs w:val="18"/>
                <w:lang w:eastAsia="en-GB"/>
              </w:rPr>
            </w:pPr>
            <w:r w:rsidRPr="006D43E2">
              <w:rPr>
                <w:color w:val="000000" w:themeColor="text1"/>
                <w:sz w:val="18"/>
                <w:szCs w:val="18"/>
                <w:lang w:eastAsia="en-GB"/>
              </w:rPr>
              <w:t>63%</w:t>
            </w:r>
          </w:p>
        </w:tc>
        <w:tc>
          <w:tcPr>
            <w:tcW w:w="1240" w:type="dxa"/>
            <w:shd w:val="clear" w:color="000000" w:fill="F4B084"/>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50%</w:t>
            </w:r>
          </w:p>
        </w:tc>
        <w:tc>
          <w:tcPr>
            <w:tcW w:w="1335" w:type="dxa"/>
            <w:gridSpan w:val="2"/>
            <w:shd w:val="clear" w:color="000000" w:fill="F4B084"/>
            <w:noWrap/>
            <w:hideMark/>
          </w:tcPr>
          <w:p w:rsidR="00BC20DC" w:rsidRPr="006D43E2" w:rsidRDefault="00BC20DC" w:rsidP="002728F3">
            <w:pPr>
              <w:spacing w:beforeLines="20" w:before="48" w:afterLines="20" w:after="48" w:line="240" w:lineRule="auto"/>
              <w:ind w:right="170"/>
              <w:jc w:val="right"/>
              <w:rPr>
                <w:color w:val="000000" w:themeColor="text1"/>
                <w:sz w:val="18"/>
                <w:szCs w:val="18"/>
                <w:lang w:eastAsia="en-GB"/>
              </w:rPr>
            </w:pPr>
            <w:r w:rsidRPr="006D43E2">
              <w:rPr>
                <w:color w:val="000000" w:themeColor="text1"/>
                <w:sz w:val="18"/>
                <w:szCs w:val="18"/>
                <w:lang w:eastAsia="en-GB"/>
              </w:rPr>
              <w:t>50%</w:t>
            </w:r>
          </w:p>
        </w:tc>
        <w:tc>
          <w:tcPr>
            <w:tcW w:w="1365" w:type="dxa"/>
            <w:shd w:val="clear" w:color="000000" w:fill="339966"/>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100%</w:t>
            </w:r>
          </w:p>
        </w:tc>
        <w:tc>
          <w:tcPr>
            <w:tcW w:w="1021" w:type="dxa"/>
            <w:shd w:val="clear" w:color="000000" w:fill="FFD966"/>
            <w:noWrap/>
            <w:hideMark/>
          </w:tcPr>
          <w:p w:rsidR="00BC20DC" w:rsidRPr="006D43E2" w:rsidRDefault="00BC20DC" w:rsidP="002728F3">
            <w:pPr>
              <w:spacing w:beforeLines="20" w:before="48" w:afterLines="20" w:after="48" w:line="240" w:lineRule="auto"/>
              <w:jc w:val="right"/>
              <w:rPr>
                <w:b/>
                <w:color w:val="000000" w:themeColor="text1"/>
                <w:sz w:val="18"/>
                <w:szCs w:val="18"/>
                <w:lang w:eastAsia="en-GB"/>
              </w:rPr>
            </w:pPr>
            <w:r w:rsidRPr="006D43E2">
              <w:rPr>
                <w:b/>
                <w:color w:val="000000" w:themeColor="text1"/>
                <w:sz w:val="18"/>
                <w:szCs w:val="18"/>
                <w:lang w:eastAsia="en-GB"/>
              </w:rPr>
              <w:t>65%</w:t>
            </w:r>
          </w:p>
        </w:tc>
      </w:tr>
      <w:tr w:rsidR="00F857C3" w:rsidRPr="006D43E2" w:rsidTr="002728F3">
        <w:tc>
          <w:tcPr>
            <w:tcW w:w="1738" w:type="dxa"/>
            <w:shd w:val="clear" w:color="auto" w:fill="auto"/>
            <w:vAlign w:val="bottom"/>
            <w:hideMark/>
          </w:tcPr>
          <w:p w:rsidR="00BC20DC" w:rsidRPr="006D43E2" w:rsidRDefault="00BC20DC" w:rsidP="005B5486">
            <w:pPr>
              <w:tabs>
                <w:tab w:val="left" w:pos="352"/>
              </w:tabs>
              <w:spacing w:beforeLines="20" w:before="48" w:afterLines="20" w:after="48" w:line="240" w:lineRule="auto"/>
              <w:rPr>
                <w:color w:val="000000" w:themeColor="text1"/>
                <w:sz w:val="18"/>
                <w:szCs w:val="18"/>
              </w:rPr>
            </w:pPr>
            <w:r w:rsidRPr="006D43E2">
              <w:rPr>
                <w:color w:val="000000" w:themeColor="text1"/>
                <w:sz w:val="18"/>
                <w:szCs w:val="18"/>
              </w:rPr>
              <w:t>Russian Federation</w:t>
            </w:r>
          </w:p>
        </w:tc>
        <w:tc>
          <w:tcPr>
            <w:tcW w:w="1370"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93%</w:t>
            </w:r>
          </w:p>
        </w:tc>
        <w:tc>
          <w:tcPr>
            <w:tcW w:w="1338"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93%</w:t>
            </w:r>
          </w:p>
        </w:tc>
        <w:tc>
          <w:tcPr>
            <w:tcW w:w="1334"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93%</w:t>
            </w:r>
          </w:p>
        </w:tc>
        <w:tc>
          <w:tcPr>
            <w:tcW w:w="1501" w:type="dxa"/>
            <w:gridSpan w:val="2"/>
            <w:shd w:val="clear" w:color="000000" w:fill="A9D08E"/>
            <w:noWrap/>
            <w:hideMark/>
          </w:tcPr>
          <w:p w:rsidR="00BC20DC" w:rsidRPr="006D43E2" w:rsidRDefault="00BC20DC" w:rsidP="002728F3">
            <w:pPr>
              <w:spacing w:beforeLines="20" w:before="48" w:afterLines="20" w:after="48" w:line="240" w:lineRule="auto"/>
              <w:ind w:right="284"/>
              <w:jc w:val="right"/>
              <w:rPr>
                <w:color w:val="000000" w:themeColor="text1"/>
                <w:sz w:val="18"/>
                <w:szCs w:val="18"/>
                <w:lang w:eastAsia="en-GB"/>
              </w:rPr>
            </w:pPr>
            <w:r w:rsidRPr="006D43E2">
              <w:rPr>
                <w:color w:val="000000" w:themeColor="text1"/>
                <w:sz w:val="18"/>
                <w:szCs w:val="18"/>
                <w:lang w:eastAsia="en-GB"/>
              </w:rPr>
              <w:t>93%</w:t>
            </w:r>
          </w:p>
        </w:tc>
        <w:tc>
          <w:tcPr>
            <w:tcW w:w="1240"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87%</w:t>
            </w:r>
          </w:p>
        </w:tc>
        <w:tc>
          <w:tcPr>
            <w:tcW w:w="1335" w:type="dxa"/>
            <w:gridSpan w:val="2"/>
            <w:shd w:val="clear" w:color="000000" w:fill="A9D08E"/>
            <w:noWrap/>
            <w:hideMark/>
          </w:tcPr>
          <w:p w:rsidR="00BC20DC" w:rsidRPr="006D43E2" w:rsidRDefault="00BC20DC" w:rsidP="002728F3">
            <w:pPr>
              <w:spacing w:beforeLines="20" w:before="48" w:afterLines="20" w:after="48" w:line="240" w:lineRule="auto"/>
              <w:ind w:right="170"/>
              <w:jc w:val="right"/>
              <w:rPr>
                <w:color w:val="000000" w:themeColor="text1"/>
                <w:sz w:val="18"/>
                <w:szCs w:val="18"/>
                <w:lang w:eastAsia="en-GB"/>
              </w:rPr>
            </w:pPr>
            <w:r w:rsidRPr="006D43E2">
              <w:rPr>
                <w:color w:val="000000" w:themeColor="text1"/>
                <w:sz w:val="18"/>
                <w:szCs w:val="18"/>
                <w:lang w:eastAsia="en-GB"/>
              </w:rPr>
              <w:t>87%</w:t>
            </w:r>
          </w:p>
        </w:tc>
        <w:tc>
          <w:tcPr>
            <w:tcW w:w="1365"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95%</w:t>
            </w:r>
          </w:p>
        </w:tc>
        <w:tc>
          <w:tcPr>
            <w:tcW w:w="1021" w:type="dxa"/>
            <w:shd w:val="clear" w:color="000000" w:fill="A9D08E"/>
            <w:noWrap/>
            <w:hideMark/>
          </w:tcPr>
          <w:p w:rsidR="00BC20DC" w:rsidRPr="006D43E2" w:rsidRDefault="00BC20DC" w:rsidP="002728F3">
            <w:pPr>
              <w:spacing w:beforeLines="20" w:before="48" w:afterLines="20" w:after="48" w:line="240" w:lineRule="auto"/>
              <w:jc w:val="right"/>
              <w:rPr>
                <w:b/>
                <w:color w:val="000000" w:themeColor="text1"/>
                <w:sz w:val="18"/>
                <w:szCs w:val="18"/>
                <w:lang w:eastAsia="en-GB"/>
              </w:rPr>
            </w:pPr>
            <w:r w:rsidRPr="006D43E2">
              <w:rPr>
                <w:b/>
                <w:color w:val="000000" w:themeColor="text1"/>
                <w:sz w:val="18"/>
                <w:szCs w:val="18"/>
                <w:lang w:eastAsia="en-GB"/>
              </w:rPr>
              <w:t>92%</w:t>
            </w:r>
          </w:p>
        </w:tc>
      </w:tr>
      <w:tr w:rsidR="00F857C3" w:rsidRPr="006D43E2" w:rsidTr="002728F3">
        <w:tc>
          <w:tcPr>
            <w:tcW w:w="1738" w:type="dxa"/>
            <w:shd w:val="clear" w:color="auto" w:fill="auto"/>
            <w:vAlign w:val="bottom"/>
            <w:hideMark/>
          </w:tcPr>
          <w:p w:rsidR="00BC20DC" w:rsidRPr="006D43E2" w:rsidRDefault="00BC20DC" w:rsidP="005B5486">
            <w:pPr>
              <w:tabs>
                <w:tab w:val="left" w:pos="352"/>
              </w:tabs>
              <w:spacing w:beforeLines="20" w:before="48" w:afterLines="20" w:after="48" w:line="240" w:lineRule="auto"/>
              <w:rPr>
                <w:color w:val="000000" w:themeColor="text1"/>
                <w:sz w:val="18"/>
                <w:szCs w:val="18"/>
              </w:rPr>
            </w:pPr>
            <w:r w:rsidRPr="006D43E2">
              <w:rPr>
                <w:color w:val="000000" w:themeColor="text1"/>
                <w:sz w:val="18"/>
                <w:szCs w:val="18"/>
              </w:rPr>
              <w:t>Serbia</w:t>
            </w:r>
          </w:p>
        </w:tc>
        <w:tc>
          <w:tcPr>
            <w:tcW w:w="1370" w:type="dxa"/>
            <w:shd w:val="clear" w:color="000000" w:fill="339966"/>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97%</w:t>
            </w:r>
          </w:p>
        </w:tc>
        <w:tc>
          <w:tcPr>
            <w:tcW w:w="1338" w:type="dxa"/>
            <w:shd w:val="clear" w:color="000000" w:fill="339966"/>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97%</w:t>
            </w:r>
          </w:p>
        </w:tc>
        <w:tc>
          <w:tcPr>
            <w:tcW w:w="1334" w:type="dxa"/>
            <w:shd w:val="clear" w:color="000000" w:fill="339966"/>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97%</w:t>
            </w:r>
          </w:p>
        </w:tc>
        <w:tc>
          <w:tcPr>
            <w:tcW w:w="1501" w:type="dxa"/>
            <w:gridSpan w:val="2"/>
            <w:shd w:val="clear" w:color="000000" w:fill="339966"/>
            <w:noWrap/>
            <w:hideMark/>
          </w:tcPr>
          <w:p w:rsidR="00BC20DC" w:rsidRPr="006D43E2" w:rsidRDefault="00BC20DC" w:rsidP="002728F3">
            <w:pPr>
              <w:spacing w:beforeLines="20" w:before="48" w:afterLines="20" w:after="48" w:line="240" w:lineRule="auto"/>
              <w:ind w:right="284"/>
              <w:jc w:val="right"/>
              <w:rPr>
                <w:color w:val="000000" w:themeColor="text1"/>
                <w:sz w:val="18"/>
                <w:szCs w:val="18"/>
                <w:lang w:eastAsia="en-GB"/>
              </w:rPr>
            </w:pPr>
            <w:r w:rsidRPr="006D43E2">
              <w:rPr>
                <w:color w:val="000000" w:themeColor="text1"/>
                <w:sz w:val="18"/>
                <w:szCs w:val="18"/>
                <w:lang w:eastAsia="en-GB"/>
              </w:rPr>
              <w:t>97%</w:t>
            </w:r>
          </w:p>
        </w:tc>
        <w:tc>
          <w:tcPr>
            <w:tcW w:w="1240" w:type="dxa"/>
            <w:shd w:val="clear" w:color="000000" w:fill="F4B084"/>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47%</w:t>
            </w:r>
          </w:p>
        </w:tc>
        <w:tc>
          <w:tcPr>
            <w:tcW w:w="1335" w:type="dxa"/>
            <w:gridSpan w:val="2"/>
            <w:shd w:val="clear" w:color="000000" w:fill="F4B084"/>
            <w:noWrap/>
            <w:hideMark/>
          </w:tcPr>
          <w:p w:rsidR="00BC20DC" w:rsidRPr="006D43E2" w:rsidRDefault="00BC20DC" w:rsidP="002728F3">
            <w:pPr>
              <w:spacing w:beforeLines="20" w:before="48" w:afterLines="20" w:after="48" w:line="240" w:lineRule="auto"/>
              <w:ind w:right="170"/>
              <w:jc w:val="right"/>
              <w:rPr>
                <w:color w:val="000000" w:themeColor="text1"/>
                <w:sz w:val="18"/>
                <w:szCs w:val="18"/>
                <w:lang w:eastAsia="en-GB"/>
              </w:rPr>
            </w:pPr>
            <w:r w:rsidRPr="006D43E2">
              <w:rPr>
                <w:color w:val="000000" w:themeColor="text1"/>
                <w:sz w:val="18"/>
                <w:szCs w:val="18"/>
                <w:lang w:eastAsia="en-GB"/>
              </w:rPr>
              <w:t>47%</w:t>
            </w:r>
          </w:p>
        </w:tc>
        <w:tc>
          <w:tcPr>
            <w:tcW w:w="1365"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93%</w:t>
            </w:r>
          </w:p>
        </w:tc>
        <w:tc>
          <w:tcPr>
            <w:tcW w:w="1021" w:type="dxa"/>
            <w:shd w:val="clear" w:color="000000" w:fill="A9D08E"/>
            <w:noWrap/>
            <w:hideMark/>
          </w:tcPr>
          <w:p w:rsidR="00BC20DC" w:rsidRPr="006D43E2" w:rsidRDefault="00BC20DC" w:rsidP="002728F3">
            <w:pPr>
              <w:spacing w:beforeLines="20" w:before="48" w:afterLines="20" w:after="48" w:line="240" w:lineRule="auto"/>
              <w:jc w:val="right"/>
              <w:rPr>
                <w:b/>
                <w:color w:val="000000" w:themeColor="text1"/>
                <w:sz w:val="18"/>
                <w:szCs w:val="18"/>
                <w:lang w:eastAsia="en-GB"/>
              </w:rPr>
            </w:pPr>
            <w:r w:rsidRPr="006D43E2">
              <w:rPr>
                <w:b/>
                <w:color w:val="000000" w:themeColor="text1"/>
                <w:sz w:val="18"/>
                <w:szCs w:val="18"/>
                <w:lang w:eastAsia="en-GB"/>
              </w:rPr>
              <w:t>82%</w:t>
            </w:r>
          </w:p>
        </w:tc>
      </w:tr>
      <w:tr w:rsidR="00F857C3" w:rsidRPr="006D43E2" w:rsidTr="002728F3">
        <w:tc>
          <w:tcPr>
            <w:tcW w:w="1738" w:type="dxa"/>
            <w:shd w:val="clear" w:color="auto" w:fill="auto"/>
            <w:vAlign w:val="bottom"/>
            <w:hideMark/>
          </w:tcPr>
          <w:p w:rsidR="00BC20DC" w:rsidRPr="006D43E2" w:rsidRDefault="00BC20DC" w:rsidP="005B5486">
            <w:pPr>
              <w:tabs>
                <w:tab w:val="left" w:pos="352"/>
              </w:tabs>
              <w:spacing w:beforeLines="20" w:before="48" w:afterLines="20" w:after="48" w:line="240" w:lineRule="auto"/>
              <w:rPr>
                <w:color w:val="000000" w:themeColor="text1"/>
                <w:sz w:val="18"/>
                <w:szCs w:val="18"/>
              </w:rPr>
            </w:pPr>
            <w:r w:rsidRPr="006D43E2">
              <w:rPr>
                <w:color w:val="000000" w:themeColor="text1"/>
                <w:sz w:val="18"/>
                <w:szCs w:val="18"/>
              </w:rPr>
              <w:t>Slovakia</w:t>
            </w:r>
          </w:p>
        </w:tc>
        <w:tc>
          <w:tcPr>
            <w:tcW w:w="1370" w:type="dxa"/>
            <w:shd w:val="clear" w:color="000000" w:fill="FFD966"/>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52%</w:t>
            </w:r>
          </w:p>
        </w:tc>
        <w:tc>
          <w:tcPr>
            <w:tcW w:w="1338" w:type="dxa"/>
            <w:shd w:val="clear" w:color="000000" w:fill="FFD966"/>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52%</w:t>
            </w:r>
          </w:p>
        </w:tc>
        <w:tc>
          <w:tcPr>
            <w:tcW w:w="1334" w:type="dxa"/>
            <w:shd w:val="clear" w:color="000000" w:fill="FFD966"/>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52%</w:t>
            </w:r>
          </w:p>
        </w:tc>
        <w:tc>
          <w:tcPr>
            <w:tcW w:w="1501" w:type="dxa"/>
            <w:gridSpan w:val="2"/>
            <w:shd w:val="clear" w:color="000000" w:fill="FFD966"/>
            <w:noWrap/>
            <w:hideMark/>
          </w:tcPr>
          <w:p w:rsidR="00BC20DC" w:rsidRPr="006D43E2" w:rsidRDefault="00BC20DC" w:rsidP="002728F3">
            <w:pPr>
              <w:spacing w:beforeLines="20" w:before="48" w:afterLines="20" w:after="48" w:line="240" w:lineRule="auto"/>
              <w:ind w:right="284"/>
              <w:jc w:val="right"/>
              <w:rPr>
                <w:color w:val="000000" w:themeColor="text1"/>
                <w:sz w:val="18"/>
                <w:szCs w:val="18"/>
                <w:lang w:eastAsia="en-GB"/>
              </w:rPr>
            </w:pPr>
            <w:r w:rsidRPr="006D43E2">
              <w:rPr>
                <w:color w:val="000000" w:themeColor="text1"/>
                <w:sz w:val="18"/>
                <w:szCs w:val="18"/>
                <w:lang w:eastAsia="en-GB"/>
              </w:rPr>
              <w:t>52%</w:t>
            </w:r>
          </w:p>
        </w:tc>
        <w:tc>
          <w:tcPr>
            <w:tcW w:w="1240" w:type="dxa"/>
            <w:shd w:val="clear" w:color="000000" w:fill="F4B084"/>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38%</w:t>
            </w:r>
          </w:p>
        </w:tc>
        <w:tc>
          <w:tcPr>
            <w:tcW w:w="1335" w:type="dxa"/>
            <w:gridSpan w:val="2"/>
            <w:shd w:val="clear" w:color="000000" w:fill="F4B084"/>
            <w:noWrap/>
            <w:hideMark/>
          </w:tcPr>
          <w:p w:rsidR="00BC20DC" w:rsidRPr="006D43E2" w:rsidRDefault="00BC20DC" w:rsidP="002728F3">
            <w:pPr>
              <w:spacing w:beforeLines="20" w:before="48" w:afterLines="20" w:after="48" w:line="240" w:lineRule="auto"/>
              <w:ind w:right="170"/>
              <w:jc w:val="right"/>
              <w:rPr>
                <w:color w:val="000000" w:themeColor="text1"/>
                <w:sz w:val="18"/>
                <w:szCs w:val="18"/>
                <w:lang w:eastAsia="en-GB"/>
              </w:rPr>
            </w:pPr>
            <w:r w:rsidRPr="006D43E2">
              <w:rPr>
                <w:color w:val="000000" w:themeColor="text1"/>
                <w:sz w:val="18"/>
                <w:szCs w:val="18"/>
                <w:lang w:eastAsia="en-GB"/>
              </w:rPr>
              <w:t>38%</w:t>
            </w:r>
          </w:p>
        </w:tc>
        <w:tc>
          <w:tcPr>
            <w:tcW w:w="1365" w:type="dxa"/>
            <w:shd w:val="clear" w:color="000000" w:fill="F4B084"/>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45%</w:t>
            </w:r>
          </w:p>
        </w:tc>
        <w:tc>
          <w:tcPr>
            <w:tcW w:w="1021" w:type="dxa"/>
            <w:shd w:val="clear" w:color="000000" w:fill="F4B084"/>
            <w:noWrap/>
            <w:hideMark/>
          </w:tcPr>
          <w:p w:rsidR="00BC20DC" w:rsidRPr="006D43E2" w:rsidRDefault="00BC20DC" w:rsidP="002728F3">
            <w:pPr>
              <w:spacing w:beforeLines="20" w:before="48" w:afterLines="20" w:after="48" w:line="240" w:lineRule="auto"/>
              <w:jc w:val="right"/>
              <w:rPr>
                <w:b/>
                <w:color w:val="000000" w:themeColor="text1"/>
                <w:sz w:val="18"/>
                <w:szCs w:val="18"/>
                <w:lang w:eastAsia="en-GB"/>
              </w:rPr>
            </w:pPr>
            <w:r w:rsidRPr="006D43E2">
              <w:rPr>
                <w:b/>
                <w:color w:val="000000" w:themeColor="text1"/>
                <w:sz w:val="18"/>
                <w:szCs w:val="18"/>
                <w:lang w:eastAsia="en-GB"/>
              </w:rPr>
              <w:t>47%</w:t>
            </w:r>
          </w:p>
        </w:tc>
      </w:tr>
      <w:tr w:rsidR="00F857C3" w:rsidRPr="006D43E2" w:rsidTr="002728F3">
        <w:tc>
          <w:tcPr>
            <w:tcW w:w="1738" w:type="dxa"/>
            <w:shd w:val="clear" w:color="auto" w:fill="auto"/>
            <w:vAlign w:val="bottom"/>
            <w:hideMark/>
          </w:tcPr>
          <w:p w:rsidR="00BC20DC" w:rsidRPr="006D43E2" w:rsidRDefault="00BC20DC" w:rsidP="005B5486">
            <w:pPr>
              <w:tabs>
                <w:tab w:val="left" w:pos="352"/>
              </w:tabs>
              <w:spacing w:beforeLines="20" w:before="48" w:afterLines="20" w:after="48" w:line="240" w:lineRule="auto"/>
              <w:rPr>
                <w:color w:val="000000" w:themeColor="text1"/>
                <w:sz w:val="18"/>
                <w:szCs w:val="18"/>
              </w:rPr>
            </w:pPr>
            <w:r w:rsidRPr="006D43E2">
              <w:rPr>
                <w:color w:val="000000" w:themeColor="text1"/>
                <w:sz w:val="18"/>
                <w:szCs w:val="18"/>
              </w:rPr>
              <w:t>Sweden</w:t>
            </w:r>
          </w:p>
        </w:tc>
        <w:tc>
          <w:tcPr>
            <w:tcW w:w="1370"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87%</w:t>
            </w:r>
          </w:p>
        </w:tc>
        <w:tc>
          <w:tcPr>
            <w:tcW w:w="1338"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87%</w:t>
            </w:r>
          </w:p>
        </w:tc>
        <w:tc>
          <w:tcPr>
            <w:tcW w:w="1334"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87%</w:t>
            </w:r>
          </w:p>
        </w:tc>
        <w:tc>
          <w:tcPr>
            <w:tcW w:w="1501" w:type="dxa"/>
            <w:gridSpan w:val="2"/>
            <w:shd w:val="clear" w:color="000000" w:fill="A9D08E"/>
            <w:noWrap/>
            <w:hideMark/>
          </w:tcPr>
          <w:p w:rsidR="00BC20DC" w:rsidRPr="006D43E2" w:rsidRDefault="00BC20DC" w:rsidP="002728F3">
            <w:pPr>
              <w:spacing w:beforeLines="20" w:before="48" w:afterLines="20" w:after="48" w:line="240" w:lineRule="auto"/>
              <w:ind w:right="284"/>
              <w:jc w:val="right"/>
              <w:rPr>
                <w:color w:val="000000" w:themeColor="text1"/>
                <w:sz w:val="18"/>
                <w:szCs w:val="18"/>
                <w:lang w:eastAsia="en-GB"/>
              </w:rPr>
            </w:pPr>
            <w:r w:rsidRPr="006D43E2">
              <w:rPr>
                <w:color w:val="000000" w:themeColor="text1"/>
                <w:sz w:val="18"/>
                <w:szCs w:val="18"/>
                <w:lang w:eastAsia="en-GB"/>
              </w:rPr>
              <w:t>87%</w:t>
            </w:r>
          </w:p>
        </w:tc>
        <w:tc>
          <w:tcPr>
            <w:tcW w:w="1240"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93%</w:t>
            </w:r>
          </w:p>
        </w:tc>
        <w:tc>
          <w:tcPr>
            <w:tcW w:w="1335" w:type="dxa"/>
            <w:gridSpan w:val="2"/>
            <w:shd w:val="clear" w:color="000000" w:fill="A9D08E"/>
            <w:noWrap/>
            <w:hideMark/>
          </w:tcPr>
          <w:p w:rsidR="00BC20DC" w:rsidRPr="006D43E2" w:rsidRDefault="00BC20DC" w:rsidP="002728F3">
            <w:pPr>
              <w:spacing w:beforeLines="20" w:before="48" w:afterLines="20" w:after="48" w:line="240" w:lineRule="auto"/>
              <w:ind w:right="170"/>
              <w:jc w:val="right"/>
              <w:rPr>
                <w:color w:val="000000" w:themeColor="text1"/>
                <w:sz w:val="18"/>
                <w:szCs w:val="18"/>
                <w:lang w:eastAsia="en-GB"/>
              </w:rPr>
            </w:pPr>
            <w:r w:rsidRPr="006D43E2">
              <w:rPr>
                <w:color w:val="000000" w:themeColor="text1"/>
                <w:sz w:val="18"/>
                <w:szCs w:val="18"/>
                <w:lang w:eastAsia="en-GB"/>
              </w:rPr>
              <w:t>93%</w:t>
            </w:r>
          </w:p>
        </w:tc>
        <w:tc>
          <w:tcPr>
            <w:tcW w:w="1365" w:type="dxa"/>
            <w:shd w:val="clear" w:color="000000" w:fill="339966"/>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100%</w:t>
            </w:r>
          </w:p>
        </w:tc>
        <w:tc>
          <w:tcPr>
            <w:tcW w:w="1021" w:type="dxa"/>
            <w:shd w:val="clear" w:color="000000" w:fill="A9D08E"/>
            <w:noWrap/>
            <w:hideMark/>
          </w:tcPr>
          <w:p w:rsidR="00BC20DC" w:rsidRPr="006D43E2" w:rsidRDefault="00BC20DC" w:rsidP="002728F3">
            <w:pPr>
              <w:spacing w:beforeLines="20" w:before="48" w:afterLines="20" w:after="48" w:line="240" w:lineRule="auto"/>
              <w:jc w:val="right"/>
              <w:rPr>
                <w:b/>
                <w:color w:val="000000" w:themeColor="text1"/>
                <w:sz w:val="18"/>
                <w:szCs w:val="18"/>
                <w:lang w:eastAsia="en-GB"/>
              </w:rPr>
            </w:pPr>
            <w:r w:rsidRPr="006D43E2">
              <w:rPr>
                <w:b/>
                <w:color w:val="000000" w:themeColor="text1"/>
                <w:sz w:val="18"/>
                <w:szCs w:val="18"/>
                <w:lang w:eastAsia="en-GB"/>
              </w:rPr>
              <w:t>90%</w:t>
            </w:r>
          </w:p>
        </w:tc>
      </w:tr>
      <w:tr w:rsidR="00F857C3" w:rsidRPr="006D43E2" w:rsidTr="002728F3">
        <w:tc>
          <w:tcPr>
            <w:tcW w:w="1738" w:type="dxa"/>
            <w:shd w:val="clear" w:color="auto" w:fill="auto"/>
            <w:vAlign w:val="bottom"/>
            <w:hideMark/>
          </w:tcPr>
          <w:p w:rsidR="00BC20DC" w:rsidRPr="006D43E2" w:rsidRDefault="00BC20DC" w:rsidP="005B5486">
            <w:pPr>
              <w:tabs>
                <w:tab w:val="left" w:pos="352"/>
              </w:tabs>
              <w:spacing w:beforeLines="20" w:before="48" w:afterLines="20" w:after="48" w:line="240" w:lineRule="auto"/>
              <w:rPr>
                <w:color w:val="000000" w:themeColor="text1"/>
                <w:sz w:val="18"/>
                <w:szCs w:val="18"/>
              </w:rPr>
            </w:pPr>
            <w:r w:rsidRPr="006D43E2">
              <w:rPr>
                <w:color w:val="000000" w:themeColor="text1"/>
                <w:sz w:val="18"/>
                <w:szCs w:val="18"/>
              </w:rPr>
              <w:t>Switzerland</w:t>
            </w:r>
          </w:p>
        </w:tc>
        <w:tc>
          <w:tcPr>
            <w:tcW w:w="1370"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95%</w:t>
            </w:r>
          </w:p>
        </w:tc>
        <w:tc>
          <w:tcPr>
            <w:tcW w:w="1338"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95%</w:t>
            </w:r>
          </w:p>
        </w:tc>
        <w:tc>
          <w:tcPr>
            <w:tcW w:w="1334"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95%</w:t>
            </w:r>
          </w:p>
        </w:tc>
        <w:tc>
          <w:tcPr>
            <w:tcW w:w="1501" w:type="dxa"/>
            <w:gridSpan w:val="2"/>
            <w:shd w:val="clear" w:color="000000" w:fill="A9D08E"/>
            <w:noWrap/>
            <w:hideMark/>
          </w:tcPr>
          <w:p w:rsidR="00BC20DC" w:rsidRPr="006D43E2" w:rsidRDefault="00BC20DC" w:rsidP="002728F3">
            <w:pPr>
              <w:spacing w:beforeLines="20" w:before="48" w:afterLines="20" w:after="48" w:line="240" w:lineRule="auto"/>
              <w:ind w:right="284"/>
              <w:jc w:val="right"/>
              <w:rPr>
                <w:color w:val="000000" w:themeColor="text1"/>
                <w:sz w:val="18"/>
                <w:szCs w:val="18"/>
                <w:lang w:eastAsia="en-GB"/>
              </w:rPr>
            </w:pPr>
            <w:r w:rsidRPr="006D43E2">
              <w:rPr>
                <w:color w:val="000000" w:themeColor="text1"/>
                <w:sz w:val="18"/>
                <w:szCs w:val="18"/>
                <w:lang w:eastAsia="en-GB"/>
              </w:rPr>
              <w:t>95%</w:t>
            </w:r>
          </w:p>
        </w:tc>
        <w:tc>
          <w:tcPr>
            <w:tcW w:w="1240"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95%</w:t>
            </w:r>
          </w:p>
        </w:tc>
        <w:tc>
          <w:tcPr>
            <w:tcW w:w="1335" w:type="dxa"/>
            <w:gridSpan w:val="2"/>
            <w:shd w:val="clear" w:color="000000" w:fill="A9D08E"/>
            <w:noWrap/>
            <w:hideMark/>
          </w:tcPr>
          <w:p w:rsidR="00BC20DC" w:rsidRPr="006D43E2" w:rsidRDefault="00BC20DC" w:rsidP="002728F3">
            <w:pPr>
              <w:spacing w:beforeLines="20" w:before="48" w:afterLines="20" w:after="48" w:line="240" w:lineRule="auto"/>
              <w:ind w:right="170"/>
              <w:jc w:val="right"/>
              <w:rPr>
                <w:color w:val="000000" w:themeColor="text1"/>
                <w:sz w:val="18"/>
                <w:szCs w:val="18"/>
                <w:lang w:eastAsia="en-GB"/>
              </w:rPr>
            </w:pPr>
            <w:r w:rsidRPr="006D43E2">
              <w:rPr>
                <w:color w:val="000000" w:themeColor="text1"/>
                <w:sz w:val="18"/>
                <w:szCs w:val="18"/>
                <w:lang w:eastAsia="en-GB"/>
              </w:rPr>
              <w:t>95%</w:t>
            </w:r>
          </w:p>
        </w:tc>
        <w:tc>
          <w:tcPr>
            <w:tcW w:w="1365"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95%</w:t>
            </w:r>
          </w:p>
        </w:tc>
        <w:tc>
          <w:tcPr>
            <w:tcW w:w="1021" w:type="dxa"/>
            <w:shd w:val="clear" w:color="000000" w:fill="A9D08E"/>
            <w:noWrap/>
            <w:hideMark/>
          </w:tcPr>
          <w:p w:rsidR="00BC20DC" w:rsidRPr="006D43E2" w:rsidRDefault="00BC20DC" w:rsidP="002728F3">
            <w:pPr>
              <w:spacing w:beforeLines="20" w:before="48" w:afterLines="20" w:after="48" w:line="240" w:lineRule="auto"/>
              <w:jc w:val="right"/>
              <w:rPr>
                <w:b/>
                <w:color w:val="000000" w:themeColor="text1"/>
                <w:sz w:val="18"/>
                <w:szCs w:val="18"/>
                <w:lang w:eastAsia="en-GB"/>
              </w:rPr>
            </w:pPr>
            <w:r w:rsidRPr="006D43E2">
              <w:rPr>
                <w:b/>
                <w:color w:val="000000" w:themeColor="text1"/>
                <w:sz w:val="18"/>
                <w:szCs w:val="18"/>
                <w:lang w:eastAsia="en-GB"/>
              </w:rPr>
              <w:t>95%</w:t>
            </w:r>
          </w:p>
        </w:tc>
      </w:tr>
      <w:tr w:rsidR="00F857C3" w:rsidRPr="006D43E2" w:rsidTr="002728F3">
        <w:tc>
          <w:tcPr>
            <w:tcW w:w="1738" w:type="dxa"/>
            <w:shd w:val="clear" w:color="auto" w:fill="auto"/>
            <w:vAlign w:val="bottom"/>
            <w:hideMark/>
          </w:tcPr>
          <w:p w:rsidR="00BC20DC" w:rsidRPr="006D43E2" w:rsidRDefault="00BC20DC" w:rsidP="005B5486">
            <w:pPr>
              <w:tabs>
                <w:tab w:val="left" w:pos="352"/>
              </w:tabs>
              <w:spacing w:beforeLines="20" w:before="48" w:afterLines="20" w:after="48" w:line="240" w:lineRule="auto"/>
              <w:rPr>
                <w:color w:val="000000" w:themeColor="text1"/>
                <w:sz w:val="18"/>
                <w:szCs w:val="18"/>
              </w:rPr>
            </w:pPr>
            <w:r w:rsidRPr="006D43E2">
              <w:rPr>
                <w:color w:val="000000" w:themeColor="text1"/>
                <w:sz w:val="18"/>
                <w:szCs w:val="18"/>
              </w:rPr>
              <w:t>Tajikistan</w:t>
            </w:r>
          </w:p>
        </w:tc>
        <w:tc>
          <w:tcPr>
            <w:tcW w:w="1370" w:type="dxa"/>
            <w:shd w:val="clear" w:color="000000" w:fill="F4B084"/>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43%</w:t>
            </w:r>
          </w:p>
        </w:tc>
        <w:tc>
          <w:tcPr>
            <w:tcW w:w="1338" w:type="dxa"/>
            <w:shd w:val="clear" w:color="auto" w:fill="F2F2F2" w:themeFill="background1" w:themeFillShade="F2"/>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N/A</w:t>
            </w:r>
          </w:p>
        </w:tc>
        <w:tc>
          <w:tcPr>
            <w:tcW w:w="1334" w:type="dxa"/>
            <w:shd w:val="clear" w:color="000000" w:fill="F4B084"/>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42%</w:t>
            </w:r>
          </w:p>
        </w:tc>
        <w:tc>
          <w:tcPr>
            <w:tcW w:w="1501" w:type="dxa"/>
            <w:gridSpan w:val="2"/>
            <w:shd w:val="clear" w:color="000000" w:fill="FFD966"/>
            <w:noWrap/>
            <w:hideMark/>
          </w:tcPr>
          <w:p w:rsidR="00BC20DC" w:rsidRPr="006D43E2" w:rsidRDefault="00BC20DC" w:rsidP="002728F3">
            <w:pPr>
              <w:spacing w:beforeLines="20" w:before="48" w:afterLines="20" w:after="48" w:line="240" w:lineRule="auto"/>
              <w:ind w:right="284"/>
              <w:jc w:val="right"/>
              <w:rPr>
                <w:color w:val="000000" w:themeColor="text1"/>
                <w:sz w:val="18"/>
                <w:szCs w:val="18"/>
                <w:lang w:eastAsia="en-GB"/>
              </w:rPr>
            </w:pPr>
            <w:r w:rsidRPr="006D43E2">
              <w:rPr>
                <w:color w:val="000000" w:themeColor="text1"/>
                <w:sz w:val="18"/>
                <w:szCs w:val="18"/>
                <w:lang w:eastAsia="en-GB"/>
              </w:rPr>
              <w:t>55%</w:t>
            </w:r>
          </w:p>
        </w:tc>
        <w:tc>
          <w:tcPr>
            <w:tcW w:w="1240" w:type="dxa"/>
            <w:shd w:val="clear" w:color="000000" w:fill="FFD966"/>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62%</w:t>
            </w:r>
          </w:p>
        </w:tc>
        <w:tc>
          <w:tcPr>
            <w:tcW w:w="1335" w:type="dxa"/>
            <w:gridSpan w:val="2"/>
            <w:shd w:val="clear" w:color="000000" w:fill="A9D08E"/>
            <w:noWrap/>
            <w:hideMark/>
          </w:tcPr>
          <w:p w:rsidR="00BC20DC" w:rsidRPr="006D43E2" w:rsidRDefault="00BC20DC" w:rsidP="002728F3">
            <w:pPr>
              <w:spacing w:beforeLines="20" w:before="48" w:afterLines="20" w:after="48" w:line="240" w:lineRule="auto"/>
              <w:ind w:right="170"/>
              <w:jc w:val="right"/>
              <w:rPr>
                <w:color w:val="000000" w:themeColor="text1"/>
                <w:sz w:val="18"/>
                <w:szCs w:val="18"/>
                <w:lang w:eastAsia="en-GB"/>
              </w:rPr>
            </w:pPr>
            <w:r w:rsidRPr="006D43E2">
              <w:rPr>
                <w:color w:val="000000" w:themeColor="text1"/>
                <w:sz w:val="18"/>
                <w:szCs w:val="18"/>
                <w:lang w:eastAsia="en-GB"/>
              </w:rPr>
              <w:t>77%</w:t>
            </w:r>
          </w:p>
        </w:tc>
        <w:tc>
          <w:tcPr>
            <w:tcW w:w="1365" w:type="dxa"/>
            <w:shd w:val="clear" w:color="000000" w:fill="339966"/>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100%</w:t>
            </w:r>
          </w:p>
        </w:tc>
        <w:tc>
          <w:tcPr>
            <w:tcW w:w="1021" w:type="dxa"/>
            <w:shd w:val="clear" w:color="000000" w:fill="FFD966"/>
            <w:noWrap/>
            <w:hideMark/>
          </w:tcPr>
          <w:p w:rsidR="00BC20DC" w:rsidRPr="006D43E2" w:rsidRDefault="00BC20DC" w:rsidP="002728F3">
            <w:pPr>
              <w:spacing w:beforeLines="20" w:before="48" w:afterLines="20" w:after="48" w:line="240" w:lineRule="auto"/>
              <w:jc w:val="right"/>
              <w:rPr>
                <w:b/>
                <w:color w:val="000000" w:themeColor="text1"/>
                <w:sz w:val="18"/>
                <w:szCs w:val="18"/>
                <w:lang w:eastAsia="en-GB"/>
              </w:rPr>
            </w:pPr>
            <w:r w:rsidRPr="006D43E2">
              <w:rPr>
                <w:b/>
                <w:color w:val="000000" w:themeColor="text1"/>
                <w:sz w:val="18"/>
                <w:szCs w:val="18"/>
                <w:lang w:eastAsia="en-GB"/>
              </w:rPr>
              <w:t>54%</w:t>
            </w:r>
          </w:p>
        </w:tc>
      </w:tr>
      <w:tr w:rsidR="00F857C3" w:rsidRPr="006D43E2" w:rsidTr="002728F3">
        <w:tc>
          <w:tcPr>
            <w:tcW w:w="1738" w:type="dxa"/>
            <w:shd w:val="clear" w:color="auto" w:fill="auto"/>
            <w:vAlign w:val="bottom"/>
            <w:hideMark/>
          </w:tcPr>
          <w:p w:rsidR="00BC20DC" w:rsidRPr="006D43E2" w:rsidRDefault="00BC20DC" w:rsidP="005B5486">
            <w:pPr>
              <w:tabs>
                <w:tab w:val="left" w:pos="352"/>
              </w:tabs>
              <w:spacing w:beforeLines="20" w:before="48" w:afterLines="20" w:after="48" w:line="240" w:lineRule="auto"/>
              <w:rPr>
                <w:color w:val="000000" w:themeColor="text1"/>
                <w:sz w:val="18"/>
                <w:szCs w:val="18"/>
              </w:rPr>
            </w:pPr>
            <w:r w:rsidRPr="006D43E2">
              <w:rPr>
                <w:color w:val="000000" w:themeColor="text1"/>
                <w:sz w:val="18"/>
                <w:szCs w:val="18"/>
              </w:rPr>
              <w:t>The former Yugoslav Republic of Macedonia</w:t>
            </w:r>
          </w:p>
        </w:tc>
        <w:tc>
          <w:tcPr>
            <w:tcW w:w="1370"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93%</w:t>
            </w:r>
          </w:p>
        </w:tc>
        <w:tc>
          <w:tcPr>
            <w:tcW w:w="1338"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93%</w:t>
            </w:r>
          </w:p>
        </w:tc>
        <w:tc>
          <w:tcPr>
            <w:tcW w:w="1334"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93%</w:t>
            </w:r>
          </w:p>
        </w:tc>
        <w:tc>
          <w:tcPr>
            <w:tcW w:w="1501" w:type="dxa"/>
            <w:gridSpan w:val="2"/>
            <w:shd w:val="clear" w:color="000000" w:fill="A9D08E"/>
            <w:noWrap/>
            <w:hideMark/>
          </w:tcPr>
          <w:p w:rsidR="00BC20DC" w:rsidRPr="006D43E2" w:rsidRDefault="00BC20DC" w:rsidP="002728F3">
            <w:pPr>
              <w:spacing w:beforeLines="20" w:before="48" w:afterLines="20" w:after="48" w:line="240" w:lineRule="auto"/>
              <w:ind w:right="284"/>
              <w:jc w:val="right"/>
              <w:rPr>
                <w:color w:val="000000" w:themeColor="text1"/>
                <w:sz w:val="18"/>
                <w:szCs w:val="18"/>
                <w:lang w:eastAsia="en-GB"/>
              </w:rPr>
            </w:pPr>
            <w:r w:rsidRPr="006D43E2">
              <w:rPr>
                <w:color w:val="000000" w:themeColor="text1"/>
                <w:sz w:val="18"/>
                <w:szCs w:val="18"/>
                <w:lang w:eastAsia="en-GB"/>
              </w:rPr>
              <w:t>93%</w:t>
            </w:r>
          </w:p>
        </w:tc>
        <w:tc>
          <w:tcPr>
            <w:tcW w:w="1240"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83%</w:t>
            </w:r>
          </w:p>
        </w:tc>
        <w:tc>
          <w:tcPr>
            <w:tcW w:w="1335" w:type="dxa"/>
            <w:gridSpan w:val="2"/>
            <w:shd w:val="clear" w:color="000000" w:fill="A9D08E"/>
            <w:noWrap/>
            <w:hideMark/>
          </w:tcPr>
          <w:p w:rsidR="00BC20DC" w:rsidRPr="006D43E2" w:rsidRDefault="00BC20DC" w:rsidP="002728F3">
            <w:pPr>
              <w:spacing w:beforeLines="20" w:before="48" w:afterLines="20" w:after="48" w:line="240" w:lineRule="auto"/>
              <w:ind w:right="170"/>
              <w:jc w:val="right"/>
              <w:rPr>
                <w:color w:val="000000" w:themeColor="text1"/>
                <w:sz w:val="18"/>
                <w:szCs w:val="18"/>
                <w:lang w:eastAsia="en-GB"/>
              </w:rPr>
            </w:pPr>
            <w:r w:rsidRPr="006D43E2">
              <w:rPr>
                <w:color w:val="000000" w:themeColor="text1"/>
                <w:sz w:val="18"/>
                <w:szCs w:val="18"/>
                <w:lang w:eastAsia="en-GB"/>
              </w:rPr>
              <w:t>83%</w:t>
            </w:r>
          </w:p>
        </w:tc>
        <w:tc>
          <w:tcPr>
            <w:tcW w:w="1365"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93%</w:t>
            </w:r>
          </w:p>
        </w:tc>
        <w:tc>
          <w:tcPr>
            <w:tcW w:w="1021" w:type="dxa"/>
            <w:shd w:val="clear" w:color="000000" w:fill="A9D08E"/>
            <w:noWrap/>
            <w:hideMark/>
          </w:tcPr>
          <w:p w:rsidR="00BC20DC" w:rsidRPr="006D43E2" w:rsidRDefault="00BC20DC" w:rsidP="002728F3">
            <w:pPr>
              <w:spacing w:beforeLines="20" w:before="48" w:afterLines="20" w:after="48" w:line="240" w:lineRule="auto"/>
              <w:jc w:val="right"/>
              <w:rPr>
                <w:b/>
                <w:color w:val="000000" w:themeColor="text1"/>
                <w:sz w:val="18"/>
                <w:szCs w:val="18"/>
                <w:lang w:eastAsia="en-GB"/>
              </w:rPr>
            </w:pPr>
            <w:r w:rsidRPr="006D43E2">
              <w:rPr>
                <w:b/>
                <w:color w:val="000000" w:themeColor="text1"/>
                <w:sz w:val="18"/>
                <w:szCs w:val="18"/>
                <w:lang w:eastAsia="en-GB"/>
              </w:rPr>
              <w:t>90%</w:t>
            </w:r>
          </w:p>
        </w:tc>
      </w:tr>
      <w:tr w:rsidR="00F857C3" w:rsidRPr="006D43E2" w:rsidTr="002728F3">
        <w:tc>
          <w:tcPr>
            <w:tcW w:w="1738" w:type="dxa"/>
            <w:shd w:val="clear" w:color="auto" w:fill="auto"/>
            <w:vAlign w:val="bottom"/>
            <w:hideMark/>
          </w:tcPr>
          <w:p w:rsidR="00BC20DC" w:rsidRPr="006D43E2" w:rsidRDefault="00BC20DC" w:rsidP="005B5486">
            <w:pPr>
              <w:tabs>
                <w:tab w:val="left" w:pos="352"/>
              </w:tabs>
              <w:spacing w:beforeLines="20" w:before="48" w:afterLines="20" w:after="48" w:line="240" w:lineRule="auto"/>
              <w:rPr>
                <w:color w:val="000000" w:themeColor="text1"/>
                <w:sz w:val="18"/>
                <w:szCs w:val="18"/>
              </w:rPr>
            </w:pPr>
            <w:r w:rsidRPr="006D43E2">
              <w:rPr>
                <w:color w:val="000000" w:themeColor="text1"/>
                <w:sz w:val="18"/>
                <w:szCs w:val="18"/>
              </w:rPr>
              <w:t>Turkey</w:t>
            </w:r>
          </w:p>
        </w:tc>
        <w:tc>
          <w:tcPr>
            <w:tcW w:w="1370"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85%</w:t>
            </w:r>
          </w:p>
        </w:tc>
        <w:tc>
          <w:tcPr>
            <w:tcW w:w="1338"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92%</w:t>
            </w:r>
          </w:p>
        </w:tc>
        <w:tc>
          <w:tcPr>
            <w:tcW w:w="1334" w:type="dxa"/>
            <w:shd w:val="clear" w:color="000000" w:fill="A9D08E"/>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90%</w:t>
            </w:r>
          </w:p>
        </w:tc>
        <w:tc>
          <w:tcPr>
            <w:tcW w:w="1501" w:type="dxa"/>
            <w:gridSpan w:val="2"/>
            <w:shd w:val="clear" w:color="000000" w:fill="A9D08E"/>
            <w:noWrap/>
            <w:hideMark/>
          </w:tcPr>
          <w:p w:rsidR="00BC20DC" w:rsidRPr="006D43E2" w:rsidRDefault="00BC20DC" w:rsidP="002728F3">
            <w:pPr>
              <w:spacing w:beforeLines="20" w:before="48" w:afterLines="20" w:after="48" w:line="240" w:lineRule="auto"/>
              <w:ind w:right="284"/>
              <w:jc w:val="right"/>
              <w:rPr>
                <w:color w:val="000000" w:themeColor="text1"/>
                <w:sz w:val="18"/>
                <w:szCs w:val="18"/>
                <w:lang w:eastAsia="en-GB"/>
              </w:rPr>
            </w:pPr>
            <w:r w:rsidRPr="006D43E2">
              <w:rPr>
                <w:color w:val="000000" w:themeColor="text1"/>
                <w:sz w:val="18"/>
                <w:szCs w:val="18"/>
                <w:lang w:eastAsia="en-GB"/>
              </w:rPr>
              <w:t>85%</w:t>
            </w:r>
          </w:p>
        </w:tc>
        <w:tc>
          <w:tcPr>
            <w:tcW w:w="1240" w:type="dxa"/>
            <w:shd w:val="clear" w:color="000000" w:fill="FFD966"/>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65%</w:t>
            </w:r>
          </w:p>
        </w:tc>
        <w:tc>
          <w:tcPr>
            <w:tcW w:w="1335" w:type="dxa"/>
            <w:gridSpan w:val="2"/>
            <w:shd w:val="clear" w:color="000000" w:fill="FFD966"/>
            <w:noWrap/>
            <w:hideMark/>
          </w:tcPr>
          <w:p w:rsidR="00BC20DC" w:rsidRPr="006D43E2" w:rsidRDefault="00BC20DC" w:rsidP="002728F3">
            <w:pPr>
              <w:spacing w:beforeLines="20" w:before="48" w:afterLines="20" w:after="48" w:line="240" w:lineRule="auto"/>
              <w:ind w:right="170"/>
              <w:jc w:val="right"/>
              <w:rPr>
                <w:color w:val="000000" w:themeColor="text1"/>
                <w:sz w:val="18"/>
                <w:szCs w:val="18"/>
                <w:lang w:eastAsia="en-GB"/>
              </w:rPr>
            </w:pPr>
            <w:r w:rsidRPr="006D43E2">
              <w:rPr>
                <w:color w:val="000000" w:themeColor="text1"/>
                <w:sz w:val="18"/>
                <w:szCs w:val="18"/>
                <w:lang w:eastAsia="en-GB"/>
              </w:rPr>
              <w:t>65%</w:t>
            </w:r>
          </w:p>
        </w:tc>
        <w:tc>
          <w:tcPr>
            <w:tcW w:w="1365" w:type="dxa"/>
            <w:shd w:val="clear" w:color="000000" w:fill="F4B084"/>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42%</w:t>
            </w:r>
          </w:p>
        </w:tc>
        <w:tc>
          <w:tcPr>
            <w:tcW w:w="1021" w:type="dxa"/>
            <w:shd w:val="clear" w:color="000000" w:fill="FFD966"/>
            <w:noWrap/>
            <w:hideMark/>
          </w:tcPr>
          <w:p w:rsidR="00BC20DC" w:rsidRPr="006D43E2" w:rsidRDefault="00BC20DC" w:rsidP="002728F3">
            <w:pPr>
              <w:spacing w:beforeLines="20" w:before="48" w:afterLines="20" w:after="48" w:line="240" w:lineRule="auto"/>
              <w:jc w:val="right"/>
              <w:rPr>
                <w:b/>
                <w:color w:val="000000" w:themeColor="text1"/>
                <w:sz w:val="18"/>
                <w:szCs w:val="18"/>
                <w:lang w:eastAsia="en-GB"/>
              </w:rPr>
            </w:pPr>
            <w:r w:rsidRPr="006D43E2">
              <w:rPr>
                <w:b/>
                <w:color w:val="000000" w:themeColor="text1"/>
                <w:sz w:val="18"/>
                <w:szCs w:val="18"/>
                <w:lang w:eastAsia="en-GB"/>
              </w:rPr>
              <w:t>75%</w:t>
            </w:r>
          </w:p>
        </w:tc>
      </w:tr>
      <w:tr w:rsidR="00F857C3" w:rsidRPr="006D43E2" w:rsidTr="002728F3">
        <w:tc>
          <w:tcPr>
            <w:tcW w:w="1738" w:type="dxa"/>
            <w:shd w:val="clear" w:color="auto" w:fill="auto"/>
            <w:vAlign w:val="bottom"/>
            <w:hideMark/>
          </w:tcPr>
          <w:p w:rsidR="00BC20DC" w:rsidRPr="006D43E2" w:rsidRDefault="00BC20DC" w:rsidP="005B5486">
            <w:pPr>
              <w:tabs>
                <w:tab w:val="left" w:pos="352"/>
              </w:tabs>
              <w:spacing w:beforeLines="20" w:before="48" w:afterLines="20" w:after="48" w:line="240" w:lineRule="auto"/>
              <w:rPr>
                <w:color w:val="000000" w:themeColor="text1"/>
                <w:sz w:val="18"/>
                <w:szCs w:val="18"/>
              </w:rPr>
            </w:pPr>
            <w:r w:rsidRPr="006D43E2">
              <w:rPr>
                <w:color w:val="000000" w:themeColor="text1"/>
                <w:sz w:val="18"/>
                <w:szCs w:val="18"/>
              </w:rPr>
              <w:t>Turkmenistan</w:t>
            </w:r>
          </w:p>
        </w:tc>
        <w:tc>
          <w:tcPr>
            <w:tcW w:w="1370" w:type="dxa"/>
            <w:shd w:val="clear" w:color="000000" w:fill="F4B084"/>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47%</w:t>
            </w:r>
          </w:p>
        </w:tc>
        <w:tc>
          <w:tcPr>
            <w:tcW w:w="1338" w:type="dxa"/>
            <w:shd w:val="clear" w:color="000000" w:fill="F4B084"/>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47%</w:t>
            </w:r>
          </w:p>
        </w:tc>
        <w:tc>
          <w:tcPr>
            <w:tcW w:w="1334" w:type="dxa"/>
            <w:shd w:val="clear" w:color="000000" w:fill="F4B084"/>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47%</w:t>
            </w:r>
          </w:p>
        </w:tc>
        <w:tc>
          <w:tcPr>
            <w:tcW w:w="1501" w:type="dxa"/>
            <w:gridSpan w:val="2"/>
            <w:shd w:val="clear" w:color="000000" w:fill="F4B084"/>
            <w:noWrap/>
            <w:hideMark/>
          </w:tcPr>
          <w:p w:rsidR="00BC20DC" w:rsidRPr="006D43E2" w:rsidRDefault="00BC20DC" w:rsidP="002728F3">
            <w:pPr>
              <w:spacing w:beforeLines="20" w:before="48" w:afterLines="20" w:after="48" w:line="240" w:lineRule="auto"/>
              <w:ind w:right="284"/>
              <w:jc w:val="right"/>
              <w:rPr>
                <w:color w:val="000000" w:themeColor="text1"/>
                <w:sz w:val="18"/>
                <w:szCs w:val="18"/>
                <w:lang w:eastAsia="en-GB"/>
              </w:rPr>
            </w:pPr>
            <w:r w:rsidRPr="006D43E2">
              <w:rPr>
                <w:color w:val="000000" w:themeColor="text1"/>
                <w:sz w:val="18"/>
                <w:szCs w:val="18"/>
                <w:lang w:eastAsia="en-GB"/>
              </w:rPr>
              <w:t>40%</w:t>
            </w:r>
          </w:p>
        </w:tc>
        <w:tc>
          <w:tcPr>
            <w:tcW w:w="1240" w:type="dxa"/>
            <w:shd w:val="clear" w:color="000000" w:fill="F4B084"/>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47%</w:t>
            </w:r>
          </w:p>
        </w:tc>
        <w:tc>
          <w:tcPr>
            <w:tcW w:w="1335" w:type="dxa"/>
            <w:gridSpan w:val="2"/>
            <w:shd w:val="clear" w:color="000000" w:fill="F4B084"/>
            <w:noWrap/>
            <w:hideMark/>
          </w:tcPr>
          <w:p w:rsidR="00BC20DC" w:rsidRPr="006D43E2" w:rsidRDefault="00BC20DC" w:rsidP="002728F3">
            <w:pPr>
              <w:spacing w:beforeLines="20" w:before="48" w:afterLines="20" w:after="48" w:line="240" w:lineRule="auto"/>
              <w:ind w:right="170"/>
              <w:jc w:val="right"/>
              <w:rPr>
                <w:color w:val="000000" w:themeColor="text1"/>
                <w:sz w:val="18"/>
                <w:szCs w:val="18"/>
                <w:lang w:eastAsia="en-GB"/>
              </w:rPr>
            </w:pPr>
            <w:r w:rsidRPr="006D43E2">
              <w:rPr>
                <w:color w:val="000000" w:themeColor="text1"/>
                <w:sz w:val="18"/>
                <w:szCs w:val="18"/>
                <w:lang w:eastAsia="en-GB"/>
              </w:rPr>
              <w:t>47%</w:t>
            </w:r>
          </w:p>
        </w:tc>
        <w:tc>
          <w:tcPr>
            <w:tcW w:w="1365" w:type="dxa"/>
            <w:shd w:val="clear" w:color="000000" w:fill="FFD966"/>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67%</w:t>
            </w:r>
          </w:p>
        </w:tc>
        <w:tc>
          <w:tcPr>
            <w:tcW w:w="1021" w:type="dxa"/>
            <w:shd w:val="clear" w:color="000000" w:fill="F4B084"/>
            <w:noWrap/>
            <w:hideMark/>
          </w:tcPr>
          <w:p w:rsidR="00BC20DC" w:rsidRPr="006D43E2" w:rsidRDefault="00BC20DC" w:rsidP="002728F3">
            <w:pPr>
              <w:spacing w:beforeLines="20" w:before="48" w:afterLines="20" w:after="48" w:line="240" w:lineRule="auto"/>
              <w:jc w:val="right"/>
              <w:rPr>
                <w:b/>
                <w:color w:val="000000" w:themeColor="text1"/>
                <w:sz w:val="18"/>
                <w:szCs w:val="18"/>
                <w:lang w:eastAsia="en-GB"/>
              </w:rPr>
            </w:pPr>
            <w:r w:rsidRPr="006D43E2">
              <w:rPr>
                <w:b/>
                <w:color w:val="000000" w:themeColor="text1"/>
                <w:sz w:val="18"/>
                <w:szCs w:val="18"/>
                <w:lang w:eastAsia="en-GB"/>
              </w:rPr>
              <w:t>49%</w:t>
            </w:r>
          </w:p>
        </w:tc>
      </w:tr>
      <w:tr w:rsidR="00F857C3" w:rsidRPr="006D43E2" w:rsidTr="002728F3">
        <w:tc>
          <w:tcPr>
            <w:tcW w:w="1738" w:type="dxa"/>
            <w:shd w:val="clear" w:color="auto" w:fill="auto"/>
            <w:vAlign w:val="bottom"/>
            <w:hideMark/>
          </w:tcPr>
          <w:p w:rsidR="00BC20DC" w:rsidRPr="006D43E2" w:rsidRDefault="00BC20DC" w:rsidP="005B5486">
            <w:pPr>
              <w:tabs>
                <w:tab w:val="left" w:pos="352"/>
              </w:tabs>
              <w:spacing w:beforeLines="20" w:before="48" w:afterLines="20" w:after="48" w:line="240" w:lineRule="auto"/>
              <w:rPr>
                <w:color w:val="000000" w:themeColor="text1"/>
                <w:sz w:val="18"/>
                <w:szCs w:val="18"/>
              </w:rPr>
            </w:pPr>
            <w:r w:rsidRPr="006D43E2">
              <w:rPr>
                <w:color w:val="000000" w:themeColor="text1"/>
                <w:sz w:val="18"/>
                <w:szCs w:val="18"/>
              </w:rPr>
              <w:t>Ukraine</w:t>
            </w:r>
          </w:p>
        </w:tc>
        <w:tc>
          <w:tcPr>
            <w:tcW w:w="1370" w:type="dxa"/>
            <w:shd w:val="clear" w:color="000000" w:fill="FFD966"/>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62%</w:t>
            </w:r>
          </w:p>
        </w:tc>
        <w:tc>
          <w:tcPr>
            <w:tcW w:w="1338" w:type="dxa"/>
            <w:shd w:val="clear" w:color="000000" w:fill="FFD966"/>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62%</w:t>
            </w:r>
          </w:p>
        </w:tc>
        <w:tc>
          <w:tcPr>
            <w:tcW w:w="1334" w:type="dxa"/>
            <w:shd w:val="clear" w:color="000000" w:fill="FFD966"/>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62%</w:t>
            </w:r>
          </w:p>
        </w:tc>
        <w:tc>
          <w:tcPr>
            <w:tcW w:w="1501" w:type="dxa"/>
            <w:gridSpan w:val="2"/>
            <w:shd w:val="clear" w:color="auto" w:fill="F2F2F2" w:themeFill="background1" w:themeFillShade="F2"/>
            <w:noWrap/>
            <w:hideMark/>
          </w:tcPr>
          <w:p w:rsidR="00BC20DC" w:rsidRPr="006D43E2" w:rsidRDefault="00BC20DC" w:rsidP="002728F3">
            <w:pPr>
              <w:spacing w:beforeLines="20" w:before="48" w:afterLines="20" w:after="48" w:line="240" w:lineRule="auto"/>
              <w:ind w:right="284"/>
              <w:jc w:val="right"/>
              <w:rPr>
                <w:color w:val="000000" w:themeColor="text1"/>
                <w:sz w:val="18"/>
                <w:szCs w:val="18"/>
                <w:lang w:eastAsia="en-GB"/>
              </w:rPr>
            </w:pPr>
            <w:r w:rsidRPr="006D43E2">
              <w:rPr>
                <w:color w:val="000000" w:themeColor="text1"/>
                <w:sz w:val="18"/>
                <w:szCs w:val="18"/>
                <w:lang w:eastAsia="en-GB"/>
              </w:rPr>
              <w:t>N/A</w:t>
            </w:r>
          </w:p>
        </w:tc>
        <w:tc>
          <w:tcPr>
            <w:tcW w:w="1240" w:type="dxa"/>
            <w:shd w:val="clear" w:color="000000" w:fill="FFD966"/>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62%</w:t>
            </w:r>
          </w:p>
        </w:tc>
        <w:tc>
          <w:tcPr>
            <w:tcW w:w="1335" w:type="dxa"/>
            <w:gridSpan w:val="2"/>
            <w:shd w:val="clear" w:color="000000" w:fill="FFD966"/>
            <w:noWrap/>
            <w:hideMark/>
          </w:tcPr>
          <w:p w:rsidR="00BC20DC" w:rsidRPr="006D43E2" w:rsidRDefault="00BC20DC" w:rsidP="002728F3">
            <w:pPr>
              <w:spacing w:beforeLines="20" w:before="48" w:afterLines="20" w:after="48" w:line="240" w:lineRule="auto"/>
              <w:ind w:right="170"/>
              <w:jc w:val="right"/>
              <w:rPr>
                <w:color w:val="000000" w:themeColor="text1"/>
                <w:sz w:val="18"/>
                <w:szCs w:val="18"/>
                <w:lang w:eastAsia="en-GB"/>
              </w:rPr>
            </w:pPr>
            <w:r w:rsidRPr="006D43E2">
              <w:rPr>
                <w:color w:val="000000" w:themeColor="text1"/>
                <w:sz w:val="18"/>
                <w:szCs w:val="18"/>
                <w:lang w:eastAsia="en-GB"/>
              </w:rPr>
              <w:t>62%</w:t>
            </w:r>
          </w:p>
        </w:tc>
        <w:tc>
          <w:tcPr>
            <w:tcW w:w="1365" w:type="dxa"/>
            <w:shd w:val="clear" w:color="000000" w:fill="FFD966"/>
            <w:noWrap/>
            <w:hideMark/>
          </w:tcPr>
          <w:p w:rsidR="00BC20DC" w:rsidRPr="006D43E2" w:rsidRDefault="00BC20DC" w:rsidP="002728F3">
            <w:pPr>
              <w:spacing w:beforeLines="20" w:before="48" w:afterLines="20" w:after="48" w:line="240" w:lineRule="auto"/>
              <w:jc w:val="right"/>
              <w:rPr>
                <w:color w:val="000000" w:themeColor="text1"/>
                <w:sz w:val="18"/>
                <w:szCs w:val="18"/>
                <w:lang w:eastAsia="en-GB"/>
              </w:rPr>
            </w:pPr>
            <w:r w:rsidRPr="006D43E2">
              <w:rPr>
                <w:color w:val="000000" w:themeColor="text1"/>
                <w:sz w:val="18"/>
                <w:szCs w:val="18"/>
                <w:lang w:eastAsia="en-GB"/>
              </w:rPr>
              <w:t>70%</w:t>
            </w:r>
          </w:p>
        </w:tc>
        <w:tc>
          <w:tcPr>
            <w:tcW w:w="1021" w:type="dxa"/>
            <w:shd w:val="clear" w:color="000000" w:fill="FFD966"/>
            <w:noWrap/>
            <w:hideMark/>
          </w:tcPr>
          <w:p w:rsidR="00BC20DC" w:rsidRPr="006D43E2" w:rsidRDefault="00BC20DC" w:rsidP="002728F3">
            <w:pPr>
              <w:spacing w:beforeLines="20" w:before="48" w:afterLines="20" w:after="48" w:line="240" w:lineRule="auto"/>
              <w:jc w:val="right"/>
              <w:rPr>
                <w:b/>
                <w:color w:val="000000" w:themeColor="text1"/>
                <w:sz w:val="18"/>
                <w:szCs w:val="18"/>
                <w:lang w:eastAsia="en-GB"/>
              </w:rPr>
            </w:pPr>
            <w:r w:rsidRPr="006D43E2">
              <w:rPr>
                <w:b/>
                <w:color w:val="000000" w:themeColor="text1"/>
                <w:sz w:val="18"/>
                <w:szCs w:val="18"/>
                <w:lang w:eastAsia="en-GB"/>
              </w:rPr>
              <w:t>54%</w:t>
            </w:r>
          </w:p>
        </w:tc>
      </w:tr>
      <w:tr w:rsidR="00F857C3" w:rsidRPr="006D43E2" w:rsidTr="002728F3">
        <w:tc>
          <w:tcPr>
            <w:tcW w:w="1738" w:type="dxa"/>
            <w:tcBorders>
              <w:bottom w:val="single" w:sz="4" w:space="0" w:color="auto"/>
            </w:tcBorders>
            <w:shd w:val="clear" w:color="auto" w:fill="auto"/>
            <w:vAlign w:val="bottom"/>
            <w:hideMark/>
          </w:tcPr>
          <w:p w:rsidR="00BC20DC" w:rsidRPr="006D43E2" w:rsidRDefault="00BC20DC" w:rsidP="002728F3">
            <w:pPr>
              <w:tabs>
                <w:tab w:val="left" w:pos="352"/>
              </w:tabs>
              <w:spacing w:before="40" w:after="80" w:line="240" w:lineRule="auto"/>
              <w:rPr>
                <w:color w:val="000000" w:themeColor="text1"/>
                <w:sz w:val="18"/>
                <w:szCs w:val="18"/>
              </w:rPr>
            </w:pPr>
            <w:r w:rsidRPr="006D43E2">
              <w:rPr>
                <w:color w:val="000000" w:themeColor="text1"/>
                <w:sz w:val="18"/>
                <w:szCs w:val="18"/>
              </w:rPr>
              <w:t>Uzbekistan</w:t>
            </w:r>
          </w:p>
        </w:tc>
        <w:tc>
          <w:tcPr>
            <w:tcW w:w="1370" w:type="dxa"/>
            <w:tcBorders>
              <w:bottom w:val="single" w:sz="4" w:space="0" w:color="auto"/>
            </w:tcBorders>
            <w:shd w:val="clear" w:color="000000" w:fill="FFD966"/>
            <w:noWrap/>
            <w:hideMark/>
          </w:tcPr>
          <w:p w:rsidR="00BC20DC" w:rsidRPr="006D43E2" w:rsidRDefault="00BC20DC" w:rsidP="002728F3">
            <w:pPr>
              <w:spacing w:before="40" w:after="80" w:line="240" w:lineRule="auto"/>
              <w:jc w:val="right"/>
              <w:rPr>
                <w:color w:val="000000" w:themeColor="text1"/>
                <w:sz w:val="18"/>
                <w:szCs w:val="18"/>
                <w:lang w:eastAsia="en-GB"/>
              </w:rPr>
            </w:pPr>
            <w:r w:rsidRPr="006D43E2">
              <w:rPr>
                <w:color w:val="000000" w:themeColor="text1"/>
                <w:sz w:val="18"/>
                <w:szCs w:val="18"/>
                <w:lang w:eastAsia="en-GB"/>
              </w:rPr>
              <w:t>73%</w:t>
            </w:r>
          </w:p>
        </w:tc>
        <w:tc>
          <w:tcPr>
            <w:tcW w:w="1338" w:type="dxa"/>
            <w:tcBorders>
              <w:bottom w:val="single" w:sz="4" w:space="0" w:color="auto"/>
            </w:tcBorders>
            <w:shd w:val="clear" w:color="000000" w:fill="FFD966"/>
            <w:noWrap/>
            <w:hideMark/>
          </w:tcPr>
          <w:p w:rsidR="00BC20DC" w:rsidRPr="006D43E2" w:rsidRDefault="00BC20DC" w:rsidP="002728F3">
            <w:pPr>
              <w:spacing w:before="40" w:after="80" w:line="240" w:lineRule="auto"/>
              <w:jc w:val="right"/>
              <w:rPr>
                <w:color w:val="000000" w:themeColor="text1"/>
                <w:sz w:val="18"/>
                <w:szCs w:val="18"/>
                <w:lang w:eastAsia="en-GB"/>
              </w:rPr>
            </w:pPr>
            <w:r w:rsidRPr="006D43E2">
              <w:rPr>
                <w:color w:val="000000" w:themeColor="text1"/>
                <w:sz w:val="18"/>
                <w:szCs w:val="18"/>
                <w:lang w:eastAsia="en-GB"/>
              </w:rPr>
              <w:t>68%</w:t>
            </w:r>
          </w:p>
        </w:tc>
        <w:tc>
          <w:tcPr>
            <w:tcW w:w="1334" w:type="dxa"/>
            <w:tcBorders>
              <w:bottom w:val="single" w:sz="4" w:space="0" w:color="auto"/>
            </w:tcBorders>
            <w:shd w:val="clear" w:color="000000" w:fill="FFD966"/>
            <w:noWrap/>
            <w:hideMark/>
          </w:tcPr>
          <w:p w:rsidR="00BC20DC" w:rsidRPr="006D43E2" w:rsidRDefault="00BC20DC" w:rsidP="002728F3">
            <w:pPr>
              <w:spacing w:before="40" w:after="80" w:line="240" w:lineRule="auto"/>
              <w:jc w:val="right"/>
              <w:rPr>
                <w:color w:val="000000" w:themeColor="text1"/>
                <w:sz w:val="18"/>
                <w:szCs w:val="18"/>
                <w:lang w:eastAsia="en-GB"/>
              </w:rPr>
            </w:pPr>
            <w:r w:rsidRPr="006D43E2">
              <w:rPr>
                <w:color w:val="000000" w:themeColor="text1"/>
                <w:sz w:val="18"/>
                <w:szCs w:val="18"/>
                <w:lang w:eastAsia="en-GB"/>
              </w:rPr>
              <w:t>75%</w:t>
            </w:r>
          </w:p>
        </w:tc>
        <w:tc>
          <w:tcPr>
            <w:tcW w:w="1501" w:type="dxa"/>
            <w:gridSpan w:val="2"/>
            <w:tcBorders>
              <w:bottom w:val="single" w:sz="4" w:space="0" w:color="auto"/>
            </w:tcBorders>
            <w:shd w:val="clear" w:color="000000" w:fill="FFD966"/>
            <w:noWrap/>
            <w:hideMark/>
          </w:tcPr>
          <w:p w:rsidR="00BC20DC" w:rsidRPr="006D43E2" w:rsidRDefault="00BC20DC" w:rsidP="002728F3">
            <w:pPr>
              <w:spacing w:before="40" w:after="80" w:line="240" w:lineRule="auto"/>
              <w:ind w:right="284"/>
              <w:jc w:val="right"/>
              <w:rPr>
                <w:color w:val="000000" w:themeColor="text1"/>
                <w:sz w:val="18"/>
                <w:szCs w:val="18"/>
                <w:lang w:eastAsia="en-GB"/>
              </w:rPr>
            </w:pPr>
            <w:r w:rsidRPr="006D43E2">
              <w:rPr>
                <w:color w:val="000000" w:themeColor="text1"/>
                <w:sz w:val="18"/>
                <w:szCs w:val="18"/>
                <w:lang w:eastAsia="en-GB"/>
              </w:rPr>
              <w:t>75%</w:t>
            </w:r>
          </w:p>
        </w:tc>
        <w:tc>
          <w:tcPr>
            <w:tcW w:w="1240" w:type="dxa"/>
            <w:tcBorders>
              <w:bottom w:val="single" w:sz="4" w:space="0" w:color="auto"/>
            </w:tcBorders>
            <w:shd w:val="clear" w:color="000000" w:fill="FFD966"/>
            <w:noWrap/>
            <w:hideMark/>
          </w:tcPr>
          <w:p w:rsidR="00BC20DC" w:rsidRPr="006D43E2" w:rsidRDefault="00BC20DC" w:rsidP="002728F3">
            <w:pPr>
              <w:spacing w:before="40" w:after="80" w:line="240" w:lineRule="auto"/>
              <w:jc w:val="right"/>
              <w:rPr>
                <w:color w:val="000000" w:themeColor="text1"/>
                <w:sz w:val="18"/>
                <w:szCs w:val="18"/>
                <w:lang w:eastAsia="en-GB"/>
              </w:rPr>
            </w:pPr>
            <w:r w:rsidRPr="006D43E2">
              <w:rPr>
                <w:color w:val="000000" w:themeColor="text1"/>
                <w:sz w:val="18"/>
                <w:szCs w:val="18"/>
                <w:lang w:eastAsia="en-GB"/>
              </w:rPr>
              <w:t>67%</w:t>
            </w:r>
          </w:p>
        </w:tc>
        <w:tc>
          <w:tcPr>
            <w:tcW w:w="1335" w:type="dxa"/>
            <w:gridSpan w:val="2"/>
            <w:tcBorders>
              <w:bottom w:val="single" w:sz="4" w:space="0" w:color="auto"/>
            </w:tcBorders>
            <w:shd w:val="clear" w:color="000000" w:fill="FFD966"/>
            <w:noWrap/>
            <w:hideMark/>
          </w:tcPr>
          <w:p w:rsidR="00BC20DC" w:rsidRPr="006D43E2" w:rsidRDefault="00BC20DC" w:rsidP="002728F3">
            <w:pPr>
              <w:spacing w:before="40" w:after="80" w:line="240" w:lineRule="auto"/>
              <w:ind w:right="170"/>
              <w:jc w:val="right"/>
              <w:rPr>
                <w:color w:val="000000" w:themeColor="text1"/>
                <w:sz w:val="18"/>
                <w:szCs w:val="18"/>
                <w:lang w:eastAsia="en-GB"/>
              </w:rPr>
            </w:pPr>
            <w:r w:rsidRPr="006D43E2">
              <w:rPr>
                <w:color w:val="000000" w:themeColor="text1"/>
                <w:sz w:val="18"/>
                <w:szCs w:val="18"/>
                <w:lang w:eastAsia="en-GB"/>
              </w:rPr>
              <w:t>72%</w:t>
            </w:r>
          </w:p>
        </w:tc>
        <w:tc>
          <w:tcPr>
            <w:tcW w:w="1365" w:type="dxa"/>
            <w:tcBorders>
              <w:bottom w:val="single" w:sz="4" w:space="0" w:color="auto"/>
            </w:tcBorders>
            <w:shd w:val="clear" w:color="000000" w:fill="A9D08E"/>
            <w:noWrap/>
            <w:hideMark/>
          </w:tcPr>
          <w:p w:rsidR="00BC20DC" w:rsidRPr="006D43E2" w:rsidRDefault="00BC20DC" w:rsidP="002728F3">
            <w:pPr>
              <w:spacing w:before="40" w:after="80" w:line="240" w:lineRule="auto"/>
              <w:jc w:val="right"/>
              <w:rPr>
                <w:color w:val="000000" w:themeColor="text1"/>
                <w:sz w:val="18"/>
                <w:szCs w:val="18"/>
                <w:lang w:eastAsia="en-GB"/>
              </w:rPr>
            </w:pPr>
            <w:r w:rsidRPr="006D43E2">
              <w:rPr>
                <w:color w:val="000000" w:themeColor="text1"/>
                <w:sz w:val="18"/>
                <w:szCs w:val="18"/>
                <w:lang w:eastAsia="en-GB"/>
              </w:rPr>
              <w:t>80%</w:t>
            </w:r>
          </w:p>
        </w:tc>
        <w:tc>
          <w:tcPr>
            <w:tcW w:w="1021" w:type="dxa"/>
            <w:tcBorders>
              <w:bottom w:val="single" w:sz="4" w:space="0" w:color="auto"/>
            </w:tcBorders>
            <w:shd w:val="clear" w:color="000000" w:fill="FFD966"/>
            <w:noWrap/>
            <w:hideMark/>
          </w:tcPr>
          <w:p w:rsidR="00BC20DC" w:rsidRPr="006D43E2" w:rsidRDefault="00BC20DC" w:rsidP="002728F3">
            <w:pPr>
              <w:spacing w:before="40" w:after="80" w:line="240" w:lineRule="auto"/>
              <w:jc w:val="right"/>
              <w:rPr>
                <w:b/>
                <w:color w:val="000000" w:themeColor="text1"/>
                <w:sz w:val="18"/>
                <w:szCs w:val="18"/>
                <w:lang w:eastAsia="en-GB"/>
              </w:rPr>
            </w:pPr>
            <w:r w:rsidRPr="006D43E2">
              <w:rPr>
                <w:b/>
                <w:color w:val="000000" w:themeColor="text1"/>
                <w:sz w:val="18"/>
                <w:szCs w:val="18"/>
                <w:lang w:eastAsia="en-GB"/>
              </w:rPr>
              <w:t>73%</w:t>
            </w:r>
          </w:p>
        </w:tc>
      </w:tr>
      <w:tr w:rsidR="00F857C3" w:rsidRPr="006D43E2" w:rsidTr="002728F3">
        <w:tc>
          <w:tcPr>
            <w:tcW w:w="1738" w:type="dxa"/>
            <w:tcBorders>
              <w:top w:val="single" w:sz="4" w:space="0" w:color="auto"/>
              <w:bottom w:val="single" w:sz="12" w:space="0" w:color="auto"/>
            </w:tcBorders>
            <w:shd w:val="clear" w:color="auto" w:fill="auto"/>
            <w:vAlign w:val="bottom"/>
            <w:hideMark/>
          </w:tcPr>
          <w:p w:rsidR="00BC20DC" w:rsidRPr="006D43E2" w:rsidRDefault="00BC20DC" w:rsidP="002728F3">
            <w:pPr>
              <w:spacing w:before="80" w:after="80" w:line="240" w:lineRule="auto"/>
              <w:rPr>
                <w:b/>
                <w:color w:val="000000" w:themeColor="text1"/>
                <w:sz w:val="18"/>
                <w:szCs w:val="18"/>
                <w:lang w:eastAsia="en-GB"/>
              </w:rPr>
            </w:pPr>
            <w:r w:rsidRPr="006D43E2">
              <w:rPr>
                <w:b/>
                <w:color w:val="000000" w:themeColor="text1"/>
                <w:sz w:val="18"/>
                <w:szCs w:val="18"/>
                <w:lang w:eastAsia="en-GB"/>
              </w:rPr>
              <w:t>Average for all countries</w:t>
            </w:r>
          </w:p>
        </w:tc>
        <w:tc>
          <w:tcPr>
            <w:tcW w:w="1370" w:type="dxa"/>
            <w:tcBorders>
              <w:top w:val="single" w:sz="4" w:space="0" w:color="auto"/>
              <w:bottom w:val="single" w:sz="12" w:space="0" w:color="auto"/>
            </w:tcBorders>
            <w:shd w:val="clear" w:color="000000" w:fill="A9D08E"/>
            <w:noWrap/>
            <w:hideMark/>
          </w:tcPr>
          <w:p w:rsidR="00BC20DC" w:rsidRPr="006D43E2" w:rsidRDefault="00BC20DC" w:rsidP="002728F3">
            <w:pPr>
              <w:spacing w:before="80" w:after="80" w:line="240" w:lineRule="auto"/>
              <w:jc w:val="right"/>
              <w:rPr>
                <w:b/>
                <w:color w:val="000000" w:themeColor="text1"/>
                <w:sz w:val="18"/>
                <w:szCs w:val="18"/>
                <w:lang w:eastAsia="en-GB"/>
              </w:rPr>
            </w:pPr>
            <w:r w:rsidRPr="006D43E2">
              <w:rPr>
                <w:b/>
                <w:color w:val="000000" w:themeColor="text1"/>
                <w:sz w:val="18"/>
                <w:szCs w:val="18"/>
                <w:lang w:eastAsia="en-GB"/>
              </w:rPr>
              <w:t>84%</w:t>
            </w:r>
          </w:p>
        </w:tc>
        <w:tc>
          <w:tcPr>
            <w:tcW w:w="1338" w:type="dxa"/>
            <w:tcBorders>
              <w:top w:val="single" w:sz="4" w:space="0" w:color="auto"/>
              <w:bottom w:val="single" w:sz="12" w:space="0" w:color="auto"/>
            </w:tcBorders>
            <w:shd w:val="clear" w:color="000000" w:fill="A9D08E"/>
            <w:noWrap/>
            <w:hideMark/>
          </w:tcPr>
          <w:p w:rsidR="00BC20DC" w:rsidRPr="006D43E2" w:rsidRDefault="00BC20DC" w:rsidP="002728F3">
            <w:pPr>
              <w:spacing w:before="80" w:after="80" w:line="240" w:lineRule="auto"/>
              <w:jc w:val="right"/>
              <w:rPr>
                <w:b/>
                <w:color w:val="000000" w:themeColor="text1"/>
                <w:sz w:val="18"/>
                <w:szCs w:val="18"/>
                <w:lang w:eastAsia="en-GB"/>
              </w:rPr>
            </w:pPr>
            <w:r w:rsidRPr="006D43E2">
              <w:rPr>
                <w:b/>
                <w:color w:val="000000" w:themeColor="text1"/>
                <w:sz w:val="18"/>
                <w:szCs w:val="18"/>
                <w:lang w:eastAsia="en-GB"/>
              </w:rPr>
              <w:t>84%</w:t>
            </w:r>
          </w:p>
        </w:tc>
        <w:tc>
          <w:tcPr>
            <w:tcW w:w="1334" w:type="dxa"/>
            <w:tcBorders>
              <w:top w:val="single" w:sz="4" w:space="0" w:color="auto"/>
              <w:bottom w:val="single" w:sz="12" w:space="0" w:color="auto"/>
            </w:tcBorders>
            <w:shd w:val="clear" w:color="000000" w:fill="A9D08E"/>
            <w:noWrap/>
            <w:hideMark/>
          </w:tcPr>
          <w:p w:rsidR="00BC20DC" w:rsidRPr="006D43E2" w:rsidRDefault="00BC20DC" w:rsidP="002728F3">
            <w:pPr>
              <w:spacing w:before="80" w:after="80" w:line="240" w:lineRule="auto"/>
              <w:jc w:val="right"/>
              <w:rPr>
                <w:b/>
                <w:color w:val="000000" w:themeColor="text1"/>
                <w:sz w:val="18"/>
                <w:szCs w:val="18"/>
                <w:lang w:eastAsia="en-GB"/>
              </w:rPr>
            </w:pPr>
            <w:r w:rsidRPr="006D43E2">
              <w:rPr>
                <w:b/>
                <w:color w:val="000000" w:themeColor="text1"/>
                <w:sz w:val="18"/>
                <w:szCs w:val="18"/>
                <w:lang w:eastAsia="en-GB"/>
              </w:rPr>
              <w:t>83%</w:t>
            </w:r>
          </w:p>
        </w:tc>
        <w:tc>
          <w:tcPr>
            <w:tcW w:w="1501" w:type="dxa"/>
            <w:gridSpan w:val="2"/>
            <w:tcBorders>
              <w:top w:val="single" w:sz="4" w:space="0" w:color="auto"/>
              <w:bottom w:val="single" w:sz="12" w:space="0" w:color="auto"/>
            </w:tcBorders>
            <w:shd w:val="clear" w:color="000000" w:fill="A9D08E"/>
            <w:noWrap/>
            <w:hideMark/>
          </w:tcPr>
          <w:p w:rsidR="00BC20DC" w:rsidRPr="006D43E2" w:rsidRDefault="00BC20DC" w:rsidP="002728F3">
            <w:pPr>
              <w:spacing w:before="80" w:after="80" w:line="240" w:lineRule="auto"/>
              <w:ind w:right="284"/>
              <w:jc w:val="right"/>
              <w:rPr>
                <w:b/>
                <w:color w:val="000000" w:themeColor="text1"/>
                <w:sz w:val="18"/>
                <w:szCs w:val="18"/>
                <w:lang w:eastAsia="en-GB"/>
              </w:rPr>
            </w:pPr>
            <w:r w:rsidRPr="006D43E2">
              <w:rPr>
                <w:b/>
                <w:color w:val="000000" w:themeColor="text1"/>
                <w:sz w:val="18"/>
                <w:szCs w:val="18"/>
                <w:lang w:eastAsia="en-GB"/>
              </w:rPr>
              <w:t>84%</w:t>
            </w:r>
          </w:p>
        </w:tc>
        <w:tc>
          <w:tcPr>
            <w:tcW w:w="1240" w:type="dxa"/>
            <w:tcBorders>
              <w:top w:val="single" w:sz="4" w:space="0" w:color="auto"/>
              <w:bottom w:val="single" w:sz="12" w:space="0" w:color="auto"/>
            </w:tcBorders>
            <w:shd w:val="clear" w:color="000000" w:fill="A9D08E"/>
            <w:noWrap/>
            <w:hideMark/>
          </w:tcPr>
          <w:p w:rsidR="00BC20DC" w:rsidRPr="006D43E2" w:rsidRDefault="00BC20DC" w:rsidP="002728F3">
            <w:pPr>
              <w:spacing w:before="80" w:after="80" w:line="240" w:lineRule="auto"/>
              <w:jc w:val="right"/>
              <w:rPr>
                <w:b/>
                <w:color w:val="000000" w:themeColor="text1"/>
                <w:sz w:val="18"/>
                <w:szCs w:val="18"/>
                <w:lang w:eastAsia="en-GB"/>
              </w:rPr>
            </w:pPr>
            <w:r w:rsidRPr="006D43E2">
              <w:rPr>
                <w:b/>
                <w:color w:val="000000" w:themeColor="text1"/>
                <w:sz w:val="18"/>
                <w:szCs w:val="18"/>
                <w:lang w:eastAsia="en-GB"/>
              </w:rPr>
              <w:t>78%</w:t>
            </w:r>
          </w:p>
        </w:tc>
        <w:tc>
          <w:tcPr>
            <w:tcW w:w="1335" w:type="dxa"/>
            <w:gridSpan w:val="2"/>
            <w:tcBorders>
              <w:top w:val="single" w:sz="4" w:space="0" w:color="auto"/>
              <w:bottom w:val="single" w:sz="12" w:space="0" w:color="auto"/>
            </w:tcBorders>
            <w:shd w:val="clear" w:color="000000" w:fill="A9D08E"/>
            <w:noWrap/>
            <w:hideMark/>
          </w:tcPr>
          <w:p w:rsidR="00BC20DC" w:rsidRPr="006D43E2" w:rsidRDefault="00BC20DC" w:rsidP="002728F3">
            <w:pPr>
              <w:spacing w:before="80" w:after="80" w:line="240" w:lineRule="auto"/>
              <w:ind w:right="170"/>
              <w:jc w:val="right"/>
              <w:rPr>
                <w:b/>
                <w:color w:val="000000" w:themeColor="text1"/>
                <w:sz w:val="18"/>
                <w:szCs w:val="18"/>
                <w:lang w:eastAsia="en-GB"/>
              </w:rPr>
            </w:pPr>
            <w:r w:rsidRPr="006D43E2">
              <w:rPr>
                <w:b/>
                <w:color w:val="000000" w:themeColor="text1"/>
                <w:sz w:val="18"/>
                <w:szCs w:val="18"/>
                <w:lang w:eastAsia="en-GB"/>
              </w:rPr>
              <w:t>79%</w:t>
            </w:r>
          </w:p>
        </w:tc>
        <w:tc>
          <w:tcPr>
            <w:tcW w:w="1365" w:type="dxa"/>
            <w:tcBorders>
              <w:top w:val="single" w:sz="4" w:space="0" w:color="auto"/>
              <w:bottom w:val="single" w:sz="12" w:space="0" w:color="auto"/>
            </w:tcBorders>
            <w:shd w:val="clear" w:color="000000" w:fill="A9D08E"/>
            <w:noWrap/>
            <w:hideMark/>
          </w:tcPr>
          <w:p w:rsidR="00BC20DC" w:rsidRPr="006D43E2" w:rsidRDefault="00BC20DC" w:rsidP="002728F3">
            <w:pPr>
              <w:spacing w:before="80" w:after="80" w:line="240" w:lineRule="auto"/>
              <w:jc w:val="right"/>
              <w:rPr>
                <w:b/>
                <w:color w:val="000000" w:themeColor="text1"/>
                <w:sz w:val="18"/>
                <w:szCs w:val="18"/>
                <w:lang w:eastAsia="en-GB"/>
              </w:rPr>
            </w:pPr>
            <w:r w:rsidRPr="006D43E2">
              <w:rPr>
                <w:b/>
                <w:color w:val="000000" w:themeColor="text1"/>
                <w:sz w:val="18"/>
                <w:szCs w:val="18"/>
                <w:lang w:eastAsia="en-GB"/>
              </w:rPr>
              <w:t>83%</w:t>
            </w:r>
          </w:p>
        </w:tc>
        <w:tc>
          <w:tcPr>
            <w:tcW w:w="1021" w:type="dxa"/>
            <w:tcBorders>
              <w:top w:val="single" w:sz="4" w:space="0" w:color="auto"/>
              <w:bottom w:val="single" w:sz="12" w:space="0" w:color="auto"/>
            </w:tcBorders>
            <w:shd w:val="clear" w:color="000000" w:fill="A9D08E"/>
            <w:noWrap/>
            <w:hideMark/>
          </w:tcPr>
          <w:p w:rsidR="00BC20DC" w:rsidRPr="006D43E2" w:rsidRDefault="00BC20DC" w:rsidP="002728F3">
            <w:pPr>
              <w:spacing w:before="80" w:after="80" w:line="240" w:lineRule="auto"/>
              <w:jc w:val="right"/>
              <w:rPr>
                <w:b/>
                <w:color w:val="000000" w:themeColor="text1"/>
                <w:sz w:val="18"/>
                <w:szCs w:val="18"/>
                <w:lang w:eastAsia="en-GB"/>
              </w:rPr>
            </w:pPr>
            <w:r w:rsidRPr="006D43E2">
              <w:rPr>
                <w:b/>
                <w:color w:val="000000" w:themeColor="text1"/>
                <w:sz w:val="18"/>
                <w:szCs w:val="18"/>
                <w:lang w:eastAsia="en-GB"/>
              </w:rPr>
              <w:t>81%</w:t>
            </w:r>
          </w:p>
        </w:tc>
      </w:tr>
    </w:tbl>
    <w:p w:rsidR="00BA6E05" w:rsidRDefault="00BA6E05" w:rsidP="00E2798B">
      <w:pPr>
        <w:pStyle w:val="SingleTxtG"/>
        <w:spacing w:before="120" w:after="0" w:line="220" w:lineRule="exact"/>
        <w:ind w:left="295" w:firstLine="153"/>
        <w:rPr>
          <w:i/>
          <w:iCs/>
          <w:sz w:val="18"/>
          <w:szCs w:val="18"/>
        </w:rPr>
      </w:pPr>
      <w:bookmarkStart w:id="5" w:name="_Hlk529173067"/>
      <w:bookmarkEnd w:id="4"/>
      <w:r>
        <w:rPr>
          <w:i/>
          <w:iCs/>
          <w:sz w:val="18"/>
          <w:szCs w:val="18"/>
        </w:rPr>
        <w:t>Abbreviation</w:t>
      </w:r>
      <w:r w:rsidRPr="00E2798B">
        <w:rPr>
          <w:sz w:val="18"/>
          <w:szCs w:val="18"/>
        </w:rPr>
        <w:t xml:space="preserve">: </w:t>
      </w:r>
      <w:r w:rsidRPr="006D43E2">
        <w:rPr>
          <w:sz w:val="18"/>
          <w:szCs w:val="18"/>
        </w:rPr>
        <w:t>N/A=</w:t>
      </w:r>
      <w:r>
        <w:rPr>
          <w:sz w:val="18"/>
          <w:szCs w:val="18"/>
        </w:rPr>
        <w:t xml:space="preserve"> </w:t>
      </w:r>
      <w:r w:rsidRPr="006D43E2">
        <w:rPr>
          <w:sz w:val="18"/>
          <w:szCs w:val="18"/>
        </w:rPr>
        <w:t>Data not available; performance score for the indicator is assumed to be zero.</w:t>
      </w:r>
    </w:p>
    <w:p w:rsidR="00BC20DC" w:rsidRPr="006D43E2" w:rsidRDefault="00BC20DC" w:rsidP="00E2798B">
      <w:pPr>
        <w:pStyle w:val="SingleTxtG"/>
        <w:spacing w:after="0" w:line="220" w:lineRule="exact"/>
        <w:ind w:left="295" w:firstLine="153"/>
        <w:rPr>
          <w:sz w:val="18"/>
          <w:szCs w:val="18"/>
        </w:rPr>
      </w:pPr>
      <w:r w:rsidRPr="00E2798B">
        <w:rPr>
          <w:i/>
          <w:iCs/>
          <w:sz w:val="18"/>
          <w:szCs w:val="18"/>
        </w:rPr>
        <w:t>Notes</w:t>
      </w:r>
      <w:r w:rsidRPr="006D43E2">
        <w:rPr>
          <w:sz w:val="18"/>
          <w:szCs w:val="18"/>
        </w:rPr>
        <w:t xml:space="preserve">: Calculation of the performance scores is explained in the </w:t>
      </w:r>
      <w:r w:rsidR="00EA64CD">
        <w:rPr>
          <w:sz w:val="18"/>
          <w:szCs w:val="18"/>
        </w:rPr>
        <w:t>a</w:t>
      </w:r>
      <w:r w:rsidRPr="006D43E2">
        <w:rPr>
          <w:sz w:val="18"/>
          <w:szCs w:val="18"/>
        </w:rPr>
        <w:t xml:space="preserve">ssessment </w:t>
      </w:r>
      <w:r w:rsidR="00EA64CD">
        <w:rPr>
          <w:sz w:val="18"/>
          <w:szCs w:val="18"/>
        </w:rPr>
        <w:t>f</w:t>
      </w:r>
      <w:r w:rsidRPr="006D43E2">
        <w:rPr>
          <w:sz w:val="18"/>
          <w:szCs w:val="18"/>
        </w:rPr>
        <w:t xml:space="preserve">ramework. </w:t>
      </w:r>
    </w:p>
    <w:p w:rsidR="00BC20DC" w:rsidRPr="006D43E2" w:rsidRDefault="00BC20DC" w:rsidP="00E2798B">
      <w:pPr>
        <w:pStyle w:val="SingleTxtG"/>
        <w:ind w:left="322" w:firstLine="108"/>
        <w:rPr>
          <w:sz w:val="18"/>
          <w:szCs w:val="18"/>
        </w:rPr>
      </w:pPr>
      <w:r w:rsidRPr="00E2798B">
        <w:rPr>
          <w:i/>
          <w:iCs/>
          <w:sz w:val="18"/>
          <w:szCs w:val="18"/>
        </w:rPr>
        <w:t>Key</w:t>
      </w:r>
      <w:r w:rsidRPr="006D43E2">
        <w:rPr>
          <w:sz w:val="18"/>
          <w:szCs w:val="18"/>
        </w:rPr>
        <w:t>:</w:t>
      </w:r>
    </w:p>
    <w:tbl>
      <w:tblPr>
        <w:tblW w:w="4536" w:type="dxa"/>
        <w:tblInd w:w="978" w:type="dxa"/>
        <w:tblLook w:val="04A0" w:firstRow="1" w:lastRow="0" w:firstColumn="1" w:lastColumn="0" w:noHBand="0" w:noVBand="1"/>
      </w:tblPr>
      <w:tblGrid>
        <w:gridCol w:w="980"/>
        <w:gridCol w:w="3556"/>
      </w:tblGrid>
      <w:tr w:rsidR="00BC20DC" w:rsidRPr="006D43E2" w:rsidTr="00E2798B">
        <w:trPr>
          <w:trHeight w:val="300"/>
        </w:trPr>
        <w:tc>
          <w:tcPr>
            <w:tcW w:w="980" w:type="dxa"/>
            <w:tcBorders>
              <w:top w:val="nil"/>
              <w:left w:val="nil"/>
              <w:bottom w:val="nil"/>
              <w:right w:val="nil"/>
            </w:tcBorders>
            <w:shd w:val="clear" w:color="000000" w:fill="F4B084"/>
            <w:noWrap/>
            <w:vAlign w:val="bottom"/>
            <w:hideMark/>
          </w:tcPr>
          <w:p w:rsidR="00BC20DC" w:rsidRPr="006D43E2" w:rsidRDefault="00BC20DC" w:rsidP="005B5486">
            <w:pPr>
              <w:suppressAutoHyphens w:val="0"/>
              <w:spacing w:line="240" w:lineRule="auto"/>
              <w:ind w:left="284"/>
              <w:rPr>
                <w:rFonts w:ascii="Calibri" w:hAnsi="Calibri" w:cs="Calibri"/>
                <w:color w:val="3F3F76"/>
                <w:sz w:val="22"/>
                <w:szCs w:val="22"/>
                <w:lang w:eastAsia="zh-CN"/>
              </w:rPr>
            </w:pPr>
            <w:r w:rsidRPr="006D43E2">
              <w:rPr>
                <w:rFonts w:ascii="Calibri" w:hAnsi="Calibri" w:cs="Calibri"/>
                <w:color w:val="3F3F76"/>
                <w:sz w:val="22"/>
                <w:szCs w:val="22"/>
                <w:lang w:eastAsia="zh-CN"/>
              </w:rPr>
              <w:t> </w:t>
            </w:r>
          </w:p>
        </w:tc>
        <w:tc>
          <w:tcPr>
            <w:tcW w:w="3556" w:type="dxa"/>
            <w:tcBorders>
              <w:top w:val="nil"/>
              <w:left w:val="nil"/>
              <w:bottom w:val="nil"/>
              <w:right w:val="nil"/>
            </w:tcBorders>
            <w:shd w:val="clear" w:color="auto" w:fill="auto"/>
            <w:noWrap/>
            <w:vAlign w:val="bottom"/>
            <w:hideMark/>
          </w:tcPr>
          <w:p w:rsidR="00BC20DC" w:rsidRPr="006D43E2" w:rsidRDefault="00BC20DC" w:rsidP="005B5486">
            <w:pPr>
              <w:suppressAutoHyphens w:val="0"/>
              <w:spacing w:line="240" w:lineRule="auto"/>
              <w:ind w:left="284"/>
              <w:rPr>
                <w:rFonts w:asciiTheme="majorBidi" w:hAnsiTheme="majorBidi" w:cstheme="majorBidi"/>
                <w:color w:val="000000"/>
                <w:lang w:eastAsia="zh-CN"/>
              </w:rPr>
            </w:pPr>
            <w:r w:rsidRPr="006D43E2">
              <w:rPr>
                <w:rFonts w:asciiTheme="majorBidi" w:hAnsiTheme="majorBidi" w:cstheme="majorBidi"/>
                <w:color w:val="000000"/>
                <w:lang w:eastAsia="zh-CN"/>
              </w:rPr>
              <w:t>0</w:t>
            </w:r>
            <w:r w:rsidR="00BD5348">
              <w:rPr>
                <w:rFonts w:asciiTheme="majorBidi" w:hAnsiTheme="majorBidi" w:cstheme="majorBidi"/>
                <w:color w:val="000000"/>
                <w:lang w:eastAsia="zh-CN"/>
              </w:rPr>
              <w:t>%–</w:t>
            </w:r>
            <w:r w:rsidRPr="006D43E2">
              <w:rPr>
                <w:rFonts w:asciiTheme="majorBidi" w:hAnsiTheme="majorBidi" w:cstheme="majorBidi"/>
                <w:color w:val="000000"/>
                <w:lang w:eastAsia="zh-CN"/>
              </w:rPr>
              <w:t>50%: Requires improvement</w:t>
            </w:r>
          </w:p>
        </w:tc>
      </w:tr>
      <w:tr w:rsidR="00BC20DC" w:rsidRPr="006D43E2" w:rsidTr="00E2798B">
        <w:trPr>
          <w:trHeight w:val="300"/>
        </w:trPr>
        <w:tc>
          <w:tcPr>
            <w:tcW w:w="980" w:type="dxa"/>
            <w:tcBorders>
              <w:top w:val="nil"/>
              <w:left w:val="nil"/>
              <w:bottom w:val="nil"/>
              <w:right w:val="nil"/>
            </w:tcBorders>
            <w:shd w:val="clear" w:color="000000" w:fill="FFD966"/>
            <w:noWrap/>
            <w:vAlign w:val="bottom"/>
            <w:hideMark/>
          </w:tcPr>
          <w:p w:rsidR="00BC20DC" w:rsidRPr="006D43E2" w:rsidRDefault="00BC20DC" w:rsidP="005B5486">
            <w:pPr>
              <w:suppressAutoHyphens w:val="0"/>
              <w:spacing w:line="240" w:lineRule="auto"/>
              <w:ind w:left="284"/>
              <w:rPr>
                <w:rFonts w:ascii="Calibri" w:hAnsi="Calibri" w:cs="Calibri"/>
                <w:color w:val="9C5700"/>
                <w:sz w:val="22"/>
                <w:szCs w:val="22"/>
                <w:lang w:eastAsia="zh-CN"/>
              </w:rPr>
            </w:pPr>
            <w:r w:rsidRPr="006D43E2">
              <w:rPr>
                <w:rFonts w:ascii="Calibri" w:hAnsi="Calibri" w:cs="Calibri"/>
                <w:color w:val="9C5700"/>
                <w:sz w:val="22"/>
                <w:szCs w:val="22"/>
                <w:lang w:eastAsia="zh-CN"/>
              </w:rPr>
              <w:t> </w:t>
            </w:r>
          </w:p>
        </w:tc>
        <w:tc>
          <w:tcPr>
            <w:tcW w:w="3556" w:type="dxa"/>
            <w:tcBorders>
              <w:top w:val="nil"/>
              <w:left w:val="nil"/>
              <w:bottom w:val="nil"/>
              <w:right w:val="nil"/>
            </w:tcBorders>
            <w:shd w:val="clear" w:color="auto" w:fill="auto"/>
            <w:noWrap/>
            <w:vAlign w:val="bottom"/>
            <w:hideMark/>
          </w:tcPr>
          <w:p w:rsidR="00BC20DC" w:rsidRPr="006D43E2" w:rsidRDefault="00BC20DC" w:rsidP="005B5486">
            <w:pPr>
              <w:suppressAutoHyphens w:val="0"/>
              <w:spacing w:line="240" w:lineRule="auto"/>
              <w:ind w:left="284"/>
              <w:rPr>
                <w:rFonts w:asciiTheme="majorBidi" w:hAnsiTheme="majorBidi" w:cstheme="majorBidi"/>
                <w:color w:val="000000"/>
                <w:lang w:eastAsia="zh-CN"/>
              </w:rPr>
            </w:pPr>
            <w:r w:rsidRPr="006D43E2">
              <w:rPr>
                <w:rFonts w:asciiTheme="majorBidi" w:hAnsiTheme="majorBidi" w:cstheme="majorBidi"/>
                <w:color w:val="000000"/>
                <w:lang w:eastAsia="zh-CN"/>
              </w:rPr>
              <w:t>51</w:t>
            </w:r>
            <w:r w:rsidR="00BD5348">
              <w:rPr>
                <w:rFonts w:asciiTheme="majorBidi" w:hAnsiTheme="majorBidi" w:cstheme="majorBidi"/>
                <w:color w:val="000000"/>
                <w:lang w:eastAsia="zh-CN"/>
              </w:rPr>
              <w:t>%–</w:t>
            </w:r>
            <w:r w:rsidRPr="006D43E2">
              <w:rPr>
                <w:rFonts w:asciiTheme="majorBidi" w:hAnsiTheme="majorBidi" w:cstheme="majorBidi"/>
                <w:color w:val="000000"/>
                <w:lang w:eastAsia="zh-CN"/>
              </w:rPr>
              <w:t>75%: Moderate performance</w:t>
            </w:r>
          </w:p>
        </w:tc>
      </w:tr>
      <w:tr w:rsidR="00BC20DC" w:rsidRPr="006D43E2" w:rsidTr="00E2798B">
        <w:trPr>
          <w:trHeight w:val="300"/>
        </w:trPr>
        <w:tc>
          <w:tcPr>
            <w:tcW w:w="980" w:type="dxa"/>
            <w:tcBorders>
              <w:top w:val="nil"/>
              <w:left w:val="nil"/>
              <w:bottom w:val="nil"/>
              <w:right w:val="nil"/>
            </w:tcBorders>
            <w:shd w:val="clear" w:color="000000" w:fill="C6E0B4"/>
            <w:noWrap/>
            <w:vAlign w:val="bottom"/>
            <w:hideMark/>
          </w:tcPr>
          <w:p w:rsidR="00BC20DC" w:rsidRPr="006D43E2" w:rsidRDefault="00BC20DC" w:rsidP="005B5486">
            <w:pPr>
              <w:suppressAutoHyphens w:val="0"/>
              <w:spacing w:line="240" w:lineRule="auto"/>
              <w:ind w:left="284" w:hanging="4"/>
              <w:rPr>
                <w:rFonts w:ascii="Calibri" w:hAnsi="Calibri" w:cs="Calibri"/>
                <w:color w:val="006100"/>
                <w:sz w:val="22"/>
                <w:szCs w:val="22"/>
                <w:lang w:eastAsia="zh-CN"/>
              </w:rPr>
            </w:pPr>
            <w:r w:rsidRPr="006D43E2">
              <w:rPr>
                <w:rFonts w:ascii="Calibri" w:hAnsi="Calibri" w:cs="Calibri"/>
                <w:color w:val="006100"/>
                <w:sz w:val="22"/>
                <w:szCs w:val="22"/>
                <w:lang w:eastAsia="zh-CN"/>
              </w:rPr>
              <w:t> </w:t>
            </w:r>
          </w:p>
        </w:tc>
        <w:tc>
          <w:tcPr>
            <w:tcW w:w="3556" w:type="dxa"/>
            <w:tcBorders>
              <w:top w:val="nil"/>
              <w:left w:val="nil"/>
              <w:bottom w:val="nil"/>
              <w:right w:val="nil"/>
            </w:tcBorders>
            <w:shd w:val="clear" w:color="auto" w:fill="auto"/>
            <w:noWrap/>
            <w:vAlign w:val="bottom"/>
            <w:hideMark/>
          </w:tcPr>
          <w:p w:rsidR="00BC20DC" w:rsidRPr="006D43E2" w:rsidRDefault="00BC20DC" w:rsidP="005B5486">
            <w:pPr>
              <w:suppressAutoHyphens w:val="0"/>
              <w:spacing w:line="240" w:lineRule="auto"/>
              <w:ind w:left="284"/>
              <w:rPr>
                <w:rFonts w:asciiTheme="majorBidi" w:hAnsiTheme="majorBidi" w:cstheme="majorBidi"/>
                <w:color w:val="000000"/>
                <w:lang w:eastAsia="zh-CN"/>
              </w:rPr>
            </w:pPr>
            <w:r w:rsidRPr="006D43E2">
              <w:rPr>
                <w:rFonts w:asciiTheme="majorBidi" w:hAnsiTheme="majorBidi" w:cstheme="majorBidi"/>
                <w:color w:val="000000"/>
                <w:lang w:eastAsia="zh-CN"/>
              </w:rPr>
              <w:t>76</w:t>
            </w:r>
            <w:r w:rsidR="00BD5348">
              <w:rPr>
                <w:rFonts w:asciiTheme="majorBidi" w:hAnsiTheme="majorBidi" w:cstheme="majorBidi"/>
                <w:color w:val="000000"/>
                <w:lang w:eastAsia="zh-CN"/>
              </w:rPr>
              <w:t>%–</w:t>
            </w:r>
            <w:r w:rsidRPr="006D43E2">
              <w:rPr>
                <w:rFonts w:asciiTheme="majorBidi" w:hAnsiTheme="majorBidi" w:cstheme="majorBidi"/>
                <w:color w:val="000000"/>
                <w:lang w:eastAsia="zh-CN"/>
              </w:rPr>
              <w:t>95%: Good performance</w:t>
            </w:r>
          </w:p>
        </w:tc>
      </w:tr>
      <w:tr w:rsidR="00BC20DC" w:rsidRPr="006D43E2" w:rsidTr="00E2798B">
        <w:trPr>
          <w:trHeight w:val="300"/>
        </w:trPr>
        <w:tc>
          <w:tcPr>
            <w:tcW w:w="980" w:type="dxa"/>
            <w:tcBorders>
              <w:top w:val="nil"/>
              <w:left w:val="nil"/>
              <w:bottom w:val="nil"/>
              <w:right w:val="nil"/>
            </w:tcBorders>
            <w:shd w:val="clear" w:color="000000" w:fill="00B050"/>
            <w:noWrap/>
            <w:vAlign w:val="bottom"/>
            <w:hideMark/>
          </w:tcPr>
          <w:p w:rsidR="00BC20DC" w:rsidRPr="006D43E2" w:rsidRDefault="00BC20DC" w:rsidP="005B5486">
            <w:pPr>
              <w:suppressAutoHyphens w:val="0"/>
              <w:spacing w:line="240" w:lineRule="auto"/>
              <w:ind w:left="284"/>
              <w:rPr>
                <w:rFonts w:ascii="Calibri" w:hAnsi="Calibri" w:cs="Calibri"/>
                <w:color w:val="000000"/>
                <w:sz w:val="22"/>
                <w:szCs w:val="22"/>
                <w:lang w:eastAsia="zh-CN"/>
              </w:rPr>
            </w:pPr>
            <w:r w:rsidRPr="006D43E2">
              <w:rPr>
                <w:rFonts w:ascii="Calibri" w:hAnsi="Calibri" w:cs="Calibri"/>
                <w:color w:val="000000"/>
                <w:sz w:val="22"/>
                <w:szCs w:val="22"/>
                <w:lang w:eastAsia="zh-CN"/>
              </w:rPr>
              <w:t> </w:t>
            </w:r>
          </w:p>
        </w:tc>
        <w:tc>
          <w:tcPr>
            <w:tcW w:w="3556" w:type="dxa"/>
            <w:tcBorders>
              <w:top w:val="nil"/>
              <w:left w:val="nil"/>
              <w:bottom w:val="nil"/>
              <w:right w:val="nil"/>
            </w:tcBorders>
            <w:shd w:val="clear" w:color="auto" w:fill="auto"/>
            <w:noWrap/>
            <w:vAlign w:val="bottom"/>
            <w:hideMark/>
          </w:tcPr>
          <w:p w:rsidR="00BC20DC" w:rsidRPr="006D43E2" w:rsidRDefault="00BC20DC" w:rsidP="005B5486">
            <w:pPr>
              <w:suppressAutoHyphens w:val="0"/>
              <w:spacing w:line="240" w:lineRule="auto"/>
              <w:ind w:left="284"/>
              <w:rPr>
                <w:rFonts w:asciiTheme="majorBidi" w:hAnsiTheme="majorBidi" w:cstheme="majorBidi"/>
                <w:color w:val="000000"/>
                <w:lang w:eastAsia="zh-CN"/>
              </w:rPr>
            </w:pPr>
            <w:r w:rsidRPr="006D43E2">
              <w:rPr>
                <w:rFonts w:asciiTheme="majorBidi" w:hAnsiTheme="majorBidi" w:cstheme="majorBidi"/>
                <w:color w:val="000000"/>
                <w:lang w:eastAsia="zh-CN"/>
              </w:rPr>
              <w:t>96</w:t>
            </w:r>
            <w:r w:rsidR="00BD5348">
              <w:rPr>
                <w:rFonts w:asciiTheme="majorBidi" w:hAnsiTheme="majorBidi" w:cstheme="majorBidi"/>
                <w:color w:val="000000"/>
                <w:lang w:eastAsia="zh-CN"/>
              </w:rPr>
              <w:t>%–</w:t>
            </w:r>
            <w:r w:rsidRPr="006D43E2">
              <w:rPr>
                <w:rFonts w:asciiTheme="majorBidi" w:hAnsiTheme="majorBidi" w:cstheme="majorBidi"/>
                <w:color w:val="000000"/>
                <w:lang w:eastAsia="zh-CN"/>
              </w:rPr>
              <w:t>100%: Very good performance</w:t>
            </w:r>
          </w:p>
        </w:tc>
      </w:tr>
    </w:tbl>
    <w:p w:rsidR="00F507EC" w:rsidRPr="006D43E2" w:rsidRDefault="00AF3582" w:rsidP="00173EC1">
      <w:pPr>
        <w:suppressAutoHyphens w:val="0"/>
        <w:spacing w:line="240" w:lineRule="auto"/>
      </w:pPr>
      <w:r>
        <w:rPr>
          <w:noProof/>
          <w:lang w:eastAsia="zh-CN"/>
        </w:rPr>
        <mc:AlternateContent>
          <mc:Choice Requires="wps">
            <w:drawing>
              <wp:anchor distT="0" distB="0" distL="114300" distR="114300" simplePos="0" relativeHeight="251660288" behindDoc="0" locked="1" layoutInCell="1" allowOverlap="1" wp14:anchorId="79C80178" wp14:editId="537325DE">
                <wp:simplePos x="0" y="0"/>
                <wp:positionH relativeFrom="column">
                  <wp:posOffset>17145</wp:posOffset>
                </wp:positionH>
                <wp:positionV relativeFrom="paragraph">
                  <wp:posOffset>2580005</wp:posOffset>
                </wp:positionV>
                <wp:extent cx="342900" cy="800100"/>
                <wp:effectExtent l="0" t="0" r="1905"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105" w:rsidRDefault="00991105" w:rsidP="00AF3582">
                            <w:pPr>
                              <w:rPr>
                                <w:lang w:val="en-US"/>
                              </w:rPr>
                            </w:pPr>
                            <w:r>
                              <w:rPr>
                                <w:lang w:val="en-US"/>
                              </w:rPr>
                              <w:t>__________</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80178" id="_x0000_t202" coordsize="21600,21600" o:spt="202" path="m,l,21600r21600,l21600,xe">
                <v:stroke joinstyle="miter"/>
                <v:path gradientshapeok="t" o:connecttype="rect"/>
              </v:shapetype>
              <v:shape id="Text Box 12" o:spid="_x0000_s1026" type="#_x0000_t202" style="position:absolute;margin-left:1.35pt;margin-top:203.15pt;width:27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I0tAIAALoFAAAOAAAAZHJzL2Uyb0RvYy54bWysVMlu2zAQvRfoPxC8y1pCLxIiB7FlFQXS&#10;BUj6AbREWUQlUiVpS0HRf++Q8pbkUrTVgSA5wzfzZp7m9m5oG3RgSnMpUhxOAoyYKGTJxS7F355y&#10;b4GRNlSUtJGCpfiZaXy3fP/utu8SFslaNiVTCECETvouxbUxXeL7uqhZS/VEdkyAsZKqpQaOaueX&#10;ivaA3jZ+FAQzv5eq7JQsmNZwm41GvHT4VcUK86WqNDOoSTHkZtyq3Lq1q7+8pclO0a7mxTEN+hdZ&#10;tJQLCHqGyqihaK/4G6iWF0pqWZlJIVtfVhUvmOMAbMLgFZvHmnbMcYHi6O5cJv3/YIvPh68K8RJ6&#10;F2EkaAs9emKDQSs5ILiC+vSdTsDtsQNHM8A9+DquunuQxXeNhFzXVOzYvVKyrxktIb/QvvSvno44&#10;2oJs+0+yhDh0b6QDGirV2uJBORCgQ5+ez72xuRRweUOiOABLAaZFALVyvfNpcnrcKW0+MNkiu0mx&#10;gtY7cHp40MYmQ5OTi40lZM6bxrW/ES8uwHG8gdDw1NpsEq6bP+Mg3iw2C+KRaLbxSJBl3n2+Jt4s&#10;D+fT7CZbr7Pwl40bkqTmZcmEDXNSVkj+rHNHjY+aOGtLy4aXFs6mpNVuu24UOlBQdu4+V3KwXNz8&#10;l2m4IgCXV5TCiASrKPby2WLukZxMvXgeLLwgjFfxLCAxyfKXlB64YP9OCfUpjqfRdNTSJelX3AL3&#10;veVGk5YbmB0Nb50iwM060cQqcCNKtzeUN+P+qhQ2/UspoN2nRju9WomOYjXDdgAUK+KtLJ9BuUqC&#10;skCEMPBgY1eMehgeKdY/9lQxjJqPAtQfh4TYaeMOZDqP4KCuLdtrCxVFLWEmAdi4XZtxQu07xXc1&#10;RBr/NyHv4Y+puFPzJavjfwYDwpE6DjM7ga7Pzusycpe/AQAA//8DAFBLAwQUAAYACAAAACEAOlLd&#10;+9wAAAAIAQAADwAAAGRycy9kb3ducmV2LnhtbEyPT0+DQBDF7yZ+h82YeLOLUClBlsZoelOTor1P&#10;2RHQ/UPYbcFv73jS02Tmvbz5vWq7WCPONIXBOwW3qwQEudbrwXUK3t92NwWIENFpNN6Rgm8KsK0v&#10;LyostZ/dns5N7ASHuFCigj7GsZQytD1ZDCs/kmPtw08WI69TJ/WEM4dbI9MkyaXFwfGHHkd67Kn9&#10;ak5WwY5e5ma/xldt4uF5KrpPX5gnpa6vlod7EJGW+GeGX3xGh5qZjv7kdBBGQbpho4J1kmcgWL/L&#10;+XDkmaUZyLqS/wvUPwAAAP//AwBQSwECLQAUAAYACAAAACEAtoM4kv4AAADhAQAAEwAAAAAAAAAA&#10;AAAAAAAAAAAAW0NvbnRlbnRfVHlwZXNdLnhtbFBLAQItABQABgAIAAAAIQA4/SH/1gAAAJQBAAAL&#10;AAAAAAAAAAAAAAAAAC8BAABfcmVscy8ucmVsc1BLAQItABQABgAIAAAAIQBHkUI0tAIAALoFAAAO&#10;AAAAAAAAAAAAAAAAAC4CAABkcnMvZTJvRG9jLnhtbFBLAQItABQABgAIAAAAIQA6Ut373AAAAAgB&#10;AAAPAAAAAAAAAAAAAAAAAA4FAABkcnMvZG93bnJldi54bWxQSwUGAAAAAAQABADzAAAAFwYAAAAA&#10;" filled="f" stroked="f">
                <v:textbox style="layout-flow:vertical">
                  <w:txbxContent>
                    <w:p w:rsidR="00991105" w:rsidRDefault="00991105" w:rsidP="00AF3582">
                      <w:pPr>
                        <w:rPr>
                          <w:lang w:val="en-US"/>
                        </w:rPr>
                      </w:pPr>
                      <w:r>
                        <w:rPr>
                          <w:lang w:val="en-US"/>
                        </w:rPr>
                        <w:t>__________</w:t>
                      </w:r>
                    </w:p>
                  </w:txbxContent>
                </v:textbox>
                <w10:anchorlock/>
              </v:shape>
            </w:pict>
          </mc:Fallback>
        </mc:AlternateContent>
      </w:r>
      <w:r>
        <w:rPr>
          <w:noProof/>
          <w:u w:val="single"/>
          <w:lang w:eastAsia="zh-CN"/>
        </w:rPr>
        <mc:AlternateContent>
          <mc:Choice Requires="wps">
            <w:drawing>
              <wp:anchor distT="0" distB="0" distL="114300" distR="114300" simplePos="0" relativeHeight="251658240" behindDoc="0" locked="1" layoutInCell="1" allowOverlap="1" wp14:editId="5FC67D61">
                <wp:simplePos x="0" y="0"/>
                <wp:positionH relativeFrom="column">
                  <wp:posOffset>737235</wp:posOffset>
                </wp:positionH>
                <wp:positionV relativeFrom="paragraph">
                  <wp:posOffset>3660140</wp:posOffset>
                </wp:positionV>
                <wp:extent cx="342900" cy="800100"/>
                <wp:effectExtent l="0" t="0" r="190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105" w:rsidRDefault="00991105" w:rsidP="00AF3582">
                            <w:pPr>
                              <w:rPr>
                                <w:lang w:val="en-US"/>
                              </w:rPr>
                            </w:pPr>
                            <w:r>
                              <w:rPr>
                                <w:lang w:val="en-US"/>
                              </w:rPr>
                              <w:t>__________</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8.05pt;margin-top:288.2pt;width:2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WfutgIAAL8FAAAOAAAAZHJzL2Uyb0RvYy54bWysVMlu2zAQvRfoPxC8y1pCLxIiB7FlFQXS&#10;BUj6AbREWUQlUiVpS0HRf++Q8pbkUrTVQSA5wzdvZh7n9m5oG3RgSnMpUhxOAoyYKGTJxS7F355y&#10;b4GRNlSUtJGCpfiZaXy3fP/utu8SFslaNiVTCECETvouxbUxXeL7uqhZS/VEdkyAsZKqpQa2aueX&#10;ivaA3jZ+FAQzv5eq7JQsmNZwmo1GvHT4VcUK86WqNDOoSTFwM+6v3H9r//7yliY7RbuaF0ca9C9Y&#10;tJQLCHqGyqihaK/4G6iWF0pqWZlJIVtfVhUvmMsBsgmDV9k81rRjLhcoju7OZdL/D7b4fPiqEC9T&#10;HGEkaAstemKDQSs5oMhWp+90Ak6PHbiZAY6hyy5T3T3I4rtGQq5rKnbsXinZ14yWwC60N/2rqyOO&#10;tiDb/pMsIQzdG+mAhkq1tnRQDATo0KXnc2cslQIOb0gUB2ApwLQIoFKucz5NTpc7pc0HJltkFylW&#10;0HgHTg8P2lgyNDm52FhC5rxpXPMb8eIAHMcTCA1Xrc2ScL38GQfxZrFZEI9Es41Hgizz7vM18WZ5&#10;OJ9mN9l6nYW/bNyQJDUvSyZsmJOuQvJnfTsqfFTEWVlaNry0cJaSVrvtulHoQEHXuftcycFycfNf&#10;0nBFgFxepRRGJFhFsZfPFnOP5GTqxfNg4QVhvIpnAYlJlr9M6YEL9u8poT7F8TSajlq6kH6VW+C+&#10;t7nRpOUGJkfDW6cIcLNONLEK3IjSrQ3lzbi+KoWlfykFtPvUaKdXK9FRrGbYDu5hODFbLW9l+QwC&#10;VhIEBlqEqQcL+8eohwmSYv1jTxXDqPko4BHEISF25LgNmc4j2Khry/baQkVRSxhMADYu12YcU/tO&#10;8V0NkcZnJ+Q9PJyKO1FfWB2fG0wJl9txotkxdL13Xpe5u/wNAAD//wMAUEsDBBQABgAIAAAAIQB+&#10;cihe3QAAAAsBAAAPAAAAZHJzL2Rvd25yZXYueG1sTI9NT4NAEIbvJv6HzZh4s7s0CARZGqPpTU2K&#10;et+yU6DuB2G3Bf+905M9vjNP3nmm2izWsDNOYfBOQrISwNC1Xg+uk/D1uX0ogIWonFbGO5TwiwE2&#10;9e1NpUrtZ7fDcxM7RiUulEpCH+NYch7aHq0KKz+io93BT1ZFilPH9aRmKreGr4XIuFWDowu9GvGl&#10;x/anOVkJW3yfm12qPrSJ329T0R19YV6lvL9bnp+ARVziPwwXfVKHmpz2/uR0YIZykiWESnjMsxTY&#10;hcgFTfYScrFOgdcVv/6h/gMAAP//AwBQSwECLQAUAAYACAAAACEAtoM4kv4AAADhAQAAEwAAAAAA&#10;AAAAAAAAAAAAAAAAW0NvbnRlbnRfVHlwZXNdLnhtbFBLAQItABQABgAIAAAAIQA4/SH/1gAAAJQB&#10;AAALAAAAAAAAAAAAAAAAAC8BAABfcmVscy8ucmVsc1BLAQItABQABgAIAAAAIQA8mWfutgIAAL8F&#10;AAAOAAAAAAAAAAAAAAAAAC4CAABkcnMvZTJvRG9jLnhtbFBLAQItABQABgAIAAAAIQB+cihe3QAA&#10;AAsBAAAPAAAAAAAAAAAAAAAAABAFAABkcnMvZG93bnJldi54bWxQSwUGAAAAAAQABADzAAAAGgYA&#10;AAAA&#10;" filled="f" stroked="f">
                <v:textbox style="layout-flow:vertical">
                  <w:txbxContent>
                    <w:p w:rsidR="00991105" w:rsidRDefault="00991105" w:rsidP="00AF3582">
                      <w:pPr>
                        <w:rPr>
                          <w:lang w:val="en-US"/>
                        </w:rPr>
                      </w:pPr>
                      <w:r>
                        <w:rPr>
                          <w:lang w:val="en-US"/>
                        </w:rPr>
                        <w:t>__________</w:t>
                      </w:r>
                    </w:p>
                  </w:txbxContent>
                </v:textbox>
                <w10:anchorlock/>
              </v:shape>
            </w:pict>
          </mc:Fallback>
        </mc:AlternateContent>
      </w:r>
      <w:bookmarkEnd w:id="5"/>
      <w:r w:rsidRPr="003064DC">
        <w:rPr>
          <w:b/>
          <w:noProof/>
          <w:lang w:eastAsia="zh-CN"/>
        </w:rPr>
        <mc:AlternateContent>
          <mc:Choice Requires="wps">
            <w:drawing>
              <wp:anchor distT="0" distB="0" distL="114300" distR="114300" simplePos="0" relativeHeight="251662336" behindDoc="0" locked="1" layoutInCell="1" allowOverlap="1" wp14:anchorId="7532AB67" wp14:editId="4C416005">
                <wp:simplePos x="0" y="0"/>
                <wp:positionH relativeFrom="column">
                  <wp:posOffset>-291465</wp:posOffset>
                </wp:positionH>
                <wp:positionV relativeFrom="paragraph">
                  <wp:posOffset>-3206115</wp:posOffset>
                </wp:positionV>
                <wp:extent cx="342900" cy="8001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105" w:rsidRDefault="00991105" w:rsidP="00AF3582">
                            <w:pPr>
                              <w:rPr>
                                <w:lang w:val="en-US"/>
                              </w:rPr>
                            </w:pPr>
                            <w:r>
                              <w:rPr>
                                <w:lang w:val="en-US"/>
                              </w:rPr>
                              <w:t>__________</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2AB67" id="Text Box 20" o:spid="_x0000_s1028" type="#_x0000_t202" style="position:absolute;margin-left:-22.95pt;margin-top:-252.45pt;width:27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b9twIAAMEFAAAOAAAAZHJzL2Uyb0RvYy54bWysVMlu2zAQvRfoPxC8y1pCLxIiB7FlFQXS&#10;BUj6AbREWUQlUiVpS0HRf++Q8pbkUrTVgaA4wzdvZh7n9m5oG3RgSnMpUhxOAoyYKGTJxS7F355y&#10;b4GRNlSUtJGCpfiZaXy3fP/utu8SFslaNiVTCECETvouxbUxXeL7uqhZS/VEdkyAsZKqpQZ+1c4v&#10;Fe0BvW38KAhmfi9V2SlZMK3hNBuNeOnwq4oV5ktVaWZQk2LgZtyq3Lq1q7+8pclO0a7mxZEG/QsW&#10;LeUCgp6hMmoo2iv+BqrlhZJaVmZSyNaXVcUL5nKAbMLgVTaPNe2YywWKo7tzmfT/gy0+H74qxMsU&#10;R1AeQVvo0RMbDFrJAcER1KfvdAJujx04mgHOoc8uV909yOK7RkKuayp27F4p2deMlsAvtDf9q6sj&#10;jrYg2/6TLCEO3RvpgIZKtbZ4UA4E6EDk+dwby6WAwxsSxQFYCjAtAqiV4+bT5HS5U9p8YLJFdpNi&#10;Ba134PTwoI0lQ5OTi40lZM6bxrW/ES8OwHE8gdBw1dosCdfNn3EQbxabBfFINNt4JMgy7z5fE2+W&#10;h/NpdpOt11n4y8YNSVLzsmTChjkpKyR/1rmjxkdNnLWlZcNLC2cpabXbrhuFDhSUnbvPlRwsFzf/&#10;JQ1XBMjlVUphRIJVFHv5bDH3SE6mXjwPFl4Qxqt4FpCYZPnLlB64YP+eEupTHE+j6ailC+lXuQXu&#10;e5sbTVpuYHY0vHWKADfrRBOrwI0o3d5Q3oz7q1JY+pdSQLtPjXZ6tRIdxWqG7TA+DQtstbyV5TMI&#10;WEkQGGgR5h5s7IpRDzMkxfrHniqGUfNRwCOIQ0LAzbgfMp3bJ6auLdtrCxVFLWE0Adi4XZtxUO07&#10;xXc1RBqfnZD38HAq7kR9YXV8bjAnXG7HmWYH0fW/87pM3uVvAAAA//8DAFBLAwQUAAYACAAAACEA&#10;gFjlD90AAAALAQAADwAAAGRycy9kb3ducmV2LnhtbEyPQU/DMAyF70j8h8hI3LZ00EFWmk4ItBsg&#10;rcA9a0xbSJyqydby7zEnuD37PT1/Lrezd+KEY+wDaVgtMxBITbA9tRreXncLBSImQ9a4QKjhGyNs&#10;q/Oz0hQ2TLTHU51awSUUC6OhS2kopIxNh97EZRiQ2PsIozeJx7GVdjQTl3snr7LsRnrTE1/ozIAP&#10;HTZf9dFr2OHzVO9z82Jden8aVfsZlHvU+vJivr8DkXBOf2H4xWd0qJjpEI5ko3AaFvl6w1EW6yxn&#10;xRG1AnHgxfWt2oCsSvn/h+oHAAD//wMAUEsBAi0AFAAGAAgAAAAhALaDOJL+AAAA4QEAABMAAAAA&#10;AAAAAAAAAAAAAAAAAFtDb250ZW50X1R5cGVzXS54bWxQSwECLQAUAAYACAAAACEAOP0h/9YAAACU&#10;AQAACwAAAAAAAAAAAAAAAAAvAQAAX3JlbHMvLnJlbHNQSwECLQAUAAYACAAAACEAzzEW/bcCAADB&#10;BQAADgAAAAAAAAAAAAAAAAAuAgAAZHJzL2Uyb0RvYy54bWxQSwECLQAUAAYACAAAACEAgFjlD90A&#10;AAALAQAADwAAAAAAAAAAAAAAAAARBQAAZHJzL2Rvd25yZXYueG1sUEsFBgAAAAAEAAQA8wAAABsG&#10;AAAAAA==&#10;" filled="f" stroked="f">
                <v:textbox style="layout-flow:vertical">
                  <w:txbxContent>
                    <w:p w:rsidR="00991105" w:rsidRDefault="00991105" w:rsidP="00AF3582">
                      <w:pPr>
                        <w:rPr>
                          <w:lang w:val="en-US"/>
                        </w:rPr>
                      </w:pPr>
                      <w:r>
                        <w:rPr>
                          <w:lang w:val="en-US"/>
                        </w:rPr>
                        <w:t>__________</w:t>
                      </w:r>
                    </w:p>
                  </w:txbxContent>
                </v:textbox>
                <w10:anchorlock/>
              </v:shape>
            </w:pict>
          </mc:Fallback>
        </mc:AlternateContent>
      </w:r>
    </w:p>
    <w:sectPr w:rsidR="00F507EC" w:rsidRPr="006D43E2" w:rsidSect="00BC20DC">
      <w:headerReference w:type="even" r:id="rId18"/>
      <w:headerReference w:type="default" r:id="rId19"/>
      <w:footerReference w:type="even" r:id="rId20"/>
      <w:footerReference w:type="default" r:id="rId21"/>
      <w:headerReference w:type="first" r:id="rId22"/>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31D" w:rsidRDefault="00EB631D"/>
  </w:endnote>
  <w:endnote w:type="continuationSeparator" w:id="0">
    <w:p w:rsidR="00EB631D" w:rsidRDefault="00EB631D"/>
  </w:endnote>
  <w:endnote w:type="continuationNotice" w:id="1">
    <w:p w:rsidR="00EB631D" w:rsidRDefault="00EB63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ヒラギノ角ゴ Pro W3">
    <w:altName w:val="MS Gothic"/>
    <w:panose1 w:val="00000000000000000000"/>
    <w:charset w:val="80"/>
    <w:family w:val="roman"/>
    <w:notTrueType/>
    <w:pitch w:val="default"/>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105" w:rsidRPr="00BC20DC" w:rsidRDefault="00991105" w:rsidP="00BC20DC">
    <w:pPr>
      <w:pStyle w:val="Footer"/>
      <w:tabs>
        <w:tab w:val="right" w:pos="9638"/>
      </w:tabs>
      <w:rPr>
        <w:sz w:val="18"/>
      </w:rPr>
    </w:pPr>
    <w:r w:rsidRPr="00BC20DC">
      <w:rPr>
        <w:b/>
        <w:sz w:val="18"/>
      </w:rPr>
      <w:fldChar w:fldCharType="begin"/>
    </w:r>
    <w:r w:rsidRPr="00BC20DC">
      <w:rPr>
        <w:b/>
        <w:sz w:val="18"/>
      </w:rPr>
      <w:instrText xml:space="preserve"> PAGE  \* MERGEFORMAT </w:instrText>
    </w:r>
    <w:r w:rsidRPr="00BC20DC">
      <w:rPr>
        <w:b/>
        <w:sz w:val="18"/>
      </w:rPr>
      <w:fldChar w:fldCharType="separate"/>
    </w:r>
    <w:r w:rsidR="00FB606C">
      <w:rPr>
        <w:b/>
        <w:noProof/>
        <w:sz w:val="18"/>
      </w:rPr>
      <w:t>2</w:t>
    </w:r>
    <w:r w:rsidRPr="00BC20D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105" w:rsidRPr="00BC20DC" w:rsidRDefault="00991105" w:rsidP="00BC20DC">
    <w:pPr>
      <w:pStyle w:val="Footer"/>
      <w:tabs>
        <w:tab w:val="right" w:pos="9638"/>
      </w:tabs>
      <w:rPr>
        <w:b/>
        <w:sz w:val="18"/>
      </w:rPr>
    </w:pPr>
    <w:r>
      <w:tab/>
    </w:r>
    <w:r w:rsidRPr="00BC20DC">
      <w:rPr>
        <w:b/>
        <w:sz w:val="18"/>
      </w:rPr>
      <w:fldChar w:fldCharType="begin"/>
    </w:r>
    <w:r w:rsidRPr="00BC20DC">
      <w:rPr>
        <w:b/>
        <w:sz w:val="18"/>
      </w:rPr>
      <w:instrText xml:space="preserve"> PAGE  \* MERGEFORMAT </w:instrText>
    </w:r>
    <w:r w:rsidRPr="00BC20DC">
      <w:rPr>
        <w:b/>
        <w:sz w:val="18"/>
      </w:rPr>
      <w:fldChar w:fldCharType="separate"/>
    </w:r>
    <w:r w:rsidR="00FB606C">
      <w:rPr>
        <w:b/>
        <w:noProof/>
        <w:sz w:val="18"/>
      </w:rPr>
      <w:t>13</w:t>
    </w:r>
    <w:r w:rsidRPr="00BC20D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06C" w:rsidRDefault="00FB606C" w:rsidP="00FB606C">
    <w:r>
      <w:rPr>
        <w:rFonts w:ascii="C39T30Lfz" w:hAnsi="C39T30Lfz"/>
        <w:noProof/>
        <w:sz w:val="56"/>
        <w:lang w:eastAsia="zh-CN"/>
      </w:rPr>
      <w:drawing>
        <wp:anchor distT="0" distB="0" distL="114300" distR="114300" simplePos="0" relativeHeight="251690496" behindDoc="0" locked="0" layoutInCell="1" allowOverlap="1" wp14:anchorId="71F4F3E8" wp14:editId="5D3DFCF2">
          <wp:simplePos x="0" y="0"/>
          <wp:positionH relativeFrom="margin">
            <wp:posOffset>5526405</wp:posOffset>
          </wp:positionH>
          <wp:positionV relativeFrom="margin">
            <wp:posOffset>7785100</wp:posOffset>
          </wp:positionV>
          <wp:extent cx="638175" cy="638175"/>
          <wp:effectExtent l="0" t="0" r="9525" b="9525"/>
          <wp:wrapNone/>
          <wp:docPr id="13" name="Picture 13" descr="https://undocs.org/m2/QRCode.ashx?DS=ECE/CEP/2019/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9/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89472" behindDoc="1" locked="1" layoutInCell="1" allowOverlap="1" wp14:anchorId="2E1DBEE2" wp14:editId="4630BE51">
          <wp:simplePos x="0" y="0"/>
          <wp:positionH relativeFrom="margin">
            <wp:posOffset>4368165</wp:posOffset>
          </wp:positionH>
          <wp:positionV relativeFrom="margin">
            <wp:posOffset>8135620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FB606C" w:rsidRDefault="00FB606C" w:rsidP="00FB606C">
    <w:pPr>
      <w:pStyle w:val="Footer"/>
      <w:ind w:right="1134"/>
      <w:rPr>
        <w:sz w:val="20"/>
      </w:rPr>
    </w:pPr>
    <w:r>
      <w:rPr>
        <w:sz w:val="20"/>
      </w:rPr>
      <w:t>GE.18-19588(E)</w:t>
    </w:r>
  </w:p>
  <w:p w:rsidR="00FB606C" w:rsidRPr="003B536E" w:rsidRDefault="00FB606C" w:rsidP="00FB606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105" w:rsidRPr="00BC20DC" w:rsidRDefault="00991105" w:rsidP="00BC20DC">
    <w:pPr>
      <w:pStyle w:val="Footer"/>
    </w:pPr>
    <w:r>
      <w:rPr>
        <w:noProof/>
        <w:lang w:eastAsia="zh-CN"/>
      </w:rPr>
      <mc:AlternateContent>
        <mc:Choice Requires="wps">
          <w:drawing>
            <wp:anchor distT="0" distB="0" distL="114300" distR="114300" simplePos="0" relativeHeight="251662336" behindDoc="0" locked="0" layoutInCell="1" allowOverlap="1" wp14:anchorId="08C7E1A4" wp14:editId="77280A58">
              <wp:simplePos x="0" y="0"/>
              <wp:positionH relativeFrom="margin">
                <wp:posOffset>-431800</wp:posOffset>
              </wp:positionH>
              <wp:positionV relativeFrom="margin">
                <wp:posOffset>0</wp:posOffset>
              </wp:positionV>
              <wp:extent cx="222885" cy="6120130"/>
              <wp:effectExtent l="0" t="0" r="5715"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rsidR="00991105" w:rsidRPr="00BC20DC" w:rsidRDefault="00991105" w:rsidP="00BC20DC">
                          <w:pPr>
                            <w:pStyle w:val="Footer"/>
                            <w:tabs>
                              <w:tab w:val="right" w:pos="9638"/>
                            </w:tabs>
                            <w:rPr>
                              <w:sz w:val="18"/>
                            </w:rPr>
                          </w:pPr>
                          <w:r w:rsidRPr="00BC20DC">
                            <w:rPr>
                              <w:b/>
                              <w:sz w:val="18"/>
                            </w:rPr>
                            <w:fldChar w:fldCharType="begin"/>
                          </w:r>
                          <w:r w:rsidRPr="00BC20DC">
                            <w:rPr>
                              <w:b/>
                              <w:sz w:val="18"/>
                            </w:rPr>
                            <w:instrText xml:space="preserve"> PAGE  \* MERGEFORMAT </w:instrText>
                          </w:r>
                          <w:r w:rsidRPr="00BC20DC">
                            <w:rPr>
                              <w:b/>
                              <w:sz w:val="18"/>
                            </w:rPr>
                            <w:fldChar w:fldCharType="separate"/>
                          </w:r>
                          <w:r w:rsidR="00FB606C">
                            <w:rPr>
                              <w:b/>
                              <w:noProof/>
                              <w:sz w:val="18"/>
                            </w:rPr>
                            <w:t>14</w:t>
                          </w:r>
                          <w:r w:rsidRPr="00BC20DC">
                            <w:rPr>
                              <w:b/>
                              <w:sz w:val="18"/>
                            </w:rPr>
                            <w:fldChar w:fldCharType="end"/>
                          </w:r>
                          <w:r>
                            <w:rPr>
                              <w:sz w:val="18"/>
                            </w:rPr>
                            <w:tab/>
                          </w:r>
                        </w:p>
                        <w:p w:rsidR="00991105" w:rsidRDefault="0099110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8C7E1A4" id="_x0000_t202" coordsize="21600,21600" o:spt="202" path="m,l,21600r21600,l21600,xe">
              <v:stroke joinstyle="miter"/>
              <v:path gradientshapeok="t" o:connecttype="rect"/>
            </v:shapetype>
            <v:shape id="Text Box 10" o:spid="_x0000_s1031" type="#_x0000_t202" style="position:absolute;margin-left:-34pt;margin-top:0;width:17.55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tBdQIAAPsEAAAOAAAAZHJzL2Uyb0RvYy54bWysVF1v0zAUfUfiP1h+Z2mDNo1o6VQ2hpCq&#10;MWlDe751nCbCX9hum/LrOXaabRo8IMSLc2Mf349zz/XF5aAV20kfemtqPj+ZcSaNsE1vNjX/9nDz&#10;7pyzEMk0pKyRNT/IwC8Xb99c7F0lS9tZ1UjP4MSEau9q3sXoqqIIopOawol10uCwtV5TxK/fFI2n&#10;PbxrVZSz2Vmxt75x3goZAnavx0O+yP7bVor4tW2DjEzVHLnFvPq8rtNaLC6o2nhyXS+OadA/ZKGp&#10;Nwj65OqaIrGt739zpXvhbbBtPBFWF7ZteyFzDahmPntVzX1HTuZaQE5wTzSF/+dW3O7uPOsb9A70&#10;GNLo0YMcIvtoB4Yt8LN3oQLs3gEYB+wDm2sNbmXF9wBI8QIzXghAJz6G1uv0RaUMFxHj8ER7CiOw&#10;WZbl+fkpZwJHZ3Pw8D7HLZ5vOx/iZ2k1S0bNPdqaM6DdKsQUn6oJkoIZe9MrlVurDNvX/MNpmfwT&#10;BNYqijC1Q8nBbDgjtYFyRfTZ44uryeM1hY7tCOIJVvXNKBdvt6bJ3jtJzSfTsHhw4M1A4TyF07Lh&#10;TEm4TVZGRurV3yBRiTJHQkcOE7VxWA+5SeXUkLVtDuiHt6OigxM3PfJdUYh35CFhMI2xjF+xtMoi&#10;KXu0OOus//mn/YSveVpRBUYCRf/YkkdN6ouB5tL8TIafjPVkmK2+siBqjoF3Ipu44KOazNZb/Yhp&#10;XaYoOCIjkEnNEW00r+I4mJh2IZfLDMKUOIorc+/EJLvUl4fhkbw7yiFCSLd2GhaqXqlixI66WG6j&#10;bfssmcTryOKRbkxYVtLxNUgj/PI/o57frMUvAAAA//8DAFBLAwQUAAYACAAAACEAmWHA/t8AAAAI&#10;AQAADwAAAGRycy9kb3ducmV2LnhtbEyPwWrDMBBE74X+g9hAb44cB4zjeh1CS1pooVC3H6BYG1vE&#10;kowkJ/bfVz21l4Fllpk31X7WA7uS88oahM06BUamtVKZDuH765gUwHwQRorBGkJYyMO+vr+rRCnt&#10;zXzStQkdiyHGlwKhD2EsOfdtT1r4tR3JRO9snRYhnq7j0olbDNcDz9I051ooExt6MdJTT+2lmTSC&#10;ej66zetB2Y9muTTZi82n9+UN8WE1Hx6BBZrD3zP84kd0qCPTyU5GejYgJHkRtwSEqNFOttkO2Alh&#10;l28L4HXF/w+ofwAAAP//AwBQSwECLQAUAAYACAAAACEAtoM4kv4AAADhAQAAEwAAAAAAAAAAAAAA&#10;AAAAAAAAW0NvbnRlbnRfVHlwZXNdLnhtbFBLAQItABQABgAIAAAAIQA4/SH/1gAAAJQBAAALAAAA&#10;AAAAAAAAAAAAAC8BAABfcmVscy8ucmVsc1BLAQItABQABgAIAAAAIQBUJUtBdQIAAPsEAAAOAAAA&#10;AAAAAAAAAAAAAC4CAABkcnMvZTJvRG9jLnhtbFBLAQItABQABgAIAAAAIQCZYcD+3wAAAAgBAAAP&#10;AAAAAAAAAAAAAAAAAM8EAABkcnMvZG93bnJldi54bWxQSwUGAAAAAAQABADzAAAA2wUAAAAA&#10;" filled="f" stroked="f">
              <v:stroke joinstyle="round"/>
              <v:path arrowok="t"/>
              <v:textbox style="layout-flow:vertical" inset="0,0,0,0">
                <w:txbxContent>
                  <w:p w:rsidR="00991105" w:rsidRPr="00BC20DC" w:rsidRDefault="00991105" w:rsidP="00BC20DC">
                    <w:pPr>
                      <w:pStyle w:val="Footer"/>
                      <w:tabs>
                        <w:tab w:val="right" w:pos="9638"/>
                      </w:tabs>
                      <w:rPr>
                        <w:sz w:val="18"/>
                      </w:rPr>
                    </w:pPr>
                    <w:r w:rsidRPr="00BC20DC">
                      <w:rPr>
                        <w:b/>
                        <w:sz w:val="18"/>
                      </w:rPr>
                      <w:fldChar w:fldCharType="begin"/>
                    </w:r>
                    <w:r w:rsidRPr="00BC20DC">
                      <w:rPr>
                        <w:b/>
                        <w:sz w:val="18"/>
                      </w:rPr>
                      <w:instrText xml:space="preserve"> PAGE  \* MERGEFORMAT </w:instrText>
                    </w:r>
                    <w:r w:rsidRPr="00BC20DC">
                      <w:rPr>
                        <w:b/>
                        <w:sz w:val="18"/>
                      </w:rPr>
                      <w:fldChar w:fldCharType="separate"/>
                    </w:r>
                    <w:r w:rsidR="00FB606C">
                      <w:rPr>
                        <w:b/>
                        <w:noProof/>
                        <w:sz w:val="18"/>
                      </w:rPr>
                      <w:t>14</w:t>
                    </w:r>
                    <w:r w:rsidRPr="00BC20DC">
                      <w:rPr>
                        <w:b/>
                        <w:sz w:val="18"/>
                      </w:rPr>
                      <w:fldChar w:fldCharType="end"/>
                    </w:r>
                    <w:r>
                      <w:rPr>
                        <w:sz w:val="18"/>
                      </w:rPr>
                      <w:tab/>
                    </w:r>
                  </w:p>
                  <w:p w:rsidR="00991105" w:rsidRDefault="00991105"/>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105" w:rsidRPr="00BC20DC" w:rsidRDefault="00991105" w:rsidP="00BC20DC">
    <w:pPr>
      <w:pStyle w:val="Footer"/>
    </w:pPr>
    <w:r>
      <w:rPr>
        <w:noProof/>
        <w:lang w:eastAsia="zh-CN"/>
      </w:rPr>
      <mc:AlternateContent>
        <mc:Choice Requires="wps">
          <w:drawing>
            <wp:anchor distT="0" distB="0" distL="114300" distR="114300" simplePos="0" relativeHeight="251686400" behindDoc="0" locked="0" layoutInCell="1" allowOverlap="1" wp14:anchorId="5621D3E5" wp14:editId="6ACAD0D4">
              <wp:simplePos x="0" y="0"/>
              <wp:positionH relativeFrom="margin">
                <wp:posOffset>-431800</wp:posOffset>
              </wp:positionH>
              <wp:positionV relativeFrom="margin">
                <wp:posOffset>0</wp:posOffset>
              </wp:positionV>
              <wp:extent cx="222885" cy="6120130"/>
              <wp:effectExtent l="0" t="0" r="571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rsidR="00991105" w:rsidRPr="00BC20DC" w:rsidRDefault="00991105" w:rsidP="00AF7677">
                          <w:pPr>
                            <w:pStyle w:val="Footer"/>
                            <w:shd w:val="clear" w:color="auto" w:fill="FFFFFF" w:themeFill="background1"/>
                            <w:tabs>
                              <w:tab w:val="right" w:pos="9638"/>
                            </w:tabs>
                            <w:rPr>
                              <w:b/>
                              <w:sz w:val="18"/>
                            </w:rPr>
                          </w:pPr>
                          <w:r>
                            <w:tab/>
                          </w:r>
                          <w:r w:rsidRPr="00BC20DC">
                            <w:rPr>
                              <w:b/>
                              <w:sz w:val="18"/>
                            </w:rPr>
                            <w:fldChar w:fldCharType="begin"/>
                          </w:r>
                          <w:r w:rsidRPr="00BC20DC">
                            <w:rPr>
                              <w:b/>
                              <w:sz w:val="18"/>
                            </w:rPr>
                            <w:instrText xml:space="preserve"> PAGE  \* MERGEFORMAT </w:instrText>
                          </w:r>
                          <w:r w:rsidRPr="00BC20DC">
                            <w:rPr>
                              <w:b/>
                              <w:sz w:val="18"/>
                            </w:rPr>
                            <w:fldChar w:fldCharType="separate"/>
                          </w:r>
                          <w:r w:rsidR="00FB606C">
                            <w:rPr>
                              <w:b/>
                              <w:noProof/>
                              <w:sz w:val="18"/>
                            </w:rPr>
                            <w:t>15</w:t>
                          </w:r>
                          <w:r w:rsidRPr="00BC20DC">
                            <w:rPr>
                              <w:b/>
                              <w:sz w:val="18"/>
                            </w:rPr>
                            <w:fldChar w:fldCharType="end"/>
                          </w:r>
                        </w:p>
                        <w:p w:rsidR="00991105" w:rsidRDefault="00991105" w:rsidP="00AF7677">
                          <w:pPr>
                            <w:shd w:val="clear" w:color="auto" w:fill="FFFFFF" w:themeFill="background1"/>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621D3E5" id="_x0000_t202" coordsize="21600,21600" o:spt="202" path="m,l,21600r21600,l21600,xe">
              <v:stroke joinstyle="miter"/>
              <v:path gradientshapeok="t" o:connecttype="rect"/>
            </v:shapetype>
            <v:shape id="Text Box 8" o:spid="_x0000_s1032" type="#_x0000_t202" style="position:absolute;margin-left:-34pt;margin-top:0;width:17.55pt;height:481.9pt;z-index:25168640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2e0dgIAAPkEAAAOAAAAZHJzL2Uyb0RvYy54bWysVF1P2zAUfZ+0/2D5faQtAnURKepgTJMq&#10;QIKJ51vHaaL5a7bbpvv1O3YaQGwP07QX58Y+vh/nnuuLy14rtpM+dNZUfHoy4UwaYevObCr+7fHm&#10;w5yzEMnUpKyRFT/IwC8X799d7F0pZ7a1qpaewYkJ5d5VvI3RlUURRCs1hRPrpMFhY72miF+/KWpP&#10;e3jXqphNJufF3vraeStkCNi9Hg75IvtvGiniXdMEGZmqOHKLefV5Xae1WFxQufHk2k4c06B/yEJT&#10;ZxD02dU1RWJb3/3mSnfC22CbeCKsLmzTdELmGlDNdPKmmoeWnMy1gJzgnmkK/8+tuN3de9bVFUej&#10;DGm06FH2kX2yPZsndvYulAA9OMBij210OVca3MqK7wGQ4hVmuBCATmz0jdfpizoZLqIBh2fSUxSB&#10;zdlsNp+fcSZwdD4FC6e5K8XLbedD/CKtZsmouEdTcwa0W4WY4lM5QlIwY286pXJjlWH7in88myX/&#10;BHk1iiJM7VBwMBvOSG2gWxF99vjqavJ4TaFlO4J0glVdPYjF262ps/dWUv3Z1CweHGgz0DdP4bSs&#10;OVMSbpOVkZE69TdIVKLMkdCBw0Rt7Nd9btHp2JC1rQ/oh7eDnoMTNx3yXVGI9+QhYDCNoYx3WBpl&#10;kZQ9Wpy11v/8037CVzytqAIDgaJ/bMmjJvXVQHFpekbDj8Z6NMxWX1kQNcW4O5FNXPBRjWbjrX7C&#10;rC5TFByREcik4og2mFdxGEvMupDLZQZhRhzFlXlwYpRd6stj/0TeHeUQIaRbO44KlW9UMWAHXSy3&#10;0TZdlkzidWDxSDfmKyvp+BakAX79n1EvL9biFwAAAP//AwBQSwMEFAAGAAgAAAAhAJlhwP7fAAAA&#10;CAEAAA8AAABkcnMvZG93bnJldi54bWxMj8FqwzAQRO+F/oPYQG+OHAeM43odQktaaKFQtx+gWBtb&#10;xJKMJCf231c9tZeBZZaZN9V+1gO7kvPKGoTNOgVGprVSmQ7h++uYFMB8EEaKwRpCWMjDvr6/q0Qp&#10;7c180rUJHYshxpcCoQ9hLDn3bU9a+LUdyUTvbJ0WIZ6u49KJWwzXA8/SNOdaKBMbejHSU0/tpZk0&#10;gno+us3rQdmPZrk02YvNp/flDfFhNR8egQWaw98z/OJHdKgj08lORno2ICR5EbcEhKjRTrbZDtgJ&#10;YZdvC+B1xf8PqH8AAAD//wMAUEsBAi0AFAAGAAgAAAAhALaDOJL+AAAA4QEAABMAAAAAAAAAAAAA&#10;AAAAAAAAAFtDb250ZW50X1R5cGVzXS54bWxQSwECLQAUAAYACAAAACEAOP0h/9YAAACUAQAACwAA&#10;AAAAAAAAAAAAAAAvAQAAX3JlbHMvLnJlbHNQSwECLQAUAAYACAAAACEA79dntHYCAAD5BAAADgAA&#10;AAAAAAAAAAAAAAAuAgAAZHJzL2Uyb0RvYy54bWxQSwECLQAUAAYACAAAACEAmWHA/t8AAAAIAQAA&#10;DwAAAAAAAAAAAAAAAADQBAAAZHJzL2Rvd25yZXYueG1sUEsFBgAAAAAEAAQA8wAAANwFAAAAAA==&#10;" filled="f" stroked="f">
              <v:stroke joinstyle="round"/>
              <v:path arrowok="t"/>
              <v:textbox style="layout-flow:vertical" inset="0,0,0,0">
                <w:txbxContent>
                  <w:p w:rsidR="00991105" w:rsidRPr="00BC20DC" w:rsidRDefault="00991105" w:rsidP="00AF7677">
                    <w:pPr>
                      <w:pStyle w:val="Footer"/>
                      <w:shd w:val="clear" w:color="auto" w:fill="FFFFFF" w:themeFill="background1"/>
                      <w:tabs>
                        <w:tab w:val="right" w:pos="9638"/>
                      </w:tabs>
                      <w:rPr>
                        <w:b/>
                        <w:sz w:val="18"/>
                      </w:rPr>
                    </w:pPr>
                    <w:r>
                      <w:tab/>
                    </w:r>
                    <w:r w:rsidRPr="00BC20DC">
                      <w:rPr>
                        <w:b/>
                        <w:sz w:val="18"/>
                      </w:rPr>
                      <w:fldChar w:fldCharType="begin"/>
                    </w:r>
                    <w:r w:rsidRPr="00BC20DC">
                      <w:rPr>
                        <w:b/>
                        <w:sz w:val="18"/>
                      </w:rPr>
                      <w:instrText xml:space="preserve"> PAGE  \* MERGEFORMAT </w:instrText>
                    </w:r>
                    <w:r w:rsidRPr="00BC20DC">
                      <w:rPr>
                        <w:b/>
                        <w:sz w:val="18"/>
                      </w:rPr>
                      <w:fldChar w:fldCharType="separate"/>
                    </w:r>
                    <w:r w:rsidR="00FB606C">
                      <w:rPr>
                        <w:b/>
                        <w:noProof/>
                        <w:sz w:val="18"/>
                      </w:rPr>
                      <w:t>15</w:t>
                    </w:r>
                    <w:r w:rsidRPr="00BC20DC">
                      <w:rPr>
                        <w:b/>
                        <w:sz w:val="18"/>
                      </w:rPr>
                      <w:fldChar w:fldCharType="end"/>
                    </w:r>
                  </w:p>
                  <w:p w:rsidR="00991105" w:rsidRDefault="00991105" w:rsidP="00AF7677">
                    <w:pPr>
                      <w:shd w:val="clear" w:color="auto" w:fill="FFFFFF" w:themeFill="background1"/>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31D" w:rsidRPr="000B175B" w:rsidRDefault="00EB631D" w:rsidP="000B175B">
      <w:pPr>
        <w:tabs>
          <w:tab w:val="right" w:pos="2155"/>
        </w:tabs>
        <w:spacing w:after="80"/>
        <w:ind w:left="680"/>
        <w:rPr>
          <w:u w:val="single"/>
        </w:rPr>
      </w:pPr>
      <w:r>
        <w:rPr>
          <w:u w:val="single"/>
        </w:rPr>
        <w:tab/>
      </w:r>
    </w:p>
  </w:footnote>
  <w:footnote w:type="continuationSeparator" w:id="0">
    <w:p w:rsidR="00EB631D" w:rsidRPr="00FC68B7" w:rsidRDefault="00EB631D" w:rsidP="00FC68B7">
      <w:pPr>
        <w:tabs>
          <w:tab w:val="left" w:pos="2155"/>
        </w:tabs>
        <w:spacing w:after="80"/>
        <w:ind w:left="680"/>
        <w:rPr>
          <w:u w:val="single"/>
        </w:rPr>
      </w:pPr>
      <w:r>
        <w:rPr>
          <w:u w:val="single"/>
        </w:rPr>
        <w:tab/>
      </w:r>
    </w:p>
  </w:footnote>
  <w:footnote w:type="continuationNotice" w:id="1">
    <w:p w:rsidR="00EB631D" w:rsidRDefault="00EB631D"/>
  </w:footnote>
  <w:footnote w:id="2">
    <w:p w:rsidR="00991105" w:rsidRPr="00B1287C" w:rsidRDefault="00991105" w:rsidP="00BC20DC">
      <w:pPr>
        <w:pStyle w:val="FootnoteText"/>
        <w:widowControl w:val="0"/>
        <w:tabs>
          <w:tab w:val="clear" w:pos="1021"/>
          <w:tab w:val="right" w:pos="1020"/>
        </w:tabs>
      </w:pPr>
      <w:r>
        <w:tab/>
      </w:r>
      <w:r>
        <w:rPr>
          <w:rStyle w:val="FootnoteReference"/>
        </w:rPr>
        <w:footnoteRef/>
      </w:r>
      <w:r>
        <w:tab/>
        <w:t>See the online</w:t>
      </w:r>
      <w:r w:rsidRPr="00B25C00">
        <w:t xml:space="preserve"> </w:t>
      </w:r>
      <w:r w:rsidRPr="00F8678E">
        <w:t>Guidelines for the Application of Environmental Indicators</w:t>
      </w:r>
      <w:r>
        <w:rPr>
          <w:iCs/>
        </w:rPr>
        <w:t>,</w:t>
      </w:r>
      <w:r>
        <w:t xml:space="preserve"> available from </w:t>
      </w:r>
      <w:r w:rsidRPr="00B25C00">
        <w:t>http://www.unece.org/env/indicators.html</w:t>
      </w:r>
      <w:r>
        <w:t xml:space="preserve">. </w:t>
      </w:r>
    </w:p>
  </w:footnote>
  <w:footnote w:id="3">
    <w:p w:rsidR="00991105" w:rsidRPr="00B1287C" w:rsidRDefault="00991105" w:rsidP="00BC20DC">
      <w:pPr>
        <w:pStyle w:val="FootnoteText"/>
        <w:widowControl w:val="0"/>
        <w:tabs>
          <w:tab w:val="clear" w:pos="1021"/>
          <w:tab w:val="right" w:pos="1020"/>
        </w:tabs>
      </w:pPr>
      <w:r>
        <w:tab/>
      </w:r>
      <w:r>
        <w:rPr>
          <w:rStyle w:val="FootnoteReference"/>
        </w:rPr>
        <w:footnoteRef/>
      </w:r>
      <w:r>
        <w:tab/>
        <w:t>Excluding the ECE member States of Canada, Israel and the United States of America.</w:t>
      </w:r>
    </w:p>
  </w:footnote>
  <w:footnote w:id="4">
    <w:p w:rsidR="00991105" w:rsidRPr="00985344" w:rsidRDefault="00991105" w:rsidP="00BC20DC">
      <w:pPr>
        <w:pStyle w:val="FootnoteText"/>
      </w:pPr>
      <w:r w:rsidRPr="000B7CEB">
        <w:tab/>
      </w:r>
      <w:r w:rsidRPr="000B7CEB">
        <w:rPr>
          <w:rStyle w:val="FootnoteReference"/>
        </w:rPr>
        <w:footnoteRef/>
      </w:r>
      <w:r w:rsidRPr="000B7CEB">
        <w:tab/>
        <w:t>See https://eni-seis.eionet.europa.eu/east.</w:t>
      </w:r>
    </w:p>
  </w:footnote>
  <w:footnote w:id="5">
    <w:p w:rsidR="00991105" w:rsidRPr="00A927D9" w:rsidRDefault="00991105" w:rsidP="00BC20DC">
      <w:pPr>
        <w:pStyle w:val="FootnoteText"/>
        <w:widowControl w:val="0"/>
        <w:tabs>
          <w:tab w:val="clear" w:pos="1021"/>
          <w:tab w:val="right" w:pos="1020"/>
        </w:tabs>
        <w:rPr>
          <w:lang w:val="en-US"/>
        </w:rPr>
      </w:pPr>
      <w:r>
        <w:tab/>
      </w:r>
      <w:r>
        <w:rPr>
          <w:rStyle w:val="FootnoteReference"/>
        </w:rPr>
        <w:footnoteRef/>
      </w:r>
      <w:r>
        <w:tab/>
      </w:r>
      <w:r w:rsidRPr="003B4B8D">
        <w:t>The five cooperating countries are Albania, Bosnia and Herzegovina, Montenegro, Serbia and the former Yugoslav Republic of Macedonia. In addition</w:t>
      </w:r>
      <w:r w:rsidRPr="00DB6D98">
        <w:t xml:space="preserve">, the authorities of Kosovo </w:t>
      </w:r>
      <w:r>
        <w:t xml:space="preserve">were </w:t>
      </w:r>
      <w:r w:rsidRPr="003B4B8D">
        <w:t xml:space="preserve">invited by </w:t>
      </w:r>
      <w:r>
        <w:t>the European Environment Agency</w:t>
      </w:r>
      <w:r w:rsidRPr="003B4B8D">
        <w:t xml:space="preserve"> to submit a completed questionnaire but did not do so.</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105" w:rsidRPr="00BC20DC" w:rsidRDefault="00991105">
    <w:pPr>
      <w:pStyle w:val="Header"/>
    </w:pPr>
    <w:r>
      <w:t>ECE/CEP/2019/7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105" w:rsidRPr="00BC20DC" w:rsidRDefault="00991105" w:rsidP="00BC20DC">
    <w:pPr>
      <w:pStyle w:val="Header"/>
      <w:jc w:val="right"/>
    </w:pPr>
    <w:r>
      <w:t>ECE/CEP/2019/7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105" w:rsidRPr="00BC20DC" w:rsidRDefault="00991105" w:rsidP="00BC20DC">
    <w:r>
      <w:rPr>
        <w:noProof/>
        <w:lang w:eastAsia="zh-CN"/>
      </w:rPr>
      <mc:AlternateContent>
        <mc:Choice Requires="wps">
          <w:drawing>
            <wp:anchor distT="0" distB="0" distL="114300" distR="114300" simplePos="0" relativeHeight="251687424" behindDoc="0" locked="0" layoutInCell="1" allowOverlap="1" wp14:anchorId="3B754E18" wp14:editId="1E41C9C2">
              <wp:simplePos x="0" y="0"/>
              <wp:positionH relativeFrom="page">
                <wp:posOffset>9791700</wp:posOffset>
              </wp:positionH>
              <wp:positionV relativeFrom="margin">
                <wp:posOffset>0</wp:posOffset>
              </wp:positionV>
              <wp:extent cx="215900" cy="6120130"/>
              <wp:effectExtent l="0" t="0" r="12700"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rsidR="00991105" w:rsidRPr="00BC20DC" w:rsidRDefault="00991105" w:rsidP="00BC20DC">
                          <w:pPr>
                            <w:pStyle w:val="Header"/>
                          </w:pPr>
                          <w:r>
                            <w:t>ECE/CEP/2019/7</w:t>
                          </w:r>
                        </w:p>
                        <w:p w:rsidR="00991105" w:rsidRDefault="0099110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B754E18" id="_x0000_t202" coordsize="21600,21600" o:spt="202" path="m,l,21600r21600,l21600,xe">
              <v:stroke joinstyle="miter"/>
              <v:path gradientshapeok="t" o:connecttype="rect"/>
            </v:shapetype>
            <v:shape id="Text Box 9" o:spid="_x0000_s1029" type="#_x0000_t202" style="position:absolute;margin-left:771pt;margin-top:0;width:17pt;height:481.9pt;z-index:2516874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zr/cgIAAPIEAAAOAAAAZHJzL2Uyb0RvYy54bWysVMFu2zAMvQ/YPwi6r04ytFiNOkXWrsOA&#10;oCvQDj0zshwbk0VNUhJnX78nOWmLbodh2EWmJeqRfHzUxeXQG7HVPnRsKzk9mUihreK6s+tKfnu4&#10;efdBihDJ1mTY6krudZCX87dvLnau1DNu2dTaC4DYUO5cJdsYXVkUQbW6p3DCTlscNux7ivj166L2&#10;tAN6b4rZZHJW7NjXzrPSIWD3ejyU84zfNFrFr00TdBSmksgt5tXndZXWYn5B5dqTazt1SIP+IYue&#10;OougT1DXFElsfPcbVN8pz4GbeKK4L7hpOqVzDahmOnlVzX1LTudaQE5wTzSF/werbrd3XnR1Jc+l&#10;sNSjRQ96iOIjD+I8sbNzoYTTvYNbHLCNLudKg1uy+h7gUrzwGS8EeCc2hsb36Ys6BS6iAfsn0lMU&#10;hc3Z9PR8ghOFo7MpWHifu1I833Y+xM+ae5GMSno0NWdA22WIKT6VR5cUzPJNZ0xurLFih8pOZ6fA&#10;J8irMRRh9g4FB7uWgswaulXRZ8QXVxPiNYVWbAnSCWy6ehSL542tM3qrqf5kaxH3DrRZ6FumcL2u&#10;pTAasMnKnpE68zeeqMTYA6Ejh4naOKwGwCRzxfUejfA8Cjk4ddMh0SWFeEceygWRmMb4FUtjGNnw&#10;wZKiZf/zT/vJv5JpRfqYBFT7Y0MexZgvFlJLY3M0/NFYHQ276a8YDE0x505lExd8NEez8dw/YkgX&#10;KQqOyCpkUklEG82rOM4jhlzpxSI7YTgcxaW9d+qot9SQh+GRvDvoIEJBt3ycESpfyWH0HQWx2ERu&#10;uqyVZxYPPGOwsoQOj0Ca3Jf/2ev5qZr/AgAA//8DAFBLAwQUAAYACAAAACEA6bG7yeAAAAAKAQAA&#10;DwAAAGRycy9kb3ducmV2LnhtbEyP0UrDQBBF3wX/YRnBN7tptLHGbEpRqqAgGP2AbXZMQrOzYXfT&#10;Jn/v9Elfhrnc4c65xWayvTiiD50jBctFAgKpdqajRsH31+5mDSJETUb3jlDBjAE25eVFoXPjTvSJ&#10;xyo2gkMo5FpBG+OQSxnqFq0OCzcgsffjvNWRpW+k8frE4baXaZJk0uqO+EOrB3xqsT5Uo1XQPe/8&#10;8nXbuY9qPlTpi8vG9/lNqeurafsIIuIU/47hjM/oUDLT3o1kguhZr+5SLhMV8Dz7q/uMt72Ch+x2&#10;DbIs5P8K5S8AAAD//wMAUEsBAi0AFAAGAAgAAAAhALaDOJL+AAAA4QEAABMAAAAAAAAAAAAAAAAA&#10;AAAAAFtDb250ZW50X1R5cGVzXS54bWxQSwECLQAUAAYACAAAACEAOP0h/9YAAACUAQAACwAAAAAA&#10;AAAAAAAAAAAvAQAAX3JlbHMvLnJlbHNQSwECLQAUAAYACAAAACEABOc6/3ICAADyBAAADgAAAAAA&#10;AAAAAAAAAAAuAgAAZHJzL2Uyb0RvYy54bWxQSwECLQAUAAYACAAAACEA6bG7yeAAAAAKAQAADwAA&#10;AAAAAAAAAAAAAADMBAAAZHJzL2Rvd25yZXYueG1sUEsFBgAAAAAEAAQA8wAAANkFAAAAAA==&#10;" filled="f" stroked="f">
              <v:stroke joinstyle="round"/>
              <v:path arrowok="t"/>
              <v:textbox style="layout-flow:vertical" inset="0,0,0,0">
                <w:txbxContent>
                  <w:p w:rsidR="00991105" w:rsidRPr="00BC20DC" w:rsidRDefault="00991105" w:rsidP="00BC20DC">
                    <w:pPr>
                      <w:pStyle w:val="Header"/>
                    </w:pPr>
                    <w:r>
                      <w:t>ECE/CEP/2019/7</w:t>
                    </w:r>
                  </w:p>
                  <w:p w:rsidR="00991105" w:rsidRDefault="00991105"/>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105" w:rsidRPr="00BC20DC" w:rsidRDefault="00991105" w:rsidP="00BC20DC">
    <w:r>
      <w:rPr>
        <w:noProof/>
        <w:lang w:eastAsia="zh-CN"/>
      </w:rPr>
      <mc:AlternateContent>
        <mc:Choice Requires="wps">
          <w:drawing>
            <wp:anchor distT="0" distB="0" distL="114300" distR="114300" simplePos="0" relativeHeight="251660800" behindDoc="0" locked="0" layoutInCell="1" allowOverlap="1" wp14:anchorId="5CE5E58D" wp14:editId="7AA43666">
              <wp:simplePos x="0" y="0"/>
              <wp:positionH relativeFrom="page">
                <wp:posOffset>9791700</wp:posOffset>
              </wp:positionH>
              <wp:positionV relativeFrom="margin">
                <wp:posOffset>0</wp:posOffset>
              </wp:positionV>
              <wp:extent cx="215900" cy="6120130"/>
              <wp:effectExtent l="0" t="0" r="1270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rsidR="00991105" w:rsidRPr="00BC20DC" w:rsidRDefault="00991105" w:rsidP="00AF7677">
                          <w:pPr>
                            <w:pStyle w:val="Header"/>
                            <w:shd w:val="clear" w:color="auto" w:fill="FFFFFF" w:themeFill="background1"/>
                            <w:jc w:val="right"/>
                          </w:pPr>
                          <w:r>
                            <w:t>ECE/CEP/2019/7</w:t>
                          </w:r>
                        </w:p>
                        <w:p w:rsidR="00991105" w:rsidRDefault="0099110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CE5E58D" id="_x0000_t202" coordsize="21600,21600" o:spt="202" path="m,l,21600r21600,l21600,xe">
              <v:stroke joinstyle="miter"/>
              <v:path gradientshapeok="t" o:connecttype="rect"/>
            </v:shapetype>
            <v:shape id="Text Box 5" o:spid="_x0000_s1030" type="#_x0000_t202" style="position:absolute;margin-left:771pt;margin-top:0;width:17pt;height:481.9pt;z-index:2516608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7PndgIAAPkEAAAOAAAAZHJzL2Uyb0RvYy54bWysVE1v2zAMvQ/YfxB0X51kSLEadYqsXYcB&#10;QVugLXpmZDk2pq9JSuLs1+9Jjtui22EYdpFpiSL5Hh91ftFrxXbSh86aik9PJpxJI2zdmU3FHx+u&#10;P3ziLEQyNSlrZMUPMvCLxft353tXypltraqlZwhiQrl3FW9jdGVRBNFKTeHEOmlw2FivKeLXb4ra&#10;0x7RtSpmk8lpsbe+dt4KGQJ2r4ZDvsjxm0aKeNs0QUamKo7aYl59XtdpLRbnVG48ubYTxzLoH6rQ&#10;1BkkfQ51RZHY1ne/hdKd8DbYJp4IqwvbNJ2QGQPQTCdv0Ny35GTGAnKCe6Yp/L+w4mZ351lXV3zO&#10;mSGNFj3IPrLPtmfzxM7ehRJO9w5uscc2upyRBrey4nuAS/HKZ7gQ4J3Y6Buv0xc4GS6iAYdn0lMW&#10;gc3ZdH42wYnA0ekULHzMXSlebjsf4ldpNUtGxT2amiug3SrElJ/K0SUlM/a6Uyo3Vhm2r/jZfAZw&#10;giCvRlGEqR0AB7PhjNQGuhXR54ivrqaIVxRatiNIJ1jV1YNYvN2aOkdvJdVfTM3iwYE2A33zlE7L&#10;mjMlETZZ2TNSp/7GE0iUORI6cJiojf26zy2ajg1Z2/qAfng76Dk4cd2h3hWFeEceAgafGMp4i6VR&#10;FkXZo8VZa/3PP+0n/4qnFSgwEAD9Y0semNQ3A8Wl6RkNPxrr0TBbfWlB1BTj7kQ2ccFHNZqNt/oJ&#10;s7pMWXBERqCSiiPbYF7GYSwx60Iul9kJM+Iorsy9E6PsUl8e+ify7iiHCCHd2HFUqHyjisF30MVy&#10;G23TZckkXgcWj3RjvrKSjm9BGuDX/9nr5cVa/AIAAP//AwBQSwMEFAAGAAgAAAAhAOmxu8ngAAAA&#10;CgEAAA8AAABkcnMvZG93bnJldi54bWxMj9FKw0AQRd8F/2EZwTe7abSxxmxKUaqgIBj9gG12TEKz&#10;s2F30yZ/7/RJX4a53OHOucVmsr04og+dIwXLRQICqXamo0bB99fuZg0iRE1G945QwYwBNuXlRaFz&#10;4070iccqNoJDKORaQRvjkEsZ6hatDgs3ILH347zVkaVvpPH6xOG2l2mSZNLqjvhDqwd8arE+VKNV&#10;0D3v/PJ127mPaj5U6YvLxvf5Tanrq2n7CCLiFP+O4YzP6FAy096NZILoWa/uUi4TFfA8+6v7jLe9&#10;gofsdg2yLOT/CuUvAAAA//8DAFBLAQItABQABgAIAAAAIQC2gziS/gAAAOEBAAATAAAAAAAAAAAA&#10;AAAAAAAAAABbQ29udGVudF9UeXBlc10ueG1sUEsBAi0AFAAGAAgAAAAhADj9If/WAAAAlAEAAAsA&#10;AAAAAAAAAAAAAAAALwEAAF9yZWxzLy5yZWxzUEsBAi0AFAAGAAgAAAAhAII3s+d2AgAA+QQAAA4A&#10;AAAAAAAAAAAAAAAALgIAAGRycy9lMm9Eb2MueG1sUEsBAi0AFAAGAAgAAAAhAOmxu8ngAAAACgEA&#10;AA8AAAAAAAAAAAAAAAAA0AQAAGRycy9kb3ducmV2LnhtbFBLBQYAAAAABAAEAPMAAADdBQAAAAA=&#10;" filled="f" stroked="f">
              <v:stroke joinstyle="round"/>
              <v:path arrowok="t"/>
              <v:textbox style="layout-flow:vertical" inset="0,0,0,0">
                <w:txbxContent>
                  <w:p w:rsidR="00991105" w:rsidRPr="00BC20DC" w:rsidRDefault="00991105" w:rsidP="00AF7677">
                    <w:pPr>
                      <w:pStyle w:val="Header"/>
                      <w:shd w:val="clear" w:color="auto" w:fill="FFFFFF" w:themeFill="background1"/>
                      <w:jc w:val="right"/>
                    </w:pPr>
                    <w:r>
                      <w:t>ECE/CEP/2019/7</w:t>
                    </w:r>
                  </w:p>
                  <w:p w:rsidR="00991105" w:rsidRDefault="00991105"/>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105" w:rsidRDefault="00991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DC"/>
    <w:rsid w:val="00002A7D"/>
    <w:rsid w:val="000038A8"/>
    <w:rsid w:val="00006790"/>
    <w:rsid w:val="00022D5A"/>
    <w:rsid w:val="00027624"/>
    <w:rsid w:val="00050F6B"/>
    <w:rsid w:val="00062EAA"/>
    <w:rsid w:val="000678CD"/>
    <w:rsid w:val="00072C8C"/>
    <w:rsid w:val="000764EE"/>
    <w:rsid w:val="00081CE0"/>
    <w:rsid w:val="00084D30"/>
    <w:rsid w:val="00090320"/>
    <w:rsid w:val="000931C0"/>
    <w:rsid w:val="000A2E09"/>
    <w:rsid w:val="000B1650"/>
    <w:rsid w:val="000B175B"/>
    <w:rsid w:val="000B3A0F"/>
    <w:rsid w:val="000E0415"/>
    <w:rsid w:val="000F7715"/>
    <w:rsid w:val="00116939"/>
    <w:rsid w:val="00147883"/>
    <w:rsid w:val="001536AC"/>
    <w:rsid w:val="00156B99"/>
    <w:rsid w:val="00162190"/>
    <w:rsid w:val="00166124"/>
    <w:rsid w:val="00173EC1"/>
    <w:rsid w:val="00183C9E"/>
    <w:rsid w:val="00184DDA"/>
    <w:rsid w:val="001900CD"/>
    <w:rsid w:val="001A0452"/>
    <w:rsid w:val="001B4B04"/>
    <w:rsid w:val="001B5875"/>
    <w:rsid w:val="001B6F6A"/>
    <w:rsid w:val="001C4B9C"/>
    <w:rsid w:val="001C6663"/>
    <w:rsid w:val="001C7895"/>
    <w:rsid w:val="001D26DF"/>
    <w:rsid w:val="001D6C85"/>
    <w:rsid w:val="001E6D32"/>
    <w:rsid w:val="001F1599"/>
    <w:rsid w:val="001F19C4"/>
    <w:rsid w:val="002043F0"/>
    <w:rsid w:val="00211E0B"/>
    <w:rsid w:val="00212EE5"/>
    <w:rsid w:val="00232575"/>
    <w:rsid w:val="002335FD"/>
    <w:rsid w:val="00247258"/>
    <w:rsid w:val="00253DAE"/>
    <w:rsid w:val="002542E2"/>
    <w:rsid w:val="00257CAC"/>
    <w:rsid w:val="00262CAA"/>
    <w:rsid w:val="0027237A"/>
    <w:rsid w:val="002728F3"/>
    <w:rsid w:val="00275AE7"/>
    <w:rsid w:val="002974E9"/>
    <w:rsid w:val="002A7F94"/>
    <w:rsid w:val="002B109A"/>
    <w:rsid w:val="002C6012"/>
    <w:rsid w:val="002C6D45"/>
    <w:rsid w:val="002D5DF2"/>
    <w:rsid w:val="002D6E53"/>
    <w:rsid w:val="002F046D"/>
    <w:rsid w:val="00301764"/>
    <w:rsid w:val="003021E7"/>
    <w:rsid w:val="003064DC"/>
    <w:rsid w:val="00307E6E"/>
    <w:rsid w:val="003229D8"/>
    <w:rsid w:val="0033338E"/>
    <w:rsid w:val="00336C97"/>
    <w:rsid w:val="00337F88"/>
    <w:rsid w:val="00342432"/>
    <w:rsid w:val="0035223F"/>
    <w:rsid w:val="00352D4B"/>
    <w:rsid w:val="0035638C"/>
    <w:rsid w:val="003672C4"/>
    <w:rsid w:val="003767A0"/>
    <w:rsid w:val="003A1487"/>
    <w:rsid w:val="003A46BB"/>
    <w:rsid w:val="003A4EC7"/>
    <w:rsid w:val="003A7295"/>
    <w:rsid w:val="003B1F60"/>
    <w:rsid w:val="003C2CC4"/>
    <w:rsid w:val="003D19B9"/>
    <w:rsid w:val="003D4B23"/>
    <w:rsid w:val="003E011E"/>
    <w:rsid w:val="003E23A7"/>
    <w:rsid w:val="003E278A"/>
    <w:rsid w:val="00413520"/>
    <w:rsid w:val="004325CB"/>
    <w:rsid w:val="00440A07"/>
    <w:rsid w:val="004566F3"/>
    <w:rsid w:val="00462880"/>
    <w:rsid w:val="00476F24"/>
    <w:rsid w:val="00486978"/>
    <w:rsid w:val="004930F4"/>
    <w:rsid w:val="00495417"/>
    <w:rsid w:val="0049623A"/>
    <w:rsid w:val="004C04DA"/>
    <w:rsid w:val="004C55B0"/>
    <w:rsid w:val="004F3EC9"/>
    <w:rsid w:val="004F6BA0"/>
    <w:rsid w:val="00502162"/>
    <w:rsid w:val="00503BEA"/>
    <w:rsid w:val="00511975"/>
    <w:rsid w:val="0051439C"/>
    <w:rsid w:val="00514BEB"/>
    <w:rsid w:val="0052311A"/>
    <w:rsid w:val="00533616"/>
    <w:rsid w:val="00535ABA"/>
    <w:rsid w:val="00536243"/>
    <w:rsid w:val="0053768B"/>
    <w:rsid w:val="00541C49"/>
    <w:rsid w:val="005420F2"/>
    <w:rsid w:val="0054285C"/>
    <w:rsid w:val="00547C48"/>
    <w:rsid w:val="005624B1"/>
    <w:rsid w:val="0057459F"/>
    <w:rsid w:val="00584173"/>
    <w:rsid w:val="00585E6C"/>
    <w:rsid w:val="00595520"/>
    <w:rsid w:val="00596852"/>
    <w:rsid w:val="005A44B9"/>
    <w:rsid w:val="005B1BA0"/>
    <w:rsid w:val="005B3DB3"/>
    <w:rsid w:val="005B5486"/>
    <w:rsid w:val="005D15CA"/>
    <w:rsid w:val="005F3066"/>
    <w:rsid w:val="005F3E61"/>
    <w:rsid w:val="005F596B"/>
    <w:rsid w:val="00604DDD"/>
    <w:rsid w:val="006115CC"/>
    <w:rsid w:val="00611FC4"/>
    <w:rsid w:val="00615E61"/>
    <w:rsid w:val="006176FB"/>
    <w:rsid w:val="00630FCB"/>
    <w:rsid w:val="00640B26"/>
    <w:rsid w:val="00657C68"/>
    <w:rsid w:val="0067567D"/>
    <w:rsid w:val="006770B2"/>
    <w:rsid w:val="006940E1"/>
    <w:rsid w:val="006A3C72"/>
    <w:rsid w:val="006A7392"/>
    <w:rsid w:val="006B03A1"/>
    <w:rsid w:val="006B67D9"/>
    <w:rsid w:val="006C5535"/>
    <w:rsid w:val="006D0589"/>
    <w:rsid w:val="006D11C8"/>
    <w:rsid w:val="006D43E2"/>
    <w:rsid w:val="006E564B"/>
    <w:rsid w:val="006E7154"/>
    <w:rsid w:val="006F745D"/>
    <w:rsid w:val="007003CD"/>
    <w:rsid w:val="0070701E"/>
    <w:rsid w:val="0072632A"/>
    <w:rsid w:val="007358E8"/>
    <w:rsid w:val="00736ECE"/>
    <w:rsid w:val="0074533B"/>
    <w:rsid w:val="007643BC"/>
    <w:rsid w:val="0077009F"/>
    <w:rsid w:val="007959FE"/>
    <w:rsid w:val="007A0CF1"/>
    <w:rsid w:val="007B6BA5"/>
    <w:rsid w:val="007C3390"/>
    <w:rsid w:val="007C42D8"/>
    <w:rsid w:val="007C4F4B"/>
    <w:rsid w:val="007D3C19"/>
    <w:rsid w:val="007D7362"/>
    <w:rsid w:val="007E30BE"/>
    <w:rsid w:val="007F529C"/>
    <w:rsid w:val="007F5CE2"/>
    <w:rsid w:val="007F6611"/>
    <w:rsid w:val="00807E02"/>
    <w:rsid w:val="00810BAC"/>
    <w:rsid w:val="0081137F"/>
    <w:rsid w:val="008175E9"/>
    <w:rsid w:val="008242D7"/>
    <w:rsid w:val="0082577B"/>
    <w:rsid w:val="008527DE"/>
    <w:rsid w:val="00866893"/>
    <w:rsid w:val="00866F02"/>
    <w:rsid w:val="00867D18"/>
    <w:rsid w:val="00871F9A"/>
    <w:rsid w:val="00871FD5"/>
    <w:rsid w:val="0088172E"/>
    <w:rsid w:val="00881EFA"/>
    <w:rsid w:val="008879CB"/>
    <w:rsid w:val="00887B8A"/>
    <w:rsid w:val="008979B1"/>
    <w:rsid w:val="008A6B25"/>
    <w:rsid w:val="008A6C4F"/>
    <w:rsid w:val="008B389E"/>
    <w:rsid w:val="008D045E"/>
    <w:rsid w:val="008D0863"/>
    <w:rsid w:val="008D3F25"/>
    <w:rsid w:val="008D4D82"/>
    <w:rsid w:val="008E0E46"/>
    <w:rsid w:val="008E1FD0"/>
    <w:rsid w:val="008E7116"/>
    <w:rsid w:val="008F143B"/>
    <w:rsid w:val="008F3882"/>
    <w:rsid w:val="008F3971"/>
    <w:rsid w:val="008F4B7C"/>
    <w:rsid w:val="0090156B"/>
    <w:rsid w:val="0090192B"/>
    <w:rsid w:val="00904E94"/>
    <w:rsid w:val="009125FC"/>
    <w:rsid w:val="0092372A"/>
    <w:rsid w:val="00926E47"/>
    <w:rsid w:val="00947162"/>
    <w:rsid w:val="009610D0"/>
    <w:rsid w:val="00961610"/>
    <w:rsid w:val="0096375C"/>
    <w:rsid w:val="009662E6"/>
    <w:rsid w:val="00967C14"/>
    <w:rsid w:val="0097095E"/>
    <w:rsid w:val="0098592B"/>
    <w:rsid w:val="00985FC4"/>
    <w:rsid w:val="00990766"/>
    <w:rsid w:val="00991105"/>
    <w:rsid w:val="00991261"/>
    <w:rsid w:val="009964C4"/>
    <w:rsid w:val="009A7B81"/>
    <w:rsid w:val="009C668C"/>
    <w:rsid w:val="009D01C0"/>
    <w:rsid w:val="009D6A08"/>
    <w:rsid w:val="009E0A16"/>
    <w:rsid w:val="009E6CB7"/>
    <w:rsid w:val="009E7970"/>
    <w:rsid w:val="009F2EAC"/>
    <w:rsid w:val="009F57E3"/>
    <w:rsid w:val="00A10F4F"/>
    <w:rsid w:val="00A11067"/>
    <w:rsid w:val="00A1704A"/>
    <w:rsid w:val="00A36335"/>
    <w:rsid w:val="00A425EB"/>
    <w:rsid w:val="00A567E7"/>
    <w:rsid w:val="00A618CE"/>
    <w:rsid w:val="00A72F22"/>
    <w:rsid w:val="00A733BC"/>
    <w:rsid w:val="00A748A6"/>
    <w:rsid w:val="00A76A69"/>
    <w:rsid w:val="00A8313D"/>
    <w:rsid w:val="00A879A4"/>
    <w:rsid w:val="00AA0FF8"/>
    <w:rsid w:val="00AC0F2C"/>
    <w:rsid w:val="00AC502A"/>
    <w:rsid w:val="00AD330D"/>
    <w:rsid w:val="00AF3582"/>
    <w:rsid w:val="00AF58C1"/>
    <w:rsid w:val="00AF7677"/>
    <w:rsid w:val="00B0061B"/>
    <w:rsid w:val="00B04A3F"/>
    <w:rsid w:val="00B06643"/>
    <w:rsid w:val="00B15055"/>
    <w:rsid w:val="00B30179"/>
    <w:rsid w:val="00B37B15"/>
    <w:rsid w:val="00B45C02"/>
    <w:rsid w:val="00B71A42"/>
    <w:rsid w:val="00B72A1E"/>
    <w:rsid w:val="00B7667A"/>
    <w:rsid w:val="00B81E12"/>
    <w:rsid w:val="00BA339B"/>
    <w:rsid w:val="00BA6E05"/>
    <w:rsid w:val="00BC1E7E"/>
    <w:rsid w:val="00BC20DC"/>
    <w:rsid w:val="00BC74E9"/>
    <w:rsid w:val="00BC7F91"/>
    <w:rsid w:val="00BD5348"/>
    <w:rsid w:val="00BE34CA"/>
    <w:rsid w:val="00BE36A9"/>
    <w:rsid w:val="00BE618E"/>
    <w:rsid w:val="00BE7BEC"/>
    <w:rsid w:val="00BF0A5A"/>
    <w:rsid w:val="00BF0E63"/>
    <w:rsid w:val="00BF12A3"/>
    <w:rsid w:val="00BF16D7"/>
    <w:rsid w:val="00BF2373"/>
    <w:rsid w:val="00C044E2"/>
    <w:rsid w:val="00C048CB"/>
    <w:rsid w:val="00C066F3"/>
    <w:rsid w:val="00C25720"/>
    <w:rsid w:val="00C4639E"/>
    <w:rsid w:val="00C463DD"/>
    <w:rsid w:val="00C706AE"/>
    <w:rsid w:val="00C745C3"/>
    <w:rsid w:val="00CA24A4"/>
    <w:rsid w:val="00CB348D"/>
    <w:rsid w:val="00CC78F5"/>
    <w:rsid w:val="00CD0948"/>
    <w:rsid w:val="00CD46F5"/>
    <w:rsid w:val="00CE4A8F"/>
    <w:rsid w:val="00CF071D"/>
    <w:rsid w:val="00D15B04"/>
    <w:rsid w:val="00D2031B"/>
    <w:rsid w:val="00D25FE2"/>
    <w:rsid w:val="00D37DA9"/>
    <w:rsid w:val="00D406A7"/>
    <w:rsid w:val="00D43252"/>
    <w:rsid w:val="00D44D86"/>
    <w:rsid w:val="00D50B7D"/>
    <w:rsid w:val="00D52012"/>
    <w:rsid w:val="00D704E5"/>
    <w:rsid w:val="00D72727"/>
    <w:rsid w:val="00D86EF4"/>
    <w:rsid w:val="00D8727C"/>
    <w:rsid w:val="00D91D7D"/>
    <w:rsid w:val="00D978C6"/>
    <w:rsid w:val="00DA0956"/>
    <w:rsid w:val="00DA28F1"/>
    <w:rsid w:val="00DA357F"/>
    <w:rsid w:val="00DA3E12"/>
    <w:rsid w:val="00DB6D98"/>
    <w:rsid w:val="00DC18AD"/>
    <w:rsid w:val="00DF7CAE"/>
    <w:rsid w:val="00E2798B"/>
    <w:rsid w:val="00E423C0"/>
    <w:rsid w:val="00E47E73"/>
    <w:rsid w:val="00E6414C"/>
    <w:rsid w:val="00E7260F"/>
    <w:rsid w:val="00E8153B"/>
    <w:rsid w:val="00E8702D"/>
    <w:rsid w:val="00E916A9"/>
    <w:rsid w:val="00E916DE"/>
    <w:rsid w:val="00E925AD"/>
    <w:rsid w:val="00E93CCF"/>
    <w:rsid w:val="00E96630"/>
    <w:rsid w:val="00EA64CD"/>
    <w:rsid w:val="00EB631D"/>
    <w:rsid w:val="00ED18DC"/>
    <w:rsid w:val="00ED6201"/>
    <w:rsid w:val="00ED7A2A"/>
    <w:rsid w:val="00EF1D7F"/>
    <w:rsid w:val="00F0137E"/>
    <w:rsid w:val="00F21786"/>
    <w:rsid w:val="00F37323"/>
    <w:rsid w:val="00F3742B"/>
    <w:rsid w:val="00F41FDB"/>
    <w:rsid w:val="00F507EC"/>
    <w:rsid w:val="00F56D63"/>
    <w:rsid w:val="00F609A9"/>
    <w:rsid w:val="00F617BD"/>
    <w:rsid w:val="00F80C99"/>
    <w:rsid w:val="00F857C3"/>
    <w:rsid w:val="00F865BA"/>
    <w:rsid w:val="00F8678E"/>
    <w:rsid w:val="00F867EC"/>
    <w:rsid w:val="00F91B2B"/>
    <w:rsid w:val="00FB5B98"/>
    <w:rsid w:val="00FB606C"/>
    <w:rsid w:val="00FC0201"/>
    <w:rsid w:val="00FC03CD"/>
    <w:rsid w:val="00FC0646"/>
    <w:rsid w:val="00FC1100"/>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B57CD26-98F9-4AD2-9F34-67007F87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ußnote,Footnote Text Char Char,single space,footnote text,Footnote text,Podrozdział,Footnote,Podrozdzia3"/>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SingleTxtGChar">
    <w:name w:val="_ Single Txt_G Char"/>
    <w:link w:val="SingleTxtG"/>
    <w:rsid w:val="00BC20DC"/>
    <w:rPr>
      <w:lang w:eastAsia="en-US"/>
    </w:rPr>
  </w:style>
  <w:style w:type="character" w:customStyle="1" w:styleId="H1GChar">
    <w:name w:val="_ H_1_G Char"/>
    <w:link w:val="H1G"/>
    <w:rsid w:val="00BC20DC"/>
    <w:rPr>
      <w:b/>
      <w:sz w:val="24"/>
      <w:lang w:eastAsia="en-US"/>
    </w:rPr>
  </w:style>
  <w:style w:type="character" w:customStyle="1" w:styleId="FootnoteTextChar">
    <w:name w:val="Footnote Text Char"/>
    <w:aliases w:val="5_G Char,Fußnote Char,Footnote Text Char Char Char,single space Char,footnote text Char,Footnote text Char,Podrozdział Char,Footnote Char,Podrozdzia3 Char"/>
    <w:link w:val="FootnoteText"/>
    <w:rsid w:val="00BC20DC"/>
    <w:rPr>
      <w:sz w:val="18"/>
      <w:lang w:eastAsia="en-US"/>
    </w:rPr>
  </w:style>
  <w:style w:type="paragraph" w:customStyle="1" w:styleId="SingleTxt">
    <w:name w:val="__Single Txt"/>
    <w:basedOn w:val="Normal"/>
    <w:rsid w:val="00BC20D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styleId="CommentReference">
    <w:name w:val="annotation reference"/>
    <w:basedOn w:val="DefaultParagraphFont"/>
    <w:semiHidden/>
    <w:unhideWhenUsed/>
    <w:rsid w:val="006D43E2"/>
    <w:rPr>
      <w:sz w:val="16"/>
      <w:szCs w:val="16"/>
    </w:rPr>
  </w:style>
  <w:style w:type="paragraph" w:styleId="CommentText">
    <w:name w:val="annotation text"/>
    <w:basedOn w:val="Normal"/>
    <w:link w:val="CommentTextChar"/>
    <w:semiHidden/>
    <w:unhideWhenUsed/>
    <w:rsid w:val="006D43E2"/>
    <w:pPr>
      <w:spacing w:line="240" w:lineRule="auto"/>
    </w:pPr>
  </w:style>
  <w:style w:type="character" w:customStyle="1" w:styleId="CommentTextChar">
    <w:name w:val="Comment Text Char"/>
    <w:basedOn w:val="DefaultParagraphFont"/>
    <w:link w:val="CommentText"/>
    <w:semiHidden/>
    <w:rsid w:val="006D43E2"/>
    <w:rPr>
      <w:lang w:eastAsia="en-US"/>
    </w:rPr>
  </w:style>
  <w:style w:type="paragraph" w:styleId="CommentSubject">
    <w:name w:val="annotation subject"/>
    <w:basedOn w:val="CommentText"/>
    <w:next w:val="CommentText"/>
    <w:link w:val="CommentSubjectChar"/>
    <w:semiHidden/>
    <w:unhideWhenUsed/>
    <w:rsid w:val="006D43E2"/>
    <w:rPr>
      <w:b/>
      <w:bCs/>
    </w:rPr>
  </w:style>
  <w:style w:type="character" w:customStyle="1" w:styleId="CommentSubjectChar">
    <w:name w:val="Comment Subject Char"/>
    <w:basedOn w:val="CommentTextChar"/>
    <w:link w:val="CommentSubject"/>
    <w:semiHidden/>
    <w:rsid w:val="006D43E2"/>
    <w:rPr>
      <w:b/>
      <w:bCs/>
      <w:lang w:eastAsia="en-US"/>
    </w:rPr>
  </w:style>
  <w:style w:type="paragraph" w:styleId="BalloonText">
    <w:name w:val="Balloon Text"/>
    <w:basedOn w:val="Normal"/>
    <w:link w:val="BalloonTextChar"/>
    <w:rsid w:val="006D43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6D43E2"/>
    <w:rPr>
      <w:rFonts w:ascii="Segoe UI" w:hAnsi="Segoe UI" w:cs="Segoe UI"/>
      <w:sz w:val="18"/>
      <w:szCs w:val="18"/>
      <w:lang w:eastAsia="en-US"/>
    </w:rPr>
  </w:style>
  <w:style w:type="paragraph" w:styleId="Revision">
    <w:name w:val="Revision"/>
    <w:hidden/>
    <w:uiPriority w:val="99"/>
    <w:semiHidden/>
    <w:rsid w:val="00116939"/>
    <w:rPr>
      <w:lang w:eastAsia="en-US"/>
    </w:rPr>
  </w:style>
  <w:style w:type="character" w:customStyle="1" w:styleId="FooterChar">
    <w:name w:val="Footer Char"/>
    <w:aliases w:val="3_G Char"/>
    <w:basedOn w:val="DefaultParagraphFont"/>
    <w:link w:val="Footer"/>
    <w:rsid w:val="00FB606C"/>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 Id="rId22" Type="http://schemas.openxmlformats.org/officeDocument/2006/relationships/header" Target="header5.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bosson\AppData\Roaming\Microsoft\Templates\ECE+PlainPage\ECE_E.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unece-fs1.unog.un.org\data\Shares\Groups\Ehlm\Environmental%20Monitoring\SEIS\Mid-Term%20Review%202018\Report\Compilation%20of%20Results_210618_final%20for%20MTR_180918.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unece-fs1.unog.un.org\data\Shares\Groups\Ehlm\Environmental%20Monitoring\SEIS\Mid-Term%20Review%202018\Report\Compilation%20of%20Results_210618_final%20for%20MTR_180918.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unece-fs1.unog.un.org\data\Shares\Groups\Ehlm\Environmental%20Monitoring\SEIS\Mid-Term%20Review%202018\Report\Compilation%20of%20Results_210618_final%20for%20MTR_180918.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unece-fs1.unog.un.org\data\Shares\Groups\Ehlm\Environmental%20Monitoring\SEIS\Mid-Term%20Review%202018\Report\Compilation%20of%20Results_210618_final%20for%20MTR_180918.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418086918137606"/>
          <c:y val="6.3864464858559344E-2"/>
          <c:w val="0.83259370456390791"/>
          <c:h val="0.54036355121037383"/>
        </c:manualLayout>
      </c:layout>
      <c:barChart>
        <c:barDir val="col"/>
        <c:grouping val="clustered"/>
        <c:varyColors val="0"/>
        <c:ser>
          <c:idx val="0"/>
          <c:order val="0"/>
          <c:tx>
            <c:strRef>
              <c:f>'Factsheets &amp; Graphs'!$J$44</c:f>
              <c:strCache>
                <c:ptCount val="1"/>
                <c:pt idx="0">
                  <c:v>The data flow is used for more than one purpose [%]</c:v>
                </c:pt>
              </c:strCache>
            </c:strRef>
          </c:tx>
          <c:spPr>
            <a:solidFill>
              <a:schemeClr val="accent5">
                <a:lumMod val="40000"/>
                <a:lumOff val="60000"/>
              </a:schemeClr>
            </a:solidFill>
            <a:ln w="19050">
              <a:solidFill>
                <a:schemeClr val="lt1"/>
              </a:solidFill>
            </a:ln>
            <a:effectLst/>
          </c:spPr>
          <c:invertIfNegative val="0"/>
          <c:cat>
            <c:strRef>
              <c:f>'Factsheets &amp; Graphs'!$B$45:$B$51</c:f>
              <c:strCache>
                <c:ptCount val="7"/>
                <c:pt idx="0">
                  <c:v>Ground-level ozone</c:v>
                </c:pt>
                <c:pt idx="1">
                  <c:v>Nitrogen dioxide</c:v>
                </c:pt>
                <c:pt idx="2">
                  <c:v>PM10</c:v>
                </c:pt>
                <c:pt idx="3">
                  <c:v>Sulphur dioxide </c:v>
                </c:pt>
                <c:pt idx="4">
                  <c:v>BOD5</c:v>
                </c:pt>
                <c:pt idx="5">
                  <c:v>Ammonium in major rivers</c:v>
                </c:pt>
                <c:pt idx="6">
                  <c:v>Total protected areas</c:v>
                </c:pt>
              </c:strCache>
            </c:strRef>
          </c:cat>
          <c:val>
            <c:numRef>
              <c:f>'Factsheets &amp; Graphs'!$J$45:$J$51</c:f>
              <c:numCache>
                <c:formatCode>0.00</c:formatCode>
                <c:ptCount val="7"/>
                <c:pt idx="0">
                  <c:v>93.103448275862064</c:v>
                </c:pt>
                <c:pt idx="1">
                  <c:v>96.666666666666671</c:v>
                </c:pt>
                <c:pt idx="2">
                  <c:v>93.103448275862064</c:v>
                </c:pt>
                <c:pt idx="3">
                  <c:v>96.666666666666671</c:v>
                </c:pt>
                <c:pt idx="4">
                  <c:v>93.333333333333329</c:v>
                </c:pt>
                <c:pt idx="5">
                  <c:v>93.333333333333329</c:v>
                </c:pt>
                <c:pt idx="6">
                  <c:v>100</c:v>
                </c:pt>
              </c:numCache>
            </c:numRef>
          </c:val>
          <c:extLst xmlns:c15="http://schemas.microsoft.com/office/drawing/2012/chart">
            <c:ext xmlns:c16="http://schemas.microsoft.com/office/drawing/2014/chart" uri="{C3380CC4-5D6E-409C-BE32-E72D297353CC}">
              <c16:uniqueId val="{00000000-606C-444C-B11E-5E20177B8095}"/>
            </c:ext>
          </c:extLst>
        </c:ser>
        <c:ser>
          <c:idx val="1"/>
          <c:order val="1"/>
          <c:tx>
            <c:strRef>
              <c:f>'Factsheets &amp; Graphs'!$K$44</c:f>
              <c:strCache>
                <c:ptCount val="1"/>
                <c:pt idx="0">
                  <c:v>The data flow is partly used for more than one purpose  [%]</c:v>
                </c:pt>
              </c:strCache>
            </c:strRef>
          </c:tx>
          <c:spPr>
            <a:solidFill>
              <a:schemeClr val="accent1"/>
            </a:solidFill>
            <a:ln w="19050">
              <a:solidFill>
                <a:schemeClr val="lt1"/>
              </a:solidFill>
            </a:ln>
            <a:effectLst/>
          </c:spPr>
          <c:invertIfNegative val="0"/>
          <c:cat>
            <c:strRef>
              <c:f>'Factsheets &amp; Graphs'!$B$45:$B$51</c:f>
              <c:strCache>
                <c:ptCount val="7"/>
                <c:pt idx="0">
                  <c:v>Ground-level ozone</c:v>
                </c:pt>
                <c:pt idx="1">
                  <c:v>Nitrogen dioxide</c:v>
                </c:pt>
                <c:pt idx="2">
                  <c:v>PM10</c:v>
                </c:pt>
                <c:pt idx="3">
                  <c:v>Sulphur dioxide </c:v>
                </c:pt>
                <c:pt idx="4">
                  <c:v>BOD5</c:v>
                </c:pt>
                <c:pt idx="5">
                  <c:v>Ammonium in major rivers</c:v>
                </c:pt>
                <c:pt idx="6">
                  <c:v>Total protected areas</c:v>
                </c:pt>
              </c:strCache>
            </c:strRef>
          </c:cat>
          <c:val>
            <c:numRef>
              <c:f>'Factsheets &amp; Graphs'!$K$45:$K$51</c:f>
              <c:numCache>
                <c:formatCode>0.00</c:formatCode>
                <c:ptCount val="7"/>
                <c:pt idx="0">
                  <c:v>6.8965517241379306</c:v>
                </c:pt>
                <c:pt idx="1">
                  <c:v>3.3333333333333335</c:v>
                </c:pt>
                <c:pt idx="2">
                  <c:v>6.8965517241379306</c:v>
                </c:pt>
                <c:pt idx="3">
                  <c:v>3.3333333333333335</c:v>
                </c:pt>
                <c:pt idx="4">
                  <c:v>0</c:v>
                </c:pt>
                <c:pt idx="5">
                  <c:v>3.3333333333333335</c:v>
                </c:pt>
                <c:pt idx="6">
                  <c:v>0</c:v>
                </c:pt>
              </c:numCache>
            </c:numRef>
          </c:val>
          <c:extLst xmlns:c15="http://schemas.microsoft.com/office/drawing/2012/chart">
            <c:ext xmlns:c16="http://schemas.microsoft.com/office/drawing/2014/chart" uri="{C3380CC4-5D6E-409C-BE32-E72D297353CC}">
              <c16:uniqueId val="{00000001-606C-444C-B11E-5E20177B8095}"/>
            </c:ext>
          </c:extLst>
        </c:ser>
        <c:ser>
          <c:idx val="2"/>
          <c:order val="2"/>
          <c:tx>
            <c:strRef>
              <c:f>'Factsheets &amp; Graphs'!$L$44</c:f>
              <c:strCache>
                <c:ptCount val="1"/>
                <c:pt idx="0">
                  <c:v>The data flow is not used for more than one purpose  [%]</c:v>
                </c:pt>
              </c:strCache>
            </c:strRef>
          </c:tx>
          <c:spPr>
            <a:solidFill>
              <a:srgbClr val="7030A0"/>
            </a:solidFill>
            <a:ln w="19050">
              <a:solidFill>
                <a:schemeClr val="lt1"/>
              </a:solidFill>
            </a:ln>
            <a:effectLst/>
          </c:spPr>
          <c:invertIfNegative val="0"/>
          <c:cat>
            <c:strRef>
              <c:f>'Factsheets &amp; Graphs'!$B$45:$B$51</c:f>
              <c:strCache>
                <c:ptCount val="7"/>
                <c:pt idx="0">
                  <c:v>Ground-level ozone</c:v>
                </c:pt>
                <c:pt idx="1">
                  <c:v>Nitrogen dioxide</c:v>
                </c:pt>
                <c:pt idx="2">
                  <c:v>PM10</c:v>
                </c:pt>
                <c:pt idx="3">
                  <c:v>Sulphur dioxide </c:v>
                </c:pt>
                <c:pt idx="4">
                  <c:v>BOD5</c:v>
                </c:pt>
                <c:pt idx="5">
                  <c:v>Ammonium in major rivers</c:v>
                </c:pt>
                <c:pt idx="6">
                  <c:v>Total protected areas</c:v>
                </c:pt>
              </c:strCache>
            </c:strRef>
          </c:cat>
          <c:val>
            <c:numRef>
              <c:f>'Factsheets &amp; Graphs'!$L$45:$L$51</c:f>
              <c:numCache>
                <c:formatCode>0.00</c:formatCode>
                <c:ptCount val="7"/>
                <c:pt idx="0">
                  <c:v>0</c:v>
                </c:pt>
                <c:pt idx="1">
                  <c:v>0</c:v>
                </c:pt>
                <c:pt idx="2">
                  <c:v>0</c:v>
                </c:pt>
                <c:pt idx="3">
                  <c:v>0</c:v>
                </c:pt>
                <c:pt idx="4">
                  <c:v>6.666666666666667</c:v>
                </c:pt>
                <c:pt idx="5">
                  <c:v>3.3333333333333335</c:v>
                </c:pt>
                <c:pt idx="6">
                  <c:v>0</c:v>
                </c:pt>
              </c:numCache>
            </c:numRef>
          </c:val>
          <c:extLst xmlns:c15="http://schemas.microsoft.com/office/drawing/2012/chart">
            <c:ext xmlns:c16="http://schemas.microsoft.com/office/drawing/2014/chart" uri="{C3380CC4-5D6E-409C-BE32-E72D297353CC}">
              <c16:uniqueId val="{00000002-606C-444C-B11E-5E20177B8095}"/>
            </c:ext>
          </c:extLst>
        </c:ser>
        <c:dLbls>
          <c:showLegendKey val="0"/>
          <c:showVal val="0"/>
          <c:showCatName val="0"/>
          <c:showSerName val="0"/>
          <c:showPercent val="0"/>
          <c:showBubbleSize val="0"/>
        </c:dLbls>
        <c:gapWidth val="150"/>
        <c:axId val="165157376"/>
        <c:axId val="158549120"/>
        <c:extLst/>
      </c:barChart>
      <c:catAx>
        <c:axId val="1651573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58549120"/>
        <c:crosses val="autoZero"/>
        <c:auto val="1"/>
        <c:lblAlgn val="ctr"/>
        <c:lblOffset val="100"/>
        <c:noMultiLvlLbl val="0"/>
      </c:catAx>
      <c:valAx>
        <c:axId val="158549120"/>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b="1"/>
                </a:pPr>
                <a:r>
                  <a:rPr lang="en-GB" b="1"/>
                  <a:t>Percentage [%]</a:t>
                </a:r>
              </a:p>
            </c:rich>
          </c:tx>
          <c:layout>
            <c:manualLayout>
              <c:xMode val="edge"/>
              <c:yMode val="edge"/>
              <c:x val="1.8010158802092186E-2"/>
              <c:y val="0.14751458151064448"/>
            </c:manualLayout>
          </c:layout>
          <c:overlay val="0"/>
          <c:spPr>
            <a:noFill/>
            <a:ln>
              <a:noFill/>
            </a:ln>
            <a:effectLst/>
          </c:spPr>
        </c:title>
        <c:numFmt formatCode="0" sourceLinked="0"/>
        <c:majorTickMark val="out"/>
        <c:minorTickMark val="none"/>
        <c:tickLblPos val="nextTo"/>
        <c:spPr>
          <a:noFill/>
          <a:ln>
            <a:noFill/>
          </a:ln>
          <a:effectLst/>
        </c:spPr>
        <c:txPr>
          <a:bodyPr rot="-60000000" vert="horz"/>
          <a:lstStyle/>
          <a:p>
            <a:pPr>
              <a:defRPr/>
            </a:pPr>
            <a:endParaRPr lang="en-US"/>
          </a:p>
        </c:txPr>
        <c:crossAx val="165157376"/>
        <c:crosses val="autoZero"/>
        <c:crossBetween val="between"/>
      </c:valAx>
      <c:spPr>
        <a:noFill/>
        <a:ln>
          <a:noFill/>
        </a:ln>
        <a:effectLst/>
      </c:spPr>
    </c:plotArea>
    <c:legend>
      <c:legendPos val="b"/>
      <c:layout>
        <c:manualLayout>
          <c:xMode val="edge"/>
          <c:yMode val="edge"/>
          <c:x val="2.7941048735814499E-2"/>
          <c:y val="0.80539765243099259"/>
          <c:w val="0.91307657316262469"/>
          <c:h val="0.16537384499799981"/>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50000"/>
          <a:lumOff val="50000"/>
        </a:schemeClr>
      </a:solidFill>
      <a:round/>
    </a:ln>
    <a:effectLst/>
  </c:spPr>
  <c:txPr>
    <a:bodyPr/>
    <a:lstStyle/>
    <a:p>
      <a:pPr>
        <a:defRPr sz="900" b="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418078275270942"/>
          <c:y val="6.6567428575887877E-2"/>
          <c:w val="0.83862877841376837"/>
          <c:h val="0.53953589134691493"/>
        </c:manualLayout>
      </c:layout>
      <c:barChart>
        <c:barDir val="col"/>
        <c:grouping val="clustered"/>
        <c:varyColors val="0"/>
        <c:ser>
          <c:idx val="3"/>
          <c:order val="0"/>
          <c:tx>
            <c:strRef>
              <c:f>'Factsheets &amp; Graphs'!$J$158</c:f>
              <c:strCache>
                <c:ptCount val="1"/>
                <c:pt idx="0">
                  <c:v>The data flow is readily available and accessible online for users on a national platform [%]</c:v>
                </c:pt>
              </c:strCache>
            </c:strRef>
          </c:tx>
          <c:spPr>
            <a:solidFill>
              <a:schemeClr val="accent5">
                <a:lumMod val="40000"/>
                <a:lumOff val="60000"/>
              </a:schemeClr>
            </a:solidFill>
            <a:ln w="19050">
              <a:solidFill>
                <a:schemeClr val="lt1"/>
              </a:solidFill>
            </a:ln>
            <a:effectLst/>
          </c:spPr>
          <c:invertIfNegative val="0"/>
          <c:cat>
            <c:strRef>
              <c:f>'Factsheets &amp; Graphs'!$B$159:$B$165</c:f>
              <c:strCache>
                <c:ptCount val="7"/>
                <c:pt idx="0">
                  <c:v>Ground-level ozone</c:v>
                </c:pt>
                <c:pt idx="1">
                  <c:v>Nitrogen dioxide</c:v>
                </c:pt>
                <c:pt idx="2">
                  <c:v>PM10</c:v>
                </c:pt>
                <c:pt idx="3">
                  <c:v>Sulphur dioxide </c:v>
                </c:pt>
                <c:pt idx="4">
                  <c:v>BOD5</c:v>
                </c:pt>
                <c:pt idx="5">
                  <c:v>Ammonium in major rivers</c:v>
                </c:pt>
                <c:pt idx="6">
                  <c:v>Total protected areas</c:v>
                </c:pt>
              </c:strCache>
            </c:strRef>
          </c:cat>
          <c:val>
            <c:numRef>
              <c:f>'Factsheets &amp; Graphs'!$J$159:$J$165</c:f>
              <c:numCache>
                <c:formatCode>0.00</c:formatCode>
                <c:ptCount val="7"/>
                <c:pt idx="0">
                  <c:v>96.551724137931032</c:v>
                </c:pt>
                <c:pt idx="1">
                  <c:v>90</c:v>
                </c:pt>
                <c:pt idx="2">
                  <c:v>96.551724137931032</c:v>
                </c:pt>
                <c:pt idx="3">
                  <c:v>96.666666666666671</c:v>
                </c:pt>
                <c:pt idx="4">
                  <c:v>76.666666666666671</c:v>
                </c:pt>
                <c:pt idx="5">
                  <c:v>76.666666666666671</c:v>
                </c:pt>
                <c:pt idx="6">
                  <c:v>96.666666666666671</c:v>
                </c:pt>
              </c:numCache>
            </c:numRef>
          </c:val>
          <c:extLst>
            <c:ext xmlns:c16="http://schemas.microsoft.com/office/drawing/2014/chart" uri="{C3380CC4-5D6E-409C-BE32-E72D297353CC}">
              <c16:uniqueId val="{00000000-4E00-4D15-99F6-51BE9440BEEA}"/>
            </c:ext>
          </c:extLst>
        </c:ser>
        <c:ser>
          <c:idx val="5"/>
          <c:order val="1"/>
          <c:tx>
            <c:strRef>
              <c:f>'Factsheets &amp; Graphs'!$L$158</c:f>
              <c:strCache>
                <c:ptCount val="1"/>
                <c:pt idx="0">
                  <c:v>The data flow is not readily available and accessible online for users on a national platform  [%]</c:v>
                </c:pt>
              </c:strCache>
            </c:strRef>
          </c:tx>
          <c:spPr>
            <a:solidFill>
              <a:srgbClr val="7030A0"/>
            </a:solidFill>
            <a:ln w="19050">
              <a:solidFill>
                <a:schemeClr val="lt1"/>
              </a:solidFill>
            </a:ln>
            <a:effectLst/>
          </c:spPr>
          <c:invertIfNegative val="0"/>
          <c:cat>
            <c:strRef>
              <c:f>'Factsheets &amp; Graphs'!$B$159:$B$165</c:f>
              <c:strCache>
                <c:ptCount val="7"/>
                <c:pt idx="0">
                  <c:v>Ground-level ozone</c:v>
                </c:pt>
                <c:pt idx="1">
                  <c:v>Nitrogen dioxide</c:v>
                </c:pt>
                <c:pt idx="2">
                  <c:v>PM10</c:v>
                </c:pt>
                <c:pt idx="3">
                  <c:v>Sulphur dioxide </c:v>
                </c:pt>
                <c:pt idx="4">
                  <c:v>BOD5</c:v>
                </c:pt>
                <c:pt idx="5">
                  <c:v>Ammonium in major rivers</c:v>
                </c:pt>
                <c:pt idx="6">
                  <c:v>Total protected areas</c:v>
                </c:pt>
              </c:strCache>
            </c:strRef>
          </c:cat>
          <c:val>
            <c:numRef>
              <c:f>'Factsheets &amp; Graphs'!$L$159:$L$165</c:f>
              <c:numCache>
                <c:formatCode>0.00</c:formatCode>
                <c:ptCount val="7"/>
                <c:pt idx="0">
                  <c:v>3.4482758620689653</c:v>
                </c:pt>
                <c:pt idx="1">
                  <c:v>10</c:v>
                </c:pt>
                <c:pt idx="2">
                  <c:v>3.4482758620689653</c:v>
                </c:pt>
                <c:pt idx="3">
                  <c:v>3.3333333333333335</c:v>
                </c:pt>
                <c:pt idx="4">
                  <c:v>23.333333333333332</c:v>
                </c:pt>
                <c:pt idx="5">
                  <c:v>23.333333333333332</c:v>
                </c:pt>
                <c:pt idx="6">
                  <c:v>3.3333333333333335</c:v>
                </c:pt>
              </c:numCache>
            </c:numRef>
          </c:val>
          <c:extLst>
            <c:ext xmlns:c16="http://schemas.microsoft.com/office/drawing/2014/chart" uri="{C3380CC4-5D6E-409C-BE32-E72D297353CC}">
              <c16:uniqueId val="{00000001-4E00-4D15-99F6-51BE9440BEEA}"/>
            </c:ext>
          </c:extLst>
        </c:ser>
        <c:dLbls>
          <c:showLegendKey val="0"/>
          <c:showVal val="0"/>
          <c:showCatName val="0"/>
          <c:showSerName val="0"/>
          <c:showPercent val="0"/>
          <c:showBubbleSize val="0"/>
        </c:dLbls>
        <c:gapWidth val="150"/>
        <c:axId val="165157888"/>
        <c:axId val="158550848"/>
        <c:extLst/>
      </c:barChart>
      <c:catAx>
        <c:axId val="1651578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58550848"/>
        <c:crosses val="autoZero"/>
        <c:auto val="1"/>
        <c:lblAlgn val="ctr"/>
        <c:lblOffset val="100"/>
        <c:noMultiLvlLbl val="0"/>
      </c:catAx>
      <c:valAx>
        <c:axId val="158550848"/>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b="1"/>
                </a:pPr>
                <a:r>
                  <a:rPr lang="en-GB" b="1"/>
                  <a:t>Percentage [%]</a:t>
                </a:r>
              </a:p>
            </c:rich>
          </c:tx>
          <c:layout>
            <c:manualLayout>
              <c:xMode val="edge"/>
              <c:yMode val="edge"/>
              <c:x val="1.7322834645669291E-2"/>
              <c:y val="0.11339128941885238"/>
            </c:manualLayout>
          </c:layout>
          <c:overlay val="0"/>
          <c:spPr>
            <a:noFill/>
            <a:ln>
              <a:noFill/>
            </a:ln>
            <a:effectLst/>
          </c:spPr>
        </c:title>
        <c:numFmt formatCode="0" sourceLinked="0"/>
        <c:majorTickMark val="out"/>
        <c:minorTickMark val="none"/>
        <c:tickLblPos val="nextTo"/>
        <c:spPr>
          <a:noFill/>
          <a:ln>
            <a:noFill/>
          </a:ln>
          <a:effectLst/>
        </c:spPr>
        <c:txPr>
          <a:bodyPr rot="-60000000" vert="horz"/>
          <a:lstStyle/>
          <a:p>
            <a:pPr>
              <a:defRPr/>
            </a:pPr>
            <a:endParaRPr lang="en-US"/>
          </a:p>
        </c:txPr>
        <c:crossAx val="165157888"/>
        <c:crosses val="autoZero"/>
        <c:crossBetween val="between"/>
      </c:valAx>
      <c:spPr>
        <a:noFill/>
        <a:ln>
          <a:noFill/>
        </a:ln>
        <a:effectLst/>
      </c:spPr>
    </c:plotArea>
    <c:legend>
      <c:legendPos val="b"/>
      <c:layout>
        <c:manualLayout>
          <c:xMode val="edge"/>
          <c:yMode val="edge"/>
          <c:x val="3.8650666821628848E-2"/>
          <c:y val="0.84250052076823734"/>
          <c:w val="0.92659751272970581"/>
          <c:h val="0.11661622222872696"/>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50000"/>
          <a:lumOff val="50000"/>
        </a:schemeClr>
      </a:solidFill>
      <a:round/>
    </a:ln>
    <a:effectLst/>
  </c:spPr>
  <c:txPr>
    <a:bodyPr/>
    <a:lstStyle/>
    <a:p>
      <a:pPr>
        <a:defRPr sz="900" b="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418078275270942"/>
          <c:y val="4.6637795275590553E-2"/>
          <c:w val="0.85584895061549038"/>
          <c:h val="0.37560816411106507"/>
        </c:manualLayout>
      </c:layout>
      <c:barChart>
        <c:barDir val="col"/>
        <c:grouping val="clustered"/>
        <c:varyColors val="0"/>
        <c:ser>
          <c:idx val="3"/>
          <c:order val="0"/>
          <c:tx>
            <c:strRef>
              <c:f>'Factsheets &amp; Graphs'!$F$178</c:f>
              <c:strCache>
                <c:ptCount val="1"/>
                <c:pt idx="0">
                  <c:v>A. Shared Environmental Information System production template</c:v>
                </c:pt>
              </c:strCache>
            </c:strRef>
          </c:tx>
          <c:spPr>
            <a:solidFill>
              <a:schemeClr val="accent4">
                <a:lumMod val="40000"/>
                <a:lumOff val="60000"/>
              </a:schemeClr>
            </a:solidFill>
            <a:ln w="19050">
              <a:solidFill>
                <a:schemeClr val="lt1"/>
              </a:solidFill>
            </a:ln>
            <a:effectLst/>
          </c:spPr>
          <c:invertIfNegative val="0"/>
          <c:cat>
            <c:strRef>
              <c:f>'Factsheets &amp; Graphs'!$B$181:$B$187</c:f>
              <c:strCache>
                <c:ptCount val="7"/>
                <c:pt idx="0">
                  <c:v>Ground-level ozone</c:v>
                </c:pt>
                <c:pt idx="1">
                  <c:v>Nitrogen dioxide</c:v>
                </c:pt>
                <c:pt idx="2">
                  <c:v>PM10</c:v>
                </c:pt>
                <c:pt idx="3">
                  <c:v>Sulphur dioxide </c:v>
                </c:pt>
                <c:pt idx="4">
                  <c:v>BOD5</c:v>
                </c:pt>
                <c:pt idx="5">
                  <c:v>Ammonium in major rivers</c:v>
                </c:pt>
                <c:pt idx="6">
                  <c:v>Total protected areas</c:v>
                </c:pt>
              </c:strCache>
            </c:strRef>
          </c:cat>
          <c:val>
            <c:numRef>
              <c:f>'Factsheets &amp; Graphs'!$F$181:$F$187</c:f>
              <c:numCache>
                <c:formatCode>General</c:formatCode>
                <c:ptCount val="7"/>
                <c:pt idx="0">
                  <c:v>5</c:v>
                </c:pt>
                <c:pt idx="1">
                  <c:v>7</c:v>
                </c:pt>
                <c:pt idx="2">
                  <c:v>6</c:v>
                </c:pt>
                <c:pt idx="3">
                  <c:v>7</c:v>
                </c:pt>
                <c:pt idx="4">
                  <c:v>5</c:v>
                </c:pt>
                <c:pt idx="5">
                  <c:v>5</c:v>
                </c:pt>
                <c:pt idx="6">
                  <c:v>7</c:v>
                </c:pt>
              </c:numCache>
            </c:numRef>
          </c:val>
          <c:extLst>
            <c:ext xmlns:c16="http://schemas.microsoft.com/office/drawing/2014/chart" uri="{C3380CC4-5D6E-409C-BE32-E72D297353CC}">
              <c16:uniqueId val="{00000000-0A20-4338-A344-5ED4C7779C83}"/>
            </c:ext>
          </c:extLst>
        </c:ser>
        <c:ser>
          <c:idx val="5"/>
          <c:order val="1"/>
          <c:tx>
            <c:strRef>
              <c:f>'Factsheets &amp; Graphs'!$G$178</c:f>
              <c:strCache>
                <c:ptCount val="1"/>
                <c:pt idx="0">
                  <c:v>B. European Environment Agency format for data flows</c:v>
                </c:pt>
              </c:strCache>
            </c:strRef>
          </c:tx>
          <c:spPr>
            <a:solidFill>
              <a:schemeClr val="accent6">
                <a:lumMod val="40000"/>
                <a:lumOff val="60000"/>
              </a:schemeClr>
            </a:solidFill>
            <a:ln w="19050">
              <a:solidFill>
                <a:schemeClr val="lt1"/>
              </a:solidFill>
            </a:ln>
            <a:effectLst/>
          </c:spPr>
          <c:invertIfNegative val="0"/>
          <c:cat>
            <c:strRef>
              <c:f>'Factsheets &amp; Graphs'!$B$181:$B$187</c:f>
              <c:strCache>
                <c:ptCount val="7"/>
                <c:pt idx="0">
                  <c:v>Ground-level ozone</c:v>
                </c:pt>
                <c:pt idx="1">
                  <c:v>Nitrogen dioxide</c:v>
                </c:pt>
                <c:pt idx="2">
                  <c:v>PM10</c:v>
                </c:pt>
                <c:pt idx="3">
                  <c:v>Sulphur dioxide </c:v>
                </c:pt>
                <c:pt idx="4">
                  <c:v>BOD5</c:v>
                </c:pt>
                <c:pt idx="5">
                  <c:v>Ammonium in major rivers</c:v>
                </c:pt>
                <c:pt idx="6">
                  <c:v>Total protected areas</c:v>
                </c:pt>
              </c:strCache>
            </c:strRef>
          </c:cat>
          <c:val>
            <c:numRef>
              <c:f>'Factsheets &amp; Graphs'!$G$181:$G$187</c:f>
              <c:numCache>
                <c:formatCode>General</c:formatCode>
                <c:ptCount val="7"/>
                <c:pt idx="0">
                  <c:v>19</c:v>
                </c:pt>
                <c:pt idx="1">
                  <c:v>18</c:v>
                </c:pt>
                <c:pt idx="2">
                  <c:v>17</c:v>
                </c:pt>
                <c:pt idx="3">
                  <c:v>18</c:v>
                </c:pt>
                <c:pt idx="4">
                  <c:v>18</c:v>
                </c:pt>
                <c:pt idx="5">
                  <c:v>19</c:v>
                </c:pt>
                <c:pt idx="6">
                  <c:v>19</c:v>
                </c:pt>
              </c:numCache>
            </c:numRef>
          </c:val>
          <c:extLst>
            <c:ext xmlns:c16="http://schemas.microsoft.com/office/drawing/2014/chart" uri="{C3380CC4-5D6E-409C-BE32-E72D297353CC}">
              <c16:uniqueId val="{00000001-0A20-4338-A344-5ED4C7779C83}"/>
            </c:ext>
          </c:extLst>
        </c:ser>
        <c:ser>
          <c:idx val="0"/>
          <c:order val="2"/>
          <c:tx>
            <c:strRef>
              <c:f>'Factsheets &amp; Graphs'!$H$178</c:f>
              <c:strCache>
                <c:ptCount val="1"/>
                <c:pt idx="0">
                  <c:v>C. Report(s), e.g., a state-of-the-environment report</c:v>
                </c:pt>
              </c:strCache>
            </c:strRef>
          </c:tx>
          <c:spPr>
            <a:solidFill>
              <a:schemeClr val="accent1"/>
            </a:solidFill>
            <a:ln w="19050">
              <a:solidFill>
                <a:schemeClr val="lt1"/>
              </a:solidFill>
            </a:ln>
            <a:effectLst/>
          </c:spPr>
          <c:invertIfNegative val="0"/>
          <c:cat>
            <c:strRef>
              <c:f>'Factsheets &amp; Graphs'!$B$181:$B$187</c:f>
              <c:strCache>
                <c:ptCount val="7"/>
                <c:pt idx="0">
                  <c:v>Ground-level ozone</c:v>
                </c:pt>
                <c:pt idx="1">
                  <c:v>Nitrogen dioxide</c:v>
                </c:pt>
                <c:pt idx="2">
                  <c:v>PM10</c:v>
                </c:pt>
                <c:pt idx="3">
                  <c:v>Sulphur dioxide </c:v>
                </c:pt>
                <c:pt idx="4">
                  <c:v>BOD5</c:v>
                </c:pt>
                <c:pt idx="5">
                  <c:v>Ammonium in major rivers</c:v>
                </c:pt>
                <c:pt idx="6">
                  <c:v>Total protected areas</c:v>
                </c:pt>
              </c:strCache>
            </c:strRef>
          </c:cat>
          <c:val>
            <c:numRef>
              <c:f>'Factsheets &amp; Graphs'!$H$181:$H$187</c:f>
              <c:numCache>
                <c:formatCode>General</c:formatCode>
                <c:ptCount val="7"/>
                <c:pt idx="0">
                  <c:v>23</c:v>
                </c:pt>
                <c:pt idx="1">
                  <c:v>24</c:v>
                </c:pt>
                <c:pt idx="2">
                  <c:v>24</c:v>
                </c:pt>
                <c:pt idx="3">
                  <c:v>23</c:v>
                </c:pt>
                <c:pt idx="4">
                  <c:v>18</c:v>
                </c:pt>
                <c:pt idx="5">
                  <c:v>20</c:v>
                </c:pt>
                <c:pt idx="6">
                  <c:v>24</c:v>
                </c:pt>
              </c:numCache>
            </c:numRef>
          </c:val>
          <c:extLst>
            <c:ext xmlns:c16="http://schemas.microsoft.com/office/drawing/2014/chart" uri="{C3380CC4-5D6E-409C-BE32-E72D297353CC}">
              <c16:uniqueId val="{00000002-0A20-4338-A344-5ED4C7779C83}"/>
            </c:ext>
          </c:extLst>
        </c:ser>
        <c:ser>
          <c:idx val="1"/>
          <c:order val="3"/>
          <c:tx>
            <c:strRef>
              <c:f>'Factsheets &amp; Graphs'!$I$178</c:f>
              <c:strCache>
                <c:ptCount val="1"/>
                <c:pt idx="0">
                  <c:v>D. Additional information provided</c:v>
                </c:pt>
              </c:strCache>
            </c:strRef>
          </c:tx>
          <c:spPr>
            <a:solidFill>
              <a:schemeClr val="accent1">
                <a:lumMod val="40000"/>
                <a:lumOff val="60000"/>
              </a:schemeClr>
            </a:solidFill>
            <a:ln w="19050">
              <a:solidFill>
                <a:schemeClr val="lt1"/>
              </a:solidFill>
            </a:ln>
            <a:effectLst/>
          </c:spPr>
          <c:invertIfNegative val="0"/>
          <c:cat>
            <c:strRef>
              <c:f>'Factsheets &amp; Graphs'!$B$181:$B$187</c:f>
              <c:strCache>
                <c:ptCount val="7"/>
                <c:pt idx="0">
                  <c:v>Ground-level ozone</c:v>
                </c:pt>
                <c:pt idx="1">
                  <c:v>Nitrogen dioxide</c:v>
                </c:pt>
                <c:pt idx="2">
                  <c:v>PM10</c:v>
                </c:pt>
                <c:pt idx="3">
                  <c:v>Sulphur dioxide </c:v>
                </c:pt>
                <c:pt idx="4">
                  <c:v>BOD5</c:v>
                </c:pt>
                <c:pt idx="5">
                  <c:v>Ammonium in major rivers</c:v>
                </c:pt>
                <c:pt idx="6">
                  <c:v>Total protected areas</c:v>
                </c:pt>
              </c:strCache>
            </c:strRef>
          </c:cat>
          <c:val>
            <c:numRef>
              <c:f>'Factsheets &amp; Graphs'!$I$181:$I$187</c:f>
              <c:numCache>
                <c:formatCode>General</c:formatCode>
                <c:ptCount val="7"/>
                <c:pt idx="0">
                  <c:v>13</c:v>
                </c:pt>
                <c:pt idx="1">
                  <c:v>14</c:v>
                </c:pt>
                <c:pt idx="2">
                  <c:v>14</c:v>
                </c:pt>
                <c:pt idx="3">
                  <c:v>15</c:v>
                </c:pt>
                <c:pt idx="4">
                  <c:v>9</c:v>
                </c:pt>
                <c:pt idx="5">
                  <c:v>8</c:v>
                </c:pt>
                <c:pt idx="6">
                  <c:v>12</c:v>
                </c:pt>
              </c:numCache>
            </c:numRef>
          </c:val>
          <c:extLst>
            <c:ext xmlns:c16="http://schemas.microsoft.com/office/drawing/2014/chart" uri="{C3380CC4-5D6E-409C-BE32-E72D297353CC}">
              <c16:uniqueId val="{00000003-0A20-4338-A344-5ED4C7779C83}"/>
            </c:ext>
          </c:extLst>
        </c:ser>
        <c:ser>
          <c:idx val="2"/>
          <c:order val="4"/>
          <c:tx>
            <c:strRef>
              <c:f>'Factsheets &amp; Graphs'!$J$178</c:f>
              <c:strCache>
                <c:ptCount val="1"/>
                <c:pt idx="0">
                  <c:v>E. Metadata provided</c:v>
                </c:pt>
              </c:strCache>
            </c:strRef>
          </c:tx>
          <c:spPr>
            <a:solidFill>
              <a:schemeClr val="accent3"/>
            </a:solidFill>
            <a:ln w="19050">
              <a:solidFill>
                <a:schemeClr val="lt1"/>
              </a:solidFill>
            </a:ln>
            <a:effectLst/>
          </c:spPr>
          <c:invertIfNegative val="0"/>
          <c:cat>
            <c:strRef>
              <c:f>'Factsheets &amp; Graphs'!$B$181:$B$187</c:f>
              <c:strCache>
                <c:ptCount val="7"/>
                <c:pt idx="0">
                  <c:v>Ground-level ozone</c:v>
                </c:pt>
                <c:pt idx="1">
                  <c:v>Nitrogen dioxide</c:v>
                </c:pt>
                <c:pt idx="2">
                  <c:v>PM10</c:v>
                </c:pt>
                <c:pt idx="3">
                  <c:v>Sulphur dioxide </c:v>
                </c:pt>
                <c:pt idx="4">
                  <c:v>BOD5</c:v>
                </c:pt>
                <c:pt idx="5">
                  <c:v>Ammonium in major rivers</c:v>
                </c:pt>
                <c:pt idx="6">
                  <c:v>Total protected areas</c:v>
                </c:pt>
              </c:strCache>
            </c:strRef>
          </c:cat>
          <c:val>
            <c:numRef>
              <c:f>'Factsheets &amp; Graphs'!$J$181:$J$187</c:f>
              <c:numCache>
                <c:formatCode>General</c:formatCode>
                <c:ptCount val="7"/>
                <c:pt idx="0">
                  <c:v>21</c:v>
                </c:pt>
                <c:pt idx="1">
                  <c:v>20</c:v>
                </c:pt>
                <c:pt idx="2">
                  <c:v>20</c:v>
                </c:pt>
                <c:pt idx="3">
                  <c:v>20</c:v>
                </c:pt>
                <c:pt idx="4">
                  <c:v>17</c:v>
                </c:pt>
                <c:pt idx="5">
                  <c:v>17</c:v>
                </c:pt>
                <c:pt idx="6">
                  <c:v>21</c:v>
                </c:pt>
              </c:numCache>
            </c:numRef>
          </c:val>
          <c:extLst>
            <c:ext xmlns:c16="http://schemas.microsoft.com/office/drawing/2014/chart" uri="{C3380CC4-5D6E-409C-BE32-E72D297353CC}">
              <c16:uniqueId val="{00000004-0A20-4338-A344-5ED4C7779C83}"/>
            </c:ext>
          </c:extLst>
        </c:ser>
        <c:ser>
          <c:idx val="4"/>
          <c:order val="5"/>
          <c:tx>
            <c:strRef>
              <c:f>'Factsheets &amp; Graphs'!$K$178</c:f>
              <c:strCache>
                <c:ptCount val="1"/>
                <c:pt idx="0">
                  <c:v>F. Visual presentation included (e.g., tables, maps, or graphs)</c:v>
                </c:pt>
              </c:strCache>
            </c:strRef>
          </c:tx>
          <c:spPr>
            <a:solidFill>
              <a:schemeClr val="accent5"/>
            </a:solidFill>
            <a:ln w="19050">
              <a:solidFill>
                <a:schemeClr val="lt1"/>
              </a:solidFill>
            </a:ln>
            <a:effectLst/>
          </c:spPr>
          <c:invertIfNegative val="0"/>
          <c:cat>
            <c:strRef>
              <c:f>'Factsheets &amp; Graphs'!$B$181:$B$187</c:f>
              <c:strCache>
                <c:ptCount val="7"/>
                <c:pt idx="0">
                  <c:v>Ground-level ozone</c:v>
                </c:pt>
                <c:pt idx="1">
                  <c:v>Nitrogen dioxide</c:v>
                </c:pt>
                <c:pt idx="2">
                  <c:v>PM10</c:v>
                </c:pt>
                <c:pt idx="3">
                  <c:v>Sulphur dioxide </c:v>
                </c:pt>
                <c:pt idx="4">
                  <c:v>BOD5</c:v>
                </c:pt>
                <c:pt idx="5">
                  <c:v>Ammonium in major rivers</c:v>
                </c:pt>
                <c:pt idx="6">
                  <c:v>Total protected areas</c:v>
                </c:pt>
              </c:strCache>
            </c:strRef>
          </c:cat>
          <c:val>
            <c:numRef>
              <c:f>'Factsheets &amp; Graphs'!$K$181:$K$187</c:f>
              <c:numCache>
                <c:formatCode>General</c:formatCode>
                <c:ptCount val="7"/>
                <c:pt idx="0">
                  <c:v>22</c:v>
                </c:pt>
                <c:pt idx="1">
                  <c:v>23</c:v>
                </c:pt>
                <c:pt idx="2">
                  <c:v>23</c:v>
                </c:pt>
                <c:pt idx="3">
                  <c:v>24</c:v>
                </c:pt>
                <c:pt idx="4">
                  <c:v>17</c:v>
                </c:pt>
                <c:pt idx="5">
                  <c:v>16</c:v>
                </c:pt>
                <c:pt idx="6">
                  <c:v>24</c:v>
                </c:pt>
              </c:numCache>
            </c:numRef>
          </c:val>
          <c:extLst>
            <c:ext xmlns:c16="http://schemas.microsoft.com/office/drawing/2014/chart" uri="{C3380CC4-5D6E-409C-BE32-E72D297353CC}">
              <c16:uniqueId val="{00000005-0A20-4338-A344-5ED4C7779C83}"/>
            </c:ext>
          </c:extLst>
        </c:ser>
        <c:ser>
          <c:idx val="6"/>
          <c:order val="6"/>
          <c:tx>
            <c:strRef>
              <c:f>'Factsheets &amp; Graphs'!$L$178</c:f>
              <c:strCache>
                <c:ptCount val="1"/>
                <c:pt idx="0">
                  <c:v>G. Link to policy context and targets </c:v>
                </c:pt>
              </c:strCache>
            </c:strRef>
          </c:tx>
          <c:spPr>
            <a:solidFill>
              <a:srgbClr val="7030A0"/>
            </a:solidFill>
            <a:ln w="19050">
              <a:solidFill>
                <a:schemeClr val="lt1"/>
              </a:solidFill>
            </a:ln>
            <a:effectLst/>
          </c:spPr>
          <c:invertIfNegative val="0"/>
          <c:cat>
            <c:strRef>
              <c:f>'Factsheets &amp; Graphs'!$B$181:$B$187</c:f>
              <c:strCache>
                <c:ptCount val="7"/>
                <c:pt idx="0">
                  <c:v>Ground-level ozone</c:v>
                </c:pt>
                <c:pt idx="1">
                  <c:v>Nitrogen dioxide</c:v>
                </c:pt>
                <c:pt idx="2">
                  <c:v>PM10</c:v>
                </c:pt>
                <c:pt idx="3">
                  <c:v>Sulphur dioxide </c:v>
                </c:pt>
                <c:pt idx="4">
                  <c:v>BOD5</c:v>
                </c:pt>
                <c:pt idx="5">
                  <c:v>Ammonium in major rivers</c:v>
                </c:pt>
                <c:pt idx="6">
                  <c:v>Total protected areas</c:v>
                </c:pt>
              </c:strCache>
            </c:strRef>
          </c:cat>
          <c:val>
            <c:numRef>
              <c:f>'Factsheets &amp; Graphs'!$L$181:$L$187</c:f>
              <c:numCache>
                <c:formatCode>General</c:formatCode>
                <c:ptCount val="7"/>
                <c:pt idx="0">
                  <c:v>9</c:v>
                </c:pt>
                <c:pt idx="1">
                  <c:v>10</c:v>
                </c:pt>
                <c:pt idx="2">
                  <c:v>10</c:v>
                </c:pt>
                <c:pt idx="3">
                  <c:v>11</c:v>
                </c:pt>
                <c:pt idx="4">
                  <c:v>7</c:v>
                </c:pt>
                <c:pt idx="5">
                  <c:v>7</c:v>
                </c:pt>
                <c:pt idx="6">
                  <c:v>17</c:v>
                </c:pt>
              </c:numCache>
            </c:numRef>
          </c:val>
          <c:extLst>
            <c:ext xmlns:c16="http://schemas.microsoft.com/office/drawing/2014/chart" uri="{C3380CC4-5D6E-409C-BE32-E72D297353CC}">
              <c16:uniqueId val="{00000006-0A20-4338-A344-5ED4C7779C83}"/>
            </c:ext>
          </c:extLst>
        </c:ser>
        <c:dLbls>
          <c:showLegendKey val="0"/>
          <c:showVal val="0"/>
          <c:showCatName val="0"/>
          <c:showSerName val="0"/>
          <c:showPercent val="0"/>
          <c:showBubbleSize val="0"/>
        </c:dLbls>
        <c:gapWidth val="150"/>
        <c:axId val="253873664"/>
        <c:axId val="158555456"/>
        <c:extLst/>
      </c:barChart>
      <c:catAx>
        <c:axId val="25387366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58555456"/>
        <c:crosses val="autoZero"/>
        <c:auto val="1"/>
        <c:lblAlgn val="ctr"/>
        <c:lblOffset val="100"/>
        <c:noMultiLvlLbl val="0"/>
      </c:catAx>
      <c:valAx>
        <c:axId val="158555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b="1"/>
                </a:pPr>
                <a:r>
                  <a:rPr lang="en-US" b="1"/>
                  <a:t>Number of replies</a:t>
                </a:r>
              </a:p>
            </c:rich>
          </c:tx>
          <c:layout>
            <c:manualLayout>
              <c:xMode val="edge"/>
              <c:yMode val="edge"/>
              <c:x val="2.2242883846161295E-2"/>
              <c:y val="6.0755283878988799E-2"/>
            </c:manualLayout>
          </c:layout>
          <c:overlay val="0"/>
          <c:spPr>
            <a:noFill/>
            <a:ln>
              <a:noFill/>
            </a:ln>
            <a:effectLst/>
          </c:spPr>
        </c:title>
        <c:numFmt formatCode="General" sourceLinked="1"/>
        <c:majorTickMark val="out"/>
        <c:minorTickMark val="none"/>
        <c:tickLblPos val="nextTo"/>
        <c:spPr>
          <a:noFill/>
          <a:ln>
            <a:noFill/>
          </a:ln>
          <a:effectLst/>
        </c:spPr>
        <c:txPr>
          <a:bodyPr rot="-60000000" vert="horz"/>
          <a:lstStyle/>
          <a:p>
            <a:pPr>
              <a:defRPr/>
            </a:pPr>
            <a:endParaRPr lang="en-US"/>
          </a:p>
        </c:txPr>
        <c:crossAx val="253873664"/>
        <c:crosses val="autoZero"/>
        <c:crossBetween val="between"/>
      </c:valAx>
      <c:spPr>
        <a:noFill/>
        <a:ln>
          <a:noFill/>
        </a:ln>
        <a:effectLst/>
      </c:spPr>
    </c:plotArea>
    <c:legend>
      <c:legendPos val="b"/>
      <c:layout>
        <c:manualLayout>
          <c:xMode val="edge"/>
          <c:yMode val="edge"/>
          <c:x val="0.14106749571432722"/>
          <c:y val="0.59051607611548551"/>
          <c:w val="0.68933724612836678"/>
          <c:h val="0.39364000552562511"/>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50000"/>
          <a:lumOff val="50000"/>
        </a:schemeClr>
      </a:solidFill>
      <a:round/>
    </a:ln>
    <a:effectLst/>
  </c:spPr>
  <c:txPr>
    <a:bodyPr/>
    <a:lstStyle/>
    <a:p>
      <a:pPr>
        <a:defRPr sz="900" b="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10083195320142"/>
          <c:y val="5.4509409728039311E-2"/>
          <c:w val="0.84857231406959743"/>
          <c:h val="0.49113642709554922"/>
        </c:manualLayout>
      </c:layout>
      <c:barChart>
        <c:barDir val="col"/>
        <c:grouping val="clustered"/>
        <c:varyColors val="0"/>
        <c:ser>
          <c:idx val="3"/>
          <c:order val="0"/>
          <c:tx>
            <c:strRef>
              <c:f>'Factsheets &amp; Graphs'!$J$217</c:f>
              <c:strCache>
                <c:ptCount val="1"/>
                <c:pt idx="0">
                  <c:v>Internationally agreed procedures are in place for the production of the data flow</c:v>
                </c:pt>
              </c:strCache>
            </c:strRef>
          </c:tx>
          <c:spPr>
            <a:solidFill>
              <a:schemeClr val="accent5">
                <a:lumMod val="40000"/>
                <a:lumOff val="60000"/>
              </a:schemeClr>
            </a:solidFill>
            <a:ln w="19050">
              <a:solidFill>
                <a:schemeClr val="lt1"/>
              </a:solidFill>
            </a:ln>
            <a:effectLst/>
          </c:spPr>
          <c:invertIfNegative val="0"/>
          <c:cat>
            <c:strRef>
              <c:f>'Factsheets &amp; Graphs'!$B$218:$B$224</c:f>
              <c:strCache>
                <c:ptCount val="7"/>
                <c:pt idx="0">
                  <c:v>Ground-level ozone</c:v>
                </c:pt>
                <c:pt idx="1">
                  <c:v>Nitrogen dioxide</c:v>
                </c:pt>
                <c:pt idx="2">
                  <c:v>PM10</c:v>
                </c:pt>
                <c:pt idx="3">
                  <c:v>Sulphur dioxide </c:v>
                </c:pt>
                <c:pt idx="4">
                  <c:v>BOD5</c:v>
                </c:pt>
                <c:pt idx="5">
                  <c:v>Ammonium in major rivers</c:v>
                </c:pt>
                <c:pt idx="6">
                  <c:v>Total protected areas</c:v>
                </c:pt>
              </c:strCache>
            </c:strRef>
          </c:cat>
          <c:val>
            <c:numRef>
              <c:f>'Factsheets &amp; Graphs'!$J$218:$J$224</c:f>
              <c:numCache>
                <c:formatCode>0.00</c:formatCode>
                <c:ptCount val="7"/>
                <c:pt idx="0">
                  <c:v>75.862068965517238</c:v>
                </c:pt>
                <c:pt idx="1">
                  <c:v>73.333333333333329</c:v>
                </c:pt>
                <c:pt idx="2">
                  <c:v>75.862068965517238</c:v>
                </c:pt>
                <c:pt idx="3">
                  <c:v>73.333333333333329</c:v>
                </c:pt>
                <c:pt idx="4">
                  <c:v>70</c:v>
                </c:pt>
                <c:pt idx="5">
                  <c:v>70</c:v>
                </c:pt>
                <c:pt idx="6">
                  <c:v>66.666666666666671</c:v>
                </c:pt>
              </c:numCache>
            </c:numRef>
          </c:val>
          <c:extLst>
            <c:ext xmlns:c16="http://schemas.microsoft.com/office/drawing/2014/chart" uri="{C3380CC4-5D6E-409C-BE32-E72D297353CC}">
              <c16:uniqueId val="{00000000-BA43-46C0-B60B-DC515DA553F9}"/>
            </c:ext>
          </c:extLst>
        </c:ser>
        <c:ser>
          <c:idx val="5"/>
          <c:order val="1"/>
          <c:tx>
            <c:strRef>
              <c:f>'Factsheets &amp; Graphs'!$K$217</c:f>
              <c:strCache>
                <c:ptCount val="1"/>
                <c:pt idx="0">
                  <c:v>Internationally agreed procedures are partly in place for the production of the data flow</c:v>
                </c:pt>
              </c:strCache>
            </c:strRef>
          </c:tx>
          <c:spPr>
            <a:solidFill>
              <a:schemeClr val="accent1"/>
            </a:solidFill>
            <a:ln w="19050">
              <a:solidFill>
                <a:schemeClr val="lt1"/>
              </a:solidFill>
            </a:ln>
            <a:effectLst/>
          </c:spPr>
          <c:invertIfNegative val="0"/>
          <c:cat>
            <c:strRef>
              <c:f>'Factsheets &amp; Graphs'!$B$218:$B$224</c:f>
              <c:strCache>
                <c:ptCount val="7"/>
                <c:pt idx="0">
                  <c:v>Ground-level ozone</c:v>
                </c:pt>
                <c:pt idx="1">
                  <c:v>Nitrogen dioxide</c:v>
                </c:pt>
                <c:pt idx="2">
                  <c:v>PM10</c:v>
                </c:pt>
                <c:pt idx="3">
                  <c:v>Sulphur dioxide </c:v>
                </c:pt>
                <c:pt idx="4">
                  <c:v>BOD5</c:v>
                </c:pt>
                <c:pt idx="5">
                  <c:v>Ammonium in major rivers</c:v>
                </c:pt>
                <c:pt idx="6">
                  <c:v>Total protected areas</c:v>
                </c:pt>
              </c:strCache>
            </c:strRef>
          </c:cat>
          <c:val>
            <c:numRef>
              <c:f>'Factsheets &amp; Graphs'!$K$218:$K$224</c:f>
              <c:numCache>
                <c:formatCode>0.00</c:formatCode>
                <c:ptCount val="7"/>
                <c:pt idx="0">
                  <c:v>13.793103448275861</c:v>
                </c:pt>
                <c:pt idx="1">
                  <c:v>10</c:v>
                </c:pt>
                <c:pt idx="2">
                  <c:v>13.793103448275861</c:v>
                </c:pt>
                <c:pt idx="3">
                  <c:v>10</c:v>
                </c:pt>
                <c:pt idx="4">
                  <c:v>16.666666666666668</c:v>
                </c:pt>
                <c:pt idx="5">
                  <c:v>20</c:v>
                </c:pt>
                <c:pt idx="6">
                  <c:v>23.333333333333332</c:v>
                </c:pt>
              </c:numCache>
            </c:numRef>
          </c:val>
          <c:extLst>
            <c:ext xmlns:c16="http://schemas.microsoft.com/office/drawing/2014/chart" uri="{C3380CC4-5D6E-409C-BE32-E72D297353CC}">
              <c16:uniqueId val="{00000001-BA43-46C0-B60B-DC515DA553F9}"/>
            </c:ext>
          </c:extLst>
        </c:ser>
        <c:ser>
          <c:idx val="0"/>
          <c:order val="2"/>
          <c:tx>
            <c:strRef>
              <c:f>'Factsheets &amp; Graphs'!$L$217</c:f>
              <c:strCache>
                <c:ptCount val="1"/>
                <c:pt idx="0">
                  <c:v>Internationally agreed procedures are not in place for the production of the data flow</c:v>
                </c:pt>
              </c:strCache>
            </c:strRef>
          </c:tx>
          <c:spPr>
            <a:solidFill>
              <a:srgbClr val="7030A0"/>
            </a:solidFill>
            <a:ln w="19050">
              <a:solidFill>
                <a:schemeClr val="lt1"/>
              </a:solidFill>
            </a:ln>
            <a:effectLst/>
          </c:spPr>
          <c:invertIfNegative val="0"/>
          <c:cat>
            <c:strRef>
              <c:f>'Factsheets &amp; Graphs'!$B$218:$B$224</c:f>
              <c:strCache>
                <c:ptCount val="7"/>
                <c:pt idx="0">
                  <c:v>Ground-level ozone</c:v>
                </c:pt>
                <c:pt idx="1">
                  <c:v>Nitrogen dioxide</c:v>
                </c:pt>
                <c:pt idx="2">
                  <c:v>PM10</c:v>
                </c:pt>
                <c:pt idx="3">
                  <c:v>Sulphur dioxide </c:v>
                </c:pt>
                <c:pt idx="4">
                  <c:v>BOD5</c:v>
                </c:pt>
                <c:pt idx="5">
                  <c:v>Ammonium in major rivers</c:v>
                </c:pt>
                <c:pt idx="6">
                  <c:v>Total protected areas</c:v>
                </c:pt>
              </c:strCache>
            </c:strRef>
          </c:cat>
          <c:val>
            <c:numRef>
              <c:f>'Factsheets &amp; Graphs'!$L$218:$L$224</c:f>
              <c:numCache>
                <c:formatCode>0.00</c:formatCode>
                <c:ptCount val="7"/>
                <c:pt idx="0">
                  <c:v>10.344827586206897</c:v>
                </c:pt>
                <c:pt idx="1">
                  <c:v>16.666666666666668</c:v>
                </c:pt>
                <c:pt idx="2">
                  <c:v>10.344827586206897</c:v>
                </c:pt>
                <c:pt idx="3">
                  <c:v>16.666666666666668</c:v>
                </c:pt>
                <c:pt idx="4">
                  <c:v>13.333333333333334</c:v>
                </c:pt>
                <c:pt idx="5">
                  <c:v>10</c:v>
                </c:pt>
                <c:pt idx="6">
                  <c:v>10</c:v>
                </c:pt>
              </c:numCache>
            </c:numRef>
          </c:val>
          <c:extLst>
            <c:ext xmlns:c16="http://schemas.microsoft.com/office/drawing/2014/chart" uri="{C3380CC4-5D6E-409C-BE32-E72D297353CC}">
              <c16:uniqueId val="{00000002-BA43-46C0-B60B-DC515DA553F9}"/>
            </c:ext>
          </c:extLst>
        </c:ser>
        <c:dLbls>
          <c:showLegendKey val="0"/>
          <c:showVal val="0"/>
          <c:showCatName val="0"/>
          <c:showSerName val="0"/>
          <c:showPercent val="0"/>
          <c:showBubbleSize val="0"/>
        </c:dLbls>
        <c:gapWidth val="150"/>
        <c:axId val="55558144"/>
        <c:axId val="157328512"/>
        <c:extLst/>
      </c:barChart>
      <c:catAx>
        <c:axId val="55558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57328512"/>
        <c:crosses val="autoZero"/>
        <c:auto val="1"/>
        <c:lblAlgn val="ctr"/>
        <c:lblOffset val="100"/>
        <c:noMultiLvlLbl val="0"/>
      </c:catAx>
      <c:valAx>
        <c:axId val="157328512"/>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b="1"/>
                </a:pPr>
                <a:r>
                  <a:rPr lang="en-GB" b="1"/>
                  <a:t>Percentage [%]</a:t>
                </a:r>
              </a:p>
            </c:rich>
          </c:tx>
          <c:layout>
            <c:manualLayout>
              <c:xMode val="edge"/>
              <c:yMode val="edge"/>
              <c:x val="2.2242883846161295E-2"/>
              <c:y val="0.16122819753913736"/>
            </c:manualLayout>
          </c:layout>
          <c:overlay val="0"/>
          <c:spPr>
            <a:noFill/>
            <a:ln>
              <a:noFill/>
            </a:ln>
            <a:effectLst/>
          </c:spPr>
        </c:title>
        <c:numFmt formatCode="0" sourceLinked="0"/>
        <c:majorTickMark val="out"/>
        <c:minorTickMark val="none"/>
        <c:tickLblPos val="nextTo"/>
        <c:spPr>
          <a:noFill/>
          <a:ln>
            <a:noFill/>
          </a:ln>
          <a:effectLst/>
        </c:spPr>
        <c:txPr>
          <a:bodyPr rot="-60000000" vert="horz"/>
          <a:lstStyle/>
          <a:p>
            <a:pPr>
              <a:defRPr/>
            </a:pPr>
            <a:endParaRPr lang="en-US"/>
          </a:p>
        </c:txPr>
        <c:crossAx val="55558144"/>
        <c:crosses val="autoZero"/>
        <c:crossBetween val="between"/>
      </c:valAx>
      <c:spPr>
        <a:noFill/>
        <a:ln>
          <a:noFill/>
        </a:ln>
        <a:effectLst/>
      </c:spPr>
    </c:plotArea>
    <c:legend>
      <c:legendPos val="b"/>
      <c:layout>
        <c:manualLayout>
          <c:xMode val="edge"/>
          <c:yMode val="edge"/>
          <c:x val="9.3131495094478503E-2"/>
          <c:y val="0.76762495113642715"/>
          <c:w val="0.82905151046216186"/>
          <c:h val="0.19771411552279369"/>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50000"/>
          <a:lumOff val="50000"/>
        </a:schemeClr>
      </a:solidFill>
      <a:round/>
    </a:ln>
    <a:effectLst/>
  </c:spPr>
  <c:txPr>
    <a:bodyPr/>
    <a:lstStyle/>
    <a:p>
      <a:pPr>
        <a:defRPr sz="900" b="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964B9-556C-4130-BD86-2C1669F6F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0</TotalTime>
  <Pages>15</Pages>
  <Words>5247</Words>
  <Characters>29910</Characters>
  <Application>Microsoft Office Word</Application>
  <DocSecurity>0</DocSecurity>
  <Lines>249</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Anelia Rambosson</dc:creator>
  <cp:lastModifiedBy>Pauline Anne Escalante</cp:lastModifiedBy>
  <cp:revision>2</cp:revision>
  <cp:lastPrinted>2009-02-18T09:36:00Z</cp:lastPrinted>
  <dcterms:created xsi:type="dcterms:W3CDTF">2018-11-26T14:09:00Z</dcterms:created>
  <dcterms:modified xsi:type="dcterms:W3CDTF">2018-11-26T14:09:00Z</dcterms:modified>
</cp:coreProperties>
</file>