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6D1890" w14:paraId="7B3D9382" w14:textId="77777777" w:rsidTr="009E6CB7">
        <w:trPr>
          <w:cantSplit/>
          <w:trHeight w:hRule="exact" w:val="851"/>
        </w:trPr>
        <w:tc>
          <w:tcPr>
            <w:tcW w:w="1276" w:type="dxa"/>
            <w:tcBorders>
              <w:bottom w:val="single" w:sz="4" w:space="0" w:color="auto"/>
            </w:tcBorders>
            <w:vAlign w:val="bottom"/>
          </w:tcPr>
          <w:p w14:paraId="4861D613" w14:textId="77777777" w:rsidR="009E6CB7" w:rsidRPr="006D1890" w:rsidRDefault="009E6CB7" w:rsidP="009E6CB7">
            <w:pPr>
              <w:spacing w:after="80"/>
            </w:pPr>
          </w:p>
        </w:tc>
        <w:tc>
          <w:tcPr>
            <w:tcW w:w="2268" w:type="dxa"/>
            <w:tcBorders>
              <w:bottom w:val="single" w:sz="4" w:space="0" w:color="auto"/>
            </w:tcBorders>
            <w:vAlign w:val="bottom"/>
          </w:tcPr>
          <w:p w14:paraId="6C5E64D3" w14:textId="77777777" w:rsidR="009E6CB7" w:rsidRPr="006D1890" w:rsidRDefault="009E6CB7" w:rsidP="009E6CB7">
            <w:pPr>
              <w:spacing w:after="80" w:line="300" w:lineRule="exact"/>
              <w:rPr>
                <w:b/>
                <w:sz w:val="24"/>
                <w:szCs w:val="24"/>
              </w:rPr>
            </w:pPr>
            <w:r w:rsidRPr="006D1890">
              <w:rPr>
                <w:sz w:val="28"/>
                <w:szCs w:val="28"/>
              </w:rPr>
              <w:t>United Nations</w:t>
            </w:r>
          </w:p>
        </w:tc>
        <w:tc>
          <w:tcPr>
            <w:tcW w:w="6095" w:type="dxa"/>
            <w:gridSpan w:val="2"/>
            <w:tcBorders>
              <w:bottom w:val="single" w:sz="4" w:space="0" w:color="auto"/>
            </w:tcBorders>
            <w:vAlign w:val="bottom"/>
          </w:tcPr>
          <w:p w14:paraId="7C4EEF41" w14:textId="77777777" w:rsidR="009E6CB7" w:rsidRPr="006D1890" w:rsidRDefault="001D5DD3" w:rsidP="001D5DD3">
            <w:pPr>
              <w:jc w:val="right"/>
            </w:pPr>
            <w:r w:rsidRPr="006D1890">
              <w:rPr>
                <w:sz w:val="40"/>
              </w:rPr>
              <w:t>ECE</w:t>
            </w:r>
            <w:r w:rsidRPr="006D1890">
              <w:t>/CEP/2019/4</w:t>
            </w:r>
          </w:p>
        </w:tc>
      </w:tr>
      <w:tr w:rsidR="009E6CB7" w:rsidRPr="006D1890" w14:paraId="28DCE1D8" w14:textId="77777777" w:rsidTr="009E6CB7">
        <w:trPr>
          <w:cantSplit/>
          <w:trHeight w:hRule="exact" w:val="2835"/>
        </w:trPr>
        <w:tc>
          <w:tcPr>
            <w:tcW w:w="1276" w:type="dxa"/>
            <w:tcBorders>
              <w:top w:val="single" w:sz="4" w:space="0" w:color="auto"/>
              <w:bottom w:val="single" w:sz="12" w:space="0" w:color="auto"/>
            </w:tcBorders>
          </w:tcPr>
          <w:p w14:paraId="0450EF05" w14:textId="77777777" w:rsidR="009E6CB7" w:rsidRPr="006D1890" w:rsidRDefault="00BC7F91" w:rsidP="009E6CB7">
            <w:pPr>
              <w:spacing w:before="120"/>
            </w:pPr>
            <w:r w:rsidRPr="006D1890">
              <w:rPr>
                <w:noProof/>
                <w:lang w:eastAsia="zh-CN"/>
              </w:rPr>
              <w:drawing>
                <wp:inline distT="0" distB="0" distL="0" distR="0" wp14:anchorId="29A7D5F0" wp14:editId="26C728A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EE51FB" w14:textId="77777777" w:rsidR="009E6CB7" w:rsidRPr="006D1890" w:rsidRDefault="009E6CB7" w:rsidP="009E6CB7">
            <w:pPr>
              <w:spacing w:before="120" w:line="420" w:lineRule="exact"/>
              <w:rPr>
                <w:sz w:val="40"/>
                <w:szCs w:val="40"/>
              </w:rPr>
            </w:pPr>
            <w:r w:rsidRPr="006D1890">
              <w:rPr>
                <w:b/>
                <w:sz w:val="40"/>
                <w:szCs w:val="40"/>
              </w:rPr>
              <w:t>Economic and Social Council</w:t>
            </w:r>
          </w:p>
        </w:tc>
        <w:tc>
          <w:tcPr>
            <w:tcW w:w="2835" w:type="dxa"/>
            <w:tcBorders>
              <w:top w:val="single" w:sz="4" w:space="0" w:color="auto"/>
              <w:bottom w:val="single" w:sz="12" w:space="0" w:color="auto"/>
            </w:tcBorders>
          </w:tcPr>
          <w:p w14:paraId="64CBE8BE" w14:textId="77777777" w:rsidR="009E6CB7" w:rsidRPr="006D1890" w:rsidRDefault="001D5DD3" w:rsidP="001D5DD3">
            <w:pPr>
              <w:spacing w:before="240" w:line="240" w:lineRule="exact"/>
            </w:pPr>
            <w:r w:rsidRPr="006D1890">
              <w:t>Distr.: General</w:t>
            </w:r>
          </w:p>
          <w:p w14:paraId="7DACA3B3" w14:textId="5AEDB942" w:rsidR="001D5DD3" w:rsidRPr="006D1890" w:rsidRDefault="005B3891" w:rsidP="001D5DD3">
            <w:pPr>
              <w:spacing w:line="240" w:lineRule="exact"/>
            </w:pPr>
            <w:r>
              <w:t>20</w:t>
            </w:r>
            <w:r w:rsidRPr="006D1890">
              <w:t xml:space="preserve"> </w:t>
            </w:r>
            <w:r w:rsidR="001D5DD3" w:rsidRPr="006D1890">
              <w:t>November 2018</w:t>
            </w:r>
          </w:p>
          <w:p w14:paraId="631112B2" w14:textId="77777777" w:rsidR="001D5DD3" w:rsidRPr="006D1890" w:rsidRDefault="001D5DD3" w:rsidP="001D5DD3">
            <w:pPr>
              <w:spacing w:line="240" w:lineRule="exact"/>
            </w:pPr>
          </w:p>
          <w:p w14:paraId="21071C7E" w14:textId="77777777" w:rsidR="001D5DD3" w:rsidRPr="006D1890" w:rsidRDefault="001D5DD3" w:rsidP="001D5DD3">
            <w:pPr>
              <w:spacing w:line="240" w:lineRule="exact"/>
            </w:pPr>
            <w:r w:rsidRPr="006D1890">
              <w:t>Original: English</w:t>
            </w:r>
          </w:p>
        </w:tc>
      </w:tr>
    </w:tbl>
    <w:p w14:paraId="3CD0EDAA" w14:textId="77777777" w:rsidR="00393568" w:rsidRPr="006D1890" w:rsidRDefault="00393568" w:rsidP="00393568">
      <w:pPr>
        <w:spacing w:before="120"/>
        <w:rPr>
          <w:b/>
          <w:sz w:val="28"/>
          <w:szCs w:val="28"/>
        </w:rPr>
      </w:pPr>
      <w:r w:rsidRPr="006D1890">
        <w:rPr>
          <w:b/>
          <w:sz w:val="28"/>
          <w:szCs w:val="28"/>
        </w:rPr>
        <w:t>Economic Commission for Europe</w:t>
      </w:r>
    </w:p>
    <w:p w14:paraId="363A7690" w14:textId="77777777" w:rsidR="00393568" w:rsidRPr="006D1890" w:rsidRDefault="00393568" w:rsidP="00393568">
      <w:pPr>
        <w:spacing w:before="120" w:line="240" w:lineRule="auto"/>
        <w:rPr>
          <w:bCs/>
          <w:sz w:val="28"/>
          <w:szCs w:val="28"/>
        </w:rPr>
      </w:pPr>
      <w:r w:rsidRPr="006D1890">
        <w:rPr>
          <w:bCs/>
          <w:sz w:val="28"/>
          <w:szCs w:val="28"/>
        </w:rPr>
        <w:t>Committee on Environmental Policy</w:t>
      </w:r>
    </w:p>
    <w:p w14:paraId="7BE34A0D" w14:textId="77777777" w:rsidR="00393568" w:rsidRPr="006D1890" w:rsidRDefault="00393568" w:rsidP="00393568">
      <w:pPr>
        <w:spacing w:before="120"/>
        <w:rPr>
          <w:b/>
        </w:rPr>
      </w:pPr>
      <w:r w:rsidRPr="006D1890">
        <w:rPr>
          <w:b/>
        </w:rPr>
        <w:t>Twenty-fourth session</w:t>
      </w:r>
    </w:p>
    <w:p w14:paraId="599CC976" w14:textId="4E562061" w:rsidR="00393568" w:rsidRPr="006D1890" w:rsidRDefault="00393568" w:rsidP="00393568">
      <w:r w:rsidRPr="006D1890">
        <w:t>Geneva, 29–31 January 201</w:t>
      </w:r>
      <w:r w:rsidR="00F32178">
        <w:t>9</w:t>
      </w:r>
    </w:p>
    <w:p w14:paraId="6EE98DB4" w14:textId="77777777" w:rsidR="00393568" w:rsidRPr="006D1890" w:rsidRDefault="00393568" w:rsidP="00393568">
      <w:r w:rsidRPr="006D1890">
        <w:t>Item 4 (a) of the provisional agenda</w:t>
      </w:r>
    </w:p>
    <w:p w14:paraId="45F26C63" w14:textId="59626A85" w:rsidR="00393568" w:rsidRPr="009E4F75" w:rsidRDefault="007620C6" w:rsidP="00393568">
      <w:pPr>
        <w:rPr>
          <w:b/>
        </w:rPr>
      </w:pPr>
      <w:r w:rsidRPr="00B35DDA">
        <w:rPr>
          <w:b/>
          <w:spacing w:val="-2"/>
        </w:rPr>
        <w:t xml:space="preserve">Mid-term review of the main outcomes of the Eighth Environment </w:t>
      </w:r>
      <w:r>
        <w:rPr>
          <w:b/>
        </w:rPr>
        <w:br/>
      </w:r>
      <w:r w:rsidRPr="007620C6">
        <w:rPr>
          <w:b/>
        </w:rPr>
        <w:t>for Europe Ministerial Conference:</w:t>
      </w:r>
      <w:r>
        <w:rPr>
          <w:b/>
        </w:rPr>
        <w:t xml:space="preserve"> g</w:t>
      </w:r>
      <w:r w:rsidRPr="007620C6">
        <w:rPr>
          <w:b/>
        </w:rPr>
        <w:t xml:space="preserve">reening the economy and </w:t>
      </w:r>
      <w:r w:rsidR="00B35DDA">
        <w:rPr>
          <w:b/>
        </w:rPr>
        <w:br/>
      </w:r>
      <w:r w:rsidRPr="007620C6">
        <w:rPr>
          <w:b/>
        </w:rPr>
        <w:t xml:space="preserve">cleaning the air, including the activities of the GREEN Action </w:t>
      </w:r>
      <w:r w:rsidR="00B35DDA">
        <w:rPr>
          <w:b/>
        </w:rPr>
        <w:br/>
      </w:r>
      <w:r w:rsidRPr="007620C6">
        <w:rPr>
          <w:b/>
        </w:rPr>
        <w:t>Task Force and the regional environmental centres</w:t>
      </w:r>
    </w:p>
    <w:p w14:paraId="1BDE7124" w14:textId="32BCBFFC" w:rsidR="00393568" w:rsidRPr="006D1890" w:rsidRDefault="00393568" w:rsidP="00393568">
      <w:pPr>
        <w:pStyle w:val="HChG"/>
      </w:pPr>
      <w:r w:rsidRPr="009E4F75">
        <w:tab/>
      </w:r>
      <w:r w:rsidRPr="009E4F75">
        <w:tab/>
      </w:r>
      <w:r>
        <w:t>Implementing the Pan-European Strategic Framework for</w:t>
      </w:r>
      <w:r w:rsidR="002D05AF">
        <w:t> </w:t>
      </w:r>
      <w:r w:rsidRPr="006D1890">
        <w:t>Greening the Economy and the Batumi Initiative on Green Economy</w:t>
      </w:r>
    </w:p>
    <w:p w14:paraId="3FA727E1" w14:textId="77777777" w:rsidR="00393568" w:rsidRPr="006D1890" w:rsidRDefault="00393568" w:rsidP="00393568">
      <w:pPr>
        <w:pStyle w:val="H1G"/>
      </w:pPr>
      <w:r w:rsidRPr="006D1890">
        <w:tab/>
      </w:r>
      <w:r w:rsidRPr="006D1890">
        <w:tab/>
        <w:t>Report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393568" w:rsidRPr="006D1890" w14:paraId="5C43B1FA" w14:textId="77777777" w:rsidTr="00393568">
        <w:trPr>
          <w:jc w:val="center"/>
        </w:trPr>
        <w:tc>
          <w:tcPr>
            <w:tcW w:w="9637" w:type="dxa"/>
            <w:shd w:val="clear" w:color="auto" w:fill="auto"/>
          </w:tcPr>
          <w:p w14:paraId="0AB1A641" w14:textId="77777777" w:rsidR="00393568" w:rsidRPr="006D1890" w:rsidRDefault="00393568" w:rsidP="00393568">
            <w:pPr>
              <w:spacing w:before="240" w:after="120"/>
              <w:ind w:left="255"/>
              <w:rPr>
                <w:i/>
                <w:sz w:val="24"/>
              </w:rPr>
            </w:pPr>
            <w:r w:rsidRPr="006D1890">
              <w:rPr>
                <w:i/>
                <w:sz w:val="24"/>
              </w:rPr>
              <w:t>Summary</w:t>
            </w:r>
          </w:p>
        </w:tc>
      </w:tr>
      <w:tr w:rsidR="00393568" w:rsidRPr="006D1890" w14:paraId="63941B90" w14:textId="77777777" w:rsidTr="00393568">
        <w:trPr>
          <w:jc w:val="center"/>
        </w:trPr>
        <w:tc>
          <w:tcPr>
            <w:tcW w:w="9637" w:type="dxa"/>
            <w:shd w:val="clear" w:color="auto" w:fill="auto"/>
          </w:tcPr>
          <w:p w14:paraId="2C0F9DA9" w14:textId="3A1BAC70" w:rsidR="00393568" w:rsidRPr="006D1890" w:rsidRDefault="00393568" w:rsidP="00393568">
            <w:pPr>
              <w:pStyle w:val="SingleTxtG"/>
            </w:pPr>
            <w:r w:rsidRPr="006D1890">
              <w:tab/>
              <w:t>At the Eighth Environment for Europe Ministerial Conference (Batumi, 8–10 June</w:t>
            </w:r>
            <w:r w:rsidR="003E55C9">
              <w:t> </w:t>
            </w:r>
            <w:r w:rsidRPr="006D1890">
              <w:t>2016)</w:t>
            </w:r>
            <w:r w:rsidR="006F5B1F">
              <w:t>,</w:t>
            </w:r>
            <w:r w:rsidRPr="006D1890">
              <w:t xml:space="preserve"> </w:t>
            </w:r>
            <w:r w:rsidR="00B35DDA">
              <w:t>m</w:t>
            </w:r>
            <w:r w:rsidRPr="006D1890">
              <w:t xml:space="preserve">inisters endorsed the voluntary Pan-European Strategic Framework for Greening the Economy and welcomed the Batumi Initiative on Green Economy, </w:t>
            </w:r>
            <w:r w:rsidR="002D05AF">
              <w:t xml:space="preserve">a set </w:t>
            </w:r>
            <w:r w:rsidRPr="006D1890">
              <w:t>of voluntary commitments to operationalize the Strategic Framework</w:t>
            </w:r>
            <w:r w:rsidR="003E55C9">
              <w:t xml:space="preserve"> (ECE/BATUMI.CONF/2016/2/Add.1, para. 5)</w:t>
            </w:r>
            <w:r w:rsidRPr="006D1890">
              <w:t xml:space="preserve">. </w:t>
            </w:r>
            <w:r w:rsidR="006F5B1F">
              <w:t>To follow</w:t>
            </w:r>
            <w:r w:rsidR="002D05AF">
              <w:t xml:space="preserve"> </w:t>
            </w:r>
            <w:r w:rsidR="006F5B1F">
              <w:t xml:space="preserve">up on progress in implementing these instruments, ministers requested the Committee on Environmental Policy </w:t>
            </w:r>
            <w:r>
              <w:t xml:space="preserve">to convene a mid-term review </w:t>
            </w:r>
            <w:r w:rsidR="006F5B1F">
              <w:t xml:space="preserve">in 2018 </w:t>
            </w:r>
            <w:r>
              <w:t>of the Conference</w:t>
            </w:r>
            <w:r w:rsidR="003E55C9">
              <w:t>’s main outcomes</w:t>
            </w:r>
            <w:r>
              <w:t xml:space="preserve"> (</w:t>
            </w:r>
            <w:r w:rsidR="003E55C9">
              <w:t>ibid.</w:t>
            </w:r>
            <w:r>
              <w:t>, para. 16).</w:t>
            </w:r>
          </w:p>
          <w:p w14:paraId="6E202E10" w14:textId="5CFA6FF8" w:rsidR="00393568" w:rsidRPr="006D1890" w:rsidRDefault="00393568" w:rsidP="00393568">
            <w:pPr>
              <w:pStyle w:val="SingleTxtG"/>
            </w:pPr>
            <w:r w:rsidRPr="006D1890">
              <w:tab/>
              <w:t xml:space="preserve">Following </w:t>
            </w:r>
            <w:r w:rsidR="003E55C9">
              <w:t xml:space="preserve">the </w:t>
            </w:r>
            <w:r w:rsidRPr="006D1890">
              <w:t xml:space="preserve">request </w:t>
            </w:r>
            <w:r w:rsidR="003E55C9">
              <w:t xml:space="preserve">of </w:t>
            </w:r>
            <w:r w:rsidRPr="006D1890">
              <w:t xml:space="preserve">the Committee at its twenty-third session </w:t>
            </w:r>
            <w:r w:rsidR="003E55C9">
              <w:t xml:space="preserve">(ECE/CEP/2017/5, para. 46, and </w:t>
            </w:r>
            <w:r w:rsidRPr="006D1890">
              <w:t>ECE/CEP/2017/16, para</w:t>
            </w:r>
            <w:r w:rsidR="003E55C9">
              <w:t>.</w:t>
            </w:r>
            <w:r w:rsidRPr="006D1890">
              <w:t xml:space="preserve"> 22), and based on the responses received from stakeholders, the secretariat prepared th</w:t>
            </w:r>
            <w:r w:rsidR="006F5B1F">
              <w:t>e present</w:t>
            </w:r>
            <w:r w:rsidRPr="006D1890">
              <w:t xml:space="preserve"> </w:t>
            </w:r>
            <w:r w:rsidR="006F5B1F">
              <w:t xml:space="preserve">overview of </w:t>
            </w:r>
            <w:r w:rsidRPr="006D1890">
              <w:t xml:space="preserve">the progress made in implementing the Pan-European Strategic Framework for Greening the Economy and the Batumi Initiative on Green Economy. The document aims to facilitate the </w:t>
            </w:r>
            <w:r w:rsidR="00B35DDA">
              <w:t xml:space="preserve">Committee’s </w:t>
            </w:r>
            <w:r w:rsidRPr="006D1890">
              <w:t>discussion during the mid-term review</w:t>
            </w:r>
            <w:r w:rsidR="00B35DDA">
              <w:t xml:space="preserve"> of the Batumi Conference’s main outcomes</w:t>
            </w:r>
            <w:r w:rsidR="003E55C9">
              <w:t xml:space="preserve"> to be held in the framework of the Committee’s twenty-fourth session</w:t>
            </w:r>
            <w:r w:rsidR="00B35DDA">
              <w:t>.</w:t>
            </w:r>
          </w:p>
        </w:tc>
      </w:tr>
      <w:tr w:rsidR="00393568" w:rsidRPr="006D1890" w14:paraId="4325E48B" w14:textId="77777777" w:rsidTr="00393568">
        <w:trPr>
          <w:jc w:val="center"/>
        </w:trPr>
        <w:tc>
          <w:tcPr>
            <w:tcW w:w="9637" w:type="dxa"/>
            <w:shd w:val="clear" w:color="auto" w:fill="auto"/>
          </w:tcPr>
          <w:p w14:paraId="43F257FA" w14:textId="77777777" w:rsidR="00393568" w:rsidRPr="006D1890" w:rsidRDefault="00393568" w:rsidP="00393568"/>
        </w:tc>
      </w:tr>
    </w:tbl>
    <w:p w14:paraId="1FBD705B" w14:textId="77777777" w:rsidR="001D5DD3" w:rsidRPr="006D1890" w:rsidRDefault="001D5DD3">
      <w:pPr>
        <w:suppressAutoHyphens w:val="0"/>
        <w:spacing w:line="240" w:lineRule="auto"/>
      </w:pPr>
      <w:bookmarkStart w:id="0" w:name="_GoBack"/>
      <w:bookmarkEnd w:id="0"/>
      <w:r w:rsidRPr="006D1890">
        <w:br w:type="page"/>
      </w:r>
    </w:p>
    <w:p w14:paraId="418C0DF4" w14:textId="77777777" w:rsidR="00393568" w:rsidRPr="006D1890" w:rsidRDefault="00393568" w:rsidP="00393568">
      <w:pPr>
        <w:pStyle w:val="HChG"/>
      </w:pPr>
      <w:r w:rsidRPr="006D1890">
        <w:lastRenderedPageBreak/>
        <w:tab/>
      </w:r>
      <w:r w:rsidRPr="006D1890">
        <w:tab/>
        <w:t>Introduction</w:t>
      </w:r>
    </w:p>
    <w:p w14:paraId="35001AA4" w14:textId="396D88BF" w:rsidR="00393568" w:rsidRPr="006D1890" w:rsidRDefault="00393568" w:rsidP="00393568">
      <w:pPr>
        <w:pStyle w:val="SingleTxtG"/>
      </w:pPr>
      <w:r w:rsidRPr="006D1890">
        <w:t>1.</w:t>
      </w:r>
      <w:r w:rsidRPr="006D1890">
        <w:tab/>
        <w:t xml:space="preserve">Since 2009, the </w:t>
      </w:r>
      <w:r w:rsidR="005D3FB8">
        <w:t xml:space="preserve">United Nations Economic Commission for Europe (ECE) </w:t>
      </w:r>
      <w:r w:rsidRPr="006D1890">
        <w:t>Committee on Environmental Policy has been working on the issue of greening the economy as an approach to foster economic progress while ensuring environmental sustainability and social equity. The ECE secretariat</w:t>
      </w:r>
      <w:r w:rsidR="00435C66">
        <w:t>,</w:t>
      </w:r>
      <w:r w:rsidRPr="006D1890">
        <w:t xml:space="preserve"> jointly with the United Nations Environment Program</w:t>
      </w:r>
      <w:r w:rsidR="005D3FB8">
        <w:t>me</w:t>
      </w:r>
      <w:r w:rsidRPr="006D1890">
        <w:t xml:space="preserve"> </w:t>
      </w:r>
      <w:r w:rsidR="003E1CCB">
        <w:t xml:space="preserve">(UNEP) </w:t>
      </w:r>
      <w:r w:rsidRPr="006D1890">
        <w:t>and in cooperation with the Organization for Economic Cooperation and Development (OECD) and other organizations active in the region, support</w:t>
      </w:r>
      <w:r w:rsidR="00435C66">
        <w:t>s</w:t>
      </w:r>
      <w:r w:rsidRPr="006D1890">
        <w:t xml:space="preserve"> the work of the Committee on green economy, which is considered to be a promising approach to contribute towards the 2030 Agenda for Sustainable Development and its Sustainable Development Goals.</w:t>
      </w:r>
    </w:p>
    <w:p w14:paraId="600AC69D" w14:textId="3783C2A3" w:rsidR="00393568" w:rsidRPr="006D1890" w:rsidRDefault="00393568" w:rsidP="00393568">
      <w:pPr>
        <w:pStyle w:val="SingleTxtG"/>
      </w:pPr>
      <w:r w:rsidRPr="006D1890">
        <w:t>2.</w:t>
      </w:r>
      <w:r w:rsidRPr="006D1890">
        <w:tab/>
        <w:t xml:space="preserve">A key result is the endorsement by </w:t>
      </w:r>
      <w:r w:rsidR="00435C66">
        <w:t>m</w:t>
      </w:r>
      <w:r w:rsidRPr="006D1890">
        <w:t xml:space="preserve">inisters at the Eighth Environment for Europe Ministerial Conference (Batumi, 8–10 June 2016) of the Strategic Framework for Greening the Economy, a voluntary tool that supports countries’ efforts in transitioning to green economy and, at the same time, in contributing to the implementation of the 2030 Agenda and its Goals. The Strategic Framework is meant to serve environment ministers in initiating and sustaining discussions on the green economy transition in their national Governments and, ultimately, in creating an </w:t>
      </w:r>
      <w:proofErr w:type="spellStart"/>
      <w:r w:rsidRPr="006D1890">
        <w:t>interministerial</w:t>
      </w:r>
      <w:proofErr w:type="spellEnd"/>
      <w:r w:rsidRPr="006D1890">
        <w:t xml:space="preserve"> policy process to bring forward such an agenda involving key constituencies, including the public at large and the private sector.</w:t>
      </w:r>
    </w:p>
    <w:p w14:paraId="1872685A" w14:textId="3FDB668F" w:rsidR="00393568" w:rsidRPr="006D1890" w:rsidRDefault="00393568" w:rsidP="00393568">
      <w:pPr>
        <w:pStyle w:val="SingleTxtG"/>
      </w:pPr>
      <w:r w:rsidRPr="006D1890">
        <w:t>3.</w:t>
      </w:r>
      <w:r w:rsidRPr="006D1890">
        <w:tab/>
      </w:r>
      <w:r w:rsidR="00435C66">
        <w:t>I</w:t>
      </w:r>
      <w:r w:rsidRPr="006D1890">
        <w:t xml:space="preserve">n Batumi </w:t>
      </w:r>
      <w:r w:rsidR="00435C66">
        <w:t>m</w:t>
      </w:r>
      <w:r w:rsidRPr="006D1890">
        <w:t xml:space="preserve">inisters </w:t>
      </w:r>
      <w:r w:rsidR="00435C66">
        <w:t xml:space="preserve">also </w:t>
      </w:r>
      <w:r w:rsidRPr="006D1890">
        <w:t>launched the Batumi Initiative on Green Economy (BIG</w:t>
      </w:r>
      <w:r w:rsidR="00435C66">
        <w:noBreakHyphen/>
      </w:r>
      <w:r w:rsidRPr="006D1890">
        <w:t xml:space="preserve">E), which consists of voluntary commitments to operationalize the Strategic Framework until 2030. Ministers encouraged countries and other stakeholders to implement commitments under the initiative in order to facilitate the transition to a green economy. At present, </w:t>
      </w:r>
      <w:r w:rsidR="00435C66">
        <w:t xml:space="preserve">124 </w:t>
      </w:r>
      <w:r w:rsidRPr="006D1890">
        <w:t xml:space="preserve">commitments have been submitted by </w:t>
      </w:r>
      <w:r w:rsidR="00435C66">
        <w:t xml:space="preserve">27 </w:t>
      </w:r>
      <w:r w:rsidRPr="006D1890">
        <w:t xml:space="preserve">countries and </w:t>
      </w:r>
      <w:r w:rsidR="00EA06CE" w:rsidRPr="00EF13E4">
        <w:t>13</w:t>
      </w:r>
      <w:r w:rsidR="00435C66" w:rsidRPr="00EF13E4">
        <w:t xml:space="preserve"> </w:t>
      </w:r>
      <w:r w:rsidR="00EA06CE" w:rsidRPr="00EF13E4">
        <w:t xml:space="preserve">lead </w:t>
      </w:r>
      <w:r w:rsidRPr="00EF13E4">
        <w:t>organizations</w:t>
      </w:r>
      <w:r w:rsidR="00EF13E4" w:rsidRPr="00084BF3">
        <w:t>.</w:t>
      </w:r>
      <w:r w:rsidR="00EA06CE" w:rsidRPr="00084BF3">
        <w:rPr>
          <w:rStyle w:val="FootnoteReference"/>
        </w:rPr>
        <w:footnoteReference w:id="2"/>
      </w:r>
      <w:r w:rsidRPr="006D1890">
        <w:t xml:space="preserve"> The </w:t>
      </w:r>
      <w:r w:rsidR="0050673A">
        <w:t xml:space="preserve">committing </w:t>
      </w:r>
      <w:r w:rsidRPr="006D1890">
        <w:t xml:space="preserve">countries are Austria, Azerbaijan, Belarus, Croatia, Estonia, Finland, France, Georgia, Germany, Hungary, Italy, Kazakhstan, Kyrgyzstan, Latvia, Lithuania, Luxembourg, </w:t>
      </w:r>
      <w:r w:rsidR="0050673A">
        <w:t xml:space="preserve">the </w:t>
      </w:r>
      <w:r w:rsidRPr="006D1890">
        <w:t xml:space="preserve">Netherlands, Poland, Portugal, </w:t>
      </w:r>
      <w:r w:rsidR="0050673A">
        <w:t xml:space="preserve">the </w:t>
      </w:r>
      <w:r w:rsidRPr="006D1890">
        <w:t>Republic of Moldova, Romania, Slovakia, Slovenia, Sweden, Switzerland, Ukraine and Uzbekistan. The organi</w:t>
      </w:r>
      <w:r w:rsidR="0050673A">
        <w:t>z</w:t>
      </w:r>
      <w:r w:rsidRPr="006D1890">
        <w:t xml:space="preserve">ations </w:t>
      </w:r>
      <w:r w:rsidR="0050673A">
        <w:t xml:space="preserve">include </w:t>
      </w:r>
      <w:r w:rsidR="003E1CCB">
        <w:t>t</w:t>
      </w:r>
      <w:r w:rsidR="003E1CCB" w:rsidRPr="006D1890">
        <w:t xml:space="preserve">he </w:t>
      </w:r>
      <w:proofErr w:type="spellStart"/>
      <w:r w:rsidR="003E1CCB" w:rsidRPr="006D1890">
        <w:t>Cittadellarte-Pistoletto</w:t>
      </w:r>
      <w:proofErr w:type="spellEnd"/>
      <w:r w:rsidR="003E1CCB" w:rsidRPr="006D1890">
        <w:t xml:space="preserve"> Foundation;</w:t>
      </w:r>
      <w:r w:rsidR="00582EDC">
        <w:t xml:space="preserve"> </w:t>
      </w:r>
      <w:r w:rsidR="003E1CCB">
        <w:t xml:space="preserve">ECE; </w:t>
      </w:r>
      <w:r w:rsidR="003E1CCB" w:rsidRPr="006D1890">
        <w:t xml:space="preserve">European ECO Forum; </w:t>
      </w:r>
      <w:r w:rsidR="00C36CA5">
        <w:t xml:space="preserve">the </w:t>
      </w:r>
      <w:r w:rsidR="003E1CCB" w:rsidRPr="006D1890">
        <w:t xml:space="preserve">Green Growth Knowledge Platform; </w:t>
      </w:r>
      <w:r w:rsidR="00C36CA5">
        <w:t xml:space="preserve">the </w:t>
      </w:r>
      <w:r w:rsidR="003E1CCB" w:rsidRPr="006D1890">
        <w:t>Group of Friends of Paragraph 47</w:t>
      </w:r>
      <w:r w:rsidR="003E1CCB">
        <w:t>;</w:t>
      </w:r>
      <w:r w:rsidR="003E1CCB" w:rsidRPr="006D1890">
        <w:t xml:space="preserve"> </w:t>
      </w:r>
      <w:r w:rsidR="003E1CCB">
        <w:t>t</w:t>
      </w:r>
      <w:r w:rsidR="003E1CCB" w:rsidRPr="006D1890">
        <w:t xml:space="preserve">he Interstate Commission on Sustainable Development of the International Fund for </w:t>
      </w:r>
      <w:r w:rsidR="003E1CCB">
        <w:t>S</w:t>
      </w:r>
      <w:r w:rsidR="003E1CCB" w:rsidRPr="006D1890">
        <w:t xml:space="preserve">aving the Aral Sea; </w:t>
      </w:r>
      <w:r w:rsidR="003E1CCB">
        <w:t>t</w:t>
      </w:r>
      <w:r w:rsidR="003E1CCB" w:rsidRPr="006D1890">
        <w:t xml:space="preserve">he International </w:t>
      </w:r>
      <w:r w:rsidR="00A87AE4">
        <w:t xml:space="preserve">POPs </w:t>
      </w:r>
      <w:r w:rsidR="003E1CCB" w:rsidRPr="006D1890">
        <w:t>Elimination Network</w:t>
      </w:r>
      <w:r w:rsidR="003E1CCB">
        <w:t>;</w:t>
      </w:r>
      <w:r w:rsidR="003E1CCB" w:rsidRPr="006D1890">
        <w:t xml:space="preserve"> </w:t>
      </w:r>
      <w:r w:rsidR="003E1CCB">
        <w:t xml:space="preserve">the </w:t>
      </w:r>
      <w:r w:rsidR="003E1CCB" w:rsidRPr="006D1890">
        <w:t xml:space="preserve">International Resource Panel; </w:t>
      </w:r>
      <w:r w:rsidR="003E1CCB">
        <w:t>OECD; t</w:t>
      </w:r>
      <w:r w:rsidR="003E1CCB" w:rsidRPr="006D1890">
        <w:t xml:space="preserve">he Regional Environmental Centre for the Caucasus; </w:t>
      </w:r>
      <w:r w:rsidR="0050673A">
        <w:t>t</w:t>
      </w:r>
      <w:r w:rsidRPr="006D1890">
        <w:t xml:space="preserve">he Regional Environmental Centre for Central Asia; </w:t>
      </w:r>
      <w:r w:rsidR="003E1CCB">
        <w:t>t</w:t>
      </w:r>
      <w:r w:rsidRPr="006D1890">
        <w:t>he Regional Environmental Centr</w:t>
      </w:r>
      <w:r w:rsidR="003E1CCB">
        <w:t>e</w:t>
      </w:r>
      <w:r w:rsidRPr="006D1890">
        <w:t xml:space="preserve"> for Central and Eastern Europe; and UNEP. The initiative remains open for more stakeholders to join.</w:t>
      </w:r>
    </w:p>
    <w:p w14:paraId="781A0D13" w14:textId="6E16C75C" w:rsidR="00393568" w:rsidRPr="006D1890" w:rsidRDefault="00393568" w:rsidP="00393568">
      <w:pPr>
        <w:pStyle w:val="SingleTxtG"/>
      </w:pPr>
      <w:r w:rsidRPr="006D1890">
        <w:t>4.</w:t>
      </w:r>
      <w:r w:rsidRPr="006D1890">
        <w:tab/>
        <w:t>Registered actions to which countries and organizations have committed in the framework of the Batumi Initiative on Green Economy are available on the ECE website</w:t>
      </w:r>
      <w:r w:rsidR="005358A1">
        <w:t>;</w:t>
      </w:r>
      <w:r w:rsidRPr="006D1890">
        <w:rPr>
          <w:rStyle w:val="FootnoteReference"/>
        </w:rPr>
        <w:footnoteReference w:id="3"/>
      </w:r>
      <w:r w:rsidRPr="006D1890">
        <w:t xml:space="preserve"> in addition, the commitments are promoted through the Green Growth Knowledge Platform</w:t>
      </w:r>
      <w:r w:rsidR="005358A1">
        <w:t>,</w:t>
      </w:r>
      <w:r w:rsidRPr="006D1890">
        <w:rPr>
          <w:rStyle w:val="FootnoteReference"/>
        </w:rPr>
        <w:footnoteReference w:id="4"/>
      </w:r>
      <w:r w:rsidRPr="006D1890">
        <w:t xml:space="preserve"> in accordance with the </w:t>
      </w:r>
      <w:r w:rsidR="005358A1">
        <w:t>m</w:t>
      </w:r>
      <w:r w:rsidRPr="006D1890">
        <w:t>inisters’ request in Batumi (ECE/BATUMI.CONF/2016/2/Add.1, para</w:t>
      </w:r>
      <w:r w:rsidR="005358A1">
        <w:t>.</w:t>
      </w:r>
      <w:r w:rsidRPr="006D1890">
        <w:t xml:space="preserve"> 5).</w:t>
      </w:r>
    </w:p>
    <w:p w14:paraId="1A747D94" w14:textId="188959C0" w:rsidR="00F507EC" w:rsidRPr="006D1890" w:rsidRDefault="00393568" w:rsidP="00393568">
      <w:pPr>
        <w:pStyle w:val="SingleTxtG"/>
      </w:pPr>
      <w:r w:rsidRPr="006D1890">
        <w:t>5.</w:t>
      </w:r>
      <w:r w:rsidRPr="006D1890">
        <w:tab/>
        <w:t xml:space="preserve">At its twenty-third session (Geneva, 14–17 November 2017), the </w:t>
      </w:r>
      <w:r w:rsidR="005358A1">
        <w:t>Committee on Environmental Policy</w:t>
      </w:r>
      <w:r w:rsidRPr="006D1890">
        <w:t xml:space="preserve"> decided that, to support the review of progress achieved in implementing the Strategic Framework and the Batumi Initiative on Green Economy, it would invite stakeholders to report on the progress achieved in the implementation of their commitments on the basis of a template prepared by the secretariat together with UNEP</w:t>
      </w:r>
      <w:r w:rsidR="005358A1">
        <w:t>,</w:t>
      </w:r>
      <w:r w:rsidRPr="006D1890">
        <w:t xml:space="preserve"> in consultation with the Bureau of the Committee. On the basis of </w:t>
      </w:r>
      <w:r w:rsidR="005358A1">
        <w:t xml:space="preserve">those </w:t>
      </w:r>
      <w:r w:rsidRPr="006D1890">
        <w:t xml:space="preserve">reports, the secretariat </w:t>
      </w:r>
      <w:r w:rsidRPr="006D1890">
        <w:lastRenderedPageBreak/>
        <w:t xml:space="preserve">jointly with UNEP and with support from a consultant </w:t>
      </w:r>
      <w:r w:rsidR="005358A1">
        <w:t xml:space="preserve">was requested to </w:t>
      </w:r>
      <w:r w:rsidRPr="006D1890">
        <w:t>prepare a mid-term review report (</w:t>
      </w:r>
      <w:r w:rsidR="005358A1">
        <w:t xml:space="preserve">ECE/CEP/2017/5, para. 46, and </w:t>
      </w:r>
      <w:r w:rsidRPr="006D1890">
        <w:t>ECE/CEP/2017/16, para. 22).</w:t>
      </w:r>
    </w:p>
    <w:p w14:paraId="02024AFF" w14:textId="101B538C" w:rsidR="00393568" w:rsidRPr="006D1890" w:rsidRDefault="00393568" w:rsidP="00393568">
      <w:pPr>
        <w:pStyle w:val="SingleTxtG"/>
      </w:pPr>
      <w:r w:rsidRPr="006D1890">
        <w:t>6.</w:t>
      </w:r>
      <w:r w:rsidRPr="006D1890">
        <w:tab/>
        <w:t xml:space="preserve">A </w:t>
      </w:r>
      <w:r w:rsidRPr="00B13F26">
        <w:t xml:space="preserve">survey </w:t>
      </w:r>
      <w:r w:rsidR="005358A1">
        <w:t xml:space="preserve">questionnaire </w:t>
      </w:r>
      <w:r w:rsidRPr="00B13F26">
        <w:t xml:space="preserve">was </w:t>
      </w:r>
      <w:r w:rsidRPr="006D1890">
        <w:t xml:space="preserve">prepared by the secretariat in consultation with the Bureau of the Committee </w:t>
      </w:r>
      <w:r w:rsidRPr="00B13F26">
        <w:t>and UNEP. The online tool “</w:t>
      </w:r>
      <w:proofErr w:type="spellStart"/>
      <w:r w:rsidRPr="00B13F26">
        <w:t>EfE</w:t>
      </w:r>
      <w:proofErr w:type="spellEnd"/>
      <w:r w:rsidRPr="00B13F26">
        <w:t xml:space="preserve"> mid-term review: Survey on the implementation of BIG-E commitments” was prepared by the secretariat and launched on </w:t>
      </w:r>
      <w:r w:rsidR="005358A1">
        <w:t xml:space="preserve">13 </w:t>
      </w:r>
      <w:r w:rsidRPr="00B13F26">
        <w:t xml:space="preserve">April </w:t>
      </w:r>
      <w:r w:rsidRPr="006D1890">
        <w:t xml:space="preserve">2018. The secretariat also </w:t>
      </w:r>
      <w:r w:rsidR="005358A1">
        <w:t xml:space="preserve">made </w:t>
      </w:r>
      <w:r w:rsidRPr="006D1890">
        <w:t xml:space="preserve">efforts to reach out not only </w:t>
      </w:r>
      <w:r w:rsidR="005358A1">
        <w:t xml:space="preserve">to Committee </w:t>
      </w:r>
      <w:r w:rsidRPr="006D1890">
        <w:t>members but also to the contact points nominated for individual voluntary commitments.</w:t>
      </w:r>
    </w:p>
    <w:p w14:paraId="2D03BCE7" w14:textId="559089A7" w:rsidR="00393568" w:rsidRPr="006D1890" w:rsidRDefault="00393568" w:rsidP="00393568">
      <w:pPr>
        <w:pStyle w:val="SingleTxtG"/>
      </w:pPr>
      <w:r w:rsidRPr="006D1890">
        <w:t>7.</w:t>
      </w:r>
      <w:r w:rsidRPr="006D1890">
        <w:tab/>
        <w:t xml:space="preserve">The present report was prepared by the secretariat based on the responses to the survey received from the stakeholders up to November 2018; all references to “the survey” in this document refer to these responses, unless specified otherwise. The report synthesizes the responses received from 23 countries and 8 organizations. These countries are Azerbaijan, Belarus, Croatia, Estonia, Finland, France, Georgia, Germany, Hungary, Italy, Kazakhstan, Latvia, Lithuania, Luxembourg, Netherlands, Poland, Portugal, </w:t>
      </w:r>
      <w:r w:rsidR="00046EEF">
        <w:t xml:space="preserve">the </w:t>
      </w:r>
      <w:r w:rsidRPr="006D1890">
        <w:t>Republic of Moldova, Romania, Slovakia, Slovenia, Switzerland and Ukraine. The organi</w:t>
      </w:r>
      <w:r w:rsidR="00046EEF">
        <w:t>z</w:t>
      </w:r>
      <w:r w:rsidRPr="006D1890">
        <w:t>ations that responded are</w:t>
      </w:r>
      <w:r w:rsidR="00046EEF">
        <w:t xml:space="preserve"> ECE, the </w:t>
      </w:r>
      <w:r w:rsidRPr="006D1890">
        <w:t>Green Growth Knowledge Platform</w:t>
      </w:r>
      <w:r w:rsidR="00046EEF">
        <w:t>,</w:t>
      </w:r>
      <w:r w:rsidRPr="006D1890">
        <w:t xml:space="preserve"> the Interstate Commission on Sustainable Development</w:t>
      </w:r>
      <w:r w:rsidR="00046EEF">
        <w:t>,</w:t>
      </w:r>
      <w:r w:rsidRPr="006D1890">
        <w:t xml:space="preserve"> </w:t>
      </w:r>
      <w:r w:rsidR="00046EEF">
        <w:t xml:space="preserve">the </w:t>
      </w:r>
      <w:r w:rsidRPr="006D1890">
        <w:t>International Resource Panel</w:t>
      </w:r>
      <w:r w:rsidR="00046EEF">
        <w:t>,</w:t>
      </w:r>
      <w:r w:rsidRPr="006D1890">
        <w:t xml:space="preserve"> OECD</w:t>
      </w:r>
      <w:r w:rsidR="00046EEF">
        <w:t>,</w:t>
      </w:r>
      <w:r w:rsidRPr="006D1890">
        <w:t xml:space="preserve"> </w:t>
      </w:r>
      <w:r w:rsidR="00046EEF">
        <w:t>t</w:t>
      </w:r>
      <w:r w:rsidR="00046EEF" w:rsidRPr="006D1890">
        <w:t>he Regional Environmental Centre for Central Asia</w:t>
      </w:r>
      <w:r w:rsidR="00046EEF">
        <w:t>,</w:t>
      </w:r>
      <w:r w:rsidR="00046EEF" w:rsidRPr="006D1890">
        <w:t xml:space="preserve"> </w:t>
      </w:r>
      <w:r w:rsidR="00046EEF">
        <w:t>t</w:t>
      </w:r>
      <w:r w:rsidRPr="006D1890">
        <w:t>he Regional Environmental Centre for the Caucasus</w:t>
      </w:r>
      <w:r w:rsidR="00046EEF">
        <w:t xml:space="preserve"> </w:t>
      </w:r>
      <w:r w:rsidRPr="006D1890">
        <w:t xml:space="preserve">and UNEP. The document reflects the progress made on 96 (77%) of the 124 voluntary commitments submitted to the Batumi Initiative on Green Economy. </w:t>
      </w:r>
    </w:p>
    <w:p w14:paraId="0372C077" w14:textId="1A335700" w:rsidR="00393568" w:rsidRPr="006D1890" w:rsidRDefault="00393568" w:rsidP="00393568">
      <w:pPr>
        <w:pStyle w:val="SingleTxtG"/>
      </w:pPr>
      <w:r w:rsidRPr="006D1890">
        <w:t>8.</w:t>
      </w:r>
      <w:r w:rsidRPr="006D1890">
        <w:tab/>
        <w:t>The report summarizes the progress made and offers some observations that may be helpful in illustrating patterns and trends of national approaches aggregated at the regional level. The report also addresses the views expressed on the usefulness of the Batumi Initiative.</w:t>
      </w:r>
      <w:r w:rsidR="00334D2A">
        <w:t xml:space="preserve"> Tables and </w:t>
      </w:r>
      <w:r w:rsidR="00334D2A" w:rsidRPr="00EE5312">
        <w:t xml:space="preserve">charts </w:t>
      </w:r>
      <w:r w:rsidR="00334D2A">
        <w:t xml:space="preserve">illustrating some of the </w:t>
      </w:r>
      <w:r w:rsidR="00334D2A" w:rsidRPr="00EE5312">
        <w:t>key findings</w:t>
      </w:r>
      <w:r w:rsidR="00334D2A">
        <w:t xml:space="preserve"> are presented in an annex to the present document.</w:t>
      </w:r>
    </w:p>
    <w:p w14:paraId="644E57D7" w14:textId="34D3546F" w:rsidR="00393568" w:rsidRPr="006D1890" w:rsidRDefault="00393568" w:rsidP="00393568">
      <w:pPr>
        <w:pStyle w:val="HChG"/>
      </w:pPr>
      <w:r w:rsidRPr="006D1890">
        <w:tab/>
        <w:t>I.</w:t>
      </w:r>
      <w:r w:rsidRPr="006D1890">
        <w:tab/>
        <w:t xml:space="preserve">Overview of progress in the implementation of commitments made within the framework of the Batumi Initiative on Green Economy </w:t>
      </w:r>
    </w:p>
    <w:p w14:paraId="2C8CBF4E" w14:textId="77777777" w:rsidR="00393568" w:rsidRPr="006D1890" w:rsidRDefault="00393568" w:rsidP="00393568">
      <w:pPr>
        <w:pStyle w:val="H1G"/>
      </w:pPr>
      <w:r w:rsidRPr="006D1890">
        <w:tab/>
        <w:t>A.</w:t>
      </w:r>
      <w:r w:rsidRPr="006D1890">
        <w:tab/>
        <w:t>Scope and methodology</w:t>
      </w:r>
    </w:p>
    <w:p w14:paraId="2E93D1E7" w14:textId="585D3752" w:rsidR="00393568" w:rsidRPr="006D1890" w:rsidRDefault="00393568" w:rsidP="00393568">
      <w:pPr>
        <w:pStyle w:val="SingleTxtG"/>
      </w:pPr>
      <w:r w:rsidRPr="006D1890">
        <w:t>9.</w:t>
      </w:r>
      <w:r w:rsidRPr="006D1890">
        <w:tab/>
        <w:t xml:space="preserve">The </w:t>
      </w:r>
      <w:r w:rsidR="001836F6">
        <w:t>present report</w:t>
      </w:r>
      <w:r w:rsidR="001836F6" w:rsidRPr="006D1890">
        <w:t xml:space="preserve"> </w:t>
      </w:r>
      <w:r w:rsidRPr="006D1890">
        <w:t xml:space="preserve">analyses </w:t>
      </w:r>
      <w:r w:rsidR="00E926B6">
        <w:t xml:space="preserve">the </w:t>
      </w:r>
      <w:r w:rsidRPr="006D1890">
        <w:t>124 commitments</w:t>
      </w:r>
      <w:r w:rsidR="001836F6">
        <w:t xml:space="preserve"> </w:t>
      </w:r>
      <w:r w:rsidRPr="006D1890">
        <w:t xml:space="preserve">made so far under the Batumi Initiative on Green Economy </w:t>
      </w:r>
      <w:r w:rsidR="00C36CA5">
        <w:t>to undertake green economy actions,</w:t>
      </w:r>
      <w:r w:rsidR="00C36CA5" w:rsidRPr="006D1890">
        <w:rPr>
          <w:rStyle w:val="FootnoteReference"/>
        </w:rPr>
        <w:footnoteReference w:id="5"/>
      </w:r>
      <w:r w:rsidR="00C36CA5">
        <w:t xml:space="preserve"> with a view</w:t>
      </w:r>
      <w:r w:rsidRPr="006D1890">
        <w:t xml:space="preserve"> to reveal</w:t>
      </w:r>
      <w:r w:rsidR="00C36CA5">
        <w:t>ing</w:t>
      </w:r>
      <w:r w:rsidRPr="006D1890">
        <w:t xml:space="preserve"> observable patterns and trends in regional approaches to </w:t>
      </w:r>
      <w:r w:rsidR="00C36CA5">
        <w:t>g</w:t>
      </w:r>
      <w:r w:rsidRPr="006D1890">
        <w:t xml:space="preserve">reen </w:t>
      </w:r>
      <w:r w:rsidR="00C36CA5">
        <w:t>e</w:t>
      </w:r>
      <w:r w:rsidRPr="006D1890">
        <w:t xml:space="preserve">conomy. The review also assesses </w:t>
      </w:r>
      <w:r w:rsidR="00C36CA5">
        <w:t xml:space="preserve">the </w:t>
      </w:r>
      <w:r w:rsidRPr="006D1890">
        <w:t>present status of implementation</w:t>
      </w:r>
      <w:r w:rsidR="00C36CA5">
        <w:t xml:space="preserve"> of the commitments</w:t>
      </w:r>
      <w:r w:rsidRPr="006D1890">
        <w:t>.</w:t>
      </w:r>
    </w:p>
    <w:p w14:paraId="77E85817" w14:textId="39C6B7F9" w:rsidR="00393568" w:rsidRPr="006D1890" w:rsidRDefault="00393568" w:rsidP="00393568">
      <w:pPr>
        <w:pStyle w:val="SingleTxtG"/>
      </w:pPr>
      <w:r w:rsidRPr="006D1890">
        <w:t>10.</w:t>
      </w:r>
      <w:r w:rsidRPr="006D1890">
        <w:tab/>
        <w:t xml:space="preserve">The methodology </w:t>
      </w:r>
      <w:r w:rsidR="003402E1">
        <w:t xml:space="preserve">for the review </w:t>
      </w:r>
      <w:r w:rsidRPr="006D1890">
        <w:t xml:space="preserve">is based on the structured approach </w:t>
      </w:r>
      <w:r w:rsidR="003402E1">
        <w:t xml:space="preserve">of </w:t>
      </w:r>
      <w:r w:rsidRPr="006D1890">
        <w:t>the Strategic Framework</w:t>
      </w:r>
      <w:r w:rsidR="003402E1">
        <w:t xml:space="preserve"> and the Batumi Initiative.</w:t>
      </w:r>
      <w:r w:rsidRPr="006D1890">
        <w:t xml:space="preserve"> </w:t>
      </w:r>
      <w:r w:rsidR="003402E1">
        <w:t>T</w:t>
      </w:r>
      <w:r w:rsidRPr="006D1890">
        <w:t xml:space="preserve">he Strategic Framework identifies three main objectives to be attained, divided into nine integrated focus areas indicating priorities for achieving the three objectives (figure </w:t>
      </w:r>
      <w:r w:rsidR="005B3891">
        <w:t>I</w:t>
      </w:r>
      <w:r w:rsidRPr="006D1890">
        <w:t xml:space="preserve">). </w:t>
      </w:r>
      <w:r w:rsidR="00E926B6">
        <w:t xml:space="preserve">Under </w:t>
      </w:r>
      <w:r w:rsidRPr="006D1890">
        <w:t>the Batumi Initiative on Green Economy</w:t>
      </w:r>
      <w:r w:rsidR="00E926B6">
        <w:t>,</w:t>
      </w:r>
      <w:r w:rsidRPr="006D1890">
        <w:t xml:space="preserve"> </w:t>
      </w:r>
      <w:r w:rsidR="00E926B6">
        <w:t xml:space="preserve">when </w:t>
      </w:r>
      <w:r w:rsidRPr="006D1890">
        <w:t xml:space="preserve">submitting a voluntary </w:t>
      </w:r>
      <w:proofErr w:type="gramStart"/>
      <w:r w:rsidRPr="006D1890">
        <w:t>commitment</w:t>
      </w:r>
      <w:proofErr w:type="gramEnd"/>
      <w:r w:rsidR="003402E1">
        <w:t xml:space="preserve"> </w:t>
      </w:r>
      <w:r w:rsidRPr="006D1890">
        <w:t xml:space="preserve">the stakeholders </w:t>
      </w:r>
      <w:r w:rsidR="00E926B6">
        <w:t xml:space="preserve">must </w:t>
      </w:r>
      <w:r w:rsidRPr="006D1890">
        <w:t xml:space="preserve">provide detailed information on several aspects, including but not limited to: focus area(s) of </w:t>
      </w:r>
      <w:r w:rsidR="002D05AF">
        <w:t xml:space="preserve">the </w:t>
      </w:r>
      <w:r w:rsidRPr="006D1890">
        <w:t xml:space="preserve">action; </w:t>
      </w:r>
      <w:r w:rsidR="003402E1">
        <w:t xml:space="preserve">the </w:t>
      </w:r>
      <w:r w:rsidRPr="006D1890">
        <w:t>type of action; economic sectors</w:t>
      </w:r>
      <w:r w:rsidR="002D05AF">
        <w:t xml:space="preserve"> targeted</w:t>
      </w:r>
      <w:r w:rsidRPr="006D1890">
        <w:t xml:space="preserve">; </w:t>
      </w:r>
      <w:r w:rsidR="003402E1">
        <w:t xml:space="preserve">and </w:t>
      </w:r>
      <w:r w:rsidR="00E926B6">
        <w:t xml:space="preserve">the </w:t>
      </w:r>
      <w:r w:rsidRPr="006D1890">
        <w:t>Sustainable Development Goals</w:t>
      </w:r>
      <w:r w:rsidR="003402E1">
        <w:t xml:space="preserve"> </w:t>
      </w:r>
      <w:r w:rsidR="00E926B6">
        <w:t xml:space="preserve">and </w:t>
      </w:r>
      <w:r w:rsidRPr="006D1890">
        <w:t>targets that the action may contribute to implement</w:t>
      </w:r>
      <w:r w:rsidR="003402E1">
        <w:t>ing</w:t>
      </w:r>
      <w:r w:rsidRPr="006D1890">
        <w:t xml:space="preserve"> (figure </w:t>
      </w:r>
      <w:r w:rsidR="005B3891">
        <w:t>II</w:t>
      </w:r>
      <w:r w:rsidRPr="006D1890">
        <w:t xml:space="preserve">). </w:t>
      </w:r>
    </w:p>
    <w:p w14:paraId="27886E02" w14:textId="178C93FE" w:rsidR="00393568" w:rsidRPr="006D1890" w:rsidRDefault="002F2767" w:rsidP="002F2767">
      <w:pPr>
        <w:pStyle w:val="H23G"/>
      </w:pPr>
      <w:r w:rsidRPr="006D1890">
        <w:lastRenderedPageBreak/>
        <w:tab/>
      </w:r>
      <w:r w:rsidRPr="006D1890">
        <w:tab/>
      </w:r>
      <w:r w:rsidR="00393568" w:rsidRPr="006D1890">
        <w:rPr>
          <w:b w:val="0"/>
          <w:bCs/>
        </w:rPr>
        <w:t xml:space="preserve">Figure </w:t>
      </w:r>
      <w:r w:rsidR="005B3891">
        <w:rPr>
          <w:b w:val="0"/>
          <w:bCs/>
        </w:rPr>
        <w:t>I</w:t>
      </w:r>
      <w:r w:rsidRPr="006D1890">
        <w:br/>
      </w:r>
      <w:r w:rsidR="00393568" w:rsidRPr="006D1890">
        <w:t>The Strategic Framework at a glance</w:t>
      </w:r>
    </w:p>
    <w:p w14:paraId="37F0FBBF" w14:textId="4F790F6D" w:rsidR="00393568" w:rsidRPr="006D1890" w:rsidRDefault="00B67A7C" w:rsidP="00B67A7C">
      <w:pPr>
        <w:pStyle w:val="SingleTxtG"/>
        <w:ind w:left="0" w:right="0"/>
        <w:jc w:val="center"/>
      </w:pPr>
      <w:r>
        <w:rPr>
          <w:noProof/>
          <w:lang w:eastAsia="zh-CN"/>
        </w:rPr>
        <w:drawing>
          <wp:inline distT="0" distB="0" distL="0" distR="0" wp14:anchorId="10E9925B" wp14:editId="08CA2EFB">
            <wp:extent cx="5994400" cy="7264400"/>
            <wp:effectExtent l="0" t="0" r="6350" b="0"/>
            <wp:docPr id="3" name="Picture 3" descr="G:\Ehlm\ENVIRONMENT FOR EUROPE (EfE)\EfE-Batumi\Documents\Draft\SFGE\figures\Figure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hlm\ENVIRONMENT FOR EUROPE (EfE)\EfE-Batumi\Documents\Draft\SFGE\figures\Figure 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4400" cy="7264400"/>
                    </a:xfrm>
                    <a:prstGeom prst="rect">
                      <a:avLst/>
                    </a:prstGeom>
                    <a:noFill/>
                    <a:ln>
                      <a:noFill/>
                    </a:ln>
                  </pic:spPr>
                </pic:pic>
              </a:graphicData>
            </a:graphic>
          </wp:inline>
        </w:drawing>
      </w:r>
    </w:p>
    <w:p w14:paraId="32F6B0FE" w14:textId="4CEB649D" w:rsidR="00393568" w:rsidRPr="007C389C" w:rsidRDefault="001836F6" w:rsidP="007C389C">
      <w:pPr>
        <w:pStyle w:val="SingleTxtG"/>
        <w:ind w:firstLine="142"/>
        <w:rPr>
          <w:sz w:val="18"/>
          <w:szCs w:val="18"/>
        </w:rPr>
      </w:pPr>
      <w:r w:rsidRPr="007C389C">
        <w:rPr>
          <w:i/>
          <w:sz w:val="18"/>
          <w:szCs w:val="18"/>
        </w:rPr>
        <w:t>Source</w:t>
      </w:r>
      <w:r w:rsidRPr="007C389C">
        <w:rPr>
          <w:sz w:val="18"/>
          <w:szCs w:val="18"/>
        </w:rPr>
        <w:t>: ECE/BATUMI.CONF/2016/6</w:t>
      </w:r>
      <w:r w:rsidR="00C36CA5" w:rsidRPr="007C389C">
        <w:rPr>
          <w:sz w:val="18"/>
          <w:szCs w:val="18"/>
        </w:rPr>
        <w:t>.</w:t>
      </w:r>
    </w:p>
    <w:p w14:paraId="3CF0DB9D" w14:textId="77777777" w:rsidR="00393568" w:rsidRPr="006D1890" w:rsidRDefault="00393568" w:rsidP="00393568">
      <w:pPr>
        <w:pStyle w:val="SingleTxtG"/>
      </w:pPr>
    </w:p>
    <w:p w14:paraId="7F25D99E" w14:textId="77777777" w:rsidR="00393568" w:rsidRPr="006D1890" w:rsidRDefault="00393568" w:rsidP="00393568">
      <w:pPr>
        <w:pStyle w:val="SingleTxtG"/>
      </w:pPr>
    </w:p>
    <w:p w14:paraId="15256A4D" w14:textId="07162429" w:rsidR="00393568" w:rsidRPr="006D1890" w:rsidRDefault="002F2767" w:rsidP="002F2767">
      <w:pPr>
        <w:pStyle w:val="H23G"/>
      </w:pPr>
      <w:r w:rsidRPr="006D1890">
        <w:lastRenderedPageBreak/>
        <w:tab/>
      </w:r>
      <w:r w:rsidRPr="006D1890">
        <w:tab/>
      </w:r>
      <w:r w:rsidR="00393568" w:rsidRPr="006D1890">
        <w:rPr>
          <w:b w:val="0"/>
          <w:bCs/>
        </w:rPr>
        <w:t xml:space="preserve">Figure </w:t>
      </w:r>
      <w:r w:rsidR="005B3891">
        <w:rPr>
          <w:b w:val="0"/>
          <w:bCs/>
        </w:rPr>
        <w:t>II</w:t>
      </w:r>
      <w:r w:rsidRPr="006D1890">
        <w:br/>
      </w:r>
      <w:r w:rsidR="00393568" w:rsidRPr="006D1890">
        <w:t>Green economy actions at a glance</w:t>
      </w:r>
    </w:p>
    <w:p w14:paraId="576BBEA0" w14:textId="62937C3E" w:rsidR="00393568" w:rsidRPr="006D1890" w:rsidRDefault="00B67A7C" w:rsidP="00B67A7C">
      <w:pPr>
        <w:pStyle w:val="SingleTxtG"/>
        <w:jc w:val="center"/>
      </w:pPr>
      <w:r>
        <w:rPr>
          <w:noProof/>
          <w:lang w:eastAsia="zh-CN"/>
        </w:rPr>
        <w:drawing>
          <wp:inline distT="0" distB="0" distL="0" distR="0" wp14:anchorId="2AAD73A4" wp14:editId="0203B06A">
            <wp:extent cx="4737100" cy="4483100"/>
            <wp:effectExtent l="0" t="0" r="6350" b="0"/>
            <wp:docPr id="4" name="Picture 4" descr="G:\Ehlm\ENVIRONMENT FOR EUROPE (EfE)\EfE-Batumi\Documents\Draft\SFGE\figures\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hlm\ENVIRONMENT FOR EUROPE (EfE)\EfE-Batumi\Documents\Draft\SFGE\figures\Figure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7100" cy="4483100"/>
                    </a:xfrm>
                    <a:prstGeom prst="rect">
                      <a:avLst/>
                    </a:prstGeom>
                    <a:noFill/>
                    <a:ln>
                      <a:noFill/>
                    </a:ln>
                  </pic:spPr>
                </pic:pic>
              </a:graphicData>
            </a:graphic>
          </wp:inline>
        </w:drawing>
      </w:r>
    </w:p>
    <w:p w14:paraId="6CEA8014" w14:textId="77777777" w:rsidR="00E926B6" w:rsidRDefault="00E926B6" w:rsidP="007C389C">
      <w:pPr>
        <w:pStyle w:val="SingleTxtG"/>
        <w:spacing w:after="240"/>
        <w:ind w:firstLine="142"/>
        <w:rPr>
          <w:sz w:val="18"/>
          <w:szCs w:val="18"/>
        </w:rPr>
      </w:pPr>
      <w:r w:rsidRPr="007249EC">
        <w:rPr>
          <w:i/>
          <w:sz w:val="18"/>
          <w:szCs w:val="18"/>
        </w:rPr>
        <w:t>Source</w:t>
      </w:r>
      <w:r w:rsidRPr="007249EC">
        <w:rPr>
          <w:sz w:val="18"/>
          <w:szCs w:val="18"/>
        </w:rPr>
        <w:t>: ECE/BATUMI.CONF/2016/6.</w:t>
      </w:r>
    </w:p>
    <w:p w14:paraId="5B7CD1DF" w14:textId="42A55F0F" w:rsidR="00393568" w:rsidRPr="006D1890" w:rsidRDefault="00393568" w:rsidP="00393568">
      <w:pPr>
        <w:pStyle w:val="SingleTxtG"/>
      </w:pPr>
      <w:r w:rsidRPr="006D1890">
        <w:t>11.</w:t>
      </w:r>
      <w:r w:rsidRPr="006D1890">
        <w:tab/>
        <w:t xml:space="preserve">Assessment of </w:t>
      </w:r>
      <w:r w:rsidR="00E926B6">
        <w:t xml:space="preserve">the </w:t>
      </w:r>
      <w:r w:rsidRPr="006D1890">
        <w:t xml:space="preserve">present status of implementation </w:t>
      </w:r>
      <w:r w:rsidR="007927F5">
        <w:t xml:space="preserve">of the commitments </w:t>
      </w:r>
      <w:r w:rsidRPr="006D1890">
        <w:t xml:space="preserve">uses the data supplied through the survey. </w:t>
      </w:r>
      <w:r w:rsidR="00E926B6">
        <w:t>As recommended by t</w:t>
      </w:r>
      <w:r w:rsidRPr="006D1890">
        <w:t>he Committee and the Bureau</w:t>
      </w:r>
      <w:r w:rsidR="00E926B6">
        <w:t>,</w:t>
      </w:r>
      <w:r w:rsidRPr="006D1890">
        <w:t xml:space="preserve"> the survey </w:t>
      </w:r>
      <w:r w:rsidR="007927F5">
        <w:t>questionnaire wa</w:t>
      </w:r>
      <w:r w:rsidR="00E926B6">
        <w:t xml:space="preserve">s </w:t>
      </w:r>
      <w:r w:rsidRPr="006D1890">
        <w:t>short</w:t>
      </w:r>
      <w:r w:rsidR="00E926B6">
        <w:t>,</w:t>
      </w:r>
      <w:r w:rsidRPr="006D1890">
        <w:t xml:space="preserve"> </w:t>
      </w:r>
      <w:r w:rsidR="00E926B6">
        <w:t xml:space="preserve">with </w:t>
      </w:r>
      <w:r w:rsidRPr="006D1890">
        <w:t>just a few questions on each commitment, using checkboxes for responses. The survey also addressed the question of the usefulness of the Batumi Initiative on Green Economy separately.</w:t>
      </w:r>
    </w:p>
    <w:p w14:paraId="5E8C385E" w14:textId="1A1C73AD" w:rsidR="00393568" w:rsidRPr="006D1890" w:rsidRDefault="00393568" w:rsidP="00393568">
      <w:pPr>
        <w:pStyle w:val="SingleTxtG"/>
      </w:pPr>
      <w:r w:rsidRPr="006D1890">
        <w:t>12.</w:t>
      </w:r>
      <w:r w:rsidRPr="006D1890">
        <w:tab/>
        <w:t>To compensate for such a simplified approach, the respondents had the opportunity to leave extended comments. These comments</w:t>
      </w:r>
      <w:r w:rsidR="001D3843">
        <w:t>, which</w:t>
      </w:r>
      <w:r w:rsidRPr="006D1890">
        <w:t xml:space="preserve"> contain very rich and useful information on the challenges and lessons from the practical implementation of the green economy approaches</w:t>
      </w:r>
      <w:r w:rsidR="001D3843">
        <w:t>,</w:t>
      </w:r>
      <w:r w:rsidRPr="006D1890">
        <w:t xml:space="preserve"> </w:t>
      </w:r>
      <w:r w:rsidR="007927F5">
        <w:t xml:space="preserve">could </w:t>
      </w:r>
      <w:r w:rsidR="007927F5" w:rsidRPr="006D1890">
        <w:t xml:space="preserve">not </w:t>
      </w:r>
      <w:r w:rsidRPr="006D1890">
        <w:t>be incorporated in the present document</w:t>
      </w:r>
      <w:r w:rsidR="001D3843">
        <w:t xml:space="preserve"> owing to word limitations</w:t>
      </w:r>
      <w:r w:rsidR="007927F5">
        <w:t>.</w:t>
      </w:r>
      <w:r w:rsidRPr="006D1890">
        <w:t xml:space="preserve"> </w:t>
      </w:r>
      <w:r w:rsidR="007927F5">
        <w:t xml:space="preserve">This information </w:t>
      </w:r>
      <w:r w:rsidRPr="006D1890">
        <w:t xml:space="preserve">is </w:t>
      </w:r>
      <w:r w:rsidR="001D3843">
        <w:t xml:space="preserve">therefore </w:t>
      </w:r>
      <w:r w:rsidR="007927F5">
        <w:t xml:space="preserve">being </w:t>
      </w:r>
      <w:r w:rsidRPr="006D1890">
        <w:t>issued by the secretariat as a separate document</w:t>
      </w:r>
      <w:r w:rsidR="007927F5">
        <w:t xml:space="preserve"> (information paper No. 9)</w:t>
      </w:r>
      <w:r w:rsidR="002D05AF">
        <w:t>,</w:t>
      </w:r>
      <w:r w:rsidR="004D2114">
        <w:rPr>
          <w:rStyle w:val="FootnoteReference"/>
        </w:rPr>
        <w:footnoteReference w:id="6"/>
      </w:r>
      <w:r w:rsidR="007927F5">
        <w:t xml:space="preserve"> </w:t>
      </w:r>
      <w:r w:rsidR="002D05AF">
        <w:t xml:space="preserve">which provides </w:t>
      </w:r>
      <w:r w:rsidRPr="006D1890">
        <w:t>an essential addition to the present report.</w:t>
      </w:r>
    </w:p>
    <w:p w14:paraId="445B5E9E" w14:textId="77777777" w:rsidR="00393568" w:rsidRPr="006D1890" w:rsidRDefault="00393568" w:rsidP="00393568">
      <w:pPr>
        <w:pStyle w:val="H1G"/>
      </w:pPr>
      <w:r w:rsidRPr="006D1890">
        <w:lastRenderedPageBreak/>
        <w:tab/>
        <w:t>B.</w:t>
      </w:r>
      <w:r w:rsidRPr="006D1890">
        <w:tab/>
        <w:t>Analysis of the status of the commitments under the Batumi Initiative on Green Economy</w:t>
      </w:r>
    </w:p>
    <w:p w14:paraId="00499F88" w14:textId="77777777" w:rsidR="00393568" w:rsidRPr="006D1890" w:rsidRDefault="00393568" w:rsidP="00393568">
      <w:pPr>
        <w:pStyle w:val="H23G"/>
        <w:rPr>
          <w:highlight w:val="yellow"/>
        </w:rPr>
      </w:pPr>
      <w:r w:rsidRPr="006D1890">
        <w:tab/>
      </w:r>
      <w:r w:rsidRPr="006D1890">
        <w:tab/>
        <w:t>Background</w:t>
      </w:r>
    </w:p>
    <w:p w14:paraId="2379C680" w14:textId="04AC47CA" w:rsidR="00393568" w:rsidRPr="006D1890" w:rsidRDefault="00393568" w:rsidP="00393568">
      <w:pPr>
        <w:pStyle w:val="SingleTxtG"/>
      </w:pPr>
      <w:r w:rsidRPr="006D1890">
        <w:t>13.</w:t>
      </w:r>
      <w:r w:rsidRPr="006D1890">
        <w:tab/>
        <w:t xml:space="preserve">The 124 commitments submitted by </w:t>
      </w:r>
      <w:r w:rsidR="001D3843">
        <w:t xml:space="preserve">27 </w:t>
      </w:r>
      <w:r w:rsidRPr="006D1890">
        <w:t xml:space="preserve">countries and </w:t>
      </w:r>
      <w:r w:rsidR="001D3843">
        <w:t xml:space="preserve">13 </w:t>
      </w:r>
      <w:r w:rsidRPr="006D1890">
        <w:t xml:space="preserve">organizations to the Batumi Initiative on Green Economy reflect </w:t>
      </w:r>
      <w:r w:rsidR="001D3843">
        <w:t xml:space="preserve">the </w:t>
      </w:r>
      <w:r w:rsidRPr="006D1890">
        <w:t xml:space="preserve">substantial interest of the stakeholders in the Initiative. The 27 participating </w:t>
      </w:r>
      <w:r w:rsidR="001D3843">
        <w:t>G</w:t>
      </w:r>
      <w:r w:rsidRPr="006D1890">
        <w:t xml:space="preserve">overnments represent almost half </w:t>
      </w:r>
      <w:r w:rsidR="001D3843">
        <w:t>(</w:t>
      </w:r>
      <w:r w:rsidRPr="006D1890">
        <w:t>48%</w:t>
      </w:r>
      <w:r w:rsidR="001D3843">
        <w:t>)</w:t>
      </w:r>
      <w:r w:rsidRPr="006D1890">
        <w:t xml:space="preserve"> of the membership of ECE and 60% of the member States attending the Batumi Conference. Most commitments were submitted before or during the Conference; several stakeholders</w:t>
      </w:r>
      <w:r w:rsidR="001D3843">
        <w:t>,</w:t>
      </w:r>
      <w:r w:rsidRPr="006D1890">
        <w:t xml:space="preserve"> both government</w:t>
      </w:r>
      <w:r w:rsidR="001D3843">
        <w:t>s</w:t>
      </w:r>
      <w:r w:rsidRPr="006D1890">
        <w:t xml:space="preserve"> and others</w:t>
      </w:r>
      <w:r w:rsidR="001D3843">
        <w:t>,</w:t>
      </w:r>
      <w:r w:rsidRPr="006D1890">
        <w:t xml:space="preserve"> submitted their commitments after </w:t>
      </w:r>
      <w:r w:rsidR="001D3843">
        <w:t>the Conference</w:t>
      </w:r>
      <w:r w:rsidRPr="006D1890">
        <w:t xml:space="preserve">, increasing the total number of commitments by 23% (from 101 to 124) and the number of stakeholders by 17% (from 34 to 40). </w:t>
      </w:r>
    </w:p>
    <w:p w14:paraId="11C0E8C8" w14:textId="7775E4CD" w:rsidR="00393568" w:rsidRPr="006D1890" w:rsidRDefault="00393568" w:rsidP="00393568">
      <w:pPr>
        <w:pStyle w:val="SingleTxtG"/>
      </w:pPr>
      <w:r w:rsidRPr="006D1890">
        <w:t>14.</w:t>
      </w:r>
      <w:r w:rsidR="001D3843">
        <w:tab/>
      </w:r>
      <w:r w:rsidRPr="006D1890">
        <w:t xml:space="preserve">Geographical distribution of the participating </w:t>
      </w:r>
      <w:r w:rsidR="001D3843">
        <w:t>G</w:t>
      </w:r>
      <w:r w:rsidRPr="006D1890">
        <w:t xml:space="preserve">overnments is fairly even, with 18 </w:t>
      </w:r>
      <w:r w:rsidR="001D3843">
        <w:t>European Union</w:t>
      </w:r>
      <w:r w:rsidRPr="006D1890">
        <w:t xml:space="preserve"> member States, 1 non-</w:t>
      </w:r>
      <w:r w:rsidR="001D3843">
        <w:t>European Union</w:t>
      </w:r>
      <w:r w:rsidRPr="006D1890">
        <w:t xml:space="preserve"> country from Western Europe, 3 countries from the Eastern Europe (non-</w:t>
      </w:r>
      <w:r w:rsidR="001D3843">
        <w:t>European Union</w:t>
      </w:r>
      <w:r w:rsidRPr="006D1890">
        <w:t>), 2 countries</w:t>
      </w:r>
      <w:r w:rsidR="001D3843">
        <w:t xml:space="preserve"> of the Caucasus</w:t>
      </w:r>
      <w:r w:rsidRPr="006D1890">
        <w:t xml:space="preserve"> and 3 Central Asian </w:t>
      </w:r>
      <w:r w:rsidR="001D3843">
        <w:t>S</w:t>
      </w:r>
      <w:r w:rsidRPr="006D1890">
        <w:t>tates</w:t>
      </w:r>
      <w:r w:rsidR="00F3776D">
        <w:t xml:space="preserve"> </w:t>
      </w:r>
      <w:r w:rsidR="00F3776D" w:rsidRPr="006D1890">
        <w:t>(</w:t>
      </w:r>
      <w:r w:rsidR="00CC3874" w:rsidRPr="00CC3874">
        <w:t>annex</w:t>
      </w:r>
      <w:r w:rsidR="00CC3874">
        <w:t>,</w:t>
      </w:r>
      <w:r w:rsidR="00CC3874" w:rsidRPr="00CC3874">
        <w:t xml:space="preserve"> </w:t>
      </w:r>
      <w:r w:rsidR="00F3776D" w:rsidRPr="006D1890">
        <w:t xml:space="preserve">figure </w:t>
      </w:r>
      <w:r w:rsidR="005B3891">
        <w:t>I</w:t>
      </w:r>
      <w:r w:rsidR="00F3776D" w:rsidRPr="006D1890">
        <w:t>)</w:t>
      </w:r>
      <w:r w:rsidRPr="006D1890">
        <w:t xml:space="preserve">. The two </w:t>
      </w:r>
      <w:proofErr w:type="spellStart"/>
      <w:r w:rsidRPr="006D1890">
        <w:t>subregions</w:t>
      </w:r>
      <w:proofErr w:type="spellEnd"/>
      <w:r w:rsidRPr="006D1890">
        <w:t xml:space="preserve"> particularly absent are South-Eastern Europe (non-</w:t>
      </w:r>
      <w:r w:rsidR="001D3843">
        <w:t>European Union</w:t>
      </w:r>
      <w:r w:rsidRPr="006D1890">
        <w:t>) and North America.</w:t>
      </w:r>
    </w:p>
    <w:p w14:paraId="30AEFF13" w14:textId="77777777" w:rsidR="00393568" w:rsidRPr="006D1890" w:rsidRDefault="00393568" w:rsidP="00393568">
      <w:pPr>
        <w:pStyle w:val="H23G"/>
        <w:rPr>
          <w:highlight w:val="yellow"/>
        </w:rPr>
      </w:pPr>
      <w:r w:rsidRPr="006D1890">
        <w:tab/>
      </w:r>
      <w:r w:rsidRPr="006D1890">
        <w:tab/>
        <w:t>Focus areas</w:t>
      </w:r>
      <w:r w:rsidRPr="006D1890">
        <w:rPr>
          <w:rStyle w:val="FootnoteReference"/>
        </w:rPr>
        <w:footnoteReference w:id="7"/>
      </w:r>
      <w:r w:rsidRPr="006D1890">
        <w:rPr>
          <w:highlight w:val="yellow"/>
        </w:rPr>
        <w:t xml:space="preserve"> </w:t>
      </w:r>
    </w:p>
    <w:p w14:paraId="447C3B24" w14:textId="00D77740" w:rsidR="00393568" w:rsidRPr="006D1890" w:rsidRDefault="00393568" w:rsidP="00393568">
      <w:pPr>
        <w:pStyle w:val="SingleTxtG"/>
      </w:pPr>
      <w:r w:rsidRPr="006D1890">
        <w:t>15.</w:t>
      </w:r>
      <w:r w:rsidRPr="006D1890">
        <w:tab/>
        <w:t xml:space="preserve">The distribution of 124 commitments across the three objectives and nine subsequent focus areas of the </w:t>
      </w:r>
      <w:r w:rsidR="00F95C74">
        <w:t xml:space="preserve">Strategic </w:t>
      </w:r>
      <w:r w:rsidRPr="006D1890">
        <w:t>Framework</w:t>
      </w:r>
      <w:r w:rsidR="00F3776D">
        <w:t xml:space="preserve"> </w:t>
      </w:r>
      <w:r w:rsidRPr="006D1890">
        <w:t xml:space="preserve">offers </w:t>
      </w:r>
      <w:r w:rsidR="00ED21F5">
        <w:t xml:space="preserve">an </w:t>
      </w:r>
      <w:r w:rsidRPr="006D1890">
        <w:t>interesting insight into the regional approaches</w:t>
      </w:r>
      <w:r w:rsidR="00CC3874">
        <w:t xml:space="preserve"> </w:t>
      </w:r>
      <w:r w:rsidR="00CC3874" w:rsidRPr="006D1890">
        <w:t>(</w:t>
      </w:r>
      <w:r w:rsidR="00CC3874">
        <w:t xml:space="preserve">annex, </w:t>
      </w:r>
      <w:r w:rsidR="00CC3874" w:rsidRPr="006D1890">
        <w:t xml:space="preserve">figure </w:t>
      </w:r>
      <w:r w:rsidR="005B3891">
        <w:t>II</w:t>
      </w:r>
      <w:r w:rsidR="00CC3874" w:rsidRPr="006D1890">
        <w:t>)</w:t>
      </w:r>
      <w:r w:rsidRPr="006D1890">
        <w:t xml:space="preserve">. </w:t>
      </w:r>
      <w:r w:rsidR="00F95C74">
        <w:t xml:space="preserve">Eleven </w:t>
      </w:r>
      <w:r w:rsidRPr="006D1890">
        <w:t>commitments are positioned by the stakeholders as “overarching”; the rest refer to one or more focus areas under</w:t>
      </w:r>
      <w:r w:rsidR="00F95C74">
        <w:t xml:space="preserve"> </w:t>
      </w:r>
      <w:r w:rsidR="00B97F30">
        <w:t xml:space="preserve">the </w:t>
      </w:r>
      <w:r w:rsidRPr="006D1890">
        <w:t xml:space="preserve">three objectives. </w:t>
      </w:r>
      <w:r w:rsidR="00F95C74">
        <w:t xml:space="preserve">Of </w:t>
      </w:r>
      <w:r w:rsidRPr="006D1890">
        <w:t xml:space="preserve">those, focus areas under </w:t>
      </w:r>
      <w:r w:rsidR="00F95C74">
        <w:t>o</w:t>
      </w:r>
      <w:r w:rsidRPr="006D1890">
        <w:t>bjective II</w:t>
      </w:r>
      <w:r w:rsidR="00F95C74">
        <w:t>,</w:t>
      </w:r>
      <w:r w:rsidRPr="006D1890">
        <w:t xml:space="preserve"> “Enhanced economic progress”</w:t>
      </w:r>
      <w:r w:rsidR="00F95C74">
        <w:t>,</w:t>
      </w:r>
      <w:r w:rsidRPr="006D1890">
        <w:t xml:space="preserve"> are referred in 76 (61%)</w:t>
      </w:r>
      <w:r w:rsidR="00F95C74">
        <w:t xml:space="preserve"> of the commitments.</w:t>
      </w:r>
      <w:r w:rsidRPr="006D1890">
        <w:rPr>
          <w:rStyle w:val="FootnoteReference"/>
        </w:rPr>
        <w:footnoteReference w:id="8"/>
      </w:r>
      <w:r w:rsidRPr="006D1890">
        <w:t xml:space="preserve"> Objective III</w:t>
      </w:r>
      <w:r w:rsidR="00F95C74">
        <w:t>,</w:t>
      </w:r>
      <w:r w:rsidRPr="006D1890">
        <w:t xml:space="preserve"> “Improved human well-being and social equity”</w:t>
      </w:r>
      <w:r w:rsidR="00F95C74">
        <w:t>,</w:t>
      </w:r>
      <w:r w:rsidRPr="006D1890">
        <w:t xml:space="preserve"> is </w:t>
      </w:r>
      <w:r w:rsidR="00F95C74">
        <w:t xml:space="preserve">the </w:t>
      </w:r>
      <w:r w:rsidRPr="006D1890">
        <w:t>least mentioned</w:t>
      </w:r>
      <w:r w:rsidR="00F95C74">
        <w:t>, with only</w:t>
      </w:r>
      <w:r w:rsidRPr="006D1890">
        <w:t xml:space="preserve"> 36 commitments (29%)</w:t>
      </w:r>
      <w:r w:rsidR="00F95C74">
        <w:t xml:space="preserve"> referring to this area</w:t>
      </w:r>
      <w:r w:rsidRPr="006D1890">
        <w:t xml:space="preserve">. </w:t>
      </w:r>
      <w:r w:rsidR="00F95C74">
        <w:t xml:space="preserve">Fifty-one </w:t>
      </w:r>
      <w:r w:rsidRPr="006D1890">
        <w:t xml:space="preserve">commitments (41%) </w:t>
      </w:r>
      <w:r w:rsidR="00F95C74">
        <w:t xml:space="preserve">are </w:t>
      </w:r>
      <w:r w:rsidRPr="006D1890">
        <w:t>aim</w:t>
      </w:r>
      <w:r w:rsidR="00F95C74">
        <w:t>ed</w:t>
      </w:r>
      <w:r w:rsidRPr="006D1890">
        <w:t xml:space="preserve"> </w:t>
      </w:r>
      <w:r w:rsidR="00F95C74">
        <w:t xml:space="preserve">at </w:t>
      </w:r>
      <w:r w:rsidRPr="006D1890">
        <w:t>focus areas under Objective I</w:t>
      </w:r>
      <w:r w:rsidR="00F95C74">
        <w:t>, “</w:t>
      </w:r>
      <w:r w:rsidRPr="006D1890">
        <w:t>Reduced environmental risks and ecological scarcities”.</w:t>
      </w:r>
    </w:p>
    <w:p w14:paraId="6CF5B99B" w14:textId="0DE45E19" w:rsidR="00393568" w:rsidRPr="006D1890" w:rsidRDefault="00393568" w:rsidP="00393568">
      <w:pPr>
        <w:pStyle w:val="SingleTxtG"/>
      </w:pPr>
      <w:r w:rsidRPr="006D1890">
        <w:t>16.</w:t>
      </w:r>
      <w:r w:rsidRPr="006D1890">
        <w:tab/>
      </w:r>
      <w:r w:rsidR="00F95C74">
        <w:t>An in-</w:t>
      </w:r>
      <w:r w:rsidRPr="006D1890">
        <w:t xml:space="preserve">depth look into the commitments’ focus areas reveals </w:t>
      </w:r>
      <w:r w:rsidR="00F95C74">
        <w:t xml:space="preserve">that </w:t>
      </w:r>
      <w:r w:rsidRPr="006D1890">
        <w:t xml:space="preserve">the theme of greening production and consumption patterns (focus areas II.5 and II.4) </w:t>
      </w:r>
      <w:r w:rsidR="00F95C74">
        <w:t xml:space="preserve">is </w:t>
      </w:r>
      <w:r w:rsidRPr="006D1890">
        <w:t xml:space="preserve">quite prominent overall </w:t>
      </w:r>
      <w:r w:rsidR="00F95C74">
        <w:t xml:space="preserve">and is particularly prominent among </w:t>
      </w:r>
      <w:r w:rsidRPr="006D1890">
        <w:t xml:space="preserve">the commitments </w:t>
      </w:r>
      <w:r w:rsidR="00F95C74">
        <w:t>made by Governments</w:t>
      </w:r>
      <w:r w:rsidRPr="006D1890">
        <w:t xml:space="preserve">. </w:t>
      </w:r>
      <w:r w:rsidR="00F95C74">
        <w:t>F</w:t>
      </w:r>
      <w:r w:rsidRPr="006D1890">
        <w:t>ocus area III.7</w:t>
      </w:r>
      <w:r w:rsidR="00F95C74">
        <w:t>,</w:t>
      </w:r>
      <w:r w:rsidRPr="006D1890">
        <w:t xml:space="preserve"> “green and decent jobs”</w:t>
      </w:r>
      <w:r w:rsidR="00F95C74">
        <w:t>,</w:t>
      </w:r>
      <w:r w:rsidRPr="006D1890">
        <w:t xml:space="preserve"> is the least addressed, closely followed by II.6</w:t>
      </w:r>
      <w:r w:rsidR="00F95C74">
        <w:t>,</w:t>
      </w:r>
      <w:r w:rsidRPr="006D1890">
        <w:t xml:space="preserve"> “green and fair trade”. The ranking of the focus areas by the frequency of mention is as follows:</w:t>
      </w:r>
    </w:p>
    <w:p w14:paraId="29DE4DDF" w14:textId="05EBCE7B" w:rsidR="00393568" w:rsidRPr="006D1890" w:rsidRDefault="00393568" w:rsidP="004734DF">
      <w:pPr>
        <w:pStyle w:val="SingleTxtG"/>
        <w:ind w:firstLine="567"/>
      </w:pPr>
      <w:r w:rsidRPr="006D1890">
        <w:t>(a)</w:t>
      </w:r>
      <w:r w:rsidRPr="006D1890">
        <w:tab/>
      </w:r>
      <w:r w:rsidR="00F95C74" w:rsidRPr="00B67A7C">
        <w:rPr>
          <w:b/>
        </w:rPr>
        <w:t xml:space="preserve">Focus area </w:t>
      </w:r>
      <w:r w:rsidRPr="00B67A7C">
        <w:rPr>
          <w:b/>
        </w:rPr>
        <w:t xml:space="preserve">II.5 </w:t>
      </w:r>
      <w:r w:rsidR="00F95C74" w:rsidRPr="007C389C">
        <w:t>(</w:t>
      </w:r>
      <w:r w:rsidRPr="00F95C74">
        <w:t>Develop clean physical capital for sustainable production patterns</w:t>
      </w:r>
      <w:r w:rsidR="00F95C74" w:rsidRPr="00B67A7C">
        <w:t>)</w:t>
      </w:r>
      <w:r w:rsidR="00F95C74">
        <w:t xml:space="preserve"> – </w:t>
      </w:r>
      <w:r w:rsidRPr="006D1890">
        <w:t>49 commitments</w:t>
      </w:r>
      <w:r w:rsidR="00F95C74">
        <w:t>,</w:t>
      </w:r>
      <w:r w:rsidRPr="006D1890">
        <w:t xml:space="preserve"> 37 </w:t>
      </w:r>
      <w:r w:rsidR="00F95C74">
        <w:t xml:space="preserve">of them </w:t>
      </w:r>
      <w:r w:rsidRPr="006D1890">
        <w:t xml:space="preserve">from </w:t>
      </w:r>
      <w:r w:rsidR="00F95C74">
        <w:t>G</w:t>
      </w:r>
      <w:r w:rsidRPr="006D1890">
        <w:t>overnments;</w:t>
      </w:r>
    </w:p>
    <w:p w14:paraId="505E207A" w14:textId="305F4B2A" w:rsidR="00393568" w:rsidRPr="006D1890" w:rsidRDefault="00393568" w:rsidP="004734DF">
      <w:pPr>
        <w:pStyle w:val="SingleTxtG"/>
        <w:ind w:firstLine="567"/>
      </w:pPr>
      <w:r w:rsidRPr="006D1890">
        <w:t>(b)</w:t>
      </w:r>
      <w:r w:rsidRPr="006D1890">
        <w:tab/>
      </w:r>
      <w:r w:rsidR="00F95C74" w:rsidRPr="00B67A7C">
        <w:rPr>
          <w:b/>
        </w:rPr>
        <w:t xml:space="preserve">Focus area </w:t>
      </w:r>
      <w:r w:rsidRPr="00B67A7C">
        <w:rPr>
          <w:b/>
        </w:rPr>
        <w:t>II.4</w:t>
      </w:r>
      <w:r w:rsidR="00F95C74" w:rsidRPr="00F95C74">
        <w:t xml:space="preserve"> </w:t>
      </w:r>
      <w:r w:rsidR="00F95C74">
        <w:t>(</w:t>
      </w:r>
      <w:r w:rsidRPr="00F95C74">
        <w:t>Shift consumer behaviours towards sustainable consumption patterns</w:t>
      </w:r>
      <w:r w:rsidR="00F95C74">
        <w:t>)</w:t>
      </w:r>
      <w:r w:rsidRPr="006D1890">
        <w:t xml:space="preserve"> </w:t>
      </w:r>
      <w:r w:rsidR="00F95C74">
        <w:t xml:space="preserve">– </w:t>
      </w:r>
      <w:r w:rsidRPr="006D1890">
        <w:t>42</w:t>
      </w:r>
      <w:r w:rsidR="00F95C74">
        <w:t xml:space="preserve"> commitments, </w:t>
      </w:r>
      <w:r w:rsidRPr="006D1890">
        <w:t>29</w:t>
      </w:r>
      <w:r w:rsidR="00F95C74">
        <w:t xml:space="preserve"> of them from Governments</w:t>
      </w:r>
      <w:r w:rsidRPr="006D1890">
        <w:t>;</w:t>
      </w:r>
    </w:p>
    <w:p w14:paraId="4610D890" w14:textId="345CC965" w:rsidR="00393568" w:rsidRPr="006D1890" w:rsidRDefault="004734DF" w:rsidP="004734DF">
      <w:pPr>
        <w:pStyle w:val="SingleTxtG"/>
        <w:ind w:firstLine="567"/>
      </w:pPr>
      <w:r w:rsidRPr="006D1890">
        <w:t>(c)</w:t>
      </w:r>
      <w:r w:rsidRPr="006D1890">
        <w:tab/>
      </w:r>
      <w:r w:rsidR="00F95C74" w:rsidRPr="00B67A7C">
        <w:rPr>
          <w:b/>
        </w:rPr>
        <w:t xml:space="preserve">Focus area </w:t>
      </w:r>
      <w:r w:rsidR="00393568" w:rsidRPr="00B67A7C">
        <w:rPr>
          <w:b/>
        </w:rPr>
        <w:t>I.2</w:t>
      </w:r>
      <w:r w:rsidR="00393568" w:rsidRPr="00F95C74">
        <w:t xml:space="preserve"> </w:t>
      </w:r>
      <w:r w:rsidR="00F95C74">
        <w:t>(</w:t>
      </w:r>
      <w:r w:rsidR="00393568" w:rsidRPr="00F95C74">
        <w:t>Promote the internalization of negative externalities and the sustainable use of natural capital</w:t>
      </w:r>
      <w:r w:rsidR="00F95C74">
        <w:t>)</w:t>
      </w:r>
      <w:r w:rsidR="00393568" w:rsidRPr="006D1890">
        <w:t xml:space="preserve"> </w:t>
      </w:r>
      <w:r w:rsidR="00F95C74">
        <w:t xml:space="preserve">– </w:t>
      </w:r>
      <w:r w:rsidR="00393568" w:rsidRPr="006D1890">
        <w:t>32</w:t>
      </w:r>
      <w:r w:rsidR="00F95C74">
        <w:t xml:space="preserve"> commitments,</w:t>
      </w:r>
      <w:r w:rsidR="00393568" w:rsidRPr="006D1890">
        <w:t xml:space="preserve"> 16</w:t>
      </w:r>
      <w:r w:rsidR="00F95C74">
        <w:t xml:space="preserve"> of them from Governments</w:t>
      </w:r>
      <w:r w:rsidR="00393568" w:rsidRPr="006D1890">
        <w:t>;</w:t>
      </w:r>
    </w:p>
    <w:p w14:paraId="0F50E9E7" w14:textId="505B51FC" w:rsidR="00393568" w:rsidRPr="006D1890" w:rsidRDefault="004734DF" w:rsidP="004734DF">
      <w:pPr>
        <w:pStyle w:val="SingleTxtG"/>
        <w:ind w:firstLine="567"/>
      </w:pPr>
      <w:r w:rsidRPr="006D1890">
        <w:t>(d)</w:t>
      </w:r>
      <w:r w:rsidRPr="006D1890">
        <w:tab/>
      </w:r>
      <w:r w:rsidR="00F95C74">
        <w:rPr>
          <w:b/>
        </w:rPr>
        <w:t>Focus area I.1</w:t>
      </w:r>
      <w:r w:rsidR="00393568" w:rsidRPr="006D1890">
        <w:t xml:space="preserve"> </w:t>
      </w:r>
      <w:r w:rsidR="00F95C74">
        <w:t>(</w:t>
      </w:r>
      <w:r w:rsidR="00393568" w:rsidRPr="006D1890">
        <w:t>Improve the measurement and valuation of natural capital</w:t>
      </w:r>
      <w:r w:rsidR="00F95C74">
        <w:t>)</w:t>
      </w:r>
      <w:r w:rsidR="00B97F30">
        <w:t xml:space="preserve"> –</w:t>
      </w:r>
      <w:r w:rsidR="00393568" w:rsidRPr="006D1890">
        <w:t xml:space="preserve"> 25</w:t>
      </w:r>
      <w:r w:rsidR="00B97F30">
        <w:t xml:space="preserve"> commitments,</w:t>
      </w:r>
      <w:r w:rsidR="00393568" w:rsidRPr="006D1890">
        <w:t xml:space="preserve"> 12</w:t>
      </w:r>
      <w:r w:rsidR="00B97F30">
        <w:t xml:space="preserve"> of them from Governments</w:t>
      </w:r>
      <w:r w:rsidR="00393568" w:rsidRPr="006D1890">
        <w:t>;</w:t>
      </w:r>
    </w:p>
    <w:p w14:paraId="2E29F160" w14:textId="666686D3" w:rsidR="00393568" w:rsidRPr="006D1890" w:rsidRDefault="004734DF" w:rsidP="004734DF">
      <w:pPr>
        <w:pStyle w:val="SingleTxtG"/>
        <w:ind w:firstLine="567"/>
      </w:pPr>
      <w:r w:rsidRPr="006D1890">
        <w:t>(e)</w:t>
      </w:r>
      <w:r w:rsidRPr="006D1890">
        <w:tab/>
      </w:r>
      <w:r w:rsidR="00B97F30" w:rsidRPr="00B67A7C">
        <w:rPr>
          <w:b/>
        </w:rPr>
        <w:t>Focus area</w:t>
      </w:r>
      <w:r w:rsidR="00B97F30">
        <w:t xml:space="preserve"> </w:t>
      </w:r>
      <w:r w:rsidR="00393568" w:rsidRPr="00B67A7C">
        <w:rPr>
          <w:b/>
        </w:rPr>
        <w:t>III.9</w:t>
      </w:r>
      <w:r w:rsidR="00393568" w:rsidRPr="006D1890">
        <w:t xml:space="preserve"> </w:t>
      </w:r>
      <w:r w:rsidR="00B97F30">
        <w:t>(</w:t>
      </w:r>
      <w:r w:rsidR="00393568" w:rsidRPr="006D1890">
        <w:t>Promote public participation and education for sustainable development</w:t>
      </w:r>
      <w:r w:rsidR="00B97F30">
        <w:t>) –</w:t>
      </w:r>
      <w:r w:rsidR="00393568" w:rsidRPr="006D1890">
        <w:t xml:space="preserve"> 19</w:t>
      </w:r>
      <w:r w:rsidR="00B97F30">
        <w:t xml:space="preserve"> commitments,</w:t>
      </w:r>
      <w:r w:rsidR="00393568" w:rsidRPr="006D1890">
        <w:t xml:space="preserve"> 9</w:t>
      </w:r>
      <w:r w:rsidR="00B97F30">
        <w:t xml:space="preserve"> of them from Governments</w:t>
      </w:r>
      <w:r w:rsidR="00393568" w:rsidRPr="006D1890">
        <w:t>;</w:t>
      </w:r>
    </w:p>
    <w:p w14:paraId="1A1DBB08" w14:textId="588058F0" w:rsidR="00393568" w:rsidRPr="006D1890" w:rsidRDefault="004734DF" w:rsidP="004734DF">
      <w:pPr>
        <w:pStyle w:val="SingleTxtG"/>
        <w:ind w:firstLine="567"/>
      </w:pPr>
      <w:r w:rsidRPr="006D1890">
        <w:lastRenderedPageBreak/>
        <w:t>(f)</w:t>
      </w:r>
      <w:r w:rsidRPr="006D1890">
        <w:tab/>
      </w:r>
      <w:r w:rsidR="00B97F30" w:rsidRPr="00B67A7C">
        <w:rPr>
          <w:b/>
        </w:rPr>
        <w:t xml:space="preserve">Focus area </w:t>
      </w:r>
      <w:r w:rsidR="00393568" w:rsidRPr="00B67A7C">
        <w:rPr>
          <w:b/>
        </w:rPr>
        <w:t>III.8</w:t>
      </w:r>
      <w:r w:rsidR="00393568" w:rsidRPr="006D1890">
        <w:t xml:space="preserve"> </w:t>
      </w:r>
      <w:r w:rsidR="00B97F30">
        <w:t>(</w:t>
      </w:r>
      <w:r w:rsidR="00393568" w:rsidRPr="006D1890">
        <w:t>Improve access to services, healthy living and well-being</w:t>
      </w:r>
      <w:r w:rsidR="00B97F30">
        <w:t>) –</w:t>
      </w:r>
      <w:r w:rsidR="00393568" w:rsidRPr="006D1890">
        <w:t xml:space="preserve"> 17</w:t>
      </w:r>
      <w:r w:rsidR="00B97F30">
        <w:t xml:space="preserve"> commitments,</w:t>
      </w:r>
      <w:r w:rsidR="00393568" w:rsidRPr="006D1890">
        <w:t xml:space="preserve"> 10</w:t>
      </w:r>
      <w:r w:rsidR="00B97F30">
        <w:t xml:space="preserve"> of them from Governments</w:t>
      </w:r>
      <w:r w:rsidR="00393568" w:rsidRPr="006D1890">
        <w:t>;</w:t>
      </w:r>
    </w:p>
    <w:p w14:paraId="019CDC81" w14:textId="45A43CEF" w:rsidR="00393568" w:rsidRPr="006D1890" w:rsidRDefault="004734DF" w:rsidP="004734DF">
      <w:pPr>
        <w:pStyle w:val="SingleTxtG"/>
        <w:ind w:firstLine="567"/>
      </w:pPr>
      <w:r w:rsidRPr="006D1890">
        <w:t>(g)</w:t>
      </w:r>
      <w:r w:rsidRPr="006D1890">
        <w:tab/>
      </w:r>
      <w:r w:rsidR="00B97F30" w:rsidRPr="00B67A7C">
        <w:rPr>
          <w:b/>
        </w:rPr>
        <w:t xml:space="preserve">Focus area </w:t>
      </w:r>
      <w:r w:rsidR="00393568" w:rsidRPr="00B67A7C">
        <w:rPr>
          <w:b/>
        </w:rPr>
        <w:t>I.3</w:t>
      </w:r>
      <w:r w:rsidR="00393568" w:rsidRPr="006D1890">
        <w:t xml:space="preserve"> </w:t>
      </w:r>
      <w:r w:rsidR="00B97F30">
        <w:t>(</w:t>
      </w:r>
      <w:r w:rsidR="00393568" w:rsidRPr="006D1890">
        <w:t>Enhance ecosystems and ecosystem services as part of ecological infrastructure</w:t>
      </w:r>
      <w:r w:rsidR="00B97F30">
        <w:t>)</w:t>
      </w:r>
      <w:r w:rsidR="00393568" w:rsidRPr="006D1890">
        <w:t xml:space="preserve"> </w:t>
      </w:r>
      <w:r w:rsidR="00B97F30">
        <w:t xml:space="preserve">– </w:t>
      </w:r>
      <w:r w:rsidR="00393568" w:rsidRPr="006D1890">
        <w:t>16</w:t>
      </w:r>
      <w:r w:rsidR="00B97F30">
        <w:t xml:space="preserve"> commitments,</w:t>
      </w:r>
      <w:r w:rsidR="00393568" w:rsidRPr="006D1890">
        <w:t xml:space="preserve"> 9</w:t>
      </w:r>
      <w:r w:rsidR="00B97F30">
        <w:t xml:space="preserve"> of them from Governments</w:t>
      </w:r>
      <w:r w:rsidR="00393568" w:rsidRPr="006D1890">
        <w:t>;</w:t>
      </w:r>
    </w:p>
    <w:p w14:paraId="79C3F5FC" w14:textId="04E4AAE3" w:rsidR="00393568" w:rsidRPr="006D1890" w:rsidRDefault="004734DF" w:rsidP="004734DF">
      <w:pPr>
        <w:pStyle w:val="SingleTxtG"/>
        <w:ind w:firstLine="567"/>
      </w:pPr>
      <w:r w:rsidRPr="006D1890">
        <w:t>(h)</w:t>
      </w:r>
      <w:r w:rsidRPr="006D1890">
        <w:tab/>
      </w:r>
      <w:r w:rsidR="00B97F30" w:rsidRPr="00B67A7C">
        <w:rPr>
          <w:b/>
        </w:rPr>
        <w:t xml:space="preserve">Focus area </w:t>
      </w:r>
      <w:r w:rsidR="00393568" w:rsidRPr="00B67A7C">
        <w:rPr>
          <w:b/>
        </w:rPr>
        <w:t>II.6</w:t>
      </w:r>
      <w:r w:rsidR="00B97F30">
        <w:t xml:space="preserve"> (</w:t>
      </w:r>
      <w:r w:rsidR="00393568" w:rsidRPr="006D1890">
        <w:t>Promote green and fair trade</w:t>
      </w:r>
      <w:r w:rsidR="00B97F30">
        <w:t>)</w:t>
      </w:r>
      <w:r w:rsidR="00393568" w:rsidRPr="006D1890">
        <w:t xml:space="preserve"> </w:t>
      </w:r>
      <w:r w:rsidR="00B97F30">
        <w:t xml:space="preserve">– </w:t>
      </w:r>
      <w:r w:rsidR="00393568" w:rsidRPr="006D1890">
        <w:t>14</w:t>
      </w:r>
      <w:r w:rsidR="00B97F30">
        <w:t xml:space="preserve"> commitments,</w:t>
      </w:r>
      <w:r w:rsidR="00393568" w:rsidRPr="006D1890">
        <w:t xml:space="preserve"> 7</w:t>
      </w:r>
      <w:r w:rsidR="00B97F30">
        <w:t xml:space="preserve"> of them from Governments</w:t>
      </w:r>
      <w:r w:rsidR="00393568" w:rsidRPr="006D1890">
        <w:t>;</w:t>
      </w:r>
    </w:p>
    <w:p w14:paraId="6DC0BC6E" w14:textId="7249742E" w:rsidR="00393568" w:rsidRPr="006D1890" w:rsidRDefault="004734DF" w:rsidP="004734DF">
      <w:pPr>
        <w:pStyle w:val="SingleTxtG"/>
        <w:ind w:firstLine="567"/>
      </w:pPr>
      <w:r w:rsidRPr="006D1890">
        <w:t>(</w:t>
      </w:r>
      <w:proofErr w:type="spellStart"/>
      <w:r w:rsidRPr="006D1890">
        <w:t>i</w:t>
      </w:r>
      <w:proofErr w:type="spellEnd"/>
      <w:r w:rsidRPr="006D1890">
        <w:t>)</w:t>
      </w:r>
      <w:r w:rsidRPr="006D1890">
        <w:tab/>
      </w:r>
      <w:r w:rsidR="00B97F30" w:rsidRPr="00B67A7C">
        <w:rPr>
          <w:b/>
        </w:rPr>
        <w:t xml:space="preserve">Focus area </w:t>
      </w:r>
      <w:r w:rsidR="00393568" w:rsidRPr="00B67A7C">
        <w:rPr>
          <w:b/>
        </w:rPr>
        <w:t>III.7</w:t>
      </w:r>
      <w:r w:rsidR="00393568" w:rsidRPr="006D1890">
        <w:t xml:space="preserve"> </w:t>
      </w:r>
      <w:r w:rsidR="00B97F30">
        <w:t>(</w:t>
      </w:r>
      <w:r w:rsidR="00393568" w:rsidRPr="006D1890">
        <w:t>Increase green and decent jobs, while developing the necessary human capital</w:t>
      </w:r>
      <w:r w:rsidR="00B97F30">
        <w:t>)</w:t>
      </w:r>
      <w:r w:rsidR="00393568" w:rsidRPr="006D1890">
        <w:t xml:space="preserve"> </w:t>
      </w:r>
      <w:r w:rsidR="00B97F30">
        <w:t xml:space="preserve">– </w:t>
      </w:r>
      <w:r w:rsidR="00393568" w:rsidRPr="006D1890">
        <w:t>12</w:t>
      </w:r>
      <w:r w:rsidR="00B97F30">
        <w:t xml:space="preserve"> commitments,</w:t>
      </w:r>
      <w:r w:rsidR="00393568" w:rsidRPr="006D1890">
        <w:t xml:space="preserve"> 6</w:t>
      </w:r>
      <w:r w:rsidR="00B97F30">
        <w:t xml:space="preserve"> of them from Governments</w:t>
      </w:r>
      <w:r w:rsidR="00393568" w:rsidRPr="006D1890">
        <w:t>;</w:t>
      </w:r>
    </w:p>
    <w:p w14:paraId="1609C552" w14:textId="0C650CAE" w:rsidR="00393568" w:rsidRPr="006D1890" w:rsidRDefault="004734DF" w:rsidP="004734DF">
      <w:pPr>
        <w:pStyle w:val="SingleTxtG"/>
        <w:ind w:firstLine="567"/>
      </w:pPr>
      <w:r w:rsidRPr="006D1890">
        <w:t>(j)</w:t>
      </w:r>
      <w:r w:rsidRPr="006D1890">
        <w:tab/>
      </w:r>
      <w:r w:rsidR="00393568" w:rsidRPr="00B67A7C">
        <w:rPr>
          <w:b/>
        </w:rPr>
        <w:t>Overarching actions</w:t>
      </w:r>
      <w:r w:rsidR="00393568" w:rsidRPr="006D1890">
        <w:t xml:space="preserve"> </w:t>
      </w:r>
      <w:r w:rsidR="00B97F30">
        <w:t xml:space="preserve">– </w:t>
      </w:r>
      <w:r w:rsidR="00393568" w:rsidRPr="006D1890">
        <w:t>11</w:t>
      </w:r>
      <w:r w:rsidR="00B97F30">
        <w:t xml:space="preserve"> commitments, </w:t>
      </w:r>
      <w:r w:rsidR="00393568" w:rsidRPr="006D1890">
        <w:t>8</w:t>
      </w:r>
      <w:r w:rsidR="00B97F30">
        <w:t xml:space="preserve"> of them from Governments</w:t>
      </w:r>
      <w:r w:rsidR="00393568" w:rsidRPr="006D1890">
        <w:t>.</w:t>
      </w:r>
    </w:p>
    <w:p w14:paraId="0FE389EC" w14:textId="0DB4F131" w:rsidR="00393568" w:rsidRPr="006D1890" w:rsidRDefault="00393568" w:rsidP="004734DF">
      <w:pPr>
        <w:pStyle w:val="SingleTxtG"/>
      </w:pPr>
      <w:r w:rsidRPr="006D1890">
        <w:t>17.</w:t>
      </w:r>
      <w:r w:rsidRPr="006D1890">
        <w:tab/>
      </w:r>
      <w:r w:rsidR="00150610">
        <w:t xml:space="preserve">The three objectives are largely speaking environmental (objective I), economic (objective II), and social (objective III). </w:t>
      </w:r>
      <w:r w:rsidRPr="006D1890">
        <w:t>Th</w:t>
      </w:r>
      <w:r w:rsidR="00150610">
        <w:t>e</w:t>
      </w:r>
      <w:r w:rsidRPr="006D1890">
        <w:t xml:space="preserve"> bias </w:t>
      </w:r>
      <w:r w:rsidR="00150610">
        <w:t xml:space="preserve">noted </w:t>
      </w:r>
      <w:r w:rsidRPr="006D1890">
        <w:t xml:space="preserve">towards the “economic” component in the commitments is even more pronounced in government commitments: out of 87 commitments, </w:t>
      </w:r>
      <w:r w:rsidR="00150610">
        <w:t>o</w:t>
      </w:r>
      <w:r w:rsidRPr="006D1890">
        <w:t xml:space="preserve">bjective II is mentioned in 57 (66%), </w:t>
      </w:r>
      <w:r w:rsidR="00150610">
        <w:t>o</w:t>
      </w:r>
      <w:r w:rsidRPr="006D1890">
        <w:t xml:space="preserve">bjective I in 28 (32%) and </w:t>
      </w:r>
      <w:r w:rsidR="00150610">
        <w:t>o</w:t>
      </w:r>
      <w:r w:rsidRPr="006D1890">
        <w:t>bjective</w:t>
      </w:r>
      <w:r w:rsidR="00150610">
        <w:t> </w:t>
      </w:r>
      <w:r w:rsidRPr="006D1890">
        <w:t>III in 19 (22%). The pattern is different for the non-government</w:t>
      </w:r>
      <w:r w:rsidR="00150610">
        <w:t>al</w:t>
      </w:r>
      <w:r w:rsidRPr="006D1890">
        <w:t xml:space="preserve"> commitments</w:t>
      </w:r>
      <w:r w:rsidR="00ED21F5">
        <w:t>.</w:t>
      </w:r>
      <w:r w:rsidRPr="006D1890">
        <w:t xml:space="preserve"> </w:t>
      </w:r>
      <w:r w:rsidR="00ED21F5">
        <w:t>O</w:t>
      </w:r>
      <w:r w:rsidRPr="006D1890">
        <w:t xml:space="preserve">ut of 37 commitments, </w:t>
      </w:r>
      <w:r w:rsidR="00150610">
        <w:t>o</w:t>
      </w:r>
      <w:r w:rsidRPr="006D1890">
        <w:t xml:space="preserve">bjective I </w:t>
      </w:r>
      <w:proofErr w:type="gramStart"/>
      <w:r w:rsidRPr="006D1890">
        <w:t>is</w:t>
      </w:r>
      <w:proofErr w:type="gramEnd"/>
      <w:r w:rsidRPr="006D1890">
        <w:t xml:space="preserve"> </w:t>
      </w:r>
      <w:r w:rsidR="00150610">
        <w:t xml:space="preserve">the </w:t>
      </w:r>
      <w:r w:rsidRPr="006D1890">
        <w:t>leader</w:t>
      </w:r>
      <w:r w:rsidR="00150610">
        <w:t>,</w:t>
      </w:r>
      <w:r w:rsidRPr="006D1890">
        <w:t xml:space="preserve"> with 23 commitments referring to it (62%), followed by </w:t>
      </w:r>
      <w:r w:rsidR="00150610">
        <w:t>o</w:t>
      </w:r>
      <w:r w:rsidRPr="006D1890">
        <w:t>bjective II</w:t>
      </w:r>
      <w:r w:rsidR="00150610">
        <w:t>, with</w:t>
      </w:r>
      <w:r w:rsidRPr="006D1890">
        <w:t xml:space="preserve"> 18 </w:t>
      </w:r>
      <w:r w:rsidR="00150610">
        <w:t xml:space="preserve">commitments </w:t>
      </w:r>
      <w:r w:rsidRPr="006D1890">
        <w:t>(49%). Objective III is the least mentioned here</w:t>
      </w:r>
      <w:r w:rsidR="00150610">
        <w:t>,</w:t>
      </w:r>
      <w:r w:rsidRPr="006D1890">
        <w:t xml:space="preserve"> too, albeit by a slight margin</w:t>
      </w:r>
      <w:r w:rsidR="00150610">
        <w:t>,</w:t>
      </w:r>
      <w:r w:rsidRPr="006D1890">
        <w:t xml:space="preserve"> </w:t>
      </w:r>
      <w:r w:rsidR="00150610">
        <w:t xml:space="preserve">with </w:t>
      </w:r>
      <w:r w:rsidRPr="006D1890">
        <w:t xml:space="preserve">17 </w:t>
      </w:r>
      <w:r w:rsidR="00150610">
        <w:t xml:space="preserve">commitments mentioning this objective </w:t>
      </w:r>
      <w:r w:rsidRPr="006D1890">
        <w:t>(46%). The group of non-government</w:t>
      </w:r>
      <w:r w:rsidR="00150610">
        <w:t>al</w:t>
      </w:r>
      <w:r w:rsidRPr="006D1890">
        <w:t xml:space="preserve"> stakeholders is heterogeneous and relatively small, so any further breakdown of data is uninformative.</w:t>
      </w:r>
    </w:p>
    <w:p w14:paraId="272EDFE1" w14:textId="77777777" w:rsidR="00393568" w:rsidRPr="006D1890" w:rsidRDefault="004734DF" w:rsidP="004734DF">
      <w:pPr>
        <w:pStyle w:val="H23G"/>
        <w:rPr>
          <w:highlight w:val="yellow"/>
        </w:rPr>
      </w:pPr>
      <w:r w:rsidRPr="006D1890">
        <w:tab/>
      </w:r>
      <w:r w:rsidRPr="006D1890">
        <w:tab/>
      </w:r>
      <w:r w:rsidR="00393568" w:rsidRPr="006D1890">
        <w:t>Types of actions</w:t>
      </w:r>
      <w:r w:rsidR="00393568" w:rsidRPr="006D1890">
        <w:rPr>
          <w:rStyle w:val="FootnoteReference"/>
        </w:rPr>
        <w:footnoteReference w:id="9"/>
      </w:r>
      <w:r w:rsidR="00393568" w:rsidRPr="006D1890">
        <w:rPr>
          <w:highlight w:val="yellow"/>
        </w:rPr>
        <w:t xml:space="preserve"> </w:t>
      </w:r>
    </w:p>
    <w:p w14:paraId="4C4F769B" w14:textId="65067F94" w:rsidR="00393568" w:rsidRPr="006D1890" w:rsidRDefault="00393568" w:rsidP="004734DF">
      <w:pPr>
        <w:pStyle w:val="SingleTxtG"/>
      </w:pPr>
      <w:r w:rsidRPr="006D1890">
        <w:t>18.</w:t>
      </w:r>
      <w:r w:rsidRPr="006D1890">
        <w:tab/>
        <w:t xml:space="preserve">Reviewing the type of actions </w:t>
      </w:r>
      <w:r w:rsidR="00ED21F5">
        <w:t xml:space="preserve">among </w:t>
      </w:r>
      <w:r w:rsidRPr="006D1890">
        <w:t xml:space="preserve">the 124 commitments submitted to the Initiative </w:t>
      </w:r>
      <w:r w:rsidR="00ED21F5">
        <w:t xml:space="preserve">reveals another facet </w:t>
      </w:r>
      <w:r w:rsidRPr="006D1890">
        <w:t>of the approaches in use in the ECE region</w:t>
      </w:r>
      <w:r w:rsidR="00F3776D">
        <w:t xml:space="preserve"> </w:t>
      </w:r>
      <w:r w:rsidR="00F3776D" w:rsidRPr="006D1890">
        <w:t>(</w:t>
      </w:r>
      <w:r w:rsidR="00CC3874">
        <w:t xml:space="preserve">annex, </w:t>
      </w:r>
      <w:r w:rsidR="00CC3874" w:rsidRPr="006D1890">
        <w:t>figure</w:t>
      </w:r>
      <w:r w:rsidR="00F3776D" w:rsidRPr="006D1890">
        <w:t xml:space="preserve"> </w:t>
      </w:r>
      <w:r w:rsidR="005B3891">
        <w:t>III</w:t>
      </w:r>
      <w:r w:rsidR="00F3776D" w:rsidRPr="006D1890">
        <w:t>)</w:t>
      </w:r>
      <w:r w:rsidRPr="006D1890">
        <w:t>:</w:t>
      </w:r>
    </w:p>
    <w:p w14:paraId="1F85F72C" w14:textId="5923925F" w:rsidR="00393568" w:rsidRPr="006D1890" w:rsidRDefault="004734DF" w:rsidP="004734DF">
      <w:pPr>
        <w:pStyle w:val="SingleTxtG"/>
        <w:ind w:firstLine="567"/>
      </w:pPr>
      <w:r w:rsidRPr="006D1890">
        <w:t>(a)</w:t>
      </w:r>
      <w:r w:rsidRPr="006D1890">
        <w:tab/>
      </w:r>
      <w:r w:rsidR="00E50BCC" w:rsidRPr="00B67A7C">
        <w:rPr>
          <w:b/>
        </w:rPr>
        <w:t>L</w:t>
      </w:r>
      <w:r w:rsidR="00393568" w:rsidRPr="00B67A7C">
        <w:rPr>
          <w:b/>
        </w:rPr>
        <w:t>egal, regulatory and policy instruments</w:t>
      </w:r>
      <w:r w:rsidR="00E50BCC">
        <w:t xml:space="preserve"> – </w:t>
      </w:r>
      <w:r w:rsidR="00393568" w:rsidRPr="006D1890">
        <w:t>64 commitments</w:t>
      </w:r>
      <w:r w:rsidR="00E50BCC">
        <w:t>,</w:t>
      </w:r>
      <w:r w:rsidR="00393568" w:rsidRPr="006D1890">
        <w:t xml:space="preserve"> 55 from </w:t>
      </w:r>
      <w:r w:rsidR="00E50BCC">
        <w:t>G</w:t>
      </w:r>
      <w:r w:rsidR="00393568" w:rsidRPr="006D1890">
        <w:t>overnments;</w:t>
      </w:r>
    </w:p>
    <w:p w14:paraId="716804CF" w14:textId="14A7D6AF" w:rsidR="00393568" w:rsidRPr="006D1890" w:rsidRDefault="004734DF" w:rsidP="004734DF">
      <w:pPr>
        <w:pStyle w:val="SingleTxtG"/>
        <w:ind w:firstLine="567"/>
      </w:pPr>
      <w:r w:rsidRPr="006D1890">
        <w:t>(b)</w:t>
      </w:r>
      <w:r w:rsidRPr="006D1890">
        <w:tab/>
      </w:r>
      <w:r w:rsidR="00E50BCC" w:rsidRPr="00B67A7C">
        <w:rPr>
          <w:b/>
        </w:rPr>
        <w:t>E</w:t>
      </w:r>
      <w:r w:rsidR="00393568" w:rsidRPr="00B67A7C">
        <w:rPr>
          <w:b/>
        </w:rPr>
        <w:t>conom</w:t>
      </w:r>
      <w:r w:rsidR="009C7E0C">
        <w:rPr>
          <w:b/>
        </w:rPr>
        <w:t>ic</w:t>
      </w:r>
      <w:r w:rsidR="00393568" w:rsidRPr="00B67A7C">
        <w:rPr>
          <w:b/>
        </w:rPr>
        <w:t xml:space="preserve"> and fiscal instruments</w:t>
      </w:r>
      <w:r w:rsidR="00393568" w:rsidRPr="006D1890">
        <w:t xml:space="preserve"> </w:t>
      </w:r>
      <w:r w:rsidR="00E50BCC">
        <w:t xml:space="preserve">– </w:t>
      </w:r>
      <w:r w:rsidR="00393568" w:rsidRPr="006D1890">
        <w:t>29</w:t>
      </w:r>
      <w:r w:rsidR="00E50BCC">
        <w:t xml:space="preserve"> commitments, </w:t>
      </w:r>
      <w:r w:rsidR="00393568" w:rsidRPr="006D1890">
        <w:t>27</w:t>
      </w:r>
      <w:r w:rsidR="00E50BCC">
        <w:t xml:space="preserve"> from Governments</w:t>
      </w:r>
      <w:r w:rsidR="00393568" w:rsidRPr="006D1890">
        <w:t>;</w:t>
      </w:r>
    </w:p>
    <w:p w14:paraId="3E8D7162" w14:textId="79E29736" w:rsidR="00393568" w:rsidRPr="006D1890" w:rsidRDefault="00393568" w:rsidP="004734DF">
      <w:pPr>
        <w:pStyle w:val="SingleTxtG"/>
        <w:ind w:firstLine="567"/>
      </w:pPr>
      <w:r w:rsidRPr="006D1890">
        <w:t>(c)</w:t>
      </w:r>
      <w:r w:rsidR="004734DF" w:rsidRPr="006D1890">
        <w:tab/>
      </w:r>
      <w:r w:rsidR="00E50BCC" w:rsidRPr="00B67A7C">
        <w:rPr>
          <w:b/>
        </w:rPr>
        <w:t>I</w:t>
      </w:r>
      <w:r w:rsidRPr="00B67A7C">
        <w:rPr>
          <w:b/>
        </w:rPr>
        <w:t>nformation, education-based, capacity-building and voluntary instruments</w:t>
      </w:r>
      <w:r w:rsidRPr="006D1890">
        <w:t xml:space="preserve"> </w:t>
      </w:r>
      <w:r w:rsidR="00E50BCC">
        <w:t xml:space="preserve">– </w:t>
      </w:r>
      <w:r w:rsidRPr="006D1890">
        <w:t>74</w:t>
      </w:r>
      <w:r w:rsidR="00E50BCC">
        <w:t xml:space="preserve"> commitments,</w:t>
      </w:r>
      <w:r w:rsidRPr="006D1890">
        <w:t xml:space="preserve"> 41</w:t>
      </w:r>
      <w:r w:rsidR="00E50BCC">
        <w:t xml:space="preserve"> from Governments</w:t>
      </w:r>
      <w:r w:rsidRPr="006D1890">
        <w:t>.</w:t>
      </w:r>
    </w:p>
    <w:p w14:paraId="5343A3ED" w14:textId="44E5541A" w:rsidR="00393568" w:rsidRPr="006D1890" w:rsidRDefault="00393568" w:rsidP="004734DF">
      <w:pPr>
        <w:pStyle w:val="SingleTxtG"/>
      </w:pPr>
      <w:r w:rsidRPr="006D1890">
        <w:t>19.</w:t>
      </w:r>
      <w:r w:rsidRPr="006D1890">
        <w:tab/>
        <w:t xml:space="preserve">The </w:t>
      </w:r>
      <w:r w:rsidR="00ED21F5">
        <w:t>G</w:t>
      </w:r>
      <w:r w:rsidRPr="006D1890">
        <w:t>overnments hold a near</w:t>
      </w:r>
      <w:r w:rsidR="00E50BCC">
        <w:t xml:space="preserve"> </w:t>
      </w:r>
      <w:r w:rsidRPr="006D1890">
        <w:t xml:space="preserve">monopoly on </w:t>
      </w:r>
      <w:r w:rsidR="00E50BCC">
        <w:t xml:space="preserve">commitments to </w:t>
      </w:r>
      <w:r w:rsidRPr="006D1890">
        <w:t xml:space="preserve">actions </w:t>
      </w:r>
      <w:r w:rsidR="00ED21F5">
        <w:t xml:space="preserve">involving </w:t>
      </w:r>
      <w:r w:rsidR="009C7E0C">
        <w:t xml:space="preserve">economic and fiscal instruments and also predominate for commitments concerning </w:t>
      </w:r>
      <w:r w:rsidR="00ED21F5">
        <w:t>l</w:t>
      </w:r>
      <w:r w:rsidR="00ED21F5" w:rsidRPr="00B67A7C">
        <w:t>egal, regulatory and policy instruments</w:t>
      </w:r>
      <w:r w:rsidRPr="006D1890">
        <w:t>.</w:t>
      </w:r>
      <w:r w:rsidR="009C7E0C">
        <w:t xml:space="preserve"> However, </w:t>
      </w:r>
      <w:r w:rsidR="009C7E0C" w:rsidRPr="00B67A7C">
        <w:t>information, education-based, capacity-building and voluntary instruments</w:t>
      </w:r>
      <w:r w:rsidR="009C7E0C" w:rsidRPr="006D1890">
        <w:t xml:space="preserve"> </w:t>
      </w:r>
      <w:r w:rsidR="009C7E0C">
        <w:t xml:space="preserve">also form </w:t>
      </w:r>
      <w:r w:rsidR="00E50BCC">
        <w:t xml:space="preserve">the target of </w:t>
      </w:r>
      <w:r w:rsidR="009C7E0C">
        <w:t xml:space="preserve">numerous </w:t>
      </w:r>
      <w:r w:rsidR="00E50BCC">
        <w:t>G</w:t>
      </w:r>
      <w:r w:rsidRPr="006D1890">
        <w:t>overnment</w:t>
      </w:r>
      <w:r w:rsidR="00E50BCC">
        <w:t xml:space="preserve"> green economy actions</w:t>
      </w:r>
      <w:r w:rsidRPr="006D1890">
        <w:t xml:space="preserve"> in both </w:t>
      </w:r>
      <w:r w:rsidR="00E50BCC">
        <w:t>European Union</w:t>
      </w:r>
      <w:r w:rsidRPr="006D1890">
        <w:t xml:space="preserve"> and non-</w:t>
      </w:r>
      <w:r w:rsidR="00E50BCC">
        <w:t>European Union</w:t>
      </w:r>
      <w:r w:rsidRPr="006D1890">
        <w:t xml:space="preserve"> countries.</w:t>
      </w:r>
    </w:p>
    <w:p w14:paraId="64F4A771" w14:textId="77777777" w:rsidR="00393568" w:rsidRPr="006D1890" w:rsidRDefault="004734DF" w:rsidP="004734DF">
      <w:pPr>
        <w:pStyle w:val="H23G"/>
      </w:pPr>
      <w:r w:rsidRPr="006D1890">
        <w:tab/>
      </w:r>
      <w:r w:rsidRPr="006D1890">
        <w:tab/>
      </w:r>
      <w:r w:rsidR="00393568" w:rsidRPr="006D1890">
        <w:t>Economic sectors</w:t>
      </w:r>
      <w:r w:rsidR="00393568" w:rsidRPr="006D1890">
        <w:rPr>
          <w:rStyle w:val="FootnoteReference"/>
        </w:rPr>
        <w:footnoteReference w:id="10"/>
      </w:r>
      <w:r w:rsidR="00393568" w:rsidRPr="006D1890">
        <w:t xml:space="preserve"> </w:t>
      </w:r>
    </w:p>
    <w:p w14:paraId="18C88CEB" w14:textId="45594CD9" w:rsidR="00393568" w:rsidRPr="006D1890" w:rsidRDefault="00393568" w:rsidP="004734DF">
      <w:pPr>
        <w:pStyle w:val="SingleTxtG"/>
      </w:pPr>
      <w:r w:rsidRPr="006D1890">
        <w:t>20.</w:t>
      </w:r>
      <w:r w:rsidRPr="006D1890">
        <w:tab/>
        <w:t>The distribution of commitments across three broad categories (“economy-wide”, “cities”, and “sectors”) shows interesting characteristics</w:t>
      </w:r>
      <w:r w:rsidR="00F3776D">
        <w:t xml:space="preserve"> </w:t>
      </w:r>
      <w:r w:rsidR="00F3776D" w:rsidRPr="006D1890">
        <w:t>(</w:t>
      </w:r>
      <w:r w:rsidR="00CC3874">
        <w:t xml:space="preserve">annex, </w:t>
      </w:r>
      <w:r w:rsidR="00CC3874" w:rsidRPr="006D1890">
        <w:t>figure</w:t>
      </w:r>
      <w:r w:rsidR="00F3776D" w:rsidRPr="006D1890">
        <w:t xml:space="preserve"> </w:t>
      </w:r>
      <w:r w:rsidR="005B3891">
        <w:t>IV</w:t>
      </w:r>
      <w:r w:rsidR="00F3776D" w:rsidRPr="006D1890">
        <w:t>)</w:t>
      </w:r>
      <w:r w:rsidRPr="006D1890">
        <w:t xml:space="preserve">. First, “cities” are the least popular (10 commitments in total). </w:t>
      </w:r>
      <w:r w:rsidR="00D010D0">
        <w:t xml:space="preserve">Imprecise </w:t>
      </w:r>
      <w:r w:rsidRPr="006D1890">
        <w:t>definition</w:t>
      </w:r>
      <w:r w:rsidR="00D010D0">
        <w:t>s</w:t>
      </w:r>
      <w:r w:rsidRPr="006D1890">
        <w:t xml:space="preserve"> might be a</w:t>
      </w:r>
      <w:r w:rsidR="00D010D0">
        <w:t xml:space="preserve"> factor</w:t>
      </w:r>
      <w:r w:rsidRPr="006D1890">
        <w:t xml:space="preserve"> </w:t>
      </w:r>
      <w:r w:rsidR="00D010D0">
        <w:t xml:space="preserve">here, </w:t>
      </w:r>
      <w:r w:rsidRPr="006D1890">
        <w:t>as some commitments in</w:t>
      </w:r>
      <w:r w:rsidR="00D010D0">
        <w:t>,</w:t>
      </w:r>
      <w:r w:rsidRPr="006D1890">
        <w:t xml:space="preserve"> </w:t>
      </w:r>
      <w:r w:rsidR="00D010D0">
        <w:t xml:space="preserve">for example, the </w:t>
      </w:r>
      <w:r w:rsidRPr="006D1890">
        <w:t>urban transport or energy sectors</w:t>
      </w:r>
      <w:r w:rsidR="00D010D0">
        <w:t>,</w:t>
      </w:r>
      <w:r w:rsidRPr="006D1890">
        <w:t xml:space="preserve"> are not attributed to </w:t>
      </w:r>
      <w:r w:rsidR="00D010D0">
        <w:t xml:space="preserve">the </w:t>
      </w:r>
      <w:r w:rsidRPr="006D1890">
        <w:t>“cities” category.</w:t>
      </w:r>
    </w:p>
    <w:p w14:paraId="60D2D84E" w14:textId="3DE07FAC" w:rsidR="00393568" w:rsidRPr="00EE3CEC" w:rsidRDefault="00393568" w:rsidP="004734DF">
      <w:pPr>
        <w:pStyle w:val="SingleTxtG"/>
      </w:pPr>
      <w:r w:rsidRPr="006D1890">
        <w:t>21.</w:t>
      </w:r>
      <w:r w:rsidRPr="006D1890">
        <w:tab/>
      </w:r>
      <w:r w:rsidR="00D010D0">
        <w:t>A n</w:t>
      </w:r>
      <w:r w:rsidRPr="006D1890">
        <w:t xml:space="preserve">oticeable difference is observed between the commitments of government </w:t>
      </w:r>
      <w:r w:rsidR="00D010D0">
        <w:t xml:space="preserve">versus </w:t>
      </w:r>
      <w:r w:rsidRPr="006D1890">
        <w:t>non-government</w:t>
      </w:r>
      <w:r w:rsidR="00D010D0">
        <w:t>al</w:t>
      </w:r>
      <w:r w:rsidRPr="006D1890">
        <w:t xml:space="preserve"> groups of stakeholders </w:t>
      </w:r>
      <w:r w:rsidR="00D010D0">
        <w:t xml:space="preserve">in </w:t>
      </w:r>
      <w:r w:rsidRPr="006D1890">
        <w:t>addressing particular sectors: a</w:t>
      </w:r>
      <w:r w:rsidRPr="00B67A7C">
        <w:t xml:space="preserve"> typical governmental commitment </w:t>
      </w:r>
      <w:r w:rsidR="00D010D0">
        <w:t xml:space="preserve">generally </w:t>
      </w:r>
      <w:r w:rsidRPr="00B67A7C">
        <w:t xml:space="preserve">indicates </w:t>
      </w:r>
      <w:r w:rsidR="00D010D0">
        <w:t xml:space="preserve">only one </w:t>
      </w:r>
      <w:r w:rsidR="00EE3CEC">
        <w:t xml:space="preserve">or two </w:t>
      </w:r>
      <w:r w:rsidRPr="007C389C">
        <w:t>beneficiary sectors, while a typical non-governmental commitment refer</w:t>
      </w:r>
      <w:r w:rsidR="009C7E0C">
        <w:t>s</w:t>
      </w:r>
      <w:r w:rsidRPr="00EE3CEC">
        <w:t xml:space="preserve"> to </w:t>
      </w:r>
      <w:r w:rsidR="009C7E0C">
        <w:t xml:space="preserve">about </w:t>
      </w:r>
      <w:r w:rsidRPr="00EE3CEC">
        <w:t xml:space="preserve">six. </w:t>
      </w:r>
      <w:r w:rsidR="005A5E1B" w:rsidRPr="00EE3CEC">
        <w:t>Thus,</w:t>
      </w:r>
      <w:r w:rsidRPr="00EE3CEC">
        <w:t xml:space="preserve"> it makes sense to consider government and non-government</w:t>
      </w:r>
      <w:r w:rsidR="00D010D0">
        <w:t>al</w:t>
      </w:r>
      <w:r w:rsidRPr="00EE3CEC">
        <w:t xml:space="preserve"> commitments separately.</w:t>
      </w:r>
    </w:p>
    <w:p w14:paraId="13C10660" w14:textId="7917BCFB" w:rsidR="00393568" w:rsidRPr="00EE3CEC" w:rsidRDefault="00393568" w:rsidP="004734DF">
      <w:pPr>
        <w:pStyle w:val="SingleTxtG"/>
      </w:pPr>
      <w:r w:rsidRPr="00EE3CEC">
        <w:lastRenderedPageBreak/>
        <w:t>22.</w:t>
      </w:r>
      <w:r w:rsidRPr="00EE3CEC">
        <w:tab/>
      </w:r>
      <w:r w:rsidR="00152BC3">
        <w:t xml:space="preserve">Some </w:t>
      </w:r>
      <w:r w:rsidRPr="00EE3CEC">
        <w:t xml:space="preserve">61% of the government commitments are of </w:t>
      </w:r>
      <w:r w:rsidR="00152BC3">
        <w:t xml:space="preserve">an </w:t>
      </w:r>
      <w:r w:rsidRPr="00EE3CEC">
        <w:t>economy-wide nature</w:t>
      </w:r>
      <w:r w:rsidR="00D010D0">
        <w:t xml:space="preserve">, with </w:t>
      </w:r>
      <w:r w:rsidRPr="00EE3CEC">
        <w:t>12 of th</w:t>
      </w:r>
      <w:r w:rsidR="00D010D0">
        <w:t>em</w:t>
      </w:r>
      <w:r w:rsidRPr="00EE3CEC">
        <w:t xml:space="preserve"> also indicat</w:t>
      </w:r>
      <w:r w:rsidR="00D010D0">
        <w:t>ing</w:t>
      </w:r>
      <w:r w:rsidRPr="00EE3CEC">
        <w:t xml:space="preserve"> a few beneficiary sectors. The </w:t>
      </w:r>
      <w:r w:rsidR="00D010D0">
        <w:t xml:space="preserve">distribution of government commitments by sectors </w:t>
      </w:r>
      <w:r w:rsidRPr="00EE3CEC">
        <w:t xml:space="preserve">is </w:t>
      </w:r>
      <w:r w:rsidR="00D010D0">
        <w:t>as follows</w:t>
      </w:r>
      <w:r w:rsidRPr="00EE3CEC">
        <w:t>:</w:t>
      </w:r>
    </w:p>
    <w:p w14:paraId="6F1E42C6" w14:textId="6B4C5D43" w:rsidR="00393568" w:rsidRPr="006D1890" w:rsidRDefault="00393568" w:rsidP="004734DF">
      <w:pPr>
        <w:pStyle w:val="SingleTxtG"/>
        <w:ind w:firstLine="567"/>
      </w:pPr>
      <w:r w:rsidRPr="006D1890">
        <w:t>(a)</w:t>
      </w:r>
      <w:r w:rsidR="004734DF" w:rsidRPr="006D1890">
        <w:tab/>
      </w:r>
      <w:r w:rsidR="00152BC3">
        <w:t>E</w:t>
      </w:r>
      <w:r w:rsidRPr="006D1890">
        <w:t>conomy-wide (53)</w:t>
      </w:r>
      <w:r w:rsidR="00152BC3">
        <w:t>;</w:t>
      </w:r>
    </w:p>
    <w:p w14:paraId="76F4A514" w14:textId="7A1FAE91" w:rsidR="00393568" w:rsidRPr="006D1890" w:rsidRDefault="004734DF" w:rsidP="004734DF">
      <w:pPr>
        <w:pStyle w:val="SingleTxtG"/>
        <w:ind w:firstLine="567"/>
      </w:pPr>
      <w:r w:rsidRPr="006D1890">
        <w:t>(b)</w:t>
      </w:r>
      <w:r w:rsidRPr="006D1890">
        <w:tab/>
      </w:r>
      <w:r w:rsidR="00152BC3">
        <w:t>E</w:t>
      </w:r>
      <w:r w:rsidR="00393568" w:rsidRPr="006D1890">
        <w:t>nergy (15)</w:t>
      </w:r>
      <w:r w:rsidR="00152BC3">
        <w:t>;</w:t>
      </w:r>
    </w:p>
    <w:p w14:paraId="226DF9E9" w14:textId="21A78353" w:rsidR="00393568" w:rsidRPr="007C389C" w:rsidRDefault="004734DF" w:rsidP="004734DF">
      <w:pPr>
        <w:pStyle w:val="SingleTxtG"/>
        <w:ind w:firstLine="567"/>
      </w:pPr>
      <w:r w:rsidRPr="007C389C">
        <w:t>(c)</w:t>
      </w:r>
      <w:r w:rsidRPr="007C389C">
        <w:tab/>
      </w:r>
      <w:r w:rsidR="00152BC3" w:rsidRPr="007C389C">
        <w:t>A</w:t>
      </w:r>
      <w:r w:rsidR="00393568" w:rsidRPr="007C389C">
        <w:t>griculture (13)</w:t>
      </w:r>
      <w:r w:rsidR="00152BC3" w:rsidRPr="007C389C">
        <w:t>;</w:t>
      </w:r>
    </w:p>
    <w:p w14:paraId="70192D0B" w14:textId="1F4E0A9E" w:rsidR="00393568" w:rsidRPr="007C389C" w:rsidRDefault="004734DF" w:rsidP="004734DF">
      <w:pPr>
        <w:pStyle w:val="SingleTxtG"/>
        <w:ind w:firstLine="567"/>
      </w:pPr>
      <w:r w:rsidRPr="007C389C">
        <w:t>(d)</w:t>
      </w:r>
      <w:r w:rsidRPr="007C389C">
        <w:tab/>
      </w:r>
      <w:r w:rsidR="00152BC3" w:rsidRPr="007C389C">
        <w:t>T</w:t>
      </w:r>
      <w:r w:rsidR="00393568" w:rsidRPr="007C389C">
        <w:t>ransport (12)</w:t>
      </w:r>
      <w:r w:rsidR="00152BC3" w:rsidRPr="007C389C">
        <w:t>;</w:t>
      </w:r>
    </w:p>
    <w:p w14:paraId="10E1F131" w14:textId="0FFA1456" w:rsidR="00393568" w:rsidRPr="007C389C" w:rsidRDefault="004734DF" w:rsidP="005A5E1B">
      <w:pPr>
        <w:pStyle w:val="SingleTxtG"/>
        <w:ind w:firstLine="567"/>
      </w:pPr>
      <w:r w:rsidRPr="007C389C">
        <w:t>(e)</w:t>
      </w:r>
      <w:r w:rsidRPr="007C389C">
        <w:tab/>
      </w:r>
      <w:r w:rsidR="00152BC3" w:rsidRPr="007C389C">
        <w:t>W</w:t>
      </w:r>
      <w:r w:rsidR="00393568" w:rsidRPr="007C389C">
        <w:t>ater (10)</w:t>
      </w:r>
      <w:r w:rsidR="00152BC3" w:rsidRPr="007C389C">
        <w:t>;</w:t>
      </w:r>
    </w:p>
    <w:p w14:paraId="46EE9162" w14:textId="07EADEEB" w:rsidR="00393568" w:rsidRPr="006D1890" w:rsidRDefault="004734DF" w:rsidP="005A5E1B">
      <w:pPr>
        <w:pStyle w:val="SingleTxtG"/>
        <w:ind w:firstLine="567"/>
      </w:pPr>
      <w:r w:rsidRPr="006D1890">
        <w:t>(f)</w:t>
      </w:r>
      <w:r w:rsidRPr="006D1890">
        <w:tab/>
      </w:r>
      <w:r w:rsidR="00152BC3">
        <w:t>W</w:t>
      </w:r>
      <w:r w:rsidR="00393568" w:rsidRPr="006D1890">
        <w:t>aste</w:t>
      </w:r>
      <w:r w:rsidR="005A5E1B" w:rsidRPr="006D1890">
        <w:t xml:space="preserve"> </w:t>
      </w:r>
      <w:r w:rsidR="00393568" w:rsidRPr="006D1890">
        <w:t>(9)</w:t>
      </w:r>
      <w:r w:rsidR="00152BC3">
        <w:t>;</w:t>
      </w:r>
    </w:p>
    <w:p w14:paraId="494C395D" w14:textId="58768F46" w:rsidR="00393568" w:rsidRPr="006D1890" w:rsidRDefault="005A5E1B" w:rsidP="005A5E1B">
      <w:pPr>
        <w:pStyle w:val="SingleTxtG"/>
        <w:ind w:firstLine="567"/>
      </w:pPr>
      <w:r w:rsidRPr="006D1890">
        <w:t>(g)</w:t>
      </w:r>
      <w:r w:rsidRPr="006D1890">
        <w:tab/>
      </w:r>
      <w:r w:rsidR="00152BC3">
        <w:t>H</w:t>
      </w:r>
      <w:r w:rsidR="00393568" w:rsidRPr="006D1890">
        <w:t>ousing, buildings and construction (9)</w:t>
      </w:r>
      <w:r w:rsidR="00152BC3">
        <w:t>;</w:t>
      </w:r>
    </w:p>
    <w:p w14:paraId="0C4179AF" w14:textId="57634938" w:rsidR="00393568" w:rsidRPr="006D1890" w:rsidRDefault="005A5E1B" w:rsidP="005A5E1B">
      <w:pPr>
        <w:pStyle w:val="SingleTxtG"/>
        <w:ind w:firstLine="567"/>
      </w:pPr>
      <w:r w:rsidRPr="006D1890">
        <w:t>(h)</w:t>
      </w:r>
      <w:r w:rsidRPr="006D1890">
        <w:tab/>
      </w:r>
      <w:r w:rsidR="00152BC3">
        <w:t>O</w:t>
      </w:r>
      <w:r w:rsidR="00393568" w:rsidRPr="006D1890">
        <w:t>ther (8)</w:t>
      </w:r>
      <w:r w:rsidR="00152BC3">
        <w:t>;</w:t>
      </w:r>
    </w:p>
    <w:p w14:paraId="46E5DA55" w14:textId="16FCCC8D" w:rsidR="00393568" w:rsidRPr="006D1890" w:rsidRDefault="005A5E1B" w:rsidP="005A5E1B">
      <w:pPr>
        <w:pStyle w:val="SingleTxtG"/>
        <w:ind w:firstLine="567"/>
      </w:pPr>
      <w:r w:rsidRPr="006D1890">
        <w:t>(</w:t>
      </w:r>
      <w:proofErr w:type="spellStart"/>
      <w:r w:rsidRPr="006D1890">
        <w:t>i</w:t>
      </w:r>
      <w:proofErr w:type="spellEnd"/>
      <w:r w:rsidRPr="006D1890">
        <w:t>)</w:t>
      </w:r>
      <w:r w:rsidRPr="006D1890">
        <w:tab/>
      </w:r>
      <w:r w:rsidR="00152BC3">
        <w:t>F</w:t>
      </w:r>
      <w:r w:rsidR="00393568" w:rsidRPr="006D1890">
        <w:t>orestry and fishing (6)</w:t>
      </w:r>
      <w:r w:rsidR="00152BC3">
        <w:t>;</w:t>
      </w:r>
    </w:p>
    <w:p w14:paraId="7AF5CBB6" w14:textId="7B400394" w:rsidR="00393568" w:rsidRPr="006D1890" w:rsidRDefault="005A5E1B" w:rsidP="005A5E1B">
      <w:pPr>
        <w:pStyle w:val="SingleTxtG"/>
        <w:ind w:firstLine="567"/>
      </w:pPr>
      <w:r w:rsidRPr="006D1890">
        <w:t>(j)</w:t>
      </w:r>
      <w:r w:rsidRPr="006D1890">
        <w:tab/>
      </w:r>
      <w:r w:rsidR="00152BC3">
        <w:t>M</w:t>
      </w:r>
      <w:r w:rsidR="00393568" w:rsidRPr="006D1890">
        <w:t>anufacturing (6)</w:t>
      </w:r>
      <w:r w:rsidR="00152BC3">
        <w:t>;</w:t>
      </w:r>
    </w:p>
    <w:p w14:paraId="42950758" w14:textId="61D6341B" w:rsidR="00393568" w:rsidRPr="006D1890" w:rsidRDefault="005A5E1B" w:rsidP="005A5E1B">
      <w:pPr>
        <w:pStyle w:val="SingleTxtG"/>
        <w:ind w:firstLine="567"/>
      </w:pPr>
      <w:r w:rsidRPr="006D1890">
        <w:t>(k)</w:t>
      </w:r>
      <w:r w:rsidRPr="006D1890">
        <w:tab/>
      </w:r>
      <w:r w:rsidR="00152BC3">
        <w:t>T</w:t>
      </w:r>
      <w:r w:rsidR="00393568" w:rsidRPr="006D1890">
        <w:t>ourism (5)</w:t>
      </w:r>
      <w:r w:rsidR="00152BC3">
        <w:t>;</w:t>
      </w:r>
    </w:p>
    <w:p w14:paraId="6A47891E" w14:textId="7199ED03" w:rsidR="00393568" w:rsidRPr="006D1890" w:rsidRDefault="005A5E1B" w:rsidP="005A5E1B">
      <w:pPr>
        <w:pStyle w:val="SingleTxtG"/>
        <w:ind w:firstLine="567"/>
      </w:pPr>
      <w:r w:rsidRPr="006D1890">
        <w:t>(l)</w:t>
      </w:r>
      <w:r w:rsidRPr="006D1890">
        <w:tab/>
      </w:r>
      <w:r w:rsidR="00152BC3">
        <w:t>C</w:t>
      </w:r>
      <w:r w:rsidR="00393568" w:rsidRPr="006D1890">
        <w:t>ities (4)</w:t>
      </w:r>
      <w:r w:rsidR="00152BC3">
        <w:t>;</w:t>
      </w:r>
    </w:p>
    <w:p w14:paraId="55642F0B" w14:textId="392679EF" w:rsidR="00393568" w:rsidRPr="006D1890" w:rsidRDefault="005A5E1B" w:rsidP="005A5E1B">
      <w:pPr>
        <w:pStyle w:val="SingleTxtG"/>
        <w:ind w:firstLine="567"/>
      </w:pPr>
      <w:r w:rsidRPr="006D1890">
        <w:t>(m)</w:t>
      </w:r>
      <w:r w:rsidRPr="006D1890">
        <w:tab/>
      </w:r>
      <w:r w:rsidR="00152BC3">
        <w:t>M</w:t>
      </w:r>
      <w:r w:rsidR="00393568" w:rsidRPr="006D1890">
        <w:t>ining (3)</w:t>
      </w:r>
      <w:r w:rsidR="00152BC3">
        <w:t>.</w:t>
      </w:r>
    </w:p>
    <w:p w14:paraId="7F6DAF74" w14:textId="666686D3" w:rsidR="00393568" w:rsidRPr="006D1890" w:rsidRDefault="00393568" w:rsidP="005A5E1B">
      <w:pPr>
        <w:pStyle w:val="SingleTxtG"/>
      </w:pPr>
      <w:r w:rsidRPr="006D1890">
        <w:t>23.</w:t>
      </w:r>
      <w:r w:rsidRPr="006D1890">
        <w:tab/>
        <w:t>The picture is different for non-government</w:t>
      </w:r>
      <w:r w:rsidR="00FE6E72">
        <w:t>al</w:t>
      </w:r>
      <w:r w:rsidRPr="006D1890">
        <w:t xml:space="preserve"> commitments: only 7 out of 37 have indicated </w:t>
      </w:r>
      <w:r w:rsidR="00FE6E72">
        <w:t xml:space="preserve">one or two </w:t>
      </w:r>
      <w:r w:rsidRPr="006D1890">
        <w:t>sectors as a beneficiary, while the remaining 30 (81% of the non-government</w:t>
      </w:r>
      <w:r w:rsidR="00FE6E72">
        <w:t>al</w:t>
      </w:r>
      <w:r w:rsidRPr="006D1890">
        <w:t xml:space="preserve"> commitments) are economy-wide measures either explicitly or implicitly </w:t>
      </w:r>
      <w:r w:rsidR="00FE6E72">
        <w:t xml:space="preserve">and are </w:t>
      </w:r>
      <w:r w:rsidRPr="006D1890">
        <w:t>related to 6</w:t>
      </w:r>
      <w:r w:rsidR="00FE6E72">
        <w:t xml:space="preserve"> to </w:t>
      </w:r>
      <w:r w:rsidRPr="006D1890">
        <w:t>10 sectors.</w:t>
      </w:r>
    </w:p>
    <w:p w14:paraId="2DF0FC03" w14:textId="6632078B" w:rsidR="00393568" w:rsidRPr="006D1890" w:rsidRDefault="005A5E1B" w:rsidP="005A5E1B">
      <w:pPr>
        <w:pStyle w:val="H23G"/>
      </w:pPr>
      <w:r w:rsidRPr="006D1890">
        <w:tab/>
      </w:r>
      <w:r w:rsidRPr="006D1890">
        <w:tab/>
      </w:r>
      <w:r w:rsidR="00393568" w:rsidRPr="006D1890">
        <w:t xml:space="preserve">Sustainable Development Goals and </w:t>
      </w:r>
      <w:r w:rsidR="00FE6E72">
        <w:t>t</w:t>
      </w:r>
      <w:r w:rsidR="00393568" w:rsidRPr="006D1890">
        <w:t>argets</w:t>
      </w:r>
    </w:p>
    <w:p w14:paraId="1100D722" w14:textId="0DE5FE59" w:rsidR="00393568" w:rsidRPr="006D1890" w:rsidRDefault="00393568" w:rsidP="005A5E1B">
      <w:pPr>
        <w:pStyle w:val="SingleTxtG"/>
      </w:pPr>
      <w:r w:rsidRPr="006D1890">
        <w:t>24.</w:t>
      </w:r>
      <w:r w:rsidRPr="006D1890">
        <w:tab/>
        <w:t xml:space="preserve">The </w:t>
      </w:r>
      <w:r w:rsidR="00FE6E72">
        <w:t xml:space="preserve">data </w:t>
      </w:r>
      <w:r w:rsidRPr="006D1890">
        <w:t xml:space="preserve">on Sustainable Development Goals </w:t>
      </w:r>
      <w:r w:rsidR="00F3776D">
        <w:t>(</w:t>
      </w:r>
      <w:r w:rsidR="00CC3874">
        <w:t xml:space="preserve">annex, </w:t>
      </w:r>
      <w:r w:rsidR="00CC3874" w:rsidRPr="006D1890">
        <w:t>figure</w:t>
      </w:r>
      <w:r w:rsidR="00F3776D">
        <w:t xml:space="preserve"> </w:t>
      </w:r>
      <w:r w:rsidR="005B3891">
        <w:t>V</w:t>
      </w:r>
      <w:r w:rsidR="00F3776D">
        <w:t xml:space="preserve">) </w:t>
      </w:r>
      <w:r w:rsidRPr="006D1890">
        <w:t xml:space="preserve">linked to commitments </w:t>
      </w:r>
      <w:r w:rsidR="00FE6E72">
        <w:t xml:space="preserve">are </w:t>
      </w:r>
      <w:r w:rsidRPr="006D1890">
        <w:t xml:space="preserve">assessed separately for the </w:t>
      </w:r>
      <w:r w:rsidR="00B8498D">
        <w:t>G</w:t>
      </w:r>
      <w:r w:rsidRPr="006D1890">
        <w:t>overnment and non-government</w:t>
      </w:r>
      <w:r w:rsidR="00FE6E72">
        <w:t>al</w:t>
      </w:r>
      <w:r w:rsidRPr="006D1890">
        <w:t xml:space="preserve"> stakeholders </w:t>
      </w:r>
      <w:r w:rsidR="009C7E0C">
        <w:t xml:space="preserve">in order </w:t>
      </w:r>
      <w:r w:rsidRPr="006D1890">
        <w:t>to see both the similarity and the difference in the approaches.</w:t>
      </w:r>
    </w:p>
    <w:p w14:paraId="6849F73C" w14:textId="2232B4CE" w:rsidR="00393568" w:rsidRPr="006D1890" w:rsidRDefault="00393568" w:rsidP="005A5E1B">
      <w:pPr>
        <w:pStyle w:val="SingleTxtG"/>
      </w:pPr>
      <w:r w:rsidRPr="006D1890">
        <w:t>25.</w:t>
      </w:r>
      <w:r w:rsidRPr="006D1890">
        <w:tab/>
        <w:t xml:space="preserve">For the </w:t>
      </w:r>
      <w:r w:rsidR="00FE6E72">
        <w:t>G</w:t>
      </w:r>
      <w:r w:rsidRPr="006D1890">
        <w:t>overnments, Sustainable Development Goal 12 (</w:t>
      </w:r>
      <w:r w:rsidR="00FE6E72">
        <w:t>r</w:t>
      </w:r>
      <w:r w:rsidRPr="006D1890">
        <w:t xml:space="preserve">esponsible </w:t>
      </w:r>
      <w:r w:rsidR="00FE6E72">
        <w:t>c</w:t>
      </w:r>
      <w:r w:rsidRPr="006D1890">
        <w:t xml:space="preserve">onsumption and </w:t>
      </w:r>
      <w:r w:rsidR="00FE6E72">
        <w:t>p</w:t>
      </w:r>
      <w:r w:rsidRPr="006D1890">
        <w:t xml:space="preserve">roduction) is a clear leader. </w:t>
      </w:r>
      <w:r w:rsidR="00C7505F">
        <w:t>B</w:t>
      </w:r>
      <w:r w:rsidR="00B8498D">
        <w:t>elow is the percentage of governmental commitments related to the various Goals</w:t>
      </w:r>
      <w:r w:rsidRPr="006D1890">
        <w:t>:</w:t>
      </w:r>
    </w:p>
    <w:p w14:paraId="789EA85D" w14:textId="094962BC" w:rsidR="00393568" w:rsidRPr="006D1890" w:rsidRDefault="005A5E1B" w:rsidP="005A5E1B">
      <w:pPr>
        <w:pStyle w:val="SingleTxtG"/>
        <w:ind w:firstLine="567"/>
      </w:pPr>
      <w:r w:rsidRPr="006D1890">
        <w:t>(a)</w:t>
      </w:r>
      <w:r w:rsidRPr="006D1890">
        <w:tab/>
      </w:r>
      <w:r w:rsidR="00393568" w:rsidRPr="006D1890">
        <w:t xml:space="preserve">Goal 12: Responsible </w:t>
      </w:r>
      <w:r w:rsidR="00152BC3">
        <w:t>c</w:t>
      </w:r>
      <w:r w:rsidR="00393568" w:rsidRPr="006D1890">
        <w:t xml:space="preserve">onsumption and </w:t>
      </w:r>
      <w:r w:rsidR="00152BC3">
        <w:t>p</w:t>
      </w:r>
      <w:r w:rsidR="00393568" w:rsidRPr="006D1890">
        <w:t xml:space="preserve">roduction </w:t>
      </w:r>
      <w:r w:rsidR="00102451">
        <w:t>–</w:t>
      </w:r>
      <w:r w:rsidR="00393568" w:rsidRPr="006D1890">
        <w:t xml:space="preserve"> 63%;</w:t>
      </w:r>
    </w:p>
    <w:p w14:paraId="79ADE361" w14:textId="1791BEF1" w:rsidR="00393568" w:rsidRPr="006D1890" w:rsidRDefault="005A5E1B" w:rsidP="005A5E1B">
      <w:pPr>
        <w:pStyle w:val="SingleTxtG"/>
        <w:ind w:firstLine="567"/>
      </w:pPr>
      <w:r w:rsidRPr="006D1890">
        <w:t>(b)</w:t>
      </w:r>
      <w:r w:rsidRPr="006D1890">
        <w:tab/>
      </w:r>
      <w:r w:rsidR="00393568" w:rsidRPr="006D1890">
        <w:t xml:space="preserve">Goal 9: Industry, </w:t>
      </w:r>
      <w:r w:rsidR="00152BC3">
        <w:t>i</w:t>
      </w:r>
      <w:r w:rsidR="00393568" w:rsidRPr="006D1890">
        <w:t xml:space="preserve">nnovation and </w:t>
      </w:r>
      <w:r w:rsidR="00152BC3">
        <w:t>i</w:t>
      </w:r>
      <w:r w:rsidR="00393568" w:rsidRPr="006D1890">
        <w:t xml:space="preserve">nfrastructure </w:t>
      </w:r>
      <w:r w:rsidR="00102451">
        <w:t>–</w:t>
      </w:r>
      <w:r w:rsidR="00393568" w:rsidRPr="006D1890">
        <w:t xml:space="preserve"> 39%;</w:t>
      </w:r>
    </w:p>
    <w:p w14:paraId="1EF8FA26" w14:textId="183BF0F1" w:rsidR="00393568" w:rsidRPr="006D1890" w:rsidRDefault="005A5E1B" w:rsidP="005A5E1B">
      <w:pPr>
        <w:pStyle w:val="SingleTxtG"/>
        <w:ind w:firstLine="567"/>
      </w:pPr>
      <w:r w:rsidRPr="006D1890">
        <w:t>(c)</w:t>
      </w:r>
      <w:r w:rsidRPr="006D1890">
        <w:tab/>
      </w:r>
      <w:r w:rsidR="00393568" w:rsidRPr="006D1890">
        <w:t xml:space="preserve">Goal 13: Climate </w:t>
      </w:r>
      <w:r w:rsidR="00152BC3">
        <w:t>a</w:t>
      </w:r>
      <w:r w:rsidR="00393568" w:rsidRPr="006D1890">
        <w:t xml:space="preserve">ction </w:t>
      </w:r>
      <w:r w:rsidR="00102451">
        <w:t>–</w:t>
      </w:r>
      <w:r w:rsidR="00393568" w:rsidRPr="006D1890">
        <w:t xml:space="preserve"> 36%;</w:t>
      </w:r>
    </w:p>
    <w:p w14:paraId="50A14BA9" w14:textId="69538407" w:rsidR="00393568" w:rsidRPr="006D1890" w:rsidRDefault="005A5E1B" w:rsidP="005A5E1B">
      <w:pPr>
        <w:pStyle w:val="SingleTxtG"/>
        <w:ind w:firstLine="567"/>
      </w:pPr>
      <w:r w:rsidRPr="006D1890">
        <w:t>(d)</w:t>
      </w:r>
      <w:r w:rsidRPr="006D1890">
        <w:tab/>
      </w:r>
      <w:r w:rsidR="00393568" w:rsidRPr="006D1890">
        <w:t xml:space="preserve">Goal 7: Affordable and </w:t>
      </w:r>
      <w:r w:rsidR="00152BC3">
        <w:t>c</w:t>
      </w:r>
      <w:r w:rsidR="00393568" w:rsidRPr="006D1890">
        <w:t xml:space="preserve">lean </w:t>
      </w:r>
      <w:r w:rsidR="00152BC3">
        <w:t>e</w:t>
      </w:r>
      <w:r w:rsidR="00393568" w:rsidRPr="006D1890">
        <w:t xml:space="preserve">nergy </w:t>
      </w:r>
      <w:r w:rsidR="00102451">
        <w:t>–</w:t>
      </w:r>
      <w:r w:rsidR="00393568" w:rsidRPr="006D1890">
        <w:t xml:space="preserve"> 35%;</w:t>
      </w:r>
    </w:p>
    <w:p w14:paraId="56E073A6" w14:textId="64D6350F" w:rsidR="00393568" w:rsidRPr="006D1890" w:rsidRDefault="005A5E1B" w:rsidP="005A5E1B">
      <w:pPr>
        <w:pStyle w:val="SingleTxtG"/>
        <w:ind w:firstLine="567"/>
      </w:pPr>
      <w:r w:rsidRPr="006D1890">
        <w:t>(e)</w:t>
      </w:r>
      <w:r w:rsidRPr="006D1890">
        <w:tab/>
      </w:r>
      <w:r w:rsidR="00393568" w:rsidRPr="006D1890">
        <w:t xml:space="preserve">Goal 11: Sustainable </w:t>
      </w:r>
      <w:r w:rsidR="00152BC3">
        <w:t>c</w:t>
      </w:r>
      <w:r w:rsidR="00393568" w:rsidRPr="006D1890">
        <w:t xml:space="preserve">ities and </w:t>
      </w:r>
      <w:r w:rsidR="00152BC3">
        <w:t>c</w:t>
      </w:r>
      <w:r w:rsidR="00393568" w:rsidRPr="006D1890">
        <w:t xml:space="preserve">ommunities </w:t>
      </w:r>
      <w:r w:rsidR="00102451">
        <w:t>–</w:t>
      </w:r>
      <w:r w:rsidR="00393568" w:rsidRPr="006D1890">
        <w:t xml:space="preserve"> 34%;</w:t>
      </w:r>
    </w:p>
    <w:p w14:paraId="7BC19EAA" w14:textId="35CF50AB" w:rsidR="00393568" w:rsidRPr="006D1890" w:rsidRDefault="005A5E1B" w:rsidP="005A5E1B">
      <w:pPr>
        <w:pStyle w:val="SingleTxtG"/>
        <w:ind w:firstLine="567"/>
      </w:pPr>
      <w:r w:rsidRPr="006D1890">
        <w:t>(f)</w:t>
      </w:r>
      <w:r w:rsidRPr="006D1890">
        <w:tab/>
      </w:r>
      <w:r w:rsidR="00393568" w:rsidRPr="006D1890">
        <w:t xml:space="preserve">Goal 8: Decent </w:t>
      </w:r>
      <w:r w:rsidR="00152BC3">
        <w:t>w</w:t>
      </w:r>
      <w:r w:rsidR="00393568" w:rsidRPr="006D1890">
        <w:t xml:space="preserve">ork and </w:t>
      </w:r>
      <w:r w:rsidR="00152BC3">
        <w:t>e</w:t>
      </w:r>
      <w:r w:rsidR="00393568" w:rsidRPr="006D1890">
        <w:t xml:space="preserve">conomic </w:t>
      </w:r>
      <w:r w:rsidR="00152BC3">
        <w:t>g</w:t>
      </w:r>
      <w:r w:rsidR="00393568" w:rsidRPr="006D1890">
        <w:t xml:space="preserve">rowth </w:t>
      </w:r>
      <w:r w:rsidR="00102451">
        <w:t>–</w:t>
      </w:r>
      <w:r w:rsidR="00393568" w:rsidRPr="006D1890">
        <w:t xml:space="preserve"> 32%;</w:t>
      </w:r>
    </w:p>
    <w:p w14:paraId="4DF0C729" w14:textId="68DDFADB" w:rsidR="00393568" w:rsidRPr="006D1890" w:rsidRDefault="005A5E1B" w:rsidP="005A5E1B">
      <w:pPr>
        <w:pStyle w:val="SingleTxtG"/>
        <w:ind w:firstLine="567"/>
      </w:pPr>
      <w:r w:rsidRPr="006D1890">
        <w:t>(g)</w:t>
      </w:r>
      <w:r w:rsidRPr="006D1890">
        <w:tab/>
      </w:r>
      <w:r w:rsidR="00393568" w:rsidRPr="006D1890">
        <w:t xml:space="preserve">Goal 6: Clean </w:t>
      </w:r>
      <w:r w:rsidR="00152BC3">
        <w:t>w</w:t>
      </w:r>
      <w:r w:rsidR="00393568" w:rsidRPr="006D1890">
        <w:t xml:space="preserve">ater and </w:t>
      </w:r>
      <w:r w:rsidR="00152BC3">
        <w:t>s</w:t>
      </w:r>
      <w:r w:rsidR="00393568" w:rsidRPr="006D1890">
        <w:t xml:space="preserve">anitation </w:t>
      </w:r>
      <w:r w:rsidR="00102451">
        <w:t>–</w:t>
      </w:r>
      <w:r w:rsidR="00393568" w:rsidRPr="006D1890">
        <w:t xml:space="preserve"> 27%;</w:t>
      </w:r>
    </w:p>
    <w:p w14:paraId="29153CD9" w14:textId="031DFF22" w:rsidR="00393568" w:rsidRPr="006D1890" w:rsidRDefault="005A5E1B" w:rsidP="005A5E1B">
      <w:pPr>
        <w:pStyle w:val="SingleTxtG"/>
        <w:ind w:firstLine="567"/>
      </w:pPr>
      <w:r w:rsidRPr="006D1890">
        <w:t>(h)</w:t>
      </w:r>
      <w:r w:rsidRPr="006D1890">
        <w:tab/>
      </w:r>
      <w:r w:rsidR="00393568" w:rsidRPr="006D1890">
        <w:t xml:space="preserve">Goal 15: Life on </w:t>
      </w:r>
      <w:r w:rsidR="00152BC3">
        <w:t>l</w:t>
      </w:r>
      <w:r w:rsidR="00393568" w:rsidRPr="006D1890">
        <w:t xml:space="preserve">and </w:t>
      </w:r>
      <w:r w:rsidR="00102451">
        <w:t>–</w:t>
      </w:r>
      <w:r w:rsidR="00393568" w:rsidRPr="006D1890">
        <w:t xml:space="preserve"> 27%;</w:t>
      </w:r>
    </w:p>
    <w:p w14:paraId="2ECC1937" w14:textId="7D226353" w:rsidR="00393568" w:rsidRPr="006D1890" w:rsidRDefault="005A5E1B" w:rsidP="005A5E1B">
      <w:pPr>
        <w:pStyle w:val="SingleTxtG"/>
        <w:ind w:firstLine="567"/>
      </w:pPr>
      <w:r w:rsidRPr="006D1890">
        <w:t>(</w:t>
      </w:r>
      <w:proofErr w:type="spellStart"/>
      <w:r w:rsidRPr="006D1890">
        <w:t>i</w:t>
      </w:r>
      <w:proofErr w:type="spellEnd"/>
      <w:r w:rsidRPr="006D1890">
        <w:t>)</w:t>
      </w:r>
      <w:r w:rsidRPr="006D1890">
        <w:tab/>
      </w:r>
      <w:r w:rsidR="00393568" w:rsidRPr="006D1890">
        <w:t xml:space="preserve">Goal 3: Good </w:t>
      </w:r>
      <w:r w:rsidR="00152BC3">
        <w:t>h</w:t>
      </w:r>
      <w:r w:rsidR="00393568" w:rsidRPr="006D1890">
        <w:t xml:space="preserve">ealth and </w:t>
      </w:r>
      <w:r w:rsidR="00152BC3">
        <w:t>w</w:t>
      </w:r>
      <w:r w:rsidR="00393568" w:rsidRPr="006D1890">
        <w:t>ell</w:t>
      </w:r>
      <w:r w:rsidR="00102451">
        <w:t>–</w:t>
      </w:r>
      <w:r w:rsidR="00393568" w:rsidRPr="006D1890">
        <w:t xml:space="preserve">being </w:t>
      </w:r>
      <w:r w:rsidR="00102451">
        <w:t>–</w:t>
      </w:r>
      <w:r w:rsidR="00393568" w:rsidRPr="006D1890">
        <w:t xml:space="preserve"> 22%;</w:t>
      </w:r>
    </w:p>
    <w:p w14:paraId="66F01849" w14:textId="228B50D8" w:rsidR="00393568" w:rsidRPr="006D1890" w:rsidRDefault="005A5E1B" w:rsidP="005A5E1B">
      <w:pPr>
        <w:pStyle w:val="SingleTxtG"/>
        <w:ind w:firstLine="567"/>
      </w:pPr>
      <w:r w:rsidRPr="006D1890">
        <w:t>(j)</w:t>
      </w:r>
      <w:r w:rsidRPr="006D1890">
        <w:tab/>
      </w:r>
      <w:r w:rsidR="00393568" w:rsidRPr="006D1890">
        <w:t xml:space="preserve">Goal 14: Life </w:t>
      </w:r>
      <w:r w:rsidR="00152BC3">
        <w:t>b</w:t>
      </w:r>
      <w:r w:rsidR="00393568" w:rsidRPr="006D1890">
        <w:t xml:space="preserve">elow </w:t>
      </w:r>
      <w:r w:rsidR="00152BC3">
        <w:t>w</w:t>
      </w:r>
      <w:r w:rsidR="00393568" w:rsidRPr="006D1890">
        <w:t xml:space="preserve">ater </w:t>
      </w:r>
      <w:r w:rsidR="00102451">
        <w:t>–</w:t>
      </w:r>
      <w:r w:rsidR="00393568" w:rsidRPr="006D1890">
        <w:t xml:space="preserve"> 20%;</w:t>
      </w:r>
    </w:p>
    <w:p w14:paraId="23E0A966" w14:textId="58AFA2BC" w:rsidR="00393568" w:rsidRPr="006D1890" w:rsidRDefault="005A5E1B" w:rsidP="005A5E1B">
      <w:pPr>
        <w:pStyle w:val="SingleTxtG"/>
        <w:ind w:firstLine="567"/>
      </w:pPr>
      <w:r w:rsidRPr="006D1890">
        <w:t>(k)</w:t>
      </w:r>
      <w:r w:rsidRPr="006D1890">
        <w:tab/>
      </w:r>
      <w:r w:rsidR="00393568" w:rsidRPr="006D1890">
        <w:t xml:space="preserve">Goal 17: Partnerships </w:t>
      </w:r>
      <w:r w:rsidR="00152BC3">
        <w:t xml:space="preserve">for </w:t>
      </w:r>
      <w:r w:rsidR="00393568" w:rsidRPr="006D1890">
        <w:t>the Goal</w:t>
      </w:r>
      <w:r w:rsidR="00152BC3">
        <w:t>s</w:t>
      </w:r>
      <w:r w:rsidR="00393568" w:rsidRPr="006D1890">
        <w:t xml:space="preserve"> </w:t>
      </w:r>
      <w:r w:rsidR="00102451">
        <w:t>–</w:t>
      </w:r>
      <w:r w:rsidR="00393568" w:rsidRPr="006D1890">
        <w:t xml:space="preserve"> 20%;</w:t>
      </w:r>
    </w:p>
    <w:p w14:paraId="7CCF71B6" w14:textId="3BC1E05A" w:rsidR="00393568" w:rsidRPr="006D1890" w:rsidRDefault="005A5E1B" w:rsidP="005A5E1B">
      <w:pPr>
        <w:pStyle w:val="SingleTxtG"/>
        <w:ind w:firstLine="567"/>
      </w:pPr>
      <w:r w:rsidRPr="006D1890">
        <w:t>(l)</w:t>
      </w:r>
      <w:r w:rsidRPr="006D1890">
        <w:tab/>
      </w:r>
      <w:r w:rsidR="00393568" w:rsidRPr="006D1890">
        <w:t xml:space="preserve">Goal 2: Zero </w:t>
      </w:r>
      <w:r w:rsidR="00152BC3">
        <w:t>h</w:t>
      </w:r>
      <w:r w:rsidR="00393568" w:rsidRPr="006D1890">
        <w:t xml:space="preserve">unger </w:t>
      </w:r>
      <w:r w:rsidR="00102451">
        <w:t>–</w:t>
      </w:r>
      <w:r w:rsidR="00393568" w:rsidRPr="006D1890">
        <w:t xml:space="preserve"> 12%;</w:t>
      </w:r>
    </w:p>
    <w:p w14:paraId="3D4A5425" w14:textId="0826CD6E" w:rsidR="00393568" w:rsidRPr="006D1890" w:rsidRDefault="005A5E1B" w:rsidP="005A5E1B">
      <w:pPr>
        <w:pStyle w:val="SingleTxtG"/>
        <w:ind w:firstLine="567"/>
      </w:pPr>
      <w:r w:rsidRPr="006D1890">
        <w:lastRenderedPageBreak/>
        <w:t>(m)</w:t>
      </w:r>
      <w:r w:rsidRPr="006D1890">
        <w:tab/>
      </w:r>
      <w:r w:rsidR="00393568" w:rsidRPr="006D1890">
        <w:t xml:space="preserve">Goal 4: Quality </w:t>
      </w:r>
      <w:r w:rsidR="00152BC3">
        <w:t>e</w:t>
      </w:r>
      <w:r w:rsidR="00393568" w:rsidRPr="006D1890">
        <w:t xml:space="preserve">ducation </w:t>
      </w:r>
      <w:r w:rsidR="00102451">
        <w:t>–</w:t>
      </w:r>
      <w:r w:rsidR="00393568" w:rsidRPr="006D1890">
        <w:t xml:space="preserve"> 10%;</w:t>
      </w:r>
    </w:p>
    <w:p w14:paraId="678AE130" w14:textId="0E6F1FBF" w:rsidR="00393568" w:rsidRPr="006D1890" w:rsidRDefault="005A5E1B" w:rsidP="005A5E1B">
      <w:pPr>
        <w:pStyle w:val="SingleTxtG"/>
        <w:ind w:firstLine="567"/>
      </w:pPr>
      <w:r w:rsidRPr="006D1890">
        <w:t>(n)</w:t>
      </w:r>
      <w:r w:rsidRPr="006D1890">
        <w:tab/>
      </w:r>
      <w:r w:rsidR="00393568" w:rsidRPr="006D1890">
        <w:t>Goal 16: Peace</w:t>
      </w:r>
      <w:r w:rsidR="00152BC3">
        <w:t>, j</w:t>
      </w:r>
      <w:r w:rsidR="00393568" w:rsidRPr="006D1890">
        <w:t xml:space="preserve">ustice </w:t>
      </w:r>
      <w:r w:rsidR="00152BC3">
        <w:t>and s</w:t>
      </w:r>
      <w:r w:rsidR="00393568" w:rsidRPr="006D1890">
        <w:t xml:space="preserve">trong </w:t>
      </w:r>
      <w:r w:rsidR="00152BC3">
        <w:t>i</w:t>
      </w:r>
      <w:r w:rsidR="00393568" w:rsidRPr="006D1890">
        <w:t xml:space="preserve">nstitutions </w:t>
      </w:r>
      <w:r w:rsidR="00102451">
        <w:t>–</w:t>
      </w:r>
      <w:r w:rsidR="00393568" w:rsidRPr="006D1890">
        <w:t xml:space="preserve"> 9%;</w:t>
      </w:r>
    </w:p>
    <w:p w14:paraId="55EDCECB" w14:textId="1AD298B8" w:rsidR="00393568" w:rsidRPr="006D1890" w:rsidRDefault="005A5E1B" w:rsidP="005A5E1B">
      <w:pPr>
        <w:pStyle w:val="SingleTxtG"/>
        <w:ind w:firstLine="567"/>
      </w:pPr>
      <w:r w:rsidRPr="006D1890">
        <w:t>(o)</w:t>
      </w:r>
      <w:r w:rsidRPr="006D1890">
        <w:tab/>
      </w:r>
      <w:r w:rsidR="00393568" w:rsidRPr="006D1890">
        <w:t xml:space="preserve">Goal 1: No </w:t>
      </w:r>
      <w:r w:rsidR="00152BC3">
        <w:t>p</w:t>
      </w:r>
      <w:r w:rsidR="00393568" w:rsidRPr="006D1890">
        <w:t xml:space="preserve">overty </w:t>
      </w:r>
      <w:r w:rsidR="00102451">
        <w:t>–</w:t>
      </w:r>
      <w:r w:rsidR="00393568" w:rsidRPr="006D1890">
        <w:t xml:space="preserve"> 6%;</w:t>
      </w:r>
    </w:p>
    <w:p w14:paraId="1F233237" w14:textId="6B7918FB" w:rsidR="00393568" w:rsidRPr="006D1890" w:rsidRDefault="005A5E1B" w:rsidP="005A5E1B">
      <w:pPr>
        <w:pStyle w:val="SingleTxtG"/>
        <w:ind w:firstLine="567"/>
      </w:pPr>
      <w:r w:rsidRPr="006D1890">
        <w:t>(p)</w:t>
      </w:r>
      <w:r w:rsidRPr="006D1890">
        <w:tab/>
      </w:r>
      <w:r w:rsidR="00393568" w:rsidRPr="006D1890">
        <w:t xml:space="preserve">Goal 10: Reduced </w:t>
      </w:r>
      <w:r w:rsidR="00152BC3">
        <w:t>i</w:t>
      </w:r>
      <w:r w:rsidR="00393568" w:rsidRPr="006D1890">
        <w:t>nequalit</w:t>
      </w:r>
      <w:r w:rsidR="00152BC3">
        <w:t>ies</w:t>
      </w:r>
      <w:r w:rsidR="00393568" w:rsidRPr="006D1890">
        <w:t xml:space="preserve"> </w:t>
      </w:r>
      <w:r w:rsidR="00102451">
        <w:t>–</w:t>
      </w:r>
      <w:r w:rsidR="00393568" w:rsidRPr="006D1890">
        <w:t xml:space="preserve"> 3%;</w:t>
      </w:r>
    </w:p>
    <w:p w14:paraId="244A341C" w14:textId="2DC9E3E4" w:rsidR="00393568" w:rsidRPr="006D1890" w:rsidRDefault="005A5E1B" w:rsidP="005A5E1B">
      <w:pPr>
        <w:pStyle w:val="SingleTxtG"/>
        <w:ind w:firstLine="567"/>
      </w:pPr>
      <w:r w:rsidRPr="006D1890">
        <w:t>(q)</w:t>
      </w:r>
      <w:r w:rsidRPr="006D1890">
        <w:tab/>
      </w:r>
      <w:r w:rsidR="00393568" w:rsidRPr="006D1890">
        <w:t xml:space="preserve">Goal 5: Gender </w:t>
      </w:r>
      <w:r w:rsidR="00152BC3">
        <w:t>e</w:t>
      </w:r>
      <w:r w:rsidR="00393568" w:rsidRPr="006D1890">
        <w:t xml:space="preserve">quality </w:t>
      </w:r>
      <w:r w:rsidR="00102451">
        <w:t>–</w:t>
      </w:r>
      <w:r w:rsidR="00393568" w:rsidRPr="006D1890">
        <w:t xml:space="preserve"> 1%</w:t>
      </w:r>
      <w:r w:rsidR="00B8498D">
        <w:t>.</w:t>
      </w:r>
    </w:p>
    <w:p w14:paraId="4DBDDEA1" w14:textId="60CDE3EC" w:rsidR="00393568" w:rsidRPr="006D1890" w:rsidRDefault="00393568" w:rsidP="005A5E1B">
      <w:pPr>
        <w:pStyle w:val="SingleTxtG"/>
      </w:pPr>
      <w:r w:rsidRPr="006D1890">
        <w:t>26.</w:t>
      </w:r>
      <w:r w:rsidRPr="006D1890">
        <w:tab/>
        <w:t>There</w:t>
      </w:r>
      <w:r w:rsidR="009C7E0C">
        <w:t xml:space="preserve"> i</w:t>
      </w:r>
      <w:r w:rsidRPr="006D1890">
        <w:t xml:space="preserve">s some difference between the government commitments from the 16 </w:t>
      </w:r>
      <w:r w:rsidR="00B8498D">
        <w:t>European Union</w:t>
      </w:r>
      <w:r w:rsidRPr="006D1890">
        <w:t xml:space="preserve"> member </w:t>
      </w:r>
      <w:r w:rsidR="00B8498D">
        <w:t>S</w:t>
      </w:r>
      <w:r w:rsidRPr="006D1890">
        <w:t xml:space="preserve">tates and </w:t>
      </w:r>
      <w:r w:rsidR="00B8498D">
        <w:t xml:space="preserve">the </w:t>
      </w:r>
      <w:r w:rsidRPr="006D1890">
        <w:t xml:space="preserve">8 countries of Eastern Europe, </w:t>
      </w:r>
      <w:r w:rsidR="00B8498D">
        <w:t xml:space="preserve">the </w:t>
      </w:r>
      <w:r w:rsidRPr="006D1890">
        <w:t xml:space="preserve">Caucasus and Central Asia that </w:t>
      </w:r>
      <w:r w:rsidR="00C7505F">
        <w:t xml:space="preserve">are </w:t>
      </w:r>
      <w:r w:rsidRPr="006D1890">
        <w:t>participat</w:t>
      </w:r>
      <w:r w:rsidR="00C7505F">
        <w:t>ing</w:t>
      </w:r>
      <w:r w:rsidRPr="006D1890">
        <w:t xml:space="preserve"> in the Initiative. More than half of the commitments of the latter group address Goal 9 (56% of commitments, </w:t>
      </w:r>
      <w:r w:rsidR="00C7505F">
        <w:t xml:space="preserve">as compared with </w:t>
      </w:r>
      <w:r w:rsidRPr="006D1890">
        <w:t xml:space="preserve">31% </w:t>
      </w:r>
      <w:r w:rsidR="00C7505F">
        <w:t xml:space="preserve">for </w:t>
      </w:r>
      <w:r w:rsidRPr="006D1890">
        <w:t xml:space="preserve">the </w:t>
      </w:r>
      <w:r w:rsidR="00C7505F">
        <w:t>European Union</w:t>
      </w:r>
      <w:r w:rsidRPr="006D1890">
        <w:t xml:space="preserve">) and </w:t>
      </w:r>
      <w:r w:rsidR="00C7505F">
        <w:t xml:space="preserve">Goal </w:t>
      </w:r>
      <w:r w:rsidRPr="006D1890">
        <w:t>8 (52%</w:t>
      </w:r>
      <w:r w:rsidR="00C7505F">
        <w:t xml:space="preserve"> of the commitments, as compared with </w:t>
      </w:r>
      <w:r w:rsidRPr="006D1890">
        <w:t>27%</w:t>
      </w:r>
      <w:r w:rsidR="00C7505F">
        <w:t xml:space="preserve"> for the European Union</w:t>
      </w:r>
      <w:r w:rsidRPr="006D1890">
        <w:t xml:space="preserve">) and about a quarter address </w:t>
      </w:r>
      <w:r w:rsidR="00C7505F">
        <w:t>G</w:t>
      </w:r>
      <w:r w:rsidRPr="006D1890">
        <w:t>oal 16 (26%</w:t>
      </w:r>
      <w:r w:rsidR="00C7505F">
        <w:t xml:space="preserve"> of commitments, as compared with</w:t>
      </w:r>
      <w:r w:rsidRPr="006D1890">
        <w:t xml:space="preserve"> 2%</w:t>
      </w:r>
      <w:r w:rsidR="00C7505F">
        <w:t xml:space="preserve"> for the European Union</w:t>
      </w:r>
      <w:r w:rsidRPr="006D1890">
        <w:t xml:space="preserve">) and </w:t>
      </w:r>
      <w:r w:rsidR="00C7505F">
        <w:t xml:space="preserve">Goal </w:t>
      </w:r>
      <w:r w:rsidRPr="006D1890">
        <w:t>17 (22%</w:t>
      </w:r>
      <w:r w:rsidR="00C7505F">
        <w:t xml:space="preserve"> of commitments, as compared with</w:t>
      </w:r>
      <w:r w:rsidRPr="006D1890">
        <w:t xml:space="preserve"> 7%</w:t>
      </w:r>
      <w:r w:rsidR="00C7505F">
        <w:t xml:space="preserve"> for the European Union</w:t>
      </w:r>
      <w:r w:rsidRPr="006D1890">
        <w:t xml:space="preserve">). </w:t>
      </w:r>
      <w:r w:rsidR="00C7505F">
        <w:t xml:space="preserve">Commitments related to </w:t>
      </w:r>
      <w:r w:rsidRPr="006D1890">
        <w:t xml:space="preserve">Goal 4 display </w:t>
      </w:r>
      <w:r w:rsidR="00C7505F">
        <w:t xml:space="preserve">a </w:t>
      </w:r>
      <w:r w:rsidRPr="006D1890">
        <w:t xml:space="preserve">similar discrepancy on a lower scale (15% </w:t>
      </w:r>
      <w:r w:rsidR="00C7505F">
        <w:t xml:space="preserve">for the countries of Eastern Europe, the Caucasus and Central Asia as compared with </w:t>
      </w:r>
      <w:r w:rsidRPr="006D1890">
        <w:t>4%</w:t>
      </w:r>
      <w:r w:rsidR="00C7505F">
        <w:t xml:space="preserve"> for the European Union</w:t>
      </w:r>
      <w:r w:rsidRPr="006D1890">
        <w:t xml:space="preserve">). </w:t>
      </w:r>
      <w:r w:rsidR="00C7505F">
        <w:t xml:space="preserve">In contrast, </w:t>
      </w:r>
      <w:r w:rsidRPr="006D1890">
        <w:t xml:space="preserve">Goal 14 is almost neglected by </w:t>
      </w:r>
      <w:r w:rsidR="00C7505F">
        <w:t xml:space="preserve">the countries of Eastern Europe, the Caucasus and Central Asia, with only </w:t>
      </w:r>
      <w:r w:rsidRPr="006D1890">
        <w:t>7%</w:t>
      </w:r>
      <w:r w:rsidR="00C7505F">
        <w:t xml:space="preserve"> of commitments related to this Goal,</w:t>
      </w:r>
      <w:r w:rsidRPr="006D1890">
        <w:t xml:space="preserve"> </w:t>
      </w:r>
      <w:r w:rsidR="00C7505F">
        <w:t xml:space="preserve">while it </w:t>
      </w:r>
      <w:r w:rsidRPr="006D1890">
        <w:t xml:space="preserve">is </w:t>
      </w:r>
      <w:r w:rsidR="00C7505F">
        <w:t xml:space="preserve">relevant for </w:t>
      </w:r>
      <w:r w:rsidRPr="006D1890">
        <w:t xml:space="preserve">a quarter (22%) of the </w:t>
      </w:r>
      <w:r w:rsidR="00C7505F">
        <w:t>European Union</w:t>
      </w:r>
      <w:r w:rsidRPr="006D1890">
        <w:t xml:space="preserve"> commitments.</w:t>
      </w:r>
    </w:p>
    <w:p w14:paraId="081292C5" w14:textId="45CEC46A" w:rsidR="00393568" w:rsidRPr="006D1890" w:rsidRDefault="00393568" w:rsidP="005A5E1B">
      <w:pPr>
        <w:pStyle w:val="SingleTxtG"/>
      </w:pPr>
      <w:r w:rsidRPr="006D1890">
        <w:t>27.</w:t>
      </w:r>
      <w:r w:rsidRPr="006D1890">
        <w:tab/>
      </w:r>
      <w:r w:rsidR="00C7505F">
        <w:t>The links of n</w:t>
      </w:r>
      <w:r w:rsidRPr="006D1890">
        <w:t>on-government</w:t>
      </w:r>
      <w:r w:rsidR="00C7505F">
        <w:t>al</w:t>
      </w:r>
      <w:r w:rsidRPr="006D1890">
        <w:t xml:space="preserve"> commitments </w:t>
      </w:r>
      <w:r w:rsidR="00C7505F">
        <w:t xml:space="preserve">to the Sustainable Development Goals present </w:t>
      </w:r>
      <w:r w:rsidRPr="006D1890">
        <w:t>largely the same picture as th</w:t>
      </w:r>
      <w:r w:rsidR="00C7505F">
        <w:t>os</w:t>
      </w:r>
      <w:r w:rsidRPr="006D1890">
        <w:t xml:space="preserve">e </w:t>
      </w:r>
      <w:r w:rsidR="00C7505F">
        <w:t>set out for G</w:t>
      </w:r>
      <w:r w:rsidRPr="006D1890">
        <w:t>overnment</w:t>
      </w:r>
      <w:r w:rsidR="00C7505F">
        <w:t>s</w:t>
      </w:r>
      <w:r w:rsidRPr="006D1890">
        <w:t xml:space="preserve"> above, with the exception of Goal 17</w:t>
      </w:r>
      <w:r w:rsidR="00C7505F">
        <w:t xml:space="preserve"> (partnership for the Goals). For this group, Goal 17 is</w:t>
      </w:r>
      <w:r w:rsidRPr="006D1890">
        <w:t xml:space="preserve"> the second</w:t>
      </w:r>
      <w:r w:rsidR="00C7505F">
        <w:t xml:space="preserve"> most </w:t>
      </w:r>
      <w:r w:rsidRPr="006D1890">
        <w:t>frequent</w:t>
      </w:r>
      <w:r w:rsidR="00C7505F">
        <w:t>ly linked to committed actions –</w:t>
      </w:r>
      <w:r w:rsidRPr="006D1890">
        <w:t xml:space="preserve"> not surprisingly, as many commitments from this group rely on transboundary collaboration on </w:t>
      </w:r>
      <w:r w:rsidR="00C7505F">
        <w:t xml:space="preserve">the </w:t>
      </w:r>
      <w:r w:rsidRPr="006D1890">
        <w:t xml:space="preserve">regional and </w:t>
      </w:r>
      <w:proofErr w:type="spellStart"/>
      <w:r w:rsidRPr="006D1890">
        <w:t>subregional</w:t>
      </w:r>
      <w:proofErr w:type="spellEnd"/>
      <w:r w:rsidRPr="006D1890">
        <w:t xml:space="preserve"> level. Environmental (but not social) Sustainable Development Goals are </w:t>
      </w:r>
      <w:r w:rsidR="00DA7C3B">
        <w:t xml:space="preserve">also </w:t>
      </w:r>
      <w:r w:rsidRPr="006D1890">
        <w:t>slightly more prominent in this group</w:t>
      </w:r>
      <w:r w:rsidR="00C7505F">
        <w:t xml:space="preserve">. </w:t>
      </w:r>
      <w:r w:rsidR="00DA7C3B">
        <w:t>T</w:t>
      </w:r>
      <w:r w:rsidR="00C7505F">
        <w:t>he percentage of non-governmental commitments related to the various Goals</w:t>
      </w:r>
      <w:r w:rsidR="00DA7C3B">
        <w:t xml:space="preserve"> is as follows</w:t>
      </w:r>
      <w:r w:rsidR="00C7505F" w:rsidRPr="006D1890">
        <w:t>:</w:t>
      </w:r>
      <w:r w:rsidRPr="006D1890">
        <w:t xml:space="preserve"> </w:t>
      </w:r>
    </w:p>
    <w:p w14:paraId="4B953F98" w14:textId="607B2260" w:rsidR="00393568" w:rsidRPr="006D1890" w:rsidRDefault="005A5E1B" w:rsidP="008D751B">
      <w:pPr>
        <w:pStyle w:val="SingleTxtG"/>
        <w:ind w:firstLine="567"/>
      </w:pPr>
      <w:r w:rsidRPr="006D1890">
        <w:t>(a)</w:t>
      </w:r>
      <w:r w:rsidRPr="006D1890">
        <w:tab/>
      </w:r>
      <w:r w:rsidR="00393568" w:rsidRPr="006D1890">
        <w:t xml:space="preserve">Goal 12: Responsible </w:t>
      </w:r>
      <w:r w:rsidR="00102451">
        <w:t>c</w:t>
      </w:r>
      <w:r w:rsidR="00393568" w:rsidRPr="006D1890">
        <w:t xml:space="preserve">onsumption and </w:t>
      </w:r>
      <w:r w:rsidR="00102451">
        <w:t>p</w:t>
      </w:r>
      <w:r w:rsidR="00393568" w:rsidRPr="006D1890">
        <w:t xml:space="preserve">roduction </w:t>
      </w:r>
      <w:r w:rsidR="00102451">
        <w:t>–</w:t>
      </w:r>
      <w:r w:rsidR="00393568" w:rsidRPr="006D1890">
        <w:t xml:space="preserve"> 57%;</w:t>
      </w:r>
    </w:p>
    <w:p w14:paraId="37B5949E" w14:textId="07188C82" w:rsidR="00393568" w:rsidRPr="006D1890" w:rsidRDefault="005A5E1B" w:rsidP="008D751B">
      <w:pPr>
        <w:pStyle w:val="SingleTxtG"/>
        <w:ind w:firstLine="567"/>
      </w:pPr>
      <w:r w:rsidRPr="006D1890">
        <w:t>(b)</w:t>
      </w:r>
      <w:r w:rsidRPr="006D1890">
        <w:tab/>
      </w:r>
      <w:r w:rsidR="00393568" w:rsidRPr="006D1890">
        <w:t xml:space="preserve">Goal 17: Partnerships </w:t>
      </w:r>
      <w:r w:rsidR="00102451">
        <w:t xml:space="preserve">for </w:t>
      </w:r>
      <w:r w:rsidR="00393568" w:rsidRPr="006D1890">
        <w:t>the Goal</w:t>
      </w:r>
      <w:r w:rsidR="00102451">
        <w:t>s</w:t>
      </w:r>
      <w:r w:rsidR="00393568" w:rsidRPr="006D1890">
        <w:t xml:space="preserve"> </w:t>
      </w:r>
      <w:r w:rsidR="00102451">
        <w:t>–</w:t>
      </w:r>
      <w:r w:rsidR="00393568" w:rsidRPr="006D1890">
        <w:t xml:space="preserve"> 41%;</w:t>
      </w:r>
    </w:p>
    <w:p w14:paraId="4C13488A" w14:textId="3CA130A4" w:rsidR="00393568" w:rsidRPr="006D1890" w:rsidRDefault="005A5E1B" w:rsidP="008D751B">
      <w:pPr>
        <w:pStyle w:val="SingleTxtG"/>
        <w:ind w:firstLine="567"/>
      </w:pPr>
      <w:r w:rsidRPr="006D1890">
        <w:t>(c)</w:t>
      </w:r>
      <w:r w:rsidRPr="006D1890">
        <w:tab/>
      </w:r>
      <w:r w:rsidR="00393568" w:rsidRPr="006D1890">
        <w:t xml:space="preserve">Goal 9: Industry, </w:t>
      </w:r>
      <w:r w:rsidR="00102451">
        <w:t>i</w:t>
      </w:r>
      <w:r w:rsidR="00393568" w:rsidRPr="006D1890">
        <w:t xml:space="preserve">nnovation and </w:t>
      </w:r>
      <w:r w:rsidR="00102451">
        <w:t>i</w:t>
      </w:r>
      <w:r w:rsidR="00393568" w:rsidRPr="006D1890">
        <w:t xml:space="preserve">nfrastructure </w:t>
      </w:r>
      <w:r w:rsidR="00102451">
        <w:t>–</w:t>
      </w:r>
      <w:r w:rsidR="00393568" w:rsidRPr="006D1890">
        <w:t xml:space="preserve"> 38%;</w:t>
      </w:r>
    </w:p>
    <w:p w14:paraId="1AD2B97E" w14:textId="6EEB1A2C" w:rsidR="00393568" w:rsidRPr="006D1890" w:rsidRDefault="008D751B" w:rsidP="008D751B">
      <w:pPr>
        <w:pStyle w:val="SingleTxtG"/>
        <w:ind w:firstLine="567"/>
      </w:pPr>
      <w:r w:rsidRPr="006D1890">
        <w:t>(d)</w:t>
      </w:r>
      <w:r w:rsidRPr="006D1890">
        <w:tab/>
      </w:r>
      <w:r w:rsidR="00393568" w:rsidRPr="006D1890">
        <w:t xml:space="preserve">Goal 13: Climate </w:t>
      </w:r>
      <w:r w:rsidR="00102451">
        <w:t>a</w:t>
      </w:r>
      <w:r w:rsidR="00393568" w:rsidRPr="006D1890">
        <w:t xml:space="preserve">ction </w:t>
      </w:r>
      <w:r w:rsidR="00102451">
        <w:t>–</w:t>
      </w:r>
      <w:r w:rsidR="00393568" w:rsidRPr="006D1890">
        <w:t xml:space="preserve"> 38%;</w:t>
      </w:r>
    </w:p>
    <w:p w14:paraId="2122C4B5" w14:textId="5C54A638" w:rsidR="00393568" w:rsidRPr="006D1890" w:rsidRDefault="008D751B" w:rsidP="008D751B">
      <w:pPr>
        <w:pStyle w:val="SingleTxtG"/>
        <w:ind w:firstLine="567"/>
      </w:pPr>
      <w:r w:rsidRPr="006D1890">
        <w:t>(e)</w:t>
      </w:r>
      <w:r w:rsidRPr="006D1890">
        <w:tab/>
      </w:r>
      <w:r w:rsidR="00393568" w:rsidRPr="006D1890">
        <w:t xml:space="preserve">Goal 6: Clean </w:t>
      </w:r>
      <w:r w:rsidR="00102451">
        <w:t>w</w:t>
      </w:r>
      <w:r w:rsidR="00393568" w:rsidRPr="006D1890">
        <w:t xml:space="preserve">ater and </w:t>
      </w:r>
      <w:r w:rsidR="00102451">
        <w:t>s</w:t>
      </w:r>
      <w:r w:rsidR="00393568" w:rsidRPr="006D1890">
        <w:t xml:space="preserve">anitation </w:t>
      </w:r>
      <w:r w:rsidR="00102451">
        <w:t>–</w:t>
      </w:r>
      <w:r w:rsidR="00393568" w:rsidRPr="006D1890">
        <w:t xml:space="preserve"> 35%;</w:t>
      </w:r>
    </w:p>
    <w:p w14:paraId="4DE1147E" w14:textId="726ADD11" w:rsidR="00393568" w:rsidRPr="006D1890" w:rsidRDefault="008D751B" w:rsidP="008D751B">
      <w:pPr>
        <w:pStyle w:val="SingleTxtG"/>
        <w:ind w:firstLine="567"/>
      </w:pPr>
      <w:r w:rsidRPr="006D1890">
        <w:t>(f)</w:t>
      </w:r>
      <w:r w:rsidRPr="006D1890">
        <w:tab/>
      </w:r>
      <w:r w:rsidR="00393568" w:rsidRPr="006D1890">
        <w:t xml:space="preserve">Goal 15: Life on </w:t>
      </w:r>
      <w:r w:rsidR="00102451">
        <w:t>l</w:t>
      </w:r>
      <w:r w:rsidR="00393568" w:rsidRPr="006D1890">
        <w:t xml:space="preserve">and </w:t>
      </w:r>
      <w:r w:rsidR="00102451">
        <w:t>–</w:t>
      </w:r>
      <w:r w:rsidR="00393568" w:rsidRPr="006D1890">
        <w:t xml:space="preserve"> 32%;</w:t>
      </w:r>
    </w:p>
    <w:p w14:paraId="4EDBFD37" w14:textId="39899863" w:rsidR="00393568" w:rsidRPr="006D1890" w:rsidRDefault="008D751B" w:rsidP="008D751B">
      <w:pPr>
        <w:pStyle w:val="SingleTxtG"/>
        <w:ind w:firstLine="567"/>
      </w:pPr>
      <w:r w:rsidRPr="006D1890">
        <w:t>(g)</w:t>
      </w:r>
      <w:r w:rsidRPr="006D1890">
        <w:tab/>
      </w:r>
      <w:r w:rsidR="00393568" w:rsidRPr="006D1890">
        <w:t xml:space="preserve">Goal 3: Good </w:t>
      </w:r>
      <w:r w:rsidR="00102451">
        <w:t>h</w:t>
      </w:r>
      <w:r w:rsidR="00393568" w:rsidRPr="006D1890">
        <w:t xml:space="preserve">ealth and </w:t>
      </w:r>
      <w:r w:rsidR="00102451">
        <w:t>w</w:t>
      </w:r>
      <w:r w:rsidR="00393568" w:rsidRPr="006D1890">
        <w:t>ell</w:t>
      </w:r>
      <w:r w:rsidR="00102451">
        <w:t>–</w:t>
      </w:r>
      <w:r w:rsidR="00393568" w:rsidRPr="006D1890">
        <w:t xml:space="preserve">being </w:t>
      </w:r>
      <w:r w:rsidR="00102451">
        <w:t>–</w:t>
      </w:r>
      <w:r w:rsidR="00393568" w:rsidRPr="006D1890">
        <w:t xml:space="preserve"> 32%;</w:t>
      </w:r>
    </w:p>
    <w:p w14:paraId="688DFFD8" w14:textId="5228F1B3" w:rsidR="00393568" w:rsidRPr="006D1890" w:rsidRDefault="008D751B" w:rsidP="008D751B">
      <w:pPr>
        <w:pStyle w:val="SingleTxtG"/>
        <w:ind w:firstLine="567"/>
      </w:pPr>
      <w:r w:rsidRPr="006D1890">
        <w:t>(h)</w:t>
      </w:r>
      <w:r w:rsidRPr="006D1890">
        <w:tab/>
      </w:r>
      <w:r w:rsidR="00393568" w:rsidRPr="006D1890">
        <w:t xml:space="preserve">Goal 11: Sustainable </w:t>
      </w:r>
      <w:r w:rsidR="00102451">
        <w:t>c</w:t>
      </w:r>
      <w:r w:rsidR="00393568" w:rsidRPr="006D1890">
        <w:t xml:space="preserve">ities and </w:t>
      </w:r>
      <w:r w:rsidR="00102451">
        <w:t>c</w:t>
      </w:r>
      <w:r w:rsidR="00393568" w:rsidRPr="006D1890">
        <w:t xml:space="preserve">ommunities </w:t>
      </w:r>
      <w:r w:rsidR="00102451">
        <w:t>–</w:t>
      </w:r>
      <w:r w:rsidR="00393568" w:rsidRPr="006D1890">
        <w:t xml:space="preserve"> 32%;</w:t>
      </w:r>
    </w:p>
    <w:p w14:paraId="2A9CEBA5" w14:textId="3B3F530A" w:rsidR="00393568" w:rsidRPr="006D1890" w:rsidRDefault="008D751B" w:rsidP="008D751B">
      <w:pPr>
        <w:pStyle w:val="SingleTxtG"/>
        <w:ind w:firstLine="567"/>
      </w:pPr>
      <w:r w:rsidRPr="006D1890">
        <w:t>(</w:t>
      </w:r>
      <w:proofErr w:type="spellStart"/>
      <w:r w:rsidRPr="006D1890">
        <w:t>i</w:t>
      </w:r>
      <w:proofErr w:type="spellEnd"/>
      <w:r w:rsidRPr="006D1890">
        <w:t>)</w:t>
      </w:r>
      <w:r w:rsidRPr="006D1890">
        <w:tab/>
      </w:r>
      <w:r w:rsidR="00393568" w:rsidRPr="006D1890">
        <w:t xml:space="preserve">Goal 7: Affordable and </w:t>
      </w:r>
      <w:r w:rsidR="00102451">
        <w:t>c</w:t>
      </w:r>
      <w:r w:rsidR="00393568" w:rsidRPr="006D1890">
        <w:t xml:space="preserve">lean </w:t>
      </w:r>
      <w:r w:rsidR="00102451">
        <w:t>e</w:t>
      </w:r>
      <w:r w:rsidR="00393568" w:rsidRPr="006D1890">
        <w:t xml:space="preserve">nergy </w:t>
      </w:r>
      <w:r w:rsidR="00102451">
        <w:t>–</w:t>
      </w:r>
      <w:r w:rsidR="00393568" w:rsidRPr="006D1890">
        <w:t xml:space="preserve"> 30%;</w:t>
      </w:r>
    </w:p>
    <w:p w14:paraId="6108DB2D" w14:textId="3F07562F" w:rsidR="00393568" w:rsidRPr="006D1890" w:rsidRDefault="008D751B" w:rsidP="008D751B">
      <w:pPr>
        <w:pStyle w:val="SingleTxtG"/>
        <w:ind w:firstLine="567"/>
      </w:pPr>
      <w:r w:rsidRPr="006D1890">
        <w:t>(k)</w:t>
      </w:r>
      <w:r w:rsidRPr="006D1890">
        <w:tab/>
      </w:r>
      <w:r w:rsidR="00393568" w:rsidRPr="006D1890">
        <w:t xml:space="preserve">Goal 8: Decent </w:t>
      </w:r>
      <w:r w:rsidR="00102451">
        <w:t>w</w:t>
      </w:r>
      <w:r w:rsidR="00393568" w:rsidRPr="006D1890">
        <w:t xml:space="preserve">ork and </w:t>
      </w:r>
      <w:r w:rsidR="00102451">
        <w:t>e</w:t>
      </w:r>
      <w:r w:rsidR="00393568" w:rsidRPr="006D1890">
        <w:t xml:space="preserve">conomic </w:t>
      </w:r>
      <w:r w:rsidR="00102451">
        <w:t>g</w:t>
      </w:r>
      <w:r w:rsidR="00393568" w:rsidRPr="006D1890">
        <w:t xml:space="preserve">rowth </w:t>
      </w:r>
      <w:r w:rsidR="00102451">
        <w:t>–</w:t>
      </w:r>
      <w:r w:rsidR="00393568" w:rsidRPr="006D1890">
        <w:t xml:space="preserve"> 30%;</w:t>
      </w:r>
    </w:p>
    <w:p w14:paraId="2BCD3D11" w14:textId="3E13F06B" w:rsidR="00393568" w:rsidRPr="006D1890" w:rsidRDefault="008D751B" w:rsidP="008D751B">
      <w:pPr>
        <w:pStyle w:val="SingleTxtG"/>
        <w:ind w:firstLine="567"/>
      </w:pPr>
      <w:r w:rsidRPr="006D1890">
        <w:t>(l)</w:t>
      </w:r>
      <w:r w:rsidRPr="006D1890">
        <w:tab/>
      </w:r>
      <w:r w:rsidR="00393568" w:rsidRPr="006D1890">
        <w:t xml:space="preserve">Goal 14: Life </w:t>
      </w:r>
      <w:r w:rsidR="00102451">
        <w:t>b</w:t>
      </w:r>
      <w:r w:rsidR="00393568" w:rsidRPr="006D1890">
        <w:t xml:space="preserve">elow </w:t>
      </w:r>
      <w:r w:rsidR="00102451">
        <w:t>w</w:t>
      </w:r>
      <w:r w:rsidR="00393568" w:rsidRPr="006D1890">
        <w:t xml:space="preserve">ater </w:t>
      </w:r>
      <w:r w:rsidR="00102451">
        <w:t>–</w:t>
      </w:r>
      <w:r w:rsidR="00393568" w:rsidRPr="006D1890">
        <w:t xml:space="preserve"> 30%;</w:t>
      </w:r>
    </w:p>
    <w:p w14:paraId="7BAC8858" w14:textId="44DE5838" w:rsidR="00393568" w:rsidRPr="006D1890" w:rsidRDefault="008D751B" w:rsidP="008D751B">
      <w:pPr>
        <w:pStyle w:val="SingleTxtG"/>
        <w:ind w:firstLine="567"/>
      </w:pPr>
      <w:r w:rsidRPr="006D1890">
        <w:t>(m)</w:t>
      </w:r>
      <w:r w:rsidRPr="006D1890">
        <w:tab/>
      </w:r>
      <w:r w:rsidR="00393568" w:rsidRPr="006D1890">
        <w:t xml:space="preserve">Goal 2: Zero </w:t>
      </w:r>
      <w:r w:rsidR="00102451">
        <w:t>h</w:t>
      </w:r>
      <w:r w:rsidR="00393568" w:rsidRPr="006D1890">
        <w:t xml:space="preserve">unger </w:t>
      </w:r>
      <w:r w:rsidR="00102451">
        <w:t>–</w:t>
      </w:r>
      <w:r w:rsidR="00393568" w:rsidRPr="006D1890">
        <w:t xml:space="preserve"> 16%;</w:t>
      </w:r>
    </w:p>
    <w:p w14:paraId="24F789A3" w14:textId="7AC3F828" w:rsidR="00393568" w:rsidRPr="006D1890" w:rsidRDefault="008D751B" w:rsidP="008D751B">
      <w:pPr>
        <w:pStyle w:val="SingleTxtG"/>
        <w:ind w:firstLine="567"/>
      </w:pPr>
      <w:r w:rsidRPr="006D1890">
        <w:t>(n)</w:t>
      </w:r>
      <w:r w:rsidRPr="006D1890">
        <w:tab/>
      </w:r>
      <w:r w:rsidR="00393568" w:rsidRPr="006D1890">
        <w:t xml:space="preserve">Goal 4: Quality </w:t>
      </w:r>
      <w:r w:rsidR="00102451">
        <w:t>e</w:t>
      </w:r>
      <w:r w:rsidR="00393568" w:rsidRPr="006D1890">
        <w:t xml:space="preserve">ducation </w:t>
      </w:r>
      <w:r w:rsidR="00102451">
        <w:t>–</w:t>
      </w:r>
      <w:r w:rsidR="00393568" w:rsidRPr="006D1890">
        <w:t xml:space="preserve"> 16%;</w:t>
      </w:r>
    </w:p>
    <w:p w14:paraId="4767FAD2" w14:textId="25515A0A" w:rsidR="00393568" w:rsidRPr="006D1890" w:rsidRDefault="008D751B" w:rsidP="008D751B">
      <w:pPr>
        <w:pStyle w:val="SingleTxtG"/>
        <w:ind w:firstLine="567"/>
      </w:pPr>
      <w:r w:rsidRPr="006D1890">
        <w:t>(o)</w:t>
      </w:r>
      <w:r w:rsidRPr="006D1890">
        <w:tab/>
      </w:r>
      <w:r w:rsidR="00393568" w:rsidRPr="006D1890">
        <w:t>Goal 16: Peace</w:t>
      </w:r>
      <w:r w:rsidR="00102451">
        <w:t>,</w:t>
      </w:r>
      <w:r w:rsidR="00393568" w:rsidRPr="006D1890">
        <w:t xml:space="preserve"> </w:t>
      </w:r>
      <w:r w:rsidR="00102451">
        <w:t>j</w:t>
      </w:r>
      <w:r w:rsidR="00393568" w:rsidRPr="006D1890">
        <w:t>ustice</w:t>
      </w:r>
      <w:r w:rsidR="00102451">
        <w:t xml:space="preserve"> and</w:t>
      </w:r>
      <w:r w:rsidR="00393568" w:rsidRPr="006D1890">
        <w:t xml:space="preserve"> </w:t>
      </w:r>
      <w:r w:rsidR="00102451">
        <w:t>s</w:t>
      </w:r>
      <w:r w:rsidR="00393568" w:rsidRPr="006D1890">
        <w:t xml:space="preserve">trong </w:t>
      </w:r>
      <w:r w:rsidR="00102451">
        <w:t>i</w:t>
      </w:r>
      <w:r w:rsidR="00393568" w:rsidRPr="006D1890">
        <w:t xml:space="preserve">nstitutions </w:t>
      </w:r>
      <w:r w:rsidR="00102451">
        <w:t>–</w:t>
      </w:r>
      <w:r w:rsidR="00393568" w:rsidRPr="006D1890">
        <w:t xml:space="preserve"> 8%;</w:t>
      </w:r>
    </w:p>
    <w:p w14:paraId="7B0E2480" w14:textId="113C2562" w:rsidR="00393568" w:rsidRPr="006D1890" w:rsidRDefault="008D751B" w:rsidP="008D751B">
      <w:pPr>
        <w:pStyle w:val="SingleTxtG"/>
        <w:ind w:firstLine="567"/>
      </w:pPr>
      <w:r w:rsidRPr="006D1890">
        <w:t>(p)</w:t>
      </w:r>
      <w:r w:rsidRPr="006D1890">
        <w:tab/>
      </w:r>
      <w:r w:rsidR="00393568" w:rsidRPr="006D1890">
        <w:t xml:space="preserve">Goal 1: No </w:t>
      </w:r>
      <w:r w:rsidR="00102451">
        <w:t>p</w:t>
      </w:r>
      <w:r w:rsidR="00393568" w:rsidRPr="006D1890">
        <w:t xml:space="preserve">overty </w:t>
      </w:r>
      <w:r w:rsidR="00102451">
        <w:t>–</w:t>
      </w:r>
      <w:r w:rsidR="00393568" w:rsidRPr="006D1890">
        <w:t xml:space="preserve"> 8%;</w:t>
      </w:r>
    </w:p>
    <w:p w14:paraId="689B3703" w14:textId="127D8F91" w:rsidR="00393568" w:rsidRPr="006D1890" w:rsidRDefault="008D751B" w:rsidP="008D751B">
      <w:pPr>
        <w:pStyle w:val="SingleTxtG"/>
        <w:ind w:firstLine="567"/>
      </w:pPr>
      <w:r w:rsidRPr="006D1890">
        <w:t>(q)</w:t>
      </w:r>
      <w:r w:rsidRPr="006D1890">
        <w:tab/>
      </w:r>
      <w:r w:rsidR="00393568" w:rsidRPr="006D1890">
        <w:t xml:space="preserve">Goal 10: Reduced </w:t>
      </w:r>
      <w:r w:rsidR="00102451">
        <w:t>i</w:t>
      </w:r>
      <w:r w:rsidR="00393568" w:rsidRPr="006D1890">
        <w:t>nequalit</w:t>
      </w:r>
      <w:r w:rsidR="00102451">
        <w:t>ies –</w:t>
      </w:r>
      <w:r w:rsidR="00393568" w:rsidRPr="006D1890">
        <w:t xml:space="preserve"> 3%;</w:t>
      </w:r>
    </w:p>
    <w:p w14:paraId="259A5950" w14:textId="547AA0BD" w:rsidR="00393568" w:rsidRPr="006D1890" w:rsidRDefault="008D751B" w:rsidP="008D751B">
      <w:pPr>
        <w:pStyle w:val="SingleTxtG"/>
        <w:ind w:firstLine="567"/>
      </w:pPr>
      <w:r w:rsidRPr="006D1890">
        <w:t>(r)</w:t>
      </w:r>
      <w:r w:rsidRPr="006D1890">
        <w:tab/>
      </w:r>
      <w:r w:rsidR="00393568" w:rsidRPr="006D1890">
        <w:t xml:space="preserve">Goal 5: Gender </w:t>
      </w:r>
      <w:r w:rsidR="00102451">
        <w:t>e</w:t>
      </w:r>
      <w:r w:rsidR="00393568" w:rsidRPr="006D1890">
        <w:t xml:space="preserve">quality </w:t>
      </w:r>
      <w:r w:rsidR="00102451">
        <w:t>–</w:t>
      </w:r>
      <w:r w:rsidR="00393568" w:rsidRPr="006D1890">
        <w:t xml:space="preserve"> 0%</w:t>
      </w:r>
      <w:r w:rsidR="00C7505F">
        <w:t>.</w:t>
      </w:r>
    </w:p>
    <w:p w14:paraId="2D612921" w14:textId="77777777" w:rsidR="00393568" w:rsidRPr="006D1890" w:rsidRDefault="008D751B" w:rsidP="008D751B">
      <w:pPr>
        <w:pStyle w:val="H23G"/>
      </w:pPr>
      <w:r w:rsidRPr="006D1890">
        <w:lastRenderedPageBreak/>
        <w:tab/>
      </w:r>
      <w:r w:rsidRPr="006D1890">
        <w:tab/>
      </w:r>
      <w:r w:rsidR="00393568" w:rsidRPr="006D1890">
        <w:t>Results of the reporting on the status of implementation of the commitments</w:t>
      </w:r>
    </w:p>
    <w:p w14:paraId="0373B361" w14:textId="2C7104F4" w:rsidR="00393568" w:rsidRPr="006D1890" w:rsidRDefault="00393568" w:rsidP="008D751B">
      <w:pPr>
        <w:pStyle w:val="SingleTxtG"/>
      </w:pPr>
      <w:r w:rsidRPr="006D1890">
        <w:t>28.</w:t>
      </w:r>
      <w:r w:rsidRPr="006D1890">
        <w:tab/>
        <w:t xml:space="preserve">Responses have been received from 23 </w:t>
      </w:r>
      <w:r w:rsidR="000C6B00">
        <w:t>G</w:t>
      </w:r>
      <w:r w:rsidRPr="006D1890">
        <w:t>overnments (85% of participating member States) and 8 organizations (62% of participating organi</w:t>
      </w:r>
      <w:r w:rsidR="000C6B00">
        <w:t>z</w:t>
      </w:r>
      <w:r w:rsidRPr="006D1890">
        <w:t xml:space="preserve">ations) </w:t>
      </w:r>
      <w:r w:rsidR="000C6B00">
        <w:t>–</w:t>
      </w:r>
      <w:r w:rsidRPr="006D1890">
        <w:t xml:space="preserve"> 78% of stakeholders overall (31 out of 40). </w:t>
      </w:r>
      <w:r w:rsidR="000C6B00">
        <w:t>I</w:t>
      </w:r>
      <w:r w:rsidRPr="006D1890">
        <w:t>nformation has been provided on 96 actions (77% of total commitments).</w:t>
      </w:r>
    </w:p>
    <w:p w14:paraId="2CBCF79C" w14:textId="6FB1ABF3" w:rsidR="00393568" w:rsidRPr="006D1890" w:rsidRDefault="00947575" w:rsidP="008D751B">
      <w:pPr>
        <w:pStyle w:val="SingleTxtG"/>
      </w:pPr>
      <w:r>
        <w:t>29</w:t>
      </w:r>
      <w:r w:rsidR="00393568" w:rsidRPr="006D1890">
        <w:t>.</w:t>
      </w:r>
      <w:r w:rsidR="00393568" w:rsidRPr="006D1890">
        <w:tab/>
      </w:r>
      <w:r w:rsidR="0012679D">
        <w:t xml:space="preserve">While for </w:t>
      </w:r>
      <w:r w:rsidR="004A6A2C">
        <w:t xml:space="preserve">each </w:t>
      </w:r>
      <w:r w:rsidR="00393568" w:rsidRPr="006D1890">
        <w:t xml:space="preserve">commitment </w:t>
      </w:r>
      <w:r w:rsidR="004A6A2C">
        <w:t xml:space="preserve">submitted a responsible </w:t>
      </w:r>
      <w:r w:rsidR="00393568" w:rsidRPr="006D1890">
        <w:t xml:space="preserve">contact point </w:t>
      </w:r>
      <w:r w:rsidR="004A6A2C">
        <w:t>is identified</w:t>
      </w:r>
      <w:r w:rsidR="0012679D">
        <w:t>,</w:t>
      </w:r>
      <w:r w:rsidR="00393568" w:rsidRPr="006D1890">
        <w:t xml:space="preserve"> the survey tool </w:t>
      </w:r>
      <w:r w:rsidR="0012679D">
        <w:t xml:space="preserve">was </w:t>
      </w:r>
      <w:r w:rsidR="00393568" w:rsidRPr="006D1890">
        <w:t>designed to allow for decentrali</w:t>
      </w:r>
      <w:r w:rsidR="004A6A2C">
        <w:t>z</w:t>
      </w:r>
      <w:r w:rsidR="00393568" w:rsidRPr="006D1890">
        <w:t>ed responses</w:t>
      </w:r>
      <w:r w:rsidR="004A6A2C">
        <w:t>, with</w:t>
      </w:r>
      <w:r w:rsidR="00393568" w:rsidRPr="006D1890">
        <w:t xml:space="preserve"> reports submitted on a “per commitment” basis. </w:t>
      </w:r>
      <w:r w:rsidR="001924A0" w:rsidRPr="006D1890">
        <w:t>Thus,</w:t>
      </w:r>
      <w:r w:rsidR="00393568" w:rsidRPr="006D1890">
        <w:t xml:space="preserve"> </w:t>
      </w:r>
      <w:r w:rsidR="004A6A2C">
        <w:t xml:space="preserve">in some cases </w:t>
      </w:r>
      <w:r w:rsidR="00393568" w:rsidRPr="006D1890">
        <w:t>more than one contributor</w:t>
      </w:r>
      <w:r w:rsidR="004A6A2C">
        <w:t xml:space="preserve"> has </w:t>
      </w:r>
      <w:r w:rsidR="00393568" w:rsidRPr="006D1890">
        <w:t>report</w:t>
      </w:r>
      <w:r w:rsidR="004A6A2C">
        <w:t>ed</w:t>
      </w:r>
      <w:r w:rsidR="00393568" w:rsidRPr="006D1890">
        <w:t xml:space="preserve"> on behalf of some stakeholders. As a result, 41 officials and experts representing 31 stakeholders contributed to the survey.</w:t>
      </w:r>
    </w:p>
    <w:p w14:paraId="6873F6A2" w14:textId="3E9E2618" w:rsidR="00393568" w:rsidRPr="006D1890" w:rsidRDefault="00947575" w:rsidP="008D751B">
      <w:pPr>
        <w:pStyle w:val="SingleTxtG"/>
      </w:pPr>
      <w:r>
        <w:t>30</w:t>
      </w:r>
      <w:r w:rsidR="00393568" w:rsidRPr="006D1890">
        <w:t>.</w:t>
      </w:r>
      <w:r w:rsidR="00393568" w:rsidRPr="006D1890">
        <w:tab/>
        <w:t>The status of implementation of the commitments is calculated based on the survey data. The survey question (“Has the commitment been implemented?”) identified three options: “Yes”, “In progress” and “No”. Due to this rather simpl</w:t>
      </w:r>
      <w:r w:rsidR="0012679D">
        <w:t>i</w:t>
      </w:r>
      <w:r w:rsidR="00ED21F5">
        <w:t>fied</w:t>
      </w:r>
      <w:r w:rsidR="00393568" w:rsidRPr="006D1890">
        <w:t xml:space="preserve"> approach, some respondents indicated both “Yes” and “In progress” for some commitments, meaning that the action </w:t>
      </w:r>
      <w:r w:rsidR="00DE33DA">
        <w:t xml:space="preserve">was </w:t>
      </w:r>
      <w:r w:rsidR="00393568" w:rsidRPr="006D1890">
        <w:t xml:space="preserve">implemented but </w:t>
      </w:r>
      <w:r w:rsidR="0012679D">
        <w:t xml:space="preserve">was </w:t>
      </w:r>
      <w:r w:rsidR="00DE33DA">
        <w:t xml:space="preserve">still </w:t>
      </w:r>
      <w:r w:rsidR="0012679D">
        <w:t>ongoing</w:t>
      </w:r>
      <w:r w:rsidR="00393568" w:rsidRPr="006D1890">
        <w:t>.</w:t>
      </w:r>
    </w:p>
    <w:p w14:paraId="43C99252" w14:textId="4B5B43D2" w:rsidR="00393568" w:rsidRPr="006D1890" w:rsidRDefault="00947575" w:rsidP="008D751B">
      <w:pPr>
        <w:pStyle w:val="SingleTxtG"/>
      </w:pPr>
      <w:r>
        <w:t>31</w:t>
      </w:r>
      <w:r w:rsidR="00393568" w:rsidRPr="006D1890">
        <w:t>.</w:t>
      </w:r>
      <w:r w:rsidR="00393568" w:rsidRPr="006D1890">
        <w:tab/>
        <w:t xml:space="preserve">The status </w:t>
      </w:r>
      <w:r w:rsidR="00F3776D">
        <w:t>(</w:t>
      </w:r>
      <w:r w:rsidR="00CC3874">
        <w:t xml:space="preserve">annex, </w:t>
      </w:r>
      <w:r w:rsidR="00CC3874" w:rsidRPr="006D1890">
        <w:t>figure</w:t>
      </w:r>
      <w:r w:rsidR="00F3776D">
        <w:t xml:space="preserve"> </w:t>
      </w:r>
      <w:r w:rsidR="005B3891">
        <w:t>VI</w:t>
      </w:r>
      <w:r w:rsidR="00F3776D">
        <w:t xml:space="preserve">) </w:t>
      </w:r>
      <w:r w:rsidR="00393568" w:rsidRPr="006D1890">
        <w:t xml:space="preserve">of 96 commitments (out of 124) </w:t>
      </w:r>
      <w:r w:rsidR="0012679D">
        <w:t xml:space="preserve">was </w:t>
      </w:r>
      <w:r w:rsidR="00393568" w:rsidRPr="006D1890">
        <w:t>reported</w:t>
      </w:r>
      <w:r w:rsidR="00393568" w:rsidRPr="006D1890">
        <w:rPr>
          <w:rStyle w:val="FootnoteReference"/>
        </w:rPr>
        <w:footnoteReference w:id="11"/>
      </w:r>
      <w:r w:rsidR="00393568" w:rsidRPr="006D1890">
        <w:t xml:space="preserve"> to the secretariat (77%). </w:t>
      </w:r>
      <w:r w:rsidR="0012679D">
        <w:t>The r</w:t>
      </w:r>
      <w:r w:rsidR="00393568" w:rsidRPr="006D1890">
        <w:t>eporting rate is the same 77</w:t>
      </w:r>
      <w:r w:rsidR="0012679D">
        <w:t>%–</w:t>
      </w:r>
      <w:r w:rsidR="00393568" w:rsidRPr="006D1890">
        <w:t xml:space="preserve">78% across various groups of stakeholders – </w:t>
      </w:r>
      <w:r w:rsidR="00DE33DA">
        <w:t>G</w:t>
      </w:r>
      <w:r w:rsidR="00393568" w:rsidRPr="006D1890">
        <w:t>overnments, non-government</w:t>
      </w:r>
      <w:r w:rsidR="00DE33DA">
        <w:t>al</w:t>
      </w:r>
      <w:r w:rsidR="00393568" w:rsidRPr="006D1890">
        <w:t xml:space="preserve"> entities, </w:t>
      </w:r>
      <w:r w:rsidR="00DE33DA">
        <w:t>G</w:t>
      </w:r>
      <w:r w:rsidR="00393568" w:rsidRPr="006D1890">
        <w:t xml:space="preserve">overnments of </w:t>
      </w:r>
      <w:r w:rsidR="0012679D">
        <w:t>European Union</w:t>
      </w:r>
      <w:r w:rsidR="00393568" w:rsidRPr="006D1890">
        <w:t xml:space="preserve"> member States, and </w:t>
      </w:r>
      <w:r w:rsidR="00DE33DA">
        <w:t>G</w:t>
      </w:r>
      <w:r w:rsidR="00393568" w:rsidRPr="006D1890">
        <w:t>overnments of Eastern Europe</w:t>
      </w:r>
      <w:r w:rsidR="00DE33DA">
        <w:t>an</w:t>
      </w:r>
      <w:r w:rsidR="00393568" w:rsidRPr="006D1890">
        <w:t>, Caucas</w:t>
      </w:r>
      <w:r w:rsidR="00DE33DA">
        <w:t>ian</w:t>
      </w:r>
      <w:r w:rsidR="00393568" w:rsidRPr="006D1890">
        <w:t xml:space="preserve"> and Central Asia</w:t>
      </w:r>
      <w:r w:rsidR="00DE33DA">
        <w:t>n</w:t>
      </w:r>
      <w:r w:rsidR="00393568" w:rsidRPr="006D1890">
        <w:t xml:space="preserve"> </w:t>
      </w:r>
      <w:r w:rsidR="00DE33DA">
        <w:t>S</w:t>
      </w:r>
      <w:r w:rsidR="00393568" w:rsidRPr="006D1890">
        <w:t>tates.</w:t>
      </w:r>
    </w:p>
    <w:p w14:paraId="26FF3C17" w14:textId="47CED358" w:rsidR="00393568" w:rsidRPr="006D1890" w:rsidRDefault="00947575" w:rsidP="008D751B">
      <w:pPr>
        <w:pStyle w:val="SingleTxtG"/>
      </w:pPr>
      <w:r>
        <w:t>32</w:t>
      </w:r>
      <w:r w:rsidR="00393568" w:rsidRPr="006D1890">
        <w:t>.</w:t>
      </w:r>
      <w:r w:rsidR="00393568" w:rsidRPr="006D1890">
        <w:tab/>
        <w:t xml:space="preserve">Only 4 commitments (4% of </w:t>
      </w:r>
      <w:r w:rsidR="0012679D">
        <w:t xml:space="preserve">those </w:t>
      </w:r>
      <w:r w:rsidR="00393568" w:rsidRPr="006D1890">
        <w:t xml:space="preserve">reported) have shown no implementation; </w:t>
      </w:r>
      <w:r w:rsidR="0012679D">
        <w:t xml:space="preserve">1 </w:t>
      </w:r>
      <w:r w:rsidR="00393568" w:rsidRPr="006D1890">
        <w:t>is reported as being both “in progress” and “not implemented”;</w:t>
      </w:r>
      <w:r w:rsidR="0012679D">
        <w:t xml:space="preserve"> </w:t>
      </w:r>
      <w:r w:rsidR="00393568" w:rsidRPr="006D1890">
        <w:t xml:space="preserve">49 (51%) are under implementation; 15 (16%) </w:t>
      </w:r>
      <w:r w:rsidR="0012679D">
        <w:t xml:space="preserve">are reported as being </w:t>
      </w:r>
      <w:r w:rsidR="00393568" w:rsidRPr="006D1890">
        <w:t xml:space="preserve">both “in progress” and “implemented”; and 28 commitments (29%) are </w:t>
      </w:r>
      <w:r w:rsidR="0012679D">
        <w:t xml:space="preserve">reported to be </w:t>
      </w:r>
      <w:r w:rsidR="00393568" w:rsidRPr="006D1890">
        <w:t>fully</w:t>
      </w:r>
      <w:r w:rsidR="0012679D">
        <w:t xml:space="preserve"> implemented</w:t>
      </w:r>
      <w:r w:rsidR="00393568" w:rsidRPr="006D1890">
        <w:t>.</w:t>
      </w:r>
    </w:p>
    <w:p w14:paraId="28B11234" w14:textId="4D42DF36" w:rsidR="00393568" w:rsidRPr="006D1890" w:rsidRDefault="00947575" w:rsidP="008D751B">
      <w:pPr>
        <w:pStyle w:val="SingleTxtG"/>
      </w:pPr>
      <w:r>
        <w:t>33</w:t>
      </w:r>
      <w:r w:rsidR="00393568" w:rsidRPr="006D1890">
        <w:t>.</w:t>
      </w:r>
      <w:r w:rsidR="00393568" w:rsidRPr="006D1890">
        <w:tab/>
        <w:t xml:space="preserve">Governments have reported on the status of 67 out of their 87 commitments (77%). </w:t>
      </w:r>
      <w:r w:rsidR="00326974">
        <w:t xml:space="preserve">Of these, </w:t>
      </w:r>
      <w:r w:rsidR="00393568" w:rsidRPr="006D1890">
        <w:t xml:space="preserve">2 </w:t>
      </w:r>
      <w:r w:rsidR="00C1322C">
        <w:t xml:space="preserve">commitments </w:t>
      </w:r>
      <w:r w:rsidR="00393568" w:rsidRPr="006D1890">
        <w:t xml:space="preserve">(3% of </w:t>
      </w:r>
      <w:r w:rsidR="00C1322C">
        <w:t xml:space="preserve">those </w:t>
      </w:r>
      <w:r w:rsidR="00393568" w:rsidRPr="006D1890">
        <w:t xml:space="preserve">reported </w:t>
      </w:r>
      <w:r w:rsidR="00C1322C">
        <w:t>by G</w:t>
      </w:r>
      <w:r w:rsidR="00393568" w:rsidRPr="006D1890">
        <w:t xml:space="preserve">overnments) have not progressed in implementation; </w:t>
      </w:r>
      <w:r w:rsidR="00C1322C">
        <w:t xml:space="preserve">1 </w:t>
      </w:r>
      <w:r w:rsidR="00393568" w:rsidRPr="006D1890">
        <w:t xml:space="preserve">is reported as being both “in progress” and “not implemented”; 35 (52%) are under implementation; 8 (12%) </w:t>
      </w:r>
      <w:r w:rsidR="00326974">
        <w:t xml:space="preserve">are reported as </w:t>
      </w:r>
      <w:r w:rsidR="00393568" w:rsidRPr="006D1890">
        <w:t>both “in progress” and “implemented”; and 23 commitments (33%) are fully</w:t>
      </w:r>
      <w:r w:rsidR="00326974">
        <w:t xml:space="preserve"> implemented</w:t>
      </w:r>
      <w:r w:rsidR="00393568" w:rsidRPr="006D1890">
        <w:t xml:space="preserve">. The status of implementation of the commitments from the </w:t>
      </w:r>
      <w:r w:rsidR="00326974">
        <w:t>European Union</w:t>
      </w:r>
      <w:r w:rsidR="00393568" w:rsidRPr="006D1890">
        <w:t xml:space="preserve"> member States is almost evenly split between “in progress” and “implemented”; however, </w:t>
      </w:r>
      <w:r w:rsidR="00326974">
        <w:t xml:space="preserve">for </w:t>
      </w:r>
      <w:r w:rsidR="00393568" w:rsidRPr="006D1890">
        <w:t xml:space="preserve">the </w:t>
      </w:r>
      <w:r w:rsidR="00326974">
        <w:t>G</w:t>
      </w:r>
      <w:r w:rsidR="00393568" w:rsidRPr="006D1890">
        <w:t xml:space="preserve">overnments of </w:t>
      </w:r>
      <w:r w:rsidR="00326974">
        <w:t xml:space="preserve">States in </w:t>
      </w:r>
      <w:r w:rsidR="00393568" w:rsidRPr="006D1890">
        <w:t xml:space="preserve">Eastern Europe, </w:t>
      </w:r>
      <w:r w:rsidR="00326974">
        <w:t xml:space="preserve">the </w:t>
      </w:r>
      <w:r w:rsidR="00393568" w:rsidRPr="006D1890">
        <w:t xml:space="preserve">Caucasus and Central Asia </w:t>
      </w:r>
      <w:r w:rsidR="00326974" w:rsidRPr="006D1890">
        <w:t xml:space="preserve">this ratio is </w:t>
      </w:r>
      <w:r w:rsidR="00AE0552">
        <w:t xml:space="preserve">3 </w:t>
      </w:r>
      <w:r w:rsidR="00326974" w:rsidRPr="006D1890">
        <w:t>to</w:t>
      </w:r>
      <w:r w:rsidR="00AE0552">
        <w:t xml:space="preserve"> 1</w:t>
      </w:r>
      <w:r w:rsidR="00393568" w:rsidRPr="006D1890">
        <w:t>.</w:t>
      </w:r>
    </w:p>
    <w:p w14:paraId="2C14122F" w14:textId="46A22444" w:rsidR="00393568" w:rsidRPr="006D1890" w:rsidRDefault="00947575" w:rsidP="008D751B">
      <w:pPr>
        <w:pStyle w:val="SingleTxtG"/>
      </w:pPr>
      <w:r>
        <w:t>34</w:t>
      </w:r>
      <w:r w:rsidR="00393568" w:rsidRPr="006D1890">
        <w:t>.</w:t>
      </w:r>
      <w:r w:rsidR="00393568" w:rsidRPr="006D1890">
        <w:tab/>
        <w:t>Non-government</w:t>
      </w:r>
      <w:r w:rsidR="00326974">
        <w:t>al</w:t>
      </w:r>
      <w:r w:rsidR="00393568" w:rsidRPr="006D1890">
        <w:t xml:space="preserve"> stakeholders reported on the status of 29 out of 37 commitments (78%). </w:t>
      </w:r>
      <w:r w:rsidR="00326974">
        <w:t xml:space="preserve">Of these, 3 </w:t>
      </w:r>
      <w:r w:rsidR="00393568" w:rsidRPr="006D1890">
        <w:t xml:space="preserve">(10% of </w:t>
      </w:r>
      <w:r w:rsidR="00326974">
        <w:t xml:space="preserve">those </w:t>
      </w:r>
      <w:r w:rsidR="00393568" w:rsidRPr="006D1890">
        <w:t xml:space="preserve">reported) have not progressed in implementation; 14 (48%) are under implementation; 7 (24%) </w:t>
      </w:r>
      <w:r w:rsidR="00326974">
        <w:t xml:space="preserve">are reported as </w:t>
      </w:r>
      <w:r w:rsidR="00393568" w:rsidRPr="006D1890">
        <w:t>both “in progress” and “implemented”; and 5 commitments (17%) are fully</w:t>
      </w:r>
      <w:r w:rsidR="00326974">
        <w:t xml:space="preserve"> implemented</w:t>
      </w:r>
      <w:r w:rsidR="00393568" w:rsidRPr="006D1890">
        <w:t>.</w:t>
      </w:r>
    </w:p>
    <w:p w14:paraId="190A5EE2" w14:textId="77777777" w:rsidR="00393568" w:rsidRPr="006D1890" w:rsidRDefault="008D751B" w:rsidP="008D751B">
      <w:pPr>
        <w:pStyle w:val="H23G"/>
      </w:pPr>
      <w:r w:rsidRPr="006D1890">
        <w:tab/>
      </w:r>
      <w:r w:rsidRPr="006D1890">
        <w:tab/>
      </w:r>
      <w:r w:rsidR="00393568" w:rsidRPr="006D1890">
        <w:t>Value of the Batumi Initiative on Green Economy</w:t>
      </w:r>
    </w:p>
    <w:p w14:paraId="3DE6B45B" w14:textId="20D0C783" w:rsidR="00393568" w:rsidRPr="006D1890" w:rsidRDefault="00947575" w:rsidP="008D751B">
      <w:pPr>
        <w:pStyle w:val="SingleTxtG"/>
      </w:pPr>
      <w:r>
        <w:t>35</w:t>
      </w:r>
      <w:r w:rsidR="00393568" w:rsidRPr="006D1890">
        <w:t>.</w:t>
      </w:r>
      <w:r w:rsidR="00393568" w:rsidRPr="006D1890">
        <w:tab/>
      </w:r>
      <w:r w:rsidR="00214D7E">
        <w:t xml:space="preserve">Out of </w:t>
      </w:r>
      <w:r w:rsidR="00393568" w:rsidRPr="006D1890">
        <w:t xml:space="preserve">35 respondents </w:t>
      </w:r>
      <w:r w:rsidR="00214D7E">
        <w:t xml:space="preserve">that </w:t>
      </w:r>
      <w:r w:rsidR="00393568" w:rsidRPr="006D1890">
        <w:t xml:space="preserve">expressed their opinion on the statement </w:t>
      </w:r>
      <w:r w:rsidR="001924A0" w:rsidRPr="006D1890">
        <w:t>“</w:t>
      </w:r>
      <w:r w:rsidR="00393568" w:rsidRPr="006D1890">
        <w:t>the Batumi Initiative on Green Economy is useful in supporting transitioning to green economy in the Pan-European region”</w:t>
      </w:r>
      <w:r w:rsidR="00214D7E">
        <w:t>,</w:t>
      </w:r>
      <w:r w:rsidR="00393568" w:rsidRPr="006D1890">
        <w:t xml:space="preserve"> 34 (97%) agreed to it either strongly (18 responses</w:t>
      </w:r>
      <w:r w:rsidR="00214D7E">
        <w:t xml:space="preserve"> or </w:t>
      </w:r>
      <w:r w:rsidR="00393568" w:rsidRPr="006D1890">
        <w:t>51%) or somewhat (16</w:t>
      </w:r>
      <w:r w:rsidR="00214D7E">
        <w:t xml:space="preserve"> respondents or</w:t>
      </w:r>
      <w:r w:rsidR="00393568" w:rsidRPr="006D1890">
        <w:t xml:space="preserve"> 46%), and </w:t>
      </w:r>
      <w:r w:rsidR="00214D7E">
        <w:t xml:space="preserve">1 </w:t>
      </w:r>
      <w:r w:rsidR="00393568" w:rsidRPr="006D1890">
        <w:t xml:space="preserve">respondent was neutral. In addition, three respondents </w:t>
      </w:r>
      <w:r w:rsidR="00214D7E">
        <w:t xml:space="preserve">had </w:t>
      </w:r>
      <w:r w:rsidR="00393568" w:rsidRPr="006D1890">
        <w:t xml:space="preserve">“no opinion”, and two respondents made written comments. The agreement was stronger </w:t>
      </w:r>
      <w:r w:rsidR="00214D7E">
        <w:t xml:space="preserve">for </w:t>
      </w:r>
      <w:r w:rsidR="00393568" w:rsidRPr="006D1890">
        <w:t xml:space="preserve">the government respondents from Eastern Europe, </w:t>
      </w:r>
      <w:r w:rsidR="00214D7E">
        <w:t xml:space="preserve">the </w:t>
      </w:r>
      <w:r w:rsidR="00393568" w:rsidRPr="006D1890">
        <w:t xml:space="preserve">Caucasus and Central Asia and </w:t>
      </w:r>
      <w:r w:rsidR="00056F2D">
        <w:t xml:space="preserve">for the </w:t>
      </w:r>
      <w:r w:rsidR="00393568" w:rsidRPr="006D1890">
        <w:t>respondents from organi</w:t>
      </w:r>
      <w:r w:rsidR="00056F2D">
        <w:t>z</w:t>
      </w:r>
      <w:r w:rsidR="00393568" w:rsidRPr="006D1890">
        <w:t>ations</w:t>
      </w:r>
      <w:r w:rsidR="00D008BC">
        <w:t>,</w:t>
      </w:r>
      <w:r w:rsidR="00393568" w:rsidRPr="006D1890">
        <w:t xml:space="preserve"> </w:t>
      </w:r>
      <w:r w:rsidR="00056F2D">
        <w:t xml:space="preserve">with </w:t>
      </w:r>
      <w:r w:rsidR="00393568" w:rsidRPr="006D1890">
        <w:t xml:space="preserve">two thirds </w:t>
      </w:r>
      <w:r w:rsidR="00056F2D">
        <w:t xml:space="preserve">of </w:t>
      </w:r>
      <w:r w:rsidR="00393568" w:rsidRPr="006D1890">
        <w:t>each group agree</w:t>
      </w:r>
      <w:r w:rsidR="00056F2D">
        <w:t>ing</w:t>
      </w:r>
      <w:r w:rsidR="00393568" w:rsidRPr="006D1890">
        <w:t xml:space="preserve"> strongly </w:t>
      </w:r>
      <w:r w:rsidR="00056F2D">
        <w:t xml:space="preserve">with </w:t>
      </w:r>
      <w:r w:rsidR="00393568" w:rsidRPr="006D1890">
        <w:t>the statement.</w:t>
      </w:r>
    </w:p>
    <w:p w14:paraId="56A1DFFF" w14:textId="77777777" w:rsidR="00393568" w:rsidRPr="006D1890" w:rsidRDefault="00393568" w:rsidP="00F902FB">
      <w:pPr>
        <w:pStyle w:val="HChG"/>
      </w:pPr>
      <w:r w:rsidRPr="00EE3CEC">
        <w:lastRenderedPageBreak/>
        <w:tab/>
      </w:r>
      <w:r w:rsidRPr="006D1890">
        <w:t>II.</w:t>
      </w:r>
      <w:r w:rsidRPr="006D1890">
        <w:tab/>
        <w:t>Conclusions: lessons and challenges</w:t>
      </w:r>
    </w:p>
    <w:p w14:paraId="1B1B2AC8" w14:textId="11A50444" w:rsidR="00393568" w:rsidRPr="006D1890" w:rsidRDefault="00393568" w:rsidP="00F902FB">
      <w:pPr>
        <w:pStyle w:val="SingleTxtG"/>
      </w:pPr>
      <w:r w:rsidRPr="006D1890">
        <w:t>36.</w:t>
      </w:r>
      <w:r w:rsidRPr="006D1890">
        <w:tab/>
        <w:t xml:space="preserve">The theme of greening the economy continues to attract lasting interest from the ECE member States. Already two </w:t>
      </w:r>
      <w:r w:rsidR="00056F2D">
        <w:t>m</w:t>
      </w:r>
      <w:r w:rsidRPr="006D1890">
        <w:t xml:space="preserve">inisterial </w:t>
      </w:r>
      <w:r w:rsidR="00056F2D">
        <w:t>c</w:t>
      </w:r>
      <w:r w:rsidRPr="006D1890">
        <w:t xml:space="preserve">onferences of the Environment for Europe process (Astana, 2011, and Batumi, 2016) have addressed this topic as one of the two main themes. </w:t>
      </w:r>
      <w:r w:rsidR="00056F2D">
        <w:t xml:space="preserve">The </w:t>
      </w:r>
      <w:r w:rsidRPr="006D1890">
        <w:t xml:space="preserve">Pan-European Strategic Framework for Greening the Economy and its operationalizing Batumi Initiative on Green Economy are </w:t>
      </w:r>
      <w:r w:rsidR="00056F2D">
        <w:t xml:space="preserve">the </w:t>
      </w:r>
      <w:r w:rsidRPr="006D1890">
        <w:t xml:space="preserve">logical result of those efforts. The Initiative remains open to new participants </w:t>
      </w:r>
      <w:r w:rsidR="00D008BC">
        <w:t xml:space="preserve">and </w:t>
      </w:r>
      <w:r w:rsidRPr="006D1890">
        <w:t>to the new commitments from the existing participants.</w:t>
      </w:r>
    </w:p>
    <w:p w14:paraId="4C2F5C0B" w14:textId="3B3CB227" w:rsidR="00393568" w:rsidRPr="006D1890" w:rsidRDefault="00393568" w:rsidP="007C389C">
      <w:pPr>
        <w:pStyle w:val="SingleTxtG"/>
      </w:pPr>
      <w:r w:rsidRPr="006D1890">
        <w:t>37.</w:t>
      </w:r>
      <w:r w:rsidRPr="006D1890">
        <w:tab/>
        <w:t xml:space="preserve">The </w:t>
      </w:r>
      <w:r w:rsidR="00056F2D">
        <w:t xml:space="preserve">survey demonstrated that the </w:t>
      </w:r>
      <w:r w:rsidRPr="006D1890">
        <w:t xml:space="preserve">Batumi Initiative </w:t>
      </w:r>
      <w:r w:rsidR="00056F2D">
        <w:t xml:space="preserve">is a </w:t>
      </w:r>
      <w:r w:rsidRPr="006D1890">
        <w:t xml:space="preserve">useful </w:t>
      </w:r>
      <w:r w:rsidR="00056F2D">
        <w:t xml:space="preserve">tool to </w:t>
      </w:r>
      <w:r w:rsidRPr="006D1890">
        <w:t>operationaliz</w:t>
      </w:r>
      <w:r w:rsidR="00056F2D">
        <w:t>e</w:t>
      </w:r>
      <w:r w:rsidRPr="006D1890">
        <w:t xml:space="preserve"> the Strategic Framework</w:t>
      </w:r>
      <w:r w:rsidR="00056F2D">
        <w:t xml:space="preserve">, as </w:t>
      </w:r>
      <w:r w:rsidRPr="006D1890">
        <w:t xml:space="preserve">97% of those that </w:t>
      </w:r>
      <w:r w:rsidR="00056F2D">
        <w:t xml:space="preserve">responded declared it to be </w:t>
      </w:r>
      <w:r w:rsidRPr="006D1890">
        <w:t>useful in supporting transitioning to green economy in the Pan-European region</w:t>
      </w:r>
      <w:r w:rsidR="00056F2D">
        <w:t>. However, t</w:t>
      </w:r>
      <w:r w:rsidRPr="006D1890">
        <w:t>here</w:t>
      </w:r>
      <w:r w:rsidR="00056F2D">
        <w:t xml:space="preserve"> </w:t>
      </w:r>
      <w:r w:rsidR="00D008BC">
        <w:t xml:space="preserve">is </w:t>
      </w:r>
      <w:r w:rsidRPr="006D1890">
        <w:t xml:space="preserve">also </w:t>
      </w:r>
      <w:r w:rsidR="00D008BC">
        <w:t xml:space="preserve">a </w:t>
      </w:r>
      <w:r w:rsidRPr="006D1890">
        <w:t xml:space="preserve">noticeable difference </w:t>
      </w:r>
      <w:r w:rsidR="00D008BC">
        <w:t xml:space="preserve">among the groups of </w:t>
      </w:r>
      <w:r w:rsidRPr="006D1890">
        <w:t xml:space="preserve">respondents: the government respondents from Eastern Europe, </w:t>
      </w:r>
      <w:r w:rsidR="00056F2D">
        <w:t xml:space="preserve">the </w:t>
      </w:r>
      <w:r w:rsidRPr="006D1890">
        <w:t>Caucasus, and Central Asia and respondents from organi</w:t>
      </w:r>
      <w:r w:rsidR="00056F2D">
        <w:t>z</w:t>
      </w:r>
      <w:r w:rsidRPr="006D1890">
        <w:t xml:space="preserve">ations </w:t>
      </w:r>
      <w:r w:rsidR="00056F2D">
        <w:t xml:space="preserve">strongly endorsed the Initiative as useful, whereas respondents from </w:t>
      </w:r>
      <w:r w:rsidRPr="006D1890">
        <w:t xml:space="preserve">the </w:t>
      </w:r>
      <w:r w:rsidR="00056F2D">
        <w:t>European Union</w:t>
      </w:r>
      <w:r w:rsidRPr="006D1890">
        <w:t xml:space="preserve"> Governments’ group</w:t>
      </w:r>
      <w:r w:rsidR="00056F2D">
        <w:t xml:space="preserve">, although </w:t>
      </w:r>
      <w:r w:rsidRPr="006D1890">
        <w:t xml:space="preserve">also </w:t>
      </w:r>
      <w:r w:rsidR="001924A0" w:rsidRPr="006D1890">
        <w:t>positive,</w:t>
      </w:r>
      <w:r w:rsidRPr="006D1890">
        <w:t xml:space="preserve"> </w:t>
      </w:r>
      <w:r w:rsidR="00056F2D">
        <w:t xml:space="preserve">found </w:t>
      </w:r>
      <w:r w:rsidRPr="006D1890">
        <w:t xml:space="preserve">the process </w:t>
      </w:r>
      <w:r w:rsidR="00056F2D">
        <w:t xml:space="preserve">to be </w:t>
      </w:r>
      <w:r w:rsidRPr="006D1890">
        <w:t xml:space="preserve">“somewhat” useful </w:t>
      </w:r>
      <w:r w:rsidR="00056F2D">
        <w:t xml:space="preserve">rather </w:t>
      </w:r>
      <w:r w:rsidRPr="006D1890">
        <w:t xml:space="preserve">than “strongly” </w:t>
      </w:r>
      <w:r w:rsidR="00056F2D">
        <w:t>so</w:t>
      </w:r>
      <w:r w:rsidRPr="006D1890">
        <w:t>. This may be the consequence of the existing set</w:t>
      </w:r>
      <w:r w:rsidR="00056F2D">
        <w:t>-</w:t>
      </w:r>
      <w:r w:rsidRPr="006D1890">
        <w:t>up of regional</w:t>
      </w:r>
      <w:r w:rsidR="00056F2D">
        <w:t xml:space="preserve"> and </w:t>
      </w:r>
      <w:r w:rsidRPr="006D1890">
        <w:t>transboundary cooperation in general</w:t>
      </w:r>
      <w:r w:rsidR="00056F2D">
        <w:t>,</w:t>
      </w:r>
      <w:r w:rsidRPr="006D1890">
        <w:t xml:space="preserve"> with its current distribution of sources and recipients of both experience and funding.</w:t>
      </w:r>
    </w:p>
    <w:p w14:paraId="4FEAEF22" w14:textId="6521355A" w:rsidR="00393568" w:rsidRPr="006D1890" w:rsidRDefault="00393568" w:rsidP="00F902FB">
      <w:pPr>
        <w:pStyle w:val="SingleTxtG"/>
      </w:pPr>
      <w:r w:rsidRPr="006D1890">
        <w:t>38.</w:t>
      </w:r>
      <w:r w:rsidRPr="006D1890">
        <w:tab/>
        <w:t xml:space="preserve">The reasonably high rate of response to the reporting survey </w:t>
      </w:r>
      <w:r w:rsidR="00056F2D">
        <w:t xml:space="preserve">makes it possible to </w:t>
      </w:r>
      <w:r w:rsidRPr="006D1890">
        <w:t>draw the following conclusions on the progress in the implementation of voluntary commitments</w:t>
      </w:r>
      <w:r w:rsidR="00056F2D">
        <w:t xml:space="preserve"> </w:t>
      </w:r>
      <w:r w:rsidR="00056F2D" w:rsidRPr="006D1890">
        <w:t xml:space="preserve">with </w:t>
      </w:r>
      <w:r w:rsidR="00056F2D">
        <w:t xml:space="preserve">a </w:t>
      </w:r>
      <w:r w:rsidR="00056F2D" w:rsidRPr="006D1890">
        <w:t>sufficient degree of confidence</w:t>
      </w:r>
      <w:r w:rsidRPr="006D1890">
        <w:t>:</w:t>
      </w:r>
    </w:p>
    <w:p w14:paraId="02E4BCBA" w14:textId="21B2F4C0" w:rsidR="00393568" w:rsidRPr="006D1890" w:rsidRDefault="00F902FB" w:rsidP="00F902FB">
      <w:pPr>
        <w:pStyle w:val="SingleTxtG"/>
        <w:ind w:firstLine="567"/>
      </w:pPr>
      <w:r w:rsidRPr="006D1890">
        <w:t>(a)</w:t>
      </w:r>
      <w:r w:rsidRPr="006D1890">
        <w:tab/>
      </w:r>
      <w:r w:rsidR="00393568" w:rsidRPr="006D1890">
        <w:t xml:space="preserve">As a whole, the </w:t>
      </w:r>
      <w:proofErr w:type="gramStart"/>
      <w:r w:rsidR="00393568" w:rsidRPr="006D1890">
        <w:t>pan</w:t>
      </w:r>
      <w:proofErr w:type="gramEnd"/>
      <w:r w:rsidR="00393568" w:rsidRPr="006D1890">
        <w:t>-European region is actively implementing measures to</w:t>
      </w:r>
      <w:r w:rsidR="000B2DA0">
        <w:t xml:space="preserve"> build</w:t>
      </w:r>
      <w:r w:rsidR="00393568" w:rsidRPr="006D1890">
        <w:t xml:space="preserve"> </w:t>
      </w:r>
      <w:r w:rsidR="00D008BC">
        <w:t xml:space="preserve">a </w:t>
      </w:r>
      <w:r w:rsidR="000B2DA0">
        <w:t>g</w:t>
      </w:r>
      <w:r w:rsidR="00393568" w:rsidRPr="006D1890">
        <w:t xml:space="preserve">reen </w:t>
      </w:r>
      <w:r w:rsidR="000B2DA0">
        <w:t>e</w:t>
      </w:r>
      <w:r w:rsidR="00393568" w:rsidRPr="006D1890">
        <w:t>conomy</w:t>
      </w:r>
      <w:r w:rsidR="000B2DA0">
        <w:t xml:space="preserve">, as demonstrated by the fairly even </w:t>
      </w:r>
      <w:r w:rsidR="00393568" w:rsidRPr="006D1890">
        <w:t>geographical distribution of stakeholders with commitments across the region;</w:t>
      </w:r>
    </w:p>
    <w:p w14:paraId="1C28E917" w14:textId="5044009A" w:rsidR="00393568" w:rsidRPr="006D1890" w:rsidRDefault="00F902FB" w:rsidP="00F902FB">
      <w:pPr>
        <w:pStyle w:val="SingleTxtG"/>
        <w:ind w:firstLine="567"/>
      </w:pPr>
      <w:r w:rsidRPr="006D1890">
        <w:t>(b)</w:t>
      </w:r>
      <w:r w:rsidRPr="006D1890">
        <w:tab/>
      </w:r>
      <w:r w:rsidR="00393568" w:rsidRPr="006D1890">
        <w:t>The analysis of the objectives and focus areas of the commitments indicat</w:t>
      </w:r>
      <w:r w:rsidR="000B2DA0">
        <w:t>e</w:t>
      </w:r>
      <w:r w:rsidR="00393568" w:rsidRPr="006D1890">
        <w:t xml:space="preserve"> that:</w:t>
      </w:r>
    </w:p>
    <w:p w14:paraId="6882CFB4" w14:textId="3A3D5E75" w:rsidR="00393568" w:rsidRPr="006D1890" w:rsidRDefault="00F902FB" w:rsidP="00EE3CEC">
      <w:pPr>
        <w:pStyle w:val="SingleTxtG"/>
        <w:ind w:left="1701"/>
      </w:pPr>
      <w:r w:rsidRPr="006D1890">
        <w:t>(</w:t>
      </w:r>
      <w:proofErr w:type="spellStart"/>
      <w:r w:rsidRPr="006D1890">
        <w:t>i</w:t>
      </w:r>
      <w:proofErr w:type="spellEnd"/>
      <w:r w:rsidRPr="006D1890">
        <w:t>)</w:t>
      </w:r>
      <w:r w:rsidRPr="006D1890">
        <w:tab/>
      </w:r>
      <w:r w:rsidR="00393568" w:rsidRPr="006D1890">
        <w:t xml:space="preserve">A default government approach to a </w:t>
      </w:r>
      <w:r w:rsidR="000B2DA0">
        <w:t>g</w:t>
      </w:r>
      <w:r w:rsidR="00393568" w:rsidRPr="006D1890">
        <w:t xml:space="preserve">reen </w:t>
      </w:r>
      <w:r w:rsidR="000B2DA0">
        <w:t>e</w:t>
      </w:r>
      <w:r w:rsidR="00393568" w:rsidRPr="006D1890">
        <w:t xml:space="preserve">conomy action </w:t>
      </w:r>
      <w:r w:rsidR="000B2DA0">
        <w:t xml:space="preserve">is that it should have </w:t>
      </w:r>
      <w:r w:rsidR="00393568" w:rsidRPr="006D1890">
        <w:t xml:space="preserve">principally economic objectives, often supplemented </w:t>
      </w:r>
      <w:r w:rsidR="000B2DA0">
        <w:t xml:space="preserve">by </w:t>
      </w:r>
      <w:r w:rsidR="00393568" w:rsidRPr="006D1890">
        <w:t>calculated environmental (rarely social) effects</w:t>
      </w:r>
      <w:r w:rsidR="000B2DA0">
        <w:t>.</w:t>
      </w:r>
      <w:r w:rsidR="00393568" w:rsidRPr="006D1890">
        <w:t xml:space="preserve"> </w:t>
      </w:r>
      <w:r w:rsidR="000B2DA0">
        <w:t>W</w:t>
      </w:r>
      <w:r w:rsidR="00393568" w:rsidRPr="006D1890">
        <w:t xml:space="preserve">hile this approach is not inconsistent with the definition of </w:t>
      </w:r>
      <w:r w:rsidR="000B2DA0">
        <w:t>g</w:t>
      </w:r>
      <w:r w:rsidR="00393568" w:rsidRPr="006D1890">
        <w:t xml:space="preserve">reen </w:t>
      </w:r>
      <w:r w:rsidR="000B2DA0">
        <w:t>e</w:t>
      </w:r>
      <w:r w:rsidR="00393568" w:rsidRPr="006D1890">
        <w:t xml:space="preserve">conomy, the reasons and consequences of a relative lack of social ambitions </w:t>
      </w:r>
      <w:r w:rsidR="000B2DA0">
        <w:t xml:space="preserve">could </w:t>
      </w:r>
      <w:r w:rsidR="00393568" w:rsidRPr="006D1890">
        <w:t>be a subject for further discussions;</w:t>
      </w:r>
    </w:p>
    <w:p w14:paraId="7D670DA5" w14:textId="6A0B61F4" w:rsidR="00393568" w:rsidRPr="006D1890" w:rsidRDefault="00F902FB" w:rsidP="00EE3CEC">
      <w:pPr>
        <w:pStyle w:val="SingleTxtG"/>
        <w:ind w:left="1701"/>
      </w:pPr>
      <w:r w:rsidRPr="006D1890">
        <w:t>(ii)</w:t>
      </w:r>
      <w:r w:rsidRPr="006D1890">
        <w:tab/>
      </w:r>
      <w:r w:rsidR="00393568" w:rsidRPr="006D1890">
        <w:t xml:space="preserve">Sustainable consumption and production themes </w:t>
      </w:r>
      <w:r w:rsidR="000B2DA0">
        <w:t xml:space="preserve">are the major focus </w:t>
      </w:r>
      <w:r w:rsidR="00393568" w:rsidRPr="006D1890">
        <w:t xml:space="preserve">of the </w:t>
      </w:r>
      <w:r w:rsidR="000B2DA0">
        <w:t>g</w:t>
      </w:r>
      <w:r w:rsidR="00393568" w:rsidRPr="006D1890">
        <w:t xml:space="preserve">reen </w:t>
      </w:r>
      <w:r w:rsidR="000B2DA0">
        <w:t>e</w:t>
      </w:r>
      <w:r w:rsidR="00393568" w:rsidRPr="006D1890">
        <w:t xml:space="preserve">conomy </w:t>
      </w:r>
      <w:r w:rsidR="000B2DA0">
        <w:t xml:space="preserve">actions for </w:t>
      </w:r>
      <w:r w:rsidR="00393568" w:rsidRPr="006D1890">
        <w:t>both government and non-government</w:t>
      </w:r>
      <w:r w:rsidR="000B2DA0">
        <w:t>al</w:t>
      </w:r>
      <w:r w:rsidR="00393568" w:rsidRPr="006D1890">
        <w:t xml:space="preserve"> stakeholders, with green jobs and </w:t>
      </w:r>
      <w:r w:rsidR="00D008BC">
        <w:t xml:space="preserve">green </w:t>
      </w:r>
      <w:r w:rsidR="00393568" w:rsidRPr="006D1890">
        <w:t>trade being unpopular. This pattern can be partially explained</w:t>
      </w:r>
      <w:r w:rsidR="000B2DA0">
        <w:t>,</w:t>
      </w:r>
      <w:r w:rsidR="00393568" w:rsidRPr="006D1890">
        <w:t xml:space="preserve"> on </w:t>
      </w:r>
      <w:r w:rsidR="000B2DA0">
        <w:t xml:space="preserve">the </w:t>
      </w:r>
      <w:r w:rsidR="00393568" w:rsidRPr="006D1890">
        <w:t>one hand</w:t>
      </w:r>
      <w:r w:rsidR="000B2DA0">
        <w:t>,</w:t>
      </w:r>
      <w:r w:rsidR="00393568" w:rsidRPr="006D1890">
        <w:t xml:space="preserve"> by </w:t>
      </w:r>
      <w:r w:rsidR="000B2DA0">
        <w:t xml:space="preserve">greater </w:t>
      </w:r>
      <w:r w:rsidR="00393568" w:rsidRPr="006D1890">
        <w:t xml:space="preserve">experience of government in </w:t>
      </w:r>
      <w:r w:rsidR="000B2DA0">
        <w:t xml:space="preserve">regulating consumption and production </w:t>
      </w:r>
      <w:r w:rsidR="00393568" w:rsidRPr="006D1890">
        <w:t>and</w:t>
      </w:r>
      <w:r w:rsidR="000B2DA0">
        <w:t>,</w:t>
      </w:r>
      <w:r w:rsidR="00393568" w:rsidRPr="006D1890">
        <w:t xml:space="preserve"> on </w:t>
      </w:r>
      <w:r w:rsidR="000B2DA0">
        <w:t>the other,</w:t>
      </w:r>
      <w:r w:rsidR="00393568" w:rsidRPr="006D1890">
        <w:t xml:space="preserve"> by the </w:t>
      </w:r>
      <w:r w:rsidR="000B2DA0">
        <w:t xml:space="preserve">drive </w:t>
      </w:r>
      <w:r w:rsidR="00393568" w:rsidRPr="006D1890">
        <w:t xml:space="preserve">to achieve fiscal neutrality or even surplus. </w:t>
      </w:r>
      <w:r w:rsidR="000B2DA0">
        <w:t>A</w:t>
      </w:r>
      <w:r w:rsidR="00393568" w:rsidRPr="006D1890">
        <w:t xml:space="preserve">ctions in </w:t>
      </w:r>
      <w:r w:rsidR="001B360D">
        <w:t xml:space="preserve">the less popular </w:t>
      </w:r>
      <w:r w:rsidR="00393568" w:rsidRPr="006D1890">
        <w:t xml:space="preserve">areas might </w:t>
      </w:r>
      <w:r w:rsidR="00D008BC">
        <w:t xml:space="preserve">also </w:t>
      </w:r>
      <w:r w:rsidR="001B360D">
        <w:t xml:space="preserve">require </w:t>
      </w:r>
      <w:r w:rsidR="00393568" w:rsidRPr="006D1890">
        <w:t xml:space="preserve">innovative instruments that </w:t>
      </w:r>
      <w:r w:rsidR="001B360D">
        <w:t xml:space="preserve">are </w:t>
      </w:r>
      <w:r w:rsidR="00393568" w:rsidRPr="006D1890">
        <w:t xml:space="preserve">either relatively less </w:t>
      </w:r>
      <w:r w:rsidRPr="006D1890">
        <w:t>tested or</w:t>
      </w:r>
      <w:r w:rsidR="00393568" w:rsidRPr="006D1890">
        <w:t xml:space="preserve"> require significant </w:t>
      </w:r>
      <w:r w:rsidR="001B360D">
        <w:t xml:space="preserve">initial </w:t>
      </w:r>
      <w:r w:rsidR="00393568" w:rsidRPr="006D1890">
        <w:t>investment</w:t>
      </w:r>
      <w:r w:rsidR="001B360D">
        <w:t>;</w:t>
      </w:r>
    </w:p>
    <w:p w14:paraId="75836A4D" w14:textId="1902DA0A" w:rsidR="00393568" w:rsidRPr="006D1890" w:rsidRDefault="00F902FB" w:rsidP="00F902FB">
      <w:pPr>
        <w:pStyle w:val="SingleTxtG"/>
        <w:ind w:firstLine="567"/>
      </w:pPr>
      <w:r w:rsidRPr="006D1890">
        <w:t>(c)</w:t>
      </w:r>
      <w:r w:rsidRPr="006D1890">
        <w:tab/>
      </w:r>
      <w:r w:rsidR="00393568" w:rsidRPr="006D1890">
        <w:t>The analysis of the types of actions</w:t>
      </w:r>
      <w:r w:rsidR="001B360D">
        <w:t xml:space="preserve"> committed to</w:t>
      </w:r>
      <w:r w:rsidR="00393568" w:rsidRPr="006D1890">
        <w:t>:</w:t>
      </w:r>
    </w:p>
    <w:p w14:paraId="4D91F373" w14:textId="5D28CA8A" w:rsidR="00393568" w:rsidRPr="006D1890" w:rsidRDefault="00F902FB" w:rsidP="00EE3CEC">
      <w:pPr>
        <w:pStyle w:val="SingleTxtG"/>
        <w:ind w:left="1701"/>
      </w:pPr>
      <w:r w:rsidRPr="006D1890">
        <w:t>(</w:t>
      </w:r>
      <w:proofErr w:type="spellStart"/>
      <w:r w:rsidRPr="006D1890">
        <w:t>i</w:t>
      </w:r>
      <w:proofErr w:type="spellEnd"/>
      <w:r w:rsidRPr="006D1890">
        <w:t>)</w:t>
      </w:r>
      <w:r w:rsidRPr="006D1890">
        <w:tab/>
      </w:r>
      <w:r w:rsidR="001B360D">
        <w:t>C</w:t>
      </w:r>
      <w:r w:rsidR="00393568" w:rsidRPr="006D1890">
        <w:t xml:space="preserve">onfirms </w:t>
      </w:r>
      <w:r w:rsidR="001B360D">
        <w:t>G</w:t>
      </w:r>
      <w:r w:rsidR="00393568" w:rsidRPr="006D1890">
        <w:t>overnments’ traditional preference for using command-and-control approaches</w:t>
      </w:r>
      <w:r w:rsidR="001B360D">
        <w:t>, with</w:t>
      </w:r>
      <w:r w:rsidR="00393568" w:rsidRPr="006D1890">
        <w:t xml:space="preserve"> legal, regulatory and policy instruments outnumbering econom</w:t>
      </w:r>
      <w:r w:rsidR="00D008BC">
        <w:t>ic</w:t>
      </w:r>
      <w:r w:rsidR="00393568" w:rsidRPr="006D1890">
        <w:t xml:space="preserve"> and fiscal instruments by </w:t>
      </w:r>
      <w:r w:rsidR="001B360D">
        <w:t xml:space="preserve">a </w:t>
      </w:r>
      <w:r w:rsidR="00D008BC">
        <w:t>2-</w:t>
      </w:r>
      <w:r w:rsidR="00393568" w:rsidRPr="006D1890">
        <w:t>to</w:t>
      </w:r>
      <w:r w:rsidR="00D008BC">
        <w:t xml:space="preserve">-1 </w:t>
      </w:r>
      <w:r w:rsidR="00393568" w:rsidRPr="006D1890">
        <w:t>margin;</w:t>
      </w:r>
    </w:p>
    <w:p w14:paraId="733556C5" w14:textId="5803C6D8" w:rsidR="00393568" w:rsidRPr="006D1890" w:rsidRDefault="00F902FB" w:rsidP="00EE3CEC">
      <w:pPr>
        <w:pStyle w:val="SingleTxtG"/>
        <w:ind w:left="1701"/>
      </w:pPr>
      <w:r w:rsidRPr="006D1890">
        <w:t>(ii)</w:t>
      </w:r>
      <w:r w:rsidRPr="006D1890">
        <w:tab/>
      </w:r>
      <w:r w:rsidR="001B360D">
        <w:t xml:space="preserve">Also </w:t>
      </w:r>
      <w:r w:rsidR="00393568" w:rsidRPr="006D1890">
        <w:t xml:space="preserve">reveals that </w:t>
      </w:r>
      <w:proofErr w:type="gramStart"/>
      <w:r w:rsidR="00393568" w:rsidRPr="006D1890">
        <w:t xml:space="preserve">the </w:t>
      </w:r>
      <w:r w:rsidR="001B360D">
        <w:t>this</w:t>
      </w:r>
      <w:proofErr w:type="gramEnd"/>
      <w:r w:rsidR="001B360D">
        <w:t xml:space="preserve"> preference </w:t>
      </w:r>
      <w:r w:rsidR="00393568" w:rsidRPr="006D1890">
        <w:t xml:space="preserve">is progressively </w:t>
      </w:r>
      <w:r w:rsidR="001B360D">
        <w:t xml:space="preserve">being </w:t>
      </w:r>
      <w:r w:rsidR="00393568" w:rsidRPr="006D1890">
        <w:t xml:space="preserve">augmented by the recognition of the need for </w:t>
      </w:r>
      <w:r w:rsidR="001B360D">
        <w:t xml:space="preserve">the </w:t>
      </w:r>
      <w:r w:rsidR="00393568" w:rsidRPr="006D1890">
        <w:t xml:space="preserve">broad involvement of </w:t>
      </w:r>
      <w:r w:rsidR="001B360D">
        <w:t xml:space="preserve">the </w:t>
      </w:r>
      <w:r w:rsidR="00393568" w:rsidRPr="006D1890">
        <w:t>public and other stakeholders through information, education-based, capacity-building and voluntary instruments</w:t>
      </w:r>
      <w:r w:rsidR="001B360D">
        <w:t>,</w:t>
      </w:r>
      <w:r w:rsidR="00393568" w:rsidRPr="006D1890">
        <w:t xml:space="preserve"> with the wide participation of non-government stakeholders;</w:t>
      </w:r>
    </w:p>
    <w:p w14:paraId="604EB528" w14:textId="77777777" w:rsidR="00393568" w:rsidRPr="006D1890" w:rsidRDefault="00F902FB" w:rsidP="00F902FB">
      <w:pPr>
        <w:pStyle w:val="SingleTxtG"/>
        <w:ind w:firstLine="567"/>
      </w:pPr>
      <w:r w:rsidRPr="006D1890">
        <w:t>(d)</w:t>
      </w:r>
      <w:r w:rsidRPr="006D1890">
        <w:tab/>
      </w:r>
      <w:r w:rsidR="00393568" w:rsidRPr="006D1890">
        <w:t xml:space="preserve">The analysis of the beneficiary economic sectors </w:t>
      </w:r>
      <w:r w:rsidR="001924A0" w:rsidRPr="006D1890">
        <w:t>reveals</w:t>
      </w:r>
      <w:r w:rsidR="00393568" w:rsidRPr="006D1890">
        <w:t xml:space="preserve"> that:</w:t>
      </w:r>
    </w:p>
    <w:p w14:paraId="4688A775" w14:textId="48624B3F" w:rsidR="00393568" w:rsidRPr="006D1890" w:rsidRDefault="00F902FB" w:rsidP="00EE3CEC">
      <w:pPr>
        <w:pStyle w:val="SingleTxtG"/>
        <w:ind w:left="1701"/>
      </w:pPr>
      <w:r w:rsidRPr="006D1890">
        <w:t>(</w:t>
      </w:r>
      <w:proofErr w:type="spellStart"/>
      <w:r w:rsidRPr="006D1890">
        <w:t>i</w:t>
      </w:r>
      <w:proofErr w:type="spellEnd"/>
      <w:r w:rsidRPr="006D1890">
        <w:t>)</w:t>
      </w:r>
      <w:r w:rsidRPr="006D1890">
        <w:tab/>
      </w:r>
      <w:r w:rsidR="001B360D">
        <w:t>G</w:t>
      </w:r>
      <w:r w:rsidR="00393568" w:rsidRPr="006D1890">
        <w:t xml:space="preserve">overnment measures are usually aimed either economy-wide or </w:t>
      </w:r>
      <w:r w:rsidR="001B360D">
        <w:t xml:space="preserve">are </w:t>
      </w:r>
      <w:r w:rsidR="00393568" w:rsidRPr="006D1890">
        <w:t xml:space="preserve">narrowly </w:t>
      </w:r>
      <w:r w:rsidR="001B360D">
        <w:t xml:space="preserve">focused on </w:t>
      </w:r>
      <w:r w:rsidR="00393568" w:rsidRPr="006D1890">
        <w:t>one</w:t>
      </w:r>
      <w:r w:rsidR="001B360D">
        <w:t xml:space="preserve"> or </w:t>
      </w:r>
      <w:r w:rsidR="00393568" w:rsidRPr="006D1890">
        <w:t xml:space="preserve">two sectors. In contrast, </w:t>
      </w:r>
      <w:r w:rsidR="001B360D">
        <w:t xml:space="preserve">the aim of actions by </w:t>
      </w:r>
      <w:r w:rsidR="00393568" w:rsidRPr="006D1890">
        <w:t>non-government</w:t>
      </w:r>
      <w:r w:rsidR="001B360D">
        <w:t>al</w:t>
      </w:r>
      <w:r w:rsidR="00393568" w:rsidRPr="006D1890">
        <w:t xml:space="preserve"> </w:t>
      </w:r>
      <w:r w:rsidR="00393568" w:rsidRPr="006D1890">
        <w:lastRenderedPageBreak/>
        <w:t xml:space="preserve">stakeholders is </w:t>
      </w:r>
      <w:r w:rsidR="001B360D">
        <w:t xml:space="preserve">much </w:t>
      </w:r>
      <w:r w:rsidR="00393568" w:rsidRPr="006D1890">
        <w:t>broad</w:t>
      </w:r>
      <w:r w:rsidR="001B360D">
        <w:t xml:space="preserve">er, targeting </w:t>
      </w:r>
      <w:r w:rsidR="00393568" w:rsidRPr="006D1890">
        <w:t xml:space="preserve">six sectors </w:t>
      </w:r>
      <w:r w:rsidR="001B360D">
        <w:t>o</w:t>
      </w:r>
      <w:r w:rsidR="00393568" w:rsidRPr="006D1890">
        <w:t xml:space="preserve">n average. </w:t>
      </w:r>
      <w:r w:rsidR="001B360D">
        <w:t xml:space="preserve">Among reasons for this could be </w:t>
      </w:r>
      <w:r w:rsidR="00393568" w:rsidRPr="006D1890">
        <w:t xml:space="preserve">the differences in definitions, the nature of the entities’ </w:t>
      </w:r>
      <w:proofErr w:type="gramStart"/>
      <w:r w:rsidR="00393568" w:rsidRPr="006D1890">
        <w:t>work</w:t>
      </w:r>
      <w:proofErr w:type="gramEnd"/>
      <w:r w:rsidR="00393568" w:rsidRPr="006D1890">
        <w:t xml:space="preserve"> and the criteria for obtaining necessary funding;</w:t>
      </w:r>
    </w:p>
    <w:p w14:paraId="038D0AE0" w14:textId="1FED3B6F" w:rsidR="00393568" w:rsidRPr="006D1890" w:rsidRDefault="00F902FB" w:rsidP="00EE3CEC">
      <w:pPr>
        <w:pStyle w:val="SingleTxtG"/>
        <w:ind w:left="1701"/>
      </w:pPr>
      <w:r w:rsidRPr="006D1890">
        <w:t>(ii)</w:t>
      </w:r>
      <w:r w:rsidRPr="006D1890">
        <w:tab/>
      </w:r>
      <w:r w:rsidR="001B360D">
        <w:t>The e</w:t>
      </w:r>
      <w:r w:rsidR="00393568" w:rsidRPr="006D1890">
        <w:t xml:space="preserve">nergy, agriculture and transport sectors are </w:t>
      </w:r>
      <w:r w:rsidR="001B360D">
        <w:t>the most f</w:t>
      </w:r>
      <w:r w:rsidRPr="006D1890">
        <w:t>avoured</w:t>
      </w:r>
      <w:r w:rsidR="00393568" w:rsidRPr="006D1890">
        <w:t xml:space="preserve"> by government green </w:t>
      </w:r>
      <w:r w:rsidR="00393568" w:rsidRPr="00EE3CEC">
        <w:t>economy measures</w:t>
      </w:r>
      <w:r w:rsidR="001B360D">
        <w:t xml:space="preserve">, </w:t>
      </w:r>
      <w:r w:rsidR="00B90529">
        <w:t xml:space="preserve">while </w:t>
      </w:r>
      <w:r w:rsidR="001B360D">
        <w:t xml:space="preserve">the </w:t>
      </w:r>
      <w:r w:rsidR="00393568" w:rsidRPr="00EE3CEC">
        <w:t xml:space="preserve">mining sector </w:t>
      </w:r>
      <w:r w:rsidR="00B90529">
        <w:t xml:space="preserve">is </w:t>
      </w:r>
      <w:r w:rsidR="00393568" w:rsidRPr="00EE3CEC">
        <w:t>the least popular.</w:t>
      </w:r>
    </w:p>
    <w:p w14:paraId="54E6DEE8" w14:textId="0C5A6618" w:rsidR="00393568" w:rsidRPr="006D1890" w:rsidRDefault="00F902FB" w:rsidP="00F902FB">
      <w:pPr>
        <w:pStyle w:val="SingleTxtG"/>
        <w:ind w:firstLine="567"/>
      </w:pPr>
      <w:r w:rsidRPr="006D1890">
        <w:t>(e)</w:t>
      </w:r>
      <w:r w:rsidRPr="006D1890">
        <w:tab/>
      </w:r>
      <w:r w:rsidR="00393568" w:rsidRPr="006D1890">
        <w:t xml:space="preserve">The analysis of the </w:t>
      </w:r>
      <w:r w:rsidR="00BB10D9">
        <w:t xml:space="preserve">links of actions to </w:t>
      </w:r>
      <w:r w:rsidR="00393568" w:rsidRPr="006D1890">
        <w:t>the Sustainable Development Goals reveals that:</w:t>
      </w:r>
    </w:p>
    <w:p w14:paraId="38025894" w14:textId="77777777" w:rsidR="00393568" w:rsidRPr="006D1890" w:rsidRDefault="00F902FB" w:rsidP="00EE3CEC">
      <w:pPr>
        <w:pStyle w:val="SingleTxtG"/>
        <w:ind w:left="1701"/>
      </w:pPr>
      <w:r w:rsidRPr="006D1890">
        <w:t>(</w:t>
      </w:r>
      <w:proofErr w:type="spellStart"/>
      <w:r w:rsidRPr="006D1890">
        <w:t>i</w:t>
      </w:r>
      <w:proofErr w:type="spellEnd"/>
      <w:r w:rsidRPr="006D1890">
        <w:t>)</w:t>
      </w:r>
      <w:r w:rsidRPr="006D1890">
        <w:tab/>
      </w:r>
      <w:r w:rsidR="00393568" w:rsidRPr="006D1890">
        <w:t>Stakeholders appreciate the link between their actions and the Sustainable Development Goals;</w:t>
      </w:r>
    </w:p>
    <w:p w14:paraId="4D0CE7A1" w14:textId="2E03F248" w:rsidR="00393568" w:rsidRPr="006D1890" w:rsidRDefault="00F902FB" w:rsidP="002978D8">
      <w:pPr>
        <w:pStyle w:val="SingleTxtG"/>
        <w:ind w:left="1701"/>
      </w:pPr>
      <w:r w:rsidRPr="006D1890">
        <w:t>(ii)</w:t>
      </w:r>
      <w:r w:rsidRPr="006D1890">
        <w:tab/>
      </w:r>
      <w:r w:rsidR="00393568" w:rsidRPr="006D1890">
        <w:t xml:space="preserve">Governments tend to address the </w:t>
      </w:r>
      <w:r w:rsidR="00BB10D9">
        <w:t>g</w:t>
      </w:r>
      <w:r w:rsidR="00393568" w:rsidRPr="006D1890">
        <w:t xml:space="preserve">reen </w:t>
      </w:r>
      <w:r w:rsidR="00BB10D9">
        <w:t>e</w:t>
      </w:r>
      <w:r w:rsidR="00393568" w:rsidRPr="006D1890">
        <w:t>conomy as a primarily economic concept (similarly to the focus areas’ analysis above): almost two thirds of the commitments are related to Goal 12 (</w:t>
      </w:r>
      <w:r w:rsidR="00BB10D9">
        <w:t>r</w:t>
      </w:r>
      <w:r w:rsidR="00393568" w:rsidRPr="006D1890">
        <w:t xml:space="preserve">esponsible </w:t>
      </w:r>
      <w:r w:rsidR="00BB10D9">
        <w:t>c</w:t>
      </w:r>
      <w:r w:rsidR="00393568" w:rsidRPr="006D1890">
        <w:t xml:space="preserve">onsumption and </w:t>
      </w:r>
      <w:r w:rsidR="00BB10D9">
        <w:t>p</w:t>
      </w:r>
      <w:r w:rsidR="00393568" w:rsidRPr="006D1890">
        <w:t xml:space="preserve">roduction), </w:t>
      </w:r>
      <w:r w:rsidR="00BB10D9">
        <w:t xml:space="preserve">with </w:t>
      </w:r>
      <w:r w:rsidR="00393568" w:rsidRPr="006D1890">
        <w:t>industry- and energy-related goals follow</w:t>
      </w:r>
      <w:r w:rsidR="00BB10D9">
        <w:t>ing</w:t>
      </w:r>
      <w:r w:rsidR="00393568" w:rsidRPr="006D1890">
        <w:t xml:space="preserve"> close</w:t>
      </w:r>
      <w:r w:rsidR="00BB10D9">
        <w:t xml:space="preserve"> behind</w:t>
      </w:r>
      <w:r w:rsidR="00393568" w:rsidRPr="006D1890">
        <w:t>, reinforcing th</w:t>
      </w:r>
      <w:r w:rsidR="00BB10D9">
        <w:t>is</w:t>
      </w:r>
      <w:r w:rsidR="00393568" w:rsidRPr="006D1890">
        <w:t xml:space="preserve"> point;</w:t>
      </w:r>
    </w:p>
    <w:p w14:paraId="031ED85E" w14:textId="0EC475B6" w:rsidR="00393568" w:rsidRPr="006D1890" w:rsidRDefault="00F902FB" w:rsidP="002978D8">
      <w:pPr>
        <w:pStyle w:val="SingleTxtG"/>
        <w:ind w:left="1701"/>
      </w:pPr>
      <w:r w:rsidRPr="006D1890">
        <w:t>(iii)</w:t>
      </w:r>
      <w:r w:rsidRPr="006D1890">
        <w:tab/>
      </w:r>
      <w:r w:rsidR="00393568" w:rsidRPr="006D1890">
        <w:t xml:space="preserve">Within the government group, </w:t>
      </w:r>
      <w:r w:rsidR="00BB10D9">
        <w:t xml:space="preserve">there are numerous actions among </w:t>
      </w:r>
      <w:r w:rsidR="00393568" w:rsidRPr="006D1890">
        <w:t xml:space="preserve">countries of Eastern Europe, </w:t>
      </w:r>
      <w:r w:rsidR="00BB10D9">
        <w:t xml:space="preserve">the </w:t>
      </w:r>
      <w:r w:rsidR="00393568" w:rsidRPr="006D1890">
        <w:t>Caucasus and Central Asia addressing Goal 9 (</w:t>
      </w:r>
      <w:r w:rsidR="00BB10D9">
        <w:t>i</w:t>
      </w:r>
      <w:r w:rsidR="00393568" w:rsidRPr="006D1890">
        <w:t xml:space="preserve">ndustry, </w:t>
      </w:r>
      <w:r w:rsidR="00BB10D9">
        <w:t>i</w:t>
      </w:r>
      <w:r w:rsidR="00393568" w:rsidRPr="006D1890">
        <w:t xml:space="preserve">nnovation and </w:t>
      </w:r>
      <w:r w:rsidR="00BB10D9">
        <w:t>i</w:t>
      </w:r>
      <w:r w:rsidR="00393568" w:rsidRPr="006D1890">
        <w:t xml:space="preserve">nfrastructure), </w:t>
      </w:r>
      <w:r w:rsidR="00BB10D9">
        <w:t xml:space="preserve">Goal </w:t>
      </w:r>
      <w:r w:rsidR="00393568" w:rsidRPr="006D1890">
        <w:t>8 (</w:t>
      </w:r>
      <w:r w:rsidR="00BB10D9">
        <w:t>d</w:t>
      </w:r>
      <w:r w:rsidR="00393568" w:rsidRPr="006D1890">
        <w:t xml:space="preserve">ecent </w:t>
      </w:r>
      <w:r w:rsidR="00BB10D9">
        <w:t>w</w:t>
      </w:r>
      <w:r w:rsidR="00393568" w:rsidRPr="006D1890">
        <w:t xml:space="preserve">ork and </w:t>
      </w:r>
      <w:r w:rsidR="00BB10D9">
        <w:t>e</w:t>
      </w:r>
      <w:r w:rsidR="00393568" w:rsidRPr="006D1890">
        <w:t xml:space="preserve">conomic </w:t>
      </w:r>
      <w:r w:rsidR="00BB10D9">
        <w:t>g</w:t>
      </w:r>
      <w:r w:rsidR="00393568" w:rsidRPr="006D1890">
        <w:t xml:space="preserve">rowth) and </w:t>
      </w:r>
      <w:r w:rsidR="00BB10D9">
        <w:t xml:space="preserve">Goal </w:t>
      </w:r>
      <w:r w:rsidR="00393568" w:rsidRPr="006D1890">
        <w:t>16 (</w:t>
      </w:r>
      <w:r w:rsidR="00BB10D9">
        <w:t>p</w:t>
      </w:r>
      <w:r w:rsidR="00393568" w:rsidRPr="006D1890">
        <w:t>eace</w:t>
      </w:r>
      <w:r w:rsidR="00BB10D9">
        <w:t>,</w:t>
      </w:r>
      <w:r w:rsidR="00393568" w:rsidRPr="006D1890">
        <w:t xml:space="preserve"> </w:t>
      </w:r>
      <w:r w:rsidR="00BB10D9">
        <w:t>j</w:t>
      </w:r>
      <w:r w:rsidR="00393568" w:rsidRPr="006D1890">
        <w:t>ustice</w:t>
      </w:r>
      <w:r w:rsidR="00BB10D9">
        <w:t xml:space="preserve"> and</w:t>
      </w:r>
      <w:r w:rsidR="00393568" w:rsidRPr="006D1890">
        <w:t xml:space="preserve"> </w:t>
      </w:r>
      <w:r w:rsidR="00BB10D9">
        <w:t>s</w:t>
      </w:r>
      <w:r w:rsidR="00393568" w:rsidRPr="006D1890">
        <w:t xml:space="preserve">trong </w:t>
      </w:r>
      <w:r w:rsidR="00BB10D9">
        <w:t>i</w:t>
      </w:r>
      <w:r w:rsidR="00393568" w:rsidRPr="006D1890">
        <w:t>nstitutions)</w:t>
      </w:r>
      <w:r w:rsidR="00BB10D9">
        <w:t>, which</w:t>
      </w:r>
      <w:r w:rsidR="00393568" w:rsidRPr="006D1890">
        <w:t xml:space="preserve"> may be a reflection of development priorities like strengthening </w:t>
      </w:r>
      <w:r w:rsidR="00BB10D9">
        <w:t xml:space="preserve">the </w:t>
      </w:r>
      <w:r w:rsidR="00393568" w:rsidRPr="006D1890">
        <w:t>industrial base and governance structures</w:t>
      </w:r>
      <w:r w:rsidR="00BB10D9">
        <w:t>.</w:t>
      </w:r>
      <w:r w:rsidR="00393568" w:rsidRPr="006D1890">
        <w:t xml:space="preserve"> </w:t>
      </w:r>
      <w:r w:rsidR="00BB10D9">
        <w:t>T</w:t>
      </w:r>
      <w:r w:rsidR="00393568" w:rsidRPr="006D1890">
        <w:t xml:space="preserve">his sub-group also favours Goal </w:t>
      </w:r>
      <w:r w:rsidR="00BB10D9">
        <w:t xml:space="preserve">4 (quality education) </w:t>
      </w:r>
      <w:r w:rsidR="00393568" w:rsidRPr="006D1890">
        <w:t>higher</w:t>
      </w:r>
      <w:r w:rsidR="00BB10D9">
        <w:t xml:space="preserve"> than the other groups</w:t>
      </w:r>
      <w:r w:rsidR="00393568" w:rsidRPr="006D1890">
        <w:t>;</w:t>
      </w:r>
    </w:p>
    <w:p w14:paraId="515F4F8F" w14:textId="23530EA1" w:rsidR="00393568" w:rsidRPr="006D1890" w:rsidRDefault="00F902FB" w:rsidP="002978D8">
      <w:pPr>
        <w:pStyle w:val="SingleTxtG"/>
        <w:ind w:left="1701"/>
      </w:pPr>
      <w:r w:rsidRPr="006D1890">
        <w:t>(iv)</w:t>
      </w:r>
      <w:r w:rsidRPr="006D1890">
        <w:tab/>
      </w:r>
      <w:r w:rsidR="00393568" w:rsidRPr="006D1890">
        <w:t>Organi</w:t>
      </w:r>
      <w:r w:rsidR="00BB10D9">
        <w:t>z</w:t>
      </w:r>
      <w:r w:rsidR="00393568" w:rsidRPr="006D1890">
        <w:t>ations are remarkably active on Goal 17 (</w:t>
      </w:r>
      <w:r w:rsidR="00BB10D9">
        <w:t>p</w:t>
      </w:r>
      <w:r w:rsidR="00393568" w:rsidRPr="006D1890">
        <w:t>artnerships</w:t>
      </w:r>
      <w:r w:rsidR="00BB10D9">
        <w:t xml:space="preserve"> for the Goals</w:t>
      </w:r>
      <w:r w:rsidR="00393568" w:rsidRPr="006D1890">
        <w:t>)</w:t>
      </w:r>
      <w:r w:rsidR="00BB10D9">
        <w:t>,</w:t>
      </w:r>
      <w:r w:rsidR="00393568" w:rsidRPr="006D1890">
        <w:t xml:space="preserve"> which seems natural</w:t>
      </w:r>
      <w:r w:rsidR="00BB10D9">
        <w:t>.</w:t>
      </w:r>
      <w:r w:rsidR="00393568" w:rsidRPr="006D1890">
        <w:t xml:space="preserve"> </w:t>
      </w:r>
      <w:r w:rsidR="00BB10D9">
        <w:t>H</w:t>
      </w:r>
      <w:r w:rsidR="00393568" w:rsidRPr="006D1890">
        <w:t xml:space="preserve">owever, the response from </w:t>
      </w:r>
      <w:r w:rsidR="00BB10D9">
        <w:t>G</w:t>
      </w:r>
      <w:r w:rsidR="00393568" w:rsidRPr="006D1890">
        <w:t>overnments on this Goal is less pronounced;</w:t>
      </w:r>
    </w:p>
    <w:p w14:paraId="507C10BE" w14:textId="630F97BE" w:rsidR="00393568" w:rsidRPr="006D1890" w:rsidRDefault="00F902FB" w:rsidP="002978D8">
      <w:pPr>
        <w:pStyle w:val="SingleTxtG"/>
        <w:ind w:left="1701"/>
      </w:pPr>
      <w:r w:rsidRPr="006D1890">
        <w:t>(v)</w:t>
      </w:r>
      <w:r w:rsidRPr="006D1890">
        <w:tab/>
      </w:r>
      <w:r w:rsidR="00393568" w:rsidRPr="006D1890">
        <w:t>Gender, inequality</w:t>
      </w:r>
      <w:r w:rsidR="00BB10D9">
        <w:t xml:space="preserve"> and</w:t>
      </w:r>
      <w:r w:rsidR="00393568" w:rsidRPr="006D1890">
        <w:t xml:space="preserve"> poverty-related goals are scarcely addressed</w:t>
      </w:r>
      <w:r w:rsidR="00BB10D9">
        <w:t xml:space="preserve"> by the green economy actions, while t</w:t>
      </w:r>
      <w:r w:rsidR="00393568" w:rsidRPr="006D1890">
        <w:t>he Goals linked to the environment and well-being of the population are somewhere in the middle.</w:t>
      </w:r>
    </w:p>
    <w:p w14:paraId="429B3A2A" w14:textId="13E8887B" w:rsidR="00393568" w:rsidRPr="006D1890" w:rsidRDefault="00393568" w:rsidP="00F902FB">
      <w:pPr>
        <w:pStyle w:val="SingleTxtG"/>
      </w:pPr>
      <w:r w:rsidRPr="006D1890">
        <w:t>39.</w:t>
      </w:r>
      <w:r w:rsidRPr="006D1890">
        <w:tab/>
        <w:t xml:space="preserve">The challenges encountered by countries and organizations were described in the form of comments and clarifications entered into the survey. </w:t>
      </w:r>
      <w:r w:rsidR="00BB10D9">
        <w:t xml:space="preserve">Among some of the </w:t>
      </w:r>
      <w:r w:rsidRPr="006D1890">
        <w:t xml:space="preserve">challenges </w:t>
      </w:r>
      <w:r w:rsidR="00BB10D9">
        <w:t xml:space="preserve">cited </w:t>
      </w:r>
      <w:r w:rsidRPr="006D1890">
        <w:t>to greening the economy</w:t>
      </w:r>
      <w:r w:rsidR="00BB10D9">
        <w:t xml:space="preserve"> were</w:t>
      </w:r>
      <w:r w:rsidRPr="006D1890">
        <w:t>:</w:t>
      </w:r>
    </w:p>
    <w:p w14:paraId="581341BC" w14:textId="336C9A6C" w:rsidR="00393568" w:rsidRPr="006D1890" w:rsidRDefault="00F902FB" w:rsidP="00F902FB">
      <w:pPr>
        <w:pStyle w:val="SingleTxtG"/>
        <w:ind w:firstLine="567"/>
      </w:pPr>
      <w:r w:rsidRPr="006D1890">
        <w:t>(a)</w:t>
      </w:r>
      <w:r w:rsidRPr="006D1890">
        <w:tab/>
      </w:r>
      <w:r w:rsidR="00393568" w:rsidRPr="002978D8">
        <w:rPr>
          <w:b/>
        </w:rPr>
        <w:t>General policy</w:t>
      </w:r>
      <w:r w:rsidR="00BB10D9" w:rsidRPr="002978D8">
        <w:rPr>
          <w:b/>
        </w:rPr>
        <w:t xml:space="preserve"> and </w:t>
      </w:r>
      <w:r w:rsidR="00393568" w:rsidRPr="002978D8">
        <w:rPr>
          <w:b/>
        </w:rPr>
        <w:t>legislation</w:t>
      </w:r>
      <w:r w:rsidR="00393568" w:rsidRPr="006D1890">
        <w:t>: problems with legal definitions</w:t>
      </w:r>
      <w:r w:rsidR="00BB10D9">
        <w:t>; and</w:t>
      </w:r>
      <w:r w:rsidR="00393568" w:rsidRPr="006D1890">
        <w:t xml:space="preserve"> </w:t>
      </w:r>
      <w:r w:rsidR="00BB10D9">
        <w:t xml:space="preserve">a lack of </w:t>
      </w:r>
      <w:r w:rsidR="00393568" w:rsidRPr="006D1890">
        <w:t>green economy considerations in sector</w:t>
      </w:r>
      <w:r w:rsidR="00BB10D9">
        <w:t>al</w:t>
      </w:r>
      <w:r w:rsidR="00393568" w:rsidRPr="006D1890">
        <w:t xml:space="preserve"> strategies; </w:t>
      </w:r>
    </w:p>
    <w:p w14:paraId="75CDB963" w14:textId="7709A603" w:rsidR="00393568" w:rsidRPr="006D1890" w:rsidRDefault="00F902FB" w:rsidP="00F902FB">
      <w:pPr>
        <w:pStyle w:val="SingleTxtG"/>
        <w:ind w:firstLine="567"/>
      </w:pPr>
      <w:r w:rsidRPr="006D1890">
        <w:t>(b)</w:t>
      </w:r>
      <w:r w:rsidRPr="006D1890">
        <w:tab/>
      </w:r>
      <w:r w:rsidR="00393568" w:rsidRPr="002978D8">
        <w:rPr>
          <w:b/>
        </w:rPr>
        <w:t>Authorities</w:t>
      </w:r>
      <w:r w:rsidR="00393568" w:rsidRPr="006D1890">
        <w:t>: limited human and financial capacities in environment authorities; limited awareness</w:t>
      </w:r>
      <w:r w:rsidR="00BB10D9">
        <w:t xml:space="preserve"> and </w:t>
      </w:r>
      <w:r w:rsidR="00393568" w:rsidRPr="006D1890">
        <w:t xml:space="preserve">expertise in non-environment ministries; frequent institutional changes and high staff turnover; </w:t>
      </w:r>
      <w:r w:rsidR="00BB10D9">
        <w:t xml:space="preserve">difficulties regarding </w:t>
      </w:r>
      <w:proofErr w:type="spellStart"/>
      <w:r w:rsidR="00393568" w:rsidRPr="006D1890">
        <w:t>interministerial</w:t>
      </w:r>
      <w:proofErr w:type="spellEnd"/>
      <w:r w:rsidR="00393568" w:rsidRPr="006D1890">
        <w:t xml:space="preserve"> dialogue and coordination; cross</w:t>
      </w:r>
      <w:r w:rsidR="00771064">
        <w:t>-</w:t>
      </w:r>
      <w:r w:rsidR="00393568" w:rsidRPr="006D1890">
        <w:t xml:space="preserve">sectoral </w:t>
      </w:r>
      <w:r w:rsidR="00771064">
        <w:t>measures</w:t>
      </w:r>
      <w:r w:rsidR="007B7DB1">
        <w:t xml:space="preserve"> </w:t>
      </w:r>
      <w:r w:rsidR="00393568" w:rsidRPr="006D1890">
        <w:t>hard to design; different competent authorities interpret</w:t>
      </w:r>
      <w:r w:rsidR="00771064">
        <w:t>ing</w:t>
      </w:r>
      <w:r w:rsidR="00393568" w:rsidRPr="006D1890">
        <w:t xml:space="preserve"> the same subject differently; very low awareness on green economy or Sustainable Development Goals at the local level; slow nomination of contacts</w:t>
      </w:r>
      <w:r w:rsidR="00771064">
        <w:t xml:space="preserve"> or focal points impeding </w:t>
      </w:r>
      <w:r w:rsidR="00771064" w:rsidRPr="006D1890">
        <w:t>transboundary</w:t>
      </w:r>
      <w:r w:rsidR="00771064">
        <w:t xml:space="preserve"> and </w:t>
      </w:r>
      <w:proofErr w:type="spellStart"/>
      <w:r w:rsidR="00771064" w:rsidRPr="006D1890">
        <w:t>subregional</w:t>
      </w:r>
      <w:proofErr w:type="spellEnd"/>
      <w:r w:rsidR="00771064" w:rsidRPr="006D1890">
        <w:t xml:space="preserve"> cooperation</w:t>
      </w:r>
      <w:r w:rsidR="00393568" w:rsidRPr="006D1890">
        <w:t xml:space="preserve">; </w:t>
      </w:r>
      <w:r w:rsidR="00771064">
        <w:t>insufficient level of political power designated to environment authorities</w:t>
      </w:r>
      <w:r w:rsidR="00393568" w:rsidRPr="006D1890">
        <w:t xml:space="preserve">; </w:t>
      </w:r>
      <w:r w:rsidR="00771064">
        <w:t xml:space="preserve">and </w:t>
      </w:r>
      <w:r w:rsidR="00393568" w:rsidRPr="006D1890">
        <w:t>institutional instability leading to delayed decisions and revised agreements;</w:t>
      </w:r>
    </w:p>
    <w:p w14:paraId="704E00F9" w14:textId="483945A7" w:rsidR="00393568" w:rsidRPr="006D1890" w:rsidRDefault="00F902FB" w:rsidP="00F902FB">
      <w:pPr>
        <w:pStyle w:val="SingleTxtG"/>
        <w:ind w:firstLine="567"/>
      </w:pPr>
      <w:r w:rsidRPr="006D1890">
        <w:t>(c)</w:t>
      </w:r>
      <w:r w:rsidRPr="006D1890">
        <w:tab/>
      </w:r>
      <w:r w:rsidR="00393568" w:rsidRPr="002978D8">
        <w:rPr>
          <w:b/>
        </w:rPr>
        <w:t>Private sector</w:t>
      </w:r>
      <w:r w:rsidR="00393568" w:rsidRPr="006D1890">
        <w:t>: confidentiality</w:t>
      </w:r>
      <w:r w:rsidR="007B7DB1">
        <w:t xml:space="preserve"> concerns</w:t>
      </w:r>
      <w:r w:rsidR="00393568" w:rsidRPr="006D1890">
        <w:t xml:space="preserve">; new legal requirements </w:t>
      </w:r>
      <w:r w:rsidR="007B7DB1">
        <w:t xml:space="preserve">may </w:t>
      </w:r>
      <w:r w:rsidR="00771064">
        <w:t xml:space="preserve">present </w:t>
      </w:r>
      <w:r w:rsidR="00393568" w:rsidRPr="006D1890">
        <w:t xml:space="preserve">a challenge for old installations; low access to green finance; </w:t>
      </w:r>
      <w:r w:rsidR="00771064">
        <w:t>human capacity problems among s</w:t>
      </w:r>
      <w:r w:rsidR="00393568" w:rsidRPr="006D1890">
        <w:t xml:space="preserve">mall and </w:t>
      </w:r>
      <w:r w:rsidR="00771064">
        <w:t>m</w:t>
      </w:r>
      <w:r w:rsidR="00393568" w:rsidRPr="006D1890">
        <w:t>edium</w:t>
      </w:r>
      <w:r w:rsidR="00771064">
        <w:t>-size</w:t>
      </w:r>
      <w:r w:rsidR="00393568" w:rsidRPr="006D1890">
        <w:t xml:space="preserve"> </w:t>
      </w:r>
      <w:r w:rsidR="00771064">
        <w:t>e</w:t>
      </w:r>
      <w:r w:rsidR="00393568" w:rsidRPr="006D1890">
        <w:t xml:space="preserve">nterprises; </w:t>
      </w:r>
      <w:r w:rsidR="00771064">
        <w:t xml:space="preserve">not enough </w:t>
      </w:r>
      <w:r w:rsidR="00393568" w:rsidRPr="006D1890">
        <w:t xml:space="preserve">availability of modern technologies; low </w:t>
      </w:r>
      <w:r w:rsidR="00771064">
        <w:t xml:space="preserve">level of awareness about green economy; </w:t>
      </w:r>
      <w:r w:rsidR="00393568" w:rsidRPr="006D1890">
        <w:t>low motivation</w:t>
      </w:r>
      <w:r w:rsidR="00771064">
        <w:t xml:space="preserve"> to transition to green economy</w:t>
      </w:r>
      <w:r w:rsidR="00393568" w:rsidRPr="006D1890">
        <w:t xml:space="preserve">; </w:t>
      </w:r>
    </w:p>
    <w:p w14:paraId="7B8853F4" w14:textId="1A8B6CCC" w:rsidR="00393568" w:rsidRPr="006D1890" w:rsidRDefault="00F902FB" w:rsidP="00F902FB">
      <w:pPr>
        <w:pStyle w:val="SingleTxtG"/>
        <w:ind w:firstLine="567"/>
      </w:pPr>
      <w:r w:rsidRPr="006D1890">
        <w:t>(d)</w:t>
      </w:r>
      <w:r w:rsidRPr="006D1890">
        <w:tab/>
      </w:r>
      <w:r w:rsidR="00393568" w:rsidRPr="002978D8">
        <w:rPr>
          <w:b/>
        </w:rPr>
        <w:t>Markets</w:t>
      </w:r>
      <w:r w:rsidR="00393568" w:rsidRPr="006D1890">
        <w:t xml:space="preserve">: new recycled products </w:t>
      </w:r>
      <w:r w:rsidR="00FA51B3">
        <w:t xml:space="preserve">are </w:t>
      </w:r>
      <w:r w:rsidR="00393568" w:rsidRPr="006D1890">
        <w:t>difficult to introduce; too few green producers</w:t>
      </w:r>
      <w:r w:rsidR="00FA51B3">
        <w:t xml:space="preserve"> and </w:t>
      </w:r>
      <w:r w:rsidR="00393568" w:rsidRPr="006D1890">
        <w:t>service providers;</w:t>
      </w:r>
      <w:r w:rsidR="00696544">
        <w:t xml:space="preserve"> </w:t>
      </w:r>
      <w:r w:rsidR="00393568" w:rsidRPr="006D1890">
        <w:t xml:space="preserve">green products and services </w:t>
      </w:r>
      <w:r w:rsidR="00696544">
        <w:t xml:space="preserve">in competition </w:t>
      </w:r>
      <w:r w:rsidR="00393568" w:rsidRPr="006D1890">
        <w:t>with low-cost alternatives; distortions by environmentally harmful subsidies; poor recognition of eco-labels; problem with fake labels</w:t>
      </w:r>
      <w:r w:rsidR="00696544">
        <w:t xml:space="preserve"> or “</w:t>
      </w:r>
      <w:r w:rsidR="00393568" w:rsidRPr="006D1890">
        <w:t>greenwashing”;</w:t>
      </w:r>
    </w:p>
    <w:p w14:paraId="3809AF74" w14:textId="2DF68078" w:rsidR="00393568" w:rsidRPr="006D1890" w:rsidRDefault="00F902FB" w:rsidP="00F902FB">
      <w:pPr>
        <w:pStyle w:val="SingleTxtG"/>
        <w:ind w:firstLine="567"/>
      </w:pPr>
      <w:r w:rsidRPr="006D1890">
        <w:lastRenderedPageBreak/>
        <w:t>(e)</w:t>
      </w:r>
      <w:r w:rsidRPr="006D1890">
        <w:tab/>
      </w:r>
      <w:r w:rsidR="00393568" w:rsidRPr="002978D8">
        <w:rPr>
          <w:b/>
        </w:rPr>
        <w:t>Data and research</w:t>
      </w:r>
      <w:r w:rsidR="00393568" w:rsidRPr="006D1890">
        <w:t xml:space="preserve">: lack of adequate data for decision-making; difficult to harmonize different legal frameworks </w:t>
      </w:r>
      <w:r w:rsidR="00696544">
        <w:t xml:space="preserve">for </w:t>
      </w:r>
      <w:r w:rsidR="00393568" w:rsidRPr="006D1890">
        <w:t>data collection</w:t>
      </w:r>
      <w:r w:rsidR="00696544">
        <w:t xml:space="preserve"> and</w:t>
      </w:r>
      <w:r w:rsidR="00393568" w:rsidRPr="006D1890">
        <w:t xml:space="preserve"> methodologies on indicators; local data difficult to obtain; research inconclusive, subjective, more extensive than planned, </w:t>
      </w:r>
      <w:r w:rsidR="00696544">
        <w:t xml:space="preserve">or </w:t>
      </w:r>
      <w:r w:rsidR="00393568" w:rsidRPr="006D1890">
        <w:t>hard to transform into practical measures;</w:t>
      </w:r>
    </w:p>
    <w:p w14:paraId="669CB9B3" w14:textId="6C163E38" w:rsidR="00393568" w:rsidRPr="006D1890" w:rsidRDefault="00F902FB" w:rsidP="00F902FB">
      <w:pPr>
        <w:pStyle w:val="SingleTxtG"/>
        <w:ind w:firstLine="567"/>
      </w:pPr>
      <w:r w:rsidRPr="006D1890">
        <w:t>(f)</w:t>
      </w:r>
      <w:r w:rsidRPr="006D1890">
        <w:tab/>
      </w:r>
      <w:r w:rsidR="00393568" w:rsidRPr="002978D8">
        <w:rPr>
          <w:b/>
        </w:rPr>
        <w:t>Greening public procurement</w:t>
      </w:r>
      <w:r w:rsidR="00393568" w:rsidRPr="006D1890">
        <w:t xml:space="preserve">: a relatively new topic, especially in transitional economies; perceived as expensive and complicated; fears </w:t>
      </w:r>
      <w:r w:rsidR="00696544">
        <w:t xml:space="preserve">regarding </w:t>
      </w:r>
      <w:r w:rsidR="00393568" w:rsidRPr="006D1890">
        <w:t>restricted competition</w:t>
      </w:r>
      <w:r w:rsidR="00696544">
        <w:t xml:space="preserve"> and </w:t>
      </w:r>
      <w:r w:rsidR="00393568" w:rsidRPr="006D1890">
        <w:t>appeals of tender results; not included at the planning phase</w:t>
      </w:r>
      <w:r w:rsidR="00696544">
        <w:t xml:space="preserve"> and</w:t>
      </w:r>
      <w:r w:rsidR="00393568" w:rsidRPr="006D1890">
        <w:t xml:space="preserve"> difficult to include later; complicated procedures and small volumes unattractive to companies; staff involved in procedures need training;</w:t>
      </w:r>
    </w:p>
    <w:p w14:paraId="258CE996" w14:textId="10DCE9BF" w:rsidR="00393568" w:rsidRPr="006D1890" w:rsidRDefault="00F902FB" w:rsidP="00F902FB">
      <w:pPr>
        <w:pStyle w:val="SingleTxtG"/>
        <w:ind w:firstLine="567"/>
      </w:pPr>
      <w:r w:rsidRPr="006D1890">
        <w:t>(g)</w:t>
      </w:r>
      <w:r w:rsidRPr="006D1890">
        <w:tab/>
      </w:r>
      <w:r w:rsidR="00393568" w:rsidRPr="002978D8">
        <w:rPr>
          <w:b/>
        </w:rPr>
        <w:t>Public</w:t>
      </w:r>
      <w:r w:rsidR="00393568" w:rsidRPr="006D1890">
        <w:t xml:space="preserve">: consumer behaviour hard to shift; </w:t>
      </w:r>
      <w:r w:rsidR="007B7DB1">
        <w:t xml:space="preserve">a </w:t>
      </w:r>
      <w:r w:rsidR="00393568" w:rsidRPr="006D1890">
        <w:t>challenge to communicate benefits; scarce information in national languages;</w:t>
      </w:r>
    </w:p>
    <w:p w14:paraId="29E9E600" w14:textId="3E6713F0" w:rsidR="00393568" w:rsidRPr="006D1890" w:rsidRDefault="00F902FB" w:rsidP="00F902FB">
      <w:pPr>
        <w:pStyle w:val="SingleTxtG"/>
        <w:ind w:firstLine="567"/>
      </w:pPr>
      <w:r w:rsidRPr="006D1890">
        <w:t>(h)</w:t>
      </w:r>
      <w:r w:rsidRPr="006D1890">
        <w:tab/>
      </w:r>
      <w:r w:rsidR="00393568" w:rsidRPr="002978D8">
        <w:rPr>
          <w:b/>
        </w:rPr>
        <w:t>Education</w:t>
      </w:r>
      <w:r w:rsidR="00393568" w:rsidRPr="006D1890">
        <w:t xml:space="preserve">: Lack of donor interest to support activities; </w:t>
      </w:r>
      <w:r w:rsidR="007B7DB1">
        <w:t xml:space="preserve">and </w:t>
      </w:r>
      <w:r w:rsidR="00393568" w:rsidRPr="006D1890">
        <w:t>limited progress in revising technical and vocational education and training programmes</w:t>
      </w:r>
      <w:r w:rsidR="00696544">
        <w:t>.</w:t>
      </w:r>
    </w:p>
    <w:p w14:paraId="0D2964EC" w14:textId="77777777" w:rsidR="00393568" w:rsidRPr="006D1890" w:rsidRDefault="00393568" w:rsidP="00F902FB">
      <w:pPr>
        <w:pStyle w:val="HChG"/>
      </w:pPr>
      <w:r w:rsidRPr="002978D8">
        <w:tab/>
      </w:r>
      <w:r w:rsidRPr="006D1890">
        <w:t>III.</w:t>
      </w:r>
      <w:r w:rsidRPr="006D1890">
        <w:tab/>
        <w:t>Future steps and follow-up</w:t>
      </w:r>
    </w:p>
    <w:p w14:paraId="081159D3" w14:textId="0FC27C33" w:rsidR="00393568" w:rsidRPr="006D1890" w:rsidRDefault="00393568" w:rsidP="00F902FB">
      <w:pPr>
        <w:pStyle w:val="SingleTxtG"/>
      </w:pPr>
      <w:r w:rsidRPr="006D1890">
        <w:t>40.</w:t>
      </w:r>
      <w:r w:rsidRPr="006D1890">
        <w:tab/>
        <w:t xml:space="preserve">The present document and the </w:t>
      </w:r>
      <w:r w:rsidR="00696544">
        <w:t xml:space="preserve">Committee </w:t>
      </w:r>
      <w:r w:rsidRPr="006D1890">
        <w:t>discussion represent the fulfilment of the provisions of the Strategic Framework (para</w:t>
      </w:r>
      <w:r w:rsidR="00696544">
        <w:t>s</w:t>
      </w:r>
      <w:r w:rsidRPr="006D1890">
        <w:t>. 40</w:t>
      </w:r>
      <w:r w:rsidR="00696544">
        <w:t>–</w:t>
      </w:r>
      <w:r w:rsidRPr="006D1890">
        <w:t>41)</w:t>
      </w:r>
      <w:r w:rsidR="00696544">
        <w:t>,</w:t>
      </w:r>
      <w:r w:rsidRPr="006D1890">
        <w:t xml:space="preserve"> specifying in particular </w:t>
      </w:r>
      <w:r w:rsidR="007B7DB1">
        <w:t xml:space="preserve">that </w:t>
      </w:r>
      <w:r w:rsidRPr="006D1890">
        <w:t xml:space="preserve">the first round of reporting on progress </w:t>
      </w:r>
      <w:r w:rsidR="007B7DB1">
        <w:t xml:space="preserve">should </w:t>
      </w:r>
      <w:r w:rsidRPr="006D1890">
        <w:t>be conducted during the mid-term review of the Batumi Conference main outcomes.</w:t>
      </w:r>
    </w:p>
    <w:p w14:paraId="1CAFADF3" w14:textId="4DE3EC35" w:rsidR="00393568" w:rsidRPr="006D1890" w:rsidRDefault="00393568" w:rsidP="00F902FB">
      <w:pPr>
        <w:pStyle w:val="SingleTxtG"/>
      </w:pPr>
      <w:r w:rsidRPr="006D1890">
        <w:t>41.</w:t>
      </w:r>
      <w:r w:rsidRPr="006D1890">
        <w:tab/>
        <w:t xml:space="preserve">National experience on using particular </w:t>
      </w:r>
      <w:r w:rsidR="00696544">
        <w:t>g</w:t>
      </w:r>
      <w:r w:rsidRPr="006D1890">
        <w:t xml:space="preserve">reen </w:t>
      </w:r>
      <w:r w:rsidR="00696544">
        <w:t>e</w:t>
      </w:r>
      <w:r w:rsidRPr="006D1890">
        <w:t xml:space="preserve">conomy instruments and approaches obtained through practical implementation of the voluntary commitments under the Batumi Initiative can be extremely valuable, especially to the member States seeking optimal ways to facilitate </w:t>
      </w:r>
      <w:r w:rsidR="00696544">
        <w:t xml:space="preserve">the </w:t>
      </w:r>
      <w:r w:rsidRPr="006D1890">
        <w:t>greening of their economies. Exchange of information and experience through bilateral and multilateral contacts may help to simultaneously increase the motivation of key national actors and remove some resistance towards practical application of the green economy measures.</w:t>
      </w:r>
    </w:p>
    <w:p w14:paraId="1AB102E5" w14:textId="037D2D57" w:rsidR="00393568" w:rsidRPr="006D1890" w:rsidRDefault="00393568" w:rsidP="00F902FB">
      <w:pPr>
        <w:pStyle w:val="SingleTxtG"/>
      </w:pPr>
      <w:r w:rsidRPr="006D1890">
        <w:t>42.</w:t>
      </w:r>
      <w:r w:rsidRPr="006D1890">
        <w:tab/>
        <w:t xml:space="preserve">The </w:t>
      </w:r>
      <w:r w:rsidR="00696544">
        <w:t xml:space="preserve">Committee </w:t>
      </w:r>
      <w:r w:rsidRPr="006D1890">
        <w:t xml:space="preserve">is in a good position to stimulate the </w:t>
      </w:r>
      <w:r w:rsidR="00696544">
        <w:t>necessary transition to green economy in the region</w:t>
      </w:r>
      <w:r w:rsidRPr="006D1890">
        <w:t xml:space="preserve">: </w:t>
      </w:r>
      <w:r w:rsidR="00696544">
        <w:t xml:space="preserve">it is a </w:t>
      </w:r>
      <w:r w:rsidRPr="006D1890">
        <w:t>tested platform for regional policymaking</w:t>
      </w:r>
      <w:r w:rsidR="00696544">
        <w:t>,</w:t>
      </w:r>
      <w:r w:rsidRPr="006D1890">
        <w:t xml:space="preserve"> including the Environment for Europe process</w:t>
      </w:r>
      <w:r w:rsidR="00696544">
        <w:t>;</w:t>
      </w:r>
      <w:r w:rsidRPr="006D1890">
        <w:t xml:space="preserve"> it </w:t>
      </w:r>
      <w:r w:rsidR="00696544">
        <w:t xml:space="preserve">has </w:t>
      </w:r>
      <w:r w:rsidRPr="006D1890">
        <w:t xml:space="preserve">in place </w:t>
      </w:r>
      <w:r w:rsidR="00696544">
        <w:t xml:space="preserve">a </w:t>
      </w:r>
      <w:r w:rsidRPr="006D1890">
        <w:t xml:space="preserve">region-wide approved policy to promote </w:t>
      </w:r>
      <w:r w:rsidR="00696544">
        <w:t>g</w:t>
      </w:r>
      <w:r w:rsidRPr="006D1890">
        <w:t xml:space="preserve">reen </w:t>
      </w:r>
      <w:r w:rsidR="00696544">
        <w:t>e</w:t>
      </w:r>
      <w:r w:rsidRPr="006D1890">
        <w:t xml:space="preserve">conomy – the Pan-European Strategic Framework for Greening the Economy; </w:t>
      </w:r>
      <w:r w:rsidR="00696544">
        <w:t xml:space="preserve">and </w:t>
      </w:r>
      <w:r w:rsidRPr="006D1890">
        <w:t xml:space="preserve">to operationalize the policy, it possesses </w:t>
      </w:r>
      <w:r w:rsidR="007B7DB1">
        <w:t xml:space="preserve">a </w:t>
      </w:r>
      <w:r w:rsidRPr="006D1890">
        <w:t xml:space="preserve">practical vehicle for information gathering and exchange – the Batumi Initiative on Green Economy. </w:t>
      </w:r>
    </w:p>
    <w:p w14:paraId="13C8C6D6" w14:textId="54361FC0" w:rsidR="00393568" w:rsidRPr="006D1890" w:rsidRDefault="00393568" w:rsidP="00F902FB">
      <w:pPr>
        <w:pStyle w:val="SingleTxtG"/>
      </w:pPr>
      <w:r w:rsidRPr="006D1890">
        <w:t>43.</w:t>
      </w:r>
      <w:r w:rsidRPr="006D1890">
        <w:tab/>
      </w:r>
      <w:r w:rsidR="00F902FB" w:rsidRPr="006D1890">
        <w:t>Therefore,</w:t>
      </w:r>
      <w:r w:rsidRPr="006D1890">
        <w:t xml:space="preserve"> it is essential for the Committee to discuss and agree on the future steps to reinforce the present impetus. Some are already agreed and in place – </w:t>
      </w:r>
      <w:r w:rsidR="00696544">
        <w:t xml:space="preserve">such as </w:t>
      </w:r>
      <w:r w:rsidRPr="006D1890">
        <w:t xml:space="preserve">making the results of the reporting available to relevant high-level regional platforms </w:t>
      </w:r>
      <w:r w:rsidR="00696544">
        <w:t xml:space="preserve">in accordance with </w:t>
      </w:r>
      <w:r w:rsidRPr="006D1890">
        <w:t>the Strategic Framework</w:t>
      </w:r>
      <w:r w:rsidR="00696544">
        <w:t xml:space="preserve"> (para. 41</w:t>
      </w:r>
      <w:r w:rsidR="00F902FB" w:rsidRPr="006D1890">
        <w:t>) and</w:t>
      </w:r>
      <w:r w:rsidRPr="006D1890">
        <w:t xml:space="preserve"> continuing the support </w:t>
      </w:r>
      <w:r w:rsidR="00696544">
        <w:t xml:space="preserve">for </w:t>
      </w:r>
      <w:r w:rsidRPr="006D1890">
        <w:t xml:space="preserve">the Initiative </w:t>
      </w:r>
      <w:r w:rsidR="00696544">
        <w:t xml:space="preserve">to operationalize the Framework </w:t>
      </w:r>
      <w:r w:rsidRPr="006D1890">
        <w:t xml:space="preserve">through the </w:t>
      </w:r>
      <w:r w:rsidR="00696544">
        <w:t xml:space="preserve">ECE </w:t>
      </w:r>
      <w:r w:rsidRPr="006D1890">
        <w:t xml:space="preserve">and Green Growth Knowledge Platform </w:t>
      </w:r>
      <w:r w:rsidR="00696544">
        <w:t xml:space="preserve">websites </w:t>
      </w:r>
      <w:r w:rsidRPr="006D1890">
        <w:t xml:space="preserve">(possibly with some re-designing aimed at more active promotion). In addition, new measures could be proposed and discussed, </w:t>
      </w:r>
      <w:r w:rsidR="00696544">
        <w:t xml:space="preserve">including </w:t>
      </w:r>
      <w:r w:rsidRPr="006D1890">
        <w:t>organi</w:t>
      </w:r>
      <w:r w:rsidR="00696544">
        <w:t>z</w:t>
      </w:r>
      <w:r w:rsidRPr="006D1890">
        <w:t xml:space="preserve">ing stakeholder meetings in a form suitable for </w:t>
      </w:r>
      <w:r w:rsidR="00696544">
        <w:t xml:space="preserve">the </w:t>
      </w:r>
      <w:r w:rsidRPr="006D1890">
        <w:t xml:space="preserve">better exchange and promotion of experience. </w:t>
      </w:r>
    </w:p>
    <w:p w14:paraId="1880C9B3" w14:textId="77777777" w:rsidR="00393568" w:rsidRPr="006D1890" w:rsidRDefault="00393568" w:rsidP="00F902FB">
      <w:pPr>
        <w:pStyle w:val="SingleTxtG"/>
      </w:pPr>
      <w:r w:rsidRPr="006D1890">
        <w:t>44.</w:t>
      </w:r>
      <w:r w:rsidRPr="006D1890">
        <w:tab/>
        <w:t>Periodic review by the Committee of the implementation of the Strategic Framework and the Batumi Initiative should continue, based on the modalities decided by the Committee.</w:t>
      </w:r>
    </w:p>
    <w:p w14:paraId="1FC69638" w14:textId="77777777" w:rsidR="00393568" w:rsidRPr="006D1890" w:rsidRDefault="00393568" w:rsidP="00F902FB">
      <w:pPr>
        <w:pStyle w:val="HChG"/>
      </w:pPr>
      <w:r w:rsidRPr="006D1890">
        <w:tab/>
        <w:t>IV.</w:t>
      </w:r>
      <w:r w:rsidRPr="006D1890">
        <w:tab/>
        <w:t xml:space="preserve">Questions for discussion by the Committee on </w:t>
      </w:r>
      <w:r w:rsidRPr="006D1890">
        <w:br/>
        <w:t>Environmental Policy</w:t>
      </w:r>
    </w:p>
    <w:p w14:paraId="207DB30B" w14:textId="5C9B20D2" w:rsidR="00393568" w:rsidRPr="006D1890" w:rsidRDefault="00393568" w:rsidP="00F902FB">
      <w:pPr>
        <w:pStyle w:val="SingleTxtG"/>
      </w:pPr>
      <w:r w:rsidRPr="006D1890">
        <w:t>45.</w:t>
      </w:r>
      <w:r w:rsidRPr="006D1890">
        <w:tab/>
      </w:r>
      <w:r w:rsidR="00D25AC4">
        <w:t xml:space="preserve">The </w:t>
      </w:r>
      <w:r w:rsidRPr="006D1890">
        <w:t>C</w:t>
      </w:r>
      <w:r w:rsidR="00D25AC4">
        <w:t>ommittee</w:t>
      </w:r>
      <w:r w:rsidRPr="006D1890">
        <w:t xml:space="preserve"> is invited to discuss the following questions:</w:t>
      </w:r>
    </w:p>
    <w:p w14:paraId="114A7887" w14:textId="04E7DCCC" w:rsidR="00393568" w:rsidRPr="006D1890" w:rsidRDefault="00393568" w:rsidP="00F902FB">
      <w:pPr>
        <w:pStyle w:val="SingleTxtG"/>
        <w:ind w:firstLine="567"/>
      </w:pPr>
      <w:r w:rsidRPr="006D1890">
        <w:lastRenderedPageBreak/>
        <w:t>(a)</w:t>
      </w:r>
      <w:r w:rsidRPr="006D1890">
        <w:tab/>
      </w:r>
      <w:r w:rsidR="00E057E1" w:rsidRPr="006D1890">
        <w:t xml:space="preserve">How effective is the present regional cooperation on greening the economy? </w:t>
      </w:r>
      <w:r w:rsidRPr="006D1890">
        <w:t xml:space="preserve">The respondents to the mid-term review survey seem to </w:t>
      </w:r>
      <w:r w:rsidR="007B7DB1">
        <w:t xml:space="preserve">agree </w:t>
      </w:r>
      <w:r w:rsidRPr="006D1890">
        <w:t xml:space="preserve">on the usefulness of the Batumi Initiative on Green Economy. Does this consensus reflect the real added value of the Pan-European Strategic Framework for Greening the Economy and the </w:t>
      </w:r>
      <w:proofErr w:type="gramStart"/>
      <w:r w:rsidRPr="006D1890">
        <w:t>Initiative?</w:t>
      </w:r>
      <w:r w:rsidR="00D25AC4">
        <w:t>;</w:t>
      </w:r>
      <w:proofErr w:type="gramEnd"/>
      <w:r w:rsidR="00E057E1" w:rsidRPr="006D1890">
        <w:t xml:space="preserve"> </w:t>
      </w:r>
    </w:p>
    <w:p w14:paraId="70FE8A1D" w14:textId="30EC5966" w:rsidR="00393568" w:rsidRPr="006D1890" w:rsidRDefault="00393568" w:rsidP="00F902FB">
      <w:pPr>
        <w:pStyle w:val="SingleTxtG"/>
        <w:ind w:firstLine="567"/>
      </w:pPr>
      <w:r w:rsidRPr="006D1890">
        <w:t>(b)</w:t>
      </w:r>
      <w:r w:rsidRPr="006D1890">
        <w:tab/>
        <w:t xml:space="preserve">Which results of the present overview of progress in the implementation of commitments are most interesting? Do they confirm the Committee’s expectations? Is the relative lack of social aspects in the commitments a matter of </w:t>
      </w:r>
      <w:proofErr w:type="gramStart"/>
      <w:r w:rsidRPr="006D1890">
        <w:t>concern?</w:t>
      </w:r>
      <w:r w:rsidR="00D25AC4">
        <w:t>;</w:t>
      </w:r>
      <w:proofErr w:type="gramEnd"/>
    </w:p>
    <w:p w14:paraId="700567C7" w14:textId="3CEED695" w:rsidR="00393568" w:rsidRPr="006D1890" w:rsidRDefault="00393568" w:rsidP="00F902FB">
      <w:pPr>
        <w:pStyle w:val="SingleTxtG"/>
        <w:ind w:firstLine="567"/>
      </w:pPr>
      <w:r w:rsidRPr="006D1890">
        <w:t>(c)</w:t>
      </w:r>
      <w:r w:rsidRPr="006D1890">
        <w:tab/>
        <w:t xml:space="preserve">What are the positive and negative lessons so far </w:t>
      </w:r>
      <w:r w:rsidR="00D25AC4">
        <w:t xml:space="preserve">that can be drawn from implementation of </w:t>
      </w:r>
      <w:r w:rsidRPr="006D1890">
        <w:t xml:space="preserve">the Batumi Initiative on Green Economy? What are the main challenges in implementing </w:t>
      </w:r>
      <w:r w:rsidR="00805A6B">
        <w:t>it</w:t>
      </w:r>
      <w:r w:rsidRPr="006D1890">
        <w:t xml:space="preserve">? What are the regional and national aspects of these challenges? How can they be </w:t>
      </w:r>
      <w:proofErr w:type="gramStart"/>
      <w:r w:rsidRPr="006D1890">
        <w:t>overcome?</w:t>
      </w:r>
      <w:r w:rsidR="00805A6B">
        <w:t>;</w:t>
      </w:r>
      <w:proofErr w:type="gramEnd"/>
    </w:p>
    <w:p w14:paraId="1A6B3734" w14:textId="44C9A3C8" w:rsidR="00393568" w:rsidRPr="006D1890" w:rsidRDefault="00393568" w:rsidP="00F902FB">
      <w:pPr>
        <w:pStyle w:val="SingleTxtG"/>
        <w:ind w:firstLine="567"/>
      </w:pPr>
      <w:r w:rsidRPr="006D1890">
        <w:t>(d)</w:t>
      </w:r>
      <w:r w:rsidRPr="006D1890">
        <w:tab/>
        <w:t>What steps can be proposed to maximi</w:t>
      </w:r>
      <w:r w:rsidR="00805A6B">
        <w:t>z</w:t>
      </w:r>
      <w:r w:rsidRPr="006D1890">
        <w:t xml:space="preserve">e the impact of the Batumi Initiative on Green Economy at different levels? How can the experience-sharing between stakeholders </w:t>
      </w:r>
      <w:r w:rsidR="00805A6B">
        <w:t xml:space="preserve">be </w:t>
      </w:r>
      <w:proofErr w:type="gramStart"/>
      <w:r w:rsidRPr="006D1890">
        <w:t>intensified?</w:t>
      </w:r>
      <w:r w:rsidR="00805A6B">
        <w:t>;</w:t>
      </w:r>
      <w:proofErr w:type="gramEnd"/>
    </w:p>
    <w:p w14:paraId="1E318DC0" w14:textId="136A9A44" w:rsidR="00393568" w:rsidRDefault="00393568" w:rsidP="00F902FB">
      <w:pPr>
        <w:pStyle w:val="SingleTxtG"/>
        <w:ind w:firstLine="567"/>
      </w:pPr>
      <w:r w:rsidRPr="006D1890">
        <w:t>(e)</w:t>
      </w:r>
      <w:r w:rsidRPr="006D1890">
        <w:tab/>
        <w:t>What should be the periodicity of reporting on the progress and results of the Batumi Initiative on Green Economy? How should it be reported to the next Environment for Europe conference? Should there be some interim reporting to the Committee – and in what form?</w:t>
      </w:r>
    </w:p>
    <w:p w14:paraId="7BACD20E" w14:textId="77777777" w:rsidR="00334D2A" w:rsidRDefault="00334D2A" w:rsidP="00F902FB">
      <w:pPr>
        <w:pStyle w:val="SingleTxtG"/>
        <w:ind w:firstLine="567"/>
      </w:pPr>
    </w:p>
    <w:p w14:paraId="2E9B35C5" w14:textId="77777777" w:rsidR="00334D2A" w:rsidRDefault="00334D2A" w:rsidP="00F902FB">
      <w:pPr>
        <w:pStyle w:val="SingleTxtG"/>
        <w:ind w:firstLine="567"/>
        <w:sectPr w:rsidR="00334D2A" w:rsidSect="00393568">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1985" w:left="1134" w:header="1134" w:footer="1701" w:gutter="0"/>
          <w:cols w:space="720"/>
          <w:titlePg/>
          <w:docGrid w:linePitch="272"/>
        </w:sectPr>
      </w:pPr>
    </w:p>
    <w:p w14:paraId="68E2BEC0" w14:textId="4834D9FA" w:rsidR="00334D2A" w:rsidRPr="006D1890" w:rsidRDefault="00334D2A" w:rsidP="00F902FB">
      <w:pPr>
        <w:pStyle w:val="SingleTxtG"/>
        <w:ind w:firstLine="567"/>
      </w:pPr>
    </w:p>
    <w:p w14:paraId="4F614770" w14:textId="77777777" w:rsidR="00334D2A" w:rsidRDefault="00334D2A">
      <w:pPr>
        <w:suppressAutoHyphens w:val="0"/>
        <w:spacing w:line="240" w:lineRule="auto"/>
        <w:rPr>
          <w:b/>
          <w:sz w:val="28"/>
        </w:rPr>
      </w:pPr>
      <w:r>
        <w:br w:type="page"/>
      </w:r>
    </w:p>
    <w:p w14:paraId="0FACED73" w14:textId="3CA505A0" w:rsidR="00334D2A" w:rsidRDefault="00393568" w:rsidP="00F902FB">
      <w:pPr>
        <w:pStyle w:val="HChG"/>
      </w:pPr>
      <w:r w:rsidRPr="006D1890">
        <w:lastRenderedPageBreak/>
        <w:tab/>
      </w:r>
      <w:r w:rsidR="00334D2A">
        <w:t>Annex</w:t>
      </w:r>
      <w:r w:rsidR="00334D2A" w:rsidRPr="00CC3874">
        <w:rPr>
          <w:rStyle w:val="FootnoteReference"/>
          <w:rFonts w:ascii="Times New Roman Bold" w:hAnsi="Times New Roman Bold" w:cs="Times New Roman Bold"/>
          <w:position w:val="2"/>
          <w:vertAlign w:val="baseline"/>
        </w:rPr>
        <w:footnoteReference w:id="12"/>
      </w:r>
    </w:p>
    <w:p w14:paraId="6E17B9A4" w14:textId="58936590" w:rsidR="00393568" w:rsidRPr="006D1890" w:rsidRDefault="00334D2A" w:rsidP="00F902FB">
      <w:pPr>
        <w:pStyle w:val="HChG"/>
      </w:pPr>
      <w:r>
        <w:tab/>
      </w:r>
      <w:r w:rsidR="00393568" w:rsidRPr="006D1890">
        <w:tab/>
        <w:t xml:space="preserve">Fact sheets </w:t>
      </w:r>
      <w:r w:rsidR="00AA50E8" w:rsidRPr="006D1890">
        <w:t xml:space="preserve">and </w:t>
      </w:r>
      <w:r w:rsidR="00393568" w:rsidRPr="006D1890">
        <w:t>graphs</w:t>
      </w:r>
    </w:p>
    <w:p w14:paraId="396F3D96" w14:textId="4A2C1987" w:rsidR="005E6782" w:rsidRDefault="00EE5312" w:rsidP="00984BA7">
      <w:pPr>
        <w:pStyle w:val="Caption"/>
        <w:keepNext/>
        <w:spacing w:after="0"/>
        <w:ind w:left="567" w:hanging="567"/>
        <w:rPr>
          <w:color w:val="auto"/>
        </w:rPr>
      </w:pPr>
      <w:r w:rsidRPr="00F93018">
        <w:rPr>
          <w:b w:val="0"/>
          <w:color w:val="auto"/>
        </w:rPr>
        <w:t xml:space="preserve">Table </w:t>
      </w:r>
      <w:r w:rsidR="005B3891">
        <w:rPr>
          <w:b w:val="0"/>
          <w:color w:val="auto"/>
        </w:rPr>
        <w:t>I</w:t>
      </w:r>
      <w:r w:rsidRPr="00F93018">
        <w:rPr>
          <w:b w:val="0"/>
          <w:color w:val="auto"/>
        </w:rPr>
        <w:fldChar w:fldCharType="begin"/>
      </w:r>
      <w:r w:rsidRPr="00F93018">
        <w:rPr>
          <w:b w:val="0"/>
          <w:color w:val="auto"/>
        </w:rPr>
        <w:instrText xml:space="preserve"> SEQ Table \* ARABIC </w:instrText>
      </w:r>
      <w:r w:rsidRPr="00F93018">
        <w:rPr>
          <w:b w:val="0"/>
          <w:color w:val="auto"/>
        </w:rPr>
        <w:fldChar w:fldCharType="separate"/>
      </w:r>
      <w:r w:rsidR="00C03575">
        <w:rPr>
          <w:b w:val="0"/>
          <w:noProof/>
          <w:color w:val="auto"/>
        </w:rPr>
        <w:t>1</w:t>
      </w:r>
      <w:r w:rsidRPr="00F93018">
        <w:rPr>
          <w:b w:val="0"/>
          <w:color w:val="auto"/>
        </w:rPr>
        <w:fldChar w:fldCharType="end"/>
      </w:r>
      <w:r w:rsidRPr="00F93018">
        <w:rPr>
          <w:color w:val="auto"/>
        </w:rPr>
        <w:t xml:space="preserve"> </w:t>
      </w:r>
    </w:p>
    <w:p w14:paraId="5057240D" w14:textId="265B6AE5" w:rsidR="00EE5312" w:rsidRPr="00F93018" w:rsidRDefault="00EE5312" w:rsidP="00CC3874">
      <w:pPr>
        <w:pStyle w:val="Caption"/>
        <w:keepNext/>
        <w:ind w:left="567" w:hanging="567"/>
        <w:rPr>
          <w:color w:val="auto"/>
        </w:rPr>
      </w:pPr>
      <w:r>
        <w:rPr>
          <w:color w:val="auto"/>
        </w:rPr>
        <w:t>N</w:t>
      </w:r>
      <w:r w:rsidRPr="00F93018">
        <w:rPr>
          <w:color w:val="auto"/>
        </w:rPr>
        <w:t>umber of</w:t>
      </w:r>
      <w:r>
        <w:rPr>
          <w:color w:val="auto"/>
        </w:rPr>
        <w:t xml:space="preserve"> commitments</w:t>
      </w:r>
      <w:r w:rsidRPr="00F93018">
        <w:rPr>
          <w:color w:val="auto"/>
        </w:rPr>
        <w:t xml:space="preserve"> taken/reported</w:t>
      </w:r>
      <w:r>
        <w:rPr>
          <w:color w:val="auto"/>
        </w:rPr>
        <w:t xml:space="preserve"> by the participants</w:t>
      </w:r>
      <w:r w:rsidR="00F946AB">
        <w:rPr>
          <w:color w:val="auto"/>
        </w:rPr>
        <w:t xml:space="preserve"> in the </w:t>
      </w:r>
      <w:r w:rsidR="00F946AB" w:rsidRPr="00CC3874">
        <w:rPr>
          <w:color w:val="auto"/>
        </w:rPr>
        <w:t>Batumi Initiative on Green Economy</w:t>
      </w:r>
    </w:p>
    <w:tbl>
      <w:tblPr>
        <w:tblStyle w:val="TableGrid"/>
        <w:tblW w:w="5000" w:type="pct"/>
        <w:tblCellMar>
          <w:left w:w="57" w:type="dxa"/>
          <w:right w:w="57" w:type="dxa"/>
        </w:tblCellMar>
        <w:tblLook w:val="04A0" w:firstRow="1" w:lastRow="0" w:firstColumn="1" w:lastColumn="0" w:noHBand="0" w:noVBand="1"/>
      </w:tblPr>
      <w:tblGrid>
        <w:gridCol w:w="1367"/>
        <w:gridCol w:w="366"/>
        <w:gridCol w:w="1032"/>
        <w:gridCol w:w="365"/>
        <w:gridCol w:w="1649"/>
        <w:gridCol w:w="365"/>
        <w:gridCol w:w="1539"/>
        <w:gridCol w:w="365"/>
        <w:gridCol w:w="2200"/>
        <w:gridCol w:w="361"/>
      </w:tblGrid>
      <w:tr w:rsidR="00EE5312" w:rsidRPr="002A3E13" w14:paraId="207BE08A" w14:textId="77777777" w:rsidTr="002A3E13">
        <w:trPr>
          <w:cantSplit/>
        </w:trPr>
        <w:tc>
          <w:tcPr>
            <w:tcW w:w="711" w:type="pct"/>
            <w:tcBorders>
              <w:top w:val="single" w:sz="12" w:space="0" w:color="auto"/>
              <w:left w:val="single" w:sz="12" w:space="0" w:color="auto"/>
            </w:tcBorders>
            <w:noWrap/>
            <w:vAlign w:val="center"/>
            <w:hideMark/>
          </w:tcPr>
          <w:p w14:paraId="3A0EE68E" w14:textId="77777777" w:rsidR="00EE5312" w:rsidRPr="002A3E13" w:rsidRDefault="00EE5312" w:rsidP="00D97D68">
            <w:pPr>
              <w:rPr>
                <w:sz w:val="16"/>
                <w:szCs w:val="16"/>
              </w:rPr>
            </w:pPr>
            <w:r w:rsidRPr="002A3E13">
              <w:rPr>
                <w:sz w:val="16"/>
                <w:szCs w:val="16"/>
              </w:rPr>
              <w:t>Albania</w:t>
            </w:r>
          </w:p>
        </w:tc>
        <w:tc>
          <w:tcPr>
            <w:tcW w:w="190" w:type="pct"/>
            <w:tcBorders>
              <w:top w:val="single" w:sz="12" w:space="0" w:color="auto"/>
              <w:right w:val="single" w:sz="12" w:space="0" w:color="auto"/>
            </w:tcBorders>
            <w:noWrap/>
            <w:vAlign w:val="center"/>
            <w:hideMark/>
          </w:tcPr>
          <w:p w14:paraId="68AFBBA3" w14:textId="77777777" w:rsidR="00EE5312" w:rsidRPr="002A3E13" w:rsidRDefault="00EE5312" w:rsidP="00D97D68">
            <w:pPr>
              <w:jc w:val="center"/>
              <w:rPr>
                <w:sz w:val="16"/>
                <w:szCs w:val="16"/>
              </w:rPr>
            </w:pPr>
            <w:r w:rsidRPr="002A3E13">
              <w:rPr>
                <w:sz w:val="16"/>
                <w:szCs w:val="16"/>
              </w:rPr>
              <w:t>0</w:t>
            </w:r>
          </w:p>
        </w:tc>
        <w:tc>
          <w:tcPr>
            <w:tcW w:w="537" w:type="pct"/>
            <w:tcBorders>
              <w:top w:val="single" w:sz="12" w:space="0" w:color="auto"/>
              <w:left w:val="single" w:sz="12" w:space="0" w:color="auto"/>
            </w:tcBorders>
            <w:vAlign w:val="center"/>
          </w:tcPr>
          <w:p w14:paraId="38BE4531" w14:textId="77777777" w:rsidR="00EE5312" w:rsidRPr="002A3E13" w:rsidRDefault="00EE5312" w:rsidP="00D97D68">
            <w:pPr>
              <w:rPr>
                <w:sz w:val="16"/>
                <w:szCs w:val="16"/>
              </w:rPr>
            </w:pPr>
            <w:r w:rsidRPr="002A3E13">
              <w:rPr>
                <w:sz w:val="16"/>
                <w:szCs w:val="16"/>
              </w:rPr>
              <w:t>Estonia</w:t>
            </w:r>
          </w:p>
        </w:tc>
        <w:tc>
          <w:tcPr>
            <w:tcW w:w="190" w:type="pct"/>
            <w:tcBorders>
              <w:top w:val="single" w:sz="12" w:space="0" w:color="auto"/>
              <w:right w:val="single" w:sz="12" w:space="0" w:color="auto"/>
            </w:tcBorders>
            <w:vAlign w:val="center"/>
          </w:tcPr>
          <w:p w14:paraId="76712EA2" w14:textId="77777777" w:rsidR="00EE5312" w:rsidRPr="002A3E13" w:rsidRDefault="00EE5312" w:rsidP="00D97D68">
            <w:pPr>
              <w:jc w:val="center"/>
              <w:rPr>
                <w:sz w:val="16"/>
                <w:szCs w:val="16"/>
              </w:rPr>
            </w:pPr>
            <w:r w:rsidRPr="002A3E13">
              <w:rPr>
                <w:sz w:val="16"/>
                <w:szCs w:val="16"/>
              </w:rPr>
              <w:t>2/2</w:t>
            </w:r>
          </w:p>
        </w:tc>
        <w:tc>
          <w:tcPr>
            <w:tcW w:w="858" w:type="pct"/>
            <w:tcBorders>
              <w:top w:val="single" w:sz="12" w:space="0" w:color="auto"/>
              <w:left w:val="single" w:sz="12" w:space="0" w:color="auto"/>
            </w:tcBorders>
            <w:vAlign w:val="center"/>
          </w:tcPr>
          <w:p w14:paraId="6F16E1C7" w14:textId="070692D7" w:rsidR="00EE5312" w:rsidRPr="002A3E13" w:rsidRDefault="00EE5312" w:rsidP="00D97D68">
            <w:pPr>
              <w:rPr>
                <w:sz w:val="16"/>
                <w:szCs w:val="16"/>
              </w:rPr>
            </w:pPr>
            <w:r w:rsidRPr="002A3E13">
              <w:rPr>
                <w:sz w:val="16"/>
                <w:szCs w:val="16"/>
              </w:rPr>
              <w:t>Li</w:t>
            </w:r>
            <w:r w:rsidR="00F946AB">
              <w:rPr>
                <w:sz w:val="16"/>
                <w:szCs w:val="16"/>
              </w:rPr>
              <w:t>e</w:t>
            </w:r>
            <w:r w:rsidRPr="002A3E13">
              <w:rPr>
                <w:sz w:val="16"/>
                <w:szCs w:val="16"/>
              </w:rPr>
              <w:t>chtenstein</w:t>
            </w:r>
          </w:p>
        </w:tc>
        <w:tc>
          <w:tcPr>
            <w:tcW w:w="190" w:type="pct"/>
            <w:tcBorders>
              <w:top w:val="single" w:sz="12" w:space="0" w:color="auto"/>
              <w:right w:val="single" w:sz="12" w:space="0" w:color="auto"/>
            </w:tcBorders>
            <w:vAlign w:val="center"/>
          </w:tcPr>
          <w:p w14:paraId="5BE082E8" w14:textId="77777777" w:rsidR="00EE5312" w:rsidRPr="002A3E13" w:rsidRDefault="00EE5312" w:rsidP="00D97D68">
            <w:pPr>
              <w:jc w:val="center"/>
              <w:rPr>
                <w:sz w:val="16"/>
                <w:szCs w:val="16"/>
              </w:rPr>
            </w:pPr>
            <w:r w:rsidRPr="002A3E13">
              <w:rPr>
                <w:sz w:val="16"/>
                <w:szCs w:val="16"/>
              </w:rPr>
              <w:t>0</w:t>
            </w:r>
          </w:p>
        </w:tc>
        <w:tc>
          <w:tcPr>
            <w:tcW w:w="801" w:type="pct"/>
            <w:tcBorders>
              <w:top w:val="single" w:sz="12" w:space="0" w:color="auto"/>
              <w:left w:val="single" w:sz="12" w:space="0" w:color="auto"/>
            </w:tcBorders>
            <w:vAlign w:val="center"/>
          </w:tcPr>
          <w:p w14:paraId="4F0AE29C" w14:textId="77777777" w:rsidR="00EE5312" w:rsidRPr="002A3E13" w:rsidRDefault="00EE5312" w:rsidP="00D97D68">
            <w:pPr>
              <w:rPr>
                <w:sz w:val="16"/>
                <w:szCs w:val="16"/>
              </w:rPr>
            </w:pPr>
            <w:r w:rsidRPr="002A3E13">
              <w:rPr>
                <w:sz w:val="16"/>
                <w:szCs w:val="16"/>
              </w:rPr>
              <w:t>Serbia</w:t>
            </w:r>
          </w:p>
        </w:tc>
        <w:tc>
          <w:tcPr>
            <w:tcW w:w="190" w:type="pct"/>
            <w:tcBorders>
              <w:top w:val="single" w:sz="12" w:space="0" w:color="auto"/>
              <w:right w:val="single" w:sz="12" w:space="0" w:color="auto"/>
            </w:tcBorders>
            <w:vAlign w:val="center"/>
          </w:tcPr>
          <w:p w14:paraId="6FA45CD3" w14:textId="77777777" w:rsidR="00EE5312" w:rsidRPr="002A3E13" w:rsidRDefault="00EE5312" w:rsidP="00D97D68">
            <w:pPr>
              <w:jc w:val="center"/>
              <w:rPr>
                <w:sz w:val="16"/>
                <w:szCs w:val="16"/>
              </w:rPr>
            </w:pPr>
            <w:r w:rsidRPr="002A3E13">
              <w:rPr>
                <w:sz w:val="16"/>
                <w:szCs w:val="16"/>
              </w:rPr>
              <w:t>0</w:t>
            </w:r>
          </w:p>
        </w:tc>
        <w:tc>
          <w:tcPr>
            <w:tcW w:w="1145" w:type="pct"/>
            <w:tcBorders>
              <w:top w:val="single" w:sz="12" w:space="0" w:color="auto"/>
              <w:left w:val="single" w:sz="12" w:space="0" w:color="auto"/>
            </w:tcBorders>
            <w:shd w:val="pct15" w:color="auto" w:fill="auto"/>
            <w:vAlign w:val="center"/>
          </w:tcPr>
          <w:p w14:paraId="0F8A08E9" w14:textId="77777777" w:rsidR="00EE5312" w:rsidRPr="002A3E13" w:rsidRDefault="00EE5312" w:rsidP="00D97D68">
            <w:pPr>
              <w:rPr>
                <w:sz w:val="16"/>
                <w:szCs w:val="16"/>
              </w:rPr>
            </w:pPr>
          </w:p>
        </w:tc>
        <w:tc>
          <w:tcPr>
            <w:tcW w:w="190" w:type="pct"/>
            <w:tcBorders>
              <w:top w:val="single" w:sz="12" w:space="0" w:color="auto"/>
              <w:right w:val="single" w:sz="12" w:space="0" w:color="auto"/>
            </w:tcBorders>
            <w:shd w:val="pct15" w:color="auto" w:fill="auto"/>
            <w:vAlign w:val="center"/>
          </w:tcPr>
          <w:p w14:paraId="3D8488AB" w14:textId="77777777" w:rsidR="00EE5312" w:rsidRPr="002A3E13" w:rsidRDefault="00EE5312" w:rsidP="00D97D68">
            <w:pPr>
              <w:jc w:val="center"/>
              <w:rPr>
                <w:sz w:val="16"/>
                <w:szCs w:val="16"/>
              </w:rPr>
            </w:pPr>
          </w:p>
        </w:tc>
      </w:tr>
      <w:tr w:rsidR="00EE5312" w:rsidRPr="002A3E13" w14:paraId="7B85044B" w14:textId="77777777" w:rsidTr="002A3E13">
        <w:trPr>
          <w:cantSplit/>
        </w:trPr>
        <w:tc>
          <w:tcPr>
            <w:tcW w:w="711" w:type="pct"/>
            <w:tcBorders>
              <w:left w:val="single" w:sz="12" w:space="0" w:color="auto"/>
            </w:tcBorders>
            <w:noWrap/>
            <w:vAlign w:val="center"/>
            <w:hideMark/>
          </w:tcPr>
          <w:p w14:paraId="4B61CE7F" w14:textId="77777777" w:rsidR="00EE5312" w:rsidRPr="002A3E13" w:rsidRDefault="00EE5312" w:rsidP="00D97D68">
            <w:pPr>
              <w:rPr>
                <w:sz w:val="16"/>
                <w:szCs w:val="16"/>
              </w:rPr>
            </w:pPr>
            <w:r w:rsidRPr="002A3E13">
              <w:rPr>
                <w:sz w:val="16"/>
                <w:szCs w:val="16"/>
              </w:rPr>
              <w:t>Andorra</w:t>
            </w:r>
          </w:p>
        </w:tc>
        <w:tc>
          <w:tcPr>
            <w:tcW w:w="190" w:type="pct"/>
            <w:tcBorders>
              <w:right w:val="single" w:sz="12" w:space="0" w:color="auto"/>
            </w:tcBorders>
            <w:noWrap/>
            <w:vAlign w:val="center"/>
            <w:hideMark/>
          </w:tcPr>
          <w:p w14:paraId="023BB91B" w14:textId="77777777" w:rsidR="00EE5312" w:rsidRPr="002A3E13" w:rsidRDefault="00EE5312" w:rsidP="00D97D68">
            <w:pPr>
              <w:jc w:val="center"/>
              <w:rPr>
                <w:sz w:val="16"/>
                <w:szCs w:val="16"/>
              </w:rPr>
            </w:pPr>
            <w:r w:rsidRPr="002A3E13">
              <w:rPr>
                <w:sz w:val="16"/>
                <w:szCs w:val="16"/>
              </w:rPr>
              <w:t>0</w:t>
            </w:r>
          </w:p>
        </w:tc>
        <w:tc>
          <w:tcPr>
            <w:tcW w:w="537" w:type="pct"/>
            <w:tcBorders>
              <w:left w:val="single" w:sz="12" w:space="0" w:color="auto"/>
            </w:tcBorders>
            <w:vAlign w:val="center"/>
          </w:tcPr>
          <w:p w14:paraId="4838E18D" w14:textId="77777777" w:rsidR="00EE5312" w:rsidRPr="002A3E13" w:rsidRDefault="00EE5312" w:rsidP="00D97D68">
            <w:pPr>
              <w:rPr>
                <w:sz w:val="16"/>
                <w:szCs w:val="16"/>
              </w:rPr>
            </w:pPr>
            <w:r w:rsidRPr="002A3E13">
              <w:rPr>
                <w:sz w:val="16"/>
                <w:szCs w:val="16"/>
              </w:rPr>
              <w:t>Finland</w:t>
            </w:r>
          </w:p>
        </w:tc>
        <w:tc>
          <w:tcPr>
            <w:tcW w:w="190" w:type="pct"/>
            <w:tcBorders>
              <w:right w:val="single" w:sz="12" w:space="0" w:color="auto"/>
            </w:tcBorders>
            <w:vAlign w:val="center"/>
          </w:tcPr>
          <w:p w14:paraId="4931C686" w14:textId="77777777" w:rsidR="00EE5312" w:rsidRPr="002A3E13" w:rsidRDefault="00EE5312" w:rsidP="00D97D68">
            <w:pPr>
              <w:jc w:val="center"/>
              <w:rPr>
                <w:sz w:val="16"/>
                <w:szCs w:val="16"/>
              </w:rPr>
            </w:pPr>
            <w:r w:rsidRPr="002A3E13">
              <w:rPr>
                <w:sz w:val="16"/>
                <w:szCs w:val="16"/>
              </w:rPr>
              <w:t>2/2</w:t>
            </w:r>
          </w:p>
        </w:tc>
        <w:tc>
          <w:tcPr>
            <w:tcW w:w="858" w:type="pct"/>
            <w:tcBorders>
              <w:left w:val="single" w:sz="12" w:space="0" w:color="auto"/>
            </w:tcBorders>
            <w:vAlign w:val="center"/>
          </w:tcPr>
          <w:p w14:paraId="1599ED88" w14:textId="77777777" w:rsidR="00EE5312" w:rsidRPr="002A3E13" w:rsidRDefault="00EE5312" w:rsidP="00D97D68">
            <w:pPr>
              <w:rPr>
                <w:sz w:val="16"/>
                <w:szCs w:val="16"/>
              </w:rPr>
            </w:pPr>
            <w:r w:rsidRPr="002A3E13">
              <w:rPr>
                <w:sz w:val="16"/>
                <w:szCs w:val="16"/>
              </w:rPr>
              <w:t>Lithuania</w:t>
            </w:r>
          </w:p>
        </w:tc>
        <w:tc>
          <w:tcPr>
            <w:tcW w:w="190" w:type="pct"/>
            <w:tcBorders>
              <w:right w:val="single" w:sz="12" w:space="0" w:color="auto"/>
            </w:tcBorders>
            <w:vAlign w:val="center"/>
          </w:tcPr>
          <w:p w14:paraId="4D3A2EA1" w14:textId="77777777" w:rsidR="00EE5312" w:rsidRPr="002A3E13" w:rsidRDefault="00EE5312" w:rsidP="00D97D68">
            <w:pPr>
              <w:jc w:val="center"/>
              <w:rPr>
                <w:sz w:val="16"/>
                <w:szCs w:val="16"/>
              </w:rPr>
            </w:pPr>
            <w:r w:rsidRPr="002A3E13">
              <w:rPr>
                <w:sz w:val="16"/>
                <w:szCs w:val="16"/>
              </w:rPr>
              <w:t>5/5</w:t>
            </w:r>
          </w:p>
        </w:tc>
        <w:tc>
          <w:tcPr>
            <w:tcW w:w="801" w:type="pct"/>
            <w:tcBorders>
              <w:left w:val="single" w:sz="12" w:space="0" w:color="auto"/>
            </w:tcBorders>
            <w:vAlign w:val="center"/>
          </w:tcPr>
          <w:p w14:paraId="4C1BC77B" w14:textId="77777777" w:rsidR="00EE5312" w:rsidRPr="002A3E13" w:rsidRDefault="00EE5312" w:rsidP="00D97D68">
            <w:pPr>
              <w:rPr>
                <w:sz w:val="16"/>
                <w:szCs w:val="16"/>
              </w:rPr>
            </w:pPr>
            <w:r w:rsidRPr="002A3E13">
              <w:rPr>
                <w:sz w:val="16"/>
                <w:szCs w:val="16"/>
              </w:rPr>
              <w:t>Slovakia</w:t>
            </w:r>
          </w:p>
        </w:tc>
        <w:tc>
          <w:tcPr>
            <w:tcW w:w="190" w:type="pct"/>
            <w:tcBorders>
              <w:right w:val="single" w:sz="12" w:space="0" w:color="auto"/>
            </w:tcBorders>
            <w:vAlign w:val="center"/>
          </w:tcPr>
          <w:p w14:paraId="60C09039" w14:textId="77777777" w:rsidR="00EE5312" w:rsidRPr="002A3E13" w:rsidRDefault="00EE5312" w:rsidP="00D97D68">
            <w:pPr>
              <w:jc w:val="center"/>
              <w:rPr>
                <w:sz w:val="16"/>
                <w:szCs w:val="16"/>
              </w:rPr>
            </w:pPr>
            <w:r w:rsidRPr="002A3E13">
              <w:rPr>
                <w:sz w:val="16"/>
                <w:szCs w:val="16"/>
              </w:rPr>
              <w:t>1/1</w:t>
            </w:r>
          </w:p>
        </w:tc>
        <w:tc>
          <w:tcPr>
            <w:tcW w:w="1145" w:type="pct"/>
            <w:tcBorders>
              <w:left w:val="single" w:sz="12" w:space="0" w:color="auto"/>
            </w:tcBorders>
            <w:vAlign w:val="center"/>
          </w:tcPr>
          <w:p w14:paraId="5669D30A" w14:textId="77777777" w:rsidR="00EE5312" w:rsidRPr="002A3E13" w:rsidRDefault="00EE5312" w:rsidP="00D97D68">
            <w:pPr>
              <w:rPr>
                <w:sz w:val="16"/>
                <w:szCs w:val="16"/>
              </w:rPr>
            </w:pPr>
            <w:r w:rsidRPr="002A3E13">
              <w:rPr>
                <w:sz w:val="16"/>
                <w:szCs w:val="16"/>
              </w:rPr>
              <w:t>CAREC</w:t>
            </w:r>
          </w:p>
        </w:tc>
        <w:tc>
          <w:tcPr>
            <w:tcW w:w="190" w:type="pct"/>
            <w:tcBorders>
              <w:right w:val="single" w:sz="12" w:space="0" w:color="auto"/>
            </w:tcBorders>
            <w:vAlign w:val="center"/>
          </w:tcPr>
          <w:p w14:paraId="34D21BE6" w14:textId="77777777" w:rsidR="00EE5312" w:rsidRPr="002A3E13" w:rsidRDefault="00EE5312" w:rsidP="00D97D68">
            <w:pPr>
              <w:jc w:val="center"/>
              <w:rPr>
                <w:sz w:val="16"/>
                <w:szCs w:val="16"/>
              </w:rPr>
            </w:pPr>
            <w:r w:rsidRPr="002A3E13">
              <w:rPr>
                <w:sz w:val="16"/>
                <w:szCs w:val="16"/>
              </w:rPr>
              <w:t>8/7</w:t>
            </w:r>
          </w:p>
        </w:tc>
      </w:tr>
      <w:tr w:rsidR="00EE5312" w:rsidRPr="002A3E13" w14:paraId="4F383FEE" w14:textId="77777777" w:rsidTr="002A3E13">
        <w:trPr>
          <w:cantSplit/>
        </w:trPr>
        <w:tc>
          <w:tcPr>
            <w:tcW w:w="711" w:type="pct"/>
            <w:tcBorders>
              <w:left w:val="single" w:sz="12" w:space="0" w:color="auto"/>
            </w:tcBorders>
            <w:noWrap/>
            <w:vAlign w:val="center"/>
            <w:hideMark/>
          </w:tcPr>
          <w:p w14:paraId="3902A4DC" w14:textId="77777777" w:rsidR="00EE5312" w:rsidRPr="002A3E13" w:rsidRDefault="00EE5312" w:rsidP="00D97D68">
            <w:pPr>
              <w:rPr>
                <w:sz w:val="16"/>
                <w:szCs w:val="16"/>
              </w:rPr>
            </w:pPr>
            <w:r w:rsidRPr="002A3E13">
              <w:rPr>
                <w:sz w:val="16"/>
                <w:szCs w:val="16"/>
              </w:rPr>
              <w:t>Armenia</w:t>
            </w:r>
          </w:p>
        </w:tc>
        <w:tc>
          <w:tcPr>
            <w:tcW w:w="190" w:type="pct"/>
            <w:tcBorders>
              <w:right w:val="single" w:sz="12" w:space="0" w:color="auto"/>
            </w:tcBorders>
            <w:noWrap/>
            <w:vAlign w:val="center"/>
            <w:hideMark/>
          </w:tcPr>
          <w:p w14:paraId="357B7040" w14:textId="77777777" w:rsidR="00EE5312" w:rsidRPr="002A3E13" w:rsidRDefault="00EE5312" w:rsidP="00D97D68">
            <w:pPr>
              <w:jc w:val="center"/>
              <w:rPr>
                <w:sz w:val="16"/>
                <w:szCs w:val="16"/>
              </w:rPr>
            </w:pPr>
            <w:r w:rsidRPr="002A3E13">
              <w:rPr>
                <w:sz w:val="16"/>
                <w:szCs w:val="16"/>
              </w:rPr>
              <w:t>0</w:t>
            </w:r>
          </w:p>
        </w:tc>
        <w:tc>
          <w:tcPr>
            <w:tcW w:w="537" w:type="pct"/>
            <w:tcBorders>
              <w:left w:val="single" w:sz="12" w:space="0" w:color="auto"/>
            </w:tcBorders>
            <w:vAlign w:val="center"/>
          </w:tcPr>
          <w:p w14:paraId="5B8E2968" w14:textId="77777777" w:rsidR="00EE5312" w:rsidRPr="002A3E13" w:rsidRDefault="00EE5312" w:rsidP="00D97D68">
            <w:pPr>
              <w:rPr>
                <w:sz w:val="16"/>
                <w:szCs w:val="16"/>
              </w:rPr>
            </w:pPr>
            <w:r w:rsidRPr="002A3E13">
              <w:rPr>
                <w:sz w:val="16"/>
                <w:szCs w:val="16"/>
              </w:rPr>
              <w:t>France</w:t>
            </w:r>
          </w:p>
        </w:tc>
        <w:tc>
          <w:tcPr>
            <w:tcW w:w="190" w:type="pct"/>
            <w:tcBorders>
              <w:right w:val="single" w:sz="12" w:space="0" w:color="auto"/>
            </w:tcBorders>
            <w:vAlign w:val="center"/>
          </w:tcPr>
          <w:p w14:paraId="77D752AB" w14:textId="77777777" w:rsidR="00EE5312" w:rsidRPr="002A3E13" w:rsidRDefault="00EE5312" w:rsidP="00D97D68">
            <w:pPr>
              <w:jc w:val="center"/>
              <w:rPr>
                <w:sz w:val="16"/>
                <w:szCs w:val="16"/>
              </w:rPr>
            </w:pPr>
            <w:r w:rsidRPr="002A3E13">
              <w:rPr>
                <w:sz w:val="16"/>
                <w:szCs w:val="16"/>
              </w:rPr>
              <w:t>2/2</w:t>
            </w:r>
          </w:p>
        </w:tc>
        <w:tc>
          <w:tcPr>
            <w:tcW w:w="858" w:type="pct"/>
            <w:tcBorders>
              <w:left w:val="single" w:sz="12" w:space="0" w:color="auto"/>
            </w:tcBorders>
            <w:vAlign w:val="center"/>
          </w:tcPr>
          <w:p w14:paraId="1A8B6CCC" w14:textId="77777777" w:rsidR="00EE5312" w:rsidRPr="002A3E13" w:rsidRDefault="00EE5312" w:rsidP="00D97D68">
            <w:pPr>
              <w:rPr>
                <w:sz w:val="16"/>
                <w:szCs w:val="16"/>
              </w:rPr>
            </w:pPr>
            <w:r w:rsidRPr="002A3E13">
              <w:rPr>
                <w:sz w:val="16"/>
                <w:szCs w:val="16"/>
              </w:rPr>
              <w:t>Luxembourg</w:t>
            </w:r>
          </w:p>
        </w:tc>
        <w:tc>
          <w:tcPr>
            <w:tcW w:w="190" w:type="pct"/>
            <w:tcBorders>
              <w:right w:val="single" w:sz="12" w:space="0" w:color="auto"/>
            </w:tcBorders>
            <w:vAlign w:val="center"/>
          </w:tcPr>
          <w:p w14:paraId="71D99F8E" w14:textId="77777777" w:rsidR="00EE5312" w:rsidRPr="002A3E13" w:rsidRDefault="00EE5312" w:rsidP="00D97D68">
            <w:pPr>
              <w:jc w:val="center"/>
              <w:rPr>
                <w:sz w:val="16"/>
                <w:szCs w:val="16"/>
              </w:rPr>
            </w:pPr>
            <w:r w:rsidRPr="002A3E13">
              <w:rPr>
                <w:sz w:val="16"/>
                <w:szCs w:val="16"/>
              </w:rPr>
              <w:t>1/1</w:t>
            </w:r>
          </w:p>
        </w:tc>
        <w:tc>
          <w:tcPr>
            <w:tcW w:w="801" w:type="pct"/>
            <w:tcBorders>
              <w:left w:val="single" w:sz="12" w:space="0" w:color="auto"/>
            </w:tcBorders>
            <w:vAlign w:val="center"/>
          </w:tcPr>
          <w:p w14:paraId="44CAF56F" w14:textId="77777777" w:rsidR="00EE5312" w:rsidRPr="002A3E13" w:rsidRDefault="00EE5312" w:rsidP="00D97D68">
            <w:pPr>
              <w:rPr>
                <w:sz w:val="16"/>
                <w:szCs w:val="16"/>
              </w:rPr>
            </w:pPr>
            <w:r w:rsidRPr="002A3E13">
              <w:rPr>
                <w:sz w:val="16"/>
                <w:szCs w:val="16"/>
              </w:rPr>
              <w:t>Slovenia</w:t>
            </w:r>
          </w:p>
        </w:tc>
        <w:tc>
          <w:tcPr>
            <w:tcW w:w="190" w:type="pct"/>
            <w:tcBorders>
              <w:right w:val="single" w:sz="12" w:space="0" w:color="auto"/>
            </w:tcBorders>
            <w:vAlign w:val="center"/>
          </w:tcPr>
          <w:p w14:paraId="39367E10" w14:textId="77777777" w:rsidR="00EE5312" w:rsidRPr="002A3E13" w:rsidRDefault="00EE5312" w:rsidP="00D97D68">
            <w:pPr>
              <w:jc w:val="center"/>
              <w:rPr>
                <w:sz w:val="16"/>
                <w:szCs w:val="16"/>
              </w:rPr>
            </w:pPr>
            <w:r w:rsidRPr="002A3E13">
              <w:rPr>
                <w:sz w:val="16"/>
                <w:szCs w:val="16"/>
              </w:rPr>
              <w:t>1/1</w:t>
            </w:r>
          </w:p>
        </w:tc>
        <w:tc>
          <w:tcPr>
            <w:tcW w:w="1145" w:type="pct"/>
            <w:tcBorders>
              <w:left w:val="single" w:sz="12" w:space="0" w:color="auto"/>
            </w:tcBorders>
            <w:vAlign w:val="center"/>
          </w:tcPr>
          <w:p w14:paraId="7A8F0460" w14:textId="77777777" w:rsidR="00EE5312" w:rsidRPr="002A3E13" w:rsidRDefault="00EE5312" w:rsidP="00D97D68">
            <w:pPr>
              <w:rPr>
                <w:sz w:val="16"/>
                <w:szCs w:val="16"/>
              </w:rPr>
            </w:pPr>
            <w:proofErr w:type="spellStart"/>
            <w:r w:rsidRPr="002A3E13">
              <w:rPr>
                <w:sz w:val="16"/>
                <w:szCs w:val="16"/>
              </w:rPr>
              <w:t>Cittadellarte-Pistoletto</w:t>
            </w:r>
            <w:proofErr w:type="spellEnd"/>
            <w:r w:rsidRPr="002A3E13">
              <w:rPr>
                <w:sz w:val="16"/>
                <w:szCs w:val="16"/>
              </w:rPr>
              <w:t xml:space="preserve"> Found.</w:t>
            </w:r>
          </w:p>
        </w:tc>
        <w:tc>
          <w:tcPr>
            <w:tcW w:w="190" w:type="pct"/>
            <w:tcBorders>
              <w:right w:val="single" w:sz="12" w:space="0" w:color="auto"/>
            </w:tcBorders>
            <w:vAlign w:val="center"/>
          </w:tcPr>
          <w:p w14:paraId="5BA7CB89" w14:textId="77777777" w:rsidR="00EE5312" w:rsidRPr="002A3E13" w:rsidRDefault="00EE5312" w:rsidP="00D97D68">
            <w:pPr>
              <w:jc w:val="center"/>
              <w:rPr>
                <w:sz w:val="16"/>
                <w:szCs w:val="16"/>
              </w:rPr>
            </w:pPr>
            <w:r w:rsidRPr="002A3E13">
              <w:rPr>
                <w:sz w:val="16"/>
                <w:szCs w:val="16"/>
              </w:rPr>
              <w:t>2/0</w:t>
            </w:r>
          </w:p>
        </w:tc>
      </w:tr>
      <w:tr w:rsidR="00EE5312" w:rsidRPr="002A3E13" w14:paraId="1138A485" w14:textId="77777777" w:rsidTr="002A3E13">
        <w:trPr>
          <w:cantSplit/>
        </w:trPr>
        <w:tc>
          <w:tcPr>
            <w:tcW w:w="711" w:type="pct"/>
            <w:tcBorders>
              <w:left w:val="single" w:sz="12" w:space="0" w:color="auto"/>
            </w:tcBorders>
            <w:noWrap/>
            <w:vAlign w:val="center"/>
            <w:hideMark/>
          </w:tcPr>
          <w:p w14:paraId="3BF95C49" w14:textId="77777777" w:rsidR="00EE5312" w:rsidRPr="002A3E13" w:rsidRDefault="00EE5312" w:rsidP="00D97D68">
            <w:pPr>
              <w:rPr>
                <w:sz w:val="16"/>
                <w:szCs w:val="16"/>
              </w:rPr>
            </w:pPr>
            <w:r w:rsidRPr="002A3E13">
              <w:rPr>
                <w:sz w:val="16"/>
                <w:szCs w:val="16"/>
              </w:rPr>
              <w:t>Austria</w:t>
            </w:r>
          </w:p>
        </w:tc>
        <w:tc>
          <w:tcPr>
            <w:tcW w:w="190" w:type="pct"/>
            <w:tcBorders>
              <w:right w:val="single" w:sz="12" w:space="0" w:color="auto"/>
            </w:tcBorders>
            <w:noWrap/>
            <w:vAlign w:val="center"/>
            <w:hideMark/>
          </w:tcPr>
          <w:p w14:paraId="685639A7" w14:textId="77777777" w:rsidR="00EE5312" w:rsidRPr="002A3E13" w:rsidRDefault="00EE5312" w:rsidP="00D97D68">
            <w:pPr>
              <w:jc w:val="center"/>
              <w:rPr>
                <w:sz w:val="16"/>
                <w:szCs w:val="16"/>
              </w:rPr>
            </w:pPr>
            <w:r w:rsidRPr="002A3E13">
              <w:rPr>
                <w:sz w:val="16"/>
                <w:szCs w:val="16"/>
              </w:rPr>
              <w:t>1/0</w:t>
            </w:r>
          </w:p>
        </w:tc>
        <w:tc>
          <w:tcPr>
            <w:tcW w:w="537" w:type="pct"/>
            <w:tcBorders>
              <w:left w:val="single" w:sz="12" w:space="0" w:color="auto"/>
            </w:tcBorders>
            <w:vAlign w:val="center"/>
          </w:tcPr>
          <w:p w14:paraId="4EEEB367" w14:textId="77777777" w:rsidR="00EE5312" w:rsidRPr="002A3E13" w:rsidRDefault="00EE5312" w:rsidP="00D97D68">
            <w:pPr>
              <w:rPr>
                <w:sz w:val="16"/>
                <w:szCs w:val="16"/>
              </w:rPr>
            </w:pPr>
            <w:r w:rsidRPr="002A3E13">
              <w:rPr>
                <w:sz w:val="16"/>
                <w:szCs w:val="16"/>
              </w:rPr>
              <w:t>Georgia</w:t>
            </w:r>
          </w:p>
        </w:tc>
        <w:tc>
          <w:tcPr>
            <w:tcW w:w="190" w:type="pct"/>
            <w:tcBorders>
              <w:right w:val="single" w:sz="12" w:space="0" w:color="auto"/>
            </w:tcBorders>
            <w:vAlign w:val="center"/>
          </w:tcPr>
          <w:p w14:paraId="36655A4C" w14:textId="77777777" w:rsidR="00EE5312" w:rsidRPr="002A3E13" w:rsidRDefault="00EE5312" w:rsidP="00D97D68">
            <w:pPr>
              <w:jc w:val="center"/>
              <w:rPr>
                <w:sz w:val="16"/>
                <w:szCs w:val="16"/>
              </w:rPr>
            </w:pPr>
            <w:r w:rsidRPr="002A3E13">
              <w:rPr>
                <w:sz w:val="16"/>
                <w:szCs w:val="16"/>
              </w:rPr>
              <w:t>4/4</w:t>
            </w:r>
          </w:p>
        </w:tc>
        <w:tc>
          <w:tcPr>
            <w:tcW w:w="858" w:type="pct"/>
            <w:tcBorders>
              <w:left w:val="single" w:sz="12" w:space="0" w:color="auto"/>
            </w:tcBorders>
            <w:vAlign w:val="center"/>
          </w:tcPr>
          <w:p w14:paraId="6945F451" w14:textId="77777777" w:rsidR="00EE5312" w:rsidRPr="002A3E13" w:rsidRDefault="00EE5312" w:rsidP="00D97D68">
            <w:pPr>
              <w:rPr>
                <w:sz w:val="16"/>
                <w:szCs w:val="16"/>
              </w:rPr>
            </w:pPr>
            <w:r w:rsidRPr="002A3E13">
              <w:rPr>
                <w:sz w:val="16"/>
                <w:szCs w:val="16"/>
              </w:rPr>
              <w:t>Malta</w:t>
            </w:r>
          </w:p>
        </w:tc>
        <w:tc>
          <w:tcPr>
            <w:tcW w:w="190" w:type="pct"/>
            <w:tcBorders>
              <w:right w:val="single" w:sz="12" w:space="0" w:color="auto"/>
            </w:tcBorders>
            <w:vAlign w:val="center"/>
          </w:tcPr>
          <w:p w14:paraId="3BBAB80B" w14:textId="77777777" w:rsidR="00EE5312" w:rsidRPr="002A3E13" w:rsidRDefault="00EE5312" w:rsidP="00D97D68">
            <w:pPr>
              <w:jc w:val="center"/>
              <w:rPr>
                <w:sz w:val="16"/>
                <w:szCs w:val="16"/>
              </w:rPr>
            </w:pPr>
            <w:r w:rsidRPr="002A3E13">
              <w:rPr>
                <w:sz w:val="16"/>
                <w:szCs w:val="16"/>
              </w:rPr>
              <w:t>0</w:t>
            </w:r>
          </w:p>
        </w:tc>
        <w:tc>
          <w:tcPr>
            <w:tcW w:w="801" w:type="pct"/>
            <w:tcBorders>
              <w:left w:val="single" w:sz="12" w:space="0" w:color="auto"/>
            </w:tcBorders>
            <w:vAlign w:val="center"/>
          </w:tcPr>
          <w:p w14:paraId="05335810" w14:textId="77777777" w:rsidR="00EE5312" w:rsidRPr="002A3E13" w:rsidRDefault="00EE5312" w:rsidP="00D97D68">
            <w:pPr>
              <w:rPr>
                <w:sz w:val="16"/>
                <w:szCs w:val="16"/>
              </w:rPr>
            </w:pPr>
            <w:r w:rsidRPr="002A3E13">
              <w:rPr>
                <w:sz w:val="16"/>
                <w:szCs w:val="16"/>
              </w:rPr>
              <w:t>Spain</w:t>
            </w:r>
          </w:p>
        </w:tc>
        <w:tc>
          <w:tcPr>
            <w:tcW w:w="190" w:type="pct"/>
            <w:tcBorders>
              <w:right w:val="single" w:sz="12" w:space="0" w:color="auto"/>
            </w:tcBorders>
            <w:vAlign w:val="center"/>
          </w:tcPr>
          <w:p w14:paraId="1DC61E07" w14:textId="77777777" w:rsidR="00EE5312" w:rsidRPr="002A3E13" w:rsidRDefault="00EE5312" w:rsidP="00D97D68">
            <w:pPr>
              <w:jc w:val="center"/>
              <w:rPr>
                <w:sz w:val="16"/>
                <w:szCs w:val="16"/>
              </w:rPr>
            </w:pPr>
            <w:r w:rsidRPr="002A3E13">
              <w:rPr>
                <w:sz w:val="16"/>
                <w:szCs w:val="16"/>
              </w:rPr>
              <w:t>0</w:t>
            </w:r>
          </w:p>
        </w:tc>
        <w:tc>
          <w:tcPr>
            <w:tcW w:w="1145" w:type="pct"/>
            <w:tcBorders>
              <w:left w:val="single" w:sz="12" w:space="0" w:color="auto"/>
            </w:tcBorders>
            <w:vAlign w:val="center"/>
          </w:tcPr>
          <w:p w14:paraId="547ABF91" w14:textId="77777777" w:rsidR="00EE5312" w:rsidRPr="002A3E13" w:rsidRDefault="00EE5312" w:rsidP="00D97D68">
            <w:pPr>
              <w:rPr>
                <w:sz w:val="16"/>
                <w:szCs w:val="16"/>
              </w:rPr>
            </w:pPr>
            <w:r w:rsidRPr="002A3E13">
              <w:rPr>
                <w:sz w:val="16"/>
                <w:szCs w:val="16"/>
              </w:rPr>
              <w:t>European ECO Forum</w:t>
            </w:r>
          </w:p>
        </w:tc>
        <w:tc>
          <w:tcPr>
            <w:tcW w:w="190" w:type="pct"/>
            <w:tcBorders>
              <w:right w:val="single" w:sz="12" w:space="0" w:color="auto"/>
            </w:tcBorders>
            <w:vAlign w:val="center"/>
          </w:tcPr>
          <w:p w14:paraId="04141364" w14:textId="77777777" w:rsidR="00EE5312" w:rsidRPr="002A3E13" w:rsidRDefault="00EE5312" w:rsidP="00D97D68">
            <w:pPr>
              <w:jc w:val="center"/>
              <w:rPr>
                <w:sz w:val="16"/>
                <w:szCs w:val="16"/>
              </w:rPr>
            </w:pPr>
            <w:r w:rsidRPr="002A3E13">
              <w:rPr>
                <w:sz w:val="16"/>
                <w:szCs w:val="16"/>
              </w:rPr>
              <w:t>1/0</w:t>
            </w:r>
          </w:p>
        </w:tc>
      </w:tr>
      <w:tr w:rsidR="00EE5312" w:rsidRPr="002A3E13" w14:paraId="69304358" w14:textId="77777777" w:rsidTr="002A3E13">
        <w:trPr>
          <w:cantSplit/>
        </w:trPr>
        <w:tc>
          <w:tcPr>
            <w:tcW w:w="711" w:type="pct"/>
            <w:tcBorders>
              <w:left w:val="single" w:sz="12" w:space="0" w:color="auto"/>
            </w:tcBorders>
            <w:noWrap/>
            <w:vAlign w:val="center"/>
            <w:hideMark/>
          </w:tcPr>
          <w:p w14:paraId="450C36D7" w14:textId="77777777" w:rsidR="00EE5312" w:rsidRPr="002A3E13" w:rsidRDefault="00EE5312" w:rsidP="00D97D68">
            <w:pPr>
              <w:rPr>
                <w:sz w:val="16"/>
                <w:szCs w:val="16"/>
              </w:rPr>
            </w:pPr>
            <w:r w:rsidRPr="002A3E13">
              <w:rPr>
                <w:sz w:val="16"/>
                <w:szCs w:val="16"/>
              </w:rPr>
              <w:t>Azerbaijan</w:t>
            </w:r>
          </w:p>
        </w:tc>
        <w:tc>
          <w:tcPr>
            <w:tcW w:w="190" w:type="pct"/>
            <w:tcBorders>
              <w:right w:val="single" w:sz="12" w:space="0" w:color="auto"/>
            </w:tcBorders>
            <w:noWrap/>
            <w:vAlign w:val="center"/>
            <w:hideMark/>
          </w:tcPr>
          <w:p w14:paraId="00A0BC9D" w14:textId="77777777" w:rsidR="00EE5312" w:rsidRPr="002A3E13" w:rsidRDefault="00EE5312" w:rsidP="00D97D68">
            <w:pPr>
              <w:jc w:val="center"/>
              <w:rPr>
                <w:sz w:val="16"/>
                <w:szCs w:val="16"/>
              </w:rPr>
            </w:pPr>
            <w:r w:rsidRPr="002A3E13">
              <w:rPr>
                <w:sz w:val="16"/>
                <w:szCs w:val="16"/>
              </w:rPr>
              <w:t>1/1</w:t>
            </w:r>
          </w:p>
        </w:tc>
        <w:tc>
          <w:tcPr>
            <w:tcW w:w="537" w:type="pct"/>
            <w:tcBorders>
              <w:left w:val="single" w:sz="12" w:space="0" w:color="auto"/>
            </w:tcBorders>
            <w:vAlign w:val="center"/>
          </w:tcPr>
          <w:p w14:paraId="317072BB" w14:textId="77777777" w:rsidR="00EE5312" w:rsidRPr="002A3E13" w:rsidRDefault="00EE5312" w:rsidP="00D97D68">
            <w:pPr>
              <w:rPr>
                <w:sz w:val="16"/>
                <w:szCs w:val="16"/>
              </w:rPr>
            </w:pPr>
            <w:r w:rsidRPr="002A3E13">
              <w:rPr>
                <w:sz w:val="16"/>
                <w:szCs w:val="16"/>
              </w:rPr>
              <w:t>Germany</w:t>
            </w:r>
          </w:p>
        </w:tc>
        <w:tc>
          <w:tcPr>
            <w:tcW w:w="190" w:type="pct"/>
            <w:tcBorders>
              <w:right w:val="single" w:sz="12" w:space="0" w:color="auto"/>
            </w:tcBorders>
            <w:vAlign w:val="center"/>
          </w:tcPr>
          <w:p w14:paraId="41EE4368" w14:textId="77777777" w:rsidR="00EE5312" w:rsidRPr="002A3E13" w:rsidRDefault="00EE5312" w:rsidP="00D97D68">
            <w:pPr>
              <w:jc w:val="center"/>
              <w:rPr>
                <w:sz w:val="16"/>
                <w:szCs w:val="16"/>
              </w:rPr>
            </w:pPr>
            <w:r w:rsidRPr="002A3E13">
              <w:rPr>
                <w:sz w:val="16"/>
                <w:szCs w:val="16"/>
              </w:rPr>
              <w:t>4/4</w:t>
            </w:r>
          </w:p>
        </w:tc>
        <w:tc>
          <w:tcPr>
            <w:tcW w:w="858" w:type="pct"/>
            <w:tcBorders>
              <w:left w:val="single" w:sz="12" w:space="0" w:color="auto"/>
            </w:tcBorders>
            <w:vAlign w:val="center"/>
          </w:tcPr>
          <w:p w14:paraId="6C9CB918" w14:textId="77777777" w:rsidR="00EE5312" w:rsidRPr="002A3E13" w:rsidRDefault="00EE5312" w:rsidP="00D97D68">
            <w:pPr>
              <w:rPr>
                <w:sz w:val="16"/>
                <w:szCs w:val="16"/>
              </w:rPr>
            </w:pPr>
            <w:r w:rsidRPr="002A3E13">
              <w:rPr>
                <w:sz w:val="16"/>
                <w:szCs w:val="16"/>
              </w:rPr>
              <w:t>Monaco</w:t>
            </w:r>
          </w:p>
        </w:tc>
        <w:tc>
          <w:tcPr>
            <w:tcW w:w="190" w:type="pct"/>
            <w:tcBorders>
              <w:right w:val="single" w:sz="12" w:space="0" w:color="auto"/>
            </w:tcBorders>
            <w:vAlign w:val="center"/>
          </w:tcPr>
          <w:p w14:paraId="5375BAD0" w14:textId="77777777" w:rsidR="00EE5312" w:rsidRPr="002A3E13" w:rsidRDefault="00EE5312" w:rsidP="00D97D68">
            <w:pPr>
              <w:jc w:val="center"/>
              <w:rPr>
                <w:sz w:val="16"/>
                <w:szCs w:val="16"/>
              </w:rPr>
            </w:pPr>
            <w:r w:rsidRPr="002A3E13">
              <w:rPr>
                <w:sz w:val="16"/>
                <w:szCs w:val="16"/>
              </w:rPr>
              <w:t>0</w:t>
            </w:r>
          </w:p>
        </w:tc>
        <w:tc>
          <w:tcPr>
            <w:tcW w:w="801" w:type="pct"/>
            <w:tcBorders>
              <w:left w:val="single" w:sz="12" w:space="0" w:color="auto"/>
            </w:tcBorders>
            <w:vAlign w:val="center"/>
          </w:tcPr>
          <w:p w14:paraId="668CA962" w14:textId="77777777" w:rsidR="00EE5312" w:rsidRPr="002A3E13" w:rsidRDefault="00EE5312" w:rsidP="00D97D68">
            <w:pPr>
              <w:rPr>
                <w:sz w:val="16"/>
                <w:szCs w:val="16"/>
              </w:rPr>
            </w:pPr>
            <w:r w:rsidRPr="002A3E13">
              <w:rPr>
                <w:sz w:val="16"/>
                <w:szCs w:val="16"/>
              </w:rPr>
              <w:t>Sweden</w:t>
            </w:r>
          </w:p>
        </w:tc>
        <w:tc>
          <w:tcPr>
            <w:tcW w:w="190" w:type="pct"/>
            <w:tcBorders>
              <w:right w:val="single" w:sz="12" w:space="0" w:color="auto"/>
            </w:tcBorders>
            <w:vAlign w:val="center"/>
          </w:tcPr>
          <w:p w14:paraId="3D4AFD0D" w14:textId="77777777" w:rsidR="00EE5312" w:rsidRPr="002A3E13" w:rsidRDefault="00EE5312" w:rsidP="00D97D68">
            <w:pPr>
              <w:jc w:val="center"/>
              <w:rPr>
                <w:sz w:val="16"/>
                <w:szCs w:val="16"/>
              </w:rPr>
            </w:pPr>
            <w:r w:rsidRPr="002A3E13">
              <w:rPr>
                <w:sz w:val="16"/>
                <w:szCs w:val="16"/>
              </w:rPr>
              <w:t>4/0</w:t>
            </w:r>
          </w:p>
        </w:tc>
        <w:tc>
          <w:tcPr>
            <w:tcW w:w="1145" w:type="pct"/>
            <w:tcBorders>
              <w:left w:val="single" w:sz="12" w:space="0" w:color="auto"/>
            </w:tcBorders>
            <w:vAlign w:val="center"/>
          </w:tcPr>
          <w:p w14:paraId="00DABD82" w14:textId="77777777" w:rsidR="00EE5312" w:rsidRPr="002A3E13" w:rsidRDefault="00EE5312" w:rsidP="00D97D68">
            <w:pPr>
              <w:rPr>
                <w:sz w:val="16"/>
                <w:szCs w:val="16"/>
              </w:rPr>
            </w:pPr>
            <w:r w:rsidRPr="002A3E13">
              <w:rPr>
                <w:sz w:val="16"/>
                <w:szCs w:val="16"/>
              </w:rPr>
              <w:t>GGKP</w:t>
            </w:r>
          </w:p>
        </w:tc>
        <w:tc>
          <w:tcPr>
            <w:tcW w:w="190" w:type="pct"/>
            <w:tcBorders>
              <w:right w:val="single" w:sz="12" w:space="0" w:color="auto"/>
            </w:tcBorders>
            <w:vAlign w:val="center"/>
          </w:tcPr>
          <w:p w14:paraId="62A4D946" w14:textId="77777777" w:rsidR="00EE5312" w:rsidRPr="002A3E13" w:rsidRDefault="00EE5312" w:rsidP="00D97D68">
            <w:pPr>
              <w:jc w:val="center"/>
              <w:rPr>
                <w:sz w:val="16"/>
                <w:szCs w:val="16"/>
              </w:rPr>
            </w:pPr>
            <w:r w:rsidRPr="002A3E13">
              <w:rPr>
                <w:sz w:val="16"/>
                <w:szCs w:val="16"/>
              </w:rPr>
              <w:t>1/1</w:t>
            </w:r>
          </w:p>
        </w:tc>
      </w:tr>
      <w:tr w:rsidR="00EE5312" w:rsidRPr="002A3E13" w14:paraId="19998861" w14:textId="77777777" w:rsidTr="002A3E13">
        <w:trPr>
          <w:cantSplit/>
        </w:trPr>
        <w:tc>
          <w:tcPr>
            <w:tcW w:w="711" w:type="pct"/>
            <w:tcBorders>
              <w:left w:val="single" w:sz="12" w:space="0" w:color="auto"/>
            </w:tcBorders>
            <w:noWrap/>
            <w:vAlign w:val="center"/>
            <w:hideMark/>
          </w:tcPr>
          <w:p w14:paraId="7B94885E" w14:textId="77777777" w:rsidR="00EE5312" w:rsidRPr="002A3E13" w:rsidRDefault="00EE5312" w:rsidP="00D97D68">
            <w:pPr>
              <w:rPr>
                <w:sz w:val="16"/>
                <w:szCs w:val="16"/>
              </w:rPr>
            </w:pPr>
            <w:r w:rsidRPr="002A3E13">
              <w:rPr>
                <w:sz w:val="16"/>
                <w:szCs w:val="16"/>
              </w:rPr>
              <w:t>Belarus</w:t>
            </w:r>
          </w:p>
        </w:tc>
        <w:tc>
          <w:tcPr>
            <w:tcW w:w="190" w:type="pct"/>
            <w:tcBorders>
              <w:right w:val="single" w:sz="12" w:space="0" w:color="auto"/>
            </w:tcBorders>
            <w:noWrap/>
            <w:vAlign w:val="center"/>
            <w:hideMark/>
          </w:tcPr>
          <w:p w14:paraId="0C407297" w14:textId="77777777" w:rsidR="00EE5312" w:rsidRPr="002A3E13" w:rsidRDefault="00EE5312" w:rsidP="00D97D68">
            <w:pPr>
              <w:jc w:val="center"/>
              <w:rPr>
                <w:sz w:val="16"/>
                <w:szCs w:val="16"/>
              </w:rPr>
            </w:pPr>
            <w:r w:rsidRPr="002A3E13">
              <w:rPr>
                <w:sz w:val="16"/>
                <w:szCs w:val="16"/>
              </w:rPr>
              <w:t>5/5</w:t>
            </w:r>
          </w:p>
        </w:tc>
        <w:tc>
          <w:tcPr>
            <w:tcW w:w="537" w:type="pct"/>
            <w:tcBorders>
              <w:left w:val="single" w:sz="12" w:space="0" w:color="auto"/>
            </w:tcBorders>
            <w:vAlign w:val="center"/>
          </w:tcPr>
          <w:p w14:paraId="1F78C8D3" w14:textId="77777777" w:rsidR="00EE5312" w:rsidRPr="002A3E13" w:rsidRDefault="00EE5312" w:rsidP="00D97D68">
            <w:pPr>
              <w:rPr>
                <w:sz w:val="16"/>
                <w:szCs w:val="16"/>
              </w:rPr>
            </w:pPr>
            <w:r w:rsidRPr="002A3E13">
              <w:rPr>
                <w:sz w:val="16"/>
                <w:szCs w:val="16"/>
              </w:rPr>
              <w:t>Greece</w:t>
            </w:r>
          </w:p>
        </w:tc>
        <w:tc>
          <w:tcPr>
            <w:tcW w:w="190" w:type="pct"/>
            <w:tcBorders>
              <w:right w:val="single" w:sz="12" w:space="0" w:color="auto"/>
            </w:tcBorders>
            <w:vAlign w:val="center"/>
          </w:tcPr>
          <w:p w14:paraId="77BD0271" w14:textId="77777777" w:rsidR="00EE5312" w:rsidRPr="002A3E13" w:rsidRDefault="00EE5312" w:rsidP="00D97D68">
            <w:pPr>
              <w:jc w:val="center"/>
              <w:rPr>
                <w:sz w:val="16"/>
                <w:szCs w:val="16"/>
              </w:rPr>
            </w:pPr>
            <w:r w:rsidRPr="002A3E13">
              <w:rPr>
                <w:sz w:val="16"/>
                <w:szCs w:val="16"/>
              </w:rPr>
              <w:t>0</w:t>
            </w:r>
          </w:p>
        </w:tc>
        <w:tc>
          <w:tcPr>
            <w:tcW w:w="858" w:type="pct"/>
            <w:tcBorders>
              <w:left w:val="single" w:sz="12" w:space="0" w:color="auto"/>
            </w:tcBorders>
            <w:vAlign w:val="center"/>
          </w:tcPr>
          <w:p w14:paraId="2913A74F" w14:textId="77777777" w:rsidR="00EE5312" w:rsidRPr="002A3E13" w:rsidRDefault="00EE5312" w:rsidP="00D97D68">
            <w:pPr>
              <w:rPr>
                <w:sz w:val="16"/>
                <w:szCs w:val="16"/>
              </w:rPr>
            </w:pPr>
            <w:r w:rsidRPr="002A3E13">
              <w:rPr>
                <w:sz w:val="16"/>
                <w:szCs w:val="16"/>
              </w:rPr>
              <w:t>Montenegro</w:t>
            </w:r>
          </w:p>
        </w:tc>
        <w:tc>
          <w:tcPr>
            <w:tcW w:w="190" w:type="pct"/>
            <w:tcBorders>
              <w:right w:val="single" w:sz="12" w:space="0" w:color="auto"/>
            </w:tcBorders>
            <w:vAlign w:val="center"/>
          </w:tcPr>
          <w:p w14:paraId="720637B8" w14:textId="77777777" w:rsidR="00EE5312" w:rsidRPr="002A3E13" w:rsidRDefault="00EE5312" w:rsidP="00D97D68">
            <w:pPr>
              <w:jc w:val="center"/>
              <w:rPr>
                <w:sz w:val="16"/>
                <w:szCs w:val="16"/>
              </w:rPr>
            </w:pPr>
            <w:r w:rsidRPr="002A3E13">
              <w:rPr>
                <w:sz w:val="16"/>
                <w:szCs w:val="16"/>
              </w:rPr>
              <w:t>0</w:t>
            </w:r>
          </w:p>
        </w:tc>
        <w:tc>
          <w:tcPr>
            <w:tcW w:w="801" w:type="pct"/>
            <w:tcBorders>
              <w:left w:val="single" w:sz="12" w:space="0" w:color="auto"/>
            </w:tcBorders>
            <w:vAlign w:val="center"/>
          </w:tcPr>
          <w:p w14:paraId="73948C9F" w14:textId="77777777" w:rsidR="00EE5312" w:rsidRPr="002A3E13" w:rsidRDefault="00EE5312" w:rsidP="00D97D68">
            <w:pPr>
              <w:rPr>
                <w:sz w:val="16"/>
                <w:szCs w:val="16"/>
              </w:rPr>
            </w:pPr>
            <w:r w:rsidRPr="002A3E13">
              <w:rPr>
                <w:sz w:val="16"/>
                <w:szCs w:val="16"/>
              </w:rPr>
              <w:t>Switzerland</w:t>
            </w:r>
          </w:p>
        </w:tc>
        <w:tc>
          <w:tcPr>
            <w:tcW w:w="190" w:type="pct"/>
            <w:tcBorders>
              <w:right w:val="single" w:sz="12" w:space="0" w:color="auto"/>
            </w:tcBorders>
            <w:vAlign w:val="center"/>
          </w:tcPr>
          <w:p w14:paraId="24E3967E" w14:textId="77777777" w:rsidR="00EE5312" w:rsidRPr="002A3E13" w:rsidRDefault="00EE5312" w:rsidP="00D97D68">
            <w:pPr>
              <w:jc w:val="center"/>
              <w:rPr>
                <w:sz w:val="16"/>
                <w:szCs w:val="16"/>
              </w:rPr>
            </w:pPr>
            <w:r w:rsidRPr="002A3E13">
              <w:rPr>
                <w:sz w:val="16"/>
                <w:szCs w:val="16"/>
              </w:rPr>
              <w:t>5/4</w:t>
            </w:r>
          </w:p>
        </w:tc>
        <w:tc>
          <w:tcPr>
            <w:tcW w:w="1145" w:type="pct"/>
            <w:tcBorders>
              <w:left w:val="single" w:sz="12" w:space="0" w:color="auto"/>
            </w:tcBorders>
            <w:vAlign w:val="center"/>
          </w:tcPr>
          <w:p w14:paraId="4A111473" w14:textId="77777777" w:rsidR="00EE5312" w:rsidRPr="002A3E13" w:rsidRDefault="00EE5312" w:rsidP="00D97D68">
            <w:pPr>
              <w:rPr>
                <w:sz w:val="16"/>
                <w:szCs w:val="16"/>
              </w:rPr>
            </w:pPr>
            <w:r w:rsidRPr="002A3E13">
              <w:rPr>
                <w:sz w:val="16"/>
                <w:szCs w:val="16"/>
              </w:rPr>
              <w:t>FoP.47 / UNEP / GRI</w:t>
            </w:r>
          </w:p>
        </w:tc>
        <w:tc>
          <w:tcPr>
            <w:tcW w:w="190" w:type="pct"/>
            <w:tcBorders>
              <w:right w:val="single" w:sz="12" w:space="0" w:color="auto"/>
            </w:tcBorders>
            <w:vAlign w:val="center"/>
          </w:tcPr>
          <w:p w14:paraId="0C4A4DDB" w14:textId="77777777" w:rsidR="00EE5312" w:rsidRPr="002A3E13" w:rsidRDefault="00EE5312" w:rsidP="00D97D68">
            <w:pPr>
              <w:jc w:val="center"/>
              <w:rPr>
                <w:sz w:val="16"/>
                <w:szCs w:val="16"/>
              </w:rPr>
            </w:pPr>
            <w:r w:rsidRPr="002A3E13">
              <w:rPr>
                <w:sz w:val="16"/>
                <w:szCs w:val="16"/>
              </w:rPr>
              <w:t>1/0</w:t>
            </w:r>
          </w:p>
        </w:tc>
      </w:tr>
      <w:tr w:rsidR="00EE5312" w:rsidRPr="002A3E13" w14:paraId="46D67B6F" w14:textId="77777777" w:rsidTr="002A3E13">
        <w:trPr>
          <w:cantSplit/>
        </w:trPr>
        <w:tc>
          <w:tcPr>
            <w:tcW w:w="711" w:type="pct"/>
            <w:tcBorders>
              <w:left w:val="single" w:sz="12" w:space="0" w:color="auto"/>
            </w:tcBorders>
            <w:noWrap/>
            <w:vAlign w:val="center"/>
            <w:hideMark/>
          </w:tcPr>
          <w:p w14:paraId="32119F18" w14:textId="77777777" w:rsidR="00EE5312" w:rsidRPr="002A3E13" w:rsidRDefault="00EE5312" w:rsidP="00D97D68">
            <w:pPr>
              <w:rPr>
                <w:sz w:val="16"/>
                <w:szCs w:val="16"/>
              </w:rPr>
            </w:pPr>
            <w:r w:rsidRPr="002A3E13">
              <w:rPr>
                <w:sz w:val="16"/>
                <w:szCs w:val="16"/>
              </w:rPr>
              <w:t>Belgium</w:t>
            </w:r>
          </w:p>
        </w:tc>
        <w:tc>
          <w:tcPr>
            <w:tcW w:w="190" w:type="pct"/>
            <w:tcBorders>
              <w:right w:val="single" w:sz="12" w:space="0" w:color="auto"/>
            </w:tcBorders>
            <w:noWrap/>
            <w:vAlign w:val="center"/>
            <w:hideMark/>
          </w:tcPr>
          <w:p w14:paraId="69113BD9" w14:textId="77777777" w:rsidR="00EE5312" w:rsidRPr="002A3E13" w:rsidRDefault="00EE5312" w:rsidP="00D97D68">
            <w:pPr>
              <w:jc w:val="center"/>
              <w:rPr>
                <w:sz w:val="16"/>
                <w:szCs w:val="16"/>
              </w:rPr>
            </w:pPr>
            <w:r w:rsidRPr="002A3E13">
              <w:rPr>
                <w:sz w:val="16"/>
                <w:szCs w:val="16"/>
              </w:rPr>
              <w:t>0</w:t>
            </w:r>
          </w:p>
        </w:tc>
        <w:tc>
          <w:tcPr>
            <w:tcW w:w="537" w:type="pct"/>
            <w:tcBorders>
              <w:left w:val="single" w:sz="12" w:space="0" w:color="auto"/>
            </w:tcBorders>
            <w:vAlign w:val="center"/>
          </w:tcPr>
          <w:p w14:paraId="5531F5C2" w14:textId="77777777" w:rsidR="00EE5312" w:rsidRPr="002A3E13" w:rsidRDefault="00EE5312" w:rsidP="00D97D68">
            <w:pPr>
              <w:rPr>
                <w:sz w:val="16"/>
                <w:szCs w:val="16"/>
              </w:rPr>
            </w:pPr>
            <w:r w:rsidRPr="002A3E13">
              <w:rPr>
                <w:sz w:val="16"/>
                <w:szCs w:val="16"/>
              </w:rPr>
              <w:t>Hungary</w:t>
            </w:r>
          </w:p>
        </w:tc>
        <w:tc>
          <w:tcPr>
            <w:tcW w:w="190" w:type="pct"/>
            <w:tcBorders>
              <w:right w:val="single" w:sz="12" w:space="0" w:color="auto"/>
            </w:tcBorders>
            <w:vAlign w:val="center"/>
          </w:tcPr>
          <w:p w14:paraId="78ADEBF7" w14:textId="77777777" w:rsidR="00EE5312" w:rsidRPr="002A3E13" w:rsidRDefault="00EE5312" w:rsidP="00D97D68">
            <w:pPr>
              <w:jc w:val="center"/>
              <w:rPr>
                <w:sz w:val="16"/>
                <w:szCs w:val="16"/>
              </w:rPr>
            </w:pPr>
            <w:r w:rsidRPr="002A3E13">
              <w:rPr>
                <w:sz w:val="16"/>
                <w:szCs w:val="16"/>
              </w:rPr>
              <w:t>4/4</w:t>
            </w:r>
          </w:p>
        </w:tc>
        <w:tc>
          <w:tcPr>
            <w:tcW w:w="858" w:type="pct"/>
            <w:tcBorders>
              <w:left w:val="single" w:sz="12" w:space="0" w:color="auto"/>
            </w:tcBorders>
            <w:vAlign w:val="center"/>
          </w:tcPr>
          <w:p w14:paraId="4342506D" w14:textId="1C2090C9" w:rsidR="00EE5312" w:rsidRPr="002A3E13" w:rsidRDefault="00EE5312" w:rsidP="00D97D68">
            <w:pPr>
              <w:rPr>
                <w:sz w:val="16"/>
                <w:szCs w:val="16"/>
              </w:rPr>
            </w:pPr>
            <w:r w:rsidRPr="002A3E13">
              <w:rPr>
                <w:sz w:val="16"/>
                <w:szCs w:val="16"/>
              </w:rPr>
              <w:t>Netherlands</w:t>
            </w:r>
          </w:p>
        </w:tc>
        <w:tc>
          <w:tcPr>
            <w:tcW w:w="190" w:type="pct"/>
            <w:tcBorders>
              <w:right w:val="single" w:sz="12" w:space="0" w:color="auto"/>
            </w:tcBorders>
            <w:vAlign w:val="center"/>
          </w:tcPr>
          <w:p w14:paraId="62143C70" w14:textId="77777777" w:rsidR="00EE5312" w:rsidRPr="002A3E13" w:rsidRDefault="00EE5312" w:rsidP="00D97D68">
            <w:pPr>
              <w:jc w:val="center"/>
              <w:rPr>
                <w:sz w:val="16"/>
                <w:szCs w:val="16"/>
              </w:rPr>
            </w:pPr>
            <w:r w:rsidRPr="002A3E13">
              <w:rPr>
                <w:sz w:val="16"/>
                <w:szCs w:val="16"/>
              </w:rPr>
              <w:t>5/2</w:t>
            </w:r>
          </w:p>
        </w:tc>
        <w:tc>
          <w:tcPr>
            <w:tcW w:w="801" w:type="pct"/>
            <w:tcBorders>
              <w:left w:val="single" w:sz="12" w:space="0" w:color="auto"/>
            </w:tcBorders>
            <w:vAlign w:val="center"/>
          </w:tcPr>
          <w:p w14:paraId="3D5F8288" w14:textId="77777777" w:rsidR="00EE5312" w:rsidRPr="002A3E13" w:rsidRDefault="00EE5312" w:rsidP="00D97D68">
            <w:pPr>
              <w:rPr>
                <w:sz w:val="16"/>
                <w:szCs w:val="16"/>
              </w:rPr>
            </w:pPr>
            <w:r w:rsidRPr="002A3E13">
              <w:rPr>
                <w:sz w:val="16"/>
                <w:szCs w:val="16"/>
              </w:rPr>
              <w:t>Tajikistan</w:t>
            </w:r>
          </w:p>
        </w:tc>
        <w:tc>
          <w:tcPr>
            <w:tcW w:w="190" w:type="pct"/>
            <w:tcBorders>
              <w:right w:val="single" w:sz="12" w:space="0" w:color="auto"/>
            </w:tcBorders>
            <w:vAlign w:val="center"/>
          </w:tcPr>
          <w:p w14:paraId="141F8030" w14:textId="77777777" w:rsidR="00EE5312" w:rsidRPr="002A3E13" w:rsidRDefault="00EE5312" w:rsidP="00D97D68">
            <w:pPr>
              <w:jc w:val="center"/>
              <w:rPr>
                <w:sz w:val="16"/>
                <w:szCs w:val="16"/>
              </w:rPr>
            </w:pPr>
            <w:r w:rsidRPr="002A3E13">
              <w:rPr>
                <w:sz w:val="16"/>
                <w:szCs w:val="16"/>
              </w:rPr>
              <w:t>0</w:t>
            </w:r>
          </w:p>
        </w:tc>
        <w:tc>
          <w:tcPr>
            <w:tcW w:w="1145" w:type="pct"/>
            <w:tcBorders>
              <w:left w:val="single" w:sz="12" w:space="0" w:color="auto"/>
            </w:tcBorders>
            <w:vAlign w:val="center"/>
          </w:tcPr>
          <w:p w14:paraId="178570AE" w14:textId="77777777" w:rsidR="00EE5312" w:rsidRPr="002A3E13" w:rsidRDefault="00EE5312" w:rsidP="00D97D68">
            <w:pPr>
              <w:rPr>
                <w:sz w:val="16"/>
                <w:szCs w:val="16"/>
              </w:rPr>
            </w:pPr>
            <w:r w:rsidRPr="002A3E13">
              <w:rPr>
                <w:sz w:val="16"/>
                <w:szCs w:val="16"/>
              </w:rPr>
              <w:t>ICSD / IFAS</w:t>
            </w:r>
          </w:p>
        </w:tc>
        <w:tc>
          <w:tcPr>
            <w:tcW w:w="190" w:type="pct"/>
            <w:tcBorders>
              <w:right w:val="single" w:sz="12" w:space="0" w:color="auto"/>
            </w:tcBorders>
            <w:vAlign w:val="center"/>
          </w:tcPr>
          <w:p w14:paraId="7540825F" w14:textId="77777777" w:rsidR="00EE5312" w:rsidRPr="002A3E13" w:rsidRDefault="00EE5312" w:rsidP="00D97D68">
            <w:pPr>
              <w:jc w:val="center"/>
              <w:rPr>
                <w:sz w:val="16"/>
                <w:szCs w:val="16"/>
              </w:rPr>
            </w:pPr>
            <w:r w:rsidRPr="002A3E13">
              <w:rPr>
                <w:sz w:val="16"/>
                <w:szCs w:val="16"/>
              </w:rPr>
              <w:t>1/1</w:t>
            </w:r>
          </w:p>
        </w:tc>
      </w:tr>
      <w:tr w:rsidR="00EE5312" w:rsidRPr="002A3E13" w14:paraId="0AD1C0C2" w14:textId="77777777" w:rsidTr="002A3E13">
        <w:trPr>
          <w:cantSplit/>
        </w:trPr>
        <w:tc>
          <w:tcPr>
            <w:tcW w:w="711" w:type="pct"/>
            <w:tcBorders>
              <w:left w:val="single" w:sz="12" w:space="0" w:color="auto"/>
            </w:tcBorders>
            <w:noWrap/>
            <w:vAlign w:val="center"/>
            <w:hideMark/>
          </w:tcPr>
          <w:p w14:paraId="2D4A3428" w14:textId="77777777" w:rsidR="00EE5312" w:rsidRPr="002A3E13" w:rsidRDefault="00EE5312" w:rsidP="00D97D68">
            <w:pPr>
              <w:rPr>
                <w:sz w:val="16"/>
                <w:szCs w:val="16"/>
              </w:rPr>
            </w:pPr>
            <w:r w:rsidRPr="002A3E13">
              <w:rPr>
                <w:sz w:val="16"/>
                <w:szCs w:val="16"/>
              </w:rPr>
              <w:t>Bosnia and</w:t>
            </w:r>
          </w:p>
          <w:p w14:paraId="12BFAC6A" w14:textId="77777777" w:rsidR="00EE5312" w:rsidRPr="002A3E13" w:rsidRDefault="00EE5312" w:rsidP="00D97D68">
            <w:pPr>
              <w:rPr>
                <w:sz w:val="16"/>
                <w:szCs w:val="16"/>
              </w:rPr>
            </w:pPr>
            <w:r w:rsidRPr="002A3E13">
              <w:rPr>
                <w:sz w:val="16"/>
                <w:szCs w:val="16"/>
              </w:rPr>
              <w:t>Herzegovina</w:t>
            </w:r>
          </w:p>
        </w:tc>
        <w:tc>
          <w:tcPr>
            <w:tcW w:w="190" w:type="pct"/>
            <w:tcBorders>
              <w:right w:val="single" w:sz="12" w:space="0" w:color="auto"/>
            </w:tcBorders>
            <w:noWrap/>
            <w:vAlign w:val="center"/>
            <w:hideMark/>
          </w:tcPr>
          <w:p w14:paraId="5E4615BA" w14:textId="77777777" w:rsidR="00EE5312" w:rsidRPr="002A3E13" w:rsidRDefault="00EE5312" w:rsidP="00D97D68">
            <w:pPr>
              <w:jc w:val="center"/>
              <w:rPr>
                <w:sz w:val="16"/>
                <w:szCs w:val="16"/>
              </w:rPr>
            </w:pPr>
            <w:r w:rsidRPr="002A3E13">
              <w:rPr>
                <w:sz w:val="16"/>
                <w:szCs w:val="16"/>
              </w:rPr>
              <w:t>0</w:t>
            </w:r>
          </w:p>
        </w:tc>
        <w:tc>
          <w:tcPr>
            <w:tcW w:w="537" w:type="pct"/>
            <w:tcBorders>
              <w:left w:val="single" w:sz="12" w:space="0" w:color="auto"/>
            </w:tcBorders>
            <w:vAlign w:val="center"/>
          </w:tcPr>
          <w:p w14:paraId="41BC7BC1" w14:textId="77777777" w:rsidR="00EE5312" w:rsidRPr="002A3E13" w:rsidRDefault="00EE5312" w:rsidP="00D97D68">
            <w:pPr>
              <w:rPr>
                <w:sz w:val="16"/>
                <w:szCs w:val="16"/>
              </w:rPr>
            </w:pPr>
            <w:r w:rsidRPr="002A3E13">
              <w:rPr>
                <w:sz w:val="16"/>
                <w:szCs w:val="16"/>
              </w:rPr>
              <w:t>Iceland</w:t>
            </w:r>
          </w:p>
        </w:tc>
        <w:tc>
          <w:tcPr>
            <w:tcW w:w="190" w:type="pct"/>
            <w:tcBorders>
              <w:right w:val="single" w:sz="12" w:space="0" w:color="auto"/>
            </w:tcBorders>
            <w:vAlign w:val="center"/>
          </w:tcPr>
          <w:p w14:paraId="76E46643" w14:textId="77777777" w:rsidR="00EE5312" w:rsidRPr="002A3E13" w:rsidRDefault="00EE5312" w:rsidP="00D97D68">
            <w:pPr>
              <w:jc w:val="center"/>
              <w:rPr>
                <w:sz w:val="16"/>
                <w:szCs w:val="16"/>
              </w:rPr>
            </w:pPr>
            <w:r w:rsidRPr="002A3E13">
              <w:rPr>
                <w:sz w:val="16"/>
                <w:szCs w:val="16"/>
              </w:rPr>
              <w:t>0</w:t>
            </w:r>
          </w:p>
        </w:tc>
        <w:tc>
          <w:tcPr>
            <w:tcW w:w="858" w:type="pct"/>
            <w:tcBorders>
              <w:left w:val="single" w:sz="12" w:space="0" w:color="auto"/>
            </w:tcBorders>
            <w:vAlign w:val="center"/>
          </w:tcPr>
          <w:p w14:paraId="33341FA9" w14:textId="77777777" w:rsidR="00EE5312" w:rsidRPr="002A3E13" w:rsidRDefault="00EE5312" w:rsidP="00D97D68">
            <w:pPr>
              <w:rPr>
                <w:sz w:val="16"/>
                <w:szCs w:val="16"/>
              </w:rPr>
            </w:pPr>
            <w:r w:rsidRPr="002A3E13">
              <w:rPr>
                <w:sz w:val="16"/>
                <w:szCs w:val="16"/>
              </w:rPr>
              <w:t>Norway</w:t>
            </w:r>
          </w:p>
        </w:tc>
        <w:tc>
          <w:tcPr>
            <w:tcW w:w="190" w:type="pct"/>
            <w:tcBorders>
              <w:right w:val="single" w:sz="12" w:space="0" w:color="auto"/>
            </w:tcBorders>
            <w:vAlign w:val="center"/>
          </w:tcPr>
          <w:p w14:paraId="71AF7207" w14:textId="77777777" w:rsidR="00EE5312" w:rsidRPr="002A3E13" w:rsidRDefault="00EE5312" w:rsidP="00D97D68">
            <w:pPr>
              <w:jc w:val="center"/>
              <w:rPr>
                <w:sz w:val="16"/>
                <w:szCs w:val="16"/>
              </w:rPr>
            </w:pPr>
            <w:r w:rsidRPr="002A3E13">
              <w:rPr>
                <w:sz w:val="16"/>
                <w:szCs w:val="16"/>
              </w:rPr>
              <w:t>0</w:t>
            </w:r>
          </w:p>
        </w:tc>
        <w:tc>
          <w:tcPr>
            <w:tcW w:w="801" w:type="pct"/>
            <w:tcBorders>
              <w:left w:val="single" w:sz="12" w:space="0" w:color="auto"/>
            </w:tcBorders>
            <w:vAlign w:val="center"/>
          </w:tcPr>
          <w:p w14:paraId="72B67C5D" w14:textId="285F2E56" w:rsidR="00EE5312" w:rsidRPr="002A3E13" w:rsidRDefault="00EE5312" w:rsidP="00D97D68">
            <w:pPr>
              <w:rPr>
                <w:sz w:val="16"/>
                <w:szCs w:val="16"/>
              </w:rPr>
            </w:pPr>
            <w:r w:rsidRPr="002A3E13">
              <w:rPr>
                <w:sz w:val="16"/>
                <w:szCs w:val="16"/>
              </w:rPr>
              <w:t>F</w:t>
            </w:r>
            <w:r w:rsidR="00F946AB">
              <w:rPr>
                <w:sz w:val="16"/>
                <w:szCs w:val="16"/>
              </w:rPr>
              <w:t>ormer Yugoslav Republic</w:t>
            </w:r>
            <w:r w:rsidRPr="002A3E13">
              <w:rPr>
                <w:sz w:val="16"/>
                <w:szCs w:val="16"/>
              </w:rPr>
              <w:t xml:space="preserve"> of Macedonia</w:t>
            </w:r>
          </w:p>
        </w:tc>
        <w:tc>
          <w:tcPr>
            <w:tcW w:w="190" w:type="pct"/>
            <w:tcBorders>
              <w:right w:val="single" w:sz="12" w:space="0" w:color="auto"/>
            </w:tcBorders>
            <w:vAlign w:val="center"/>
          </w:tcPr>
          <w:p w14:paraId="5DCDE582" w14:textId="77777777" w:rsidR="00EE5312" w:rsidRPr="002A3E13" w:rsidRDefault="00EE5312" w:rsidP="00D97D68">
            <w:pPr>
              <w:jc w:val="center"/>
              <w:rPr>
                <w:sz w:val="16"/>
                <w:szCs w:val="16"/>
              </w:rPr>
            </w:pPr>
            <w:r w:rsidRPr="002A3E13">
              <w:rPr>
                <w:sz w:val="16"/>
                <w:szCs w:val="16"/>
              </w:rPr>
              <w:t>0</w:t>
            </w:r>
          </w:p>
        </w:tc>
        <w:tc>
          <w:tcPr>
            <w:tcW w:w="1145" w:type="pct"/>
            <w:tcBorders>
              <w:left w:val="single" w:sz="12" w:space="0" w:color="auto"/>
            </w:tcBorders>
            <w:vAlign w:val="center"/>
          </w:tcPr>
          <w:p w14:paraId="3EEA9174" w14:textId="77777777" w:rsidR="00EE5312" w:rsidRPr="002A3E13" w:rsidRDefault="00EE5312" w:rsidP="00D97D68">
            <w:pPr>
              <w:rPr>
                <w:sz w:val="16"/>
                <w:szCs w:val="16"/>
              </w:rPr>
            </w:pPr>
            <w:r w:rsidRPr="002A3E13">
              <w:rPr>
                <w:sz w:val="16"/>
                <w:szCs w:val="16"/>
              </w:rPr>
              <w:t xml:space="preserve">IPEN / </w:t>
            </w:r>
          </w:p>
          <w:p w14:paraId="47DAF831" w14:textId="77777777" w:rsidR="00EE5312" w:rsidRPr="002A3E13" w:rsidRDefault="00EE5312" w:rsidP="00D97D68">
            <w:pPr>
              <w:rPr>
                <w:sz w:val="16"/>
                <w:szCs w:val="16"/>
              </w:rPr>
            </w:pPr>
            <w:r w:rsidRPr="002A3E13">
              <w:rPr>
                <w:sz w:val="16"/>
                <w:szCs w:val="16"/>
              </w:rPr>
              <w:t>Eco-Accord</w:t>
            </w:r>
          </w:p>
        </w:tc>
        <w:tc>
          <w:tcPr>
            <w:tcW w:w="190" w:type="pct"/>
            <w:tcBorders>
              <w:right w:val="single" w:sz="12" w:space="0" w:color="auto"/>
            </w:tcBorders>
            <w:vAlign w:val="center"/>
          </w:tcPr>
          <w:p w14:paraId="36703C9A" w14:textId="77777777" w:rsidR="00EE5312" w:rsidRPr="002A3E13" w:rsidRDefault="00EE5312" w:rsidP="00D97D68">
            <w:pPr>
              <w:jc w:val="center"/>
              <w:rPr>
                <w:sz w:val="16"/>
                <w:szCs w:val="16"/>
              </w:rPr>
            </w:pPr>
            <w:r w:rsidRPr="002A3E13">
              <w:rPr>
                <w:sz w:val="16"/>
                <w:szCs w:val="16"/>
              </w:rPr>
              <w:t>2/0</w:t>
            </w:r>
          </w:p>
        </w:tc>
      </w:tr>
      <w:tr w:rsidR="00EE5312" w:rsidRPr="002A3E13" w14:paraId="7FFDCF29" w14:textId="77777777" w:rsidTr="002A3E13">
        <w:trPr>
          <w:cantSplit/>
        </w:trPr>
        <w:tc>
          <w:tcPr>
            <w:tcW w:w="711" w:type="pct"/>
            <w:tcBorders>
              <w:left w:val="single" w:sz="12" w:space="0" w:color="auto"/>
            </w:tcBorders>
            <w:noWrap/>
            <w:vAlign w:val="center"/>
            <w:hideMark/>
          </w:tcPr>
          <w:p w14:paraId="2BDC79AA" w14:textId="77777777" w:rsidR="00EE5312" w:rsidRPr="002A3E13" w:rsidRDefault="00EE5312" w:rsidP="00D97D68">
            <w:pPr>
              <w:rPr>
                <w:sz w:val="16"/>
                <w:szCs w:val="16"/>
              </w:rPr>
            </w:pPr>
            <w:r w:rsidRPr="002A3E13">
              <w:rPr>
                <w:sz w:val="16"/>
                <w:szCs w:val="16"/>
              </w:rPr>
              <w:t>Bulgaria</w:t>
            </w:r>
          </w:p>
        </w:tc>
        <w:tc>
          <w:tcPr>
            <w:tcW w:w="190" w:type="pct"/>
            <w:tcBorders>
              <w:right w:val="single" w:sz="12" w:space="0" w:color="auto"/>
            </w:tcBorders>
            <w:noWrap/>
            <w:vAlign w:val="center"/>
            <w:hideMark/>
          </w:tcPr>
          <w:p w14:paraId="44344886" w14:textId="77777777" w:rsidR="00EE5312" w:rsidRPr="002A3E13" w:rsidRDefault="00EE5312" w:rsidP="00D97D68">
            <w:pPr>
              <w:jc w:val="center"/>
              <w:rPr>
                <w:sz w:val="16"/>
                <w:szCs w:val="16"/>
              </w:rPr>
            </w:pPr>
            <w:r w:rsidRPr="002A3E13">
              <w:rPr>
                <w:sz w:val="16"/>
                <w:szCs w:val="16"/>
              </w:rPr>
              <w:t>0</w:t>
            </w:r>
          </w:p>
        </w:tc>
        <w:tc>
          <w:tcPr>
            <w:tcW w:w="537" w:type="pct"/>
            <w:tcBorders>
              <w:left w:val="single" w:sz="12" w:space="0" w:color="auto"/>
            </w:tcBorders>
            <w:vAlign w:val="center"/>
          </w:tcPr>
          <w:p w14:paraId="24CF0763" w14:textId="77777777" w:rsidR="00EE5312" w:rsidRPr="002A3E13" w:rsidRDefault="00EE5312" w:rsidP="00D97D68">
            <w:pPr>
              <w:rPr>
                <w:sz w:val="16"/>
                <w:szCs w:val="16"/>
              </w:rPr>
            </w:pPr>
            <w:r w:rsidRPr="002A3E13">
              <w:rPr>
                <w:sz w:val="16"/>
                <w:szCs w:val="16"/>
              </w:rPr>
              <w:t>Ireland</w:t>
            </w:r>
          </w:p>
        </w:tc>
        <w:tc>
          <w:tcPr>
            <w:tcW w:w="190" w:type="pct"/>
            <w:tcBorders>
              <w:right w:val="single" w:sz="12" w:space="0" w:color="auto"/>
            </w:tcBorders>
            <w:vAlign w:val="center"/>
          </w:tcPr>
          <w:p w14:paraId="355B181D" w14:textId="77777777" w:rsidR="00EE5312" w:rsidRPr="002A3E13" w:rsidRDefault="00EE5312" w:rsidP="00D97D68">
            <w:pPr>
              <w:jc w:val="center"/>
              <w:rPr>
                <w:sz w:val="16"/>
                <w:szCs w:val="16"/>
              </w:rPr>
            </w:pPr>
            <w:r w:rsidRPr="002A3E13">
              <w:rPr>
                <w:sz w:val="16"/>
                <w:szCs w:val="16"/>
              </w:rPr>
              <w:t>0</w:t>
            </w:r>
          </w:p>
        </w:tc>
        <w:tc>
          <w:tcPr>
            <w:tcW w:w="858" w:type="pct"/>
            <w:tcBorders>
              <w:left w:val="single" w:sz="12" w:space="0" w:color="auto"/>
            </w:tcBorders>
            <w:vAlign w:val="center"/>
          </w:tcPr>
          <w:p w14:paraId="02B8DE64" w14:textId="77777777" w:rsidR="00EE5312" w:rsidRPr="002A3E13" w:rsidRDefault="00EE5312" w:rsidP="00D97D68">
            <w:pPr>
              <w:rPr>
                <w:sz w:val="16"/>
                <w:szCs w:val="16"/>
              </w:rPr>
            </w:pPr>
            <w:r w:rsidRPr="002A3E13">
              <w:rPr>
                <w:sz w:val="16"/>
                <w:szCs w:val="16"/>
              </w:rPr>
              <w:t>Poland</w:t>
            </w:r>
          </w:p>
        </w:tc>
        <w:tc>
          <w:tcPr>
            <w:tcW w:w="190" w:type="pct"/>
            <w:tcBorders>
              <w:right w:val="single" w:sz="12" w:space="0" w:color="auto"/>
            </w:tcBorders>
            <w:vAlign w:val="center"/>
          </w:tcPr>
          <w:p w14:paraId="09384B3E" w14:textId="77777777" w:rsidR="00EE5312" w:rsidRPr="002A3E13" w:rsidRDefault="00EE5312" w:rsidP="00D97D68">
            <w:pPr>
              <w:jc w:val="center"/>
              <w:rPr>
                <w:sz w:val="16"/>
                <w:szCs w:val="16"/>
              </w:rPr>
            </w:pPr>
            <w:r w:rsidRPr="002A3E13">
              <w:rPr>
                <w:sz w:val="16"/>
                <w:szCs w:val="16"/>
              </w:rPr>
              <w:t>5/2</w:t>
            </w:r>
          </w:p>
        </w:tc>
        <w:tc>
          <w:tcPr>
            <w:tcW w:w="801" w:type="pct"/>
            <w:tcBorders>
              <w:left w:val="single" w:sz="12" w:space="0" w:color="auto"/>
            </w:tcBorders>
            <w:vAlign w:val="center"/>
          </w:tcPr>
          <w:p w14:paraId="4FAB43BF" w14:textId="77777777" w:rsidR="00EE5312" w:rsidRPr="002A3E13" w:rsidRDefault="00EE5312" w:rsidP="00D97D68">
            <w:pPr>
              <w:rPr>
                <w:sz w:val="16"/>
                <w:szCs w:val="16"/>
              </w:rPr>
            </w:pPr>
            <w:r w:rsidRPr="002A3E13">
              <w:rPr>
                <w:sz w:val="16"/>
                <w:szCs w:val="16"/>
              </w:rPr>
              <w:t>Turkey</w:t>
            </w:r>
          </w:p>
        </w:tc>
        <w:tc>
          <w:tcPr>
            <w:tcW w:w="190" w:type="pct"/>
            <w:tcBorders>
              <w:right w:val="single" w:sz="12" w:space="0" w:color="auto"/>
            </w:tcBorders>
            <w:vAlign w:val="center"/>
          </w:tcPr>
          <w:p w14:paraId="7852C606" w14:textId="77777777" w:rsidR="00EE5312" w:rsidRPr="002A3E13" w:rsidRDefault="00EE5312" w:rsidP="00D97D68">
            <w:pPr>
              <w:jc w:val="center"/>
              <w:rPr>
                <w:sz w:val="16"/>
                <w:szCs w:val="16"/>
              </w:rPr>
            </w:pPr>
            <w:r w:rsidRPr="002A3E13">
              <w:rPr>
                <w:sz w:val="16"/>
                <w:szCs w:val="16"/>
              </w:rPr>
              <w:t>0</w:t>
            </w:r>
          </w:p>
        </w:tc>
        <w:tc>
          <w:tcPr>
            <w:tcW w:w="1145" w:type="pct"/>
            <w:tcBorders>
              <w:left w:val="single" w:sz="12" w:space="0" w:color="auto"/>
            </w:tcBorders>
            <w:vAlign w:val="center"/>
          </w:tcPr>
          <w:p w14:paraId="1A83C852" w14:textId="77777777" w:rsidR="00EE5312" w:rsidRPr="002A3E13" w:rsidRDefault="00EE5312" w:rsidP="00D97D68">
            <w:pPr>
              <w:rPr>
                <w:sz w:val="16"/>
                <w:szCs w:val="16"/>
              </w:rPr>
            </w:pPr>
            <w:r w:rsidRPr="002A3E13">
              <w:rPr>
                <w:sz w:val="16"/>
                <w:szCs w:val="16"/>
              </w:rPr>
              <w:t>IRP / UNEP</w:t>
            </w:r>
          </w:p>
        </w:tc>
        <w:tc>
          <w:tcPr>
            <w:tcW w:w="190" w:type="pct"/>
            <w:tcBorders>
              <w:right w:val="single" w:sz="12" w:space="0" w:color="auto"/>
            </w:tcBorders>
            <w:vAlign w:val="center"/>
          </w:tcPr>
          <w:p w14:paraId="4CA8BA3F" w14:textId="77777777" w:rsidR="00EE5312" w:rsidRPr="002A3E13" w:rsidRDefault="00EE5312" w:rsidP="00D97D68">
            <w:pPr>
              <w:jc w:val="center"/>
              <w:rPr>
                <w:sz w:val="16"/>
                <w:szCs w:val="16"/>
              </w:rPr>
            </w:pPr>
            <w:r w:rsidRPr="002A3E13">
              <w:rPr>
                <w:sz w:val="16"/>
                <w:szCs w:val="16"/>
              </w:rPr>
              <w:t>1/1</w:t>
            </w:r>
          </w:p>
        </w:tc>
      </w:tr>
      <w:tr w:rsidR="00EE5312" w:rsidRPr="002A3E13" w14:paraId="045EB671" w14:textId="77777777" w:rsidTr="002A3E13">
        <w:trPr>
          <w:cantSplit/>
        </w:trPr>
        <w:tc>
          <w:tcPr>
            <w:tcW w:w="711" w:type="pct"/>
            <w:tcBorders>
              <w:left w:val="single" w:sz="12" w:space="0" w:color="auto"/>
            </w:tcBorders>
            <w:noWrap/>
            <w:vAlign w:val="center"/>
            <w:hideMark/>
          </w:tcPr>
          <w:p w14:paraId="470154A6" w14:textId="77777777" w:rsidR="00EE5312" w:rsidRPr="002A3E13" w:rsidRDefault="00EE5312" w:rsidP="00D97D68">
            <w:pPr>
              <w:rPr>
                <w:sz w:val="16"/>
                <w:szCs w:val="16"/>
              </w:rPr>
            </w:pPr>
            <w:r w:rsidRPr="002A3E13">
              <w:rPr>
                <w:sz w:val="16"/>
                <w:szCs w:val="16"/>
              </w:rPr>
              <w:t>Canada</w:t>
            </w:r>
          </w:p>
        </w:tc>
        <w:tc>
          <w:tcPr>
            <w:tcW w:w="190" w:type="pct"/>
            <w:tcBorders>
              <w:right w:val="single" w:sz="12" w:space="0" w:color="auto"/>
            </w:tcBorders>
            <w:noWrap/>
            <w:vAlign w:val="center"/>
            <w:hideMark/>
          </w:tcPr>
          <w:p w14:paraId="19194EC8" w14:textId="77777777" w:rsidR="00EE5312" w:rsidRPr="002A3E13" w:rsidRDefault="00EE5312" w:rsidP="00D97D68">
            <w:pPr>
              <w:jc w:val="center"/>
              <w:rPr>
                <w:sz w:val="16"/>
                <w:szCs w:val="16"/>
              </w:rPr>
            </w:pPr>
            <w:r w:rsidRPr="002A3E13">
              <w:rPr>
                <w:sz w:val="16"/>
                <w:szCs w:val="16"/>
              </w:rPr>
              <w:t>0</w:t>
            </w:r>
          </w:p>
        </w:tc>
        <w:tc>
          <w:tcPr>
            <w:tcW w:w="537" w:type="pct"/>
            <w:tcBorders>
              <w:left w:val="single" w:sz="12" w:space="0" w:color="auto"/>
            </w:tcBorders>
            <w:vAlign w:val="center"/>
          </w:tcPr>
          <w:p w14:paraId="7AF00666" w14:textId="77777777" w:rsidR="00EE5312" w:rsidRPr="002A3E13" w:rsidRDefault="00EE5312" w:rsidP="00D97D68">
            <w:pPr>
              <w:rPr>
                <w:sz w:val="16"/>
                <w:szCs w:val="16"/>
              </w:rPr>
            </w:pPr>
            <w:r w:rsidRPr="002A3E13">
              <w:rPr>
                <w:sz w:val="16"/>
                <w:szCs w:val="16"/>
              </w:rPr>
              <w:t>Israel</w:t>
            </w:r>
          </w:p>
        </w:tc>
        <w:tc>
          <w:tcPr>
            <w:tcW w:w="190" w:type="pct"/>
            <w:tcBorders>
              <w:right w:val="single" w:sz="12" w:space="0" w:color="auto"/>
            </w:tcBorders>
            <w:vAlign w:val="center"/>
          </w:tcPr>
          <w:p w14:paraId="65327CA6" w14:textId="77777777" w:rsidR="00EE5312" w:rsidRPr="002A3E13" w:rsidRDefault="00EE5312" w:rsidP="00D97D68">
            <w:pPr>
              <w:jc w:val="center"/>
              <w:rPr>
                <w:sz w:val="16"/>
                <w:szCs w:val="16"/>
              </w:rPr>
            </w:pPr>
            <w:r w:rsidRPr="002A3E13">
              <w:rPr>
                <w:sz w:val="16"/>
                <w:szCs w:val="16"/>
              </w:rPr>
              <w:t>0</w:t>
            </w:r>
          </w:p>
        </w:tc>
        <w:tc>
          <w:tcPr>
            <w:tcW w:w="858" w:type="pct"/>
            <w:tcBorders>
              <w:left w:val="single" w:sz="12" w:space="0" w:color="auto"/>
            </w:tcBorders>
            <w:vAlign w:val="center"/>
          </w:tcPr>
          <w:p w14:paraId="5CE4E769" w14:textId="77777777" w:rsidR="00EE5312" w:rsidRPr="002A3E13" w:rsidRDefault="00EE5312" w:rsidP="00D97D68">
            <w:pPr>
              <w:rPr>
                <w:sz w:val="16"/>
                <w:szCs w:val="16"/>
              </w:rPr>
            </w:pPr>
            <w:r w:rsidRPr="002A3E13">
              <w:rPr>
                <w:sz w:val="16"/>
                <w:szCs w:val="16"/>
              </w:rPr>
              <w:t>Portugal</w:t>
            </w:r>
          </w:p>
        </w:tc>
        <w:tc>
          <w:tcPr>
            <w:tcW w:w="190" w:type="pct"/>
            <w:tcBorders>
              <w:right w:val="single" w:sz="12" w:space="0" w:color="auto"/>
            </w:tcBorders>
            <w:vAlign w:val="center"/>
          </w:tcPr>
          <w:p w14:paraId="548E91B1" w14:textId="77777777" w:rsidR="00EE5312" w:rsidRPr="002A3E13" w:rsidRDefault="00EE5312" w:rsidP="00D97D68">
            <w:pPr>
              <w:jc w:val="center"/>
              <w:rPr>
                <w:sz w:val="16"/>
                <w:szCs w:val="16"/>
              </w:rPr>
            </w:pPr>
            <w:r w:rsidRPr="002A3E13">
              <w:rPr>
                <w:sz w:val="16"/>
                <w:szCs w:val="16"/>
              </w:rPr>
              <w:t>4/3</w:t>
            </w:r>
          </w:p>
        </w:tc>
        <w:tc>
          <w:tcPr>
            <w:tcW w:w="801" w:type="pct"/>
            <w:tcBorders>
              <w:left w:val="single" w:sz="12" w:space="0" w:color="auto"/>
            </w:tcBorders>
            <w:vAlign w:val="center"/>
          </w:tcPr>
          <w:p w14:paraId="7C781860" w14:textId="77777777" w:rsidR="00EE5312" w:rsidRPr="002A3E13" w:rsidRDefault="00EE5312" w:rsidP="00D97D68">
            <w:pPr>
              <w:rPr>
                <w:sz w:val="16"/>
                <w:szCs w:val="16"/>
              </w:rPr>
            </w:pPr>
            <w:r w:rsidRPr="002A3E13">
              <w:rPr>
                <w:sz w:val="16"/>
                <w:szCs w:val="16"/>
              </w:rPr>
              <w:t>Turkmenistan</w:t>
            </w:r>
          </w:p>
        </w:tc>
        <w:tc>
          <w:tcPr>
            <w:tcW w:w="190" w:type="pct"/>
            <w:tcBorders>
              <w:right w:val="single" w:sz="12" w:space="0" w:color="auto"/>
            </w:tcBorders>
            <w:vAlign w:val="center"/>
          </w:tcPr>
          <w:p w14:paraId="264C1C5A" w14:textId="77777777" w:rsidR="00EE5312" w:rsidRPr="002A3E13" w:rsidRDefault="00EE5312" w:rsidP="00D97D68">
            <w:pPr>
              <w:jc w:val="center"/>
              <w:rPr>
                <w:sz w:val="16"/>
                <w:szCs w:val="16"/>
              </w:rPr>
            </w:pPr>
            <w:r w:rsidRPr="002A3E13">
              <w:rPr>
                <w:sz w:val="16"/>
                <w:szCs w:val="16"/>
              </w:rPr>
              <w:t>0</w:t>
            </w:r>
          </w:p>
        </w:tc>
        <w:tc>
          <w:tcPr>
            <w:tcW w:w="1145" w:type="pct"/>
            <w:tcBorders>
              <w:left w:val="single" w:sz="12" w:space="0" w:color="auto"/>
            </w:tcBorders>
            <w:vAlign w:val="center"/>
          </w:tcPr>
          <w:p w14:paraId="50E87DBD" w14:textId="77777777" w:rsidR="00EE5312" w:rsidRPr="002A3E13" w:rsidRDefault="00EE5312" w:rsidP="00D97D68">
            <w:pPr>
              <w:rPr>
                <w:sz w:val="16"/>
                <w:szCs w:val="16"/>
              </w:rPr>
            </w:pPr>
            <w:r w:rsidRPr="002A3E13">
              <w:rPr>
                <w:sz w:val="16"/>
                <w:szCs w:val="16"/>
              </w:rPr>
              <w:t>OECD</w:t>
            </w:r>
          </w:p>
        </w:tc>
        <w:tc>
          <w:tcPr>
            <w:tcW w:w="190" w:type="pct"/>
            <w:tcBorders>
              <w:right w:val="single" w:sz="12" w:space="0" w:color="auto"/>
            </w:tcBorders>
            <w:vAlign w:val="center"/>
          </w:tcPr>
          <w:p w14:paraId="022C9BB9" w14:textId="77777777" w:rsidR="00EE5312" w:rsidRPr="002A3E13" w:rsidRDefault="00EE5312" w:rsidP="00D97D68">
            <w:pPr>
              <w:jc w:val="center"/>
              <w:rPr>
                <w:sz w:val="16"/>
                <w:szCs w:val="16"/>
              </w:rPr>
            </w:pPr>
            <w:r w:rsidRPr="002A3E13">
              <w:rPr>
                <w:sz w:val="16"/>
                <w:szCs w:val="16"/>
              </w:rPr>
              <w:t>4/4</w:t>
            </w:r>
          </w:p>
        </w:tc>
      </w:tr>
      <w:tr w:rsidR="00EE5312" w:rsidRPr="002A3E13" w14:paraId="6ACA4394" w14:textId="77777777" w:rsidTr="002A3E13">
        <w:trPr>
          <w:cantSplit/>
        </w:trPr>
        <w:tc>
          <w:tcPr>
            <w:tcW w:w="711" w:type="pct"/>
            <w:tcBorders>
              <w:left w:val="single" w:sz="12" w:space="0" w:color="auto"/>
            </w:tcBorders>
            <w:noWrap/>
            <w:vAlign w:val="center"/>
            <w:hideMark/>
          </w:tcPr>
          <w:p w14:paraId="4089C34D" w14:textId="77777777" w:rsidR="00EE5312" w:rsidRPr="002A3E13" w:rsidRDefault="00EE5312" w:rsidP="00D97D68">
            <w:pPr>
              <w:rPr>
                <w:sz w:val="16"/>
                <w:szCs w:val="16"/>
              </w:rPr>
            </w:pPr>
            <w:r w:rsidRPr="002A3E13">
              <w:rPr>
                <w:sz w:val="16"/>
                <w:szCs w:val="16"/>
              </w:rPr>
              <w:t>Croatia</w:t>
            </w:r>
          </w:p>
        </w:tc>
        <w:tc>
          <w:tcPr>
            <w:tcW w:w="190" w:type="pct"/>
            <w:tcBorders>
              <w:right w:val="single" w:sz="12" w:space="0" w:color="auto"/>
            </w:tcBorders>
            <w:noWrap/>
            <w:vAlign w:val="center"/>
            <w:hideMark/>
          </w:tcPr>
          <w:p w14:paraId="00163EED" w14:textId="77777777" w:rsidR="00EE5312" w:rsidRPr="002A3E13" w:rsidRDefault="00EE5312" w:rsidP="00D97D68">
            <w:pPr>
              <w:jc w:val="center"/>
              <w:rPr>
                <w:sz w:val="16"/>
                <w:szCs w:val="16"/>
              </w:rPr>
            </w:pPr>
            <w:r w:rsidRPr="002A3E13">
              <w:rPr>
                <w:sz w:val="16"/>
                <w:szCs w:val="16"/>
              </w:rPr>
              <w:t>5/5</w:t>
            </w:r>
          </w:p>
        </w:tc>
        <w:tc>
          <w:tcPr>
            <w:tcW w:w="537" w:type="pct"/>
            <w:tcBorders>
              <w:left w:val="single" w:sz="12" w:space="0" w:color="auto"/>
            </w:tcBorders>
            <w:vAlign w:val="center"/>
          </w:tcPr>
          <w:p w14:paraId="7078CC1B" w14:textId="77777777" w:rsidR="00EE5312" w:rsidRPr="002A3E13" w:rsidRDefault="00EE5312" w:rsidP="00D97D68">
            <w:pPr>
              <w:rPr>
                <w:sz w:val="16"/>
                <w:szCs w:val="16"/>
              </w:rPr>
            </w:pPr>
            <w:r w:rsidRPr="002A3E13">
              <w:rPr>
                <w:sz w:val="16"/>
                <w:szCs w:val="16"/>
              </w:rPr>
              <w:t>Italy</w:t>
            </w:r>
          </w:p>
        </w:tc>
        <w:tc>
          <w:tcPr>
            <w:tcW w:w="190" w:type="pct"/>
            <w:tcBorders>
              <w:right w:val="single" w:sz="12" w:space="0" w:color="auto"/>
            </w:tcBorders>
            <w:vAlign w:val="center"/>
          </w:tcPr>
          <w:p w14:paraId="653B28FC" w14:textId="77777777" w:rsidR="00EE5312" w:rsidRPr="002A3E13" w:rsidRDefault="00EE5312" w:rsidP="00D97D68">
            <w:pPr>
              <w:jc w:val="center"/>
              <w:rPr>
                <w:sz w:val="16"/>
                <w:szCs w:val="16"/>
              </w:rPr>
            </w:pPr>
            <w:r w:rsidRPr="002A3E13">
              <w:rPr>
                <w:sz w:val="16"/>
                <w:szCs w:val="16"/>
              </w:rPr>
              <w:t>4/4</w:t>
            </w:r>
          </w:p>
        </w:tc>
        <w:tc>
          <w:tcPr>
            <w:tcW w:w="858" w:type="pct"/>
            <w:tcBorders>
              <w:left w:val="single" w:sz="12" w:space="0" w:color="auto"/>
            </w:tcBorders>
            <w:vAlign w:val="center"/>
          </w:tcPr>
          <w:p w14:paraId="29A038DE" w14:textId="77777777" w:rsidR="00EE5312" w:rsidRPr="002A3E13" w:rsidRDefault="00EE5312" w:rsidP="00D97D68">
            <w:pPr>
              <w:rPr>
                <w:sz w:val="16"/>
                <w:szCs w:val="16"/>
              </w:rPr>
            </w:pPr>
            <w:r w:rsidRPr="002A3E13">
              <w:rPr>
                <w:sz w:val="16"/>
                <w:szCs w:val="16"/>
              </w:rPr>
              <w:t>Republic of Moldova</w:t>
            </w:r>
          </w:p>
        </w:tc>
        <w:tc>
          <w:tcPr>
            <w:tcW w:w="190" w:type="pct"/>
            <w:tcBorders>
              <w:right w:val="single" w:sz="12" w:space="0" w:color="auto"/>
            </w:tcBorders>
            <w:vAlign w:val="center"/>
          </w:tcPr>
          <w:p w14:paraId="02B27704" w14:textId="77777777" w:rsidR="00EE5312" w:rsidRPr="002A3E13" w:rsidRDefault="00EE5312" w:rsidP="00D97D68">
            <w:pPr>
              <w:jc w:val="center"/>
              <w:rPr>
                <w:sz w:val="16"/>
                <w:szCs w:val="16"/>
              </w:rPr>
            </w:pPr>
            <w:r w:rsidRPr="002A3E13">
              <w:rPr>
                <w:sz w:val="16"/>
                <w:szCs w:val="16"/>
              </w:rPr>
              <w:t>5/5</w:t>
            </w:r>
          </w:p>
        </w:tc>
        <w:tc>
          <w:tcPr>
            <w:tcW w:w="801" w:type="pct"/>
            <w:tcBorders>
              <w:left w:val="single" w:sz="12" w:space="0" w:color="auto"/>
            </w:tcBorders>
            <w:vAlign w:val="center"/>
          </w:tcPr>
          <w:p w14:paraId="138C8A2E" w14:textId="77777777" w:rsidR="00EE5312" w:rsidRPr="002A3E13" w:rsidRDefault="00EE5312" w:rsidP="00D97D68">
            <w:pPr>
              <w:rPr>
                <w:sz w:val="16"/>
                <w:szCs w:val="16"/>
              </w:rPr>
            </w:pPr>
            <w:r w:rsidRPr="002A3E13">
              <w:rPr>
                <w:sz w:val="16"/>
                <w:szCs w:val="16"/>
              </w:rPr>
              <w:t>Ukraine</w:t>
            </w:r>
          </w:p>
        </w:tc>
        <w:tc>
          <w:tcPr>
            <w:tcW w:w="190" w:type="pct"/>
            <w:tcBorders>
              <w:right w:val="single" w:sz="12" w:space="0" w:color="auto"/>
            </w:tcBorders>
            <w:vAlign w:val="center"/>
          </w:tcPr>
          <w:p w14:paraId="119DC342" w14:textId="77777777" w:rsidR="00EE5312" w:rsidRPr="002A3E13" w:rsidRDefault="00EE5312" w:rsidP="00D97D68">
            <w:pPr>
              <w:jc w:val="center"/>
              <w:rPr>
                <w:sz w:val="16"/>
                <w:szCs w:val="16"/>
              </w:rPr>
            </w:pPr>
            <w:r w:rsidRPr="002A3E13">
              <w:rPr>
                <w:sz w:val="16"/>
                <w:szCs w:val="16"/>
              </w:rPr>
              <w:t>4/3</w:t>
            </w:r>
          </w:p>
        </w:tc>
        <w:tc>
          <w:tcPr>
            <w:tcW w:w="1145" w:type="pct"/>
            <w:tcBorders>
              <w:left w:val="single" w:sz="12" w:space="0" w:color="auto"/>
            </w:tcBorders>
            <w:vAlign w:val="center"/>
          </w:tcPr>
          <w:p w14:paraId="6C587C76" w14:textId="77777777" w:rsidR="00EE5312" w:rsidRPr="002A3E13" w:rsidRDefault="00EE5312" w:rsidP="00D97D68">
            <w:pPr>
              <w:rPr>
                <w:sz w:val="16"/>
                <w:szCs w:val="16"/>
              </w:rPr>
            </w:pPr>
            <w:r w:rsidRPr="002A3E13">
              <w:rPr>
                <w:sz w:val="16"/>
                <w:szCs w:val="16"/>
              </w:rPr>
              <w:t>REC Caucasus</w:t>
            </w:r>
          </w:p>
        </w:tc>
        <w:tc>
          <w:tcPr>
            <w:tcW w:w="190" w:type="pct"/>
            <w:tcBorders>
              <w:right w:val="single" w:sz="12" w:space="0" w:color="auto"/>
            </w:tcBorders>
            <w:vAlign w:val="center"/>
          </w:tcPr>
          <w:p w14:paraId="19ABB1A2" w14:textId="77777777" w:rsidR="00EE5312" w:rsidRPr="002A3E13" w:rsidRDefault="00EE5312" w:rsidP="00D97D68">
            <w:pPr>
              <w:jc w:val="center"/>
              <w:rPr>
                <w:sz w:val="16"/>
                <w:szCs w:val="16"/>
              </w:rPr>
            </w:pPr>
            <w:r w:rsidRPr="002A3E13">
              <w:rPr>
                <w:sz w:val="16"/>
                <w:szCs w:val="16"/>
              </w:rPr>
              <w:t>4/4</w:t>
            </w:r>
          </w:p>
        </w:tc>
      </w:tr>
      <w:tr w:rsidR="00EE5312" w:rsidRPr="002A3E13" w14:paraId="5657F2A1" w14:textId="77777777" w:rsidTr="002A3E13">
        <w:trPr>
          <w:cantSplit/>
        </w:trPr>
        <w:tc>
          <w:tcPr>
            <w:tcW w:w="711" w:type="pct"/>
            <w:tcBorders>
              <w:left w:val="single" w:sz="12" w:space="0" w:color="auto"/>
            </w:tcBorders>
            <w:noWrap/>
            <w:vAlign w:val="center"/>
            <w:hideMark/>
          </w:tcPr>
          <w:p w14:paraId="6C8F79A7" w14:textId="77777777" w:rsidR="00EE5312" w:rsidRPr="002A3E13" w:rsidRDefault="00EE5312" w:rsidP="00D97D68">
            <w:pPr>
              <w:rPr>
                <w:sz w:val="16"/>
                <w:szCs w:val="16"/>
              </w:rPr>
            </w:pPr>
            <w:r w:rsidRPr="002A3E13">
              <w:rPr>
                <w:sz w:val="16"/>
                <w:szCs w:val="16"/>
              </w:rPr>
              <w:t>Cyprus</w:t>
            </w:r>
          </w:p>
        </w:tc>
        <w:tc>
          <w:tcPr>
            <w:tcW w:w="190" w:type="pct"/>
            <w:tcBorders>
              <w:right w:val="single" w:sz="12" w:space="0" w:color="auto"/>
            </w:tcBorders>
            <w:noWrap/>
            <w:vAlign w:val="center"/>
            <w:hideMark/>
          </w:tcPr>
          <w:p w14:paraId="573AE34B" w14:textId="77777777" w:rsidR="00EE5312" w:rsidRPr="002A3E13" w:rsidRDefault="00EE5312" w:rsidP="00D97D68">
            <w:pPr>
              <w:jc w:val="center"/>
              <w:rPr>
                <w:sz w:val="16"/>
                <w:szCs w:val="16"/>
              </w:rPr>
            </w:pPr>
            <w:r w:rsidRPr="002A3E13">
              <w:rPr>
                <w:sz w:val="16"/>
                <w:szCs w:val="16"/>
              </w:rPr>
              <w:t>0</w:t>
            </w:r>
          </w:p>
        </w:tc>
        <w:tc>
          <w:tcPr>
            <w:tcW w:w="537" w:type="pct"/>
            <w:tcBorders>
              <w:left w:val="single" w:sz="12" w:space="0" w:color="auto"/>
            </w:tcBorders>
            <w:vAlign w:val="center"/>
          </w:tcPr>
          <w:p w14:paraId="092E962E" w14:textId="77777777" w:rsidR="00EE5312" w:rsidRPr="002A3E13" w:rsidRDefault="00EE5312" w:rsidP="00D97D68">
            <w:pPr>
              <w:rPr>
                <w:sz w:val="16"/>
                <w:szCs w:val="16"/>
              </w:rPr>
            </w:pPr>
            <w:r w:rsidRPr="002A3E13">
              <w:rPr>
                <w:sz w:val="16"/>
                <w:szCs w:val="16"/>
              </w:rPr>
              <w:t>Kazakhstan</w:t>
            </w:r>
          </w:p>
        </w:tc>
        <w:tc>
          <w:tcPr>
            <w:tcW w:w="190" w:type="pct"/>
            <w:tcBorders>
              <w:right w:val="single" w:sz="12" w:space="0" w:color="auto"/>
            </w:tcBorders>
            <w:vAlign w:val="center"/>
          </w:tcPr>
          <w:p w14:paraId="5B4425B2" w14:textId="77777777" w:rsidR="00EE5312" w:rsidRPr="002A3E13" w:rsidRDefault="00EE5312" w:rsidP="00D97D68">
            <w:pPr>
              <w:jc w:val="center"/>
              <w:rPr>
                <w:sz w:val="16"/>
                <w:szCs w:val="16"/>
              </w:rPr>
            </w:pPr>
            <w:r w:rsidRPr="002A3E13">
              <w:rPr>
                <w:sz w:val="16"/>
                <w:szCs w:val="16"/>
              </w:rPr>
              <w:t>2/2</w:t>
            </w:r>
          </w:p>
        </w:tc>
        <w:tc>
          <w:tcPr>
            <w:tcW w:w="858" w:type="pct"/>
            <w:tcBorders>
              <w:left w:val="single" w:sz="12" w:space="0" w:color="auto"/>
            </w:tcBorders>
            <w:vAlign w:val="center"/>
          </w:tcPr>
          <w:p w14:paraId="60670656" w14:textId="77777777" w:rsidR="00EE5312" w:rsidRPr="002A3E13" w:rsidRDefault="00EE5312" w:rsidP="00D97D68">
            <w:pPr>
              <w:rPr>
                <w:sz w:val="16"/>
                <w:szCs w:val="16"/>
              </w:rPr>
            </w:pPr>
            <w:r w:rsidRPr="002A3E13">
              <w:rPr>
                <w:sz w:val="16"/>
                <w:szCs w:val="16"/>
              </w:rPr>
              <w:t>Romania</w:t>
            </w:r>
          </w:p>
        </w:tc>
        <w:tc>
          <w:tcPr>
            <w:tcW w:w="190" w:type="pct"/>
            <w:tcBorders>
              <w:right w:val="single" w:sz="12" w:space="0" w:color="auto"/>
            </w:tcBorders>
            <w:vAlign w:val="center"/>
          </w:tcPr>
          <w:p w14:paraId="6B6B07ED" w14:textId="77777777" w:rsidR="00EE5312" w:rsidRPr="002A3E13" w:rsidRDefault="00EE5312" w:rsidP="00D97D68">
            <w:pPr>
              <w:jc w:val="center"/>
              <w:rPr>
                <w:sz w:val="16"/>
                <w:szCs w:val="16"/>
              </w:rPr>
            </w:pPr>
            <w:r w:rsidRPr="002A3E13">
              <w:rPr>
                <w:sz w:val="16"/>
                <w:szCs w:val="16"/>
              </w:rPr>
              <w:t>2/2</w:t>
            </w:r>
          </w:p>
        </w:tc>
        <w:tc>
          <w:tcPr>
            <w:tcW w:w="801" w:type="pct"/>
            <w:tcBorders>
              <w:left w:val="single" w:sz="12" w:space="0" w:color="auto"/>
            </w:tcBorders>
            <w:vAlign w:val="center"/>
          </w:tcPr>
          <w:p w14:paraId="041C0484" w14:textId="66815F5F" w:rsidR="00EE5312" w:rsidRPr="002A3E13" w:rsidRDefault="00EE5312" w:rsidP="00D97D68">
            <w:pPr>
              <w:rPr>
                <w:sz w:val="16"/>
                <w:szCs w:val="16"/>
              </w:rPr>
            </w:pPr>
            <w:r w:rsidRPr="002A3E13">
              <w:rPr>
                <w:sz w:val="16"/>
                <w:szCs w:val="16"/>
              </w:rPr>
              <w:t>U</w:t>
            </w:r>
            <w:r w:rsidR="00F946AB">
              <w:rPr>
                <w:sz w:val="16"/>
                <w:szCs w:val="16"/>
              </w:rPr>
              <w:t>nited Kingdom of Great Britain and Northern Ireland</w:t>
            </w:r>
          </w:p>
        </w:tc>
        <w:tc>
          <w:tcPr>
            <w:tcW w:w="190" w:type="pct"/>
            <w:tcBorders>
              <w:right w:val="single" w:sz="12" w:space="0" w:color="auto"/>
            </w:tcBorders>
            <w:vAlign w:val="center"/>
          </w:tcPr>
          <w:p w14:paraId="41E5E158" w14:textId="77777777" w:rsidR="00EE5312" w:rsidRPr="002A3E13" w:rsidRDefault="00EE5312" w:rsidP="00D97D68">
            <w:pPr>
              <w:jc w:val="center"/>
              <w:rPr>
                <w:sz w:val="16"/>
                <w:szCs w:val="16"/>
              </w:rPr>
            </w:pPr>
            <w:r w:rsidRPr="002A3E13">
              <w:rPr>
                <w:sz w:val="16"/>
                <w:szCs w:val="16"/>
              </w:rPr>
              <w:t>0</w:t>
            </w:r>
          </w:p>
        </w:tc>
        <w:tc>
          <w:tcPr>
            <w:tcW w:w="1145" w:type="pct"/>
            <w:tcBorders>
              <w:left w:val="single" w:sz="12" w:space="0" w:color="auto"/>
            </w:tcBorders>
            <w:vAlign w:val="center"/>
          </w:tcPr>
          <w:p w14:paraId="2B02B8F3" w14:textId="77777777" w:rsidR="00EE5312" w:rsidRPr="002A3E13" w:rsidRDefault="00EE5312" w:rsidP="00D97D68">
            <w:pPr>
              <w:rPr>
                <w:sz w:val="16"/>
                <w:szCs w:val="16"/>
              </w:rPr>
            </w:pPr>
            <w:r w:rsidRPr="002A3E13">
              <w:rPr>
                <w:sz w:val="16"/>
                <w:szCs w:val="16"/>
              </w:rPr>
              <w:t>REC CEE</w:t>
            </w:r>
          </w:p>
        </w:tc>
        <w:tc>
          <w:tcPr>
            <w:tcW w:w="190" w:type="pct"/>
            <w:tcBorders>
              <w:right w:val="single" w:sz="12" w:space="0" w:color="auto"/>
            </w:tcBorders>
            <w:vAlign w:val="center"/>
          </w:tcPr>
          <w:p w14:paraId="227DFCCC" w14:textId="77777777" w:rsidR="00EE5312" w:rsidRPr="002A3E13" w:rsidRDefault="00EE5312" w:rsidP="00D97D68">
            <w:pPr>
              <w:jc w:val="center"/>
              <w:rPr>
                <w:sz w:val="16"/>
                <w:szCs w:val="16"/>
              </w:rPr>
            </w:pPr>
            <w:r w:rsidRPr="002A3E13">
              <w:rPr>
                <w:sz w:val="16"/>
                <w:szCs w:val="16"/>
              </w:rPr>
              <w:t>1/0</w:t>
            </w:r>
          </w:p>
        </w:tc>
      </w:tr>
      <w:tr w:rsidR="00EE5312" w:rsidRPr="002A3E13" w14:paraId="420277DA" w14:textId="77777777" w:rsidTr="002A3E13">
        <w:trPr>
          <w:cantSplit/>
        </w:trPr>
        <w:tc>
          <w:tcPr>
            <w:tcW w:w="711" w:type="pct"/>
            <w:tcBorders>
              <w:left w:val="single" w:sz="12" w:space="0" w:color="auto"/>
            </w:tcBorders>
            <w:noWrap/>
            <w:vAlign w:val="center"/>
            <w:hideMark/>
          </w:tcPr>
          <w:p w14:paraId="0703E023" w14:textId="0C34C051" w:rsidR="00EE5312" w:rsidRPr="002A3E13" w:rsidRDefault="00EE5312" w:rsidP="00D97D68">
            <w:pPr>
              <w:rPr>
                <w:sz w:val="16"/>
                <w:szCs w:val="16"/>
              </w:rPr>
            </w:pPr>
            <w:proofErr w:type="spellStart"/>
            <w:r w:rsidRPr="002A3E13">
              <w:rPr>
                <w:sz w:val="16"/>
                <w:szCs w:val="16"/>
              </w:rPr>
              <w:t>Czech</w:t>
            </w:r>
            <w:r w:rsidR="00F946AB">
              <w:rPr>
                <w:sz w:val="16"/>
                <w:szCs w:val="16"/>
              </w:rPr>
              <w:t>ia</w:t>
            </w:r>
            <w:proofErr w:type="spellEnd"/>
            <w:r w:rsidRPr="002A3E13">
              <w:rPr>
                <w:sz w:val="16"/>
                <w:szCs w:val="16"/>
              </w:rPr>
              <w:t xml:space="preserve"> </w:t>
            </w:r>
          </w:p>
        </w:tc>
        <w:tc>
          <w:tcPr>
            <w:tcW w:w="190" w:type="pct"/>
            <w:tcBorders>
              <w:right w:val="single" w:sz="12" w:space="0" w:color="auto"/>
            </w:tcBorders>
            <w:noWrap/>
            <w:vAlign w:val="center"/>
            <w:hideMark/>
          </w:tcPr>
          <w:p w14:paraId="3ABA436E" w14:textId="77777777" w:rsidR="00EE5312" w:rsidRPr="002A3E13" w:rsidRDefault="00EE5312" w:rsidP="00D97D68">
            <w:pPr>
              <w:jc w:val="center"/>
              <w:rPr>
                <w:sz w:val="16"/>
                <w:szCs w:val="16"/>
              </w:rPr>
            </w:pPr>
            <w:r w:rsidRPr="002A3E13">
              <w:rPr>
                <w:sz w:val="16"/>
                <w:szCs w:val="16"/>
              </w:rPr>
              <w:t>0</w:t>
            </w:r>
          </w:p>
        </w:tc>
        <w:tc>
          <w:tcPr>
            <w:tcW w:w="537" w:type="pct"/>
            <w:tcBorders>
              <w:left w:val="single" w:sz="12" w:space="0" w:color="auto"/>
            </w:tcBorders>
            <w:vAlign w:val="center"/>
          </w:tcPr>
          <w:p w14:paraId="16B9ACF4" w14:textId="77777777" w:rsidR="00EE5312" w:rsidRPr="002A3E13" w:rsidRDefault="00EE5312" w:rsidP="00D97D68">
            <w:pPr>
              <w:rPr>
                <w:sz w:val="16"/>
                <w:szCs w:val="16"/>
              </w:rPr>
            </w:pPr>
            <w:r w:rsidRPr="002A3E13">
              <w:rPr>
                <w:sz w:val="16"/>
                <w:szCs w:val="16"/>
              </w:rPr>
              <w:t>Kyrgyzstan</w:t>
            </w:r>
          </w:p>
        </w:tc>
        <w:tc>
          <w:tcPr>
            <w:tcW w:w="190" w:type="pct"/>
            <w:tcBorders>
              <w:right w:val="single" w:sz="12" w:space="0" w:color="auto"/>
            </w:tcBorders>
            <w:vAlign w:val="center"/>
          </w:tcPr>
          <w:p w14:paraId="6C2CC5E2" w14:textId="77777777" w:rsidR="00EE5312" w:rsidRPr="002A3E13" w:rsidRDefault="00EE5312" w:rsidP="00D97D68">
            <w:pPr>
              <w:jc w:val="center"/>
              <w:rPr>
                <w:sz w:val="16"/>
                <w:szCs w:val="16"/>
              </w:rPr>
            </w:pPr>
            <w:r w:rsidRPr="002A3E13">
              <w:rPr>
                <w:sz w:val="16"/>
                <w:szCs w:val="16"/>
              </w:rPr>
              <w:t>1/0</w:t>
            </w:r>
          </w:p>
        </w:tc>
        <w:tc>
          <w:tcPr>
            <w:tcW w:w="858" w:type="pct"/>
            <w:tcBorders>
              <w:left w:val="single" w:sz="12" w:space="0" w:color="auto"/>
            </w:tcBorders>
            <w:vAlign w:val="center"/>
          </w:tcPr>
          <w:p w14:paraId="0CB0669E" w14:textId="152D4C3F" w:rsidR="00EE5312" w:rsidRPr="002A3E13" w:rsidRDefault="00EE5312" w:rsidP="00D97D68">
            <w:pPr>
              <w:rPr>
                <w:sz w:val="16"/>
                <w:szCs w:val="16"/>
              </w:rPr>
            </w:pPr>
            <w:r w:rsidRPr="002A3E13">
              <w:rPr>
                <w:sz w:val="16"/>
                <w:szCs w:val="16"/>
              </w:rPr>
              <w:t>Russia</w:t>
            </w:r>
            <w:r w:rsidR="00F946AB">
              <w:rPr>
                <w:sz w:val="16"/>
                <w:szCs w:val="16"/>
              </w:rPr>
              <w:t>n Federation</w:t>
            </w:r>
          </w:p>
        </w:tc>
        <w:tc>
          <w:tcPr>
            <w:tcW w:w="190" w:type="pct"/>
            <w:tcBorders>
              <w:right w:val="single" w:sz="12" w:space="0" w:color="auto"/>
            </w:tcBorders>
            <w:vAlign w:val="center"/>
          </w:tcPr>
          <w:p w14:paraId="665D6415" w14:textId="77777777" w:rsidR="00EE5312" w:rsidRPr="002A3E13" w:rsidRDefault="00EE5312" w:rsidP="00D97D68">
            <w:pPr>
              <w:jc w:val="center"/>
              <w:rPr>
                <w:sz w:val="16"/>
                <w:szCs w:val="16"/>
              </w:rPr>
            </w:pPr>
            <w:r w:rsidRPr="002A3E13">
              <w:rPr>
                <w:sz w:val="16"/>
                <w:szCs w:val="16"/>
              </w:rPr>
              <w:t>0</w:t>
            </w:r>
          </w:p>
        </w:tc>
        <w:tc>
          <w:tcPr>
            <w:tcW w:w="801" w:type="pct"/>
            <w:tcBorders>
              <w:left w:val="single" w:sz="12" w:space="0" w:color="auto"/>
            </w:tcBorders>
            <w:vAlign w:val="center"/>
          </w:tcPr>
          <w:p w14:paraId="27D56BAC" w14:textId="5EC2A01E" w:rsidR="00EE5312" w:rsidRPr="002A3E13" w:rsidRDefault="00EE5312" w:rsidP="00D97D68">
            <w:pPr>
              <w:rPr>
                <w:sz w:val="16"/>
                <w:szCs w:val="16"/>
              </w:rPr>
            </w:pPr>
            <w:r w:rsidRPr="002A3E13">
              <w:rPr>
                <w:sz w:val="16"/>
                <w:szCs w:val="16"/>
              </w:rPr>
              <w:t>U</w:t>
            </w:r>
            <w:r w:rsidR="00F946AB">
              <w:rPr>
                <w:sz w:val="16"/>
                <w:szCs w:val="16"/>
              </w:rPr>
              <w:t>nited States of America</w:t>
            </w:r>
          </w:p>
        </w:tc>
        <w:tc>
          <w:tcPr>
            <w:tcW w:w="190" w:type="pct"/>
            <w:tcBorders>
              <w:right w:val="single" w:sz="12" w:space="0" w:color="auto"/>
            </w:tcBorders>
            <w:vAlign w:val="center"/>
          </w:tcPr>
          <w:p w14:paraId="41906A7E" w14:textId="77777777" w:rsidR="00EE5312" w:rsidRPr="002A3E13" w:rsidRDefault="00EE5312" w:rsidP="00D97D68">
            <w:pPr>
              <w:jc w:val="center"/>
              <w:rPr>
                <w:sz w:val="16"/>
                <w:szCs w:val="16"/>
              </w:rPr>
            </w:pPr>
            <w:r w:rsidRPr="002A3E13">
              <w:rPr>
                <w:sz w:val="16"/>
                <w:szCs w:val="16"/>
              </w:rPr>
              <w:t>0</w:t>
            </w:r>
          </w:p>
        </w:tc>
        <w:tc>
          <w:tcPr>
            <w:tcW w:w="1145" w:type="pct"/>
            <w:tcBorders>
              <w:left w:val="single" w:sz="12" w:space="0" w:color="auto"/>
            </w:tcBorders>
            <w:vAlign w:val="center"/>
          </w:tcPr>
          <w:p w14:paraId="5C5248C6" w14:textId="6B857DAE" w:rsidR="00EE5312" w:rsidRPr="002A3E13" w:rsidRDefault="00EE5312" w:rsidP="00D97D68">
            <w:pPr>
              <w:rPr>
                <w:sz w:val="16"/>
                <w:szCs w:val="16"/>
              </w:rPr>
            </w:pPr>
            <w:r w:rsidRPr="002A3E13">
              <w:rPr>
                <w:sz w:val="16"/>
                <w:szCs w:val="16"/>
              </w:rPr>
              <w:t>ECE</w:t>
            </w:r>
          </w:p>
        </w:tc>
        <w:tc>
          <w:tcPr>
            <w:tcW w:w="190" w:type="pct"/>
            <w:tcBorders>
              <w:right w:val="single" w:sz="12" w:space="0" w:color="auto"/>
            </w:tcBorders>
            <w:vAlign w:val="center"/>
          </w:tcPr>
          <w:p w14:paraId="5BBECE70" w14:textId="77777777" w:rsidR="00EE5312" w:rsidRPr="002A3E13" w:rsidRDefault="00EE5312" w:rsidP="00D97D68">
            <w:pPr>
              <w:jc w:val="center"/>
              <w:rPr>
                <w:sz w:val="16"/>
                <w:szCs w:val="16"/>
              </w:rPr>
            </w:pPr>
            <w:r w:rsidRPr="002A3E13">
              <w:rPr>
                <w:sz w:val="16"/>
                <w:szCs w:val="16"/>
              </w:rPr>
              <w:t>8/8</w:t>
            </w:r>
          </w:p>
        </w:tc>
      </w:tr>
      <w:tr w:rsidR="00EE5312" w:rsidRPr="002A3E13" w14:paraId="68A5C7F3" w14:textId="77777777" w:rsidTr="002A3E13">
        <w:trPr>
          <w:cantSplit/>
        </w:trPr>
        <w:tc>
          <w:tcPr>
            <w:tcW w:w="711" w:type="pct"/>
            <w:tcBorders>
              <w:left w:val="single" w:sz="12" w:space="0" w:color="auto"/>
              <w:bottom w:val="single" w:sz="12" w:space="0" w:color="auto"/>
            </w:tcBorders>
            <w:noWrap/>
            <w:vAlign w:val="center"/>
            <w:hideMark/>
          </w:tcPr>
          <w:p w14:paraId="73BCC5E0" w14:textId="77777777" w:rsidR="00EE5312" w:rsidRPr="002A3E13" w:rsidRDefault="00EE5312" w:rsidP="00D97D68">
            <w:pPr>
              <w:rPr>
                <w:sz w:val="16"/>
                <w:szCs w:val="16"/>
              </w:rPr>
            </w:pPr>
            <w:r w:rsidRPr="002A3E13">
              <w:rPr>
                <w:sz w:val="16"/>
                <w:szCs w:val="16"/>
              </w:rPr>
              <w:t>Denmark</w:t>
            </w:r>
          </w:p>
        </w:tc>
        <w:tc>
          <w:tcPr>
            <w:tcW w:w="190" w:type="pct"/>
            <w:tcBorders>
              <w:bottom w:val="single" w:sz="12" w:space="0" w:color="auto"/>
              <w:right w:val="single" w:sz="12" w:space="0" w:color="auto"/>
            </w:tcBorders>
            <w:noWrap/>
            <w:vAlign w:val="center"/>
            <w:hideMark/>
          </w:tcPr>
          <w:p w14:paraId="2C0020DB" w14:textId="77777777" w:rsidR="00EE5312" w:rsidRPr="002A3E13" w:rsidRDefault="00EE5312" w:rsidP="00D97D68">
            <w:pPr>
              <w:jc w:val="center"/>
              <w:rPr>
                <w:sz w:val="16"/>
                <w:szCs w:val="16"/>
              </w:rPr>
            </w:pPr>
            <w:r w:rsidRPr="002A3E13">
              <w:rPr>
                <w:sz w:val="16"/>
                <w:szCs w:val="16"/>
              </w:rPr>
              <w:t>0</w:t>
            </w:r>
          </w:p>
        </w:tc>
        <w:tc>
          <w:tcPr>
            <w:tcW w:w="537" w:type="pct"/>
            <w:tcBorders>
              <w:left w:val="single" w:sz="12" w:space="0" w:color="auto"/>
              <w:bottom w:val="single" w:sz="12" w:space="0" w:color="auto"/>
            </w:tcBorders>
            <w:vAlign w:val="center"/>
          </w:tcPr>
          <w:p w14:paraId="1BF93C6A" w14:textId="77777777" w:rsidR="00EE5312" w:rsidRPr="002A3E13" w:rsidRDefault="00EE5312" w:rsidP="00D97D68">
            <w:pPr>
              <w:rPr>
                <w:sz w:val="16"/>
                <w:szCs w:val="16"/>
              </w:rPr>
            </w:pPr>
            <w:r w:rsidRPr="002A3E13">
              <w:rPr>
                <w:sz w:val="16"/>
                <w:szCs w:val="16"/>
              </w:rPr>
              <w:t>Latvia</w:t>
            </w:r>
          </w:p>
        </w:tc>
        <w:tc>
          <w:tcPr>
            <w:tcW w:w="190" w:type="pct"/>
            <w:tcBorders>
              <w:bottom w:val="single" w:sz="12" w:space="0" w:color="auto"/>
              <w:right w:val="single" w:sz="12" w:space="0" w:color="auto"/>
            </w:tcBorders>
            <w:vAlign w:val="center"/>
          </w:tcPr>
          <w:p w14:paraId="438F7398" w14:textId="77777777" w:rsidR="00EE5312" w:rsidRPr="002A3E13" w:rsidRDefault="00EE5312" w:rsidP="00D97D68">
            <w:pPr>
              <w:jc w:val="center"/>
              <w:rPr>
                <w:sz w:val="16"/>
                <w:szCs w:val="16"/>
              </w:rPr>
            </w:pPr>
            <w:r w:rsidRPr="002A3E13">
              <w:rPr>
                <w:sz w:val="16"/>
                <w:szCs w:val="16"/>
              </w:rPr>
              <w:t>3/3</w:t>
            </w:r>
          </w:p>
        </w:tc>
        <w:tc>
          <w:tcPr>
            <w:tcW w:w="858" w:type="pct"/>
            <w:tcBorders>
              <w:left w:val="single" w:sz="12" w:space="0" w:color="auto"/>
              <w:bottom w:val="single" w:sz="12" w:space="0" w:color="auto"/>
            </w:tcBorders>
            <w:vAlign w:val="center"/>
          </w:tcPr>
          <w:p w14:paraId="715253D3" w14:textId="77777777" w:rsidR="00EE5312" w:rsidRPr="002A3E13" w:rsidRDefault="00EE5312" w:rsidP="00D97D68">
            <w:pPr>
              <w:rPr>
                <w:sz w:val="16"/>
                <w:szCs w:val="16"/>
              </w:rPr>
            </w:pPr>
            <w:r w:rsidRPr="002A3E13">
              <w:rPr>
                <w:sz w:val="16"/>
                <w:szCs w:val="16"/>
              </w:rPr>
              <w:t>San Marino</w:t>
            </w:r>
          </w:p>
        </w:tc>
        <w:tc>
          <w:tcPr>
            <w:tcW w:w="190" w:type="pct"/>
            <w:tcBorders>
              <w:bottom w:val="single" w:sz="12" w:space="0" w:color="auto"/>
              <w:right w:val="single" w:sz="12" w:space="0" w:color="auto"/>
            </w:tcBorders>
            <w:vAlign w:val="center"/>
          </w:tcPr>
          <w:p w14:paraId="7E66BC09" w14:textId="77777777" w:rsidR="00EE5312" w:rsidRPr="002A3E13" w:rsidRDefault="00EE5312" w:rsidP="00D97D68">
            <w:pPr>
              <w:jc w:val="center"/>
              <w:rPr>
                <w:sz w:val="16"/>
                <w:szCs w:val="16"/>
              </w:rPr>
            </w:pPr>
            <w:r w:rsidRPr="002A3E13">
              <w:rPr>
                <w:sz w:val="16"/>
                <w:szCs w:val="16"/>
              </w:rPr>
              <w:t>0</w:t>
            </w:r>
          </w:p>
        </w:tc>
        <w:tc>
          <w:tcPr>
            <w:tcW w:w="801" w:type="pct"/>
            <w:tcBorders>
              <w:left w:val="single" w:sz="12" w:space="0" w:color="auto"/>
              <w:bottom w:val="single" w:sz="12" w:space="0" w:color="auto"/>
            </w:tcBorders>
            <w:vAlign w:val="center"/>
          </w:tcPr>
          <w:p w14:paraId="4648A52C" w14:textId="77777777" w:rsidR="00EE5312" w:rsidRPr="002A3E13" w:rsidRDefault="00EE5312" w:rsidP="00D97D68">
            <w:pPr>
              <w:rPr>
                <w:sz w:val="16"/>
                <w:szCs w:val="16"/>
              </w:rPr>
            </w:pPr>
            <w:r w:rsidRPr="002A3E13">
              <w:rPr>
                <w:sz w:val="16"/>
                <w:szCs w:val="16"/>
              </w:rPr>
              <w:t>Uzbekistan</w:t>
            </w:r>
          </w:p>
        </w:tc>
        <w:tc>
          <w:tcPr>
            <w:tcW w:w="190" w:type="pct"/>
            <w:tcBorders>
              <w:bottom w:val="single" w:sz="12" w:space="0" w:color="auto"/>
              <w:right w:val="single" w:sz="12" w:space="0" w:color="auto"/>
            </w:tcBorders>
            <w:vAlign w:val="center"/>
          </w:tcPr>
          <w:p w14:paraId="6BF56538" w14:textId="77777777" w:rsidR="00EE5312" w:rsidRPr="002A3E13" w:rsidRDefault="00EE5312" w:rsidP="00D97D68">
            <w:pPr>
              <w:jc w:val="center"/>
              <w:rPr>
                <w:sz w:val="16"/>
                <w:szCs w:val="16"/>
              </w:rPr>
            </w:pPr>
            <w:r w:rsidRPr="002A3E13">
              <w:rPr>
                <w:sz w:val="16"/>
                <w:szCs w:val="16"/>
              </w:rPr>
              <w:t>5/0</w:t>
            </w:r>
          </w:p>
        </w:tc>
        <w:tc>
          <w:tcPr>
            <w:tcW w:w="1145" w:type="pct"/>
            <w:tcBorders>
              <w:left w:val="single" w:sz="12" w:space="0" w:color="auto"/>
              <w:bottom w:val="single" w:sz="12" w:space="0" w:color="auto"/>
            </w:tcBorders>
            <w:vAlign w:val="center"/>
          </w:tcPr>
          <w:p w14:paraId="40390630" w14:textId="77777777" w:rsidR="00EE5312" w:rsidRPr="002A3E13" w:rsidRDefault="00EE5312" w:rsidP="00D97D68">
            <w:pPr>
              <w:rPr>
                <w:sz w:val="16"/>
                <w:szCs w:val="16"/>
              </w:rPr>
            </w:pPr>
            <w:r w:rsidRPr="002A3E13">
              <w:rPr>
                <w:sz w:val="16"/>
                <w:szCs w:val="16"/>
              </w:rPr>
              <w:t>UNEP</w:t>
            </w:r>
          </w:p>
        </w:tc>
        <w:tc>
          <w:tcPr>
            <w:tcW w:w="190" w:type="pct"/>
            <w:tcBorders>
              <w:bottom w:val="single" w:sz="12" w:space="0" w:color="auto"/>
              <w:right w:val="single" w:sz="12" w:space="0" w:color="auto"/>
            </w:tcBorders>
            <w:vAlign w:val="center"/>
          </w:tcPr>
          <w:p w14:paraId="66AF2831" w14:textId="77777777" w:rsidR="00EE5312" w:rsidRPr="002A3E13" w:rsidRDefault="00EE5312" w:rsidP="00D97D68">
            <w:pPr>
              <w:keepNext/>
              <w:jc w:val="center"/>
              <w:rPr>
                <w:sz w:val="16"/>
                <w:szCs w:val="16"/>
              </w:rPr>
            </w:pPr>
            <w:r w:rsidRPr="002A3E13">
              <w:rPr>
                <w:sz w:val="16"/>
                <w:szCs w:val="16"/>
              </w:rPr>
              <w:t>3/3</w:t>
            </w:r>
          </w:p>
        </w:tc>
      </w:tr>
    </w:tbl>
    <w:p w14:paraId="3AF4A18D" w14:textId="77777777" w:rsidR="00EE5312" w:rsidRDefault="00EE5312" w:rsidP="00EE5312">
      <w:pPr>
        <w:pStyle w:val="Caption"/>
        <w:keepNext/>
        <w:jc w:val="center"/>
      </w:pPr>
    </w:p>
    <w:p w14:paraId="5ED5384F" w14:textId="07459E91" w:rsidR="005E6782" w:rsidRPr="005E6782" w:rsidRDefault="005E6782" w:rsidP="00B26963">
      <w:pPr>
        <w:pStyle w:val="Caption"/>
        <w:keepNext/>
        <w:spacing w:after="0"/>
        <w:ind w:left="1134"/>
        <w:rPr>
          <w:b w:val="0"/>
          <w:color w:val="auto"/>
        </w:rPr>
      </w:pPr>
      <w:r w:rsidRPr="005E6782">
        <w:rPr>
          <w:b w:val="0"/>
          <w:color w:val="auto"/>
        </w:rPr>
        <w:t xml:space="preserve">Figure </w:t>
      </w:r>
      <w:r w:rsidR="005B3891">
        <w:rPr>
          <w:b w:val="0"/>
          <w:color w:val="auto"/>
        </w:rPr>
        <w:t>I</w:t>
      </w:r>
    </w:p>
    <w:p w14:paraId="55E663C1" w14:textId="5F6318FB" w:rsidR="00EE5312" w:rsidRPr="00F93018" w:rsidRDefault="00EE5312" w:rsidP="00B26963">
      <w:pPr>
        <w:pStyle w:val="Caption"/>
        <w:keepNext/>
        <w:spacing w:after="0"/>
        <w:ind w:left="1134"/>
        <w:rPr>
          <w:color w:val="auto"/>
        </w:rPr>
      </w:pPr>
      <w:r w:rsidRPr="00F93018">
        <w:rPr>
          <w:color w:val="auto"/>
        </w:rPr>
        <w:t xml:space="preserve">UNECE member States participating in and reporting to the BIG-E by </w:t>
      </w:r>
      <w:proofErr w:type="spellStart"/>
      <w:r w:rsidRPr="00F93018">
        <w:rPr>
          <w:color w:val="auto"/>
        </w:rPr>
        <w:t>subregion</w:t>
      </w:r>
      <w:proofErr w:type="spellEnd"/>
    </w:p>
    <w:p w14:paraId="028DD289" w14:textId="77777777" w:rsidR="00EE5312" w:rsidRDefault="00EE5312" w:rsidP="00EE5312">
      <w:pPr>
        <w:pStyle w:val="Caption"/>
        <w:jc w:val="center"/>
        <w:rPr>
          <w:color w:val="auto"/>
        </w:rPr>
      </w:pPr>
      <w:r>
        <w:rPr>
          <w:noProof/>
          <w:lang w:eastAsia="zh-CN"/>
        </w:rPr>
        <w:drawing>
          <wp:inline distT="0" distB="0" distL="0" distR="0" wp14:anchorId="655CE31D" wp14:editId="3CCEE8E3">
            <wp:extent cx="4779034" cy="2389517"/>
            <wp:effectExtent l="0" t="0" r="21590" b="107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0540C6" w14:textId="14E0DAE6" w:rsidR="005E6782" w:rsidRDefault="00EE5312" w:rsidP="005E6782">
      <w:pPr>
        <w:pStyle w:val="Caption"/>
        <w:keepNext/>
        <w:spacing w:after="0"/>
        <w:ind w:left="1134"/>
        <w:rPr>
          <w:b w:val="0"/>
          <w:color w:val="auto"/>
        </w:rPr>
      </w:pPr>
      <w:r w:rsidRPr="00FA5428">
        <w:rPr>
          <w:b w:val="0"/>
          <w:color w:val="auto"/>
        </w:rPr>
        <w:lastRenderedPageBreak/>
        <w:t xml:space="preserve">Figure </w:t>
      </w:r>
      <w:r w:rsidR="005B3891">
        <w:rPr>
          <w:b w:val="0"/>
          <w:color w:val="auto"/>
        </w:rPr>
        <w:t>II</w:t>
      </w:r>
    </w:p>
    <w:p w14:paraId="0186DDC5" w14:textId="4E34ABAF" w:rsidR="00EE5312" w:rsidRDefault="00EE5312" w:rsidP="005E6782">
      <w:pPr>
        <w:pStyle w:val="Caption"/>
        <w:keepNext/>
        <w:spacing w:after="0"/>
        <w:ind w:left="1134"/>
        <w:rPr>
          <w:noProof/>
          <w:color w:val="auto"/>
        </w:rPr>
      </w:pPr>
      <w:r w:rsidRPr="001F2C13">
        <w:rPr>
          <w:color w:val="auto"/>
        </w:rPr>
        <w:t xml:space="preserve">BIG-E commitments by objectives </w:t>
      </w:r>
      <w:r w:rsidRPr="001F2C13">
        <w:rPr>
          <w:noProof/>
          <w:color w:val="auto"/>
        </w:rPr>
        <w:t>and focus areas</w:t>
      </w:r>
    </w:p>
    <w:p w14:paraId="54B91021" w14:textId="30976C60" w:rsidR="0086637A" w:rsidRPr="0086637A" w:rsidRDefault="002A3E13" w:rsidP="002A3E13">
      <w:pPr>
        <w:jc w:val="center"/>
      </w:pPr>
      <w:r w:rsidRPr="002A3E13">
        <w:rPr>
          <w:noProof/>
          <w:sz w:val="18"/>
          <w:szCs w:val="18"/>
          <w:lang w:eastAsia="zh-CN"/>
        </w:rPr>
        <w:drawing>
          <wp:inline distT="0" distB="0" distL="0" distR="0" wp14:anchorId="3C2566E2" wp14:editId="70F11F32">
            <wp:extent cx="4753154" cy="2863970"/>
            <wp:effectExtent l="0" t="0" r="9525"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F68078" w14:textId="5ED00C3B" w:rsidR="00EE5312" w:rsidRDefault="00EE5312" w:rsidP="00EE5312">
      <w:pPr>
        <w:jc w:val="center"/>
      </w:pPr>
    </w:p>
    <w:p w14:paraId="08D41965" w14:textId="113A6234" w:rsidR="00B26963" w:rsidRPr="00B26963" w:rsidRDefault="005E6782" w:rsidP="00B26963">
      <w:pPr>
        <w:pStyle w:val="Caption"/>
        <w:keepNext/>
        <w:spacing w:after="0"/>
        <w:ind w:left="1134"/>
        <w:rPr>
          <w:b w:val="0"/>
          <w:color w:val="auto"/>
        </w:rPr>
      </w:pPr>
      <w:r w:rsidRPr="00B26963">
        <w:rPr>
          <w:b w:val="0"/>
          <w:color w:val="auto"/>
        </w:rPr>
        <w:t>Figure</w:t>
      </w:r>
      <w:r w:rsidR="00B26963" w:rsidRPr="00B26963">
        <w:rPr>
          <w:b w:val="0"/>
          <w:color w:val="auto"/>
        </w:rPr>
        <w:t xml:space="preserve"> </w:t>
      </w:r>
      <w:r w:rsidR="005B3891">
        <w:rPr>
          <w:b w:val="0"/>
          <w:color w:val="auto"/>
        </w:rPr>
        <w:t>III</w:t>
      </w:r>
    </w:p>
    <w:p w14:paraId="7E95BC64" w14:textId="4BDEE699" w:rsidR="005E6782" w:rsidRPr="00B26963" w:rsidRDefault="005E6782" w:rsidP="00B26963">
      <w:pPr>
        <w:pStyle w:val="Caption"/>
        <w:keepNext/>
        <w:spacing w:after="0"/>
        <w:ind w:left="1134"/>
        <w:rPr>
          <w:color w:val="auto"/>
        </w:rPr>
      </w:pPr>
      <w:r w:rsidRPr="00B26963">
        <w:rPr>
          <w:color w:val="auto"/>
        </w:rPr>
        <w:t>BIG-E commitments by types of action</w:t>
      </w:r>
    </w:p>
    <w:p w14:paraId="64AB5462" w14:textId="6CA2DE43" w:rsidR="00EE5312" w:rsidRDefault="005E6782" w:rsidP="00EE5312">
      <w:pPr>
        <w:jc w:val="center"/>
      </w:pPr>
      <w:r>
        <w:rPr>
          <w:noProof/>
          <w:lang w:eastAsia="zh-CN"/>
        </w:rPr>
        <w:drawing>
          <wp:inline distT="0" distB="0" distL="0" distR="0" wp14:anchorId="3F358E9A" wp14:editId="31B7AC5D">
            <wp:extent cx="4718649" cy="1630393"/>
            <wp:effectExtent l="0" t="0" r="25400" b="273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2DC1F7D" w14:textId="07D624A9" w:rsidR="00F40033" w:rsidRPr="00F40033" w:rsidRDefault="00F40033" w:rsidP="00F40033">
      <w:pPr>
        <w:pStyle w:val="Caption"/>
        <w:keepNext/>
        <w:spacing w:after="0"/>
        <w:ind w:left="1134"/>
        <w:rPr>
          <w:b w:val="0"/>
          <w:color w:val="auto"/>
        </w:rPr>
      </w:pPr>
      <w:r w:rsidRPr="00F40033">
        <w:rPr>
          <w:b w:val="0"/>
          <w:color w:val="auto"/>
        </w:rPr>
        <w:lastRenderedPageBreak/>
        <w:t xml:space="preserve">Figure </w:t>
      </w:r>
      <w:r w:rsidR="005B3891">
        <w:rPr>
          <w:b w:val="0"/>
          <w:color w:val="auto"/>
        </w:rPr>
        <w:t>IV</w:t>
      </w:r>
    </w:p>
    <w:p w14:paraId="71B0D0C1" w14:textId="00CC3223" w:rsidR="00F40033" w:rsidRPr="00F40033" w:rsidRDefault="00F40033" w:rsidP="00F40033">
      <w:pPr>
        <w:pStyle w:val="Caption"/>
        <w:keepNext/>
        <w:spacing w:after="0"/>
        <w:ind w:left="1134"/>
        <w:rPr>
          <w:color w:val="auto"/>
        </w:rPr>
      </w:pPr>
      <w:r w:rsidRPr="00F40033">
        <w:rPr>
          <w:color w:val="auto"/>
        </w:rPr>
        <w:t>BIG-E commitments by sectors</w:t>
      </w:r>
    </w:p>
    <w:p w14:paraId="1F39BFF1" w14:textId="6D578A41" w:rsidR="00393568" w:rsidRDefault="00F40033" w:rsidP="00F40033">
      <w:pPr>
        <w:pStyle w:val="SingleTxtG"/>
        <w:jc w:val="center"/>
      </w:pPr>
      <w:r>
        <w:rPr>
          <w:noProof/>
          <w:lang w:eastAsia="zh-CN"/>
        </w:rPr>
        <w:drawing>
          <wp:inline distT="0" distB="0" distL="0" distR="0" wp14:anchorId="525FC909" wp14:editId="363E1724">
            <wp:extent cx="4735902" cy="3234905"/>
            <wp:effectExtent l="0" t="0" r="26670" b="228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FA7D8A" w14:textId="77777777" w:rsidR="00E54063" w:rsidRDefault="00E54063" w:rsidP="00E54063">
      <w:pPr>
        <w:pStyle w:val="Caption"/>
        <w:keepNext/>
        <w:spacing w:after="0"/>
        <w:ind w:left="1134"/>
        <w:rPr>
          <w:b w:val="0"/>
          <w:color w:val="auto"/>
        </w:rPr>
      </w:pPr>
    </w:p>
    <w:p w14:paraId="13854920" w14:textId="3D490A9C" w:rsidR="00E54063" w:rsidRPr="00F40033" w:rsidRDefault="00E54063" w:rsidP="00E54063">
      <w:pPr>
        <w:pStyle w:val="Caption"/>
        <w:keepNext/>
        <w:spacing w:after="0"/>
        <w:ind w:left="1134"/>
        <w:rPr>
          <w:b w:val="0"/>
          <w:color w:val="auto"/>
        </w:rPr>
      </w:pPr>
      <w:r w:rsidRPr="00F40033">
        <w:rPr>
          <w:b w:val="0"/>
          <w:color w:val="auto"/>
        </w:rPr>
        <w:t xml:space="preserve">Figure </w:t>
      </w:r>
      <w:r w:rsidR="005B3891">
        <w:rPr>
          <w:b w:val="0"/>
          <w:color w:val="auto"/>
        </w:rPr>
        <w:t>V</w:t>
      </w:r>
    </w:p>
    <w:p w14:paraId="45172DFB" w14:textId="224E4F50" w:rsidR="007978DF" w:rsidRPr="00F3776D" w:rsidRDefault="00E54063" w:rsidP="00E54063">
      <w:pPr>
        <w:pStyle w:val="SingleTxtG"/>
        <w:rPr>
          <w:b/>
          <w:sz w:val="18"/>
          <w:szCs w:val="18"/>
        </w:rPr>
      </w:pPr>
      <w:r w:rsidRPr="00E54063">
        <w:rPr>
          <w:b/>
          <w:sz w:val="18"/>
          <w:szCs w:val="18"/>
        </w:rPr>
        <w:t xml:space="preserve">BIG-E commitments </w:t>
      </w:r>
      <w:r w:rsidRPr="00F3776D">
        <w:rPr>
          <w:b/>
          <w:sz w:val="18"/>
          <w:szCs w:val="18"/>
        </w:rPr>
        <w:t xml:space="preserve">by </w:t>
      </w:r>
      <w:r w:rsidR="00F3776D" w:rsidRPr="0066183C">
        <w:rPr>
          <w:b/>
        </w:rPr>
        <w:t>Sustainable Development Goals</w:t>
      </w:r>
    </w:p>
    <w:p w14:paraId="5081489F" w14:textId="692060C1" w:rsidR="007978DF" w:rsidRDefault="00E54063" w:rsidP="00E54063">
      <w:pPr>
        <w:pStyle w:val="SingleTxtG"/>
      </w:pPr>
      <w:r>
        <w:rPr>
          <w:noProof/>
          <w:lang w:eastAsia="zh-CN"/>
        </w:rPr>
        <w:drawing>
          <wp:inline distT="0" distB="0" distL="0" distR="0" wp14:anchorId="1A2CC38D" wp14:editId="3A9A96BF">
            <wp:extent cx="4735902" cy="3830128"/>
            <wp:effectExtent l="0" t="0" r="26670" b="184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03B3FFE" w14:textId="77777777" w:rsidR="006D7FDC" w:rsidRDefault="006D7FDC" w:rsidP="006D7FDC">
      <w:pPr>
        <w:pStyle w:val="Caption"/>
        <w:keepNext/>
        <w:spacing w:after="0"/>
        <w:ind w:left="1134"/>
        <w:rPr>
          <w:b w:val="0"/>
          <w:color w:val="auto"/>
        </w:rPr>
      </w:pPr>
    </w:p>
    <w:p w14:paraId="4C764BAE" w14:textId="3628EAC0" w:rsidR="006D7FDC" w:rsidRPr="00F40033" w:rsidRDefault="006D7FDC" w:rsidP="006D7FDC">
      <w:pPr>
        <w:pStyle w:val="Caption"/>
        <w:keepNext/>
        <w:spacing w:after="0"/>
        <w:ind w:left="1134"/>
        <w:rPr>
          <w:b w:val="0"/>
          <w:color w:val="auto"/>
        </w:rPr>
      </w:pPr>
      <w:r w:rsidRPr="00F40033">
        <w:rPr>
          <w:b w:val="0"/>
          <w:color w:val="auto"/>
        </w:rPr>
        <w:t xml:space="preserve">Figure </w:t>
      </w:r>
      <w:r w:rsidR="005B3891">
        <w:rPr>
          <w:b w:val="0"/>
          <w:color w:val="auto"/>
        </w:rPr>
        <w:t>VI</w:t>
      </w:r>
    </w:p>
    <w:p w14:paraId="09463D37" w14:textId="680CEDF0" w:rsidR="00845D99" w:rsidRDefault="006D7FDC" w:rsidP="006D7FDC">
      <w:pPr>
        <w:pStyle w:val="SingleTxtG"/>
      </w:pPr>
      <w:r w:rsidRPr="00E54063">
        <w:rPr>
          <w:b/>
          <w:sz w:val="18"/>
          <w:szCs w:val="18"/>
        </w:rPr>
        <w:t>BIG-E commitments</w:t>
      </w:r>
      <w:r w:rsidR="00141B89">
        <w:rPr>
          <w:b/>
          <w:sz w:val="18"/>
          <w:szCs w:val="18"/>
        </w:rPr>
        <w:t>’</w:t>
      </w:r>
      <w:r w:rsidRPr="00E54063">
        <w:rPr>
          <w:b/>
          <w:sz w:val="18"/>
          <w:szCs w:val="18"/>
        </w:rPr>
        <w:t xml:space="preserve"> </w:t>
      </w:r>
      <w:r>
        <w:rPr>
          <w:b/>
          <w:sz w:val="18"/>
          <w:szCs w:val="18"/>
        </w:rPr>
        <w:t>progress in implementation</w:t>
      </w:r>
    </w:p>
    <w:p w14:paraId="2C3FB43E" w14:textId="7CE20ABF" w:rsidR="00845D99" w:rsidRDefault="006D7FDC" w:rsidP="00E54063">
      <w:pPr>
        <w:pStyle w:val="SingleTxtG"/>
      </w:pPr>
      <w:r>
        <w:rPr>
          <w:noProof/>
          <w:lang w:eastAsia="zh-CN"/>
        </w:rPr>
        <w:drawing>
          <wp:inline distT="0" distB="0" distL="0" distR="0" wp14:anchorId="2175784D" wp14:editId="12CB3DA7">
            <wp:extent cx="45720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7BD19D5" w14:textId="2492F2E2" w:rsidR="00334D2A" w:rsidRPr="002A6612" w:rsidRDefault="00334D2A" w:rsidP="00334D2A">
      <w:pPr>
        <w:pStyle w:val="SingleTxtG"/>
        <w:spacing w:before="240" w:after="0"/>
        <w:jc w:val="center"/>
      </w:pPr>
      <w:r w:rsidRPr="002A6612">
        <w:rPr>
          <w:u w:val="single"/>
        </w:rPr>
        <w:tab/>
      </w:r>
      <w:r w:rsidRPr="002A6612">
        <w:rPr>
          <w:u w:val="single"/>
        </w:rPr>
        <w:tab/>
      </w:r>
      <w:r w:rsidRPr="002A6612">
        <w:rPr>
          <w:u w:val="single"/>
        </w:rPr>
        <w:tab/>
      </w:r>
    </w:p>
    <w:p w14:paraId="06C33288" w14:textId="77777777" w:rsidR="00334D2A" w:rsidRPr="006D1890" w:rsidRDefault="00334D2A" w:rsidP="00334D2A">
      <w:pPr>
        <w:pStyle w:val="SingleTxtG"/>
      </w:pPr>
    </w:p>
    <w:sectPr w:rsidR="00334D2A" w:rsidRPr="006D1890" w:rsidSect="00334D2A">
      <w:footnotePr>
        <w:numFmt w:val="chicago"/>
        <w:numRestart w:val="eachSect"/>
      </w:footnotePr>
      <w:endnotePr>
        <w:numFmt w:val="decimal"/>
      </w:endnotePr>
      <w:type w:val="continuous"/>
      <w:pgSz w:w="11907" w:h="16840" w:code="9"/>
      <w:pgMar w:top="1701" w:right="1134" w:bottom="1985"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91AE0" w14:textId="77777777" w:rsidR="004C4D4C" w:rsidRDefault="004C4D4C"/>
  </w:endnote>
  <w:endnote w:type="continuationSeparator" w:id="0">
    <w:p w14:paraId="42E143E7" w14:textId="77777777" w:rsidR="004C4D4C" w:rsidRDefault="004C4D4C"/>
  </w:endnote>
  <w:endnote w:type="continuationNotice" w:id="1">
    <w:p w14:paraId="57524408" w14:textId="77777777" w:rsidR="004C4D4C" w:rsidRDefault="004C4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451D4" w14:textId="33C62DB2" w:rsidR="00B67A7C" w:rsidRPr="001D5DD3" w:rsidRDefault="00B67A7C" w:rsidP="001D5DD3">
    <w:pPr>
      <w:pStyle w:val="Footer"/>
      <w:tabs>
        <w:tab w:val="right" w:pos="9638"/>
      </w:tabs>
      <w:rPr>
        <w:sz w:val="18"/>
      </w:rPr>
    </w:pPr>
    <w:r w:rsidRPr="001D5DD3">
      <w:rPr>
        <w:b/>
        <w:sz w:val="18"/>
      </w:rPr>
      <w:fldChar w:fldCharType="begin"/>
    </w:r>
    <w:r w:rsidRPr="001D5DD3">
      <w:rPr>
        <w:b/>
        <w:sz w:val="18"/>
      </w:rPr>
      <w:instrText xml:space="preserve"> PAGE  \* MERGEFORMAT </w:instrText>
    </w:r>
    <w:r w:rsidRPr="001D5DD3">
      <w:rPr>
        <w:b/>
        <w:sz w:val="18"/>
      </w:rPr>
      <w:fldChar w:fldCharType="separate"/>
    </w:r>
    <w:r w:rsidR="00C03575">
      <w:rPr>
        <w:b/>
        <w:noProof/>
        <w:sz w:val="18"/>
      </w:rPr>
      <w:t>18</w:t>
    </w:r>
    <w:r w:rsidRPr="001D5DD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89CE3" w14:textId="299F8562" w:rsidR="00B67A7C" w:rsidRPr="001D5DD3" w:rsidRDefault="00B67A7C" w:rsidP="001D5DD3">
    <w:pPr>
      <w:pStyle w:val="Footer"/>
      <w:tabs>
        <w:tab w:val="right" w:pos="9638"/>
      </w:tabs>
      <w:rPr>
        <w:b/>
        <w:sz w:val="18"/>
      </w:rPr>
    </w:pPr>
    <w:r>
      <w:tab/>
    </w:r>
    <w:r w:rsidRPr="001D5DD3">
      <w:rPr>
        <w:b/>
        <w:sz w:val="18"/>
      </w:rPr>
      <w:fldChar w:fldCharType="begin"/>
    </w:r>
    <w:r w:rsidRPr="001D5DD3">
      <w:rPr>
        <w:b/>
        <w:sz w:val="18"/>
      </w:rPr>
      <w:instrText xml:space="preserve"> PAGE  \* MERGEFORMAT </w:instrText>
    </w:r>
    <w:r w:rsidRPr="001D5DD3">
      <w:rPr>
        <w:b/>
        <w:sz w:val="18"/>
      </w:rPr>
      <w:fldChar w:fldCharType="separate"/>
    </w:r>
    <w:r w:rsidR="00C03575">
      <w:rPr>
        <w:b/>
        <w:noProof/>
        <w:sz w:val="18"/>
      </w:rPr>
      <w:t>17</w:t>
    </w:r>
    <w:r w:rsidRPr="001D5D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BE98A" w14:textId="77777777" w:rsidR="005C38EF" w:rsidRDefault="005C38EF" w:rsidP="005C38EF">
    <w:pPr>
      <w:pStyle w:val="Footer"/>
    </w:pPr>
    <w:r>
      <w:rPr>
        <w:noProof/>
        <w:lang w:eastAsia="zh-CN"/>
      </w:rPr>
      <w:drawing>
        <wp:anchor distT="0" distB="0" distL="114300" distR="114300" simplePos="0" relativeHeight="251659264" behindDoc="1" locked="1" layoutInCell="1" allowOverlap="1" wp14:anchorId="45FC94D1" wp14:editId="05E5E44E">
          <wp:simplePos x="0" y="0"/>
          <wp:positionH relativeFrom="margin">
            <wp:posOffset>4320540</wp:posOffset>
          </wp:positionH>
          <wp:positionV relativeFrom="margin">
            <wp:posOffset>8423910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A2B25F6" w14:textId="77777777" w:rsidR="005C38EF" w:rsidRDefault="005C38EF" w:rsidP="005C38EF">
    <w:pPr>
      <w:pStyle w:val="Footer"/>
      <w:ind w:right="1134"/>
      <w:rPr>
        <w:sz w:val="20"/>
      </w:rPr>
    </w:pPr>
    <w:r>
      <w:rPr>
        <w:rFonts w:ascii="C39T30Lfz" w:hAnsi="C39T30Lfz"/>
        <w:noProof/>
        <w:sz w:val="56"/>
        <w:lang w:eastAsia="zh-CN"/>
      </w:rPr>
      <w:drawing>
        <wp:anchor distT="0" distB="0" distL="114300" distR="114300" simplePos="0" relativeHeight="251660288" behindDoc="0" locked="0" layoutInCell="1" allowOverlap="1" wp14:anchorId="5F7437A9" wp14:editId="0888387F">
          <wp:simplePos x="0" y="0"/>
          <wp:positionH relativeFrom="margin">
            <wp:posOffset>5478780</wp:posOffset>
          </wp:positionH>
          <wp:positionV relativeFrom="margin">
            <wp:posOffset>8107853</wp:posOffset>
          </wp:positionV>
          <wp:extent cx="638175" cy="638175"/>
          <wp:effectExtent l="0" t="0" r="9525" b="9525"/>
          <wp:wrapNone/>
          <wp:docPr id="2" name="Picture 1" descr="https://undocs.org/m2/QRCode.ashx?DS=ECE/CEP/2019/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9/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GE.18-19867(E)</w:t>
    </w:r>
  </w:p>
  <w:p w14:paraId="645C5A2E" w14:textId="77777777" w:rsidR="005C38EF" w:rsidRPr="0036023B" w:rsidRDefault="005C38EF" w:rsidP="005C38E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3C286" w14:textId="77777777" w:rsidR="004C4D4C" w:rsidRPr="000B175B" w:rsidRDefault="004C4D4C" w:rsidP="000B175B">
      <w:pPr>
        <w:tabs>
          <w:tab w:val="right" w:pos="2155"/>
        </w:tabs>
        <w:spacing w:after="80"/>
        <w:ind w:left="680"/>
        <w:rPr>
          <w:u w:val="single"/>
        </w:rPr>
      </w:pPr>
      <w:r>
        <w:rPr>
          <w:u w:val="single"/>
        </w:rPr>
        <w:tab/>
      </w:r>
    </w:p>
  </w:footnote>
  <w:footnote w:type="continuationSeparator" w:id="0">
    <w:p w14:paraId="70F40338" w14:textId="77777777" w:rsidR="004C4D4C" w:rsidRPr="00FC68B7" w:rsidRDefault="004C4D4C" w:rsidP="00FC68B7">
      <w:pPr>
        <w:tabs>
          <w:tab w:val="left" w:pos="2155"/>
        </w:tabs>
        <w:spacing w:after="80"/>
        <w:ind w:left="680"/>
        <w:rPr>
          <w:u w:val="single"/>
        </w:rPr>
      </w:pPr>
      <w:r>
        <w:rPr>
          <w:u w:val="single"/>
        </w:rPr>
        <w:tab/>
      </w:r>
    </w:p>
  </w:footnote>
  <w:footnote w:type="continuationNotice" w:id="1">
    <w:p w14:paraId="2CE0B168" w14:textId="77777777" w:rsidR="004C4D4C" w:rsidRDefault="004C4D4C"/>
  </w:footnote>
  <w:footnote w:id="2">
    <w:p w14:paraId="67BFD6C0" w14:textId="10D3EEFF" w:rsidR="00EA06CE" w:rsidRPr="00084BF3" w:rsidRDefault="00EF13E4">
      <w:pPr>
        <w:pStyle w:val="FootnoteText"/>
        <w:rPr>
          <w:lang w:val="en-US"/>
        </w:rPr>
      </w:pPr>
      <w:r w:rsidRPr="00084BF3">
        <w:tab/>
      </w:r>
      <w:r w:rsidR="00EA06CE" w:rsidRPr="00EF13E4">
        <w:rPr>
          <w:rStyle w:val="FootnoteReference"/>
        </w:rPr>
        <w:footnoteRef/>
      </w:r>
      <w:r w:rsidRPr="00084BF3">
        <w:tab/>
      </w:r>
      <w:r w:rsidR="00EA06CE" w:rsidRPr="00EF13E4">
        <w:t>Several actions will be implemented in partnership with other organi</w:t>
      </w:r>
      <w:r>
        <w:t>z</w:t>
      </w:r>
      <w:r w:rsidR="00EA06CE" w:rsidRPr="00EF13E4">
        <w:t xml:space="preserve">ations </w:t>
      </w:r>
      <w:r w:rsidR="00EA06CE" w:rsidRPr="00EF13E4">
        <w:rPr>
          <w:lang w:val="en-US"/>
        </w:rPr>
        <w:t xml:space="preserve">nominated in the commitments; the present document mentions only lead organizations. </w:t>
      </w:r>
    </w:p>
  </w:footnote>
  <w:footnote w:id="3">
    <w:p w14:paraId="058541AB" w14:textId="5C215F29" w:rsidR="00B67A7C" w:rsidRPr="00B9336E" w:rsidRDefault="00B67A7C" w:rsidP="00393568">
      <w:pPr>
        <w:pStyle w:val="FootnoteText"/>
        <w:rPr>
          <w:lang w:val="en-US"/>
        </w:rPr>
      </w:pPr>
      <w:r>
        <w:tab/>
      </w:r>
      <w:r>
        <w:rPr>
          <w:rStyle w:val="FootnoteReference"/>
        </w:rPr>
        <w:footnoteRef/>
      </w:r>
      <w:r>
        <w:tab/>
        <w:t xml:space="preserve">See </w:t>
      </w:r>
      <w:r w:rsidRPr="00B9336E">
        <w:t>www.unece.org/environmental-policy/environment-for-europe/initiatives/big-e.html</w:t>
      </w:r>
      <w:r>
        <w:t>.</w:t>
      </w:r>
    </w:p>
  </w:footnote>
  <w:footnote w:id="4">
    <w:p w14:paraId="6434EAAD" w14:textId="074C991D" w:rsidR="00B67A7C" w:rsidRPr="00E97972" w:rsidRDefault="00B67A7C" w:rsidP="00393568">
      <w:pPr>
        <w:pStyle w:val="FootnoteText"/>
        <w:rPr>
          <w:lang w:val="en-US"/>
        </w:rPr>
      </w:pPr>
      <w:r>
        <w:tab/>
      </w:r>
      <w:r>
        <w:rPr>
          <w:rStyle w:val="FootnoteReference"/>
        </w:rPr>
        <w:footnoteRef/>
      </w:r>
      <w:r>
        <w:tab/>
        <w:t xml:space="preserve">See </w:t>
      </w:r>
      <w:r w:rsidRPr="00E97972">
        <w:t>www.greengrowthknowledge.org/big-e</w:t>
      </w:r>
      <w:r>
        <w:t>.</w:t>
      </w:r>
    </w:p>
  </w:footnote>
  <w:footnote w:id="5">
    <w:p w14:paraId="3076F035" w14:textId="77777777" w:rsidR="00B67A7C" w:rsidRPr="004C0C04" w:rsidRDefault="00B67A7C" w:rsidP="00C36CA5">
      <w:pPr>
        <w:pStyle w:val="FootnoteText"/>
      </w:pPr>
      <w:r>
        <w:tab/>
      </w:r>
      <w:r>
        <w:rPr>
          <w:rStyle w:val="FootnoteReference"/>
        </w:rPr>
        <w:footnoteRef/>
      </w:r>
      <w:r>
        <w:tab/>
        <w:t xml:space="preserve">Selection criteria to guide the identification of green economy actions are specified in the appendix to the </w:t>
      </w:r>
      <w:r w:rsidRPr="004C0C04">
        <w:t>Strategic Framework</w:t>
      </w:r>
      <w:r>
        <w:t>.</w:t>
      </w:r>
    </w:p>
  </w:footnote>
  <w:footnote w:id="6">
    <w:p w14:paraId="689735E3" w14:textId="3BC8A960" w:rsidR="00B67A7C" w:rsidRDefault="00B67A7C">
      <w:pPr>
        <w:pStyle w:val="FootnoteText"/>
      </w:pPr>
      <w:r>
        <w:tab/>
      </w:r>
      <w:r>
        <w:rPr>
          <w:rStyle w:val="FootnoteReference"/>
        </w:rPr>
        <w:footnoteRef/>
      </w:r>
      <w:r>
        <w:tab/>
        <w:t>Available from the web page for the Committee’s twenty-fourth session (</w:t>
      </w:r>
      <w:r w:rsidRPr="004D2114">
        <w:t>www.unece.org/index.php?id=50063</w:t>
      </w:r>
      <w:r>
        <w:t>).</w:t>
      </w:r>
    </w:p>
  </w:footnote>
  <w:footnote w:id="7">
    <w:p w14:paraId="0C30C409" w14:textId="5C54A638" w:rsidR="00B67A7C" w:rsidRPr="0010385C" w:rsidRDefault="00B67A7C" w:rsidP="00393568">
      <w:pPr>
        <w:pStyle w:val="FootnoteText"/>
        <w:rPr>
          <w:lang w:val="en-US"/>
        </w:rPr>
      </w:pPr>
      <w:r>
        <w:tab/>
      </w:r>
      <w:r>
        <w:rPr>
          <w:rStyle w:val="FootnoteReference"/>
        </w:rPr>
        <w:footnoteRef/>
      </w:r>
      <w:r>
        <w:tab/>
      </w:r>
      <w:r>
        <w:rPr>
          <w:lang w:val="en-US"/>
        </w:rPr>
        <w:t xml:space="preserve">As categorized in the </w:t>
      </w:r>
      <w:r w:rsidRPr="00BF4FD9">
        <w:rPr>
          <w:lang w:val="en-US"/>
        </w:rPr>
        <w:t>Strategic Framework</w:t>
      </w:r>
      <w:r>
        <w:rPr>
          <w:lang w:val="en-US"/>
        </w:rPr>
        <w:t>, para. 18.</w:t>
      </w:r>
    </w:p>
  </w:footnote>
  <w:footnote w:id="8">
    <w:p w14:paraId="45DD429E" w14:textId="78BA4DBC" w:rsidR="00B67A7C" w:rsidRPr="008E22E7" w:rsidRDefault="00B67A7C" w:rsidP="00393568">
      <w:pPr>
        <w:pStyle w:val="FootnoteText"/>
        <w:rPr>
          <w:lang w:val="en-US"/>
        </w:rPr>
      </w:pPr>
      <w:r>
        <w:tab/>
      </w:r>
      <w:r>
        <w:rPr>
          <w:rStyle w:val="FootnoteReference"/>
        </w:rPr>
        <w:footnoteRef/>
      </w:r>
      <w:r>
        <w:tab/>
        <w:t xml:space="preserve">Most </w:t>
      </w:r>
      <w:r>
        <w:rPr>
          <w:lang w:val="en-US"/>
        </w:rPr>
        <w:t>commitments cover several focus areas, so the total number of focus areas and objectives referred in the commitments exceeds the number of commitments themselves; therefore, the sum of calculations in some paragraphs is more than 100%.</w:t>
      </w:r>
    </w:p>
  </w:footnote>
  <w:footnote w:id="9">
    <w:p w14:paraId="54518DD3" w14:textId="5EF7BC95" w:rsidR="00B67A7C" w:rsidRPr="00BF4FD9" w:rsidRDefault="00B67A7C" w:rsidP="00393568">
      <w:pPr>
        <w:pStyle w:val="FootnoteText"/>
        <w:rPr>
          <w:lang w:val="en-US"/>
        </w:rPr>
      </w:pPr>
      <w:r>
        <w:tab/>
      </w:r>
      <w:r>
        <w:rPr>
          <w:rStyle w:val="FootnoteReference"/>
        </w:rPr>
        <w:footnoteRef/>
      </w:r>
      <w:r>
        <w:tab/>
      </w:r>
      <w:r>
        <w:rPr>
          <w:lang w:val="en-US"/>
        </w:rPr>
        <w:t xml:space="preserve">As categorized in the </w:t>
      </w:r>
      <w:r w:rsidRPr="00BF4FD9">
        <w:rPr>
          <w:lang w:val="en-US"/>
        </w:rPr>
        <w:t>Strategic Framework</w:t>
      </w:r>
      <w:r>
        <w:rPr>
          <w:lang w:val="en-US"/>
        </w:rPr>
        <w:t>,</w:t>
      </w:r>
      <w:r w:rsidRPr="00BF4FD9">
        <w:rPr>
          <w:lang w:val="en-US"/>
        </w:rPr>
        <w:t xml:space="preserve"> </w:t>
      </w:r>
      <w:r>
        <w:t>annex, para. 8.</w:t>
      </w:r>
    </w:p>
  </w:footnote>
  <w:footnote w:id="10">
    <w:p w14:paraId="57BABD1B" w14:textId="0AE92E10" w:rsidR="00B67A7C" w:rsidRPr="00BF4FD9" w:rsidRDefault="00B67A7C" w:rsidP="00393568">
      <w:pPr>
        <w:pStyle w:val="FootnoteText"/>
      </w:pPr>
      <w:r>
        <w:tab/>
      </w:r>
      <w:r>
        <w:rPr>
          <w:rStyle w:val="FootnoteReference"/>
        </w:rPr>
        <w:footnoteRef/>
      </w:r>
      <w:r>
        <w:tab/>
      </w:r>
      <w:r>
        <w:rPr>
          <w:lang w:val="en-US"/>
        </w:rPr>
        <w:t xml:space="preserve">As categorized in the </w:t>
      </w:r>
      <w:r w:rsidRPr="00BF4FD9">
        <w:rPr>
          <w:lang w:val="en-US"/>
        </w:rPr>
        <w:t>Strategic Framework</w:t>
      </w:r>
      <w:r>
        <w:rPr>
          <w:lang w:val="en-US"/>
        </w:rPr>
        <w:t>,</w:t>
      </w:r>
      <w:r w:rsidRPr="00BF4FD9">
        <w:rPr>
          <w:lang w:val="en-US"/>
        </w:rPr>
        <w:t xml:space="preserve"> </w:t>
      </w:r>
      <w:r>
        <w:rPr>
          <w:lang w:val="en-US"/>
        </w:rPr>
        <w:t>appendix, para. 6 and footnote c.</w:t>
      </w:r>
    </w:p>
  </w:footnote>
  <w:footnote w:id="11">
    <w:p w14:paraId="31F58C67" w14:textId="70EA0D19" w:rsidR="00B67A7C" w:rsidRPr="00307CA2" w:rsidRDefault="00B67A7C" w:rsidP="00393568">
      <w:pPr>
        <w:pStyle w:val="FootnoteText"/>
        <w:rPr>
          <w:lang w:val="en-US"/>
        </w:rPr>
      </w:pPr>
      <w:r>
        <w:tab/>
      </w:r>
      <w:r>
        <w:rPr>
          <w:rStyle w:val="FootnoteReference"/>
        </w:rPr>
        <w:footnoteRef/>
      </w:r>
      <w:r>
        <w:tab/>
      </w:r>
      <w:r>
        <w:rPr>
          <w:lang w:val="en-US"/>
        </w:rPr>
        <w:t>Due to the extended reporting period, the actual rate of implementation of the commitments may be</w:t>
      </w:r>
      <w:r w:rsidRPr="000E3F11">
        <w:rPr>
          <w:lang w:val="en-US"/>
        </w:rPr>
        <w:t xml:space="preserve"> </w:t>
      </w:r>
      <w:r>
        <w:rPr>
          <w:lang w:val="en-US"/>
        </w:rPr>
        <w:t>greater when the present document is issued November 2018.</w:t>
      </w:r>
    </w:p>
  </w:footnote>
  <w:footnote w:id="12">
    <w:p w14:paraId="0BD9ED15" w14:textId="094F8637" w:rsidR="00334D2A" w:rsidRPr="00984BA7" w:rsidRDefault="00334D2A">
      <w:pPr>
        <w:pStyle w:val="FootnoteText"/>
      </w:pPr>
      <w:r>
        <w:tab/>
      </w:r>
      <w:r w:rsidRPr="00CC3874">
        <w:rPr>
          <w:rStyle w:val="FootnoteReference"/>
          <w:vertAlign w:val="baseline"/>
        </w:rPr>
        <w:footnoteRef/>
      </w:r>
      <w:r w:rsidRPr="00984BA7">
        <w:tab/>
      </w:r>
      <w:r w:rsidR="00984BA7">
        <w:t>The present annex is being issued as received. It has not been officially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BB27E" w14:textId="77777777" w:rsidR="00B67A7C" w:rsidRPr="001D5DD3" w:rsidRDefault="00B67A7C">
    <w:pPr>
      <w:pStyle w:val="Header"/>
    </w:pPr>
    <w:r>
      <w:t>ECE/CEP/2019/4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95127" w14:textId="77777777" w:rsidR="00B67A7C" w:rsidRPr="001D5DD3" w:rsidRDefault="00B67A7C" w:rsidP="001D5DD3">
    <w:pPr>
      <w:pStyle w:val="Header"/>
      <w:jc w:val="right"/>
    </w:pPr>
    <w:r>
      <w:t>ECE/CEP/2019/4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614EF0"/>
    <w:multiLevelType w:val="hybridMultilevel"/>
    <w:tmpl w:val="051C6DD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32AAC"/>
    <w:multiLevelType w:val="hybridMultilevel"/>
    <w:tmpl w:val="94E22EB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4F65CC9"/>
    <w:multiLevelType w:val="hybridMultilevel"/>
    <w:tmpl w:val="A01A979C"/>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5FA63514"/>
    <w:multiLevelType w:val="hybridMultilevel"/>
    <w:tmpl w:val="C5E69D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BE7EBD"/>
    <w:multiLevelType w:val="hybridMultilevel"/>
    <w:tmpl w:val="C17EAD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708D28B4"/>
    <w:multiLevelType w:val="hybridMultilevel"/>
    <w:tmpl w:val="83FA9C38"/>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35E23B1"/>
    <w:multiLevelType w:val="hybridMultilevel"/>
    <w:tmpl w:val="CC64B8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82681E"/>
    <w:multiLevelType w:val="hybridMultilevel"/>
    <w:tmpl w:val="263C2E7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20"/>
  </w:num>
  <w:num w:numId="18">
    <w:abstractNumId w:val="24"/>
  </w:num>
  <w:num w:numId="19">
    <w:abstractNumId w:val="25"/>
  </w:num>
  <w:num w:numId="20">
    <w:abstractNumId w:val="15"/>
  </w:num>
  <w:num w:numId="21">
    <w:abstractNumId w:val="19"/>
  </w:num>
  <w:num w:numId="22">
    <w:abstractNumId w:val="23"/>
  </w:num>
  <w:num w:numId="23">
    <w:abstractNumId w:val="11"/>
  </w:num>
  <w:num w:numId="24">
    <w:abstractNumId w:val="22"/>
  </w:num>
  <w:num w:numId="25">
    <w:abstractNumId w:val="21"/>
  </w:num>
  <w:num w:numId="2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D3"/>
    <w:rsid w:val="00002A7D"/>
    <w:rsid w:val="000038A8"/>
    <w:rsid w:val="00006790"/>
    <w:rsid w:val="00026068"/>
    <w:rsid w:val="00027061"/>
    <w:rsid w:val="00027624"/>
    <w:rsid w:val="00046EEF"/>
    <w:rsid w:val="00050F6B"/>
    <w:rsid w:val="00056F2D"/>
    <w:rsid w:val="000678CD"/>
    <w:rsid w:val="00072C8C"/>
    <w:rsid w:val="00081CE0"/>
    <w:rsid w:val="00084BF3"/>
    <w:rsid w:val="00084D30"/>
    <w:rsid w:val="00090320"/>
    <w:rsid w:val="000931C0"/>
    <w:rsid w:val="000A0E9F"/>
    <w:rsid w:val="000A2E09"/>
    <w:rsid w:val="000B175B"/>
    <w:rsid w:val="000B2DA0"/>
    <w:rsid w:val="000B3A0F"/>
    <w:rsid w:val="000C6B00"/>
    <w:rsid w:val="000E0415"/>
    <w:rsid w:val="000F7715"/>
    <w:rsid w:val="00102451"/>
    <w:rsid w:val="0012679D"/>
    <w:rsid w:val="00141B89"/>
    <w:rsid w:val="00146890"/>
    <w:rsid w:val="00150610"/>
    <w:rsid w:val="00152BC3"/>
    <w:rsid w:val="00156B99"/>
    <w:rsid w:val="00166124"/>
    <w:rsid w:val="001836F6"/>
    <w:rsid w:val="00184DDA"/>
    <w:rsid w:val="001900CD"/>
    <w:rsid w:val="001924A0"/>
    <w:rsid w:val="001A014B"/>
    <w:rsid w:val="001A0452"/>
    <w:rsid w:val="001B360D"/>
    <w:rsid w:val="001B4B04"/>
    <w:rsid w:val="001B5875"/>
    <w:rsid w:val="001C4B9C"/>
    <w:rsid w:val="001C6663"/>
    <w:rsid w:val="001C7895"/>
    <w:rsid w:val="001D26DF"/>
    <w:rsid w:val="001D3843"/>
    <w:rsid w:val="001D5DD3"/>
    <w:rsid w:val="001F1599"/>
    <w:rsid w:val="001F19C4"/>
    <w:rsid w:val="002043F0"/>
    <w:rsid w:val="00211E0B"/>
    <w:rsid w:val="00214D7E"/>
    <w:rsid w:val="00232575"/>
    <w:rsid w:val="00247258"/>
    <w:rsid w:val="00257CAC"/>
    <w:rsid w:val="0027237A"/>
    <w:rsid w:val="002964E0"/>
    <w:rsid w:val="002974E9"/>
    <w:rsid w:val="002978D8"/>
    <w:rsid w:val="002A3E13"/>
    <w:rsid w:val="002A7F94"/>
    <w:rsid w:val="002B109A"/>
    <w:rsid w:val="002C1770"/>
    <w:rsid w:val="002C6D45"/>
    <w:rsid w:val="002D05AF"/>
    <w:rsid w:val="002D249D"/>
    <w:rsid w:val="002D5F37"/>
    <w:rsid w:val="002D6E53"/>
    <w:rsid w:val="002F046D"/>
    <w:rsid w:val="002F2767"/>
    <w:rsid w:val="00301764"/>
    <w:rsid w:val="003207B0"/>
    <w:rsid w:val="003229D8"/>
    <w:rsid w:val="00326974"/>
    <w:rsid w:val="00334D2A"/>
    <w:rsid w:val="00336C97"/>
    <w:rsid w:val="00337F88"/>
    <w:rsid w:val="003402E1"/>
    <w:rsid w:val="00342432"/>
    <w:rsid w:val="0035223F"/>
    <w:rsid w:val="00352D4B"/>
    <w:rsid w:val="0035638C"/>
    <w:rsid w:val="003672C4"/>
    <w:rsid w:val="00383043"/>
    <w:rsid w:val="00393568"/>
    <w:rsid w:val="003A46BB"/>
    <w:rsid w:val="003A4EC7"/>
    <w:rsid w:val="003A7295"/>
    <w:rsid w:val="003B1F60"/>
    <w:rsid w:val="003C2CC4"/>
    <w:rsid w:val="003D4B23"/>
    <w:rsid w:val="003E1CCB"/>
    <w:rsid w:val="003E278A"/>
    <w:rsid w:val="003E55C9"/>
    <w:rsid w:val="00413520"/>
    <w:rsid w:val="004325CB"/>
    <w:rsid w:val="00435C66"/>
    <w:rsid w:val="00440A07"/>
    <w:rsid w:val="00462880"/>
    <w:rsid w:val="004734DF"/>
    <w:rsid w:val="00476F24"/>
    <w:rsid w:val="004A6A2C"/>
    <w:rsid w:val="004C4D4C"/>
    <w:rsid w:val="004C55B0"/>
    <w:rsid w:val="004D2114"/>
    <w:rsid w:val="004F6BA0"/>
    <w:rsid w:val="00503BEA"/>
    <w:rsid w:val="0050673A"/>
    <w:rsid w:val="00511975"/>
    <w:rsid w:val="00533616"/>
    <w:rsid w:val="005358A1"/>
    <w:rsid w:val="00535ABA"/>
    <w:rsid w:val="0053768B"/>
    <w:rsid w:val="005420F2"/>
    <w:rsid w:val="0054285C"/>
    <w:rsid w:val="00557579"/>
    <w:rsid w:val="00582EDC"/>
    <w:rsid w:val="00584173"/>
    <w:rsid w:val="00584543"/>
    <w:rsid w:val="00595520"/>
    <w:rsid w:val="005A44B9"/>
    <w:rsid w:val="005A5E1B"/>
    <w:rsid w:val="005B1BA0"/>
    <w:rsid w:val="005B3891"/>
    <w:rsid w:val="005B3DB3"/>
    <w:rsid w:val="005C38EF"/>
    <w:rsid w:val="005C51C2"/>
    <w:rsid w:val="005D15CA"/>
    <w:rsid w:val="005D3FB8"/>
    <w:rsid w:val="005E6782"/>
    <w:rsid w:val="005F3066"/>
    <w:rsid w:val="005F3E61"/>
    <w:rsid w:val="00604DDD"/>
    <w:rsid w:val="006115CC"/>
    <w:rsid w:val="00611FC4"/>
    <w:rsid w:val="006176FB"/>
    <w:rsid w:val="00630FCB"/>
    <w:rsid w:val="00640B26"/>
    <w:rsid w:val="0066183C"/>
    <w:rsid w:val="006770B2"/>
    <w:rsid w:val="006940E1"/>
    <w:rsid w:val="00696544"/>
    <w:rsid w:val="006A3C72"/>
    <w:rsid w:val="006A7392"/>
    <w:rsid w:val="006A7C7A"/>
    <w:rsid w:val="006B03A1"/>
    <w:rsid w:val="006B67D9"/>
    <w:rsid w:val="006C5535"/>
    <w:rsid w:val="006D0589"/>
    <w:rsid w:val="006D1890"/>
    <w:rsid w:val="006D7FDC"/>
    <w:rsid w:val="006E564B"/>
    <w:rsid w:val="006E7154"/>
    <w:rsid w:val="006E7251"/>
    <w:rsid w:val="006F5B1F"/>
    <w:rsid w:val="007003CD"/>
    <w:rsid w:val="0070701E"/>
    <w:rsid w:val="0072632A"/>
    <w:rsid w:val="007358E8"/>
    <w:rsid w:val="00736ECE"/>
    <w:rsid w:val="0074533B"/>
    <w:rsid w:val="007620C6"/>
    <w:rsid w:val="007643BC"/>
    <w:rsid w:val="00771064"/>
    <w:rsid w:val="007927F5"/>
    <w:rsid w:val="007959FE"/>
    <w:rsid w:val="007978DF"/>
    <w:rsid w:val="007A0CF1"/>
    <w:rsid w:val="007B6BA5"/>
    <w:rsid w:val="007B7DB1"/>
    <w:rsid w:val="007C3390"/>
    <w:rsid w:val="007C389C"/>
    <w:rsid w:val="007C42D8"/>
    <w:rsid w:val="007C4F4B"/>
    <w:rsid w:val="007D7362"/>
    <w:rsid w:val="007F5CE2"/>
    <w:rsid w:val="007F6611"/>
    <w:rsid w:val="00805A6B"/>
    <w:rsid w:val="00810BAC"/>
    <w:rsid w:val="008175E9"/>
    <w:rsid w:val="008242D7"/>
    <w:rsid w:val="0082577B"/>
    <w:rsid w:val="00845D99"/>
    <w:rsid w:val="008514BE"/>
    <w:rsid w:val="0086637A"/>
    <w:rsid w:val="00866893"/>
    <w:rsid w:val="00866F02"/>
    <w:rsid w:val="00867D18"/>
    <w:rsid w:val="00871F9A"/>
    <w:rsid w:val="00871FD5"/>
    <w:rsid w:val="0088172E"/>
    <w:rsid w:val="00881EFA"/>
    <w:rsid w:val="008879CB"/>
    <w:rsid w:val="008979B1"/>
    <w:rsid w:val="008A6B25"/>
    <w:rsid w:val="008A6C4F"/>
    <w:rsid w:val="008B31FC"/>
    <w:rsid w:val="008B389E"/>
    <w:rsid w:val="008D045E"/>
    <w:rsid w:val="008D3F25"/>
    <w:rsid w:val="008D4D82"/>
    <w:rsid w:val="008D751B"/>
    <w:rsid w:val="008E0E46"/>
    <w:rsid w:val="008E7116"/>
    <w:rsid w:val="008F143B"/>
    <w:rsid w:val="008F3882"/>
    <w:rsid w:val="008F4B7C"/>
    <w:rsid w:val="0091171E"/>
    <w:rsid w:val="00926E47"/>
    <w:rsid w:val="00933891"/>
    <w:rsid w:val="00947162"/>
    <w:rsid w:val="00947575"/>
    <w:rsid w:val="009610D0"/>
    <w:rsid w:val="0096375C"/>
    <w:rsid w:val="009662E6"/>
    <w:rsid w:val="0097095E"/>
    <w:rsid w:val="009713B7"/>
    <w:rsid w:val="00984BA7"/>
    <w:rsid w:val="0098592B"/>
    <w:rsid w:val="00985FC4"/>
    <w:rsid w:val="00990766"/>
    <w:rsid w:val="00991261"/>
    <w:rsid w:val="009964C4"/>
    <w:rsid w:val="009A7B81"/>
    <w:rsid w:val="009C7E0C"/>
    <w:rsid w:val="009D01C0"/>
    <w:rsid w:val="009D6A08"/>
    <w:rsid w:val="009E0A16"/>
    <w:rsid w:val="009E6CB7"/>
    <w:rsid w:val="009E7970"/>
    <w:rsid w:val="009F0E2E"/>
    <w:rsid w:val="009F1EA7"/>
    <w:rsid w:val="009F2EAC"/>
    <w:rsid w:val="009F57E3"/>
    <w:rsid w:val="00A10F4F"/>
    <w:rsid w:val="00A11067"/>
    <w:rsid w:val="00A1704A"/>
    <w:rsid w:val="00A425EB"/>
    <w:rsid w:val="00A47B10"/>
    <w:rsid w:val="00A71554"/>
    <w:rsid w:val="00A72F22"/>
    <w:rsid w:val="00A733BC"/>
    <w:rsid w:val="00A748A6"/>
    <w:rsid w:val="00A76A69"/>
    <w:rsid w:val="00A879A4"/>
    <w:rsid w:val="00A87AE4"/>
    <w:rsid w:val="00AA0FF8"/>
    <w:rsid w:val="00AA50E8"/>
    <w:rsid w:val="00AC0F2C"/>
    <w:rsid w:val="00AC502A"/>
    <w:rsid w:val="00AE0552"/>
    <w:rsid w:val="00AF58C1"/>
    <w:rsid w:val="00B04A3F"/>
    <w:rsid w:val="00B06643"/>
    <w:rsid w:val="00B13F26"/>
    <w:rsid w:val="00B15055"/>
    <w:rsid w:val="00B26963"/>
    <w:rsid w:val="00B30179"/>
    <w:rsid w:val="00B35DDA"/>
    <w:rsid w:val="00B37B15"/>
    <w:rsid w:val="00B45C02"/>
    <w:rsid w:val="00B67A7C"/>
    <w:rsid w:val="00B72A1E"/>
    <w:rsid w:val="00B81E12"/>
    <w:rsid w:val="00B8498D"/>
    <w:rsid w:val="00B90529"/>
    <w:rsid w:val="00B97F30"/>
    <w:rsid w:val="00BA339B"/>
    <w:rsid w:val="00BB10D9"/>
    <w:rsid w:val="00BC1E7E"/>
    <w:rsid w:val="00BC74E9"/>
    <w:rsid w:val="00BC7F91"/>
    <w:rsid w:val="00BE36A9"/>
    <w:rsid w:val="00BE618E"/>
    <w:rsid w:val="00BE7BEC"/>
    <w:rsid w:val="00BF0A5A"/>
    <w:rsid w:val="00BF0E63"/>
    <w:rsid w:val="00BF12A3"/>
    <w:rsid w:val="00BF16D7"/>
    <w:rsid w:val="00BF2373"/>
    <w:rsid w:val="00C02798"/>
    <w:rsid w:val="00C03575"/>
    <w:rsid w:val="00C044E2"/>
    <w:rsid w:val="00C048CB"/>
    <w:rsid w:val="00C066F3"/>
    <w:rsid w:val="00C1322C"/>
    <w:rsid w:val="00C36CA5"/>
    <w:rsid w:val="00C463DD"/>
    <w:rsid w:val="00C745C3"/>
    <w:rsid w:val="00C7505F"/>
    <w:rsid w:val="00CA24A4"/>
    <w:rsid w:val="00CB2C82"/>
    <w:rsid w:val="00CB348D"/>
    <w:rsid w:val="00CC3874"/>
    <w:rsid w:val="00CD46F5"/>
    <w:rsid w:val="00CE121B"/>
    <w:rsid w:val="00CE1BB5"/>
    <w:rsid w:val="00CE4A8F"/>
    <w:rsid w:val="00CF071D"/>
    <w:rsid w:val="00D008BC"/>
    <w:rsid w:val="00D010D0"/>
    <w:rsid w:val="00D15B04"/>
    <w:rsid w:val="00D2031B"/>
    <w:rsid w:val="00D25AC4"/>
    <w:rsid w:val="00D25FE2"/>
    <w:rsid w:val="00D30AAE"/>
    <w:rsid w:val="00D37DA9"/>
    <w:rsid w:val="00D406A7"/>
    <w:rsid w:val="00D425D3"/>
    <w:rsid w:val="00D43252"/>
    <w:rsid w:val="00D44D86"/>
    <w:rsid w:val="00D50B7D"/>
    <w:rsid w:val="00D52012"/>
    <w:rsid w:val="00D704E5"/>
    <w:rsid w:val="00D72727"/>
    <w:rsid w:val="00D978C6"/>
    <w:rsid w:val="00DA0956"/>
    <w:rsid w:val="00DA357F"/>
    <w:rsid w:val="00DA3E12"/>
    <w:rsid w:val="00DA7C3B"/>
    <w:rsid w:val="00DC18AD"/>
    <w:rsid w:val="00DE33DA"/>
    <w:rsid w:val="00DF7CAE"/>
    <w:rsid w:val="00E057E1"/>
    <w:rsid w:val="00E423C0"/>
    <w:rsid w:val="00E45768"/>
    <w:rsid w:val="00E50BCC"/>
    <w:rsid w:val="00E54063"/>
    <w:rsid w:val="00E6414C"/>
    <w:rsid w:val="00E7260F"/>
    <w:rsid w:val="00E8702D"/>
    <w:rsid w:val="00E916A9"/>
    <w:rsid w:val="00E916DE"/>
    <w:rsid w:val="00E925AD"/>
    <w:rsid w:val="00E926B6"/>
    <w:rsid w:val="00E96630"/>
    <w:rsid w:val="00EA06CE"/>
    <w:rsid w:val="00ED18DC"/>
    <w:rsid w:val="00ED21F5"/>
    <w:rsid w:val="00ED6201"/>
    <w:rsid w:val="00ED7A2A"/>
    <w:rsid w:val="00EE2D75"/>
    <w:rsid w:val="00EE3CEC"/>
    <w:rsid w:val="00EE5312"/>
    <w:rsid w:val="00EF13E4"/>
    <w:rsid w:val="00EF1D7F"/>
    <w:rsid w:val="00F0137E"/>
    <w:rsid w:val="00F20368"/>
    <w:rsid w:val="00F21786"/>
    <w:rsid w:val="00F32178"/>
    <w:rsid w:val="00F3742B"/>
    <w:rsid w:val="00F3776D"/>
    <w:rsid w:val="00F40033"/>
    <w:rsid w:val="00F41FDB"/>
    <w:rsid w:val="00F507EC"/>
    <w:rsid w:val="00F56D63"/>
    <w:rsid w:val="00F609A9"/>
    <w:rsid w:val="00F627F3"/>
    <w:rsid w:val="00F77A70"/>
    <w:rsid w:val="00F80C99"/>
    <w:rsid w:val="00F867EC"/>
    <w:rsid w:val="00F902FB"/>
    <w:rsid w:val="00F91B2B"/>
    <w:rsid w:val="00F946AB"/>
    <w:rsid w:val="00F95C74"/>
    <w:rsid w:val="00FA51B3"/>
    <w:rsid w:val="00FB5D98"/>
    <w:rsid w:val="00FC03CD"/>
    <w:rsid w:val="00FC0646"/>
    <w:rsid w:val="00FC68B7"/>
    <w:rsid w:val="00FE6985"/>
    <w:rsid w:val="00FE6E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6E6ED"/>
  <w15:docId w15:val="{5026AF50-2E17-452A-8CEB-DC9A9382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TextChar">
    <w:name w:val="Footnote Text Char"/>
    <w:aliases w:val="5_G Char,Fußnote Char,Footnote Text Char Char Char,single space Char,footnote text Char"/>
    <w:link w:val="FootnoteText"/>
    <w:uiPriority w:val="99"/>
    <w:rsid w:val="00393568"/>
    <w:rPr>
      <w:sz w:val="18"/>
      <w:lang w:eastAsia="en-US"/>
    </w:rPr>
  </w:style>
  <w:style w:type="paragraph" w:styleId="BalloonText">
    <w:name w:val="Balloon Text"/>
    <w:basedOn w:val="Normal"/>
    <w:link w:val="BalloonTextChar"/>
    <w:rsid w:val="003830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383043"/>
    <w:rPr>
      <w:rFonts w:ascii="Segoe UI" w:hAnsi="Segoe UI" w:cs="Segoe UI"/>
      <w:sz w:val="18"/>
      <w:szCs w:val="18"/>
      <w:lang w:eastAsia="en-US"/>
    </w:rPr>
  </w:style>
  <w:style w:type="character" w:styleId="CommentReference">
    <w:name w:val="annotation reference"/>
    <w:basedOn w:val="DefaultParagraphFont"/>
    <w:semiHidden/>
    <w:unhideWhenUsed/>
    <w:rsid w:val="00582EDC"/>
    <w:rPr>
      <w:sz w:val="16"/>
      <w:szCs w:val="16"/>
    </w:rPr>
  </w:style>
  <w:style w:type="paragraph" w:styleId="CommentText">
    <w:name w:val="annotation text"/>
    <w:basedOn w:val="Normal"/>
    <w:link w:val="CommentTextChar"/>
    <w:semiHidden/>
    <w:unhideWhenUsed/>
    <w:rsid w:val="00582EDC"/>
    <w:pPr>
      <w:spacing w:line="240" w:lineRule="auto"/>
    </w:pPr>
  </w:style>
  <w:style w:type="character" w:customStyle="1" w:styleId="CommentTextChar">
    <w:name w:val="Comment Text Char"/>
    <w:basedOn w:val="DefaultParagraphFont"/>
    <w:link w:val="CommentText"/>
    <w:semiHidden/>
    <w:rsid w:val="00582EDC"/>
    <w:rPr>
      <w:lang w:eastAsia="en-US"/>
    </w:rPr>
  </w:style>
  <w:style w:type="paragraph" w:styleId="CommentSubject">
    <w:name w:val="annotation subject"/>
    <w:basedOn w:val="CommentText"/>
    <w:next w:val="CommentText"/>
    <w:link w:val="CommentSubjectChar"/>
    <w:semiHidden/>
    <w:unhideWhenUsed/>
    <w:rsid w:val="00582EDC"/>
    <w:rPr>
      <w:b/>
      <w:bCs/>
    </w:rPr>
  </w:style>
  <w:style w:type="character" w:customStyle="1" w:styleId="CommentSubjectChar">
    <w:name w:val="Comment Subject Char"/>
    <w:basedOn w:val="CommentTextChar"/>
    <w:link w:val="CommentSubject"/>
    <w:semiHidden/>
    <w:rsid w:val="00582EDC"/>
    <w:rPr>
      <w:b/>
      <w:bCs/>
      <w:lang w:eastAsia="en-US"/>
    </w:rPr>
  </w:style>
  <w:style w:type="paragraph" w:styleId="Revision">
    <w:name w:val="Revision"/>
    <w:hidden/>
    <w:uiPriority w:val="99"/>
    <w:semiHidden/>
    <w:rsid w:val="00582EDC"/>
    <w:rPr>
      <w:lang w:eastAsia="en-US"/>
    </w:rPr>
  </w:style>
  <w:style w:type="paragraph" w:styleId="Caption">
    <w:name w:val="caption"/>
    <w:basedOn w:val="Normal"/>
    <w:next w:val="Normal"/>
    <w:unhideWhenUsed/>
    <w:qFormat/>
    <w:rsid w:val="00EE5312"/>
    <w:pPr>
      <w:spacing w:after="200" w:line="240" w:lineRule="auto"/>
    </w:pPr>
    <w:rPr>
      <w:b/>
      <w:bCs/>
      <w:color w:val="4F81BD" w:themeColor="accent1"/>
      <w:sz w:val="18"/>
      <w:szCs w:val="18"/>
    </w:rPr>
  </w:style>
  <w:style w:type="character" w:customStyle="1" w:styleId="SingleTxtGChar">
    <w:name w:val="_ Single Txt_G Char"/>
    <w:link w:val="SingleTxtG"/>
    <w:rsid w:val="00334D2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AppData\Roaming\Microsoft\Templates\ECE+PlainPage\ECE_E.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oleObject" Target="file:///F:\Zaal%2012%20A\UNECE\Meetings%20&amp;%20Conferences\2019.01.27-29%20CEP-24\Reporting%20on%20initiatives\BIG-E\Paper\Graphs%20for%20the%20paper%2011.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Zaal%2012%20A\UNECE\Meetings%20&amp;%20Conferences\2019.01.27-29%20CEP-24\Reporting%20on%20initiatives\BIG-E\Paper\Graphs%20for%20the%20paper%2011.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2514851168718055E-2"/>
          <c:y val="4.615543974825604E-2"/>
          <c:w val="0.7008002771744235"/>
          <c:h val="0.66598591842686328"/>
        </c:manualLayout>
      </c:layout>
      <c:barChart>
        <c:barDir val="col"/>
        <c:grouping val="stacked"/>
        <c:varyColors val="0"/>
        <c:ser>
          <c:idx val="2"/>
          <c:order val="0"/>
          <c:tx>
            <c:strRef>
              <c:f>'Participation and reporting'!$B$6</c:f>
              <c:strCache>
                <c:ptCount val="1"/>
                <c:pt idx="0">
                  <c:v>UNECE member States participating and reporting</c:v>
                </c:pt>
              </c:strCache>
            </c:strRef>
          </c:tx>
          <c:spPr>
            <a:solidFill>
              <a:schemeClr val="accent5">
                <a:lumMod val="75000"/>
              </a:schemeClr>
            </a:solidFill>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00CE-4857-9AD9-520102170732}"/>
                </c:ext>
              </c:extLst>
            </c:dLbl>
            <c:dLbl>
              <c:idx val="3"/>
              <c:delete val="1"/>
              <c:extLst>
                <c:ext xmlns:c15="http://schemas.microsoft.com/office/drawing/2012/chart" uri="{CE6537A1-D6FC-4f65-9D91-7224C49458BB}"/>
                <c:ext xmlns:c16="http://schemas.microsoft.com/office/drawing/2014/chart" uri="{C3380CC4-5D6E-409C-BE32-E72D297353CC}">
                  <c16:uniqueId val="{00000001-00CE-4857-9AD9-52010217073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'Participation and reporting'!$C$4:$G$4</c:f>
              <c:strCache>
                <c:ptCount val="5"/>
                <c:pt idx="0">
                  <c:v>EU</c:v>
                </c:pt>
                <c:pt idx="1">
                  <c:v>Eastern Europe, Caucasus, and Central Asia</c:v>
                </c:pt>
                <c:pt idx="2">
                  <c:v>South-Eastern Europe (non-EU)</c:v>
                </c:pt>
                <c:pt idx="3">
                  <c:v>North America</c:v>
                </c:pt>
                <c:pt idx="4">
                  <c:v>Other member States</c:v>
                </c:pt>
              </c:strCache>
            </c:strRef>
          </c:cat>
          <c:val>
            <c:numRef>
              <c:f>'Participation and reporting'!$C$6:$G$6</c:f>
              <c:numCache>
                <c:formatCode>General</c:formatCode>
                <c:ptCount val="5"/>
                <c:pt idx="0">
                  <c:v>16</c:v>
                </c:pt>
                <c:pt idx="1">
                  <c:v>6</c:v>
                </c:pt>
                <c:pt idx="2">
                  <c:v>0</c:v>
                </c:pt>
                <c:pt idx="3">
                  <c:v>0</c:v>
                </c:pt>
                <c:pt idx="4">
                  <c:v>1</c:v>
                </c:pt>
              </c:numCache>
            </c:numRef>
          </c:val>
          <c:extLst>
            <c:ext xmlns:c16="http://schemas.microsoft.com/office/drawing/2014/chart" uri="{C3380CC4-5D6E-409C-BE32-E72D297353CC}">
              <c16:uniqueId val="{00000002-00CE-4857-9AD9-520102170732}"/>
            </c:ext>
          </c:extLst>
        </c:ser>
        <c:ser>
          <c:idx val="0"/>
          <c:order val="1"/>
          <c:tx>
            <c:strRef>
              <c:f>'Participation and reporting'!$B$7</c:f>
              <c:strCache>
                <c:ptCount val="1"/>
                <c:pt idx="0">
                  <c:v>UNECE member States participating but not yet reporting</c:v>
                </c:pt>
              </c:strCache>
            </c:strRef>
          </c:tx>
          <c:spPr>
            <a:solidFill>
              <a:schemeClr val="accent5">
                <a:lumMod val="60000"/>
                <a:lumOff val="40000"/>
              </a:schemeClr>
            </a:solidFill>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3-00CE-4857-9AD9-520102170732}"/>
                </c:ext>
              </c:extLst>
            </c:dLbl>
            <c:dLbl>
              <c:idx val="3"/>
              <c:delete val="1"/>
              <c:extLst>
                <c:ext xmlns:c15="http://schemas.microsoft.com/office/drawing/2012/chart" uri="{CE6537A1-D6FC-4f65-9D91-7224C49458BB}"/>
                <c:ext xmlns:c16="http://schemas.microsoft.com/office/drawing/2014/chart" uri="{C3380CC4-5D6E-409C-BE32-E72D297353CC}">
                  <c16:uniqueId val="{00000004-00CE-4857-9AD9-520102170732}"/>
                </c:ext>
              </c:extLst>
            </c:dLbl>
            <c:dLbl>
              <c:idx val="4"/>
              <c:delete val="1"/>
              <c:extLst>
                <c:ext xmlns:c15="http://schemas.microsoft.com/office/drawing/2012/chart" uri="{CE6537A1-D6FC-4f65-9D91-7224C49458BB}"/>
                <c:ext xmlns:c16="http://schemas.microsoft.com/office/drawing/2014/chart" uri="{C3380CC4-5D6E-409C-BE32-E72D297353CC}">
                  <c16:uniqueId val="{00000005-00CE-4857-9AD9-52010217073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'Participation and reporting'!$C$4:$G$4</c:f>
              <c:strCache>
                <c:ptCount val="5"/>
                <c:pt idx="0">
                  <c:v>EU</c:v>
                </c:pt>
                <c:pt idx="1">
                  <c:v>Eastern Europe, Caucasus, and Central Asia</c:v>
                </c:pt>
                <c:pt idx="2">
                  <c:v>South-Eastern Europe (non-EU)</c:v>
                </c:pt>
                <c:pt idx="3">
                  <c:v>North America</c:v>
                </c:pt>
                <c:pt idx="4">
                  <c:v>Other member States</c:v>
                </c:pt>
              </c:strCache>
            </c:strRef>
          </c:cat>
          <c:val>
            <c:numRef>
              <c:f>'Participation and reporting'!$C$7:$G$7</c:f>
              <c:numCache>
                <c:formatCode>General</c:formatCode>
                <c:ptCount val="5"/>
                <c:pt idx="0">
                  <c:v>2</c:v>
                </c:pt>
                <c:pt idx="1">
                  <c:v>2</c:v>
                </c:pt>
                <c:pt idx="2">
                  <c:v>0</c:v>
                </c:pt>
                <c:pt idx="3">
                  <c:v>0</c:v>
                </c:pt>
                <c:pt idx="4">
                  <c:v>0</c:v>
                </c:pt>
              </c:numCache>
            </c:numRef>
          </c:val>
          <c:extLst>
            <c:ext xmlns:c16="http://schemas.microsoft.com/office/drawing/2014/chart" uri="{C3380CC4-5D6E-409C-BE32-E72D297353CC}">
              <c16:uniqueId val="{00000006-00CE-4857-9AD9-520102170732}"/>
            </c:ext>
          </c:extLst>
        </c:ser>
        <c:ser>
          <c:idx val="1"/>
          <c:order val="2"/>
          <c:tx>
            <c:strRef>
              <c:f>'Participation and reporting'!$B$8</c:f>
              <c:strCache>
                <c:ptCount val="1"/>
                <c:pt idx="0">
                  <c:v>UNECE member States not yet participating</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'Participation and reporting'!$C$4:$G$4</c:f>
              <c:strCache>
                <c:ptCount val="5"/>
                <c:pt idx="0">
                  <c:v>EU</c:v>
                </c:pt>
                <c:pt idx="1">
                  <c:v>Eastern Europe, Caucasus, and Central Asia</c:v>
                </c:pt>
                <c:pt idx="2">
                  <c:v>South-Eastern Europe (non-EU)</c:v>
                </c:pt>
                <c:pt idx="3">
                  <c:v>North America</c:v>
                </c:pt>
                <c:pt idx="4">
                  <c:v>Other member States</c:v>
                </c:pt>
              </c:strCache>
            </c:strRef>
          </c:cat>
          <c:val>
            <c:numRef>
              <c:f>'Participation and reporting'!$C$8:$G$8</c:f>
              <c:numCache>
                <c:formatCode>General</c:formatCode>
                <c:ptCount val="5"/>
                <c:pt idx="0">
                  <c:v>10</c:v>
                </c:pt>
                <c:pt idx="1">
                  <c:v>3</c:v>
                </c:pt>
                <c:pt idx="2">
                  <c:v>5</c:v>
                </c:pt>
                <c:pt idx="3">
                  <c:v>2</c:v>
                </c:pt>
                <c:pt idx="4">
                  <c:v>9</c:v>
                </c:pt>
              </c:numCache>
            </c:numRef>
          </c:val>
          <c:extLst>
            <c:ext xmlns:c16="http://schemas.microsoft.com/office/drawing/2014/chart" uri="{C3380CC4-5D6E-409C-BE32-E72D297353CC}">
              <c16:uniqueId val="{00000007-00CE-4857-9AD9-520102170732}"/>
            </c:ext>
          </c:extLst>
        </c:ser>
        <c:dLbls>
          <c:showLegendKey val="0"/>
          <c:showVal val="0"/>
          <c:showCatName val="0"/>
          <c:showSerName val="0"/>
          <c:showPercent val="0"/>
          <c:showBubbleSize val="0"/>
        </c:dLbls>
        <c:gapWidth val="150"/>
        <c:overlap val="100"/>
        <c:axId val="169811456"/>
        <c:axId val="52688512"/>
      </c:barChart>
      <c:catAx>
        <c:axId val="169811456"/>
        <c:scaling>
          <c:orientation val="minMax"/>
        </c:scaling>
        <c:delete val="0"/>
        <c:axPos val="b"/>
        <c:numFmt formatCode="General" sourceLinked="0"/>
        <c:majorTickMark val="out"/>
        <c:minorTickMark val="none"/>
        <c:tickLblPos val="nextTo"/>
        <c:crossAx val="52688512"/>
        <c:crosses val="autoZero"/>
        <c:auto val="1"/>
        <c:lblAlgn val="ctr"/>
        <c:lblOffset val="100"/>
        <c:noMultiLvlLbl val="0"/>
      </c:catAx>
      <c:valAx>
        <c:axId val="52688512"/>
        <c:scaling>
          <c:orientation val="minMax"/>
        </c:scaling>
        <c:delete val="0"/>
        <c:axPos val="l"/>
        <c:majorGridlines/>
        <c:numFmt formatCode="General" sourceLinked="1"/>
        <c:majorTickMark val="out"/>
        <c:minorTickMark val="none"/>
        <c:tickLblPos val="nextTo"/>
        <c:crossAx val="169811456"/>
        <c:crosses val="autoZero"/>
        <c:crossBetween val="between"/>
      </c:valAx>
    </c:plotArea>
    <c:legend>
      <c:legendPos val="r"/>
      <c:layout>
        <c:manualLayout>
          <c:xMode val="edge"/>
          <c:yMode val="edge"/>
          <c:x val="0.77079355320304477"/>
          <c:y val="4.5955021150870495E-2"/>
          <c:w val="0.20644382922454327"/>
          <c:h val="0.90235591213558874"/>
        </c:manualLayout>
      </c:layout>
      <c:overlay val="0"/>
    </c:legend>
    <c:plotVisOnly val="1"/>
    <c:dispBlanksAs val="gap"/>
    <c:showDLblsOverMax val="0"/>
  </c:chart>
  <c:txPr>
    <a:bodyPr/>
    <a:lstStyle/>
    <a:p>
      <a:pPr>
        <a:defRPr sz="9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7752047527578253E-3"/>
          <c:y val="0.14617246014979834"/>
          <c:w val="0.44434023092558117"/>
          <c:h val="0.72670810272884401"/>
        </c:manualLayout>
      </c:layout>
      <c:pieChart>
        <c:varyColors val="1"/>
        <c:ser>
          <c:idx val="0"/>
          <c:order val="0"/>
          <c:spPr>
            <a:ln w="25400" cmpd="sng">
              <a:noFill/>
            </a:ln>
          </c:spPr>
          <c:explosion val="24"/>
          <c:dPt>
            <c:idx val="0"/>
            <c:bubble3D val="0"/>
            <c:spPr>
              <a:solidFill>
                <a:schemeClr val="accent4">
                  <a:lumMod val="75000"/>
                </a:schemeClr>
              </a:solidFill>
              <a:ln w="25400" cmpd="sng">
                <a:noFill/>
              </a:ln>
            </c:spPr>
            <c:extLst>
              <c:ext xmlns:c16="http://schemas.microsoft.com/office/drawing/2014/chart" uri="{C3380CC4-5D6E-409C-BE32-E72D297353CC}">
                <c16:uniqueId val="{00000001-5458-47FE-B92C-580D7D0872AD}"/>
              </c:ext>
            </c:extLst>
          </c:dPt>
          <c:dPt>
            <c:idx val="1"/>
            <c:bubble3D val="0"/>
            <c:spPr>
              <a:solidFill>
                <a:schemeClr val="accent3">
                  <a:lumMod val="50000"/>
                </a:schemeClr>
              </a:solidFill>
              <a:ln w="25400" cmpd="sng">
                <a:noFill/>
              </a:ln>
            </c:spPr>
            <c:extLst>
              <c:ext xmlns:c16="http://schemas.microsoft.com/office/drawing/2014/chart" uri="{C3380CC4-5D6E-409C-BE32-E72D297353CC}">
                <c16:uniqueId val="{00000003-5458-47FE-B92C-580D7D0872AD}"/>
              </c:ext>
            </c:extLst>
          </c:dPt>
          <c:dPt>
            <c:idx val="2"/>
            <c:bubble3D val="0"/>
            <c:spPr>
              <a:solidFill>
                <a:schemeClr val="accent3">
                  <a:lumMod val="75000"/>
                </a:schemeClr>
              </a:solidFill>
              <a:ln w="25400" cmpd="sng">
                <a:noFill/>
              </a:ln>
            </c:spPr>
            <c:extLst>
              <c:ext xmlns:c16="http://schemas.microsoft.com/office/drawing/2014/chart" uri="{C3380CC4-5D6E-409C-BE32-E72D297353CC}">
                <c16:uniqueId val="{00000005-5458-47FE-B92C-580D7D0872AD}"/>
              </c:ext>
            </c:extLst>
          </c:dPt>
          <c:dPt>
            <c:idx val="3"/>
            <c:bubble3D val="0"/>
            <c:spPr>
              <a:solidFill>
                <a:schemeClr val="accent3">
                  <a:lumMod val="60000"/>
                  <a:lumOff val="40000"/>
                </a:schemeClr>
              </a:solidFill>
              <a:ln w="25400" cmpd="sng">
                <a:noFill/>
              </a:ln>
            </c:spPr>
            <c:extLst>
              <c:ext xmlns:c16="http://schemas.microsoft.com/office/drawing/2014/chart" uri="{C3380CC4-5D6E-409C-BE32-E72D297353CC}">
                <c16:uniqueId val="{00000007-5458-47FE-B92C-580D7D0872AD}"/>
              </c:ext>
            </c:extLst>
          </c:dPt>
          <c:dPt>
            <c:idx val="4"/>
            <c:bubble3D val="0"/>
            <c:spPr>
              <a:solidFill>
                <a:schemeClr val="bg2">
                  <a:lumMod val="25000"/>
                </a:schemeClr>
              </a:solidFill>
              <a:ln w="25400" cmpd="sng">
                <a:noFill/>
              </a:ln>
            </c:spPr>
            <c:extLst>
              <c:ext xmlns:c16="http://schemas.microsoft.com/office/drawing/2014/chart" uri="{C3380CC4-5D6E-409C-BE32-E72D297353CC}">
                <c16:uniqueId val="{00000009-5458-47FE-B92C-580D7D0872AD}"/>
              </c:ext>
            </c:extLst>
          </c:dPt>
          <c:dPt>
            <c:idx val="5"/>
            <c:bubble3D val="0"/>
            <c:spPr>
              <a:solidFill>
                <a:schemeClr val="bg2">
                  <a:lumMod val="50000"/>
                </a:schemeClr>
              </a:solidFill>
              <a:ln w="25400" cmpd="sng">
                <a:noFill/>
              </a:ln>
            </c:spPr>
            <c:extLst>
              <c:ext xmlns:c16="http://schemas.microsoft.com/office/drawing/2014/chart" uri="{C3380CC4-5D6E-409C-BE32-E72D297353CC}">
                <c16:uniqueId val="{0000000B-5458-47FE-B92C-580D7D0872AD}"/>
              </c:ext>
            </c:extLst>
          </c:dPt>
          <c:dPt>
            <c:idx val="6"/>
            <c:bubble3D val="0"/>
            <c:spPr>
              <a:solidFill>
                <a:schemeClr val="bg2">
                  <a:lumMod val="75000"/>
                </a:schemeClr>
              </a:solidFill>
              <a:ln w="25400" cmpd="sng">
                <a:noFill/>
              </a:ln>
            </c:spPr>
            <c:extLst>
              <c:ext xmlns:c16="http://schemas.microsoft.com/office/drawing/2014/chart" uri="{C3380CC4-5D6E-409C-BE32-E72D297353CC}">
                <c16:uniqueId val="{0000000D-5458-47FE-B92C-580D7D0872AD}"/>
              </c:ext>
            </c:extLst>
          </c:dPt>
          <c:dPt>
            <c:idx val="7"/>
            <c:bubble3D val="0"/>
            <c:spPr>
              <a:solidFill>
                <a:schemeClr val="accent1">
                  <a:lumMod val="75000"/>
                </a:schemeClr>
              </a:solidFill>
              <a:ln w="25400" cmpd="sng">
                <a:noFill/>
              </a:ln>
            </c:spPr>
            <c:extLst>
              <c:ext xmlns:c16="http://schemas.microsoft.com/office/drawing/2014/chart" uri="{C3380CC4-5D6E-409C-BE32-E72D297353CC}">
                <c16:uniqueId val="{0000000F-5458-47FE-B92C-580D7D0872AD}"/>
              </c:ext>
            </c:extLst>
          </c:dPt>
          <c:dPt>
            <c:idx val="8"/>
            <c:bubble3D val="0"/>
            <c:spPr>
              <a:solidFill>
                <a:schemeClr val="accent1">
                  <a:lumMod val="60000"/>
                  <a:lumOff val="40000"/>
                </a:schemeClr>
              </a:solidFill>
              <a:ln w="25400" cmpd="sng">
                <a:noFill/>
              </a:ln>
            </c:spPr>
            <c:extLst>
              <c:ext xmlns:c16="http://schemas.microsoft.com/office/drawing/2014/chart" uri="{C3380CC4-5D6E-409C-BE32-E72D297353CC}">
                <c16:uniqueId val="{00000011-5458-47FE-B92C-580D7D0872AD}"/>
              </c:ext>
            </c:extLst>
          </c:dPt>
          <c:dPt>
            <c:idx val="9"/>
            <c:bubble3D val="0"/>
            <c:spPr>
              <a:solidFill>
                <a:schemeClr val="accent1">
                  <a:lumMod val="40000"/>
                  <a:lumOff val="60000"/>
                </a:schemeClr>
              </a:solidFill>
              <a:ln w="25400" cmpd="sng">
                <a:noFill/>
              </a:ln>
            </c:spPr>
            <c:extLst>
              <c:ext xmlns:c16="http://schemas.microsoft.com/office/drawing/2014/chart" uri="{C3380CC4-5D6E-409C-BE32-E72D297353CC}">
                <c16:uniqueId val="{00000013-5458-47FE-B92C-580D7D0872AD}"/>
              </c:ext>
            </c:extLst>
          </c:dPt>
          <c:dLbls>
            <c:dLbl>
              <c:idx val="4"/>
              <c:layout>
                <c:manualLayout>
                  <c:x val="3.7166311692395766E-2"/>
                  <c:y val="-2.0883256767094894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5458-47FE-B92C-580D7D0872AD}"/>
                </c:ext>
              </c:extLst>
            </c:dLbl>
            <c:spPr>
              <a:noFill/>
              <a:ln>
                <a:noFill/>
              </a:ln>
              <a:effectLst/>
            </c:spPr>
            <c:txPr>
              <a:bodyPr/>
              <a:lstStyle/>
              <a:p>
                <a:pPr>
                  <a:defRPr sz="1200" b="0"/>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'Focus areas &amp; Objectives'!$C$3:$L$3</c:f>
              <c:strCache>
                <c:ptCount val="10"/>
                <c:pt idx="0">
                  <c:v>Overarching actions</c:v>
                </c:pt>
                <c:pt idx="1">
                  <c:v>I.1. Improve the measurement and valuation of natural capital</c:v>
                </c:pt>
                <c:pt idx="2">
                  <c:v>I.2. Promote the internalization of negative externalities and the sustainable use of natural capital</c:v>
                </c:pt>
                <c:pt idx="3">
                  <c:v>I.3. Enhance ecosystems and ecosystem services as part of ecological infrastructure;</c:v>
                </c:pt>
                <c:pt idx="4">
                  <c:v>II.1. Shift consumer behaviours towards sustainable consumptionpatterns</c:v>
                </c:pt>
                <c:pt idx="5">
                  <c:v>II.2. Develop clean physical capital for sustainable production patterns</c:v>
                </c:pt>
                <c:pt idx="6">
                  <c:v>II.3. Promote green and fair trade</c:v>
                </c:pt>
                <c:pt idx="7">
                  <c:v>III.1. Increase green and decent jobs, while developing the necessary human capital</c:v>
                </c:pt>
                <c:pt idx="8">
                  <c:v>III.2. Improve access to services, healthy living and well-being</c:v>
                </c:pt>
                <c:pt idx="9">
                  <c:v>III.3. Promote public participation and education for sustainable development</c:v>
                </c:pt>
              </c:strCache>
            </c:strRef>
          </c:cat>
          <c:val>
            <c:numRef>
              <c:f>'Focus areas &amp; Objectives'!$C$4:$L$4</c:f>
              <c:numCache>
                <c:formatCode>General</c:formatCode>
                <c:ptCount val="10"/>
                <c:pt idx="0">
                  <c:v>11</c:v>
                </c:pt>
                <c:pt idx="1">
                  <c:v>25</c:v>
                </c:pt>
                <c:pt idx="2">
                  <c:v>32</c:v>
                </c:pt>
                <c:pt idx="3">
                  <c:v>16</c:v>
                </c:pt>
                <c:pt idx="4">
                  <c:v>42</c:v>
                </c:pt>
                <c:pt idx="5">
                  <c:v>49</c:v>
                </c:pt>
                <c:pt idx="6">
                  <c:v>14</c:v>
                </c:pt>
                <c:pt idx="7">
                  <c:v>12</c:v>
                </c:pt>
                <c:pt idx="8">
                  <c:v>17</c:v>
                </c:pt>
                <c:pt idx="9">
                  <c:v>19</c:v>
                </c:pt>
              </c:numCache>
            </c:numRef>
          </c:val>
          <c:extLst>
            <c:ext xmlns:c16="http://schemas.microsoft.com/office/drawing/2014/chart" uri="{C3380CC4-5D6E-409C-BE32-E72D297353CC}">
              <c16:uniqueId val="{00000014-5458-47FE-B92C-580D7D0872A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44680427854288629"/>
          <c:y val="4.4555406183983265E-4"/>
          <c:w val="0.55222214630980226"/>
          <c:h val="0.99944796907788835"/>
        </c:manualLayout>
      </c:layout>
      <c:overlay val="0"/>
      <c:txPr>
        <a:bodyPr/>
        <a:lstStyle/>
        <a:p>
          <a:pPr algn="l">
            <a:defRPr sz="800"/>
          </a:pPr>
          <a:endParaRPr lang="en-US"/>
        </a:p>
      </c:txPr>
    </c:legend>
    <c:plotVisOnly val="1"/>
    <c:dispBlanksAs val="gap"/>
    <c:showDLblsOverMax val="0"/>
  </c:chart>
  <c:spPr>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023570583088879E-3"/>
          <c:y val="2.9498396033829106E-2"/>
          <c:w val="0.48491941181149145"/>
          <c:h val="0.94458260425780116"/>
        </c:manualLayout>
      </c:layout>
      <c:doughnutChart>
        <c:varyColors val="1"/>
        <c:ser>
          <c:idx val="0"/>
          <c:order val="0"/>
          <c:dPt>
            <c:idx val="0"/>
            <c:bubble3D val="0"/>
            <c:spPr>
              <a:solidFill>
                <a:schemeClr val="accent4">
                  <a:lumMod val="75000"/>
                </a:schemeClr>
              </a:solidFill>
            </c:spPr>
            <c:extLst>
              <c:ext xmlns:c16="http://schemas.microsoft.com/office/drawing/2014/chart" uri="{C3380CC4-5D6E-409C-BE32-E72D297353CC}">
                <c16:uniqueId val="{00000001-FDA7-4025-9407-1FF33856EB56}"/>
              </c:ext>
            </c:extLst>
          </c:dPt>
          <c:dPt>
            <c:idx val="1"/>
            <c:bubble3D val="0"/>
            <c:spPr>
              <a:solidFill>
                <a:schemeClr val="accent4">
                  <a:lumMod val="60000"/>
                  <a:lumOff val="40000"/>
                </a:schemeClr>
              </a:solidFill>
            </c:spPr>
            <c:extLst>
              <c:ext xmlns:c16="http://schemas.microsoft.com/office/drawing/2014/chart" uri="{C3380CC4-5D6E-409C-BE32-E72D297353CC}">
                <c16:uniqueId val="{00000003-FDA7-4025-9407-1FF33856EB56}"/>
              </c:ext>
            </c:extLst>
          </c:dPt>
          <c:dPt>
            <c:idx val="2"/>
            <c:bubble3D val="0"/>
            <c:spPr>
              <a:solidFill>
                <a:schemeClr val="accent5">
                  <a:lumMod val="75000"/>
                </a:schemeClr>
              </a:solidFill>
            </c:spPr>
            <c:extLst>
              <c:ext xmlns:c16="http://schemas.microsoft.com/office/drawing/2014/chart" uri="{C3380CC4-5D6E-409C-BE32-E72D297353CC}">
                <c16:uniqueId val="{00000005-FDA7-4025-9407-1FF33856EB56}"/>
              </c:ext>
            </c:extLst>
          </c:dPt>
          <c:dPt>
            <c:idx val="3"/>
            <c:bubble3D val="0"/>
            <c:spPr>
              <a:solidFill>
                <a:schemeClr val="accent5">
                  <a:lumMod val="60000"/>
                  <a:lumOff val="40000"/>
                </a:schemeClr>
              </a:solidFill>
            </c:spPr>
            <c:extLst>
              <c:ext xmlns:c16="http://schemas.microsoft.com/office/drawing/2014/chart" uri="{C3380CC4-5D6E-409C-BE32-E72D297353CC}">
                <c16:uniqueId val="{00000007-FDA7-4025-9407-1FF33856EB56}"/>
              </c:ext>
            </c:extLst>
          </c:dPt>
          <c:dPt>
            <c:idx val="4"/>
            <c:bubble3D val="0"/>
            <c:spPr>
              <a:solidFill>
                <a:schemeClr val="accent3">
                  <a:lumMod val="75000"/>
                </a:schemeClr>
              </a:solidFill>
            </c:spPr>
            <c:extLst>
              <c:ext xmlns:c16="http://schemas.microsoft.com/office/drawing/2014/chart" uri="{C3380CC4-5D6E-409C-BE32-E72D297353CC}">
                <c16:uniqueId val="{00000009-FDA7-4025-9407-1FF33856EB56}"/>
              </c:ext>
            </c:extLst>
          </c:dPt>
          <c:dPt>
            <c:idx val="5"/>
            <c:bubble3D val="0"/>
            <c:spPr>
              <a:solidFill>
                <a:schemeClr val="accent3">
                  <a:lumMod val="60000"/>
                  <a:lumOff val="40000"/>
                </a:schemeClr>
              </a:solidFill>
            </c:spPr>
            <c:extLst>
              <c:ext xmlns:c16="http://schemas.microsoft.com/office/drawing/2014/chart" uri="{C3380CC4-5D6E-409C-BE32-E72D297353CC}">
                <c16:uniqueId val="{0000000B-FDA7-4025-9407-1FF33856EB56}"/>
              </c:ext>
            </c:extLst>
          </c:dPt>
          <c:dLbls>
            <c:spPr>
              <a:noFill/>
              <a:ln>
                <a:noFill/>
              </a:ln>
              <a:effectLst/>
            </c:sp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'Action types'!$N$2:$S$2</c:f>
              <c:strCache>
                <c:ptCount val="6"/>
                <c:pt idx="0">
                  <c:v>(a) legal, regulatory and policy instruments (Government)</c:v>
                </c:pt>
                <c:pt idx="1">
                  <c:v>(a) (Non-government)</c:v>
                </c:pt>
                <c:pt idx="2">
                  <c:v>(b) economy and fiscal instruments (Government)</c:v>
                </c:pt>
                <c:pt idx="3">
                  <c:v>(b) (Non-government)</c:v>
                </c:pt>
                <c:pt idx="4">
                  <c:v>(c) information, education-based, capacity-building and voluntary instruments (Government)</c:v>
                </c:pt>
                <c:pt idx="5">
                  <c:v>(c) (Non-government)</c:v>
                </c:pt>
              </c:strCache>
            </c:strRef>
          </c:cat>
          <c:val>
            <c:numRef>
              <c:f>'Action types'!$N$3:$S$3</c:f>
              <c:numCache>
                <c:formatCode>General</c:formatCode>
                <c:ptCount val="6"/>
                <c:pt idx="0">
                  <c:v>55</c:v>
                </c:pt>
                <c:pt idx="1">
                  <c:v>9</c:v>
                </c:pt>
                <c:pt idx="2">
                  <c:v>27</c:v>
                </c:pt>
                <c:pt idx="3">
                  <c:v>2</c:v>
                </c:pt>
                <c:pt idx="4">
                  <c:v>41</c:v>
                </c:pt>
                <c:pt idx="5">
                  <c:v>33</c:v>
                </c:pt>
              </c:numCache>
            </c:numRef>
          </c:val>
          <c:extLst>
            <c:ext xmlns:c16="http://schemas.microsoft.com/office/drawing/2014/chart" uri="{C3380CC4-5D6E-409C-BE32-E72D297353CC}">
              <c16:uniqueId val="{0000000C-FDA7-4025-9407-1FF33856EB56}"/>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4512225851085766"/>
          <c:y val="6.545218076801561E-3"/>
          <c:w val="0.54500778923495941"/>
          <c:h val="0.95869386118401845"/>
        </c:manualLayout>
      </c:layout>
      <c:overlay val="0"/>
    </c:legend>
    <c:plotVisOnly val="1"/>
    <c:dispBlanksAs val="gap"/>
    <c:showDLblsOverMax val="0"/>
  </c:chart>
  <c:txPr>
    <a:bodyPr/>
    <a:lstStyle/>
    <a:p>
      <a:pPr>
        <a:defRPr sz="9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'Econ Sectors'!$A$13</c:f>
              <c:strCache>
                <c:ptCount val="1"/>
                <c:pt idx="0">
                  <c:v>Government</c:v>
                </c:pt>
              </c:strCache>
            </c:strRef>
          </c:tx>
          <c:spPr>
            <a:solidFill>
              <a:schemeClr val="accent5">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'Econ Sectors'!$B$11:$N$11</c:f>
              <c:strCache>
                <c:ptCount val="13"/>
                <c:pt idx="0">
                  <c:v>(a) Economy-wide</c:v>
                </c:pt>
                <c:pt idx="1">
                  <c:v>(b) Cities</c:v>
                </c:pt>
                <c:pt idx="2">
                  <c:v>Agriculture</c:v>
                </c:pt>
                <c:pt idx="3">
                  <c:v>Forestry and fishing</c:v>
                </c:pt>
                <c:pt idx="4">
                  <c:v>Energy</c:v>
                </c:pt>
                <c:pt idx="5">
                  <c:v>Mining</c:v>
                </c:pt>
                <c:pt idx="6">
                  <c:v>Manufacturing</c:v>
                </c:pt>
                <c:pt idx="7">
                  <c:v>Transport</c:v>
                </c:pt>
                <c:pt idx="8">
                  <c:v>Water</c:v>
                </c:pt>
                <c:pt idx="9">
                  <c:v>Waste</c:v>
                </c:pt>
                <c:pt idx="10">
                  <c:v>Tourism</c:v>
                </c:pt>
                <c:pt idx="11">
                  <c:v>Housing, buildings &amp; construction</c:v>
                </c:pt>
                <c:pt idx="12">
                  <c:v>Other</c:v>
                </c:pt>
              </c:strCache>
            </c:strRef>
          </c:cat>
          <c:val>
            <c:numRef>
              <c:f>'Econ Sectors'!$B$13:$N$13</c:f>
              <c:numCache>
                <c:formatCode>General</c:formatCode>
                <c:ptCount val="13"/>
                <c:pt idx="0">
                  <c:v>53</c:v>
                </c:pt>
                <c:pt idx="1">
                  <c:v>4</c:v>
                </c:pt>
                <c:pt idx="2">
                  <c:v>13</c:v>
                </c:pt>
                <c:pt idx="3">
                  <c:v>6</c:v>
                </c:pt>
                <c:pt idx="4">
                  <c:v>15</c:v>
                </c:pt>
                <c:pt idx="5">
                  <c:v>3</c:v>
                </c:pt>
                <c:pt idx="6">
                  <c:v>6</c:v>
                </c:pt>
                <c:pt idx="7">
                  <c:v>12</c:v>
                </c:pt>
                <c:pt idx="8">
                  <c:v>10</c:v>
                </c:pt>
                <c:pt idx="9">
                  <c:v>9</c:v>
                </c:pt>
                <c:pt idx="10">
                  <c:v>5</c:v>
                </c:pt>
                <c:pt idx="11">
                  <c:v>9</c:v>
                </c:pt>
                <c:pt idx="12">
                  <c:v>8</c:v>
                </c:pt>
              </c:numCache>
            </c:numRef>
          </c:val>
          <c:extLst>
            <c:ext xmlns:c16="http://schemas.microsoft.com/office/drawing/2014/chart" uri="{C3380CC4-5D6E-409C-BE32-E72D297353CC}">
              <c16:uniqueId val="{00000000-F62C-43C6-910C-E4EEFB3D3B88}"/>
            </c:ext>
          </c:extLst>
        </c:ser>
        <c:ser>
          <c:idx val="1"/>
          <c:order val="1"/>
          <c:tx>
            <c:strRef>
              <c:f>'Econ Sectors'!$A$14</c:f>
              <c:strCache>
                <c:ptCount val="1"/>
                <c:pt idx="0">
                  <c:v>Non-government</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'Econ Sectors'!$B$11:$N$11</c:f>
              <c:strCache>
                <c:ptCount val="13"/>
                <c:pt idx="0">
                  <c:v>(a) Economy-wide</c:v>
                </c:pt>
                <c:pt idx="1">
                  <c:v>(b) Cities</c:v>
                </c:pt>
                <c:pt idx="2">
                  <c:v>Agriculture</c:v>
                </c:pt>
                <c:pt idx="3">
                  <c:v>Forestry and fishing</c:v>
                </c:pt>
                <c:pt idx="4">
                  <c:v>Energy</c:v>
                </c:pt>
                <c:pt idx="5">
                  <c:v>Mining</c:v>
                </c:pt>
                <c:pt idx="6">
                  <c:v>Manufacturing</c:v>
                </c:pt>
                <c:pt idx="7">
                  <c:v>Transport</c:v>
                </c:pt>
                <c:pt idx="8">
                  <c:v>Water</c:v>
                </c:pt>
                <c:pt idx="9">
                  <c:v>Waste</c:v>
                </c:pt>
                <c:pt idx="10">
                  <c:v>Tourism</c:v>
                </c:pt>
                <c:pt idx="11">
                  <c:v>Housing, buildings &amp; construction</c:v>
                </c:pt>
                <c:pt idx="12">
                  <c:v>Other</c:v>
                </c:pt>
              </c:strCache>
            </c:strRef>
          </c:cat>
          <c:val>
            <c:numRef>
              <c:f>'Econ Sectors'!$B$14:$N$14</c:f>
              <c:numCache>
                <c:formatCode>General</c:formatCode>
                <c:ptCount val="13"/>
                <c:pt idx="0">
                  <c:v>15</c:v>
                </c:pt>
                <c:pt idx="1">
                  <c:v>6</c:v>
                </c:pt>
                <c:pt idx="2">
                  <c:v>19</c:v>
                </c:pt>
                <c:pt idx="3">
                  <c:v>15</c:v>
                </c:pt>
                <c:pt idx="4">
                  <c:v>18</c:v>
                </c:pt>
                <c:pt idx="5">
                  <c:v>16</c:v>
                </c:pt>
                <c:pt idx="6">
                  <c:v>20</c:v>
                </c:pt>
                <c:pt idx="7">
                  <c:v>16</c:v>
                </c:pt>
                <c:pt idx="8">
                  <c:v>19</c:v>
                </c:pt>
                <c:pt idx="9">
                  <c:v>18</c:v>
                </c:pt>
                <c:pt idx="10">
                  <c:v>16</c:v>
                </c:pt>
                <c:pt idx="11">
                  <c:v>15</c:v>
                </c:pt>
                <c:pt idx="12">
                  <c:v>18</c:v>
                </c:pt>
              </c:numCache>
            </c:numRef>
          </c:val>
          <c:extLst>
            <c:ext xmlns:c16="http://schemas.microsoft.com/office/drawing/2014/chart" uri="{C3380CC4-5D6E-409C-BE32-E72D297353CC}">
              <c16:uniqueId val="{00000001-F62C-43C6-910C-E4EEFB3D3B88}"/>
            </c:ext>
          </c:extLst>
        </c:ser>
        <c:dLbls>
          <c:showLegendKey val="0"/>
          <c:showVal val="0"/>
          <c:showCatName val="0"/>
          <c:showSerName val="0"/>
          <c:showPercent val="0"/>
          <c:showBubbleSize val="0"/>
        </c:dLbls>
        <c:gapWidth val="150"/>
        <c:overlap val="100"/>
        <c:axId val="216386048"/>
        <c:axId val="53796864"/>
      </c:barChart>
      <c:catAx>
        <c:axId val="216386048"/>
        <c:scaling>
          <c:orientation val="maxMin"/>
        </c:scaling>
        <c:delete val="0"/>
        <c:axPos val="l"/>
        <c:numFmt formatCode="General" sourceLinked="0"/>
        <c:majorTickMark val="out"/>
        <c:minorTickMark val="none"/>
        <c:tickLblPos val="nextTo"/>
        <c:crossAx val="53796864"/>
        <c:crosses val="autoZero"/>
        <c:auto val="1"/>
        <c:lblAlgn val="ctr"/>
        <c:lblOffset val="100"/>
        <c:noMultiLvlLbl val="0"/>
      </c:catAx>
      <c:valAx>
        <c:axId val="53796864"/>
        <c:scaling>
          <c:orientation val="minMax"/>
        </c:scaling>
        <c:delete val="0"/>
        <c:axPos val="t"/>
        <c:majorGridlines/>
        <c:numFmt formatCode="General" sourceLinked="1"/>
        <c:majorTickMark val="out"/>
        <c:minorTickMark val="none"/>
        <c:tickLblPos val="nextTo"/>
        <c:crossAx val="216386048"/>
        <c:crosses val="autoZero"/>
        <c:crossBetween val="between"/>
      </c:valAx>
    </c:plotArea>
    <c:legend>
      <c:legendPos val="b"/>
      <c:overlay val="0"/>
    </c:legend>
    <c:plotVisOnly val="1"/>
    <c:dispBlanksAs val="gap"/>
    <c:showDLblsOverMax val="0"/>
  </c:chart>
  <c:txPr>
    <a:bodyPr/>
    <a:lstStyle/>
    <a:p>
      <a:pPr>
        <a:defRPr sz="9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SDGs!$A$8</c:f>
              <c:strCache>
                <c:ptCount val="1"/>
                <c:pt idx="0">
                  <c:v>Government</c:v>
                </c:pt>
              </c:strCache>
            </c:strRef>
          </c:tx>
          <c:spPr>
            <a:solidFill>
              <a:schemeClr val="accent5">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SDGs!$B$3:$R$3</c:f>
              <c:strCache>
                <c:ptCount val="17"/>
                <c:pt idx="0">
                  <c:v>GOAL 1: No Poverty</c:v>
                </c:pt>
                <c:pt idx="1">
                  <c:v>GOAL 2: Zero Hunger</c:v>
                </c:pt>
                <c:pt idx="2">
                  <c:v>GOAL 3: Good Health and Well-being</c:v>
                </c:pt>
                <c:pt idx="3">
                  <c:v>GOAL 4: Quality Education</c:v>
                </c:pt>
                <c:pt idx="4">
                  <c:v>GOAL 5: Gender Equality</c:v>
                </c:pt>
                <c:pt idx="5">
                  <c:v>GOAL 6: Clean Water and Sanitation</c:v>
                </c:pt>
                <c:pt idx="6">
                  <c:v>GOAL 7: Affordable and Clean Energy</c:v>
                </c:pt>
                <c:pt idx="7">
                  <c:v>GOAL 8: Decent Work and Economic Growth</c:v>
                </c:pt>
                <c:pt idx="8">
                  <c:v>GOAL 9: Industry, Innovation and Infrastructure</c:v>
                </c:pt>
                <c:pt idx="9">
                  <c:v>GOAL 10: Reduced Inequality</c:v>
                </c:pt>
                <c:pt idx="10">
                  <c:v>GOAL 11: Sustainable Cities and Communities</c:v>
                </c:pt>
                <c:pt idx="11">
                  <c:v>GOAL 12: Responsible Consumption and Production</c:v>
                </c:pt>
                <c:pt idx="12">
                  <c:v>GOAL 13: Climate Action</c:v>
                </c:pt>
                <c:pt idx="13">
                  <c:v>GOAL 14: Life Below Water</c:v>
                </c:pt>
                <c:pt idx="14">
                  <c:v>GOAL 15: Life on Land</c:v>
                </c:pt>
                <c:pt idx="15">
                  <c:v>GOAL 16: Peace and Justice Strong Institutions</c:v>
                </c:pt>
                <c:pt idx="16">
                  <c:v>GOAL 17: Partnerships to achieve the Goal</c:v>
                </c:pt>
              </c:strCache>
            </c:strRef>
          </c:cat>
          <c:val>
            <c:numRef>
              <c:f>SDGs!$B$8:$R$8</c:f>
              <c:numCache>
                <c:formatCode>General</c:formatCode>
                <c:ptCount val="17"/>
                <c:pt idx="0">
                  <c:v>4</c:v>
                </c:pt>
                <c:pt idx="1">
                  <c:v>9</c:v>
                </c:pt>
                <c:pt idx="2">
                  <c:v>15</c:v>
                </c:pt>
                <c:pt idx="3">
                  <c:v>6</c:v>
                </c:pt>
                <c:pt idx="4">
                  <c:v>1</c:v>
                </c:pt>
                <c:pt idx="5">
                  <c:v>21</c:v>
                </c:pt>
                <c:pt idx="6">
                  <c:v>33</c:v>
                </c:pt>
                <c:pt idx="7">
                  <c:v>29</c:v>
                </c:pt>
                <c:pt idx="8">
                  <c:v>34</c:v>
                </c:pt>
                <c:pt idx="9">
                  <c:v>3</c:v>
                </c:pt>
                <c:pt idx="10">
                  <c:v>30</c:v>
                </c:pt>
                <c:pt idx="11">
                  <c:v>57</c:v>
                </c:pt>
                <c:pt idx="12">
                  <c:v>31</c:v>
                </c:pt>
                <c:pt idx="13">
                  <c:v>14</c:v>
                </c:pt>
                <c:pt idx="14">
                  <c:v>22</c:v>
                </c:pt>
                <c:pt idx="15">
                  <c:v>8</c:v>
                </c:pt>
                <c:pt idx="16">
                  <c:v>10</c:v>
                </c:pt>
              </c:numCache>
            </c:numRef>
          </c:val>
          <c:extLst>
            <c:ext xmlns:c16="http://schemas.microsoft.com/office/drawing/2014/chart" uri="{C3380CC4-5D6E-409C-BE32-E72D297353CC}">
              <c16:uniqueId val="{00000000-3CB3-4941-8E3E-716A81574CF4}"/>
            </c:ext>
          </c:extLst>
        </c:ser>
        <c:ser>
          <c:idx val="1"/>
          <c:order val="1"/>
          <c:tx>
            <c:strRef>
              <c:f>SDGs!$A$11</c:f>
              <c:strCache>
                <c:ptCount val="1"/>
                <c:pt idx="0">
                  <c:v>Non-Government</c:v>
                </c:pt>
              </c:strCache>
            </c:strRef>
          </c:tx>
          <c:spPr>
            <a:solidFill>
              <a:schemeClr val="accent6">
                <a:lumMod val="60000"/>
                <a:lumOff val="40000"/>
              </a:schemeClr>
            </a:solidFill>
          </c:spPr>
          <c:invertIfNegative val="0"/>
          <c:dLbls>
            <c:dLbl>
              <c:idx val="4"/>
              <c:layout>
                <c:manualLayout>
                  <c:x val="1.3408420488066506E-2"/>
                  <c:y val="3.03981454941946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B3-4941-8E3E-716A81574C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SDGs!$B$3:$R$3</c:f>
              <c:strCache>
                <c:ptCount val="17"/>
                <c:pt idx="0">
                  <c:v>GOAL 1: No Poverty</c:v>
                </c:pt>
                <c:pt idx="1">
                  <c:v>GOAL 2: Zero Hunger</c:v>
                </c:pt>
                <c:pt idx="2">
                  <c:v>GOAL 3: Good Health and Well-being</c:v>
                </c:pt>
                <c:pt idx="3">
                  <c:v>GOAL 4: Quality Education</c:v>
                </c:pt>
                <c:pt idx="4">
                  <c:v>GOAL 5: Gender Equality</c:v>
                </c:pt>
                <c:pt idx="5">
                  <c:v>GOAL 6: Clean Water and Sanitation</c:v>
                </c:pt>
                <c:pt idx="6">
                  <c:v>GOAL 7: Affordable and Clean Energy</c:v>
                </c:pt>
                <c:pt idx="7">
                  <c:v>GOAL 8: Decent Work and Economic Growth</c:v>
                </c:pt>
                <c:pt idx="8">
                  <c:v>GOAL 9: Industry, Innovation and Infrastructure</c:v>
                </c:pt>
                <c:pt idx="9">
                  <c:v>GOAL 10: Reduced Inequality</c:v>
                </c:pt>
                <c:pt idx="10">
                  <c:v>GOAL 11: Sustainable Cities and Communities</c:v>
                </c:pt>
                <c:pt idx="11">
                  <c:v>GOAL 12: Responsible Consumption and Production</c:v>
                </c:pt>
                <c:pt idx="12">
                  <c:v>GOAL 13: Climate Action</c:v>
                </c:pt>
                <c:pt idx="13">
                  <c:v>GOAL 14: Life Below Water</c:v>
                </c:pt>
                <c:pt idx="14">
                  <c:v>GOAL 15: Life on Land</c:v>
                </c:pt>
                <c:pt idx="15">
                  <c:v>GOAL 16: Peace and Justice Strong Institutions</c:v>
                </c:pt>
                <c:pt idx="16">
                  <c:v>GOAL 17: Partnerships to achieve the Goal</c:v>
                </c:pt>
              </c:strCache>
            </c:strRef>
          </c:cat>
          <c:val>
            <c:numRef>
              <c:f>SDGs!$B$11:$R$11</c:f>
              <c:numCache>
                <c:formatCode>General</c:formatCode>
                <c:ptCount val="17"/>
                <c:pt idx="0">
                  <c:v>3</c:v>
                </c:pt>
                <c:pt idx="1">
                  <c:v>6</c:v>
                </c:pt>
                <c:pt idx="2">
                  <c:v>12</c:v>
                </c:pt>
                <c:pt idx="3">
                  <c:v>6</c:v>
                </c:pt>
                <c:pt idx="4">
                  <c:v>0</c:v>
                </c:pt>
                <c:pt idx="5">
                  <c:v>13</c:v>
                </c:pt>
                <c:pt idx="6">
                  <c:v>11</c:v>
                </c:pt>
                <c:pt idx="7">
                  <c:v>11</c:v>
                </c:pt>
                <c:pt idx="8">
                  <c:v>14</c:v>
                </c:pt>
                <c:pt idx="9">
                  <c:v>1</c:v>
                </c:pt>
                <c:pt idx="10">
                  <c:v>12</c:v>
                </c:pt>
                <c:pt idx="11">
                  <c:v>21</c:v>
                </c:pt>
                <c:pt idx="12">
                  <c:v>14</c:v>
                </c:pt>
                <c:pt idx="13">
                  <c:v>11</c:v>
                </c:pt>
                <c:pt idx="14">
                  <c:v>12</c:v>
                </c:pt>
                <c:pt idx="15">
                  <c:v>3</c:v>
                </c:pt>
                <c:pt idx="16">
                  <c:v>15</c:v>
                </c:pt>
              </c:numCache>
            </c:numRef>
          </c:val>
          <c:extLst>
            <c:ext xmlns:c16="http://schemas.microsoft.com/office/drawing/2014/chart" uri="{C3380CC4-5D6E-409C-BE32-E72D297353CC}">
              <c16:uniqueId val="{00000002-3CB3-4941-8E3E-716A81574CF4}"/>
            </c:ext>
          </c:extLst>
        </c:ser>
        <c:dLbls>
          <c:showLegendKey val="0"/>
          <c:showVal val="0"/>
          <c:showCatName val="0"/>
          <c:showSerName val="0"/>
          <c:showPercent val="0"/>
          <c:showBubbleSize val="0"/>
        </c:dLbls>
        <c:gapWidth val="150"/>
        <c:overlap val="100"/>
        <c:axId val="43079680"/>
        <c:axId val="53798592"/>
      </c:barChart>
      <c:catAx>
        <c:axId val="43079680"/>
        <c:scaling>
          <c:orientation val="maxMin"/>
        </c:scaling>
        <c:delete val="0"/>
        <c:axPos val="l"/>
        <c:numFmt formatCode="General" sourceLinked="0"/>
        <c:majorTickMark val="out"/>
        <c:minorTickMark val="none"/>
        <c:tickLblPos val="nextTo"/>
        <c:crossAx val="53798592"/>
        <c:crosses val="autoZero"/>
        <c:auto val="1"/>
        <c:lblAlgn val="ctr"/>
        <c:lblOffset val="100"/>
        <c:noMultiLvlLbl val="0"/>
      </c:catAx>
      <c:valAx>
        <c:axId val="53798592"/>
        <c:scaling>
          <c:orientation val="minMax"/>
          <c:max val="80"/>
        </c:scaling>
        <c:delete val="0"/>
        <c:axPos val="t"/>
        <c:majorGridlines/>
        <c:numFmt formatCode="General" sourceLinked="1"/>
        <c:majorTickMark val="out"/>
        <c:minorTickMark val="none"/>
        <c:tickLblPos val="nextTo"/>
        <c:crossAx val="43079680"/>
        <c:crosses val="autoZero"/>
        <c:crossBetween val="between"/>
      </c:valAx>
    </c:plotArea>
    <c:legend>
      <c:legendPos val="b"/>
      <c:overlay val="0"/>
    </c:legend>
    <c:plotVisOnly val="1"/>
    <c:dispBlanksAs val="gap"/>
    <c:showDLblsOverMax val="0"/>
  </c:chart>
  <c:txPr>
    <a:bodyPr/>
    <a:lstStyle/>
    <a:p>
      <a:pPr>
        <a:defRPr sz="9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'Impl. progress'!$U$3</c:f>
              <c:strCache>
                <c:ptCount val="1"/>
                <c:pt idx="0">
                  <c:v>Yes</c:v>
                </c:pt>
              </c:strCache>
            </c:strRef>
          </c:tx>
          <c:spPr>
            <a:solidFill>
              <a:schemeClr val="accent5">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'Impl. progress'!$R$4:$T$5</c:f>
              <c:strCache>
                <c:ptCount val="2"/>
                <c:pt idx="0">
                  <c:v>Government</c:v>
                </c:pt>
                <c:pt idx="1">
                  <c:v>Non-government</c:v>
                </c:pt>
              </c:strCache>
            </c:strRef>
          </c:cat>
          <c:val>
            <c:numRef>
              <c:f>'Impl. progress'!$U$4:$U$5</c:f>
              <c:numCache>
                <c:formatCode>General</c:formatCode>
                <c:ptCount val="2"/>
                <c:pt idx="0">
                  <c:v>23</c:v>
                </c:pt>
                <c:pt idx="1">
                  <c:v>5</c:v>
                </c:pt>
              </c:numCache>
            </c:numRef>
          </c:val>
          <c:extLst>
            <c:ext xmlns:c16="http://schemas.microsoft.com/office/drawing/2014/chart" uri="{C3380CC4-5D6E-409C-BE32-E72D297353CC}">
              <c16:uniqueId val="{00000000-9AA1-4A32-9623-6446C6D16D6D}"/>
            </c:ext>
          </c:extLst>
        </c:ser>
        <c:ser>
          <c:idx val="1"/>
          <c:order val="1"/>
          <c:tx>
            <c:strRef>
              <c:f>'Impl. progress'!$V$3</c:f>
              <c:strCache>
                <c:ptCount val="1"/>
                <c:pt idx="0">
                  <c:v>Yes+In progress</c:v>
                </c:pt>
              </c:strCache>
            </c:strRef>
          </c:tx>
          <c:spPr>
            <a:pattFill prst="wdUpDiag">
              <a:fgClr>
                <a:schemeClr val="tx2">
                  <a:lumMod val="60000"/>
                  <a:lumOff val="40000"/>
                </a:schemeClr>
              </a:fgClr>
              <a:bgClr>
                <a:schemeClr val="accent3">
                  <a:lumMod val="60000"/>
                  <a:lumOff val="40000"/>
                </a:schemeClr>
              </a:bgClr>
            </a:pattFill>
          </c:spPr>
          <c:invertIfNegative val="0"/>
          <c:dLbls>
            <c:dLbl>
              <c:idx val="0"/>
              <c:layout>
                <c:manualLayout>
                  <c:x val="8.333333333333332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A1-4A32-9623-6446C6D16D6D}"/>
                </c:ext>
              </c:extLst>
            </c:dLbl>
            <c:dLbl>
              <c:idx val="1"/>
              <c:layout>
                <c:manualLayout>
                  <c:x val="8.3333333333333329E-2"/>
                  <c:y val="9.1727249385084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A1-4A32-9623-6446C6D16D6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'Impl. progress'!$R$4:$T$5</c:f>
              <c:strCache>
                <c:ptCount val="2"/>
                <c:pt idx="0">
                  <c:v>Government</c:v>
                </c:pt>
                <c:pt idx="1">
                  <c:v>Non-government</c:v>
                </c:pt>
              </c:strCache>
            </c:strRef>
          </c:cat>
          <c:val>
            <c:numRef>
              <c:f>'Impl. progress'!$V$4:$V$5</c:f>
              <c:numCache>
                <c:formatCode>General</c:formatCode>
                <c:ptCount val="2"/>
                <c:pt idx="0">
                  <c:v>8</c:v>
                </c:pt>
                <c:pt idx="1">
                  <c:v>7</c:v>
                </c:pt>
              </c:numCache>
            </c:numRef>
          </c:val>
          <c:extLst>
            <c:ext xmlns:c16="http://schemas.microsoft.com/office/drawing/2014/chart" uri="{C3380CC4-5D6E-409C-BE32-E72D297353CC}">
              <c16:uniqueId val="{00000003-9AA1-4A32-9623-6446C6D16D6D}"/>
            </c:ext>
          </c:extLst>
        </c:ser>
        <c:ser>
          <c:idx val="2"/>
          <c:order val="2"/>
          <c:tx>
            <c:strRef>
              <c:f>'Impl. progress'!$W$3</c:f>
              <c:strCache>
                <c:ptCount val="1"/>
                <c:pt idx="0">
                  <c:v>In progress</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'Impl. progress'!$R$4:$T$5</c:f>
              <c:strCache>
                <c:ptCount val="2"/>
                <c:pt idx="0">
                  <c:v>Government</c:v>
                </c:pt>
                <c:pt idx="1">
                  <c:v>Non-government</c:v>
                </c:pt>
              </c:strCache>
            </c:strRef>
          </c:cat>
          <c:val>
            <c:numRef>
              <c:f>'Impl. progress'!$W$4:$W$5</c:f>
              <c:numCache>
                <c:formatCode>General</c:formatCode>
                <c:ptCount val="2"/>
                <c:pt idx="0">
                  <c:v>34</c:v>
                </c:pt>
                <c:pt idx="1">
                  <c:v>14</c:v>
                </c:pt>
              </c:numCache>
            </c:numRef>
          </c:val>
          <c:extLst>
            <c:ext xmlns:c16="http://schemas.microsoft.com/office/drawing/2014/chart" uri="{C3380CC4-5D6E-409C-BE32-E72D297353CC}">
              <c16:uniqueId val="{00000004-9AA1-4A32-9623-6446C6D16D6D}"/>
            </c:ext>
          </c:extLst>
        </c:ser>
        <c:ser>
          <c:idx val="3"/>
          <c:order val="3"/>
          <c:tx>
            <c:strRef>
              <c:f>'Impl. progress'!$X$3</c:f>
              <c:strCache>
                <c:ptCount val="1"/>
                <c:pt idx="0">
                  <c:v>In progress+No</c:v>
                </c:pt>
              </c:strCache>
            </c:strRef>
          </c:tx>
          <c:spPr>
            <a:pattFill prst="wdUpDiag">
              <a:fgClr>
                <a:srgbClr val="FF0000"/>
              </a:fgClr>
              <a:bgClr>
                <a:schemeClr val="accent3">
                  <a:lumMod val="60000"/>
                  <a:lumOff val="40000"/>
                </a:schemeClr>
              </a:bgClr>
            </a:pattFill>
          </c:spPr>
          <c:invertIfNegative val="0"/>
          <c:dLbls>
            <c:dLbl>
              <c:idx val="0"/>
              <c:layout>
                <c:manualLayout>
                  <c:x val="-2.5000000000000001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AA1-4A32-9623-6446C6D16D6D}"/>
                </c:ext>
              </c:extLst>
            </c:dLbl>
            <c:dLbl>
              <c:idx val="1"/>
              <c:delete val="1"/>
              <c:extLst>
                <c:ext xmlns:c15="http://schemas.microsoft.com/office/drawing/2012/chart" uri="{CE6537A1-D6FC-4f65-9D91-7224C49458BB}"/>
                <c:ext xmlns:c16="http://schemas.microsoft.com/office/drawing/2014/chart" uri="{C3380CC4-5D6E-409C-BE32-E72D297353CC}">
                  <c16:uniqueId val="{00000006-9AA1-4A32-9623-6446C6D16D6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'Impl. progress'!$R$4:$T$5</c:f>
              <c:strCache>
                <c:ptCount val="2"/>
                <c:pt idx="0">
                  <c:v>Government</c:v>
                </c:pt>
                <c:pt idx="1">
                  <c:v>Non-government</c:v>
                </c:pt>
              </c:strCache>
            </c:strRef>
          </c:cat>
          <c:val>
            <c:numRef>
              <c:f>'Impl. progress'!$X$4:$X$5</c:f>
              <c:numCache>
                <c:formatCode>General</c:formatCode>
                <c:ptCount val="2"/>
                <c:pt idx="0">
                  <c:v>1</c:v>
                </c:pt>
                <c:pt idx="1">
                  <c:v>0</c:v>
                </c:pt>
              </c:numCache>
            </c:numRef>
          </c:val>
          <c:extLst>
            <c:ext xmlns:c16="http://schemas.microsoft.com/office/drawing/2014/chart" uri="{C3380CC4-5D6E-409C-BE32-E72D297353CC}">
              <c16:uniqueId val="{00000007-9AA1-4A32-9623-6446C6D16D6D}"/>
            </c:ext>
          </c:extLst>
        </c:ser>
        <c:ser>
          <c:idx val="4"/>
          <c:order val="4"/>
          <c:tx>
            <c:strRef>
              <c:f>'Impl. progress'!$Y$3</c:f>
              <c:strCache>
                <c:ptCount val="1"/>
                <c:pt idx="0">
                  <c:v>No</c:v>
                </c:pt>
              </c:strCache>
            </c:strRef>
          </c:tx>
          <c:spPr>
            <a:solidFill>
              <a:srgbClr val="FF0000"/>
            </a:solidFill>
          </c:spPr>
          <c:invertIfNegative val="0"/>
          <c:dLbls>
            <c:dLbl>
              <c:idx val="0"/>
              <c:layout>
                <c:manualLayout>
                  <c:x val="4.7222222222222221E-2"/>
                  <c:y val="9.25889472149314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AA1-4A32-9623-6446C6D16D6D}"/>
                </c:ext>
              </c:extLst>
            </c:dLbl>
            <c:dLbl>
              <c:idx val="1"/>
              <c:layout>
                <c:manualLayout>
                  <c:x val="-3.3333333333333333E-2"/>
                  <c:y val="-4.16666666666667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AA1-4A32-9623-6446C6D16D6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'Impl. progress'!$R$4:$T$5</c:f>
              <c:strCache>
                <c:ptCount val="2"/>
                <c:pt idx="0">
                  <c:v>Government</c:v>
                </c:pt>
                <c:pt idx="1">
                  <c:v>Non-government</c:v>
                </c:pt>
              </c:strCache>
            </c:strRef>
          </c:cat>
          <c:val>
            <c:numRef>
              <c:f>'Impl. progress'!$Y$4:$Y$5</c:f>
              <c:numCache>
                <c:formatCode>General</c:formatCode>
                <c:ptCount val="2"/>
                <c:pt idx="0">
                  <c:v>1</c:v>
                </c:pt>
                <c:pt idx="1">
                  <c:v>3</c:v>
                </c:pt>
              </c:numCache>
            </c:numRef>
          </c:val>
          <c:extLst>
            <c:ext xmlns:c16="http://schemas.microsoft.com/office/drawing/2014/chart" uri="{C3380CC4-5D6E-409C-BE32-E72D297353CC}">
              <c16:uniqueId val="{0000000A-9AA1-4A32-9623-6446C6D16D6D}"/>
            </c:ext>
          </c:extLst>
        </c:ser>
        <c:dLbls>
          <c:showLegendKey val="0"/>
          <c:showVal val="0"/>
          <c:showCatName val="0"/>
          <c:showSerName val="0"/>
          <c:showPercent val="0"/>
          <c:showBubbleSize val="0"/>
        </c:dLbls>
        <c:gapWidth val="150"/>
        <c:overlap val="100"/>
        <c:axId val="197146112"/>
        <c:axId val="53802048"/>
      </c:barChart>
      <c:catAx>
        <c:axId val="197146112"/>
        <c:scaling>
          <c:orientation val="minMax"/>
        </c:scaling>
        <c:delete val="0"/>
        <c:axPos val="b"/>
        <c:numFmt formatCode="General" sourceLinked="0"/>
        <c:majorTickMark val="out"/>
        <c:minorTickMark val="none"/>
        <c:tickLblPos val="nextTo"/>
        <c:crossAx val="53802048"/>
        <c:crosses val="autoZero"/>
        <c:auto val="1"/>
        <c:lblAlgn val="ctr"/>
        <c:lblOffset val="100"/>
        <c:noMultiLvlLbl val="0"/>
      </c:catAx>
      <c:valAx>
        <c:axId val="53802048"/>
        <c:scaling>
          <c:orientation val="minMax"/>
        </c:scaling>
        <c:delete val="0"/>
        <c:axPos val="l"/>
        <c:majorGridlines/>
        <c:numFmt formatCode="General" sourceLinked="1"/>
        <c:majorTickMark val="out"/>
        <c:minorTickMark val="none"/>
        <c:tickLblPos val="nextTo"/>
        <c:crossAx val="1971461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F00D3-79F7-446E-95BE-5717DF51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1</TotalTime>
  <Pages>18</Pages>
  <Words>5518</Words>
  <Characters>31458</Characters>
  <Application>Microsoft Office Word</Application>
  <DocSecurity>0</DocSecurity>
  <Lines>262</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Maricar De_La_Cruz</dc:creator>
  <cp:lastModifiedBy>Pauline Anne Escalante</cp:lastModifiedBy>
  <cp:revision>3</cp:revision>
  <cp:lastPrinted>2018-11-26T15:48:00Z</cp:lastPrinted>
  <dcterms:created xsi:type="dcterms:W3CDTF">2018-11-26T15:48:00Z</dcterms:created>
  <dcterms:modified xsi:type="dcterms:W3CDTF">2018-11-26T15:49:00Z</dcterms:modified>
</cp:coreProperties>
</file>