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C5F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C5F67" w:rsidP="005C5F67">
            <w:pPr>
              <w:jc w:val="right"/>
            </w:pPr>
            <w:r w:rsidRPr="005C5F67">
              <w:rPr>
                <w:sz w:val="40"/>
              </w:rPr>
              <w:t>ECE</w:t>
            </w:r>
            <w:r>
              <w:t>/MP.EIA/2019/7</w:t>
            </w:r>
          </w:p>
        </w:tc>
      </w:tr>
      <w:tr w:rsidR="002D5AAC" w:rsidRPr="007C025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C5F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C5F67" w:rsidRDefault="005C5F67" w:rsidP="005C5F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2018</w:t>
            </w:r>
          </w:p>
          <w:p w:rsidR="005C5F67" w:rsidRDefault="005C5F67" w:rsidP="005C5F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C5F67" w:rsidRPr="008D53B6" w:rsidRDefault="005C5F67" w:rsidP="005C5F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C5F6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C5F67" w:rsidRPr="005C5F67" w:rsidRDefault="005C5F67" w:rsidP="005C5F67">
      <w:pPr>
        <w:spacing w:before="120" w:after="120"/>
        <w:rPr>
          <w:sz w:val="28"/>
          <w:szCs w:val="28"/>
        </w:rPr>
      </w:pPr>
      <w:r w:rsidRPr="005C5F67">
        <w:rPr>
          <w:sz w:val="28"/>
          <w:szCs w:val="28"/>
        </w:rPr>
        <w:t>Совещание Сторон Конвенции об оценке</w:t>
      </w:r>
      <w:r>
        <w:rPr>
          <w:sz w:val="28"/>
          <w:szCs w:val="28"/>
        </w:rPr>
        <w:br/>
      </w:r>
      <w:r w:rsidRPr="005C5F67">
        <w:rPr>
          <w:sz w:val="28"/>
          <w:szCs w:val="28"/>
        </w:rPr>
        <w:t>воздействия на окружающую среду</w:t>
      </w:r>
      <w:r>
        <w:rPr>
          <w:sz w:val="28"/>
          <w:szCs w:val="28"/>
        </w:rPr>
        <w:br/>
      </w:r>
      <w:r w:rsidRPr="005C5F67">
        <w:rPr>
          <w:sz w:val="28"/>
          <w:szCs w:val="28"/>
        </w:rPr>
        <w:t>в трансграничном контексте</w:t>
      </w:r>
    </w:p>
    <w:p w:rsidR="005C5F67" w:rsidRPr="005C5F67" w:rsidRDefault="005C5F67" w:rsidP="005C5F67">
      <w:pPr>
        <w:rPr>
          <w:b/>
        </w:rPr>
      </w:pPr>
      <w:r w:rsidRPr="005C5F67">
        <w:rPr>
          <w:b/>
        </w:rPr>
        <w:t>Промежуточная сессия</w:t>
      </w:r>
    </w:p>
    <w:p w:rsidR="005C5F67" w:rsidRPr="003F08B4" w:rsidRDefault="005C5F67" w:rsidP="005C5F67">
      <w:r w:rsidRPr="003F08B4">
        <w:t>Женева, 5–7 февраля 2019 года</w:t>
      </w:r>
    </w:p>
    <w:p w:rsidR="005C5F67" w:rsidRPr="003F08B4" w:rsidRDefault="005C5F67" w:rsidP="005C5F67">
      <w:r w:rsidRPr="003F08B4">
        <w:t>Пункты 3</w:t>
      </w:r>
      <w:r w:rsidRPr="005C5F67">
        <w:t xml:space="preserve"> </w:t>
      </w:r>
      <w:r w:rsidRPr="003F08B4">
        <w:t>а) и 8 предварительной повестки дня</w:t>
      </w:r>
    </w:p>
    <w:p w:rsidR="005C5F67" w:rsidRPr="005C5F67" w:rsidRDefault="005C5F67" w:rsidP="005C5F67">
      <w:pPr>
        <w:spacing w:before="120" w:after="120"/>
        <w:rPr>
          <w:b/>
        </w:rPr>
      </w:pPr>
      <w:bookmarkStart w:id="1" w:name="_Hlk529277039"/>
      <w:r w:rsidRPr="005C5F67">
        <w:rPr>
          <w:b/>
        </w:rPr>
        <w:t>Нере</w:t>
      </w:r>
      <w:r w:rsidR="000A6441">
        <w:rPr>
          <w:b/>
        </w:rPr>
        <w:t>шенные вопросы: проекты решений</w:t>
      </w:r>
    </w:p>
    <w:p w:rsidR="005C5F67" w:rsidRPr="005C5F67" w:rsidRDefault="005C5F67" w:rsidP="005C5F67">
      <w:pPr>
        <w:spacing w:before="120" w:after="120"/>
        <w:rPr>
          <w:b/>
        </w:rPr>
      </w:pPr>
      <w:r w:rsidRPr="005C5F67">
        <w:rPr>
          <w:b/>
        </w:rPr>
        <w:t>Принятие решений Совещанием Сторон Конвенции</w:t>
      </w:r>
    </w:p>
    <w:bookmarkEnd w:id="1"/>
    <w:p w:rsidR="005C5F67" w:rsidRPr="003F08B4" w:rsidRDefault="005C5F67" w:rsidP="005C5F67">
      <w:pPr>
        <w:pStyle w:val="HChG"/>
      </w:pPr>
      <w:r w:rsidRPr="003F08B4">
        <w:tab/>
      </w:r>
      <w:r w:rsidRPr="003F08B4">
        <w:tab/>
        <w:t>Проект решения</w:t>
      </w:r>
      <w:r>
        <w:t xml:space="preserve"> IS/1f о соблюдении Украиной ее </w:t>
      </w:r>
      <w:r w:rsidRPr="003F08B4">
        <w:t xml:space="preserve">обязательств по </w:t>
      </w:r>
      <w:r>
        <w:t>Конвенции в связи с проектом по </w:t>
      </w:r>
      <w:r w:rsidRPr="003F08B4">
        <w:t>глубоководному суд</w:t>
      </w:r>
      <w:r>
        <w:t>оходному каналу «Дунай</w:t>
      </w:r>
      <w:r w:rsidR="000A6441">
        <w:t>–</w:t>
      </w:r>
      <w:r>
        <w:t>Черное</w:t>
      </w:r>
      <w:r w:rsidR="000A6441">
        <w:t> </w:t>
      </w:r>
      <w:r w:rsidRPr="003F08B4">
        <w:t>море» в украинском секторе дельты Дуная</w:t>
      </w:r>
    </w:p>
    <w:p w:rsidR="005C5F67" w:rsidRPr="003F08B4" w:rsidRDefault="005C5F67" w:rsidP="005C5F67">
      <w:pPr>
        <w:pStyle w:val="H1G"/>
      </w:pPr>
      <w:r w:rsidRPr="003F08B4">
        <w:tab/>
      </w:r>
      <w:r w:rsidRPr="003F08B4">
        <w:tab/>
        <w:t>Предложение Комитета по осуществлению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A6441" w:rsidRPr="000A6441" w:rsidTr="000A6441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0A6441" w:rsidRPr="000A6441" w:rsidRDefault="000A644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A6441">
              <w:rPr>
                <w:rFonts w:cs="Times New Roman"/>
              </w:rPr>
              <w:tab/>
            </w:r>
            <w:r w:rsidRPr="000A644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A6441" w:rsidRPr="000A6441" w:rsidTr="000A644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0A6441" w:rsidRPr="000A6441" w:rsidRDefault="000A6441" w:rsidP="00D6488B">
            <w:pPr>
              <w:pStyle w:val="SingleTxtG"/>
            </w:pPr>
            <w:r>
              <w:tab/>
            </w:r>
            <w:r>
              <w:tab/>
            </w:r>
            <w:r w:rsidRPr="003F08B4">
              <w:t>Проект решения, содержащийся в настоящ</w:t>
            </w:r>
            <w:r>
              <w:t>ем документе, был подготовлен в </w:t>
            </w:r>
            <w:r w:rsidRPr="003F08B4">
              <w:t>ответ на высказанную Совещанием Сторон Кон</w:t>
            </w:r>
            <w:r>
              <w:t>венции об оценке воздействия на </w:t>
            </w:r>
            <w:r w:rsidRPr="003F08B4">
              <w:t>окружающую среду в трансграничном контексте на его седьмой сессии (Минск,</w:t>
            </w:r>
            <w:r>
              <w:t xml:space="preserve"> </w:t>
            </w:r>
            <w:r>
              <w:br/>
            </w:r>
            <w:r w:rsidRPr="003F08B4">
              <w:t>13–16 июня 2017 года) в адрес Комитета по осуществлению просьбу пересмотреть проект решения VII/2 о рассмотрении соблюдения Конвенции с учетом уже проделанной работы и прогресса, достигнутого до, в ходе и после седьмой сессии Совещания Сторон (ECE/MP.EIA/23-ECE/MP.EIA/SEA/7, пункт 27). Для того чтобы облегчить рассмотрение и принятие проекта решения VII/2, он был разбит на отдельные проекты решений: проект решения по общим вопросам соблюдения и проекты решений по отдельным вопросам соблюдения Конвенции конкретными странами.</w:t>
            </w:r>
          </w:p>
        </w:tc>
      </w:tr>
      <w:tr w:rsidR="000A6441" w:rsidRPr="000A6441" w:rsidTr="000A644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0A6441" w:rsidRPr="000A6441" w:rsidRDefault="000A6441" w:rsidP="000A6441">
            <w:pPr>
              <w:pStyle w:val="SingleTxtG"/>
            </w:pPr>
            <w:r>
              <w:tab/>
            </w:r>
            <w:r>
              <w:tab/>
            </w:r>
            <w:r w:rsidRPr="003F08B4">
              <w:t>Проект решения IS/1f представляет собой пересмотренный вариант текста проекта решения VII/2 относительно последую</w:t>
            </w:r>
            <w:r>
              <w:t>щих действий Украины по решению </w:t>
            </w:r>
            <w:r w:rsidRPr="003F08B4">
              <w:t xml:space="preserve">VI/2 в связи с глубоководным судоходным каналом </w:t>
            </w:r>
            <w:r>
              <w:t>«</w:t>
            </w:r>
            <w:r w:rsidRPr="003F08B4">
              <w:t>Дунай</w:t>
            </w:r>
            <w:r>
              <w:t>–</w:t>
            </w:r>
            <w:r w:rsidRPr="003F08B4">
              <w:t>Черное море</w:t>
            </w:r>
            <w:r>
              <w:t>» в </w:t>
            </w:r>
            <w:r w:rsidRPr="003F08B4">
              <w:t>украинском секторе дельты Дуная.</w:t>
            </w:r>
          </w:p>
        </w:tc>
      </w:tr>
      <w:tr w:rsidR="000A6441" w:rsidRPr="000A6441" w:rsidTr="000A6441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0A6441" w:rsidRPr="000A6441" w:rsidRDefault="000A6441" w:rsidP="000A6441">
            <w:pPr>
              <w:pStyle w:val="SingleTxtG"/>
            </w:pPr>
            <w:r>
              <w:tab/>
            </w:r>
            <w:r>
              <w:tab/>
            </w:r>
            <w:r w:rsidRPr="003F08B4">
              <w:t>Совещание Сторон Конвенции, как ожидает</w:t>
            </w:r>
            <w:r>
              <w:t>ся, рассмотрит проект решения и </w:t>
            </w:r>
            <w:r w:rsidRPr="003F08B4">
              <w:t>согласует его принятие.</w:t>
            </w:r>
          </w:p>
        </w:tc>
      </w:tr>
      <w:tr w:rsidR="000A6441" w:rsidRPr="000A6441" w:rsidTr="000A6441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0A6441" w:rsidRPr="000A6441" w:rsidRDefault="000A6441" w:rsidP="00850215">
            <w:pPr>
              <w:rPr>
                <w:rFonts w:cs="Times New Roman"/>
              </w:rPr>
            </w:pPr>
          </w:p>
        </w:tc>
      </w:tr>
    </w:tbl>
    <w:p w:rsidR="000A6441" w:rsidRDefault="000A6441">
      <w:pPr>
        <w:suppressAutoHyphens w:val="0"/>
        <w:spacing w:line="240" w:lineRule="auto"/>
        <w:rPr>
          <w:rStyle w:val="Emphasis"/>
          <w:rFonts w:eastAsia="Times New Roman" w:cs="Times New Roman"/>
          <w:szCs w:val="20"/>
        </w:rPr>
      </w:pPr>
      <w:r>
        <w:rPr>
          <w:rStyle w:val="Emphasis"/>
        </w:rPr>
        <w:br w:type="page"/>
      </w:r>
    </w:p>
    <w:p w:rsidR="000A6441" w:rsidRPr="00D42C60" w:rsidRDefault="000A6441" w:rsidP="000A6441">
      <w:pPr>
        <w:pStyle w:val="SingleTxtG"/>
        <w:rPr>
          <w:rStyle w:val="Emphasis"/>
        </w:rPr>
      </w:pPr>
      <w:r>
        <w:rPr>
          <w:rStyle w:val="Emphasis"/>
        </w:rPr>
        <w:lastRenderedPageBreak/>
        <w:tab/>
      </w:r>
      <w:r>
        <w:rPr>
          <w:rStyle w:val="Emphasis"/>
        </w:rPr>
        <w:tab/>
      </w:r>
      <w:r w:rsidRPr="00D42C60">
        <w:rPr>
          <w:rStyle w:val="Emphasis"/>
        </w:rPr>
        <w:t xml:space="preserve">Совещание Сторон, </w:t>
      </w:r>
    </w:p>
    <w:p w:rsidR="000A6441" w:rsidRPr="00D42C60" w:rsidRDefault="000A6441" w:rsidP="000A6441">
      <w:pPr>
        <w:pStyle w:val="SingleTxtG"/>
      </w:pPr>
      <w:r w:rsidRPr="00D42C60">
        <w:rPr>
          <w:rStyle w:val="Emphasis"/>
        </w:rPr>
        <w:tab/>
      </w:r>
      <w:r>
        <w:rPr>
          <w:rStyle w:val="Emphasis"/>
        </w:rPr>
        <w:tab/>
      </w:r>
      <w:r w:rsidRPr="00D42C60">
        <w:rPr>
          <w:rStyle w:val="Emphasis"/>
        </w:rPr>
        <w:t>ссылаясь</w:t>
      </w:r>
      <w:r w:rsidRPr="00D42C60">
        <w:t xml:space="preserve"> на пункт 2 статьи 11 и статью 14-бис Конвенции об оценке воздействия на окружающую среду в трансграничном контексте,</w:t>
      </w:r>
    </w:p>
    <w:p w:rsidR="000A6441" w:rsidRPr="00D42C60" w:rsidRDefault="000A6441" w:rsidP="000A6441">
      <w:pPr>
        <w:pStyle w:val="SingleTxtG"/>
      </w:pPr>
      <w:r>
        <w:tab/>
      </w:r>
      <w:r w:rsidRPr="00D42C60">
        <w:tab/>
      </w:r>
      <w:r w:rsidRPr="00D42C60">
        <w:rPr>
          <w:rStyle w:val="Emphasis"/>
        </w:rPr>
        <w:t>ссылаясь также</w:t>
      </w:r>
      <w:r w:rsidRPr="00D42C60">
        <w:t xml:space="preserve"> на пункты 7</w:t>
      </w:r>
      <w:r>
        <w:t>–</w:t>
      </w:r>
      <w:r w:rsidRPr="00D42C60">
        <w:t>14 своего решения IV/2</w:t>
      </w:r>
      <w:r w:rsidRPr="000A6441">
        <w:rPr>
          <w:rStyle w:val="FootnoteReference"/>
        </w:rPr>
        <w:footnoteReference w:id="1"/>
      </w:r>
      <w:r w:rsidRPr="00D42C60">
        <w:t>, пункты 17</w:t>
      </w:r>
      <w:r>
        <w:t>–26 решения </w:t>
      </w:r>
      <w:r w:rsidRPr="00D42C60">
        <w:t>V/4</w:t>
      </w:r>
      <w:r w:rsidRPr="000A6441">
        <w:rPr>
          <w:rStyle w:val="FootnoteReference"/>
        </w:rPr>
        <w:footnoteReference w:id="2"/>
      </w:r>
      <w:r w:rsidRPr="00D42C60">
        <w:t xml:space="preserve"> и пункты 15</w:t>
      </w:r>
      <w:r>
        <w:t>–</w:t>
      </w:r>
      <w:r w:rsidRPr="00D42C60">
        <w:t>28 решения VI/2</w:t>
      </w:r>
      <w:r w:rsidRPr="000A6441">
        <w:rPr>
          <w:rStyle w:val="FootnoteReference"/>
        </w:rPr>
        <w:footnoteReference w:id="3"/>
      </w:r>
      <w:r w:rsidRPr="00D42C60">
        <w:t xml:space="preserve"> относительно соблюдения Украиной Конвенции в связи с глубоководным судоходным каналом </w:t>
      </w:r>
      <w:r>
        <w:t>«</w:t>
      </w:r>
      <w:r w:rsidRPr="00D42C60">
        <w:t>Дунай</w:t>
      </w:r>
      <w:r>
        <w:t>–</w:t>
      </w:r>
      <w:r w:rsidRPr="00D42C60">
        <w:t>Черное море</w:t>
      </w:r>
      <w:r>
        <w:t>»</w:t>
      </w:r>
      <w:r w:rsidRPr="00D42C60">
        <w:t xml:space="preserve"> </w:t>
      </w:r>
      <w:r>
        <w:t>в </w:t>
      </w:r>
      <w:r w:rsidRPr="00D42C60">
        <w:t xml:space="preserve">украинском секторе дельты Дуная (проект по каналу </w:t>
      </w:r>
      <w:r>
        <w:t>«</w:t>
      </w:r>
      <w:r w:rsidRPr="00D42C60">
        <w:t>Быстрое</w:t>
      </w:r>
      <w:r>
        <w:t>»</w:t>
      </w:r>
      <w:r w:rsidRPr="00D42C60">
        <w:t>),</w:t>
      </w:r>
    </w:p>
    <w:p w:rsidR="000A6441" w:rsidRPr="00D42C60" w:rsidRDefault="000A6441" w:rsidP="000A6441">
      <w:pPr>
        <w:pStyle w:val="SingleTxtG"/>
      </w:pPr>
      <w:bookmarkStart w:id="2" w:name="_Hlk504650794"/>
      <w:r>
        <w:tab/>
      </w:r>
      <w:r w:rsidRPr="00D42C60">
        <w:tab/>
      </w:r>
      <w:r w:rsidRPr="00D42C60">
        <w:rPr>
          <w:rStyle w:val="Emphasis"/>
        </w:rPr>
        <w:t>ссылаясь далее</w:t>
      </w:r>
      <w:r w:rsidRPr="00D42C60">
        <w:t xml:space="preserve"> на принятое им на его седьмой сессии решение завершить свои обсуждения по вопросу о рассмотрении соблюдения Конвенции на промежуточной сессии на основе пересмотренного проекта решения, который должен был быть подготовлен Комитетом по осуществлению, и с учетом проделанной работы и прогресса, достигнутого до начала и в ходе седьмой сессии</w:t>
      </w:r>
      <w:r w:rsidRPr="000A6441">
        <w:rPr>
          <w:rStyle w:val="FootnoteReference"/>
        </w:rPr>
        <w:footnoteReference w:id="4"/>
      </w:r>
      <w:bookmarkEnd w:id="2"/>
      <w:r>
        <w:t>,</w:t>
      </w:r>
    </w:p>
    <w:p w:rsidR="000A6441" w:rsidRPr="00D42C60" w:rsidRDefault="000A6441" w:rsidP="000A6441">
      <w:pPr>
        <w:pStyle w:val="SingleTxtG"/>
      </w:pPr>
      <w:r>
        <w:tab/>
      </w:r>
      <w:r w:rsidRPr="00D42C60">
        <w:tab/>
      </w:r>
      <w:r w:rsidRPr="00D42C60">
        <w:rPr>
          <w:rStyle w:val="Emphasis"/>
        </w:rPr>
        <w:t xml:space="preserve">рассмотрев </w:t>
      </w:r>
      <w:r w:rsidRPr="00D42C60">
        <w:t>касающиеся Украины соответствующие</w:t>
      </w:r>
      <w:r>
        <w:t xml:space="preserve"> разделы доклада о </w:t>
      </w:r>
      <w:r w:rsidRPr="00D42C60">
        <w:t>деятельности Комитета по осуществлению Совещанию Сторон Конвенции, представленного на его седьмой сессии</w:t>
      </w:r>
      <w:r w:rsidRPr="000A6441">
        <w:rPr>
          <w:rStyle w:val="FootnoteReference"/>
        </w:rPr>
        <w:footnoteReference w:id="5"/>
      </w:r>
      <w:r w:rsidRPr="00D42C60">
        <w:t>, и докладов Комитета о работе его тридцать девятой</w:t>
      </w:r>
      <w:r w:rsidRPr="000A6441">
        <w:rPr>
          <w:rStyle w:val="FootnoteReference"/>
        </w:rPr>
        <w:footnoteReference w:id="6"/>
      </w:r>
      <w:r w:rsidRPr="00D42C60">
        <w:t>, сороковой</w:t>
      </w:r>
      <w:r w:rsidRPr="000A6441">
        <w:rPr>
          <w:rStyle w:val="FootnoteReference"/>
        </w:rPr>
        <w:footnoteReference w:id="7"/>
      </w:r>
      <w:r w:rsidRPr="00D42C60">
        <w:t>, сорок первой</w:t>
      </w:r>
      <w:r w:rsidRPr="000A6441">
        <w:rPr>
          <w:rStyle w:val="FootnoteReference"/>
        </w:rPr>
        <w:footnoteReference w:id="8"/>
      </w:r>
      <w:r w:rsidRPr="00D42C60">
        <w:t xml:space="preserve"> и сорок второй сессий</w:t>
      </w:r>
      <w:r w:rsidRPr="000A6441">
        <w:rPr>
          <w:rStyle w:val="FootnoteReference"/>
        </w:rPr>
        <w:footnoteReference w:id="9"/>
      </w:r>
      <w:r>
        <w:t>,</w:t>
      </w:r>
    </w:p>
    <w:p w:rsidR="000A6441" w:rsidRPr="00D42C60" w:rsidRDefault="000A6441" w:rsidP="000A6441">
      <w:pPr>
        <w:pStyle w:val="SingleTxtG"/>
      </w:pPr>
      <w:r>
        <w:rPr>
          <w:rStyle w:val="Emphasis"/>
        </w:rPr>
        <w:tab/>
      </w:r>
      <w:r>
        <w:rPr>
          <w:rStyle w:val="Emphasis"/>
        </w:rPr>
        <w:tab/>
      </w:r>
      <w:r w:rsidRPr="00D42C60">
        <w:rPr>
          <w:rStyle w:val="Emphasis"/>
        </w:rPr>
        <w:t xml:space="preserve">ссылаясь </w:t>
      </w:r>
      <w:r w:rsidRPr="00D42C60">
        <w:t>на свое решение IS/1 о рассмотрении соблюдения Конвенции, принятое на промежуточной сессии,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1.</w:t>
      </w:r>
      <w:r w:rsidR="000A6441" w:rsidRPr="00D42C60">
        <w:tab/>
      </w:r>
      <w:r w:rsidR="000A6441" w:rsidRPr="00D42C60">
        <w:rPr>
          <w:rStyle w:val="Emphasis"/>
        </w:rPr>
        <w:t>высоко оценивает</w:t>
      </w:r>
      <w:r w:rsidR="000A6441" w:rsidRPr="00D42C60">
        <w:t xml:space="preserve"> доклады, получе</w:t>
      </w:r>
      <w:r>
        <w:t>нные от правительства Украины в </w:t>
      </w:r>
      <w:r w:rsidR="000A6441" w:rsidRPr="00D42C60">
        <w:t>соответствии с пунктом 25 решения VI/2 относительно последующих действий по решению V/4 в связи с проектом по каналу «Быстрое»;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2.</w:t>
      </w:r>
      <w:r w:rsidR="000A6441" w:rsidRPr="00D42C60">
        <w:tab/>
      </w:r>
      <w:r w:rsidR="000A6441" w:rsidRPr="00D42C60">
        <w:rPr>
          <w:rStyle w:val="Emphasis"/>
        </w:rPr>
        <w:t>приветствует</w:t>
      </w:r>
      <w:r w:rsidR="000A6441" w:rsidRPr="00D42C60">
        <w:t xml:space="preserve"> усилия правительства Украины по выполнению рекомендаций Совещания Сторон, адресованных ему в решении VI/2;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3.</w:t>
      </w:r>
      <w:r w:rsidR="000A6441" w:rsidRPr="00D42C60">
        <w:tab/>
      </w:r>
      <w:r w:rsidR="000A6441" w:rsidRPr="00D42C60">
        <w:rPr>
          <w:rStyle w:val="Emphasis"/>
        </w:rPr>
        <w:t>приветствует также</w:t>
      </w:r>
      <w:r w:rsidR="000A6441" w:rsidRPr="00D42C60">
        <w:t xml:space="preserve"> тот факт, </w:t>
      </w:r>
      <w:r>
        <w:t>что Украина консультировалась с </w:t>
      </w:r>
      <w:r w:rsidR="000A6441" w:rsidRPr="00D42C60">
        <w:t>Комитетом по осуществлению в ходе подготовки своего Закона об оценке воздействия на окружающую среду с целью гарантирования того, чтобы он обеспечил надлежащую основу для осуществления Конвенции;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4.</w:t>
      </w:r>
      <w:r w:rsidR="000A6441" w:rsidRPr="00D42C60">
        <w:tab/>
      </w:r>
      <w:r w:rsidR="000A6441" w:rsidRPr="00D42C60">
        <w:rPr>
          <w:rStyle w:val="Emphasis"/>
        </w:rPr>
        <w:t>приветствует далее</w:t>
      </w:r>
      <w:r w:rsidR="000A6441" w:rsidRPr="00D42C60">
        <w:t xml:space="preserve"> принятие Украиной в мае 2017 года Закона об оценке воздействия на окружающую среду, за которым последовало принятие ряда актов вторичного законодательства в качестве конкретных законодательных шагов, направленных на реализацию стратегии правительства Украины по осуществлению Конвенции, о которой говорится в пункте 25</w:t>
      </w:r>
      <w:r>
        <w:t xml:space="preserve"> </w:t>
      </w:r>
      <w:r w:rsidR="000A6441" w:rsidRPr="00D42C60">
        <w:t>а) решения VI/2;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5.</w:t>
      </w:r>
      <w:r w:rsidR="000A6441" w:rsidRPr="00D42C60">
        <w:tab/>
      </w:r>
      <w:r w:rsidR="000A6441" w:rsidRPr="00D42C60">
        <w:rPr>
          <w:rStyle w:val="Emphasis"/>
        </w:rPr>
        <w:t>просит</w:t>
      </w:r>
      <w:r w:rsidR="000A6441" w:rsidRPr="00D42C60">
        <w:t xml:space="preserve"> правительство Украины незамедлительно сообщать о положении с принятием вторичного законодательства, которое было разработано с целью приведения ее национального законодательства в полное соответствие с Конвенцией;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6.</w:t>
      </w:r>
      <w:r w:rsidR="000A6441" w:rsidRPr="00D42C60">
        <w:tab/>
      </w:r>
      <w:r w:rsidR="000A6441" w:rsidRPr="00D42C60">
        <w:rPr>
          <w:rStyle w:val="Emphasis"/>
        </w:rPr>
        <w:t>выражает сожаление</w:t>
      </w:r>
      <w:r w:rsidR="000A6441" w:rsidRPr="00D42C60">
        <w:t xml:space="preserve"> по поводу того, что для приведения проекта по каналу </w:t>
      </w:r>
      <w:r>
        <w:t>«</w:t>
      </w:r>
      <w:r w:rsidR="000A6441" w:rsidRPr="00D42C60">
        <w:t>Быстрое</w:t>
      </w:r>
      <w:r>
        <w:t>»</w:t>
      </w:r>
      <w:r w:rsidR="000A6441" w:rsidRPr="00D42C60">
        <w:t xml:space="preserve"> в полное соответствие с Конвенцией во исполнение пункта 24 решения VI/2 были предприняты лишь ограниченные шаги;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7.</w:t>
      </w:r>
      <w:r w:rsidR="000A6441" w:rsidRPr="00D42C60">
        <w:tab/>
      </w:r>
      <w:r w:rsidR="000A6441" w:rsidRPr="00D42C60">
        <w:rPr>
          <w:rStyle w:val="Emphasis"/>
        </w:rPr>
        <w:t xml:space="preserve">одобряет </w:t>
      </w:r>
      <w:r w:rsidR="000A6441" w:rsidRPr="00D42C60">
        <w:t xml:space="preserve">сформулированные Комитетом по осуществлению на его сорок первой и сорок второй сессиях выводы о том, что Украина, несмотря на некоторые </w:t>
      </w:r>
      <w:r w:rsidR="000A6441" w:rsidRPr="00D42C60">
        <w:lastRenderedPageBreak/>
        <w:t>предпринятые ею шаги, еще не выполнила</w:t>
      </w:r>
      <w:r w:rsidR="000A6441">
        <w:t xml:space="preserve"> </w:t>
      </w:r>
      <w:r w:rsidR="000A6441" w:rsidRPr="00D42C60">
        <w:t>свои обязательства по пунктам 24 и 25 решения VI/2</w:t>
      </w:r>
      <w:r w:rsidR="000A6441" w:rsidRPr="000A6441">
        <w:rPr>
          <w:rStyle w:val="FootnoteReference"/>
        </w:rPr>
        <w:footnoteReference w:id="10"/>
      </w:r>
      <w:r>
        <w:t>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8.</w:t>
      </w:r>
      <w:r w:rsidR="000A6441" w:rsidRPr="00D42C60">
        <w:tab/>
      </w:r>
      <w:r w:rsidR="000A6441" w:rsidRPr="00D42C60">
        <w:rPr>
          <w:rStyle w:val="Emphasis"/>
        </w:rPr>
        <w:t>также одобряет</w:t>
      </w:r>
      <w:r w:rsidR="000A6441" w:rsidRPr="00D42C60">
        <w:t xml:space="preserve"> выводы Комитета о том, что продолжение дноуглубительных работ правительством Украины представляет собой дальнейшее нарушение ее обязательств по Конвенции</w:t>
      </w:r>
      <w:r w:rsidR="000A6441" w:rsidRPr="000A6441">
        <w:rPr>
          <w:rStyle w:val="FootnoteReference"/>
        </w:rPr>
        <w:footnoteReference w:id="11"/>
      </w:r>
      <w:r>
        <w:t>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9.</w:t>
      </w:r>
      <w:r w:rsidR="000A6441" w:rsidRPr="00D42C60">
        <w:tab/>
      </w:r>
      <w:r w:rsidR="000A6441" w:rsidRPr="00D42C60">
        <w:rPr>
          <w:rStyle w:val="Emphasis"/>
        </w:rPr>
        <w:t>заявляет</w:t>
      </w:r>
      <w:r w:rsidR="000A6441" w:rsidRPr="00D42C60">
        <w:t xml:space="preserve"> в этой связи, что предупреждение в адрес правительства Украины, вынесенное на его четвертой сессии, по-прежнему сохраняет силу;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10.</w:t>
      </w:r>
      <w:r w:rsidR="000A6441" w:rsidRPr="00D42C60">
        <w:tab/>
      </w:r>
      <w:r w:rsidR="000A6441" w:rsidRPr="00D42C60">
        <w:rPr>
          <w:rStyle w:val="Emphasis"/>
        </w:rPr>
        <w:t xml:space="preserve">приветствует </w:t>
      </w:r>
      <w:r w:rsidR="000A6441" w:rsidRPr="00D42C60">
        <w:t xml:space="preserve">заявление Украины о наличии о нее подлинного желания привести проект по каналу </w:t>
      </w:r>
      <w:r w:rsidR="00D6540D">
        <w:t>«</w:t>
      </w:r>
      <w:r w:rsidR="000A6441" w:rsidRPr="00D42C60">
        <w:t>Быстрое</w:t>
      </w:r>
      <w:r w:rsidR="00D6540D">
        <w:t>»</w:t>
      </w:r>
      <w:r w:rsidR="000A6441" w:rsidRPr="00D42C60">
        <w:t xml:space="preserve"> в полное соответствие с Конвенцией</w:t>
      </w:r>
      <w:r w:rsidR="000A6441" w:rsidRPr="000A6441">
        <w:rPr>
          <w:rStyle w:val="FootnoteReference"/>
        </w:rPr>
        <w:footnoteReference w:id="12"/>
      </w:r>
      <w:r>
        <w:t>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11.</w:t>
      </w:r>
      <w:r w:rsidR="000A6441" w:rsidRPr="00D42C60">
        <w:tab/>
      </w:r>
      <w:r w:rsidR="000A6441" w:rsidRPr="00D42C60">
        <w:rPr>
          <w:rStyle w:val="Emphasis"/>
        </w:rPr>
        <w:t>также приветствует</w:t>
      </w:r>
      <w:r w:rsidR="000A6441" w:rsidRPr="00D42C60">
        <w:t xml:space="preserve"> намеченные шаги, которые должна предпринять Украина, как предусмотрено в разработанной ею дорожной карте к этапам I и II проекта по каналу </w:t>
      </w:r>
      <w:r>
        <w:t>«</w:t>
      </w:r>
      <w:r w:rsidR="000A6441" w:rsidRPr="00D42C60">
        <w:t>Быстрое</w:t>
      </w:r>
      <w:r>
        <w:t>»</w:t>
      </w:r>
      <w:r w:rsidR="000A6441" w:rsidRPr="00D42C60">
        <w:t>, включая готовность прекратить работы, отменить окончательное решение, провести оценку ущерба окружающей среде и разработать план по компенсационным и смягчающим мерам</w:t>
      </w:r>
      <w:r w:rsidR="000A6441" w:rsidRPr="000A6441">
        <w:rPr>
          <w:rStyle w:val="FootnoteReference"/>
        </w:rPr>
        <w:footnoteReference w:id="13"/>
      </w:r>
      <w:r>
        <w:t>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12.</w:t>
      </w:r>
      <w:r w:rsidR="000A6441" w:rsidRPr="00D42C60">
        <w:tab/>
      </w:r>
      <w:r w:rsidR="000A6441" w:rsidRPr="00D42C60">
        <w:rPr>
          <w:rStyle w:val="Emphasis"/>
        </w:rPr>
        <w:t>признает</w:t>
      </w:r>
      <w:r w:rsidR="000A6441" w:rsidRPr="00D42C60">
        <w:t>, что, хотя перечень шагов, изложенных в дорожной карте, не является исчерпывающим, он представляет собой хорошую основу для приведения проекта в полное соответствие с Конвенцией</w:t>
      </w:r>
      <w:r w:rsidR="000A6441" w:rsidRPr="000A6441">
        <w:rPr>
          <w:rStyle w:val="FootnoteReference"/>
        </w:rPr>
        <w:footnoteReference w:id="14"/>
      </w:r>
      <w:r>
        <w:t>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13.</w:t>
      </w:r>
      <w:r w:rsidR="000A6441" w:rsidRPr="00D42C60">
        <w:tab/>
      </w:r>
      <w:r w:rsidR="000A6441" w:rsidRPr="00D42C60">
        <w:rPr>
          <w:rStyle w:val="Emphasis"/>
        </w:rPr>
        <w:t>принимает к сведению</w:t>
      </w:r>
      <w:r w:rsidR="000A6441" w:rsidRPr="00D42C60">
        <w:t xml:space="preserve"> намерение Укра</w:t>
      </w:r>
      <w:r w:rsidR="00D6540D">
        <w:t>ины разработать новый проект по </w:t>
      </w:r>
      <w:r w:rsidR="000A6441" w:rsidRPr="00D42C60">
        <w:t>руслу «Быстрое» и провести трансграничную процедуру оценки воздействия на окружающую среду по новому проекту в соответствии с Конвенцией</w:t>
      </w:r>
      <w:r w:rsidR="000A6441" w:rsidRPr="000A6441">
        <w:rPr>
          <w:rStyle w:val="FootnoteReference"/>
        </w:rPr>
        <w:footnoteReference w:id="15"/>
      </w:r>
      <w:r>
        <w:t>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14.</w:t>
      </w:r>
      <w:r w:rsidR="000A6441" w:rsidRPr="00D42C60">
        <w:tab/>
      </w:r>
      <w:r w:rsidR="000A6441" w:rsidRPr="00D42C60">
        <w:rPr>
          <w:rStyle w:val="Emphasis"/>
        </w:rPr>
        <w:t>просит</w:t>
      </w:r>
      <w:r w:rsidR="000A6441" w:rsidRPr="00D42C60">
        <w:t xml:space="preserve"> Украину проводить с Румынией консультации по поводу дорожной карты и ее осуществления;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15.</w:t>
      </w:r>
      <w:r w:rsidR="000A6441" w:rsidRPr="00D42C60">
        <w:tab/>
      </w:r>
      <w:r w:rsidR="000A6441" w:rsidRPr="00D42C60">
        <w:rPr>
          <w:rStyle w:val="Emphasis"/>
        </w:rPr>
        <w:t>вновь обращается</w:t>
      </w:r>
      <w:r w:rsidR="000A6441" w:rsidRPr="00D42C60">
        <w:t xml:space="preserve"> к правительству Украины с просьбой безотлагательно привести проект в полное соответствие с Конвенцией;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16.</w:t>
      </w:r>
      <w:r w:rsidR="000A6441" w:rsidRPr="00D42C60">
        <w:tab/>
      </w:r>
      <w:r w:rsidR="000A6441" w:rsidRPr="00D42C60">
        <w:rPr>
          <w:rStyle w:val="Emphasis"/>
        </w:rPr>
        <w:t>приветствует</w:t>
      </w:r>
      <w:r w:rsidR="000A6441" w:rsidRPr="00D42C60">
        <w:t xml:space="preserve"> усилия правительств Украины и Румынии по дальнейшей разработке двустороннего соглашения в целях более эффективного осуществления Конвенции, в то же время выражая сожаление по поводу отсутствия прогресса;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17.</w:t>
      </w:r>
      <w:r w:rsidR="000A6441" w:rsidRPr="00D42C60">
        <w:tab/>
      </w:r>
      <w:r w:rsidR="000A6441" w:rsidRPr="00D42C60">
        <w:rPr>
          <w:rStyle w:val="Emphasis"/>
        </w:rPr>
        <w:t>призывает</w:t>
      </w:r>
      <w:r w:rsidR="000A6441" w:rsidRPr="00D42C60">
        <w:t xml:space="preserve"> правительства Украины и Румынии продолжать их сотрудничество в процессе подготовки двустороннего соглашения или иной договоренности для дальнейшей поддержки их работы по осуществлению положений Конвенции, изложенных в статье 8 Конвенции;</w:t>
      </w:r>
    </w:p>
    <w:p w:rsidR="000A6441" w:rsidRPr="00D42C60" w:rsidRDefault="005914DD" w:rsidP="000A6441">
      <w:pPr>
        <w:pStyle w:val="SingleTxtG"/>
      </w:pPr>
      <w:r>
        <w:tab/>
      </w:r>
      <w:r>
        <w:tab/>
      </w:r>
      <w:r w:rsidR="000A6441" w:rsidRPr="00D42C60">
        <w:t>18.</w:t>
      </w:r>
      <w:r w:rsidR="000A6441" w:rsidRPr="00D42C60">
        <w:tab/>
      </w:r>
      <w:r w:rsidR="000A6441" w:rsidRPr="00D42C60">
        <w:rPr>
          <w:rStyle w:val="Emphasis"/>
        </w:rPr>
        <w:t>просит</w:t>
      </w:r>
      <w:r w:rsidR="000A6441" w:rsidRPr="00D42C60">
        <w:t xml:space="preserve"> правительство Украины информировать Румынию о полученных результатах мониторинга;</w:t>
      </w:r>
    </w:p>
    <w:p w:rsidR="000A6441" w:rsidRDefault="005914DD" w:rsidP="000A6441">
      <w:pPr>
        <w:pStyle w:val="SingleTxtG"/>
      </w:pPr>
      <w:r>
        <w:tab/>
      </w:r>
      <w:r>
        <w:tab/>
      </w:r>
      <w:r w:rsidR="000A6441" w:rsidRPr="00D42C60">
        <w:t>19.</w:t>
      </w:r>
      <w:r w:rsidR="000A6441" w:rsidRPr="00D42C60">
        <w:tab/>
      </w:r>
      <w:r w:rsidR="000A6441" w:rsidRPr="00D42C60">
        <w:rPr>
          <w:rStyle w:val="Emphasis"/>
        </w:rPr>
        <w:t>просит</w:t>
      </w:r>
      <w:r w:rsidR="000A6441" w:rsidRPr="00D42C60">
        <w:t xml:space="preserve"> Комитет по осуществлению доложить Совещанию Сторон на его восьмой сессии о своей оценке шагов, предпринятых правительством Украины, и разработать, при целесообразности, дополнительные рекомендации с целью оказания Украине содействия в соблюдении ее обязательств по Конвенции.</w:t>
      </w:r>
    </w:p>
    <w:p w:rsidR="00E12C5F" w:rsidRPr="005914DD" w:rsidRDefault="005914DD" w:rsidP="005914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914DD" w:rsidSect="005C5F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12" w:rsidRPr="00A312BC" w:rsidRDefault="00492E12" w:rsidP="00A312BC"/>
  </w:endnote>
  <w:endnote w:type="continuationSeparator" w:id="0">
    <w:p w:rsidR="00492E12" w:rsidRPr="00A312BC" w:rsidRDefault="00492E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67" w:rsidRPr="005C5F67" w:rsidRDefault="005C5F67">
    <w:pPr>
      <w:pStyle w:val="Footer"/>
    </w:pPr>
    <w:r w:rsidRPr="005C5F67">
      <w:rPr>
        <w:b/>
        <w:sz w:val="18"/>
      </w:rPr>
      <w:fldChar w:fldCharType="begin"/>
    </w:r>
    <w:r w:rsidRPr="005C5F67">
      <w:rPr>
        <w:b/>
        <w:sz w:val="18"/>
      </w:rPr>
      <w:instrText xml:space="preserve"> PAGE  \* MERGEFORMAT </w:instrText>
    </w:r>
    <w:r w:rsidRPr="005C5F67">
      <w:rPr>
        <w:b/>
        <w:sz w:val="18"/>
      </w:rPr>
      <w:fldChar w:fldCharType="separate"/>
    </w:r>
    <w:r w:rsidR="007C0257">
      <w:rPr>
        <w:b/>
        <w:noProof/>
        <w:sz w:val="18"/>
      </w:rPr>
      <w:t>2</w:t>
    </w:r>
    <w:r w:rsidRPr="005C5F67">
      <w:rPr>
        <w:b/>
        <w:sz w:val="18"/>
      </w:rPr>
      <w:fldChar w:fldCharType="end"/>
    </w:r>
    <w:r>
      <w:rPr>
        <w:b/>
        <w:sz w:val="18"/>
      </w:rPr>
      <w:tab/>
    </w:r>
    <w:r>
      <w:t>GE.18-19998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67" w:rsidRPr="005C5F67" w:rsidRDefault="005C5F67" w:rsidP="005C5F6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GE.18-19998</w:t>
    </w:r>
    <w:r>
      <w:tab/>
    </w:r>
    <w:r w:rsidRPr="005C5F67">
      <w:rPr>
        <w:b/>
        <w:sz w:val="18"/>
      </w:rPr>
      <w:fldChar w:fldCharType="begin"/>
    </w:r>
    <w:r w:rsidRPr="005C5F67">
      <w:rPr>
        <w:b/>
        <w:sz w:val="18"/>
      </w:rPr>
      <w:instrText xml:space="preserve"> PAGE  \* MERGEFORMAT </w:instrText>
    </w:r>
    <w:r w:rsidRPr="005C5F67">
      <w:rPr>
        <w:b/>
        <w:sz w:val="18"/>
      </w:rPr>
      <w:fldChar w:fldCharType="separate"/>
    </w:r>
    <w:r w:rsidR="007C0257">
      <w:rPr>
        <w:b/>
        <w:noProof/>
        <w:sz w:val="18"/>
      </w:rPr>
      <w:t>3</w:t>
    </w:r>
    <w:r w:rsidRPr="005C5F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C5F67" w:rsidRDefault="005C5F67" w:rsidP="005C5F6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18-19998  (R)</w:t>
    </w:r>
    <w:r w:rsidR="003B3431">
      <w:rPr>
        <w:lang w:val="en-US"/>
      </w:rPr>
      <w:t xml:space="preserve">  291118  03</w:t>
    </w:r>
    <w:r w:rsidR="00B0403F">
      <w:rPr>
        <w:lang w:val="en-US"/>
      </w:rPr>
      <w:t>1</w:t>
    </w:r>
    <w:r w:rsidR="003B3431">
      <w:rPr>
        <w:lang w:val="en-US"/>
      </w:rPr>
      <w:t>218</w:t>
    </w:r>
    <w:r>
      <w:br/>
    </w:r>
    <w:r w:rsidRPr="005C5F67">
      <w:rPr>
        <w:rFonts w:ascii="C39T30Lfz" w:hAnsi="C39T30Lfz"/>
        <w:kern w:val="14"/>
        <w:sz w:val="56"/>
      </w:rPr>
      <w:t></w:t>
    </w:r>
    <w:r w:rsidRPr="005C5F67">
      <w:rPr>
        <w:rFonts w:ascii="C39T30Lfz" w:hAnsi="C39T30Lfz"/>
        <w:kern w:val="14"/>
        <w:sz w:val="56"/>
      </w:rPr>
      <w:t></w:t>
    </w:r>
    <w:r w:rsidRPr="005C5F67">
      <w:rPr>
        <w:rFonts w:ascii="C39T30Lfz" w:hAnsi="C39T30Lfz"/>
        <w:kern w:val="14"/>
        <w:sz w:val="56"/>
      </w:rPr>
      <w:t></w:t>
    </w:r>
    <w:r w:rsidRPr="005C5F67">
      <w:rPr>
        <w:rFonts w:ascii="C39T30Lfz" w:hAnsi="C39T30Lfz"/>
        <w:kern w:val="14"/>
        <w:sz w:val="56"/>
      </w:rPr>
      <w:t></w:t>
    </w:r>
    <w:r w:rsidRPr="005C5F67">
      <w:rPr>
        <w:rFonts w:ascii="C39T30Lfz" w:hAnsi="C39T30Lfz"/>
        <w:kern w:val="14"/>
        <w:sz w:val="56"/>
      </w:rPr>
      <w:t></w:t>
    </w:r>
    <w:r w:rsidRPr="005C5F67">
      <w:rPr>
        <w:rFonts w:ascii="C39T30Lfz" w:hAnsi="C39T30Lfz"/>
        <w:kern w:val="14"/>
        <w:sz w:val="56"/>
      </w:rPr>
      <w:t></w:t>
    </w:r>
    <w:r w:rsidRPr="005C5F67">
      <w:rPr>
        <w:rFonts w:ascii="C39T30Lfz" w:hAnsi="C39T30Lfz"/>
        <w:kern w:val="14"/>
        <w:sz w:val="56"/>
      </w:rPr>
      <w:t></w:t>
    </w:r>
    <w:r w:rsidRPr="005C5F67">
      <w:rPr>
        <w:rFonts w:ascii="C39T30Lfz" w:hAnsi="C39T30Lfz"/>
        <w:kern w:val="14"/>
        <w:sz w:val="56"/>
      </w:rPr>
      <w:t></w:t>
    </w:r>
    <w:r w:rsidRPr="005C5F67">
      <w:rPr>
        <w:rFonts w:ascii="C39T30Lfz" w:hAnsi="C39T30Lfz"/>
        <w:kern w:val="14"/>
        <w:sz w:val="56"/>
      </w:rPr>
      <w:t></w:t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019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12" w:rsidRPr="001075E9" w:rsidRDefault="00492E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2E12" w:rsidRDefault="00492E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A6441" w:rsidRPr="007C0257" w:rsidRDefault="000A6441" w:rsidP="000A6441">
      <w:pPr>
        <w:pStyle w:val="FootnoteText"/>
      </w:pPr>
      <w:r>
        <w:tab/>
      </w:r>
      <w:r w:rsidRPr="000A6441">
        <w:rPr>
          <w:rStyle w:val="FootnoteReference"/>
        </w:rPr>
        <w:footnoteRef/>
      </w:r>
      <w:r w:rsidRPr="007C0257">
        <w:tab/>
      </w:r>
      <w:r>
        <w:t>См</w:t>
      </w:r>
      <w:r w:rsidRPr="007C0257">
        <w:t xml:space="preserve">. </w:t>
      </w:r>
      <w:r w:rsidRPr="003F08B4">
        <w:rPr>
          <w:lang w:val="en-US"/>
        </w:rPr>
        <w:t>ECE</w:t>
      </w:r>
      <w:r w:rsidRPr="007C0257">
        <w:t>/</w:t>
      </w:r>
      <w:r w:rsidRPr="003F08B4">
        <w:rPr>
          <w:lang w:val="en-US"/>
        </w:rPr>
        <w:t>MP</w:t>
      </w:r>
      <w:r w:rsidRPr="007C0257">
        <w:t>.</w:t>
      </w:r>
      <w:r w:rsidRPr="003F08B4">
        <w:rPr>
          <w:lang w:val="en-US"/>
        </w:rPr>
        <w:t>EIA</w:t>
      </w:r>
      <w:r w:rsidRPr="007C0257">
        <w:t>/10.</w:t>
      </w:r>
    </w:p>
  </w:footnote>
  <w:footnote w:id="2">
    <w:p w:rsidR="000A6441" w:rsidRPr="007C0257" w:rsidRDefault="000A6441" w:rsidP="000A6441">
      <w:pPr>
        <w:pStyle w:val="FootnoteText"/>
      </w:pPr>
      <w:r w:rsidRPr="007C0257">
        <w:tab/>
      </w:r>
      <w:r w:rsidRPr="000A6441">
        <w:rPr>
          <w:rStyle w:val="FootnoteReference"/>
        </w:rPr>
        <w:footnoteRef/>
      </w:r>
      <w:r w:rsidRPr="007C0257">
        <w:tab/>
      </w:r>
      <w:r>
        <w:t>См</w:t>
      </w:r>
      <w:r w:rsidRPr="007C0257">
        <w:t xml:space="preserve">. </w:t>
      </w:r>
      <w:r w:rsidRPr="003F08B4">
        <w:rPr>
          <w:lang w:val="en-US"/>
        </w:rPr>
        <w:t>ECE</w:t>
      </w:r>
      <w:r w:rsidRPr="007C0257">
        <w:t>/</w:t>
      </w:r>
      <w:r w:rsidRPr="003F08B4">
        <w:rPr>
          <w:lang w:val="en-US"/>
        </w:rPr>
        <w:t>MP</w:t>
      </w:r>
      <w:r w:rsidRPr="007C0257">
        <w:t>.</w:t>
      </w:r>
      <w:r w:rsidRPr="003F08B4">
        <w:rPr>
          <w:lang w:val="en-US"/>
        </w:rPr>
        <w:t>EIA</w:t>
      </w:r>
      <w:r w:rsidRPr="007C0257">
        <w:t>/15.</w:t>
      </w:r>
    </w:p>
  </w:footnote>
  <w:footnote w:id="3">
    <w:p w:rsidR="000A6441" w:rsidRPr="00C57E93" w:rsidRDefault="000A6441" w:rsidP="000A6441">
      <w:pPr>
        <w:pStyle w:val="FootnoteText"/>
        <w:rPr>
          <w:lang w:val="es-ES"/>
        </w:rPr>
      </w:pPr>
      <w:r w:rsidRPr="007C0257">
        <w:tab/>
      </w:r>
      <w:r w:rsidRPr="000A6441">
        <w:rPr>
          <w:rStyle w:val="FootnoteReference"/>
        </w:rPr>
        <w:footnoteRef/>
      </w:r>
      <w:r w:rsidRPr="00C57E93">
        <w:rPr>
          <w:lang w:val="es-ES"/>
        </w:rPr>
        <w:tab/>
      </w:r>
      <w:r>
        <w:t>См</w:t>
      </w:r>
      <w:r w:rsidRPr="00C57E93">
        <w:rPr>
          <w:lang w:val="es-ES"/>
        </w:rPr>
        <w:t>. ECE/MP.EIA/20/Add.1-ECE/MP.EIA/SEA/4/Add.1.</w:t>
      </w:r>
    </w:p>
  </w:footnote>
  <w:footnote w:id="4">
    <w:p w:rsidR="000A6441" w:rsidRPr="00C57E93" w:rsidRDefault="000A6441" w:rsidP="000A6441">
      <w:pPr>
        <w:pStyle w:val="FootnoteText"/>
      </w:pPr>
      <w:r w:rsidRPr="00C57E93">
        <w:rPr>
          <w:lang w:val="es-ES"/>
        </w:rPr>
        <w:tab/>
      </w:r>
      <w:r w:rsidRPr="000A6441">
        <w:rPr>
          <w:rStyle w:val="FootnoteReference"/>
        </w:rPr>
        <w:footnoteRef/>
      </w:r>
      <w:r w:rsidRPr="00C57E93">
        <w:rPr>
          <w:lang w:val="es-ES"/>
        </w:rPr>
        <w:tab/>
      </w:r>
      <w:r>
        <w:t>См</w:t>
      </w:r>
      <w:r w:rsidRPr="00C57E93">
        <w:rPr>
          <w:lang w:val="es-ES"/>
        </w:rPr>
        <w:t xml:space="preserve">. ECE/MP.EIA/23-ECE/MP.EIA/SEA/7, </w:t>
      </w:r>
      <w:r>
        <w:t>пункт</w:t>
      </w:r>
      <w:r w:rsidRPr="00C57E93">
        <w:rPr>
          <w:lang w:val="es-ES"/>
        </w:rPr>
        <w:t xml:space="preserve"> 27. </w:t>
      </w:r>
      <w:r>
        <w:t>См. также проект решения VII/2 (ECE/MP.EIA/2017/8).</w:t>
      </w:r>
    </w:p>
  </w:footnote>
  <w:footnote w:id="5">
    <w:p w:rsidR="000A6441" w:rsidRPr="00C57E93" w:rsidRDefault="000A6441" w:rsidP="000A6441">
      <w:pPr>
        <w:pStyle w:val="FootnoteText"/>
        <w:rPr>
          <w:lang w:val="es-ES"/>
        </w:rPr>
      </w:pPr>
      <w:r>
        <w:tab/>
      </w:r>
      <w:r w:rsidRPr="000A6441">
        <w:rPr>
          <w:rStyle w:val="FootnoteReference"/>
        </w:rPr>
        <w:footnoteRef/>
      </w:r>
      <w:r w:rsidRPr="00C57E93">
        <w:rPr>
          <w:lang w:val="es-ES"/>
        </w:rPr>
        <w:tab/>
        <w:t xml:space="preserve">ECE/MP.EIA/2017/4-ECE/MP.EIA/SEA/2017/4, </w:t>
      </w:r>
      <w:r>
        <w:t>пункты</w:t>
      </w:r>
      <w:r w:rsidRPr="00C57E93">
        <w:rPr>
          <w:lang w:val="es-ES"/>
        </w:rPr>
        <w:t xml:space="preserve"> 10</w:t>
      </w:r>
      <w:r w:rsidR="005914DD">
        <w:rPr>
          <w:lang w:val="es-ES"/>
        </w:rPr>
        <w:t>–</w:t>
      </w:r>
      <w:r w:rsidRPr="00C57E93">
        <w:rPr>
          <w:lang w:val="es-ES"/>
        </w:rPr>
        <w:t>16.</w:t>
      </w:r>
    </w:p>
  </w:footnote>
  <w:footnote w:id="6">
    <w:p w:rsidR="000A6441" w:rsidRPr="00C57E93" w:rsidRDefault="000A6441" w:rsidP="000A6441">
      <w:pPr>
        <w:pStyle w:val="FootnoteText"/>
        <w:rPr>
          <w:lang w:val="es-ES"/>
        </w:rPr>
      </w:pPr>
      <w:r w:rsidRPr="00C57E93">
        <w:rPr>
          <w:lang w:val="es-ES"/>
        </w:rPr>
        <w:tab/>
      </w:r>
      <w:r w:rsidRPr="000A6441">
        <w:rPr>
          <w:rStyle w:val="FootnoteReference"/>
        </w:rPr>
        <w:footnoteRef/>
      </w:r>
      <w:r w:rsidRPr="00C57E93">
        <w:rPr>
          <w:lang w:val="es-ES"/>
        </w:rPr>
        <w:tab/>
        <w:t xml:space="preserve">ECE/MP.EIA/IC/2017/4, </w:t>
      </w:r>
      <w:r>
        <w:t>пункты</w:t>
      </w:r>
      <w:r w:rsidRPr="00C57E93">
        <w:rPr>
          <w:lang w:val="es-ES"/>
        </w:rPr>
        <w:t xml:space="preserve"> 15–20.</w:t>
      </w:r>
    </w:p>
  </w:footnote>
  <w:footnote w:id="7">
    <w:p w:rsidR="000A6441" w:rsidRPr="00C57E93" w:rsidRDefault="000A6441" w:rsidP="000A6441">
      <w:pPr>
        <w:pStyle w:val="FootnoteText"/>
        <w:rPr>
          <w:lang w:val="es-ES"/>
        </w:rPr>
      </w:pPr>
      <w:r w:rsidRPr="00C57E93">
        <w:rPr>
          <w:lang w:val="es-ES"/>
        </w:rPr>
        <w:tab/>
      </w:r>
      <w:r w:rsidRPr="000A6441">
        <w:rPr>
          <w:rStyle w:val="FootnoteReference"/>
        </w:rPr>
        <w:footnoteRef/>
      </w:r>
      <w:r w:rsidRPr="00C57E93">
        <w:rPr>
          <w:lang w:val="es-ES"/>
        </w:rPr>
        <w:tab/>
        <w:t xml:space="preserve">ECE/MP.EIA/IC/2017/6, </w:t>
      </w:r>
      <w:r>
        <w:t>пункты</w:t>
      </w:r>
      <w:r w:rsidRPr="00C57E93">
        <w:rPr>
          <w:lang w:val="es-ES"/>
        </w:rPr>
        <w:t xml:space="preserve"> 19–26.</w:t>
      </w:r>
    </w:p>
  </w:footnote>
  <w:footnote w:id="8">
    <w:p w:rsidR="000A6441" w:rsidRPr="00C57E93" w:rsidRDefault="000A6441" w:rsidP="000A6441">
      <w:pPr>
        <w:pStyle w:val="FootnoteText"/>
        <w:rPr>
          <w:lang w:val="es-ES"/>
        </w:rPr>
      </w:pPr>
      <w:r w:rsidRPr="00C57E93">
        <w:rPr>
          <w:lang w:val="es-ES"/>
        </w:rPr>
        <w:tab/>
      </w:r>
      <w:r w:rsidRPr="000A6441">
        <w:rPr>
          <w:rStyle w:val="FootnoteReference"/>
        </w:rPr>
        <w:footnoteRef/>
      </w:r>
      <w:r w:rsidRPr="00C57E93">
        <w:rPr>
          <w:lang w:val="es-ES"/>
        </w:rPr>
        <w:tab/>
        <w:t xml:space="preserve">ECE/MP.EIA/IC/2018/2, </w:t>
      </w:r>
      <w:r>
        <w:t>пункты</w:t>
      </w:r>
      <w:r w:rsidRPr="00C57E93">
        <w:rPr>
          <w:lang w:val="es-ES"/>
        </w:rPr>
        <w:t xml:space="preserve"> 30–39.</w:t>
      </w:r>
    </w:p>
  </w:footnote>
  <w:footnote w:id="9">
    <w:p w:rsidR="000A6441" w:rsidRPr="00C57E93" w:rsidRDefault="000A6441" w:rsidP="000A6441">
      <w:pPr>
        <w:pStyle w:val="FootnoteText"/>
        <w:rPr>
          <w:lang w:val="es-ES"/>
        </w:rPr>
      </w:pPr>
      <w:r w:rsidRPr="00C57E93">
        <w:rPr>
          <w:lang w:val="es-ES"/>
        </w:rPr>
        <w:tab/>
      </w:r>
      <w:r w:rsidRPr="000A6441">
        <w:rPr>
          <w:rStyle w:val="FootnoteReference"/>
        </w:rPr>
        <w:footnoteRef/>
      </w:r>
      <w:r w:rsidRPr="00C57E93">
        <w:rPr>
          <w:lang w:val="es-ES"/>
        </w:rPr>
        <w:tab/>
        <w:t xml:space="preserve">ECE/MP.EIA/IC/2018/4, </w:t>
      </w:r>
      <w:r>
        <w:t>пункты</w:t>
      </w:r>
      <w:r w:rsidRPr="00C57E93">
        <w:rPr>
          <w:lang w:val="es-ES"/>
        </w:rPr>
        <w:t xml:space="preserve"> 19–26.</w:t>
      </w:r>
    </w:p>
  </w:footnote>
  <w:footnote w:id="10">
    <w:p w:rsidR="000A6441" w:rsidRPr="00C57E93" w:rsidRDefault="000A6441" w:rsidP="000A6441">
      <w:pPr>
        <w:pStyle w:val="FootnoteText"/>
        <w:rPr>
          <w:lang w:val="es-ES"/>
        </w:rPr>
      </w:pPr>
      <w:r w:rsidRPr="00C57E93">
        <w:rPr>
          <w:lang w:val="es-ES"/>
        </w:rPr>
        <w:tab/>
      </w:r>
      <w:r w:rsidRPr="000A6441">
        <w:rPr>
          <w:rStyle w:val="FootnoteReference"/>
        </w:rPr>
        <w:footnoteRef/>
      </w:r>
      <w:r w:rsidRPr="00C57E93">
        <w:rPr>
          <w:lang w:val="es-ES"/>
        </w:rPr>
        <w:tab/>
        <w:t xml:space="preserve">ECE/MP.EIA/IC/2018/2, </w:t>
      </w:r>
      <w:r>
        <w:t>пункт</w:t>
      </w:r>
      <w:r w:rsidRPr="00C57E93">
        <w:rPr>
          <w:lang w:val="es-ES"/>
        </w:rPr>
        <w:t xml:space="preserve"> 30, </w:t>
      </w:r>
      <w:r>
        <w:t>и</w:t>
      </w:r>
      <w:r w:rsidRPr="00C57E93">
        <w:rPr>
          <w:lang w:val="es-ES"/>
        </w:rPr>
        <w:t xml:space="preserve"> ECE/MP.EIA/IC/2018/4, </w:t>
      </w:r>
      <w:r>
        <w:t>пункт</w:t>
      </w:r>
      <w:r w:rsidRPr="00C57E93">
        <w:rPr>
          <w:lang w:val="es-ES"/>
        </w:rPr>
        <w:t xml:space="preserve"> 21.</w:t>
      </w:r>
    </w:p>
  </w:footnote>
  <w:footnote w:id="11">
    <w:p w:rsidR="000A6441" w:rsidRPr="00C57E93" w:rsidRDefault="000A6441" w:rsidP="000A6441">
      <w:pPr>
        <w:pStyle w:val="FootnoteText"/>
        <w:rPr>
          <w:lang w:val="es-ES"/>
        </w:rPr>
      </w:pPr>
      <w:r w:rsidRPr="00C57E93">
        <w:rPr>
          <w:lang w:val="es-ES"/>
        </w:rPr>
        <w:tab/>
      </w:r>
      <w:r w:rsidRPr="000A6441">
        <w:rPr>
          <w:rStyle w:val="FootnoteReference"/>
        </w:rPr>
        <w:footnoteRef/>
      </w:r>
      <w:r w:rsidRPr="00C57E93">
        <w:rPr>
          <w:lang w:val="es-ES"/>
        </w:rPr>
        <w:tab/>
        <w:t xml:space="preserve">ECE/MP.EIA/IC/2016/4, </w:t>
      </w:r>
      <w:r>
        <w:t>пункт</w:t>
      </w:r>
      <w:r w:rsidRPr="00C57E93">
        <w:rPr>
          <w:lang w:val="es-ES"/>
        </w:rPr>
        <w:t xml:space="preserve"> 13.</w:t>
      </w:r>
    </w:p>
  </w:footnote>
  <w:footnote w:id="12">
    <w:p w:rsidR="000A6441" w:rsidRPr="00C57E93" w:rsidRDefault="000A6441" w:rsidP="000A6441">
      <w:pPr>
        <w:pStyle w:val="FootnoteText"/>
        <w:rPr>
          <w:lang w:val="es-ES"/>
        </w:rPr>
      </w:pPr>
      <w:r w:rsidRPr="00C57E93">
        <w:rPr>
          <w:lang w:val="es-ES"/>
        </w:rPr>
        <w:tab/>
      </w:r>
      <w:r w:rsidRPr="000A6441">
        <w:rPr>
          <w:rStyle w:val="FootnoteReference"/>
        </w:rPr>
        <w:footnoteRef/>
      </w:r>
      <w:r w:rsidRPr="00C57E93">
        <w:rPr>
          <w:lang w:val="es-ES"/>
        </w:rPr>
        <w:tab/>
        <w:t xml:space="preserve">ECE/MP.EIA/IC/2018/2, </w:t>
      </w:r>
      <w:r>
        <w:t>пункт</w:t>
      </w:r>
      <w:r w:rsidRPr="00C57E93">
        <w:rPr>
          <w:lang w:val="es-ES"/>
        </w:rPr>
        <w:t xml:space="preserve"> 34.</w:t>
      </w:r>
    </w:p>
  </w:footnote>
  <w:footnote w:id="13">
    <w:p w:rsidR="000A6441" w:rsidRPr="00C57E93" w:rsidRDefault="000A6441" w:rsidP="000A6441">
      <w:pPr>
        <w:pStyle w:val="FootnoteText"/>
      </w:pPr>
      <w:r w:rsidRPr="00C57E93">
        <w:rPr>
          <w:lang w:val="es-ES"/>
        </w:rPr>
        <w:tab/>
      </w:r>
      <w:r w:rsidRPr="000A6441">
        <w:rPr>
          <w:rStyle w:val="FootnoteReference"/>
        </w:rPr>
        <w:footnoteRef/>
      </w:r>
      <w:r>
        <w:tab/>
        <w:t>Там же.</w:t>
      </w:r>
    </w:p>
  </w:footnote>
  <w:footnote w:id="14">
    <w:p w:rsidR="000A6441" w:rsidRPr="00C57E93" w:rsidRDefault="000A6441" w:rsidP="000A6441">
      <w:pPr>
        <w:pStyle w:val="FootnoteText"/>
      </w:pPr>
      <w:r w:rsidRPr="0087354F">
        <w:tab/>
      </w:r>
      <w:r w:rsidRPr="000A6441">
        <w:rPr>
          <w:rStyle w:val="FootnoteReference"/>
        </w:rPr>
        <w:footnoteRef/>
      </w:r>
      <w:r>
        <w:tab/>
        <w:t>Там же.</w:t>
      </w:r>
    </w:p>
  </w:footnote>
  <w:footnote w:id="15">
    <w:p w:rsidR="000A6441" w:rsidRPr="00C57E93" w:rsidRDefault="000A6441" w:rsidP="000A6441">
      <w:pPr>
        <w:pStyle w:val="FootnoteText"/>
      </w:pPr>
      <w:r>
        <w:tab/>
      </w:r>
      <w:r w:rsidRPr="000A6441">
        <w:rPr>
          <w:rStyle w:val="FootnoteReference"/>
        </w:rPr>
        <w:footnoteRef/>
      </w:r>
      <w:r>
        <w:tab/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67" w:rsidRPr="005C5F67" w:rsidRDefault="007C0257">
    <w:pPr>
      <w:pStyle w:val="Header"/>
    </w:pPr>
    <w:fldSimple w:instr=" TITLE  \* MERGEFORMAT ">
      <w:r>
        <w:t>ECE/MP.EIA/2019/7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67" w:rsidRPr="005C5F67" w:rsidRDefault="007C0257" w:rsidP="005C5F67">
    <w:pPr>
      <w:pStyle w:val="Header"/>
      <w:jc w:val="right"/>
    </w:pPr>
    <w:fldSimple w:instr=" TITLE  \* MERGEFORMAT ">
      <w:r>
        <w:t>ECE/MP.EIA/2019/7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12"/>
    <w:rsid w:val="00033EE1"/>
    <w:rsid w:val="00042B72"/>
    <w:rsid w:val="000558BD"/>
    <w:rsid w:val="000A6441"/>
    <w:rsid w:val="000B17D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3431"/>
    <w:rsid w:val="003E0B46"/>
    <w:rsid w:val="00407B78"/>
    <w:rsid w:val="00424203"/>
    <w:rsid w:val="00452493"/>
    <w:rsid w:val="00453318"/>
    <w:rsid w:val="00454AF2"/>
    <w:rsid w:val="00454E07"/>
    <w:rsid w:val="00472C5C"/>
    <w:rsid w:val="00492E12"/>
    <w:rsid w:val="004E05B7"/>
    <w:rsid w:val="0050108D"/>
    <w:rsid w:val="00513081"/>
    <w:rsid w:val="00517901"/>
    <w:rsid w:val="00526683"/>
    <w:rsid w:val="005639C1"/>
    <w:rsid w:val="005709E0"/>
    <w:rsid w:val="00572E19"/>
    <w:rsid w:val="005914DD"/>
    <w:rsid w:val="005961C8"/>
    <w:rsid w:val="005966F1"/>
    <w:rsid w:val="005C5F67"/>
    <w:rsid w:val="005D7914"/>
    <w:rsid w:val="005E2B41"/>
    <w:rsid w:val="005F0B42"/>
    <w:rsid w:val="00617A43"/>
    <w:rsid w:val="006345DB"/>
    <w:rsid w:val="00640F49"/>
    <w:rsid w:val="00665765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025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7B76"/>
    <w:rsid w:val="00A312BC"/>
    <w:rsid w:val="00A84021"/>
    <w:rsid w:val="00A84D35"/>
    <w:rsid w:val="00A917B3"/>
    <w:rsid w:val="00AB4B51"/>
    <w:rsid w:val="00B0403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657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540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67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9C60131-1D46-4716-BC35-7D2190A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A6441"/>
    <w:rPr>
      <w:lang w:val="ru-RU" w:eastAsia="en-US"/>
    </w:rPr>
  </w:style>
  <w:style w:type="character" w:styleId="Emphasis">
    <w:name w:val="Emphasis"/>
    <w:qFormat/>
    <w:rsid w:val="000A6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4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ECE/MP.EIA/2019/7</vt:lpstr>
      <vt:lpstr>A/</vt:lpstr>
      <vt:lpstr>A/</vt:lpstr>
    </vt:vector>
  </TitlesOfParts>
  <Company>DCM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ECE/MP.EIA/2019/7</dc:title>
  <dc:subject/>
  <dc:creator>Ioulia Sergueevna GOUSSAROVA</dc:creator>
  <cp:keywords/>
  <cp:lastModifiedBy>Elisabeth James</cp:lastModifiedBy>
  <cp:revision>2</cp:revision>
  <cp:lastPrinted>2018-12-03T15:27:00Z</cp:lastPrinted>
  <dcterms:created xsi:type="dcterms:W3CDTF">2018-12-18T23:40:00Z</dcterms:created>
  <dcterms:modified xsi:type="dcterms:W3CDTF">2018-12-18T23:40:00Z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