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E168EE" w14:paraId="6001C93B" w14:textId="77777777" w:rsidTr="009E6CB7">
        <w:trPr>
          <w:cantSplit/>
          <w:trHeight w:hRule="exact" w:val="851"/>
        </w:trPr>
        <w:tc>
          <w:tcPr>
            <w:tcW w:w="1276" w:type="dxa"/>
            <w:tcBorders>
              <w:bottom w:val="single" w:sz="4" w:space="0" w:color="auto"/>
            </w:tcBorders>
            <w:vAlign w:val="bottom"/>
          </w:tcPr>
          <w:p w14:paraId="03A231DD" w14:textId="1CB99386" w:rsidR="009E6CB7" w:rsidRPr="00E168EE" w:rsidRDefault="009E6CB7" w:rsidP="009E6CB7">
            <w:pPr>
              <w:spacing w:after="80"/>
            </w:pPr>
            <w:bookmarkStart w:id="0" w:name="_GoBack"/>
            <w:bookmarkEnd w:id="0"/>
          </w:p>
        </w:tc>
        <w:tc>
          <w:tcPr>
            <w:tcW w:w="2268" w:type="dxa"/>
            <w:tcBorders>
              <w:bottom w:val="single" w:sz="4" w:space="0" w:color="auto"/>
            </w:tcBorders>
            <w:vAlign w:val="bottom"/>
          </w:tcPr>
          <w:p w14:paraId="005F9FF7" w14:textId="77777777" w:rsidR="009E6CB7" w:rsidRPr="00E168EE" w:rsidRDefault="009E6CB7" w:rsidP="009E6CB7">
            <w:pPr>
              <w:spacing w:after="80" w:line="300" w:lineRule="exact"/>
              <w:rPr>
                <w:b/>
                <w:sz w:val="24"/>
                <w:szCs w:val="24"/>
              </w:rPr>
            </w:pPr>
            <w:r w:rsidRPr="00E168EE">
              <w:rPr>
                <w:sz w:val="28"/>
                <w:szCs w:val="28"/>
              </w:rPr>
              <w:t>United Nations</w:t>
            </w:r>
          </w:p>
        </w:tc>
        <w:tc>
          <w:tcPr>
            <w:tcW w:w="6095" w:type="dxa"/>
            <w:gridSpan w:val="2"/>
            <w:tcBorders>
              <w:bottom w:val="single" w:sz="4" w:space="0" w:color="auto"/>
            </w:tcBorders>
            <w:vAlign w:val="bottom"/>
          </w:tcPr>
          <w:p w14:paraId="6F886E71" w14:textId="1A8794F1" w:rsidR="00AE3276" w:rsidRPr="00E168EE" w:rsidRDefault="00AE3276" w:rsidP="008D6B40">
            <w:pPr>
              <w:jc w:val="right"/>
            </w:pPr>
            <w:r w:rsidRPr="00E168EE">
              <w:rPr>
                <w:sz w:val="40"/>
              </w:rPr>
              <w:t>ECE</w:t>
            </w:r>
            <w:r w:rsidRPr="00E168EE">
              <w:t>/MP.EIA/</w:t>
            </w:r>
            <w:r w:rsidR="00832126" w:rsidRPr="00E168EE">
              <w:t>2019/</w:t>
            </w:r>
            <w:r w:rsidR="004C1939" w:rsidRPr="00E168EE">
              <w:t>7</w:t>
            </w:r>
          </w:p>
        </w:tc>
      </w:tr>
      <w:tr w:rsidR="009E6CB7" w:rsidRPr="00E168EE" w14:paraId="7B18272D" w14:textId="77777777" w:rsidTr="009E6CB7">
        <w:trPr>
          <w:cantSplit/>
          <w:trHeight w:hRule="exact" w:val="2835"/>
        </w:trPr>
        <w:tc>
          <w:tcPr>
            <w:tcW w:w="1276" w:type="dxa"/>
            <w:tcBorders>
              <w:top w:val="single" w:sz="4" w:space="0" w:color="auto"/>
              <w:bottom w:val="single" w:sz="12" w:space="0" w:color="auto"/>
            </w:tcBorders>
          </w:tcPr>
          <w:p w14:paraId="3F91BF1D" w14:textId="77777777" w:rsidR="009E6CB7" w:rsidRPr="00E168EE" w:rsidRDefault="00BC7F91" w:rsidP="009E6CB7">
            <w:pPr>
              <w:spacing w:before="120"/>
            </w:pPr>
            <w:r w:rsidRPr="00E168EE">
              <w:rPr>
                <w:noProof/>
                <w:lang w:val="en-US" w:eastAsia="zh-CN"/>
              </w:rPr>
              <w:drawing>
                <wp:inline distT="0" distB="0" distL="0" distR="0" wp14:anchorId="523BF772" wp14:editId="6190ACA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EACD15" w14:textId="77777777" w:rsidR="009E6CB7" w:rsidRPr="00E168EE" w:rsidRDefault="009E6CB7" w:rsidP="009E6CB7">
            <w:pPr>
              <w:spacing w:before="120" w:line="420" w:lineRule="exact"/>
              <w:rPr>
                <w:b/>
                <w:sz w:val="40"/>
                <w:szCs w:val="40"/>
              </w:rPr>
            </w:pPr>
            <w:r w:rsidRPr="00E168EE">
              <w:rPr>
                <w:b/>
                <w:sz w:val="40"/>
                <w:szCs w:val="40"/>
              </w:rPr>
              <w:t>Economic and Social Council</w:t>
            </w:r>
          </w:p>
          <w:p w14:paraId="555D9DD7" w14:textId="52C6E138" w:rsidR="00A4112B" w:rsidRPr="00E168EE" w:rsidRDefault="00A4112B" w:rsidP="009E6CB7">
            <w:pPr>
              <w:spacing w:before="120" w:line="420" w:lineRule="exact"/>
              <w:rPr>
                <w:bCs/>
                <w:sz w:val="40"/>
                <w:szCs w:val="40"/>
              </w:rPr>
            </w:pPr>
          </w:p>
        </w:tc>
        <w:tc>
          <w:tcPr>
            <w:tcW w:w="2835" w:type="dxa"/>
            <w:tcBorders>
              <w:top w:val="single" w:sz="4" w:space="0" w:color="auto"/>
              <w:bottom w:val="single" w:sz="12" w:space="0" w:color="auto"/>
            </w:tcBorders>
          </w:tcPr>
          <w:p w14:paraId="037D26F0" w14:textId="77777777" w:rsidR="009E6CB7" w:rsidRPr="00E168EE" w:rsidRDefault="00AE3276" w:rsidP="00AE3276">
            <w:pPr>
              <w:spacing w:before="240" w:line="240" w:lineRule="exact"/>
            </w:pPr>
            <w:r w:rsidRPr="00E168EE">
              <w:t>Distr.: General</w:t>
            </w:r>
          </w:p>
          <w:p w14:paraId="734B72E4" w14:textId="22BE24BE" w:rsidR="00AE3276" w:rsidRPr="00E168EE" w:rsidRDefault="000470CE" w:rsidP="00AE3276">
            <w:pPr>
              <w:spacing w:line="240" w:lineRule="exact"/>
            </w:pPr>
            <w:r w:rsidRPr="000470CE">
              <w:t>2</w:t>
            </w:r>
            <w:r w:rsidR="002E7F4A">
              <w:t>2</w:t>
            </w:r>
            <w:r w:rsidRPr="000470CE">
              <w:t xml:space="preserve"> </w:t>
            </w:r>
            <w:r w:rsidR="00A4112B" w:rsidRPr="000470CE">
              <w:t>November 2018</w:t>
            </w:r>
          </w:p>
          <w:p w14:paraId="30838D64" w14:textId="77777777" w:rsidR="00AE3276" w:rsidRPr="00E168EE" w:rsidRDefault="00AE3276" w:rsidP="00AE3276">
            <w:pPr>
              <w:spacing w:line="240" w:lineRule="exact"/>
            </w:pPr>
          </w:p>
          <w:p w14:paraId="41D3F2D8" w14:textId="77777777" w:rsidR="00AE3276" w:rsidRPr="00E168EE" w:rsidRDefault="00AE3276" w:rsidP="00AE3276">
            <w:pPr>
              <w:spacing w:line="240" w:lineRule="exact"/>
            </w:pPr>
            <w:r w:rsidRPr="00E168EE">
              <w:t>Original: English</w:t>
            </w:r>
          </w:p>
        </w:tc>
      </w:tr>
    </w:tbl>
    <w:p w14:paraId="68A3D9F6" w14:textId="77777777" w:rsidR="00AE3276" w:rsidRPr="00E168EE" w:rsidRDefault="00AE3276" w:rsidP="00D17EE9">
      <w:pPr>
        <w:spacing w:before="120"/>
        <w:rPr>
          <w:b/>
          <w:sz w:val="28"/>
          <w:szCs w:val="28"/>
        </w:rPr>
      </w:pPr>
      <w:r w:rsidRPr="00E168EE">
        <w:rPr>
          <w:b/>
          <w:sz w:val="28"/>
          <w:szCs w:val="28"/>
        </w:rPr>
        <w:t>Economic Commission for Europe</w:t>
      </w:r>
    </w:p>
    <w:p w14:paraId="70EDB2DE" w14:textId="77777777" w:rsidR="00AE3276" w:rsidRPr="00E168EE" w:rsidRDefault="00AE3276" w:rsidP="00D17EE9">
      <w:pPr>
        <w:spacing w:before="120"/>
        <w:rPr>
          <w:bCs/>
          <w:sz w:val="28"/>
          <w:szCs w:val="28"/>
        </w:rPr>
      </w:pPr>
      <w:r w:rsidRPr="00E168EE">
        <w:rPr>
          <w:bCs/>
          <w:sz w:val="28"/>
          <w:szCs w:val="28"/>
        </w:rPr>
        <w:t xml:space="preserve">Meeting of the Parties to the Convention </w:t>
      </w:r>
      <w:r w:rsidRPr="00E168EE">
        <w:rPr>
          <w:bCs/>
          <w:sz w:val="28"/>
          <w:szCs w:val="28"/>
        </w:rPr>
        <w:br/>
        <w:t xml:space="preserve">on Environmental Impact Assessment </w:t>
      </w:r>
      <w:r w:rsidRPr="00E168EE">
        <w:rPr>
          <w:bCs/>
          <w:sz w:val="28"/>
          <w:szCs w:val="28"/>
        </w:rPr>
        <w:br/>
        <w:t>in a Transboundary Context</w:t>
      </w:r>
    </w:p>
    <w:p w14:paraId="41806167" w14:textId="77777777" w:rsidR="00BE563C" w:rsidRPr="00E168EE" w:rsidRDefault="00BE563C" w:rsidP="000470CE">
      <w:pPr>
        <w:spacing w:before="120" w:line="240" w:lineRule="auto"/>
        <w:rPr>
          <w:b/>
        </w:rPr>
      </w:pPr>
      <w:r w:rsidRPr="00E168EE">
        <w:rPr>
          <w:b/>
        </w:rPr>
        <w:t>Intermediary session</w:t>
      </w:r>
    </w:p>
    <w:p w14:paraId="752593BE" w14:textId="77777777" w:rsidR="00BE563C" w:rsidRPr="00E168EE" w:rsidRDefault="00BE563C" w:rsidP="00F36160">
      <w:pPr>
        <w:spacing w:line="240" w:lineRule="auto"/>
      </w:pPr>
      <w:r w:rsidRPr="00E168EE">
        <w:t>Geneva, 5–7 February 2019</w:t>
      </w:r>
    </w:p>
    <w:p w14:paraId="3DA1CC5F" w14:textId="6747E319" w:rsidR="00BE563C" w:rsidRPr="00E168EE" w:rsidRDefault="00BE563C" w:rsidP="00F36160">
      <w:pPr>
        <w:spacing w:line="240" w:lineRule="auto"/>
      </w:pPr>
      <w:r w:rsidRPr="00E168EE">
        <w:t>Item</w:t>
      </w:r>
      <w:r w:rsidR="00370711">
        <w:t>s</w:t>
      </w:r>
      <w:r w:rsidRPr="00E168EE">
        <w:t xml:space="preserve"> 3 (a) and 8 of the provisional agenda</w:t>
      </w:r>
    </w:p>
    <w:p w14:paraId="5AD4FB34" w14:textId="77777777" w:rsidR="007C0103" w:rsidRPr="00E168EE" w:rsidRDefault="00515325" w:rsidP="00F36160">
      <w:pPr>
        <w:pStyle w:val="HChG"/>
        <w:spacing w:before="120" w:after="120" w:line="240" w:lineRule="auto"/>
        <w:ind w:left="0" w:firstLine="0"/>
        <w:rPr>
          <w:bCs/>
          <w:sz w:val="20"/>
        </w:rPr>
      </w:pPr>
      <w:bookmarkStart w:id="1" w:name="_Hlk529277039"/>
      <w:r w:rsidRPr="00E168EE">
        <w:rPr>
          <w:bCs/>
          <w:sz w:val="20"/>
        </w:rPr>
        <w:t xml:space="preserve">Outstanding issues: draft decisions </w:t>
      </w:r>
    </w:p>
    <w:p w14:paraId="6A661667" w14:textId="6236ADCB" w:rsidR="00515325" w:rsidRPr="00286AD0" w:rsidRDefault="00515325" w:rsidP="00F36160">
      <w:pPr>
        <w:pStyle w:val="HChG"/>
        <w:spacing w:before="120" w:after="120" w:line="240" w:lineRule="auto"/>
        <w:ind w:left="0" w:firstLine="0"/>
        <w:rPr>
          <w:sz w:val="20"/>
        </w:rPr>
      </w:pPr>
      <w:r w:rsidRPr="00E168EE">
        <w:rPr>
          <w:bCs/>
          <w:sz w:val="20"/>
        </w:rPr>
        <w:t>Adoption of decisions</w:t>
      </w:r>
      <w:r w:rsidR="00E168EE">
        <w:rPr>
          <w:bCs/>
          <w:sz w:val="20"/>
        </w:rPr>
        <w:t xml:space="preserve"> </w:t>
      </w:r>
      <w:r w:rsidRPr="00E168EE">
        <w:rPr>
          <w:bCs/>
          <w:sz w:val="20"/>
        </w:rPr>
        <w:t xml:space="preserve">by the Meeting of the Parties </w:t>
      </w:r>
      <w:r w:rsidR="00103FF5">
        <w:rPr>
          <w:bCs/>
          <w:sz w:val="20"/>
        </w:rPr>
        <w:br/>
      </w:r>
      <w:r w:rsidRPr="00E168EE">
        <w:rPr>
          <w:bCs/>
          <w:sz w:val="20"/>
        </w:rPr>
        <w:t>to the Convention</w:t>
      </w:r>
    </w:p>
    <w:bookmarkEnd w:id="1"/>
    <w:p w14:paraId="3F0474C5" w14:textId="5993D325" w:rsidR="00F40645" w:rsidRPr="00E168EE" w:rsidRDefault="00AE3276" w:rsidP="00FF0275">
      <w:pPr>
        <w:pStyle w:val="HChG"/>
        <w:spacing w:before="240"/>
      </w:pPr>
      <w:r w:rsidRPr="00E168EE">
        <w:tab/>
      </w:r>
      <w:r w:rsidRPr="00E168EE">
        <w:tab/>
      </w:r>
      <w:r w:rsidR="004C1939" w:rsidRPr="00E168EE">
        <w:t>Draft decision IS/1f on compliance by Ukraine with its obligations under the Convention in respect of the Danube-Black Sea Deep Water Navigation Canal in the Ukrainian sector of the Danube Delta</w:t>
      </w:r>
    </w:p>
    <w:p w14:paraId="5E53265E" w14:textId="77777777" w:rsidR="00A37D5F" w:rsidRPr="00E168EE" w:rsidRDefault="00AE3276" w:rsidP="00FF0275">
      <w:pPr>
        <w:pStyle w:val="H1G"/>
        <w:spacing w:before="240"/>
      </w:pPr>
      <w:r w:rsidRPr="00E168EE">
        <w:tab/>
      </w:r>
      <w:r w:rsidRPr="00E168EE">
        <w:tab/>
      </w:r>
      <w:r w:rsidR="00BE563C" w:rsidRPr="00E168EE">
        <w:t>Proposal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37D5F" w:rsidRPr="00E168EE" w14:paraId="0F49B25F" w14:textId="77777777" w:rsidTr="00A37D5F">
        <w:trPr>
          <w:jc w:val="center"/>
        </w:trPr>
        <w:tc>
          <w:tcPr>
            <w:tcW w:w="9637" w:type="dxa"/>
            <w:shd w:val="clear" w:color="auto" w:fill="auto"/>
          </w:tcPr>
          <w:p w14:paraId="40F19764" w14:textId="7F4EBC63" w:rsidR="00A37D5F" w:rsidRPr="00E168EE" w:rsidRDefault="00A37D5F" w:rsidP="00A37D5F">
            <w:pPr>
              <w:spacing w:before="240" w:after="120"/>
              <w:ind w:left="255"/>
              <w:rPr>
                <w:i/>
                <w:sz w:val="24"/>
              </w:rPr>
            </w:pPr>
            <w:r w:rsidRPr="00E168EE">
              <w:rPr>
                <w:i/>
                <w:sz w:val="24"/>
              </w:rPr>
              <w:t>Summary</w:t>
            </w:r>
          </w:p>
        </w:tc>
      </w:tr>
      <w:tr w:rsidR="00A37D5F" w:rsidRPr="00E168EE" w14:paraId="28F904E3" w14:textId="77777777" w:rsidTr="00A37D5F">
        <w:trPr>
          <w:jc w:val="center"/>
        </w:trPr>
        <w:tc>
          <w:tcPr>
            <w:tcW w:w="9637" w:type="dxa"/>
            <w:shd w:val="clear" w:color="auto" w:fill="auto"/>
          </w:tcPr>
          <w:p w14:paraId="78876C49" w14:textId="77777777" w:rsidR="00E168EE" w:rsidRDefault="00A37D5F" w:rsidP="00F36160">
            <w:pPr>
              <w:pStyle w:val="SingleTxtG"/>
              <w:spacing w:line="240" w:lineRule="auto"/>
              <w:ind w:firstLine="567"/>
            </w:pPr>
            <w:r w:rsidRPr="00E168EE">
              <w:tab/>
            </w:r>
            <w:r w:rsidR="00E168EE" w:rsidRPr="00A0384A">
              <w:t xml:space="preserve">The draft decision contained in the present document responds to the request of the Meeting of the Parties to the Convention </w:t>
            </w:r>
            <w:r w:rsidR="00E168EE">
              <w:t xml:space="preserve">on Environmental Impact Assessment in a Transboundary Context </w:t>
            </w:r>
            <w:r w:rsidR="00E168EE" w:rsidRPr="00A0384A">
              <w:t>at its seventh session (Minsk, 13–16 June 2017)</w:t>
            </w:r>
            <w:r w:rsidR="00E168EE" w:rsidRPr="007060F2" w:rsidDel="00E74A45">
              <w:t xml:space="preserve"> </w:t>
            </w:r>
            <w:r w:rsidR="00E168EE" w:rsidRPr="00A0384A">
              <w:t xml:space="preserve">for the </w:t>
            </w:r>
            <w:r w:rsidR="00E168EE">
              <w:t xml:space="preserve">Implementation </w:t>
            </w:r>
            <w:r w:rsidR="00E168EE" w:rsidRPr="00A0384A">
              <w:t>Committee to revise draft decision VII/2 on the review of compliance with the Convention, taking into account the work already carried out and the progress achieved before, during and after the seventh session of the Meeting of the Parties (ECE/MP.EIA/23-ECE/MP.EIA/SEA/7, para. 27).</w:t>
            </w:r>
            <w:r w:rsidR="00E168EE">
              <w:t xml:space="preserve"> To facilitate its consideration and adoption, </w:t>
            </w:r>
            <w:r w:rsidR="00E168EE" w:rsidRPr="00A0384A">
              <w:t xml:space="preserve">draft decision VII/2 </w:t>
            </w:r>
            <w:r w:rsidR="00E168EE">
              <w:t xml:space="preserve">has been </w:t>
            </w:r>
            <w:r w:rsidR="00E168EE" w:rsidRPr="00A0384A">
              <w:t>split into separate draft decisions</w:t>
            </w:r>
            <w:r w:rsidR="00E168EE">
              <w:t>: a draft decision on general issues of compliance</w:t>
            </w:r>
            <w:r w:rsidR="00E168EE" w:rsidRPr="00A0384A">
              <w:t xml:space="preserve"> </w:t>
            </w:r>
            <w:r w:rsidR="00E168EE">
              <w:t>and draft decisions on separate country-specific compliance issues</w:t>
            </w:r>
            <w:r w:rsidR="00E168EE" w:rsidRPr="00A0384A">
              <w:t>.</w:t>
            </w:r>
          </w:p>
          <w:p w14:paraId="7D366F31" w14:textId="1EB8D77F" w:rsidR="00A37D5F" w:rsidRPr="00E168EE" w:rsidRDefault="00E168EE" w:rsidP="00BC105A">
            <w:pPr>
              <w:pStyle w:val="SingleTxtG"/>
              <w:spacing w:line="240" w:lineRule="auto"/>
              <w:ind w:firstLine="567"/>
            </w:pPr>
            <w:r w:rsidRPr="00BC105A">
              <w:t xml:space="preserve">Draft decision IS/1f presents a revised version of the text of draft decision VII/2 concerning </w:t>
            </w:r>
            <w:r w:rsidR="000470CE" w:rsidRPr="00BC105A">
              <w:t xml:space="preserve">the follow-up by Ukraine to decision VI/2 </w:t>
            </w:r>
            <w:r w:rsidRPr="00BC105A">
              <w:t>in respect of the Danube-Black Sea Deep Water Navigation Canal in the Ukrainian sector of the Danube Delta</w:t>
            </w:r>
            <w:r>
              <w:t>.</w:t>
            </w:r>
          </w:p>
          <w:p w14:paraId="194C8E3A" w14:textId="6CC9EC62" w:rsidR="00A37D5F" w:rsidRPr="00E168EE" w:rsidRDefault="00A37D5F" w:rsidP="00286AD0">
            <w:pPr>
              <w:pStyle w:val="SingleTxtG"/>
              <w:spacing w:line="240" w:lineRule="auto"/>
              <w:ind w:firstLine="558"/>
            </w:pPr>
            <w:r w:rsidRPr="00E168EE">
              <w:t>The Meeting of the Parties is expected to review the draft decision and agree on its adoption.</w:t>
            </w:r>
          </w:p>
        </w:tc>
      </w:tr>
      <w:tr w:rsidR="00A37D5F" w:rsidRPr="00E168EE" w14:paraId="6EB3B5B4" w14:textId="77777777" w:rsidTr="00A37D5F">
        <w:trPr>
          <w:jc w:val="center"/>
        </w:trPr>
        <w:tc>
          <w:tcPr>
            <w:tcW w:w="9637" w:type="dxa"/>
            <w:shd w:val="clear" w:color="auto" w:fill="auto"/>
          </w:tcPr>
          <w:p w14:paraId="743D4CAE" w14:textId="77777777" w:rsidR="00A37D5F" w:rsidRPr="00E168EE" w:rsidRDefault="00A37D5F" w:rsidP="00F36160"/>
        </w:tc>
      </w:tr>
    </w:tbl>
    <w:p w14:paraId="4DF2F40E" w14:textId="77777777" w:rsidR="003A6098" w:rsidRPr="00E168EE" w:rsidRDefault="003A6098" w:rsidP="00286AD0">
      <w:pPr>
        <w:pStyle w:val="SingleTxtG"/>
        <w:ind w:firstLine="567"/>
      </w:pPr>
      <w:r w:rsidRPr="00E168EE">
        <w:rPr>
          <w:i/>
        </w:rPr>
        <w:lastRenderedPageBreak/>
        <w:t>The Meeting of the Parties</w:t>
      </w:r>
      <w:r w:rsidRPr="00E168EE">
        <w:t xml:space="preserve">, </w:t>
      </w:r>
    </w:p>
    <w:p w14:paraId="7C89A89B" w14:textId="393B2284" w:rsidR="003A6098" w:rsidRPr="00E168EE" w:rsidRDefault="003A6098" w:rsidP="00286AD0">
      <w:pPr>
        <w:pStyle w:val="SingleTxtG"/>
        <w:ind w:firstLine="567"/>
      </w:pPr>
      <w:r w:rsidRPr="00E168EE">
        <w:rPr>
          <w:i/>
        </w:rPr>
        <w:tab/>
        <w:t>Recalling</w:t>
      </w:r>
      <w:r w:rsidRPr="00E168EE">
        <w:t xml:space="preserve"> article 11, paragraph 2, and article 14 bis of the Convention on Environmental Impact Assessment in a Transboundary Context,</w:t>
      </w:r>
    </w:p>
    <w:p w14:paraId="48163540" w14:textId="06C13DA9" w:rsidR="003A6098" w:rsidRPr="00E168EE" w:rsidRDefault="003A6098" w:rsidP="00286AD0">
      <w:pPr>
        <w:pStyle w:val="SingleTxtG"/>
        <w:ind w:firstLine="567"/>
      </w:pPr>
      <w:r w:rsidRPr="00E168EE">
        <w:rPr>
          <w:i/>
        </w:rPr>
        <w:tab/>
        <w:t>Recalling also</w:t>
      </w:r>
      <w:r w:rsidRPr="00E168EE">
        <w:t xml:space="preserve"> its decision</w:t>
      </w:r>
      <w:r w:rsidR="00E168EE">
        <w:t>s</w:t>
      </w:r>
      <w:r w:rsidRPr="00E168EE">
        <w:t xml:space="preserve"> IV/2, paragraphs 7–14,</w:t>
      </w:r>
      <w:r w:rsidRPr="00E168EE">
        <w:rPr>
          <w:rStyle w:val="FootnoteReference"/>
        </w:rPr>
        <w:footnoteReference w:id="2"/>
      </w:r>
      <w:r w:rsidRPr="00E168EE">
        <w:t xml:space="preserve"> V/4, paragraphs 17–26,</w:t>
      </w:r>
      <w:r w:rsidRPr="00E168EE">
        <w:rPr>
          <w:rStyle w:val="FootnoteReference"/>
        </w:rPr>
        <w:footnoteReference w:id="3"/>
      </w:r>
      <w:r w:rsidRPr="00E168EE">
        <w:t xml:space="preserve"> and VI/2, paragraphs 15–28,</w:t>
      </w:r>
      <w:r w:rsidRPr="00E168EE">
        <w:rPr>
          <w:rStyle w:val="FootnoteReference"/>
        </w:rPr>
        <w:footnoteReference w:id="4"/>
      </w:r>
      <w:r w:rsidRPr="00E168EE">
        <w:t xml:space="preserve"> concerning compliance by Ukraine with regard to </w:t>
      </w:r>
      <w:r w:rsidR="00E168EE">
        <w:t xml:space="preserve">the </w:t>
      </w:r>
      <w:r w:rsidRPr="00E168EE">
        <w:t>Danube-Black Sea Deep Water Navigation Canal in the Ukrainian sector of the Danube Delta (Bystroe Canal Project),</w:t>
      </w:r>
    </w:p>
    <w:p w14:paraId="1705A44E" w14:textId="2F827DDD" w:rsidR="003A6098" w:rsidRPr="00E168EE" w:rsidRDefault="003A6098" w:rsidP="00286AD0">
      <w:pPr>
        <w:pStyle w:val="SingleTxtG"/>
        <w:ind w:firstLine="567"/>
      </w:pPr>
      <w:bookmarkStart w:id="2" w:name="_Hlk504650794"/>
      <w:r w:rsidRPr="00E168EE">
        <w:rPr>
          <w:i/>
        </w:rPr>
        <w:tab/>
        <w:t xml:space="preserve">Recalling further </w:t>
      </w:r>
      <w:r w:rsidRPr="00E168EE">
        <w:t>its decision at its seventh session to finalize its deliberations on the review of compliance with the Convention at an intermediary session, based on a revised draft decision to be prepared by the Implementation Committee and taking into account the work carried out and progress achieved before and during the seventh session,</w:t>
      </w:r>
      <w:r w:rsidRPr="00E168EE">
        <w:rPr>
          <w:rStyle w:val="FootnoteReference"/>
        </w:rPr>
        <w:footnoteReference w:id="5"/>
      </w:r>
      <w:r w:rsidRPr="00E168EE" w:rsidDel="003F0CC6">
        <w:t xml:space="preserve"> </w:t>
      </w:r>
      <w:bookmarkEnd w:id="2"/>
    </w:p>
    <w:p w14:paraId="4E7D05D3" w14:textId="2E17905D" w:rsidR="003A6098" w:rsidRPr="00E168EE" w:rsidRDefault="003A6098" w:rsidP="00286AD0">
      <w:pPr>
        <w:pStyle w:val="SingleTxtG"/>
        <w:ind w:firstLine="567"/>
      </w:pPr>
      <w:r w:rsidRPr="00E168EE">
        <w:rPr>
          <w:i/>
        </w:rPr>
        <w:tab/>
        <w:t>Having considered</w:t>
      </w:r>
      <w:r w:rsidRPr="00E168EE">
        <w:t xml:space="preserve"> </w:t>
      </w:r>
      <w:r w:rsidR="00E168EE">
        <w:t xml:space="preserve">the </w:t>
      </w:r>
      <w:r w:rsidR="00286AD0">
        <w:t xml:space="preserve">relevant </w:t>
      </w:r>
      <w:r w:rsidR="00E168EE">
        <w:t xml:space="preserve">sections </w:t>
      </w:r>
      <w:r w:rsidRPr="00E168EE">
        <w:t>concerning Ukraine in the report on the activities of the Implementation Committee to the Meeting of the Parties to the Convention at its seventh session</w:t>
      </w:r>
      <w:r w:rsidRPr="00E168EE">
        <w:rPr>
          <w:rStyle w:val="FootnoteReference"/>
        </w:rPr>
        <w:footnoteReference w:id="6"/>
      </w:r>
      <w:r w:rsidRPr="00E168EE">
        <w:t xml:space="preserve"> and in the reports of the Committee on its thirty-ninth,</w:t>
      </w:r>
      <w:r w:rsidRPr="00E168EE">
        <w:rPr>
          <w:rStyle w:val="FootnoteReference"/>
        </w:rPr>
        <w:footnoteReference w:id="7"/>
      </w:r>
      <w:r w:rsidRPr="00E168EE">
        <w:t xml:space="preserve"> fortieth</w:t>
      </w:r>
      <w:r w:rsidRPr="00E168EE">
        <w:rPr>
          <w:rStyle w:val="FootnoteReference"/>
        </w:rPr>
        <w:footnoteReference w:id="8"/>
      </w:r>
      <w:r w:rsidRPr="00E168EE">
        <w:t>, forty-first</w:t>
      </w:r>
      <w:r w:rsidRPr="00E168EE">
        <w:rPr>
          <w:rStyle w:val="FootnoteReference"/>
        </w:rPr>
        <w:footnoteReference w:id="9"/>
      </w:r>
      <w:r w:rsidRPr="00E168EE">
        <w:t xml:space="preserve"> and forty-second sessions,</w:t>
      </w:r>
      <w:r w:rsidRPr="00E168EE">
        <w:rPr>
          <w:rStyle w:val="FootnoteReference"/>
        </w:rPr>
        <w:footnoteReference w:id="10"/>
      </w:r>
    </w:p>
    <w:p w14:paraId="2F4393D9" w14:textId="197E51A8" w:rsidR="00A255CD" w:rsidRPr="00E168EE" w:rsidRDefault="00C95C91" w:rsidP="00A255CD">
      <w:pPr>
        <w:pStyle w:val="SingleTxtG"/>
        <w:ind w:firstLine="567"/>
        <w:rPr>
          <w:iCs/>
        </w:rPr>
      </w:pPr>
      <w:r w:rsidRPr="00E168EE">
        <w:rPr>
          <w:i/>
        </w:rPr>
        <w:t>Recalling</w:t>
      </w:r>
      <w:r w:rsidRPr="00E168EE">
        <w:rPr>
          <w:iCs/>
        </w:rPr>
        <w:t xml:space="preserve"> its decision IS/1 on the review of compliance with the Convention adopt</w:t>
      </w:r>
      <w:r w:rsidR="005E0B93" w:rsidRPr="00E168EE">
        <w:rPr>
          <w:iCs/>
        </w:rPr>
        <w:t>ed at the intermediary session,</w:t>
      </w:r>
    </w:p>
    <w:p w14:paraId="6534797A" w14:textId="2694A687" w:rsidR="005E0B93" w:rsidRPr="00E168EE" w:rsidRDefault="005E0B93" w:rsidP="005E0B93">
      <w:pPr>
        <w:pStyle w:val="SingleTxtG"/>
        <w:ind w:firstLine="567"/>
      </w:pPr>
      <w:r w:rsidRPr="00E168EE">
        <w:t>1.</w:t>
      </w:r>
      <w:r w:rsidRPr="00E168EE">
        <w:rPr>
          <w:i/>
        </w:rPr>
        <w:tab/>
        <w:t>Appreciates</w:t>
      </w:r>
      <w:r w:rsidRPr="00E168EE">
        <w:t xml:space="preserve"> the reports received from the Government of Ukraine</w:t>
      </w:r>
      <w:r w:rsidR="00753FE7">
        <w:t>,</w:t>
      </w:r>
      <w:r w:rsidRPr="00E168EE">
        <w:t xml:space="preserve"> further to paragraph 25 of decision VI/2, concerning the follow-up to decision V/4 in relation to the Bystroe Canal Project;</w:t>
      </w:r>
    </w:p>
    <w:p w14:paraId="29251D9B" w14:textId="6F55B108" w:rsidR="005E0B93" w:rsidRPr="00E168EE" w:rsidRDefault="005E0B93" w:rsidP="005E0B93">
      <w:pPr>
        <w:pStyle w:val="SingleTxtG"/>
        <w:ind w:firstLine="567"/>
      </w:pPr>
      <w:r w:rsidRPr="00E168EE">
        <w:rPr>
          <w:i/>
        </w:rPr>
        <w:t>2.</w:t>
      </w:r>
      <w:r w:rsidRPr="00E168EE">
        <w:rPr>
          <w:i/>
        </w:rPr>
        <w:tab/>
        <w:t xml:space="preserve">Welcomes </w:t>
      </w:r>
      <w:r w:rsidRPr="00E168EE">
        <w:t xml:space="preserve">the efforts </w:t>
      </w:r>
      <w:r w:rsidR="00753FE7">
        <w:t xml:space="preserve">of </w:t>
      </w:r>
      <w:r w:rsidRPr="00E168EE">
        <w:t>the Government of Ukraine to follow the recommendations of the Meeting of the Parties addressed to it in decision VI/2;</w:t>
      </w:r>
    </w:p>
    <w:p w14:paraId="264B93AA" w14:textId="45758248" w:rsidR="005E0B93" w:rsidRPr="00E168EE" w:rsidRDefault="005E0B93" w:rsidP="005E0B93">
      <w:pPr>
        <w:pStyle w:val="SingleTxtG"/>
        <w:ind w:firstLine="567"/>
      </w:pPr>
      <w:r w:rsidRPr="00E168EE">
        <w:tab/>
        <w:t>3.</w:t>
      </w:r>
      <w:r w:rsidRPr="00E168EE">
        <w:tab/>
      </w:r>
      <w:r w:rsidR="00E168EE" w:rsidRPr="00286AD0">
        <w:rPr>
          <w:i/>
          <w:iCs/>
        </w:rPr>
        <w:t>Also w</w:t>
      </w:r>
      <w:r w:rsidRPr="00E168EE">
        <w:rPr>
          <w:i/>
          <w:iCs/>
        </w:rPr>
        <w:t>elcomes</w:t>
      </w:r>
      <w:r w:rsidRPr="00E168EE">
        <w:t xml:space="preserve"> the fact that Ukraine consulted the Implementation Committee during the preparation of its Law on Environmental Impact Assessment to ensure that it provides an adequate basis for the implementation of the Convention;</w:t>
      </w:r>
    </w:p>
    <w:p w14:paraId="3C6CA8D7" w14:textId="0D858F43" w:rsidR="005E0B93" w:rsidRPr="00E168EE" w:rsidRDefault="005E0B93" w:rsidP="005E0B93">
      <w:pPr>
        <w:pStyle w:val="SingleTxtG"/>
        <w:ind w:firstLine="567"/>
      </w:pPr>
      <w:r w:rsidRPr="00E168EE">
        <w:t>4.</w:t>
      </w:r>
      <w:r w:rsidRPr="00E168EE">
        <w:tab/>
      </w:r>
      <w:r w:rsidR="00E168EE">
        <w:rPr>
          <w:i/>
          <w:iCs/>
        </w:rPr>
        <w:t xml:space="preserve">Further </w:t>
      </w:r>
      <w:r w:rsidRPr="00E168EE">
        <w:rPr>
          <w:i/>
        </w:rPr>
        <w:t>welcomes</w:t>
      </w:r>
      <w:r w:rsidRPr="00E168EE">
        <w:t xml:space="preserve"> the adoption by Ukraine of the Law on Environmental </w:t>
      </w:r>
      <w:r w:rsidR="00753FE7">
        <w:t>I</w:t>
      </w:r>
      <w:r w:rsidRPr="00E168EE">
        <w:t xml:space="preserve">mpact </w:t>
      </w:r>
      <w:r w:rsidR="00753FE7">
        <w:t>A</w:t>
      </w:r>
      <w:r w:rsidRPr="00E168EE">
        <w:t>ssessment in May 2017</w:t>
      </w:r>
      <w:r w:rsidR="00753FE7">
        <w:t>,</w:t>
      </w:r>
      <w:r w:rsidRPr="00E168EE">
        <w:t xml:space="preserve"> followed by a number of pieces of secondary legislation</w:t>
      </w:r>
      <w:r w:rsidR="00F36160">
        <w:t>,</w:t>
      </w:r>
      <w:r w:rsidRPr="00E168EE">
        <w:t xml:space="preserve"> as concrete legislative steps towards </w:t>
      </w:r>
      <w:r w:rsidR="00F36160">
        <w:t xml:space="preserve">the </w:t>
      </w:r>
      <w:r w:rsidRPr="00E168EE">
        <w:t>implementation of the strategy of the Government of Ukraine to implement the Convention referred to in paragraph 25</w:t>
      </w:r>
      <w:r w:rsidR="00753FE7">
        <w:t xml:space="preserve"> </w:t>
      </w:r>
      <w:r w:rsidRPr="00E168EE">
        <w:t>(a) of decision VI/2;</w:t>
      </w:r>
    </w:p>
    <w:p w14:paraId="2F960FE8" w14:textId="7149FE2B" w:rsidR="005E0B93" w:rsidRPr="00E168EE" w:rsidRDefault="005E0B93" w:rsidP="005E0B93">
      <w:pPr>
        <w:pStyle w:val="SingleTxtG"/>
        <w:ind w:firstLine="567"/>
      </w:pPr>
      <w:r w:rsidRPr="006B384A">
        <w:t>5.</w:t>
      </w:r>
      <w:r w:rsidRPr="006B384A">
        <w:tab/>
      </w:r>
      <w:r w:rsidRPr="006B384A">
        <w:rPr>
          <w:i/>
        </w:rPr>
        <w:t>Requests</w:t>
      </w:r>
      <w:r w:rsidRPr="006B384A">
        <w:t xml:space="preserve"> the Government of Ukraine to report </w:t>
      </w:r>
      <w:r w:rsidR="006B384A">
        <w:t xml:space="preserve">without delay </w:t>
      </w:r>
      <w:r w:rsidRPr="006B384A">
        <w:t xml:space="preserve">on the status of adoption of the secondary legislation </w:t>
      </w:r>
      <w:r w:rsidR="006B384A">
        <w:t xml:space="preserve">that has been developed </w:t>
      </w:r>
      <w:r w:rsidRPr="006B384A">
        <w:t>to fully align its national legislation with the Convention;</w:t>
      </w:r>
    </w:p>
    <w:p w14:paraId="2AECFBEB" w14:textId="77777777" w:rsidR="005E0B93" w:rsidRPr="00E168EE" w:rsidRDefault="005E0B93" w:rsidP="005E0B93">
      <w:pPr>
        <w:pStyle w:val="SingleTxtG"/>
        <w:ind w:firstLine="567"/>
      </w:pPr>
      <w:r w:rsidRPr="00E168EE">
        <w:t>6.</w:t>
      </w:r>
      <w:r w:rsidRPr="00E168EE">
        <w:rPr>
          <w:i/>
        </w:rPr>
        <w:tab/>
        <w:t>Regrets</w:t>
      </w:r>
      <w:r w:rsidRPr="00E168EE">
        <w:t xml:space="preserve"> that only limited</w:t>
      </w:r>
      <w:r w:rsidRPr="00E168EE">
        <w:rPr>
          <w:color w:val="E36C0A" w:themeColor="accent6" w:themeShade="BF"/>
        </w:rPr>
        <w:t xml:space="preserve"> </w:t>
      </w:r>
      <w:r w:rsidRPr="00E168EE">
        <w:t>steps have been taken to bring the Bystroe Canal Project into full compliance with the Convention further to paragraph 24 of decision VI/2;</w:t>
      </w:r>
    </w:p>
    <w:p w14:paraId="60892888" w14:textId="1E0F5CCB" w:rsidR="005E0B93" w:rsidRPr="00E168EE" w:rsidRDefault="005E0B93" w:rsidP="005E0B93">
      <w:pPr>
        <w:pStyle w:val="SingleTxtG"/>
        <w:ind w:firstLine="567"/>
      </w:pPr>
      <w:r w:rsidRPr="00E168EE">
        <w:lastRenderedPageBreak/>
        <w:t>7.</w:t>
      </w:r>
      <w:r w:rsidRPr="00E168EE">
        <w:rPr>
          <w:i/>
        </w:rPr>
        <w:tab/>
        <w:t>Endorses</w:t>
      </w:r>
      <w:r w:rsidRPr="00E168EE">
        <w:t xml:space="preserve"> the findings of the Implementation Committee at its forty-first and forty-second sessions that, despite some steps taken, Ukraine has not yet fulfilled its obligations under paragraphs 24 and 25 of decision VI/2;</w:t>
      </w:r>
      <w:r w:rsidRPr="00E168EE">
        <w:rPr>
          <w:rStyle w:val="FootnoteReference"/>
        </w:rPr>
        <w:footnoteReference w:id="11"/>
      </w:r>
    </w:p>
    <w:p w14:paraId="08E4D229" w14:textId="7A2BC3A3" w:rsidR="005E0B93" w:rsidRPr="00E168EE" w:rsidRDefault="005E0B93" w:rsidP="005E0B93">
      <w:pPr>
        <w:pStyle w:val="SingleTxtG"/>
        <w:ind w:firstLine="567"/>
      </w:pPr>
      <w:r w:rsidRPr="00E168EE">
        <w:t>8.</w:t>
      </w:r>
      <w:r w:rsidRPr="00E168EE">
        <w:tab/>
      </w:r>
      <w:r w:rsidR="00E168EE">
        <w:rPr>
          <w:i/>
        </w:rPr>
        <w:t>Also e</w:t>
      </w:r>
      <w:r w:rsidRPr="00E168EE">
        <w:rPr>
          <w:i/>
        </w:rPr>
        <w:t>ndorses</w:t>
      </w:r>
      <w:r w:rsidRPr="00E168EE">
        <w:t xml:space="preserve"> the findings of the Committee that the continuation of dredging activities by the Government of Ukraine constitutes a further breach of its obligations under the Convention;</w:t>
      </w:r>
      <w:r w:rsidR="008F6958" w:rsidRPr="00E168EE">
        <w:rPr>
          <w:rStyle w:val="FootnoteReference"/>
        </w:rPr>
        <w:footnoteReference w:id="12"/>
      </w:r>
    </w:p>
    <w:p w14:paraId="4D5F1FD2" w14:textId="77777777" w:rsidR="005E0B93" w:rsidRPr="00E168EE" w:rsidRDefault="005E0B93" w:rsidP="005E0B93">
      <w:pPr>
        <w:pStyle w:val="SingleTxtG"/>
        <w:ind w:firstLine="567"/>
      </w:pPr>
      <w:r w:rsidRPr="00E168EE">
        <w:t>9.</w:t>
      </w:r>
      <w:r w:rsidRPr="00E168EE">
        <w:tab/>
      </w:r>
      <w:r w:rsidRPr="00E168EE">
        <w:rPr>
          <w:i/>
        </w:rPr>
        <w:t>Declares</w:t>
      </w:r>
      <w:r w:rsidRPr="00E168EE">
        <w:t>, therefore, that the caution to the Government of Ukraine issued at its fourth session is still effective;</w:t>
      </w:r>
    </w:p>
    <w:p w14:paraId="5554AC94" w14:textId="3DF5A2CC" w:rsidR="005E0B93" w:rsidRPr="00E168EE" w:rsidRDefault="005E0B93" w:rsidP="005E0B93">
      <w:pPr>
        <w:pStyle w:val="SingleTxtG"/>
        <w:ind w:firstLine="567"/>
      </w:pPr>
      <w:r w:rsidRPr="00E168EE">
        <w:t>10.</w:t>
      </w:r>
      <w:r w:rsidRPr="00E168EE">
        <w:tab/>
      </w:r>
      <w:r w:rsidRPr="00E168EE">
        <w:rPr>
          <w:i/>
        </w:rPr>
        <w:t>Welcomes</w:t>
      </w:r>
      <w:r w:rsidRPr="00E168EE">
        <w:t xml:space="preserve"> the declaration of Ukraine of its genuine wish to bring the Bystroe Canal Project into full compliance with the Convention;</w:t>
      </w:r>
      <w:r w:rsidR="003476A1" w:rsidRPr="00E168EE">
        <w:rPr>
          <w:rStyle w:val="FootnoteReference"/>
        </w:rPr>
        <w:footnoteReference w:id="13"/>
      </w:r>
    </w:p>
    <w:p w14:paraId="040D7891" w14:textId="7BFD3880" w:rsidR="005E0B93" w:rsidRPr="00E168EE" w:rsidRDefault="005E0B93" w:rsidP="005E0B93">
      <w:pPr>
        <w:pStyle w:val="SingleTxtG"/>
        <w:ind w:firstLine="567"/>
      </w:pPr>
      <w:r w:rsidRPr="00E168EE">
        <w:t>11.</w:t>
      </w:r>
      <w:r w:rsidRPr="00E168EE">
        <w:tab/>
      </w:r>
      <w:r w:rsidR="00E168EE">
        <w:rPr>
          <w:i/>
        </w:rPr>
        <w:t>Also w</w:t>
      </w:r>
      <w:r w:rsidRPr="00E168EE">
        <w:rPr>
          <w:i/>
        </w:rPr>
        <w:t>elcomes</w:t>
      </w:r>
      <w:r w:rsidRPr="00E168EE">
        <w:t xml:space="preserve"> the intended steps to be taken by Ukraine</w:t>
      </w:r>
      <w:r w:rsidR="00F36160">
        <w:t>,</w:t>
      </w:r>
      <w:r w:rsidRPr="00E168EE">
        <w:t xml:space="preserve"> as stipulated in the road</w:t>
      </w:r>
      <w:r w:rsidR="00753FE7">
        <w:t xml:space="preserve"> </w:t>
      </w:r>
      <w:r w:rsidRPr="00E168EE">
        <w:t xml:space="preserve">map developed by Ukraine and discussed at the forty-first session of the Implementation Committee with regard to the phases I and II of the </w:t>
      </w:r>
      <w:r w:rsidR="00753FE7">
        <w:t xml:space="preserve">Bystroe Canal </w:t>
      </w:r>
      <w:r w:rsidRPr="00E168EE">
        <w:t>Project, including the readiness to stop works, to repeal the final decision, to conduct an assessment of the damage to the environment and to develop a plan for compensatory and mitigation measures;</w:t>
      </w:r>
      <w:r w:rsidR="00D2723F" w:rsidRPr="00E168EE">
        <w:rPr>
          <w:rStyle w:val="FootnoteReference"/>
        </w:rPr>
        <w:footnoteReference w:id="14"/>
      </w:r>
    </w:p>
    <w:p w14:paraId="13D6FCB7" w14:textId="504B7F58" w:rsidR="005E0B93" w:rsidRPr="00E168EE" w:rsidRDefault="005E0B93" w:rsidP="005E0B93">
      <w:pPr>
        <w:pStyle w:val="SingleTxtG"/>
        <w:ind w:firstLine="567"/>
      </w:pPr>
      <w:r w:rsidRPr="00E168EE">
        <w:t>12.</w:t>
      </w:r>
      <w:r w:rsidRPr="00E168EE">
        <w:tab/>
      </w:r>
      <w:r w:rsidRPr="00E168EE">
        <w:rPr>
          <w:i/>
        </w:rPr>
        <w:t>Acknowledges</w:t>
      </w:r>
      <w:r w:rsidRPr="00E168EE">
        <w:t xml:space="preserve"> that although the list of steps presented in the road</w:t>
      </w:r>
      <w:r w:rsidR="00753FE7">
        <w:t xml:space="preserve"> </w:t>
      </w:r>
      <w:r w:rsidRPr="00E168EE">
        <w:t>map is not exhaustive, it represents a good basis for bringing the Project into full compliance with the Convention;</w:t>
      </w:r>
      <w:r w:rsidRPr="00E168EE">
        <w:rPr>
          <w:rStyle w:val="FootnoteReference"/>
          <w:sz w:val="20"/>
        </w:rPr>
        <w:footnoteReference w:id="15"/>
      </w:r>
    </w:p>
    <w:p w14:paraId="39A9A823" w14:textId="1E441536" w:rsidR="005E0B93" w:rsidRPr="00E168EE" w:rsidRDefault="005E0B93" w:rsidP="005E0B93">
      <w:pPr>
        <w:pStyle w:val="SingleTxtG"/>
        <w:ind w:firstLine="567"/>
      </w:pPr>
      <w:r w:rsidRPr="00E168EE">
        <w:t>13.</w:t>
      </w:r>
      <w:r w:rsidRPr="00E168EE">
        <w:tab/>
      </w:r>
      <w:r w:rsidRPr="00E168EE">
        <w:rPr>
          <w:i/>
        </w:rPr>
        <w:t>Takes note</w:t>
      </w:r>
      <w:r w:rsidRPr="00E168EE">
        <w:t xml:space="preserve"> of </w:t>
      </w:r>
      <w:r w:rsidR="006B384A">
        <w:t xml:space="preserve">the </w:t>
      </w:r>
      <w:r w:rsidRPr="00E168EE">
        <w:t xml:space="preserve">intention </w:t>
      </w:r>
      <w:r w:rsidR="006B384A">
        <w:t xml:space="preserve">of Ukraine </w:t>
      </w:r>
      <w:r w:rsidRPr="00E168EE">
        <w:t xml:space="preserve">to develop a new project for </w:t>
      </w:r>
      <w:r w:rsidR="00753FE7" w:rsidRPr="006B384A">
        <w:t>a “</w:t>
      </w:r>
      <w:r w:rsidRPr="006B384A">
        <w:t>Bystroe Route</w:t>
      </w:r>
      <w:r w:rsidR="00753FE7" w:rsidRPr="006B384A">
        <w:t>”</w:t>
      </w:r>
      <w:r w:rsidRPr="00E168EE">
        <w:t xml:space="preserve"> and to carry out a transboundary environmental impact assessment procedure </w:t>
      </w:r>
      <w:r w:rsidR="00753FE7">
        <w:t xml:space="preserve">on the new project in accordance with </w:t>
      </w:r>
      <w:r w:rsidRPr="00E168EE">
        <w:t>the Convention;</w:t>
      </w:r>
      <w:r w:rsidR="00627459" w:rsidRPr="00E168EE">
        <w:rPr>
          <w:rStyle w:val="FootnoteReference"/>
        </w:rPr>
        <w:footnoteReference w:id="16"/>
      </w:r>
    </w:p>
    <w:p w14:paraId="3CA40E46" w14:textId="34EE6A4C" w:rsidR="005E0B93" w:rsidRPr="00E168EE" w:rsidRDefault="005E0B93" w:rsidP="005E0B93">
      <w:pPr>
        <w:pStyle w:val="SingleTxtG"/>
        <w:ind w:firstLine="567"/>
      </w:pPr>
      <w:r w:rsidRPr="00E168EE">
        <w:t>14.</w:t>
      </w:r>
      <w:r w:rsidRPr="00E168EE">
        <w:tab/>
      </w:r>
      <w:r w:rsidRPr="00E168EE">
        <w:rPr>
          <w:i/>
          <w:iCs/>
        </w:rPr>
        <w:t>Requests</w:t>
      </w:r>
      <w:r w:rsidRPr="00E168EE">
        <w:t xml:space="preserve"> Ukraine to consult </w:t>
      </w:r>
      <w:r w:rsidR="00F36160">
        <w:t xml:space="preserve">with </w:t>
      </w:r>
      <w:r w:rsidRPr="00E168EE">
        <w:t xml:space="preserve">Romania on the </w:t>
      </w:r>
      <w:r w:rsidR="00753FE7">
        <w:t>r</w:t>
      </w:r>
      <w:r w:rsidRPr="00E168EE">
        <w:t>oad map and its implementation;</w:t>
      </w:r>
    </w:p>
    <w:p w14:paraId="7CC458CF" w14:textId="3970A97F" w:rsidR="005E0B93" w:rsidRPr="00E168EE" w:rsidRDefault="005E0B93" w:rsidP="005E0B93">
      <w:pPr>
        <w:pStyle w:val="SingleTxtG"/>
        <w:ind w:firstLine="567"/>
      </w:pPr>
      <w:r w:rsidRPr="00E168EE">
        <w:t>15</w:t>
      </w:r>
      <w:r w:rsidRPr="00E168EE">
        <w:rPr>
          <w:i/>
          <w:iCs/>
        </w:rPr>
        <w:t>.</w:t>
      </w:r>
      <w:r w:rsidRPr="00E168EE">
        <w:rPr>
          <w:iCs/>
        </w:rPr>
        <w:tab/>
      </w:r>
      <w:r w:rsidRPr="00E168EE">
        <w:rPr>
          <w:i/>
          <w:iCs/>
        </w:rPr>
        <w:t xml:space="preserve">Reiterates </w:t>
      </w:r>
      <w:r w:rsidRPr="00E168EE">
        <w:t>its request to the Government of Ukraine to bring the project into full compliance with the Convention without delay;</w:t>
      </w:r>
    </w:p>
    <w:p w14:paraId="1390050C" w14:textId="0BE89335" w:rsidR="005E0B93" w:rsidRPr="00E168EE" w:rsidRDefault="005E0B93" w:rsidP="005E0B93">
      <w:pPr>
        <w:pStyle w:val="SingleTxtG"/>
        <w:ind w:firstLine="567"/>
      </w:pPr>
      <w:r w:rsidRPr="00E168EE">
        <w:t>16.</w:t>
      </w:r>
      <w:r w:rsidRPr="00E168EE">
        <w:tab/>
      </w:r>
      <w:r w:rsidRPr="00E168EE">
        <w:rPr>
          <w:i/>
        </w:rPr>
        <w:t>Welcomes</w:t>
      </w:r>
      <w:r w:rsidRPr="00E168EE">
        <w:t xml:space="preserve"> the efforts </w:t>
      </w:r>
      <w:r w:rsidR="00753FE7">
        <w:t xml:space="preserve">made by </w:t>
      </w:r>
      <w:r w:rsidRPr="00E168EE">
        <w:t>the Governments of Ukraine and Romania to further develop the bilateral agreement for improved implementation of the Convention</w:t>
      </w:r>
      <w:r w:rsidR="00753FE7">
        <w:t>, while</w:t>
      </w:r>
      <w:r w:rsidRPr="00E168EE">
        <w:t xml:space="preserve"> regret</w:t>
      </w:r>
      <w:r w:rsidR="00753FE7">
        <w:t>ting</w:t>
      </w:r>
      <w:r w:rsidRPr="00E168EE">
        <w:t xml:space="preserve"> that no progress was achieved;</w:t>
      </w:r>
    </w:p>
    <w:p w14:paraId="171E5CFA" w14:textId="671275AD" w:rsidR="005E0B93" w:rsidRPr="00E168EE" w:rsidRDefault="005E0B93" w:rsidP="005E0B93">
      <w:pPr>
        <w:pStyle w:val="SingleTxtG"/>
        <w:ind w:firstLine="567"/>
      </w:pPr>
      <w:r w:rsidRPr="00E168EE">
        <w:t>17.</w:t>
      </w:r>
      <w:r w:rsidRPr="00E168EE">
        <w:tab/>
      </w:r>
      <w:r w:rsidRPr="00E168EE">
        <w:rPr>
          <w:i/>
        </w:rPr>
        <w:t xml:space="preserve">Encourages </w:t>
      </w:r>
      <w:r w:rsidRPr="00E168EE">
        <w:t xml:space="preserve">the Governments of Ukraine and Romania to continue their cooperation in preparing a bilateral agreement or other </w:t>
      </w:r>
      <w:r w:rsidRPr="006B384A">
        <w:t>arrangement to support further the</w:t>
      </w:r>
      <w:r w:rsidR="006B384A">
        <w:t>ir</w:t>
      </w:r>
      <w:r w:rsidRPr="006B384A">
        <w:t xml:space="preserve"> </w:t>
      </w:r>
      <w:r w:rsidR="006B384A">
        <w:t xml:space="preserve">implementation of the </w:t>
      </w:r>
      <w:r w:rsidRPr="006B384A">
        <w:t>provisions of</w:t>
      </w:r>
      <w:r w:rsidRPr="00E168EE">
        <w:t xml:space="preserve"> the Convention, as set out in article 8 of the Convention;</w:t>
      </w:r>
    </w:p>
    <w:p w14:paraId="02E19E78" w14:textId="7464056F" w:rsidR="005E0B93" w:rsidRPr="00E168EE" w:rsidRDefault="005E0B93" w:rsidP="005E0B93">
      <w:pPr>
        <w:pStyle w:val="SingleTxtG"/>
        <w:ind w:firstLine="567"/>
      </w:pPr>
      <w:r w:rsidRPr="00E168EE">
        <w:t>18.</w:t>
      </w:r>
      <w:r w:rsidRPr="00E168EE">
        <w:tab/>
      </w:r>
      <w:r w:rsidR="00E168EE" w:rsidRPr="0087354F">
        <w:rPr>
          <w:i/>
          <w:iCs/>
        </w:rPr>
        <w:t>R</w:t>
      </w:r>
      <w:r w:rsidRPr="00E168EE">
        <w:rPr>
          <w:i/>
        </w:rPr>
        <w:t>equests</w:t>
      </w:r>
      <w:r w:rsidRPr="00E168EE">
        <w:t xml:space="preserve"> the Government of Ukraine to inform Romania about existing monitoring results;</w:t>
      </w:r>
    </w:p>
    <w:p w14:paraId="24890530" w14:textId="3C316178" w:rsidR="005E0B93" w:rsidRPr="00E168EE" w:rsidRDefault="005E0B93" w:rsidP="005E0B93">
      <w:pPr>
        <w:pStyle w:val="SingleTxtG"/>
        <w:ind w:firstLine="567"/>
      </w:pPr>
      <w:r w:rsidRPr="00E168EE">
        <w:t>19.</w:t>
      </w:r>
      <w:r w:rsidRPr="00E168EE">
        <w:rPr>
          <w:i/>
        </w:rPr>
        <w:tab/>
        <w:t>Requests</w:t>
      </w:r>
      <w:r w:rsidRPr="00E168EE">
        <w:t xml:space="preserve"> the </w:t>
      </w:r>
      <w:r w:rsidR="00700EC6">
        <w:t xml:space="preserve">Implementation </w:t>
      </w:r>
      <w:r w:rsidRPr="00E168EE">
        <w:t xml:space="preserve">Committee to report to the Meeting of the Parties </w:t>
      </w:r>
      <w:r w:rsidR="00753FE7">
        <w:t xml:space="preserve">at its </w:t>
      </w:r>
      <w:r w:rsidR="00753FE7" w:rsidRPr="00E168EE">
        <w:t xml:space="preserve">eighth session </w:t>
      </w:r>
      <w:r w:rsidRPr="00E168EE">
        <w:t>on its</w:t>
      </w:r>
      <w:r w:rsidRPr="00E168EE">
        <w:rPr>
          <w:rStyle w:val="CommentReference"/>
        </w:rPr>
        <w:t xml:space="preserve"> </w:t>
      </w:r>
      <w:r w:rsidRPr="00E168EE">
        <w:t>evaluation of the steps taken by the Government of Ukraine, and to develop, if appropriate, further recommendations to assist Ukraine in complying with its obligations under the Convention.</w:t>
      </w:r>
    </w:p>
    <w:p w14:paraId="5AAE1BAE" w14:textId="783326B2" w:rsidR="00F507EC" w:rsidRPr="00E168EE" w:rsidRDefault="00AE3276" w:rsidP="00D17EE9">
      <w:pPr>
        <w:pStyle w:val="SingleTxtG"/>
        <w:spacing w:before="240" w:after="0"/>
        <w:jc w:val="center"/>
      </w:pPr>
      <w:r w:rsidRPr="00E168EE">
        <w:rPr>
          <w:u w:val="single"/>
        </w:rPr>
        <w:tab/>
      </w:r>
      <w:r w:rsidRPr="00E168EE">
        <w:rPr>
          <w:u w:val="single"/>
        </w:rPr>
        <w:tab/>
      </w:r>
      <w:r w:rsidR="003E7495" w:rsidRPr="00E168EE">
        <w:rPr>
          <w:u w:val="single"/>
        </w:rPr>
        <w:tab/>
      </w:r>
      <w:r w:rsidR="003E7495" w:rsidRPr="00E168EE">
        <w:rPr>
          <w:u w:val="single"/>
        </w:rPr>
        <w:tab/>
      </w:r>
    </w:p>
    <w:sectPr w:rsidR="00F507EC" w:rsidRPr="00E168EE" w:rsidSect="00FF027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964"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53AD" w14:textId="77777777" w:rsidR="004E7108" w:rsidRDefault="004E7108"/>
  </w:endnote>
  <w:endnote w:type="continuationSeparator" w:id="0">
    <w:p w14:paraId="0E92848D" w14:textId="77777777" w:rsidR="004E7108" w:rsidRDefault="004E7108"/>
  </w:endnote>
  <w:endnote w:type="continuationNotice" w:id="1">
    <w:p w14:paraId="150E0534" w14:textId="77777777" w:rsidR="004E7108" w:rsidRDefault="004E7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692E" w14:textId="30A07397" w:rsidR="00BF3E6D" w:rsidRPr="00AE3276" w:rsidRDefault="00BF3E6D" w:rsidP="00AE3276">
    <w:pPr>
      <w:pStyle w:val="Footer"/>
      <w:tabs>
        <w:tab w:val="right" w:pos="9638"/>
      </w:tabs>
      <w:rPr>
        <w:sz w:val="18"/>
      </w:rPr>
    </w:pPr>
    <w:r w:rsidRPr="00AE3276">
      <w:rPr>
        <w:b/>
        <w:sz w:val="18"/>
      </w:rPr>
      <w:fldChar w:fldCharType="begin"/>
    </w:r>
    <w:r w:rsidRPr="00AE3276">
      <w:rPr>
        <w:b/>
        <w:sz w:val="18"/>
      </w:rPr>
      <w:instrText xml:space="preserve"> PAGE  \* MERGEFORMAT </w:instrText>
    </w:r>
    <w:r w:rsidRPr="00AE3276">
      <w:rPr>
        <w:b/>
        <w:sz w:val="18"/>
      </w:rPr>
      <w:fldChar w:fldCharType="separate"/>
    </w:r>
    <w:r w:rsidR="002F69DE">
      <w:rPr>
        <w:b/>
        <w:noProof/>
        <w:sz w:val="18"/>
      </w:rPr>
      <w:t>2</w:t>
    </w:r>
    <w:r w:rsidRPr="00AE32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BCB8" w14:textId="2844FB27" w:rsidR="00BF3E6D" w:rsidRPr="00AE3276" w:rsidRDefault="00BF3E6D" w:rsidP="00AE3276">
    <w:pPr>
      <w:pStyle w:val="Footer"/>
      <w:tabs>
        <w:tab w:val="right" w:pos="9638"/>
      </w:tabs>
      <w:rPr>
        <w:b/>
        <w:sz w:val="18"/>
      </w:rPr>
    </w:pPr>
    <w:r>
      <w:tab/>
    </w:r>
    <w:r w:rsidRPr="00AE3276">
      <w:rPr>
        <w:b/>
        <w:sz w:val="18"/>
      </w:rPr>
      <w:fldChar w:fldCharType="begin"/>
    </w:r>
    <w:r w:rsidRPr="00AE3276">
      <w:rPr>
        <w:b/>
        <w:sz w:val="18"/>
      </w:rPr>
      <w:instrText xml:space="preserve"> PAGE  \* MERGEFORMAT </w:instrText>
    </w:r>
    <w:r w:rsidRPr="00AE3276">
      <w:rPr>
        <w:b/>
        <w:sz w:val="18"/>
      </w:rPr>
      <w:fldChar w:fldCharType="separate"/>
    </w:r>
    <w:r w:rsidR="002F69DE">
      <w:rPr>
        <w:b/>
        <w:noProof/>
        <w:sz w:val="18"/>
      </w:rPr>
      <w:t>3</w:t>
    </w:r>
    <w:r w:rsidRPr="00AE32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825DB" w14:textId="392484AD" w:rsidR="00FF0275" w:rsidRDefault="00FF0275" w:rsidP="00FF0275">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BF53BF4" wp14:editId="0ACE1C6C">
          <wp:simplePos x="0" y="0"/>
          <wp:positionH relativeFrom="margin">
            <wp:posOffset>5478780</wp:posOffset>
          </wp:positionH>
          <wp:positionV relativeFrom="margin">
            <wp:posOffset>8089356</wp:posOffset>
          </wp:positionV>
          <wp:extent cx="638175" cy="638175"/>
          <wp:effectExtent l="0" t="0" r="9525" b="9525"/>
          <wp:wrapNone/>
          <wp:docPr id="2" name="Picture 1" descr="https://undocs.org/m2/QRCode.ashx?DS=ECE/MP.EIA/2019/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1071C98C" wp14:editId="11507CA4">
          <wp:simplePos x="0" y="0"/>
          <wp:positionH relativeFrom="margin">
            <wp:posOffset>4461510</wp:posOffset>
          </wp:positionH>
          <wp:positionV relativeFrom="margin">
            <wp:posOffset>8319135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4730055" w14:textId="2ADB583D" w:rsidR="00FF0275" w:rsidRDefault="00FF0275" w:rsidP="00FF0275">
    <w:pPr>
      <w:pStyle w:val="Footer"/>
      <w:ind w:right="1134"/>
      <w:rPr>
        <w:sz w:val="20"/>
      </w:rPr>
    </w:pPr>
    <w:r>
      <w:rPr>
        <w:sz w:val="20"/>
      </w:rPr>
      <w:t>GE.18-19998(E)</w:t>
    </w:r>
  </w:p>
  <w:p w14:paraId="305162E5" w14:textId="6EF7F2A5" w:rsidR="00FF0275" w:rsidRPr="00FF0275" w:rsidRDefault="00FF0275" w:rsidP="00FF027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E10E0" w14:textId="77777777" w:rsidR="004E7108" w:rsidRPr="000B175B" w:rsidRDefault="004E7108" w:rsidP="000B175B">
      <w:pPr>
        <w:tabs>
          <w:tab w:val="right" w:pos="2155"/>
        </w:tabs>
        <w:spacing w:after="80"/>
        <w:ind w:left="680"/>
        <w:rPr>
          <w:u w:val="single"/>
        </w:rPr>
      </w:pPr>
      <w:r>
        <w:rPr>
          <w:u w:val="single"/>
        </w:rPr>
        <w:tab/>
      </w:r>
    </w:p>
  </w:footnote>
  <w:footnote w:type="continuationSeparator" w:id="0">
    <w:p w14:paraId="77F45B3F" w14:textId="77777777" w:rsidR="004E7108" w:rsidRPr="00FC68B7" w:rsidRDefault="004E7108" w:rsidP="00FC68B7">
      <w:pPr>
        <w:tabs>
          <w:tab w:val="left" w:pos="2155"/>
        </w:tabs>
        <w:spacing w:after="80"/>
        <w:ind w:left="680"/>
        <w:rPr>
          <w:u w:val="single"/>
        </w:rPr>
      </w:pPr>
      <w:r>
        <w:rPr>
          <w:u w:val="single"/>
        </w:rPr>
        <w:tab/>
      </w:r>
    </w:p>
  </w:footnote>
  <w:footnote w:type="continuationNotice" w:id="1">
    <w:p w14:paraId="41780A92" w14:textId="77777777" w:rsidR="004E7108" w:rsidRDefault="004E7108"/>
  </w:footnote>
  <w:footnote w:id="2">
    <w:p w14:paraId="2D55400D" w14:textId="77777777" w:rsidR="003A6098" w:rsidRPr="00132453" w:rsidRDefault="003A6098" w:rsidP="003A6098">
      <w:pPr>
        <w:pStyle w:val="FootnoteText"/>
      </w:pPr>
      <w:r>
        <w:tab/>
      </w:r>
      <w:r w:rsidRPr="0087354F">
        <w:rPr>
          <w:vertAlign w:val="superscript"/>
        </w:rPr>
        <w:footnoteRef/>
      </w:r>
      <w:r w:rsidRPr="00132453">
        <w:tab/>
        <w:t>See ECE/MP.EIA/10.</w:t>
      </w:r>
    </w:p>
  </w:footnote>
  <w:footnote w:id="3">
    <w:p w14:paraId="3A8708BE" w14:textId="77777777" w:rsidR="003A6098" w:rsidRPr="00132453" w:rsidRDefault="003A6098" w:rsidP="003A6098">
      <w:pPr>
        <w:pStyle w:val="FootnoteText"/>
      </w:pPr>
      <w:r>
        <w:tab/>
      </w:r>
      <w:r w:rsidRPr="0087354F">
        <w:rPr>
          <w:vertAlign w:val="superscript"/>
        </w:rPr>
        <w:footnoteRef/>
      </w:r>
      <w:r w:rsidRPr="00132453">
        <w:tab/>
        <w:t>See ECE/MP.EIA/15.</w:t>
      </w:r>
    </w:p>
  </w:footnote>
  <w:footnote w:id="4">
    <w:p w14:paraId="69672894" w14:textId="77777777" w:rsidR="003A6098" w:rsidRPr="000F60AF" w:rsidRDefault="003A6098" w:rsidP="003A6098">
      <w:pPr>
        <w:pStyle w:val="FootnoteText"/>
        <w:rPr>
          <w:lang w:val="es-ES"/>
        </w:rPr>
      </w:pPr>
      <w:r>
        <w:tab/>
      </w:r>
      <w:r w:rsidRPr="0087354F">
        <w:rPr>
          <w:vertAlign w:val="superscript"/>
        </w:rPr>
        <w:footnoteRef/>
      </w:r>
      <w:r w:rsidRPr="000F60AF">
        <w:rPr>
          <w:lang w:val="es-ES"/>
        </w:rPr>
        <w:tab/>
        <w:t>See ECE/MP.EIA/20/Add.1-ECE/MP.EIA/SEA/4/Add.1.</w:t>
      </w:r>
    </w:p>
  </w:footnote>
  <w:footnote w:id="5">
    <w:p w14:paraId="358CA183" w14:textId="77777777" w:rsidR="003A6098" w:rsidRPr="00132453" w:rsidRDefault="003A6098" w:rsidP="003A6098">
      <w:pPr>
        <w:pStyle w:val="FootnoteText"/>
      </w:pPr>
      <w:r w:rsidRPr="000F60AF">
        <w:rPr>
          <w:lang w:val="es-ES"/>
        </w:rPr>
        <w:tab/>
      </w:r>
      <w:r w:rsidRPr="0087354F">
        <w:rPr>
          <w:vertAlign w:val="superscript"/>
        </w:rPr>
        <w:footnoteRef/>
      </w:r>
      <w:r w:rsidRPr="000F60AF">
        <w:rPr>
          <w:lang w:val="es-ES"/>
        </w:rPr>
        <w:tab/>
        <w:t xml:space="preserve">See ECE/MP.EIA/23-ECE/MP.EIA/SEA/7, para. </w:t>
      </w:r>
      <w:r w:rsidRPr="00132453">
        <w:t xml:space="preserve">27. </w:t>
      </w:r>
      <w:r>
        <w:t>See also draft decision VII/2 (ECE/MP.EIA/2017/8).</w:t>
      </w:r>
    </w:p>
  </w:footnote>
  <w:footnote w:id="6">
    <w:p w14:paraId="6F1D0012" w14:textId="6C7E9353" w:rsidR="003A6098" w:rsidRPr="00BF1A34" w:rsidRDefault="003A6098" w:rsidP="003A6098">
      <w:pPr>
        <w:pStyle w:val="FootnoteText"/>
        <w:rPr>
          <w:lang w:val="es-ES"/>
        </w:rPr>
      </w:pPr>
      <w:r>
        <w:tab/>
      </w:r>
      <w:r w:rsidRPr="0087354F">
        <w:rPr>
          <w:vertAlign w:val="superscript"/>
        </w:rPr>
        <w:footnoteRef/>
      </w:r>
      <w:r w:rsidRPr="00BF1A34">
        <w:rPr>
          <w:lang w:val="es-ES"/>
        </w:rPr>
        <w:tab/>
        <w:t>ECE/MP.EIA/2017/4-ECE/MP.EIA/SEA/2017/4</w:t>
      </w:r>
      <w:r w:rsidR="00E168EE">
        <w:rPr>
          <w:lang w:val="es-ES"/>
        </w:rPr>
        <w:t xml:space="preserve">, </w:t>
      </w:r>
      <w:r w:rsidR="00E168EE" w:rsidRPr="0087354F">
        <w:rPr>
          <w:lang w:val="es-ES"/>
        </w:rPr>
        <w:t>paras. 10–16</w:t>
      </w:r>
      <w:r w:rsidRPr="00BF1A34">
        <w:rPr>
          <w:lang w:val="es-ES"/>
        </w:rPr>
        <w:t>.</w:t>
      </w:r>
    </w:p>
  </w:footnote>
  <w:footnote w:id="7">
    <w:p w14:paraId="46989871" w14:textId="4D751308" w:rsidR="003A6098" w:rsidRPr="000F60AF" w:rsidRDefault="003A6098" w:rsidP="003A6098">
      <w:pPr>
        <w:pStyle w:val="FootnoteText"/>
        <w:rPr>
          <w:lang w:val="es-ES"/>
        </w:rPr>
      </w:pPr>
      <w:r w:rsidRPr="000F60AF">
        <w:rPr>
          <w:lang w:val="es-ES"/>
        </w:rPr>
        <w:tab/>
      </w:r>
      <w:r w:rsidRPr="0087354F">
        <w:rPr>
          <w:vertAlign w:val="superscript"/>
        </w:rPr>
        <w:footnoteRef/>
      </w:r>
      <w:r w:rsidRPr="000F60AF">
        <w:rPr>
          <w:lang w:val="es-ES"/>
        </w:rPr>
        <w:tab/>
        <w:t xml:space="preserve">ECE/MP.EIA/IC/2017/4, paras. </w:t>
      </w:r>
      <w:r>
        <w:rPr>
          <w:lang w:val="es-ES"/>
        </w:rPr>
        <w:t>15</w:t>
      </w:r>
      <w:r w:rsidR="00E168EE">
        <w:rPr>
          <w:lang w:val="es-ES"/>
        </w:rPr>
        <w:t>–</w:t>
      </w:r>
      <w:r>
        <w:rPr>
          <w:lang w:val="es-ES"/>
        </w:rPr>
        <w:t>2</w:t>
      </w:r>
      <w:r w:rsidRPr="000F60AF">
        <w:rPr>
          <w:lang w:val="es-ES"/>
        </w:rPr>
        <w:t>0.</w:t>
      </w:r>
    </w:p>
  </w:footnote>
  <w:footnote w:id="8">
    <w:p w14:paraId="671D0216" w14:textId="1F67FCF7" w:rsidR="003A6098" w:rsidRPr="000F60AF" w:rsidRDefault="003A6098" w:rsidP="003A6098">
      <w:pPr>
        <w:pStyle w:val="FootnoteText"/>
        <w:rPr>
          <w:lang w:val="es-ES"/>
        </w:rPr>
      </w:pPr>
      <w:r w:rsidRPr="000F60AF">
        <w:rPr>
          <w:lang w:val="es-ES"/>
        </w:rPr>
        <w:tab/>
      </w:r>
      <w:r w:rsidRPr="0087354F">
        <w:rPr>
          <w:vertAlign w:val="superscript"/>
        </w:rPr>
        <w:footnoteRef/>
      </w:r>
      <w:r w:rsidRPr="000F60AF">
        <w:rPr>
          <w:lang w:val="es-ES"/>
        </w:rPr>
        <w:tab/>
        <w:t xml:space="preserve">ECE/MP.EIA/IC/2017/6, paras. </w:t>
      </w:r>
      <w:r>
        <w:rPr>
          <w:lang w:val="es-ES"/>
        </w:rPr>
        <w:t>1</w:t>
      </w:r>
      <w:r w:rsidRPr="000F60AF">
        <w:rPr>
          <w:lang w:val="es-ES"/>
        </w:rPr>
        <w:t>9</w:t>
      </w:r>
      <w:r w:rsidR="00E168EE">
        <w:rPr>
          <w:lang w:val="es-ES"/>
        </w:rPr>
        <w:t>–</w:t>
      </w:r>
      <w:r w:rsidRPr="000F60AF">
        <w:rPr>
          <w:lang w:val="es-ES"/>
        </w:rPr>
        <w:t>2</w:t>
      </w:r>
      <w:r>
        <w:rPr>
          <w:lang w:val="es-ES"/>
        </w:rPr>
        <w:t>6</w:t>
      </w:r>
      <w:r w:rsidRPr="000F60AF">
        <w:rPr>
          <w:lang w:val="es-ES"/>
        </w:rPr>
        <w:t>.</w:t>
      </w:r>
    </w:p>
  </w:footnote>
  <w:footnote w:id="9">
    <w:p w14:paraId="5EE5FA6E" w14:textId="73604826" w:rsidR="003A6098" w:rsidRPr="00B80860" w:rsidRDefault="003A6098" w:rsidP="003A6098">
      <w:pPr>
        <w:pStyle w:val="FootnoteText"/>
        <w:rPr>
          <w:lang w:val="es-ES"/>
        </w:rPr>
      </w:pPr>
      <w:r w:rsidRPr="000F60AF">
        <w:rPr>
          <w:lang w:val="es-ES"/>
        </w:rPr>
        <w:tab/>
      </w:r>
      <w:r w:rsidRPr="0087354F">
        <w:rPr>
          <w:vertAlign w:val="superscript"/>
        </w:rPr>
        <w:footnoteRef/>
      </w:r>
      <w:r w:rsidRPr="00614107">
        <w:rPr>
          <w:lang w:val="es-ES"/>
        </w:rPr>
        <w:tab/>
        <w:t>ECE/MP.EIA/IC/2018/2, paras</w:t>
      </w:r>
      <w:r w:rsidRPr="00132453">
        <w:rPr>
          <w:lang w:val="es-ES"/>
        </w:rPr>
        <w:t>.</w:t>
      </w:r>
      <w:r w:rsidRPr="00614107">
        <w:rPr>
          <w:lang w:val="es-ES"/>
        </w:rPr>
        <w:t xml:space="preserve"> </w:t>
      </w:r>
      <w:r>
        <w:rPr>
          <w:lang w:val="es-ES"/>
        </w:rPr>
        <w:t>30</w:t>
      </w:r>
      <w:r w:rsidR="00E168EE">
        <w:rPr>
          <w:lang w:val="es-ES"/>
        </w:rPr>
        <w:t>–</w:t>
      </w:r>
      <w:r>
        <w:rPr>
          <w:lang w:val="es-ES"/>
        </w:rPr>
        <w:t>39.</w:t>
      </w:r>
    </w:p>
  </w:footnote>
  <w:footnote w:id="10">
    <w:p w14:paraId="2321634D" w14:textId="4FBCD164" w:rsidR="003A6098" w:rsidRPr="00B80860" w:rsidRDefault="003A6098" w:rsidP="000F2FB0">
      <w:pPr>
        <w:pStyle w:val="FootnoteText"/>
        <w:rPr>
          <w:lang w:val="es-ES"/>
        </w:rPr>
      </w:pPr>
      <w:r w:rsidRPr="00B80860">
        <w:rPr>
          <w:lang w:val="es-ES"/>
        </w:rPr>
        <w:tab/>
      </w:r>
      <w:r w:rsidRPr="0087354F">
        <w:rPr>
          <w:vertAlign w:val="superscript"/>
        </w:rPr>
        <w:footnoteRef/>
      </w:r>
      <w:r w:rsidRPr="00B80860">
        <w:rPr>
          <w:lang w:val="es-ES"/>
        </w:rPr>
        <w:tab/>
        <w:t>ECE/MP.EIA/</w:t>
      </w:r>
      <w:r w:rsidR="00370711">
        <w:rPr>
          <w:lang w:val="es-ES"/>
        </w:rPr>
        <w:t>IC/</w:t>
      </w:r>
      <w:r w:rsidRPr="00B80860">
        <w:rPr>
          <w:lang w:val="es-ES"/>
        </w:rPr>
        <w:t>2018/4, paras.</w:t>
      </w:r>
      <w:r w:rsidR="00753FE7">
        <w:rPr>
          <w:lang w:val="es-ES"/>
        </w:rPr>
        <w:t xml:space="preserve"> </w:t>
      </w:r>
      <w:r>
        <w:rPr>
          <w:lang w:val="es-ES"/>
        </w:rPr>
        <w:t>19</w:t>
      </w:r>
      <w:r w:rsidR="00E168EE">
        <w:rPr>
          <w:lang w:val="es-ES"/>
        </w:rPr>
        <w:t>–</w:t>
      </w:r>
      <w:r>
        <w:rPr>
          <w:lang w:val="es-ES"/>
        </w:rPr>
        <w:t>26.</w:t>
      </w:r>
    </w:p>
  </w:footnote>
  <w:footnote w:id="11">
    <w:p w14:paraId="3798C0A2" w14:textId="19B9BF46" w:rsidR="005E0B93" w:rsidRPr="0087354F" w:rsidRDefault="005E0B93" w:rsidP="005E0B93">
      <w:pPr>
        <w:pStyle w:val="FootnoteText"/>
        <w:widowControl w:val="0"/>
        <w:tabs>
          <w:tab w:val="clear" w:pos="1021"/>
          <w:tab w:val="right" w:pos="1020"/>
        </w:tabs>
        <w:rPr>
          <w:lang w:val="es-ES"/>
        </w:rPr>
      </w:pPr>
      <w:r w:rsidRPr="007C7A36">
        <w:rPr>
          <w:lang w:val="es-ES"/>
        </w:rPr>
        <w:tab/>
      </w:r>
      <w:r>
        <w:rPr>
          <w:rStyle w:val="FootnoteReference"/>
        </w:rPr>
        <w:footnoteRef/>
      </w:r>
      <w:r w:rsidRPr="007C7A36">
        <w:rPr>
          <w:lang w:val="es-ES"/>
        </w:rPr>
        <w:tab/>
      </w:r>
      <w:r w:rsidR="008F6958" w:rsidRPr="008F6958">
        <w:rPr>
          <w:lang w:val="es-ES"/>
        </w:rPr>
        <w:t>ECE/MP.EIA/IC/2018/2</w:t>
      </w:r>
      <w:r w:rsidR="008F6958">
        <w:rPr>
          <w:lang w:val="es-ES"/>
        </w:rPr>
        <w:t>, para</w:t>
      </w:r>
      <w:r w:rsidR="00E168EE">
        <w:rPr>
          <w:lang w:val="es-ES"/>
        </w:rPr>
        <w:t>.</w:t>
      </w:r>
      <w:r w:rsidR="008F6958">
        <w:rPr>
          <w:lang w:val="es-ES"/>
        </w:rPr>
        <w:t xml:space="preserve"> </w:t>
      </w:r>
      <w:r w:rsidR="008F6958" w:rsidRPr="0087354F">
        <w:t>30</w:t>
      </w:r>
      <w:r w:rsidR="00E168EE" w:rsidRPr="0087354F">
        <w:t>,</w:t>
      </w:r>
      <w:r w:rsidR="008F6958" w:rsidRPr="0087354F">
        <w:t xml:space="preserve"> and </w:t>
      </w:r>
      <w:r w:rsidRPr="0087354F">
        <w:t xml:space="preserve">ECE/MP.EIA/IC/2018/4, para. </w:t>
      </w:r>
      <w:r w:rsidR="0046450F">
        <w:rPr>
          <w:lang w:val="es-ES"/>
        </w:rPr>
        <w:t>21</w:t>
      </w:r>
      <w:r w:rsidR="008F6958">
        <w:rPr>
          <w:lang w:val="es-ES"/>
        </w:rPr>
        <w:t>.</w:t>
      </w:r>
    </w:p>
  </w:footnote>
  <w:footnote w:id="12">
    <w:p w14:paraId="2C5FF03C" w14:textId="68E9628E" w:rsidR="008F6958" w:rsidRPr="0087354F" w:rsidRDefault="008F6958">
      <w:pPr>
        <w:pStyle w:val="FootnoteText"/>
        <w:rPr>
          <w:lang w:val="es-ES"/>
        </w:rPr>
      </w:pPr>
      <w:r w:rsidRPr="0087354F">
        <w:rPr>
          <w:lang w:val="es-ES"/>
        </w:rPr>
        <w:tab/>
      </w:r>
      <w:r>
        <w:rPr>
          <w:rStyle w:val="FootnoteReference"/>
        </w:rPr>
        <w:footnoteRef/>
      </w:r>
      <w:r w:rsidRPr="0087354F">
        <w:rPr>
          <w:lang w:val="es-ES"/>
        </w:rPr>
        <w:tab/>
        <w:t>ECE/MP.EIA/IC/2016/4, para. 13.</w:t>
      </w:r>
    </w:p>
  </w:footnote>
  <w:footnote w:id="13">
    <w:p w14:paraId="13732FC6" w14:textId="7EC9D663" w:rsidR="003476A1" w:rsidRPr="003476A1" w:rsidRDefault="003476A1">
      <w:pPr>
        <w:pStyle w:val="FootnoteText"/>
        <w:rPr>
          <w:lang w:val="en-US"/>
        </w:rPr>
      </w:pPr>
      <w:r w:rsidRPr="0087354F">
        <w:rPr>
          <w:lang w:val="es-ES"/>
        </w:rPr>
        <w:tab/>
      </w:r>
      <w:r>
        <w:rPr>
          <w:rStyle w:val="FootnoteReference"/>
        </w:rPr>
        <w:footnoteRef/>
      </w:r>
      <w:r w:rsidRPr="0087354F">
        <w:rPr>
          <w:lang w:val="es-ES"/>
        </w:rPr>
        <w:tab/>
        <w:t xml:space="preserve">ECE/MP.EIA/IC/2018/2, para. </w:t>
      </w:r>
      <w:r>
        <w:t>34.</w:t>
      </w:r>
    </w:p>
  </w:footnote>
  <w:footnote w:id="14">
    <w:p w14:paraId="34A774EF" w14:textId="04797B0A" w:rsidR="00D2723F" w:rsidRPr="00D2723F" w:rsidRDefault="00D2723F">
      <w:pPr>
        <w:pStyle w:val="FootnoteText"/>
        <w:rPr>
          <w:lang w:val="en-US"/>
        </w:rPr>
      </w:pPr>
      <w:r>
        <w:tab/>
      </w:r>
      <w:r>
        <w:rPr>
          <w:rStyle w:val="FootnoteReference"/>
        </w:rPr>
        <w:footnoteRef/>
      </w:r>
      <w:r>
        <w:tab/>
      </w:r>
      <w:r>
        <w:rPr>
          <w:lang w:val="en-US"/>
        </w:rPr>
        <w:t>Ibid.</w:t>
      </w:r>
    </w:p>
  </w:footnote>
  <w:footnote w:id="15">
    <w:p w14:paraId="7A22C830" w14:textId="05EBA106" w:rsidR="005E0B93" w:rsidRPr="0087354F" w:rsidRDefault="005E0B93" w:rsidP="0087354F">
      <w:pPr>
        <w:pStyle w:val="FootnoteText"/>
      </w:pPr>
      <w:r w:rsidRPr="0087354F">
        <w:tab/>
      </w:r>
      <w:r w:rsidRPr="0087354F">
        <w:footnoteRef/>
      </w:r>
      <w:r w:rsidR="00790545" w:rsidRPr="0087354F">
        <w:tab/>
      </w:r>
      <w:r w:rsidR="00D2723F" w:rsidRPr="0087354F">
        <w:t>Ibid</w:t>
      </w:r>
      <w:r w:rsidRPr="0087354F">
        <w:t>.</w:t>
      </w:r>
    </w:p>
  </w:footnote>
  <w:footnote w:id="16">
    <w:p w14:paraId="32D35B75" w14:textId="2BD8DD5E" w:rsidR="00627459" w:rsidRPr="00627459" w:rsidRDefault="00627459">
      <w:pPr>
        <w:pStyle w:val="FootnoteText"/>
        <w:rPr>
          <w:lang w:val="en-US"/>
        </w:rPr>
      </w:pPr>
      <w:r>
        <w:tab/>
      </w:r>
      <w:r>
        <w:rPr>
          <w:rStyle w:val="FootnoteReference"/>
        </w:rPr>
        <w:footnoteRef/>
      </w:r>
      <w:r>
        <w:tab/>
      </w:r>
      <w:r>
        <w:rPr>
          <w:lang w:val="en-U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BA28" w14:textId="646EC466" w:rsidR="00BF3E6D" w:rsidRPr="00F40645" w:rsidRDefault="00F40645" w:rsidP="00F40645">
    <w:pPr>
      <w:pStyle w:val="Header"/>
    </w:pPr>
    <w:r>
      <w:rPr>
        <w:lang w:val="es-ES"/>
      </w:rPr>
      <w:t>ECE/MP.EIA/2019/</w:t>
    </w:r>
    <w:r w:rsidR="004C1939">
      <w:rPr>
        <w:lang w:val="es-E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84F3" w14:textId="4B936181" w:rsidR="00BF3E6D" w:rsidRPr="00F40645" w:rsidRDefault="00F40645" w:rsidP="00F40645">
    <w:pPr>
      <w:pStyle w:val="Header"/>
      <w:jc w:val="right"/>
    </w:pPr>
    <w:r>
      <w:rPr>
        <w:lang w:val="es-ES"/>
      </w:rPr>
      <w:t>ECE/MP.EIA/2019/</w:t>
    </w:r>
    <w:r w:rsidR="004C1939">
      <w:rPr>
        <w:lang w:val="es-E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8E4511"/>
    <w:multiLevelType w:val="hybridMultilevel"/>
    <w:tmpl w:val="E60E3D3C"/>
    <w:lvl w:ilvl="0" w:tplc="4608EC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15:restartNumberingAfterBreak="0">
    <w:nsid w:val="21CF3925"/>
    <w:multiLevelType w:val="hybridMultilevel"/>
    <w:tmpl w:val="74C063F8"/>
    <w:lvl w:ilvl="0" w:tplc="CEC04C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A25946"/>
    <w:multiLevelType w:val="multilevel"/>
    <w:tmpl w:val="E8A23C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4BE45E8"/>
    <w:multiLevelType w:val="hybridMultilevel"/>
    <w:tmpl w:val="23F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3F780A"/>
    <w:multiLevelType w:val="hybridMultilevel"/>
    <w:tmpl w:val="7AF8EA16"/>
    <w:lvl w:ilvl="0" w:tplc="C58C356A">
      <w:start w:val="1"/>
      <w:numFmt w:val="decimal"/>
      <w:lvlText w:val="%1."/>
      <w:lvlJc w:val="left"/>
      <w:pPr>
        <w:tabs>
          <w:tab w:val="num" w:pos="2259"/>
        </w:tabs>
        <w:ind w:left="2259" w:hanging="570"/>
      </w:pPr>
      <w:rPr>
        <w:rFonts w:hint="default"/>
      </w:rPr>
    </w:lvl>
    <w:lvl w:ilvl="1" w:tplc="04090019" w:tentative="1">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23"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15:restartNumberingAfterBreak="0">
    <w:nsid w:val="2E5D5B1B"/>
    <w:multiLevelType w:val="hybridMultilevel"/>
    <w:tmpl w:val="BA40AE3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6F47FA"/>
    <w:multiLevelType w:val="hybridMultilevel"/>
    <w:tmpl w:val="E8A23C0C"/>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5610E1"/>
    <w:multiLevelType w:val="hybridMultilevel"/>
    <w:tmpl w:val="A91653F8"/>
    <w:lvl w:ilvl="0" w:tplc="A6186578">
      <w:start w:val="1"/>
      <w:numFmt w:val="decimal"/>
      <w:lvlText w:val="%1."/>
      <w:lvlJc w:val="left"/>
      <w:pPr>
        <w:ind w:left="410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6"/>
  </w:num>
  <w:num w:numId="13">
    <w:abstractNumId w:val="11"/>
  </w:num>
  <w:num w:numId="14">
    <w:abstractNumId w:val="14"/>
  </w:num>
  <w:num w:numId="15">
    <w:abstractNumId w:val="27"/>
  </w:num>
  <w:num w:numId="16">
    <w:abstractNumId w:val="15"/>
  </w:num>
  <w:num w:numId="17">
    <w:abstractNumId w:val="32"/>
  </w:num>
  <w:num w:numId="18">
    <w:abstractNumId w:val="33"/>
  </w:num>
  <w:num w:numId="19">
    <w:abstractNumId w:val="31"/>
  </w:num>
  <w:num w:numId="20">
    <w:abstractNumId w:val="13"/>
  </w:num>
  <w:num w:numId="21">
    <w:abstractNumId w:val="12"/>
  </w:num>
  <w:num w:numId="22">
    <w:abstractNumId w:val="28"/>
  </w:num>
  <w:num w:numId="23">
    <w:abstractNumId w:val="17"/>
  </w:num>
  <w:num w:numId="24">
    <w:abstractNumId w:val="23"/>
  </w:num>
  <w:num w:numId="25">
    <w:abstractNumId w:val="10"/>
    <w:lvlOverride w:ilvl="0">
      <w:lvl w:ilvl="0">
        <w:numFmt w:val="bullet"/>
        <w:lvlText w:val="•"/>
        <w:legacy w:legacy="1" w:legacySpace="0" w:legacyIndent="0"/>
        <w:lvlJc w:val="left"/>
        <w:rPr>
          <w:rFonts w:ascii="Verdana" w:hAnsi="Verdana" w:hint="default"/>
          <w:sz w:val="20"/>
        </w:rPr>
      </w:lvl>
    </w:lvlOverride>
  </w:num>
  <w:num w:numId="26">
    <w:abstractNumId w:val="10"/>
    <w:lvlOverride w:ilvl="0">
      <w:lvl w:ilvl="0">
        <w:numFmt w:val="bullet"/>
        <w:lvlText w:val="–"/>
        <w:legacy w:legacy="1" w:legacySpace="0" w:legacyIndent="0"/>
        <w:lvlJc w:val="left"/>
        <w:rPr>
          <w:rFonts w:ascii="Verdana" w:hAnsi="Verdana" w:hint="default"/>
          <w:sz w:val="18"/>
        </w:rPr>
      </w:lvl>
    </w:lvlOverride>
  </w:num>
  <w:num w:numId="27">
    <w:abstractNumId w:val="10"/>
    <w:lvlOverride w:ilvl="0">
      <w:lvl w:ilvl="0">
        <w:numFmt w:val="bullet"/>
        <w:lvlText w:val="•"/>
        <w:legacy w:legacy="1" w:legacySpace="0" w:legacyIndent="0"/>
        <w:lvlJc w:val="left"/>
        <w:rPr>
          <w:rFonts w:ascii="Verdana" w:hAnsi="Verdana" w:hint="default"/>
          <w:sz w:val="16"/>
        </w:rPr>
      </w:lvl>
    </w:lvlOverride>
  </w:num>
  <w:num w:numId="28">
    <w:abstractNumId w:val="10"/>
    <w:lvlOverride w:ilvl="0">
      <w:lvl w:ilvl="0">
        <w:numFmt w:val="bullet"/>
        <w:lvlText w:val="–"/>
        <w:legacy w:legacy="1" w:legacySpace="0" w:legacyIndent="0"/>
        <w:lvlJc w:val="left"/>
        <w:rPr>
          <w:rFonts w:ascii="Verdana" w:hAnsi="Verdana" w:hint="default"/>
          <w:sz w:val="14"/>
        </w:rPr>
      </w:lvl>
    </w:lvlOverride>
  </w:num>
  <w:num w:numId="29">
    <w:abstractNumId w:val="10"/>
    <w:lvlOverride w:ilvl="0">
      <w:lvl w:ilvl="0">
        <w:numFmt w:val="bullet"/>
        <w:lvlText w:val="•"/>
        <w:legacy w:legacy="1" w:legacySpace="0" w:legacyIndent="0"/>
        <w:lvlJc w:val="left"/>
        <w:rPr>
          <w:rFonts w:ascii="Verdana" w:hAnsi="Verdana" w:hint="default"/>
          <w:sz w:val="18"/>
        </w:rPr>
      </w:lvl>
    </w:lvlOverride>
  </w:num>
  <w:num w:numId="30">
    <w:abstractNumId w:val="10"/>
    <w:lvlOverride w:ilvl="0">
      <w:lvl w:ilvl="0">
        <w:numFmt w:val="bullet"/>
        <w:lvlText w:val="–"/>
        <w:legacy w:legacy="1" w:legacySpace="0" w:legacyIndent="0"/>
        <w:lvlJc w:val="left"/>
        <w:rPr>
          <w:rFonts w:ascii="Verdana" w:hAnsi="Verdana" w:hint="default"/>
          <w:sz w:val="16"/>
        </w:rPr>
      </w:lvl>
    </w:lvlOverride>
  </w:num>
  <w:num w:numId="31">
    <w:abstractNumId w:val="30"/>
  </w:num>
  <w:num w:numId="32">
    <w:abstractNumId w:val="18"/>
  </w:num>
  <w:num w:numId="33">
    <w:abstractNumId w:val="21"/>
  </w:num>
  <w:num w:numId="34">
    <w:abstractNumId w:val="26"/>
  </w:num>
  <w:num w:numId="35">
    <w:abstractNumId w:val="20"/>
  </w:num>
  <w:num w:numId="36">
    <w:abstractNumId w:val="24"/>
  </w:num>
  <w:num w:numId="37">
    <w:abstractNumId w:val="22"/>
  </w:num>
  <w:num w:numId="38">
    <w:abstractNumId w:val="29"/>
  </w:num>
  <w:num w:numId="3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276"/>
    <w:rsid w:val="00002A7D"/>
    <w:rsid w:val="000038A8"/>
    <w:rsid w:val="00006790"/>
    <w:rsid w:val="000213C5"/>
    <w:rsid w:val="0002244E"/>
    <w:rsid w:val="00022A19"/>
    <w:rsid w:val="00023A08"/>
    <w:rsid w:val="00027624"/>
    <w:rsid w:val="00027949"/>
    <w:rsid w:val="000301E6"/>
    <w:rsid w:val="00031635"/>
    <w:rsid w:val="00033F4F"/>
    <w:rsid w:val="00036F3B"/>
    <w:rsid w:val="000470CE"/>
    <w:rsid w:val="000476D3"/>
    <w:rsid w:val="00050F6B"/>
    <w:rsid w:val="0006410F"/>
    <w:rsid w:val="000678CD"/>
    <w:rsid w:val="00070D57"/>
    <w:rsid w:val="00072C8C"/>
    <w:rsid w:val="00080501"/>
    <w:rsid w:val="00081CE0"/>
    <w:rsid w:val="00084D30"/>
    <w:rsid w:val="00090320"/>
    <w:rsid w:val="00091C60"/>
    <w:rsid w:val="000931C0"/>
    <w:rsid w:val="000A0AFC"/>
    <w:rsid w:val="000A2E09"/>
    <w:rsid w:val="000B175B"/>
    <w:rsid w:val="000B3A0F"/>
    <w:rsid w:val="000B6A6A"/>
    <w:rsid w:val="000C7D93"/>
    <w:rsid w:val="000E0415"/>
    <w:rsid w:val="000F2FB0"/>
    <w:rsid w:val="000F7715"/>
    <w:rsid w:val="00103FF5"/>
    <w:rsid w:val="0010441F"/>
    <w:rsid w:val="001065AC"/>
    <w:rsid w:val="00106D1A"/>
    <w:rsid w:val="001201E3"/>
    <w:rsid w:val="0012091E"/>
    <w:rsid w:val="001223E6"/>
    <w:rsid w:val="00125002"/>
    <w:rsid w:val="00133B4A"/>
    <w:rsid w:val="00141923"/>
    <w:rsid w:val="00156B99"/>
    <w:rsid w:val="00166124"/>
    <w:rsid w:val="0017374C"/>
    <w:rsid w:val="001765B9"/>
    <w:rsid w:val="00184DDA"/>
    <w:rsid w:val="001900CD"/>
    <w:rsid w:val="00191634"/>
    <w:rsid w:val="001958E9"/>
    <w:rsid w:val="00197E8A"/>
    <w:rsid w:val="001A0452"/>
    <w:rsid w:val="001A15A6"/>
    <w:rsid w:val="001B4B04"/>
    <w:rsid w:val="001B5875"/>
    <w:rsid w:val="001C4B9C"/>
    <w:rsid w:val="001C6663"/>
    <w:rsid w:val="001C7895"/>
    <w:rsid w:val="001D26DF"/>
    <w:rsid w:val="001D73AD"/>
    <w:rsid w:val="001F1599"/>
    <w:rsid w:val="001F19C4"/>
    <w:rsid w:val="001F59AB"/>
    <w:rsid w:val="001F6BFA"/>
    <w:rsid w:val="00201575"/>
    <w:rsid w:val="002043F0"/>
    <w:rsid w:val="00211E0B"/>
    <w:rsid w:val="002268AD"/>
    <w:rsid w:val="00232575"/>
    <w:rsid w:val="00234E79"/>
    <w:rsid w:val="00240AE6"/>
    <w:rsid w:val="00242B9D"/>
    <w:rsid w:val="0024478B"/>
    <w:rsid w:val="00247258"/>
    <w:rsid w:val="0025145A"/>
    <w:rsid w:val="00252B82"/>
    <w:rsid w:val="00257CAC"/>
    <w:rsid w:val="00261150"/>
    <w:rsid w:val="0027237A"/>
    <w:rsid w:val="002839B2"/>
    <w:rsid w:val="00283D5B"/>
    <w:rsid w:val="00286AD0"/>
    <w:rsid w:val="002974E9"/>
    <w:rsid w:val="002A2E61"/>
    <w:rsid w:val="002A6612"/>
    <w:rsid w:val="002A7F94"/>
    <w:rsid w:val="002B109A"/>
    <w:rsid w:val="002C2815"/>
    <w:rsid w:val="002C68B8"/>
    <w:rsid w:val="002C6D45"/>
    <w:rsid w:val="002D6E53"/>
    <w:rsid w:val="002E7F4A"/>
    <w:rsid w:val="002F046D"/>
    <w:rsid w:val="002F69DE"/>
    <w:rsid w:val="00301190"/>
    <w:rsid w:val="00301764"/>
    <w:rsid w:val="003031E5"/>
    <w:rsid w:val="00303CC4"/>
    <w:rsid w:val="00303E23"/>
    <w:rsid w:val="0030725E"/>
    <w:rsid w:val="0030761B"/>
    <w:rsid w:val="0031738E"/>
    <w:rsid w:val="00320F97"/>
    <w:rsid w:val="003229D8"/>
    <w:rsid w:val="00334F29"/>
    <w:rsid w:val="00335FA3"/>
    <w:rsid w:val="00336C97"/>
    <w:rsid w:val="00337F88"/>
    <w:rsid w:val="00342432"/>
    <w:rsid w:val="00344893"/>
    <w:rsid w:val="00344FEA"/>
    <w:rsid w:val="00345831"/>
    <w:rsid w:val="003476A1"/>
    <w:rsid w:val="0035223F"/>
    <w:rsid w:val="00352D4B"/>
    <w:rsid w:val="0035638C"/>
    <w:rsid w:val="00357A76"/>
    <w:rsid w:val="00366B94"/>
    <w:rsid w:val="003672C4"/>
    <w:rsid w:val="00370711"/>
    <w:rsid w:val="00377D53"/>
    <w:rsid w:val="00384B97"/>
    <w:rsid w:val="00384BF2"/>
    <w:rsid w:val="00384C9A"/>
    <w:rsid w:val="003A46BB"/>
    <w:rsid w:val="003A4EC7"/>
    <w:rsid w:val="003A6098"/>
    <w:rsid w:val="003A7295"/>
    <w:rsid w:val="003B1F60"/>
    <w:rsid w:val="003B5398"/>
    <w:rsid w:val="003B5623"/>
    <w:rsid w:val="003C0171"/>
    <w:rsid w:val="003C2CC4"/>
    <w:rsid w:val="003D1741"/>
    <w:rsid w:val="003D3051"/>
    <w:rsid w:val="003D4B23"/>
    <w:rsid w:val="003E278A"/>
    <w:rsid w:val="003E68C3"/>
    <w:rsid w:val="003E7495"/>
    <w:rsid w:val="003F1CA1"/>
    <w:rsid w:val="003F2C4C"/>
    <w:rsid w:val="00400410"/>
    <w:rsid w:val="00403324"/>
    <w:rsid w:val="004072F8"/>
    <w:rsid w:val="004100B1"/>
    <w:rsid w:val="00413520"/>
    <w:rsid w:val="00422BB8"/>
    <w:rsid w:val="00425DD6"/>
    <w:rsid w:val="004325CB"/>
    <w:rsid w:val="00440A07"/>
    <w:rsid w:val="004534E0"/>
    <w:rsid w:val="004621B2"/>
    <w:rsid w:val="00462880"/>
    <w:rsid w:val="0046450F"/>
    <w:rsid w:val="00476F24"/>
    <w:rsid w:val="00486EBD"/>
    <w:rsid w:val="004A14F1"/>
    <w:rsid w:val="004A211F"/>
    <w:rsid w:val="004A68B7"/>
    <w:rsid w:val="004A71CC"/>
    <w:rsid w:val="004B513C"/>
    <w:rsid w:val="004C1939"/>
    <w:rsid w:val="004C55B0"/>
    <w:rsid w:val="004E05C3"/>
    <w:rsid w:val="004E22E5"/>
    <w:rsid w:val="004E3037"/>
    <w:rsid w:val="004E7108"/>
    <w:rsid w:val="004F6BA0"/>
    <w:rsid w:val="00503BEA"/>
    <w:rsid w:val="00511975"/>
    <w:rsid w:val="00515325"/>
    <w:rsid w:val="00524703"/>
    <w:rsid w:val="00533616"/>
    <w:rsid w:val="00535ABA"/>
    <w:rsid w:val="0053768B"/>
    <w:rsid w:val="005420F2"/>
    <w:rsid w:val="0054285C"/>
    <w:rsid w:val="005732F8"/>
    <w:rsid w:val="0057391D"/>
    <w:rsid w:val="00575200"/>
    <w:rsid w:val="00577AAE"/>
    <w:rsid w:val="00584173"/>
    <w:rsid w:val="00584652"/>
    <w:rsid w:val="00595520"/>
    <w:rsid w:val="00595D29"/>
    <w:rsid w:val="005A2F4C"/>
    <w:rsid w:val="005A44B9"/>
    <w:rsid w:val="005B1BA0"/>
    <w:rsid w:val="005B3DB3"/>
    <w:rsid w:val="005B4D54"/>
    <w:rsid w:val="005D15CA"/>
    <w:rsid w:val="005D250A"/>
    <w:rsid w:val="005D7A99"/>
    <w:rsid w:val="005E0B93"/>
    <w:rsid w:val="005F3066"/>
    <w:rsid w:val="005F3E61"/>
    <w:rsid w:val="005F40BF"/>
    <w:rsid w:val="005F5252"/>
    <w:rsid w:val="005F57CE"/>
    <w:rsid w:val="005F62C5"/>
    <w:rsid w:val="00604DDD"/>
    <w:rsid w:val="006115CC"/>
    <w:rsid w:val="00611FC4"/>
    <w:rsid w:val="00612386"/>
    <w:rsid w:val="00613CFC"/>
    <w:rsid w:val="006176FB"/>
    <w:rsid w:val="0062057B"/>
    <w:rsid w:val="00626BF3"/>
    <w:rsid w:val="00627459"/>
    <w:rsid w:val="00630AF2"/>
    <w:rsid w:val="00630FCB"/>
    <w:rsid w:val="0063596F"/>
    <w:rsid w:val="00640B26"/>
    <w:rsid w:val="00646A11"/>
    <w:rsid w:val="006709F3"/>
    <w:rsid w:val="00671E7A"/>
    <w:rsid w:val="006731C6"/>
    <w:rsid w:val="00673CCD"/>
    <w:rsid w:val="006770B2"/>
    <w:rsid w:val="006920D4"/>
    <w:rsid w:val="006934B3"/>
    <w:rsid w:val="006940E1"/>
    <w:rsid w:val="00696214"/>
    <w:rsid w:val="006A3C72"/>
    <w:rsid w:val="006A5E2B"/>
    <w:rsid w:val="006A7392"/>
    <w:rsid w:val="006B03A1"/>
    <w:rsid w:val="006B384A"/>
    <w:rsid w:val="006B4498"/>
    <w:rsid w:val="006B5655"/>
    <w:rsid w:val="006B67D9"/>
    <w:rsid w:val="006C5535"/>
    <w:rsid w:val="006D0589"/>
    <w:rsid w:val="006D2839"/>
    <w:rsid w:val="006E259B"/>
    <w:rsid w:val="006E3623"/>
    <w:rsid w:val="006E4ECA"/>
    <w:rsid w:val="006E564B"/>
    <w:rsid w:val="006E7154"/>
    <w:rsid w:val="006F1FCC"/>
    <w:rsid w:val="006F5B97"/>
    <w:rsid w:val="006F7B66"/>
    <w:rsid w:val="007003CD"/>
    <w:rsid w:val="00700EC6"/>
    <w:rsid w:val="0070701E"/>
    <w:rsid w:val="0071371C"/>
    <w:rsid w:val="007142E3"/>
    <w:rsid w:val="0072431B"/>
    <w:rsid w:val="0072528C"/>
    <w:rsid w:val="0072632A"/>
    <w:rsid w:val="007301C4"/>
    <w:rsid w:val="00731414"/>
    <w:rsid w:val="007358E8"/>
    <w:rsid w:val="00736ECE"/>
    <w:rsid w:val="0074533B"/>
    <w:rsid w:val="00746DBC"/>
    <w:rsid w:val="00752AA9"/>
    <w:rsid w:val="00753701"/>
    <w:rsid w:val="00753FE7"/>
    <w:rsid w:val="00755C77"/>
    <w:rsid w:val="007643BC"/>
    <w:rsid w:val="00775CC6"/>
    <w:rsid w:val="00780C5F"/>
    <w:rsid w:val="00790545"/>
    <w:rsid w:val="0079295F"/>
    <w:rsid w:val="007946E9"/>
    <w:rsid w:val="007959FE"/>
    <w:rsid w:val="007A0CF1"/>
    <w:rsid w:val="007B1D63"/>
    <w:rsid w:val="007B6BA5"/>
    <w:rsid w:val="007C0103"/>
    <w:rsid w:val="007C0729"/>
    <w:rsid w:val="007C3390"/>
    <w:rsid w:val="007C35C7"/>
    <w:rsid w:val="007C42D8"/>
    <w:rsid w:val="007C4F4B"/>
    <w:rsid w:val="007C6749"/>
    <w:rsid w:val="007C7F04"/>
    <w:rsid w:val="007D5536"/>
    <w:rsid w:val="007D6C17"/>
    <w:rsid w:val="007D7362"/>
    <w:rsid w:val="007E1646"/>
    <w:rsid w:val="007F5CE2"/>
    <w:rsid w:val="007F6611"/>
    <w:rsid w:val="00810BAC"/>
    <w:rsid w:val="008166C9"/>
    <w:rsid w:val="008175E9"/>
    <w:rsid w:val="008242D7"/>
    <w:rsid w:val="0082577B"/>
    <w:rsid w:val="00832126"/>
    <w:rsid w:val="00836518"/>
    <w:rsid w:val="00852BD3"/>
    <w:rsid w:val="0085780A"/>
    <w:rsid w:val="00857B1F"/>
    <w:rsid w:val="00866893"/>
    <w:rsid w:val="00866F02"/>
    <w:rsid w:val="00867D18"/>
    <w:rsid w:val="00871F9A"/>
    <w:rsid w:val="00871FD5"/>
    <w:rsid w:val="0087354F"/>
    <w:rsid w:val="008755E8"/>
    <w:rsid w:val="00880CC7"/>
    <w:rsid w:val="0088172E"/>
    <w:rsid w:val="00881EFA"/>
    <w:rsid w:val="008879CB"/>
    <w:rsid w:val="008979B1"/>
    <w:rsid w:val="008A6B25"/>
    <w:rsid w:val="008A6C4F"/>
    <w:rsid w:val="008B0BCE"/>
    <w:rsid w:val="008B1F1D"/>
    <w:rsid w:val="008B389E"/>
    <w:rsid w:val="008D045E"/>
    <w:rsid w:val="008D3F25"/>
    <w:rsid w:val="008D4D82"/>
    <w:rsid w:val="008D61E1"/>
    <w:rsid w:val="008D6B40"/>
    <w:rsid w:val="008E0E46"/>
    <w:rsid w:val="008E7116"/>
    <w:rsid w:val="008F024C"/>
    <w:rsid w:val="008F143B"/>
    <w:rsid w:val="008F2985"/>
    <w:rsid w:val="008F2D73"/>
    <w:rsid w:val="008F3882"/>
    <w:rsid w:val="008F4B7C"/>
    <w:rsid w:val="008F6958"/>
    <w:rsid w:val="0091026F"/>
    <w:rsid w:val="00910A86"/>
    <w:rsid w:val="00926E47"/>
    <w:rsid w:val="009345A0"/>
    <w:rsid w:val="00947162"/>
    <w:rsid w:val="009520BD"/>
    <w:rsid w:val="009610D0"/>
    <w:rsid w:val="0096375C"/>
    <w:rsid w:val="009662E6"/>
    <w:rsid w:val="0097095E"/>
    <w:rsid w:val="0098074F"/>
    <w:rsid w:val="009820B5"/>
    <w:rsid w:val="0098592B"/>
    <w:rsid w:val="00985FC4"/>
    <w:rsid w:val="00990766"/>
    <w:rsid w:val="00991261"/>
    <w:rsid w:val="009964C4"/>
    <w:rsid w:val="00997612"/>
    <w:rsid w:val="00997CC9"/>
    <w:rsid w:val="009A2B2D"/>
    <w:rsid w:val="009A7B81"/>
    <w:rsid w:val="009A7EF7"/>
    <w:rsid w:val="009B739B"/>
    <w:rsid w:val="009C07D7"/>
    <w:rsid w:val="009D01C0"/>
    <w:rsid w:val="009D125B"/>
    <w:rsid w:val="009D1496"/>
    <w:rsid w:val="009D6A08"/>
    <w:rsid w:val="009E0A16"/>
    <w:rsid w:val="009E37EF"/>
    <w:rsid w:val="009E6CB7"/>
    <w:rsid w:val="009E6D6B"/>
    <w:rsid w:val="009E7970"/>
    <w:rsid w:val="009F0691"/>
    <w:rsid w:val="009F2EAC"/>
    <w:rsid w:val="009F57E3"/>
    <w:rsid w:val="009F5D01"/>
    <w:rsid w:val="009F6639"/>
    <w:rsid w:val="00A10F4F"/>
    <w:rsid w:val="00A11067"/>
    <w:rsid w:val="00A120DE"/>
    <w:rsid w:val="00A15EB1"/>
    <w:rsid w:val="00A1704A"/>
    <w:rsid w:val="00A255CD"/>
    <w:rsid w:val="00A2738A"/>
    <w:rsid w:val="00A357B4"/>
    <w:rsid w:val="00A37D5F"/>
    <w:rsid w:val="00A40D07"/>
    <w:rsid w:val="00A4112B"/>
    <w:rsid w:val="00A425EB"/>
    <w:rsid w:val="00A6128D"/>
    <w:rsid w:val="00A62CF3"/>
    <w:rsid w:val="00A71A3B"/>
    <w:rsid w:val="00A72F22"/>
    <w:rsid w:val="00A733BC"/>
    <w:rsid w:val="00A748A6"/>
    <w:rsid w:val="00A76A69"/>
    <w:rsid w:val="00A83AF9"/>
    <w:rsid w:val="00A83E4B"/>
    <w:rsid w:val="00A840F4"/>
    <w:rsid w:val="00A862CB"/>
    <w:rsid w:val="00A879A4"/>
    <w:rsid w:val="00AA0FF8"/>
    <w:rsid w:val="00AB298F"/>
    <w:rsid w:val="00AC0EA8"/>
    <w:rsid w:val="00AC0F2C"/>
    <w:rsid w:val="00AC502A"/>
    <w:rsid w:val="00AE08F9"/>
    <w:rsid w:val="00AE3276"/>
    <w:rsid w:val="00AE60FB"/>
    <w:rsid w:val="00AF3EB8"/>
    <w:rsid w:val="00AF58C1"/>
    <w:rsid w:val="00B03039"/>
    <w:rsid w:val="00B04A3F"/>
    <w:rsid w:val="00B05521"/>
    <w:rsid w:val="00B06643"/>
    <w:rsid w:val="00B13C46"/>
    <w:rsid w:val="00B13E50"/>
    <w:rsid w:val="00B15055"/>
    <w:rsid w:val="00B176A0"/>
    <w:rsid w:val="00B2224F"/>
    <w:rsid w:val="00B22610"/>
    <w:rsid w:val="00B30179"/>
    <w:rsid w:val="00B34321"/>
    <w:rsid w:val="00B37B15"/>
    <w:rsid w:val="00B45C02"/>
    <w:rsid w:val="00B54CC8"/>
    <w:rsid w:val="00B55036"/>
    <w:rsid w:val="00B71572"/>
    <w:rsid w:val="00B72A1E"/>
    <w:rsid w:val="00B81E12"/>
    <w:rsid w:val="00B844ED"/>
    <w:rsid w:val="00B903D3"/>
    <w:rsid w:val="00BA339B"/>
    <w:rsid w:val="00BC105A"/>
    <w:rsid w:val="00BC1E7E"/>
    <w:rsid w:val="00BC3221"/>
    <w:rsid w:val="00BC74E9"/>
    <w:rsid w:val="00BC7F91"/>
    <w:rsid w:val="00BD08C6"/>
    <w:rsid w:val="00BE1CB8"/>
    <w:rsid w:val="00BE36A9"/>
    <w:rsid w:val="00BE563C"/>
    <w:rsid w:val="00BE618E"/>
    <w:rsid w:val="00BE7783"/>
    <w:rsid w:val="00BE7994"/>
    <w:rsid w:val="00BE7BEC"/>
    <w:rsid w:val="00BF0A5A"/>
    <w:rsid w:val="00BF0E63"/>
    <w:rsid w:val="00BF12A3"/>
    <w:rsid w:val="00BF16D7"/>
    <w:rsid w:val="00BF2373"/>
    <w:rsid w:val="00BF37BF"/>
    <w:rsid w:val="00BF3E6D"/>
    <w:rsid w:val="00BF440E"/>
    <w:rsid w:val="00C044E2"/>
    <w:rsid w:val="00C048CB"/>
    <w:rsid w:val="00C066F3"/>
    <w:rsid w:val="00C1268B"/>
    <w:rsid w:val="00C12AA8"/>
    <w:rsid w:val="00C24854"/>
    <w:rsid w:val="00C351A0"/>
    <w:rsid w:val="00C44709"/>
    <w:rsid w:val="00C463DD"/>
    <w:rsid w:val="00C741AF"/>
    <w:rsid w:val="00C745C3"/>
    <w:rsid w:val="00C8794A"/>
    <w:rsid w:val="00C91CBE"/>
    <w:rsid w:val="00C95C91"/>
    <w:rsid w:val="00CA24A4"/>
    <w:rsid w:val="00CA3C23"/>
    <w:rsid w:val="00CA3F0D"/>
    <w:rsid w:val="00CA6764"/>
    <w:rsid w:val="00CB348D"/>
    <w:rsid w:val="00CB565F"/>
    <w:rsid w:val="00CD46F5"/>
    <w:rsid w:val="00CE4A8F"/>
    <w:rsid w:val="00CF071D"/>
    <w:rsid w:val="00CF147B"/>
    <w:rsid w:val="00D138CC"/>
    <w:rsid w:val="00D15B04"/>
    <w:rsid w:val="00D17EE9"/>
    <w:rsid w:val="00D2031B"/>
    <w:rsid w:val="00D25C7B"/>
    <w:rsid w:val="00D25FE2"/>
    <w:rsid w:val="00D2723F"/>
    <w:rsid w:val="00D323A2"/>
    <w:rsid w:val="00D33EA6"/>
    <w:rsid w:val="00D37DA9"/>
    <w:rsid w:val="00D406A7"/>
    <w:rsid w:val="00D43252"/>
    <w:rsid w:val="00D44D86"/>
    <w:rsid w:val="00D50B7D"/>
    <w:rsid w:val="00D52012"/>
    <w:rsid w:val="00D704E5"/>
    <w:rsid w:val="00D72727"/>
    <w:rsid w:val="00D96811"/>
    <w:rsid w:val="00D978C6"/>
    <w:rsid w:val="00DA0956"/>
    <w:rsid w:val="00DA2490"/>
    <w:rsid w:val="00DA357F"/>
    <w:rsid w:val="00DA3E12"/>
    <w:rsid w:val="00DB22EF"/>
    <w:rsid w:val="00DB251B"/>
    <w:rsid w:val="00DC18AD"/>
    <w:rsid w:val="00DE159F"/>
    <w:rsid w:val="00DF7CAE"/>
    <w:rsid w:val="00E05D46"/>
    <w:rsid w:val="00E168EE"/>
    <w:rsid w:val="00E22B93"/>
    <w:rsid w:val="00E32B5D"/>
    <w:rsid w:val="00E37169"/>
    <w:rsid w:val="00E423C0"/>
    <w:rsid w:val="00E6414C"/>
    <w:rsid w:val="00E64384"/>
    <w:rsid w:val="00E66242"/>
    <w:rsid w:val="00E668D0"/>
    <w:rsid w:val="00E7260F"/>
    <w:rsid w:val="00E75AE7"/>
    <w:rsid w:val="00E7646B"/>
    <w:rsid w:val="00E80A14"/>
    <w:rsid w:val="00E80AA8"/>
    <w:rsid w:val="00E86B9C"/>
    <w:rsid w:val="00E8702D"/>
    <w:rsid w:val="00E916A9"/>
    <w:rsid w:val="00E916DE"/>
    <w:rsid w:val="00E91730"/>
    <w:rsid w:val="00E925AD"/>
    <w:rsid w:val="00E96630"/>
    <w:rsid w:val="00EB7D31"/>
    <w:rsid w:val="00EC0127"/>
    <w:rsid w:val="00EC386C"/>
    <w:rsid w:val="00ED18DC"/>
    <w:rsid w:val="00ED3543"/>
    <w:rsid w:val="00ED6201"/>
    <w:rsid w:val="00ED7A2A"/>
    <w:rsid w:val="00EE4BF4"/>
    <w:rsid w:val="00EF0AB1"/>
    <w:rsid w:val="00EF1D7F"/>
    <w:rsid w:val="00F0137E"/>
    <w:rsid w:val="00F06D79"/>
    <w:rsid w:val="00F13A20"/>
    <w:rsid w:val="00F16CF5"/>
    <w:rsid w:val="00F21786"/>
    <w:rsid w:val="00F237E9"/>
    <w:rsid w:val="00F24306"/>
    <w:rsid w:val="00F305D2"/>
    <w:rsid w:val="00F36160"/>
    <w:rsid w:val="00F37331"/>
    <w:rsid w:val="00F3742B"/>
    <w:rsid w:val="00F40645"/>
    <w:rsid w:val="00F41FDB"/>
    <w:rsid w:val="00F507EC"/>
    <w:rsid w:val="00F56D63"/>
    <w:rsid w:val="00F609A9"/>
    <w:rsid w:val="00F62961"/>
    <w:rsid w:val="00F72F61"/>
    <w:rsid w:val="00F80C99"/>
    <w:rsid w:val="00F80F7A"/>
    <w:rsid w:val="00F867EC"/>
    <w:rsid w:val="00F91B2B"/>
    <w:rsid w:val="00FC03CD"/>
    <w:rsid w:val="00FC0646"/>
    <w:rsid w:val="00FC68B7"/>
    <w:rsid w:val="00FE00E0"/>
    <w:rsid w:val="00FE6985"/>
    <w:rsid w:val="00FE7496"/>
    <w:rsid w:val="00FF0275"/>
    <w:rsid w:val="00FF08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62E08"/>
  <w15:docId w15:val="{7570D5C1-0903-48DF-9C4E-CCE105F6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numPr>
        <w:numId w:val="21"/>
      </w:numPr>
      <w:spacing w:after="0" w:line="240" w:lineRule="auto"/>
      <w:ind w:right="0"/>
      <w:jc w:val="left"/>
      <w:outlineLvl w:val="0"/>
    </w:pPr>
  </w:style>
  <w:style w:type="paragraph" w:styleId="Heading2">
    <w:name w:val="heading 2"/>
    <w:basedOn w:val="Normal"/>
    <w:next w:val="Normal"/>
    <w:qFormat/>
    <w:rsid w:val="00E925AD"/>
    <w:pPr>
      <w:numPr>
        <w:ilvl w:val="1"/>
        <w:numId w:val="21"/>
      </w:numPr>
      <w:spacing w:line="240" w:lineRule="auto"/>
      <w:outlineLvl w:val="1"/>
    </w:pPr>
  </w:style>
  <w:style w:type="paragraph" w:styleId="Heading3">
    <w:name w:val="heading 3"/>
    <w:basedOn w:val="Normal"/>
    <w:next w:val="Normal"/>
    <w:qFormat/>
    <w:rsid w:val="00E925AD"/>
    <w:pPr>
      <w:numPr>
        <w:ilvl w:val="2"/>
        <w:numId w:val="21"/>
      </w:numPr>
      <w:spacing w:line="240" w:lineRule="auto"/>
      <w:outlineLvl w:val="2"/>
    </w:pPr>
  </w:style>
  <w:style w:type="paragraph" w:styleId="Heading4">
    <w:name w:val="heading 4"/>
    <w:basedOn w:val="Normal"/>
    <w:next w:val="Normal"/>
    <w:qFormat/>
    <w:rsid w:val="00E925AD"/>
    <w:pPr>
      <w:numPr>
        <w:ilvl w:val="3"/>
        <w:numId w:val="21"/>
      </w:numPr>
      <w:spacing w:line="240" w:lineRule="auto"/>
      <w:outlineLvl w:val="3"/>
    </w:pPr>
  </w:style>
  <w:style w:type="paragraph" w:styleId="Heading5">
    <w:name w:val="heading 5"/>
    <w:basedOn w:val="Normal"/>
    <w:next w:val="Normal"/>
    <w:qFormat/>
    <w:rsid w:val="00E925AD"/>
    <w:pPr>
      <w:numPr>
        <w:ilvl w:val="4"/>
        <w:numId w:val="21"/>
      </w:numPr>
      <w:spacing w:line="240" w:lineRule="auto"/>
      <w:outlineLvl w:val="4"/>
    </w:pPr>
  </w:style>
  <w:style w:type="paragraph" w:styleId="Heading6">
    <w:name w:val="heading 6"/>
    <w:basedOn w:val="Normal"/>
    <w:next w:val="Normal"/>
    <w:qFormat/>
    <w:rsid w:val="00E925AD"/>
    <w:pPr>
      <w:numPr>
        <w:ilvl w:val="5"/>
        <w:numId w:val="21"/>
      </w:numPr>
      <w:spacing w:line="240" w:lineRule="auto"/>
      <w:outlineLvl w:val="5"/>
    </w:pPr>
  </w:style>
  <w:style w:type="paragraph" w:styleId="Heading7">
    <w:name w:val="heading 7"/>
    <w:basedOn w:val="Normal"/>
    <w:next w:val="Normal"/>
    <w:qFormat/>
    <w:rsid w:val="00E925AD"/>
    <w:pPr>
      <w:numPr>
        <w:ilvl w:val="6"/>
        <w:numId w:val="21"/>
      </w:numPr>
      <w:spacing w:line="240" w:lineRule="auto"/>
      <w:outlineLvl w:val="6"/>
    </w:pPr>
  </w:style>
  <w:style w:type="paragraph" w:styleId="Heading8">
    <w:name w:val="heading 8"/>
    <w:basedOn w:val="Normal"/>
    <w:next w:val="Normal"/>
    <w:qFormat/>
    <w:rsid w:val="00E925AD"/>
    <w:pPr>
      <w:numPr>
        <w:ilvl w:val="7"/>
        <w:numId w:val="21"/>
      </w:numPr>
      <w:spacing w:line="240" w:lineRule="auto"/>
      <w:outlineLvl w:val="7"/>
    </w:pPr>
  </w:style>
  <w:style w:type="paragraph" w:styleId="Heading9">
    <w:name w:val="heading 9"/>
    <w:basedOn w:val="Normal"/>
    <w:next w:val="Normal"/>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E3276"/>
    <w:rPr>
      <w:b/>
      <w:sz w:val="28"/>
      <w:lang w:eastAsia="en-US"/>
    </w:rPr>
  </w:style>
  <w:style w:type="paragraph" w:styleId="PlainText">
    <w:name w:val="Plain Text"/>
    <w:basedOn w:val="Normal"/>
    <w:link w:val="PlainTextChar"/>
    <w:semiHidden/>
    <w:rsid w:val="00AE3276"/>
    <w:rPr>
      <w:rFonts w:cs="Courier New"/>
    </w:rPr>
  </w:style>
  <w:style w:type="character" w:customStyle="1" w:styleId="PlainTextChar">
    <w:name w:val="Plain Text Char"/>
    <w:basedOn w:val="DefaultParagraphFont"/>
    <w:link w:val="PlainText"/>
    <w:semiHidden/>
    <w:rsid w:val="00AE3276"/>
    <w:rPr>
      <w:rFonts w:cs="Courier New"/>
      <w:lang w:eastAsia="en-US"/>
    </w:rPr>
  </w:style>
  <w:style w:type="paragraph" w:styleId="BodyText">
    <w:name w:val="Body Text"/>
    <w:basedOn w:val="Normal"/>
    <w:next w:val="Normal"/>
    <w:link w:val="BodyTextChar"/>
    <w:semiHidden/>
    <w:rsid w:val="00AE3276"/>
  </w:style>
  <w:style w:type="character" w:customStyle="1" w:styleId="BodyTextChar">
    <w:name w:val="Body Text Char"/>
    <w:basedOn w:val="DefaultParagraphFont"/>
    <w:link w:val="BodyText"/>
    <w:semiHidden/>
    <w:rsid w:val="00AE3276"/>
    <w:rPr>
      <w:lang w:eastAsia="en-US"/>
    </w:rPr>
  </w:style>
  <w:style w:type="paragraph" w:styleId="BodyTextIndent">
    <w:name w:val="Body Text Indent"/>
    <w:basedOn w:val="Normal"/>
    <w:link w:val="BodyTextIndentChar"/>
    <w:semiHidden/>
    <w:rsid w:val="00AE3276"/>
    <w:pPr>
      <w:spacing w:after="120"/>
      <w:ind w:left="283"/>
    </w:pPr>
  </w:style>
  <w:style w:type="character" w:customStyle="1" w:styleId="BodyTextIndentChar">
    <w:name w:val="Body Text Indent Char"/>
    <w:basedOn w:val="DefaultParagraphFont"/>
    <w:link w:val="BodyTextIndent"/>
    <w:semiHidden/>
    <w:rsid w:val="00AE3276"/>
    <w:rPr>
      <w:lang w:eastAsia="en-US"/>
    </w:rPr>
  </w:style>
  <w:style w:type="paragraph" w:styleId="BlockText">
    <w:name w:val="Block Text"/>
    <w:basedOn w:val="Normal"/>
    <w:semiHidden/>
    <w:rsid w:val="00AE3276"/>
    <w:pPr>
      <w:ind w:left="1440" w:right="1440"/>
    </w:pPr>
  </w:style>
  <w:style w:type="character" w:styleId="CommentReference">
    <w:name w:val="annotation reference"/>
    <w:semiHidden/>
    <w:rsid w:val="00AE3276"/>
    <w:rPr>
      <w:sz w:val="6"/>
    </w:rPr>
  </w:style>
  <w:style w:type="paragraph" w:styleId="CommentText">
    <w:name w:val="annotation text"/>
    <w:basedOn w:val="Normal"/>
    <w:link w:val="CommentTextChar"/>
    <w:semiHidden/>
    <w:rsid w:val="00AE3276"/>
  </w:style>
  <w:style w:type="character" w:customStyle="1" w:styleId="CommentTextChar">
    <w:name w:val="Comment Text Char"/>
    <w:basedOn w:val="DefaultParagraphFont"/>
    <w:link w:val="CommentText"/>
    <w:semiHidden/>
    <w:rsid w:val="00AE3276"/>
    <w:rPr>
      <w:lang w:eastAsia="en-US"/>
    </w:rPr>
  </w:style>
  <w:style w:type="character" w:styleId="LineNumber">
    <w:name w:val="line number"/>
    <w:semiHidden/>
    <w:rsid w:val="00AE3276"/>
    <w:rPr>
      <w:sz w:val="14"/>
    </w:rPr>
  </w:style>
  <w:style w:type="numbering" w:styleId="111111">
    <w:name w:val="Outline List 2"/>
    <w:basedOn w:val="NoList"/>
    <w:semiHidden/>
    <w:rsid w:val="00AE3276"/>
    <w:pPr>
      <w:numPr>
        <w:numId w:val="19"/>
      </w:numPr>
    </w:pPr>
  </w:style>
  <w:style w:type="numbering" w:styleId="1ai">
    <w:name w:val="Outline List 1"/>
    <w:basedOn w:val="NoList"/>
    <w:semiHidden/>
    <w:rsid w:val="00AE3276"/>
    <w:pPr>
      <w:numPr>
        <w:numId w:val="20"/>
      </w:numPr>
    </w:pPr>
  </w:style>
  <w:style w:type="numbering" w:styleId="ArticleSection">
    <w:name w:val="Outline List 3"/>
    <w:basedOn w:val="NoList"/>
    <w:semiHidden/>
    <w:rsid w:val="00AE3276"/>
    <w:pPr>
      <w:numPr>
        <w:numId w:val="21"/>
      </w:numPr>
    </w:pPr>
  </w:style>
  <w:style w:type="paragraph" w:styleId="BodyText2">
    <w:name w:val="Body Text 2"/>
    <w:basedOn w:val="Normal"/>
    <w:link w:val="BodyText2Char"/>
    <w:semiHidden/>
    <w:rsid w:val="00AE3276"/>
    <w:pPr>
      <w:spacing w:after="120" w:line="480" w:lineRule="auto"/>
    </w:pPr>
  </w:style>
  <w:style w:type="character" w:customStyle="1" w:styleId="BodyText2Char">
    <w:name w:val="Body Text 2 Char"/>
    <w:basedOn w:val="DefaultParagraphFont"/>
    <w:link w:val="BodyText2"/>
    <w:semiHidden/>
    <w:rsid w:val="00AE3276"/>
    <w:rPr>
      <w:lang w:eastAsia="en-US"/>
    </w:rPr>
  </w:style>
  <w:style w:type="paragraph" w:styleId="BodyText3">
    <w:name w:val="Body Text 3"/>
    <w:basedOn w:val="Normal"/>
    <w:link w:val="BodyText3Char"/>
    <w:semiHidden/>
    <w:rsid w:val="00AE3276"/>
    <w:pPr>
      <w:spacing w:after="120"/>
    </w:pPr>
    <w:rPr>
      <w:sz w:val="16"/>
      <w:szCs w:val="16"/>
    </w:rPr>
  </w:style>
  <w:style w:type="character" w:customStyle="1" w:styleId="BodyText3Char">
    <w:name w:val="Body Text 3 Char"/>
    <w:basedOn w:val="DefaultParagraphFont"/>
    <w:link w:val="BodyText3"/>
    <w:semiHidden/>
    <w:rsid w:val="00AE3276"/>
    <w:rPr>
      <w:sz w:val="16"/>
      <w:szCs w:val="16"/>
      <w:lang w:eastAsia="en-US"/>
    </w:rPr>
  </w:style>
  <w:style w:type="paragraph" w:styleId="BodyTextFirstIndent">
    <w:name w:val="Body Text First Indent"/>
    <w:basedOn w:val="BodyText"/>
    <w:link w:val="BodyTextFirstIndentChar"/>
    <w:rsid w:val="00AE3276"/>
    <w:pPr>
      <w:spacing w:after="120"/>
      <w:ind w:firstLine="210"/>
    </w:pPr>
  </w:style>
  <w:style w:type="character" w:customStyle="1" w:styleId="BodyTextFirstIndentChar">
    <w:name w:val="Body Text First Indent Char"/>
    <w:basedOn w:val="BodyTextChar"/>
    <w:link w:val="BodyTextFirstIndent"/>
    <w:rsid w:val="00AE3276"/>
    <w:rPr>
      <w:lang w:eastAsia="en-US"/>
    </w:rPr>
  </w:style>
  <w:style w:type="paragraph" w:styleId="BodyTextFirstIndent2">
    <w:name w:val="Body Text First Indent 2"/>
    <w:basedOn w:val="BodyTextIndent"/>
    <w:link w:val="BodyTextFirstIndent2Char"/>
    <w:semiHidden/>
    <w:rsid w:val="00AE3276"/>
    <w:pPr>
      <w:ind w:firstLine="210"/>
    </w:pPr>
  </w:style>
  <w:style w:type="character" w:customStyle="1" w:styleId="BodyTextFirstIndent2Char">
    <w:name w:val="Body Text First Indent 2 Char"/>
    <w:basedOn w:val="BodyTextIndentChar"/>
    <w:link w:val="BodyTextFirstIndent2"/>
    <w:semiHidden/>
    <w:rsid w:val="00AE3276"/>
    <w:rPr>
      <w:lang w:eastAsia="en-US"/>
    </w:rPr>
  </w:style>
  <w:style w:type="paragraph" w:styleId="BodyTextIndent2">
    <w:name w:val="Body Text Indent 2"/>
    <w:basedOn w:val="Normal"/>
    <w:link w:val="BodyTextIndent2Char"/>
    <w:semiHidden/>
    <w:rsid w:val="00AE3276"/>
    <w:pPr>
      <w:spacing w:after="120" w:line="480" w:lineRule="auto"/>
      <w:ind w:left="283"/>
    </w:pPr>
  </w:style>
  <w:style w:type="character" w:customStyle="1" w:styleId="BodyTextIndent2Char">
    <w:name w:val="Body Text Indent 2 Char"/>
    <w:basedOn w:val="DefaultParagraphFont"/>
    <w:link w:val="BodyTextIndent2"/>
    <w:semiHidden/>
    <w:rsid w:val="00AE3276"/>
    <w:rPr>
      <w:lang w:eastAsia="en-US"/>
    </w:rPr>
  </w:style>
  <w:style w:type="paragraph" w:styleId="BodyTextIndent3">
    <w:name w:val="Body Text Indent 3"/>
    <w:basedOn w:val="Normal"/>
    <w:link w:val="BodyTextIndent3Char"/>
    <w:semiHidden/>
    <w:rsid w:val="00AE3276"/>
    <w:pPr>
      <w:spacing w:after="120"/>
      <w:ind w:left="283"/>
    </w:pPr>
    <w:rPr>
      <w:sz w:val="16"/>
      <w:szCs w:val="16"/>
    </w:rPr>
  </w:style>
  <w:style w:type="character" w:customStyle="1" w:styleId="BodyTextIndent3Char">
    <w:name w:val="Body Text Indent 3 Char"/>
    <w:basedOn w:val="DefaultParagraphFont"/>
    <w:link w:val="BodyTextIndent3"/>
    <w:semiHidden/>
    <w:rsid w:val="00AE3276"/>
    <w:rPr>
      <w:sz w:val="16"/>
      <w:szCs w:val="16"/>
      <w:lang w:eastAsia="en-US"/>
    </w:rPr>
  </w:style>
  <w:style w:type="paragraph" w:styleId="Closing">
    <w:name w:val="Closing"/>
    <w:basedOn w:val="Normal"/>
    <w:link w:val="ClosingChar"/>
    <w:semiHidden/>
    <w:rsid w:val="00AE3276"/>
    <w:pPr>
      <w:ind w:left="4252"/>
    </w:pPr>
  </w:style>
  <w:style w:type="character" w:customStyle="1" w:styleId="ClosingChar">
    <w:name w:val="Closing Char"/>
    <w:basedOn w:val="DefaultParagraphFont"/>
    <w:link w:val="Closing"/>
    <w:semiHidden/>
    <w:rsid w:val="00AE3276"/>
    <w:rPr>
      <w:lang w:eastAsia="en-US"/>
    </w:rPr>
  </w:style>
  <w:style w:type="paragraph" w:styleId="Date">
    <w:name w:val="Date"/>
    <w:basedOn w:val="Normal"/>
    <w:next w:val="Normal"/>
    <w:link w:val="DateChar"/>
    <w:rsid w:val="00AE3276"/>
  </w:style>
  <w:style w:type="character" w:customStyle="1" w:styleId="DateChar">
    <w:name w:val="Date Char"/>
    <w:basedOn w:val="DefaultParagraphFont"/>
    <w:link w:val="Date"/>
    <w:rsid w:val="00AE3276"/>
    <w:rPr>
      <w:lang w:eastAsia="en-US"/>
    </w:rPr>
  </w:style>
  <w:style w:type="paragraph" w:styleId="E-mailSignature">
    <w:name w:val="E-mail Signature"/>
    <w:basedOn w:val="Normal"/>
    <w:link w:val="E-mailSignatureChar"/>
    <w:semiHidden/>
    <w:rsid w:val="00AE3276"/>
  </w:style>
  <w:style w:type="character" w:customStyle="1" w:styleId="E-mailSignatureChar">
    <w:name w:val="E-mail Signature Char"/>
    <w:basedOn w:val="DefaultParagraphFont"/>
    <w:link w:val="E-mailSignature"/>
    <w:semiHidden/>
    <w:rsid w:val="00AE3276"/>
    <w:rPr>
      <w:lang w:eastAsia="en-US"/>
    </w:rPr>
  </w:style>
  <w:style w:type="character" w:styleId="Emphasis">
    <w:name w:val="Emphasis"/>
    <w:qFormat/>
    <w:rsid w:val="00AE3276"/>
    <w:rPr>
      <w:i/>
      <w:iCs/>
    </w:rPr>
  </w:style>
  <w:style w:type="paragraph" w:styleId="EnvelopeReturn">
    <w:name w:val="envelope return"/>
    <w:basedOn w:val="Normal"/>
    <w:semiHidden/>
    <w:rsid w:val="00AE3276"/>
    <w:rPr>
      <w:rFonts w:ascii="Arial" w:hAnsi="Arial" w:cs="Arial"/>
    </w:rPr>
  </w:style>
  <w:style w:type="character" w:styleId="HTMLAcronym">
    <w:name w:val="HTML Acronym"/>
    <w:basedOn w:val="DefaultParagraphFont"/>
    <w:semiHidden/>
    <w:rsid w:val="00AE3276"/>
  </w:style>
  <w:style w:type="paragraph" w:styleId="HTMLAddress">
    <w:name w:val="HTML Address"/>
    <w:basedOn w:val="Normal"/>
    <w:link w:val="HTMLAddressChar"/>
    <w:semiHidden/>
    <w:rsid w:val="00AE3276"/>
    <w:rPr>
      <w:i/>
      <w:iCs/>
    </w:rPr>
  </w:style>
  <w:style w:type="character" w:customStyle="1" w:styleId="HTMLAddressChar">
    <w:name w:val="HTML Address Char"/>
    <w:basedOn w:val="DefaultParagraphFont"/>
    <w:link w:val="HTMLAddress"/>
    <w:semiHidden/>
    <w:rsid w:val="00AE3276"/>
    <w:rPr>
      <w:i/>
      <w:iCs/>
      <w:lang w:eastAsia="en-US"/>
    </w:rPr>
  </w:style>
  <w:style w:type="character" w:styleId="HTMLCite">
    <w:name w:val="HTML Cite"/>
    <w:semiHidden/>
    <w:rsid w:val="00AE3276"/>
    <w:rPr>
      <w:i/>
      <w:iCs/>
    </w:rPr>
  </w:style>
  <w:style w:type="character" w:styleId="HTMLCode">
    <w:name w:val="HTML Code"/>
    <w:semiHidden/>
    <w:rsid w:val="00AE3276"/>
    <w:rPr>
      <w:rFonts w:ascii="Courier New" w:hAnsi="Courier New" w:cs="Courier New"/>
      <w:sz w:val="20"/>
      <w:szCs w:val="20"/>
    </w:rPr>
  </w:style>
  <w:style w:type="character" w:styleId="HTMLDefinition">
    <w:name w:val="HTML Definition"/>
    <w:semiHidden/>
    <w:rsid w:val="00AE3276"/>
    <w:rPr>
      <w:i/>
      <w:iCs/>
    </w:rPr>
  </w:style>
  <w:style w:type="character" w:styleId="HTMLKeyboard">
    <w:name w:val="HTML Keyboard"/>
    <w:semiHidden/>
    <w:rsid w:val="00AE3276"/>
    <w:rPr>
      <w:rFonts w:ascii="Courier New" w:hAnsi="Courier New" w:cs="Courier New"/>
      <w:sz w:val="20"/>
      <w:szCs w:val="20"/>
    </w:rPr>
  </w:style>
  <w:style w:type="paragraph" w:styleId="HTMLPreformatted">
    <w:name w:val="HTML Preformatted"/>
    <w:basedOn w:val="Normal"/>
    <w:link w:val="HTMLPreformattedChar"/>
    <w:semiHidden/>
    <w:rsid w:val="00AE3276"/>
    <w:rPr>
      <w:rFonts w:ascii="Courier New" w:hAnsi="Courier New" w:cs="Courier New"/>
    </w:rPr>
  </w:style>
  <w:style w:type="character" w:customStyle="1" w:styleId="HTMLPreformattedChar">
    <w:name w:val="HTML Preformatted Char"/>
    <w:basedOn w:val="DefaultParagraphFont"/>
    <w:link w:val="HTMLPreformatted"/>
    <w:semiHidden/>
    <w:rsid w:val="00AE3276"/>
    <w:rPr>
      <w:rFonts w:ascii="Courier New" w:hAnsi="Courier New" w:cs="Courier New"/>
      <w:lang w:eastAsia="en-US"/>
    </w:rPr>
  </w:style>
  <w:style w:type="character" w:styleId="HTMLSample">
    <w:name w:val="HTML Sample"/>
    <w:semiHidden/>
    <w:rsid w:val="00AE3276"/>
    <w:rPr>
      <w:rFonts w:ascii="Courier New" w:hAnsi="Courier New" w:cs="Courier New"/>
    </w:rPr>
  </w:style>
  <w:style w:type="character" w:styleId="HTMLTypewriter">
    <w:name w:val="HTML Typewriter"/>
    <w:semiHidden/>
    <w:rsid w:val="00AE3276"/>
    <w:rPr>
      <w:rFonts w:ascii="Courier New" w:hAnsi="Courier New" w:cs="Courier New"/>
      <w:sz w:val="20"/>
      <w:szCs w:val="20"/>
    </w:rPr>
  </w:style>
  <w:style w:type="character" w:styleId="HTMLVariable">
    <w:name w:val="HTML Variable"/>
    <w:semiHidden/>
    <w:rsid w:val="00AE3276"/>
    <w:rPr>
      <w:i/>
      <w:iCs/>
    </w:rPr>
  </w:style>
  <w:style w:type="paragraph" w:styleId="List">
    <w:name w:val="List"/>
    <w:basedOn w:val="Normal"/>
    <w:semiHidden/>
    <w:rsid w:val="00AE3276"/>
    <w:pPr>
      <w:ind w:left="283" w:hanging="283"/>
    </w:pPr>
  </w:style>
  <w:style w:type="paragraph" w:styleId="List2">
    <w:name w:val="List 2"/>
    <w:basedOn w:val="Normal"/>
    <w:semiHidden/>
    <w:rsid w:val="00AE3276"/>
    <w:pPr>
      <w:ind w:left="566" w:hanging="283"/>
    </w:pPr>
  </w:style>
  <w:style w:type="paragraph" w:styleId="List3">
    <w:name w:val="List 3"/>
    <w:basedOn w:val="Normal"/>
    <w:semiHidden/>
    <w:rsid w:val="00AE3276"/>
    <w:pPr>
      <w:ind w:left="849" w:hanging="283"/>
    </w:pPr>
  </w:style>
  <w:style w:type="paragraph" w:styleId="List4">
    <w:name w:val="List 4"/>
    <w:basedOn w:val="Normal"/>
    <w:rsid w:val="00AE3276"/>
    <w:pPr>
      <w:ind w:left="1132" w:hanging="283"/>
    </w:pPr>
  </w:style>
  <w:style w:type="paragraph" w:styleId="List5">
    <w:name w:val="List 5"/>
    <w:basedOn w:val="Normal"/>
    <w:rsid w:val="00AE3276"/>
    <w:pPr>
      <w:ind w:left="1415" w:hanging="283"/>
    </w:pPr>
  </w:style>
  <w:style w:type="paragraph" w:styleId="ListBullet">
    <w:name w:val="List Bullet"/>
    <w:basedOn w:val="Normal"/>
    <w:semiHidden/>
    <w:rsid w:val="00AE3276"/>
    <w:pPr>
      <w:tabs>
        <w:tab w:val="num" w:pos="360"/>
      </w:tabs>
      <w:ind w:left="360" w:hanging="360"/>
    </w:pPr>
  </w:style>
  <w:style w:type="paragraph" w:styleId="ListBullet2">
    <w:name w:val="List Bullet 2"/>
    <w:basedOn w:val="Normal"/>
    <w:semiHidden/>
    <w:rsid w:val="00AE3276"/>
    <w:pPr>
      <w:tabs>
        <w:tab w:val="num" w:pos="643"/>
      </w:tabs>
      <w:ind w:left="643" w:hanging="360"/>
    </w:pPr>
  </w:style>
  <w:style w:type="paragraph" w:styleId="ListBullet3">
    <w:name w:val="List Bullet 3"/>
    <w:basedOn w:val="Normal"/>
    <w:semiHidden/>
    <w:rsid w:val="00AE3276"/>
    <w:pPr>
      <w:tabs>
        <w:tab w:val="num" w:pos="926"/>
      </w:tabs>
      <w:ind w:left="926" w:hanging="360"/>
    </w:pPr>
  </w:style>
  <w:style w:type="paragraph" w:styleId="ListBullet4">
    <w:name w:val="List Bullet 4"/>
    <w:basedOn w:val="Normal"/>
    <w:semiHidden/>
    <w:rsid w:val="00AE3276"/>
    <w:pPr>
      <w:tabs>
        <w:tab w:val="num" w:pos="1209"/>
      </w:tabs>
      <w:ind w:left="1209" w:hanging="360"/>
    </w:pPr>
  </w:style>
  <w:style w:type="paragraph" w:styleId="ListBullet5">
    <w:name w:val="List Bullet 5"/>
    <w:basedOn w:val="Normal"/>
    <w:semiHidden/>
    <w:rsid w:val="00AE3276"/>
    <w:pPr>
      <w:tabs>
        <w:tab w:val="num" w:pos="1492"/>
      </w:tabs>
      <w:ind w:left="1492" w:hanging="360"/>
    </w:pPr>
  </w:style>
  <w:style w:type="paragraph" w:styleId="ListContinue">
    <w:name w:val="List Continue"/>
    <w:basedOn w:val="Normal"/>
    <w:semiHidden/>
    <w:rsid w:val="00AE3276"/>
    <w:pPr>
      <w:spacing w:after="120"/>
      <w:ind w:left="283"/>
    </w:pPr>
  </w:style>
  <w:style w:type="paragraph" w:styleId="ListContinue2">
    <w:name w:val="List Continue 2"/>
    <w:basedOn w:val="Normal"/>
    <w:semiHidden/>
    <w:rsid w:val="00AE3276"/>
    <w:pPr>
      <w:spacing w:after="120"/>
      <w:ind w:left="566"/>
    </w:pPr>
  </w:style>
  <w:style w:type="paragraph" w:styleId="ListContinue3">
    <w:name w:val="List Continue 3"/>
    <w:basedOn w:val="Normal"/>
    <w:semiHidden/>
    <w:rsid w:val="00AE3276"/>
    <w:pPr>
      <w:spacing w:after="120"/>
      <w:ind w:left="849"/>
    </w:pPr>
  </w:style>
  <w:style w:type="paragraph" w:styleId="ListContinue4">
    <w:name w:val="List Continue 4"/>
    <w:basedOn w:val="Normal"/>
    <w:semiHidden/>
    <w:rsid w:val="00AE3276"/>
    <w:pPr>
      <w:spacing w:after="120"/>
      <w:ind w:left="1132"/>
    </w:pPr>
  </w:style>
  <w:style w:type="paragraph" w:styleId="ListContinue5">
    <w:name w:val="List Continue 5"/>
    <w:basedOn w:val="Normal"/>
    <w:semiHidden/>
    <w:rsid w:val="00AE3276"/>
    <w:pPr>
      <w:spacing w:after="120"/>
      <w:ind w:left="1415"/>
    </w:pPr>
  </w:style>
  <w:style w:type="paragraph" w:styleId="ListNumber">
    <w:name w:val="List Number"/>
    <w:basedOn w:val="Normal"/>
    <w:rsid w:val="00AE3276"/>
    <w:pPr>
      <w:tabs>
        <w:tab w:val="num" w:pos="360"/>
      </w:tabs>
      <w:ind w:left="360" w:hanging="360"/>
    </w:pPr>
  </w:style>
  <w:style w:type="paragraph" w:styleId="ListNumber2">
    <w:name w:val="List Number 2"/>
    <w:basedOn w:val="Normal"/>
    <w:semiHidden/>
    <w:rsid w:val="00AE3276"/>
    <w:pPr>
      <w:tabs>
        <w:tab w:val="num" w:pos="643"/>
      </w:tabs>
      <w:ind w:left="643" w:hanging="360"/>
    </w:pPr>
  </w:style>
  <w:style w:type="paragraph" w:styleId="ListNumber3">
    <w:name w:val="List Number 3"/>
    <w:basedOn w:val="Normal"/>
    <w:semiHidden/>
    <w:rsid w:val="00AE3276"/>
    <w:pPr>
      <w:tabs>
        <w:tab w:val="num" w:pos="926"/>
      </w:tabs>
      <w:ind w:left="926" w:hanging="360"/>
    </w:pPr>
  </w:style>
  <w:style w:type="paragraph" w:styleId="ListNumber4">
    <w:name w:val="List Number 4"/>
    <w:basedOn w:val="Normal"/>
    <w:semiHidden/>
    <w:rsid w:val="00AE3276"/>
    <w:pPr>
      <w:tabs>
        <w:tab w:val="num" w:pos="1209"/>
      </w:tabs>
      <w:ind w:left="1209" w:hanging="360"/>
    </w:pPr>
  </w:style>
  <w:style w:type="paragraph" w:styleId="ListNumber5">
    <w:name w:val="List Number 5"/>
    <w:basedOn w:val="Normal"/>
    <w:semiHidden/>
    <w:rsid w:val="00AE3276"/>
    <w:pPr>
      <w:tabs>
        <w:tab w:val="num" w:pos="1492"/>
      </w:tabs>
      <w:ind w:left="1492" w:hanging="360"/>
    </w:pPr>
  </w:style>
  <w:style w:type="paragraph" w:styleId="MessageHeader">
    <w:name w:val="Message Header"/>
    <w:basedOn w:val="Normal"/>
    <w:link w:val="MessageHeaderChar"/>
    <w:semiHidden/>
    <w:rsid w:val="00AE32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AE3276"/>
    <w:rPr>
      <w:rFonts w:ascii="Arial" w:hAnsi="Arial" w:cs="Arial"/>
      <w:sz w:val="24"/>
      <w:szCs w:val="24"/>
      <w:shd w:val="pct20" w:color="auto" w:fill="auto"/>
      <w:lang w:eastAsia="en-US"/>
    </w:rPr>
  </w:style>
  <w:style w:type="paragraph" w:styleId="NormalWeb">
    <w:name w:val="Normal (Web)"/>
    <w:basedOn w:val="Normal"/>
    <w:semiHidden/>
    <w:rsid w:val="00AE3276"/>
    <w:rPr>
      <w:sz w:val="24"/>
      <w:szCs w:val="24"/>
    </w:rPr>
  </w:style>
  <w:style w:type="paragraph" w:styleId="NormalIndent">
    <w:name w:val="Normal Indent"/>
    <w:basedOn w:val="Normal"/>
    <w:semiHidden/>
    <w:rsid w:val="00AE3276"/>
    <w:pPr>
      <w:ind w:left="567"/>
    </w:pPr>
  </w:style>
  <w:style w:type="paragraph" w:styleId="NoteHeading">
    <w:name w:val="Note Heading"/>
    <w:basedOn w:val="Normal"/>
    <w:next w:val="Normal"/>
    <w:link w:val="NoteHeadingChar"/>
    <w:semiHidden/>
    <w:rsid w:val="00AE3276"/>
  </w:style>
  <w:style w:type="character" w:customStyle="1" w:styleId="NoteHeadingChar">
    <w:name w:val="Note Heading Char"/>
    <w:basedOn w:val="DefaultParagraphFont"/>
    <w:link w:val="NoteHeading"/>
    <w:semiHidden/>
    <w:rsid w:val="00AE3276"/>
    <w:rPr>
      <w:lang w:eastAsia="en-US"/>
    </w:rPr>
  </w:style>
  <w:style w:type="paragraph" w:styleId="Salutation">
    <w:name w:val="Salutation"/>
    <w:basedOn w:val="Normal"/>
    <w:next w:val="Normal"/>
    <w:link w:val="SalutationChar"/>
    <w:rsid w:val="00AE3276"/>
  </w:style>
  <w:style w:type="character" w:customStyle="1" w:styleId="SalutationChar">
    <w:name w:val="Salutation Char"/>
    <w:basedOn w:val="DefaultParagraphFont"/>
    <w:link w:val="Salutation"/>
    <w:rsid w:val="00AE3276"/>
    <w:rPr>
      <w:lang w:eastAsia="en-US"/>
    </w:rPr>
  </w:style>
  <w:style w:type="paragraph" w:styleId="Signature">
    <w:name w:val="Signature"/>
    <w:basedOn w:val="Normal"/>
    <w:link w:val="SignatureChar"/>
    <w:semiHidden/>
    <w:rsid w:val="00AE3276"/>
    <w:pPr>
      <w:ind w:left="4252"/>
    </w:pPr>
  </w:style>
  <w:style w:type="character" w:customStyle="1" w:styleId="SignatureChar">
    <w:name w:val="Signature Char"/>
    <w:basedOn w:val="DefaultParagraphFont"/>
    <w:link w:val="Signature"/>
    <w:semiHidden/>
    <w:rsid w:val="00AE3276"/>
    <w:rPr>
      <w:lang w:eastAsia="en-US"/>
    </w:rPr>
  </w:style>
  <w:style w:type="character" w:styleId="Strong">
    <w:name w:val="Strong"/>
    <w:qFormat/>
    <w:rsid w:val="00AE3276"/>
    <w:rPr>
      <w:b/>
      <w:bCs/>
    </w:rPr>
  </w:style>
  <w:style w:type="paragraph" w:styleId="Subtitle">
    <w:name w:val="Subtitle"/>
    <w:basedOn w:val="Normal"/>
    <w:link w:val="SubtitleChar"/>
    <w:qFormat/>
    <w:rsid w:val="00AE327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E3276"/>
    <w:rPr>
      <w:rFonts w:ascii="Arial" w:hAnsi="Arial" w:cs="Arial"/>
      <w:sz w:val="24"/>
      <w:szCs w:val="24"/>
      <w:lang w:eastAsia="en-US"/>
    </w:rPr>
  </w:style>
  <w:style w:type="table" w:styleId="Table3Deffects1">
    <w:name w:val="Table 3D effects 1"/>
    <w:basedOn w:val="TableNormal"/>
    <w:semiHidden/>
    <w:rsid w:val="00AE3276"/>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E3276"/>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E3276"/>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E327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E327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E3276"/>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E3276"/>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E3276"/>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E3276"/>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E3276"/>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E3276"/>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E3276"/>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E3276"/>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E3276"/>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E3276"/>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E3276"/>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E3276"/>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E3276"/>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E3276"/>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E3276"/>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E3276"/>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E3276"/>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E3276"/>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E3276"/>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E3276"/>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E327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E3276"/>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E327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E3276"/>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E3276"/>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E3276"/>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E3276"/>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E3276"/>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E3276"/>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E3276"/>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E3276"/>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E327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E3276"/>
    <w:rPr>
      <w:rFonts w:ascii="Arial" w:hAnsi="Arial" w:cs="Arial"/>
      <w:b/>
      <w:bCs/>
      <w:kern w:val="28"/>
      <w:sz w:val="32"/>
      <w:szCs w:val="32"/>
      <w:lang w:eastAsia="en-US"/>
    </w:rPr>
  </w:style>
  <w:style w:type="paragraph" w:styleId="EnvelopeAddress">
    <w:name w:val="envelope address"/>
    <w:basedOn w:val="Normal"/>
    <w:semiHidden/>
    <w:rsid w:val="00AE3276"/>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qFormat/>
    <w:rsid w:val="00AE3276"/>
    <w:pPr>
      <w:suppressAutoHyphens w:val="0"/>
      <w:spacing w:after="200" w:line="276" w:lineRule="auto"/>
      <w:ind w:left="720"/>
      <w:contextualSpacing/>
    </w:pPr>
    <w:rPr>
      <w:rFonts w:ascii="Calibri" w:hAnsi="Calibri" w:cs="Arial"/>
      <w:sz w:val="22"/>
      <w:szCs w:val="22"/>
      <w:lang w:val="nb-NO"/>
    </w:rPr>
  </w:style>
  <w:style w:type="paragraph" w:styleId="CommentSubject">
    <w:name w:val="annotation subject"/>
    <w:basedOn w:val="CommentText"/>
    <w:next w:val="CommentText"/>
    <w:link w:val="CommentSubjectChar"/>
    <w:semiHidden/>
    <w:rsid w:val="00AE3276"/>
    <w:rPr>
      <w:b/>
      <w:bCs/>
    </w:rPr>
  </w:style>
  <w:style w:type="character" w:customStyle="1" w:styleId="CommentSubjectChar">
    <w:name w:val="Comment Subject Char"/>
    <w:basedOn w:val="CommentTextChar"/>
    <w:link w:val="CommentSubject"/>
    <w:semiHidden/>
    <w:rsid w:val="00AE3276"/>
    <w:rPr>
      <w:b/>
      <w:bCs/>
      <w:lang w:eastAsia="en-US"/>
    </w:rPr>
  </w:style>
  <w:style w:type="paragraph" w:styleId="BalloonText">
    <w:name w:val="Balloon Text"/>
    <w:basedOn w:val="Normal"/>
    <w:link w:val="BalloonTextChar"/>
    <w:semiHidden/>
    <w:rsid w:val="00AE3276"/>
    <w:rPr>
      <w:rFonts w:ascii="Tahoma" w:hAnsi="Tahoma" w:cs="Tahoma"/>
      <w:sz w:val="16"/>
      <w:szCs w:val="16"/>
    </w:rPr>
  </w:style>
  <w:style w:type="character" w:customStyle="1" w:styleId="BalloonTextChar">
    <w:name w:val="Balloon Text Char"/>
    <w:basedOn w:val="DefaultParagraphFont"/>
    <w:link w:val="BalloonText"/>
    <w:semiHidden/>
    <w:rsid w:val="00AE3276"/>
    <w:rPr>
      <w:rFonts w:ascii="Tahoma" w:hAnsi="Tahoma" w:cs="Tahoma"/>
      <w:sz w:val="16"/>
      <w:szCs w:val="16"/>
      <w:lang w:eastAsia="en-US"/>
    </w:rPr>
  </w:style>
  <w:style w:type="character" w:customStyle="1" w:styleId="H1GChar">
    <w:name w:val="_ H_1_G Char"/>
    <w:link w:val="H1G"/>
    <w:rsid w:val="00AE3276"/>
    <w:rPr>
      <w:b/>
      <w:sz w:val="24"/>
      <w:lang w:eastAsia="en-US"/>
    </w:rPr>
  </w:style>
  <w:style w:type="paragraph" w:styleId="Revision">
    <w:name w:val="Revision"/>
    <w:hidden/>
    <w:uiPriority w:val="99"/>
    <w:semiHidden/>
    <w:rsid w:val="00AE3276"/>
    <w:rPr>
      <w:lang w:eastAsia="en-US"/>
    </w:rPr>
  </w:style>
  <w:style w:type="table" w:customStyle="1" w:styleId="TableGrid10">
    <w:name w:val="Table Grid1"/>
    <w:basedOn w:val="TableNormal"/>
    <w:next w:val="TableGrid"/>
    <w:uiPriority w:val="59"/>
    <w:rsid w:val="00AE32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AE3276"/>
    <w:rPr>
      <w:lang w:eastAsia="en-US"/>
    </w:rPr>
  </w:style>
  <w:style w:type="character" w:customStyle="1" w:styleId="UnresolvedMention1">
    <w:name w:val="Unresolved Mention1"/>
    <w:basedOn w:val="DefaultParagraphFont"/>
    <w:uiPriority w:val="99"/>
    <w:semiHidden/>
    <w:unhideWhenUsed/>
    <w:rsid w:val="00A62CF3"/>
    <w:rPr>
      <w:color w:val="808080"/>
      <w:shd w:val="clear" w:color="auto" w:fill="E6E6E6"/>
    </w:rPr>
  </w:style>
  <w:style w:type="character" w:customStyle="1" w:styleId="FootnoteTextChar">
    <w:name w:val="Footnote Text Char"/>
    <w:aliases w:val="5_G Char"/>
    <w:basedOn w:val="DefaultParagraphFont"/>
    <w:link w:val="FootnoteText"/>
    <w:rsid w:val="00BE563C"/>
    <w:rPr>
      <w:sz w:val="18"/>
      <w:lang w:eastAsia="en-US"/>
    </w:rPr>
  </w:style>
  <w:style w:type="paragraph" w:customStyle="1" w:styleId="Default">
    <w:name w:val="Default"/>
    <w:rsid w:val="00377D53"/>
    <w:pPr>
      <w:autoSpaceDE w:val="0"/>
      <w:autoSpaceDN w:val="0"/>
      <w:adjustRightInd w:val="0"/>
    </w:pPr>
    <w:rPr>
      <w:rFonts w:eastAsiaTheme="minorHAnsi"/>
      <w:color w:val="000000"/>
      <w:sz w:val="24"/>
      <w:szCs w:val="24"/>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C231D-3E04-4345-A91B-03529C8E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3</Pages>
  <Words>1033</Words>
  <Characters>5891</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ECE/MP.EIA/2019/7</vt:lpstr>
      <vt:lpstr>United Nations</vt:lpstr>
    </vt:vector>
  </TitlesOfParts>
  <Company>CSD</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ECE/MP.EIA/2019/7</dc:title>
  <dc:subject>1819998</dc:subject>
  <dc:creator>Anelia Rambosson</dc:creator>
  <cp:keywords/>
  <dc:description/>
  <cp:lastModifiedBy>Elisabeth James</cp:lastModifiedBy>
  <cp:revision>2</cp:revision>
  <cp:lastPrinted>2018-09-27T10:59:00Z</cp:lastPrinted>
  <dcterms:created xsi:type="dcterms:W3CDTF">2018-12-18T23:39:00Z</dcterms:created>
  <dcterms:modified xsi:type="dcterms:W3CDTF">2018-12-18T23:39:00Z</dcterms:modified>
</cp:coreProperties>
</file>