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4420" w:rsidRPr="00DB58B5" w:rsidTr="00DF571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4420" w:rsidRPr="00DB58B5" w:rsidRDefault="00A14420" w:rsidP="00943CB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4420" w:rsidRPr="00DB58B5" w:rsidRDefault="00A14420" w:rsidP="00DF5712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4420" w:rsidRPr="00DB58B5" w:rsidRDefault="00943CB2" w:rsidP="00943CB2">
            <w:pPr>
              <w:jc w:val="right"/>
            </w:pPr>
            <w:r w:rsidRPr="00943CB2">
              <w:rPr>
                <w:sz w:val="40"/>
              </w:rPr>
              <w:t>ECE</w:t>
            </w:r>
            <w:r>
              <w:t>/MP.EIA/2019/3</w:t>
            </w:r>
          </w:p>
        </w:tc>
      </w:tr>
      <w:tr w:rsidR="00A14420" w:rsidRPr="00DB58B5" w:rsidTr="00DF571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Pr="00DB58B5" w:rsidRDefault="00A14420" w:rsidP="00DF5712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6C91A0" wp14:editId="7D1B6E4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4420" w:rsidRPr="00740562" w:rsidRDefault="00A14420" w:rsidP="00DF5712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Default="00943CB2" w:rsidP="00DF5712">
            <w:pPr>
              <w:spacing w:before="240"/>
            </w:pPr>
            <w:r>
              <w:t>Distr. générale</w:t>
            </w:r>
          </w:p>
          <w:p w:rsidR="00943CB2" w:rsidRDefault="00943CB2" w:rsidP="00943CB2">
            <w:pPr>
              <w:spacing w:line="240" w:lineRule="exact"/>
            </w:pPr>
            <w:r>
              <w:t>22 novembre 2018</w:t>
            </w:r>
          </w:p>
          <w:p w:rsidR="00943CB2" w:rsidRDefault="00943CB2" w:rsidP="00943CB2">
            <w:pPr>
              <w:spacing w:line="240" w:lineRule="exact"/>
            </w:pPr>
            <w:r>
              <w:t>Français</w:t>
            </w:r>
          </w:p>
          <w:p w:rsidR="00943CB2" w:rsidRPr="00DB58B5" w:rsidRDefault="00943CB2" w:rsidP="00943CB2">
            <w:pPr>
              <w:spacing w:line="240" w:lineRule="exact"/>
            </w:pPr>
            <w:r>
              <w:t>Original : anglais</w:t>
            </w:r>
          </w:p>
        </w:tc>
      </w:tr>
    </w:tbl>
    <w:p w:rsidR="00C554CE" w:rsidRDefault="00C554CE" w:rsidP="00C554CE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5A53BF" w:rsidRPr="00C554CE" w:rsidRDefault="005A53BF" w:rsidP="00C554CE">
      <w:pPr>
        <w:spacing w:before="120"/>
        <w:rPr>
          <w:sz w:val="28"/>
          <w:szCs w:val="28"/>
          <w:lang w:val="fr-FR"/>
        </w:rPr>
      </w:pPr>
      <w:r w:rsidRPr="00C554CE">
        <w:rPr>
          <w:sz w:val="28"/>
          <w:szCs w:val="28"/>
          <w:lang w:val="fr-FR"/>
        </w:rPr>
        <w:t>Réunion des Parties à la Convention sur</w:t>
      </w:r>
      <w:r w:rsidRPr="00C554CE">
        <w:rPr>
          <w:sz w:val="28"/>
          <w:szCs w:val="28"/>
          <w:lang w:val="fr-FR"/>
        </w:rPr>
        <w:br/>
        <w:t>l’évaluation de l’impact sur l’environnement</w:t>
      </w:r>
      <w:r w:rsidRPr="00C554CE">
        <w:rPr>
          <w:sz w:val="28"/>
          <w:szCs w:val="28"/>
          <w:lang w:val="fr-FR"/>
        </w:rPr>
        <w:br/>
        <w:t>dans un contexte transfrontière</w:t>
      </w:r>
    </w:p>
    <w:p w:rsidR="005A53BF" w:rsidRPr="005B76A3" w:rsidRDefault="005A53BF" w:rsidP="00C554CE">
      <w:pPr>
        <w:spacing w:before="120"/>
        <w:rPr>
          <w:b/>
        </w:rPr>
      </w:pPr>
      <w:r>
        <w:rPr>
          <w:b/>
        </w:rPr>
        <w:t>Session</w:t>
      </w:r>
      <w:r w:rsidR="004C6E64">
        <w:rPr>
          <w:b/>
        </w:rPr>
        <w:t xml:space="preserve"> intermédiaire</w:t>
      </w:r>
    </w:p>
    <w:p w:rsidR="005A53BF" w:rsidRDefault="005A53BF" w:rsidP="00C554CE">
      <w:r>
        <w:t>Genève, 5-7 février 2019</w:t>
      </w:r>
    </w:p>
    <w:p w:rsidR="005A53BF" w:rsidRDefault="005A53BF" w:rsidP="00C554CE">
      <w:r>
        <w:t>Points 3 a) et 8 de l’ordre du jour provisoire</w:t>
      </w:r>
    </w:p>
    <w:p w:rsidR="004C6E64" w:rsidRPr="00D760B3" w:rsidRDefault="004C6E64" w:rsidP="00D760B3">
      <w:pPr>
        <w:spacing w:before="120" w:after="120"/>
        <w:rPr>
          <w:b/>
        </w:rPr>
      </w:pPr>
      <w:r w:rsidRPr="00D760B3">
        <w:rPr>
          <w:b/>
        </w:rPr>
        <w:t>Questions en suspens</w:t>
      </w:r>
      <w:r w:rsidR="00D760B3">
        <w:rPr>
          <w:b/>
        </w:rPr>
        <w:t> </w:t>
      </w:r>
      <w:r w:rsidRPr="00D760B3">
        <w:rPr>
          <w:b/>
        </w:rPr>
        <w:t>: projets de décision</w:t>
      </w:r>
    </w:p>
    <w:p w:rsidR="004C6E64" w:rsidRPr="00D760B3" w:rsidRDefault="004C6E64" w:rsidP="004C6E64">
      <w:pPr>
        <w:rPr>
          <w:b/>
        </w:rPr>
      </w:pPr>
      <w:r w:rsidRPr="00D760B3">
        <w:rPr>
          <w:b/>
        </w:rPr>
        <w:t xml:space="preserve">Adoption des décisions par la Réunion </w:t>
      </w:r>
      <w:r w:rsidR="000F6181">
        <w:rPr>
          <w:b/>
        </w:rPr>
        <w:br/>
      </w:r>
      <w:r w:rsidRPr="00D760B3">
        <w:rPr>
          <w:b/>
        </w:rPr>
        <w:t>des Parties</w:t>
      </w:r>
      <w:r w:rsidR="000F6181">
        <w:rPr>
          <w:b/>
        </w:rPr>
        <w:t xml:space="preserve"> </w:t>
      </w:r>
      <w:r w:rsidRPr="00D760B3">
        <w:rPr>
          <w:b/>
        </w:rPr>
        <w:t>à la Convention</w:t>
      </w:r>
    </w:p>
    <w:p w:rsidR="004C6E64" w:rsidRDefault="004C6E64" w:rsidP="004C6E64">
      <w:pPr>
        <w:pStyle w:val="HChG"/>
      </w:pPr>
      <w:r>
        <w:tab/>
      </w:r>
      <w:r>
        <w:tab/>
      </w:r>
      <w:r w:rsidRPr="00432B90">
        <w:t>Projet de décision IS/1</w:t>
      </w:r>
      <w:r>
        <w:t>b</w:t>
      </w:r>
      <w:r w:rsidRPr="00432B90">
        <w:t xml:space="preserve"> concernant le respect par </w:t>
      </w:r>
      <w:r>
        <w:t xml:space="preserve">l’Arménie </w:t>
      </w:r>
      <w:r w:rsidRPr="00432B90">
        <w:t xml:space="preserve">des obligations </w:t>
      </w:r>
      <w:r>
        <w:t xml:space="preserve">qui lui </w:t>
      </w:r>
      <w:r w:rsidRPr="00432B90">
        <w:t xml:space="preserve">incombent en vertu de la Convention pour ce qui est </w:t>
      </w:r>
      <w:r>
        <w:t>d’une centrale nucléaire à Metsamor</w:t>
      </w:r>
    </w:p>
    <w:p w:rsidR="00E96BD6" w:rsidRDefault="004C6E64" w:rsidP="004C6E64">
      <w:pPr>
        <w:pStyle w:val="H1G"/>
      </w:pPr>
      <w:r>
        <w:tab/>
      </w:r>
      <w:r>
        <w:tab/>
        <w:t>Proposition du Comité d’application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5A53BF">
        <w:trPr>
          <w:jc w:val="center"/>
        </w:trPr>
        <w:tc>
          <w:tcPr>
            <w:tcW w:w="9637" w:type="dxa"/>
            <w:shd w:val="clear" w:color="auto" w:fill="auto"/>
          </w:tcPr>
          <w:p w:rsidR="005A53BF" w:rsidRDefault="005A53BF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5A53BF">
        <w:trPr>
          <w:jc w:val="center"/>
        </w:trPr>
        <w:tc>
          <w:tcPr>
            <w:tcW w:w="9637" w:type="dxa"/>
            <w:shd w:val="clear" w:color="auto" w:fill="auto"/>
          </w:tcPr>
          <w:p w:rsidR="005A53BF" w:rsidRDefault="005A53BF">
            <w:pPr>
              <w:pStyle w:val="SingleTxtG"/>
            </w:pPr>
            <w:r>
              <w:tab/>
            </w:r>
            <w:r w:rsidR="00F10CC9">
              <w:t>Le projet de décision figurant dans le présent document a été établi comme suite à la demande formulée par la Réunion des Parties à la Convention sur l’évaluation de l’impact sur l’environnement dans un contexte transfrontière à sa</w:t>
            </w:r>
            <w:r w:rsidR="000F6181">
              <w:t xml:space="preserve"> septième session (Minsk, 13</w:t>
            </w:r>
            <w:r w:rsidR="000F6181">
              <w:noBreakHyphen/>
            </w:r>
            <w:r w:rsidR="00B255DE">
              <w:t>16 </w:t>
            </w:r>
            <w:r w:rsidR="00F10CC9">
              <w:t>juin 2017), tendant à ce que le Comité d’application révise le projet de décision VII/2 sur l’examen du respect des dispositions de la Convention</w:t>
            </w:r>
            <w:r w:rsidR="00F10CC9" w:rsidRPr="000C732E">
              <w:rPr>
                <w:rFonts w:eastAsia="Times New Roman"/>
              </w:rPr>
              <w:t xml:space="preserve"> </w:t>
            </w:r>
            <w:r w:rsidR="00F10CC9">
              <w:rPr>
                <w:rFonts w:eastAsia="Times New Roman"/>
              </w:rPr>
              <w:t xml:space="preserve">en tenant compte des travaux et des progrès réalisés avant et pendant la septième session de la Réunion des Parties </w:t>
            </w:r>
            <w:r w:rsidR="00F10CC9" w:rsidRPr="00A0384A">
              <w:t>(ECE/MP.EIA/23-ECE/MP.EIA/SEA/7, par. 27)</w:t>
            </w:r>
            <w:r w:rsidR="00F10CC9">
              <w:rPr>
                <w:rFonts w:eastAsia="Times New Roman"/>
              </w:rPr>
              <w:t>. Afin de faciliter l’examen et l’adoption du projet de décision VII/2, celui-ci a été scindé en plusieurs projets</w:t>
            </w:r>
            <w:r w:rsidR="00693DEE">
              <w:rPr>
                <w:rFonts w:eastAsia="Times New Roman"/>
              </w:rPr>
              <w:t> </w:t>
            </w:r>
            <w:r w:rsidR="00F10CC9">
              <w:rPr>
                <w:rFonts w:eastAsia="Times New Roman"/>
              </w:rPr>
              <w:t>: un projet de décision sur les questions d’ordre général concernant le respect des dispositions et des projets de décision distincts sur les questions propres à différents pays en matière de respect des dispositions.</w:t>
            </w:r>
          </w:p>
        </w:tc>
      </w:tr>
      <w:tr w:rsidR="005A53BF">
        <w:trPr>
          <w:jc w:val="center"/>
        </w:trPr>
        <w:tc>
          <w:tcPr>
            <w:tcW w:w="9637" w:type="dxa"/>
            <w:shd w:val="clear" w:color="auto" w:fill="auto"/>
          </w:tcPr>
          <w:p w:rsidR="005A53BF" w:rsidRDefault="005A53BF">
            <w:pPr>
              <w:pStyle w:val="SingleTxtG"/>
            </w:pPr>
            <w:r>
              <w:tab/>
            </w:r>
            <w:r w:rsidR="00F10CC9">
              <w:rPr>
                <w:rFonts w:eastAsia="Times New Roman"/>
              </w:rPr>
              <w:t>Le projet de décision IS/1b présente une version révisée du texte du projet de décision VII/2 concernant la suite donnée par l’Arménie à la décision VI/2 pour ce qui est d’une centrale nucléaire à Metsamor.</w:t>
            </w:r>
          </w:p>
        </w:tc>
      </w:tr>
      <w:tr w:rsidR="005A53BF">
        <w:trPr>
          <w:jc w:val="center"/>
        </w:trPr>
        <w:tc>
          <w:tcPr>
            <w:tcW w:w="9637" w:type="dxa"/>
            <w:shd w:val="clear" w:color="auto" w:fill="auto"/>
          </w:tcPr>
          <w:p w:rsidR="005A53BF" w:rsidRDefault="005A53BF">
            <w:pPr>
              <w:pStyle w:val="SingleTxtG"/>
            </w:pPr>
            <w:r>
              <w:tab/>
            </w:r>
            <w:r w:rsidR="00F10CC9">
              <w:rPr>
                <w:rFonts w:eastAsia="Times New Roman"/>
              </w:rPr>
              <w:t>La Réunion des Parties devrait examiner le projet de décision et décider de l’adopter.</w:t>
            </w:r>
          </w:p>
        </w:tc>
      </w:tr>
      <w:tr w:rsidR="005A53BF">
        <w:trPr>
          <w:jc w:val="center"/>
        </w:trPr>
        <w:tc>
          <w:tcPr>
            <w:tcW w:w="9637" w:type="dxa"/>
            <w:shd w:val="clear" w:color="auto" w:fill="auto"/>
          </w:tcPr>
          <w:p w:rsidR="005A53BF" w:rsidRDefault="005A53BF"/>
        </w:tc>
      </w:tr>
    </w:tbl>
    <w:p w:rsidR="00EC3475" w:rsidRPr="00FB2C0C" w:rsidRDefault="00F10CC9" w:rsidP="00FB2C0C">
      <w:pPr>
        <w:pStyle w:val="SingleTxtG"/>
        <w:rPr>
          <w:i/>
        </w:rPr>
      </w:pPr>
      <w:r>
        <w:br w:type="page"/>
      </w:r>
      <w:r w:rsidR="00FB2C0C">
        <w:lastRenderedPageBreak/>
        <w:tab/>
      </w:r>
      <w:r w:rsidR="00AE440E" w:rsidRPr="00FB2C0C">
        <w:rPr>
          <w:i/>
        </w:rPr>
        <w:t>La Réunion des Parties</w:t>
      </w:r>
      <w:r w:rsidR="00AE440E" w:rsidRPr="00FB2C0C">
        <w:t>,</w:t>
      </w:r>
    </w:p>
    <w:p w:rsidR="00EC3475" w:rsidRPr="00FB2C0C" w:rsidRDefault="00AE440E" w:rsidP="00FB2C0C">
      <w:pPr>
        <w:pStyle w:val="SingleTxtG"/>
      </w:pPr>
      <w:r w:rsidRPr="00FB2C0C">
        <w:rPr>
          <w:i/>
        </w:rPr>
        <w:tab/>
        <w:t>Rappelant</w:t>
      </w:r>
      <w:r w:rsidRPr="00FB2C0C">
        <w:t xml:space="preserve"> le paragraphe 2 de l</w:t>
      </w:r>
      <w:r w:rsidR="00FB2C0C" w:rsidRPr="00FB2C0C">
        <w:t>’</w:t>
      </w:r>
      <w:r w:rsidRPr="00FB2C0C">
        <w:t>article 11 et l</w:t>
      </w:r>
      <w:r w:rsidR="00FB2C0C" w:rsidRPr="00FB2C0C">
        <w:t>’</w:t>
      </w:r>
      <w:r w:rsidR="00FB2C0C">
        <w:t>article 14 </w:t>
      </w:r>
      <w:r w:rsidRPr="00FB2C0C">
        <w:rPr>
          <w:i/>
        </w:rPr>
        <w:t>bis</w:t>
      </w:r>
      <w:r w:rsidRPr="00FB2C0C">
        <w:t xml:space="preserve"> de la Convention sur l</w:t>
      </w:r>
      <w:r w:rsidR="00FB2C0C" w:rsidRPr="00FB2C0C">
        <w:t>’</w:t>
      </w:r>
      <w:r w:rsidRPr="00FB2C0C">
        <w:t>évaluation de l</w:t>
      </w:r>
      <w:r w:rsidR="00FB2C0C" w:rsidRPr="00FB2C0C">
        <w:t>’</w:t>
      </w:r>
      <w:r w:rsidRPr="00FB2C0C">
        <w:t>impact sur l</w:t>
      </w:r>
      <w:r w:rsidR="00FB2C0C" w:rsidRPr="00FB2C0C">
        <w:t>’</w:t>
      </w:r>
      <w:r w:rsidRPr="00FB2C0C">
        <w:t>environnement dans un contexte transfrontière,</w:t>
      </w:r>
    </w:p>
    <w:p w:rsidR="00EC3475" w:rsidRPr="00FB2C0C" w:rsidRDefault="00AE440E" w:rsidP="00FB2C0C">
      <w:pPr>
        <w:pStyle w:val="SingleTxtG"/>
      </w:pPr>
      <w:r w:rsidRPr="00FB2C0C">
        <w:tab/>
      </w:r>
      <w:r w:rsidRPr="00FB2C0C">
        <w:rPr>
          <w:i/>
        </w:rPr>
        <w:t>Rappelant également</w:t>
      </w:r>
      <w:r w:rsidRPr="00FB2C0C">
        <w:t xml:space="preserve"> les paragraphes 45 et 46 de sa décision VI/2</w:t>
      </w:r>
      <w:r w:rsidRPr="00FB2C0C">
        <w:rPr>
          <w:rStyle w:val="FootnoteReference"/>
        </w:rPr>
        <w:footnoteReference w:id="2"/>
      </w:r>
      <w:r w:rsidRPr="00FB2C0C">
        <w:t xml:space="preserve"> concernant le respect par l</w:t>
      </w:r>
      <w:r w:rsidR="00FB2C0C" w:rsidRPr="00FB2C0C">
        <w:t>’</w:t>
      </w:r>
      <w:r w:rsidRPr="00FB2C0C">
        <w:t>Arménie de ses obligations pour ce qui est de la construction d</w:t>
      </w:r>
      <w:r w:rsidR="00FB2C0C" w:rsidRPr="00FB2C0C">
        <w:t>’</w:t>
      </w:r>
      <w:r w:rsidRPr="00FB2C0C">
        <w:t>une centrale nucléaire à Metsamor,</w:t>
      </w:r>
    </w:p>
    <w:p w:rsidR="00EC3475" w:rsidRPr="00FB2C0C" w:rsidRDefault="00AE440E" w:rsidP="00FB2C0C">
      <w:pPr>
        <w:pStyle w:val="SingleTxtG"/>
      </w:pPr>
      <w:r w:rsidRPr="00FB2C0C">
        <w:tab/>
      </w:r>
      <w:r w:rsidRPr="00FB2C0C">
        <w:rPr>
          <w:i/>
        </w:rPr>
        <w:t xml:space="preserve">Rappelant en outre </w:t>
      </w:r>
      <w:r w:rsidRPr="00FB2C0C">
        <w:t>qu</w:t>
      </w:r>
      <w:r w:rsidR="00FB2C0C" w:rsidRPr="00FB2C0C">
        <w:t>’</w:t>
      </w:r>
      <w:r w:rsidRPr="00FB2C0C">
        <w:t>elle a décidé à sa septième session de mettre un point final à ses délibérations sur l</w:t>
      </w:r>
      <w:r w:rsidR="00FB2C0C" w:rsidRPr="00FB2C0C">
        <w:t>’</w:t>
      </w:r>
      <w:r w:rsidRPr="00FB2C0C">
        <w:t>examen du respect des dispositions lors d</w:t>
      </w:r>
      <w:r w:rsidR="00FB2C0C" w:rsidRPr="00FB2C0C">
        <w:t>’</w:t>
      </w:r>
      <w:r w:rsidRPr="00FB2C0C">
        <w:t>une session intermédiaire, en se fondant sur un projet de décision révisé qu</w:t>
      </w:r>
      <w:r w:rsidR="00FB2C0C" w:rsidRPr="00FB2C0C">
        <w:t>’</w:t>
      </w:r>
      <w:r w:rsidRPr="00FB2C0C">
        <w:t>établirait le Comité d</w:t>
      </w:r>
      <w:r w:rsidR="00FB2C0C" w:rsidRPr="00FB2C0C">
        <w:t>’</w:t>
      </w:r>
      <w:r w:rsidRPr="00FB2C0C">
        <w:t>application et en tenant compte des travaux et des progrès réalisés avant et pendant la septième session</w:t>
      </w:r>
      <w:r w:rsidRPr="00FB2C0C">
        <w:rPr>
          <w:rStyle w:val="FootnoteReference"/>
        </w:rPr>
        <w:footnoteReference w:id="3"/>
      </w:r>
      <w:r w:rsidRPr="00FB2C0C">
        <w:t>,</w:t>
      </w:r>
    </w:p>
    <w:p w:rsidR="00EC3475" w:rsidRPr="00FB2C0C" w:rsidRDefault="00AE440E" w:rsidP="00FB2C0C">
      <w:pPr>
        <w:pStyle w:val="SingleTxtG"/>
      </w:pPr>
      <w:r w:rsidRPr="00FB2C0C">
        <w:tab/>
      </w:r>
      <w:r w:rsidRPr="00FB2C0C">
        <w:rPr>
          <w:i/>
        </w:rPr>
        <w:t>Ayant examiné</w:t>
      </w:r>
      <w:r w:rsidRPr="00FB2C0C">
        <w:t xml:space="preserve"> les sections concernant l</w:t>
      </w:r>
      <w:r w:rsidR="00FB2C0C" w:rsidRPr="00FB2C0C">
        <w:t>’</w:t>
      </w:r>
      <w:r w:rsidRPr="00FB2C0C">
        <w:t>Arménie dans le rapport sur les activités du Comité d</w:t>
      </w:r>
      <w:r w:rsidR="00FB2C0C" w:rsidRPr="00FB2C0C">
        <w:t>’</w:t>
      </w:r>
      <w:r w:rsidRPr="00FB2C0C">
        <w:t>application présenté à la Réunion des Parties à la Convention à sa septième session</w:t>
      </w:r>
      <w:r w:rsidRPr="00FB2C0C">
        <w:rPr>
          <w:rStyle w:val="FootnoteReference"/>
        </w:rPr>
        <w:footnoteReference w:id="4"/>
      </w:r>
      <w:r w:rsidRPr="00FB2C0C">
        <w:t xml:space="preserve"> et dans les rapports du Comité sur ses trente-neuvième</w:t>
      </w:r>
      <w:r w:rsidRPr="00FB2C0C">
        <w:rPr>
          <w:rStyle w:val="FootnoteReference"/>
        </w:rPr>
        <w:footnoteReference w:id="5"/>
      </w:r>
      <w:r w:rsidRPr="00FB2C0C">
        <w:t>, quarante et unième</w:t>
      </w:r>
      <w:r w:rsidRPr="00FB2C0C">
        <w:rPr>
          <w:rStyle w:val="FootnoteReference"/>
        </w:rPr>
        <w:footnoteReference w:id="6"/>
      </w:r>
      <w:r w:rsidRPr="00FB2C0C">
        <w:t xml:space="preserve"> et quarante-deuxième</w:t>
      </w:r>
      <w:r w:rsidRPr="00FB2C0C">
        <w:rPr>
          <w:rStyle w:val="FootnoteReference"/>
        </w:rPr>
        <w:footnoteReference w:id="7"/>
      </w:r>
      <w:r w:rsidRPr="00FB2C0C">
        <w:t xml:space="preserve"> sessions,</w:t>
      </w:r>
    </w:p>
    <w:p w:rsidR="00EC3475" w:rsidRPr="00FB2C0C" w:rsidRDefault="00AE440E" w:rsidP="00FB2C0C">
      <w:pPr>
        <w:pStyle w:val="SingleTxtG"/>
      </w:pPr>
      <w:r w:rsidRPr="00FB2C0C">
        <w:tab/>
      </w:r>
      <w:r w:rsidRPr="00FB2C0C">
        <w:rPr>
          <w:i/>
        </w:rPr>
        <w:t>Rappelant</w:t>
      </w:r>
      <w:r w:rsidRPr="00FB2C0C">
        <w:t xml:space="preserve"> sa décision IS/1 sur l</w:t>
      </w:r>
      <w:r w:rsidR="00FB2C0C" w:rsidRPr="00FB2C0C">
        <w:t>’</w:t>
      </w:r>
      <w:r w:rsidRPr="00FB2C0C">
        <w:t>examen du respect des dispositions de la Convention, adoptée à la session intermédiaire,</w:t>
      </w:r>
    </w:p>
    <w:p w:rsidR="00EC3475" w:rsidRPr="00FB2C0C" w:rsidRDefault="00AE440E" w:rsidP="00FB2C0C">
      <w:pPr>
        <w:pStyle w:val="SingleTxtG"/>
      </w:pPr>
      <w:r w:rsidRPr="00FB2C0C">
        <w:tab/>
        <w:t>1.</w:t>
      </w:r>
      <w:r w:rsidRPr="00FB2C0C">
        <w:tab/>
      </w:r>
      <w:r w:rsidRPr="00FB2C0C">
        <w:rPr>
          <w:i/>
        </w:rPr>
        <w:t>Prend note</w:t>
      </w:r>
      <w:r w:rsidRPr="00FB2C0C">
        <w:t xml:space="preserve"> de l</w:t>
      </w:r>
      <w:r w:rsidR="00FB2C0C" w:rsidRPr="00FB2C0C">
        <w:t>’</w:t>
      </w:r>
      <w:r w:rsidRPr="00FB2C0C">
        <w:t>information donnée par le Gouvernement arménien selon laquelle la décision définitive de construction de la centrale nucléaire de Metsamor n</w:t>
      </w:r>
      <w:r w:rsidR="00FB2C0C" w:rsidRPr="00FB2C0C">
        <w:t>’</w:t>
      </w:r>
      <w:r w:rsidRPr="00FB2C0C">
        <w:t>est plus applicable et que les activités fondées sur cette décision ont été suspendues</w:t>
      </w:r>
      <w:r w:rsidRPr="00FB2C0C">
        <w:rPr>
          <w:rStyle w:val="FootnoteReference"/>
        </w:rPr>
        <w:footnoteReference w:id="8"/>
      </w:r>
      <w:r w:rsidR="00FB2C0C">
        <w:t> </w:t>
      </w:r>
      <w:r w:rsidRPr="00FB2C0C">
        <w:t>;</w:t>
      </w:r>
    </w:p>
    <w:p w:rsidR="00EC3475" w:rsidRPr="00FB2C0C" w:rsidRDefault="00AE440E" w:rsidP="00FB2C0C">
      <w:pPr>
        <w:pStyle w:val="SingleTxtG"/>
      </w:pPr>
      <w:r w:rsidRPr="00FB2C0C">
        <w:tab/>
        <w:t>2.</w:t>
      </w:r>
      <w:r w:rsidRPr="00FB2C0C">
        <w:tab/>
      </w:r>
      <w:r w:rsidRPr="00FB2C0C">
        <w:rPr>
          <w:i/>
        </w:rPr>
        <w:t>Fait sienne</w:t>
      </w:r>
      <w:r w:rsidRPr="00FB2C0C">
        <w:t xml:space="preserve"> la conclusion du Comité selon laquelle il n</w:t>
      </w:r>
      <w:r w:rsidR="00FB2C0C" w:rsidRPr="00FB2C0C">
        <w:t>’</w:t>
      </w:r>
      <w:r w:rsidRPr="00FB2C0C">
        <w:t>existe plus de projet nécessitant une procédure d</w:t>
      </w:r>
      <w:r w:rsidR="00FB2C0C" w:rsidRPr="00FB2C0C">
        <w:t>’</w:t>
      </w:r>
      <w:r w:rsidRPr="00FB2C0C">
        <w:t>évaluation de l</w:t>
      </w:r>
      <w:r w:rsidR="00FB2C0C" w:rsidRPr="00FB2C0C">
        <w:t>’</w:t>
      </w:r>
      <w:r w:rsidRPr="00FB2C0C">
        <w:t>impact environnemental transfrontière relatif à la centrale nucléaire de Metsamor</w:t>
      </w:r>
      <w:r w:rsidRPr="00FB2C0C">
        <w:rPr>
          <w:rStyle w:val="FootnoteReference"/>
        </w:rPr>
        <w:footnoteReference w:id="9"/>
      </w:r>
      <w:r w:rsidR="00FB2C0C">
        <w:t> </w:t>
      </w:r>
      <w:r w:rsidRPr="00FB2C0C">
        <w:t>;</w:t>
      </w:r>
    </w:p>
    <w:p w:rsidR="005A53BF" w:rsidRDefault="00AE440E" w:rsidP="00FB2C0C">
      <w:pPr>
        <w:pStyle w:val="SingleTxtG"/>
      </w:pPr>
      <w:r w:rsidRPr="00FB2C0C">
        <w:tab/>
        <w:t>3.</w:t>
      </w:r>
      <w:r w:rsidRPr="00FB2C0C">
        <w:tab/>
      </w:r>
      <w:r w:rsidRPr="00FB2C0C">
        <w:rPr>
          <w:i/>
        </w:rPr>
        <w:t xml:space="preserve">Invite instamment </w:t>
      </w:r>
      <w:r w:rsidRPr="00FB2C0C">
        <w:t>l</w:t>
      </w:r>
      <w:r w:rsidR="00FB2C0C" w:rsidRPr="00FB2C0C">
        <w:t>’</w:t>
      </w:r>
      <w:r w:rsidRPr="00FB2C0C">
        <w:t>Arménie à faire en sorte que tout projet exécuté à l</w:t>
      </w:r>
      <w:r w:rsidR="00FB2C0C" w:rsidRPr="00FB2C0C">
        <w:t>’</w:t>
      </w:r>
      <w:r w:rsidRPr="00FB2C0C">
        <w:t>avenir selon les programmes liés à l</w:t>
      </w:r>
      <w:r w:rsidR="00FB2C0C" w:rsidRPr="00FB2C0C">
        <w:t>’</w:t>
      </w:r>
      <w:r w:rsidRPr="00FB2C0C">
        <w:t>énergie, y compris les activités nucléaires, soient conformes à la Convention.</w:t>
      </w:r>
    </w:p>
    <w:p w:rsidR="005A53BF" w:rsidRPr="00FB2C0C" w:rsidRDefault="00FB2C0C" w:rsidP="00FB2C0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A53BF" w:rsidRPr="00FB2C0C" w:rsidSect="00943CB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CC7" w:rsidRDefault="00E24CC7" w:rsidP="00F95C08">
      <w:pPr>
        <w:spacing w:line="240" w:lineRule="auto"/>
      </w:pPr>
    </w:p>
  </w:endnote>
  <w:endnote w:type="continuationSeparator" w:id="0">
    <w:p w:rsidR="00E24CC7" w:rsidRPr="00AC3823" w:rsidRDefault="00E24CC7" w:rsidP="00AC3823">
      <w:pPr>
        <w:pStyle w:val="Footer"/>
      </w:pPr>
    </w:p>
  </w:endnote>
  <w:endnote w:type="continuationNotice" w:id="1">
    <w:p w:rsidR="00E24CC7" w:rsidRDefault="00E24C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CB2" w:rsidRPr="00943CB2" w:rsidRDefault="00943CB2" w:rsidP="00943CB2">
    <w:pPr>
      <w:pStyle w:val="Footer"/>
      <w:tabs>
        <w:tab w:val="right" w:pos="9638"/>
      </w:tabs>
    </w:pPr>
    <w:r w:rsidRPr="00943CB2">
      <w:rPr>
        <w:b/>
        <w:sz w:val="18"/>
      </w:rPr>
      <w:fldChar w:fldCharType="begin"/>
    </w:r>
    <w:r w:rsidRPr="00943CB2">
      <w:rPr>
        <w:b/>
        <w:sz w:val="18"/>
      </w:rPr>
      <w:instrText xml:space="preserve"> PAGE  \* MERGEFORMAT </w:instrText>
    </w:r>
    <w:r w:rsidRPr="00943CB2">
      <w:rPr>
        <w:b/>
        <w:sz w:val="18"/>
      </w:rPr>
      <w:fldChar w:fldCharType="separate"/>
    </w:r>
    <w:r w:rsidRPr="00943CB2">
      <w:rPr>
        <w:b/>
        <w:noProof/>
        <w:sz w:val="18"/>
      </w:rPr>
      <w:t>2</w:t>
    </w:r>
    <w:r w:rsidRPr="00943CB2">
      <w:rPr>
        <w:b/>
        <w:sz w:val="18"/>
      </w:rPr>
      <w:fldChar w:fldCharType="end"/>
    </w:r>
    <w:r>
      <w:rPr>
        <w:b/>
        <w:sz w:val="18"/>
      </w:rPr>
      <w:tab/>
    </w:r>
    <w:r>
      <w:t>GE.18-19994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CB2" w:rsidRPr="00943CB2" w:rsidRDefault="00943CB2" w:rsidP="00943CB2">
    <w:pPr>
      <w:pStyle w:val="Footer"/>
      <w:tabs>
        <w:tab w:val="right" w:pos="9638"/>
      </w:tabs>
      <w:rPr>
        <w:b/>
        <w:sz w:val="18"/>
      </w:rPr>
    </w:pPr>
    <w:r>
      <w:t>GE.18-19994</w:t>
    </w:r>
    <w:r>
      <w:tab/>
    </w:r>
    <w:r w:rsidRPr="00943CB2">
      <w:rPr>
        <w:b/>
        <w:sz w:val="18"/>
      </w:rPr>
      <w:fldChar w:fldCharType="begin"/>
    </w:r>
    <w:r w:rsidRPr="00943CB2">
      <w:rPr>
        <w:b/>
        <w:sz w:val="18"/>
      </w:rPr>
      <w:instrText xml:space="preserve"> PAGE  \* MERGEFORMAT </w:instrText>
    </w:r>
    <w:r w:rsidRPr="00943CB2">
      <w:rPr>
        <w:b/>
        <w:sz w:val="18"/>
      </w:rPr>
      <w:fldChar w:fldCharType="separate"/>
    </w:r>
    <w:r w:rsidRPr="00943CB2">
      <w:rPr>
        <w:b/>
        <w:noProof/>
        <w:sz w:val="18"/>
      </w:rPr>
      <w:t>3</w:t>
    </w:r>
    <w:r w:rsidRPr="00943C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20" w:rsidRPr="00943CB2" w:rsidRDefault="00943CB2" w:rsidP="00943CB2">
    <w:pPr>
      <w:pStyle w:val="Footer"/>
      <w:spacing w:before="120"/>
      <w:rPr>
        <w:sz w:val="20"/>
      </w:rPr>
    </w:pPr>
    <w:r>
      <w:rPr>
        <w:sz w:val="20"/>
      </w:rPr>
      <w:t>GE.</w:t>
    </w:r>
    <w:r w:rsidR="00A14420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A4095E7" wp14:editId="3AC373E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18-19994  (F)    301118    171218</w:t>
    </w:r>
    <w:r>
      <w:rPr>
        <w:sz w:val="20"/>
      </w:rPr>
      <w:br/>
    </w:r>
    <w:r w:rsidRPr="00943CB2">
      <w:rPr>
        <w:rFonts w:ascii="C39T30Lfz" w:hAnsi="C39T30Lfz"/>
        <w:sz w:val="56"/>
      </w:rPr>
      <w:t></w:t>
    </w:r>
    <w:r w:rsidRPr="00943CB2">
      <w:rPr>
        <w:rFonts w:ascii="C39T30Lfz" w:hAnsi="C39T30Lfz"/>
        <w:sz w:val="56"/>
      </w:rPr>
      <w:t></w:t>
    </w:r>
    <w:r w:rsidRPr="00943CB2">
      <w:rPr>
        <w:rFonts w:ascii="C39T30Lfz" w:hAnsi="C39T30Lfz"/>
        <w:sz w:val="56"/>
      </w:rPr>
      <w:t></w:t>
    </w:r>
    <w:r w:rsidRPr="00943CB2">
      <w:rPr>
        <w:rFonts w:ascii="C39T30Lfz" w:hAnsi="C39T30Lfz"/>
        <w:sz w:val="56"/>
      </w:rPr>
      <w:t></w:t>
    </w:r>
    <w:r w:rsidRPr="00943CB2">
      <w:rPr>
        <w:rFonts w:ascii="C39T30Lfz" w:hAnsi="C39T30Lfz"/>
        <w:sz w:val="56"/>
      </w:rPr>
      <w:t></w:t>
    </w:r>
    <w:r w:rsidRPr="00943CB2">
      <w:rPr>
        <w:rFonts w:ascii="C39T30Lfz" w:hAnsi="C39T30Lfz"/>
        <w:sz w:val="56"/>
      </w:rPr>
      <w:t></w:t>
    </w:r>
    <w:r w:rsidRPr="00943CB2">
      <w:rPr>
        <w:rFonts w:ascii="C39T30Lfz" w:hAnsi="C39T30Lfz"/>
        <w:sz w:val="56"/>
      </w:rPr>
      <w:t></w:t>
    </w:r>
    <w:r w:rsidRPr="00943CB2">
      <w:rPr>
        <w:rFonts w:ascii="C39T30Lfz" w:hAnsi="C39T30Lfz"/>
        <w:sz w:val="56"/>
      </w:rPr>
      <w:t></w:t>
    </w:r>
    <w:r w:rsidRPr="00943CB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MP.EIA/2019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2019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CC7" w:rsidRPr="00AC3823" w:rsidRDefault="00E24CC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24CC7" w:rsidRPr="00AC3823" w:rsidRDefault="00E24CC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24CC7" w:rsidRPr="00AC3823" w:rsidRDefault="00E24CC7">
      <w:pPr>
        <w:spacing w:line="240" w:lineRule="auto"/>
        <w:rPr>
          <w:sz w:val="2"/>
          <w:szCs w:val="2"/>
        </w:rPr>
      </w:pPr>
    </w:p>
  </w:footnote>
  <w:footnote w:id="2">
    <w:p w:rsidR="00FB2C0C" w:rsidRPr="00EC3475" w:rsidRDefault="00FB2C0C" w:rsidP="00FB2C0C">
      <w:pPr>
        <w:pStyle w:val="FootnoteText"/>
        <w:rPr>
          <w:lang w:val="es-ES"/>
        </w:rPr>
      </w:pPr>
      <w:r>
        <w:rPr>
          <w:lang w:val="es-ES"/>
        </w:rPr>
        <w:tab/>
      </w:r>
      <w:r w:rsidRPr="00FB2C0C">
        <w:rPr>
          <w:rStyle w:val="FootnoteReference"/>
        </w:rPr>
        <w:footnoteRef/>
      </w:r>
      <w:r>
        <w:rPr>
          <w:lang w:val="es-ES"/>
        </w:rPr>
        <w:tab/>
        <w:t xml:space="preserve">Voir </w:t>
      </w:r>
      <w:r w:rsidRPr="000F60AF">
        <w:rPr>
          <w:lang w:val="es-ES"/>
        </w:rPr>
        <w:t>ECE/MP.EIA/20/Add.1-ECE/MP.EIA/SEA/4/Add.1</w:t>
      </w:r>
      <w:r>
        <w:rPr>
          <w:lang w:val="es-ES"/>
        </w:rPr>
        <w:t>.</w:t>
      </w:r>
    </w:p>
  </w:footnote>
  <w:footnote w:id="3">
    <w:p w:rsidR="00FB2C0C" w:rsidRDefault="00FB2C0C" w:rsidP="00FB2C0C">
      <w:pPr>
        <w:pStyle w:val="FootnoteText"/>
      </w:pPr>
      <w:r>
        <w:rPr>
          <w:lang w:val="es-ES"/>
        </w:rPr>
        <w:tab/>
      </w:r>
      <w:r w:rsidRPr="00FB2C0C">
        <w:rPr>
          <w:rStyle w:val="FootnoteReference"/>
        </w:rPr>
        <w:footnoteRef/>
      </w:r>
      <w:r>
        <w:rPr>
          <w:lang w:val="es-ES"/>
        </w:rPr>
        <w:tab/>
      </w:r>
      <w:r w:rsidRPr="00EC3475">
        <w:rPr>
          <w:lang w:val="es-ES"/>
        </w:rPr>
        <w:t xml:space="preserve">Voir </w:t>
      </w:r>
      <w:r>
        <w:rPr>
          <w:lang w:val="es-ES"/>
        </w:rPr>
        <w:t xml:space="preserve">ECE/MP.EIA/23-ECE/MP.EIA/SEA/7, par. </w:t>
      </w:r>
      <w:r w:rsidRPr="00EC3475">
        <w:rPr>
          <w:lang w:val="es-ES"/>
        </w:rPr>
        <w:t xml:space="preserve">27. </w:t>
      </w:r>
      <w:r>
        <w:t>Voir également le projet de décision VII/2 (ECE/MP.EIA/2017/8).</w:t>
      </w:r>
    </w:p>
  </w:footnote>
  <w:footnote w:id="4">
    <w:p w:rsidR="00FB2C0C" w:rsidRPr="00EC3475" w:rsidRDefault="00FB2C0C" w:rsidP="00FB2C0C">
      <w:pPr>
        <w:pStyle w:val="FootnoteText"/>
        <w:rPr>
          <w:lang w:val="es-ES"/>
        </w:rPr>
      </w:pPr>
      <w:r w:rsidRPr="00FB2C0C">
        <w:tab/>
      </w:r>
      <w:r w:rsidRPr="00FB2C0C">
        <w:rPr>
          <w:rStyle w:val="FootnoteReference"/>
        </w:rPr>
        <w:footnoteRef/>
      </w:r>
      <w:r>
        <w:rPr>
          <w:lang w:val="es-ES"/>
        </w:rPr>
        <w:tab/>
      </w:r>
      <w:r w:rsidRPr="00BF1A34">
        <w:rPr>
          <w:lang w:val="es-ES"/>
        </w:rPr>
        <w:t>ECE/MP.EIA/2017/4</w:t>
      </w:r>
      <w:r>
        <w:rPr>
          <w:lang w:val="es-ES"/>
        </w:rPr>
        <w:t>-</w:t>
      </w:r>
      <w:r w:rsidRPr="00BF1A34">
        <w:rPr>
          <w:lang w:val="es-ES"/>
        </w:rPr>
        <w:t>ECE/MP.EIA/SEA/2017/4</w:t>
      </w:r>
      <w:r>
        <w:rPr>
          <w:lang w:val="es-ES"/>
        </w:rPr>
        <w:t xml:space="preserve">, par. </w:t>
      </w:r>
      <w:r w:rsidRPr="00402022">
        <w:rPr>
          <w:lang w:val="es-ES"/>
        </w:rPr>
        <w:t>27</w:t>
      </w:r>
      <w:r>
        <w:rPr>
          <w:lang w:val="es-ES"/>
        </w:rPr>
        <w:t xml:space="preserve"> à </w:t>
      </w:r>
      <w:r w:rsidRPr="00402022">
        <w:rPr>
          <w:lang w:val="es-ES"/>
        </w:rPr>
        <w:t>29.</w:t>
      </w:r>
    </w:p>
  </w:footnote>
  <w:footnote w:id="5">
    <w:p w:rsidR="00FB2C0C" w:rsidRPr="00EC3475" w:rsidRDefault="00FB2C0C" w:rsidP="00FB2C0C">
      <w:pPr>
        <w:pStyle w:val="FootnoteText"/>
        <w:rPr>
          <w:lang w:val="es-ES"/>
        </w:rPr>
      </w:pPr>
      <w:r>
        <w:rPr>
          <w:lang w:val="es-ES"/>
        </w:rPr>
        <w:tab/>
      </w:r>
      <w:r w:rsidRPr="00FB2C0C">
        <w:rPr>
          <w:rStyle w:val="FootnoteReference"/>
        </w:rPr>
        <w:footnoteRef/>
      </w:r>
      <w:r>
        <w:rPr>
          <w:lang w:val="es-ES"/>
        </w:rPr>
        <w:tab/>
      </w:r>
      <w:r w:rsidRPr="00B90D30">
        <w:rPr>
          <w:lang w:val="es-ES"/>
        </w:rPr>
        <w:t xml:space="preserve">ECE/MP.EIA/IC/2017/4, par. </w:t>
      </w:r>
      <w:r>
        <w:rPr>
          <w:lang w:val="es-ES"/>
        </w:rPr>
        <w:t>31</w:t>
      </w:r>
      <w:r w:rsidRPr="00B90D30">
        <w:rPr>
          <w:lang w:val="es-ES"/>
        </w:rPr>
        <w:t>.</w:t>
      </w:r>
    </w:p>
  </w:footnote>
  <w:footnote w:id="6">
    <w:p w:rsidR="00FB2C0C" w:rsidRPr="00EC3475" w:rsidRDefault="00FB2C0C" w:rsidP="00FB2C0C">
      <w:pPr>
        <w:pStyle w:val="FootnoteText"/>
        <w:rPr>
          <w:lang w:val="es-ES"/>
        </w:rPr>
      </w:pPr>
      <w:r>
        <w:rPr>
          <w:lang w:val="es-ES"/>
        </w:rPr>
        <w:tab/>
      </w:r>
      <w:r w:rsidRPr="00FB2C0C">
        <w:rPr>
          <w:rStyle w:val="FootnoteReference"/>
        </w:rPr>
        <w:footnoteRef/>
      </w:r>
      <w:bookmarkStart w:id="1" w:name="_Hlk527971731"/>
      <w:r>
        <w:rPr>
          <w:lang w:val="es-ES"/>
        </w:rPr>
        <w:tab/>
      </w:r>
      <w:r w:rsidRPr="00614107">
        <w:rPr>
          <w:lang w:val="es-ES"/>
        </w:rPr>
        <w:t>ECE/MP.EIA/IC/2018/2, par</w:t>
      </w:r>
      <w:r w:rsidRPr="00132453">
        <w:rPr>
          <w:lang w:val="es-ES"/>
        </w:rPr>
        <w:t>.</w:t>
      </w:r>
      <w:r>
        <w:rPr>
          <w:lang w:val="es-ES"/>
        </w:rPr>
        <w:t xml:space="preserve"> 14.</w:t>
      </w:r>
      <w:bookmarkEnd w:id="1"/>
    </w:p>
  </w:footnote>
  <w:footnote w:id="7">
    <w:p w:rsidR="00FB2C0C" w:rsidRPr="00FB2C0C" w:rsidRDefault="00FB2C0C" w:rsidP="00FB2C0C">
      <w:pPr>
        <w:pStyle w:val="FootnoteText"/>
        <w:rPr>
          <w:lang w:val="es-ES"/>
        </w:rPr>
      </w:pPr>
      <w:r>
        <w:rPr>
          <w:lang w:val="es-ES"/>
        </w:rPr>
        <w:tab/>
      </w:r>
      <w:r w:rsidRPr="00FB2C0C">
        <w:rPr>
          <w:rStyle w:val="FootnoteReference"/>
        </w:rPr>
        <w:footnoteRef/>
      </w:r>
      <w:r w:rsidRPr="00FB2C0C">
        <w:rPr>
          <w:lang w:val="es-ES"/>
        </w:rPr>
        <w:tab/>
        <w:t>ECE/MP.EIA/IC/2018/4, par. 12 et 13.</w:t>
      </w:r>
    </w:p>
  </w:footnote>
  <w:footnote w:id="8">
    <w:p w:rsidR="00FB2C0C" w:rsidRPr="00EC3475" w:rsidRDefault="00FB2C0C" w:rsidP="00FB2C0C">
      <w:pPr>
        <w:pStyle w:val="FootnoteText"/>
        <w:rPr>
          <w:lang w:val="es-ES"/>
        </w:rPr>
      </w:pPr>
      <w:r w:rsidRPr="00FB2C0C">
        <w:rPr>
          <w:lang w:val="es-ES"/>
        </w:rPr>
        <w:tab/>
      </w:r>
      <w:r w:rsidRPr="00FB2C0C">
        <w:rPr>
          <w:rStyle w:val="FootnoteReference"/>
        </w:rPr>
        <w:footnoteRef/>
      </w:r>
      <w:r w:rsidRPr="00EC3475">
        <w:rPr>
          <w:lang w:val="es-ES"/>
        </w:rPr>
        <w:tab/>
        <w:t>ECE/MP.EIA/IC/2016/4, par. 26.</w:t>
      </w:r>
    </w:p>
  </w:footnote>
  <w:footnote w:id="9">
    <w:p w:rsidR="00FB2C0C" w:rsidRPr="00EC3475" w:rsidRDefault="00FB2C0C" w:rsidP="00FB2C0C">
      <w:pPr>
        <w:pStyle w:val="FootnoteText"/>
        <w:rPr>
          <w:lang w:val="es-ES"/>
        </w:rPr>
      </w:pPr>
      <w:r>
        <w:rPr>
          <w:lang w:val="es-ES"/>
        </w:rPr>
        <w:tab/>
      </w:r>
      <w:r w:rsidRPr="00FB2C0C">
        <w:rPr>
          <w:rStyle w:val="FootnoteReference"/>
        </w:rPr>
        <w:footnoteRef/>
      </w:r>
      <w:r>
        <w:rPr>
          <w:lang w:val="es-ES"/>
        </w:rPr>
        <w:tab/>
      </w:r>
      <w:r w:rsidRPr="00EC3475">
        <w:rPr>
          <w:lang w:val="es-ES"/>
        </w:rPr>
        <w:t>Ibid.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CB2" w:rsidRPr="00943CB2" w:rsidRDefault="00EA4A5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E440E">
      <w:t>ECE/MP.EIA/2019/3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CB2" w:rsidRPr="00943CB2" w:rsidRDefault="00EA4A56" w:rsidP="00943CB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E440E">
      <w:t>ECE/MP.EIA/2019/3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ABC672C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6C4FF4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BAF4D30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C7"/>
    <w:rsid w:val="00017F94"/>
    <w:rsid w:val="00023842"/>
    <w:rsid w:val="00031189"/>
    <w:rsid w:val="000334F9"/>
    <w:rsid w:val="0007796D"/>
    <w:rsid w:val="000B7790"/>
    <w:rsid w:val="000F6181"/>
    <w:rsid w:val="00111F2F"/>
    <w:rsid w:val="0014365E"/>
    <w:rsid w:val="00176178"/>
    <w:rsid w:val="001F525A"/>
    <w:rsid w:val="00223272"/>
    <w:rsid w:val="0024779E"/>
    <w:rsid w:val="002832AC"/>
    <w:rsid w:val="002B40F9"/>
    <w:rsid w:val="002D7C93"/>
    <w:rsid w:val="00441C3B"/>
    <w:rsid w:val="00446F72"/>
    <w:rsid w:val="00446FE5"/>
    <w:rsid w:val="00452396"/>
    <w:rsid w:val="004C6E64"/>
    <w:rsid w:val="004E468C"/>
    <w:rsid w:val="005505B7"/>
    <w:rsid w:val="00573BE5"/>
    <w:rsid w:val="00586ED3"/>
    <w:rsid w:val="00596AA9"/>
    <w:rsid w:val="005A53BF"/>
    <w:rsid w:val="00693DEE"/>
    <w:rsid w:val="006C0E3B"/>
    <w:rsid w:val="0071601D"/>
    <w:rsid w:val="007A0B47"/>
    <w:rsid w:val="007A5FC4"/>
    <w:rsid w:val="007A62E6"/>
    <w:rsid w:val="0080684C"/>
    <w:rsid w:val="00871C75"/>
    <w:rsid w:val="008776DC"/>
    <w:rsid w:val="008D6B3F"/>
    <w:rsid w:val="00943CB2"/>
    <w:rsid w:val="009705C8"/>
    <w:rsid w:val="009C1CF4"/>
    <w:rsid w:val="00A14420"/>
    <w:rsid w:val="00A30353"/>
    <w:rsid w:val="00AC3823"/>
    <w:rsid w:val="00AE323C"/>
    <w:rsid w:val="00AE440E"/>
    <w:rsid w:val="00B00181"/>
    <w:rsid w:val="00B00B0D"/>
    <w:rsid w:val="00B255DE"/>
    <w:rsid w:val="00B765F7"/>
    <w:rsid w:val="00BA0CA9"/>
    <w:rsid w:val="00C02897"/>
    <w:rsid w:val="00C554CE"/>
    <w:rsid w:val="00D3439C"/>
    <w:rsid w:val="00D503D3"/>
    <w:rsid w:val="00D760B3"/>
    <w:rsid w:val="00DB1831"/>
    <w:rsid w:val="00DD3BFD"/>
    <w:rsid w:val="00DF5712"/>
    <w:rsid w:val="00DF6678"/>
    <w:rsid w:val="00E24CC7"/>
    <w:rsid w:val="00E96BD6"/>
    <w:rsid w:val="00EA4A56"/>
    <w:rsid w:val="00EE22F9"/>
    <w:rsid w:val="00EF2E22"/>
    <w:rsid w:val="00F10CC9"/>
    <w:rsid w:val="00F660DF"/>
    <w:rsid w:val="00F95C08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3FBB15E-6607-4618-9022-FA47ADB3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2F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E22F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E22F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E22F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E22F9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E22F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E22F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E22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E22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E22F9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E22F9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E22F9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E22F9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E22F9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E22F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E22F9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E22F9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E22F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E22F9"/>
  </w:style>
  <w:style w:type="character" w:customStyle="1" w:styleId="EndnoteTextChar">
    <w:name w:val="Endnote Text Char"/>
    <w:aliases w:val="2_G Char"/>
    <w:basedOn w:val="DefaultParagraphFont"/>
    <w:link w:val="EndnoteText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E22F9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E22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20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A53BF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ECE/MP.EIA/2019/3</vt:lpstr>
      <vt:lpstr/>
    </vt:vector>
  </TitlesOfParts>
  <Company>DCM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ECE/MP.EIA/2019/3</dc:title>
  <dc:subject/>
  <dc:creator>Maud DARICHE</dc:creator>
  <cp:keywords/>
  <cp:lastModifiedBy>Elisabeth James</cp:lastModifiedBy>
  <cp:revision>2</cp:revision>
  <cp:lastPrinted>2018-12-17T16:16:00Z</cp:lastPrinted>
  <dcterms:created xsi:type="dcterms:W3CDTF">2018-12-18T23:51:00Z</dcterms:created>
  <dcterms:modified xsi:type="dcterms:W3CDTF">2018-12-18T23:51:00Z</dcterms:modified>
</cp:coreProperties>
</file>