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4420" w:rsidRPr="00DB58B5" w:rsidTr="00DF571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4420" w:rsidRPr="00DB58B5" w:rsidRDefault="00A14420" w:rsidP="0067722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4420" w:rsidRPr="00DB58B5" w:rsidRDefault="00A14420" w:rsidP="00DF5712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4420" w:rsidRPr="00DB58B5" w:rsidRDefault="00677220" w:rsidP="00677220">
            <w:pPr>
              <w:jc w:val="right"/>
            </w:pPr>
            <w:r w:rsidRPr="00677220">
              <w:rPr>
                <w:sz w:val="40"/>
              </w:rPr>
              <w:t>ECE</w:t>
            </w:r>
            <w:r>
              <w:t>/MP.EIA/2019/13</w:t>
            </w:r>
          </w:p>
        </w:tc>
      </w:tr>
      <w:tr w:rsidR="00A14420" w:rsidRPr="00DB58B5" w:rsidTr="00DF571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Pr="00DB58B5" w:rsidRDefault="00A14420" w:rsidP="00DF5712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16C91A0" wp14:editId="7D1B6E4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4420" w:rsidRPr="00740562" w:rsidRDefault="00A14420" w:rsidP="00DF5712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Default="00677220" w:rsidP="00DF5712">
            <w:pPr>
              <w:spacing w:before="240"/>
            </w:pPr>
            <w:r>
              <w:t>Distr. générale</w:t>
            </w:r>
          </w:p>
          <w:p w:rsidR="00677220" w:rsidRDefault="00677220" w:rsidP="00677220">
            <w:pPr>
              <w:spacing w:line="240" w:lineRule="exact"/>
            </w:pPr>
            <w:r>
              <w:t>21 novembre 2018</w:t>
            </w:r>
          </w:p>
          <w:p w:rsidR="00677220" w:rsidRDefault="00677220" w:rsidP="00677220">
            <w:pPr>
              <w:spacing w:line="240" w:lineRule="exact"/>
            </w:pPr>
            <w:r>
              <w:t>Français</w:t>
            </w:r>
          </w:p>
          <w:p w:rsidR="00677220" w:rsidRPr="00DB58B5" w:rsidRDefault="00677220" w:rsidP="00677220">
            <w:pPr>
              <w:spacing w:line="240" w:lineRule="exact"/>
            </w:pPr>
            <w:r>
              <w:t>Original : anglais</w:t>
            </w:r>
          </w:p>
        </w:tc>
      </w:tr>
    </w:tbl>
    <w:p w:rsidR="00C554CE" w:rsidRDefault="00C554CE" w:rsidP="00C554CE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1029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81029B" w:rsidRPr="00C554CE" w:rsidRDefault="0081029B" w:rsidP="00C554CE">
      <w:pPr>
        <w:spacing w:before="120"/>
        <w:rPr>
          <w:sz w:val="28"/>
          <w:szCs w:val="28"/>
          <w:lang w:val="fr-FR"/>
        </w:rPr>
      </w:pPr>
      <w:r w:rsidRPr="00C554CE">
        <w:rPr>
          <w:sz w:val="28"/>
          <w:szCs w:val="28"/>
          <w:lang w:val="fr-FR"/>
        </w:rPr>
        <w:t>Réunion des Parties à la Convention sur</w:t>
      </w:r>
      <w:r w:rsidRPr="00C554CE">
        <w:rPr>
          <w:sz w:val="28"/>
          <w:szCs w:val="28"/>
          <w:lang w:val="fr-FR"/>
        </w:rPr>
        <w:br/>
        <w:t>l</w:t>
      </w:r>
      <w:r>
        <w:rPr>
          <w:sz w:val="28"/>
          <w:szCs w:val="28"/>
          <w:lang w:val="fr-FR"/>
        </w:rPr>
        <w:t>’</w:t>
      </w:r>
      <w:r w:rsidRPr="00C554CE">
        <w:rPr>
          <w:sz w:val="28"/>
          <w:szCs w:val="28"/>
          <w:lang w:val="fr-FR"/>
        </w:rPr>
        <w:t>évaluation de l</w:t>
      </w:r>
      <w:r>
        <w:rPr>
          <w:sz w:val="28"/>
          <w:szCs w:val="28"/>
          <w:lang w:val="fr-FR"/>
        </w:rPr>
        <w:t>’</w:t>
      </w:r>
      <w:r w:rsidRPr="00C554CE">
        <w:rPr>
          <w:sz w:val="28"/>
          <w:szCs w:val="28"/>
          <w:lang w:val="fr-FR"/>
        </w:rPr>
        <w:t>impact sur l</w:t>
      </w:r>
      <w:r>
        <w:rPr>
          <w:sz w:val="28"/>
          <w:szCs w:val="28"/>
          <w:lang w:val="fr-FR"/>
        </w:rPr>
        <w:t>’</w:t>
      </w:r>
      <w:r w:rsidRPr="00C554CE">
        <w:rPr>
          <w:sz w:val="28"/>
          <w:szCs w:val="28"/>
          <w:lang w:val="fr-FR"/>
        </w:rPr>
        <w:t>environnement</w:t>
      </w:r>
      <w:r w:rsidRPr="00C554CE">
        <w:rPr>
          <w:sz w:val="28"/>
          <w:szCs w:val="28"/>
          <w:lang w:val="fr-FR"/>
        </w:rPr>
        <w:br/>
        <w:t>dans un contexte transfrontière</w:t>
      </w:r>
    </w:p>
    <w:p w:rsidR="0081029B" w:rsidRPr="005B76A3" w:rsidRDefault="0081029B" w:rsidP="00C554CE">
      <w:pPr>
        <w:spacing w:before="120"/>
        <w:rPr>
          <w:b/>
        </w:rPr>
      </w:pPr>
      <w:r>
        <w:rPr>
          <w:b/>
        </w:rPr>
        <w:t>Session intermédiaire</w:t>
      </w:r>
    </w:p>
    <w:p w:rsidR="0081029B" w:rsidRDefault="0081029B" w:rsidP="00C554CE">
      <w:r>
        <w:t>Genève, 5-7 février 2019</w:t>
      </w:r>
    </w:p>
    <w:p w:rsidR="0081029B" w:rsidRDefault="0081029B" w:rsidP="00C554CE">
      <w:r>
        <w:t>Points 3</w:t>
      </w:r>
      <w:r w:rsidR="00F11A51">
        <w:t> </w:t>
      </w:r>
      <w:r>
        <w:t>a) et 8 de l’ordre du jour provisoire</w:t>
      </w:r>
    </w:p>
    <w:p w:rsidR="0081029B" w:rsidRPr="0081029B" w:rsidRDefault="0081029B" w:rsidP="004127FD">
      <w:pPr>
        <w:spacing w:before="120" w:after="120"/>
        <w:rPr>
          <w:b/>
        </w:rPr>
      </w:pPr>
      <w:r w:rsidRPr="0081029B">
        <w:rPr>
          <w:b/>
        </w:rPr>
        <w:t>Questions en suspens</w:t>
      </w:r>
      <w:r>
        <w:rPr>
          <w:b/>
        </w:rPr>
        <w:t> :</w:t>
      </w:r>
      <w:r w:rsidRPr="0081029B">
        <w:rPr>
          <w:b/>
        </w:rPr>
        <w:t xml:space="preserve"> projets de décision</w:t>
      </w:r>
    </w:p>
    <w:p w:rsidR="0081029B" w:rsidRPr="0081029B" w:rsidRDefault="0081029B" w:rsidP="0081029B">
      <w:pPr>
        <w:rPr>
          <w:b/>
        </w:rPr>
      </w:pPr>
      <w:r w:rsidRPr="0081029B">
        <w:rPr>
          <w:b/>
        </w:rPr>
        <w:t xml:space="preserve">Adoption des décisions par la Réunion </w:t>
      </w:r>
      <w:r>
        <w:rPr>
          <w:b/>
        </w:rPr>
        <w:br/>
      </w:r>
      <w:r w:rsidRPr="0081029B">
        <w:rPr>
          <w:b/>
        </w:rPr>
        <w:t>des Parties</w:t>
      </w:r>
      <w:r>
        <w:rPr>
          <w:b/>
        </w:rPr>
        <w:t xml:space="preserve"> </w:t>
      </w:r>
      <w:r w:rsidRPr="0081029B">
        <w:rPr>
          <w:b/>
        </w:rPr>
        <w:t>à la Convention</w:t>
      </w:r>
    </w:p>
    <w:p w:rsidR="0081029B" w:rsidRDefault="0081029B" w:rsidP="0081029B">
      <w:pPr>
        <w:pStyle w:val="HChG"/>
      </w:pPr>
      <w:r>
        <w:tab/>
      </w:r>
      <w:r>
        <w:tab/>
      </w:r>
      <w:r w:rsidRPr="00E56330">
        <w:t>Projet de décision IS/3</w:t>
      </w:r>
      <w:r>
        <w:t xml:space="preserve"> relatif à la révision des directives concernant l’évaluation de l’impact sur l’environnement dans un contexte transfrontière à l’intention des pays </w:t>
      </w:r>
      <w:r>
        <w:br/>
        <w:t xml:space="preserve">d’Asie centrale </w:t>
      </w:r>
    </w:p>
    <w:p w:rsidR="00E96BD6" w:rsidRDefault="0081029B" w:rsidP="0081029B">
      <w:pPr>
        <w:pStyle w:val="H1G"/>
      </w:pPr>
      <w:r>
        <w:tab/>
      </w:r>
      <w:r>
        <w:tab/>
      </w:r>
      <w:r w:rsidRPr="001B76DA">
        <w:t>Proposition du Bureau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81029B">
        <w:trPr>
          <w:jc w:val="center"/>
        </w:trPr>
        <w:tc>
          <w:tcPr>
            <w:tcW w:w="9637" w:type="dxa"/>
            <w:shd w:val="clear" w:color="auto" w:fill="auto"/>
          </w:tcPr>
          <w:p w:rsidR="0081029B" w:rsidRDefault="0081029B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81029B" w:rsidTr="002B5218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81029B" w:rsidRPr="00ED35D1" w:rsidRDefault="0081029B" w:rsidP="002B5218">
            <w:pPr>
              <w:pStyle w:val="SingleTxtG"/>
              <w:rPr>
                <w:spacing w:val="-3"/>
              </w:rPr>
            </w:pPr>
            <w:r>
              <w:tab/>
            </w:r>
            <w:r w:rsidRPr="00ED35D1">
              <w:rPr>
                <w:spacing w:val="-3"/>
              </w:rPr>
              <w:t>Les Réunions des Parties à la Convention sur l’évaluation de l’impact sur l’environnement dans un contexte transfrontière et</w:t>
            </w:r>
            <w:r w:rsidRPr="00ED35D1">
              <w:rPr>
                <w:spacing w:val="-3"/>
                <w:lang w:val="fr-FR"/>
              </w:rPr>
              <w:t xml:space="preserve"> à son Protocole relatif à l’évaluation stratégique environnementale ont convenu, à leurs sessions tenues en 2014 et en 2017, de </w:t>
            </w:r>
            <w:r w:rsidRPr="00ED35D1">
              <w:rPr>
                <w:spacing w:val="-3"/>
              </w:rPr>
              <w:t xml:space="preserve">la mise au point et de l’actualisation des directives de 2007 concernant l’évaluation de l’impact sur l’environnement dans un contexte transfrontière à l’intention des pays d’Asie centrale (ECE/MP.EIA/WG.1/2007/6), </w:t>
            </w:r>
            <w:r w:rsidRPr="00ED35D1">
              <w:rPr>
                <w:spacing w:val="-3"/>
                <w:lang w:val="fr-FR"/>
              </w:rPr>
              <w:t xml:space="preserve">comme prévu dans les plans de travail pour la mise en œuvre de la Convention et de son Protocole sur les périodes allant de 2014 à 2017 et de 2017 à 2020 </w:t>
            </w:r>
            <w:r w:rsidRPr="00ED35D1">
              <w:rPr>
                <w:spacing w:val="-3"/>
              </w:rPr>
              <w:t xml:space="preserve">(voir respectivement les documents ECE/MP.EIA/20/Add.3-ECE/MP.EIA/SEA/4/Add.3, décision VI/3/-II/3, annexe I et ECE/MP.EIA/23/Add.1-ECE/MP.EIA/SEA/7/Add.1, décision VII/3-III/3, annexe I). Conformément à ces plans de travail, les travaux ont été menés par des consultants auprès de la </w:t>
            </w:r>
            <w:r w:rsidRPr="00ED35D1">
              <w:rPr>
                <w:bCs/>
                <w:spacing w:val="-3"/>
              </w:rPr>
              <w:t>Commission économique pour l’Europe,</w:t>
            </w:r>
            <w:r w:rsidRPr="00ED35D1">
              <w:rPr>
                <w:spacing w:val="-3"/>
              </w:rPr>
              <w:t xml:space="preserve"> en concertation avec les pays d’Asie centrale et avec le soutien du secrétariat et l’appui financier de la Suisse.</w:t>
            </w:r>
          </w:p>
        </w:tc>
      </w:tr>
      <w:tr w:rsidR="0081029B" w:rsidTr="002B5218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81029B" w:rsidRPr="004127FD" w:rsidRDefault="0081029B" w:rsidP="002B5218">
            <w:pPr>
              <w:pStyle w:val="SingleTxtG"/>
              <w:rPr>
                <w:spacing w:val="-4"/>
              </w:rPr>
            </w:pPr>
            <w:r w:rsidRPr="004127FD">
              <w:rPr>
                <w:spacing w:val="-4"/>
              </w:rPr>
              <w:tab/>
              <w:t>Le projet de directives révisées est présenté dans le document ECE/MP.EIA/2019/12.</w:t>
            </w:r>
          </w:p>
        </w:tc>
      </w:tr>
      <w:tr w:rsidR="0081029B" w:rsidTr="002B5218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81029B" w:rsidRDefault="0081029B" w:rsidP="008437EF">
            <w:pPr>
              <w:pStyle w:val="SingleTxtG"/>
              <w:keepNext/>
            </w:pPr>
            <w:r>
              <w:lastRenderedPageBreak/>
              <w:tab/>
            </w:r>
            <w:r w:rsidRPr="00E73BA2">
              <w:t xml:space="preserve">Le présent document contient un projet de décision sur </w:t>
            </w:r>
            <w:r>
              <w:t xml:space="preserve">les </w:t>
            </w:r>
            <w:r w:rsidRPr="00E73BA2">
              <w:t>directives</w:t>
            </w:r>
            <w:r>
              <w:t xml:space="preserve"> révisées</w:t>
            </w:r>
            <w:r w:rsidRPr="00E73BA2">
              <w:t xml:space="preserve">, </w:t>
            </w:r>
            <w:r>
              <w:t xml:space="preserve">établi </w:t>
            </w:r>
            <w:r w:rsidRPr="00E73BA2">
              <w:t>par le Bureau des organes directeurs de la Convention et du Protocole</w:t>
            </w:r>
            <w:r>
              <w:t xml:space="preserve"> avec le concours du secrétariat, en tenant compte des observations formulées par le Groupe de travail de l’évaluation de l’impact sur l’environnement et de l’évaluation stratégique environnementale à sa septième réunion (Genève, 28-30 mai 2018).</w:t>
            </w:r>
          </w:p>
        </w:tc>
      </w:tr>
      <w:tr w:rsidR="002B5218">
        <w:trPr>
          <w:jc w:val="center"/>
        </w:trPr>
        <w:tc>
          <w:tcPr>
            <w:tcW w:w="9637" w:type="dxa"/>
            <w:shd w:val="clear" w:color="auto" w:fill="auto"/>
          </w:tcPr>
          <w:p w:rsidR="002B5218" w:rsidRDefault="002B5218" w:rsidP="008437EF">
            <w:pPr>
              <w:pStyle w:val="SingleTxtG"/>
              <w:keepNext/>
            </w:pPr>
            <w:r>
              <w:tab/>
            </w:r>
            <w:r w:rsidR="00F705B2">
              <w:t xml:space="preserve">La Réunion des Parties à la Convention devrait examiner le projet </w:t>
            </w:r>
            <w:r w:rsidR="008437EF">
              <w:t>de décision et convenir de son adoption</w:t>
            </w:r>
          </w:p>
        </w:tc>
      </w:tr>
      <w:tr w:rsidR="0081029B">
        <w:trPr>
          <w:jc w:val="center"/>
        </w:trPr>
        <w:tc>
          <w:tcPr>
            <w:tcW w:w="9637" w:type="dxa"/>
            <w:shd w:val="clear" w:color="auto" w:fill="auto"/>
          </w:tcPr>
          <w:p w:rsidR="0081029B" w:rsidRDefault="0081029B"/>
        </w:tc>
      </w:tr>
    </w:tbl>
    <w:p w:rsidR="002B5218" w:rsidRDefault="002B5218" w:rsidP="0081029B">
      <w:pPr>
        <w:pStyle w:val="SingleTxtG"/>
        <w:ind w:firstLine="567"/>
        <w:rPr>
          <w:i/>
        </w:rPr>
      </w:pPr>
    </w:p>
    <w:p w:rsidR="00F92B29" w:rsidRPr="0081029B" w:rsidRDefault="002B5218" w:rsidP="0081029B">
      <w:pPr>
        <w:pStyle w:val="SingleTxtG"/>
        <w:ind w:firstLine="567"/>
        <w:rPr>
          <w:i/>
        </w:rPr>
      </w:pPr>
      <w:r>
        <w:rPr>
          <w:i/>
        </w:rPr>
        <w:br w:type="page"/>
      </w:r>
      <w:r w:rsidR="00E139FC" w:rsidRPr="0081029B">
        <w:rPr>
          <w:i/>
        </w:rPr>
        <w:lastRenderedPageBreak/>
        <w:t>La Réunion des Parties à la Convention</w:t>
      </w:r>
      <w:r w:rsidR="00E139FC" w:rsidRPr="0081029B">
        <w:t>,</w:t>
      </w:r>
      <w:r w:rsidR="00E139FC" w:rsidRPr="0081029B">
        <w:rPr>
          <w:i/>
        </w:rPr>
        <w:t xml:space="preserve"> </w:t>
      </w:r>
    </w:p>
    <w:p w:rsidR="00F92B29" w:rsidRPr="0081029B" w:rsidRDefault="00E139FC" w:rsidP="0081029B">
      <w:pPr>
        <w:pStyle w:val="SingleTxtG"/>
        <w:ind w:firstLine="567"/>
      </w:pPr>
      <w:r w:rsidRPr="0081029B">
        <w:rPr>
          <w:i/>
        </w:rPr>
        <w:t xml:space="preserve">Rappelant </w:t>
      </w:r>
      <w:r w:rsidRPr="0081029B">
        <w:t>ses</w:t>
      </w:r>
      <w:r w:rsidRPr="0081029B">
        <w:rPr>
          <w:i/>
        </w:rPr>
        <w:t xml:space="preserve"> </w:t>
      </w:r>
      <w:r w:rsidRPr="0081029B">
        <w:t>décisions VI/3-II/3 et VII/3-III/3 relatives à l</w:t>
      </w:r>
      <w:r w:rsidR="0081029B">
        <w:t>’</w:t>
      </w:r>
      <w:r w:rsidRPr="0081029B">
        <w:t xml:space="preserve">adoption des plans de travail pour </w:t>
      </w:r>
      <w:r w:rsidRPr="0081029B">
        <w:rPr>
          <w:lang w:val="fr-FR"/>
        </w:rPr>
        <w:t>l</w:t>
      </w:r>
      <w:r w:rsidR="0081029B">
        <w:rPr>
          <w:lang w:val="fr-FR"/>
        </w:rPr>
        <w:t>’</w:t>
      </w:r>
      <w:r w:rsidRPr="0081029B">
        <w:rPr>
          <w:lang w:val="fr-FR"/>
        </w:rPr>
        <w:t xml:space="preserve">application de la Convention </w:t>
      </w:r>
      <w:r w:rsidRPr="0081029B">
        <w:t>sur l</w:t>
      </w:r>
      <w:r w:rsidR="0081029B">
        <w:t>’</w:t>
      </w:r>
      <w:r w:rsidRPr="0081029B">
        <w:t>évaluation de l</w:t>
      </w:r>
      <w:r w:rsidR="0081029B">
        <w:t>’</w:t>
      </w:r>
      <w:r w:rsidRPr="0081029B">
        <w:t>impact sur l</w:t>
      </w:r>
      <w:r w:rsidR="0081029B">
        <w:t>’</w:t>
      </w:r>
      <w:r w:rsidRPr="0081029B">
        <w:t>environnement dans un contexte transfrontière et</w:t>
      </w:r>
      <w:r w:rsidRPr="0081029B">
        <w:rPr>
          <w:lang w:val="fr-FR"/>
        </w:rPr>
        <w:t xml:space="preserve"> de son Protocole relatif à l</w:t>
      </w:r>
      <w:r w:rsidR="0081029B">
        <w:rPr>
          <w:lang w:val="fr-FR"/>
        </w:rPr>
        <w:t>’</w:t>
      </w:r>
      <w:r w:rsidRPr="0081029B">
        <w:rPr>
          <w:lang w:val="fr-FR"/>
        </w:rPr>
        <w:t>évaluation stratégique environnementale sur les périodes allant respectivement de 2014 à 2017 et de 2017 à 2020, sa décision IV/5 sur le renforcement des capacités dans les pays d</w:t>
      </w:r>
      <w:r w:rsidR="0081029B">
        <w:rPr>
          <w:lang w:val="fr-FR"/>
        </w:rPr>
        <w:t>’</w:t>
      </w:r>
      <w:r w:rsidRPr="0081029B">
        <w:rPr>
          <w:lang w:val="fr-FR"/>
        </w:rPr>
        <w:t>Europe orientale, du Caucase et d</w:t>
      </w:r>
      <w:r w:rsidR="0081029B">
        <w:rPr>
          <w:lang w:val="fr-FR"/>
        </w:rPr>
        <w:t>’</w:t>
      </w:r>
      <w:r w:rsidRPr="0081029B">
        <w:rPr>
          <w:lang w:val="fr-FR"/>
        </w:rPr>
        <w:t>Asie centrale, et sa décision VI/8 concernant le renforcement de la compatibilité entre la Convention et l</w:t>
      </w:r>
      <w:r w:rsidR="0081029B">
        <w:rPr>
          <w:lang w:val="fr-FR"/>
        </w:rPr>
        <w:t>’</w:t>
      </w:r>
      <w:r w:rsidRPr="0081029B">
        <w:rPr>
          <w:lang w:val="fr-FR"/>
        </w:rPr>
        <w:t>évaluation de l</w:t>
      </w:r>
      <w:r w:rsidR="0081029B">
        <w:rPr>
          <w:lang w:val="fr-FR"/>
        </w:rPr>
        <w:t>’</w:t>
      </w:r>
      <w:r w:rsidRPr="0081029B">
        <w:rPr>
          <w:lang w:val="fr-FR"/>
        </w:rPr>
        <w:t>impact sur l</w:t>
      </w:r>
      <w:r w:rsidR="0081029B">
        <w:rPr>
          <w:lang w:val="fr-FR"/>
        </w:rPr>
        <w:t>’</w:t>
      </w:r>
      <w:r w:rsidRPr="0081029B">
        <w:rPr>
          <w:lang w:val="fr-FR"/>
        </w:rPr>
        <w:t>environnement menée dans le cadre de l</w:t>
      </w:r>
      <w:r w:rsidR="0081029B">
        <w:rPr>
          <w:lang w:val="fr-FR"/>
        </w:rPr>
        <w:t>’</w:t>
      </w:r>
      <w:r w:rsidRPr="0081029B">
        <w:rPr>
          <w:lang w:val="fr-FR"/>
        </w:rPr>
        <w:t>expérience de l</w:t>
      </w:r>
      <w:r w:rsidR="0081029B">
        <w:rPr>
          <w:lang w:val="fr-FR"/>
        </w:rPr>
        <w:t>’</w:t>
      </w:r>
      <w:r w:rsidRPr="0081029B">
        <w:rPr>
          <w:lang w:val="fr-FR"/>
        </w:rPr>
        <w:t>État en matière écologique dans les pays d</w:t>
      </w:r>
      <w:r w:rsidR="0081029B">
        <w:rPr>
          <w:lang w:val="fr-FR"/>
        </w:rPr>
        <w:t>’</w:t>
      </w:r>
      <w:r w:rsidRPr="0081029B">
        <w:rPr>
          <w:lang w:val="fr-FR"/>
        </w:rPr>
        <w:t>Europe orientale, du Caucase et d</w:t>
      </w:r>
      <w:r w:rsidR="0081029B">
        <w:rPr>
          <w:lang w:val="fr-FR"/>
        </w:rPr>
        <w:t>’</w:t>
      </w:r>
      <w:r w:rsidRPr="0081029B">
        <w:rPr>
          <w:lang w:val="fr-FR"/>
        </w:rPr>
        <w:t xml:space="preserve">Asie centrale, </w:t>
      </w:r>
    </w:p>
    <w:p w:rsidR="00F92B29" w:rsidRPr="0081029B" w:rsidRDefault="00E139FC" w:rsidP="0081029B">
      <w:pPr>
        <w:pStyle w:val="SingleTxtG"/>
        <w:ind w:firstLine="567"/>
      </w:pPr>
      <w:r w:rsidRPr="0081029B">
        <w:rPr>
          <w:i/>
        </w:rPr>
        <w:t xml:space="preserve">Ayant examiné </w:t>
      </w:r>
      <w:r w:rsidRPr="0081029B">
        <w:t>les résultats des ateliers sous-régionaux consacrés à la mise au point et à l</w:t>
      </w:r>
      <w:r w:rsidR="0081029B">
        <w:t>’</w:t>
      </w:r>
      <w:r w:rsidRPr="0081029B">
        <w:t>actualisation du projet de directives concernant l</w:t>
      </w:r>
      <w:r w:rsidR="0081029B">
        <w:t>’</w:t>
      </w:r>
      <w:r w:rsidRPr="0081029B">
        <w:t>évaluation de l</w:t>
      </w:r>
      <w:r w:rsidR="0081029B">
        <w:t>’</w:t>
      </w:r>
      <w:r w:rsidRPr="0081029B">
        <w:t>impact sur l</w:t>
      </w:r>
      <w:r w:rsidR="0081029B">
        <w:t>’</w:t>
      </w:r>
      <w:r w:rsidRPr="0081029B">
        <w:t>environnement dans un contexte transfrontière à l</w:t>
      </w:r>
      <w:r w:rsidR="0081029B">
        <w:t>’</w:t>
      </w:r>
      <w:r w:rsidRPr="0081029B">
        <w:t>intention des pays d</w:t>
      </w:r>
      <w:r w:rsidR="0081029B">
        <w:t>’</w:t>
      </w:r>
      <w:r w:rsidRPr="0081029B">
        <w:t>Asie centrale</w:t>
      </w:r>
      <w:r w:rsidRPr="0081029B">
        <w:rPr>
          <w:rStyle w:val="FootnoteReference"/>
        </w:rPr>
        <w:footnoteReference w:id="2"/>
      </w:r>
      <w:r w:rsidRPr="0081029B">
        <w:t>, et les besoins d</w:t>
      </w:r>
      <w:r w:rsidR="0081029B">
        <w:t>’</w:t>
      </w:r>
      <w:r w:rsidRPr="0081029B">
        <w:t xml:space="preserve">assistance exprimés par ces derniers afin de faire évoluer leurs législations nationales et de renforcer leurs capacités de mise en œuvre de ces législations, </w:t>
      </w:r>
    </w:p>
    <w:p w:rsidR="00F92B29" w:rsidRPr="0081029B" w:rsidRDefault="00E139FC" w:rsidP="0081029B">
      <w:pPr>
        <w:pStyle w:val="SingleTxtG"/>
        <w:ind w:firstLine="567"/>
        <w:rPr>
          <w:i/>
        </w:rPr>
      </w:pPr>
      <w:r w:rsidRPr="0081029B">
        <w:rPr>
          <w:i/>
        </w:rPr>
        <w:t xml:space="preserve">Consciente </w:t>
      </w:r>
      <w:r w:rsidRPr="0081029B">
        <w:t>que les législations et les dispositifs nationaux dans les pays de la sous-région ont beaucoup de points communs, mais qu</w:t>
      </w:r>
      <w:r w:rsidR="0081029B">
        <w:t>’</w:t>
      </w:r>
      <w:r w:rsidRPr="0081029B">
        <w:t>ils présentent aussi des caractéristiques spécifiques et qu</w:t>
      </w:r>
      <w:r w:rsidR="0081029B">
        <w:t>’</w:t>
      </w:r>
      <w:r w:rsidRPr="0081029B">
        <w:t>ils sont plus ou moins élaborés et plus ou moins conformes à la Convention,</w:t>
      </w:r>
      <w:r w:rsidRPr="0081029B">
        <w:rPr>
          <w:i/>
        </w:rPr>
        <w:t xml:space="preserve"> </w:t>
      </w:r>
    </w:p>
    <w:p w:rsidR="00F92B29" w:rsidRPr="0081029B" w:rsidRDefault="00E139FC" w:rsidP="0081029B">
      <w:pPr>
        <w:pStyle w:val="SingleTxtG"/>
        <w:ind w:firstLine="567"/>
        <w:rPr>
          <w:iCs/>
        </w:rPr>
      </w:pPr>
      <w:r w:rsidRPr="0081029B">
        <w:rPr>
          <w:i/>
          <w:iCs/>
        </w:rPr>
        <w:t>Accueillant avec satisfaction</w:t>
      </w:r>
      <w:r w:rsidRPr="0081029B">
        <w:rPr>
          <w:iCs/>
        </w:rPr>
        <w:t xml:space="preserve"> les efforts déployés par les pays d</w:t>
      </w:r>
      <w:r w:rsidR="0081029B">
        <w:rPr>
          <w:iCs/>
        </w:rPr>
        <w:t>’</w:t>
      </w:r>
      <w:r w:rsidRPr="0081029B">
        <w:rPr>
          <w:iCs/>
        </w:rPr>
        <w:t>Asie centrale pour faire évoluer leurs législations et renforcer leurs capacités ainsi que pour développer la coopération intergouvernementale afin que les procédures d</w:t>
      </w:r>
      <w:r w:rsidR="0081029B">
        <w:rPr>
          <w:iCs/>
        </w:rPr>
        <w:t>’</w:t>
      </w:r>
      <w:r w:rsidRPr="0081029B">
        <w:rPr>
          <w:iCs/>
        </w:rPr>
        <w:t>évaluation de l</w:t>
      </w:r>
      <w:r w:rsidR="0081029B">
        <w:rPr>
          <w:iCs/>
        </w:rPr>
        <w:t>’</w:t>
      </w:r>
      <w:r w:rsidRPr="0081029B">
        <w:rPr>
          <w:iCs/>
        </w:rPr>
        <w:t>impact environnemental dans le contexte transfrontière soient appliquées conformément aux dispositions de la Convention, dans le cadre spécifique de leur sous-région,</w:t>
      </w:r>
    </w:p>
    <w:p w:rsidR="00F92B29" w:rsidRPr="0081029B" w:rsidRDefault="00E139FC" w:rsidP="0081029B">
      <w:pPr>
        <w:pStyle w:val="SingleTxtG"/>
        <w:ind w:firstLine="567"/>
        <w:rPr>
          <w:iCs/>
        </w:rPr>
      </w:pPr>
      <w:r w:rsidRPr="0081029B">
        <w:rPr>
          <w:i/>
          <w:iCs/>
        </w:rPr>
        <w:t xml:space="preserve">Convaincue que </w:t>
      </w:r>
      <w:r w:rsidRPr="0081029B">
        <w:t>la Convention et son Protocole sont des instruments efficaces pour favoriser un développement durable et respectueux de l</w:t>
      </w:r>
      <w:r w:rsidR="0081029B">
        <w:t>’</w:t>
      </w:r>
      <w:r w:rsidRPr="0081029B">
        <w:t xml:space="preserve">environnement, et pour promouvoir le renforcement de la coopération internationale, </w:t>
      </w:r>
    </w:p>
    <w:p w:rsidR="00F92B29" w:rsidRPr="0081029B" w:rsidRDefault="00E139FC" w:rsidP="0081029B">
      <w:pPr>
        <w:pStyle w:val="SingleTxtG"/>
        <w:ind w:firstLine="567"/>
        <w:rPr>
          <w:iCs/>
        </w:rPr>
      </w:pPr>
      <w:r w:rsidRPr="0081029B">
        <w:rPr>
          <w:i/>
          <w:iCs/>
        </w:rPr>
        <w:t xml:space="preserve">Encourageant </w:t>
      </w:r>
      <w:r w:rsidRPr="0081029B">
        <w:rPr>
          <w:iCs/>
        </w:rPr>
        <w:t>les pays d</w:t>
      </w:r>
      <w:r w:rsidR="0081029B">
        <w:rPr>
          <w:iCs/>
        </w:rPr>
        <w:t>’</w:t>
      </w:r>
      <w:r w:rsidRPr="0081029B">
        <w:rPr>
          <w:iCs/>
        </w:rPr>
        <w:t>Asie centrale qui ne sont pas encore parties à la Convention à prendre des mesures en vue de leur adhésion,</w:t>
      </w:r>
    </w:p>
    <w:p w:rsidR="00F92B29" w:rsidRPr="0081029B" w:rsidRDefault="00E139FC" w:rsidP="0081029B">
      <w:pPr>
        <w:pStyle w:val="SingleTxtG"/>
        <w:ind w:firstLine="567"/>
        <w:rPr>
          <w:bCs/>
          <w:iCs/>
        </w:rPr>
      </w:pPr>
      <w:r w:rsidRPr="0081029B">
        <w:rPr>
          <w:bCs/>
          <w:i/>
          <w:iCs/>
        </w:rPr>
        <w:t>Constatant</w:t>
      </w:r>
      <w:r w:rsidRPr="0081029B">
        <w:rPr>
          <w:bCs/>
          <w:iCs/>
        </w:rPr>
        <w:t xml:space="preserve"> qu</w:t>
      </w:r>
      <w:r w:rsidR="0081029B">
        <w:rPr>
          <w:bCs/>
          <w:iCs/>
        </w:rPr>
        <w:t>’</w:t>
      </w:r>
      <w:r w:rsidRPr="0081029B">
        <w:rPr>
          <w:bCs/>
          <w:iCs/>
        </w:rPr>
        <w:t>il demeure nécessaire de faire connaître les avantages de la Convention et d</w:t>
      </w:r>
      <w:r w:rsidR="0081029B">
        <w:rPr>
          <w:bCs/>
          <w:iCs/>
        </w:rPr>
        <w:t>’</w:t>
      </w:r>
      <w:r w:rsidRPr="0081029B">
        <w:rPr>
          <w:bCs/>
          <w:iCs/>
        </w:rPr>
        <w:t>aider les pays d</w:t>
      </w:r>
      <w:r w:rsidR="0081029B">
        <w:rPr>
          <w:bCs/>
          <w:iCs/>
        </w:rPr>
        <w:t>’</w:t>
      </w:r>
      <w:r w:rsidRPr="0081029B">
        <w:rPr>
          <w:bCs/>
          <w:iCs/>
        </w:rPr>
        <w:t>Asie centrale à harmoniser leur législation avec cet instrument et à renforcer leurs capacités pour une bonne mise en œuvre des dispositions de la Convention,</w:t>
      </w:r>
    </w:p>
    <w:p w:rsidR="00F92B29" w:rsidRPr="0081029B" w:rsidRDefault="00E139FC" w:rsidP="0081029B">
      <w:pPr>
        <w:pStyle w:val="SingleTxtG"/>
        <w:ind w:firstLine="567"/>
      </w:pPr>
      <w:r w:rsidRPr="0081029B">
        <w:rPr>
          <w:i/>
        </w:rPr>
        <w:t>Désireuse</w:t>
      </w:r>
      <w:r w:rsidRPr="0081029B">
        <w:t xml:space="preserve"> d</w:t>
      </w:r>
      <w:r w:rsidR="0081029B">
        <w:t>’</w:t>
      </w:r>
      <w:r w:rsidRPr="0081029B">
        <w:t>aider les Parties à la Convention en Asie centrale à s</w:t>
      </w:r>
      <w:r w:rsidR="0081029B">
        <w:t>’</w:t>
      </w:r>
      <w:r w:rsidRPr="0081029B">
        <w:t>acquitter pleinement des obligations qui leur incombent au titre de la Convention, et de promouvoir l</w:t>
      </w:r>
      <w:r w:rsidR="0081029B">
        <w:t>’</w:t>
      </w:r>
      <w:r w:rsidRPr="0081029B">
        <w:t>application efficace des procédures qui découlent de la Convention par les autres pays de la sous-région,</w:t>
      </w:r>
    </w:p>
    <w:p w:rsidR="00F92B29" w:rsidRPr="0081029B" w:rsidRDefault="00E139FC" w:rsidP="0081029B">
      <w:pPr>
        <w:pStyle w:val="SingleTxtG"/>
        <w:ind w:firstLine="567"/>
      </w:pPr>
      <w:r w:rsidRPr="0081029B">
        <w:t>1.</w:t>
      </w:r>
      <w:r w:rsidRPr="0081029B">
        <w:tab/>
      </w:r>
      <w:r w:rsidRPr="0081029B">
        <w:rPr>
          <w:i/>
        </w:rPr>
        <w:t>Approuve</w:t>
      </w:r>
      <w:r w:rsidRPr="0081029B">
        <w:t xml:space="preserve"> les directives révisées concernant l</w:t>
      </w:r>
      <w:r w:rsidR="0081029B">
        <w:t>’</w:t>
      </w:r>
      <w:r w:rsidRPr="0081029B">
        <w:t>évaluation de l</w:t>
      </w:r>
      <w:r w:rsidR="0081029B">
        <w:t>’</w:t>
      </w:r>
      <w:r w:rsidRPr="0081029B">
        <w:t>impact sur l</w:t>
      </w:r>
      <w:r w:rsidR="0081029B">
        <w:t>’</w:t>
      </w:r>
      <w:r w:rsidRPr="0081029B">
        <w:t>environnement dans un contexte transfrontière à l</w:t>
      </w:r>
      <w:r w:rsidR="0081029B">
        <w:t>’</w:t>
      </w:r>
      <w:r w:rsidRPr="0081029B">
        <w:t>intention des pays d</w:t>
      </w:r>
      <w:r w:rsidR="0081029B">
        <w:t>’</w:t>
      </w:r>
      <w:r w:rsidRPr="0081029B">
        <w:t>Asie centrale</w:t>
      </w:r>
      <w:r w:rsidRPr="0081029B">
        <w:rPr>
          <w:rStyle w:val="FootnoteReference"/>
        </w:rPr>
        <w:footnoteReference w:id="3"/>
      </w:r>
      <w:r w:rsidRPr="0081029B">
        <w:t>, telles que mises au point par le Bureau avec le concours du secrétariat, compte tenu des observations formulées pendant et après la septième réunion du Groupe de travail de l</w:t>
      </w:r>
      <w:r w:rsidR="0081029B">
        <w:t>’</w:t>
      </w:r>
      <w:r w:rsidRPr="0081029B">
        <w:t>évaluation de l</w:t>
      </w:r>
      <w:r w:rsidR="0081029B">
        <w:t>’</w:t>
      </w:r>
      <w:r w:rsidRPr="0081029B">
        <w:t>impact sur l</w:t>
      </w:r>
      <w:r w:rsidR="0081029B">
        <w:t>’</w:t>
      </w:r>
      <w:r w:rsidRPr="0081029B">
        <w:t>environnement et de l</w:t>
      </w:r>
      <w:r w:rsidR="0081029B">
        <w:t>’</w:t>
      </w:r>
      <w:r w:rsidRPr="0081029B">
        <w:t>évaluation stratégique environnementale</w:t>
      </w:r>
      <w:r w:rsidR="0081029B">
        <w:t> ;</w:t>
      </w:r>
      <w:r w:rsidRPr="0081029B">
        <w:t xml:space="preserve"> </w:t>
      </w:r>
    </w:p>
    <w:p w:rsidR="00F92B29" w:rsidRPr="0081029B" w:rsidRDefault="00E139FC" w:rsidP="0081029B">
      <w:pPr>
        <w:pStyle w:val="SingleTxtG"/>
        <w:ind w:firstLine="567"/>
      </w:pPr>
      <w:r w:rsidRPr="0081029B">
        <w:t>2.</w:t>
      </w:r>
      <w:r w:rsidRPr="0081029B">
        <w:tab/>
      </w:r>
      <w:r w:rsidRPr="0081029B">
        <w:rPr>
          <w:i/>
        </w:rPr>
        <w:t>Recommande</w:t>
      </w:r>
      <w:r w:rsidRPr="0081029B">
        <w:t xml:space="preserve"> que les pays d</w:t>
      </w:r>
      <w:r w:rsidR="0081029B">
        <w:t>’</w:t>
      </w:r>
      <w:r w:rsidRPr="0081029B">
        <w:t>Asie centrale tiennent compte des directives révisées lorsqu</w:t>
      </w:r>
      <w:r w:rsidR="0081029B">
        <w:t>’</w:t>
      </w:r>
      <w:r w:rsidRPr="0081029B">
        <w:t>ils mettent en œuvre les procédures d</w:t>
      </w:r>
      <w:r w:rsidR="0081029B">
        <w:t>’</w:t>
      </w:r>
      <w:r w:rsidRPr="0081029B">
        <w:t>évaluation de l</w:t>
      </w:r>
      <w:r w:rsidR="0081029B">
        <w:t>’</w:t>
      </w:r>
      <w:r w:rsidRPr="0081029B">
        <w:t>impact sur l</w:t>
      </w:r>
      <w:r w:rsidR="0081029B">
        <w:t>’</w:t>
      </w:r>
      <w:r w:rsidRPr="0081029B">
        <w:t>environnement dans un contexte transfrontière ;</w:t>
      </w:r>
    </w:p>
    <w:p w:rsidR="00F92B29" w:rsidRPr="0081029B" w:rsidRDefault="00E139FC" w:rsidP="0081029B">
      <w:pPr>
        <w:pStyle w:val="SingleTxtG"/>
        <w:ind w:firstLine="567"/>
      </w:pPr>
      <w:r w:rsidRPr="0081029B">
        <w:t>3.</w:t>
      </w:r>
      <w:r w:rsidRPr="0081029B">
        <w:tab/>
      </w:r>
      <w:r w:rsidRPr="0081029B">
        <w:rPr>
          <w:i/>
        </w:rPr>
        <w:t>Demande</w:t>
      </w:r>
      <w:r w:rsidRPr="0081029B">
        <w:t xml:space="preserve"> à ces pays de diffuser les directives révisées auprès des autorités et des parties prenantes concernées et de promouvoir leur application dans la pratique ;</w:t>
      </w:r>
    </w:p>
    <w:p w:rsidR="00F92B29" w:rsidRPr="0081029B" w:rsidRDefault="00E139FC" w:rsidP="0081029B">
      <w:pPr>
        <w:pStyle w:val="SingleTxtG"/>
        <w:ind w:firstLine="567"/>
        <w:rPr>
          <w:i/>
        </w:rPr>
      </w:pPr>
      <w:r w:rsidRPr="0081029B">
        <w:t>4.</w:t>
      </w:r>
      <w:r w:rsidRPr="0081029B">
        <w:tab/>
      </w:r>
      <w:r w:rsidRPr="0081029B">
        <w:rPr>
          <w:i/>
        </w:rPr>
        <w:t xml:space="preserve">Encourage </w:t>
      </w:r>
      <w:r w:rsidRPr="0081029B">
        <w:t>les pays d</w:t>
      </w:r>
      <w:r w:rsidR="0081029B">
        <w:t>’</w:t>
      </w:r>
      <w:r w:rsidRPr="0081029B">
        <w:t>Asie centrale à faire évoluer leur législation nationale au regard des procédures d</w:t>
      </w:r>
      <w:r w:rsidR="0081029B">
        <w:t>’</w:t>
      </w:r>
      <w:r w:rsidRPr="0081029B">
        <w:t>évaluation de l</w:t>
      </w:r>
      <w:r w:rsidR="0081029B">
        <w:t>’</w:t>
      </w:r>
      <w:r w:rsidRPr="0081029B">
        <w:t xml:space="preserve">impact environnemental fondées sur la Convention ; </w:t>
      </w:r>
    </w:p>
    <w:p w:rsidR="00F92B29" w:rsidRPr="0081029B" w:rsidRDefault="00E139FC" w:rsidP="0081029B">
      <w:pPr>
        <w:pStyle w:val="SingleTxtG"/>
        <w:ind w:firstLine="567"/>
      </w:pPr>
      <w:r w:rsidRPr="0081029B">
        <w:t>5.</w:t>
      </w:r>
      <w:r w:rsidRPr="0081029B">
        <w:tab/>
      </w:r>
      <w:r w:rsidRPr="0081029B">
        <w:rPr>
          <w:i/>
        </w:rPr>
        <w:t xml:space="preserve">Invite </w:t>
      </w:r>
      <w:r w:rsidRPr="0081029B">
        <w:t>les Gouvernements et organismes donateurs à étudier la possibilité de financer des activités supplémentaires d</w:t>
      </w:r>
      <w:r w:rsidR="0081029B">
        <w:t>’</w:t>
      </w:r>
      <w:r w:rsidRPr="0081029B">
        <w:t>assistance technique et de renforcement de capacités ;</w:t>
      </w:r>
    </w:p>
    <w:p w:rsidR="0081029B" w:rsidRDefault="00E139FC" w:rsidP="0081029B">
      <w:pPr>
        <w:pStyle w:val="SingleTxtG"/>
        <w:ind w:firstLine="567"/>
      </w:pPr>
      <w:r w:rsidRPr="0081029B">
        <w:t>6.</w:t>
      </w:r>
      <w:r w:rsidRPr="0081029B">
        <w:tab/>
      </w:r>
      <w:r w:rsidRPr="0081029B">
        <w:rPr>
          <w:i/>
        </w:rPr>
        <w:t>Accueille avec satisfaction</w:t>
      </w:r>
      <w:r w:rsidRPr="0081029B">
        <w:t xml:space="preserve"> les projets visant à compléter les directives par d</w:t>
      </w:r>
      <w:r w:rsidR="0081029B">
        <w:t>’</w:t>
      </w:r>
      <w:r w:rsidRPr="0081029B">
        <w:t>autres bonnes pratiques, en tenant compte des résultats des examens des législations et des activités de renforcement de capacités en cours.</w:t>
      </w:r>
    </w:p>
    <w:p w:rsidR="0081029B" w:rsidRPr="0081029B" w:rsidRDefault="0081029B" w:rsidP="0081029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1029B" w:rsidRPr="0081029B" w:rsidSect="0067722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A77" w:rsidRDefault="00734A77" w:rsidP="00F95C08">
      <w:pPr>
        <w:spacing w:line="240" w:lineRule="auto"/>
      </w:pPr>
    </w:p>
  </w:endnote>
  <w:endnote w:type="continuationSeparator" w:id="0">
    <w:p w:rsidR="00734A77" w:rsidRPr="00AC3823" w:rsidRDefault="00734A77" w:rsidP="00AC3823">
      <w:pPr>
        <w:pStyle w:val="Footer"/>
      </w:pPr>
    </w:p>
  </w:endnote>
  <w:endnote w:type="continuationNotice" w:id="1">
    <w:p w:rsidR="00734A77" w:rsidRDefault="00734A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220" w:rsidRPr="00677220" w:rsidRDefault="00677220" w:rsidP="00677220">
    <w:pPr>
      <w:pStyle w:val="Footer"/>
      <w:tabs>
        <w:tab w:val="right" w:pos="9638"/>
      </w:tabs>
    </w:pPr>
    <w:r w:rsidRPr="00677220">
      <w:rPr>
        <w:b/>
        <w:sz w:val="18"/>
      </w:rPr>
      <w:fldChar w:fldCharType="begin"/>
    </w:r>
    <w:r w:rsidRPr="00677220">
      <w:rPr>
        <w:b/>
        <w:sz w:val="18"/>
      </w:rPr>
      <w:instrText xml:space="preserve"> PAGE  \* MERGEFORMAT </w:instrText>
    </w:r>
    <w:r w:rsidRPr="00677220">
      <w:rPr>
        <w:b/>
        <w:sz w:val="18"/>
      </w:rPr>
      <w:fldChar w:fldCharType="separate"/>
    </w:r>
    <w:r w:rsidRPr="00677220">
      <w:rPr>
        <w:b/>
        <w:noProof/>
        <w:sz w:val="18"/>
      </w:rPr>
      <w:t>2</w:t>
    </w:r>
    <w:r w:rsidRPr="00677220">
      <w:rPr>
        <w:b/>
        <w:sz w:val="18"/>
      </w:rPr>
      <w:fldChar w:fldCharType="end"/>
    </w:r>
    <w:r>
      <w:rPr>
        <w:b/>
        <w:sz w:val="18"/>
      </w:rPr>
      <w:tab/>
    </w:r>
    <w:r>
      <w:t>GE.18-19970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220" w:rsidRPr="00677220" w:rsidRDefault="00677220" w:rsidP="00677220">
    <w:pPr>
      <w:pStyle w:val="Footer"/>
      <w:tabs>
        <w:tab w:val="right" w:pos="9638"/>
      </w:tabs>
      <w:rPr>
        <w:b/>
        <w:sz w:val="18"/>
      </w:rPr>
    </w:pPr>
    <w:r>
      <w:t>GE.18-19970</w:t>
    </w:r>
    <w:r>
      <w:tab/>
    </w:r>
    <w:r w:rsidRPr="00677220">
      <w:rPr>
        <w:b/>
        <w:sz w:val="18"/>
      </w:rPr>
      <w:fldChar w:fldCharType="begin"/>
    </w:r>
    <w:r w:rsidRPr="00677220">
      <w:rPr>
        <w:b/>
        <w:sz w:val="18"/>
      </w:rPr>
      <w:instrText xml:space="preserve"> PAGE  \* MERGEFORMAT </w:instrText>
    </w:r>
    <w:r w:rsidRPr="00677220">
      <w:rPr>
        <w:b/>
        <w:sz w:val="18"/>
      </w:rPr>
      <w:fldChar w:fldCharType="separate"/>
    </w:r>
    <w:r w:rsidRPr="00677220">
      <w:rPr>
        <w:b/>
        <w:noProof/>
        <w:sz w:val="18"/>
      </w:rPr>
      <w:t>3</w:t>
    </w:r>
    <w:r w:rsidRPr="006772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20" w:rsidRPr="00677220" w:rsidRDefault="00677220" w:rsidP="00677220">
    <w:pPr>
      <w:pStyle w:val="Footer"/>
      <w:spacing w:before="120"/>
      <w:rPr>
        <w:sz w:val="20"/>
      </w:rPr>
    </w:pPr>
    <w:r>
      <w:rPr>
        <w:sz w:val="20"/>
      </w:rPr>
      <w:t>GE.</w:t>
    </w:r>
    <w:r w:rsidR="00A14420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A4095E7" wp14:editId="3AC373E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18-19970  (F)    271118    171218</w:t>
    </w:r>
    <w:r>
      <w:rPr>
        <w:sz w:val="20"/>
      </w:rPr>
      <w:br/>
    </w:r>
    <w:r w:rsidRPr="00677220">
      <w:rPr>
        <w:rFonts w:ascii="C39T30Lfz" w:hAnsi="C39T30Lfz"/>
        <w:sz w:val="56"/>
      </w:rPr>
      <w:t></w:t>
    </w:r>
    <w:r w:rsidRPr="00677220">
      <w:rPr>
        <w:rFonts w:ascii="C39T30Lfz" w:hAnsi="C39T30Lfz"/>
        <w:sz w:val="56"/>
      </w:rPr>
      <w:t></w:t>
    </w:r>
    <w:r w:rsidRPr="00677220">
      <w:rPr>
        <w:rFonts w:ascii="C39T30Lfz" w:hAnsi="C39T30Lfz"/>
        <w:sz w:val="56"/>
      </w:rPr>
      <w:t></w:t>
    </w:r>
    <w:r w:rsidRPr="00677220">
      <w:rPr>
        <w:rFonts w:ascii="C39T30Lfz" w:hAnsi="C39T30Lfz"/>
        <w:sz w:val="56"/>
      </w:rPr>
      <w:t></w:t>
    </w:r>
    <w:r w:rsidRPr="00677220">
      <w:rPr>
        <w:rFonts w:ascii="C39T30Lfz" w:hAnsi="C39T30Lfz"/>
        <w:sz w:val="56"/>
      </w:rPr>
      <w:t></w:t>
    </w:r>
    <w:r w:rsidRPr="00677220">
      <w:rPr>
        <w:rFonts w:ascii="C39T30Lfz" w:hAnsi="C39T30Lfz"/>
        <w:sz w:val="56"/>
      </w:rPr>
      <w:t></w:t>
    </w:r>
    <w:r w:rsidRPr="00677220">
      <w:rPr>
        <w:rFonts w:ascii="C39T30Lfz" w:hAnsi="C39T30Lfz"/>
        <w:sz w:val="56"/>
      </w:rPr>
      <w:t></w:t>
    </w:r>
    <w:r w:rsidRPr="00677220">
      <w:rPr>
        <w:rFonts w:ascii="C39T30Lfz" w:hAnsi="C39T30Lfz"/>
        <w:sz w:val="56"/>
      </w:rPr>
      <w:t></w:t>
    </w:r>
    <w:r w:rsidRPr="0067722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MP.EIA/2019/1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2019/1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A77" w:rsidRPr="00AC3823" w:rsidRDefault="00734A7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34A77" w:rsidRPr="00AC3823" w:rsidRDefault="00734A7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34A77" w:rsidRPr="00AC3823" w:rsidRDefault="00734A77">
      <w:pPr>
        <w:spacing w:line="240" w:lineRule="auto"/>
        <w:rPr>
          <w:sz w:val="2"/>
          <w:szCs w:val="2"/>
        </w:rPr>
      </w:pPr>
    </w:p>
  </w:footnote>
  <w:footnote w:id="2">
    <w:p w:rsidR="0081029B" w:rsidRDefault="0081029B" w:rsidP="0081029B">
      <w:pPr>
        <w:pStyle w:val="FootnoteText"/>
      </w:pPr>
      <w:r>
        <w:tab/>
      </w:r>
      <w:r w:rsidRPr="0081029B">
        <w:rPr>
          <w:rStyle w:val="FootnoteReference"/>
        </w:rPr>
        <w:footnoteRef/>
      </w:r>
      <w:r>
        <w:tab/>
      </w:r>
      <w:r w:rsidRPr="00713959">
        <w:t>ECE/MP.EIA/WG.1/2007/6</w:t>
      </w:r>
      <w:r>
        <w:t xml:space="preserve">. </w:t>
      </w:r>
    </w:p>
  </w:footnote>
  <w:footnote w:id="3">
    <w:p w:rsidR="0081029B" w:rsidRPr="00A532B9" w:rsidRDefault="0081029B" w:rsidP="0081029B">
      <w:pPr>
        <w:pStyle w:val="FootnoteText"/>
        <w:rPr>
          <w:lang w:val="fr-FR"/>
        </w:rPr>
      </w:pPr>
      <w:r>
        <w:tab/>
      </w:r>
      <w:r w:rsidRPr="0081029B">
        <w:rPr>
          <w:rStyle w:val="FootnoteReference"/>
        </w:rPr>
        <w:footnoteRef/>
      </w:r>
      <w:r>
        <w:tab/>
      </w:r>
      <w:r w:rsidRPr="00A94E92">
        <w:t>ECE/MP.EIA/2019/12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220" w:rsidRPr="00677220" w:rsidRDefault="00342D4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139FC">
      <w:t>ECE/MP.EIA/2019/13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220" w:rsidRPr="00677220" w:rsidRDefault="00342D46" w:rsidP="0067722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139FC">
      <w:t>ECE/MP.EIA/2019/13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ABC672C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6C4FF4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BAF4D30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77"/>
    <w:rsid w:val="00017F94"/>
    <w:rsid w:val="00023842"/>
    <w:rsid w:val="00031189"/>
    <w:rsid w:val="000334F9"/>
    <w:rsid w:val="0007796D"/>
    <w:rsid w:val="000B7790"/>
    <w:rsid w:val="00103D3F"/>
    <w:rsid w:val="00111F2F"/>
    <w:rsid w:val="0014365E"/>
    <w:rsid w:val="00176178"/>
    <w:rsid w:val="001F525A"/>
    <w:rsid w:val="00223272"/>
    <w:rsid w:val="0024779E"/>
    <w:rsid w:val="002832AC"/>
    <w:rsid w:val="002B40F9"/>
    <w:rsid w:val="002B5218"/>
    <w:rsid w:val="002D7C93"/>
    <w:rsid w:val="00342D46"/>
    <w:rsid w:val="004127FD"/>
    <w:rsid w:val="00441C3B"/>
    <w:rsid w:val="00446FE5"/>
    <w:rsid w:val="00452396"/>
    <w:rsid w:val="004E468C"/>
    <w:rsid w:val="005505B7"/>
    <w:rsid w:val="00573BE5"/>
    <w:rsid w:val="00586ED3"/>
    <w:rsid w:val="00596AA9"/>
    <w:rsid w:val="00677220"/>
    <w:rsid w:val="006C0E3B"/>
    <w:rsid w:val="0071601D"/>
    <w:rsid w:val="00734A77"/>
    <w:rsid w:val="007A5FC4"/>
    <w:rsid w:val="007A62E6"/>
    <w:rsid w:val="007D7A13"/>
    <w:rsid w:val="0080684C"/>
    <w:rsid w:val="0081029B"/>
    <w:rsid w:val="008437EF"/>
    <w:rsid w:val="00871C75"/>
    <w:rsid w:val="008776DC"/>
    <w:rsid w:val="008D6B3F"/>
    <w:rsid w:val="009705C8"/>
    <w:rsid w:val="009C1CF4"/>
    <w:rsid w:val="00A14420"/>
    <w:rsid w:val="00A30353"/>
    <w:rsid w:val="00AC3823"/>
    <w:rsid w:val="00AE323C"/>
    <w:rsid w:val="00B00181"/>
    <w:rsid w:val="00B00B0D"/>
    <w:rsid w:val="00B765F7"/>
    <w:rsid w:val="00BA0CA9"/>
    <w:rsid w:val="00C02897"/>
    <w:rsid w:val="00C554CE"/>
    <w:rsid w:val="00C737D8"/>
    <w:rsid w:val="00D3439C"/>
    <w:rsid w:val="00D503D3"/>
    <w:rsid w:val="00DB1831"/>
    <w:rsid w:val="00DD3BFD"/>
    <w:rsid w:val="00DF5712"/>
    <w:rsid w:val="00DF6678"/>
    <w:rsid w:val="00E139FC"/>
    <w:rsid w:val="00E96BD6"/>
    <w:rsid w:val="00ED35D1"/>
    <w:rsid w:val="00EE22F9"/>
    <w:rsid w:val="00EF2E22"/>
    <w:rsid w:val="00F11A51"/>
    <w:rsid w:val="00F660DF"/>
    <w:rsid w:val="00F705B2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C75FB3-C190-41AF-BEFD-7008323A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2F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E22F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E22F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E22F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E22F9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E22F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E22F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E22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E22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E22F9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E22F9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E22F9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E22F9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E22F9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E22F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E22F9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E22F9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E22F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E22F9"/>
  </w:style>
  <w:style w:type="character" w:customStyle="1" w:styleId="EndnoteTextChar">
    <w:name w:val="Endnote Text Char"/>
    <w:aliases w:val="2_G Char"/>
    <w:basedOn w:val="DefaultParagraphFont"/>
    <w:link w:val="EndnoteText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E22F9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E22F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20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81029B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5581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ECE/MP.EIA/2019/13</vt:lpstr>
      <vt:lpstr>ECE/MP.EIA/2019/13</vt:lpstr>
    </vt:vector>
  </TitlesOfParts>
  <Company>DCM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ECE/MP.EIA/2019/13</dc:title>
  <dc:subject/>
  <dc:creator>Maud DARICHE</dc:creator>
  <cp:keywords/>
  <cp:lastModifiedBy>Elisabeth James</cp:lastModifiedBy>
  <cp:revision>2</cp:revision>
  <cp:lastPrinted>2018-12-17T16:01:00Z</cp:lastPrinted>
  <dcterms:created xsi:type="dcterms:W3CDTF">2018-12-19T02:03:00Z</dcterms:created>
  <dcterms:modified xsi:type="dcterms:W3CDTF">2018-12-19T02:03:00Z</dcterms:modified>
</cp:coreProperties>
</file>