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777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7771D" w:rsidP="00D7771D">
            <w:pPr>
              <w:jc w:val="right"/>
            </w:pPr>
            <w:r w:rsidRPr="00D7771D">
              <w:rPr>
                <w:sz w:val="40"/>
              </w:rPr>
              <w:t>ECE</w:t>
            </w:r>
            <w:r>
              <w:t>/MP.EIA/2019/1</w:t>
            </w:r>
          </w:p>
        </w:tc>
      </w:tr>
      <w:tr w:rsidR="002D5AAC" w:rsidRPr="0001428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7771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7771D" w:rsidRDefault="00D7771D" w:rsidP="00D777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November 2018</w:t>
            </w:r>
          </w:p>
          <w:p w:rsidR="00D7771D" w:rsidRDefault="00D7771D" w:rsidP="00D777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7771D" w:rsidRPr="008D53B6" w:rsidRDefault="00D7771D" w:rsidP="00D777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7771D" w:rsidRPr="00D7771D" w:rsidRDefault="00D7771D" w:rsidP="00D7771D">
      <w:pPr>
        <w:spacing w:before="120"/>
        <w:rPr>
          <w:bCs/>
          <w:sz w:val="28"/>
          <w:szCs w:val="28"/>
        </w:rPr>
      </w:pPr>
      <w:r w:rsidRPr="00D7771D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D7771D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D7771D">
        <w:rPr>
          <w:sz w:val="28"/>
          <w:szCs w:val="28"/>
        </w:rPr>
        <w:t>в трансграничном контексте</w:t>
      </w:r>
    </w:p>
    <w:p w:rsidR="00D7771D" w:rsidRPr="00BA7BCF" w:rsidRDefault="00D7771D" w:rsidP="00D7771D">
      <w:pPr>
        <w:spacing w:before="120"/>
        <w:rPr>
          <w:b/>
        </w:rPr>
      </w:pPr>
      <w:r>
        <w:rPr>
          <w:b/>
          <w:bCs/>
        </w:rPr>
        <w:t>Промежуточная сессия</w:t>
      </w:r>
    </w:p>
    <w:p w:rsidR="00D7771D" w:rsidRPr="00BA7BCF" w:rsidRDefault="00D7771D" w:rsidP="00D7771D">
      <w:pPr>
        <w:spacing w:line="240" w:lineRule="auto"/>
      </w:pPr>
      <w:r>
        <w:t>Женева, 5–7 февраля 2019 года</w:t>
      </w:r>
    </w:p>
    <w:p w:rsidR="00D7771D" w:rsidRPr="00BA7BCF" w:rsidRDefault="00D7771D" w:rsidP="00D7771D">
      <w:pPr>
        <w:spacing w:line="240" w:lineRule="auto"/>
      </w:pPr>
      <w:r>
        <w:t>Пункты 3 а) и 8 предварительной повестки дня</w:t>
      </w:r>
    </w:p>
    <w:p w:rsidR="00D7771D" w:rsidRPr="00D7771D" w:rsidRDefault="00D7771D" w:rsidP="00D7771D">
      <w:pPr>
        <w:rPr>
          <w:b/>
        </w:rPr>
      </w:pPr>
      <w:r w:rsidRPr="00D7771D">
        <w:rPr>
          <w:b/>
        </w:rPr>
        <w:t xml:space="preserve">Нерешенные вопросы: проект решения </w:t>
      </w:r>
    </w:p>
    <w:p w:rsidR="00D7771D" w:rsidRPr="00D7771D" w:rsidRDefault="00D7771D" w:rsidP="00D7771D">
      <w:pPr>
        <w:rPr>
          <w:b/>
        </w:rPr>
      </w:pPr>
      <w:r w:rsidRPr="00D7771D">
        <w:rPr>
          <w:b/>
        </w:rPr>
        <w:t>Утверждение решений Совещания Сторон Конвенции</w:t>
      </w:r>
    </w:p>
    <w:p w:rsidR="00D7771D" w:rsidRPr="00BA7BCF" w:rsidRDefault="00D7771D" w:rsidP="00D7771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Проект решения IS/1 об общих вопросах соблюдения Конвенции</w:t>
      </w:r>
      <w:bookmarkStart w:id="1" w:name="_Hlk529195935"/>
    </w:p>
    <w:p w:rsidR="00D7771D" w:rsidRPr="00A0384A" w:rsidRDefault="00D7771D" w:rsidP="00E539FC">
      <w:pPr>
        <w:pStyle w:val="H1GR"/>
        <w:rPr>
          <w:szCs w:val="24"/>
        </w:rPr>
      </w:pPr>
      <w:r>
        <w:tab/>
      </w:r>
      <w:r>
        <w:tab/>
        <w:t>Предложение Комитета по осуществлению</w:t>
      </w:r>
      <w:bookmarkEnd w:id="1"/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37"/>
      </w:tblGrid>
      <w:tr w:rsidR="00D7771D" w:rsidRPr="00A0384A" w:rsidTr="002A4CCD">
        <w:trPr>
          <w:jc w:val="center"/>
        </w:trPr>
        <w:tc>
          <w:tcPr>
            <w:tcW w:w="9637" w:type="dxa"/>
            <w:shd w:val="clear" w:color="auto" w:fill="auto"/>
          </w:tcPr>
          <w:p w:rsidR="00D7771D" w:rsidRPr="00A0384A" w:rsidRDefault="00D7771D" w:rsidP="002A4CCD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iCs/>
              </w:rPr>
              <w:t>Резюме</w:t>
            </w:r>
          </w:p>
        </w:tc>
      </w:tr>
      <w:tr w:rsidR="00D7771D" w:rsidRPr="00BA7BCF" w:rsidTr="002A4CCD">
        <w:trPr>
          <w:jc w:val="center"/>
        </w:trPr>
        <w:tc>
          <w:tcPr>
            <w:tcW w:w="9637" w:type="dxa"/>
            <w:shd w:val="clear" w:color="auto" w:fill="auto"/>
          </w:tcPr>
          <w:p w:rsidR="00D7771D" w:rsidRPr="00BA7BCF" w:rsidRDefault="00D7771D" w:rsidP="002A4CCD">
            <w:pPr>
              <w:pStyle w:val="SingleTxtG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Проект решения, содержащийся в настоящем документе, был подготовлен Комитетом по осуществлению Конвенции об оценке воздействия на окружающую среду в трансграничном контексте и Протокола по стратегической экологической оценке. Он подготовлен в ответ на просьбу седьмой сессии Совеща</w:t>
            </w:r>
            <w:r w:rsidR="0070658B">
              <w:rPr>
                <w:lang w:val="ru-RU"/>
              </w:rPr>
              <w:t>ния Сторон Конвенции (Минск, 13–</w:t>
            </w:r>
            <w:r>
              <w:rPr>
                <w:lang w:val="ru-RU"/>
              </w:rPr>
              <w:t>16 июня 2017 года), чтобы Комитет пересмотрел проект решения VII/2 о рассмотрении соблюдения Конвенции с учетом уже проделанной работы и прогресса, достигнутого в период до, во время и после седьмой сессии Совещания Сторон (ECE/MP.EIA</w:t>
            </w:r>
            <w:r w:rsidR="00E539FC">
              <w:rPr>
                <w:lang w:val="ru-RU"/>
              </w:rPr>
              <w:t>/23-ECE/MP.EIA/SEA/7, пункт 27).</w:t>
            </w:r>
          </w:p>
          <w:p w:rsidR="00D7771D" w:rsidRPr="00BA7BCF" w:rsidRDefault="00D7771D" w:rsidP="002A4CCD">
            <w:pPr>
              <w:pStyle w:val="SingleTxtG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Проект решения IS/1 посвящен общим вопросам соблюдения и представляет собой пересмотренный вариант соответствующих пунктов проекта решения VII/2 (ECE/MP.EIA/2017/8, пункты 1</w:t>
            </w:r>
            <w:r w:rsidR="00E539FC" w:rsidRPr="00E539FC">
              <w:rPr>
                <w:lang w:val="ru-RU"/>
              </w:rPr>
              <w:t>–</w:t>
            </w:r>
            <w:r>
              <w:rPr>
                <w:lang w:val="ru-RU"/>
              </w:rPr>
              <w:t>12). Конкретные страновые вопросы</w:t>
            </w:r>
            <w:r w:rsidRPr="00BA7BC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соблюдения, рассматриваемые в проекте решения VII/2, были разбиты на отдельные проекты решений, с тем чтобы облегчить их рассмотрение и принятие, и содержатся в отдельных документах. </w:t>
            </w:r>
          </w:p>
          <w:p w:rsidR="00D7771D" w:rsidRPr="00BA7BCF" w:rsidRDefault="00D7771D" w:rsidP="002A4CCD">
            <w:pPr>
              <w:pStyle w:val="SingleTxtG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Совещание Сторон Конвенции, как ожидается, рассмотрит проект решения и примет решение о его принятии.</w:t>
            </w:r>
          </w:p>
        </w:tc>
      </w:tr>
      <w:tr w:rsidR="00D7771D" w:rsidRPr="00BA7BCF" w:rsidTr="002A4CCD">
        <w:trPr>
          <w:jc w:val="center"/>
        </w:trPr>
        <w:tc>
          <w:tcPr>
            <w:tcW w:w="9637" w:type="dxa"/>
            <w:shd w:val="clear" w:color="auto" w:fill="auto"/>
          </w:tcPr>
          <w:p w:rsidR="00D7771D" w:rsidRPr="00BA7BCF" w:rsidRDefault="00D7771D" w:rsidP="002A4CCD"/>
        </w:tc>
      </w:tr>
    </w:tbl>
    <w:p w:rsidR="00D7771D" w:rsidRPr="00BA7BCF" w:rsidRDefault="00D7771D" w:rsidP="00D7771D">
      <w:pPr>
        <w:suppressAutoHyphens w:val="0"/>
        <w:spacing w:line="240" w:lineRule="auto"/>
      </w:pPr>
      <w:r w:rsidRPr="00BA7BCF">
        <w:br w:type="page"/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lastRenderedPageBreak/>
        <w:t>Совещание Сторон Конвенции</w:t>
      </w:r>
      <w:r>
        <w:rPr>
          <w:lang w:val="ru-RU"/>
        </w:rPr>
        <w:t>,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ссылаясь</w:t>
      </w:r>
      <w:r>
        <w:rPr>
          <w:lang w:val="ru-RU"/>
        </w:rPr>
        <w:t xml:space="preserve"> на пункт 2 статьи 11 и статью 14-бис Конвенции об оценке воздействия на окружающую среду в трансграничном контексте (Конвенция Эспо) и на решения III/2, IV/2, V/4 и VI/2 Совещания Сторон Конвенции о рассмотрении соблюдения,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будучи преисполнено</w:t>
      </w:r>
      <w:r>
        <w:rPr>
          <w:lang w:val="ru-RU"/>
        </w:rPr>
        <w:t xml:space="preserve"> </w:t>
      </w:r>
      <w:r w:rsidRPr="00181C39">
        <w:rPr>
          <w:i/>
          <w:lang w:val="ru-RU"/>
        </w:rPr>
        <w:t>решимости</w:t>
      </w:r>
      <w:r>
        <w:rPr>
          <w:lang w:val="ru-RU"/>
        </w:rPr>
        <w:t xml:space="preserve"> поощрять и совершенствовать соблюдение Конвенции,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 xml:space="preserve">стремясь </w:t>
      </w:r>
      <w:r>
        <w:rPr>
          <w:lang w:val="ru-RU"/>
        </w:rPr>
        <w:t>содействовать как можно более раннему выявлению проблем с соблюдением, с которыми сталкиваются Стороны, и принятию наиболее приемлемых и эффективных решений для урегулирования этих проблем,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рассмотрев</w:t>
      </w:r>
      <w:r>
        <w:rPr>
          <w:lang w:val="ru-RU"/>
        </w:rPr>
        <w:t xml:space="preserve"> результаты анализа, проведенного Комитетом по осуществлению в связи с общими вопросами соблюдения в ходе четвертого и пятого рассмотрений осуществления Конвенции, которые из</w:t>
      </w:r>
      <w:r w:rsidR="0070658B">
        <w:rPr>
          <w:lang w:val="ru-RU"/>
        </w:rPr>
        <w:t>ложены в документах ECE/MP.EIA/</w:t>
      </w:r>
      <w:r>
        <w:rPr>
          <w:lang w:val="ru-RU"/>
        </w:rPr>
        <w:t>2014/3, принятом посредством решения VI/1, и ECE</w:t>
      </w:r>
      <w:r w:rsidR="0070658B">
        <w:rPr>
          <w:lang w:val="ru-RU"/>
        </w:rPr>
        <w:t>/MP.EIA/</w:t>
      </w:r>
      <w:r>
        <w:rPr>
          <w:lang w:val="ru-RU"/>
        </w:rPr>
        <w:t>2017/9, принятом посредством решения VII/1,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рассмотрев также</w:t>
      </w:r>
      <w:r>
        <w:rPr>
          <w:lang w:val="ru-RU"/>
        </w:rPr>
        <w:t xml:space="preserve"> по инициативе Комитета выводы и рекомендации Комитета по осуществлению в отношении Соединенного Королевства Великобритании и Северной Ирландии, изложенные в докладе Комитета о работе его тридцать пятой сессии</w:t>
      </w:r>
      <w:r w:rsidRPr="0070658B">
        <w:rPr>
          <w:sz w:val="18"/>
          <w:vertAlign w:val="superscript"/>
          <w:lang w:val="ru-RU"/>
        </w:rPr>
        <w:footnoteReference w:id="1"/>
      </w:r>
      <w:r>
        <w:rPr>
          <w:lang w:val="ru-RU"/>
        </w:rPr>
        <w:t xml:space="preserve"> и в документе ECE/MP.EIA/2019/14</w:t>
      </w:r>
      <w:bookmarkStart w:id="2" w:name="_Hlk529381858"/>
      <w:bookmarkEnd w:id="2"/>
      <w:r>
        <w:rPr>
          <w:lang w:val="ru-RU"/>
        </w:rPr>
        <w:t>,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рассмотрев далее</w:t>
      </w:r>
      <w:r>
        <w:rPr>
          <w:lang w:val="ru-RU"/>
        </w:rPr>
        <w:t xml:space="preserve"> доклад о деятельности Комитета по осуществлению для Совещания Сторон Конвенции на ее седьмой сессии</w:t>
      </w:r>
      <w:r w:rsidRPr="0070658B">
        <w:rPr>
          <w:sz w:val="18"/>
          <w:vertAlign w:val="superscript"/>
          <w:lang w:val="ru-RU"/>
        </w:rPr>
        <w:footnoteReference w:id="2"/>
      </w:r>
      <w:r>
        <w:rPr>
          <w:lang w:val="ru-RU"/>
        </w:rPr>
        <w:t xml:space="preserve"> и доклады Комитета о работе его специальной</w:t>
      </w:r>
      <w:r w:rsidRPr="0070658B">
        <w:rPr>
          <w:sz w:val="18"/>
          <w:vertAlign w:val="superscript"/>
          <w:lang w:val="ru-RU"/>
        </w:rPr>
        <w:footnoteReference w:id="3"/>
      </w:r>
      <w:r>
        <w:rPr>
          <w:lang w:val="ru-RU"/>
        </w:rPr>
        <w:t>, тридцать девятой</w:t>
      </w:r>
      <w:r w:rsidRPr="0070658B">
        <w:rPr>
          <w:sz w:val="18"/>
          <w:vertAlign w:val="superscript"/>
          <w:lang w:val="ru-RU"/>
        </w:rPr>
        <w:footnoteReference w:id="4"/>
      </w:r>
      <w:r>
        <w:rPr>
          <w:lang w:val="ru-RU"/>
        </w:rPr>
        <w:t>, сороковой</w:t>
      </w:r>
      <w:r w:rsidRPr="0070658B">
        <w:rPr>
          <w:sz w:val="18"/>
          <w:vertAlign w:val="superscript"/>
          <w:lang w:val="ru-RU"/>
        </w:rPr>
        <w:footnoteReference w:id="5"/>
      </w:r>
      <w:r>
        <w:rPr>
          <w:lang w:val="ru-RU"/>
        </w:rPr>
        <w:t>, сорок первой</w:t>
      </w:r>
      <w:r w:rsidRPr="0070658B">
        <w:rPr>
          <w:sz w:val="18"/>
          <w:vertAlign w:val="superscript"/>
          <w:lang w:val="ru-RU"/>
        </w:rPr>
        <w:footnoteReference w:id="6"/>
      </w:r>
      <w:r>
        <w:rPr>
          <w:lang w:val="ru-RU"/>
        </w:rPr>
        <w:t xml:space="preserve"> и сорок второй сессий</w:t>
      </w:r>
      <w:r w:rsidRPr="0070658B">
        <w:rPr>
          <w:sz w:val="18"/>
          <w:vertAlign w:val="superscript"/>
          <w:lang w:val="ru-RU"/>
        </w:rPr>
        <w:footnoteReference w:id="7"/>
      </w:r>
      <w:r>
        <w:rPr>
          <w:lang w:val="ru-RU"/>
        </w:rPr>
        <w:t>,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 xml:space="preserve">ссылаясь </w:t>
      </w:r>
      <w:r>
        <w:rPr>
          <w:lang w:val="ru-RU"/>
        </w:rPr>
        <w:t>на свое принят</w:t>
      </w:r>
      <w:r w:rsidR="0070658B">
        <w:rPr>
          <w:lang w:val="ru-RU"/>
        </w:rPr>
        <w:t>ое на седьмой сессии (Минск, 13–</w:t>
      </w:r>
      <w:r>
        <w:rPr>
          <w:lang w:val="ru-RU"/>
        </w:rPr>
        <w:t>16 июня 2017 года) решение завершить свои обсуждения по вопросу об обзоре соблюдения Конвенции на промежуточной сессии на основе пересмотренного проекта решения, который будет подготовлен Комитетом по осуществлению и с учетом проделанной работы и прогресса, который был достигнут до</w:t>
      </w:r>
      <w:r w:rsidR="0070658B">
        <w:rPr>
          <w:lang w:val="ru-RU"/>
        </w:rPr>
        <w:t xml:space="preserve"> начала и в ходе седьмой сессии</w:t>
      </w:r>
      <w:r w:rsidRPr="0070658B">
        <w:rPr>
          <w:sz w:val="18"/>
          <w:vertAlign w:val="superscript"/>
          <w:lang w:val="ru-RU"/>
        </w:rPr>
        <w:footnoteReference w:id="8"/>
      </w:r>
      <w:r w:rsidR="0070658B" w:rsidRPr="0070658B">
        <w:rPr>
          <w:lang w:val="ru-RU"/>
        </w:rPr>
        <w:t>,</w:t>
      </w:r>
      <w:r>
        <w:rPr>
          <w:lang w:val="ru-RU"/>
        </w:rPr>
        <w:t xml:space="preserve"> 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рассмотрев</w:t>
      </w:r>
      <w:r>
        <w:rPr>
          <w:lang w:val="ru-RU"/>
        </w:rPr>
        <w:t xml:space="preserve"> структуру и функции Комитета, изложенные в добавлении к решению III/2</w:t>
      </w:r>
      <w:r w:rsidRPr="0070658B">
        <w:rPr>
          <w:sz w:val="18"/>
          <w:vertAlign w:val="superscript"/>
          <w:lang w:val="ru-RU"/>
        </w:rPr>
        <w:footnoteReference w:id="9"/>
      </w:r>
      <w:r>
        <w:rPr>
          <w:lang w:val="ru-RU"/>
        </w:rPr>
        <w:t xml:space="preserve"> и в приложении I к ре</w:t>
      </w:r>
      <w:r w:rsidR="0070658B">
        <w:rPr>
          <w:lang w:val="ru-RU"/>
        </w:rPr>
        <w:t>шению VI/2</w:t>
      </w:r>
      <w:r w:rsidRPr="0070658B">
        <w:rPr>
          <w:sz w:val="18"/>
          <w:vertAlign w:val="superscript"/>
          <w:lang w:val="ru-RU"/>
        </w:rPr>
        <w:footnoteReference w:id="10"/>
      </w:r>
      <w:r w:rsidR="0070658B">
        <w:rPr>
          <w:lang w:val="en-US"/>
        </w:rPr>
        <w:t>,</w:t>
      </w:r>
      <w:r>
        <w:rPr>
          <w:lang w:val="ru-RU"/>
        </w:rPr>
        <w:t xml:space="preserve"> 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рассмотрев также</w:t>
      </w:r>
      <w:r>
        <w:rPr>
          <w:lang w:val="ru-RU"/>
        </w:rPr>
        <w:t xml:space="preserve"> рабочие правила, принятые в решении IV/2</w:t>
      </w:r>
      <w:r w:rsidRPr="0070658B">
        <w:rPr>
          <w:sz w:val="18"/>
          <w:vertAlign w:val="superscript"/>
          <w:lang w:val="ru-RU"/>
        </w:rPr>
        <w:footnoteReference w:id="11"/>
      </w:r>
      <w:r>
        <w:rPr>
          <w:lang w:val="ru-RU"/>
        </w:rPr>
        <w:t xml:space="preserve"> с поправками, внесенными на основании решения V/4</w:t>
      </w:r>
      <w:r w:rsidRPr="0070658B">
        <w:rPr>
          <w:sz w:val="18"/>
          <w:vertAlign w:val="superscript"/>
          <w:lang w:val="ru-RU"/>
        </w:rPr>
        <w:footnoteReference w:id="12"/>
      </w:r>
      <w:r>
        <w:rPr>
          <w:lang w:val="ru-RU"/>
        </w:rPr>
        <w:t>, приложение, и VI/2</w:t>
      </w:r>
      <w:r w:rsidRPr="0070658B">
        <w:rPr>
          <w:sz w:val="18"/>
          <w:vertAlign w:val="superscript"/>
          <w:lang w:val="ru-RU"/>
        </w:rPr>
        <w:footnoteReference w:id="13"/>
      </w:r>
      <w:r>
        <w:rPr>
          <w:lang w:val="ru-RU"/>
        </w:rPr>
        <w:t>, приложение II, и признавая важность повышения эффективности методов работы Комитета, с учетом растущего числа и сложности вопросов соблюдения, переданных на рассмотрение Комитета,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рассмотрев далее</w:t>
      </w:r>
      <w:r>
        <w:rPr>
          <w:lang w:val="ru-RU"/>
        </w:rPr>
        <w:t xml:space="preserve"> мнения Комитета,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признавая</w:t>
      </w:r>
      <w:r>
        <w:rPr>
          <w:lang w:val="ru-RU"/>
        </w:rPr>
        <w:t xml:space="preserve"> важность неукоснительного представления Сторонами информации о соблюдении ими Конвенции и отмечая итоги пятого обзора осуществления </w:t>
      </w:r>
      <w:r>
        <w:rPr>
          <w:lang w:val="ru-RU"/>
        </w:rPr>
        <w:lastRenderedPageBreak/>
        <w:t xml:space="preserve">Конвенции, составленного на основе ответов Сторон на вопросники по осуществлению Конвенции и принятого в решении VII/1, 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напоминая</w:t>
      </w:r>
      <w:r>
        <w:rPr>
          <w:lang w:val="ru-RU"/>
        </w:rPr>
        <w:t>, что процедура соблюдения ориентирована на оказание помощи и что Стороны могут направлять Комитету представления по вопросам соблюдения ими Конвенции,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ссылаясь</w:t>
      </w:r>
      <w:r>
        <w:rPr>
          <w:lang w:val="ru-RU"/>
        </w:rPr>
        <w:t xml:space="preserve"> также на свои соответствующие решения IS/1a, IS/1b, IS/1c, IS/1d, IS/1e, IS/1f, IS/1g и IS/1h, касающиеся соблюдения Азербайджаном, Арменией, Беларусью, Сербией, Украиной и Соединенным Королевством Великобритании и Северной Ирландии, принятые на промежуточной сессии,</w:t>
      </w:r>
      <w:bookmarkStart w:id="3" w:name="_Hlk507582472"/>
      <w:bookmarkEnd w:id="3"/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Pr="00181C39">
        <w:rPr>
          <w:i/>
          <w:lang w:val="ru-RU"/>
        </w:rPr>
        <w:t>утверждает</w:t>
      </w:r>
      <w:r>
        <w:rPr>
          <w:lang w:val="ru-RU"/>
        </w:rPr>
        <w:t xml:space="preserve"> доклад Комитета по осуществлению о его деятельности, содержащийся в документе ECE/MP.EIA/2017/4−ECE/MP.EIA/SEA/2017/4, приветствует доклады о работе совещаний Комитета в период после шестой сессии Совещания Сторон Конвенции и просит Комитет: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проводить рассмотрение осуществления и применения Конвенции;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поощрять и поддерживать соблюдение Конвенции, в том числе, при необходимости, путем предоставления помощи в этой связи;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Pr="00181C39">
        <w:rPr>
          <w:i/>
          <w:lang w:val="ru-RU"/>
        </w:rPr>
        <w:t>приветствует</w:t>
      </w:r>
      <w:r>
        <w:rPr>
          <w:lang w:val="ru-RU"/>
        </w:rPr>
        <w:t xml:space="preserve"> рассмотрение Комитетом конкретных вопросов соблюдения, выявленных в ходе четвертого обзора осуществления Конвенции в отношении Кипра, по итогам которого Комитет заявил о том, что он удовлетворен представленными Стороной пояснениями;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Pr="00044951">
        <w:rPr>
          <w:i/>
          <w:lang w:val="ru-RU"/>
        </w:rPr>
        <w:t>приветствует также</w:t>
      </w:r>
      <w:r>
        <w:rPr>
          <w:lang w:val="ru-RU"/>
        </w:rPr>
        <w:t xml:space="preserve"> рассмотрение Комитетом информации, полученной из других источников, в том числе общественности, относительно Беларуси, Бельгии, Боснии и Герцеговины (по двум вопросам), Испании, Нидерландов, Сербии (по двум вопросам), Чехии и Украины (по трем вопросам), которое: </w:t>
      </w:r>
    </w:p>
    <w:p w:rsidR="00D7771D" w:rsidRPr="0001428B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в одном случае в отношении Украины привело к объявлению Комитетом о своем удовлетворении по поводу разъяснений, предст</w:t>
      </w:r>
      <w:r w:rsidR="0001428B">
        <w:rPr>
          <w:lang w:val="ru-RU"/>
        </w:rPr>
        <w:t>авленных Стороной на тот момент;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в случае Сербии привело как к инициативе Комитета, в отношении которой Комитет теперь удовлетворен пояснениями и мерами, принятыми Стороной</w:t>
      </w:r>
      <w:r w:rsidRPr="0070658B">
        <w:rPr>
          <w:sz w:val="18"/>
          <w:vertAlign w:val="superscript"/>
          <w:lang w:val="ru-RU"/>
        </w:rPr>
        <w:footnoteReference w:id="14"/>
      </w:r>
      <w:r>
        <w:rPr>
          <w:lang w:val="ru-RU"/>
        </w:rPr>
        <w:t>, так и к сбору Комитетом информации относительно соблюдения Протокола, который будет продолжен на его предстоящих сессиях</w:t>
      </w:r>
      <w:r w:rsidRPr="0070658B">
        <w:rPr>
          <w:sz w:val="18"/>
          <w:vertAlign w:val="superscript"/>
          <w:lang w:val="ru-RU"/>
        </w:rPr>
        <w:footnoteReference w:id="15"/>
      </w:r>
      <w:r w:rsidR="0070658B">
        <w:rPr>
          <w:lang w:val="ru-RU"/>
        </w:rPr>
        <w:t>;</w:t>
      </w:r>
      <w:r>
        <w:rPr>
          <w:lang w:val="ru-RU"/>
        </w:rPr>
        <w:t xml:space="preserve"> 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в случаях Беларуси, Бельгии, Боснии и Герцеговины (два вопроса), Испании (два вопроса), Нидерландов, Чехии и Украины (два вопроса) потребует дальнейшего рассмотрения Комитетом на его предстоящих сессиях;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</w:r>
      <w:r w:rsidRPr="00044951">
        <w:rPr>
          <w:i/>
          <w:lang w:val="ru-RU"/>
        </w:rPr>
        <w:t>принимает к сведению</w:t>
      </w:r>
      <w:r>
        <w:rPr>
          <w:lang w:val="ru-RU"/>
        </w:rPr>
        <w:t xml:space="preserve"> новую информацию, полученную из других источников в отношении Болгарии, Боснии и Герцеговины (два вопроса) и Швейцарии для дальнейшего рассмотрения Комитетом на его предстоящих сессиях; 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</w:r>
      <w:r w:rsidRPr="00044951">
        <w:rPr>
          <w:i/>
          <w:lang w:val="ru-RU"/>
        </w:rPr>
        <w:t>считает</w:t>
      </w:r>
      <w:r>
        <w:rPr>
          <w:lang w:val="ru-RU"/>
        </w:rPr>
        <w:t>, учитывая мнения Комитета по осуществлению, что: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скорейшее и широкое уведомление в соответствии с Конвенцией, независимо от числа затрагиваемых Сторон, играет важнейшую роль в трансграничной процедуре, в соответствии с подходом, основанным на принципе осторожности, и принципом предотвращения, закрепленными в Конвенции, и с целью Конвенции расширять международное сотрудничество в области оценки воздействия на окружающую среду, в частности в трансграничном контексте, как указано в ее преамбуле</w:t>
      </w:r>
      <w:r w:rsidRPr="0070658B">
        <w:rPr>
          <w:sz w:val="18"/>
          <w:vertAlign w:val="superscript"/>
          <w:lang w:val="ru-RU"/>
        </w:rPr>
        <w:footnoteReference w:id="16"/>
      </w:r>
      <w:r w:rsidR="0070658B">
        <w:rPr>
          <w:lang w:val="ru-RU"/>
        </w:rPr>
        <w:t>;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 xml:space="preserve">в случае определенных видов деятельности, в </w:t>
      </w:r>
      <w:r w:rsidR="0070658B">
        <w:rPr>
          <w:lang w:val="ru-RU"/>
        </w:rPr>
        <w:t>особенности</w:t>
      </w:r>
      <w:r>
        <w:rPr>
          <w:lang w:val="ru-RU"/>
        </w:rPr>
        <w:t xml:space="preserve"> деятельности, связанной с ядерной энергией, несмотря на то, что вероятность возникновения </w:t>
      </w:r>
      <w:r>
        <w:rPr>
          <w:lang w:val="ru-RU"/>
        </w:rPr>
        <w:lastRenderedPageBreak/>
        <w:t>крупной аварии, запроектной аварии или бедствия очень низка, возможность значительного негативного трансграничного воздействия в случае такой аварии может быть очень высокой, а ее последствия серьезными. С учетом этого Комитет считает, что, исходя из принципа предотвращения, при рассмотрении затрагиваемых Сторон на предмет уведомления Сторона происхождения должна использовать исключительно упредительный и всеохватывающий подход для обеспечения того, чтобы все Стороны, которые могут быть затронуты аварией, пусть даже и маловероятной, были уведомлены. Сторона происхождения должна проводить такое рассмотрение с использованием самого тщательного подхода на основе имеющихся научных данных, позволяющих определить максимальный масштаб значительного вредного трансграничного воздействия в результате деятельности, связанной с ядерной энергией, исходя из наихудшего сценария</w:t>
      </w:r>
      <w:r w:rsidRPr="0070658B">
        <w:rPr>
          <w:sz w:val="18"/>
          <w:vertAlign w:val="superscript"/>
          <w:lang w:val="ru-RU"/>
        </w:rPr>
        <w:footnoteReference w:id="17"/>
      </w:r>
      <w:r w:rsidR="0070658B">
        <w:rPr>
          <w:lang w:val="ru-RU"/>
        </w:rPr>
        <w:t>;</w:t>
      </w:r>
      <w:r>
        <w:rPr>
          <w:lang w:val="ru-RU"/>
        </w:rPr>
        <w:t xml:space="preserve"> 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в случае отсутствия уведомления, в особенности в отношении атомных электростанций, если потенциально затрагиваемая Сторона считает, что значительного вредного трансграничного воздействия планируемой деятельности нельзя исключать, и выражает пожелание получить уведомление, Сторона происхождения должна применять Конвенцию. В этой ситуации неуведомление будет ущемлять право потенциально затрагиваемых Сторон и их общественности быть информированными и своевременно участвовать в процедуре оценки воздействия на окружающую среду</w:t>
      </w:r>
      <w:r w:rsidRPr="0070658B">
        <w:rPr>
          <w:sz w:val="18"/>
          <w:vertAlign w:val="superscript"/>
          <w:lang w:val="ru-RU"/>
        </w:rPr>
        <w:footnoteReference w:id="18"/>
      </w:r>
      <w:r w:rsidR="0070658B">
        <w:rPr>
          <w:lang w:val="ru-RU"/>
        </w:rPr>
        <w:t>;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d)</w:t>
      </w:r>
      <w:r>
        <w:rPr>
          <w:lang w:val="ru-RU"/>
        </w:rPr>
        <w:tab/>
        <w:t>процедурные и существенные аспекты оценки воздействия на окружающую среду в соответствии с Конвенцией необязательно рассматриваются отдельно при оценке соблюдения, особенно если существо дела, о котором идет речь, касается существенных аспектов</w:t>
      </w:r>
      <w:r w:rsidRPr="0070658B">
        <w:rPr>
          <w:sz w:val="18"/>
          <w:vertAlign w:val="superscript"/>
          <w:lang w:val="ru-RU"/>
        </w:rPr>
        <w:footnoteReference w:id="19"/>
      </w:r>
      <w:r w:rsidR="0070658B">
        <w:rPr>
          <w:lang w:val="ru-RU"/>
        </w:rPr>
        <w:t>;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e)</w:t>
      </w:r>
      <w:r>
        <w:rPr>
          <w:lang w:val="ru-RU"/>
        </w:rPr>
        <w:tab/>
        <w:t>вся информация, в том числе по вопросам существа, содержащаяся в документации об оценке воздействия на окружающую среду, должна быть достаточной для того, чтобы надлежащим образом подкреплять принятие решений в соответствии с Конвенцией;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f)</w:t>
      </w:r>
      <w:r>
        <w:rPr>
          <w:lang w:val="ru-RU"/>
        </w:rPr>
        <w:tab/>
        <w:t>для оценки альтернатив информация, содержащаяся в документации по оценке воздействия на окружающую среду, должна быть достаточной для того, чтобы надлежащим образом обосновать выбранную альтернативу в ходе последующих этапов процедуры, включая принимаемое окончательное решение</w:t>
      </w:r>
      <w:r w:rsidRPr="0070658B">
        <w:rPr>
          <w:sz w:val="18"/>
          <w:vertAlign w:val="superscript"/>
          <w:lang w:val="ru-RU"/>
        </w:rPr>
        <w:footnoteReference w:id="20"/>
      </w:r>
      <w:r w:rsidR="0070658B">
        <w:rPr>
          <w:lang w:val="ru-RU"/>
        </w:rPr>
        <w:t>;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</w:r>
      <w:r w:rsidRPr="00044951">
        <w:rPr>
          <w:i/>
          <w:lang w:val="ru-RU"/>
        </w:rPr>
        <w:t>призывает</w:t>
      </w:r>
      <w:r>
        <w:rPr>
          <w:lang w:val="ru-RU"/>
        </w:rPr>
        <w:t xml:space="preserve"> Стороны выносить вопросы, касающиеся их собственного соблюдения, на рассмотрение Комитета;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</w:r>
      <w:r w:rsidRPr="00044951">
        <w:rPr>
          <w:i/>
          <w:lang w:val="ru-RU"/>
        </w:rPr>
        <w:t>просит</w:t>
      </w:r>
      <w:r>
        <w:rPr>
          <w:lang w:val="ru-RU"/>
        </w:rPr>
        <w:t xml:space="preserve"> Комитет по осуществлению оказывать, при необходимости и в пределах возможностей, содействие Сторонам, нуждающимся в таком содействии, и в этой связи ссылается на решение VII/3 об утверждении плана работы, рекомендуя, чтобы Стороны, желающие получить технические консультации от Конвенции, выполняли общие требования;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</w:r>
      <w:r w:rsidRPr="00044951">
        <w:rPr>
          <w:i/>
          <w:lang w:val="ru-RU"/>
        </w:rPr>
        <w:t>настоятельно призывает</w:t>
      </w:r>
      <w:r>
        <w:rPr>
          <w:lang w:val="ru-RU"/>
        </w:rPr>
        <w:t xml:space="preserve"> Стороны учитывать в своей будущей работе рекомендации по дальнейшему повышению эффективности осуществления и соблюдения Конвенции, в том числе путем укрепления национального законодательства, на основе анализа, но не ограничиваясь им, общих вопросов соблюдения, вытекающих из обзоров осуществления, принятых решениями III/1, IV/1, V/3 и VI/1, в сочетании с Общими руководящими указаниями в отношении повышения согласованности между Конвенцией и оценкой воздействия на окружающую среду в рамках государственной экологической экспертизы в странах Восточной Европы, Кавказа и Центральной Азии, принятыми в решении VI/8;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</w:r>
      <w:r w:rsidRPr="00044951">
        <w:rPr>
          <w:i/>
          <w:lang w:val="ru-RU"/>
        </w:rPr>
        <w:t>также настоятельно призывает</w:t>
      </w:r>
      <w:r>
        <w:rPr>
          <w:lang w:val="ru-RU"/>
        </w:rPr>
        <w:t xml:space="preserve"> Стороны обеспечить применение Конвенции в деятельности, связанной с ядерной энергией, и в этой связи напоминает </w:t>
      </w:r>
      <w:r>
        <w:rPr>
          <w:lang w:val="ru-RU"/>
        </w:rPr>
        <w:lastRenderedPageBreak/>
        <w:t>о Женевской декларации 2014 года</w:t>
      </w:r>
      <w:r w:rsidRPr="0070658B">
        <w:rPr>
          <w:sz w:val="18"/>
          <w:vertAlign w:val="superscript"/>
          <w:lang w:val="ru-RU"/>
        </w:rPr>
        <w:footnoteReference w:id="21"/>
      </w:r>
      <w:r>
        <w:rPr>
          <w:lang w:val="ru-RU"/>
        </w:rPr>
        <w:t xml:space="preserve"> (часть А) об осуществлении Конвенции и Протокола к вопросам ядерной энергии, и в частности:</w:t>
      </w:r>
    </w:p>
    <w:p w:rsidR="00D7771D" w:rsidRPr="00BA7BCF" w:rsidRDefault="00D7771D" w:rsidP="00D7771D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обращает особое внимание на то, что Сторонам Конвенции, осуществляющим деятельность, связанную с ядерной энергией, следует делать это в соответствии с Конвенцией, на устойчивой основе, принимая во внимание принципы предосторожности и принцип «загрязнитель платит», а также с соблюдением международных стандартов ядерной безопасности и соответствующего природоохранного законодательства;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ab/>
        <w:t>b)</w:t>
      </w:r>
      <w:r>
        <w:rPr>
          <w:lang w:val="ru-RU"/>
        </w:rPr>
        <w:tab/>
        <w:t>подчеркивает также, что тесное сотрудничество и улучшение взаимного понимания практики и потребностей других Сторон в области атомной энергии облегчит применение трансграничных экологических процедур в полном соответствии с положениями Конвенции и Протокола</w:t>
      </w:r>
      <w:r w:rsidRPr="0070658B">
        <w:rPr>
          <w:sz w:val="18"/>
          <w:vertAlign w:val="superscript"/>
          <w:lang w:val="ru-RU"/>
        </w:rPr>
        <w:footnoteReference w:id="22"/>
      </w:r>
      <w:r w:rsidR="0070658B">
        <w:rPr>
          <w:lang w:val="ru-RU"/>
        </w:rPr>
        <w:t>;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призывает к эффективному сотрудничеству между Сторонами, секретариатами всех соответствующих международных договоров и международными организациями в целях максимизации синергетического эффекта и укрепления потенциала, с тем чтобы обеспечить максимально высокие качество документации об оценке воздействия на окружающую среду и уровень безопасности в области атомной энергии, особенно подчеркивая важность договоров, заключенных под эгидой Международного агентства по атомной энергии (МАГАТЭ)</w:t>
      </w:r>
      <w:r w:rsidRPr="0070658B">
        <w:rPr>
          <w:sz w:val="18"/>
          <w:vertAlign w:val="superscript"/>
          <w:lang w:val="ru-RU"/>
        </w:rPr>
        <w:footnoteReference w:id="23"/>
      </w:r>
      <w:r w:rsidR="0070658B">
        <w:rPr>
          <w:lang w:val="ru-RU"/>
        </w:rPr>
        <w:t>;</w:t>
      </w:r>
      <w:r>
        <w:rPr>
          <w:lang w:val="ru-RU"/>
        </w:rPr>
        <w:t xml:space="preserve"> 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</w:r>
      <w:r w:rsidRPr="00044951">
        <w:rPr>
          <w:i/>
          <w:lang w:val="ru-RU"/>
        </w:rPr>
        <w:t>настоятельно призывает</w:t>
      </w:r>
      <w:r>
        <w:rPr>
          <w:lang w:val="ru-RU"/>
        </w:rPr>
        <w:t xml:space="preserve"> Стороны принимать во внимание в своей дальнейшей работе мнения Комитета по осуществлению, выработанные в период 2001−2018 годов, и просит секретариат организовать новый выпуск неофициальной электронной публикации этих мнений с целью включения в него мнений Комитета за период 2014−2018 годов;</w:t>
      </w:r>
    </w:p>
    <w:p w:rsidR="00D7771D" w:rsidRPr="00BA7BCF" w:rsidRDefault="00D7771D" w:rsidP="00D7771D">
      <w:pPr>
        <w:pStyle w:val="SingleTxtG"/>
        <w:ind w:firstLine="567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</w:r>
      <w:r w:rsidRPr="00044951">
        <w:rPr>
          <w:i/>
          <w:lang w:val="ru-RU"/>
        </w:rPr>
        <w:t>постановляет</w:t>
      </w:r>
      <w:r>
        <w:rPr>
          <w:lang w:val="ru-RU"/>
        </w:rPr>
        <w:t xml:space="preserve"> периодически рассматривать и, при необходимости, доработать структуру и функции Комитета по осуществлению, а также его рабочие правила на восьмой сессии в свете опыта, накопленного Комитетом в период между сессиями, и просит Комитет подготовить для восьмой сессии Совещания Сторон любые предложения, которые он сочтет необходимыми.</w:t>
      </w:r>
    </w:p>
    <w:p w:rsidR="00E12C5F" w:rsidRPr="00D7771D" w:rsidRDefault="00D7771D" w:rsidP="00D7771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D7771D" w:rsidSect="00D7771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591" w:rsidRPr="00A312BC" w:rsidRDefault="00BD6591" w:rsidP="00A312BC"/>
  </w:endnote>
  <w:endnote w:type="continuationSeparator" w:id="0">
    <w:p w:rsidR="00BD6591" w:rsidRPr="00A312BC" w:rsidRDefault="00BD659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1D" w:rsidRPr="00D7771D" w:rsidRDefault="00D7771D">
    <w:pPr>
      <w:pStyle w:val="Footer"/>
    </w:pPr>
    <w:r w:rsidRPr="00D7771D">
      <w:rPr>
        <w:b/>
        <w:sz w:val="18"/>
      </w:rPr>
      <w:fldChar w:fldCharType="begin"/>
    </w:r>
    <w:r w:rsidRPr="00D7771D">
      <w:rPr>
        <w:b/>
        <w:sz w:val="18"/>
      </w:rPr>
      <w:instrText xml:space="preserve"> PAGE  \* MERGEFORMAT </w:instrText>
    </w:r>
    <w:r w:rsidRPr="00D7771D">
      <w:rPr>
        <w:b/>
        <w:sz w:val="18"/>
      </w:rPr>
      <w:fldChar w:fldCharType="separate"/>
    </w:r>
    <w:r w:rsidR="003D3D44">
      <w:rPr>
        <w:b/>
        <w:noProof/>
        <w:sz w:val="18"/>
      </w:rPr>
      <w:t>2</w:t>
    </w:r>
    <w:r w:rsidRPr="00D7771D">
      <w:rPr>
        <w:b/>
        <w:sz w:val="18"/>
      </w:rPr>
      <w:fldChar w:fldCharType="end"/>
    </w:r>
    <w:r>
      <w:rPr>
        <w:b/>
        <w:sz w:val="18"/>
      </w:rPr>
      <w:tab/>
    </w:r>
    <w:r>
      <w:t>GE.18-19494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1D" w:rsidRPr="00D7771D" w:rsidRDefault="00D7771D" w:rsidP="00D7771D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GE.18-19494</w:t>
    </w:r>
    <w:r>
      <w:tab/>
    </w:r>
    <w:r w:rsidRPr="00D7771D">
      <w:rPr>
        <w:b/>
        <w:sz w:val="18"/>
      </w:rPr>
      <w:fldChar w:fldCharType="begin"/>
    </w:r>
    <w:r w:rsidRPr="00D7771D">
      <w:rPr>
        <w:b/>
        <w:sz w:val="18"/>
      </w:rPr>
      <w:instrText xml:space="preserve"> PAGE  \* MERGEFORMAT </w:instrText>
    </w:r>
    <w:r w:rsidRPr="00D7771D">
      <w:rPr>
        <w:b/>
        <w:sz w:val="18"/>
      </w:rPr>
      <w:fldChar w:fldCharType="separate"/>
    </w:r>
    <w:r w:rsidR="003D3D44">
      <w:rPr>
        <w:b/>
        <w:noProof/>
        <w:sz w:val="18"/>
      </w:rPr>
      <w:t>5</w:t>
    </w:r>
    <w:r w:rsidRPr="00D777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7771D" w:rsidRDefault="00D7771D" w:rsidP="00D7771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18-19494  (R)</w:t>
    </w:r>
    <w:r>
      <w:rPr>
        <w:lang w:val="en-US"/>
      </w:rPr>
      <w:t xml:space="preserve">  201118  201118</w:t>
    </w:r>
    <w:r>
      <w:br/>
    </w:r>
    <w:r w:rsidRPr="00D7771D">
      <w:rPr>
        <w:rFonts w:ascii="C39T30Lfz" w:hAnsi="C39T30Lfz"/>
        <w:kern w:val="14"/>
        <w:sz w:val="56"/>
      </w:rPr>
      <w:t></w:t>
    </w:r>
    <w:r w:rsidRPr="00D7771D">
      <w:rPr>
        <w:rFonts w:ascii="C39T30Lfz" w:hAnsi="C39T30Lfz"/>
        <w:kern w:val="14"/>
        <w:sz w:val="56"/>
      </w:rPr>
      <w:t></w:t>
    </w:r>
    <w:r w:rsidRPr="00D7771D">
      <w:rPr>
        <w:rFonts w:ascii="C39T30Lfz" w:hAnsi="C39T30Lfz"/>
        <w:kern w:val="14"/>
        <w:sz w:val="56"/>
      </w:rPr>
      <w:t></w:t>
    </w:r>
    <w:r w:rsidRPr="00D7771D">
      <w:rPr>
        <w:rFonts w:ascii="C39T30Lfz" w:hAnsi="C39T30Lfz"/>
        <w:kern w:val="14"/>
        <w:sz w:val="56"/>
      </w:rPr>
      <w:t></w:t>
    </w:r>
    <w:r w:rsidRPr="00D7771D">
      <w:rPr>
        <w:rFonts w:ascii="C39T30Lfz" w:hAnsi="C39T30Lfz"/>
        <w:kern w:val="14"/>
        <w:sz w:val="56"/>
      </w:rPr>
      <w:t></w:t>
    </w:r>
    <w:r w:rsidRPr="00D7771D">
      <w:rPr>
        <w:rFonts w:ascii="C39T30Lfz" w:hAnsi="C39T30Lfz"/>
        <w:kern w:val="14"/>
        <w:sz w:val="56"/>
      </w:rPr>
      <w:t></w:t>
    </w:r>
    <w:r w:rsidRPr="00D7771D">
      <w:rPr>
        <w:rFonts w:ascii="C39T30Lfz" w:hAnsi="C39T30Lfz"/>
        <w:kern w:val="14"/>
        <w:sz w:val="56"/>
      </w:rPr>
      <w:t></w:t>
    </w:r>
    <w:r w:rsidRPr="00D7771D">
      <w:rPr>
        <w:rFonts w:ascii="C39T30Lfz" w:hAnsi="C39T30Lfz"/>
        <w:kern w:val="14"/>
        <w:sz w:val="56"/>
      </w:rPr>
      <w:t></w:t>
    </w:r>
    <w:r w:rsidRPr="00D7771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2019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2019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591" w:rsidRPr="001075E9" w:rsidRDefault="00BD659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6591" w:rsidRDefault="00BD659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7771D" w:rsidRPr="00BA7BCF" w:rsidRDefault="00D7771D" w:rsidP="00D7771D">
      <w:pPr>
        <w:pStyle w:val="FootnoteText"/>
      </w:pPr>
      <w:r>
        <w:tab/>
      </w:r>
      <w:r w:rsidRPr="0070658B">
        <w:rPr>
          <w:rStyle w:val="FootnoteReference"/>
        </w:rPr>
        <w:footnoteRef/>
      </w:r>
      <w:r>
        <w:tab/>
        <w:t>ECE/MP.EIA/IC/2016/2, приложение.</w:t>
      </w:r>
    </w:p>
  </w:footnote>
  <w:footnote w:id="2">
    <w:p w:rsidR="00D7771D" w:rsidRPr="0001428B" w:rsidRDefault="00D7771D" w:rsidP="00D7771D">
      <w:pPr>
        <w:pStyle w:val="FootnoteText"/>
        <w:rPr>
          <w:lang w:val="es-ES"/>
        </w:rPr>
      </w:pPr>
      <w:r w:rsidRPr="006D7A16">
        <w:tab/>
      </w:r>
      <w:r w:rsidRPr="0070658B">
        <w:rPr>
          <w:vertAlign w:val="superscript"/>
        </w:rPr>
        <w:footnoteRef/>
      </w:r>
      <w:r w:rsidRPr="0001428B">
        <w:rPr>
          <w:lang w:val="es-ES"/>
        </w:rPr>
        <w:tab/>
      </w:r>
      <w:r w:rsidRPr="00BF1A34">
        <w:rPr>
          <w:lang w:val="es-ES"/>
        </w:rPr>
        <w:t>ECE/MP.EIA/2017/4-ECE/MP.EIA/SEA/2017/4.</w:t>
      </w:r>
    </w:p>
  </w:footnote>
  <w:footnote w:id="3">
    <w:p w:rsidR="00D7771D" w:rsidRPr="007E19C6" w:rsidRDefault="00D7771D" w:rsidP="00D7771D">
      <w:pPr>
        <w:pStyle w:val="FootnoteText"/>
      </w:pPr>
      <w:r w:rsidRPr="0001428B">
        <w:rPr>
          <w:lang w:val="es-ES"/>
        </w:rPr>
        <w:tab/>
      </w:r>
      <w:r w:rsidRPr="0070658B">
        <w:rPr>
          <w:vertAlign w:val="superscript"/>
        </w:rPr>
        <w:footnoteRef/>
      </w:r>
      <w:r>
        <w:tab/>
        <w:t xml:space="preserve">Неофициальный документ ECE/MP.EIA/IC/ad-hoc/2017/INF.6, имеющийся по адресу </w:t>
      </w:r>
      <w:hyperlink r:id="rId1" w:history="1">
        <w:r w:rsidRPr="007E19C6">
          <w:rPr>
            <w:rStyle w:val="Hyperlink"/>
            <w:color w:val="auto"/>
          </w:rPr>
          <w:t>https://www.unece.org/index.php?id=48313</w:t>
        </w:r>
      </w:hyperlink>
      <w:r w:rsidRPr="007E19C6">
        <w:t>.</w:t>
      </w:r>
    </w:p>
  </w:footnote>
  <w:footnote w:id="4">
    <w:p w:rsidR="00D7771D" w:rsidRPr="007A0356" w:rsidRDefault="00D7771D" w:rsidP="00D7771D">
      <w:pPr>
        <w:pStyle w:val="FootnoteText"/>
        <w:rPr>
          <w:lang w:val="en-US"/>
        </w:rPr>
      </w:pPr>
      <w:r w:rsidRPr="00E7170A">
        <w:tab/>
      </w:r>
      <w:r w:rsidRPr="0070658B">
        <w:rPr>
          <w:rStyle w:val="FootnoteReference"/>
        </w:rPr>
        <w:footnoteRef/>
      </w:r>
      <w:r w:rsidRPr="007A0356">
        <w:rPr>
          <w:lang w:val="en-US"/>
        </w:rPr>
        <w:t xml:space="preserve"> </w:t>
      </w:r>
      <w:r w:rsidRPr="007A0356">
        <w:rPr>
          <w:lang w:val="en-US"/>
        </w:rPr>
        <w:tab/>
      </w:r>
      <w:r w:rsidRPr="006D7A16">
        <w:rPr>
          <w:lang w:val="en-US"/>
        </w:rPr>
        <w:t>ECE/MP.EIA/IC/2017/4.</w:t>
      </w:r>
      <w:r w:rsidR="007E19C6" w:rsidRPr="007E19C6">
        <w:rPr>
          <w:lang w:val="en-US"/>
        </w:rPr>
        <w:t xml:space="preserve"> </w:t>
      </w:r>
    </w:p>
  </w:footnote>
  <w:footnote w:id="5">
    <w:p w:rsidR="00D7771D" w:rsidRPr="00D7771D" w:rsidRDefault="00D7771D" w:rsidP="00D7771D">
      <w:pPr>
        <w:pStyle w:val="FootnoteText"/>
        <w:rPr>
          <w:lang w:val="en-US"/>
        </w:rPr>
      </w:pPr>
      <w:r w:rsidRPr="007A0356">
        <w:rPr>
          <w:lang w:val="en-US"/>
        </w:rPr>
        <w:tab/>
      </w:r>
      <w:r w:rsidRPr="0070658B">
        <w:rPr>
          <w:vertAlign w:val="superscript"/>
        </w:rPr>
        <w:footnoteRef/>
      </w:r>
      <w:r w:rsidRPr="00BA7BCF">
        <w:rPr>
          <w:lang w:val="en-US"/>
        </w:rPr>
        <w:tab/>
        <w:t>ECE/MP.EIA/IC/2017/6.</w:t>
      </w:r>
    </w:p>
  </w:footnote>
  <w:footnote w:id="6">
    <w:p w:rsidR="00D7771D" w:rsidRPr="00D7771D" w:rsidRDefault="00D7771D" w:rsidP="00D7771D">
      <w:pPr>
        <w:pStyle w:val="FootnoteText"/>
        <w:rPr>
          <w:lang w:val="en-US"/>
        </w:rPr>
      </w:pPr>
      <w:r w:rsidRPr="00BA7BCF">
        <w:rPr>
          <w:lang w:val="en-US"/>
        </w:rPr>
        <w:tab/>
      </w:r>
      <w:r w:rsidRPr="0070658B">
        <w:rPr>
          <w:rStyle w:val="FootnoteReference"/>
        </w:rPr>
        <w:footnoteRef/>
      </w:r>
      <w:r w:rsidRPr="00BA7BCF">
        <w:rPr>
          <w:lang w:val="en-US"/>
        </w:rPr>
        <w:t xml:space="preserve"> </w:t>
      </w:r>
      <w:r w:rsidRPr="00BA7BCF">
        <w:rPr>
          <w:lang w:val="en-US"/>
        </w:rPr>
        <w:tab/>
      </w:r>
      <w:r w:rsidRPr="0001428B">
        <w:rPr>
          <w:lang w:val="en-US"/>
        </w:rPr>
        <w:t>ECE/MP.EIA/IC/2018/2.</w:t>
      </w:r>
    </w:p>
  </w:footnote>
  <w:footnote w:id="7">
    <w:p w:rsidR="00D7771D" w:rsidRPr="007A0356" w:rsidRDefault="00D7771D" w:rsidP="00D7771D">
      <w:pPr>
        <w:pStyle w:val="FootnoteText"/>
        <w:rPr>
          <w:lang w:val="en-US"/>
        </w:rPr>
      </w:pPr>
      <w:r w:rsidRPr="00BA7BCF">
        <w:rPr>
          <w:lang w:val="en-US"/>
        </w:rPr>
        <w:tab/>
      </w:r>
      <w:r w:rsidRPr="0070658B">
        <w:rPr>
          <w:vertAlign w:val="superscript"/>
        </w:rPr>
        <w:footnoteRef/>
      </w:r>
      <w:r w:rsidRPr="00BA7BCF">
        <w:rPr>
          <w:lang w:val="en-US"/>
        </w:rPr>
        <w:tab/>
      </w:r>
      <w:r w:rsidRPr="0001428B">
        <w:rPr>
          <w:lang w:val="en-US"/>
        </w:rPr>
        <w:t>ECE/MP.EIA/2018/4.</w:t>
      </w:r>
    </w:p>
  </w:footnote>
  <w:footnote w:id="8">
    <w:p w:rsidR="00D7771D" w:rsidRPr="00BA7BCF" w:rsidRDefault="00D7771D" w:rsidP="00D7771D">
      <w:pPr>
        <w:pStyle w:val="FootnoteText"/>
      </w:pPr>
      <w:r w:rsidRPr="007A0356">
        <w:rPr>
          <w:lang w:val="en-US"/>
        </w:rPr>
        <w:tab/>
      </w:r>
      <w:r w:rsidRPr="0070658B">
        <w:rPr>
          <w:vertAlign w:val="superscript"/>
        </w:rPr>
        <w:footnoteRef/>
      </w:r>
      <w:r w:rsidRPr="00BA7BCF">
        <w:rPr>
          <w:lang w:val="en-US"/>
        </w:rPr>
        <w:tab/>
      </w:r>
      <w:r>
        <w:t>См</w:t>
      </w:r>
      <w:r w:rsidRPr="00BA7BCF">
        <w:rPr>
          <w:lang w:val="en-US"/>
        </w:rPr>
        <w:t xml:space="preserve">. ECE/MP.EIA/23-ECE/MP.EIA/SEA/7, </w:t>
      </w:r>
      <w:r>
        <w:t>пункт</w:t>
      </w:r>
      <w:r w:rsidRPr="00BA7BCF">
        <w:rPr>
          <w:lang w:val="en-US"/>
        </w:rPr>
        <w:t xml:space="preserve"> 27. </w:t>
      </w:r>
      <w:r>
        <w:t>См. также проект решения VII/2 (ECE/MP.EIA/2017/8).</w:t>
      </w:r>
    </w:p>
  </w:footnote>
  <w:footnote w:id="9">
    <w:p w:rsidR="00D7771D" w:rsidRPr="00D7771D" w:rsidRDefault="00D7771D" w:rsidP="00D7771D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 w:rsidRPr="0070658B">
        <w:rPr>
          <w:rStyle w:val="FootnoteReference"/>
        </w:rPr>
        <w:footnoteRef/>
      </w:r>
      <w:r w:rsidRPr="00BA7BCF">
        <w:rPr>
          <w:lang w:val="en-US"/>
        </w:rPr>
        <w:tab/>
      </w:r>
      <w:r w:rsidRPr="00D7771D">
        <w:rPr>
          <w:lang w:val="en-US"/>
        </w:rPr>
        <w:t>ECE/MP.EIA/6, annex II.</w:t>
      </w:r>
    </w:p>
  </w:footnote>
  <w:footnote w:id="10">
    <w:p w:rsidR="00D7771D" w:rsidRPr="0001428B" w:rsidRDefault="00D7771D" w:rsidP="00D7771D">
      <w:pPr>
        <w:pStyle w:val="FootnoteText"/>
        <w:widowControl w:val="0"/>
        <w:tabs>
          <w:tab w:val="clear" w:pos="1021"/>
          <w:tab w:val="right" w:pos="1020"/>
        </w:tabs>
        <w:rPr>
          <w:lang w:val="es-ES"/>
        </w:rPr>
      </w:pPr>
      <w:r w:rsidRPr="00BA7BCF">
        <w:rPr>
          <w:lang w:val="en-US"/>
        </w:rPr>
        <w:tab/>
      </w:r>
      <w:r w:rsidRPr="0070658B">
        <w:rPr>
          <w:rStyle w:val="FootnoteReference"/>
        </w:rPr>
        <w:footnoteRef/>
      </w:r>
      <w:r w:rsidRPr="0001428B">
        <w:rPr>
          <w:lang w:val="es-ES"/>
        </w:rPr>
        <w:tab/>
      </w:r>
      <w:r>
        <w:t>См</w:t>
      </w:r>
      <w:r w:rsidRPr="0001428B">
        <w:rPr>
          <w:lang w:val="es-ES"/>
        </w:rPr>
        <w:t xml:space="preserve">. ECE/MP.EIA/20/Add.1–ECE/MP.EIA/SEA/4/Add.1. </w:t>
      </w:r>
    </w:p>
  </w:footnote>
  <w:footnote w:id="11">
    <w:p w:rsidR="00D7771D" w:rsidRPr="00BA7BCF" w:rsidRDefault="00D7771D" w:rsidP="00D7771D">
      <w:pPr>
        <w:pStyle w:val="FootnoteText"/>
        <w:widowControl w:val="0"/>
        <w:tabs>
          <w:tab w:val="clear" w:pos="1021"/>
          <w:tab w:val="right" w:pos="1020"/>
        </w:tabs>
      </w:pPr>
      <w:r w:rsidRPr="0001428B">
        <w:rPr>
          <w:lang w:val="es-ES"/>
        </w:rPr>
        <w:tab/>
      </w:r>
      <w:r w:rsidRPr="0070658B">
        <w:rPr>
          <w:rStyle w:val="FootnoteReference"/>
        </w:rPr>
        <w:footnoteRef/>
      </w:r>
      <w:r>
        <w:tab/>
        <w:t>ECE/MP.EIA/10, приложение IV.</w:t>
      </w:r>
    </w:p>
  </w:footnote>
  <w:footnote w:id="12">
    <w:p w:rsidR="00D7771D" w:rsidRPr="0001428B" w:rsidRDefault="00D7771D" w:rsidP="00D7771D">
      <w:pPr>
        <w:pStyle w:val="FootnoteText"/>
        <w:widowControl w:val="0"/>
        <w:rPr>
          <w:lang w:val="es-ES"/>
        </w:rPr>
      </w:pPr>
      <w:r>
        <w:tab/>
      </w:r>
      <w:r w:rsidRPr="0070658B">
        <w:rPr>
          <w:rStyle w:val="FootnoteReference"/>
        </w:rPr>
        <w:footnoteRef/>
      </w:r>
      <w:r w:rsidRPr="0001428B">
        <w:rPr>
          <w:lang w:val="es-ES"/>
        </w:rPr>
        <w:tab/>
      </w:r>
      <w:r>
        <w:t>См</w:t>
      </w:r>
      <w:r w:rsidRPr="0001428B">
        <w:rPr>
          <w:lang w:val="es-ES"/>
        </w:rPr>
        <w:t>. ECE/MP.EIA/15.</w:t>
      </w:r>
    </w:p>
  </w:footnote>
  <w:footnote w:id="13">
    <w:p w:rsidR="00D7771D" w:rsidRPr="0001428B" w:rsidRDefault="00D7771D" w:rsidP="00D7771D">
      <w:pPr>
        <w:pStyle w:val="FootnoteText"/>
        <w:widowControl w:val="0"/>
        <w:tabs>
          <w:tab w:val="clear" w:pos="1021"/>
          <w:tab w:val="right" w:pos="1020"/>
        </w:tabs>
        <w:rPr>
          <w:lang w:val="es-ES"/>
        </w:rPr>
      </w:pPr>
      <w:r w:rsidRPr="0001428B">
        <w:rPr>
          <w:lang w:val="es-ES"/>
        </w:rPr>
        <w:tab/>
      </w:r>
      <w:r w:rsidRPr="0070658B">
        <w:rPr>
          <w:rStyle w:val="FootnoteReference"/>
        </w:rPr>
        <w:footnoteRef/>
      </w:r>
      <w:r w:rsidRPr="0001428B">
        <w:rPr>
          <w:lang w:val="es-ES"/>
        </w:rPr>
        <w:tab/>
      </w:r>
      <w:r>
        <w:t>См</w:t>
      </w:r>
      <w:r w:rsidRPr="0001428B">
        <w:rPr>
          <w:lang w:val="es-ES"/>
        </w:rPr>
        <w:t>. ECE/MP.EIA/20/Add.1–ECE/MP.EIA/SEA/4/Add.1.</w:t>
      </w:r>
    </w:p>
  </w:footnote>
  <w:footnote w:id="14">
    <w:p w:rsidR="00D7771D" w:rsidRPr="0001428B" w:rsidRDefault="00D7771D" w:rsidP="00D7771D">
      <w:pPr>
        <w:pStyle w:val="FootnoteText"/>
        <w:widowControl w:val="0"/>
        <w:tabs>
          <w:tab w:val="clear" w:pos="1021"/>
          <w:tab w:val="right" w:pos="1020"/>
        </w:tabs>
        <w:rPr>
          <w:lang w:val="es-ES"/>
        </w:rPr>
      </w:pPr>
      <w:r w:rsidRPr="0001428B">
        <w:rPr>
          <w:lang w:val="es-ES"/>
        </w:rPr>
        <w:tab/>
      </w:r>
      <w:r w:rsidRPr="0070658B">
        <w:rPr>
          <w:rStyle w:val="FootnoteReference"/>
        </w:rPr>
        <w:footnoteRef/>
      </w:r>
      <w:r w:rsidRPr="0001428B">
        <w:rPr>
          <w:lang w:val="es-ES"/>
        </w:rPr>
        <w:tab/>
      </w:r>
      <w:r>
        <w:t>См</w:t>
      </w:r>
      <w:r w:rsidRPr="0001428B">
        <w:rPr>
          <w:lang w:val="es-ES"/>
        </w:rPr>
        <w:t xml:space="preserve">. ECE/MP.EIA/2019/6. </w:t>
      </w:r>
    </w:p>
  </w:footnote>
  <w:footnote w:id="15">
    <w:p w:rsidR="00D7771D" w:rsidRPr="0001428B" w:rsidRDefault="00D7771D" w:rsidP="00D7771D">
      <w:pPr>
        <w:pStyle w:val="FootnoteText"/>
        <w:rPr>
          <w:highlight w:val="yellow"/>
          <w:lang w:val="es-ES"/>
        </w:rPr>
      </w:pPr>
      <w:r w:rsidRPr="0001428B">
        <w:rPr>
          <w:lang w:val="es-ES"/>
        </w:rPr>
        <w:tab/>
      </w:r>
      <w:r w:rsidRPr="0070658B">
        <w:rPr>
          <w:rStyle w:val="FootnoteReference"/>
        </w:rPr>
        <w:footnoteRef/>
      </w:r>
      <w:r w:rsidRPr="0001428B">
        <w:rPr>
          <w:lang w:val="es-ES"/>
        </w:rPr>
        <w:tab/>
        <w:t xml:space="preserve">ECE/MP.EIA/2017/4-ECE/MP.EIA/SEA/2017/4, </w:t>
      </w:r>
      <w:r>
        <w:t>пункт</w:t>
      </w:r>
      <w:r w:rsidRPr="0001428B">
        <w:rPr>
          <w:lang w:val="es-ES"/>
        </w:rPr>
        <w:t xml:space="preserve"> 76.</w:t>
      </w:r>
    </w:p>
  </w:footnote>
  <w:footnote w:id="16">
    <w:p w:rsidR="00D7771D" w:rsidRPr="0001428B" w:rsidRDefault="00D7771D" w:rsidP="00D7771D">
      <w:pPr>
        <w:pStyle w:val="FootnoteText"/>
        <w:rPr>
          <w:lang w:val="es-ES"/>
        </w:rPr>
      </w:pPr>
      <w:r w:rsidRPr="0001428B">
        <w:rPr>
          <w:lang w:val="es-ES"/>
        </w:rPr>
        <w:tab/>
      </w:r>
      <w:r w:rsidRPr="0070658B">
        <w:rPr>
          <w:rStyle w:val="FootnoteReference"/>
        </w:rPr>
        <w:footnoteRef/>
      </w:r>
      <w:r w:rsidRPr="0001428B">
        <w:rPr>
          <w:lang w:val="es-ES"/>
        </w:rPr>
        <w:tab/>
        <w:t xml:space="preserve">ECE/MP.EIA/IC/2019/14, </w:t>
      </w:r>
      <w:r>
        <w:t>пункт</w:t>
      </w:r>
      <w:r w:rsidRPr="0001428B">
        <w:rPr>
          <w:lang w:val="es-ES"/>
        </w:rPr>
        <w:t xml:space="preserve"> [102].</w:t>
      </w:r>
    </w:p>
  </w:footnote>
  <w:footnote w:id="17">
    <w:p w:rsidR="00D7771D" w:rsidRPr="00BA7BCF" w:rsidRDefault="00D7771D" w:rsidP="00D7771D">
      <w:pPr>
        <w:pStyle w:val="FootnoteText"/>
      </w:pPr>
      <w:r w:rsidRPr="0001428B">
        <w:rPr>
          <w:lang w:val="es-ES"/>
        </w:rPr>
        <w:tab/>
      </w:r>
      <w:r w:rsidRPr="0070658B">
        <w:rPr>
          <w:rStyle w:val="FootnoteReference"/>
        </w:rPr>
        <w:footnoteRef/>
      </w:r>
      <w:r>
        <w:t xml:space="preserve"> </w:t>
      </w:r>
      <w:r>
        <w:tab/>
        <w:t>Там же, пункты [94–95].</w:t>
      </w:r>
    </w:p>
  </w:footnote>
  <w:footnote w:id="18">
    <w:p w:rsidR="00D7771D" w:rsidRPr="00BA7BCF" w:rsidRDefault="00D7771D" w:rsidP="00D7771D">
      <w:pPr>
        <w:pStyle w:val="FootnoteText"/>
      </w:pPr>
      <w:r w:rsidRPr="00FF34CA">
        <w:tab/>
      </w:r>
      <w:r w:rsidRPr="0070658B">
        <w:rPr>
          <w:rStyle w:val="FootnoteReference"/>
        </w:rPr>
        <w:footnoteRef/>
      </w:r>
      <w:r>
        <w:t xml:space="preserve"> </w:t>
      </w:r>
      <w:r>
        <w:tab/>
        <w:t xml:space="preserve">Там же, [пункт 103]. </w:t>
      </w:r>
    </w:p>
  </w:footnote>
  <w:footnote w:id="19">
    <w:p w:rsidR="00D7771D" w:rsidRPr="0001428B" w:rsidRDefault="00D7771D" w:rsidP="00D7771D">
      <w:pPr>
        <w:pStyle w:val="FootnoteText"/>
      </w:pPr>
      <w:r w:rsidRPr="006D7A16">
        <w:tab/>
      </w:r>
      <w:r w:rsidRPr="0070658B">
        <w:rPr>
          <w:rStyle w:val="FootnoteReference"/>
        </w:rPr>
        <w:footnoteRef/>
      </w:r>
      <w:r w:rsidRPr="0001428B">
        <w:tab/>
      </w:r>
      <w:r w:rsidRPr="00BA7BCF">
        <w:rPr>
          <w:lang w:val="en-US"/>
        </w:rPr>
        <w:t>ECE</w:t>
      </w:r>
      <w:r w:rsidRPr="0001428B">
        <w:t>/</w:t>
      </w:r>
      <w:r w:rsidRPr="00BA7BCF">
        <w:rPr>
          <w:lang w:val="en-US"/>
        </w:rPr>
        <w:t>MP</w:t>
      </w:r>
      <w:r w:rsidRPr="0001428B">
        <w:t>.</w:t>
      </w:r>
      <w:r w:rsidRPr="00BA7BCF">
        <w:rPr>
          <w:lang w:val="en-US"/>
        </w:rPr>
        <w:t>EIA</w:t>
      </w:r>
      <w:r w:rsidRPr="0001428B">
        <w:t>/</w:t>
      </w:r>
      <w:r w:rsidRPr="00BA7BCF">
        <w:rPr>
          <w:lang w:val="en-US"/>
        </w:rPr>
        <w:t>IC</w:t>
      </w:r>
      <w:r w:rsidRPr="0001428B">
        <w:t xml:space="preserve">/2017/2, </w:t>
      </w:r>
      <w:r>
        <w:t>пункт</w:t>
      </w:r>
      <w:r w:rsidRPr="0001428B">
        <w:t xml:space="preserve"> 9.</w:t>
      </w:r>
    </w:p>
  </w:footnote>
  <w:footnote w:id="20">
    <w:p w:rsidR="00D7771D" w:rsidRPr="00D7771D" w:rsidRDefault="00D7771D" w:rsidP="00D7771D">
      <w:pPr>
        <w:pStyle w:val="FootnoteText"/>
      </w:pPr>
      <w:r w:rsidRPr="0001428B">
        <w:tab/>
      </w:r>
      <w:r w:rsidRPr="0070658B">
        <w:rPr>
          <w:rStyle w:val="FootnoteReference"/>
        </w:rPr>
        <w:footnoteRef/>
      </w:r>
      <w:r w:rsidRPr="00D7771D">
        <w:tab/>
      </w:r>
      <w:r w:rsidRPr="0051283F">
        <w:rPr>
          <w:lang w:val="en-US"/>
        </w:rPr>
        <w:t>ECE</w:t>
      </w:r>
      <w:r w:rsidRPr="00D7771D">
        <w:t>/</w:t>
      </w:r>
      <w:r w:rsidRPr="0051283F">
        <w:rPr>
          <w:lang w:val="en-US"/>
        </w:rPr>
        <w:t>MP</w:t>
      </w:r>
      <w:r w:rsidRPr="00D7771D">
        <w:t>.</w:t>
      </w:r>
      <w:r w:rsidRPr="0051283F">
        <w:rPr>
          <w:lang w:val="en-US"/>
        </w:rPr>
        <w:t>EIA</w:t>
      </w:r>
      <w:r w:rsidRPr="00D7771D">
        <w:t>/</w:t>
      </w:r>
      <w:r w:rsidRPr="0051283F">
        <w:rPr>
          <w:lang w:val="en-US"/>
        </w:rPr>
        <w:t>IC</w:t>
      </w:r>
      <w:r w:rsidRPr="00D7771D">
        <w:t xml:space="preserve">/2018/4, </w:t>
      </w:r>
      <w:r>
        <w:t>пункт</w:t>
      </w:r>
      <w:r w:rsidRPr="00D7771D">
        <w:t xml:space="preserve"> 34 </w:t>
      </w:r>
      <w:r>
        <w:t>и</w:t>
      </w:r>
      <w:r w:rsidRPr="00D7771D">
        <w:t xml:space="preserve"> </w:t>
      </w:r>
      <w:r>
        <w:t>приложение</w:t>
      </w:r>
      <w:r w:rsidRPr="00D7771D">
        <w:t xml:space="preserve">, </w:t>
      </w:r>
      <w:r>
        <w:t>пункты</w:t>
      </w:r>
      <w:r w:rsidRPr="00D7771D">
        <w:t xml:space="preserve"> 25</w:t>
      </w:r>
      <w:r>
        <w:t>–</w:t>
      </w:r>
      <w:r w:rsidRPr="00D7771D">
        <w:t>26.</w:t>
      </w:r>
    </w:p>
  </w:footnote>
  <w:footnote w:id="21">
    <w:p w:rsidR="00D7771D" w:rsidRPr="0001428B" w:rsidRDefault="00D7771D" w:rsidP="00D7771D">
      <w:pPr>
        <w:pStyle w:val="FootnoteText"/>
        <w:widowControl w:val="0"/>
        <w:tabs>
          <w:tab w:val="clear" w:pos="1021"/>
          <w:tab w:val="right" w:pos="1020"/>
        </w:tabs>
        <w:rPr>
          <w:lang w:val="es-ES"/>
        </w:rPr>
      </w:pPr>
      <w:r w:rsidRPr="00D7771D">
        <w:tab/>
      </w:r>
      <w:r w:rsidRPr="0070658B">
        <w:rPr>
          <w:rStyle w:val="FootnoteReference"/>
        </w:rPr>
        <w:footnoteRef/>
      </w:r>
      <w:r w:rsidRPr="0001428B">
        <w:rPr>
          <w:lang w:val="es-ES"/>
        </w:rPr>
        <w:tab/>
      </w:r>
      <w:r>
        <w:t>См</w:t>
      </w:r>
      <w:r w:rsidRPr="0001428B">
        <w:rPr>
          <w:lang w:val="es-ES"/>
        </w:rPr>
        <w:t xml:space="preserve">. ECE/MP.EIA/20/Add.3-ECE/MP.EIA/SEA/4/Add.3. </w:t>
      </w:r>
    </w:p>
  </w:footnote>
  <w:footnote w:id="22">
    <w:p w:rsidR="00D7771D" w:rsidRPr="00BA7BCF" w:rsidRDefault="00D7771D" w:rsidP="00D7771D">
      <w:pPr>
        <w:pStyle w:val="FootnoteText"/>
        <w:widowControl w:val="0"/>
        <w:tabs>
          <w:tab w:val="clear" w:pos="1021"/>
          <w:tab w:val="right" w:pos="1020"/>
        </w:tabs>
      </w:pPr>
      <w:r w:rsidRPr="0001428B">
        <w:rPr>
          <w:lang w:val="es-ES"/>
        </w:rPr>
        <w:tab/>
      </w:r>
      <w:r w:rsidRPr="0070658B">
        <w:rPr>
          <w:rStyle w:val="FootnoteReference"/>
        </w:rPr>
        <w:footnoteRef/>
      </w:r>
      <w:r>
        <w:tab/>
        <w:t xml:space="preserve">Декларация, пункт А9. </w:t>
      </w:r>
    </w:p>
  </w:footnote>
  <w:footnote w:id="23">
    <w:p w:rsidR="00D7771D" w:rsidRPr="00BA7BCF" w:rsidRDefault="00D7771D" w:rsidP="00D7771D">
      <w:pPr>
        <w:pStyle w:val="FootnoteText"/>
        <w:widowControl w:val="0"/>
        <w:tabs>
          <w:tab w:val="clear" w:pos="1021"/>
          <w:tab w:val="right" w:pos="1020"/>
        </w:tabs>
      </w:pPr>
      <w:r w:rsidRPr="00387323">
        <w:tab/>
      </w:r>
      <w:r w:rsidRPr="0070658B">
        <w:rPr>
          <w:rStyle w:val="FootnoteReference"/>
        </w:rPr>
        <w:footnoteRef/>
      </w:r>
      <w:r>
        <w:tab/>
        <w:t xml:space="preserve">Декларация, пункт А10.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1D" w:rsidRPr="00D7771D" w:rsidRDefault="00AE1D5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D3D44">
      <w:t>ECE/MP.EIA/2019/1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1D" w:rsidRPr="00D7771D" w:rsidRDefault="00AE1D5A" w:rsidP="00D7771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D3D44">
      <w:t>ECE/MP.EIA/2019/1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91"/>
    <w:rsid w:val="0001428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82E"/>
    <w:rsid w:val="00381C24"/>
    <w:rsid w:val="00387CD4"/>
    <w:rsid w:val="003958D0"/>
    <w:rsid w:val="003A0D43"/>
    <w:rsid w:val="003A48CE"/>
    <w:rsid w:val="003B00E5"/>
    <w:rsid w:val="003D3D44"/>
    <w:rsid w:val="003F2310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3E7E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50EB"/>
    <w:rsid w:val="006F35EE"/>
    <w:rsid w:val="007021FF"/>
    <w:rsid w:val="0070658B"/>
    <w:rsid w:val="00712895"/>
    <w:rsid w:val="00734ACB"/>
    <w:rsid w:val="00757357"/>
    <w:rsid w:val="00792497"/>
    <w:rsid w:val="007E19C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1D5A"/>
    <w:rsid w:val="00AF468E"/>
    <w:rsid w:val="00B10CC7"/>
    <w:rsid w:val="00B36DF7"/>
    <w:rsid w:val="00B539E7"/>
    <w:rsid w:val="00B62458"/>
    <w:rsid w:val="00BC18B2"/>
    <w:rsid w:val="00BD33EE"/>
    <w:rsid w:val="00BD6591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7771D"/>
    <w:rsid w:val="00D873A8"/>
    <w:rsid w:val="00D90028"/>
    <w:rsid w:val="00D90138"/>
    <w:rsid w:val="00DD78D1"/>
    <w:rsid w:val="00DE32CD"/>
    <w:rsid w:val="00DF5767"/>
    <w:rsid w:val="00DF71B9"/>
    <w:rsid w:val="00E12C5F"/>
    <w:rsid w:val="00E539FC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0244B69-9326-420A-8744-DC6F42D6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D7771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rsid w:val="00D7771D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D7771D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ece.org/index.php?id=4831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10530</Characters>
  <Application>Microsoft Office Word</Application>
  <DocSecurity>4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ECE/MP.EIA/2019/1</vt:lpstr>
      <vt:lpstr>ECE/MP.EIA/2019/1</vt:lpstr>
      <vt:lpstr>A/</vt:lpstr>
    </vt:vector>
  </TitlesOfParts>
  <Company>DCM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ECE/MP.EIA/2019/1</dc:title>
  <dc:subject/>
  <dc:creator>Tatiana SHARKINA</dc:creator>
  <cp:keywords/>
  <cp:lastModifiedBy>Elisabeth James</cp:lastModifiedBy>
  <cp:revision>2</cp:revision>
  <cp:lastPrinted>2018-11-20T15:31:00Z</cp:lastPrinted>
  <dcterms:created xsi:type="dcterms:W3CDTF">2018-12-19T00:20:00Z</dcterms:created>
  <dcterms:modified xsi:type="dcterms:W3CDTF">2018-12-19T00:20:00Z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