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A02F0E">
            <w:bookmarkStart w:id="0" w:name="_GoBack"/>
            <w:bookmarkEnd w:id="0"/>
          </w:p>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A02F0E" w:rsidP="00A02F0E">
            <w:pPr>
              <w:jc w:val="right"/>
            </w:pPr>
            <w:r w:rsidRPr="00A02F0E">
              <w:rPr>
                <w:sz w:val="40"/>
              </w:rPr>
              <w:t>ECE</w:t>
            </w:r>
            <w:r>
              <w:t>/MP.EIA/2019/11</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A02F0E" w:rsidP="00DF5712">
            <w:pPr>
              <w:spacing w:before="240"/>
            </w:pPr>
            <w:r>
              <w:t>Distr. générale</w:t>
            </w:r>
          </w:p>
          <w:p w:rsidR="00A02F0E" w:rsidRDefault="00A02F0E" w:rsidP="00A02F0E">
            <w:pPr>
              <w:spacing w:line="240" w:lineRule="exact"/>
            </w:pPr>
            <w:r>
              <w:t>13 novembre 2018</w:t>
            </w:r>
          </w:p>
          <w:p w:rsidR="00A02F0E" w:rsidRDefault="00A02F0E" w:rsidP="00A02F0E">
            <w:pPr>
              <w:spacing w:line="240" w:lineRule="exact"/>
            </w:pPr>
            <w:r>
              <w:t>Français</w:t>
            </w:r>
          </w:p>
          <w:p w:rsidR="00A02F0E" w:rsidRPr="00DB58B5" w:rsidRDefault="00A02F0E" w:rsidP="00A02F0E">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w:t>
      </w:r>
      <w:r w:rsidR="004C5FCE">
        <w:rPr>
          <w:b/>
          <w:sz w:val="28"/>
          <w:szCs w:val="28"/>
        </w:rPr>
        <w:t>’</w:t>
      </w:r>
      <w:r w:rsidRPr="000312C0">
        <w:rPr>
          <w:b/>
          <w:sz w:val="28"/>
          <w:szCs w:val="28"/>
        </w:rPr>
        <w:t>Europe</w:t>
      </w:r>
    </w:p>
    <w:p w:rsidR="00A02F0E" w:rsidRPr="00C554CE" w:rsidRDefault="00A02F0E" w:rsidP="00C554CE">
      <w:pPr>
        <w:spacing w:before="120"/>
        <w:rPr>
          <w:sz w:val="28"/>
          <w:szCs w:val="28"/>
          <w:lang w:val="fr-FR"/>
        </w:rPr>
      </w:pPr>
      <w:r w:rsidRPr="00C554CE">
        <w:rPr>
          <w:sz w:val="28"/>
          <w:szCs w:val="28"/>
          <w:lang w:val="fr-FR"/>
        </w:rPr>
        <w:t>Réunion des Parties à la Convention sur</w:t>
      </w:r>
      <w:r w:rsidRPr="00C554CE">
        <w:rPr>
          <w:sz w:val="28"/>
          <w:szCs w:val="28"/>
          <w:lang w:val="fr-FR"/>
        </w:rPr>
        <w:br/>
        <w:t>l</w:t>
      </w:r>
      <w:r w:rsidR="004C5FCE">
        <w:rPr>
          <w:sz w:val="28"/>
          <w:szCs w:val="28"/>
          <w:lang w:val="fr-FR"/>
        </w:rPr>
        <w:t>’</w:t>
      </w:r>
      <w:r w:rsidRPr="00C554CE">
        <w:rPr>
          <w:sz w:val="28"/>
          <w:szCs w:val="28"/>
          <w:lang w:val="fr-FR"/>
        </w:rPr>
        <w:t>évaluation de l</w:t>
      </w:r>
      <w:r w:rsidR="004C5FCE">
        <w:rPr>
          <w:sz w:val="28"/>
          <w:szCs w:val="28"/>
          <w:lang w:val="fr-FR"/>
        </w:rPr>
        <w:t>’</w:t>
      </w:r>
      <w:r w:rsidRPr="00C554CE">
        <w:rPr>
          <w:sz w:val="28"/>
          <w:szCs w:val="28"/>
          <w:lang w:val="fr-FR"/>
        </w:rPr>
        <w:t>impact sur l</w:t>
      </w:r>
      <w:r w:rsidR="004C5FCE">
        <w:rPr>
          <w:sz w:val="28"/>
          <w:szCs w:val="28"/>
          <w:lang w:val="fr-FR"/>
        </w:rPr>
        <w:t>’</w:t>
      </w:r>
      <w:r w:rsidRPr="00C554CE">
        <w:rPr>
          <w:sz w:val="28"/>
          <w:szCs w:val="28"/>
          <w:lang w:val="fr-FR"/>
        </w:rPr>
        <w:t>environnement</w:t>
      </w:r>
      <w:r w:rsidRPr="00C554CE">
        <w:rPr>
          <w:sz w:val="28"/>
          <w:szCs w:val="28"/>
          <w:lang w:val="fr-FR"/>
        </w:rPr>
        <w:br/>
        <w:t>dans un contexte transfrontière</w:t>
      </w:r>
    </w:p>
    <w:p w:rsidR="00A02F0E" w:rsidRPr="005B76A3" w:rsidRDefault="00A02F0E" w:rsidP="00C554CE">
      <w:pPr>
        <w:spacing w:before="120"/>
        <w:rPr>
          <w:b/>
        </w:rPr>
      </w:pPr>
      <w:r>
        <w:rPr>
          <w:b/>
        </w:rPr>
        <w:t>Session extraordinaire</w:t>
      </w:r>
    </w:p>
    <w:p w:rsidR="00A02F0E" w:rsidRDefault="00A02F0E" w:rsidP="00C554CE">
      <w:r>
        <w:t xml:space="preserve">Genève, </w:t>
      </w:r>
      <w:r w:rsidR="009C2F48">
        <w:rPr>
          <w:rFonts w:eastAsia="Times New Roman"/>
          <w:lang w:val="fr-FR"/>
        </w:rPr>
        <w:t>5-7 </w:t>
      </w:r>
      <w:r w:rsidRPr="00C10135">
        <w:rPr>
          <w:rFonts w:eastAsia="Times New Roman"/>
          <w:lang w:val="fr-FR"/>
        </w:rPr>
        <w:t>février 2019</w:t>
      </w:r>
    </w:p>
    <w:p w:rsidR="00A02F0E" w:rsidRDefault="00A02F0E" w:rsidP="00C554CE">
      <w:r>
        <w:t>Point 3 a) et 8 de l</w:t>
      </w:r>
      <w:r w:rsidR="004C5FCE">
        <w:t>’</w:t>
      </w:r>
      <w:r>
        <w:t>ordre du jour provisoire</w:t>
      </w:r>
    </w:p>
    <w:p w:rsidR="00E96BD6" w:rsidRPr="009C2F48" w:rsidRDefault="00A02F0E" w:rsidP="007A5FC4">
      <w:pPr>
        <w:rPr>
          <w:b/>
        </w:rPr>
      </w:pPr>
      <w:r w:rsidRPr="009C2F48">
        <w:rPr>
          <w:b/>
        </w:rPr>
        <w:t>Questions en suspens : projets de décision</w:t>
      </w:r>
    </w:p>
    <w:p w:rsidR="00A02F0E" w:rsidRPr="00C10135" w:rsidRDefault="00A02F0E" w:rsidP="00A02F0E">
      <w:pPr>
        <w:kinsoku/>
        <w:overflowPunct/>
        <w:autoSpaceDE/>
        <w:autoSpaceDN/>
        <w:adjustRightInd/>
        <w:snapToGrid/>
        <w:rPr>
          <w:rFonts w:eastAsia="Times New Roman"/>
          <w:b/>
          <w:bCs/>
          <w:lang w:val="fr-FR"/>
        </w:rPr>
      </w:pPr>
      <w:r w:rsidRPr="00C10135">
        <w:rPr>
          <w:rFonts w:eastAsia="Times New Roman"/>
          <w:b/>
          <w:lang w:val="fr-FR"/>
        </w:rPr>
        <w:t>Adoption des décisions de la Réunion des Parties à la Convention</w:t>
      </w:r>
    </w:p>
    <w:p w:rsidR="00A02F0E" w:rsidRPr="00C10135" w:rsidRDefault="00A02F0E" w:rsidP="009C2F48">
      <w:pPr>
        <w:pStyle w:val="HChG"/>
        <w:rPr>
          <w:lang w:val="fr-FR"/>
        </w:rPr>
      </w:pPr>
      <w:r w:rsidRPr="00C10135">
        <w:rPr>
          <w:lang w:val="fr-FR"/>
        </w:rPr>
        <w:tab/>
      </w:r>
      <w:r w:rsidRPr="00C10135">
        <w:rPr>
          <w:lang w:val="fr-FR"/>
        </w:rPr>
        <w:tab/>
        <w:t>Projet de décision IS/2 concernant l</w:t>
      </w:r>
      <w:r w:rsidR="004C5FCE">
        <w:rPr>
          <w:lang w:val="fr-FR"/>
        </w:rPr>
        <w:t>’</w:t>
      </w:r>
      <w:r w:rsidRPr="00C10135">
        <w:rPr>
          <w:lang w:val="fr-FR"/>
        </w:rPr>
        <w:t xml:space="preserve">application </w:t>
      </w:r>
      <w:r w:rsidR="009C2F48">
        <w:rPr>
          <w:lang w:val="fr-FR"/>
        </w:rPr>
        <w:br/>
      </w:r>
      <w:r w:rsidRPr="00C10135">
        <w:rPr>
          <w:lang w:val="fr-FR"/>
        </w:rPr>
        <w:t>de la Convention s</w:t>
      </w:r>
      <w:r w:rsidR="004C5FCE">
        <w:rPr>
          <w:lang w:val="fr-FR"/>
        </w:rPr>
        <w:t>’</w:t>
      </w:r>
      <w:r w:rsidRPr="00C10135">
        <w:rPr>
          <w:lang w:val="fr-FR"/>
        </w:rPr>
        <w:t xml:space="preserve">agissant de la prolongation </w:t>
      </w:r>
      <w:r w:rsidR="009C2F48">
        <w:rPr>
          <w:lang w:val="fr-FR"/>
        </w:rPr>
        <w:br/>
      </w:r>
      <w:r w:rsidRPr="00C10135">
        <w:rPr>
          <w:lang w:val="fr-FR"/>
        </w:rPr>
        <w:t xml:space="preserve">de la durée de vie des centrales nucléaires </w:t>
      </w:r>
      <w:bookmarkStart w:id="1" w:name="_Hlk507429105"/>
      <w:bookmarkEnd w:id="1"/>
    </w:p>
    <w:p w:rsidR="00A02F0E" w:rsidRDefault="00A02F0E" w:rsidP="009C2F48">
      <w:pPr>
        <w:pStyle w:val="H1G"/>
        <w:rPr>
          <w:lang w:val="fr-FR"/>
        </w:rPr>
      </w:pPr>
      <w:r w:rsidRPr="00C10135">
        <w:rPr>
          <w:lang w:val="fr-FR"/>
        </w:rPr>
        <w:tab/>
      </w:r>
      <w:r w:rsidRPr="00C10135">
        <w:rPr>
          <w:lang w:val="fr-FR"/>
        </w:rPr>
        <w:tab/>
        <w:t>Proposition du Bureau</w:t>
      </w:r>
      <w:bookmarkStart w:id="2" w:name="_Hlk507427188"/>
      <w:bookmarkEnd w:id="2"/>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C2F48">
        <w:trPr>
          <w:jc w:val="center"/>
        </w:trPr>
        <w:tc>
          <w:tcPr>
            <w:tcW w:w="9637" w:type="dxa"/>
            <w:shd w:val="clear" w:color="auto" w:fill="auto"/>
          </w:tcPr>
          <w:p w:rsidR="009C2F48" w:rsidRDefault="009C2F48">
            <w:pPr>
              <w:spacing w:before="240" w:after="120"/>
              <w:ind w:left="255"/>
              <w:rPr>
                <w:i/>
                <w:sz w:val="24"/>
              </w:rPr>
            </w:pPr>
            <w:r>
              <w:rPr>
                <w:i/>
                <w:sz w:val="24"/>
              </w:rPr>
              <w:t>Résumé</w:t>
            </w:r>
          </w:p>
        </w:tc>
      </w:tr>
      <w:tr w:rsidR="009C2F48">
        <w:trPr>
          <w:jc w:val="center"/>
        </w:trPr>
        <w:tc>
          <w:tcPr>
            <w:tcW w:w="9637" w:type="dxa"/>
            <w:shd w:val="clear" w:color="auto" w:fill="auto"/>
          </w:tcPr>
          <w:p w:rsidR="009C2F48" w:rsidRDefault="009C2F48" w:rsidP="004C5FCE">
            <w:pPr>
              <w:pStyle w:val="SingleTxtG"/>
              <w:ind w:firstLine="567"/>
            </w:pPr>
            <w:r w:rsidRPr="00C10135">
              <w:rPr>
                <w:rFonts w:eastAsia="Times New Roman"/>
                <w:lang w:val="fr-FR"/>
              </w:rPr>
              <w:t>Conformément à son mandat, le Groupe de travail de l</w:t>
            </w:r>
            <w:r w:rsidR="004C5FCE">
              <w:rPr>
                <w:rFonts w:eastAsia="Times New Roman"/>
                <w:lang w:val="fr-FR"/>
              </w:rPr>
              <w:t>’</w:t>
            </w:r>
            <w:r w:rsidRPr="00C10135">
              <w:rPr>
                <w:rFonts w:eastAsia="Times New Roman"/>
                <w:lang w:val="fr-FR"/>
              </w:rPr>
              <w:t>évaluation de l</w:t>
            </w:r>
            <w:r w:rsidR="004C5FCE">
              <w:rPr>
                <w:rFonts w:eastAsia="Times New Roman"/>
                <w:lang w:val="fr-FR"/>
              </w:rPr>
              <w:t>’</w:t>
            </w:r>
            <w:r w:rsidRPr="00C10135">
              <w:rPr>
                <w:rFonts w:eastAsia="Times New Roman"/>
                <w:lang w:val="fr-FR"/>
              </w:rPr>
              <w:t>impact sur l</w:t>
            </w:r>
            <w:r w:rsidR="004C5FCE">
              <w:rPr>
                <w:rFonts w:eastAsia="Times New Roman"/>
                <w:lang w:val="fr-FR"/>
              </w:rPr>
              <w:t>’</w:t>
            </w:r>
            <w:r w:rsidRPr="00C10135">
              <w:rPr>
                <w:rFonts w:eastAsia="Times New Roman"/>
                <w:lang w:val="fr-FR"/>
              </w:rPr>
              <w:t>environnement et de l</w:t>
            </w:r>
            <w:r w:rsidR="004C5FCE">
              <w:rPr>
                <w:rFonts w:eastAsia="Times New Roman"/>
                <w:lang w:val="fr-FR"/>
              </w:rPr>
              <w:t>’</w:t>
            </w:r>
            <w:r w:rsidRPr="00C10135">
              <w:rPr>
                <w:rFonts w:eastAsia="Times New Roman"/>
                <w:lang w:val="fr-FR"/>
              </w:rPr>
              <w:t>évaluation stratégique environnementale, créé au titre de la Convention sur l</w:t>
            </w:r>
            <w:r w:rsidR="004C5FCE">
              <w:rPr>
                <w:rFonts w:eastAsia="Times New Roman"/>
                <w:lang w:val="fr-FR"/>
              </w:rPr>
              <w:t>’</w:t>
            </w:r>
            <w:r w:rsidRPr="00C10135">
              <w:rPr>
                <w:rFonts w:eastAsia="Times New Roman"/>
                <w:lang w:val="fr-FR"/>
              </w:rPr>
              <w:t>évaluation de l</w:t>
            </w:r>
            <w:r w:rsidR="004C5FCE">
              <w:rPr>
                <w:rFonts w:eastAsia="Times New Roman"/>
                <w:lang w:val="fr-FR"/>
              </w:rPr>
              <w:t>’</w:t>
            </w:r>
            <w:r w:rsidRPr="00C10135">
              <w:rPr>
                <w:rFonts w:eastAsia="Times New Roman"/>
                <w:lang w:val="fr-FR"/>
              </w:rPr>
              <w:t>impact sur l</w:t>
            </w:r>
            <w:r w:rsidR="004C5FCE">
              <w:rPr>
                <w:rFonts w:eastAsia="Times New Roman"/>
                <w:lang w:val="fr-FR"/>
              </w:rPr>
              <w:t>’</w:t>
            </w:r>
            <w:r w:rsidRPr="00C10135">
              <w:rPr>
                <w:rFonts w:eastAsia="Times New Roman"/>
                <w:lang w:val="fr-FR"/>
              </w:rPr>
              <w:t>environnement dans un contexte transfrontière et de son Protocole relatif à l</w:t>
            </w:r>
            <w:r w:rsidR="004C5FCE">
              <w:rPr>
                <w:rFonts w:eastAsia="Times New Roman"/>
                <w:lang w:val="fr-FR"/>
              </w:rPr>
              <w:t>’</w:t>
            </w:r>
            <w:r w:rsidRPr="00C10135">
              <w:rPr>
                <w:rFonts w:eastAsia="Times New Roman"/>
                <w:lang w:val="fr-FR"/>
              </w:rPr>
              <w:t>évaluation stratégique environnementale, est chargé de faire des recommandations aux organes directeurs de la Convention et du Protocole concernant les travaux ultérieurs à réaliser pour assurer l</w:t>
            </w:r>
            <w:r w:rsidR="004C5FCE">
              <w:rPr>
                <w:rFonts w:eastAsia="Times New Roman"/>
                <w:lang w:val="fr-FR"/>
              </w:rPr>
              <w:t>’</w:t>
            </w:r>
            <w:r w:rsidRPr="00C10135">
              <w:rPr>
                <w:rFonts w:eastAsia="Times New Roman"/>
                <w:lang w:val="fr-FR"/>
              </w:rPr>
              <w:t>application effective de ces deux instruments (ECE/MP.EIA/SEA/2, décision 1/5-V/5, par.</w:t>
            </w:r>
            <w:r w:rsidR="004C5FCE">
              <w:rPr>
                <w:rFonts w:eastAsia="Times New Roman"/>
                <w:lang w:val="fr-FR"/>
              </w:rPr>
              <w:t> </w:t>
            </w:r>
            <w:r w:rsidRPr="00C10135">
              <w:rPr>
                <w:rFonts w:eastAsia="Times New Roman"/>
                <w:lang w:val="fr-FR"/>
              </w:rPr>
              <w:t>4). Les projets de décision figurant dans le présent document ont été élaborés par le Bureau de la Réunion des Parties à la Convention, avec le concours du secrétariat de la Convention, comme l</w:t>
            </w:r>
            <w:r w:rsidR="004C5FCE">
              <w:rPr>
                <w:rFonts w:eastAsia="Times New Roman"/>
                <w:lang w:val="fr-FR"/>
              </w:rPr>
              <w:t>’</w:t>
            </w:r>
            <w:r w:rsidRPr="00C10135">
              <w:rPr>
                <w:rFonts w:eastAsia="Times New Roman"/>
                <w:lang w:val="fr-FR"/>
              </w:rPr>
              <w:t>avait demandé le Groupe de travail à sa septième réunion (Genève, 28-30</w:t>
            </w:r>
            <w:r w:rsidR="004C5FCE">
              <w:rPr>
                <w:rFonts w:eastAsia="Times New Roman"/>
                <w:lang w:val="fr-FR"/>
              </w:rPr>
              <w:t> </w:t>
            </w:r>
            <w:r w:rsidRPr="00C10135">
              <w:rPr>
                <w:rFonts w:eastAsia="Times New Roman"/>
                <w:lang w:val="fr-FR"/>
              </w:rPr>
              <w:t>mai 2017). Le Groupe de travail a également invité le secrétariat à intégrer au projet de décision les conclusions de l</w:t>
            </w:r>
            <w:r w:rsidR="004C5FCE">
              <w:rPr>
                <w:rFonts w:eastAsia="Times New Roman"/>
                <w:lang w:val="fr-FR"/>
              </w:rPr>
              <w:t>’</w:t>
            </w:r>
            <w:r w:rsidRPr="00C10135">
              <w:rPr>
                <w:rFonts w:eastAsia="Times New Roman"/>
                <w:lang w:val="fr-FR"/>
              </w:rPr>
              <w:t>atelier sur l</w:t>
            </w:r>
            <w:r w:rsidR="004C5FCE">
              <w:rPr>
                <w:rFonts w:eastAsia="Times New Roman"/>
                <w:lang w:val="fr-FR"/>
              </w:rPr>
              <w:t>’</w:t>
            </w:r>
            <w:r w:rsidRPr="00C10135">
              <w:rPr>
                <w:rFonts w:eastAsia="Times New Roman"/>
                <w:lang w:val="fr-FR"/>
              </w:rPr>
              <w:t>application de la Convention s</w:t>
            </w:r>
            <w:r w:rsidR="004C5FCE">
              <w:rPr>
                <w:rFonts w:eastAsia="Times New Roman"/>
                <w:lang w:val="fr-FR"/>
              </w:rPr>
              <w:t>’</w:t>
            </w:r>
            <w:r w:rsidRPr="00C10135">
              <w:rPr>
                <w:rFonts w:eastAsia="Times New Roman"/>
                <w:lang w:val="fr-FR"/>
              </w:rPr>
              <w:t>agissant de la prolongation de la durée de vie des centrales nucléaire</w:t>
            </w:r>
            <w:r w:rsidR="004667BB">
              <w:rPr>
                <w:rFonts w:eastAsia="Times New Roman"/>
                <w:lang w:val="fr-FR"/>
              </w:rPr>
              <w:t>s (ECE/MP.EIA/WG.2/2018/2, par. </w:t>
            </w:r>
            <w:r w:rsidRPr="00C10135">
              <w:rPr>
                <w:rFonts w:eastAsia="Times New Roman"/>
                <w:lang w:val="fr-FR"/>
              </w:rPr>
              <w:t>26 et 29).</w:t>
            </w:r>
          </w:p>
        </w:tc>
      </w:tr>
      <w:tr w:rsidR="009C2F48">
        <w:trPr>
          <w:jc w:val="center"/>
        </w:trPr>
        <w:tc>
          <w:tcPr>
            <w:tcW w:w="9637" w:type="dxa"/>
            <w:shd w:val="clear" w:color="auto" w:fill="auto"/>
          </w:tcPr>
          <w:p w:rsidR="009C2F48" w:rsidRDefault="009C2F48" w:rsidP="009C2F48">
            <w:pPr>
              <w:pStyle w:val="SingleTxtG"/>
              <w:ind w:firstLine="567"/>
            </w:pPr>
            <w:r w:rsidRPr="00C10135">
              <w:rPr>
                <w:rFonts w:eastAsia="Times New Roman"/>
                <w:lang w:val="fr-FR"/>
              </w:rPr>
              <w:t>La Réunion des Parties est appelée à examiner le texte du projet de décision qui figure dans le présent document et à s</w:t>
            </w:r>
            <w:r w:rsidR="004C5FCE">
              <w:rPr>
                <w:rFonts w:eastAsia="Times New Roman"/>
                <w:lang w:val="fr-FR"/>
              </w:rPr>
              <w:t>’</w:t>
            </w:r>
            <w:r w:rsidRPr="00C10135">
              <w:rPr>
                <w:rFonts w:eastAsia="Times New Roman"/>
                <w:lang w:val="fr-FR"/>
              </w:rPr>
              <w:t>entendre sur son adoption.</w:t>
            </w:r>
          </w:p>
        </w:tc>
      </w:tr>
      <w:tr w:rsidR="009C2F48">
        <w:trPr>
          <w:jc w:val="center"/>
        </w:trPr>
        <w:tc>
          <w:tcPr>
            <w:tcW w:w="9637" w:type="dxa"/>
            <w:shd w:val="clear" w:color="auto" w:fill="auto"/>
          </w:tcPr>
          <w:p w:rsidR="009C2F48" w:rsidRDefault="009C2F48"/>
        </w:tc>
      </w:tr>
    </w:tbl>
    <w:p w:rsidR="00A02F0E" w:rsidRPr="00C10135" w:rsidRDefault="009C2F48" w:rsidP="009C2F48">
      <w:pPr>
        <w:kinsoku/>
        <w:overflowPunct/>
        <w:autoSpaceDE/>
        <w:autoSpaceDN/>
        <w:adjustRightInd/>
        <w:snapToGrid/>
        <w:spacing w:after="120"/>
        <w:ind w:left="1134" w:right="1134" w:firstLine="567"/>
        <w:jc w:val="both"/>
        <w:rPr>
          <w:rFonts w:eastAsia="Times New Roman"/>
          <w:lang w:val="fr-FR"/>
        </w:rPr>
      </w:pPr>
      <w:r>
        <w:rPr>
          <w:rFonts w:eastAsia="Times New Roman"/>
          <w:lang w:val="fr-FR"/>
        </w:rPr>
        <w:br w:type="page"/>
      </w:r>
      <w:r w:rsidR="00A02F0E" w:rsidRPr="00C10135">
        <w:rPr>
          <w:rFonts w:eastAsia="Times New Roman"/>
          <w:i/>
          <w:iCs/>
          <w:lang w:val="fr-FR"/>
        </w:rPr>
        <w:lastRenderedPageBreak/>
        <w:t>La Réunion des Parties à la Convention</w:t>
      </w:r>
      <w:r w:rsidR="00A02F0E" w:rsidRPr="00C10135">
        <w:rPr>
          <w:rFonts w:eastAsia="Times New Roman"/>
          <w:lang w:val="fr-FR"/>
        </w:rPr>
        <w:t>,</w:t>
      </w:r>
    </w:p>
    <w:p w:rsidR="00A02F0E" w:rsidRPr="00C10135" w:rsidRDefault="00A02F0E" w:rsidP="009C2F48">
      <w:pPr>
        <w:kinsoku/>
        <w:overflowPunct/>
        <w:autoSpaceDE/>
        <w:autoSpaceDN/>
        <w:adjustRightInd/>
        <w:snapToGrid/>
        <w:spacing w:after="120"/>
        <w:ind w:left="1134" w:right="1134" w:firstLine="567"/>
        <w:jc w:val="both"/>
        <w:rPr>
          <w:rFonts w:eastAsia="Times New Roman"/>
          <w:lang w:val="fr-FR"/>
        </w:rPr>
      </w:pPr>
      <w:r w:rsidRPr="00C10135">
        <w:rPr>
          <w:rFonts w:eastAsia="Times New Roman"/>
          <w:i/>
          <w:iCs/>
          <w:lang w:val="fr-FR"/>
        </w:rPr>
        <w:t xml:space="preserve">Rappelant </w:t>
      </w:r>
      <w:r w:rsidRPr="00C10135">
        <w:rPr>
          <w:rFonts w:eastAsia="Times New Roman"/>
          <w:lang w:val="fr-FR"/>
        </w:rPr>
        <w:t>sa décision VII/3-III/3 sur l</w:t>
      </w:r>
      <w:r w:rsidR="004C5FCE">
        <w:rPr>
          <w:rFonts w:eastAsia="Times New Roman"/>
          <w:lang w:val="fr-FR"/>
        </w:rPr>
        <w:t>’</w:t>
      </w:r>
      <w:r w:rsidRPr="00C10135">
        <w:rPr>
          <w:rFonts w:eastAsia="Times New Roman"/>
          <w:lang w:val="fr-FR"/>
        </w:rPr>
        <w:t>adoption du plan de travail pour l</w:t>
      </w:r>
      <w:r w:rsidR="004C5FCE">
        <w:rPr>
          <w:rFonts w:eastAsia="Times New Roman"/>
          <w:lang w:val="fr-FR"/>
        </w:rPr>
        <w:t>’</w:t>
      </w:r>
      <w:r w:rsidRPr="00C10135">
        <w:rPr>
          <w:rFonts w:eastAsia="Times New Roman"/>
          <w:lang w:val="fr-FR"/>
        </w:rPr>
        <w:t>application de la Convention sur l</w:t>
      </w:r>
      <w:r w:rsidR="004C5FCE">
        <w:rPr>
          <w:rFonts w:eastAsia="Times New Roman"/>
          <w:lang w:val="fr-FR"/>
        </w:rPr>
        <w:t>’</w:t>
      </w:r>
      <w:r w:rsidRPr="00C10135">
        <w:rPr>
          <w:rFonts w:eastAsia="Times New Roman"/>
          <w:lang w:val="fr-FR"/>
        </w:rPr>
        <w:t>évaluation de l</w:t>
      </w:r>
      <w:r w:rsidR="004C5FCE">
        <w:rPr>
          <w:rFonts w:eastAsia="Times New Roman"/>
          <w:lang w:val="fr-FR"/>
        </w:rPr>
        <w:t>’</w:t>
      </w:r>
      <w:r w:rsidRPr="00C10135">
        <w:rPr>
          <w:rFonts w:eastAsia="Times New Roman"/>
          <w:lang w:val="fr-FR"/>
        </w:rPr>
        <w:t>impact sur l</w:t>
      </w:r>
      <w:r w:rsidR="004C5FCE">
        <w:rPr>
          <w:rFonts w:eastAsia="Times New Roman"/>
          <w:lang w:val="fr-FR"/>
        </w:rPr>
        <w:t>’</w:t>
      </w:r>
      <w:r w:rsidRPr="00C10135">
        <w:rPr>
          <w:rFonts w:eastAsia="Times New Roman"/>
          <w:lang w:val="fr-FR"/>
        </w:rPr>
        <w:t>environnement dans un contexte transfrontière et de son Protocole relatif à l</w:t>
      </w:r>
      <w:r w:rsidR="004C5FCE">
        <w:rPr>
          <w:rFonts w:eastAsia="Times New Roman"/>
          <w:lang w:val="fr-FR"/>
        </w:rPr>
        <w:t>’</w:t>
      </w:r>
      <w:r w:rsidRPr="00C10135">
        <w:rPr>
          <w:rFonts w:eastAsia="Times New Roman"/>
          <w:lang w:val="fr-FR"/>
        </w:rPr>
        <w:t>évaluation stratégique environnementale pour la période 2017-2020, et ses décisions VI/7 et VII/6 sur l</w:t>
      </w:r>
      <w:r w:rsidR="004C5FCE">
        <w:rPr>
          <w:rFonts w:eastAsia="Times New Roman"/>
          <w:lang w:val="fr-FR"/>
        </w:rPr>
        <w:t>’</w:t>
      </w:r>
      <w:r w:rsidRPr="00C10135">
        <w:rPr>
          <w:rFonts w:eastAsia="Times New Roman"/>
          <w:lang w:val="fr-FR"/>
        </w:rPr>
        <w:t>application de la Convention aux activités liées à l</w:t>
      </w:r>
      <w:r w:rsidR="004C5FCE">
        <w:rPr>
          <w:rFonts w:eastAsia="Times New Roman"/>
          <w:lang w:val="fr-FR"/>
        </w:rPr>
        <w:t>’</w:t>
      </w:r>
      <w:r w:rsidRPr="00C10135">
        <w:rPr>
          <w:rFonts w:eastAsia="Times New Roman"/>
          <w:lang w:val="fr-FR"/>
        </w:rPr>
        <w:t xml:space="preserve">énergie nucléaire, </w:t>
      </w:r>
    </w:p>
    <w:p w:rsidR="00A02F0E" w:rsidRPr="00C10135" w:rsidRDefault="00A02F0E" w:rsidP="009C2F48">
      <w:pPr>
        <w:kinsoku/>
        <w:overflowPunct/>
        <w:autoSpaceDE/>
        <w:autoSpaceDN/>
        <w:adjustRightInd/>
        <w:snapToGrid/>
        <w:spacing w:after="120"/>
        <w:ind w:left="1134" w:right="1134" w:firstLine="567"/>
        <w:jc w:val="both"/>
        <w:rPr>
          <w:rFonts w:eastAsia="Times New Roman"/>
          <w:lang w:val="fr-FR"/>
        </w:rPr>
      </w:pPr>
      <w:r w:rsidRPr="00C10135">
        <w:rPr>
          <w:rFonts w:eastAsia="Times New Roman"/>
          <w:i/>
          <w:iCs/>
          <w:lang w:val="fr-FR"/>
        </w:rPr>
        <w:t>Rappelant également</w:t>
      </w:r>
      <w:r w:rsidRPr="00C10135">
        <w:rPr>
          <w:rFonts w:eastAsia="Times New Roman"/>
          <w:lang w:val="fr-FR"/>
        </w:rPr>
        <w:t xml:space="preserve"> les paragraphes 68 à 71 de sa décision VI/2 concernant le respect par l</w:t>
      </w:r>
      <w:r w:rsidR="004C5FCE">
        <w:rPr>
          <w:rFonts w:eastAsia="Times New Roman"/>
          <w:lang w:val="fr-FR"/>
        </w:rPr>
        <w:t>’</w:t>
      </w:r>
      <w:r w:rsidRPr="00C10135">
        <w:rPr>
          <w:rFonts w:eastAsia="Times New Roman"/>
          <w:lang w:val="fr-FR"/>
        </w:rPr>
        <w:t>Ukraine de ses obligations découlant de la Convention en ce qui concerne la prolongation de la durée de vie des réacteurs 1 et 2 de la centrale nucléaire de Rivne,</w:t>
      </w:r>
    </w:p>
    <w:p w:rsidR="00A02F0E" w:rsidRPr="00C10135" w:rsidRDefault="00A02F0E" w:rsidP="00A02F0E">
      <w:pPr>
        <w:kinsoku/>
        <w:overflowPunct/>
        <w:autoSpaceDE/>
        <w:autoSpaceDN/>
        <w:adjustRightInd/>
        <w:snapToGrid/>
        <w:spacing w:after="120"/>
        <w:ind w:left="1134" w:right="1134" w:firstLine="560"/>
        <w:jc w:val="both"/>
        <w:rPr>
          <w:rFonts w:eastAsia="Times New Roman"/>
          <w:lang w:val="fr-FR"/>
        </w:rPr>
      </w:pPr>
      <w:r w:rsidRPr="00C10135">
        <w:rPr>
          <w:rFonts w:eastAsia="Times New Roman"/>
          <w:lang w:val="fr-FR"/>
        </w:rPr>
        <w:tab/>
      </w:r>
      <w:r w:rsidRPr="00C10135">
        <w:rPr>
          <w:rFonts w:eastAsia="Times New Roman"/>
          <w:i/>
          <w:iCs/>
          <w:lang w:val="fr-FR"/>
        </w:rPr>
        <w:t>Ayant examiné</w:t>
      </w:r>
      <w:r w:rsidRPr="00C10135">
        <w:rPr>
          <w:rFonts w:eastAsia="Times New Roman"/>
          <w:lang w:val="fr-FR"/>
        </w:rPr>
        <w:t xml:space="preserve"> le cadre de référence relatif aux lignes directrices sur l</w:t>
      </w:r>
      <w:r w:rsidR="004C5FCE">
        <w:rPr>
          <w:rFonts w:eastAsia="Times New Roman"/>
          <w:lang w:val="fr-FR"/>
        </w:rPr>
        <w:t>’</w:t>
      </w:r>
      <w:r w:rsidRPr="00C10135">
        <w:rPr>
          <w:rFonts w:eastAsia="Times New Roman"/>
          <w:lang w:val="fr-FR"/>
        </w:rPr>
        <w:t>applicabilité de la Convention s</w:t>
      </w:r>
      <w:r w:rsidR="004C5FCE">
        <w:rPr>
          <w:rFonts w:eastAsia="Times New Roman"/>
          <w:lang w:val="fr-FR"/>
        </w:rPr>
        <w:t>’</w:t>
      </w:r>
      <w:r w:rsidRPr="00C10135">
        <w:rPr>
          <w:rFonts w:eastAsia="Times New Roman"/>
          <w:lang w:val="fr-FR"/>
        </w:rPr>
        <w:t>agissant des décisions sur la prolongation de la durée de vie des centrales nucléaires, élaboré par un groupe de travail spécial</w:t>
      </w:r>
      <w:r w:rsidRPr="004C5FCE">
        <w:rPr>
          <w:rStyle w:val="FootnoteReference"/>
        </w:rPr>
        <w:footnoteReference w:id="2"/>
      </w:r>
      <w:r w:rsidRPr="00C10135">
        <w:rPr>
          <w:rFonts w:eastAsia="Times New Roman"/>
          <w:lang w:val="fr-FR"/>
        </w:rPr>
        <w:t xml:space="preserve"> coprésidé par l</w:t>
      </w:r>
      <w:r w:rsidR="004C5FCE">
        <w:rPr>
          <w:rFonts w:eastAsia="Times New Roman"/>
          <w:lang w:val="fr-FR"/>
        </w:rPr>
        <w:t>’</w:t>
      </w:r>
      <w:r w:rsidRPr="00C10135">
        <w:rPr>
          <w:rFonts w:eastAsia="Times New Roman"/>
          <w:lang w:val="fr-FR"/>
        </w:rPr>
        <w:t>Allemagne et le Royaume-Uni de Grande-Bretagne et d</w:t>
      </w:r>
      <w:r w:rsidR="004C5FCE">
        <w:rPr>
          <w:rFonts w:eastAsia="Times New Roman"/>
          <w:lang w:val="fr-FR"/>
        </w:rPr>
        <w:t>’</w:t>
      </w:r>
      <w:r w:rsidRPr="00C10135">
        <w:rPr>
          <w:rFonts w:eastAsia="Times New Roman"/>
          <w:lang w:val="fr-FR"/>
        </w:rPr>
        <w:t>Irlande du Nord, avec l</w:t>
      </w:r>
      <w:r w:rsidR="004C5FCE">
        <w:rPr>
          <w:rFonts w:eastAsia="Times New Roman"/>
          <w:lang w:val="fr-FR"/>
        </w:rPr>
        <w:t>’</w:t>
      </w:r>
      <w:r w:rsidRPr="00C10135">
        <w:rPr>
          <w:rFonts w:eastAsia="Times New Roman"/>
          <w:lang w:val="fr-FR"/>
        </w:rPr>
        <w:t>appui du secrétariat et de la Commission européenne, tel qu</w:t>
      </w:r>
      <w:r w:rsidR="004C5FCE">
        <w:rPr>
          <w:rFonts w:eastAsia="Times New Roman"/>
          <w:lang w:val="fr-FR"/>
        </w:rPr>
        <w:t>’</w:t>
      </w:r>
      <w:r w:rsidRPr="00C10135">
        <w:rPr>
          <w:rFonts w:eastAsia="Times New Roman"/>
          <w:lang w:val="fr-FR"/>
        </w:rPr>
        <w:t>adopté par le Groupe de travail de l</w:t>
      </w:r>
      <w:r w:rsidR="004C5FCE">
        <w:rPr>
          <w:rFonts w:eastAsia="Times New Roman"/>
          <w:lang w:val="fr-FR"/>
        </w:rPr>
        <w:t>’</w:t>
      </w:r>
      <w:r w:rsidRPr="00C10135">
        <w:rPr>
          <w:rFonts w:eastAsia="Times New Roman"/>
          <w:lang w:val="fr-FR"/>
        </w:rPr>
        <w:t>évaluation de l</w:t>
      </w:r>
      <w:r w:rsidR="004C5FCE">
        <w:rPr>
          <w:rFonts w:eastAsia="Times New Roman"/>
          <w:lang w:val="fr-FR"/>
        </w:rPr>
        <w:t>’</w:t>
      </w:r>
      <w:r w:rsidRPr="00C10135">
        <w:rPr>
          <w:rFonts w:eastAsia="Times New Roman"/>
          <w:lang w:val="fr-FR"/>
        </w:rPr>
        <w:t>impact sur l</w:t>
      </w:r>
      <w:r w:rsidR="004C5FCE">
        <w:rPr>
          <w:rFonts w:eastAsia="Times New Roman"/>
          <w:lang w:val="fr-FR"/>
        </w:rPr>
        <w:t>’</w:t>
      </w:r>
      <w:r w:rsidRPr="00C10135">
        <w:rPr>
          <w:rFonts w:eastAsia="Times New Roman"/>
          <w:lang w:val="fr-FR"/>
        </w:rPr>
        <w:t>environnement et de l</w:t>
      </w:r>
      <w:r w:rsidR="004C5FCE">
        <w:rPr>
          <w:rFonts w:eastAsia="Times New Roman"/>
          <w:lang w:val="fr-FR"/>
        </w:rPr>
        <w:t>’</w:t>
      </w:r>
      <w:r w:rsidRPr="00C10135">
        <w:rPr>
          <w:rFonts w:eastAsia="Times New Roman"/>
          <w:lang w:val="fr-FR"/>
        </w:rPr>
        <w:t>évaluation stratégique environnementale à sa septième réunion (Genève, 28 au 30</w:t>
      </w:r>
      <w:r w:rsidR="009C2F48">
        <w:rPr>
          <w:rFonts w:eastAsia="Times New Roman"/>
          <w:lang w:val="fr-FR"/>
        </w:rPr>
        <w:t> </w:t>
      </w:r>
      <w:r w:rsidRPr="00C10135">
        <w:rPr>
          <w:rFonts w:eastAsia="Times New Roman"/>
          <w:lang w:val="fr-FR"/>
        </w:rPr>
        <w:t xml:space="preserve">mai 2018), </w:t>
      </w:r>
      <w:bookmarkStart w:id="3" w:name="_Hlk504755157"/>
      <w:bookmarkStart w:id="4" w:name="_Hlk505176552"/>
      <w:bookmarkEnd w:id="3"/>
      <w:bookmarkEnd w:id="4"/>
    </w:p>
    <w:p w:rsidR="00A02F0E" w:rsidRPr="00C10135" w:rsidRDefault="00A02F0E" w:rsidP="00A02F0E">
      <w:pPr>
        <w:kinsoku/>
        <w:overflowPunct/>
        <w:autoSpaceDE/>
        <w:autoSpaceDN/>
        <w:adjustRightInd/>
        <w:snapToGrid/>
        <w:spacing w:after="120"/>
        <w:ind w:left="1134" w:right="1134" w:firstLine="560"/>
        <w:jc w:val="both"/>
        <w:rPr>
          <w:rFonts w:eastAsia="Times New Roman"/>
          <w:color w:val="000000"/>
          <w:lang w:val="fr-FR"/>
        </w:rPr>
      </w:pPr>
      <w:r w:rsidRPr="00C10135">
        <w:rPr>
          <w:rFonts w:eastAsia="Times New Roman"/>
          <w:lang w:val="fr-FR"/>
        </w:rPr>
        <w:tab/>
      </w:r>
      <w:r w:rsidRPr="00C10135">
        <w:rPr>
          <w:rFonts w:eastAsia="Times New Roman"/>
          <w:i/>
          <w:iCs/>
          <w:lang w:val="fr-FR"/>
        </w:rPr>
        <w:t>Ayant également examiné</w:t>
      </w:r>
      <w:r w:rsidRPr="00C10135">
        <w:rPr>
          <w:rFonts w:eastAsia="Times New Roman"/>
          <w:lang w:val="fr-FR"/>
        </w:rPr>
        <w:t xml:space="preserve"> les résultats de l</w:t>
      </w:r>
      <w:r w:rsidR="004C5FCE">
        <w:rPr>
          <w:rFonts w:eastAsia="Times New Roman"/>
          <w:lang w:val="fr-FR"/>
        </w:rPr>
        <w:t>’</w:t>
      </w:r>
      <w:r w:rsidRPr="00C10135">
        <w:rPr>
          <w:rFonts w:eastAsia="Times New Roman"/>
          <w:lang w:val="fr-FR"/>
        </w:rPr>
        <w:t>atelier consacré à la prolongation de la durée de vie des centrales nucléaires organisé par le groupe de travail spécial, comme prévu dans le plan de travail pour 2017-2020</w:t>
      </w:r>
      <w:r w:rsidRPr="004C5FCE">
        <w:rPr>
          <w:rStyle w:val="FootnoteReference"/>
        </w:rPr>
        <w:footnoteReference w:id="3"/>
      </w:r>
      <w:r w:rsidRPr="00C10135">
        <w:rPr>
          <w:rFonts w:eastAsia="Times New Roman"/>
          <w:lang w:val="fr-FR"/>
        </w:rPr>
        <w:t>, avec la participation du Comité de l</w:t>
      </w:r>
      <w:r w:rsidR="004C5FCE">
        <w:rPr>
          <w:rFonts w:eastAsia="Times New Roman"/>
          <w:lang w:val="fr-FR"/>
        </w:rPr>
        <w:t>’</w:t>
      </w:r>
      <w:r w:rsidRPr="00C10135">
        <w:rPr>
          <w:rFonts w:eastAsia="Times New Roman"/>
          <w:lang w:val="fr-FR"/>
        </w:rPr>
        <w:t>application, d</w:t>
      </w:r>
      <w:r w:rsidR="004C5FCE">
        <w:rPr>
          <w:rFonts w:eastAsia="Times New Roman"/>
          <w:lang w:val="fr-FR"/>
        </w:rPr>
        <w:t>’</w:t>
      </w:r>
      <w:r w:rsidRPr="00C10135">
        <w:rPr>
          <w:rFonts w:eastAsia="Times New Roman"/>
          <w:lang w:val="fr-FR"/>
        </w:rPr>
        <w:t>organisations non gouvernementales, de l</w:t>
      </w:r>
      <w:r w:rsidR="004C5FCE">
        <w:rPr>
          <w:rFonts w:eastAsia="Times New Roman"/>
          <w:lang w:val="fr-FR"/>
        </w:rPr>
        <w:t>’</w:t>
      </w:r>
      <w:r w:rsidRPr="00C10135">
        <w:rPr>
          <w:rFonts w:eastAsia="Times New Roman"/>
          <w:lang w:val="fr-FR"/>
        </w:rPr>
        <w:t>Agence internationale de l</w:t>
      </w:r>
      <w:r w:rsidR="004C5FCE">
        <w:rPr>
          <w:rFonts w:eastAsia="Times New Roman"/>
          <w:lang w:val="fr-FR"/>
        </w:rPr>
        <w:t>’</w:t>
      </w:r>
      <w:r w:rsidRPr="00C10135">
        <w:rPr>
          <w:rFonts w:eastAsia="Times New Roman"/>
          <w:lang w:val="fr-FR"/>
        </w:rPr>
        <w:t>énergie atomique et de l</w:t>
      </w:r>
      <w:r w:rsidR="004C5FCE">
        <w:rPr>
          <w:rFonts w:eastAsia="Times New Roman"/>
          <w:lang w:val="fr-FR"/>
        </w:rPr>
        <w:t>’</w:t>
      </w:r>
      <w:r w:rsidRPr="00C10135">
        <w:rPr>
          <w:rFonts w:eastAsia="Times New Roman"/>
          <w:lang w:val="fr-FR"/>
        </w:rPr>
        <w:t>Agence pour l</w:t>
      </w:r>
      <w:r w:rsidR="004C5FCE">
        <w:rPr>
          <w:rFonts w:eastAsia="Times New Roman"/>
          <w:lang w:val="fr-FR"/>
        </w:rPr>
        <w:t>’</w:t>
      </w:r>
      <w:r w:rsidRPr="00C10135">
        <w:rPr>
          <w:rFonts w:eastAsia="Times New Roman"/>
          <w:lang w:val="fr-FR"/>
        </w:rPr>
        <w:t>énergie nucléaire de l</w:t>
      </w:r>
      <w:r w:rsidR="004C5FCE">
        <w:rPr>
          <w:rFonts w:eastAsia="Times New Roman"/>
          <w:lang w:val="fr-FR"/>
        </w:rPr>
        <w:t>’</w:t>
      </w:r>
      <w:r w:rsidRPr="00C10135">
        <w:rPr>
          <w:rFonts w:eastAsia="Times New Roman"/>
          <w:lang w:val="fr-FR"/>
        </w:rPr>
        <w:t>Organisation de coopération et de développement économiques,</w:t>
      </w:r>
    </w:p>
    <w:p w:rsidR="00A02F0E" w:rsidRPr="00C10135" w:rsidRDefault="00A02F0E" w:rsidP="00A02F0E">
      <w:pPr>
        <w:kinsoku/>
        <w:overflowPunct/>
        <w:autoSpaceDE/>
        <w:autoSpaceDN/>
        <w:adjustRightInd/>
        <w:snapToGrid/>
        <w:spacing w:after="120"/>
        <w:ind w:left="1134" w:right="1134" w:firstLine="560"/>
        <w:jc w:val="both"/>
        <w:rPr>
          <w:rFonts w:eastAsia="Times New Roman"/>
          <w:lang w:val="fr-FR"/>
        </w:rPr>
      </w:pPr>
      <w:r w:rsidRPr="00C10135">
        <w:rPr>
          <w:rFonts w:eastAsia="Times New Roman"/>
          <w:lang w:val="fr-FR"/>
        </w:rPr>
        <w:tab/>
      </w:r>
      <w:r w:rsidRPr="00C10135">
        <w:rPr>
          <w:rFonts w:eastAsia="Times New Roman"/>
          <w:i/>
          <w:iCs/>
          <w:lang w:val="fr-FR"/>
        </w:rPr>
        <w:t xml:space="preserve">Ayant en outre </w:t>
      </w:r>
      <w:r>
        <w:rPr>
          <w:rFonts w:eastAsia="Times New Roman"/>
          <w:i/>
          <w:iCs/>
          <w:lang w:val="fr-FR"/>
        </w:rPr>
        <w:t>pris en compte</w:t>
      </w:r>
      <w:r w:rsidRPr="00C10135">
        <w:rPr>
          <w:rFonts w:eastAsia="Times New Roman"/>
          <w:lang w:val="fr-FR"/>
        </w:rPr>
        <w:t xml:space="preserve"> l</w:t>
      </w:r>
      <w:r w:rsidR="004C5FCE">
        <w:rPr>
          <w:rFonts w:eastAsia="Times New Roman"/>
          <w:lang w:val="fr-FR"/>
        </w:rPr>
        <w:t>’</w:t>
      </w:r>
      <w:r w:rsidRPr="00C10135">
        <w:rPr>
          <w:rFonts w:eastAsia="Times New Roman"/>
          <w:lang w:val="fr-FR"/>
        </w:rPr>
        <w:t>état d</w:t>
      </w:r>
      <w:r w:rsidR="004C5FCE">
        <w:rPr>
          <w:rFonts w:eastAsia="Times New Roman"/>
          <w:lang w:val="fr-FR"/>
        </w:rPr>
        <w:t>’</w:t>
      </w:r>
      <w:r w:rsidRPr="00C10135">
        <w:rPr>
          <w:rFonts w:eastAsia="Times New Roman"/>
          <w:lang w:val="fr-FR"/>
        </w:rPr>
        <w:t>avancement des travaux du groupe de travail spécial constitué aux fins de l</w:t>
      </w:r>
      <w:r w:rsidR="004C5FCE">
        <w:rPr>
          <w:rFonts w:eastAsia="Times New Roman"/>
          <w:lang w:val="fr-FR"/>
        </w:rPr>
        <w:t>’</w:t>
      </w:r>
      <w:r w:rsidRPr="00C10135">
        <w:rPr>
          <w:rFonts w:eastAsia="Times New Roman"/>
          <w:lang w:val="fr-FR"/>
        </w:rPr>
        <w:t>élaboration d</w:t>
      </w:r>
      <w:r w:rsidR="004C5FCE">
        <w:rPr>
          <w:rFonts w:eastAsia="Times New Roman"/>
          <w:lang w:val="fr-FR"/>
        </w:rPr>
        <w:t>’</w:t>
      </w:r>
      <w:r w:rsidRPr="00C10135">
        <w:rPr>
          <w:rFonts w:eastAsia="Times New Roman"/>
          <w:lang w:val="fr-FR"/>
        </w:rPr>
        <w:t>un projet de lignes directrices menés sous la coprésidence de l</w:t>
      </w:r>
      <w:r w:rsidR="004C5FCE">
        <w:rPr>
          <w:rFonts w:eastAsia="Times New Roman"/>
          <w:lang w:val="fr-FR"/>
        </w:rPr>
        <w:t>’</w:t>
      </w:r>
      <w:r w:rsidRPr="00C10135">
        <w:rPr>
          <w:rFonts w:eastAsia="Times New Roman"/>
          <w:lang w:val="fr-FR"/>
        </w:rPr>
        <w:t>Allemagne et du Royaume-Uni, sur la base d</w:t>
      </w:r>
      <w:r w:rsidR="004C5FCE">
        <w:rPr>
          <w:rFonts w:eastAsia="Times New Roman"/>
          <w:lang w:val="fr-FR"/>
        </w:rPr>
        <w:t>’</w:t>
      </w:r>
      <w:r w:rsidRPr="00C10135">
        <w:rPr>
          <w:rFonts w:eastAsia="Times New Roman"/>
          <w:lang w:val="fr-FR"/>
        </w:rPr>
        <w:t>un cadre de référence, comme l</w:t>
      </w:r>
      <w:r w:rsidR="004C5FCE">
        <w:rPr>
          <w:rFonts w:eastAsia="Times New Roman"/>
          <w:lang w:val="fr-FR"/>
        </w:rPr>
        <w:t>’</w:t>
      </w:r>
      <w:r w:rsidRPr="00C10135">
        <w:rPr>
          <w:rFonts w:eastAsia="Times New Roman"/>
          <w:lang w:val="fr-FR"/>
        </w:rPr>
        <w:t xml:space="preserve">avait demandé le Groupe de travail, </w:t>
      </w:r>
    </w:p>
    <w:p w:rsidR="00A02F0E" w:rsidRPr="00C10135" w:rsidRDefault="00A02F0E" w:rsidP="00A02F0E">
      <w:pPr>
        <w:kinsoku/>
        <w:overflowPunct/>
        <w:autoSpaceDE/>
        <w:autoSpaceDN/>
        <w:adjustRightInd/>
        <w:snapToGrid/>
        <w:spacing w:after="120"/>
        <w:ind w:left="1134" w:right="1134" w:firstLine="560"/>
        <w:jc w:val="both"/>
        <w:rPr>
          <w:rFonts w:eastAsia="Times New Roman"/>
          <w:lang w:val="fr-FR"/>
        </w:rPr>
      </w:pPr>
      <w:r w:rsidRPr="00C10135">
        <w:rPr>
          <w:rFonts w:eastAsia="Times New Roman"/>
          <w:lang w:val="fr-FR"/>
        </w:rPr>
        <w:tab/>
      </w:r>
      <w:r w:rsidRPr="00C10135">
        <w:rPr>
          <w:rFonts w:eastAsia="Times New Roman"/>
          <w:i/>
          <w:iCs/>
          <w:lang w:val="fr-FR"/>
        </w:rPr>
        <w:t xml:space="preserve">Réaffirmant </w:t>
      </w:r>
      <w:r w:rsidRPr="00C10135">
        <w:rPr>
          <w:rFonts w:eastAsia="Times New Roman"/>
          <w:lang w:val="fr-FR"/>
        </w:rPr>
        <w:t>que la Convention est un instrument clef établissant des règles pour l</w:t>
      </w:r>
      <w:r w:rsidR="004C5FCE">
        <w:rPr>
          <w:rFonts w:eastAsia="Times New Roman"/>
          <w:lang w:val="fr-FR"/>
        </w:rPr>
        <w:t>’</w:t>
      </w:r>
      <w:r w:rsidRPr="00C10135">
        <w:rPr>
          <w:rFonts w:eastAsia="Times New Roman"/>
          <w:lang w:val="fr-FR"/>
        </w:rPr>
        <w:t>action à engager au niveau national et pour la coopération internationale en vue de prévenir, réduire et maîtriser l</w:t>
      </w:r>
      <w:r w:rsidR="004C5FCE">
        <w:rPr>
          <w:rFonts w:eastAsia="Times New Roman"/>
          <w:lang w:val="fr-FR"/>
        </w:rPr>
        <w:t>’</w:t>
      </w:r>
      <w:r w:rsidRPr="00C10135">
        <w:rPr>
          <w:rFonts w:eastAsia="Times New Roman"/>
          <w:lang w:val="fr-FR"/>
        </w:rPr>
        <w:t>impact transfrontière préjudiciable important que des activités proposées, y compris les activités liées à l</w:t>
      </w:r>
      <w:r w:rsidR="004C5FCE">
        <w:rPr>
          <w:rFonts w:eastAsia="Times New Roman"/>
          <w:lang w:val="fr-FR"/>
        </w:rPr>
        <w:t>’</w:t>
      </w:r>
      <w:r w:rsidRPr="00C10135">
        <w:rPr>
          <w:rFonts w:eastAsia="Times New Roman"/>
          <w:lang w:val="fr-FR"/>
        </w:rPr>
        <w:t>énergie nucléaire, pourraient avoir sur l</w:t>
      </w:r>
      <w:r w:rsidR="004C5FCE">
        <w:rPr>
          <w:rFonts w:eastAsia="Times New Roman"/>
          <w:lang w:val="fr-FR"/>
        </w:rPr>
        <w:t>’</w:t>
      </w:r>
      <w:r w:rsidRPr="00C10135">
        <w:rPr>
          <w:rFonts w:eastAsia="Times New Roman"/>
          <w:lang w:val="fr-FR"/>
        </w:rPr>
        <w:t>environnement,</w:t>
      </w:r>
    </w:p>
    <w:p w:rsidR="00A02F0E" w:rsidRPr="00C10135" w:rsidRDefault="00A02F0E" w:rsidP="00A02F0E">
      <w:pPr>
        <w:kinsoku/>
        <w:overflowPunct/>
        <w:autoSpaceDE/>
        <w:autoSpaceDN/>
        <w:adjustRightInd/>
        <w:snapToGrid/>
        <w:spacing w:after="120"/>
        <w:ind w:left="1134" w:right="1134" w:firstLine="560"/>
        <w:jc w:val="both"/>
        <w:rPr>
          <w:rFonts w:eastAsia="Times New Roman"/>
          <w:i/>
          <w:iCs/>
          <w:lang w:val="fr-FR"/>
        </w:rPr>
      </w:pPr>
      <w:r w:rsidRPr="00C10135">
        <w:rPr>
          <w:rFonts w:eastAsia="Times New Roman"/>
          <w:lang w:val="fr-FR"/>
        </w:rPr>
        <w:tab/>
      </w:r>
      <w:r w:rsidRPr="00C10135">
        <w:rPr>
          <w:rFonts w:eastAsia="Times New Roman"/>
          <w:i/>
          <w:iCs/>
          <w:lang w:val="fr-FR"/>
        </w:rPr>
        <w:t xml:space="preserve">Reconnaissant </w:t>
      </w:r>
      <w:r w:rsidRPr="00C10135">
        <w:rPr>
          <w:rFonts w:eastAsia="Times New Roman"/>
          <w:lang w:val="fr-FR"/>
        </w:rPr>
        <w:t>que le Protocole à la Convention sur l</w:t>
      </w:r>
      <w:r w:rsidR="004C5FCE">
        <w:rPr>
          <w:rFonts w:eastAsia="Times New Roman"/>
          <w:lang w:val="fr-FR"/>
        </w:rPr>
        <w:t>’</w:t>
      </w:r>
      <w:r w:rsidRPr="00C10135">
        <w:rPr>
          <w:rFonts w:eastAsia="Times New Roman"/>
          <w:lang w:val="fr-FR"/>
        </w:rPr>
        <w:t>évaluation de l</w:t>
      </w:r>
      <w:r w:rsidR="004C5FCE">
        <w:rPr>
          <w:rFonts w:eastAsia="Times New Roman"/>
          <w:lang w:val="fr-FR"/>
        </w:rPr>
        <w:t>’</w:t>
      </w:r>
      <w:r w:rsidRPr="00C10135">
        <w:rPr>
          <w:rFonts w:eastAsia="Times New Roman"/>
          <w:lang w:val="fr-FR"/>
        </w:rPr>
        <w:t>impact sur l</w:t>
      </w:r>
      <w:r w:rsidR="004C5FCE">
        <w:rPr>
          <w:rFonts w:eastAsia="Times New Roman"/>
          <w:lang w:val="fr-FR"/>
        </w:rPr>
        <w:t>’</w:t>
      </w:r>
      <w:r w:rsidRPr="00C10135">
        <w:rPr>
          <w:rFonts w:eastAsia="Times New Roman"/>
          <w:lang w:val="fr-FR"/>
        </w:rPr>
        <w:t>environnement dans un contexte transfrontière, relatif à l</w:t>
      </w:r>
      <w:r w:rsidR="004C5FCE">
        <w:rPr>
          <w:rFonts w:eastAsia="Times New Roman"/>
          <w:lang w:val="fr-FR"/>
        </w:rPr>
        <w:t>’</w:t>
      </w:r>
      <w:r w:rsidRPr="00C10135">
        <w:rPr>
          <w:rFonts w:eastAsia="Times New Roman"/>
          <w:lang w:val="fr-FR"/>
        </w:rPr>
        <w:t>évaluation stratégique environnementale, est un instrument essentiel pour procéder à l</w:t>
      </w:r>
      <w:r w:rsidR="004C5FCE">
        <w:rPr>
          <w:rFonts w:eastAsia="Times New Roman"/>
          <w:lang w:val="fr-FR"/>
        </w:rPr>
        <w:t>’</w:t>
      </w:r>
      <w:r w:rsidRPr="00C10135">
        <w:rPr>
          <w:rFonts w:eastAsia="Times New Roman"/>
          <w:lang w:val="fr-FR"/>
        </w:rPr>
        <w:t>évaluation des effets sur l</w:t>
      </w:r>
      <w:r w:rsidR="004C5FCE">
        <w:rPr>
          <w:rFonts w:eastAsia="Times New Roman"/>
          <w:lang w:val="fr-FR"/>
        </w:rPr>
        <w:t>’</w:t>
      </w:r>
      <w:r w:rsidRPr="00C10135">
        <w:rPr>
          <w:rFonts w:eastAsia="Times New Roman"/>
          <w:lang w:val="fr-FR"/>
        </w:rPr>
        <w:t>environnement, y compris sur la santé, de plans et de programmes, voire de politiques et de dispositions législatives, qui définissent le cadre dans lequel la mise en œuvre des projets, notamment dans le domaine de l</w:t>
      </w:r>
      <w:r w:rsidR="004C5FCE">
        <w:rPr>
          <w:rFonts w:eastAsia="Times New Roman"/>
          <w:lang w:val="fr-FR"/>
        </w:rPr>
        <w:t>’</w:t>
      </w:r>
      <w:r w:rsidRPr="00C10135">
        <w:rPr>
          <w:rFonts w:eastAsia="Times New Roman"/>
          <w:lang w:val="fr-FR"/>
        </w:rPr>
        <w:t>énergie nucléaire, pourra être autorisée à l</w:t>
      </w:r>
      <w:r w:rsidR="004C5FCE">
        <w:rPr>
          <w:rFonts w:eastAsia="Times New Roman"/>
          <w:lang w:val="fr-FR"/>
        </w:rPr>
        <w:t>’</w:t>
      </w:r>
      <w:r w:rsidRPr="00C10135">
        <w:rPr>
          <w:rFonts w:eastAsia="Times New Roman"/>
          <w:lang w:val="fr-FR"/>
        </w:rPr>
        <w:t>avenir,</w:t>
      </w:r>
    </w:p>
    <w:p w:rsidR="00A02F0E" w:rsidRPr="00C10135" w:rsidRDefault="00A02F0E" w:rsidP="00A02F0E">
      <w:pPr>
        <w:kinsoku/>
        <w:overflowPunct/>
        <w:autoSpaceDE/>
        <w:autoSpaceDN/>
        <w:adjustRightInd/>
        <w:snapToGrid/>
        <w:spacing w:after="120"/>
        <w:ind w:left="1134" w:right="1134" w:firstLine="560"/>
        <w:jc w:val="both"/>
        <w:rPr>
          <w:rFonts w:eastAsia="Times New Roman"/>
          <w:lang w:val="fr-FR"/>
        </w:rPr>
      </w:pPr>
      <w:r w:rsidRPr="00C10135">
        <w:rPr>
          <w:rFonts w:eastAsia="Times New Roman"/>
          <w:lang w:val="fr-FR"/>
        </w:rPr>
        <w:tab/>
      </w:r>
      <w:r w:rsidRPr="00C10135">
        <w:rPr>
          <w:rFonts w:eastAsia="Times New Roman"/>
          <w:i/>
          <w:iCs/>
          <w:lang w:val="fr-FR"/>
        </w:rPr>
        <w:t xml:space="preserve">Consciente </w:t>
      </w:r>
      <w:r w:rsidRPr="00C10135">
        <w:rPr>
          <w:rFonts w:eastAsia="Times New Roman"/>
          <w:lang w:val="fr-FR"/>
        </w:rPr>
        <w:t>qu</w:t>
      </w:r>
      <w:r w:rsidR="004C5FCE">
        <w:rPr>
          <w:rFonts w:eastAsia="Times New Roman"/>
          <w:lang w:val="fr-FR"/>
        </w:rPr>
        <w:t>’</w:t>
      </w:r>
      <w:r w:rsidRPr="00C10135">
        <w:rPr>
          <w:rFonts w:eastAsia="Times New Roman"/>
          <w:lang w:val="fr-FR"/>
        </w:rPr>
        <w:t>au cours des prochaines années de nombreuses centrales nucléaires dans la région de la Commission économique pour l</w:t>
      </w:r>
      <w:r w:rsidR="004C5FCE">
        <w:rPr>
          <w:rFonts w:eastAsia="Times New Roman"/>
          <w:lang w:val="fr-FR"/>
        </w:rPr>
        <w:t>’</w:t>
      </w:r>
      <w:r w:rsidRPr="00C10135">
        <w:rPr>
          <w:rFonts w:eastAsia="Times New Roman"/>
          <w:lang w:val="fr-FR"/>
        </w:rPr>
        <w:t>Europe (CEE) arriveront au terme de leur durée de vie opérationnelle,</w:t>
      </w:r>
    </w:p>
    <w:p w:rsidR="00A02F0E" w:rsidRPr="00C10135" w:rsidRDefault="00A02F0E" w:rsidP="00A02F0E">
      <w:pPr>
        <w:kinsoku/>
        <w:overflowPunct/>
        <w:autoSpaceDE/>
        <w:autoSpaceDN/>
        <w:adjustRightInd/>
        <w:snapToGrid/>
        <w:spacing w:after="120"/>
        <w:ind w:left="1134" w:right="1134" w:firstLine="560"/>
        <w:jc w:val="both"/>
        <w:rPr>
          <w:rFonts w:eastAsia="Times New Roman"/>
          <w:lang w:val="fr-FR"/>
        </w:rPr>
      </w:pPr>
      <w:r w:rsidRPr="00C10135">
        <w:rPr>
          <w:rFonts w:eastAsia="Times New Roman"/>
          <w:lang w:val="fr-FR"/>
        </w:rPr>
        <w:tab/>
      </w:r>
      <w:r w:rsidRPr="00C10135">
        <w:rPr>
          <w:rFonts w:eastAsia="Times New Roman"/>
          <w:i/>
          <w:iCs/>
          <w:lang w:val="fr-FR"/>
        </w:rPr>
        <w:t>Consciente également</w:t>
      </w:r>
      <w:r w:rsidRPr="00C10135">
        <w:rPr>
          <w:rFonts w:eastAsia="Times New Roman"/>
          <w:lang w:val="fr-FR"/>
        </w:rPr>
        <w:t xml:space="preserve"> du nombre toujours plus grand de dossiers de collecte d</w:t>
      </w:r>
      <w:r w:rsidR="004C5FCE">
        <w:rPr>
          <w:rFonts w:eastAsia="Times New Roman"/>
          <w:lang w:val="fr-FR"/>
        </w:rPr>
        <w:t>’</w:t>
      </w:r>
      <w:r w:rsidRPr="00C10135">
        <w:rPr>
          <w:rFonts w:eastAsia="Times New Roman"/>
          <w:lang w:val="fr-FR"/>
        </w:rPr>
        <w:t>informations sur la prolongation de la durée de vie des centrales nucléaires dont est saisi le Comité d</w:t>
      </w:r>
      <w:r w:rsidR="004C5FCE">
        <w:rPr>
          <w:rFonts w:eastAsia="Times New Roman"/>
          <w:lang w:val="fr-FR"/>
        </w:rPr>
        <w:t>’</w:t>
      </w:r>
      <w:r w:rsidRPr="00C10135">
        <w:rPr>
          <w:rFonts w:eastAsia="Times New Roman"/>
          <w:lang w:val="fr-FR"/>
        </w:rPr>
        <w:t>application, et de la demande du Comité visant à ce que des lignes directrices ou des critères sur l</w:t>
      </w:r>
      <w:r w:rsidR="004C5FCE">
        <w:rPr>
          <w:rFonts w:eastAsia="Times New Roman"/>
          <w:lang w:val="fr-FR"/>
        </w:rPr>
        <w:t>’</w:t>
      </w:r>
      <w:r w:rsidRPr="00C10135">
        <w:rPr>
          <w:rFonts w:eastAsia="Times New Roman"/>
          <w:lang w:val="fr-FR"/>
        </w:rPr>
        <w:t>application de la Convention soient élaborés dans ce domaine afin de l</w:t>
      </w:r>
      <w:r w:rsidR="004C5FCE">
        <w:rPr>
          <w:rFonts w:eastAsia="Times New Roman"/>
          <w:lang w:val="fr-FR"/>
        </w:rPr>
        <w:t>’</w:t>
      </w:r>
      <w:r w:rsidRPr="00C10135">
        <w:rPr>
          <w:rFonts w:eastAsia="Times New Roman"/>
          <w:lang w:val="fr-FR"/>
        </w:rPr>
        <w:t>aider à évaluer le respect par les Parties des dispositions de la Convention,</w:t>
      </w:r>
    </w:p>
    <w:p w:rsidR="00A02F0E" w:rsidRPr="00C10135" w:rsidRDefault="00A02F0E" w:rsidP="00A02F0E">
      <w:pPr>
        <w:kinsoku/>
        <w:overflowPunct/>
        <w:autoSpaceDE/>
        <w:autoSpaceDN/>
        <w:adjustRightInd/>
        <w:snapToGrid/>
        <w:spacing w:after="120"/>
        <w:ind w:left="1134" w:right="1134" w:firstLine="560"/>
        <w:jc w:val="both"/>
        <w:rPr>
          <w:rFonts w:eastAsia="Times New Roman"/>
          <w:lang w:val="fr-FR"/>
        </w:rPr>
      </w:pPr>
      <w:r w:rsidRPr="00C10135">
        <w:rPr>
          <w:rFonts w:eastAsia="Times New Roman"/>
          <w:lang w:val="fr-FR"/>
        </w:rPr>
        <w:tab/>
      </w:r>
      <w:r w:rsidRPr="00C10135">
        <w:rPr>
          <w:rFonts w:eastAsia="Times New Roman"/>
          <w:i/>
          <w:iCs/>
          <w:lang w:val="fr-FR"/>
        </w:rPr>
        <w:t>Désireuse</w:t>
      </w:r>
      <w:r w:rsidRPr="00C10135">
        <w:rPr>
          <w:rFonts w:eastAsia="Times New Roman"/>
          <w:lang w:val="fr-FR"/>
        </w:rPr>
        <w:t xml:space="preserve"> d</w:t>
      </w:r>
      <w:r w:rsidR="004C5FCE">
        <w:rPr>
          <w:rFonts w:eastAsia="Times New Roman"/>
          <w:lang w:val="fr-FR"/>
        </w:rPr>
        <w:t>’</w:t>
      </w:r>
      <w:r w:rsidRPr="00C10135">
        <w:rPr>
          <w:rFonts w:eastAsia="Times New Roman"/>
          <w:lang w:val="fr-FR"/>
        </w:rPr>
        <w:t>aider les Parties à s</w:t>
      </w:r>
      <w:r w:rsidR="004C5FCE">
        <w:rPr>
          <w:rFonts w:eastAsia="Times New Roman"/>
          <w:lang w:val="fr-FR"/>
        </w:rPr>
        <w:t>’</w:t>
      </w:r>
      <w:r w:rsidRPr="00C10135">
        <w:rPr>
          <w:rFonts w:eastAsia="Times New Roman"/>
          <w:lang w:val="fr-FR"/>
        </w:rPr>
        <w:t>acquitter des obligations qui leur incombent au titre de la Convention, et d</w:t>
      </w:r>
      <w:r w:rsidR="004C5FCE">
        <w:rPr>
          <w:rFonts w:eastAsia="Times New Roman"/>
          <w:lang w:val="fr-FR"/>
        </w:rPr>
        <w:t>’</w:t>
      </w:r>
      <w:r w:rsidRPr="00C10135">
        <w:rPr>
          <w:rFonts w:eastAsia="Times New Roman"/>
          <w:lang w:val="fr-FR"/>
        </w:rPr>
        <w:t>en promouvoir la sécurité juridique et l</w:t>
      </w:r>
      <w:r w:rsidR="004C5FCE">
        <w:rPr>
          <w:rFonts w:eastAsia="Times New Roman"/>
          <w:lang w:val="fr-FR"/>
        </w:rPr>
        <w:t>’</w:t>
      </w:r>
      <w:r w:rsidRPr="00C10135">
        <w:rPr>
          <w:rFonts w:eastAsia="Times New Roman"/>
          <w:lang w:val="fr-FR"/>
        </w:rPr>
        <w:t>application efficace,</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lastRenderedPageBreak/>
        <w:t>1.</w:t>
      </w:r>
      <w:r w:rsidRPr="00C10135">
        <w:rPr>
          <w:rFonts w:eastAsia="Times New Roman"/>
          <w:lang w:val="fr-FR"/>
        </w:rPr>
        <w:tab/>
      </w:r>
      <w:r w:rsidRPr="00C10135">
        <w:rPr>
          <w:rFonts w:eastAsia="Times New Roman"/>
          <w:i/>
          <w:iCs/>
          <w:lang w:val="fr-FR"/>
        </w:rPr>
        <w:t>Se félicite</w:t>
      </w:r>
      <w:r w:rsidRPr="00C10135">
        <w:rPr>
          <w:rFonts w:eastAsia="Times New Roman"/>
          <w:lang w:val="fr-FR"/>
        </w:rPr>
        <w:t xml:space="preserve"> et prend acte de l</w:t>
      </w:r>
      <w:r w:rsidR="004C5FCE">
        <w:rPr>
          <w:rFonts w:eastAsia="Times New Roman"/>
          <w:lang w:val="fr-FR"/>
        </w:rPr>
        <w:t>’</w:t>
      </w:r>
      <w:r w:rsidRPr="00C10135">
        <w:rPr>
          <w:rFonts w:eastAsia="Times New Roman"/>
          <w:lang w:val="fr-FR"/>
        </w:rPr>
        <w:t>adoption, par le Groupe de travail, du cadre de référence relatif à l</w:t>
      </w:r>
      <w:r w:rsidR="004C5FCE">
        <w:rPr>
          <w:rFonts w:eastAsia="Times New Roman"/>
          <w:lang w:val="fr-FR"/>
        </w:rPr>
        <w:t>’</w:t>
      </w:r>
      <w:r w:rsidRPr="00C10135">
        <w:rPr>
          <w:rFonts w:eastAsia="Times New Roman"/>
          <w:lang w:val="fr-FR"/>
        </w:rPr>
        <w:t>élaboration de lignes directrices sur l</w:t>
      </w:r>
      <w:r w:rsidR="004C5FCE">
        <w:rPr>
          <w:rFonts w:eastAsia="Times New Roman"/>
          <w:lang w:val="fr-FR"/>
        </w:rPr>
        <w:t>’</w:t>
      </w:r>
      <w:r w:rsidRPr="00C10135">
        <w:rPr>
          <w:rFonts w:eastAsia="Times New Roman"/>
          <w:lang w:val="fr-FR"/>
        </w:rPr>
        <w:t>applicabilité de la Convention s</w:t>
      </w:r>
      <w:r w:rsidR="004C5FCE">
        <w:rPr>
          <w:rFonts w:eastAsia="Times New Roman"/>
          <w:lang w:val="fr-FR"/>
        </w:rPr>
        <w:t>’</w:t>
      </w:r>
      <w:r w:rsidRPr="00C10135">
        <w:rPr>
          <w:rFonts w:eastAsia="Times New Roman"/>
          <w:lang w:val="fr-FR"/>
        </w:rPr>
        <w:t xml:space="preserve">agissant des décisions sur la prolongation de la durée de vie des centrales nucléaires ; </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2.</w:t>
      </w:r>
      <w:r w:rsidRPr="00C10135">
        <w:rPr>
          <w:rFonts w:eastAsia="Times New Roman"/>
          <w:lang w:val="fr-FR"/>
        </w:rPr>
        <w:tab/>
      </w:r>
      <w:r w:rsidRPr="00C10135">
        <w:rPr>
          <w:rFonts w:eastAsia="Times New Roman"/>
          <w:i/>
          <w:iCs/>
          <w:lang w:val="fr-FR"/>
        </w:rPr>
        <w:t>Prend note</w:t>
      </w:r>
      <w:r w:rsidRPr="00C10135">
        <w:rPr>
          <w:rFonts w:eastAsia="Times New Roman"/>
          <w:lang w:val="fr-FR"/>
        </w:rPr>
        <w:t xml:space="preserve"> des principales conclusions de l</w:t>
      </w:r>
      <w:r w:rsidR="004C5FCE">
        <w:rPr>
          <w:rFonts w:eastAsia="Times New Roman"/>
          <w:lang w:val="fr-FR"/>
        </w:rPr>
        <w:t>’</w:t>
      </w:r>
      <w:r w:rsidRPr="00C10135">
        <w:rPr>
          <w:rFonts w:eastAsia="Times New Roman"/>
          <w:lang w:val="fr-FR"/>
        </w:rPr>
        <w:t>atelier consacré à la prolongation de la durée de vie des centrales nucléaires, qui précisent notamment ce qui suit :</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a)</w:t>
      </w:r>
      <w:r w:rsidRPr="00C10135">
        <w:rPr>
          <w:rFonts w:eastAsia="Times New Roman"/>
          <w:lang w:val="fr-FR"/>
        </w:rPr>
        <w:tab/>
        <w:t>Le travail du Comité d</w:t>
      </w:r>
      <w:r w:rsidR="004C5FCE">
        <w:rPr>
          <w:rFonts w:eastAsia="Times New Roman"/>
          <w:lang w:val="fr-FR"/>
        </w:rPr>
        <w:t>’</w:t>
      </w:r>
      <w:r w:rsidRPr="00C10135">
        <w:rPr>
          <w:rFonts w:eastAsia="Times New Roman"/>
          <w:lang w:val="fr-FR"/>
        </w:rPr>
        <w:t>application se heurtant à de lourdes contraintes, Il est urgent de l</w:t>
      </w:r>
      <w:r w:rsidR="004C5FCE">
        <w:rPr>
          <w:rFonts w:eastAsia="Times New Roman"/>
          <w:lang w:val="fr-FR"/>
        </w:rPr>
        <w:t>’</w:t>
      </w:r>
      <w:r w:rsidRPr="00C10135">
        <w:rPr>
          <w:rFonts w:eastAsia="Times New Roman"/>
          <w:lang w:val="fr-FR"/>
        </w:rPr>
        <w:t>encadrer par un ensemble d</w:t>
      </w:r>
      <w:r>
        <w:rPr>
          <w:rFonts w:eastAsia="Times New Roman"/>
          <w:lang w:val="fr-FR"/>
        </w:rPr>
        <w:t>e lignes directrices</w:t>
      </w:r>
      <w:r w:rsidRPr="00C10135">
        <w:rPr>
          <w:rFonts w:eastAsia="Times New Roman"/>
          <w:lang w:val="fr-FR"/>
        </w:rPr>
        <w:t> ;</w:t>
      </w:r>
    </w:p>
    <w:p w:rsidR="00A02F0E" w:rsidRPr="00C10135" w:rsidRDefault="00A02F0E" w:rsidP="009C2F48">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b)</w:t>
      </w:r>
      <w:r w:rsidRPr="00C10135">
        <w:rPr>
          <w:rFonts w:eastAsia="Times New Roman"/>
          <w:lang w:val="fr-FR"/>
        </w:rPr>
        <w:tab/>
        <w:t>L</w:t>
      </w:r>
      <w:r w:rsidR="004C5FCE">
        <w:rPr>
          <w:rFonts w:eastAsia="Times New Roman"/>
          <w:lang w:val="fr-FR"/>
        </w:rPr>
        <w:t>’</w:t>
      </w:r>
      <w:r w:rsidRPr="00C10135">
        <w:rPr>
          <w:rFonts w:eastAsia="Times New Roman"/>
          <w:lang w:val="fr-FR"/>
        </w:rPr>
        <w:t>interprétation de la Convention doit s</w:t>
      </w:r>
      <w:r w:rsidR="004C5FCE">
        <w:rPr>
          <w:rFonts w:eastAsia="Times New Roman"/>
          <w:lang w:val="fr-FR"/>
        </w:rPr>
        <w:t>’</w:t>
      </w:r>
      <w:r w:rsidRPr="00C10135">
        <w:rPr>
          <w:rFonts w:eastAsia="Times New Roman"/>
          <w:lang w:val="fr-FR"/>
        </w:rPr>
        <w:t xml:space="preserve">accorder avec ses principaux buts et objectifs ; </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c)</w:t>
      </w:r>
      <w:r w:rsidRPr="00C10135">
        <w:rPr>
          <w:rFonts w:eastAsia="Times New Roman"/>
          <w:lang w:val="fr-FR"/>
        </w:rPr>
        <w:tab/>
        <w:t>La prolongation de la durée de vie des centrales nucléaires concerne non seulement la sécurité nucléaire, mais aussi l</w:t>
      </w:r>
      <w:r w:rsidR="004C5FCE">
        <w:rPr>
          <w:rFonts w:eastAsia="Times New Roman"/>
          <w:lang w:val="fr-FR"/>
        </w:rPr>
        <w:t>’</w:t>
      </w:r>
      <w:r w:rsidRPr="00C10135">
        <w:rPr>
          <w:rFonts w:eastAsia="Times New Roman"/>
          <w:lang w:val="fr-FR"/>
        </w:rPr>
        <w:t>environnement. Il s</w:t>
      </w:r>
      <w:r w:rsidR="004C5FCE">
        <w:rPr>
          <w:rFonts w:eastAsia="Times New Roman"/>
          <w:lang w:val="fr-FR"/>
        </w:rPr>
        <w:t>’</w:t>
      </w:r>
      <w:r w:rsidRPr="00C10135">
        <w:rPr>
          <w:rFonts w:eastAsia="Times New Roman"/>
          <w:lang w:val="fr-FR"/>
        </w:rPr>
        <w:t>agit de prendre en compte tout changement affectant l</w:t>
      </w:r>
      <w:r w:rsidR="004C5FCE">
        <w:rPr>
          <w:rFonts w:eastAsia="Times New Roman"/>
          <w:lang w:val="fr-FR"/>
        </w:rPr>
        <w:t>’</w:t>
      </w:r>
      <w:r w:rsidRPr="00C10135">
        <w:rPr>
          <w:rFonts w:eastAsia="Times New Roman"/>
          <w:lang w:val="fr-FR"/>
        </w:rPr>
        <w:t>environnement des centrales, tel qu</w:t>
      </w:r>
      <w:r w:rsidR="004C5FCE">
        <w:rPr>
          <w:rFonts w:eastAsia="Times New Roman"/>
          <w:lang w:val="fr-FR"/>
        </w:rPr>
        <w:t>’</w:t>
      </w:r>
      <w:r w:rsidRPr="00C10135">
        <w:rPr>
          <w:rFonts w:eastAsia="Times New Roman"/>
          <w:lang w:val="fr-FR"/>
        </w:rPr>
        <w:t>une augmentation de la population ou u</w:t>
      </w:r>
      <w:r w:rsidR="004C5FCE">
        <w:rPr>
          <w:rFonts w:eastAsia="Times New Roman"/>
          <w:lang w:val="fr-FR"/>
        </w:rPr>
        <w:t>n problème de rareté de l’eau ;</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d)</w:t>
      </w:r>
      <w:r w:rsidRPr="00C10135">
        <w:rPr>
          <w:rFonts w:eastAsia="Times New Roman"/>
          <w:lang w:val="fr-FR"/>
        </w:rPr>
        <w:tab/>
        <w:t>Les questions environnementales doivent être traitées de manière appropriée dans le cadre d</w:t>
      </w:r>
      <w:r w:rsidR="004C5FCE">
        <w:rPr>
          <w:rFonts w:eastAsia="Times New Roman"/>
          <w:lang w:val="fr-FR"/>
        </w:rPr>
        <w:t>’</w:t>
      </w:r>
      <w:r w:rsidRPr="00C10135">
        <w:rPr>
          <w:rFonts w:eastAsia="Times New Roman"/>
          <w:lang w:val="fr-FR"/>
        </w:rPr>
        <w:t>une évaluation de l</w:t>
      </w:r>
      <w:r w:rsidR="004C5FCE">
        <w:rPr>
          <w:rFonts w:eastAsia="Times New Roman"/>
          <w:lang w:val="fr-FR"/>
        </w:rPr>
        <w:t>’</w:t>
      </w:r>
      <w:r w:rsidRPr="00C10135">
        <w:rPr>
          <w:rFonts w:eastAsia="Times New Roman"/>
          <w:lang w:val="fr-FR"/>
        </w:rPr>
        <w:t>impact sur l</w:t>
      </w:r>
      <w:r w:rsidR="004C5FCE">
        <w:rPr>
          <w:rFonts w:eastAsia="Times New Roman"/>
          <w:lang w:val="fr-FR"/>
        </w:rPr>
        <w:t>’</w:t>
      </w:r>
      <w:r w:rsidRPr="00C10135">
        <w:rPr>
          <w:rFonts w:eastAsia="Times New Roman"/>
          <w:lang w:val="fr-FR"/>
        </w:rPr>
        <w:t>environnement, le cas échéant en recourant à une évaluation préliminaire ;</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e)</w:t>
      </w:r>
      <w:r w:rsidRPr="00C10135">
        <w:rPr>
          <w:rFonts w:eastAsia="Times New Roman"/>
          <w:lang w:val="fr-FR"/>
        </w:rPr>
        <w:tab/>
        <w:t>Les examens de sûreté ne peuvent pas se substituer aux évaluations de l</w:t>
      </w:r>
      <w:r w:rsidR="004C5FCE">
        <w:rPr>
          <w:rFonts w:eastAsia="Times New Roman"/>
          <w:lang w:val="fr-FR"/>
        </w:rPr>
        <w:t>’</w:t>
      </w:r>
      <w:r w:rsidRPr="00C10135">
        <w:rPr>
          <w:rFonts w:eastAsia="Times New Roman"/>
          <w:lang w:val="fr-FR"/>
        </w:rPr>
        <w:t>impact sur l</w:t>
      </w:r>
      <w:r w:rsidR="004C5FCE">
        <w:rPr>
          <w:rFonts w:eastAsia="Times New Roman"/>
          <w:lang w:val="fr-FR"/>
        </w:rPr>
        <w:t>’</w:t>
      </w:r>
      <w:r w:rsidRPr="00C10135">
        <w:rPr>
          <w:rFonts w:eastAsia="Times New Roman"/>
          <w:lang w:val="fr-FR"/>
        </w:rPr>
        <w:t xml:space="preserve">environnement dans un contexte transfrontière, les deux processus étant complémentaires ; </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f)</w:t>
      </w:r>
      <w:r w:rsidRPr="00C10135">
        <w:rPr>
          <w:rFonts w:eastAsia="Times New Roman"/>
          <w:lang w:val="fr-FR"/>
        </w:rPr>
        <w:tab/>
        <w:t xml:space="preserve">Dans une large mesure, la Convention est </w:t>
      </w:r>
      <w:r>
        <w:rPr>
          <w:rFonts w:eastAsia="Times New Roman"/>
          <w:lang w:val="fr-FR"/>
        </w:rPr>
        <w:t xml:space="preserve">en phase avec </w:t>
      </w:r>
      <w:r w:rsidRPr="00C10135">
        <w:rPr>
          <w:rFonts w:eastAsia="Times New Roman"/>
          <w:lang w:val="fr-FR"/>
        </w:rPr>
        <w:t>les directives de l</w:t>
      </w:r>
      <w:r w:rsidR="004C5FCE">
        <w:rPr>
          <w:rFonts w:eastAsia="Times New Roman"/>
          <w:lang w:val="fr-FR"/>
        </w:rPr>
        <w:t>’</w:t>
      </w:r>
      <w:r w:rsidRPr="00C10135">
        <w:rPr>
          <w:rFonts w:eastAsia="Times New Roman"/>
          <w:lang w:val="fr-FR"/>
        </w:rPr>
        <w:t>Union européenne consacrées à l</w:t>
      </w:r>
      <w:r w:rsidR="004C5FCE">
        <w:rPr>
          <w:rFonts w:eastAsia="Times New Roman"/>
          <w:lang w:val="fr-FR"/>
        </w:rPr>
        <w:t>’</w:t>
      </w:r>
      <w:r w:rsidRPr="00C10135">
        <w:rPr>
          <w:rFonts w:eastAsia="Times New Roman"/>
          <w:lang w:val="fr-FR"/>
        </w:rPr>
        <w:t>évaluation de l</w:t>
      </w:r>
      <w:r w:rsidR="004C5FCE">
        <w:rPr>
          <w:rFonts w:eastAsia="Times New Roman"/>
          <w:lang w:val="fr-FR"/>
        </w:rPr>
        <w:t>’</w:t>
      </w:r>
      <w:r w:rsidRPr="00C10135">
        <w:rPr>
          <w:rFonts w:eastAsia="Times New Roman"/>
          <w:lang w:val="fr-FR"/>
        </w:rPr>
        <w:t>impact sur l</w:t>
      </w:r>
      <w:r w:rsidR="004C5FCE">
        <w:rPr>
          <w:rFonts w:eastAsia="Times New Roman"/>
          <w:lang w:val="fr-FR"/>
        </w:rPr>
        <w:t>’</w:t>
      </w:r>
      <w:r w:rsidRPr="00C10135">
        <w:rPr>
          <w:rFonts w:eastAsia="Times New Roman"/>
          <w:lang w:val="fr-FR"/>
        </w:rPr>
        <w:t>environnement</w:t>
      </w:r>
      <w:r w:rsidRPr="00C10135">
        <w:rPr>
          <w:rFonts w:eastAsia="Times New Roman"/>
          <w:vertAlign w:val="superscript"/>
          <w:lang w:val="fr-FR"/>
        </w:rPr>
        <w:footnoteReference w:id="4"/>
      </w:r>
      <w:r w:rsidRPr="00C10135">
        <w:rPr>
          <w:rFonts w:eastAsia="Times New Roman"/>
          <w:lang w:val="fr-FR"/>
        </w:rPr>
        <w:t>, mais il s</w:t>
      </w:r>
      <w:r w:rsidR="004C5FCE">
        <w:rPr>
          <w:rFonts w:eastAsia="Times New Roman"/>
          <w:lang w:val="fr-FR"/>
        </w:rPr>
        <w:t>’</w:t>
      </w:r>
      <w:r w:rsidRPr="00C10135">
        <w:rPr>
          <w:rFonts w:eastAsia="Times New Roman"/>
          <w:lang w:val="fr-FR"/>
        </w:rPr>
        <w:t>agit</w:t>
      </w:r>
      <w:r>
        <w:rPr>
          <w:rFonts w:eastAsia="Times New Roman"/>
          <w:lang w:val="fr-FR"/>
        </w:rPr>
        <w:t>,</w:t>
      </w:r>
      <w:r w:rsidRPr="00884782">
        <w:rPr>
          <w:rFonts w:eastAsia="Times New Roman"/>
          <w:lang w:val="fr-FR"/>
        </w:rPr>
        <w:t xml:space="preserve"> juridiquement parlant, </w:t>
      </w:r>
      <w:r w:rsidRPr="00C10135">
        <w:rPr>
          <w:rFonts w:eastAsia="Times New Roman"/>
          <w:lang w:val="fr-FR"/>
        </w:rPr>
        <w:t>d</w:t>
      </w:r>
      <w:r w:rsidR="004C5FCE">
        <w:rPr>
          <w:rFonts w:eastAsia="Times New Roman"/>
          <w:lang w:val="fr-FR"/>
        </w:rPr>
        <w:t>’</w:t>
      </w:r>
      <w:r w:rsidRPr="00C10135">
        <w:rPr>
          <w:rFonts w:eastAsia="Times New Roman"/>
          <w:lang w:val="fr-FR"/>
        </w:rPr>
        <w:t xml:space="preserve">un instrument distinct ; </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g)</w:t>
      </w:r>
      <w:r w:rsidRPr="00C10135">
        <w:rPr>
          <w:rFonts w:eastAsia="Times New Roman"/>
          <w:lang w:val="fr-FR"/>
        </w:rPr>
        <w:tab/>
        <w:t>La prolongation de la durée de vie des centrales nucléaires suppose également de prendre les mesures nécessaires pour garantir la transparence et la participation du public, surtout dans un contexte transfrontière ;</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h)</w:t>
      </w:r>
      <w:r w:rsidRPr="00C10135">
        <w:rPr>
          <w:rFonts w:eastAsia="Times New Roman"/>
          <w:lang w:val="fr-FR"/>
        </w:rPr>
        <w:tab/>
        <w:t>Il convient d</w:t>
      </w:r>
      <w:r w:rsidR="004C5FCE">
        <w:rPr>
          <w:rFonts w:eastAsia="Times New Roman"/>
          <w:lang w:val="fr-FR"/>
        </w:rPr>
        <w:t>’</w:t>
      </w:r>
      <w:r w:rsidRPr="00C10135">
        <w:rPr>
          <w:rFonts w:eastAsia="Times New Roman"/>
          <w:lang w:val="fr-FR"/>
        </w:rPr>
        <w:t>accorder l</w:t>
      </w:r>
      <w:r w:rsidR="004C5FCE">
        <w:rPr>
          <w:rFonts w:eastAsia="Times New Roman"/>
          <w:lang w:val="fr-FR"/>
        </w:rPr>
        <w:t>’</w:t>
      </w:r>
      <w:r w:rsidRPr="00C10135">
        <w:rPr>
          <w:rFonts w:eastAsia="Times New Roman"/>
          <w:lang w:val="fr-FR"/>
        </w:rPr>
        <w:t xml:space="preserve">attention voulue aux </w:t>
      </w:r>
      <w:r>
        <w:rPr>
          <w:rFonts w:eastAsia="Times New Roman"/>
          <w:lang w:val="fr-FR"/>
        </w:rPr>
        <w:t>effets</w:t>
      </w:r>
      <w:r w:rsidRPr="00C10135">
        <w:rPr>
          <w:rFonts w:eastAsia="Times New Roman"/>
          <w:lang w:val="fr-FR"/>
        </w:rPr>
        <w:t xml:space="preserve"> éventuels des prolongations multiples de courte durée ;</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i)</w:t>
      </w:r>
      <w:r w:rsidRPr="00C10135">
        <w:rPr>
          <w:rFonts w:eastAsia="Times New Roman"/>
          <w:lang w:val="fr-FR"/>
        </w:rPr>
        <w:tab/>
        <w:t>Toutes les nouvelles mesures prises dans le domaine de la sûreté n</w:t>
      </w:r>
      <w:r w:rsidR="004C5FCE">
        <w:rPr>
          <w:rFonts w:eastAsia="Times New Roman"/>
          <w:lang w:val="fr-FR"/>
        </w:rPr>
        <w:t>’</w:t>
      </w:r>
      <w:r w:rsidRPr="00C10135">
        <w:rPr>
          <w:rFonts w:eastAsia="Times New Roman"/>
          <w:lang w:val="fr-FR"/>
        </w:rPr>
        <w:t>ont pas forcément un effet bénéfique sur l</w:t>
      </w:r>
      <w:r w:rsidR="004C5FCE">
        <w:rPr>
          <w:rFonts w:eastAsia="Times New Roman"/>
          <w:lang w:val="fr-FR"/>
        </w:rPr>
        <w:t>’</w:t>
      </w:r>
      <w:r w:rsidRPr="00C10135">
        <w:rPr>
          <w:rFonts w:eastAsia="Times New Roman"/>
          <w:lang w:val="fr-FR"/>
        </w:rPr>
        <w:t>environnement ; elles peuvent même avoir un effet inverse.</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3.</w:t>
      </w:r>
      <w:r w:rsidRPr="00C10135">
        <w:rPr>
          <w:rFonts w:eastAsia="Times New Roman"/>
          <w:lang w:val="fr-FR"/>
        </w:rPr>
        <w:tab/>
      </w:r>
      <w:r w:rsidRPr="00C10135">
        <w:rPr>
          <w:rFonts w:eastAsia="Times New Roman"/>
          <w:i/>
          <w:iCs/>
          <w:lang w:val="fr-FR"/>
        </w:rPr>
        <w:t>Se félicite</w:t>
      </w:r>
      <w:r w:rsidRPr="00C10135">
        <w:rPr>
          <w:rFonts w:eastAsia="Times New Roman"/>
          <w:lang w:val="fr-FR"/>
        </w:rPr>
        <w:t xml:space="preserve"> de la participation active des pays et des organisations internationales et non gouvernementales de la région de la CEE à l</w:t>
      </w:r>
      <w:r w:rsidR="004C5FCE">
        <w:rPr>
          <w:rFonts w:eastAsia="Times New Roman"/>
          <w:lang w:val="fr-FR"/>
        </w:rPr>
        <w:t>’</w:t>
      </w:r>
      <w:r w:rsidRPr="00C10135">
        <w:rPr>
          <w:rFonts w:eastAsia="Times New Roman"/>
          <w:lang w:val="fr-FR"/>
        </w:rPr>
        <w:t>atelier et des expériences concrètes qui y ont été présentées</w:t>
      </w:r>
      <w:r>
        <w:rPr>
          <w:rFonts w:eastAsia="Times New Roman"/>
          <w:lang w:val="fr-FR"/>
        </w:rPr>
        <w:t>, ainsi que</w:t>
      </w:r>
      <w:r w:rsidRPr="00C10135">
        <w:rPr>
          <w:rFonts w:eastAsia="Times New Roman"/>
          <w:lang w:val="fr-FR"/>
        </w:rPr>
        <w:t xml:space="preserve"> des contributions écrites qui ont été fournies avant et après l</w:t>
      </w:r>
      <w:r w:rsidR="004C5FCE">
        <w:rPr>
          <w:rFonts w:eastAsia="Times New Roman"/>
          <w:lang w:val="fr-FR"/>
        </w:rPr>
        <w:t>’</w:t>
      </w:r>
      <w:r w:rsidRPr="00C10135">
        <w:rPr>
          <w:rFonts w:eastAsia="Times New Roman"/>
          <w:lang w:val="fr-FR"/>
        </w:rPr>
        <w:t>atelier ;</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4.</w:t>
      </w:r>
      <w:r w:rsidRPr="00C10135">
        <w:rPr>
          <w:rFonts w:eastAsia="Times New Roman"/>
          <w:lang w:val="fr-FR"/>
        </w:rPr>
        <w:tab/>
      </w:r>
      <w:r w:rsidRPr="00C10135">
        <w:rPr>
          <w:rFonts w:eastAsia="Times New Roman"/>
          <w:i/>
          <w:lang w:val="fr-FR"/>
        </w:rPr>
        <w:t>Considère</w:t>
      </w:r>
      <w:r w:rsidRPr="00C10135">
        <w:rPr>
          <w:rFonts w:eastAsia="Times New Roman"/>
          <w:lang w:val="fr-FR"/>
        </w:rPr>
        <w:t xml:space="preserve"> qu</w:t>
      </w:r>
      <w:r w:rsidR="004C5FCE">
        <w:rPr>
          <w:rFonts w:eastAsia="Times New Roman"/>
          <w:lang w:val="fr-FR"/>
        </w:rPr>
        <w:t>’</w:t>
      </w:r>
      <w:r w:rsidRPr="00C10135">
        <w:rPr>
          <w:rFonts w:eastAsia="Times New Roman"/>
          <w:lang w:val="fr-FR"/>
        </w:rPr>
        <w:t>il est urgent d</w:t>
      </w:r>
      <w:r w:rsidR="004C5FCE">
        <w:rPr>
          <w:rFonts w:eastAsia="Times New Roman"/>
          <w:lang w:val="fr-FR"/>
        </w:rPr>
        <w:t>’</w:t>
      </w:r>
      <w:r w:rsidRPr="00C10135">
        <w:rPr>
          <w:rFonts w:eastAsia="Times New Roman"/>
          <w:lang w:val="fr-FR"/>
        </w:rPr>
        <w:t>établir des lignes directrices pour aider les pays à appliquer concrètement la Convention s</w:t>
      </w:r>
      <w:r w:rsidR="004C5FCE">
        <w:rPr>
          <w:rFonts w:eastAsia="Times New Roman"/>
          <w:lang w:val="fr-FR"/>
        </w:rPr>
        <w:t>’</w:t>
      </w:r>
      <w:r w:rsidRPr="00C10135">
        <w:rPr>
          <w:rFonts w:eastAsia="Times New Roman"/>
          <w:lang w:val="fr-FR"/>
        </w:rPr>
        <w:t>agissant de la prolongation de la durée de vie des centrales nucléaires et guider le Comité d</w:t>
      </w:r>
      <w:r w:rsidR="004C5FCE">
        <w:rPr>
          <w:rFonts w:eastAsia="Times New Roman"/>
          <w:lang w:val="fr-FR"/>
        </w:rPr>
        <w:t>’</w:t>
      </w:r>
      <w:r w:rsidRPr="00C10135">
        <w:rPr>
          <w:rFonts w:eastAsia="Times New Roman"/>
          <w:lang w:val="fr-FR"/>
        </w:rPr>
        <w:t>application dans son évaluation du respect des dispositions ;</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5.</w:t>
      </w:r>
      <w:r w:rsidRPr="00C10135">
        <w:rPr>
          <w:rFonts w:eastAsia="Times New Roman"/>
          <w:lang w:val="fr-FR"/>
        </w:rPr>
        <w:tab/>
      </w:r>
      <w:r w:rsidRPr="00C10135">
        <w:rPr>
          <w:rFonts w:eastAsia="Times New Roman"/>
          <w:i/>
          <w:iCs/>
          <w:lang w:val="fr-FR"/>
        </w:rPr>
        <w:t xml:space="preserve">Salue </w:t>
      </w:r>
      <w:r w:rsidRPr="00C10135">
        <w:rPr>
          <w:rFonts w:eastAsia="Times New Roman"/>
          <w:lang w:val="fr-FR"/>
        </w:rPr>
        <w:t>le travail accompli par le groupe de travail spécial aux fins de l</w:t>
      </w:r>
      <w:r w:rsidR="004C5FCE">
        <w:rPr>
          <w:rFonts w:eastAsia="Times New Roman"/>
          <w:lang w:val="fr-FR"/>
        </w:rPr>
        <w:t>’</w:t>
      </w:r>
      <w:r w:rsidRPr="00C10135">
        <w:rPr>
          <w:rFonts w:eastAsia="Times New Roman"/>
          <w:lang w:val="fr-FR"/>
        </w:rPr>
        <w:t>élaboration des lignes directrices et prend note du fait que le rapport d</w:t>
      </w:r>
      <w:r w:rsidR="004C5FCE">
        <w:rPr>
          <w:rFonts w:eastAsia="Times New Roman"/>
          <w:lang w:val="fr-FR"/>
        </w:rPr>
        <w:t>’</w:t>
      </w:r>
      <w:r w:rsidRPr="00C10135">
        <w:rPr>
          <w:rFonts w:eastAsia="Times New Roman"/>
          <w:lang w:val="fr-FR"/>
        </w:rPr>
        <w:t xml:space="preserve">activité établi par le groupe </w:t>
      </w:r>
      <w:r>
        <w:rPr>
          <w:rFonts w:eastAsia="Times New Roman"/>
          <w:lang w:val="fr-FR"/>
        </w:rPr>
        <w:t>est exposé</w:t>
      </w:r>
      <w:r w:rsidRPr="00C10135">
        <w:rPr>
          <w:rFonts w:eastAsia="Times New Roman"/>
          <w:lang w:val="fr-FR"/>
        </w:rPr>
        <w:t xml:space="preserve"> dans le document ECE/MP.EIA/2019/10 ;</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6.</w:t>
      </w:r>
      <w:r w:rsidRPr="00C10135">
        <w:rPr>
          <w:rFonts w:eastAsia="Times New Roman"/>
          <w:lang w:val="fr-FR"/>
        </w:rPr>
        <w:tab/>
      </w:r>
      <w:r w:rsidRPr="00C10135">
        <w:rPr>
          <w:rFonts w:eastAsia="Times New Roman"/>
          <w:i/>
          <w:iCs/>
          <w:lang w:val="fr-FR"/>
        </w:rPr>
        <w:t>Décide</w:t>
      </w:r>
      <w:r w:rsidRPr="00C10135">
        <w:rPr>
          <w:rFonts w:eastAsia="Times New Roman"/>
          <w:lang w:val="fr-FR"/>
        </w:rPr>
        <w:t xml:space="preserve"> d</w:t>
      </w:r>
      <w:r w:rsidR="004C5FCE">
        <w:rPr>
          <w:rFonts w:eastAsia="Times New Roman"/>
          <w:lang w:val="fr-FR"/>
        </w:rPr>
        <w:t>’</w:t>
      </w:r>
      <w:r w:rsidRPr="00C10135">
        <w:rPr>
          <w:rFonts w:eastAsia="Times New Roman"/>
          <w:lang w:val="fr-FR"/>
        </w:rPr>
        <w:t>inclure dans le plan de travail pour 2017-2020 l</w:t>
      </w:r>
      <w:r w:rsidR="004C5FCE">
        <w:rPr>
          <w:rFonts w:eastAsia="Times New Roman"/>
          <w:lang w:val="fr-FR"/>
        </w:rPr>
        <w:t>’</w:t>
      </w:r>
      <w:r w:rsidRPr="00C10135">
        <w:rPr>
          <w:rFonts w:eastAsia="Times New Roman"/>
          <w:lang w:val="fr-FR"/>
        </w:rPr>
        <w:t>élaboration des lignes directrices sur l</w:t>
      </w:r>
      <w:r w:rsidR="004C5FCE">
        <w:rPr>
          <w:rFonts w:eastAsia="Times New Roman"/>
          <w:lang w:val="fr-FR"/>
        </w:rPr>
        <w:t>’</w:t>
      </w:r>
      <w:r w:rsidRPr="00C10135">
        <w:rPr>
          <w:rFonts w:eastAsia="Times New Roman"/>
          <w:lang w:val="fr-FR"/>
        </w:rPr>
        <w:t>applicabilité de la Convention s</w:t>
      </w:r>
      <w:r w:rsidR="004C5FCE">
        <w:rPr>
          <w:rFonts w:eastAsia="Times New Roman"/>
          <w:lang w:val="fr-FR"/>
        </w:rPr>
        <w:t>’</w:t>
      </w:r>
      <w:r w:rsidRPr="00C10135">
        <w:rPr>
          <w:rFonts w:eastAsia="Times New Roman"/>
          <w:lang w:val="fr-FR"/>
        </w:rPr>
        <w:t>agissant de la prolongation de la durée de vie des centrales nucléaires ;</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7.</w:t>
      </w:r>
      <w:r w:rsidRPr="00C10135">
        <w:rPr>
          <w:rFonts w:eastAsia="Times New Roman"/>
          <w:lang w:val="fr-FR"/>
        </w:rPr>
        <w:tab/>
      </w:r>
      <w:r w:rsidRPr="00C10135">
        <w:rPr>
          <w:rFonts w:eastAsia="Times New Roman"/>
          <w:i/>
          <w:iCs/>
          <w:lang w:val="fr-FR"/>
        </w:rPr>
        <w:t>Estime</w:t>
      </w:r>
      <w:r w:rsidRPr="00C10135">
        <w:rPr>
          <w:rFonts w:eastAsia="Times New Roman"/>
          <w:lang w:val="fr-FR"/>
        </w:rPr>
        <w:t xml:space="preserve"> que les lignes directrices doivent être élaborées selon le cadre de référence adopté et dans la continuité des travaux menés par le groupe de travail spécial depuis mai 2018, tels que présentés dans son rapport d</w:t>
      </w:r>
      <w:r w:rsidR="004C5FCE">
        <w:rPr>
          <w:rFonts w:eastAsia="Times New Roman"/>
          <w:lang w:val="fr-FR"/>
        </w:rPr>
        <w:t>’</w:t>
      </w:r>
      <w:r w:rsidRPr="00C10135">
        <w:rPr>
          <w:rFonts w:eastAsia="Times New Roman"/>
          <w:lang w:val="fr-FR"/>
        </w:rPr>
        <w:t>activité, sachant qu</w:t>
      </w:r>
      <w:r w:rsidR="004C5FCE">
        <w:rPr>
          <w:rFonts w:eastAsia="Times New Roman"/>
          <w:lang w:val="fr-FR"/>
        </w:rPr>
        <w:t>’</w:t>
      </w:r>
      <w:r w:rsidRPr="00C10135">
        <w:rPr>
          <w:rFonts w:eastAsia="Times New Roman"/>
          <w:lang w:val="fr-FR"/>
        </w:rPr>
        <w:t>il convient également de tenir compte des résultats de l</w:t>
      </w:r>
      <w:r w:rsidR="004C5FCE">
        <w:rPr>
          <w:rFonts w:eastAsia="Times New Roman"/>
          <w:lang w:val="fr-FR"/>
        </w:rPr>
        <w:t>’</w:t>
      </w:r>
      <w:r w:rsidRPr="00C10135">
        <w:rPr>
          <w:rFonts w:eastAsia="Times New Roman"/>
          <w:lang w:val="fr-FR"/>
        </w:rPr>
        <w:t>atelier consacré à la prolongation de la durée de vie des centrales nucléaires ;</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8.</w:t>
      </w:r>
      <w:r w:rsidRPr="00C10135">
        <w:rPr>
          <w:rFonts w:eastAsia="Times New Roman"/>
          <w:lang w:val="fr-FR"/>
        </w:rPr>
        <w:tab/>
      </w:r>
      <w:r w:rsidRPr="00C10135">
        <w:rPr>
          <w:rFonts w:eastAsia="Times New Roman"/>
          <w:i/>
          <w:iCs/>
          <w:lang w:val="fr-FR"/>
        </w:rPr>
        <w:t xml:space="preserve">Décide </w:t>
      </w:r>
      <w:r w:rsidRPr="00C10135">
        <w:rPr>
          <w:rFonts w:eastAsia="Times New Roman"/>
          <w:lang w:val="fr-FR"/>
        </w:rPr>
        <w:t>que ces travaux doivent continuer d</w:t>
      </w:r>
      <w:r w:rsidR="004C5FCE">
        <w:rPr>
          <w:rFonts w:eastAsia="Times New Roman"/>
          <w:lang w:val="fr-FR"/>
        </w:rPr>
        <w:t>’</w:t>
      </w:r>
      <w:r w:rsidRPr="00C10135">
        <w:rPr>
          <w:rFonts w:eastAsia="Times New Roman"/>
          <w:lang w:val="fr-FR"/>
        </w:rPr>
        <w:t>être menés, avec l</w:t>
      </w:r>
      <w:r w:rsidR="004C5FCE">
        <w:rPr>
          <w:rFonts w:eastAsia="Times New Roman"/>
          <w:lang w:val="fr-FR"/>
        </w:rPr>
        <w:t>’</w:t>
      </w:r>
      <w:r w:rsidRPr="00C10135">
        <w:rPr>
          <w:rFonts w:eastAsia="Times New Roman"/>
          <w:lang w:val="fr-FR"/>
        </w:rPr>
        <w:t>appui du secrétariat, par le groupe de travail spécial créé à sa septième session et coprésidé par l</w:t>
      </w:r>
      <w:r w:rsidR="004C5FCE">
        <w:rPr>
          <w:rFonts w:eastAsia="Times New Roman"/>
          <w:lang w:val="fr-FR"/>
        </w:rPr>
        <w:t>’</w:t>
      </w:r>
      <w:r w:rsidRPr="00C10135">
        <w:rPr>
          <w:rFonts w:eastAsia="Times New Roman"/>
          <w:lang w:val="fr-FR"/>
        </w:rPr>
        <w:t>Allemagne et le Royaume-Uni, tel qu</w:t>
      </w:r>
      <w:r w:rsidR="004C5FCE">
        <w:rPr>
          <w:rFonts w:eastAsia="Times New Roman"/>
          <w:lang w:val="fr-FR"/>
        </w:rPr>
        <w:t>’</w:t>
      </w:r>
      <w:r w:rsidRPr="00C10135">
        <w:rPr>
          <w:rFonts w:eastAsia="Times New Roman"/>
          <w:lang w:val="fr-FR"/>
        </w:rPr>
        <w:t>élargi afin d</w:t>
      </w:r>
      <w:r w:rsidR="004C5FCE">
        <w:rPr>
          <w:rFonts w:eastAsia="Times New Roman"/>
          <w:lang w:val="fr-FR"/>
        </w:rPr>
        <w:t>’</w:t>
      </w:r>
      <w:r w:rsidRPr="00C10135">
        <w:rPr>
          <w:rFonts w:eastAsia="Times New Roman"/>
          <w:lang w:val="fr-FR"/>
        </w:rPr>
        <w:t>y inclure d</w:t>
      </w:r>
      <w:r w:rsidR="004C5FCE">
        <w:rPr>
          <w:rFonts w:eastAsia="Times New Roman"/>
          <w:lang w:val="fr-FR"/>
        </w:rPr>
        <w:t>’</w:t>
      </w:r>
      <w:r w:rsidRPr="00C10135">
        <w:rPr>
          <w:rFonts w:eastAsia="Times New Roman"/>
          <w:lang w:val="fr-FR"/>
        </w:rPr>
        <w:t>autres représentants d</w:t>
      </w:r>
      <w:r w:rsidR="004C5FCE">
        <w:rPr>
          <w:rFonts w:eastAsia="Times New Roman"/>
          <w:lang w:val="fr-FR"/>
        </w:rPr>
        <w:t>’</w:t>
      </w:r>
      <w:r w:rsidRPr="00C10135">
        <w:rPr>
          <w:rFonts w:eastAsia="Times New Roman"/>
          <w:lang w:val="fr-FR"/>
        </w:rPr>
        <w:t>États Parties offrant leurs services, sachant qu</w:t>
      </w:r>
      <w:r w:rsidR="004C5FCE">
        <w:rPr>
          <w:rFonts w:eastAsia="Times New Roman"/>
          <w:lang w:val="fr-FR"/>
        </w:rPr>
        <w:t>’</w:t>
      </w:r>
      <w:r w:rsidRPr="00C10135">
        <w:rPr>
          <w:rFonts w:eastAsia="Times New Roman"/>
          <w:lang w:val="fr-FR"/>
        </w:rPr>
        <w:t xml:space="preserve">il convient de tenir compte des vues de la société civile et des autres parties prenantes ; </w:t>
      </w:r>
    </w:p>
    <w:p w:rsidR="00A02F0E" w:rsidRPr="00C10135"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9.</w:t>
      </w:r>
      <w:r w:rsidRPr="00C10135">
        <w:rPr>
          <w:rFonts w:eastAsia="Times New Roman"/>
          <w:lang w:val="fr-FR"/>
        </w:rPr>
        <w:tab/>
      </w:r>
      <w:r w:rsidRPr="00C10135">
        <w:rPr>
          <w:rFonts w:eastAsia="Times New Roman"/>
          <w:i/>
          <w:lang w:val="fr-FR"/>
        </w:rPr>
        <w:t>Décide également</w:t>
      </w:r>
      <w:r w:rsidRPr="00C10135">
        <w:rPr>
          <w:rFonts w:eastAsia="Times New Roman"/>
          <w:lang w:val="fr-FR"/>
        </w:rPr>
        <w:t xml:space="preserve"> qu</w:t>
      </w:r>
      <w:r w:rsidR="004C5FCE">
        <w:rPr>
          <w:rFonts w:eastAsia="Times New Roman"/>
          <w:lang w:val="fr-FR"/>
        </w:rPr>
        <w:t>’</w:t>
      </w:r>
      <w:r w:rsidRPr="00C10135">
        <w:rPr>
          <w:rFonts w:eastAsia="Times New Roman"/>
          <w:lang w:val="fr-FR"/>
        </w:rPr>
        <w:t xml:space="preserve">il convient de mettre la dernière main aux lignes directrices pour que le Groupe de travail procède à </w:t>
      </w:r>
      <w:r>
        <w:rPr>
          <w:rFonts w:eastAsia="Times New Roman"/>
          <w:lang w:val="fr-FR"/>
        </w:rPr>
        <w:t>leur</w:t>
      </w:r>
      <w:r w:rsidRPr="00C10135">
        <w:rPr>
          <w:rFonts w:eastAsia="Times New Roman"/>
          <w:lang w:val="fr-FR"/>
        </w:rPr>
        <w:t xml:space="preserve"> examen au milieu de l</w:t>
      </w:r>
      <w:r w:rsidR="004C5FCE">
        <w:rPr>
          <w:rFonts w:eastAsia="Times New Roman"/>
          <w:lang w:val="fr-FR"/>
        </w:rPr>
        <w:t>’</w:t>
      </w:r>
      <w:r w:rsidRPr="00C10135">
        <w:rPr>
          <w:rFonts w:eastAsia="Times New Roman"/>
          <w:lang w:val="fr-FR"/>
        </w:rPr>
        <w:t>année 2020, avant soumission pour adoption à la Réunion des Parties à la Convention à sa huitième session, à la fin de 2020 ;</w:t>
      </w:r>
    </w:p>
    <w:p w:rsidR="00A02F0E" w:rsidRDefault="00A02F0E" w:rsidP="00A02F0E">
      <w:pPr>
        <w:kinsoku/>
        <w:overflowPunct/>
        <w:autoSpaceDE/>
        <w:autoSpaceDN/>
        <w:adjustRightInd/>
        <w:snapToGrid/>
        <w:spacing w:after="120"/>
        <w:ind w:left="1134" w:right="1134" w:firstLine="567"/>
        <w:jc w:val="both"/>
        <w:rPr>
          <w:rFonts w:eastAsia="Times New Roman"/>
          <w:lang w:val="fr-FR"/>
        </w:rPr>
      </w:pPr>
      <w:r w:rsidRPr="00C10135">
        <w:rPr>
          <w:rFonts w:eastAsia="Times New Roman"/>
          <w:lang w:val="fr-FR"/>
        </w:rPr>
        <w:t>10.</w:t>
      </w:r>
      <w:r w:rsidRPr="00C10135">
        <w:rPr>
          <w:rFonts w:eastAsia="Times New Roman"/>
          <w:lang w:val="fr-FR"/>
        </w:rPr>
        <w:tab/>
      </w:r>
      <w:r w:rsidRPr="00C10135">
        <w:rPr>
          <w:rFonts w:eastAsia="Times New Roman"/>
          <w:i/>
          <w:lang w:val="fr-FR"/>
        </w:rPr>
        <w:t>Invite</w:t>
      </w:r>
      <w:r w:rsidRPr="00C10135">
        <w:rPr>
          <w:rFonts w:eastAsia="Times New Roman"/>
          <w:lang w:val="fr-FR"/>
        </w:rPr>
        <w:t xml:space="preserve"> le Comité d</w:t>
      </w:r>
      <w:r w:rsidR="004C5FCE">
        <w:rPr>
          <w:rFonts w:eastAsia="Times New Roman"/>
          <w:lang w:val="fr-FR"/>
        </w:rPr>
        <w:t>’</w:t>
      </w:r>
      <w:r w:rsidRPr="00C10135">
        <w:rPr>
          <w:rFonts w:eastAsia="Times New Roman"/>
          <w:lang w:val="fr-FR"/>
        </w:rPr>
        <w:t>application à continuer de rassembler des informations sur les affaires en cours concernant la prolongation de la durée de vie des centrales nucléaires et à continuer à alimenter les travaux du groupe spécial chargé d</w:t>
      </w:r>
      <w:r w:rsidR="004C5FCE">
        <w:rPr>
          <w:rFonts w:eastAsia="Times New Roman"/>
          <w:lang w:val="fr-FR"/>
        </w:rPr>
        <w:t>’</w:t>
      </w:r>
      <w:r w:rsidRPr="00C10135">
        <w:rPr>
          <w:rFonts w:eastAsia="Times New Roman"/>
          <w:lang w:val="fr-FR"/>
        </w:rPr>
        <w:t>élaborer les lignes directrices.</w:t>
      </w:r>
    </w:p>
    <w:p w:rsidR="00564D9F" w:rsidRPr="00564D9F" w:rsidRDefault="00564D9F" w:rsidP="00564D9F">
      <w:pPr>
        <w:pStyle w:val="SingleTxtG"/>
        <w:spacing w:before="240" w:after="0"/>
        <w:jc w:val="center"/>
        <w:rPr>
          <w:u w:val="single"/>
        </w:rPr>
      </w:pPr>
      <w:r>
        <w:rPr>
          <w:u w:val="single"/>
        </w:rPr>
        <w:tab/>
      </w:r>
      <w:r>
        <w:rPr>
          <w:u w:val="single"/>
        </w:rPr>
        <w:tab/>
      </w:r>
      <w:r>
        <w:rPr>
          <w:u w:val="single"/>
        </w:rPr>
        <w:tab/>
      </w:r>
    </w:p>
    <w:sectPr w:rsidR="00564D9F" w:rsidRPr="00564D9F" w:rsidSect="00A02F0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330" w:rsidRDefault="00BC2330" w:rsidP="00F95C08">
      <w:pPr>
        <w:spacing w:line="240" w:lineRule="auto"/>
      </w:pPr>
    </w:p>
  </w:endnote>
  <w:endnote w:type="continuationSeparator" w:id="0">
    <w:p w:rsidR="00BC2330" w:rsidRPr="00AC3823" w:rsidRDefault="00BC2330" w:rsidP="00AC3823">
      <w:pPr>
        <w:pStyle w:val="Footer"/>
      </w:pPr>
    </w:p>
  </w:endnote>
  <w:endnote w:type="continuationNotice" w:id="1">
    <w:p w:rsidR="00BC2330" w:rsidRDefault="00BC23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F0E" w:rsidRPr="00A02F0E" w:rsidRDefault="00A02F0E" w:rsidP="00A02F0E">
    <w:pPr>
      <w:pStyle w:val="Footer"/>
      <w:tabs>
        <w:tab w:val="right" w:pos="9638"/>
      </w:tabs>
    </w:pPr>
    <w:r w:rsidRPr="00A02F0E">
      <w:rPr>
        <w:b/>
        <w:sz w:val="18"/>
      </w:rPr>
      <w:fldChar w:fldCharType="begin"/>
    </w:r>
    <w:r w:rsidRPr="00A02F0E">
      <w:rPr>
        <w:b/>
        <w:sz w:val="18"/>
      </w:rPr>
      <w:instrText xml:space="preserve"> PAGE  \* MERGEFORMAT </w:instrText>
    </w:r>
    <w:r w:rsidRPr="00A02F0E">
      <w:rPr>
        <w:b/>
        <w:sz w:val="18"/>
      </w:rPr>
      <w:fldChar w:fldCharType="separate"/>
    </w:r>
    <w:r w:rsidR="00394176">
      <w:rPr>
        <w:b/>
        <w:noProof/>
        <w:sz w:val="18"/>
      </w:rPr>
      <w:t>4</w:t>
    </w:r>
    <w:r w:rsidRPr="00A02F0E">
      <w:rPr>
        <w:b/>
        <w:sz w:val="18"/>
      </w:rPr>
      <w:fldChar w:fldCharType="end"/>
    </w:r>
    <w:r>
      <w:rPr>
        <w:b/>
        <w:sz w:val="18"/>
      </w:rPr>
      <w:tab/>
    </w:r>
    <w:r>
      <w:t>GE.18-19197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F0E" w:rsidRPr="00A02F0E" w:rsidRDefault="00A02F0E" w:rsidP="00A02F0E">
    <w:pPr>
      <w:pStyle w:val="Footer"/>
      <w:tabs>
        <w:tab w:val="right" w:pos="9638"/>
      </w:tabs>
      <w:rPr>
        <w:b/>
        <w:sz w:val="18"/>
      </w:rPr>
    </w:pPr>
    <w:r>
      <w:t>GE.18-19197</w:t>
    </w:r>
    <w:r>
      <w:tab/>
    </w:r>
    <w:r w:rsidRPr="00A02F0E">
      <w:rPr>
        <w:b/>
        <w:sz w:val="18"/>
      </w:rPr>
      <w:fldChar w:fldCharType="begin"/>
    </w:r>
    <w:r w:rsidRPr="00A02F0E">
      <w:rPr>
        <w:b/>
        <w:sz w:val="18"/>
      </w:rPr>
      <w:instrText xml:space="preserve"> PAGE  \* MERGEFORMAT </w:instrText>
    </w:r>
    <w:r w:rsidRPr="00A02F0E">
      <w:rPr>
        <w:b/>
        <w:sz w:val="18"/>
      </w:rPr>
      <w:fldChar w:fldCharType="separate"/>
    </w:r>
    <w:r w:rsidR="00394176">
      <w:rPr>
        <w:b/>
        <w:noProof/>
        <w:sz w:val="18"/>
      </w:rPr>
      <w:t>3</w:t>
    </w:r>
    <w:r w:rsidRPr="00A02F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A02F0E" w:rsidRDefault="00A02F0E" w:rsidP="00A02F0E">
    <w:pPr>
      <w:pStyle w:val="Footer"/>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18-19197  (F)</w:t>
    </w:r>
    <w:r w:rsidR="00716607">
      <w:rPr>
        <w:sz w:val="20"/>
      </w:rPr>
      <w:t xml:space="preserve">    291118    171218</w:t>
    </w:r>
    <w:r>
      <w:rPr>
        <w:sz w:val="20"/>
      </w:rPr>
      <w:br/>
    </w:r>
    <w:r w:rsidRPr="00A02F0E">
      <w:rPr>
        <w:rFonts w:ascii="C39T30Lfz" w:hAnsi="C39T30Lfz"/>
        <w:sz w:val="56"/>
      </w:rPr>
      <w:t></w:t>
    </w:r>
    <w:r w:rsidRPr="00A02F0E">
      <w:rPr>
        <w:rFonts w:ascii="C39T30Lfz" w:hAnsi="C39T30Lfz"/>
        <w:sz w:val="56"/>
      </w:rPr>
      <w:t></w:t>
    </w:r>
    <w:r w:rsidRPr="00A02F0E">
      <w:rPr>
        <w:rFonts w:ascii="C39T30Lfz" w:hAnsi="C39T30Lfz"/>
        <w:sz w:val="56"/>
      </w:rPr>
      <w:t></w:t>
    </w:r>
    <w:r w:rsidRPr="00A02F0E">
      <w:rPr>
        <w:rFonts w:ascii="C39T30Lfz" w:hAnsi="C39T30Lfz"/>
        <w:sz w:val="56"/>
      </w:rPr>
      <w:t></w:t>
    </w:r>
    <w:r w:rsidRPr="00A02F0E">
      <w:rPr>
        <w:rFonts w:ascii="C39T30Lfz" w:hAnsi="C39T30Lfz"/>
        <w:sz w:val="56"/>
      </w:rPr>
      <w:t></w:t>
    </w:r>
    <w:r w:rsidRPr="00A02F0E">
      <w:rPr>
        <w:rFonts w:ascii="C39T30Lfz" w:hAnsi="C39T30Lfz"/>
        <w:sz w:val="56"/>
      </w:rPr>
      <w:t></w:t>
    </w:r>
    <w:r w:rsidRPr="00A02F0E">
      <w:rPr>
        <w:rFonts w:ascii="C39T30Lfz" w:hAnsi="C39T30Lfz"/>
        <w:sz w:val="56"/>
      </w:rPr>
      <w:t></w:t>
    </w:r>
    <w:r w:rsidRPr="00A02F0E">
      <w:rPr>
        <w:rFonts w:ascii="C39T30Lfz" w:hAnsi="C39T30Lfz"/>
        <w:sz w:val="56"/>
      </w:rPr>
      <w:t></w:t>
    </w:r>
    <w:r w:rsidRPr="00A02F0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2019/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330" w:rsidRPr="00AC3823" w:rsidRDefault="00BC2330" w:rsidP="00AC3823">
      <w:pPr>
        <w:pStyle w:val="Footer"/>
        <w:tabs>
          <w:tab w:val="right" w:pos="2155"/>
        </w:tabs>
        <w:spacing w:after="80" w:line="240" w:lineRule="atLeast"/>
        <w:ind w:left="680"/>
        <w:rPr>
          <w:u w:val="single"/>
        </w:rPr>
      </w:pPr>
      <w:r>
        <w:rPr>
          <w:u w:val="single"/>
        </w:rPr>
        <w:tab/>
      </w:r>
    </w:p>
  </w:footnote>
  <w:footnote w:type="continuationSeparator" w:id="0">
    <w:p w:rsidR="00BC2330" w:rsidRPr="00AC3823" w:rsidRDefault="00BC2330" w:rsidP="00AC3823">
      <w:pPr>
        <w:pStyle w:val="Footer"/>
        <w:tabs>
          <w:tab w:val="right" w:pos="2155"/>
        </w:tabs>
        <w:spacing w:after="80" w:line="240" w:lineRule="atLeast"/>
        <w:ind w:left="680"/>
        <w:rPr>
          <w:u w:val="single"/>
        </w:rPr>
      </w:pPr>
      <w:r>
        <w:rPr>
          <w:u w:val="single"/>
        </w:rPr>
        <w:tab/>
      </w:r>
    </w:p>
  </w:footnote>
  <w:footnote w:type="continuationNotice" w:id="1">
    <w:p w:rsidR="00BC2330" w:rsidRPr="00AC3823" w:rsidRDefault="00BC2330">
      <w:pPr>
        <w:spacing w:line="240" w:lineRule="auto"/>
        <w:rPr>
          <w:sz w:val="2"/>
          <w:szCs w:val="2"/>
        </w:rPr>
      </w:pPr>
    </w:p>
  </w:footnote>
  <w:footnote w:id="2">
    <w:p w:rsidR="00A02F0E" w:rsidRPr="007D3873" w:rsidRDefault="00A02F0E" w:rsidP="00A02F0E">
      <w:pPr>
        <w:pStyle w:val="FootnoteText"/>
        <w:widowControl w:val="0"/>
        <w:rPr>
          <w:lang w:val="fr-FR"/>
        </w:rPr>
      </w:pPr>
      <w:r>
        <w:rPr>
          <w:lang w:val="fr-FR"/>
        </w:rPr>
        <w:tab/>
      </w:r>
      <w:r>
        <w:rPr>
          <w:rStyle w:val="FootnoteReference"/>
          <w:lang w:val="fr-FR"/>
        </w:rPr>
        <w:footnoteRef/>
      </w:r>
      <w:r>
        <w:rPr>
          <w:lang w:val="fr-FR"/>
        </w:rPr>
        <w:tab/>
        <w:t>Composé de représentants des pays suivants : Allemagne, Arménie, Autriche, Bélarus, Belgique, Bulgarie, Canada, Espagne, Finlande, France, Grèce, Italie, Lituanie, Luxembourg, Norvège, Pays</w:t>
      </w:r>
      <w:r w:rsidR="009C2F48">
        <w:rPr>
          <w:lang w:val="fr-FR"/>
        </w:rPr>
        <w:noBreakHyphen/>
      </w:r>
      <w:r>
        <w:rPr>
          <w:lang w:val="fr-FR"/>
        </w:rPr>
        <w:t>Bas, Pologne, Portugal, Roumanie, Royaume-Uni de Grande-Bretagne et d'Irlande du Nord, Slovaquie, Slovénie,</w:t>
      </w:r>
      <w:r w:rsidR="009C2F48">
        <w:rPr>
          <w:lang w:val="fr-FR"/>
        </w:rPr>
        <w:t xml:space="preserve"> République tchèque et Ukraine.</w:t>
      </w:r>
    </w:p>
  </w:footnote>
  <w:footnote w:id="3">
    <w:p w:rsidR="00A02F0E" w:rsidRPr="007D3873" w:rsidRDefault="00A02F0E" w:rsidP="00A02F0E">
      <w:pPr>
        <w:pStyle w:val="FootnoteText"/>
        <w:rPr>
          <w:lang w:val="fr-FR"/>
        </w:rPr>
      </w:pPr>
      <w:r>
        <w:rPr>
          <w:lang w:val="fr-FR"/>
        </w:rPr>
        <w:tab/>
      </w:r>
      <w:r>
        <w:rPr>
          <w:rStyle w:val="FootnoteReference"/>
          <w:lang w:val="fr-FR"/>
        </w:rPr>
        <w:footnoteRef/>
      </w:r>
      <w:r>
        <w:rPr>
          <w:lang w:val="fr-FR"/>
        </w:rPr>
        <w:tab/>
        <w:t>ECE/MP.EIA/23/Add.1-ECE/MP.EIA/SEA/7/Add.1, décision VII/3-III/3</w:t>
      </w:r>
      <w:r w:rsidR="006B24E5">
        <w:rPr>
          <w:lang w:val="fr-FR"/>
        </w:rPr>
        <w:t>,</w:t>
      </w:r>
      <w:r>
        <w:rPr>
          <w:lang w:val="fr-FR"/>
        </w:rPr>
        <w:t xml:space="preserve"> annexe I.</w:t>
      </w:r>
    </w:p>
  </w:footnote>
  <w:footnote w:id="4">
    <w:p w:rsidR="00A02F0E" w:rsidRPr="007D3873" w:rsidRDefault="00A02F0E" w:rsidP="00A02F0E">
      <w:pPr>
        <w:pStyle w:val="FootnoteText"/>
        <w:rPr>
          <w:lang w:val="fr-FR"/>
        </w:rPr>
      </w:pPr>
      <w:r>
        <w:rPr>
          <w:lang w:val="fr-FR"/>
        </w:rPr>
        <w:tab/>
      </w:r>
      <w:r>
        <w:rPr>
          <w:rStyle w:val="FootnoteReference"/>
          <w:lang w:val="fr-FR"/>
        </w:rPr>
        <w:footnoteRef/>
      </w:r>
      <w:r>
        <w:rPr>
          <w:lang w:val="fr-FR"/>
        </w:rPr>
        <w:tab/>
        <w:t>Directive 2011/92/UE du Parlement européen et du Conseil du 13</w:t>
      </w:r>
      <w:r w:rsidR="009C2F48">
        <w:rPr>
          <w:lang w:val="fr-FR"/>
        </w:rPr>
        <w:t> </w:t>
      </w:r>
      <w:r>
        <w:rPr>
          <w:lang w:val="fr-FR"/>
        </w:rPr>
        <w:t>décembre 2011 concernant l’évaluation des incidences de certains projets publics et privés sur l’environnement, modifiée par la Directive 2014/52/UE du Parlement et du Conseil du 16</w:t>
      </w:r>
      <w:r w:rsidR="009C2F48">
        <w:rPr>
          <w:lang w:val="fr-FR"/>
        </w:rPr>
        <w:t> </w:t>
      </w:r>
      <w:r>
        <w:rPr>
          <w:lang w:val="fr-FR"/>
        </w:rPr>
        <w:t>avril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F0E" w:rsidRPr="00A02F0E" w:rsidRDefault="00322B8A">
    <w:pPr>
      <w:pStyle w:val="Header"/>
    </w:pPr>
    <w:r>
      <w:fldChar w:fldCharType="begin"/>
    </w:r>
    <w:r>
      <w:instrText xml:space="preserve"> TITLE  \* MERGEFORMAT </w:instrText>
    </w:r>
    <w:r>
      <w:fldChar w:fldCharType="separate"/>
    </w:r>
    <w:r w:rsidR="006B24E5">
      <w:t>ECE/MP.EIA/2019/11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F0E" w:rsidRPr="00A02F0E" w:rsidRDefault="00322B8A" w:rsidP="00A02F0E">
    <w:pPr>
      <w:pStyle w:val="Header"/>
      <w:jc w:val="right"/>
    </w:pPr>
    <w:r>
      <w:fldChar w:fldCharType="begin"/>
    </w:r>
    <w:r>
      <w:instrText xml:space="preserve"> TITLE  \* MERGEFORMAT </w:instrText>
    </w:r>
    <w:r>
      <w:fldChar w:fldCharType="separate"/>
    </w:r>
    <w:r w:rsidR="006B24E5">
      <w:t>ECE/MP.EIA/2019/11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30"/>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D7C93"/>
    <w:rsid w:val="002E20BC"/>
    <w:rsid w:val="00322B8A"/>
    <w:rsid w:val="00364A43"/>
    <w:rsid w:val="00394176"/>
    <w:rsid w:val="00441C3B"/>
    <w:rsid w:val="00446FE5"/>
    <w:rsid w:val="00452396"/>
    <w:rsid w:val="004667BB"/>
    <w:rsid w:val="004C5FCE"/>
    <w:rsid w:val="004E468C"/>
    <w:rsid w:val="005505B7"/>
    <w:rsid w:val="00564D9F"/>
    <w:rsid w:val="00573BE5"/>
    <w:rsid w:val="00586ED3"/>
    <w:rsid w:val="00596AA9"/>
    <w:rsid w:val="006B24E5"/>
    <w:rsid w:val="006C0E3B"/>
    <w:rsid w:val="0071601D"/>
    <w:rsid w:val="00716607"/>
    <w:rsid w:val="007A5FC4"/>
    <w:rsid w:val="007A62E6"/>
    <w:rsid w:val="0080684C"/>
    <w:rsid w:val="00871C75"/>
    <w:rsid w:val="008776DC"/>
    <w:rsid w:val="008D6B3F"/>
    <w:rsid w:val="009705C8"/>
    <w:rsid w:val="009C1CF4"/>
    <w:rsid w:val="009C2F48"/>
    <w:rsid w:val="009E1CC9"/>
    <w:rsid w:val="00A02F0E"/>
    <w:rsid w:val="00A14420"/>
    <w:rsid w:val="00A30353"/>
    <w:rsid w:val="00AC3823"/>
    <w:rsid w:val="00AE323C"/>
    <w:rsid w:val="00B00181"/>
    <w:rsid w:val="00B00B0D"/>
    <w:rsid w:val="00B765F7"/>
    <w:rsid w:val="00BA0CA9"/>
    <w:rsid w:val="00BC2330"/>
    <w:rsid w:val="00C02897"/>
    <w:rsid w:val="00C554CE"/>
    <w:rsid w:val="00C83DA6"/>
    <w:rsid w:val="00D3439C"/>
    <w:rsid w:val="00D503D3"/>
    <w:rsid w:val="00DA1A63"/>
    <w:rsid w:val="00DB1831"/>
    <w:rsid w:val="00DD3BFD"/>
    <w:rsid w:val="00DE337A"/>
    <w:rsid w:val="00DF5712"/>
    <w:rsid w:val="00DF6678"/>
    <w:rsid w:val="00E96BD6"/>
    <w:rsid w:val="00EE22F9"/>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E44C02-FA66-46C9-B657-7DD59D44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rsid w:val="009C2F4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8569</Characters>
  <Application>Microsoft Office Word</Application>
  <DocSecurity>4</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ECE/MP.EIA/2019/11</vt:lpstr>
      <vt:lpstr>ECE/MP.EIA/2019/11</vt:lpstr>
    </vt:vector>
  </TitlesOfParts>
  <Company>DCM</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ECE/MP.EIA/2019/11</dc:title>
  <dc:subject/>
  <dc:creator>Fabienne CRELIER</dc:creator>
  <cp:keywords/>
  <cp:lastModifiedBy>Elisabeth James</cp:lastModifiedBy>
  <cp:revision>2</cp:revision>
  <cp:lastPrinted>2018-12-17T14:56:00Z</cp:lastPrinted>
  <dcterms:created xsi:type="dcterms:W3CDTF">2018-12-19T00:55:00Z</dcterms:created>
  <dcterms:modified xsi:type="dcterms:W3CDTF">2018-12-19T00:55:00Z</dcterms:modified>
</cp:coreProperties>
</file>