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6FF349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937B18" w14:textId="77777777" w:rsidR="002D5AAC" w:rsidRDefault="002D5AAC" w:rsidP="008A57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9E60D6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99CFF6A" w14:textId="77777777" w:rsidR="002D5AAC" w:rsidRDefault="008A57A3" w:rsidP="008A57A3">
            <w:pPr>
              <w:jc w:val="right"/>
            </w:pPr>
            <w:r w:rsidRPr="008A57A3">
              <w:rPr>
                <w:sz w:val="40"/>
              </w:rPr>
              <w:t>ECE</w:t>
            </w:r>
            <w:r>
              <w:t>/MP.EIA/WG.2/2019/7</w:t>
            </w:r>
          </w:p>
        </w:tc>
      </w:tr>
      <w:tr w:rsidR="002D5AAC" w:rsidRPr="00F329F8" w14:paraId="3D6C824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9054D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29084E" wp14:editId="7230832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13EF2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2CBBCB5" w14:textId="77777777" w:rsidR="002D5AAC" w:rsidRDefault="008A57A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D13557A" w14:textId="77777777" w:rsidR="008A57A3" w:rsidRDefault="008A57A3" w:rsidP="008A57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September 2019</w:t>
            </w:r>
          </w:p>
          <w:p w14:paraId="19C30E7A" w14:textId="77777777" w:rsidR="008A57A3" w:rsidRDefault="008A57A3" w:rsidP="008A57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B0F1A30" w14:textId="77777777" w:rsidR="008A57A3" w:rsidRPr="008D53B6" w:rsidRDefault="008A57A3" w:rsidP="008A57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6CF75F4" w14:textId="77777777" w:rsidR="008A57A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FECCB09" w14:textId="77777777" w:rsidR="008A57A3" w:rsidRPr="00260B72" w:rsidRDefault="008A57A3" w:rsidP="008A57A3">
      <w:pPr>
        <w:spacing w:before="120"/>
        <w:rPr>
          <w:bCs/>
          <w:sz w:val="24"/>
          <w:szCs w:val="24"/>
        </w:rPr>
      </w:pPr>
      <w:r w:rsidRPr="00260B72">
        <w:rPr>
          <w:sz w:val="24"/>
          <w:szCs w:val="24"/>
        </w:rPr>
        <w:t>Совещание Сторон Конвенции об оценке</w:t>
      </w:r>
      <w:r w:rsidRPr="00260B72">
        <w:rPr>
          <w:b/>
          <w:sz w:val="24"/>
          <w:szCs w:val="24"/>
        </w:rPr>
        <w:br/>
      </w:r>
      <w:r w:rsidRPr="00260B72">
        <w:rPr>
          <w:sz w:val="24"/>
          <w:szCs w:val="24"/>
        </w:rPr>
        <w:t>воздействия на окружающую среду</w:t>
      </w:r>
      <w:r w:rsidRPr="00260B72">
        <w:rPr>
          <w:b/>
          <w:sz w:val="24"/>
          <w:szCs w:val="24"/>
        </w:rPr>
        <w:br/>
      </w:r>
      <w:r w:rsidRPr="00260B72">
        <w:rPr>
          <w:sz w:val="24"/>
          <w:szCs w:val="24"/>
        </w:rPr>
        <w:t>в трансграничном контексте</w:t>
      </w:r>
    </w:p>
    <w:p w14:paraId="1A35F75B" w14:textId="77777777" w:rsidR="008A57A3" w:rsidRPr="00422E8C" w:rsidRDefault="008A57A3" w:rsidP="008A57A3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260B72">
        <w:rPr>
          <w:sz w:val="24"/>
          <w:szCs w:val="24"/>
        </w:rPr>
        <w:t>Совещание Сторон Конвенции об оценке</w:t>
      </w:r>
      <w:r w:rsidRPr="00260B72">
        <w:rPr>
          <w:b/>
          <w:sz w:val="24"/>
          <w:szCs w:val="24"/>
        </w:rPr>
        <w:br/>
      </w:r>
      <w:r w:rsidRPr="00260B72">
        <w:rPr>
          <w:sz w:val="24"/>
          <w:szCs w:val="24"/>
        </w:rPr>
        <w:t xml:space="preserve">воздействия на окружающую среду </w:t>
      </w:r>
      <w:r w:rsidRPr="00260B72">
        <w:rPr>
          <w:b/>
          <w:sz w:val="24"/>
          <w:szCs w:val="24"/>
        </w:rPr>
        <w:br/>
      </w:r>
      <w:r w:rsidR="00265FFA" w:rsidRPr="00260B72">
        <w:rPr>
          <w:sz w:val="24"/>
          <w:szCs w:val="24"/>
        </w:rPr>
        <w:t xml:space="preserve">в </w:t>
      </w:r>
      <w:r w:rsidRPr="00260B72">
        <w:rPr>
          <w:sz w:val="24"/>
          <w:szCs w:val="24"/>
        </w:rPr>
        <w:t>трансграничном контексте, действующее</w:t>
      </w:r>
      <w:r w:rsidRPr="00260B72">
        <w:rPr>
          <w:b/>
          <w:sz w:val="24"/>
          <w:szCs w:val="24"/>
        </w:rPr>
        <w:br/>
      </w:r>
      <w:r w:rsidRPr="00260B72">
        <w:rPr>
          <w:sz w:val="24"/>
          <w:szCs w:val="24"/>
        </w:rPr>
        <w:t>в качестве совещания Сторон Протокола</w:t>
      </w:r>
      <w:r w:rsidRPr="00260B72">
        <w:rPr>
          <w:b/>
          <w:sz w:val="24"/>
          <w:szCs w:val="24"/>
        </w:rPr>
        <w:br/>
      </w:r>
      <w:r w:rsidRPr="00260B72">
        <w:rPr>
          <w:sz w:val="24"/>
          <w:szCs w:val="24"/>
        </w:rPr>
        <w:t>по стратегической экологической оценке</w:t>
      </w:r>
    </w:p>
    <w:p w14:paraId="235F24CB" w14:textId="77777777" w:rsidR="008A57A3" w:rsidRPr="00260B72" w:rsidRDefault="008A57A3" w:rsidP="008A57A3">
      <w:pPr>
        <w:spacing w:before="120"/>
        <w:rPr>
          <w:b/>
          <w:sz w:val="24"/>
          <w:szCs w:val="24"/>
        </w:rPr>
      </w:pPr>
      <w:r w:rsidRPr="00260B72">
        <w:rPr>
          <w:b/>
          <w:bCs/>
          <w:sz w:val="24"/>
          <w:szCs w:val="24"/>
        </w:rPr>
        <w:t xml:space="preserve">Рабочая группа по оценке воздействия </w:t>
      </w:r>
      <w:r w:rsidR="00265FFA">
        <w:rPr>
          <w:b/>
          <w:bCs/>
          <w:sz w:val="24"/>
          <w:szCs w:val="24"/>
        </w:rPr>
        <w:br/>
      </w:r>
      <w:r w:rsidRPr="00260B72">
        <w:rPr>
          <w:b/>
          <w:bCs/>
          <w:sz w:val="24"/>
          <w:szCs w:val="24"/>
        </w:rPr>
        <w:t>на окружающую</w:t>
      </w:r>
      <w:r w:rsidR="00265FFA" w:rsidRPr="00265FFA">
        <w:rPr>
          <w:b/>
          <w:bCs/>
          <w:sz w:val="24"/>
          <w:szCs w:val="24"/>
        </w:rPr>
        <w:t xml:space="preserve"> </w:t>
      </w:r>
      <w:r w:rsidRPr="00260B72">
        <w:rPr>
          <w:b/>
          <w:bCs/>
          <w:sz w:val="24"/>
          <w:szCs w:val="24"/>
        </w:rPr>
        <w:t xml:space="preserve">среду и стратегической </w:t>
      </w:r>
      <w:r w:rsidR="00265FFA">
        <w:rPr>
          <w:b/>
          <w:bCs/>
          <w:sz w:val="24"/>
          <w:szCs w:val="24"/>
        </w:rPr>
        <w:br/>
      </w:r>
      <w:r w:rsidRPr="00260B72">
        <w:rPr>
          <w:b/>
          <w:bCs/>
          <w:sz w:val="24"/>
          <w:szCs w:val="24"/>
        </w:rPr>
        <w:t>экологической оценке</w:t>
      </w:r>
    </w:p>
    <w:p w14:paraId="14134535" w14:textId="77777777" w:rsidR="008A57A3" w:rsidRPr="00422E8C" w:rsidRDefault="008A57A3" w:rsidP="008A57A3">
      <w:pPr>
        <w:spacing w:before="120"/>
        <w:rPr>
          <w:b/>
        </w:rPr>
      </w:pPr>
      <w:r>
        <w:rPr>
          <w:b/>
          <w:bCs/>
        </w:rPr>
        <w:t>Восьмое совещание</w:t>
      </w:r>
    </w:p>
    <w:p w14:paraId="4252C457" w14:textId="77777777" w:rsidR="008A57A3" w:rsidRPr="00422E8C" w:rsidRDefault="008A57A3" w:rsidP="008A57A3">
      <w:r>
        <w:t>Женева, 26–28 ноября 2019 года</w:t>
      </w:r>
    </w:p>
    <w:p w14:paraId="7C431F62" w14:textId="77777777" w:rsidR="008A57A3" w:rsidRPr="00422E8C" w:rsidRDefault="008A57A3" w:rsidP="008A57A3">
      <w:r>
        <w:t>Пункт 6 предварительной повестки дня</w:t>
      </w:r>
    </w:p>
    <w:p w14:paraId="3617F461" w14:textId="77777777" w:rsidR="008A57A3" w:rsidRPr="00422E8C" w:rsidRDefault="008A57A3" w:rsidP="008A57A3">
      <w:pPr>
        <w:rPr>
          <w:b/>
          <w:bCs/>
        </w:rPr>
      </w:pPr>
      <w:r>
        <w:rPr>
          <w:b/>
          <w:bCs/>
        </w:rPr>
        <w:t xml:space="preserve">Содействие ратификации и применению </w:t>
      </w:r>
      <w:r w:rsidR="00265FFA">
        <w:rPr>
          <w:b/>
          <w:bCs/>
        </w:rPr>
        <w:br/>
      </w:r>
      <w:r>
        <w:rPr>
          <w:b/>
          <w:bCs/>
        </w:rPr>
        <w:t>Протокола и Конвенции</w:t>
      </w:r>
    </w:p>
    <w:p w14:paraId="5006F7CB" w14:textId="77777777" w:rsidR="008A57A3" w:rsidRPr="00422E8C" w:rsidRDefault="008A57A3" w:rsidP="008A57A3">
      <w:pPr>
        <w:pStyle w:val="HChG"/>
      </w:pPr>
      <w:r>
        <w:tab/>
      </w:r>
      <w:r>
        <w:tab/>
      </w:r>
      <w:r>
        <w:rPr>
          <w:bCs/>
        </w:rPr>
        <w:t>Конвенция об оценке воздействия на окружающую среду в трансграничном контексте (краткие сведения)</w:t>
      </w:r>
    </w:p>
    <w:p w14:paraId="365CF652" w14:textId="77777777" w:rsidR="008A57A3" w:rsidRPr="00F212FA" w:rsidRDefault="008A57A3" w:rsidP="008A57A3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8A57A3" w:rsidRPr="008A57A3" w14:paraId="088415A1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27627DE2" w14:textId="77777777" w:rsidR="008A57A3" w:rsidRPr="008A57A3" w:rsidRDefault="008A57A3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A57A3">
              <w:rPr>
                <w:rFonts w:cs="Times New Roman"/>
              </w:rPr>
              <w:tab/>
            </w:r>
            <w:r w:rsidRPr="008A57A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A57A3" w:rsidRPr="008A57A3" w14:paraId="4F2AE19B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E3E82C0" w14:textId="77777777" w:rsidR="008A57A3" w:rsidRPr="008A57A3" w:rsidRDefault="008A57A3" w:rsidP="008A57A3">
            <w:pPr>
              <w:pStyle w:val="SingleTxtG"/>
            </w:pPr>
            <w:r>
              <w:tab/>
            </w:r>
            <w:r>
              <w:tab/>
              <w:t xml:space="preserve">Настоящая записка представляет собой проект неофициальной брошюры или «краткие сведения» о Конвенции об оценке воздействия на окружающую среду в трансграничном контексте. Секретариат подготовил этот документ в соответствии с планом работы по осуществлению Конвенции и Протокола к ней на </w:t>
            </w:r>
            <w:r w:rsidR="00265FFA">
              <w:br/>
            </w:r>
            <w:r>
              <w:t xml:space="preserve">период 2017–2020 годов (ECE/MP.EIA/23.Add.1–ECE/MP.EIA/SEA/7.Add.1, </w:t>
            </w:r>
            <w:r w:rsidR="00265FFA">
              <w:br/>
            </w:r>
            <w:r>
              <w:t>решение VII/3–III/3, приложение I, пункт IV.3). Данный проект документа призван в сжатом виде предоставить основные фактические данные, практические советы и информацию о Конвенции. Он предназначен для правительств и заинтересованных сторон, в том числе за пределами региона Европейской экономической комиссии Организации Объединенных Наций, для повышения уровня информированности о Конвенции в глобальном контексте. Его структура и объем соответствуют требованиям, установленным Международной ассоциацией по оценке воздействия</w:t>
            </w:r>
            <w:r w:rsidRPr="008A57A3">
              <w:rPr>
                <w:rStyle w:val="FootnoteReference"/>
              </w:rPr>
              <w:footnoteReference w:id="1"/>
            </w:r>
            <w:r>
              <w:t>.</w:t>
            </w:r>
          </w:p>
        </w:tc>
      </w:tr>
      <w:tr w:rsidR="008A57A3" w:rsidRPr="008A57A3" w14:paraId="033521BD" w14:textId="77777777" w:rsidTr="008A57A3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14:paraId="3B1DD9B1" w14:textId="77777777" w:rsidR="008A57A3" w:rsidRPr="008A57A3" w:rsidRDefault="008A57A3" w:rsidP="008A57A3">
            <w:pPr>
              <w:pStyle w:val="SingleTxtG"/>
              <w:keepNext/>
            </w:pPr>
            <w:r>
              <w:lastRenderedPageBreak/>
              <w:tab/>
            </w:r>
            <w:r>
              <w:tab/>
              <w:t>Ожидается, что Рабочая группа по оценке воздействия на окружающую среду и стратегической экологической оценке рассмотрит этот проект документа и даст указания по его доработке до того, как он будет представлен Международной ассоциации по оценке воздействия для издания.</w:t>
            </w:r>
          </w:p>
        </w:tc>
      </w:tr>
      <w:tr w:rsidR="008A57A3" w:rsidRPr="008A57A3" w14:paraId="6B75B875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85BF93F" w14:textId="77777777" w:rsidR="008A57A3" w:rsidRPr="008A57A3" w:rsidRDefault="008A57A3" w:rsidP="00850215">
            <w:pPr>
              <w:rPr>
                <w:rFonts w:cs="Times New Roman"/>
              </w:rPr>
            </w:pPr>
          </w:p>
        </w:tc>
      </w:tr>
    </w:tbl>
    <w:p w14:paraId="1E3257CB" w14:textId="77777777" w:rsidR="008A57A3" w:rsidRDefault="008A57A3" w:rsidP="00D9145B"/>
    <w:p w14:paraId="0C5EC0D2" w14:textId="77777777" w:rsidR="008A57A3" w:rsidRDefault="008A57A3">
      <w:pPr>
        <w:suppressAutoHyphens w:val="0"/>
        <w:spacing w:line="240" w:lineRule="auto"/>
      </w:pPr>
      <w:r>
        <w:br w:type="page"/>
      </w:r>
    </w:p>
    <w:p w14:paraId="2A17E300" w14:textId="77777777" w:rsidR="008A57A3" w:rsidRPr="00422E8C" w:rsidRDefault="008A57A3" w:rsidP="008A57A3">
      <w:pPr>
        <w:pStyle w:val="HChG"/>
      </w:pPr>
      <w:bookmarkStart w:id="0" w:name="_GoBack"/>
      <w:bookmarkEnd w:id="0"/>
      <w:r>
        <w:lastRenderedPageBreak/>
        <w:tab/>
        <w:t>I.</w:t>
      </w:r>
      <w:r>
        <w:tab/>
      </w:r>
      <w:r>
        <w:rPr>
          <w:bCs/>
        </w:rPr>
        <w:t xml:space="preserve">Вопрос, лежащий в основе концепций и подходов </w:t>
      </w:r>
      <w:r>
        <w:rPr>
          <w:bCs/>
        </w:rPr>
        <w:br/>
        <w:t>(400–500 слов)</w:t>
      </w:r>
      <w:bookmarkStart w:id="1" w:name="_Toc13428231"/>
      <w:bookmarkEnd w:id="1"/>
    </w:p>
    <w:p w14:paraId="716C3F01" w14:textId="77777777" w:rsidR="008A57A3" w:rsidRPr="00422E8C" w:rsidRDefault="008A57A3" w:rsidP="008A57A3">
      <w:pPr>
        <w:pStyle w:val="SingleTxtG"/>
      </w:pPr>
      <w:r>
        <w:t>1.</w:t>
      </w:r>
      <w:r>
        <w:tab/>
        <w:t>В соответствии с общими нормами международного права все государства должны проводить оценку воздействия на окружающую среду своей планируемой деятельности, которая может оказывать значительное воздействие в трансграничном контексте. В 1992 году в соответствии с принципами Рио-де-Жанейрской декларации все государства – члены Организации Объединенных Наций взяли на себя обязательство предоставлять «государствам, которые могут оказаться затронутыми, предварительные и своевременные уведомления и соответствующую информацию» и «проводить консультации с этими государствами на раннем этапе и в духе доброй воли» о такой планируемой деятельности</w:t>
      </w:r>
      <w:r w:rsidRPr="008A57A3">
        <w:rPr>
          <w:rStyle w:val="FootnoteReference"/>
        </w:rPr>
        <w:footnoteReference w:id="2"/>
      </w:r>
      <w:r>
        <w:t>.</w:t>
      </w:r>
    </w:p>
    <w:p w14:paraId="60B9F88E" w14:textId="77777777" w:rsidR="008A57A3" w:rsidRPr="00422E8C" w:rsidRDefault="008A57A3" w:rsidP="008A57A3">
      <w:pPr>
        <w:pStyle w:val="SingleTxtG"/>
      </w:pPr>
      <w:r>
        <w:t>2.</w:t>
      </w:r>
      <w:r>
        <w:tab/>
        <w:t xml:space="preserve">Конвенция об оценке воздействия на окружающую среду в трансграничном контексте Европейской экономической комиссии Организации Объединенных Наций (ЕЭК) (Конвенция Эспо) обеспечивает международную правовую основу в отношении сферы охвата и содержания процедуры оценки экологических последствий между странами. </w:t>
      </w:r>
    </w:p>
    <w:p w14:paraId="59814EB4" w14:textId="77777777" w:rsidR="008A57A3" w:rsidRPr="00422E8C" w:rsidRDefault="008A57A3" w:rsidP="008A57A3">
      <w:pPr>
        <w:pStyle w:val="SingleTxtG"/>
      </w:pPr>
      <w:r>
        <w:t>3.</w:t>
      </w:r>
      <w:r>
        <w:tab/>
        <w:t>Конвенция была принята в Эспо, Финляндия, в 1991 году. Она вступила в силу в 1997 году, и к сентябрю 2019 года насчитывалось 45 ее сторон, представляющих Кавказ, Центральную Азию, Европу и Северную Америку, включая Европейский союз в качестве региональной организации. Будучи первоначально региональным договором, Конвенция в настоящее время открыта для всех государств – членов Организации Объединенных Наций.</w:t>
      </w:r>
    </w:p>
    <w:p w14:paraId="50B5378A" w14:textId="77777777" w:rsidR="008A57A3" w:rsidRPr="00422E8C" w:rsidRDefault="008A57A3" w:rsidP="008A57A3">
      <w:pPr>
        <w:pStyle w:val="SingleTxtG"/>
      </w:pPr>
      <w:r>
        <w:t>4.</w:t>
      </w:r>
      <w:r>
        <w:tab/>
        <w:t>В соответствии с подходом, основанным на принципе предосторожности, и принципом предупреждения Конвенция требует ожидания неблагоприятного воздействия на окружающую среду и принятия в отношении него</w:t>
      </w:r>
      <w:r w:rsidRPr="002D7E45">
        <w:t xml:space="preserve"> </w:t>
      </w:r>
      <w:r>
        <w:t xml:space="preserve">мер на раннем этапе планирования деятельности в целях предотвращения либо смягчения и отслеживания любого ущерба. Конвенция вносит существенный вклад в дело охраны окружающей среды, формирование экологического права и политики в области устойчивого развития и содействует расширению международного сотрудничества по оценке воздействия деятельности в области экономического и регионального развития на окружающую среду. Кроме того, наличие в Конвенции обязательств проводить консультации с соответствующими органами и при участии общественности способствует повышению качества информации, совершенствованию управления природоохранной деятельностью и транспарентности в процессе планирования и принятия решений и помогает свести к минимуму напряженность в отношениях между странами. </w:t>
      </w:r>
    </w:p>
    <w:p w14:paraId="53209567" w14:textId="77777777" w:rsidR="008A57A3" w:rsidRPr="00422E8C" w:rsidRDefault="008A57A3" w:rsidP="008A57A3">
      <w:pPr>
        <w:pStyle w:val="SingleTxtG"/>
      </w:pPr>
      <w:r>
        <w:t>5.</w:t>
      </w:r>
      <w:r>
        <w:tab/>
        <w:t xml:space="preserve">В Конвенции предусматриваются следующие основные процедурные шаги: </w:t>
      </w:r>
    </w:p>
    <w:p w14:paraId="24107C51" w14:textId="77777777" w:rsidR="008A57A3" w:rsidRPr="00422E8C" w:rsidRDefault="008A57A3" w:rsidP="008A57A3">
      <w:pPr>
        <w:pStyle w:val="SingleTxtG"/>
        <w:ind w:firstLine="567"/>
      </w:pPr>
      <w:r>
        <w:t>a)</w:t>
      </w:r>
      <w:r>
        <w:tab/>
      </w:r>
      <w:r w:rsidR="00265FFA">
        <w:rPr>
          <w:lang w:val="en-US"/>
        </w:rPr>
        <w:t>c</w:t>
      </w:r>
      <w:r>
        <w:t>торона происхождения (т</w:t>
      </w:r>
      <w:r w:rsidR="00265FFA">
        <w:t>. е.</w:t>
      </w:r>
      <w:r>
        <w:t xml:space="preserve"> подписавшая Конвенцию Сторона, под юрисдикцией которой намечено осуществлять предполагаемую деятельность) должна обеспечить уведомление затрагиваемых Сторон о любой деятельности, перечисленной в добавлении I к Конвенции, которая вероятно окажет значительное вредное трансграничное воздействие; </w:t>
      </w:r>
    </w:p>
    <w:p w14:paraId="277DF87C" w14:textId="77777777" w:rsidR="008A57A3" w:rsidRPr="00422E8C" w:rsidRDefault="008A57A3" w:rsidP="008A57A3">
      <w:pPr>
        <w:pStyle w:val="SingleTxtG"/>
        <w:ind w:firstLine="567"/>
      </w:pPr>
      <w:r>
        <w:t>b)</w:t>
      </w:r>
      <w:r>
        <w:tab/>
      </w:r>
      <w:r w:rsidR="00265FFA">
        <w:t>з</w:t>
      </w:r>
      <w:r>
        <w:t xml:space="preserve">атрагиваемая Сторона должна подтвердить уведомление и указать, желает ли она участвовать в процедуре оценки. При отсутствии у нее желания участвовать Стороны будут обмениваться соответствующей еще не представленной информацией, включая любые замечания или возражения, исходящие от общественности затрагиваемой Стороны/Сторон, в отношении предполагаемой деятельности; </w:t>
      </w:r>
    </w:p>
    <w:p w14:paraId="26B26459" w14:textId="77777777" w:rsidR="008A57A3" w:rsidRPr="00422E8C" w:rsidRDefault="008A57A3" w:rsidP="008A57A3">
      <w:pPr>
        <w:pStyle w:val="SingleTxtG"/>
        <w:ind w:firstLine="567"/>
      </w:pPr>
      <w:r>
        <w:lastRenderedPageBreak/>
        <w:t>c)</w:t>
      </w:r>
      <w:r>
        <w:tab/>
      </w:r>
      <w:r w:rsidR="00265FFA">
        <w:t>с</w:t>
      </w:r>
      <w:r>
        <w:t>торона происхождения должна подготовить документацию по оценке воздействия на окружающую среду и представить ее для комментариев властям и общественности затрагиваемой Стороны/Сторон;</w:t>
      </w:r>
    </w:p>
    <w:p w14:paraId="24C05FC2" w14:textId="77777777" w:rsidR="008A57A3" w:rsidRPr="00422E8C" w:rsidRDefault="008A57A3" w:rsidP="008A57A3">
      <w:pPr>
        <w:pStyle w:val="SingleTxtG"/>
        <w:ind w:firstLine="567"/>
      </w:pPr>
      <w:r>
        <w:t>d)</w:t>
      </w:r>
      <w:r>
        <w:tab/>
      </w:r>
      <w:r w:rsidR="00265FFA">
        <w:t>н</w:t>
      </w:r>
      <w:r>
        <w:t xml:space="preserve">а основании составленных документов соответствующие Стороны должны консультироваться друг с другом, например, в отношении альтернативных вариантов, мер по смягчению воздействия и мониторинга; </w:t>
      </w:r>
    </w:p>
    <w:p w14:paraId="03265C83" w14:textId="77777777" w:rsidR="008A57A3" w:rsidRPr="00422E8C" w:rsidRDefault="008A57A3" w:rsidP="008A57A3">
      <w:pPr>
        <w:pStyle w:val="SingleTxtG"/>
        <w:ind w:firstLine="567"/>
      </w:pPr>
      <w:r>
        <w:t>e)</w:t>
      </w:r>
      <w:r>
        <w:tab/>
      </w:r>
      <w:r w:rsidR="00265FFA">
        <w:t>с</w:t>
      </w:r>
      <w:r>
        <w:t xml:space="preserve">торона происхождения должна принимать решение о планируемой деятельности с учетом документации по оценке воздействия на окружающую среду, полученных замечаний и результатов консультаций; </w:t>
      </w:r>
    </w:p>
    <w:p w14:paraId="71B7C88E" w14:textId="77777777" w:rsidR="008A57A3" w:rsidRPr="00422E8C" w:rsidRDefault="008A57A3" w:rsidP="008A57A3">
      <w:pPr>
        <w:pStyle w:val="SingleTxtG"/>
        <w:ind w:firstLine="567"/>
      </w:pPr>
      <w:r>
        <w:t>f)</w:t>
      </w:r>
      <w:r>
        <w:tab/>
      </w:r>
      <w:r w:rsidR="00265FFA">
        <w:t>о</w:t>
      </w:r>
      <w:r>
        <w:t xml:space="preserve">кончательное решение должно быть представлено затрагиваемой Стороне с указанием причин и соображений, на основании которых оно принято; </w:t>
      </w:r>
    </w:p>
    <w:p w14:paraId="3295EDEB" w14:textId="77777777" w:rsidR="008A57A3" w:rsidRPr="00422E8C" w:rsidRDefault="008A57A3" w:rsidP="008A57A3">
      <w:pPr>
        <w:pStyle w:val="SingleTxtG"/>
        <w:ind w:firstLine="567"/>
      </w:pPr>
      <w:r>
        <w:t>g)</w:t>
      </w:r>
      <w:r>
        <w:tab/>
      </w:r>
      <w:r w:rsidR="00265FFA">
        <w:t>з</w:t>
      </w:r>
      <w:r>
        <w:t>аинтересованным Сторонам следует определить целесообразность и степень подробности проведения послепроектного анализа.</w:t>
      </w:r>
    </w:p>
    <w:p w14:paraId="3CD5245E" w14:textId="77777777" w:rsidR="008A57A3" w:rsidRPr="00422E8C" w:rsidRDefault="008A57A3" w:rsidP="008A57A3">
      <w:pPr>
        <w:pStyle w:val="HChG"/>
      </w:pPr>
      <w:bookmarkStart w:id="2" w:name="_Toc13428232"/>
      <w:r>
        <w:tab/>
        <w:t>II.</w:t>
      </w:r>
      <w:r>
        <w:tab/>
      </w:r>
      <w:r>
        <w:rPr>
          <w:bCs/>
        </w:rPr>
        <w:t>Цитата на полях (10–25 слов)</w:t>
      </w:r>
    </w:p>
    <w:p w14:paraId="57E0F560" w14:textId="77777777" w:rsidR="008A57A3" w:rsidRPr="00422E8C" w:rsidRDefault="008A57A3" w:rsidP="008A57A3">
      <w:pPr>
        <w:pStyle w:val="SingleTxtG"/>
      </w:pPr>
      <w:r>
        <w:t>6.</w:t>
      </w:r>
      <w:r>
        <w:tab/>
        <w:t xml:space="preserve">Конвенция обеспечивает правовую основу и эффективные процедуры для межгосударственных консультаций о планируемой деятельности для предотвращения или смягчения негативного воздействия на окружающую среду в трансграничном контексте. </w:t>
      </w:r>
    </w:p>
    <w:p w14:paraId="6C324BCC" w14:textId="77777777" w:rsidR="008A57A3" w:rsidRPr="00422E8C" w:rsidRDefault="008A57A3" w:rsidP="008A57A3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Пять важных вещей, о которых следует знать (не более 150 слов)</w:t>
      </w:r>
    </w:p>
    <w:p w14:paraId="6092CED6" w14:textId="77777777" w:rsidR="008A57A3" w:rsidRPr="00422E8C" w:rsidRDefault="008A57A3" w:rsidP="008A57A3">
      <w:pPr>
        <w:pStyle w:val="SingleTxtG"/>
      </w:pPr>
      <w:r>
        <w:t>7.</w:t>
      </w:r>
      <w:r>
        <w:tab/>
        <w:t xml:space="preserve">С момента своего создания Конвенция доказала свою эффективность в деле укрепления межгосударственного диалога и сотрудничества по планируемым событиям; а ее Стороны накопили ценный багаж передовой практики и опыта в процессе ее осуществления. </w:t>
      </w:r>
    </w:p>
    <w:p w14:paraId="7B15E026" w14:textId="77777777" w:rsidR="008A57A3" w:rsidRPr="00422E8C" w:rsidRDefault="008A57A3" w:rsidP="008A57A3">
      <w:pPr>
        <w:pStyle w:val="SingleTxtG"/>
      </w:pPr>
      <w:r>
        <w:t>8.</w:t>
      </w:r>
      <w:r>
        <w:tab/>
        <w:t xml:space="preserve">Конвенция может внести вклад в достижение </w:t>
      </w:r>
      <w:r w:rsidR="00265FFA">
        <w:t>Ц</w:t>
      </w:r>
      <w:r>
        <w:t>елей в области устойчивого развития путем оказания поддержки странам в деле воплощения глобальных обязательств в практические действия на национальном уровне.</w:t>
      </w:r>
    </w:p>
    <w:p w14:paraId="11450E0A" w14:textId="77777777" w:rsidR="008A57A3" w:rsidRPr="00422E8C" w:rsidRDefault="008A57A3" w:rsidP="008A57A3">
      <w:pPr>
        <w:pStyle w:val="SingleTxtG"/>
      </w:pPr>
      <w:r>
        <w:t>9.</w:t>
      </w:r>
      <w:r>
        <w:tab/>
        <w:t>Статус Стороны Конвенции предполагает обязанности, но при этом предоставляет стране права быть уведомленной и проводить консультации с другими Сторонами о запланированных событиях, которые могли бы отрицательно воздействовать на ее государственную территорию.</w:t>
      </w:r>
    </w:p>
    <w:p w14:paraId="21384F68" w14:textId="77777777" w:rsidR="008A57A3" w:rsidRPr="00422E8C" w:rsidRDefault="008A57A3" w:rsidP="008A57A3">
      <w:pPr>
        <w:pStyle w:val="SingleTxtG"/>
      </w:pPr>
      <w:r>
        <w:t>10.</w:t>
      </w:r>
      <w:r>
        <w:tab/>
        <w:t>При принятии решений сохраняется национальный суверенитет. Конвенция обеспечивает транспарентность, проведение трансграничных консультаций и возможностей для совместного решения вопросов, касающихся планируемых событий; вместе с тем затрагиваемые Стороны не имеют права вето.</w:t>
      </w:r>
    </w:p>
    <w:p w14:paraId="084AFDFC" w14:textId="77777777" w:rsidR="008A57A3" w:rsidRPr="00422E8C" w:rsidRDefault="008A57A3" w:rsidP="008A57A3">
      <w:pPr>
        <w:pStyle w:val="SingleTxtG"/>
      </w:pPr>
      <w:r>
        <w:t>11.</w:t>
      </w:r>
      <w:r>
        <w:tab/>
        <w:t xml:space="preserve">Соблюдается конфиденциальность. Стороны не обязаны делиться информацией, если это могло бы нанести ущерб производственной или коммерческой тайне либо интересам национальной безопасности. </w:t>
      </w:r>
    </w:p>
    <w:p w14:paraId="3FFE5EAD" w14:textId="77777777" w:rsidR="008A57A3" w:rsidRPr="00422E8C" w:rsidRDefault="008A57A3" w:rsidP="008A57A3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Пять важных вещей, которые следует сделать (не более 150 слов)</w:t>
      </w:r>
      <w:r>
        <w:t xml:space="preserve"> </w:t>
      </w:r>
      <w:bookmarkEnd w:id="2"/>
    </w:p>
    <w:p w14:paraId="1C82DA2F" w14:textId="77777777" w:rsidR="008A57A3" w:rsidRPr="00422E8C" w:rsidRDefault="008A57A3" w:rsidP="008A57A3">
      <w:pPr>
        <w:pStyle w:val="SingleTxtG"/>
      </w:pPr>
      <w:r>
        <w:t>12.</w:t>
      </w:r>
      <w:r>
        <w:tab/>
        <w:t xml:space="preserve">Рассмотреть вопрос о присоединении к Конвенции и/или эффективном применении ее трансграничных процедур. </w:t>
      </w:r>
    </w:p>
    <w:p w14:paraId="62F8ED8D" w14:textId="77777777" w:rsidR="008A57A3" w:rsidRPr="00422E8C" w:rsidRDefault="008A57A3" w:rsidP="008A57A3">
      <w:pPr>
        <w:pStyle w:val="SingleTxtG"/>
      </w:pPr>
      <w:r>
        <w:t>13.</w:t>
      </w:r>
      <w:r>
        <w:tab/>
        <w:t xml:space="preserve">Обеспечить полную согласованность национального законодательства с Конвенцией путем внесения поправок в существующие законы и подзаконные акты и/или разработки новых источников права. </w:t>
      </w:r>
    </w:p>
    <w:p w14:paraId="02BE2812" w14:textId="77777777" w:rsidR="008A57A3" w:rsidRPr="000C1B28" w:rsidRDefault="008A57A3" w:rsidP="008A57A3">
      <w:pPr>
        <w:pStyle w:val="SingleTxtG"/>
      </w:pPr>
      <w:r>
        <w:lastRenderedPageBreak/>
        <w:t>14.</w:t>
      </w:r>
      <w:r>
        <w:tab/>
        <w:t>Создать надлежащий национальный потенциал в плане осуществления – в частности у природоохранных органов и специалистов-практиков в области оценки воздействия на окружающую среду – и повысить осведомленность о Конвенции и ее преимуществах среди директивных органов, разработчиков проектов и общественности.</w:t>
      </w:r>
    </w:p>
    <w:p w14:paraId="5413F8F4" w14:textId="77777777" w:rsidR="008A57A3" w:rsidRPr="00422E8C" w:rsidRDefault="008A57A3" w:rsidP="008A57A3">
      <w:pPr>
        <w:pStyle w:val="SingleTxtG"/>
      </w:pPr>
      <w:r>
        <w:t>15.</w:t>
      </w:r>
      <w:r>
        <w:tab/>
        <w:t>Обеспечить раннее, своевременное и эффективное проведение консультаций и участие общественности – когда еще открыты все возможности.</w:t>
      </w:r>
    </w:p>
    <w:p w14:paraId="1D428E40" w14:textId="77777777" w:rsidR="008A57A3" w:rsidRPr="00422E8C" w:rsidRDefault="008A57A3" w:rsidP="008A57A3">
      <w:pPr>
        <w:pStyle w:val="SingleTxtG"/>
      </w:pPr>
      <w:r>
        <w:t>16.</w:t>
      </w:r>
      <w:r>
        <w:tab/>
        <w:t>Заблаговременно договориться о пунктах связи, практических мерах, двусторонних/многосторонних соглашениях и совместных органах, с тем чтобы улучшить сотрудничество и понимание различных национальных законов и методов оценки.</w:t>
      </w:r>
    </w:p>
    <w:p w14:paraId="1D57DD0F" w14:textId="77777777" w:rsidR="008A57A3" w:rsidRPr="00422E8C" w:rsidRDefault="008A57A3" w:rsidP="008A57A3">
      <w:pPr>
        <w:pStyle w:val="HChG"/>
      </w:pPr>
      <w:bookmarkStart w:id="3" w:name="_Toc13428233"/>
      <w:r>
        <w:tab/>
        <w:t>V.</w:t>
      </w:r>
      <w:r>
        <w:tab/>
      </w:r>
      <w:r>
        <w:rPr>
          <w:bCs/>
        </w:rPr>
        <w:t>Хотите узнать больше?</w:t>
      </w:r>
      <w:r>
        <w:t xml:space="preserve"> </w:t>
      </w:r>
      <w:r>
        <w:rPr>
          <w:bCs/>
        </w:rPr>
        <w:t>(дополнительные источники информации) (не более 150 слов)</w:t>
      </w:r>
      <w:bookmarkEnd w:id="3"/>
    </w:p>
    <w:p w14:paraId="4EC83794" w14:textId="77777777" w:rsidR="008A57A3" w:rsidRPr="00422E8C" w:rsidRDefault="008A57A3" w:rsidP="008A57A3">
      <w:pPr>
        <w:pStyle w:val="SingleTxtG"/>
      </w:pPr>
      <w:bookmarkStart w:id="4" w:name="_Hlk19111851"/>
      <w:r>
        <w:t>17.</w:t>
      </w:r>
      <w:r>
        <w:tab/>
        <w:t>За дополнительной информацией просьба обращаться в находящийся в Женеве секретариат ЕЭК, который является секретариатом Конвенции (</w:t>
      </w:r>
      <w:hyperlink r:id="rId9" w:history="1">
        <w:r w:rsidRPr="00265FFA">
          <w:rPr>
            <w:rStyle w:val="Hyperlink"/>
          </w:rPr>
          <w:t>eia.conv@un.org</w:t>
        </w:r>
      </w:hyperlink>
      <w:r>
        <w:t>), и/или посетить главную страницу Конвенции (</w:t>
      </w:r>
      <w:hyperlink r:id="rId10" w:history="1">
        <w:r w:rsidRPr="00265FFA">
          <w:rPr>
            <w:rStyle w:val="Hyperlink"/>
          </w:rPr>
          <w:t>www.unece.org/env/eia/eia.html</w:t>
        </w:r>
      </w:hyperlink>
      <w:r>
        <w:t>). Отдельные источники информации, доступ к которым имеется с главной страницы, включают следующее:</w:t>
      </w:r>
      <w:bookmarkStart w:id="5" w:name="_Hlk17384637"/>
      <w:bookmarkEnd w:id="5"/>
    </w:p>
    <w:p w14:paraId="72090C45" w14:textId="77777777" w:rsidR="008A57A3" w:rsidRPr="00422E8C" w:rsidRDefault="008A57A3" w:rsidP="008A57A3">
      <w:pPr>
        <w:pStyle w:val="SingleTxtG"/>
      </w:pPr>
      <w:r>
        <w:tab/>
      </w:r>
      <w:r>
        <w:tab/>
        <w:t>a)</w:t>
      </w:r>
      <w:r>
        <w:tab/>
        <w:t>текст Конвенции Эспо;</w:t>
      </w:r>
    </w:p>
    <w:p w14:paraId="6028954C" w14:textId="77777777" w:rsidR="008A57A3" w:rsidRPr="00422E8C" w:rsidRDefault="008A57A3" w:rsidP="008A57A3">
      <w:pPr>
        <w:pStyle w:val="SingleTxtG"/>
        <w:ind w:firstLine="567"/>
      </w:pPr>
      <w:r>
        <w:t>b)</w:t>
      </w:r>
      <w:r>
        <w:tab/>
        <w:t>положение дел с ратификацией;</w:t>
      </w:r>
    </w:p>
    <w:p w14:paraId="0FF4638C" w14:textId="77777777" w:rsidR="008A57A3" w:rsidRPr="00B05CBE" w:rsidRDefault="008A57A3" w:rsidP="008A57A3">
      <w:pPr>
        <w:pStyle w:val="SingleTxtG"/>
        <w:ind w:firstLine="567"/>
      </w:pPr>
      <w:r>
        <w:t>c)</w:t>
      </w:r>
      <w:r>
        <w:tab/>
        <w:t>публикации, например:</w:t>
      </w:r>
    </w:p>
    <w:bookmarkEnd w:id="4"/>
    <w:p w14:paraId="2D9BAAA8" w14:textId="77777777" w:rsidR="008A57A3" w:rsidRPr="00422E8C" w:rsidRDefault="008A57A3" w:rsidP="008A57A3">
      <w:pPr>
        <w:pStyle w:val="Bullet1G"/>
        <w:numPr>
          <w:ilvl w:val="0"/>
          <w:numId w:val="23"/>
        </w:numPr>
        <w:tabs>
          <w:tab w:val="clear" w:pos="1701"/>
          <w:tab w:val="num" w:pos="2410"/>
        </w:tabs>
        <w:ind w:left="2410"/>
      </w:pPr>
      <w:r>
        <w:t xml:space="preserve">Руководство по практическому применению Конвенции Эспо; </w:t>
      </w:r>
    </w:p>
    <w:p w14:paraId="47EEBCBB" w14:textId="77777777" w:rsidR="008A57A3" w:rsidRPr="00422E8C" w:rsidRDefault="008A57A3" w:rsidP="008A57A3">
      <w:pPr>
        <w:pStyle w:val="Bullet1G"/>
        <w:numPr>
          <w:ilvl w:val="0"/>
          <w:numId w:val="23"/>
        </w:numPr>
        <w:tabs>
          <w:tab w:val="clear" w:pos="1701"/>
          <w:tab w:val="num" w:pos="2410"/>
        </w:tabs>
        <w:ind w:left="2410"/>
      </w:pPr>
      <w:r>
        <w:t>Руководство по участию общественности в оценке воздействия на окружающую среду (ОВОС) в</w:t>
      </w:r>
      <w:r w:rsidRPr="00422E8C">
        <w:t xml:space="preserve"> </w:t>
      </w:r>
      <w:r>
        <w:t xml:space="preserve">трансграничном контексте; </w:t>
      </w:r>
    </w:p>
    <w:p w14:paraId="2CCB39A3" w14:textId="77777777" w:rsidR="008A57A3" w:rsidRPr="00422E8C" w:rsidRDefault="008A57A3" w:rsidP="008A57A3">
      <w:pPr>
        <w:pStyle w:val="SingleTxtG"/>
        <w:ind w:firstLine="567"/>
      </w:pPr>
      <w:r>
        <w:t>d)</w:t>
      </w:r>
      <w:r>
        <w:tab/>
        <w:t>мнения Комитета по осуществлению, дела и другие материалы, касающиеся обзора соблюдения в рамках Конвенции;</w:t>
      </w:r>
    </w:p>
    <w:p w14:paraId="0B6EE4AE" w14:textId="77777777" w:rsidR="008A57A3" w:rsidRPr="00422E8C" w:rsidRDefault="008A57A3" w:rsidP="008A57A3">
      <w:pPr>
        <w:pStyle w:val="SingleTxtG"/>
        <w:ind w:firstLine="567"/>
      </w:pPr>
      <w:r>
        <w:t>e)</w:t>
      </w:r>
      <w:r>
        <w:tab/>
        <w:t>национальные доклады и обзоры осуществления Конвенции;</w:t>
      </w:r>
    </w:p>
    <w:p w14:paraId="38479F1C" w14:textId="77777777" w:rsidR="008A57A3" w:rsidRPr="00422E8C" w:rsidRDefault="008A57A3" w:rsidP="008A57A3">
      <w:pPr>
        <w:pStyle w:val="SingleTxtG"/>
        <w:ind w:firstLine="567"/>
      </w:pPr>
      <w:r>
        <w:t>f)</w:t>
      </w:r>
      <w:r>
        <w:tab/>
        <w:t>форма уведомления по Конвенции;</w:t>
      </w:r>
    </w:p>
    <w:p w14:paraId="2EAFBBFB" w14:textId="77777777" w:rsidR="008A57A3" w:rsidRPr="00422E8C" w:rsidRDefault="008A57A3" w:rsidP="008A57A3">
      <w:pPr>
        <w:pStyle w:val="SingleTxtG"/>
        <w:ind w:firstLine="567"/>
      </w:pPr>
      <w:r>
        <w:t>g)</w:t>
      </w:r>
      <w:r>
        <w:tab/>
        <w:t>перечни пунктов связи для целей уведомления и координаторов по административным вопросам;</w:t>
      </w:r>
    </w:p>
    <w:p w14:paraId="26CB589D" w14:textId="77777777" w:rsidR="008A57A3" w:rsidRPr="00422E8C" w:rsidRDefault="008A57A3" w:rsidP="008A57A3">
      <w:pPr>
        <w:pStyle w:val="SingleTxtG"/>
        <w:ind w:firstLine="567"/>
      </w:pPr>
      <w:r>
        <w:t>h)</w:t>
      </w:r>
      <w:r>
        <w:tab/>
        <w:t>обзор договорных органов, учрежденных по Конвенции;</w:t>
      </w:r>
    </w:p>
    <w:p w14:paraId="62133D00" w14:textId="77777777" w:rsidR="008A57A3" w:rsidRPr="008A57A3" w:rsidRDefault="008A57A3" w:rsidP="008A57A3">
      <w:pPr>
        <w:pStyle w:val="SingleTxtG"/>
        <w:rPr>
          <w:rStyle w:val="Hyperlink"/>
          <w:color w:val="auto"/>
        </w:rPr>
      </w:pPr>
      <w:r>
        <w:tab/>
      </w:r>
      <w:r>
        <w:tab/>
        <w:t>i)</w:t>
      </w:r>
      <w:r>
        <w:tab/>
        <w:t>решения, принятые совещаниями С</w:t>
      </w:r>
      <w:r w:rsidRPr="008A57A3">
        <w:t>торон</w:t>
      </w:r>
      <w:r w:rsidR="00265FFA">
        <w:t>;</w:t>
      </w:r>
    </w:p>
    <w:p w14:paraId="17180B29" w14:textId="77777777" w:rsidR="008A57A3" w:rsidRPr="008A57A3" w:rsidRDefault="008A57A3" w:rsidP="008A57A3">
      <w:pPr>
        <w:pStyle w:val="SingleTxtG"/>
        <w:rPr>
          <w:rStyle w:val="Hyperlink"/>
          <w:color w:val="auto"/>
        </w:rPr>
      </w:pPr>
      <w:r>
        <w:tab/>
      </w:r>
      <w:r>
        <w:tab/>
      </w:r>
      <w:r w:rsidRPr="008A57A3">
        <w:t>j)</w:t>
      </w:r>
      <w:r w:rsidRPr="008A57A3">
        <w:tab/>
        <w:t xml:space="preserve">расписание совещаний и мероприятий, в том числе официальных совещаний и мероприятий по наращиванию потенциала. </w:t>
      </w:r>
    </w:p>
    <w:p w14:paraId="1070D56D" w14:textId="77777777" w:rsidR="008A57A3" w:rsidRDefault="008A57A3" w:rsidP="008A57A3">
      <w:pPr>
        <w:spacing w:before="240"/>
        <w:jc w:val="center"/>
        <w:rPr>
          <w:u w:val="single"/>
        </w:rPr>
      </w:pPr>
      <w:r w:rsidRPr="00422E8C">
        <w:rPr>
          <w:u w:val="single"/>
        </w:rPr>
        <w:tab/>
      </w:r>
      <w:r w:rsidRPr="00422E8C">
        <w:rPr>
          <w:u w:val="single"/>
        </w:rPr>
        <w:tab/>
      </w:r>
      <w:r w:rsidRPr="00422E8C">
        <w:rPr>
          <w:u w:val="single"/>
        </w:rPr>
        <w:tab/>
      </w:r>
    </w:p>
    <w:p w14:paraId="53B86C8C" w14:textId="77777777" w:rsidR="008A57A3" w:rsidRPr="008D53B6" w:rsidRDefault="008A57A3" w:rsidP="00D9145B"/>
    <w:sectPr w:rsidR="008A57A3" w:rsidRPr="008D53B6" w:rsidSect="008A57A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AF913" w14:textId="77777777" w:rsidR="00D27817" w:rsidRPr="00A312BC" w:rsidRDefault="00D27817" w:rsidP="00A312BC"/>
  </w:endnote>
  <w:endnote w:type="continuationSeparator" w:id="0">
    <w:p w14:paraId="58F20EFC" w14:textId="77777777" w:rsidR="00D27817" w:rsidRPr="00A312BC" w:rsidRDefault="00D2781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D50E" w14:textId="77777777" w:rsidR="008A57A3" w:rsidRPr="008A57A3" w:rsidRDefault="008A57A3">
    <w:pPr>
      <w:pStyle w:val="Footer"/>
    </w:pPr>
    <w:r w:rsidRPr="008A57A3">
      <w:rPr>
        <w:b/>
        <w:sz w:val="18"/>
      </w:rPr>
      <w:fldChar w:fldCharType="begin"/>
    </w:r>
    <w:r w:rsidRPr="008A57A3">
      <w:rPr>
        <w:b/>
        <w:sz w:val="18"/>
      </w:rPr>
      <w:instrText xml:space="preserve"> PAGE  \* MERGEFORMAT </w:instrText>
    </w:r>
    <w:r w:rsidRPr="008A57A3">
      <w:rPr>
        <w:b/>
        <w:sz w:val="18"/>
      </w:rPr>
      <w:fldChar w:fldCharType="separate"/>
    </w:r>
    <w:r w:rsidRPr="008A57A3">
      <w:rPr>
        <w:b/>
        <w:noProof/>
        <w:sz w:val="18"/>
      </w:rPr>
      <w:t>2</w:t>
    </w:r>
    <w:r w:rsidRPr="008A57A3">
      <w:rPr>
        <w:b/>
        <w:sz w:val="18"/>
      </w:rPr>
      <w:fldChar w:fldCharType="end"/>
    </w:r>
    <w:r>
      <w:rPr>
        <w:b/>
        <w:sz w:val="18"/>
      </w:rPr>
      <w:tab/>
    </w:r>
    <w:r>
      <w:t>GE.19-15612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3B5D8" w14:textId="77777777" w:rsidR="008A57A3" w:rsidRPr="008A57A3" w:rsidRDefault="008A57A3" w:rsidP="008A57A3">
    <w:pPr>
      <w:pStyle w:val="Footer"/>
      <w:tabs>
        <w:tab w:val="clear" w:pos="9639"/>
        <w:tab w:val="right" w:pos="9638"/>
      </w:tabs>
      <w:rPr>
        <w:b/>
        <w:sz w:val="18"/>
      </w:rPr>
    </w:pPr>
    <w:r>
      <w:t>GE.19-15612</w:t>
    </w:r>
    <w:r>
      <w:tab/>
    </w:r>
    <w:r w:rsidRPr="008A57A3">
      <w:rPr>
        <w:b/>
        <w:sz w:val="18"/>
      </w:rPr>
      <w:fldChar w:fldCharType="begin"/>
    </w:r>
    <w:r w:rsidRPr="008A57A3">
      <w:rPr>
        <w:b/>
        <w:sz w:val="18"/>
      </w:rPr>
      <w:instrText xml:space="preserve"> PAGE  \* MERGEFORMAT </w:instrText>
    </w:r>
    <w:r w:rsidRPr="008A57A3">
      <w:rPr>
        <w:b/>
        <w:sz w:val="18"/>
      </w:rPr>
      <w:fldChar w:fldCharType="separate"/>
    </w:r>
    <w:r w:rsidRPr="008A57A3">
      <w:rPr>
        <w:b/>
        <w:noProof/>
        <w:sz w:val="18"/>
      </w:rPr>
      <w:t>3</w:t>
    </w:r>
    <w:r w:rsidRPr="008A57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3422" w14:textId="76456282" w:rsidR="00042B72" w:rsidRPr="008A57A3" w:rsidRDefault="008A57A3" w:rsidP="008A57A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F4D9041" wp14:editId="7DA3C79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19-15612  (R)</w:t>
    </w:r>
    <w:r w:rsidR="00265FFA">
      <w:rPr>
        <w:lang w:val="en-US"/>
      </w:rPr>
      <w:t xml:space="preserve">   170919  2</w:t>
    </w:r>
    <w:r w:rsidR="00F329F8">
      <w:rPr>
        <w:lang w:val="en-US"/>
      </w:rPr>
      <w:t>6</w:t>
    </w:r>
    <w:r w:rsidR="00265FFA">
      <w:rPr>
        <w:lang w:val="en-US"/>
      </w:rPr>
      <w:t>0919</w:t>
    </w:r>
    <w:r>
      <w:br/>
    </w:r>
    <w:r w:rsidRPr="008A57A3">
      <w:rPr>
        <w:rFonts w:ascii="C39T30Lfz" w:hAnsi="C39T30Lfz"/>
        <w:kern w:val="14"/>
        <w:sz w:val="56"/>
      </w:rPr>
      <w:t></w:t>
    </w:r>
    <w:r w:rsidRPr="008A57A3">
      <w:rPr>
        <w:rFonts w:ascii="C39T30Lfz" w:hAnsi="C39T30Lfz"/>
        <w:kern w:val="14"/>
        <w:sz w:val="56"/>
      </w:rPr>
      <w:t></w:t>
    </w:r>
    <w:r w:rsidRPr="008A57A3">
      <w:rPr>
        <w:rFonts w:ascii="C39T30Lfz" w:hAnsi="C39T30Lfz"/>
        <w:kern w:val="14"/>
        <w:sz w:val="56"/>
      </w:rPr>
      <w:t></w:t>
    </w:r>
    <w:r w:rsidRPr="008A57A3">
      <w:rPr>
        <w:rFonts w:ascii="C39T30Lfz" w:hAnsi="C39T30Lfz"/>
        <w:kern w:val="14"/>
        <w:sz w:val="56"/>
      </w:rPr>
      <w:t></w:t>
    </w:r>
    <w:r w:rsidRPr="008A57A3">
      <w:rPr>
        <w:rFonts w:ascii="C39T30Lfz" w:hAnsi="C39T30Lfz"/>
        <w:kern w:val="14"/>
        <w:sz w:val="56"/>
      </w:rPr>
      <w:t></w:t>
    </w:r>
    <w:r w:rsidRPr="008A57A3">
      <w:rPr>
        <w:rFonts w:ascii="C39T30Lfz" w:hAnsi="C39T30Lfz"/>
        <w:kern w:val="14"/>
        <w:sz w:val="56"/>
      </w:rPr>
      <w:t></w:t>
    </w:r>
    <w:r w:rsidRPr="008A57A3">
      <w:rPr>
        <w:rFonts w:ascii="C39T30Lfz" w:hAnsi="C39T30Lfz"/>
        <w:kern w:val="14"/>
        <w:sz w:val="56"/>
      </w:rPr>
      <w:t></w:t>
    </w:r>
    <w:r w:rsidRPr="008A57A3">
      <w:rPr>
        <w:rFonts w:ascii="C39T30Lfz" w:hAnsi="C39T30Lfz"/>
        <w:kern w:val="14"/>
        <w:sz w:val="56"/>
      </w:rPr>
      <w:t></w:t>
    </w:r>
    <w:r w:rsidRPr="008A57A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2D75C7" wp14:editId="5E0C1F7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WG.2/2019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WG.2/2019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C5077" w14:textId="77777777" w:rsidR="00D27817" w:rsidRPr="001075E9" w:rsidRDefault="00D2781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D70317" w14:textId="77777777" w:rsidR="00D27817" w:rsidRDefault="00D2781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2211A90" w14:textId="77777777" w:rsidR="008A57A3" w:rsidRPr="00422E8C" w:rsidRDefault="008A57A3" w:rsidP="008A57A3">
      <w:pPr>
        <w:pStyle w:val="FootnoteText"/>
      </w:pPr>
      <w:r>
        <w:tab/>
      </w:r>
      <w:r w:rsidRPr="008A57A3">
        <w:rPr>
          <w:rStyle w:val="FootnoteReference"/>
        </w:rPr>
        <w:footnoteRef/>
      </w:r>
      <w:r>
        <w:tab/>
      </w:r>
      <w:r>
        <w:tab/>
        <w:t xml:space="preserve">См. </w:t>
      </w:r>
      <w:hyperlink r:id="rId1" w:history="1">
        <w:r w:rsidRPr="008A57A3">
          <w:rPr>
            <w:rStyle w:val="Hyperlink"/>
          </w:rPr>
          <w:t>https://www.iaia.org/fasttips.php</w:t>
        </w:r>
      </w:hyperlink>
      <w:r>
        <w:t xml:space="preserve">. </w:t>
      </w:r>
    </w:p>
  </w:footnote>
  <w:footnote w:id="2">
    <w:p w14:paraId="1B04CE79" w14:textId="77777777" w:rsidR="008A57A3" w:rsidRPr="00422E8C" w:rsidRDefault="008A57A3" w:rsidP="008A57A3">
      <w:pPr>
        <w:pStyle w:val="FootnoteText"/>
      </w:pPr>
      <w:r>
        <w:tab/>
      </w:r>
      <w:r w:rsidRPr="008A57A3">
        <w:rPr>
          <w:rStyle w:val="FootnoteReference"/>
        </w:rPr>
        <w:footnoteRef/>
      </w:r>
      <w:r>
        <w:tab/>
        <w:t xml:space="preserve">Принцип 19. </w:t>
      </w:r>
      <w:r>
        <w:rPr>
          <w:i/>
          <w:iCs/>
        </w:rPr>
        <w:t>Доклад Конференции Организации Объединенных Наций по окружающей среде и развитию, Рио-де-Жанейро, 3–14 июня 1992 года</w:t>
      </w:r>
      <w:r w:rsidRPr="00265FFA">
        <w:rPr>
          <w:iCs/>
        </w:rPr>
        <w:t>, том I,</w:t>
      </w:r>
      <w:r>
        <w:rPr>
          <w:i/>
          <w:iCs/>
        </w:rPr>
        <w:t xml:space="preserve"> Резолюции, принятые на Конференции</w:t>
      </w:r>
      <w:r>
        <w:t xml:space="preserve"> (издание Организации Объединенных Наций, в продаже под № R.93.I.8 и исправление), резолюция 1, приложение I, принцип 19. Имеется по адресу </w:t>
      </w:r>
      <w:hyperlink r:id="rId2" w:history="1">
        <w:r w:rsidRPr="008A57A3">
          <w:rPr>
            <w:rStyle w:val="Hyperlink"/>
          </w:rPr>
          <w:t>http://www.un.org/documents/ga/conf151/aconf15126-1annex1.htm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A87B" w14:textId="60E559E3" w:rsidR="008A57A3" w:rsidRPr="008A57A3" w:rsidRDefault="005D521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42459">
      <w:t>ECE/MP.EIA/WG.2/2019/7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8059" w14:textId="3F08DB6E" w:rsidR="008A57A3" w:rsidRPr="008A57A3" w:rsidRDefault="005D5214" w:rsidP="008A57A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42459">
      <w:t>ECE/MP.EIA/WG.2/2019/7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6AC4639"/>
    <w:multiLevelType w:val="hybridMultilevel"/>
    <w:tmpl w:val="D1949E80"/>
    <w:lvl w:ilvl="0" w:tplc="1E82B31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1"/>
  </w:num>
  <w:num w:numId="23">
    <w:abstractNumId w:val="16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17"/>
    <w:rsid w:val="00027AF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5FFA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2129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5214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5022"/>
    <w:rsid w:val="00894693"/>
    <w:rsid w:val="008A08D7"/>
    <w:rsid w:val="008A37C8"/>
    <w:rsid w:val="008A57A3"/>
    <w:rsid w:val="008B6909"/>
    <w:rsid w:val="008D53B6"/>
    <w:rsid w:val="008F7609"/>
    <w:rsid w:val="00906890"/>
    <w:rsid w:val="00911BE4"/>
    <w:rsid w:val="00951972"/>
    <w:rsid w:val="009608F3"/>
    <w:rsid w:val="009778B7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2459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7817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29F8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2F2483"/>
  <w15:docId w15:val="{8F4D2AD2-DC1C-4087-846E-E1E2D32C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A57A3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5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file:///\\conf-share1\LS\RUS\COMMON\MSWDocs\_3Final\www.unece.org\env\eia\e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onf-share1\LS\RUS\COMMON\MSWDocs\_3Final\eia.conv@un.org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.org/documents/ga/conf151/aconf15126-1annex1.htm" TargetMode="External"/><Relationship Id="rId1" Type="http://schemas.openxmlformats.org/officeDocument/2006/relationships/hyperlink" Target="https://www.iaia.org/fasttip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A0E5-930A-443D-A4C2-343DABCC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1493</Words>
  <Characters>8511</Characters>
  <Application>Microsoft Office Word</Application>
  <DocSecurity>4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ECE/MP.EIA/WG.2/2019/7</vt:lpstr>
      <vt:lpstr>ECE/MP.EIA/WG.2/2019/7</vt:lpstr>
      <vt:lpstr>A/</vt:lpstr>
    </vt:vector>
  </TitlesOfParts>
  <Company>DCM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ECE/MP.EIA/WG.2/2019/7</dc:title>
  <dc:subject/>
  <dc:creator>Anna BLAGODATSKIKH</dc:creator>
  <cp:keywords/>
  <cp:lastModifiedBy>Elisabeth James</cp:lastModifiedBy>
  <cp:revision>2</cp:revision>
  <cp:lastPrinted>2019-09-26T15:14:00Z</cp:lastPrinted>
  <dcterms:created xsi:type="dcterms:W3CDTF">2019-10-07T12:50:00Z</dcterms:created>
  <dcterms:modified xsi:type="dcterms:W3CDTF">2019-10-07T12:50:00Z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