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42AFF7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15EB8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F937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D29F02" w14:textId="77777777" w:rsidR="009E6CB7" w:rsidRPr="00D47EEA" w:rsidRDefault="003558BF" w:rsidP="003558BF">
            <w:pPr>
              <w:jc w:val="right"/>
            </w:pPr>
            <w:r w:rsidRPr="003558BF">
              <w:rPr>
                <w:sz w:val="40"/>
              </w:rPr>
              <w:t>ECE</w:t>
            </w:r>
            <w:r>
              <w:t>/MP.EIA/WG.2/2019/</w:t>
            </w:r>
            <w:r w:rsidR="00D57093">
              <w:t>7</w:t>
            </w:r>
          </w:p>
        </w:tc>
      </w:tr>
      <w:tr w:rsidR="009E6CB7" w14:paraId="2EEA52D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968B96" w14:textId="77777777" w:rsidR="009E6CB7" w:rsidRDefault="00686A48" w:rsidP="00B20551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5D13D8" wp14:editId="1CCF23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75C4C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0B8EA4" w14:textId="77777777" w:rsidR="009E6CB7" w:rsidRDefault="003558BF" w:rsidP="003558BF">
            <w:pPr>
              <w:spacing w:before="240" w:line="240" w:lineRule="exact"/>
            </w:pPr>
            <w:r>
              <w:t>Distr.: General</w:t>
            </w:r>
          </w:p>
          <w:p w14:paraId="0D6BFCD4" w14:textId="1DF437E3" w:rsidR="003558BF" w:rsidRDefault="00F613EA" w:rsidP="003558BF">
            <w:pPr>
              <w:spacing w:line="240" w:lineRule="exact"/>
            </w:pPr>
            <w:r>
              <w:t>12</w:t>
            </w:r>
            <w:r w:rsidR="004252E3">
              <w:t xml:space="preserve"> September</w:t>
            </w:r>
            <w:r w:rsidR="003558BF">
              <w:t xml:space="preserve"> 2019</w:t>
            </w:r>
          </w:p>
          <w:p w14:paraId="02CEFCED" w14:textId="77777777" w:rsidR="003558BF" w:rsidRDefault="003558BF" w:rsidP="003558BF">
            <w:pPr>
              <w:spacing w:line="240" w:lineRule="exact"/>
            </w:pPr>
          </w:p>
          <w:p w14:paraId="59C9D482" w14:textId="77777777" w:rsidR="003558BF" w:rsidRDefault="003558BF" w:rsidP="003558BF">
            <w:pPr>
              <w:spacing w:line="240" w:lineRule="exact"/>
            </w:pPr>
            <w:r>
              <w:t>Original: English</w:t>
            </w:r>
          </w:p>
        </w:tc>
      </w:tr>
    </w:tbl>
    <w:p w14:paraId="6E793495" w14:textId="77777777" w:rsidR="0054622F" w:rsidRPr="00136A88" w:rsidRDefault="0054622F" w:rsidP="0094684F">
      <w:pPr>
        <w:spacing w:before="120"/>
        <w:rPr>
          <w:b/>
          <w:sz w:val="28"/>
          <w:szCs w:val="28"/>
        </w:rPr>
      </w:pPr>
      <w:r w:rsidRPr="00136A88">
        <w:rPr>
          <w:b/>
          <w:sz w:val="28"/>
          <w:szCs w:val="28"/>
        </w:rPr>
        <w:t>Economic Commission for Europe</w:t>
      </w:r>
    </w:p>
    <w:p w14:paraId="3AE32B98" w14:textId="77777777" w:rsidR="0054622F" w:rsidRPr="00136A88" w:rsidRDefault="0054622F" w:rsidP="0094684F">
      <w:pPr>
        <w:spacing w:before="120"/>
        <w:rPr>
          <w:bCs/>
          <w:sz w:val="24"/>
          <w:szCs w:val="24"/>
        </w:rPr>
      </w:pPr>
      <w:r w:rsidRPr="00136A88">
        <w:rPr>
          <w:bCs/>
          <w:sz w:val="24"/>
          <w:szCs w:val="24"/>
        </w:rPr>
        <w:t xml:space="preserve">Meeting of the Parties to the Convention </w:t>
      </w:r>
      <w:r w:rsidRPr="00136A88">
        <w:rPr>
          <w:bCs/>
          <w:sz w:val="24"/>
          <w:szCs w:val="24"/>
        </w:rPr>
        <w:br/>
        <w:t xml:space="preserve">on Environmental Impact Assessment </w:t>
      </w:r>
      <w:r w:rsidRPr="00136A88">
        <w:rPr>
          <w:bCs/>
          <w:sz w:val="24"/>
          <w:szCs w:val="24"/>
        </w:rPr>
        <w:br/>
        <w:t>in a Transboundary Context</w:t>
      </w:r>
    </w:p>
    <w:p w14:paraId="380C3C9D" w14:textId="77777777" w:rsidR="0054622F" w:rsidRPr="00136A88" w:rsidRDefault="0054622F" w:rsidP="0094684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136A88">
        <w:rPr>
          <w:sz w:val="24"/>
          <w:szCs w:val="24"/>
        </w:rPr>
        <w:t xml:space="preserve">Meeting of the Parties to the Convention </w:t>
      </w:r>
      <w:r w:rsidRPr="00136A88">
        <w:rPr>
          <w:sz w:val="24"/>
          <w:szCs w:val="24"/>
        </w:rPr>
        <w:br/>
        <w:t xml:space="preserve">on Environmental Impact Assessment in </w:t>
      </w:r>
      <w:r w:rsidRPr="00136A88">
        <w:rPr>
          <w:sz w:val="24"/>
          <w:szCs w:val="24"/>
        </w:rPr>
        <w:br/>
        <w:t xml:space="preserve">a Transboundary Context serving as the </w:t>
      </w:r>
      <w:r w:rsidRPr="00136A88">
        <w:rPr>
          <w:sz w:val="24"/>
          <w:szCs w:val="24"/>
        </w:rPr>
        <w:br/>
        <w:t xml:space="preserve">Meeting of the Parties to the Protocol on </w:t>
      </w:r>
      <w:r w:rsidRPr="00136A88">
        <w:rPr>
          <w:sz w:val="24"/>
          <w:szCs w:val="24"/>
        </w:rPr>
        <w:br/>
        <w:t>Strategic Environmental Assessment</w:t>
      </w:r>
    </w:p>
    <w:p w14:paraId="487E1712" w14:textId="77777777" w:rsidR="0054622F" w:rsidRPr="00136A88" w:rsidRDefault="0054622F" w:rsidP="0094684F">
      <w:pPr>
        <w:spacing w:before="120"/>
        <w:rPr>
          <w:b/>
          <w:sz w:val="24"/>
          <w:szCs w:val="24"/>
        </w:rPr>
      </w:pPr>
      <w:r w:rsidRPr="00136A88">
        <w:rPr>
          <w:b/>
          <w:sz w:val="24"/>
          <w:szCs w:val="24"/>
        </w:rPr>
        <w:t>Working Group on Environmental Impact Assessment</w:t>
      </w:r>
      <w:r w:rsidRPr="00136A88">
        <w:rPr>
          <w:b/>
          <w:sz w:val="24"/>
          <w:szCs w:val="24"/>
        </w:rPr>
        <w:br/>
        <w:t>and Strategic Environmental Assessment</w:t>
      </w:r>
    </w:p>
    <w:p w14:paraId="2847E4AF" w14:textId="77777777" w:rsidR="0054622F" w:rsidRPr="00136A88" w:rsidRDefault="0054622F" w:rsidP="0094684F">
      <w:pPr>
        <w:spacing w:before="120"/>
        <w:rPr>
          <w:b/>
        </w:rPr>
      </w:pPr>
      <w:r>
        <w:rPr>
          <w:b/>
        </w:rPr>
        <w:t>Eight</w:t>
      </w:r>
      <w:r w:rsidR="004C16A1">
        <w:rPr>
          <w:b/>
        </w:rPr>
        <w:t>h</w:t>
      </w:r>
      <w:r>
        <w:rPr>
          <w:b/>
        </w:rPr>
        <w:t xml:space="preserve"> </w:t>
      </w:r>
      <w:r w:rsidRPr="00136A88">
        <w:rPr>
          <w:b/>
        </w:rPr>
        <w:t>meeting</w:t>
      </w:r>
    </w:p>
    <w:p w14:paraId="691CCA90" w14:textId="77777777" w:rsidR="0054622F" w:rsidRDefault="0054622F" w:rsidP="0054622F">
      <w:r w:rsidRPr="00136A88">
        <w:t xml:space="preserve">Geneva, </w:t>
      </w:r>
      <w:r>
        <w:t>26–28 November 2019</w:t>
      </w:r>
    </w:p>
    <w:p w14:paraId="1093F0F9" w14:textId="77777777" w:rsidR="0054622F" w:rsidRDefault="0054622F" w:rsidP="0054622F">
      <w:r w:rsidRPr="00136A88">
        <w:t xml:space="preserve">Item </w:t>
      </w:r>
      <w:r w:rsidR="004C16A1">
        <w:t>6</w:t>
      </w:r>
      <w:r>
        <w:t xml:space="preserve"> </w:t>
      </w:r>
      <w:r w:rsidRPr="00136A88">
        <w:t>of the provisional agenda</w:t>
      </w:r>
    </w:p>
    <w:p w14:paraId="16904133" w14:textId="77777777" w:rsidR="004C16A1" w:rsidRPr="004C16A1" w:rsidRDefault="004C16A1" w:rsidP="0054622F">
      <w:pPr>
        <w:rPr>
          <w:b/>
          <w:bCs/>
        </w:rPr>
      </w:pPr>
      <w:r w:rsidRPr="004C16A1">
        <w:rPr>
          <w:b/>
          <w:bCs/>
        </w:rPr>
        <w:t>Promoting ratification and application of</w:t>
      </w:r>
      <w:r w:rsidR="00B05CBE">
        <w:rPr>
          <w:b/>
          <w:bCs/>
        </w:rPr>
        <w:t xml:space="preserve"> </w:t>
      </w:r>
      <w:r w:rsidRPr="004C16A1">
        <w:rPr>
          <w:b/>
          <w:bCs/>
        </w:rPr>
        <w:t>the Protocol and the Convention</w:t>
      </w:r>
    </w:p>
    <w:p w14:paraId="3721F29B" w14:textId="09AC1861" w:rsidR="0054622F" w:rsidRPr="00F212FA" w:rsidRDefault="0054622F" w:rsidP="0054622F">
      <w:pPr>
        <w:pStyle w:val="HChG"/>
      </w:pPr>
      <w:r>
        <w:tab/>
      </w:r>
      <w:r>
        <w:tab/>
      </w:r>
      <w:r w:rsidR="004C16A1">
        <w:t xml:space="preserve">Convention on Environmental Impact Assessment in a </w:t>
      </w:r>
      <w:r w:rsidRPr="00F212FA">
        <w:t xml:space="preserve">Transboundary Context </w:t>
      </w:r>
      <w:r w:rsidR="004C16A1">
        <w:t>(</w:t>
      </w:r>
      <w:proofErr w:type="spellStart"/>
      <w:r w:rsidR="004C16A1">
        <w:t>Fas</w:t>
      </w:r>
      <w:r w:rsidR="004252E3">
        <w:t>T</w:t>
      </w:r>
      <w:r w:rsidR="004C16A1">
        <w:t>ip</w:t>
      </w:r>
      <w:r w:rsidR="005049CE">
        <w:t>s</w:t>
      </w:r>
      <w:proofErr w:type="spellEnd"/>
      <w:r w:rsidR="004C16A1">
        <w:t>)</w:t>
      </w:r>
    </w:p>
    <w:p w14:paraId="2C64FD2D" w14:textId="77777777" w:rsidR="0054622F" w:rsidRPr="00F212FA" w:rsidRDefault="0054622F" w:rsidP="00E54B10">
      <w:pPr>
        <w:pStyle w:val="H1G"/>
      </w:pPr>
      <w:r w:rsidRPr="00F212FA">
        <w:tab/>
      </w:r>
      <w:r w:rsidRPr="00F212FA">
        <w:tab/>
        <w:t>Note by the secretariat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54622F" w14:paraId="0388C623" w14:textId="77777777" w:rsidTr="00C42164">
        <w:trPr>
          <w:jc w:val="center"/>
        </w:trPr>
        <w:tc>
          <w:tcPr>
            <w:tcW w:w="9629" w:type="dxa"/>
            <w:shd w:val="clear" w:color="auto" w:fill="auto"/>
          </w:tcPr>
          <w:p w14:paraId="39516B29" w14:textId="77777777" w:rsidR="0054622F" w:rsidRPr="00C6263E" w:rsidRDefault="0054622F" w:rsidP="006E688C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54622F" w14:paraId="5821C066" w14:textId="77777777" w:rsidTr="00C42164">
        <w:trPr>
          <w:jc w:val="center"/>
        </w:trPr>
        <w:tc>
          <w:tcPr>
            <w:tcW w:w="9629" w:type="dxa"/>
            <w:shd w:val="clear" w:color="auto" w:fill="auto"/>
          </w:tcPr>
          <w:p w14:paraId="3125CFB5" w14:textId="77777777" w:rsidR="00EC4294" w:rsidRDefault="0054622F" w:rsidP="00EC4294">
            <w:pPr>
              <w:pStyle w:val="SingleTxtG"/>
            </w:pPr>
            <w:r>
              <w:tab/>
            </w:r>
            <w:r>
              <w:tab/>
            </w:r>
            <w:r w:rsidRPr="00F212FA">
              <w:t>Th</w:t>
            </w:r>
            <w:r w:rsidR="00FF252C">
              <w:t>is note presents a draft informal pamphlet or “</w:t>
            </w:r>
            <w:proofErr w:type="spellStart"/>
            <w:r w:rsidR="00FF252C">
              <w:t>Fas</w:t>
            </w:r>
            <w:r w:rsidR="004252E3">
              <w:t>T</w:t>
            </w:r>
            <w:r w:rsidR="00FF252C">
              <w:t>ip</w:t>
            </w:r>
            <w:r w:rsidR="00DE678E">
              <w:t>s</w:t>
            </w:r>
            <w:proofErr w:type="spellEnd"/>
            <w:r w:rsidR="00FF252C">
              <w:t xml:space="preserve">” on the Convention </w:t>
            </w:r>
            <w:r w:rsidR="00FF252C" w:rsidRPr="00F212FA">
              <w:t>on Environmental Impact Assessment in a Transboundary Context</w:t>
            </w:r>
            <w:r w:rsidR="00FF252C">
              <w:t xml:space="preserve">. The secretariat has prepared </w:t>
            </w:r>
            <w:r w:rsidR="001315F0">
              <w:t xml:space="preserve">the document in accordance with </w:t>
            </w:r>
            <w:r w:rsidR="00FF252C">
              <w:t xml:space="preserve">the </w:t>
            </w:r>
            <w:r w:rsidR="004C16A1">
              <w:t xml:space="preserve">workplan for the implementation of the Convention and </w:t>
            </w:r>
            <w:r w:rsidR="00D40342">
              <w:t xml:space="preserve">its </w:t>
            </w:r>
            <w:r w:rsidR="004C16A1">
              <w:t>Protocol for the period 2017–2020</w:t>
            </w:r>
            <w:r w:rsidR="00FF252C">
              <w:t xml:space="preserve"> </w:t>
            </w:r>
            <w:r w:rsidRPr="00F212FA">
              <w:t>(ECE/MP.EIA/23.Add.</w:t>
            </w:r>
            <w:r w:rsidR="00FF252C">
              <w:t>1</w:t>
            </w:r>
            <w:r w:rsidRPr="00F212FA">
              <w:t>–ECE/MP.EIA/SEA/7.Add.</w:t>
            </w:r>
            <w:r w:rsidR="00FF252C">
              <w:t>1</w:t>
            </w:r>
            <w:r w:rsidRPr="00F212FA">
              <w:t>,</w:t>
            </w:r>
            <w:r w:rsidR="00EC4294">
              <w:t xml:space="preserve"> </w:t>
            </w:r>
            <w:r w:rsidRPr="00F212FA">
              <w:t>decision VII/</w:t>
            </w:r>
            <w:r w:rsidR="00FF252C">
              <w:t>3–III/3</w:t>
            </w:r>
            <w:r w:rsidRPr="00F212FA">
              <w:t xml:space="preserve">, </w:t>
            </w:r>
            <w:r w:rsidR="003F50BB">
              <w:t>annex I</w:t>
            </w:r>
            <w:r w:rsidR="00FF252C">
              <w:t>, item IV.3</w:t>
            </w:r>
            <w:r w:rsidRPr="00F212FA">
              <w:t>).</w:t>
            </w:r>
            <w:r w:rsidR="00EC4294">
              <w:t xml:space="preserve"> The </w:t>
            </w:r>
            <w:r w:rsidR="00DB437E">
              <w:t xml:space="preserve">draft </w:t>
            </w:r>
            <w:r w:rsidR="00EC4294">
              <w:t>document a</w:t>
            </w:r>
            <w:r w:rsidR="00B11506">
              <w:t>ims at providing</w:t>
            </w:r>
            <w:r w:rsidR="00EC4294">
              <w:t xml:space="preserve"> key facts</w:t>
            </w:r>
            <w:r w:rsidR="001315F0">
              <w:t>, tips</w:t>
            </w:r>
            <w:r w:rsidR="00EC4294">
              <w:t xml:space="preserve"> and practical information on the Convention in a concise way. </w:t>
            </w:r>
            <w:r w:rsidR="005C7B11">
              <w:t>It is intended for Governments and stakeholders</w:t>
            </w:r>
            <w:r w:rsidR="00A77CAB">
              <w:t>, including</w:t>
            </w:r>
            <w:r w:rsidR="001315F0">
              <w:t xml:space="preserve"> beyond the United Nations Economic Commission for Europe </w:t>
            </w:r>
            <w:r w:rsidR="00294862">
              <w:t>r</w:t>
            </w:r>
            <w:r w:rsidR="001315F0">
              <w:t xml:space="preserve">egion, to </w:t>
            </w:r>
            <w:r w:rsidR="00A77CAB">
              <w:t>raise awareness</w:t>
            </w:r>
            <w:r w:rsidR="001315F0">
              <w:t xml:space="preserve"> o</w:t>
            </w:r>
            <w:r w:rsidR="004252E3">
              <w:t>f</w:t>
            </w:r>
            <w:r w:rsidR="001315F0">
              <w:t xml:space="preserve"> th</w:t>
            </w:r>
            <w:r w:rsidR="00A77CAB">
              <w:t>e Convention</w:t>
            </w:r>
            <w:r w:rsidR="001315F0">
              <w:t xml:space="preserve"> </w:t>
            </w:r>
            <w:r w:rsidR="005C7B11">
              <w:t>in the global context.</w:t>
            </w:r>
            <w:r w:rsidR="00DB437E">
              <w:t xml:space="preserve"> It follows the structure and the length requirements set by the International Association f</w:t>
            </w:r>
            <w:r w:rsidR="00AD584F">
              <w:t>or</w:t>
            </w:r>
            <w:r w:rsidR="00DB437E">
              <w:t xml:space="preserve"> Impact Assessment</w:t>
            </w:r>
            <w:r w:rsidR="00D40342">
              <w:t>.</w:t>
            </w:r>
            <w:r w:rsidR="00D17C9E">
              <w:rPr>
                <w:rStyle w:val="FootnoteReference"/>
              </w:rPr>
              <w:footnoteReference w:id="2"/>
            </w:r>
          </w:p>
          <w:p w14:paraId="129E25ED" w14:textId="77777777" w:rsidR="0054622F" w:rsidRDefault="0054622F" w:rsidP="00EC4294">
            <w:pPr>
              <w:pStyle w:val="SingleTxtG"/>
            </w:pPr>
            <w:r w:rsidRPr="00F212FA">
              <w:tab/>
            </w:r>
            <w:r>
              <w:tab/>
            </w:r>
            <w:r w:rsidRPr="00F212FA">
              <w:t xml:space="preserve">The Working Group on Environmental Impact Assessment and Strategic Environmental Assessment is expected to consider the draft </w:t>
            </w:r>
            <w:r w:rsidR="00FF252C">
              <w:t xml:space="preserve">document and provide guidance for its finalization </w:t>
            </w:r>
            <w:r w:rsidR="00A77CAB">
              <w:t xml:space="preserve">prior to its </w:t>
            </w:r>
            <w:r w:rsidR="00FF252C">
              <w:t xml:space="preserve">submission to the International Association </w:t>
            </w:r>
            <w:r w:rsidR="00AD584F">
              <w:t>for</w:t>
            </w:r>
            <w:r w:rsidR="00FF252C">
              <w:t xml:space="preserve"> Impact Assessment </w:t>
            </w:r>
            <w:r w:rsidR="00DB437E">
              <w:t xml:space="preserve">for publishing. </w:t>
            </w:r>
          </w:p>
        </w:tc>
      </w:tr>
    </w:tbl>
    <w:p w14:paraId="487CFEF3" w14:textId="77777777" w:rsidR="00A22991" w:rsidRPr="0086535A" w:rsidRDefault="00C32A62" w:rsidP="00EC4294">
      <w:pPr>
        <w:pStyle w:val="HChG"/>
      </w:pPr>
      <w:r>
        <w:lastRenderedPageBreak/>
        <w:tab/>
      </w:r>
      <w:bookmarkStart w:id="0" w:name="_Toc13428231"/>
      <w:r w:rsidR="00E54839">
        <w:t>I</w:t>
      </w:r>
      <w:r w:rsidR="00A22991" w:rsidRPr="0086535A">
        <w:t>.</w:t>
      </w:r>
      <w:r w:rsidR="00A22991">
        <w:tab/>
      </w:r>
      <w:r w:rsidR="00E54839">
        <w:t>Issue</w:t>
      </w:r>
      <w:bookmarkEnd w:id="0"/>
      <w:r w:rsidR="00E54839">
        <w:t>, underlying concepts and approaches (400</w:t>
      </w:r>
      <w:r w:rsidR="00A541E8">
        <w:t>–</w:t>
      </w:r>
      <w:r w:rsidR="00E54839">
        <w:t>500 words)</w:t>
      </w:r>
    </w:p>
    <w:p w14:paraId="7E4D9B0D" w14:textId="34EAA000" w:rsidR="00E54839" w:rsidRDefault="00B5709C" w:rsidP="00785750">
      <w:pPr>
        <w:pStyle w:val="SingleTxtG"/>
      </w:pPr>
      <w:r>
        <w:t>1</w:t>
      </w:r>
      <w:r w:rsidR="00A22991" w:rsidRPr="0086535A">
        <w:t>.</w:t>
      </w:r>
      <w:r w:rsidR="00A22991" w:rsidRPr="0086535A">
        <w:tab/>
      </w:r>
      <w:r w:rsidR="0082663A">
        <w:t>Under general international law, a</w:t>
      </w:r>
      <w:r w:rsidR="003A5CDC">
        <w:t>l</w:t>
      </w:r>
      <w:r w:rsidR="005A7124">
        <w:t xml:space="preserve">l </w:t>
      </w:r>
      <w:r>
        <w:t>States</w:t>
      </w:r>
      <w:r w:rsidR="005A7124">
        <w:t xml:space="preserve"> </w:t>
      </w:r>
      <w:r w:rsidR="0082663A">
        <w:t xml:space="preserve">must </w:t>
      </w:r>
      <w:r w:rsidR="005A7124">
        <w:t xml:space="preserve">undertake </w:t>
      </w:r>
      <w:r>
        <w:t xml:space="preserve">an environmental impact assessment of their </w:t>
      </w:r>
      <w:r w:rsidR="005A7124">
        <w:t xml:space="preserve">planned </w:t>
      </w:r>
      <w:r>
        <w:t xml:space="preserve">activities </w:t>
      </w:r>
      <w:r w:rsidR="005A7124">
        <w:t xml:space="preserve">that may have </w:t>
      </w:r>
      <w:r w:rsidR="00081C25">
        <w:t xml:space="preserve">a </w:t>
      </w:r>
      <w:r>
        <w:t>significant</w:t>
      </w:r>
      <w:r w:rsidR="005A7124">
        <w:t xml:space="preserve"> impact in a transboundary context. </w:t>
      </w:r>
      <w:r w:rsidR="00167A2F">
        <w:t>In</w:t>
      </w:r>
      <w:r w:rsidR="00597BF3">
        <w:t xml:space="preserve"> 1992, </w:t>
      </w:r>
      <w:r w:rsidR="009E50C6">
        <w:t>as part of the Rio Declaration</w:t>
      </w:r>
      <w:r w:rsidR="009A1B11">
        <w:t xml:space="preserve"> principles</w:t>
      </w:r>
      <w:r w:rsidR="009E50C6">
        <w:t xml:space="preserve">, </w:t>
      </w:r>
      <w:r w:rsidR="003335B5">
        <w:t xml:space="preserve">all the States </w:t>
      </w:r>
      <w:r w:rsidR="00176A5B">
        <w:t xml:space="preserve">Members of the United Nations </w:t>
      </w:r>
      <w:r w:rsidR="005F25E8">
        <w:t>undertook to provide</w:t>
      </w:r>
      <w:r w:rsidR="003F775C">
        <w:t xml:space="preserve"> a</w:t>
      </w:r>
      <w:r w:rsidR="003335B5">
        <w:t xml:space="preserve"> </w:t>
      </w:r>
      <w:r w:rsidR="009E50C6">
        <w:t>“</w:t>
      </w:r>
      <w:r w:rsidR="00785750" w:rsidRPr="00785750">
        <w:t>prior and timely notification and relevant information to potentially affected States</w:t>
      </w:r>
      <w:r w:rsidR="00AA0678">
        <w:t>”</w:t>
      </w:r>
      <w:r w:rsidR="00155041">
        <w:t xml:space="preserve"> </w:t>
      </w:r>
      <w:r w:rsidR="009A1B11">
        <w:t xml:space="preserve">and </w:t>
      </w:r>
      <w:r w:rsidR="009E50C6">
        <w:t xml:space="preserve">to </w:t>
      </w:r>
      <w:r w:rsidR="009A1B11">
        <w:t>“</w:t>
      </w:r>
      <w:r w:rsidR="009E50C6">
        <w:t>consult w</w:t>
      </w:r>
      <w:r w:rsidR="00785750" w:rsidRPr="00785750">
        <w:t>ith those States at an early stage and in good faith</w:t>
      </w:r>
      <w:r w:rsidR="00B66967">
        <w:t>”</w:t>
      </w:r>
      <w:r w:rsidR="00F97EF9" w:rsidRPr="00F97EF9">
        <w:t xml:space="preserve"> </w:t>
      </w:r>
      <w:r w:rsidR="00F97EF9">
        <w:t xml:space="preserve">on </w:t>
      </w:r>
      <w:r w:rsidR="00B72BB5">
        <w:t xml:space="preserve">such </w:t>
      </w:r>
      <w:r w:rsidR="005F25E8">
        <w:t xml:space="preserve">planned </w:t>
      </w:r>
      <w:r w:rsidR="00F97EF9">
        <w:t>activities.</w:t>
      </w:r>
      <w:r w:rsidR="00B66967">
        <w:rPr>
          <w:rStyle w:val="FootnoteReference"/>
        </w:rPr>
        <w:footnoteReference w:id="3"/>
      </w:r>
    </w:p>
    <w:p w14:paraId="02422C5A" w14:textId="21C3CF00" w:rsidR="009A1B11" w:rsidRDefault="00B5709C" w:rsidP="009A1B11">
      <w:pPr>
        <w:pStyle w:val="SingleTxtG"/>
      </w:pPr>
      <w:r>
        <w:t>2</w:t>
      </w:r>
      <w:r w:rsidR="00E54839">
        <w:t>.</w:t>
      </w:r>
      <w:r w:rsidR="00E54839">
        <w:tab/>
        <w:t xml:space="preserve">The </w:t>
      </w:r>
      <w:r w:rsidR="003F775C" w:rsidRPr="00E64057">
        <w:t xml:space="preserve">United Nations </w:t>
      </w:r>
      <w:r w:rsidR="003F775C">
        <w:t xml:space="preserve">Economic Commission for Europe (ECE) </w:t>
      </w:r>
      <w:r w:rsidR="00E54839">
        <w:t>Convention on Environmental Impact Assessment in a Transboundary Context (Espoo Convention)</w:t>
      </w:r>
      <w:r w:rsidR="00746EF5">
        <w:t xml:space="preserve"> </w:t>
      </w:r>
      <w:r w:rsidR="00BF3FC8">
        <w:t xml:space="preserve">offers </w:t>
      </w:r>
      <w:r w:rsidR="00AA0678">
        <w:t>a</w:t>
      </w:r>
      <w:r w:rsidR="00FE5E1A">
        <w:t>n</w:t>
      </w:r>
      <w:r w:rsidR="00AA0678">
        <w:t xml:space="preserve"> i</w:t>
      </w:r>
      <w:r w:rsidR="0075235E">
        <w:t xml:space="preserve">nternational </w:t>
      </w:r>
      <w:r w:rsidR="00746EF5">
        <w:t xml:space="preserve">legal </w:t>
      </w:r>
      <w:r w:rsidR="005049CE">
        <w:t xml:space="preserve">framework </w:t>
      </w:r>
      <w:r w:rsidR="00FE5E1A">
        <w:t>regarding</w:t>
      </w:r>
      <w:r w:rsidR="00746EF5" w:rsidRPr="00E64057">
        <w:t xml:space="preserve"> the scope and content of </w:t>
      </w:r>
      <w:r w:rsidR="0075235E">
        <w:t>the</w:t>
      </w:r>
      <w:r w:rsidR="00081C25">
        <w:t xml:space="preserve"> </w:t>
      </w:r>
      <w:r w:rsidR="00746EF5">
        <w:t xml:space="preserve">environmental impact assessment </w:t>
      </w:r>
      <w:r w:rsidR="00746EF5" w:rsidRPr="00E64057">
        <w:t>procedure</w:t>
      </w:r>
      <w:r w:rsidR="00746EF5">
        <w:t xml:space="preserve"> </w:t>
      </w:r>
      <w:r w:rsidR="0075235E">
        <w:t xml:space="preserve">between </w:t>
      </w:r>
      <w:r w:rsidR="00B72BB5">
        <w:t>countries</w:t>
      </w:r>
      <w:r w:rsidR="00746EF5">
        <w:t xml:space="preserve">. </w:t>
      </w:r>
    </w:p>
    <w:p w14:paraId="3FAC1817" w14:textId="7FDC5F96" w:rsidR="003F775C" w:rsidRDefault="009A1B11" w:rsidP="003F775C">
      <w:pPr>
        <w:pStyle w:val="SingleTxtG"/>
      </w:pPr>
      <w:r>
        <w:t>3.</w:t>
      </w:r>
      <w:r>
        <w:tab/>
        <w:t>The Convention was adopted in Espoo</w:t>
      </w:r>
      <w:r w:rsidR="003A5CDC">
        <w:t>,</w:t>
      </w:r>
      <w:r>
        <w:t xml:space="preserve"> Finland</w:t>
      </w:r>
      <w:r w:rsidR="003A5CDC">
        <w:t>,</w:t>
      </w:r>
      <w:r>
        <w:t xml:space="preserve"> in 1991</w:t>
      </w:r>
      <w:r w:rsidR="003F775C">
        <w:t xml:space="preserve">. </w:t>
      </w:r>
      <w:r>
        <w:t>It entered into force in 1997, and</w:t>
      </w:r>
      <w:r w:rsidR="007E2B57">
        <w:t>,</w:t>
      </w:r>
      <w:r>
        <w:t xml:space="preserve"> by </w:t>
      </w:r>
      <w:r w:rsidR="00E76CE5">
        <w:t xml:space="preserve">September </w:t>
      </w:r>
      <w:r>
        <w:t>2019</w:t>
      </w:r>
      <w:r w:rsidR="007E2B57">
        <w:t>,</w:t>
      </w:r>
      <w:r>
        <w:t xml:space="preserve"> had 45 Parties across the Caucasus, Central Asia, Europe and </w:t>
      </w:r>
      <w:r w:rsidR="002842AC">
        <w:t>North America</w:t>
      </w:r>
      <w:r>
        <w:t>, including the European Union</w:t>
      </w:r>
      <w:r w:rsidR="00173673">
        <w:t xml:space="preserve"> as a regional organization</w:t>
      </w:r>
      <w:r>
        <w:t>.</w:t>
      </w:r>
      <w:r w:rsidR="00BF3FC8">
        <w:t xml:space="preserve"> Originally a regional instrument, the </w:t>
      </w:r>
      <w:r>
        <w:t>Convention</w:t>
      </w:r>
      <w:r w:rsidR="00BF3FC8">
        <w:t xml:space="preserve"> </w:t>
      </w:r>
      <w:r w:rsidR="00AA0678">
        <w:t xml:space="preserve">is </w:t>
      </w:r>
      <w:r w:rsidR="003F775C">
        <w:t xml:space="preserve">being opened </w:t>
      </w:r>
      <w:r w:rsidR="00AA0678">
        <w:t xml:space="preserve">to all </w:t>
      </w:r>
      <w:r w:rsidR="00B547A3">
        <w:t xml:space="preserve">States Members of the </w:t>
      </w:r>
      <w:r w:rsidR="00AA0678">
        <w:t>United Nations.</w:t>
      </w:r>
    </w:p>
    <w:p w14:paraId="48250851" w14:textId="77777777" w:rsidR="00B66967" w:rsidRPr="00B66967" w:rsidRDefault="009A1B11" w:rsidP="003F775C">
      <w:pPr>
        <w:pStyle w:val="SingleTxtG"/>
      </w:pPr>
      <w:r>
        <w:tab/>
      </w:r>
      <w:r w:rsidR="00E76CE5">
        <w:t>4.</w:t>
      </w:r>
      <w:r w:rsidR="00E76CE5">
        <w:tab/>
      </w:r>
      <w:r w:rsidR="002D4431">
        <w:t xml:space="preserve">In accordance with the precautionary approach and the principle of prevention, the Convention requires </w:t>
      </w:r>
      <w:r w:rsidR="001B1F5C">
        <w:t>that</w:t>
      </w:r>
      <w:r w:rsidR="002D4431">
        <w:t xml:space="preserve"> adverse environmental impacts </w:t>
      </w:r>
      <w:r w:rsidR="001B1F5C">
        <w:t xml:space="preserve">be anticipated and addressed </w:t>
      </w:r>
      <w:proofErr w:type="gramStart"/>
      <w:r w:rsidR="002D4431" w:rsidRPr="00B66967">
        <w:t xml:space="preserve">early </w:t>
      </w:r>
      <w:r w:rsidR="007D513C">
        <w:t xml:space="preserve">on </w:t>
      </w:r>
      <w:r w:rsidR="002D4431" w:rsidRPr="00B66967">
        <w:t>in</w:t>
      </w:r>
      <w:r w:rsidR="002D4431">
        <w:t xml:space="preserve"> the</w:t>
      </w:r>
      <w:proofErr w:type="gramEnd"/>
      <w:r w:rsidR="002D4431">
        <w:t xml:space="preserve"> planning of activities to prevent</w:t>
      </w:r>
      <w:r w:rsidR="00B013F9">
        <w:t xml:space="preserve"> or</w:t>
      </w:r>
      <w:r w:rsidR="002D4431" w:rsidRPr="00B66967">
        <w:t xml:space="preserve"> mitigat</w:t>
      </w:r>
      <w:r w:rsidR="002D4431">
        <w:t>e</w:t>
      </w:r>
      <w:r w:rsidR="002D4431" w:rsidRPr="00B66967">
        <w:t xml:space="preserve"> and monitor</w:t>
      </w:r>
      <w:r w:rsidR="00B013F9">
        <w:t xml:space="preserve"> any damage</w:t>
      </w:r>
      <w:r w:rsidR="002D4431">
        <w:t xml:space="preserve">. </w:t>
      </w:r>
      <w:r w:rsidR="00FA77B9">
        <w:t>T</w:t>
      </w:r>
      <w:r w:rsidR="00916136">
        <w:t xml:space="preserve">he Convention has substantially contributed to </w:t>
      </w:r>
      <w:r w:rsidR="005A3CEC">
        <w:t xml:space="preserve">environmental </w:t>
      </w:r>
      <w:r w:rsidR="00916136">
        <w:t>protection</w:t>
      </w:r>
      <w:r w:rsidR="00767C5F">
        <w:t xml:space="preserve">, shaped </w:t>
      </w:r>
      <w:r w:rsidR="002842AC">
        <w:t xml:space="preserve">environmental law and </w:t>
      </w:r>
      <w:r w:rsidR="00767C5F">
        <w:t xml:space="preserve">sustainable development policies and fostered international cooperation </w:t>
      </w:r>
      <w:r w:rsidR="00B66967" w:rsidRPr="00B66967">
        <w:t xml:space="preserve">in assessing </w:t>
      </w:r>
      <w:r w:rsidR="007D513C">
        <w:t xml:space="preserve">the </w:t>
      </w:r>
      <w:r w:rsidR="00B66967" w:rsidRPr="00B66967">
        <w:t>environmental impact</w:t>
      </w:r>
      <w:r w:rsidR="00FA7C63">
        <w:t xml:space="preserve"> of economic and regional development activities</w:t>
      </w:r>
      <w:r w:rsidR="00B1598D">
        <w:t xml:space="preserve">. </w:t>
      </w:r>
      <w:r w:rsidR="002D4431">
        <w:t xml:space="preserve">Moreover, </w:t>
      </w:r>
      <w:r w:rsidR="002842AC">
        <w:t>t</w:t>
      </w:r>
      <w:r w:rsidR="00767C5F">
        <w:t>h</w:t>
      </w:r>
      <w:r w:rsidR="002842AC">
        <w:t>e Convention’s obligation</w:t>
      </w:r>
      <w:r w:rsidR="00B013F9">
        <w:t>s on</w:t>
      </w:r>
      <w:r w:rsidR="002842AC">
        <w:t xml:space="preserve"> </w:t>
      </w:r>
      <w:r w:rsidR="002D4431">
        <w:t>consultation</w:t>
      </w:r>
      <w:r w:rsidR="00B013F9">
        <w:t xml:space="preserve"> </w:t>
      </w:r>
      <w:r w:rsidR="007D513C">
        <w:t>with</w:t>
      </w:r>
      <w:r w:rsidR="00B013F9">
        <w:t xml:space="preserve"> </w:t>
      </w:r>
      <w:r w:rsidR="002D4431">
        <w:t xml:space="preserve">relevant authorities and </w:t>
      </w:r>
      <w:r w:rsidR="00767C5F">
        <w:t xml:space="preserve">public participation </w:t>
      </w:r>
      <w:r w:rsidR="00BB7A08">
        <w:t xml:space="preserve">have </w:t>
      </w:r>
      <w:r w:rsidR="00BA10E1">
        <w:t>contribute</w:t>
      </w:r>
      <w:r w:rsidR="00BB7A08">
        <w:t>d</w:t>
      </w:r>
      <w:r w:rsidR="00BA10E1">
        <w:t xml:space="preserve"> to </w:t>
      </w:r>
      <w:r w:rsidR="00B1598D">
        <w:t>improv</w:t>
      </w:r>
      <w:r w:rsidR="00BA10E1">
        <w:t>ing</w:t>
      </w:r>
      <w:r w:rsidR="00B1598D">
        <w:t xml:space="preserve"> the quality of information</w:t>
      </w:r>
      <w:r>
        <w:t>, environmental</w:t>
      </w:r>
      <w:r w:rsidR="00B1598D">
        <w:t xml:space="preserve"> governance </w:t>
      </w:r>
      <w:r w:rsidR="0011386C">
        <w:t xml:space="preserve">and </w:t>
      </w:r>
      <w:r w:rsidR="0055135F">
        <w:t>transparency in</w:t>
      </w:r>
      <w:r w:rsidR="00B1598D">
        <w:t xml:space="preserve"> planning and </w:t>
      </w:r>
      <w:r w:rsidR="00D74410">
        <w:t>d</w:t>
      </w:r>
      <w:r w:rsidR="00B1598D">
        <w:t>ecision-making</w:t>
      </w:r>
      <w:r w:rsidR="00B977CB">
        <w:t xml:space="preserve"> and helped</w:t>
      </w:r>
      <w:r w:rsidR="005F25E8">
        <w:t xml:space="preserve"> to</w:t>
      </w:r>
      <w:r w:rsidR="00D74410">
        <w:t xml:space="preserve"> </w:t>
      </w:r>
      <w:r w:rsidR="00244C2C">
        <w:t xml:space="preserve">minimize </w:t>
      </w:r>
      <w:r w:rsidR="00BB7A08">
        <w:t>tensions</w:t>
      </w:r>
      <w:r w:rsidR="00244C2C">
        <w:t xml:space="preserve"> </w:t>
      </w:r>
      <w:r w:rsidR="002D4431">
        <w:t xml:space="preserve">across </w:t>
      </w:r>
      <w:r w:rsidR="00D73209">
        <w:t>borders</w:t>
      </w:r>
      <w:r>
        <w:t xml:space="preserve">. </w:t>
      </w:r>
      <w:r w:rsidR="00B1598D">
        <w:t xml:space="preserve">  </w:t>
      </w:r>
    </w:p>
    <w:p w14:paraId="4FBCF3BA" w14:textId="57E14F2D" w:rsidR="00E54839" w:rsidRDefault="00E54839" w:rsidP="00B841FA">
      <w:pPr>
        <w:pStyle w:val="SingleTxtG"/>
      </w:pPr>
      <w:r>
        <w:t>5</w:t>
      </w:r>
      <w:r w:rsidR="00A22991" w:rsidRPr="0086535A">
        <w:t>.</w:t>
      </w:r>
      <w:r w:rsidR="00A22991" w:rsidRPr="0086535A">
        <w:tab/>
      </w:r>
      <w:r w:rsidR="00081C25">
        <w:t>T</w:t>
      </w:r>
      <w:r w:rsidRPr="00E54839">
        <w:t xml:space="preserve">he </w:t>
      </w:r>
      <w:r w:rsidR="00D74410">
        <w:t>Convention</w:t>
      </w:r>
      <w:r w:rsidR="00244C2C">
        <w:t xml:space="preserve"> provides for </w:t>
      </w:r>
      <w:r w:rsidR="00D73209">
        <w:t xml:space="preserve">the </w:t>
      </w:r>
      <w:r w:rsidR="00BA10E1">
        <w:t xml:space="preserve">following </w:t>
      </w:r>
      <w:r w:rsidR="003C3BDB">
        <w:t xml:space="preserve">main </w:t>
      </w:r>
      <w:r w:rsidR="00244C2C">
        <w:t xml:space="preserve">procedural </w:t>
      </w:r>
      <w:r w:rsidR="00BA10E1">
        <w:t xml:space="preserve">steps: </w:t>
      </w:r>
    </w:p>
    <w:p w14:paraId="6B399829" w14:textId="6385A9C5" w:rsidR="00E54839" w:rsidRDefault="00E54839" w:rsidP="00E97B11">
      <w:pPr>
        <w:pStyle w:val="SingleTxtG"/>
        <w:ind w:firstLine="567"/>
      </w:pPr>
      <w:r>
        <w:t>(a)</w:t>
      </w:r>
      <w:r>
        <w:tab/>
        <w:t xml:space="preserve">The Party of origin (i.e. </w:t>
      </w:r>
      <w:r w:rsidR="00F6675C">
        <w:t xml:space="preserve">the contracting </w:t>
      </w:r>
      <w:r>
        <w:t>Party to the Convention under whose jurisdiction a proposed activity is envisaged to take place)</w:t>
      </w:r>
      <w:r w:rsidR="00E43D2C">
        <w:t xml:space="preserve"> </w:t>
      </w:r>
      <w:r w:rsidR="00450219">
        <w:t xml:space="preserve">must ensure that affected Parties are notified of any activity listed in appendix I of the Convention that is likely to cause significant adverse transboundary impact; </w:t>
      </w:r>
    </w:p>
    <w:p w14:paraId="1B8F4D11" w14:textId="24932063" w:rsidR="00E54839" w:rsidRDefault="00E54839" w:rsidP="00E54839">
      <w:pPr>
        <w:pStyle w:val="SingleTxtG"/>
        <w:ind w:firstLine="567"/>
      </w:pPr>
      <w:r>
        <w:t>(</w:t>
      </w:r>
      <w:r w:rsidR="00450219">
        <w:t>b</w:t>
      </w:r>
      <w:r>
        <w:t>)</w:t>
      </w:r>
      <w:r>
        <w:tab/>
        <w:t>The affected Party</w:t>
      </w:r>
      <w:r w:rsidR="00851A02">
        <w:t xml:space="preserve"> </w:t>
      </w:r>
      <w:r w:rsidR="00A01B1E">
        <w:t>must ac</w:t>
      </w:r>
      <w:r w:rsidR="00C74195">
        <w:t>knowledge the notification and i</w:t>
      </w:r>
      <w:r>
        <w:t>ndicat</w:t>
      </w:r>
      <w:r w:rsidR="00C74195">
        <w:t>e</w:t>
      </w:r>
      <w:r>
        <w:t xml:space="preserve"> whether it wishes to participate in the </w:t>
      </w:r>
      <w:r w:rsidR="00851A02">
        <w:t xml:space="preserve">assessment </w:t>
      </w:r>
      <w:r>
        <w:t>procedure</w:t>
      </w:r>
      <w:r w:rsidR="00D74410">
        <w:t>. I</w:t>
      </w:r>
      <w:r w:rsidR="00C74195">
        <w:t>f it does</w:t>
      </w:r>
      <w:r w:rsidR="004F5938">
        <w:t xml:space="preserve"> wish to participate</w:t>
      </w:r>
      <w:r w:rsidR="00C74195">
        <w:t>, the Parties will exchange relevant information</w:t>
      </w:r>
      <w:r w:rsidR="00453F13">
        <w:t xml:space="preserve"> not yet provided, including any comments or objections </w:t>
      </w:r>
      <w:r w:rsidR="00D74410">
        <w:t xml:space="preserve">from </w:t>
      </w:r>
      <w:r w:rsidR="00453F13">
        <w:t xml:space="preserve">the </w:t>
      </w:r>
      <w:r>
        <w:t>public in the affected Party</w:t>
      </w:r>
      <w:r w:rsidR="00A01B1E">
        <w:t>/Parties</w:t>
      </w:r>
      <w:r>
        <w:t xml:space="preserve"> regarding </w:t>
      </w:r>
      <w:r w:rsidR="00453F13">
        <w:t xml:space="preserve">the </w:t>
      </w:r>
      <w:r>
        <w:t>proposed activity</w:t>
      </w:r>
      <w:r w:rsidR="00453F13">
        <w:t xml:space="preserve">; </w:t>
      </w:r>
      <w:r>
        <w:t xml:space="preserve"> </w:t>
      </w:r>
    </w:p>
    <w:p w14:paraId="638C3581" w14:textId="74B58142" w:rsidR="00A22991" w:rsidRDefault="00E54839" w:rsidP="00E54839">
      <w:pPr>
        <w:pStyle w:val="SingleTxtG"/>
        <w:ind w:firstLine="567"/>
      </w:pPr>
      <w:r>
        <w:t>(</w:t>
      </w:r>
      <w:r w:rsidR="00450219">
        <w:t>c</w:t>
      </w:r>
      <w:r>
        <w:t>)</w:t>
      </w:r>
      <w:r>
        <w:tab/>
        <w:t xml:space="preserve">The </w:t>
      </w:r>
      <w:r w:rsidR="00646D30">
        <w:t xml:space="preserve">Party of origin </w:t>
      </w:r>
      <w:r w:rsidR="000917AE">
        <w:t>must</w:t>
      </w:r>
      <w:r w:rsidR="00A01B1E">
        <w:t xml:space="preserve"> </w:t>
      </w:r>
      <w:r w:rsidR="00646D30">
        <w:t xml:space="preserve">prepare </w:t>
      </w:r>
      <w:r w:rsidR="00453F13">
        <w:t xml:space="preserve">environmental impact assessment </w:t>
      </w:r>
      <w:r>
        <w:t>documentation</w:t>
      </w:r>
      <w:r w:rsidR="00646D30">
        <w:t xml:space="preserve"> and submit it for comments to the authorities and the public of the </w:t>
      </w:r>
      <w:r>
        <w:t>affected Party</w:t>
      </w:r>
      <w:r w:rsidR="00A01B1E">
        <w:t>/Parties</w:t>
      </w:r>
      <w:r w:rsidR="00675DA0">
        <w:t>;</w:t>
      </w:r>
    </w:p>
    <w:p w14:paraId="14ED75C6" w14:textId="722CC479" w:rsidR="00E54839" w:rsidRDefault="00E54839" w:rsidP="00E54839">
      <w:pPr>
        <w:pStyle w:val="SingleTxtG"/>
        <w:ind w:firstLine="567"/>
      </w:pPr>
      <w:r>
        <w:t>(</w:t>
      </w:r>
      <w:r w:rsidR="00450219">
        <w:t>d</w:t>
      </w:r>
      <w:r>
        <w:t>)</w:t>
      </w:r>
      <w:r>
        <w:tab/>
      </w:r>
      <w:r w:rsidR="00CA6DBD">
        <w:t xml:space="preserve">Based on the completed documentation, </w:t>
      </w:r>
      <w:r w:rsidR="00A47AF6">
        <w:t>the</w:t>
      </w:r>
      <w:r w:rsidR="00D73209">
        <w:t xml:space="preserve"> concerned</w:t>
      </w:r>
      <w:r w:rsidR="00A47AF6">
        <w:t xml:space="preserve"> </w:t>
      </w:r>
      <w:r>
        <w:t>Part</w:t>
      </w:r>
      <w:r w:rsidR="00D73209">
        <w:t>ies</w:t>
      </w:r>
      <w:r>
        <w:t xml:space="preserve"> </w:t>
      </w:r>
      <w:r w:rsidR="00675DA0">
        <w:t>should</w:t>
      </w:r>
      <w:r w:rsidR="0016233D">
        <w:t xml:space="preserve"> consult</w:t>
      </w:r>
      <w:r w:rsidR="00A47AF6">
        <w:t xml:space="preserve"> each other</w:t>
      </w:r>
      <w:r w:rsidR="00D40342">
        <w:t>, for example,</w:t>
      </w:r>
      <w:r w:rsidR="00CA6DBD">
        <w:t xml:space="preserve"> </w:t>
      </w:r>
      <w:r>
        <w:t>on alternatives, mitigation measures</w:t>
      </w:r>
      <w:r w:rsidR="00D73209">
        <w:t xml:space="preserve"> and</w:t>
      </w:r>
      <w:r>
        <w:t xml:space="preserve"> monitoring</w:t>
      </w:r>
      <w:r w:rsidR="004510C7">
        <w:t xml:space="preserve">; </w:t>
      </w:r>
    </w:p>
    <w:p w14:paraId="74CBF396" w14:textId="3A7A4DC5" w:rsidR="00E54839" w:rsidRDefault="00E54839" w:rsidP="00E54839">
      <w:pPr>
        <w:pStyle w:val="SingleTxtG"/>
        <w:ind w:firstLine="567"/>
      </w:pPr>
      <w:r>
        <w:t>(</w:t>
      </w:r>
      <w:r w:rsidR="00450219">
        <w:t>e</w:t>
      </w:r>
      <w:r>
        <w:t>)</w:t>
      </w:r>
      <w:r>
        <w:tab/>
      </w:r>
      <w:r w:rsidR="00BB7A08">
        <w:t xml:space="preserve">The Party of origin </w:t>
      </w:r>
      <w:r w:rsidR="00675DA0">
        <w:t xml:space="preserve">must </w:t>
      </w:r>
      <w:r w:rsidR="00D73209">
        <w:t xml:space="preserve">decide </w:t>
      </w:r>
      <w:r>
        <w:t>on the p</w:t>
      </w:r>
      <w:r w:rsidR="00BB7A08">
        <w:t xml:space="preserve">lanned activity </w:t>
      </w:r>
      <w:r w:rsidR="00675DA0">
        <w:t>considering</w:t>
      </w:r>
      <w:r>
        <w:t xml:space="preserve"> the</w:t>
      </w:r>
      <w:r w:rsidR="004510C7">
        <w:t xml:space="preserve"> environmental impact assessment documentation, the comments</w:t>
      </w:r>
      <w:r w:rsidR="00BB7A08">
        <w:t xml:space="preserve"> received </w:t>
      </w:r>
      <w:r w:rsidR="00D74410">
        <w:t xml:space="preserve">and </w:t>
      </w:r>
      <w:r w:rsidR="00BB7A08">
        <w:t xml:space="preserve">the </w:t>
      </w:r>
      <w:r>
        <w:t>outcome of the</w:t>
      </w:r>
      <w:r w:rsidR="00BB7A08">
        <w:t xml:space="preserve"> consultations; </w:t>
      </w:r>
      <w:r>
        <w:t xml:space="preserve"> </w:t>
      </w:r>
    </w:p>
    <w:p w14:paraId="4F4CA658" w14:textId="01064321" w:rsidR="00E54839" w:rsidRDefault="00E54839" w:rsidP="00E54839">
      <w:pPr>
        <w:pStyle w:val="SingleTxtG"/>
        <w:ind w:firstLine="567"/>
      </w:pPr>
      <w:r>
        <w:t>(</w:t>
      </w:r>
      <w:r w:rsidR="00450219">
        <w:t>f</w:t>
      </w:r>
      <w:r>
        <w:t>)</w:t>
      </w:r>
      <w:r>
        <w:tab/>
        <w:t xml:space="preserve">The </w:t>
      </w:r>
      <w:r w:rsidR="00BB7A08">
        <w:t xml:space="preserve">final </w:t>
      </w:r>
      <w:r>
        <w:t xml:space="preserve">decision is </w:t>
      </w:r>
      <w:r w:rsidR="00675DA0">
        <w:t xml:space="preserve">to be </w:t>
      </w:r>
      <w:r>
        <w:t>provided to the affected Party, with the reasons and considerations on which it was based</w:t>
      </w:r>
      <w:r w:rsidR="00BB7A08">
        <w:t xml:space="preserve">; </w:t>
      </w:r>
    </w:p>
    <w:p w14:paraId="4A966AB0" w14:textId="684A042E" w:rsidR="00E54839" w:rsidRPr="0086535A" w:rsidRDefault="00E54839" w:rsidP="00BB7A08">
      <w:pPr>
        <w:pStyle w:val="SingleTxtG"/>
        <w:ind w:firstLine="567"/>
      </w:pPr>
      <w:r>
        <w:t>(</w:t>
      </w:r>
      <w:r w:rsidR="00450219">
        <w:t>g</w:t>
      </w:r>
      <w:r>
        <w:t>)</w:t>
      </w:r>
      <w:r>
        <w:tab/>
        <w:t>The concerned Parties s</w:t>
      </w:r>
      <w:r w:rsidR="00675DA0">
        <w:t>hould</w:t>
      </w:r>
      <w:r>
        <w:t xml:space="preserve"> determine whether </w:t>
      </w:r>
      <w:r w:rsidR="00081C25">
        <w:t xml:space="preserve">and to what extent </w:t>
      </w:r>
      <w:r>
        <w:t xml:space="preserve">a post-project analysis </w:t>
      </w:r>
      <w:r w:rsidR="007D513C">
        <w:t>is to be</w:t>
      </w:r>
      <w:r>
        <w:t xml:space="preserve"> carried out</w:t>
      </w:r>
      <w:r w:rsidR="00BB7A08">
        <w:t>.</w:t>
      </w:r>
    </w:p>
    <w:p w14:paraId="0787D149" w14:textId="77777777" w:rsidR="00EC4294" w:rsidRDefault="00A22991">
      <w:pPr>
        <w:pStyle w:val="HChG"/>
      </w:pPr>
      <w:bookmarkStart w:id="1" w:name="_Toc13428232"/>
      <w:bookmarkStart w:id="2" w:name="_GoBack"/>
      <w:bookmarkEnd w:id="2"/>
      <w:r>
        <w:lastRenderedPageBreak/>
        <w:tab/>
      </w:r>
      <w:r w:rsidR="00EC4294">
        <w:t>II.</w:t>
      </w:r>
      <w:r w:rsidR="00EC4294">
        <w:tab/>
        <w:t>Side quote (10</w:t>
      </w:r>
      <w:r w:rsidR="00A541E8">
        <w:t>–</w:t>
      </w:r>
      <w:r w:rsidR="00EC4294">
        <w:t>25 words)</w:t>
      </w:r>
    </w:p>
    <w:p w14:paraId="00748DDA" w14:textId="6FE8EB0B" w:rsidR="00EC4294" w:rsidRPr="00C57FB0" w:rsidRDefault="00D74410" w:rsidP="00405A02">
      <w:pPr>
        <w:pStyle w:val="SingleTxtG"/>
      </w:pPr>
      <w:r>
        <w:t>6</w:t>
      </w:r>
      <w:r w:rsidR="00EC4294" w:rsidRPr="00C57FB0">
        <w:t>.</w:t>
      </w:r>
      <w:r w:rsidR="00EC4294" w:rsidRPr="00C57FB0">
        <w:tab/>
      </w:r>
      <w:r w:rsidR="00EC4294">
        <w:t>The</w:t>
      </w:r>
      <w:r>
        <w:t xml:space="preserve"> </w:t>
      </w:r>
      <w:r w:rsidR="00EC4294" w:rsidRPr="00E54839">
        <w:t>Convention</w:t>
      </w:r>
      <w:r w:rsidR="00405A02">
        <w:t xml:space="preserve"> provides a </w:t>
      </w:r>
      <w:r w:rsidR="009B7E3C">
        <w:t>legal</w:t>
      </w:r>
      <w:r w:rsidR="00405A02">
        <w:t xml:space="preserve"> </w:t>
      </w:r>
      <w:r w:rsidR="009B7E3C">
        <w:t>framework</w:t>
      </w:r>
      <w:r w:rsidR="00405A02">
        <w:t xml:space="preserve"> </w:t>
      </w:r>
      <w:r w:rsidR="00A01B1E">
        <w:t xml:space="preserve">and </w:t>
      </w:r>
      <w:r w:rsidR="000C7664">
        <w:t xml:space="preserve">effective </w:t>
      </w:r>
      <w:r w:rsidR="00A01B1E">
        <w:t xml:space="preserve">procedures </w:t>
      </w:r>
      <w:r w:rsidR="009B7E3C">
        <w:t>for</w:t>
      </w:r>
      <w:r w:rsidR="00405A02">
        <w:t xml:space="preserve"> </w:t>
      </w:r>
      <w:r w:rsidR="004E68EB">
        <w:t xml:space="preserve">inter-State </w:t>
      </w:r>
      <w:r w:rsidR="00405A02">
        <w:t>consult</w:t>
      </w:r>
      <w:r w:rsidR="004E68EB">
        <w:t>ations</w:t>
      </w:r>
      <w:r w:rsidR="00405A02">
        <w:t xml:space="preserve"> </w:t>
      </w:r>
      <w:r w:rsidR="009B7E3C">
        <w:t xml:space="preserve">on planned activities </w:t>
      </w:r>
      <w:r w:rsidR="00405A02">
        <w:t xml:space="preserve">to prevent or mitigate negative </w:t>
      </w:r>
      <w:r w:rsidR="009B7E3C">
        <w:t>environmental impact</w:t>
      </w:r>
      <w:r w:rsidR="00405A02">
        <w:t>s</w:t>
      </w:r>
      <w:r w:rsidR="009B7E3C">
        <w:t xml:space="preserve"> across borders.</w:t>
      </w:r>
      <w:r w:rsidR="00EC4294">
        <w:t xml:space="preserve"> </w:t>
      </w:r>
    </w:p>
    <w:p w14:paraId="12729DBE" w14:textId="77777777" w:rsidR="00021135" w:rsidRDefault="00EC4294">
      <w:pPr>
        <w:pStyle w:val="HChG"/>
      </w:pPr>
      <w:r>
        <w:tab/>
      </w:r>
      <w:r w:rsidR="00A22991" w:rsidRPr="00A22991">
        <w:t>I</w:t>
      </w:r>
      <w:r>
        <w:t>II</w:t>
      </w:r>
      <w:r w:rsidR="00A22991" w:rsidRPr="00A22991">
        <w:t>.</w:t>
      </w:r>
      <w:r w:rsidR="00A22991">
        <w:tab/>
      </w:r>
      <w:r w:rsidR="00021135" w:rsidRPr="00021135">
        <w:t>Five important things to know (max</w:t>
      </w:r>
      <w:r w:rsidR="00A541E8">
        <w:t>.</w:t>
      </w:r>
      <w:r w:rsidR="00021135" w:rsidRPr="00021135">
        <w:t xml:space="preserve"> 150 words)</w:t>
      </w:r>
    </w:p>
    <w:p w14:paraId="521A48AE" w14:textId="315BAE0B" w:rsidR="00F9617B" w:rsidRDefault="00427B29" w:rsidP="00B05CBE">
      <w:pPr>
        <w:pStyle w:val="SingleTxtG"/>
      </w:pPr>
      <w:r>
        <w:t>7</w:t>
      </w:r>
      <w:r w:rsidR="00021135">
        <w:t>.</w:t>
      </w:r>
      <w:r w:rsidR="00021135">
        <w:tab/>
      </w:r>
      <w:r w:rsidR="00267D9B">
        <w:t>Since its inception</w:t>
      </w:r>
      <w:r w:rsidR="00154DF7">
        <w:t>,</w:t>
      </w:r>
      <w:r w:rsidR="00154DF7" w:rsidRPr="00154DF7">
        <w:t xml:space="preserve"> </w:t>
      </w:r>
      <w:r w:rsidR="00154DF7">
        <w:t>t</w:t>
      </w:r>
      <w:r w:rsidR="00F9617B">
        <w:t xml:space="preserve">he </w:t>
      </w:r>
      <w:r w:rsidR="006A0804">
        <w:t>Convention ha</w:t>
      </w:r>
      <w:r w:rsidR="00FA40C1">
        <w:t>s</w:t>
      </w:r>
      <w:r w:rsidR="006A0804">
        <w:t xml:space="preserve"> prove</w:t>
      </w:r>
      <w:r w:rsidR="00FA40C1">
        <w:t>d</w:t>
      </w:r>
      <w:r w:rsidR="006A0804">
        <w:t xml:space="preserve"> </w:t>
      </w:r>
      <w:r w:rsidR="00FA40C1">
        <w:t xml:space="preserve">its </w:t>
      </w:r>
      <w:r w:rsidR="006A0804">
        <w:t xml:space="preserve">effectiveness </w:t>
      </w:r>
      <w:r w:rsidR="00413186">
        <w:t xml:space="preserve">in fostering </w:t>
      </w:r>
      <w:r w:rsidR="00167A2F">
        <w:t xml:space="preserve">inter-State </w:t>
      </w:r>
      <w:r w:rsidR="00347519" w:rsidRPr="00347519">
        <w:t>discuss</w:t>
      </w:r>
      <w:r w:rsidR="00347519">
        <w:t>i</w:t>
      </w:r>
      <w:r w:rsidR="00413186">
        <w:t xml:space="preserve">on </w:t>
      </w:r>
      <w:r w:rsidR="00347519">
        <w:t>and cooperati</w:t>
      </w:r>
      <w:r w:rsidR="00413186">
        <w:t xml:space="preserve">on </w:t>
      </w:r>
      <w:r w:rsidR="00FA40C1">
        <w:t xml:space="preserve">on </w:t>
      </w:r>
      <w:r w:rsidR="00FA40C1" w:rsidRPr="00347519">
        <w:t>planned developments</w:t>
      </w:r>
      <w:r w:rsidR="00167A2F">
        <w:t>;</w:t>
      </w:r>
      <w:r w:rsidR="00521704">
        <w:t xml:space="preserve"> </w:t>
      </w:r>
      <w:r w:rsidR="00064BFD">
        <w:t xml:space="preserve">and </w:t>
      </w:r>
      <w:r w:rsidR="00675DA0">
        <w:t>its Parties have gathered a</w:t>
      </w:r>
      <w:r w:rsidR="006A0804">
        <w:t xml:space="preserve"> wealth of good practice</w:t>
      </w:r>
      <w:r w:rsidR="00167A2F">
        <w:t>s</w:t>
      </w:r>
      <w:r w:rsidR="00E85394">
        <w:t xml:space="preserve"> and lessons learned</w:t>
      </w:r>
      <w:r w:rsidR="00675DA0">
        <w:t xml:space="preserve"> on its implementation</w:t>
      </w:r>
      <w:r w:rsidR="00F613EA">
        <w:t>.</w:t>
      </w:r>
      <w:r w:rsidR="00521704">
        <w:t xml:space="preserve"> </w:t>
      </w:r>
    </w:p>
    <w:p w14:paraId="55632B91" w14:textId="5670CEDC" w:rsidR="00B326F2" w:rsidRDefault="00167A2F" w:rsidP="00B05CBE">
      <w:pPr>
        <w:pStyle w:val="SingleTxtG"/>
      </w:pPr>
      <w:r>
        <w:t>8.</w:t>
      </w:r>
      <w:r>
        <w:tab/>
      </w:r>
      <w:r w:rsidR="00B326F2" w:rsidRPr="00B326F2">
        <w:t xml:space="preserve">The </w:t>
      </w:r>
      <w:r w:rsidR="00B326F2">
        <w:t xml:space="preserve">Convention can </w:t>
      </w:r>
      <w:r w:rsidR="00B326F2" w:rsidRPr="00B326F2">
        <w:t xml:space="preserve">contribute to the achievement of Sustainable Development Goals by supporting countries </w:t>
      </w:r>
      <w:r w:rsidR="00154DF7">
        <w:t>in</w:t>
      </w:r>
      <w:r w:rsidR="00B326F2" w:rsidRPr="00B326F2">
        <w:t xml:space="preserve"> translat</w:t>
      </w:r>
      <w:r w:rsidR="00154DF7">
        <w:t>ing</w:t>
      </w:r>
      <w:r w:rsidR="00B326F2" w:rsidRPr="00B326F2">
        <w:t xml:space="preserve"> global commitments into practical action at </w:t>
      </w:r>
      <w:r w:rsidR="00154DF7">
        <w:t xml:space="preserve">the </w:t>
      </w:r>
      <w:r w:rsidR="00B326F2" w:rsidRPr="00B326F2">
        <w:t>national level</w:t>
      </w:r>
      <w:r w:rsidR="00F613EA">
        <w:t>.</w:t>
      </w:r>
    </w:p>
    <w:p w14:paraId="588B2E7E" w14:textId="00874164" w:rsidR="00413186" w:rsidRDefault="00167A2F" w:rsidP="00B05CBE">
      <w:pPr>
        <w:pStyle w:val="SingleTxtG"/>
      </w:pPr>
      <w:r>
        <w:t>9.</w:t>
      </w:r>
      <w:r>
        <w:tab/>
      </w:r>
      <w:r w:rsidR="00E85394">
        <w:t xml:space="preserve">Being </w:t>
      </w:r>
      <w:r w:rsidR="00154DF7">
        <w:t xml:space="preserve">a </w:t>
      </w:r>
      <w:r w:rsidR="00E85394">
        <w:t xml:space="preserve">Party </w:t>
      </w:r>
      <w:r w:rsidR="00154DF7">
        <w:t xml:space="preserve">to the Convention </w:t>
      </w:r>
      <w:r w:rsidR="00603C15">
        <w:t xml:space="preserve">implies duties but also </w:t>
      </w:r>
      <w:r w:rsidR="002A5304">
        <w:t xml:space="preserve">grants a country </w:t>
      </w:r>
      <w:r w:rsidR="00154DF7">
        <w:t xml:space="preserve">the </w:t>
      </w:r>
      <w:r w:rsidR="00E85394">
        <w:t xml:space="preserve">rights to be notified </w:t>
      </w:r>
      <w:r w:rsidR="00154DF7">
        <w:t xml:space="preserve">of </w:t>
      </w:r>
      <w:r w:rsidR="00E85394">
        <w:t xml:space="preserve">and consulted </w:t>
      </w:r>
      <w:r w:rsidR="00154DF7">
        <w:t xml:space="preserve">regarding </w:t>
      </w:r>
      <w:r>
        <w:t>other Parties’</w:t>
      </w:r>
      <w:r w:rsidR="00154DF7">
        <w:t xml:space="preserve"> </w:t>
      </w:r>
      <w:r w:rsidR="00E85394">
        <w:t xml:space="preserve">planned developments that </w:t>
      </w:r>
      <w:r w:rsidR="002A5304">
        <w:t xml:space="preserve">could </w:t>
      </w:r>
      <w:r w:rsidR="00E85394">
        <w:t xml:space="preserve">adversely affect </w:t>
      </w:r>
      <w:r w:rsidR="00675DA0">
        <w:t xml:space="preserve">its </w:t>
      </w:r>
      <w:r w:rsidR="00E85394">
        <w:t>national territory</w:t>
      </w:r>
      <w:r w:rsidR="00F613EA">
        <w:t>.</w:t>
      </w:r>
    </w:p>
    <w:p w14:paraId="6E83894A" w14:textId="6D56F655" w:rsidR="001915F7" w:rsidRPr="001915F7" w:rsidRDefault="00167A2F" w:rsidP="00B05CBE">
      <w:pPr>
        <w:pStyle w:val="SingleTxtG"/>
      </w:pPr>
      <w:r>
        <w:t>10.</w:t>
      </w:r>
      <w:r>
        <w:tab/>
      </w:r>
      <w:r w:rsidR="00672455">
        <w:t>National sovereignty</w:t>
      </w:r>
      <w:r w:rsidR="002A5304">
        <w:t xml:space="preserve"> in decision-making</w:t>
      </w:r>
      <w:r w:rsidR="00672455">
        <w:t xml:space="preserve"> is retained</w:t>
      </w:r>
      <w:r w:rsidR="00154DF7">
        <w:t>.</w:t>
      </w:r>
      <w:r w:rsidR="00064BFD">
        <w:t xml:space="preserve"> </w:t>
      </w:r>
      <w:r w:rsidR="002A5304">
        <w:t>T</w:t>
      </w:r>
      <w:r w:rsidR="00064BFD">
        <w:t xml:space="preserve">he Convention provides for </w:t>
      </w:r>
      <w:r w:rsidR="002A5304">
        <w:t xml:space="preserve">transparency, </w:t>
      </w:r>
      <w:r w:rsidR="00675DA0">
        <w:t xml:space="preserve">transboundary </w:t>
      </w:r>
      <w:r w:rsidR="00064BFD">
        <w:t xml:space="preserve">consultations and opportunities </w:t>
      </w:r>
      <w:r w:rsidR="003F5806">
        <w:t xml:space="preserve">for </w:t>
      </w:r>
      <w:r w:rsidR="00294862">
        <w:t xml:space="preserve">jointly </w:t>
      </w:r>
      <w:r w:rsidR="003F5806">
        <w:t xml:space="preserve">addressing concerns </w:t>
      </w:r>
      <w:r w:rsidR="002A5304">
        <w:t>regarding planned development</w:t>
      </w:r>
      <w:r w:rsidR="00D5158C">
        <w:t>s</w:t>
      </w:r>
      <w:r w:rsidR="00B245E3">
        <w:t>; however,</w:t>
      </w:r>
      <w:r w:rsidR="00672455">
        <w:t xml:space="preserve"> </w:t>
      </w:r>
      <w:r w:rsidR="00675DA0">
        <w:t xml:space="preserve">affected Parties have </w:t>
      </w:r>
      <w:r w:rsidR="00672455">
        <w:t>no right of veto</w:t>
      </w:r>
      <w:r w:rsidR="00F613EA">
        <w:t>.</w:t>
      </w:r>
    </w:p>
    <w:p w14:paraId="4736BCD7" w14:textId="77777777" w:rsidR="001915F7" w:rsidRDefault="00845A3F" w:rsidP="00B05CBE">
      <w:pPr>
        <w:pStyle w:val="SingleTxtG"/>
      </w:pPr>
      <w:r>
        <w:t>11.</w:t>
      </w:r>
      <w:r>
        <w:tab/>
      </w:r>
      <w:r w:rsidR="001915F7" w:rsidRPr="001915F7">
        <w:t xml:space="preserve">Confidentiality </w:t>
      </w:r>
      <w:r w:rsidR="00A404D8">
        <w:t xml:space="preserve">is </w:t>
      </w:r>
      <w:r w:rsidR="001915F7" w:rsidRPr="001915F7">
        <w:t>respected</w:t>
      </w:r>
      <w:r w:rsidR="00855EE0">
        <w:t>.</w:t>
      </w:r>
      <w:r w:rsidR="001915F7" w:rsidRPr="001915F7">
        <w:t xml:space="preserve"> </w:t>
      </w:r>
      <w:r w:rsidR="00A404D8">
        <w:t>Parties do not have to share information</w:t>
      </w:r>
      <w:r w:rsidR="00675DA0">
        <w:t xml:space="preserve"> </w:t>
      </w:r>
      <w:r w:rsidR="008F53E9">
        <w:t xml:space="preserve">if to do so </w:t>
      </w:r>
      <w:r w:rsidR="000917AE">
        <w:t>would be</w:t>
      </w:r>
      <w:r w:rsidR="00672455">
        <w:t xml:space="preserve"> </w:t>
      </w:r>
      <w:r w:rsidR="00672455" w:rsidRPr="001915F7">
        <w:t>prejudicial</w:t>
      </w:r>
      <w:r w:rsidR="001915F7" w:rsidRPr="001915F7">
        <w:t xml:space="preserve"> to industrial </w:t>
      </w:r>
      <w:r w:rsidR="00A404D8">
        <w:t xml:space="preserve">or </w:t>
      </w:r>
      <w:r w:rsidR="001915F7" w:rsidRPr="001915F7">
        <w:t>commercial secrecy or national security</w:t>
      </w:r>
      <w:r w:rsidR="00675DA0">
        <w:t>.</w:t>
      </w:r>
      <w:r w:rsidR="001915F7">
        <w:t xml:space="preserve"> </w:t>
      </w:r>
    </w:p>
    <w:p w14:paraId="19F75FBF" w14:textId="77777777" w:rsidR="00A22991" w:rsidRPr="00A22991" w:rsidRDefault="00021135">
      <w:pPr>
        <w:pStyle w:val="HChG"/>
      </w:pPr>
      <w:r>
        <w:tab/>
      </w:r>
      <w:r w:rsidR="00EC4294">
        <w:t>I</w:t>
      </w:r>
      <w:r>
        <w:t>V.</w:t>
      </w:r>
      <w:r>
        <w:tab/>
      </w:r>
      <w:r w:rsidR="003B0CA7" w:rsidRPr="003B0CA7">
        <w:t>Five important things to do (max</w:t>
      </w:r>
      <w:r w:rsidR="000917AE">
        <w:t>.</w:t>
      </w:r>
      <w:r w:rsidR="003B0CA7" w:rsidRPr="003B0CA7">
        <w:t xml:space="preserve"> 150 words)</w:t>
      </w:r>
      <w:r w:rsidR="003B0CA7">
        <w:t xml:space="preserve"> </w:t>
      </w:r>
      <w:bookmarkEnd w:id="1"/>
    </w:p>
    <w:p w14:paraId="4220DB7B" w14:textId="1450060A" w:rsidR="00021135" w:rsidRDefault="00845A3F" w:rsidP="00B05CBE">
      <w:pPr>
        <w:pStyle w:val="SingleTxtG"/>
      </w:pPr>
      <w:r>
        <w:t>12.</w:t>
      </w:r>
      <w:r w:rsidR="00021135">
        <w:tab/>
      </w:r>
      <w:r w:rsidR="00672455">
        <w:t>Consider b</w:t>
      </w:r>
      <w:r w:rsidR="00021135">
        <w:t>ecom</w:t>
      </w:r>
      <w:r w:rsidR="00672455">
        <w:t>ing</w:t>
      </w:r>
      <w:r w:rsidR="00021135">
        <w:t xml:space="preserve"> a Party to the Convention</w:t>
      </w:r>
      <w:r w:rsidR="00672455">
        <w:t xml:space="preserve"> and/or effectively implementing its </w:t>
      </w:r>
      <w:r w:rsidR="00232C32">
        <w:t xml:space="preserve">transboundary </w:t>
      </w:r>
      <w:r w:rsidR="00672455">
        <w:t>procedures</w:t>
      </w:r>
      <w:r w:rsidR="00F613EA">
        <w:t>.</w:t>
      </w:r>
      <w:r w:rsidR="00672455">
        <w:t xml:space="preserve"> </w:t>
      </w:r>
    </w:p>
    <w:p w14:paraId="0190E743" w14:textId="0CA699FE" w:rsidR="00021135" w:rsidRDefault="00845A3F" w:rsidP="00B05CBE">
      <w:pPr>
        <w:pStyle w:val="SingleTxtG"/>
      </w:pPr>
      <w:r>
        <w:t>13.</w:t>
      </w:r>
      <w:r>
        <w:tab/>
      </w:r>
      <w:r w:rsidR="00427B29">
        <w:t xml:space="preserve">Ensure that </w:t>
      </w:r>
      <w:r w:rsidR="005C79B5">
        <w:t>national legislati</w:t>
      </w:r>
      <w:r w:rsidR="00427B29">
        <w:t>on is fully aligned</w:t>
      </w:r>
      <w:r w:rsidR="00672455">
        <w:t xml:space="preserve"> w</w:t>
      </w:r>
      <w:r w:rsidR="005C79B5">
        <w:t xml:space="preserve">ith </w:t>
      </w:r>
      <w:r w:rsidR="00021135">
        <w:t>the Convention</w:t>
      </w:r>
      <w:r w:rsidR="00D36C0B">
        <w:t xml:space="preserve"> </w:t>
      </w:r>
      <w:r w:rsidR="00855EE0">
        <w:t xml:space="preserve">by </w:t>
      </w:r>
      <w:r w:rsidR="00021135">
        <w:t>amend</w:t>
      </w:r>
      <w:r w:rsidR="005C79B5">
        <w:t xml:space="preserve">ing existing laws and implementing regulations </w:t>
      </w:r>
      <w:r w:rsidR="00672455">
        <w:t>and/</w:t>
      </w:r>
      <w:r w:rsidR="00021135">
        <w:t xml:space="preserve">or by developing new </w:t>
      </w:r>
      <w:r w:rsidR="005C79B5">
        <w:t>ones</w:t>
      </w:r>
      <w:r w:rsidR="00F613EA">
        <w:t>.</w:t>
      </w:r>
      <w:r w:rsidR="005C79B5">
        <w:t xml:space="preserve">  </w:t>
      </w:r>
      <w:r w:rsidR="00021135">
        <w:t xml:space="preserve"> </w:t>
      </w:r>
    </w:p>
    <w:p w14:paraId="2F04A632" w14:textId="04C67131" w:rsidR="00AC7227" w:rsidRDefault="00845A3F" w:rsidP="00B05CBE">
      <w:pPr>
        <w:pStyle w:val="SingleTxtG"/>
      </w:pPr>
      <w:r>
        <w:t>14.</w:t>
      </w:r>
      <w:r>
        <w:tab/>
      </w:r>
      <w:r w:rsidR="00427B29">
        <w:t xml:space="preserve">Build adequate national </w:t>
      </w:r>
      <w:r w:rsidR="007D7892">
        <w:t xml:space="preserve">implementation </w:t>
      </w:r>
      <w:r w:rsidR="00021135">
        <w:t>capacities</w:t>
      </w:r>
      <w:r w:rsidR="00427B29">
        <w:t xml:space="preserve"> </w:t>
      </w:r>
      <w:r w:rsidR="00021135">
        <w:t>–</w:t>
      </w:r>
      <w:r w:rsidR="00427B29">
        <w:t xml:space="preserve"> </w:t>
      </w:r>
      <w:proofErr w:type="gramStart"/>
      <w:r w:rsidR="005F05BA">
        <w:t>in particular of</w:t>
      </w:r>
      <w:proofErr w:type="gramEnd"/>
      <w:r w:rsidR="005F05BA">
        <w:t xml:space="preserve"> e</w:t>
      </w:r>
      <w:r w:rsidR="00021135">
        <w:t>nvironmental authorities</w:t>
      </w:r>
      <w:r w:rsidR="005F05BA">
        <w:t xml:space="preserve"> and </w:t>
      </w:r>
      <w:r w:rsidR="00427B29">
        <w:t xml:space="preserve">environmental impact assessment </w:t>
      </w:r>
      <w:r w:rsidR="00021135">
        <w:t>practitioners</w:t>
      </w:r>
      <w:r w:rsidR="00C761A7">
        <w:t xml:space="preserve"> – and ra</w:t>
      </w:r>
      <w:r w:rsidR="005F05BA">
        <w:t xml:space="preserve">ise </w:t>
      </w:r>
      <w:r w:rsidR="00021135">
        <w:t xml:space="preserve">awareness </w:t>
      </w:r>
      <w:r w:rsidR="005F05BA">
        <w:t xml:space="preserve">of the </w:t>
      </w:r>
      <w:r w:rsidR="00427B29">
        <w:t>Convention and its benefits</w:t>
      </w:r>
      <w:r w:rsidR="007D29A0">
        <w:t xml:space="preserve"> among decision makers, project developers and the public</w:t>
      </w:r>
      <w:r w:rsidR="00F613EA">
        <w:t>.</w:t>
      </w:r>
    </w:p>
    <w:p w14:paraId="60689020" w14:textId="7D45760E" w:rsidR="00C761A7" w:rsidRDefault="00845A3F" w:rsidP="00B05CBE">
      <w:pPr>
        <w:pStyle w:val="SingleTxtG"/>
      </w:pPr>
      <w:r>
        <w:t>15.</w:t>
      </w:r>
      <w:r>
        <w:tab/>
      </w:r>
      <w:r w:rsidR="00C761A7">
        <w:t>Ensure early, timely and effective consultations and public participation – when all options are still open</w:t>
      </w:r>
      <w:r w:rsidR="00F613EA">
        <w:t>.</w:t>
      </w:r>
    </w:p>
    <w:p w14:paraId="266DF74D" w14:textId="77777777" w:rsidR="00232C32" w:rsidRDefault="00845A3F" w:rsidP="00B05CBE">
      <w:pPr>
        <w:pStyle w:val="SingleTxtG"/>
      </w:pPr>
      <w:r>
        <w:t>16.</w:t>
      </w:r>
      <w:r>
        <w:tab/>
      </w:r>
      <w:r w:rsidR="00C57496">
        <w:t>E</w:t>
      </w:r>
      <w:r w:rsidR="00232C32">
        <w:t>stablish prior agreements on contact p</w:t>
      </w:r>
      <w:r w:rsidR="00232C32" w:rsidRPr="00413186">
        <w:t>oints</w:t>
      </w:r>
      <w:r w:rsidR="00C57496">
        <w:t>,</w:t>
      </w:r>
      <w:r w:rsidR="00232C32" w:rsidRPr="00413186">
        <w:t xml:space="preserve"> </w:t>
      </w:r>
      <w:r w:rsidR="00232C32">
        <w:t>practical arrangements</w:t>
      </w:r>
      <w:r w:rsidR="00C57496">
        <w:t>,</w:t>
      </w:r>
      <w:r w:rsidR="00232C32">
        <w:t xml:space="preserve"> b</w:t>
      </w:r>
      <w:r w:rsidR="00232C32" w:rsidRPr="00413186">
        <w:t>ilateral/multilateral agreements</w:t>
      </w:r>
      <w:r w:rsidR="00232C32">
        <w:t xml:space="preserve"> </w:t>
      </w:r>
      <w:r w:rsidR="00C57496">
        <w:t>and</w:t>
      </w:r>
      <w:r w:rsidR="00232C32">
        <w:t xml:space="preserve"> joint bodies</w:t>
      </w:r>
      <w:r w:rsidR="00C57496">
        <w:t>, in order to improve cooperation and understanding of different national legislations and assessment practices</w:t>
      </w:r>
      <w:r w:rsidR="00C761A7">
        <w:t>.</w:t>
      </w:r>
    </w:p>
    <w:p w14:paraId="63B514B2" w14:textId="77777777" w:rsidR="00C47C9B" w:rsidRPr="00C47C9B" w:rsidRDefault="00C47C9B">
      <w:pPr>
        <w:pStyle w:val="HChG"/>
      </w:pPr>
      <w:bookmarkStart w:id="3" w:name="_Toc13428233"/>
      <w:r>
        <w:tab/>
      </w:r>
      <w:r w:rsidR="00EC4294">
        <w:t>V</w:t>
      </w:r>
      <w:r w:rsidRPr="00C47C9B">
        <w:t>.</w:t>
      </w:r>
      <w:r>
        <w:tab/>
      </w:r>
      <w:r w:rsidR="00855EE0">
        <w:t>W</w:t>
      </w:r>
      <w:r w:rsidR="00021135" w:rsidRPr="00021135">
        <w:t>ant to know more? (further reading)</w:t>
      </w:r>
      <w:r w:rsidR="00021135">
        <w:t xml:space="preserve"> </w:t>
      </w:r>
      <w:bookmarkEnd w:id="3"/>
      <w:r w:rsidR="00B31566" w:rsidRPr="00B31566">
        <w:t>(max</w:t>
      </w:r>
      <w:r w:rsidR="009D3759">
        <w:t>.</w:t>
      </w:r>
      <w:r w:rsidR="00B31566" w:rsidRPr="00B31566">
        <w:t xml:space="preserve"> 150 words)</w:t>
      </w:r>
    </w:p>
    <w:p w14:paraId="34E7D4B2" w14:textId="6CCEE5D4" w:rsidR="000D715C" w:rsidRDefault="008B3A2F" w:rsidP="00200900">
      <w:pPr>
        <w:pStyle w:val="SingleTxtG"/>
      </w:pPr>
      <w:bookmarkStart w:id="4" w:name="_Hlk19111851"/>
      <w:r>
        <w:t>17</w:t>
      </w:r>
      <w:r w:rsidR="00C47C9B" w:rsidRPr="00C47C9B">
        <w:t>.</w:t>
      </w:r>
      <w:r w:rsidR="00C47C9B" w:rsidRPr="00C47C9B">
        <w:tab/>
      </w:r>
      <w:bookmarkStart w:id="5" w:name="_Hlk17384637"/>
      <w:r w:rsidR="00731016">
        <w:t xml:space="preserve">For further </w:t>
      </w:r>
      <w:r w:rsidR="00200900">
        <w:t xml:space="preserve">information </w:t>
      </w:r>
      <w:bookmarkEnd w:id="5"/>
      <w:r w:rsidR="00F46418">
        <w:t xml:space="preserve">on </w:t>
      </w:r>
      <w:r w:rsidR="00200900">
        <w:t>the Convention</w:t>
      </w:r>
      <w:r w:rsidR="00731016">
        <w:t>, please contact</w:t>
      </w:r>
      <w:r w:rsidR="00731016" w:rsidRPr="00731016">
        <w:t xml:space="preserve"> </w:t>
      </w:r>
      <w:r w:rsidR="00731016">
        <w:t>the ECE Secretariat to the Convention, based in Geneva (</w:t>
      </w:r>
      <w:hyperlink r:id="rId9" w:history="1">
        <w:r w:rsidR="00731016" w:rsidRPr="00731016">
          <w:rPr>
            <w:rStyle w:val="Hyperlink"/>
          </w:rPr>
          <w:t>eia.conv@un.org</w:t>
        </w:r>
      </w:hyperlink>
      <w:r w:rsidR="00731016">
        <w:t>) and/or visit the Convention’s home page</w:t>
      </w:r>
      <w:r w:rsidR="00731016" w:rsidRPr="00731016">
        <w:t xml:space="preserve"> </w:t>
      </w:r>
      <w:r w:rsidR="00731016">
        <w:t>(</w:t>
      </w:r>
      <w:hyperlink r:id="rId10" w:history="1">
        <w:r w:rsidR="00731016" w:rsidRPr="00D3156D">
          <w:rPr>
            <w:rStyle w:val="Hyperlink"/>
          </w:rPr>
          <w:t>www.unece.org/env/eia/eia.html</w:t>
        </w:r>
      </w:hyperlink>
      <w:r w:rsidR="00731016">
        <w:t xml:space="preserve">). </w:t>
      </w:r>
      <w:r w:rsidR="00A57A6F">
        <w:t>Selected</w:t>
      </w:r>
      <w:r w:rsidR="00731016">
        <w:t xml:space="preserve"> sources of information accessible from the homepage include the following</w:t>
      </w:r>
      <w:r w:rsidR="00723537">
        <w:t>:</w:t>
      </w:r>
    </w:p>
    <w:p w14:paraId="30FB0A4A" w14:textId="1251BF1E" w:rsidR="00200900" w:rsidRDefault="002B0124" w:rsidP="00A57A6F">
      <w:pPr>
        <w:pStyle w:val="SingleTxtG"/>
      </w:pPr>
      <w:r>
        <w:tab/>
      </w:r>
      <w:r w:rsidR="00252E36">
        <w:tab/>
      </w:r>
      <w:r w:rsidR="00927AB7">
        <w:t>(</w:t>
      </w:r>
      <w:r w:rsidR="00731016">
        <w:t>a</w:t>
      </w:r>
      <w:r w:rsidR="00927AB7">
        <w:t>)</w:t>
      </w:r>
      <w:r w:rsidR="00927AB7">
        <w:tab/>
      </w:r>
      <w:r w:rsidR="00200900">
        <w:t>Text of the Espoo Convention</w:t>
      </w:r>
      <w:r w:rsidR="00F1560D">
        <w:t>;</w:t>
      </w:r>
    </w:p>
    <w:p w14:paraId="421CF333" w14:textId="5F8B6C5D" w:rsidR="001F797F" w:rsidRDefault="00200900" w:rsidP="00200900">
      <w:pPr>
        <w:pStyle w:val="SingleTxtG"/>
        <w:ind w:firstLine="567"/>
      </w:pPr>
      <w:r>
        <w:t>(</w:t>
      </w:r>
      <w:r w:rsidR="00731016">
        <w:t>b</w:t>
      </w:r>
      <w:r>
        <w:t>)</w:t>
      </w:r>
      <w:r>
        <w:tab/>
        <w:t>Status of ratification</w:t>
      </w:r>
      <w:r w:rsidR="00F1560D">
        <w:t>;</w:t>
      </w:r>
    </w:p>
    <w:p w14:paraId="6BAAB5B4" w14:textId="0C24DABE" w:rsidR="00E0287C" w:rsidRPr="00B05CBE" w:rsidRDefault="00200900" w:rsidP="00200900">
      <w:pPr>
        <w:pStyle w:val="SingleTxtG"/>
        <w:ind w:firstLine="567"/>
      </w:pPr>
      <w:r w:rsidRPr="00B05CBE">
        <w:t>(</w:t>
      </w:r>
      <w:r w:rsidR="00A57A6F">
        <w:t>c</w:t>
      </w:r>
      <w:r w:rsidRPr="00B05CBE">
        <w:t>)</w:t>
      </w:r>
      <w:r w:rsidRPr="00B05CBE">
        <w:tab/>
      </w:r>
      <w:r w:rsidR="00E0287C" w:rsidRPr="00B05CBE">
        <w:t>Publications</w:t>
      </w:r>
      <w:r w:rsidR="00D40342" w:rsidRPr="00B05CBE">
        <w:rPr>
          <w:rStyle w:val="Hyperlink"/>
          <w:color w:val="auto"/>
        </w:rPr>
        <w:t>, for example:</w:t>
      </w:r>
    </w:p>
    <w:bookmarkEnd w:id="4"/>
    <w:p w14:paraId="0F09B3DA" w14:textId="49CBDACC" w:rsidR="00CB1AFD" w:rsidRDefault="00385208" w:rsidP="00385208">
      <w:pPr>
        <w:pStyle w:val="Bullet1G"/>
        <w:numPr>
          <w:ilvl w:val="0"/>
          <w:numId w:val="0"/>
        </w:numPr>
        <w:tabs>
          <w:tab w:val="left" w:pos="2410"/>
        </w:tabs>
        <w:ind w:left="2410" w:hanging="170"/>
      </w:pPr>
      <w:r>
        <w:t>•</w:t>
      </w:r>
      <w:r>
        <w:tab/>
      </w:r>
      <w:r w:rsidR="00CB1AFD">
        <w:t>Guidance on the Practical Application of the Espoo Convention</w:t>
      </w:r>
      <w:r w:rsidR="00F1560D">
        <w:t>;</w:t>
      </w:r>
      <w:r w:rsidR="00CB1AFD">
        <w:t xml:space="preserve"> </w:t>
      </w:r>
    </w:p>
    <w:p w14:paraId="0245769C" w14:textId="19360E36" w:rsidR="00CB1AFD" w:rsidRDefault="00385208" w:rsidP="00385208">
      <w:pPr>
        <w:pStyle w:val="Bullet1G"/>
        <w:numPr>
          <w:ilvl w:val="0"/>
          <w:numId w:val="0"/>
        </w:numPr>
        <w:tabs>
          <w:tab w:val="left" w:pos="2410"/>
        </w:tabs>
        <w:ind w:left="2410" w:hanging="170"/>
      </w:pPr>
      <w:r>
        <w:t>•</w:t>
      </w:r>
      <w:r>
        <w:tab/>
      </w:r>
      <w:r w:rsidR="00CB1AFD">
        <w:t>Guidance on public participation in transboundary EIA</w:t>
      </w:r>
      <w:r w:rsidR="00D40342">
        <w:t>.</w:t>
      </w:r>
      <w:r w:rsidR="00CB1AFD">
        <w:t xml:space="preserve"> </w:t>
      </w:r>
    </w:p>
    <w:p w14:paraId="3DE3EBEE" w14:textId="3E28FECD" w:rsidR="00E0287C" w:rsidRDefault="00E0287C" w:rsidP="001F797F">
      <w:pPr>
        <w:pStyle w:val="SingleTxtG"/>
        <w:ind w:firstLine="567"/>
      </w:pPr>
      <w:r w:rsidRPr="00E0287C">
        <w:lastRenderedPageBreak/>
        <w:t>(</w:t>
      </w:r>
      <w:r w:rsidR="00A57A6F">
        <w:t>d</w:t>
      </w:r>
      <w:r w:rsidRPr="00E0287C">
        <w:t>)</w:t>
      </w:r>
      <w:r w:rsidRPr="00E0287C">
        <w:tab/>
        <w:t xml:space="preserve">Opinions of </w:t>
      </w:r>
      <w:r>
        <w:t>the Implementation Committee</w:t>
      </w:r>
      <w:r w:rsidR="001F797F">
        <w:t>, cases and other material on the review of compliance under the Convention</w:t>
      </w:r>
      <w:r w:rsidR="00F1560D">
        <w:t>;</w:t>
      </w:r>
    </w:p>
    <w:p w14:paraId="6BDED836" w14:textId="45C3D790" w:rsidR="0049422E" w:rsidRDefault="00E0287C" w:rsidP="0049422E">
      <w:pPr>
        <w:pStyle w:val="SingleTxtG"/>
        <w:ind w:firstLine="567"/>
      </w:pPr>
      <w:r>
        <w:t>(</w:t>
      </w:r>
      <w:r w:rsidR="00A57A6F">
        <w:t>e</w:t>
      </w:r>
      <w:r>
        <w:t>)</w:t>
      </w:r>
      <w:r>
        <w:tab/>
      </w:r>
      <w:r w:rsidR="0049422E">
        <w:t>National report</w:t>
      </w:r>
      <w:r w:rsidR="001F7794">
        <w:t>s</w:t>
      </w:r>
      <w:r w:rsidR="0049422E">
        <w:t xml:space="preserve"> and reviews of implementation</w:t>
      </w:r>
      <w:r w:rsidR="00F1560D">
        <w:t>;</w:t>
      </w:r>
    </w:p>
    <w:p w14:paraId="5F197CC9" w14:textId="3B1BADE0" w:rsidR="0049422E" w:rsidRDefault="0049422E" w:rsidP="0049422E">
      <w:pPr>
        <w:pStyle w:val="SingleTxtG"/>
        <w:ind w:firstLine="567"/>
      </w:pPr>
      <w:r>
        <w:t>(</w:t>
      </w:r>
      <w:r w:rsidR="00A57A6F">
        <w:t>f</w:t>
      </w:r>
      <w:r>
        <w:t>)</w:t>
      </w:r>
      <w:r>
        <w:tab/>
        <w:t xml:space="preserve">Format </w:t>
      </w:r>
      <w:r w:rsidR="00B02C55">
        <w:t>for</w:t>
      </w:r>
      <w:r>
        <w:t xml:space="preserve"> </w:t>
      </w:r>
      <w:r w:rsidR="006C34F2">
        <w:t>n</w:t>
      </w:r>
      <w:r>
        <w:t>otification under the Convention</w:t>
      </w:r>
      <w:r w:rsidR="00F1560D">
        <w:t>;</w:t>
      </w:r>
    </w:p>
    <w:p w14:paraId="5DE85266" w14:textId="3B17464A" w:rsidR="0049422E" w:rsidRDefault="0049422E" w:rsidP="00A57A6F">
      <w:pPr>
        <w:pStyle w:val="SingleTxtG"/>
        <w:ind w:firstLine="567"/>
      </w:pPr>
      <w:r>
        <w:t>(</w:t>
      </w:r>
      <w:r w:rsidR="00A57A6F">
        <w:t>g</w:t>
      </w:r>
      <w:r>
        <w:t>)</w:t>
      </w:r>
      <w:r>
        <w:tab/>
      </w:r>
      <w:r w:rsidR="001F7794">
        <w:t xml:space="preserve">Lists of </w:t>
      </w:r>
      <w:r w:rsidR="006C34F2">
        <w:t>p</w:t>
      </w:r>
      <w:r>
        <w:t xml:space="preserve">oints of </w:t>
      </w:r>
      <w:r w:rsidR="006C34F2">
        <w:t>c</w:t>
      </w:r>
      <w:r>
        <w:t xml:space="preserve">ontact </w:t>
      </w:r>
      <w:r w:rsidR="00B02C55">
        <w:t>regarding</w:t>
      </w:r>
      <w:r>
        <w:t xml:space="preserve"> </w:t>
      </w:r>
      <w:r w:rsidR="00F613EA">
        <w:t>n</w:t>
      </w:r>
      <w:r>
        <w:t xml:space="preserve">otification </w:t>
      </w:r>
      <w:r w:rsidR="001F7794">
        <w:t xml:space="preserve">and of </w:t>
      </w:r>
      <w:r w:rsidR="00F613EA">
        <w:t>f</w:t>
      </w:r>
      <w:r>
        <w:t xml:space="preserve">ocal </w:t>
      </w:r>
      <w:r w:rsidR="00F613EA">
        <w:t>p</w:t>
      </w:r>
      <w:r>
        <w:t xml:space="preserve">oints for </w:t>
      </w:r>
      <w:r w:rsidR="00F613EA">
        <w:t>a</w:t>
      </w:r>
      <w:r>
        <w:t xml:space="preserve">dministrative </w:t>
      </w:r>
      <w:r w:rsidR="00F613EA">
        <w:t>m</w:t>
      </w:r>
      <w:r>
        <w:t>atters</w:t>
      </w:r>
      <w:r w:rsidR="00F1560D">
        <w:t>;</w:t>
      </w:r>
    </w:p>
    <w:p w14:paraId="34ADF117" w14:textId="50F7AE52" w:rsidR="00F1560D" w:rsidRDefault="00F1560D" w:rsidP="00F1560D">
      <w:pPr>
        <w:pStyle w:val="SingleTxtG"/>
        <w:ind w:firstLine="567"/>
      </w:pPr>
      <w:r>
        <w:t>(</w:t>
      </w:r>
      <w:r w:rsidR="00A57A6F">
        <w:t>h</w:t>
      </w:r>
      <w:r>
        <w:t>)</w:t>
      </w:r>
      <w:r>
        <w:tab/>
        <w:t>Overview of the treaty bodies under the Convention</w:t>
      </w:r>
      <w:r w:rsidR="008624CA">
        <w:t>;</w:t>
      </w:r>
    </w:p>
    <w:p w14:paraId="1006D7A0" w14:textId="48E75A01" w:rsidR="00F1560D" w:rsidRDefault="00F1560D" w:rsidP="00F1560D">
      <w:pPr>
        <w:pStyle w:val="SingleTxtG"/>
        <w:ind w:firstLine="567"/>
        <w:rPr>
          <w:rStyle w:val="Hyperlink"/>
        </w:rPr>
      </w:pPr>
      <w:r>
        <w:t>(</w:t>
      </w:r>
      <w:proofErr w:type="spellStart"/>
      <w:r w:rsidR="008B3A2F">
        <w:t>i</w:t>
      </w:r>
      <w:proofErr w:type="spellEnd"/>
      <w:r>
        <w:t>)</w:t>
      </w:r>
      <w:r>
        <w:tab/>
        <w:t xml:space="preserve">Decisions </w:t>
      </w:r>
      <w:r w:rsidR="008624CA">
        <w:t xml:space="preserve">taken </w:t>
      </w:r>
      <w:r>
        <w:t>by the Meetings of the Parties</w:t>
      </w:r>
      <w:r w:rsidR="00F965A0">
        <w:rPr>
          <w:rStyle w:val="Hyperlink"/>
        </w:rPr>
        <w:t>;</w:t>
      </w:r>
    </w:p>
    <w:p w14:paraId="718AC78D" w14:textId="6E74A683" w:rsidR="00B37EA0" w:rsidRDefault="00B37EA0" w:rsidP="00F1560D">
      <w:pPr>
        <w:pStyle w:val="SingleTxtG"/>
        <w:ind w:firstLine="567"/>
        <w:rPr>
          <w:rStyle w:val="Hyperlink"/>
          <w:color w:val="auto"/>
        </w:rPr>
      </w:pPr>
      <w:r w:rsidRPr="00B37EA0">
        <w:rPr>
          <w:rStyle w:val="Hyperlink"/>
          <w:color w:val="auto"/>
        </w:rPr>
        <w:t>(</w:t>
      </w:r>
      <w:r w:rsidR="008B3A2F">
        <w:rPr>
          <w:rStyle w:val="Hyperlink"/>
          <w:color w:val="auto"/>
        </w:rPr>
        <w:t>j</w:t>
      </w:r>
      <w:r w:rsidRPr="00B37EA0">
        <w:rPr>
          <w:rStyle w:val="Hyperlink"/>
          <w:color w:val="auto"/>
        </w:rPr>
        <w:t>)</w:t>
      </w:r>
      <w:r w:rsidRPr="00B37EA0">
        <w:rPr>
          <w:rStyle w:val="Hyperlink"/>
          <w:color w:val="auto"/>
        </w:rPr>
        <w:tab/>
      </w:r>
      <w:r w:rsidR="001F7794">
        <w:rPr>
          <w:rStyle w:val="Hyperlink"/>
          <w:color w:val="auto"/>
        </w:rPr>
        <w:t>Calendar of m</w:t>
      </w:r>
      <w:r w:rsidRPr="00B37EA0">
        <w:rPr>
          <w:rStyle w:val="Hyperlink"/>
          <w:color w:val="auto"/>
        </w:rPr>
        <w:t>eetings and events</w:t>
      </w:r>
      <w:r>
        <w:rPr>
          <w:rStyle w:val="Hyperlink"/>
          <w:color w:val="auto"/>
        </w:rPr>
        <w:t>, including official meetings and capacity</w:t>
      </w:r>
      <w:r w:rsidR="008624CA">
        <w:rPr>
          <w:rStyle w:val="Hyperlink"/>
          <w:color w:val="auto"/>
        </w:rPr>
        <w:t>-</w:t>
      </w:r>
      <w:r>
        <w:rPr>
          <w:rStyle w:val="Hyperlink"/>
          <w:color w:val="auto"/>
        </w:rPr>
        <w:t>building events</w:t>
      </w:r>
      <w:r w:rsidR="001F7794">
        <w:rPr>
          <w:rStyle w:val="Hyperlink"/>
          <w:color w:val="auto"/>
        </w:rPr>
        <w:t xml:space="preserve">. </w:t>
      </w:r>
    </w:p>
    <w:p w14:paraId="16F1F552" w14:textId="77777777" w:rsidR="000D715C" w:rsidRPr="00514F24" w:rsidRDefault="00514F24" w:rsidP="00514F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715C" w:rsidRPr="00514F24" w:rsidSect="003558B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0350" w14:textId="77777777" w:rsidR="006E688C" w:rsidRDefault="006E688C"/>
  </w:endnote>
  <w:endnote w:type="continuationSeparator" w:id="0">
    <w:p w14:paraId="4316DEA2" w14:textId="77777777" w:rsidR="006E688C" w:rsidRDefault="006E688C"/>
  </w:endnote>
  <w:endnote w:type="continuationNotice" w:id="1">
    <w:p w14:paraId="299D78BA" w14:textId="77777777" w:rsidR="006E688C" w:rsidRDefault="006E6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81AA" w14:textId="7906E96E" w:rsidR="003558BF" w:rsidRPr="003558BF" w:rsidRDefault="003558BF" w:rsidP="003558BF">
    <w:pPr>
      <w:pStyle w:val="Footer"/>
      <w:tabs>
        <w:tab w:val="right" w:pos="9638"/>
      </w:tabs>
      <w:rPr>
        <w:sz w:val="18"/>
      </w:rPr>
    </w:pPr>
    <w:r w:rsidRPr="003558BF">
      <w:rPr>
        <w:b/>
        <w:sz w:val="18"/>
      </w:rPr>
      <w:fldChar w:fldCharType="begin"/>
    </w:r>
    <w:r w:rsidRPr="003558BF">
      <w:rPr>
        <w:b/>
        <w:sz w:val="18"/>
      </w:rPr>
      <w:instrText xml:space="preserve"> PAGE  \* MERGEFORMAT </w:instrText>
    </w:r>
    <w:r w:rsidRPr="003558BF">
      <w:rPr>
        <w:b/>
        <w:sz w:val="18"/>
      </w:rPr>
      <w:fldChar w:fldCharType="separate"/>
    </w:r>
    <w:r w:rsidR="00385208">
      <w:rPr>
        <w:b/>
        <w:noProof/>
        <w:sz w:val="18"/>
      </w:rPr>
      <w:t>2</w:t>
    </w:r>
    <w:r w:rsidRPr="003558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1327" w14:textId="05E441E8" w:rsidR="003558BF" w:rsidRPr="003558BF" w:rsidRDefault="003558BF" w:rsidP="003558BF">
    <w:pPr>
      <w:pStyle w:val="Footer"/>
      <w:tabs>
        <w:tab w:val="right" w:pos="9638"/>
      </w:tabs>
      <w:rPr>
        <w:b/>
        <w:sz w:val="18"/>
      </w:rPr>
    </w:pPr>
    <w:r>
      <w:tab/>
    </w:r>
    <w:r w:rsidRPr="003558BF">
      <w:rPr>
        <w:b/>
        <w:sz w:val="18"/>
      </w:rPr>
      <w:fldChar w:fldCharType="begin"/>
    </w:r>
    <w:r w:rsidRPr="003558BF">
      <w:rPr>
        <w:b/>
        <w:sz w:val="18"/>
      </w:rPr>
      <w:instrText xml:space="preserve"> PAGE  \* MERGEFORMAT </w:instrText>
    </w:r>
    <w:r w:rsidRPr="003558BF">
      <w:rPr>
        <w:b/>
        <w:sz w:val="18"/>
      </w:rPr>
      <w:fldChar w:fldCharType="separate"/>
    </w:r>
    <w:r w:rsidR="00385208">
      <w:rPr>
        <w:b/>
        <w:noProof/>
        <w:sz w:val="18"/>
      </w:rPr>
      <w:t>3</w:t>
    </w:r>
    <w:r w:rsidRPr="003558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AE95" w14:textId="4F49329B" w:rsidR="00C42164" w:rsidRDefault="00C42164" w:rsidP="00C42164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F151E05" wp14:editId="270D3C4E">
          <wp:simplePos x="0" y="0"/>
          <wp:positionH relativeFrom="column">
            <wp:posOffset>5462971</wp:posOffset>
          </wp:positionH>
          <wp:positionV relativeFrom="paragraph">
            <wp:posOffset>2974</wp:posOffset>
          </wp:positionV>
          <wp:extent cx="561975" cy="561975"/>
          <wp:effectExtent l="0" t="0" r="9525" b="9525"/>
          <wp:wrapNone/>
          <wp:docPr id="3" name="Picture 1" descr="https://undocs.org/m2/QRCode.ashx?DS=ECE/MP.EIA/WG.2/2019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19/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30BA3B7" wp14:editId="20948FA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B629F" w14:textId="7AAE78AF" w:rsidR="00C42164" w:rsidRDefault="00C42164" w:rsidP="00C42164">
    <w:pPr>
      <w:pStyle w:val="Footer"/>
      <w:ind w:right="1134"/>
      <w:rPr>
        <w:sz w:val="20"/>
      </w:rPr>
    </w:pPr>
    <w:r>
      <w:rPr>
        <w:sz w:val="20"/>
      </w:rPr>
      <w:t>GE.19-15612(E)</w:t>
    </w:r>
  </w:p>
  <w:p w14:paraId="5715EAEF" w14:textId="6CB3F84A" w:rsidR="00C42164" w:rsidRPr="00C42164" w:rsidRDefault="00C42164" w:rsidP="00C4216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923E" w14:textId="77777777" w:rsidR="006E688C" w:rsidRPr="000B175B" w:rsidRDefault="006E68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7DF199" w14:textId="77777777" w:rsidR="006E688C" w:rsidRPr="00FC68B7" w:rsidRDefault="006E68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A96E17" w14:textId="77777777" w:rsidR="006E688C" w:rsidRDefault="006E688C"/>
  </w:footnote>
  <w:footnote w:id="2">
    <w:p w14:paraId="60A892AD" w14:textId="77777777" w:rsidR="00D17C9E" w:rsidRPr="00252E36" w:rsidRDefault="00AA1941">
      <w:pPr>
        <w:pStyle w:val="FootnoteText"/>
      </w:pPr>
      <w:r>
        <w:t xml:space="preserve">                    </w:t>
      </w:r>
      <w:r w:rsidR="00D17C9E">
        <w:rPr>
          <w:rStyle w:val="FootnoteReference"/>
        </w:rPr>
        <w:footnoteRef/>
      </w:r>
      <w:r w:rsidR="00D17C9E">
        <w:t xml:space="preserve"> See </w:t>
      </w:r>
      <w:hyperlink r:id="rId1" w:history="1">
        <w:r w:rsidR="00D17C9E" w:rsidRPr="00CC544A">
          <w:rPr>
            <w:rStyle w:val="Hyperlink"/>
          </w:rPr>
          <w:t>https://www.iaia.org/fasttips.php</w:t>
        </w:r>
      </w:hyperlink>
      <w:r w:rsidR="00D17C9E">
        <w:t xml:space="preserve">. </w:t>
      </w:r>
    </w:p>
  </w:footnote>
  <w:footnote w:id="3">
    <w:p w14:paraId="025DC3BD" w14:textId="77777777" w:rsidR="00B66967" w:rsidRPr="00BC2DBA" w:rsidRDefault="00BC2DBA" w:rsidP="00BC2DBA">
      <w:pPr>
        <w:pStyle w:val="FootnoteText"/>
        <w:ind w:hanging="567"/>
      </w:pPr>
      <w:r>
        <w:tab/>
      </w:r>
      <w:r w:rsidR="00B66967" w:rsidRPr="00BC2DBA">
        <w:rPr>
          <w:vertAlign w:val="superscript"/>
        </w:rPr>
        <w:footnoteRef/>
      </w:r>
      <w:r>
        <w:tab/>
      </w:r>
      <w:r w:rsidR="00B66967" w:rsidRPr="00BC2DBA">
        <w:t xml:space="preserve">Principle 19. </w:t>
      </w:r>
      <w:r w:rsidR="00B66967" w:rsidRPr="00B05CBE">
        <w:rPr>
          <w:i/>
          <w:iCs/>
        </w:rPr>
        <w:t>Report of the United Nations Conference on Environment and Development, Rio de Janeiro, 3–14 June 1992</w:t>
      </w:r>
      <w:r w:rsidR="00B66967" w:rsidRPr="00BC2DBA">
        <w:t xml:space="preserve">, vol. I, </w:t>
      </w:r>
      <w:r w:rsidR="00B66967" w:rsidRPr="00B05CBE">
        <w:rPr>
          <w:i/>
          <w:iCs/>
        </w:rPr>
        <w:t>Resolutions Adopted by the Conference</w:t>
      </w:r>
      <w:r w:rsidR="00B66967" w:rsidRPr="00BC2DBA">
        <w:t xml:space="preserve">, resolution 1, annex I (United Nations publication, Sales No. E.93.I.8 and corrigendum), </w:t>
      </w:r>
      <w:r w:rsidR="007E2B57" w:rsidRPr="007E2B57">
        <w:t>resolution 1, annex I</w:t>
      </w:r>
      <w:r w:rsidR="00790F22">
        <w:t>, principle 19</w:t>
      </w:r>
      <w:r w:rsidR="00C003DD">
        <w:t>. A</w:t>
      </w:r>
      <w:r w:rsidR="00B66967" w:rsidRPr="00BC2DBA">
        <w:t>vailable from http://www.un.org/documents/ga/conf151/aconf15126-1annex1.htm.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C36D" w14:textId="72F27B60" w:rsidR="003558BF" w:rsidRPr="003F50BB" w:rsidRDefault="00683E31">
    <w:pPr>
      <w:pStyle w:val="Header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 w:rsidR="00385208">
      <w:t>ECE/MP.EIA/WG.2/2019/7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7697" w14:textId="0DDB071E" w:rsidR="003558BF" w:rsidRPr="003558BF" w:rsidRDefault="00683E31" w:rsidP="003558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5208">
      <w:t>ECE/MP.EIA/WG.2/2019/7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90132"/>
    <w:multiLevelType w:val="hybridMultilevel"/>
    <w:tmpl w:val="2C40FE82"/>
    <w:lvl w:ilvl="0" w:tplc="AE9AFC9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32115"/>
    <w:multiLevelType w:val="hybridMultilevel"/>
    <w:tmpl w:val="99D6473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26358"/>
    <w:multiLevelType w:val="hybridMultilevel"/>
    <w:tmpl w:val="66483DEE"/>
    <w:lvl w:ilvl="0" w:tplc="5928C948">
      <w:start w:val="1"/>
      <w:numFmt w:val="lowerLetter"/>
      <w:lvlText w:val="(%1)"/>
      <w:lvlJc w:val="left"/>
      <w:pPr>
        <w:ind w:left="117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F831A6B"/>
    <w:multiLevelType w:val="hybridMultilevel"/>
    <w:tmpl w:val="4A24A24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1F8F6890"/>
    <w:multiLevelType w:val="hybridMultilevel"/>
    <w:tmpl w:val="B97093C2"/>
    <w:lvl w:ilvl="0" w:tplc="CEE49F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2734BEF"/>
    <w:multiLevelType w:val="hybridMultilevel"/>
    <w:tmpl w:val="BE9E5ACC"/>
    <w:lvl w:ilvl="0" w:tplc="42AC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323645"/>
    <w:multiLevelType w:val="hybridMultilevel"/>
    <w:tmpl w:val="F4A4C414"/>
    <w:lvl w:ilvl="0" w:tplc="43F2F8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6AC4639"/>
    <w:multiLevelType w:val="hybridMultilevel"/>
    <w:tmpl w:val="D1949E80"/>
    <w:lvl w:ilvl="0" w:tplc="1E82B31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E7B58F9"/>
    <w:multiLevelType w:val="hybridMultilevel"/>
    <w:tmpl w:val="4A0AC60C"/>
    <w:lvl w:ilvl="0" w:tplc="863C3D1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122116B"/>
    <w:multiLevelType w:val="hybridMultilevel"/>
    <w:tmpl w:val="3BA6CFF8"/>
    <w:lvl w:ilvl="0" w:tplc="DA707A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3782F"/>
    <w:multiLevelType w:val="hybridMultilevel"/>
    <w:tmpl w:val="66368874"/>
    <w:lvl w:ilvl="0" w:tplc="5CBAAE5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EC14503"/>
    <w:multiLevelType w:val="hybridMultilevel"/>
    <w:tmpl w:val="EBF49A66"/>
    <w:lvl w:ilvl="0" w:tplc="567E95F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78A3685"/>
    <w:multiLevelType w:val="hybridMultilevel"/>
    <w:tmpl w:val="8BB4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3BB8"/>
    <w:multiLevelType w:val="hybridMultilevel"/>
    <w:tmpl w:val="EC704674"/>
    <w:lvl w:ilvl="0" w:tplc="E0129B7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73142"/>
    <w:multiLevelType w:val="hybridMultilevel"/>
    <w:tmpl w:val="A33802F2"/>
    <w:lvl w:ilvl="0" w:tplc="F3C8D130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084B4F"/>
    <w:multiLevelType w:val="hybridMultilevel"/>
    <w:tmpl w:val="E812B3A0"/>
    <w:lvl w:ilvl="0" w:tplc="8DEE7A8C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A6D89"/>
    <w:multiLevelType w:val="hybridMultilevel"/>
    <w:tmpl w:val="205026B6"/>
    <w:lvl w:ilvl="0" w:tplc="22F8D8D6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6"/>
  </w:num>
  <w:num w:numId="13">
    <w:abstractNumId w:val="10"/>
  </w:num>
  <w:num w:numId="14">
    <w:abstractNumId w:val="14"/>
  </w:num>
  <w:num w:numId="15">
    <w:abstractNumId w:val="27"/>
  </w:num>
  <w:num w:numId="16">
    <w:abstractNumId w:val="15"/>
  </w:num>
  <w:num w:numId="17">
    <w:abstractNumId w:val="31"/>
  </w:num>
  <w:num w:numId="18">
    <w:abstractNumId w:val="34"/>
  </w:num>
  <w:num w:numId="19">
    <w:abstractNumId w:val="12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32"/>
  </w:num>
  <w:num w:numId="25">
    <w:abstractNumId w:val="23"/>
  </w:num>
  <w:num w:numId="26">
    <w:abstractNumId w:val="24"/>
  </w:num>
  <w:num w:numId="27">
    <w:abstractNumId w:val="19"/>
  </w:num>
  <w:num w:numId="28">
    <w:abstractNumId w:val="20"/>
  </w:num>
  <w:num w:numId="29">
    <w:abstractNumId w:val="26"/>
  </w:num>
  <w:num w:numId="30">
    <w:abstractNumId w:val="35"/>
  </w:num>
  <w:num w:numId="31">
    <w:abstractNumId w:val="28"/>
  </w:num>
  <w:num w:numId="32">
    <w:abstractNumId w:val="30"/>
  </w:num>
  <w:num w:numId="33">
    <w:abstractNumId w:val="11"/>
  </w:num>
  <w:num w:numId="34">
    <w:abstractNumId w:val="29"/>
  </w:num>
  <w:num w:numId="35">
    <w:abstractNumId w:val="18"/>
  </w:num>
  <w:num w:numId="36">
    <w:abstractNumId w:val="33"/>
  </w:num>
  <w:num w:numId="3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E6B8AC-E1B5-49CB-83B8-2CB7280B4E56}"/>
    <w:docVar w:name="dgnword-eventsink" w:val="637739216"/>
  </w:docVars>
  <w:rsids>
    <w:rsidRoot w:val="003558BF"/>
    <w:rsid w:val="00002A7D"/>
    <w:rsid w:val="000038A8"/>
    <w:rsid w:val="00006790"/>
    <w:rsid w:val="00021135"/>
    <w:rsid w:val="00026367"/>
    <w:rsid w:val="00027624"/>
    <w:rsid w:val="00045675"/>
    <w:rsid w:val="00047B60"/>
    <w:rsid w:val="00050F6B"/>
    <w:rsid w:val="00064BFD"/>
    <w:rsid w:val="000678CD"/>
    <w:rsid w:val="00072C8C"/>
    <w:rsid w:val="00081C25"/>
    <w:rsid w:val="00081CE0"/>
    <w:rsid w:val="00084D30"/>
    <w:rsid w:val="00090320"/>
    <w:rsid w:val="000917AE"/>
    <w:rsid w:val="000931C0"/>
    <w:rsid w:val="000A2E09"/>
    <w:rsid w:val="000A5BB4"/>
    <w:rsid w:val="000B0E6C"/>
    <w:rsid w:val="000B175B"/>
    <w:rsid w:val="000B3A0F"/>
    <w:rsid w:val="000C7664"/>
    <w:rsid w:val="000D2AFD"/>
    <w:rsid w:val="000D715C"/>
    <w:rsid w:val="000D7947"/>
    <w:rsid w:val="000E0415"/>
    <w:rsid w:val="000F7715"/>
    <w:rsid w:val="0011386C"/>
    <w:rsid w:val="001176DF"/>
    <w:rsid w:val="001315F0"/>
    <w:rsid w:val="00146D74"/>
    <w:rsid w:val="00154DF7"/>
    <w:rsid w:val="00155041"/>
    <w:rsid w:val="00156B99"/>
    <w:rsid w:val="0016233D"/>
    <w:rsid w:val="00166124"/>
    <w:rsid w:val="00167A2F"/>
    <w:rsid w:val="00173673"/>
    <w:rsid w:val="00174DC7"/>
    <w:rsid w:val="00175290"/>
    <w:rsid w:val="00176A5B"/>
    <w:rsid w:val="00184DDA"/>
    <w:rsid w:val="00185165"/>
    <w:rsid w:val="001900CD"/>
    <w:rsid w:val="001915F7"/>
    <w:rsid w:val="001935EB"/>
    <w:rsid w:val="001A0452"/>
    <w:rsid w:val="001B1F5C"/>
    <w:rsid w:val="001B4B04"/>
    <w:rsid w:val="001B5875"/>
    <w:rsid w:val="001B71DC"/>
    <w:rsid w:val="001C4B9C"/>
    <w:rsid w:val="001C6663"/>
    <w:rsid w:val="001C7895"/>
    <w:rsid w:val="001D26DF"/>
    <w:rsid w:val="001E45D1"/>
    <w:rsid w:val="001E6053"/>
    <w:rsid w:val="001F1599"/>
    <w:rsid w:val="001F19C4"/>
    <w:rsid w:val="001F7794"/>
    <w:rsid w:val="001F797F"/>
    <w:rsid w:val="00200900"/>
    <w:rsid w:val="002043F0"/>
    <w:rsid w:val="002051B7"/>
    <w:rsid w:val="002056B1"/>
    <w:rsid w:val="00211E0B"/>
    <w:rsid w:val="00214256"/>
    <w:rsid w:val="00232575"/>
    <w:rsid w:val="00232C32"/>
    <w:rsid w:val="00234CBC"/>
    <w:rsid w:val="00244C2C"/>
    <w:rsid w:val="00247258"/>
    <w:rsid w:val="00252E36"/>
    <w:rsid w:val="00257CAC"/>
    <w:rsid w:val="00267D9B"/>
    <w:rsid w:val="0027237A"/>
    <w:rsid w:val="002842AC"/>
    <w:rsid w:val="00294862"/>
    <w:rsid w:val="0029578B"/>
    <w:rsid w:val="002971D0"/>
    <w:rsid w:val="002974E9"/>
    <w:rsid w:val="002A5304"/>
    <w:rsid w:val="002A7F94"/>
    <w:rsid w:val="002B0124"/>
    <w:rsid w:val="002B109A"/>
    <w:rsid w:val="002B4774"/>
    <w:rsid w:val="002C6D45"/>
    <w:rsid w:val="002D227F"/>
    <w:rsid w:val="002D4431"/>
    <w:rsid w:val="002D6E53"/>
    <w:rsid w:val="002F046D"/>
    <w:rsid w:val="002F3023"/>
    <w:rsid w:val="002F39A4"/>
    <w:rsid w:val="00301764"/>
    <w:rsid w:val="00313658"/>
    <w:rsid w:val="003229D8"/>
    <w:rsid w:val="003335B5"/>
    <w:rsid w:val="00334DFE"/>
    <w:rsid w:val="00336C97"/>
    <w:rsid w:val="0033734E"/>
    <w:rsid w:val="00337F88"/>
    <w:rsid w:val="00340412"/>
    <w:rsid w:val="00342432"/>
    <w:rsid w:val="00347519"/>
    <w:rsid w:val="00347E1E"/>
    <w:rsid w:val="0035113F"/>
    <w:rsid w:val="0035223F"/>
    <w:rsid w:val="00352D4B"/>
    <w:rsid w:val="003558BF"/>
    <w:rsid w:val="0035638C"/>
    <w:rsid w:val="00360E0B"/>
    <w:rsid w:val="00385208"/>
    <w:rsid w:val="003A059E"/>
    <w:rsid w:val="003A46BB"/>
    <w:rsid w:val="003A4EC7"/>
    <w:rsid w:val="003A5C55"/>
    <w:rsid w:val="003A5CDC"/>
    <w:rsid w:val="003A7295"/>
    <w:rsid w:val="003B0CA7"/>
    <w:rsid w:val="003B1F60"/>
    <w:rsid w:val="003B57E8"/>
    <w:rsid w:val="003B7412"/>
    <w:rsid w:val="003C269E"/>
    <w:rsid w:val="003C2CC4"/>
    <w:rsid w:val="003C3BDB"/>
    <w:rsid w:val="003D1E0C"/>
    <w:rsid w:val="003D22CC"/>
    <w:rsid w:val="003D4B23"/>
    <w:rsid w:val="003D6795"/>
    <w:rsid w:val="003E278A"/>
    <w:rsid w:val="003F50BB"/>
    <w:rsid w:val="003F5806"/>
    <w:rsid w:val="003F775C"/>
    <w:rsid w:val="00405A02"/>
    <w:rsid w:val="00413186"/>
    <w:rsid w:val="00413520"/>
    <w:rsid w:val="004136F5"/>
    <w:rsid w:val="004252E3"/>
    <w:rsid w:val="00427B29"/>
    <w:rsid w:val="004325CB"/>
    <w:rsid w:val="00440A07"/>
    <w:rsid w:val="00450219"/>
    <w:rsid w:val="004510C7"/>
    <w:rsid w:val="0045287A"/>
    <w:rsid w:val="00453F13"/>
    <w:rsid w:val="00462270"/>
    <w:rsid w:val="00462880"/>
    <w:rsid w:val="00471921"/>
    <w:rsid w:val="00476F24"/>
    <w:rsid w:val="0049422E"/>
    <w:rsid w:val="004B66C7"/>
    <w:rsid w:val="004C0FCB"/>
    <w:rsid w:val="004C16A1"/>
    <w:rsid w:val="004C55B0"/>
    <w:rsid w:val="004E2D64"/>
    <w:rsid w:val="004E68EB"/>
    <w:rsid w:val="004F5938"/>
    <w:rsid w:val="004F6BA0"/>
    <w:rsid w:val="005027DF"/>
    <w:rsid w:val="00503BEA"/>
    <w:rsid w:val="005049CE"/>
    <w:rsid w:val="00513D62"/>
    <w:rsid w:val="00514F24"/>
    <w:rsid w:val="00521704"/>
    <w:rsid w:val="00532BF5"/>
    <w:rsid w:val="00533616"/>
    <w:rsid w:val="00535ABA"/>
    <w:rsid w:val="0053768B"/>
    <w:rsid w:val="005420F2"/>
    <w:rsid w:val="0054285C"/>
    <w:rsid w:val="0054622F"/>
    <w:rsid w:val="0055135F"/>
    <w:rsid w:val="00563107"/>
    <w:rsid w:val="00565D55"/>
    <w:rsid w:val="00584173"/>
    <w:rsid w:val="00595520"/>
    <w:rsid w:val="00597BF3"/>
    <w:rsid w:val="005A3CEC"/>
    <w:rsid w:val="005A44B9"/>
    <w:rsid w:val="005A7124"/>
    <w:rsid w:val="005B1BA0"/>
    <w:rsid w:val="005B3DB3"/>
    <w:rsid w:val="005C79B5"/>
    <w:rsid w:val="005C7B11"/>
    <w:rsid w:val="005D021F"/>
    <w:rsid w:val="005D15CA"/>
    <w:rsid w:val="005E4938"/>
    <w:rsid w:val="005F05BA"/>
    <w:rsid w:val="005F08DF"/>
    <w:rsid w:val="005F25E8"/>
    <w:rsid w:val="005F3066"/>
    <w:rsid w:val="005F3E61"/>
    <w:rsid w:val="00603C15"/>
    <w:rsid w:val="00604DDD"/>
    <w:rsid w:val="006115CC"/>
    <w:rsid w:val="00611FC4"/>
    <w:rsid w:val="006176FB"/>
    <w:rsid w:val="00630FCB"/>
    <w:rsid w:val="00640B26"/>
    <w:rsid w:val="00643570"/>
    <w:rsid w:val="00646D30"/>
    <w:rsid w:val="00653E7F"/>
    <w:rsid w:val="00656543"/>
    <w:rsid w:val="0065766B"/>
    <w:rsid w:val="006633D6"/>
    <w:rsid w:val="00666F2D"/>
    <w:rsid w:val="00672455"/>
    <w:rsid w:val="00675DA0"/>
    <w:rsid w:val="006770B2"/>
    <w:rsid w:val="00683161"/>
    <w:rsid w:val="00683E31"/>
    <w:rsid w:val="00686A48"/>
    <w:rsid w:val="006940E1"/>
    <w:rsid w:val="006A002E"/>
    <w:rsid w:val="006A0804"/>
    <w:rsid w:val="006A3C72"/>
    <w:rsid w:val="006A5B31"/>
    <w:rsid w:val="006A5B77"/>
    <w:rsid w:val="006A7392"/>
    <w:rsid w:val="006B03A1"/>
    <w:rsid w:val="006B67D9"/>
    <w:rsid w:val="006C34F2"/>
    <w:rsid w:val="006C5535"/>
    <w:rsid w:val="006D0589"/>
    <w:rsid w:val="006E564B"/>
    <w:rsid w:val="006E688C"/>
    <w:rsid w:val="006E7154"/>
    <w:rsid w:val="007003CD"/>
    <w:rsid w:val="00703F02"/>
    <w:rsid w:val="00706D1A"/>
    <w:rsid w:val="0070701E"/>
    <w:rsid w:val="00707E9F"/>
    <w:rsid w:val="00723537"/>
    <w:rsid w:val="0072632A"/>
    <w:rsid w:val="00731016"/>
    <w:rsid w:val="007358E8"/>
    <w:rsid w:val="00736ECE"/>
    <w:rsid w:val="0074533B"/>
    <w:rsid w:val="00746EF5"/>
    <w:rsid w:val="0075235E"/>
    <w:rsid w:val="007643BC"/>
    <w:rsid w:val="00767C5F"/>
    <w:rsid w:val="00780C68"/>
    <w:rsid w:val="00781BAA"/>
    <w:rsid w:val="00782629"/>
    <w:rsid w:val="00785750"/>
    <w:rsid w:val="00790F22"/>
    <w:rsid w:val="007959FE"/>
    <w:rsid w:val="007A0513"/>
    <w:rsid w:val="007A0CF1"/>
    <w:rsid w:val="007A3B45"/>
    <w:rsid w:val="007B6BA5"/>
    <w:rsid w:val="007C3390"/>
    <w:rsid w:val="007C42D8"/>
    <w:rsid w:val="007C4F4B"/>
    <w:rsid w:val="007D11E8"/>
    <w:rsid w:val="007D1864"/>
    <w:rsid w:val="007D29A0"/>
    <w:rsid w:val="007D3483"/>
    <w:rsid w:val="007D513C"/>
    <w:rsid w:val="007D7362"/>
    <w:rsid w:val="007D7892"/>
    <w:rsid w:val="007E2B57"/>
    <w:rsid w:val="007F1BC5"/>
    <w:rsid w:val="007F554F"/>
    <w:rsid w:val="007F5CE2"/>
    <w:rsid w:val="007F6611"/>
    <w:rsid w:val="00803618"/>
    <w:rsid w:val="00807D5B"/>
    <w:rsid w:val="00810BAC"/>
    <w:rsid w:val="008175E9"/>
    <w:rsid w:val="008242D7"/>
    <w:rsid w:val="0082577B"/>
    <w:rsid w:val="0082663A"/>
    <w:rsid w:val="00832D15"/>
    <w:rsid w:val="00845A3F"/>
    <w:rsid w:val="00846592"/>
    <w:rsid w:val="00851A02"/>
    <w:rsid w:val="00855EE0"/>
    <w:rsid w:val="008624CA"/>
    <w:rsid w:val="00866893"/>
    <w:rsid w:val="00866F02"/>
    <w:rsid w:val="00867D18"/>
    <w:rsid w:val="00871F9A"/>
    <w:rsid w:val="00871FD5"/>
    <w:rsid w:val="008747EE"/>
    <w:rsid w:val="0088172E"/>
    <w:rsid w:val="00881EFA"/>
    <w:rsid w:val="008828CF"/>
    <w:rsid w:val="008879CB"/>
    <w:rsid w:val="008902FF"/>
    <w:rsid w:val="008979B1"/>
    <w:rsid w:val="008A6B25"/>
    <w:rsid w:val="008A6C26"/>
    <w:rsid w:val="008A6C4F"/>
    <w:rsid w:val="008B091B"/>
    <w:rsid w:val="008B389E"/>
    <w:rsid w:val="008B3A2F"/>
    <w:rsid w:val="008B7297"/>
    <w:rsid w:val="008B7F93"/>
    <w:rsid w:val="008D045E"/>
    <w:rsid w:val="008D3F25"/>
    <w:rsid w:val="008D4D82"/>
    <w:rsid w:val="008E0E46"/>
    <w:rsid w:val="008E7116"/>
    <w:rsid w:val="008F143B"/>
    <w:rsid w:val="008F340B"/>
    <w:rsid w:val="008F3882"/>
    <w:rsid w:val="008F4376"/>
    <w:rsid w:val="008F4B7C"/>
    <w:rsid w:val="008F53E9"/>
    <w:rsid w:val="0090364F"/>
    <w:rsid w:val="00916136"/>
    <w:rsid w:val="00926E47"/>
    <w:rsid w:val="009273D9"/>
    <w:rsid w:val="00927AB7"/>
    <w:rsid w:val="0094684F"/>
    <w:rsid w:val="00947162"/>
    <w:rsid w:val="0095711D"/>
    <w:rsid w:val="009610D0"/>
    <w:rsid w:val="0096375C"/>
    <w:rsid w:val="00964FC2"/>
    <w:rsid w:val="00965849"/>
    <w:rsid w:val="009662E6"/>
    <w:rsid w:val="009663C0"/>
    <w:rsid w:val="0097095E"/>
    <w:rsid w:val="009764AC"/>
    <w:rsid w:val="0098592B"/>
    <w:rsid w:val="00985FC4"/>
    <w:rsid w:val="00990766"/>
    <w:rsid w:val="00991261"/>
    <w:rsid w:val="00995079"/>
    <w:rsid w:val="009960B2"/>
    <w:rsid w:val="009964C4"/>
    <w:rsid w:val="009A1B11"/>
    <w:rsid w:val="009A7B81"/>
    <w:rsid w:val="009B4126"/>
    <w:rsid w:val="009B7E3C"/>
    <w:rsid w:val="009C6D46"/>
    <w:rsid w:val="009D01C0"/>
    <w:rsid w:val="009D3759"/>
    <w:rsid w:val="009D6A08"/>
    <w:rsid w:val="009E0A16"/>
    <w:rsid w:val="009E50C6"/>
    <w:rsid w:val="009E5A6B"/>
    <w:rsid w:val="009E6CB7"/>
    <w:rsid w:val="009E7970"/>
    <w:rsid w:val="009F2EAC"/>
    <w:rsid w:val="009F57E3"/>
    <w:rsid w:val="00A01B1E"/>
    <w:rsid w:val="00A07E70"/>
    <w:rsid w:val="00A10F4F"/>
    <w:rsid w:val="00A11067"/>
    <w:rsid w:val="00A11666"/>
    <w:rsid w:val="00A1704A"/>
    <w:rsid w:val="00A22991"/>
    <w:rsid w:val="00A31EDD"/>
    <w:rsid w:val="00A34885"/>
    <w:rsid w:val="00A404D8"/>
    <w:rsid w:val="00A425EB"/>
    <w:rsid w:val="00A440A6"/>
    <w:rsid w:val="00A4410B"/>
    <w:rsid w:val="00A47AF6"/>
    <w:rsid w:val="00A541E8"/>
    <w:rsid w:val="00A57A6F"/>
    <w:rsid w:val="00A70854"/>
    <w:rsid w:val="00A72F22"/>
    <w:rsid w:val="00A733BC"/>
    <w:rsid w:val="00A748A6"/>
    <w:rsid w:val="00A76405"/>
    <w:rsid w:val="00A76A69"/>
    <w:rsid w:val="00A77CAB"/>
    <w:rsid w:val="00A879A4"/>
    <w:rsid w:val="00A91A3C"/>
    <w:rsid w:val="00A924A9"/>
    <w:rsid w:val="00AA0678"/>
    <w:rsid w:val="00AA0FF8"/>
    <w:rsid w:val="00AA1941"/>
    <w:rsid w:val="00AA1A81"/>
    <w:rsid w:val="00AA373D"/>
    <w:rsid w:val="00AC0F2C"/>
    <w:rsid w:val="00AC4E65"/>
    <w:rsid w:val="00AC502A"/>
    <w:rsid w:val="00AC7227"/>
    <w:rsid w:val="00AD584F"/>
    <w:rsid w:val="00AD6203"/>
    <w:rsid w:val="00AD6EDA"/>
    <w:rsid w:val="00AF4FEE"/>
    <w:rsid w:val="00AF58C1"/>
    <w:rsid w:val="00B013F9"/>
    <w:rsid w:val="00B02C55"/>
    <w:rsid w:val="00B04A3F"/>
    <w:rsid w:val="00B05CBE"/>
    <w:rsid w:val="00B06643"/>
    <w:rsid w:val="00B11506"/>
    <w:rsid w:val="00B15055"/>
    <w:rsid w:val="00B1598D"/>
    <w:rsid w:val="00B20551"/>
    <w:rsid w:val="00B245E3"/>
    <w:rsid w:val="00B30179"/>
    <w:rsid w:val="00B31566"/>
    <w:rsid w:val="00B326F2"/>
    <w:rsid w:val="00B33FC7"/>
    <w:rsid w:val="00B37B15"/>
    <w:rsid w:val="00B37EA0"/>
    <w:rsid w:val="00B40854"/>
    <w:rsid w:val="00B40DFF"/>
    <w:rsid w:val="00B45C02"/>
    <w:rsid w:val="00B547A3"/>
    <w:rsid w:val="00B5709C"/>
    <w:rsid w:val="00B66967"/>
    <w:rsid w:val="00B67F61"/>
    <w:rsid w:val="00B70B63"/>
    <w:rsid w:val="00B72A1E"/>
    <w:rsid w:val="00B72BB5"/>
    <w:rsid w:val="00B75363"/>
    <w:rsid w:val="00B81E12"/>
    <w:rsid w:val="00B835C5"/>
    <w:rsid w:val="00B841FA"/>
    <w:rsid w:val="00B9513A"/>
    <w:rsid w:val="00B977CB"/>
    <w:rsid w:val="00B97C81"/>
    <w:rsid w:val="00BA10E1"/>
    <w:rsid w:val="00BA339B"/>
    <w:rsid w:val="00BB7A08"/>
    <w:rsid w:val="00BC1E7E"/>
    <w:rsid w:val="00BC2DBA"/>
    <w:rsid w:val="00BC2F24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E43"/>
    <w:rsid w:val="00BF3FC8"/>
    <w:rsid w:val="00C003DD"/>
    <w:rsid w:val="00C044E2"/>
    <w:rsid w:val="00C048CB"/>
    <w:rsid w:val="00C066F3"/>
    <w:rsid w:val="00C26C79"/>
    <w:rsid w:val="00C32A62"/>
    <w:rsid w:val="00C34B81"/>
    <w:rsid w:val="00C42164"/>
    <w:rsid w:val="00C463DD"/>
    <w:rsid w:val="00C47C9B"/>
    <w:rsid w:val="00C57496"/>
    <w:rsid w:val="00C57FB0"/>
    <w:rsid w:val="00C65C34"/>
    <w:rsid w:val="00C71366"/>
    <w:rsid w:val="00C74195"/>
    <w:rsid w:val="00C745C3"/>
    <w:rsid w:val="00C761A7"/>
    <w:rsid w:val="00C86A04"/>
    <w:rsid w:val="00C978F5"/>
    <w:rsid w:val="00CA2291"/>
    <w:rsid w:val="00CA24A4"/>
    <w:rsid w:val="00CA6DBD"/>
    <w:rsid w:val="00CB1AFD"/>
    <w:rsid w:val="00CB348D"/>
    <w:rsid w:val="00CB5D61"/>
    <w:rsid w:val="00CC759B"/>
    <w:rsid w:val="00CD46F5"/>
    <w:rsid w:val="00CE2CFA"/>
    <w:rsid w:val="00CE4157"/>
    <w:rsid w:val="00CE4602"/>
    <w:rsid w:val="00CE4A8F"/>
    <w:rsid w:val="00CF071D"/>
    <w:rsid w:val="00CF3A97"/>
    <w:rsid w:val="00CF66B4"/>
    <w:rsid w:val="00D0123D"/>
    <w:rsid w:val="00D125B6"/>
    <w:rsid w:val="00D13086"/>
    <w:rsid w:val="00D15B04"/>
    <w:rsid w:val="00D17C9E"/>
    <w:rsid w:val="00D2031B"/>
    <w:rsid w:val="00D25FE2"/>
    <w:rsid w:val="00D36C0B"/>
    <w:rsid w:val="00D37DA9"/>
    <w:rsid w:val="00D40342"/>
    <w:rsid w:val="00D406A7"/>
    <w:rsid w:val="00D43252"/>
    <w:rsid w:val="00D44D86"/>
    <w:rsid w:val="00D50B7D"/>
    <w:rsid w:val="00D5158C"/>
    <w:rsid w:val="00D52012"/>
    <w:rsid w:val="00D524B5"/>
    <w:rsid w:val="00D57093"/>
    <w:rsid w:val="00D65C47"/>
    <w:rsid w:val="00D704E5"/>
    <w:rsid w:val="00D72727"/>
    <w:rsid w:val="00D73209"/>
    <w:rsid w:val="00D74410"/>
    <w:rsid w:val="00D87365"/>
    <w:rsid w:val="00D978C6"/>
    <w:rsid w:val="00DA0956"/>
    <w:rsid w:val="00DA357F"/>
    <w:rsid w:val="00DA3E12"/>
    <w:rsid w:val="00DA4E9F"/>
    <w:rsid w:val="00DA60C1"/>
    <w:rsid w:val="00DB437E"/>
    <w:rsid w:val="00DC18AD"/>
    <w:rsid w:val="00DE0EDC"/>
    <w:rsid w:val="00DE678E"/>
    <w:rsid w:val="00DF7CAE"/>
    <w:rsid w:val="00E0287C"/>
    <w:rsid w:val="00E16A4D"/>
    <w:rsid w:val="00E36717"/>
    <w:rsid w:val="00E423C0"/>
    <w:rsid w:val="00E43D2C"/>
    <w:rsid w:val="00E54839"/>
    <w:rsid w:val="00E54B10"/>
    <w:rsid w:val="00E6414C"/>
    <w:rsid w:val="00E7260F"/>
    <w:rsid w:val="00E76CE5"/>
    <w:rsid w:val="00E818B8"/>
    <w:rsid w:val="00E844DC"/>
    <w:rsid w:val="00E85394"/>
    <w:rsid w:val="00E8702D"/>
    <w:rsid w:val="00E905F4"/>
    <w:rsid w:val="00E916A9"/>
    <w:rsid w:val="00E916DE"/>
    <w:rsid w:val="00E925AD"/>
    <w:rsid w:val="00E94717"/>
    <w:rsid w:val="00E96630"/>
    <w:rsid w:val="00E97B11"/>
    <w:rsid w:val="00EC4294"/>
    <w:rsid w:val="00EC4DDC"/>
    <w:rsid w:val="00EC63F5"/>
    <w:rsid w:val="00ED18DC"/>
    <w:rsid w:val="00ED1C6F"/>
    <w:rsid w:val="00ED3B72"/>
    <w:rsid w:val="00ED6201"/>
    <w:rsid w:val="00ED7A2A"/>
    <w:rsid w:val="00EF1D7F"/>
    <w:rsid w:val="00F0137E"/>
    <w:rsid w:val="00F04977"/>
    <w:rsid w:val="00F1560D"/>
    <w:rsid w:val="00F21786"/>
    <w:rsid w:val="00F3742B"/>
    <w:rsid w:val="00F41FDB"/>
    <w:rsid w:val="00F42B71"/>
    <w:rsid w:val="00F4464D"/>
    <w:rsid w:val="00F46418"/>
    <w:rsid w:val="00F56D63"/>
    <w:rsid w:val="00F609A9"/>
    <w:rsid w:val="00F613EA"/>
    <w:rsid w:val="00F6675C"/>
    <w:rsid w:val="00F80C99"/>
    <w:rsid w:val="00F84D3F"/>
    <w:rsid w:val="00F867EC"/>
    <w:rsid w:val="00F91B2B"/>
    <w:rsid w:val="00F9617B"/>
    <w:rsid w:val="00F965A0"/>
    <w:rsid w:val="00F97EF9"/>
    <w:rsid w:val="00FA40C1"/>
    <w:rsid w:val="00FA577E"/>
    <w:rsid w:val="00FA5C85"/>
    <w:rsid w:val="00FA77B9"/>
    <w:rsid w:val="00FA7C63"/>
    <w:rsid w:val="00FC03CD"/>
    <w:rsid w:val="00FC0646"/>
    <w:rsid w:val="00FC13F8"/>
    <w:rsid w:val="00FC68B7"/>
    <w:rsid w:val="00FD207C"/>
    <w:rsid w:val="00FE08AC"/>
    <w:rsid w:val="00FE5008"/>
    <w:rsid w:val="00FE5E1A"/>
    <w:rsid w:val="00FE6985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89FF0BB"/>
  <w15:docId w15:val="{8FEAD3E4-4984-48D4-87C6-BEDAC50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971D0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971D0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H23GChar">
    <w:name w:val="_ H_2/3_G Char"/>
    <w:link w:val="H23G"/>
    <w:rsid w:val="00C65C34"/>
    <w:rPr>
      <w:b/>
      <w:lang w:val="en-GB" w:eastAsia="en-US"/>
    </w:rPr>
  </w:style>
  <w:style w:type="paragraph" w:customStyle="1" w:styleId="ParNoG">
    <w:name w:val="_ParNo_G"/>
    <w:basedOn w:val="SingleTxtG"/>
    <w:qFormat/>
    <w:rsid w:val="00F04977"/>
    <w:pPr>
      <w:numPr>
        <w:numId w:val="19"/>
      </w:numPr>
      <w:suppressAutoHyphens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4622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84D3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22991"/>
    <w:pPr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991"/>
    <w:rPr>
      <w:rFonts w:asciiTheme="minorHAnsi" w:eastAsiaTheme="minorHAnsi" w:hAnsiTheme="minorHAnsi" w:cstheme="minorBidi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A22991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A22991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A5B77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364F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A8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412"/>
    <w:pPr>
      <w:suppressAutoHyphens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3B7412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bodytext">
    <w:name w:val="bodytext"/>
    <w:basedOn w:val="Normal"/>
    <w:rsid w:val="0073101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ece.org/env/eia/e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a.conv@un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ia.org/fasttip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7BDD-1CD4-4FDA-AA70-70F043A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7640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ECE/MP.EIA/WG.2/2019/7</vt:lpstr>
      <vt:lpstr/>
    </vt:vector>
  </TitlesOfParts>
  <Company>CSD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ECE/MP.EIA/WG.2/2019/7</dc:title>
  <dc:subject>1915612</dc:subject>
  <dc:creator>Elizabeth James</dc:creator>
  <cp:keywords/>
  <dc:description/>
  <cp:lastModifiedBy>Elisabeth James</cp:lastModifiedBy>
  <cp:revision>2</cp:revision>
  <cp:lastPrinted>2009-02-18T09:36:00Z</cp:lastPrinted>
  <dcterms:created xsi:type="dcterms:W3CDTF">2019-10-07T12:49:00Z</dcterms:created>
  <dcterms:modified xsi:type="dcterms:W3CDTF">2019-10-07T12:49:00Z</dcterms:modified>
</cp:coreProperties>
</file>